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ind w:firstLine="723"/>
        <w:jc w:val="center"/>
        <w:rPr>
          <w:rFonts w:eastAsia="黑体"/>
          <w:b/>
          <w:bCs/>
          <w:sz w:val="36"/>
        </w:rPr>
      </w:pPr>
    </w:p>
    <w:p>
      <w:pPr>
        <w:ind w:firstLine="723"/>
        <w:jc w:val="center"/>
        <w:rPr>
          <w:rFonts w:eastAsia="黑体"/>
          <w:b/>
          <w:bCs/>
          <w:sz w:val="36"/>
        </w:rPr>
      </w:pPr>
    </w:p>
    <w:p>
      <w:pPr>
        <w:jc w:val="center"/>
        <w:rPr>
          <w:rFonts w:hint="eastAsia" w:ascii="宋体" w:hAnsi="宋体" w:cs="宋体"/>
          <w:b/>
          <w:bCs/>
          <w:color w:val="auto"/>
          <w:sz w:val="36"/>
        </w:rPr>
      </w:pPr>
      <w:r>
        <w:rPr>
          <w:rFonts w:hint="eastAsia" w:ascii="宋体" w:hAnsi="宋体" w:cs="宋体"/>
          <w:b/>
          <w:bCs/>
          <w:color w:val="auto"/>
          <w:sz w:val="36"/>
        </w:rPr>
        <w:t>越秀区黉桥小石集危房改造项目</w:t>
      </w:r>
    </w:p>
    <w:p>
      <w:pPr>
        <w:ind w:firstLine="0" w:firstLineChars="0"/>
        <w:jc w:val="center"/>
        <w:rPr>
          <w:rFonts w:ascii="宋体" w:hAnsi="宋体"/>
          <w:b/>
          <w:bCs/>
          <w:sz w:val="36"/>
        </w:rPr>
      </w:pPr>
      <w:r>
        <w:rPr>
          <w:rFonts w:hint="eastAsia" w:ascii="宋体" w:hAnsi="宋体"/>
          <w:b/>
          <w:bCs/>
          <w:sz w:val="36"/>
        </w:rPr>
        <w:t xml:space="preserve"> 电气专业技术规格书</w:t>
      </w:r>
    </w:p>
    <w:p>
      <w:pPr>
        <w:ind w:firstLine="0" w:firstLineChars="0"/>
        <w:jc w:val="center"/>
        <w:rPr>
          <w:sz w:val="24"/>
        </w:rPr>
      </w:pPr>
      <w:r>
        <w:rPr>
          <w:rFonts w:hint="eastAsia"/>
          <w:sz w:val="24"/>
        </w:rPr>
        <w:t xml:space="preserve"> </w:t>
      </w:r>
    </w:p>
    <w:p>
      <w:pPr>
        <w:ind w:firstLine="560"/>
        <w:jc w:val="center"/>
      </w:pPr>
    </w:p>
    <w:p>
      <w:pPr>
        <w:ind w:firstLine="560"/>
        <w:jc w:val="center"/>
      </w:pPr>
    </w:p>
    <w:p>
      <w:pPr>
        <w:ind w:firstLine="560"/>
        <w:jc w:val="center"/>
      </w:pPr>
    </w:p>
    <w:p>
      <w:pPr>
        <w:ind w:firstLine="560"/>
        <w:jc w:val="center"/>
      </w:pPr>
    </w:p>
    <w:p>
      <w:pPr>
        <w:ind w:firstLine="560"/>
        <w:jc w:val="center"/>
      </w:pPr>
    </w:p>
    <w:p>
      <w:pPr>
        <w:ind w:firstLine="641"/>
        <w:jc w:val="center"/>
        <w:rPr>
          <w:b/>
          <w:bCs/>
          <w:sz w:val="32"/>
        </w:rPr>
      </w:pPr>
    </w:p>
    <w:p>
      <w:pPr>
        <w:ind w:firstLine="641"/>
        <w:jc w:val="center"/>
        <w:rPr>
          <w:b/>
          <w:bCs/>
          <w:sz w:val="32"/>
        </w:rPr>
      </w:pPr>
    </w:p>
    <w:p>
      <w:pPr>
        <w:ind w:firstLine="641"/>
        <w:jc w:val="center"/>
        <w:rPr>
          <w:b/>
          <w:bCs/>
          <w:sz w:val="32"/>
        </w:rPr>
      </w:pPr>
    </w:p>
    <w:p>
      <w:pPr>
        <w:ind w:firstLine="641"/>
        <w:jc w:val="center"/>
        <w:rPr>
          <w:b/>
          <w:bCs/>
          <w:sz w:val="32"/>
        </w:rPr>
      </w:pPr>
    </w:p>
    <w:p>
      <w:pPr>
        <w:ind w:firstLine="641"/>
        <w:jc w:val="center"/>
        <w:rPr>
          <w:b/>
          <w:bCs/>
          <w:sz w:val="32"/>
        </w:rPr>
      </w:pPr>
    </w:p>
    <w:p>
      <w:pPr>
        <w:ind w:firstLine="641"/>
        <w:jc w:val="center"/>
        <w:rPr>
          <w:b/>
          <w:bCs/>
          <w:sz w:val="32"/>
        </w:rPr>
      </w:pPr>
    </w:p>
    <w:p>
      <w:pPr>
        <w:ind w:firstLine="560"/>
        <w:jc w:val="center"/>
        <w:rPr>
          <w:szCs w:val="28"/>
        </w:rPr>
      </w:pPr>
    </w:p>
    <w:p>
      <w:pPr>
        <w:ind w:firstLine="560"/>
        <w:jc w:val="center"/>
        <w:rPr>
          <w:szCs w:val="28"/>
        </w:rPr>
      </w:pPr>
    </w:p>
    <w:p>
      <w:pPr>
        <w:ind w:firstLine="0" w:firstLineChars="0"/>
        <w:jc w:val="center"/>
        <w:rPr>
          <w:szCs w:val="28"/>
        </w:rPr>
      </w:pPr>
      <w:r>
        <w:rPr>
          <w:rFonts w:hint="eastAsia"/>
          <w:szCs w:val="28"/>
        </w:rPr>
        <w:t>编制单位：</w:t>
      </w:r>
      <w:r>
        <w:rPr>
          <w:rFonts w:hint="eastAsia" w:ascii="宋体" w:hAnsi="宋体" w:cs="宋体"/>
          <w:color w:val="auto"/>
          <w:sz w:val="28"/>
        </w:rPr>
        <w:t>广州市城市更新规划设计研究院有限公司</w:t>
      </w:r>
    </w:p>
    <w:p>
      <w:pPr>
        <w:ind w:firstLine="0" w:firstLineChars="0"/>
        <w:jc w:val="center"/>
        <w:rPr>
          <w:szCs w:val="28"/>
        </w:rPr>
      </w:pPr>
      <w:r>
        <w:rPr>
          <w:rFonts w:hint="eastAsia"/>
          <w:szCs w:val="28"/>
        </w:rPr>
        <w:t>编制时间：202</w:t>
      </w:r>
      <w:r>
        <w:rPr>
          <w:rFonts w:hint="eastAsia"/>
          <w:szCs w:val="28"/>
          <w:lang w:val="en-US" w:eastAsia="zh-CN"/>
        </w:rPr>
        <w:t>5</w:t>
      </w:r>
      <w:r>
        <w:rPr>
          <w:rFonts w:hint="eastAsia"/>
          <w:szCs w:val="28"/>
        </w:rPr>
        <w:t>年</w:t>
      </w:r>
      <w:r>
        <w:rPr>
          <w:rFonts w:hint="eastAsia"/>
          <w:szCs w:val="28"/>
          <w:lang w:val="en-US" w:eastAsia="zh-CN"/>
        </w:rPr>
        <w:t>4</w:t>
      </w:r>
      <w:r>
        <w:rPr>
          <w:rFonts w:hint="eastAsia"/>
          <w:szCs w:val="28"/>
        </w:rPr>
        <w:t>月</w:t>
      </w:r>
      <w:r>
        <w:rPr>
          <w:rFonts w:hint="default"/>
          <w:szCs w:val="28"/>
          <w:lang w:val="en-US" w:eastAsia="zh-CN"/>
        </w:rPr>
        <w:t>25</w:t>
      </w:r>
      <w:r>
        <w:rPr>
          <w:rFonts w:hint="eastAsia"/>
          <w:szCs w:val="28"/>
        </w:rPr>
        <w:t>日</w:t>
      </w:r>
    </w:p>
    <w:p>
      <w:pPr>
        <w:ind w:firstLine="641"/>
        <w:jc w:val="center"/>
        <w:rPr>
          <w:rFonts w:ascii="宋体" w:hAnsi="宋体"/>
          <w:b/>
          <w:sz w:val="32"/>
          <w:szCs w:val="32"/>
        </w:rPr>
      </w:pPr>
      <w:bookmarkStart w:id="132" w:name="_GoBack"/>
      <w:bookmarkEnd w:id="132"/>
      <w:r>
        <w:rPr>
          <w:rFonts w:ascii="宋体" w:hAnsi="宋体"/>
          <w:b/>
          <w:sz w:val="32"/>
          <w:szCs w:val="32"/>
        </w:rPr>
        <w:br w:type="page"/>
      </w:r>
    </w:p>
    <w:p>
      <w:pPr>
        <w:ind w:firstLine="0" w:firstLineChars="0"/>
        <w:jc w:val="center"/>
        <w:rPr>
          <w:rFonts w:ascii="宋体" w:hAnsi="宋体"/>
          <w:b/>
          <w:sz w:val="32"/>
          <w:szCs w:val="32"/>
        </w:rPr>
      </w:pPr>
      <w:r>
        <w:rPr>
          <w:rFonts w:hint="eastAsia" w:ascii="宋体" w:hAnsi="宋体"/>
          <w:b/>
          <w:sz w:val="32"/>
          <w:szCs w:val="32"/>
        </w:rPr>
        <w:t>前</w:t>
      </w:r>
      <w:r>
        <w:rPr>
          <w:rFonts w:ascii="宋体" w:hAnsi="宋体"/>
          <w:b/>
          <w:sz w:val="32"/>
          <w:szCs w:val="32"/>
        </w:rPr>
        <w:t xml:space="preserve">   </w:t>
      </w:r>
      <w:r>
        <w:rPr>
          <w:rFonts w:hint="eastAsia" w:ascii="宋体" w:hAnsi="宋体"/>
          <w:b/>
          <w:sz w:val="32"/>
          <w:szCs w:val="32"/>
        </w:rPr>
        <w:t>言</w:t>
      </w:r>
    </w:p>
    <w:p>
      <w:pPr>
        <w:ind w:firstLine="560"/>
        <w:rPr>
          <w:rFonts w:ascii="宋体" w:hAnsi="宋体"/>
          <w:szCs w:val="28"/>
        </w:rPr>
      </w:pPr>
    </w:p>
    <w:p>
      <w:pPr>
        <w:ind w:firstLine="460" w:firstLineChars="192"/>
        <w:rPr>
          <w:rFonts w:ascii="宋体" w:hAnsi="宋体"/>
          <w:sz w:val="24"/>
        </w:rPr>
      </w:pPr>
      <w:r>
        <w:rPr>
          <w:rFonts w:ascii="宋体" w:hAnsi="宋体"/>
          <w:sz w:val="24"/>
        </w:rPr>
        <w:t>1</w:t>
      </w:r>
      <w:r>
        <w:rPr>
          <w:rFonts w:hint="eastAsia" w:ascii="宋体" w:hAnsi="宋体"/>
          <w:sz w:val="24"/>
        </w:rPr>
        <w:t>、本文件依据施工图设计图纸及相关的国内行业规范、标准或通用做法。</w:t>
      </w:r>
    </w:p>
    <w:p>
      <w:pPr>
        <w:ind w:firstLine="460" w:firstLineChars="192"/>
        <w:rPr>
          <w:rFonts w:ascii="宋体" w:hAnsi="宋体"/>
          <w:sz w:val="24"/>
        </w:rPr>
      </w:pPr>
      <w:r>
        <w:rPr>
          <w:sz w:val="24"/>
        </w:rPr>
        <w:t>2</w:t>
      </w:r>
      <w:r>
        <w:rPr>
          <w:rFonts w:hint="eastAsia"/>
          <w:sz w:val="24"/>
        </w:rPr>
        <w:t>、本文件作为电气专业施工图及招标文件中主要设备材料技术要求文件的补充文件。</w:t>
      </w:r>
    </w:p>
    <w:p>
      <w:pPr>
        <w:ind w:firstLine="460" w:firstLineChars="192"/>
        <w:rPr>
          <w:rFonts w:ascii="宋体" w:hAnsi="宋体"/>
          <w:sz w:val="24"/>
        </w:rPr>
      </w:pPr>
      <w:r>
        <w:rPr>
          <w:rFonts w:ascii="宋体" w:hAnsi="宋体"/>
          <w:sz w:val="24"/>
        </w:rPr>
        <w:t>3</w:t>
      </w:r>
      <w:r>
        <w:rPr>
          <w:rFonts w:hint="eastAsia" w:ascii="宋体" w:hAnsi="宋体"/>
          <w:sz w:val="24"/>
        </w:rPr>
        <w:t>、本文件应在满足国家有关规范和法律的基础上使用，若用在设备招标过程中应体现公平、公正、公开的原则。若本技术说明有违上述原则之处，应以国家有关规范、法律和规定为准，使用各方应及时提出并予以修改完善。</w:t>
      </w:r>
    </w:p>
    <w:p>
      <w:pPr>
        <w:ind w:firstLine="0" w:firstLineChars="0"/>
        <w:jc w:val="center"/>
        <w:rPr>
          <w:rFonts w:eastAsia="微软雅黑"/>
        </w:rPr>
      </w:pPr>
      <w:r>
        <w:br w:type="page"/>
      </w:r>
      <w:r>
        <w:rPr>
          <w:rFonts w:hint="eastAsia" w:eastAsia="微软雅黑"/>
          <w:lang w:val="zh-CN"/>
        </w:rPr>
        <w:t>目</w:t>
      </w:r>
      <w:r>
        <w:rPr>
          <w:rFonts w:eastAsia="微软雅黑"/>
          <w:lang w:val="zh-CN"/>
        </w:rPr>
        <w:t xml:space="preserve"> </w:t>
      </w:r>
      <w:r>
        <w:rPr>
          <w:rFonts w:hint="eastAsia" w:eastAsia="微软雅黑"/>
          <w:lang w:val="zh-CN"/>
        </w:rPr>
        <w:t>录</w:t>
      </w:r>
    </w:p>
    <w:p>
      <w:pPr>
        <w:pStyle w:val="55"/>
        <w:tabs>
          <w:tab w:val="right" w:leader="dot" w:pos="8306"/>
        </w:tabs>
      </w:pPr>
      <w:r>
        <w:rPr>
          <w:sz w:val="22"/>
          <w:szCs w:val="22"/>
        </w:rPr>
        <w:fldChar w:fldCharType="begin"/>
      </w:r>
      <w:r>
        <w:rPr>
          <w:sz w:val="22"/>
          <w:szCs w:val="22"/>
        </w:rPr>
        <w:instrText xml:space="preserve"> TOC \o "1-3" \h \z \u </w:instrText>
      </w:r>
      <w:r>
        <w:rPr>
          <w:sz w:val="22"/>
          <w:szCs w:val="22"/>
        </w:rPr>
        <w:fldChar w:fldCharType="separate"/>
      </w:r>
      <w:r>
        <w:rPr>
          <w:szCs w:val="22"/>
        </w:rPr>
        <w:fldChar w:fldCharType="begin"/>
      </w:r>
      <w:r>
        <w:rPr>
          <w:szCs w:val="22"/>
        </w:rPr>
        <w:instrText xml:space="preserve"> HYPERLINK \l _Toc16404 </w:instrText>
      </w:r>
      <w:r>
        <w:rPr>
          <w:szCs w:val="22"/>
        </w:rPr>
        <w:fldChar w:fldCharType="separate"/>
      </w:r>
      <w:r>
        <w:rPr>
          <w:rFonts w:hint="eastAsia" w:ascii="华文仿宋" w:hAnsi="华文仿宋" w:cs="仿宋_GB2312"/>
          <w:kern w:val="2"/>
          <w:szCs w:val="28"/>
        </w:rPr>
        <w:t>第一部分</w:t>
      </w:r>
      <w:r>
        <w:rPr>
          <w:rFonts w:ascii="华文仿宋" w:hAnsi="华文仿宋" w:cs="仿宋_GB2312"/>
          <w:kern w:val="2"/>
          <w:szCs w:val="28"/>
        </w:rPr>
        <w:t xml:space="preserve"> </w:t>
      </w:r>
      <w:r>
        <w:rPr>
          <w:rFonts w:hint="eastAsia" w:ascii="华文仿宋" w:hAnsi="华文仿宋" w:cs="仿宋_GB2312"/>
          <w:kern w:val="2"/>
          <w:szCs w:val="28"/>
        </w:rPr>
        <w:t>总则</w:t>
      </w:r>
      <w:r>
        <w:tab/>
      </w:r>
      <w:r>
        <w:fldChar w:fldCharType="begin"/>
      </w:r>
      <w:r>
        <w:instrText xml:space="preserve"> PAGEREF _Toc16404 \h </w:instrText>
      </w:r>
      <w:r>
        <w:fldChar w:fldCharType="separate"/>
      </w:r>
      <w:r>
        <w:t>1</w:t>
      </w:r>
      <w:r>
        <w:fldChar w:fldCharType="end"/>
      </w:r>
      <w:r>
        <w:rPr>
          <w:szCs w:val="22"/>
        </w:rPr>
        <w:fldChar w:fldCharType="end"/>
      </w:r>
    </w:p>
    <w:p>
      <w:pPr>
        <w:pStyle w:val="69"/>
        <w:tabs>
          <w:tab w:val="right" w:leader="dot" w:pos="8306"/>
        </w:tabs>
      </w:pPr>
      <w:r>
        <w:rPr>
          <w:bCs/>
          <w:szCs w:val="22"/>
          <w:lang w:val="zh-CN"/>
        </w:rPr>
        <w:fldChar w:fldCharType="begin"/>
      </w:r>
      <w:r>
        <w:rPr>
          <w:bCs/>
          <w:szCs w:val="22"/>
          <w:lang w:val="zh-CN"/>
        </w:rPr>
        <w:instrText xml:space="preserve"> HYPERLINK \l _Toc8910 </w:instrText>
      </w:r>
      <w:r>
        <w:rPr>
          <w:bCs/>
          <w:szCs w:val="22"/>
          <w:lang w:val="zh-CN"/>
        </w:rPr>
        <w:fldChar w:fldCharType="separate"/>
      </w:r>
      <w:r>
        <w:rPr>
          <w:rFonts w:ascii="华文仿宋" w:hAnsi="华文仿宋" w:cs="仿宋_GB2312"/>
          <w:szCs w:val="28"/>
        </w:rPr>
        <w:t>1基本要求</w:t>
      </w:r>
      <w:r>
        <w:tab/>
      </w:r>
      <w:r>
        <w:fldChar w:fldCharType="begin"/>
      </w:r>
      <w:r>
        <w:instrText xml:space="preserve"> PAGEREF _Toc8910 \h </w:instrText>
      </w:r>
      <w:r>
        <w:fldChar w:fldCharType="separate"/>
      </w:r>
      <w:r>
        <w:t>1</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_Toc894 </w:instrText>
      </w:r>
      <w:r>
        <w:rPr>
          <w:bCs/>
          <w:szCs w:val="22"/>
          <w:lang w:val="zh-CN"/>
        </w:rPr>
        <w:fldChar w:fldCharType="separate"/>
      </w:r>
      <w:r>
        <w:rPr>
          <w:rFonts w:ascii="华文仿宋" w:hAnsi="华文仿宋" w:cs="仿宋_GB2312"/>
          <w:szCs w:val="28"/>
        </w:rPr>
        <w:t>2</w:t>
      </w:r>
      <w:r>
        <w:rPr>
          <w:rFonts w:hint="eastAsia" w:ascii="华文仿宋" w:hAnsi="华文仿宋" w:cs="仿宋_GB2312"/>
          <w:szCs w:val="28"/>
        </w:rPr>
        <w:t>设备产品的质量保证</w:t>
      </w:r>
      <w:r>
        <w:tab/>
      </w:r>
      <w:r>
        <w:fldChar w:fldCharType="begin"/>
      </w:r>
      <w:r>
        <w:instrText xml:space="preserve"> PAGEREF _Toc894 \h </w:instrText>
      </w:r>
      <w:r>
        <w:fldChar w:fldCharType="separate"/>
      </w:r>
      <w:r>
        <w:t>1</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_Toc22785 </w:instrText>
      </w:r>
      <w:r>
        <w:rPr>
          <w:bCs/>
          <w:szCs w:val="22"/>
          <w:lang w:val="zh-CN"/>
        </w:rPr>
        <w:fldChar w:fldCharType="separate"/>
      </w:r>
      <w:r>
        <w:rPr>
          <w:rFonts w:ascii="华文仿宋" w:hAnsi="华文仿宋" w:cs="仿宋_GB2312"/>
          <w:szCs w:val="28"/>
        </w:rPr>
        <w:t>3 设备产品安全、调试、验收</w:t>
      </w:r>
      <w:r>
        <w:tab/>
      </w:r>
      <w:r>
        <w:fldChar w:fldCharType="begin"/>
      </w:r>
      <w:r>
        <w:instrText xml:space="preserve"> PAGEREF _Toc22785 \h </w:instrText>
      </w:r>
      <w:r>
        <w:fldChar w:fldCharType="separate"/>
      </w:r>
      <w:r>
        <w:t>2</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_Toc31534 </w:instrText>
      </w:r>
      <w:r>
        <w:rPr>
          <w:bCs/>
          <w:szCs w:val="22"/>
          <w:lang w:val="zh-CN"/>
        </w:rPr>
        <w:fldChar w:fldCharType="separate"/>
      </w:r>
      <w:r>
        <w:rPr>
          <w:rFonts w:ascii="华文仿宋" w:hAnsi="华文仿宋" w:cs="仿宋_GB2312"/>
          <w:szCs w:val="28"/>
        </w:rPr>
        <w:t>4 设备产品保修、售后服务及培训</w:t>
      </w:r>
      <w:r>
        <w:tab/>
      </w:r>
      <w:r>
        <w:fldChar w:fldCharType="begin"/>
      </w:r>
      <w:r>
        <w:instrText xml:space="preserve"> PAGEREF _Toc31534 \h </w:instrText>
      </w:r>
      <w:r>
        <w:fldChar w:fldCharType="separate"/>
      </w:r>
      <w:r>
        <w:t>2</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_Toc20537 </w:instrText>
      </w:r>
      <w:r>
        <w:rPr>
          <w:bCs/>
          <w:szCs w:val="22"/>
          <w:lang w:val="zh-CN"/>
        </w:rPr>
        <w:fldChar w:fldCharType="separate"/>
      </w:r>
      <w:r>
        <w:rPr>
          <w:rFonts w:ascii="华文仿宋" w:hAnsi="华文仿宋" w:cs="仿宋_GB2312"/>
          <w:szCs w:val="28"/>
        </w:rPr>
        <w:t>5 设备产品的铭牌及各种标志</w:t>
      </w:r>
      <w:r>
        <w:tab/>
      </w:r>
      <w:r>
        <w:fldChar w:fldCharType="begin"/>
      </w:r>
      <w:r>
        <w:instrText xml:space="preserve"> PAGEREF _Toc20537 \h </w:instrText>
      </w:r>
      <w:r>
        <w:fldChar w:fldCharType="separate"/>
      </w:r>
      <w:r>
        <w:t>4</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_Toc29525 </w:instrText>
      </w:r>
      <w:r>
        <w:rPr>
          <w:bCs/>
          <w:szCs w:val="22"/>
          <w:lang w:val="zh-CN"/>
        </w:rPr>
        <w:fldChar w:fldCharType="separate"/>
      </w:r>
      <w:r>
        <w:rPr>
          <w:rFonts w:ascii="华文仿宋" w:hAnsi="华文仿宋" w:cs="仿宋_GB2312"/>
          <w:szCs w:val="28"/>
        </w:rPr>
        <w:t>6技术资料提交要求</w:t>
      </w:r>
      <w:r>
        <w:tab/>
      </w:r>
      <w:r>
        <w:fldChar w:fldCharType="begin"/>
      </w:r>
      <w:r>
        <w:instrText xml:space="preserve"> PAGEREF _Toc29525 \h </w:instrText>
      </w:r>
      <w:r>
        <w:fldChar w:fldCharType="separate"/>
      </w:r>
      <w:r>
        <w:t>4</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_Toc25718 </w:instrText>
      </w:r>
      <w:r>
        <w:rPr>
          <w:bCs/>
          <w:szCs w:val="22"/>
          <w:lang w:val="zh-CN"/>
        </w:rPr>
        <w:fldChar w:fldCharType="separate"/>
      </w:r>
      <w:r>
        <w:rPr>
          <w:rFonts w:ascii="华文仿宋" w:hAnsi="华文仿宋" w:cs="仿宋_GB2312"/>
          <w:szCs w:val="28"/>
        </w:rPr>
        <w:t xml:space="preserve">7 </w:t>
      </w:r>
      <w:r>
        <w:rPr>
          <w:rFonts w:hint="eastAsia" w:ascii="华文仿宋" w:hAnsi="华文仿宋" w:cs="仿宋_GB2312"/>
          <w:szCs w:val="28"/>
        </w:rPr>
        <w:t>专用工具</w:t>
      </w:r>
      <w:r>
        <w:tab/>
      </w:r>
      <w:r>
        <w:fldChar w:fldCharType="begin"/>
      </w:r>
      <w:r>
        <w:instrText xml:space="preserve"> PAGEREF _Toc25718 \h </w:instrText>
      </w:r>
      <w:r>
        <w:fldChar w:fldCharType="separate"/>
      </w:r>
      <w:r>
        <w:t>6</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_Toc32295 </w:instrText>
      </w:r>
      <w:r>
        <w:rPr>
          <w:bCs/>
          <w:szCs w:val="22"/>
          <w:lang w:val="zh-CN"/>
        </w:rPr>
        <w:fldChar w:fldCharType="separate"/>
      </w:r>
      <w:r>
        <w:rPr>
          <w:rFonts w:ascii="华文仿宋" w:hAnsi="华文仿宋" w:cs="仿宋_GB2312"/>
          <w:szCs w:val="28"/>
        </w:rPr>
        <w:t xml:space="preserve">8 </w:t>
      </w:r>
      <w:r>
        <w:rPr>
          <w:rFonts w:hint="eastAsia" w:ascii="华文仿宋" w:hAnsi="华文仿宋" w:cs="仿宋_GB2312"/>
          <w:szCs w:val="28"/>
        </w:rPr>
        <w:t>其他</w:t>
      </w:r>
      <w:r>
        <w:tab/>
      </w:r>
      <w:r>
        <w:fldChar w:fldCharType="begin"/>
      </w:r>
      <w:r>
        <w:instrText xml:space="preserve"> PAGEREF _Toc32295 \h </w:instrText>
      </w:r>
      <w:r>
        <w:fldChar w:fldCharType="separate"/>
      </w:r>
      <w:r>
        <w:t>6</w:t>
      </w:r>
      <w:r>
        <w:fldChar w:fldCharType="end"/>
      </w:r>
      <w:r>
        <w:rPr>
          <w:bCs/>
          <w:szCs w:val="22"/>
          <w:lang w:val="zh-CN"/>
        </w:rPr>
        <w:fldChar w:fldCharType="end"/>
      </w:r>
    </w:p>
    <w:p>
      <w:pPr>
        <w:pStyle w:val="55"/>
        <w:tabs>
          <w:tab w:val="right" w:leader="dot" w:pos="8306"/>
        </w:tabs>
        <w:ind w:firstLine="1120" w:firstLineChars="400"/>
      </w:pPr>
      <w:r>
        <w:rPr>
          <w:bCs/>
          <w:szCs w:val="22"/>
          <w:lang w:val="zh-CN"/>
        </w:rPr>
        <w:fldChar w:fldCharType="begin"/>
      </w:r>
      <w:r>
        <w:rPr>
          <w:bCs/>
          <w:szCs w:val="22"/>
          <w:lang w:val="zh-CN"/>
        </w:rPr>
        <w:instrText xml:space="preserve"> HYPERLINK \l _Toc13450 </w:instrText>
      </w:r>
      <w:r>
        <w:rPr>
          <w:bCs/>
          <w:szCs w:val="22"/>
          <w:lang w:val="zh-CN"/>
        </w:rPr>
        <w:fldChar w:fldCharType="separate"/>
      </w:r>
      <w:r>
        <w:rPr>
          <w:rFonts w:ascii="华文仿宋" w:hAnsi="华文仿宋"/>
          <w:szCs w:val="28"/>
        </w:rPr>
        <w:t>9 主要产品材料档次</w:t>
      </w:r>
      <w:r>
        <w:tab/>
      </w:r>
      <w:r>
        <w:fldChar w:fldCharType="begin"/>
      </w:r>
      <w:r>
        <w:instrText xml:space="preserve"> PAGEREF _Toc13450 \h </w:instrText>
      </w:r>
      <w:r>
        <w:fldChar w:fldCharType="separate"/>
      </w:r>
      <w:r>
        <w:t>7</w:t>
      </w:r>
      <w:r>
        <w:fldChar w:fldCharType="end"/>
      </w:r>
      <w:r>
        <w:rPr>
          <w:bCs/>
          <w:szCs w:val="22"/>
          <w:lang w:val="zh-CN"/>
        </w:rPr>
        <w:fldChar w:fldCharType="end"/>
      </w:r>
    </w:p>
    <w:p>
      <w:pPr>
        <w:pStyle w:val="55"/>
        <w:tabs>
          <w:tab w:val="right" w:leader="dot" w:pos="8306"/>
        </w:tabs>
      </w:pPr>
      <w:r>
        <w:rPr>
          <w:bCs/>
          <w:szCs w:val="22"/>
          <w:lang w:val="zh-CN"/>
        </w:rPr>
        <w:fldChar w:fldCharType="begin"/>
      </w:r>
      <w:r>
        <w:rPr>
          <w:bCs/>
          <w:szCs w:val="22"/>
          <w:lang w:val="zh-CN"/>
        </w:rPr>
        <w:instrText xml:space="preserve"> HYPERLINK \l _Toc26349 </w:instrText>
      </w:r>
      <w:r>
        <w:rPr>
          <w:bCs/>
          <w:szCs w:val="22"/>
          <w:lang w:val="zh-CN"/>
        </w:rPr>
        <w:fldChar w:fldCharType="separate"/>
      </w:r>
      <w:r>
        <w:rPr>
          <w:rFonts w:hint="eastAsia" w:ascii="华文仿宋" w:hAnsi="华文仿宋"/>
          <w:szCs w:val="28"/>
        </w:rPr>
        <w:t>第二部分</w:t>
      </w:r>
      <w:r>
        <w:rPr>
          <w:rFonts w:ascii="华文仿宋" w:hAnsi="华文仿宋"/>
          <w:szCs w:val="28"/>
        </w:rPr>
        <w:t xml:space="preserve"> </w:t>
      </w:r>
      <w:r>
        <w:rPr>
          <w:rFonts w:hint="eastAsia" w:ascii="华文仿宋" w:hAnsi="华文仿宋"/>
          <w:szCs w:val="28"/>
        </w:rPr>
        <w:t>电气系统</w:t>
      </w:r>
      <w:r>
        <w:tab/>
      </w:r>
      <w:r>
        <w:fldChar w:fldCharType="begin"/>
      </w:r>
      <w:r>
        <w:instrText xml:space="preserve"> PAGEREF _Toc26349 \h </w:instrText>
      </w:r>
      <w:r>
        <w:fldChar w:fldCharType="separate"/>
      </w:r>
      <w:r>
        <w:t>8</w:t>
      </w:r>
      <w:r>
        <w:fldChar w:fldCharType="end"/>
      </w:r>
      <w:r>
        <w:rPr>
          <w:bCs/>
          <w:szCs w:val="22"/>
          <w:lang w:val="zh-CN"/>
        </w:rPr>
        <w:fldChar w:fldCharType="end"/>
      </w:r>
    </w:p>
    <w:p>
      <w:pPr>
        <w:pStyle w:val="55"/>
        <w:tabs>
          <w:tab w:val="right" w:leader="dot" w:pos="8306"/>
        </w:tabs>
      </w:pPr>
      <w:r>
        <w:rPr>
          <w:bCs/>
          <w:szCs w:val="22"/>
          <w:lang w:val="zh-CN"/>
        </w:rPr>
        <w:fldChar w:fldCharType="begin"/>
      </w:r>
      <w:r>
        <w:rPr>
          <w:bCs/>
          <w:szCs w:val="22"/>
          <w:lang w:val="zh-CN"/>
        </w:rPr>
        <w:instrText xml:space="preserve"> HYPERLINK \l _Toc28501 </w:instrText>
      </w:r>
      <w:r>
        <w:rPr>
          <w:bCs/>
          <w:szCs w:val="22"/>
          <w:lang w:val="zh-CN"/>
        </w:rPr>
        <w:fldChar w:fldCharType="separate"/>
      </w:r>
      <w:r>
        <w:rPr>
          <w:rFonts w:hint="eastAsia" w:ascii="华文仿宋" w:hAnsi="华文仿宋"/>
          <w:szCs w:val="28"/>
          <w:lang w:val="en-US" w:eastAsia="zh-CN"/>
        </w:rPr>
        <w:t>一</w:t>
      </w:r>
      <w:r>
        <w:rPr>
          <w:rFonts w:ascii="华文仿宋" w:hAnsi="华文仿宋"/>
          <w:szCs w:val="28"/>
        </w:rPr>
        <w:t xml:space="preserve"> </w:t>
      </w:r>
      <w:r>
        <w:rPr>
          <w:rFonts w:hint="eastAsia" w:ascii="华文仿宋" w:hAnsi="华文仿宋"/>
          <w:szCs w:val="28"/>
        </w:rPr>
        <w:t>低压配电箱（柜）</w:t>
      </w:r>
      <w:r>
        <w:tab/>
      </w:r>
      <w:r>
        <w:fldChar w:fldCharType="begin"/>
      </w:r>
      <w:r>
        <w:instrText xml:space="preserve"> PAGEREF _Toc28501 \h </w:instrText>
      </w:r>
      <w:r>
        <w:fldChar w:fldCharType="separate"/>
      </w:r>
      <w:r>
        <w:t>8</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_Toc22234 </w:instrText>
      </w:r>
      <w:r>
        <w:rPr>
          <w:bCs/>
          <w:szCs w:val="22"/>
          <w:lang w:val="zh-CN"/>
        </w:rPr>
        <w:fldChar w:fldCharType="separate"/>
      </w:r>
      <w:r>
        <w:t>1</w:t>
      </w:r>
      <w:r>
        <w:rPr>
          <w:rFonts w:hint="eastAsia"/>
        </w:rPr>
        <w:t>总则</w:t>
      </w:r>
      <w:r>
        <w:tab/>
      </w:r>
      <w:r>
        <w:fldChar w:fldCharType="begin"/>
      </w:r>
      <w:r>
        <w:instrText xml:space="preserve"> PAGEREF _Toc22234 \h </w:instrText>
      </w:r>
      <w:r>
        <w:fldChar w:fldCharType="separate"/>
      </w:r>
      <w:r>
        <w:t>8</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_Toc16324 </w:instrText>
      </w:r>
      <w:r>
        <w:rPr>
          <w:bCs/>
          <w:szCs w:val="22"/>
          <w:lang w:val="zh-CN"/>
        </w:rPr>
        <w:fldChar w:fldCharType="separate"/>
      </w:r>
      <w:r>
        <w:t xml:space="preserve">2 </w:t>
      </w:r>
      <w:r>
        <w:rPr>
          <w:rFonts w:hint="eastAsia"/>
        </w:rPr>
        <w:t>规范及标准</w:t>
      </w:r>
      <w:r>
        <w:tab/>
      </w:r>
      <w:r>
        <w:fldChar w:fldCharType="begin"/>
      </w:r>
      <w:r>
        <w:instrText xml:space="preserve"> PAGEREF _Toc16324 \h </w:instrText>
      </w:r>
      <w:r>
        <w:fldChar w:fldCharType="separate"/>
      </w:r>
      <w:r>
        <w:t>8</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_Toc391 </w:instrText>
      </w:r>
      <w:r>
        <w:rPr>
          <w:bCs/>
          <w:szCs w:val="22"/>
          <w:lang w:val="zh-CN"/>
        </w:rPr>
        <w:fldChar w:fldCharType="separate"/>
      </w:r>
      <w:r>
        <w:rPr>
          <w:rFonts w:hAnsi="华文仿宋"/>
          <w:szCs w:val="28"/>
        </w:rPr>
        <w:t xml:space="preserve">3 </w:t>
      </w:r>
      <w:r>
        <w:rPr>
          <w:rFonts w:hint="eastAsia" w:hAnsi="华文仿宋"/>
          <w:szCs w:val="28"/>
        </w:rPr>
        <w:t>环境条件与运行条件</w:t>
      </w:r>
      <w:r>
        <w:rPr>
          <w:rFonts w:hAnsi="华文仿宋"/>
          <w:szCs w:val="28"/>
        </w:rPr>
        <w:t xml:space="preserve">   </w:t>
      </w:r>
      <w:r>
        <w:tab/>
      </w:r>
      <w:r>
        <w:fldChar w:fldCharType="begin"/>
      </w:r>
      <w:r>
        <w:instrText xml:space="preserve"> PAGEREF _Toc391 \h </w:instrText>
      </w:r>
      <w:r>
        <w:fldChar w:fldCharType="separate"/>
      </w:r>
      <w:r>
        <w:t>10</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_Toc30183 </w:instrText>
      </w:r>
      <w:r>
        <w:rPr>
          <w:bCs/>
          <w:szCs w:val="22"/>
          <w:lang w:val="zh-CN"/>
        </w:rPr>
        <w:fldChar w:fldCharType="separate"/>
      </w:r>
      <w:r>
        <w:t>4</w:t>
      </w:r>
      <w:r>
        <w:rPr>
          <w:rFonts w:hint="eastAsia"/>
        </w:rPr>
        <w:t>技术性能要求</w:t>
      </w:r>
      <w:r>
        <w:tab/>
      </w:r>
      <w:r>
        <w:fldChar w:fldCharType="begin"/>
      </w:r>
      <w:r>
        <w:instrText xml:space="preserve"> PAGEREF _Toc30183 \h </w:instrText>
      </w:r>
      <w:r>
        <w:fldChar w:fldCharType="separate"/>
      </w:r>
      <w:r>
        <w:t>10</w:t>
      </w:r>
      <w:r>
        <w:fldChar w:fldCharType="end"/>
      </w:r>
      <w:r>
        <w:rPr>
          <w:bCs/>
          <w:szCs w:val="22"/>
          <w:lang w:val="zh-CN"/>
        </w:rPr>
        <w:fldChar w:fldCharType="end"/>
      </w:r>
    </w:p>
    <w:p>
      <w:pPr>
        <w:pStyle w:val="55"/>
        <w:tabs>
          <w:tab w:val="right" w:leader="dot" w:pos="8306"/>
        </w:tabs>
      </w:pPr>
      <w:r>
        <w:rPr>
          <w:bCs/>
          <w:szCs w:val="22"/>
          <w:lang w:val="zh-CN"/>
        </w:rPr>
        <w:fldChar w:fldCharType="begin"/>
      </w:r>
      <w:r>
        <w:rPr>
          <w:bCs/>
          <w:szCs w:val="22"/>
          <w:lang w:val="zh-CN"/>
        </w:rPr>
        <w:instrText xml:space="preserve"> HYPERLINK \l _Toc7738 </w:instrText>
      </w:r>
      <w:r>
        <w:rPr>
          <w:bCs/>
          <w:szCs w:val="22"/>
          <w:lang w:val="zh-CN"/>
        </w:rPr>
        <w:fldChar w:fldCharType="separate"/>
      </w:r>
      <w:r>
        <w:rPr>
          <w:rFonts w:hint="eastAsia" w:ascii="华文仿宋" w:hAnsi="华文仿宋"/>
          <w:szCs w:val="28"/>
          <w:lang w:val="en-US" w:eastAsia="zh-CN"/>
        </w:rPr>
        <w:t>二</w:t>
      </w:r>
      <w:r>
        <w:rPr>
          <w:rFonts w:ascii="华文仿宋" w:hAnsi="华文仿宋"/>
          <w:szCs w:val="28"/>
        </w:rPr>
        <w:t xml:space="preserve"> </w:t>
      </w:r>
      <w:r>
        <w:rPr>
          <w:rFonts w:hint="eastAsia" w:ascii="华文仿宋" w:hAnsi="华文仿宋"/>
          <w:szCs w:val="28"/>
        </w:rPr>
        <w:t>直流电源柜</w:t>
      </w:r>
      <w:r>
        <w:tab/>
      </w:r>
      <w:r>
        <w:fldChar w:fldCharType="begin"/>
      </w:r>
      <w:r>
        <w:instrText xml:space="preserve"> PAGEREF _Toc7738 \h </w:instrText>
      </w:r>
      <w:r>
        <w:fldChar w:fldCharType="separate"/>
      </w:r>
      <w:r>
        <w:t>17</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_Toc15771 </w:instrText>
      </w:r>
      <w:r>
        <w:rPr>
          <w:bCs/>
          <w:szCs w:val="22"/>
          <w:lang w:val="zh-CN"/>
        </w:rPr>
        <w:fldChar w:fldCharType="separate"/>
      </w:r>
      <w:r>
        <w:rPr>
          <w:rFonts w:ascii="华文仿宋" w:hAnsi="华文仿宋" w:cs="仿宋_GB2312"/>
          <w:szCs w:val="28"/>
        </w:rPr>
        <w:t xml:space="preserve">1 </w:t>
      </w:r>
      <w:r>
        <w:rPr>
          <w:rFonts w:hint="eastAsia" w:ascii="华文仿宋" w:hAnsi="华文仿宋" w:cs="仿宋_GB2312"/>
          <w:szCs w:val="28"/>
        </w:rPr>
        <w:t>总则</w:t>
      </w:r>
      <w:r>
        <w:tab/>
      </w:r>
      <w:r>
        <w:fldChar w:fldCharType="begin"/>
      </w:r>
      <w:r>
        <w:instrText xml:space="preserve"> PAGEREF _Toc15771 \h </w:instrText>
      </w:r>
      <w:r>
        <w:fldChar w:fldCharType="separate"/>
      </w:r>
      <w:r>
        <w:t>18</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_Toc23644 </w:instrText>
      </w:r>
      <w:r>
        <w:rPr>
          <w:bCs/>
          <w:szCs w:val="22"/>
          <w:lang w:val="zh-CN"/>
        </w:rPr>
        <w:fldChar w:fldCharType="separate"/>
      </w:r>
      <w:r>
        <w:rPr>
          <w:rFonts w:ascii="华文仿宋" w:hAnsi="华文仿宋" w:cs="仿宋_GB2312"/>
          <w:szCs w:val="28"/>
        </w:rPr>
        <w:t xml:space="preserve">2 </w:t>
      </w:r>
      <w:r>
        <w:rPr>
          <w:rFonts w:hint="eastAsia" w:ascii="华文仿宋" w:hAnsi="华文仿宋" w:cs="仿宋_GB2312"/>
          <w:szCs w:val="28"/>
        </w:rPr>
        <w:t>规范及标准</w:t>
      </w:r>
      <w:r>
        <w:tab/>
      </w:r>
      <w:r>
        <w:fldChar w:fldCharType="begin"/>
      </w:r>
      <w:r>
        <w:instrText xml:space="preserve"> PAGEREF _Toc23644 \h </w:instrText>
      </w:r>
      <w:r>
        <w:fldChar w:fldCharType="separate"/>
      </w:r>
      <w:r>
        <w:t>18</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_Toc30615 </w:instrText>
      </w:r>
      <w:r>
        <w:rPr>
          <w:bCs/>
          <w:szCs w:val="22"/>
          <w:lang w:val="zh-CN"/>
        </w:rPr>
        <w:fldChar w:fldCharType="separate"/>
      </w:r>
      <w:r>
        <w:rPr>
          <w:rFonts w:ascii="华文仿宋" w:hAnsi="华文仿宋" w:cs="仿宋_GB2312"/>
          <w:szCs w:val="28"/>
        </w:rPr>
        <w:t xml:space="preserve">3 </w:t>
      </w:r>
      <w:r>
        <w:rPr>
          <w:rFonts w:hint="eastAsia" w:ascii="华文仿宋" w:hAnsi="华文仿宋" w:cs="仿宋_GB2312"/>
          <w:szCs w:val="28"/>
        </w:rPr>
        <w:t>环境条件与运行条件</w:t>
      </w:r>
      <w:r>
        <w:rPr>
          <w:rFonts w:ascii="华文仿宋" w:hAnsi="华文仿宋" w:cs="仿宋_GB2312"/>
          <w:szCs w:val="28"/>
        </w:rPr>
        <w:t xml:space="preserve">   </w:t>
      </w:r>
      <w:r>
        <w:tab/>
      </w:r>
      <w:r>
        <w:fldChar w:fldCharType="begin"/>
      </w:r>
      <w:r>
        <w:instrText xml:space="preserve"> PAGEREF _Toc30615 \h </w:instrText>
      </w:r>
      <w:r>
        <w:fldChar w:fldCharType="separate"/>
      </w:r>
      <w:r>
        <w:t>19</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_Toc13531 </w:instrText>
      </w:r>
      <w:r>
        <w:rPr>
          <w:bCs/>
          <w:szCs w:val="22"/>
          <w:lang w:val="zh-CN"/>
        </w:rPr>
        <w:fldChar w:fldCharType="separate"/>
      </w:r>
      <w:r>
        <w:rPr>
          <w:rFonts w:ascii="华文仿宋" w:hAnsi="华文仿宋" w:cs="仿宋_GB2312"/>
          <w:szCs w:val="28"/>
        </w:rPr>
        <w:t xml:space="preserve">4 </w:t>
      </w:r>
      <w:r>
        <w:rPr>
          <w:rFonts w:hint="eastAsia" w:ascii="华文仿宋" w:hAnsi="华文仿宋" w:cs="仿宋_GB2312"/>
          <w:szCs w:val="28"/>
        </w:rPr>
        <w:t>技术性能要求</w:t>
      </w:r>
      <w:r>
        <w:tab/>
      </w:r>
      <w:r>
        <w:fldChar w:fldCharType="begin"/>
      </w:r>
      <w:r>
        <w:instrText xml:space="preserve"> PAGEREF _Toc13531 \h </w:instrText>
      </w:r>
      <w:r>
        <w:fldChar w:fldCharType="separate"/>
      </w:r>
      <w:r>
        <w:t>19</w:t>
      </w:r>
      <w:r>
        <w:fldChar w:fldCharType="end"/>
      </w:r>
      <w:r>
        <w:rPr>
          <w:bCs/>
          <w:szCs w:val="22"/>
          <w:lang w:val="zh-CN"/>
        </w:rPr>
        <w:fldChar w:fldCharType="end"/>
      </w:r>
    </w:p>
    <w:p>
      <w:pPr>
        <w:pStyle w:val="55"/>
        <w:tabs>
          <w:tab w:val="right" w:leader="dot" w:pos="8306"/>
        </w:tabs>
      </w:pPr>
      <w:r>
        <w:rPr>
          <w:bCs/>
          <w:szCs w:val="22"/>
          <w:lang w:val="zh-CN"/>
        </w:rPr>
        <w:fldChar w:fldCharType="begin"/>
      </w:r>
      <w:r>
        <w:rPr>
          <w:bCs/>
          <w:szCs w:val="22"/>
          <w:lang w:val="zh-CN"/>
        </w:rPr>
        <w:instrText xml:space="preserve"> HYPERLINK \l _Toc12260 </w:instrText>
      </w:r>
      <w:r>
        <w:rPr>
          <w:bCs/>
          <w:szCs w:val="22"/>
          <w:lang w:val="zh-CN"/>
        </w:rPr>
        <w:fldChar w:fldCharType="separate"/>
      </w:r>
      <w:r>
        <w:rPr>
          <w:rFonts w:hint="eastAsia"/>
          <w:lang w:val="en-US" w:eastAsia="zh-CN"/>
        </w:rPr>
        <w:t>三</w:t>
      </w:r>
      <w:r>
        <w:t xml:space="preserve"> </w:t>
      </w:r>
      <w:r>
        <w:rPr>
          <w:rFonts w:hint="eastAsia"/>
        </w:rPr>
        <w:t>电力电缆、电线</w:t>
      </w:r>
      <w:r>
        <w:tab/>
      </w:r>
      <w:r>
        <w:fldChar w:fldCharType="begin"/>
      </w:r>
      <w:r>
        <w:instrText xml:space="preserve"> PAGEREF _Toc12260 \h </w:instrText>
      </w:r>
      <w:r>
        <w:fldChar w:fldCharType="separate"/>
      </w:r>
      <w:r>
        <w:t>24</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_Toc18237 </w:instrText>
      </w:r>
      <w:r>
        <w:rPr>
          <w:bCs/>
          <w:szCs w:val="22"/>
          <w:lang w:val="zh-CN"/>
        </w:rPr>
        <w:fldChar w:fldCharType="separate"/>
      </w:r>
      <w:r>
        <w:rPr>
          <w:rFonts w:ascii="华文仿宋" w:hAnsi="华文仿宋" w:cs="仿宋_GB2312"/>
          <w:szCs w:val="28"/>
        </w:rPr>
        <w:t xml:space="preserve">1 </w:t>
      </w:r>
      <w:r>
        <w:rPr>
          <w:rFonts w:hint="eastAsia" w:ascii="华文仿宋" w:hAnsi="华文仿宋" w:cs="仿宋_GB2312"/>
          <w:szCs w:val="28"/>
        </w:rPr>
        <w:t>总则</w:t>
      </w:r>
      <w:r>
        <w:tab/>
      </w:r>
      <w:r>
        <w:fldChar w:fldCharType="begin"/>
      </w:r>
      <w:r>
        <w:instrText xml:space="preserve"> PAGEREF _Toc18237 \h </w:instrText>
      </w:r>
      <w:r>
        <w:fldChar w:fldCharType="separate"/>
      </w:r>
      <w:r>
        <w:t>24</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_Toc17667 </w:instrText>
      </w:r>
      <w:r>
        <w:rPr>
          <w:bCs/>
          <w:szCs w:val="22"/>
          <w:lang w:val="zh-CN"/>
        </w:rPr>
        <w:fldChar w:fldCharType="separate"/>
      </w:r>
      <w:r>
        <w:rPr>
          <w:rFonts w:ascii="华文仿宋" w:hAnsi="华文仿宋" w:cs="仿宋_GB2312"/>
          <w:szCs w:val="28"/>
        </w:rPr>
        <w:t>2规范</w:t>
      </w:r>
      <w:r>
        <w:rPr>
          <w:rFonts w:hint="eastAsia" w:ascii="华文仿宋" w:hAnsi="华文仿宋" w:cs="仿宋_GB2312"/>
          <w:szCs w:val="28"/>
        </w:rPr>
        <w:t>及</w:t>
      </w:r>
      <w:r>
        <w:rPr>
          <w:rFonts w:ascii="华文仿宋" w:hAnsi="华文仿宋" w:cs="仿宋_GB2312"/>
          <w:szCs w:val="28"/>
        </w:rPr>
        <w:t>标准</w:t>
      </w:r>
      <w:r>
        <w:tab/>
      </w:r>
      <w:r>
        <w:fldChar w:fldCharType="begin"/>
      </w:r>
      <w:r>
        <w:instrText xml:space="preserve"> PAGEREF _Toc17667 \h </w:instrText>
      </w:r>
      <w:r>
        <w:fldChar w:fldCharType="separate"/>
      </w:r>
      <w:r>
        <w:t>24</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_Toc10420 </w:instrText>
      </w:r>
      <w:r>
        <w:rPr>
          <w:bCs/>
          <w:szCs w:val="22"/>
          <w:lang w:val="zh-CN"/>
        </w:rPr>
        <w:fldChar w:fldCharType="separate"/>
      </w:r>
      <w:r>
        <w:rPr>
          <w:rFonts w:ascii="华文仿宋" w:hAnsi="华文仿宋" w:cs="仿宋_GB2312"/>
          <w:szCs w:val="28"/>
        </w:rPr>
        <w:t>3矿物绝缘</w:t>
      </w:r>
      <w:r>
        <w:rPr>
          <w:rFonts w:hint="eastAsia" w:ascii="华文仿宋" w:hAnsi="华文仿宋" w:cs="仿宋_GB2312"/>
          <w:szCs w:val="28"/>
        </w:rPr>
        <w:t>类不燃性</w:t>
      </w:r>
      <w:r>
        <w:rPr>
          <w:rFonts w:ascii="华文仿宋" w:hAnsi="华文仿宋" w:cs="仿宋_GB2312"/>
          <w:szCs w:val="28"/>
        </w:rPr>
        <w:t>电缆技术参数</w:t>
      </w:r>
      <w:r>
        <w:tab/>
      </w:r>
      <w:r>
        <w:fldChar w:fldCharType="begin"/>
      </w:r>
      <w:r>
        <w:instrText xml:space="preserve"> PAGEREF _Toc10420 \h </w:instrText>
      </w:r>
      <w:r>
        <w:fldChar w:fldCharType="separate"/>
      </w:r>
      <w:r>
        <w:t>26</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_Toc11595 </w:instrText>
      </w:r>
      <w:r>
        <w:rPr>
          <w:bCs/>
          <w:szCs w:val="22"/>
          <w:lang w:val="zh-CN"/>
        </w:rPr>
        <w:fldChar w:fldCharType="separate"/>
      </w:r>
      <w:r>
        <w:rPr>
          <w:rFonts w:ascii="华文仿宋" w:hAnsi="华文仿宋" w:cs="仿宋_GB2312"/>
          <w:szCs w:val="28"/>
        </w:rPr>
        <w:t>4低烟无卤型电缆</w:t>
      </w:r>
      <w:r>
        <w:rPr>
          <w:rFonts w:hint="eastAsia" w:ascii="华文仿宋" w:hAnsi="华文仿宋" w:cs="仿宋_GB2312"/>
          <w:szCs w:val="28"/>
        </w:rPr>
        <w:t>技术参数</w:t>
      </w:r>
      <w:r>
        <w:tab/>
      </w:r>
      <w:r>
        <w:fldChar w:fldCharType="begin"/>
      </w:r>
      <w:r>
        <w:instrText xml:space="preserve"> PAGEREF _Toc11595 \h </w:instrText>
      </w:r>
      <w:r>
        <w:fldChar w:fldCharType="separate"/>
      </w:r>
      <w:r>
        <w:t>27</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_Toc31863 </w:instrText>
      </w:r>
      <w:r>
        <w:rPr>
          <w:bCs/>
          <w:szCs w:val="22"/>
          <w:lang w:val="zh-CN"/>
        </w:rPr>
        <w:fldChar w:fldCharType="separate"/>
      </w:r>
      <w:r>
        <w:rPr>
          <w:rFonts w:ascii="华文仿宋" w:hAnsi="华文仿宋" w:cs="仿宋_GB2312"/>
          <w:szCs w:val="28"/>
        </w:rPr>
        <w:t>5电缆接头附件</w:t>
      </w:r>
      <w:r>
        <w:tab/>
      </w:r>
      <w:r>
        <w:fldChar w:fldCharType="begin"/>
      </w:r>
      <w:r>
        <w:instrText xml:space="preserve"> PAGEREF _Toc31863 \h </w:instrText>
      </w:r>
      <w:r>
        <w:fldChar w:fldCharType="separate"/>
      </w:r>
      <w:r>
        <w:t>27</w:t>
      </w:r>
      <w:r>
        <w:fldChar w:fldCharType="end"/>
      </w:r>
      <w:r>
        <w:rPr>
          <w:bCs/>
          <w:szCs w:val="22"/>
          <w:lang w:val="zh-CN"/>
        </w:rPr>
        <w:fldChar w:fldCharType="end"/>
      </w:r>
    </w:p>
    <w:p>
      <w:pPr>
        <w:pStyle w:val="55"/>
        <w:tabs>
          <w:tab w:val="right" w:leader="dot" w:pos="8306"/>
        </w:tabs>
      </w:pPr>
      <w:r>
        <w:rPr>
          <w:bCs/>
          <w:szCs w:val="22"/>
          <w:lang w:val="zh-CN"/>
        </w:rPr>
        <w:fldChar w:fldCharType="begin"/>
      </w:r>
      <w:r>
        <w:rPr>
          <w:bCs/>
          <w:szCs w:val="22"/>
          <w:lang w:val="zh-CN"/>
        </w:rPr>
        <w:instrText xml:space="preserve"> HYPERLINK \l _Toc29775 </w:instrText>
      </w:r>
      <w:r>
        <w:rPr>
          <w:bCs/>
          <w:szCs w:val="22"/>
          <w:lang w:val="zh-CN"/>
        </w:rPr>
        <w:fldChar w:fldCharType="separate"/>
      </w:r>
      <w:r>
        <w:rPr>
          <w:rFonts w:hint="eastAsia" w:ascii="华文仿宋" w:hAnsi="华文仿宋"/>
          <w:szCs w:val="28"/>
          <w:lang w:val="en-US" w:eastAsia="zh-CN"/>
        </w:rPr>
        <w:t>四</w:t>
      </w:r>
      <w:r>
        <w:rPr>
          <w:rFonts w:ascii="华文仿宋" w:hAnsi="华文仿宋"/>
          <w:szCs w:val="28"/>
        </w:rPr>
        <w:t xml:space="preserve"> </w:t>
      </w:r>
      <w:r>
        <w:rPr>
          <w:rFonts w:hint="eastAsia" w:ascii="华文仿宋" w:hAnsi="华文仿宋"/>
          <w:szCs w:val="28"/>
        </w:rPr>
        <w:t>金属</w:t>
      </w:r>
      <w:r>
        <w:rPr>
          <w:rFonts w:ascii="华文仿宋" w:hAnsi="华文仿宋"/>
          <w:szCs w:val="28"/>
        </w:rPr>
        <w:t>梯架、托盘和槽盒</w:t>
      </w:r>
      <w:r>
        <w:rPr>
          <w:rFonts w:hint="eastAsia" w:ascii="华文仿宋" w:hAnsi="华文仿宋"/>
          <w:szCs w:val="28"/>
        </w:rPr>
        <w:t>、金属电线管</w:t>
      </w:r>
      <w:r>
        <w:tab/>
      </w:r>
      <w:r>
        <w:fldChar w:fldCharType="begin"/>
      </w:r>
      <w:r>
        <w:instrText xml:space="preserve"> PAGEREF _Toc29775 \h </w:instrText>
      </w:r>
      <w:r>
        <w:fldChar w:fldCharType="separate"/>
      </w:r>
      <w:r>
        <w:t>29</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_Toc10275 </w:instrText>
      </w:r>
      <w:r>
        <w:rPr>
          <w:bCs/>
          <w:szCs w:val="22"/>
          <w:lang w:val="zh-CN"/>
        </w:rPr>
        <w:fldChar w:fldCharType="separate"/>
      </w:r>
      <w:r>
        <w:rPr>
          <w:rFonts w:ascii="华文仿宋" w:hAnsi="华文仿宋" w:cs="仿宋_GB2312"/>
          <w:szCs w:val="28"/>
        </w:rPr>
        <w:t>1 总则</w:t>
      </w:r>
      <w:r>
        <w:tab/>
      </w:r>
      <w:r>
        <w:fldChar w:fldCharType="begin"/>
      </w:r>
      <w:r>
        <w:instrText xml:space="preserve"> PAGEREF _Toc10275 \h </w:instrText>
      </w:r>
      <w:r>
        <w:fldChar w:fldCharType="separate"/>
      </w:r>
      <w:r>
        <w:t>29</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_Toc6212 </w:instrText>
      </w:r>
      <w:r>
        <w:rPr>
          <w:bCs/>
          <w:szCs w:val="22"/>
          <w:lang w:val="zh-CN"/>
        </w:rPr>
        <w:fldChar w:fldCharType="separate"/>
      </w:r>
      <w:r>
        <w:rPr>
          <w:rFonts w:ascii="华文仿宋" w:hAnsi="华文仿宋" w:cs="仿宋_GB2312"/>
          <w:szCs w:val="28"/>
        </w:rPr>
        <w:t>2 规范及标准</w:t>
      </w:r>
      <w:r>
        <w:tab/>
      </w:r>
      <w:r>
        <w:fldChar w:fldCharType="begin"/>
      </w:r>
      <w:r>
        <w:instrText xml:space="preserve"> PAGEREF _Toc6212 \h </w:instrText>
      </w:r>
      <w:r>
        <w:fldChar w:fldCharType="separate"/>
      </w:r>
      <w:r>
        <w:t>29</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_Toc19449 </w:instrText>
      </w:r>
      <w:r>
        <w:rPr>
          <w:bCs/>
          <w:szCs w:val="22"/>
          <w:lang w:val="zh-CN"/>
        </w:rPr>
        <w:fldChar w:fldCharType="separate"/>
      </w:r>
      <w:r>
        <w:rPr>
          <w:rFonts w:ascii="华文仿宋" w:hAnsi="华文仿宋" w:cs="仿宋_GB2312"/>
          <w:szCs w:val="28"/>
        </w:rPr>
        <w:t xml:space="preserve">3 </w:t>
      </w:r>
      <w:r>
        <w:rPr>
          <w:rFonts w:hint="eastAsia" w:ascii="华文仿宋" w:hAnsi="华文仿宋" w:cs="仿宋_GB2312"/>
          <w:szCs w:val="28"/>
        </w:rPr>
        <w:t>环境条件与运行条件</w:t>
      </w:r>
      <w:r>
        <w:tab/>
      </w:r>
      <w:r>
        <w:fldChar w:fldCharType="begin"/>
      </w:r>
      <w:r>
        <w:instrText xml:space="preserve"> PAGEREF _Toc19449 \h </w:instrText>
      </w:r>
      <w:r>
        <w:fldChar w:fldCharType="separate"/>
      </w:r>
      <w:r>
        <w:t>30</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_Toc28606 </w:instrText>
      </w:r>
      <w:r>
        <w:rPr>
          <w:bCs/>
          <w:szCs w:val="22"/>
          <w:lang w:val="zh-CN"/>
        </w:rPr>
        <w:fldChar w:fldCharType="separate"/>
      </w:r>
      <w:r>
        <w:rPr>
          <w:rFonts w:ascii="华文仿宋" w:hAnsi="华文仿宋" w:cs="仿宋_GB2312"/>
          <w:szCs w:val="28"/>
        </w:rPr>
        <w:t>4 技术性能要求</w:t>
      </w:r>
      <w:r>
        <w:tab/>
      </w:r>
      <w:r>
        <w:fldChar w:fldCharType="begin"/>
      </w:r>
      <w:r>
        <w:instrText xml:space="preserve"> PAGEREF _Toc28606 \h </w:instrText>
      </w:r>
      <w:r>
        <w:fldChar w:fldCharType="separate"/>
      </w:r>
      <w:r>
        <w:t>31</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_Toc9777 </w:instrText>
      </w:r>
      <w:r>
        <w:rPr>
          <w:bCs/>
          <w:szCs w:val="22"/>
          <w:lang w:val="zh-CN"/>
        </w:rPr>
        <w:fldChar w:fldCharType="separate"/>
      </w:r>
      <w:r>
        <w:rPr>
          <w:rFonts w:ascii="华文仿宋" w:hAnsi="华文仿宋" w:cs="仿宋_GB2312"/>
          <w:szCs w:val="28"/>
        </w:rPr>
        <w:t>5 施工要求</w:t>
      </w:r>
      <w:r>
        <w:tab/>
      </w:r>
      <w:r>
        <w:fldChar w:fldCharType="begin"/>
      </w:r>
      <w:r>
        <w:instrText xml:space="preserve"> PAGEREF _Toc9777 \h </w:instrText>
      </w:r>
      <w:r>
        <w:fldChar w:fldCharType="separate"/>
      </w:r>
      <w:r>
        <w:t>34</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_Toc16964 </w:instrText>
      </w:r>
      <w:r>
        <w:rPr>
          <w:bCs/>
          <w:szCs w:val="22"/>
          <w:lang w:val="zh-CN"/>
        </w:rPr>
        <w:fldChar w:fldCharType="separate"/>
      </w:r>
      <w:r>
        <w:rPr>
          <w:rFonts w:hAnsi="华文仿宋" w:cs="仿宋_GB2312"/>
          <w:szCs w:val="28"/>
        </w:rPr>
        <w:t>6 检验测试</w:t>
      </w:r>
      <w:r>
        <w:tab/>
      </w:r>
      <w:r>
        <w:fldChar w:fldCharType="begin"/>
      </w:r>
      <w:r>
        <w:instrText xml:space="preserve"> PAGEREF _Toc16964 \h </w:instrText>
      </w:r>
      <w:r>
        <w:fldChar w:fldCharType="separate"/>
      </w:r>
      <w:r>
        <w:t>37</w:t>
      </w:r>
      <w:r>
        <w:fldChar w:fldCharType="end"/>
      </w:r>
      <w:r>
        <w:rPr>
          <w:bCs/>
          <w:szCs w:val="22"/>
          <w:lang w:val="zh-CN"/>
        </w:rPr>
        <w:fldChar w:fldCharType="end"/>
      </w:r>
    </w:p>
    <w:p>
      <w:pPr>
        <w:pStyle w:val="55"/>
        <w:tabs>
          <w:tab w:val="right" w:leader="dot" w:pos="8306"/>
        </w:tabs>
      </w:pPr>
      <w:r>
        <w:rPr>
          <w:bCs/>
          <w:szCs w:val="22"/>
          <w:lang w:val="zh-CN"/>
        </w:rPr>
        <w:fldChar w:fldCharType="begin"/>
      </w:r>
      <w:r>
        <w:rPr>
          <w:bCs/>
          <w:szCs w:val="22"/>
          <w:lang w:val="zh-CN"/>
        </w:rPr>
        <w:instrText xml:space="preserve"> HYPERLINK \l _Toc441 </w:instrText>
      </w:r>
      <w:r>
        <w:rPr>
          <w:bCs/>
          <w:szCs w:val="22"/>
          <w:lang w:val="zh-CN"/>
        </w:rPr>
        <w:fldChar w:fldCharType="separate"/>
      </w:r>
      <w:r>
        <w:rPr>
          <w:rFonts w:hint="eastAsia"/>
          <w:lang w:val="en-US" w:eastAsia="zh-CN"/>
        </w:rPr>
        <w:t>五</w:t>
      </w:r>
      <w:r>
        <w:t xml:space="preserve"> </w:t>
      </w:r>
      <w:r>
        <w:rPr>
          <w:rFonts w:hint="eastAsia"/>
        </w:rPr>
        <w:t>照明灯具</w:t>
      </w:r>
      <w:r>
        <w:tab/>
      </w:r>
      <w:r>
        <w:fldChar w:fldCharType="begin"/>
      </w:r>
      <w:r>
        <w:instrText xml:space="preserve"> PAGEREF _Toc441 \h </w:instrText>
      </w:r>
      <w:r>
        <w:fldChar w:fldCharType="separate"/>
      </w:r>
      <w:r>
        <w:t>38</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_Toc21123 </w:instrText>
      </w:r>
      <w:r>
        <w:rPr>
          <w:bCs/>
          <w:szCs w:val="22"/>
          <w:lang w:val="zh-CN"/>
        </w:rPr>
        <w:fldChar w:fldCharType="separate"/>
      </w:r>
      <w:r>
        <w:rPr>
          <w:rFonts w:hAnsi="华文仿宋" w:cs="仿宋_GB2312"/>
          <w:szCs w:val="28"/>
        </w:rPr>
        <w:t>1</w:t>
      </w:r>
      <w:r>
        <w:rPr>
          <w:rFonts w:hint="eastAsia" w:hAnsi="华文仿宋" w:cs="仿宋_GB2312"/>
          <w:szCs w:val="28"/>
        </w:rPr>
        <w:t>总则</w:t>
      </w:r>
      <w:r>
        <w:tab/>
      </w:r>
      <w:r>
        <w:fldChar w:fldCharType="begin"/>
      </w:r>
      <w:r>
        <w:instrText xml:space="preserve"> PAGEREF _Toc21123 \h </w:instrText>
      </w:r>
      <w:r>
        <w:fldChar w:fldCharType="separate"/>
      </w:r>
      <w:r>
        <w:t>38</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_Toc5144 </w:instrText>
      </w:r>
      <w:r>
        <w:rPr>
          <w:bCs/>
          <w:szCs w:val="22"/>
          <w:lang w:val="zh-CN"/>
        </w:rPr>
        <w:fldChar w:fldCharType="separate"/>
      </w:r>
      <w:r>
        <w:rPr>
          <w:rFonts w:hAnsi="华文仿宋" w:cs="仿宋_GB2312"/>
          <w:szCs w:val="28"/>
        </w:rPr>
        <w:t xml:space="preserve">2 </w:t>
      </w:r>
      <w:r>
        <w:rPr>
          <w:rFonts w:hint="eastAsia" w:hAnsi="华文仿宋" w:cs="仿宋_GB2312"/>
          <w:szCs w:val="28"/>
        </w:rPr>
        <w:t>规范及标准</w:t>
      </w:r>
      <w:r>
        <w:tab/>
      </w:r>
      <w:r>
        <w:fldChar w:fldCharType="begin"/>
      </w:r>
      <w:r>
        <w:instrText xml:space="preserve"> PAGEREF _Toc5144 \h </w:instrText>
      </w:r>
      <w:r>
        <w:fldChar w:fldCharType="separate"/>
      </w:r>
      <w:r>
        <w:t>38</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_Toc20272 </w:instrText>
      </w:r>
      <w:r>
        <w:rPr>
          <w:bCs/>
          <w:szCs w:val="22"/>
          <w:lang w:val="zh-CN"/>
        </w:rPr>
        <w:fldChar w:fldCharType="separate"/>
      </w:r>
      <w:r>
        <w:rPr>
          <w:rFonts w:hAnsi="华文仿宋" w:cs="仿宋_GB2312"/>
          <w:szCs w:val="28"/>
        </w:rPr>
        <w:t xml:space="preserve">3 </w:t>
      </w:r>
      <w:r>
        <w:rPr>
          <w:rFonts w:hint="eastAsia" w:hAnsi="华文仿宋" w:cs="仿宋_GB2312"/>
          <w:szCs w:val="28"/>
        </w:rPr>
        <w:t>环境条件与运行条件</w:t>
      </w:r>
      <w:r>
        <w:tab/>
      </w:r>
      <w:r>
        <w:fldChar w:fldCharType="begin"/>
      </w:r>
      <w:r>
        <w:instrText xml:space="preserve"> PAGEREF _Toc20272 \h </w:instrText>
      </w:r>
      <w:r>
        <w:fldChar w:fldCharType="separate"/>
      </w:r>
      <w:r>
        <w:t>39</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_Toc2899 </w:instrText>
      </w:r>
      <w:r>
        <w:rPr>
          <w:bCs/>
          <w:szCs w:val="22"/>
          <w:lang w:val="zh-CN"/>
        </w:rPr>
        <w:fldChar w:fldCharType="separate"/>
      </w:r>
      <w:r>
        <w:rPr>
          <w:rFonts w:hAnsi="华文仿宋" w:cs="仿宋_GB2312"/>
          <w:szCs w:val="28"/>
        </w:rPr>
        <w:t xml:space="preserve">4 </w:t>
      </w:r>
      <w:r>
        <w:rPr>
          <w:rFonts w:hint="eastAsia" w:hAnsi="华文仿宋" w:cs="仿宋_GB2312"/>
          <w:szCs w:val="28"/>
        </w:rPr>
        <w:t>技术性能要求</w:t>
      </w:r>
      <w:r>
        <w:tab/>
      </w:r>
      <w:r>
        <w:fldChar w:fldCharType="begin"/>
      </w:r>
      <w:r>
        <w:instrText xml:space="preserve"> PAGEREF _Toc2899 \h </w:instrText>
      </w:r>
      <w:r>
        <w:fldChar w:fldCharType="separate"/>
      </w:r>
      <w:r>
        <w:t>40</w:t>
      </w:r>
      <w:r>
        <w:fldChar w:fldCharType="end"/>
      </w:r>
      <w:r>
        <w:rPr>
          <w:bCs/>
          <w:szCs w:val="22"/>
          <w:lang w:val="zh-CN"/>
        </w:rPr>
        <w:fldChar w:fldCharType="end"/>
      </w:r>
    </w:p>
    <w:p>
      <w:pPr>
        <w:pStyle w:val="55"/>
        <w:tabs>
          <w:tab w:val="right" w:leader="dot" w:pos="8306"/>
        </w:tabs>
      </w:pPr>
      <w:r>
        <w:rPr>
          <w:bCs/>
          <w:szCs w:val="22"/>
          <w:lang w:val="zh-CN"/>
        </w:rPr>
        <w:fldChar w:fldCharType="begin"/>
      </w:r>
      <w:r>
        <w:rPr>
          <w:bCs/>
          <w:szCs w:val="22"/>
          <w:lang w:val="zh-CN"/>
        </w:rPr>
        <w:instrText xml:space="preserve"> HYPERLINK \l _Toc2004 </w:instrText>
      </w:r>
      <w:r>
        <w:rPr>
          <w:bCs/>
          <w:szCs w:val="22"/>
          <w:lang w:val="zh-CN"/>
        </w:rPr>
        <w:fldChar w:fldCharType="separate"/>
      </w:r>
      <w:r>
        <w:rPr>
          <w:rFonts w:hint="eastAsia" w:ascii="华文仿宋" w:hAnsi="华文仿宋"/>
          <w:szCs w:val="28"/>
          <w:lang w:val="en-US" w:eastAsia="zh-CN"/>
        </w:rPr>
        <w:t>六</w:t>
      </w:r>
      <w:r>
        <w:rPr>
          <w:rFonts w:ascii="华文仿宋" w:hAnsi="华文仿宋"/>
          <w:szCs w:val="28"/>
        </w:rPr>
        <w:t xml:space="preserve"> </w:t>
      </w:r>
      <w:r>
        <w:rPr>
          <w:rFonts w:hint="eastAsia" w:ascii="华文仿宋" w:hAnsi="华文仿宋"/>
          <w:szCs w:val="28"/>
        </w:rPr>
        <w:t>消防应急照明和疏散指示系统</w:t>
      </w:r>
      <w:r>
        <w:tab/>
      </w:r>
      <w:r>
        <w:fldChar w:fldCharType="begin"/>
      </w:r>
      <w:r>
        <w:instrText xml:space="preserve"> PAGEREF _Toc2004 \h </w:instrText>
      </w:r>
      <w:r>
        <w:fldChar w:fldCharType="separate"/>
      </w:r>
      <w:r>
        <w:t>43</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_Toc21506 </w:instrText>
      </w:r>
      <w:r>
        <w:rPr>
          <w:bCs/>
          <w:szCs w:val="22"/>
          <w:lang w:val="zh-CN"/>
        </w:rPr>
        <w:fldChar w:fldCharType="separate"/>
      </w:r>
      <w:r>
        <w:rPr>
          <w:rFonts w:ascii="华文仿宋" w:hAnsi="华文仿宋" w:cs="仿宋_GB2312"/>
          <w:szCs w:val="28"/>
        </w:rPr>
        <w:t>1总则</w:t>
      </w:r>
      <w:r>
        <w:tab/>
      </w:r>
      <w:r>
        <w:fldChar w:fldCharType="begin"/>
      </w:r>
      <w:r>
        <w:instrText xml:space="preserve"> PAGEREF _Toc21506 \h </w:instrText>
      </w:r>
      <w:r>
        <w:fldChar w:fldCharType="separate"/>
      </w:r>
      <w:r>
        <w:t>43</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_Toc27926 </w:instrText>
      </w:r>
      <w:r>
        <w:rPr>
          <w:bCs/>
          <w:szCs w:val="22"/>
          <w:lang w:val="zh-CN"/>
        </w:rPr>
        <w:fldChar w:fldCharType="separate"/>
      </w:r>
      <w:r>
        <w:rPr>
          <w:rFonts w:ascii="华文仿宋" w:hAnsi="华文仿宋" w:cs="仿宋_GB2312"/>
          <w:szCs w:val="28"/>
        </w:rPr>
        <w:t xml:space="preserve">2 </w:t>
      </w:r>
      <w:r>
        <w:rPr>
          <w:rFonts w:hint="eastAsia" w:ascii="华文仿宋" w:hAnsi="华文仿宋" w:cs="仿宋_GB2312"/>
          <w:szCs w:val="28"/>
        </w:rPr>
        <w:t>主要技术规范、标准</w:t>
      </w:r>
      <w:r>
        <w:tab/>
      </w:r>
      <w:r>
        <w:fldChar w:fldCharType="begin"/>
      </w:r>
      <w:r>
        <w:instrText xml:space="preserve"> PAGEREF _Toc27926 \h </w:instrText>
      </w:r>
      <w:r>
        <w:fldChar w:fldCharType="separate"/>
      </w:r>
      <w:r>
        <w:t>43</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_Toc8435 </w:instrText>
      </w:r>
      <w:r>
        <w:rPr>
          <w:bCs/>
          <w:szCs w:val="22"/>
          <w:lang w:val="zh-CN"/>
        </w:rPr>
        <w:fldChar w:fldCharType="separate"/>
      </w:r>
      <w:r>
        <w:rPr>
          <w:rFonts w:ascii="华文仿宋" w:hAnsi="华文仿宋" w:cs="仿宋_GB2312"/>
          <w:szCs w:val="28"/>
        </w:rPr>
        <w:t>3工作环境及运行条件</w:t>
      </w:r>
      <w:r>
        <w:tab/>
      </w:r>
      <w:r>
        <w:fldChar w:fldCharType="begin"/>
      </w:r>
      <w:r>
        <w:instrText xml:space="preserve"> PAGEREF _Toc8435 \h </w:instrText>
      </w:r>
      <w:r>
        <w:fldChar w:fldCharType="separate"/>
      </w:r>
      <w:r>
        <w:t>44</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_Toc24641 </w:instrText>
      </w:r>
      <w:r>
        <w:rPr>
          <w:bCs/>
          <w:szCs w:val="22"/>
          <w:lang w:val="zh-CN"/>
        </w:rPr>
        <w:fldChar w:fldCharType="separate"/>
      </w:r>
      <w:r>
        <w:rPr>
          <w:rFonts w:ascii="华文仿宋" w:hAnsi="华文仿宋" w:cs="仿宋_GB2312"/>
          <w:szCs w:val="28"/>
        </w:rPr>
        <w:t>4技术性能要求</w:t>
      </w:r>
      <w:r>
        <w:tab/>
      </w:r>
      <w:r>
        <w:fldChar w:fldCharType="begin"/>
      </w:r>
      <w:r>
        <w:instrText xml:space="preserve"> PAGEREF _Toc24641 \h </w:instrText>
      </w:r>
      <w:r>
        <w:fldChar w:fldCharType="separate"/>
      </w:r>
      <w:r>
        <w:t>44</w:t>
      </w:r>
      <w:r>
        <w:fldChar w:fldCharType="end"/>
      </w:r>
      <w:r>
        <w:rPr>
          <w:bCs/>
          <w:szCs w:val="22"/>
          <w:lang w:val="zh-CN"/>
        </w:rPr>
        <w:fldChar w:fldCharType="end"/>
      </w:r>
    </w:p>
    <w:p>
      <w:pPr>
        <w:pStyle w:val="55"/>
        <w:tabs>
          <w:tab w:val="right" w:leader="dot" w:pos="8306"/>
        </w:tabs>
      </w:pPr>
      <w:r>
        <w:rPr>
          <w:bCs/>
          <w:szCs w:val="22"/>
          <w:lang w:val="zh-CN"/>
        </w:rPr>
        <w:fldChar w:fldCharType="begin"/>
      </w:r>
      <w:r>
        <w:rPr>
          <w:bCs/>
          <w:szCs w:val="22"/>
          <w:lang w:val="zh-CN"/>
        </w:rPr>
        <w:instrText xml:space="preserve"> HYPERLINK \l _Toc18708 </w:instrText>
      </w:r>
      <w:r>
        <w:rPr>
          <w:bCs/>
          <w:szCs w:val="22"/>
          <w:lang w:val="zh-CN"/>
        </w:rPr>
        <w:fldChar w:fldCharType="separate"/>
      </w:r>
      <w:r>
        <w:rPr>
          <w:rFonts w:hint="eastAsia" w:ascii="华文仿宋" w:hAnsi="华文仿宋"/>
          <w:szCs w:val="28"/>
          <w:lang w:val="en-US" w:eastAsia="zh-CN"/>
        </w:rPr>
        <w:t>七</w:t>
      </w:r>
      <w:r>
        <w:rPr>
          <w:rFonts w:ascii="华文仿宋" w:hAnsi="华文仿宋"/>
          <w:szCs w:val="28"/>
        </w:rPr>
        <w:t xml:space="preserve"> </w:t>
      </w:r>
      <w:r>
        <w:rPr>
          <w:rFonts w:hint="eastAsia" w:ascii="华文仿宋" w:hAnsi="华文仿宋"/>
          <w:szCs w:val="28"/>
          <w:lang w:val="en-US" w:eastAsia="zh-CN"/>
        </w:rPr>
        <w:t>智能家居</w:t>
      </w:r>
      <w:r>
        <w:rPr>
          <w:rFonts w:hint="eastAsia" w:ascii="华文仿宋" w:hAnsi="华文仿宋"/>
          <w:szCs w:val="28"/>
        </w:rPr>
        <w:t>系统</w:t>
      </w:r>
      <w:r>
        <w:tab/>
      </w:r>
      <w:r>
        <w:fldChar w:fldCharType="begin"/>
      </w:r>
      <w:r>
        <w:instrText xml:space="preserve"> PAGEREF _Toc18708 \h </w:instrText>
      </w:r>
      <w:r>
        <w:fldChar w:fldCharType="separate"/>
      </w:r>
      <w:r>
        <w:t>47</w:t>
      </w:r>
      <w:r>
        <w:fldChar w:fldCharType="end"/>
      </w:r>
      <w:r>
        <w:rPr>
          <w:bCs/>
          <w:szCs w:val="22"/>
          <w:lang w:val="zh-CN"/>
        </w:rPr>
        <w:fldChar w:fldCharType="end"/>
      </w:r>
    </w:p>
    <w:p>
      <w:pPr>
        <w:pStyle w:val="69"/>
        <w:tabs>
          <w:tab w:val="right" w:leader="dot" w:pos="8306"/>
        </w:tabs>
      </w:pPr>
      <w:r>
        <w:rPr>
          <w:bCs/>
          <w:szCs w:val="22"/>
          <w:lang w:val="zh-CN"/>
        </w:rPr>
        <w:fldChar w:fldCharType="begin"/>
      </w:r>
      <w:r>
        <w:rPr>
          <w:bCs/>
          <w:szCs w:val="22"/>
          <w:lang w:val="zh-CN"/>
        </w:rPr>
        <w:instrText xml:space="preserve"> HYPERLINK \l _Toc13339 </w:instrText>
      </w:r>
      <w:r>
        <w:rPr>
          <w:bCs/>
          <w:szCs w:val="22"/>
          <w:lang w:val="zh-CN"/>
        </w:rPr>
        <w:fldChar w:fldCharType="separate"/>
      </w:r>
      <w:r>
        <w:rPr>
          <w:rFonts w:ascii="华文仿宋" w:hAnsi="华文仿宋" w:cs="仿宋_GB2312"/>
          <w:szCs w:val="28"/>
        </w:rPr>
        <w:t>1总则</w:t>
      </w:r>
      <w:r>
        <w:tab/>
      </w:r>
      <w:r>
        <w:fldChar w:fldCharType="begin"/>
      </w:r>
      <w:r>
        <w:instrText xml:space="preserve"> PAGEREF _Toc13339 \h </w:instrText>
      </w:r>
      <w:r>
        <w:fldChar w:fldCharType="separate"/>
      </w:r>
      <w:r>
        <w:t>47</w:t>
      </w:r>
      <w:r>
        <w:fldChar w:fldCharType="end"/>
      </w:r>
      <w:r>
        <w:rPr>
          <w:bCs/>
          <w:szCs w:val="22"/>
          <w:lang w:val="zh-CN"/>
        </w:rPr>
        <w:fldChar w:fldCharType="end"/>
      </w:r>
    </w:p>
    <w:p>
      <w:pPr>
        <w:pStyle w:val="41"/>
        <w:tabs>
          <w:tab w:val="right" w:leader="dot" w:pos="8306"/>
        </w:tabs>
        <w:ind w:left="0" w:leftChars="0" w:firstLine="1120" w:firstLineChars="400"/>
      </w:pPr>
      <w:r>
        <w:rPr>
          <w:bCs/>
          <w:szCs w:val="22"/>
          <w:lang w:val="zh-CN"/>
        </w:rPr>
        <w:fldChar w:fldCharType="begin"/>
      </w:r>
      <w:r>
        <w:rPr>
          <w:bCs/>
          <w:szCs w:val="22"/>
          <w:lang w:val="zh-CN"/>
        </w:rPr>
        <w:instrText xml:space="preserve"> HYPERLINK \l _Toc30070 </w:instrText>
      </w:r>
      <w:r>
        <w:rPr>
          <w:bCs/>
          <w:szCs w:val="22"/>
          <w:lang w:val="zh-CN"/>
        </w:rPr>
        <w:fldChar w:fldCharType="separate"/>
      </w:r>
      <w:r>
        <w:rPr>
          <w:rFonts w:ascii="华文仿宋" w:hAnsi="华文仿宋" w:cs="仿宋_GB2312"/>
          <w:szCs w:val="28"/>
        </w:rPr>
        <w:t xml:space="preserve">2 </w:t>
      </w:r>
      <w:r>
        <w:rPr>
          <w:rFonts w:hint="eastAsia"/>
        </w:rPr>
        <w:t>系统总体技术要求</w:t>
      </w:r>
      <w:r>
        <w:tab/>
      </w:r>
      <w:r>
        <w:fldChar w:fldCharType="begin"/>
      </w:r>
      <w:r>
        <w:instrText xml:space="preserve"> PAGEREF _Toc30070 \h </w:instrText>
      </w:r>
      <w:r>
        <w:fldChar w:fldCharType="separate"/>
      </w:r>
      <w:r>
        <w:t>47</w:t>
      </w:r>
      <w:r>
        <w:fldChar w:fldCharType="end"/>
      </w:r>
      <w:r>
        <w:rPr>
          <w:bCs/>
          <w:szCs w:val="22"/>
          <w:lang w:val="zh-CN"/>
        </w:rPr>
        <w:fldChar w:fldCharType="end"/>
      </w:r>
    </w:p>
    <w:p>
      <w:pPr>
        <w:pStyle w:val="41"/>
        <w:tabs>
          <w:tab w:val="right" w:leader="dot" w:pos="8306"/>
        </w:tabs>
      </w:pPr>
    </w:p>
    <w:p>
      <w:pPr>
        <w:ind w:firstLine="0" w:firstLineChars="0"/>
        <w:rPr>
          <w:sz w:val="22"/>
          <w:szCs w:val="22"/>
        </w:rPr>
      </w:pPr>
      <w:r>
        <w:rPr>
          <w:bCs/>
          <w:szCs w:val="22"/>
          <w:lang w:val="zh-CN"/>
        </w:rPr>
        <w:fldChar w:fldCharType="end"/>
      </w:r>
    </w:p>
    <w:p>
      <w:pPr>
        <w:pStyle w:val="2"/>
        <w:spacing w:before="312" w:after="312"/>
        <w:ind w:firstLine="561"/>
        <w:sectPr>
          <w:headerReference r:id="rId7" w:type="first"/>
          <w:footerReference r:id="rId10" w:type="first"/>
          <w:headerReference r:id="rId5" w:type="default"/>
          <w:footerReference r:id="rId8" w:type="default"/>
          <w:headerReference r:id="rId6" w:type="even"/>
          <w:footerReference r:id="rId9" w:type="even"/>
          <w:pgSz w:w="11906" w:h="16838"/>
          <w:pgMar w:top="1440" w:right="1800" w:bottom="1440" w:left="1800" w:header="851" w:footer="992" w:gutter="0"/>
          <w:pgNumType w:fmt="decimal"/>
          <w:cols w:space="425" w:num="1"/>
          <w:docGrid w:type="lines" w:linePitch="312" w:charSpace="0"/>
        </w:sectPr>
      </w:pPr>
    </w:p>
    <w:p>
      <w:pPr>
        <w:pStyle w:val="2"/>
        <w:spacing w:before="240" w:after="240"/>
        <w:ind w:firstLine="422"/>
        <w:rPr>
          <w:rFonts w:ascii="华文仿宋" w:hAnsi="华文仿宋" w:cs="仿宋_GB2312"/>
          <w:kern w:val="2"/>
          <w:szCs w:val="28"/>
        </w:rPr>
      </w:pPr>
      <w:bookmarkStart w:id="0" w:name="_Toc27495588"/>
      <w:bookmarkStart w:id="1" w:name="_Toc16404"/>
      <w:bookmarkStart w:id="2" w:name="_Toc27495598"/>
      <w:r>
        <w:rPr>
          <w:rFonts w:hint="eastAsia" w:ascii="华文仿宋" w:hAnsi="华文仿宋" w:cs="仿宋_GB2312"/>
          <w:kern w:val="2"/>
          <w:szCs w:val="28"/>
        </w:rPr>
        <w:t>第一部分</w:t>
      </w:r>
      <w:r>
        <w:rPr>
          <w:rFonts w:ascii="华文仿宋" w:hAnsi="华文仿宋" w:cs="仿宋_GB2312"/>
          <w:kern w:val="2"/>
          <w:szCs w:val="28"/>
        </w:rPr>
        <w:t xml:space="preserve"> </w:t>
      </w:r>
      <w:r>
        <w:rPr>
          <w:rFonts w:hint="eastAsia" w:ascii="华文仿宋" w:hAnsi="华文仿宋" w:cs="仿宋_GB2312"/>
          <w:kern w:val="2"/>
          <w:szCs w:val="28"/>
        </w:rPr>
        <w:t>总则</w:t>
      </w:r>
      <w:bookmarkEnd w:id="0"/>
      <w:bookmarkEnd w:id="1"/>
    </w:p>
    <w:p>
      <w:pPr>
        <w:pStyle w:val="3"/>
        <w:adjustRightInd w:val="0"/>
        <w:snapToGrid w:val="0"/>
        <w:spacing w:before="240" w:line="415" w:lineRule="auto"/>
        <w:ind w:firstLine="561"/>
        <w:rPr>
          <w:rFonts w:ascii="华文仿宋" w:hAnsi="华文仿宋" w:cs="仿宋_GB2312"/>
          <w:szCs w:val="28"/>
        </w:rPr>
      </w:pPr>
      <w:bookmarkStart w:id="3" w:name="_Toc8910"/>
      <w:bookmarkStart w:id="4" w:name="_Toc27495589"/>
      <w:r>
        <w:rPr>
          <w:rFonts w:ascii="华文仿宋" w:hAnsi="华文仿宋" w:cs="仿宋_GB2312"/>
          <w:szCs w:val="28"/>
        </w:rPr>
        <w:t>1基本要求</w:t>
      </w:r>
      <w:bookmarkEnd w:id="3"/>
      <w:bookmarkEnd w:id="4"/>
    </w:p>
    <w:p>
      <w:pPr>
        <w:spacing w:before="12" w:beforeLines="5"/>
        <w:ind w:firstLine="560"/>
        <w:rPr>
          <w:rFonts w:ascii="华文仿宋" w:hAnsi="华文仿宋"/>
          <w:szCs w:val="28"/>
        </w:rPr>
      </w:pPr>
      <w:r>
        <w:rPr>
          <w:rFonts w:ascii="华文仿宋" w:hAnsi="华文仿宋"/>
          <w:szCs w:val="28"/>
        </w:rPr>
        <w:t>1.1 投标前，承包人应仔细研究招标文件，如发现文件中有疑问或矛盾，应立即向招标方询问，请招标方补充</w:t>
      </w:r>
      <w:r>
        <w:rPr>
          <w:rFonts w:hint="eastAsia" w:ascii="华文仿宋" w:hAnsi="华文仿宋"/>
          <w:szCs w:val="28"/>
        </w:rPr>
        <w:t>、</w:t>
      </w:r>
      <w:r>
        <w:rPr>
          <w:rFonts w:ascii="华文仿宋" w:hAnsi="华文仿宋"/>
          <w:szCs w:val="28"/>
        </w:rPr>
        <w:t>澄清，否则按发包人的实际要求和理解执行。</w:t>
      </w:r>
    </w:p>
    <w:p>
      <w:pPr>
        <w:spacing w:before="12" w:beforeLines="5"/>
        <w:ind w:firstLine="560"/>
        <w:rPr>
          <w:rFonts w:ascii="华文仿宋" w:hAnsi="华文仿宋"/>
          <w:szCs w:val="28"/>
        </w:rPr>
      </w:pPr>
      <w:r>
        <w:rPr>
          <w:rFonts w:ascii="华文仿宋" w:hAnsi="华文仿宋"/>
          <w:szCs w:val="28"/>
        </w:rPr>
        <w:t>1.2 承包人应充分理解并认真遵循本招标文件的要求，所提供设备产品的品质、性能和使用寿命</w:t>
      </w:r>
      <w:r>
        <w:rPr>
          <w:rFonts w:hint="eastAsia" w:ascii="华文仿宋" w:hAnsi="华文仿宋"/>
          <w:szCs w:val="28"/>
        </w:rPr>
        <w:t>需满足相关要求</w:t>
      </w:r>
      <w:r>
        <w:rPr>
          <w:rFonts w:ascii="华文仿宋" w:hAnsi="华文仿宋"/>
          <w:szCs w:val="28"/>
        </w:rPr>
        <w:t>。所有货物必须是崭新的、技术成熟的，软件版本是最新的。</w:t>
      </w:r>
    </w:p>
    <w:p>
      <w:pPr>
        <w:spacing w:before="12" w:beforeLines="5"/>
        <w:ind w:firstLine="560"/>
        <w:rPr>
          <w:rFonts w:ascii="华文仿宋" w:hAnsi="华文仿宋"/>
          <w:szCs w:val="28"/>
        </w:rPr>
      </w:pPr>
      <w:r>
        <w:rPr>
          <w:rFonts w:ascii="华文仿宋" w:hAnsi="华文仿宋"/>
          <w:szCs w:val="28"/>
        </w:rPr>
        <w:t>1.3 本</w:t>
      </w:r>
      <w:r>
        <w:rPr>
          <w:rFonts w:hint="eastAsia" w:ascii="华文仿宋" w:hAnsi="华文仿宋"/>
          <w:szCs w:val="28"/>
        </w:rPr>
        <w:t>技术规格书</w:t>
      </w:r>
      <w:r>
        <w:rPr>
          <w:rFonts w:ascii="华文仿宋" w:hAnsi="华文仿宋"/>
          <w:szCs w:val="28"/>
        </w:rPr>
        <w:t>仅</w:t>
      </w:r>
      <w:r>
        <w:rPr>
          <w:rFonts w:hint="eastAsia" w:ascii="华文仿宋" w:hAnsi="华文仿宋"/>
          <w:szCs w:val="28"/>
        </w:rPr>
        <w:t>表示对</w:t>
      </w:r>
      <w:r>
        <w:rPr>
          <w:rFonts w:ascii="华文仿宋" w:hAnsi="华文仿宋"/>
          <w:szCs w:val="28"/>
        </w:rPr>
        <w:t>电气设备</w:t>
      </w:r>
      <w:r>
        <w:rPr>
          <w:rFonts w:hint="eastAsia" w:ascii="华文仿宋" w:hAnsi="华文仿宋"/>
          <w:szCs w:val="28"/>
        </w:rPr>
        <w:t>的</w:t>
      </w:r>
      <w:r>
        <w:rPr>
          <w:rFonts w:ascii="华文仿宋" w:hAnsi="华文仿宋"/>
          <w:szCs w:val="28"/>
        </w:rPr>
        <w:t>主要</w:t>
      </w:r>
      <w:r>
        <w:rPr>
          <w:rFonts w:hint="eastAsia" w:ascii="华文仿宋" w:hAnsi="华文仿宋"/>
          <w:szCs w:val="28"/>
        </w:rPr>
        <w:t>技术</w:t>
      </w:r>
      <w:r>
        <w:rPr>
          <w:rFonts w:ascii="华文仿宋" w:hAnsi="华文仿宋"/>
          <w:szCs w:val="28"/>
        </w:rPr>
        <w:t>要求，</w:t>
      </w:r>
      <w:r>
        <w:rPr>
          <w:rFonts w:hint="eastAsia" w:ascii="华文仿宋" w:hAnsi="华文仿宋"/>
          <w:szCs w:val="28"/>
        </w:rPr>
        <w:t>并未对一切技术细节作出规定，</w:t>
      </w:r>
      <w:r>
        <w:rPr>
          <w:rFonts w:ascii="华文仿宋" w:hAnsi="华文仿宋"/>
          <w:szCs w:val="28"/>
        </w:rPr>
        <w:t>不应作为完整的详细要求。承包人</w:t>
      </w:r>
      <w:r>
        <w:rPr>
          <w:rFonts w:hint="eastAsia" w:ascii="华文仿宋" w:hAnsi="华文仿宋"/>
          <w:szCs w:val="28"/>
        </w:rPr>
        <w:t>应</w:t>
      </w:r>
      <w:r>
        <w:rPr>
          <w:rFonts w:ascii="华文仿宋" w:hAnsi="华文仿宋"/>
          <w:szCs w:val="28"/>
        </w:rPr>
        <w:t>根据发包人提供的资料、图纸、参数</w:t>
      </w:r>
      <w:r>
        <w:rPr>
          <w:rFonts w:hint="eastAsia" w:ascii="华文仿宋" w:hAnsi="华文仿宋"/>
          <w:szCs w:val="28"/>
        </w:rPr>
        <w:t>等</w:t>
      </w:r>
      <w:r>
        <w:rPr>
          <w:rFonts w:ascii="华文仿宋" w:hAnsi="华文仿宋"/>
          <w:szCs w:val="28"/>
        </w:rPr>
        <w:t>要求，向发包人提供性能符合或优于本</w:t>
      </w:r>
      <w:r>
        <w:rPr>
          <w:rFonts w:hint="eastAsia" w:ascii="华文仿宋" w:hAnsi="华文仿宋"/>
          <w:szCs w:val="28"/>
        </w:rPr>
        <w:t>技术规格书</w:t>
      </w:r>
      <w:r>
        <w:rPr>
          <w:rFonts w:ascii="华文仿宋" w:hAnsi="华文仿宋"/>
          <w:szCs w:val="28"/>
        </w:rPr>
        <w:t>要求</w:t>
      </w:r>
      <w:r>
        <w:rPr>
          <w:rFonts w:hint="eastAsia" w:ascii="华文仿宋" w:hAnsi="华文仿宋"/>
          <w:szCs w:val="28"/>
        </w:rPr>
        <w:t>的设备、材料，并保证配合和通过验收</w:t>
      </w:r>
      <w:r>
        <w:rPr>
          <w:rFonts w:ascii="华文仿宋" w:hAnsi="华文仿宋"/>
          <w:szCs w:val="28"/>
        </w:rPr>
        <w:t>。</w:t>
      </w:r>
    </w:p>
    <w:p>
      <w:pPr>
        <w:spacing w:before="12" w:beforeLines="5"/>
        <w:ind w:firstLine="560"/>
        <w:rPr>
          <w:rFonts w:ascii="华文仿宋" w:hAnsi="华文仿宋"/>
          <w:szCs w:val="28"/>
        </w:rPr>
      </w:pPr>
      <w:r>
        <w:rPr>
          <w:rFonts w:ascii="华文仿宋" w:hAnsi="华文仿宋"/>
          <w:szCs w:val="28"/>
        </w:rPr>
        <w:t>1.4 承包人投标时提供的产品资料必须是</w:t>
      </w:r>
      <w:r>
        <w:rPr>
          <w:rFonts w:hint="eastAsia" w:ascii="华文仿宋" w:hAnsi="华文仿宋"/>
          <w:szCs w:val="28"/>
        </w:rPr>
        <w:t>“</w:t>
      </w:r>
      <w:r>
        <w:rPr>
          <w:rFonts w:ascii="华文仿宋" w:hAnsi="华文仿宋"/>
          <w:szCs w:val="28"/>
        </w:rPr>
        <w:t>原件</w:t>
      </w:r>
      <w:r>
        <w:rPr>
          <w:rFonts w:hint="eastAsia" w:ascii="华文仿宋" w:hAnsi="华文仿宋"/>
          <w:szCs w:val="28"/>
        </w:rPr>
        <w:t>”</w:t>
      </w:r>
      <w:r>
        <w:rPr>
          <w:rFonts w:ascii="华文仿宋" w:hAnsi="华文仿宋"/>
          <w:szCs w:val="28"/>
        </w:rPr>
        <w:t>而不是</w:t>
      </w:r>
      <w:r>
        <w:rPr>
          <w:rFonts w:hint="eastAsia" w:ascii="华文仿宋" w:hAnsi="华文仿宋"/>
          <w:szCs w:val="28"/>
        </w:rPr>
        <w:t>“复印件”</w:t>
      </w:r>
      <w:r>
        <w:rPr>
          <w:rFonts w:ascii="华文仿宋" w:hAnsi="华文仿宋"/>
          <w:szCs w:val="28"/>
        </w:rPr>
        <w:t>，所提供的图纸必须清楚完整。资料、文件、图纸中所涉及到的计量单位，除发包人另有说明外，一律采用公制单位。</w:t>
      </w:r>
    </w:p>
    <w:p>
      <w:pPr>
        <w:spacing w:before="12" w:beforeLines="5"/>
        <w:ind w:firstLine="560"/>
        <w:rPr>
          <w:rFonts w:ascii="华文仿宋" w:hAnsi="华文仿宋"/>
          <w:szCs w:val="28"/>
        </w:rPr>
      </w:pPr>
      <w:r>
        <w:rPr>
          <w:rFonts w:ascii="华文仿宋" w:hAnsi="华文仿宋"/>
          <w:szCs w:val="28"/>
        </w:rPr>
        <w:t>1.5 承包人应确保其所供设备及其附件等的完整性，包括合同文件遗漏的一切事项，只要这些事项可以确定是保证承包人所供系统安全、稳定、可靠所必须的，都应该被认为包括在合同之内。</w:t>
      </w:r>
    </w:p>
    <w:p>
      <w:pPr>
        <w:spacing w:before="12" w:beforeLines="5" w:line="480" w:lineRule="auto"/>
        <w:ind w:firstLine="560"/>
        <w:rPr>
          <w:rFonts w:ascii="华文仿宋" w:hAnsi="华文仿宋"/>
          <w:szCs w:val="28"/>
        </w:rPr>
      </w:pPr>
      <w:r>
        <w:rPr>
          <w:rFonts w:ascii="华文仿宋" w:hAnsi="华文仿宋"/>
          <w:szCs w:val="28"/>
        </w:rPr>
        <w:t>1.6 承包人应负责设备产品的安全和调试，直至设备正常运行。</w:t>
      </w:r>
    </w:p>
    <w:p>
      <w:pPr>
        <w:pStyle w:val="3"/>
        <w:adjustRightInd w:val="0"/>
        <w:snapToGrid w:val="0"/>
        <w:spacing w:before="240" w:line="415" w:lineRule="auto"/>
        <w:ind w:firstLine="561"/>
        <w:rPr>
          <w:rFonts w:ascii="华文仿宋" w:hAnsi="华文仿宋" w:cs="仿宋_GB2312"/>
          <w:szCs w:val="28"/>
        </w:rPr>
      </w:pPr>
      <w:bookmarkStart w:id="5" w:name="_Toc27495590"/>
      <w:bookmarkStart w:id="6" w:name="_Toc894"/>
      <w:r>
        <w:rPr>
          <w:rFonts w:ascii="华文仿宋" w:hAnsi="华文仿宋" w:cs="仿宋_GB2312"/>
          <w:szCs w:val="28"/>
        </w:rPr>
        <w:t>2</w:t>
      </w:r>
      <w:r>
        <w:rPr>
          <w:rFonts w:hint="eastAsia" w:ascii="华文仿宋" w:hAnsi="华文仿宋" w:cs="仿宋_GB2312"/>
          <w:szCs w:val="28"/>
        </w:rPr>
        <w:t>设备产品的质量保证</w:t>
      </w:r>
      <w:bookmarkEnd w:id="5"/>
      <w:bookmarkEnd w:id="6"/>
    </w:p>
    <w:p>
      <w:pPr>
        <w:spacing w:before="12" w:beforeLines="5"/>
        <w:ind w:firstLine="560"/>
        <w:rPr>
          <w:rFonts w:ascii="华文仿宋" w:hAnsi="华文仿宋"/>
          <w:szCs w:val="28"/>
        </w:rPr>
      </w:pPr>
      <w:r>
        <w:rPr>
          <w:rFonts w:ascii="华文仿宋" w:hAnsi="华文仿宋"/>
          <w:szCs w:val="28"/>
        </w:rPr>
        <w:t>2.1属于3C认证范围的设备、材料应提供相应认证证书。</w:t>
      </w:r>
    </w:p>
    <w:p>
      <w:pPr>
        <w:spacing w:before="12" w:beforeLines="5"/>
        <w:ind w:firstLine="560"/>
        <w:rPr>
          <w:rFonts w:ascii="华文仿宋" w:hAnsi="华文仿宋"/>
          <w:szCs w:val="28"/>
        </w:rPr>
      </w:pPr>
      <w:r>
        <w:rPr>
          <w:rFonts w:ascii="华文仿宋" w:hAnsi="华文仿宋"/>
          <w:szCs w:val="28"/>
        </w:rPr>
        <w:t xml:space="preserve">2.2 </w:t>
      </w:r>
      <w:r>
        <w:rPr>
          <w:rFonts w:hint="eastAsia" w:ascii="华文仿宋" w:hAnsi="华文仿宋"/>
          <w:szCs w:val="28"/>
        </w:rPr>
        <w:t>一切设备、材料和工艺应符合相应的国家现行标准及规范。</w:t>
      </w:r>
    </w:p>
    <w:p>
      <w:pPr>
        <w:spacing w:before="12" w:beforeLines="5"/>
        <w:ind w:firstLine="560"/>
        <w:rPr>
          <w:rFonts w:ascii="华文仿宋" w:hAnsi="华文仿宋"/>
          <w:szCs w:val="28"/>
        </w:rPr>
      </w:pPr>
      <w:r>
        <w:rPr>
          <w:rFonts w:ascii="华文仿宋" w:hAnsi="华文仿宋"/>
          <w:szCs w:val="28"/>
        </w:rPr>
        <w:t>2.3设备产品的加工、制造应由设备供应厂商直接生产，不得对外委托。</w:t>
      </w:r>
    </w:p>
    <w:p>
      <w:pPr>
        <w:spacing w:before="12" w:beforeLines="5"/>
        <w:ind w:firstLine="560"/>
        <w:rPr>
          <w:rFonts w:ascii="华文仿宋" w:hAnsi="华文仿宋"/>
          <w:szCs w:val="28"/>
        </w:rPr>
      </w:pPr>
      <w:r>
        <w:rPr>
          <w:rFonts w:ascii="华文仿宋" w:hAnsi="华文仿宋"/>
          <w:szCs w:val="28"/>
        </w:rPr>
        <w:t>2.4设备产品的各种部件，如设备供应厂商不能生产，应由设备供应厂商直接到生产厂订货，设备供应厂商不得委托第三方转供。</w:t>
      </w:r>
    </w:p>
    <w:p>
      <w:pPr>
        <w:spacing w:before="12" w:beforeLines="5"/>
        <w:ind w:firstLine="560"/>
        <w:rPr>
          <w:rFonts w:ascii="华文仿宋" w:hAnsi="华文仿宋"/>
          <w:szCs w:val="28"/>
        </w:rPr>
      </w:pPr>
      <w:r>
        <w:rPr>
          <w:rFonts w:ascii="华文仿宋" w:hAnsi="华文仿宋"/>
          <w:szCs w:val="28"/>
        </w:rPr>
        <w:t xml:space="preserve">2.5 </w:t>
      </w:r>
      <w:r>
        <w:rPr>
          <w:rFonts w:hint="eastAsia" w:ascii="华文仿宋" w:hAnsi="华文仿宋"/>
          <w:szCs w:val="28"/>
        </w:rPr>
        <w:t>设备供应厂商应对外购部件进行入厂检验，并作为设备材料出厂检验内容，其检验内容随产品交发包人。</w:t>
      </w:r>
    </w:p>
    <w:p>
      <w:pPr>
        <w:pStyle w:val="3"/>
        <w:adjustRightInd w:val="0"/>
        <w:snapToGrid w:val="0"/>
        <w:spacing w:before="240" w:line="415" w:lineRule="auto"/>
        <w:ind w:firstLine="561"/>
        <w:rPr>
          <w:rFonts w:ascii="华文仿宋" w:hAnsi="华文仿宋" w:cs="仿宋_GB2312"/>
          <w:szCs w:val="28"/>
        </w:rPr>
      </w:pPr>
      <w:bookmarkStart w:id="7" w:name="_Toc27495591"/>
      <w:bookmarkStart w:id="8" w:name="_Toc22785"/>
      <w:r>
        <w:rPr>
          <w:rFonts w:ascii="华文仿宋" w:hAnsi="华文仿宋" w:cs="仿宋_GB2312"/>
          <w:szCs w:val="28"/>
        </w:rPr>
        <w:t>3 设备产品安全、调试、验收</w:t>
      </w:r>
      <w:bookmarkEnd w:id="7"/>
      <w:bookmarkEnd w:id="8"/>
    </w:p>
    <w:p>
      <w:pPr>
        <w:spacing w:before="12" w:beforeLines="5"/>
        <w:ind w:firstLine="560"/>
        <w:rPr>
          <w:rFonts w:ascii="华文仿宋" w:hAnsi="华文仿宋"/>
          <w:szCs w:val="28"/>
        </w:rPr>
      </w:pPr>
      <w:r>
        <w:rPr>
          <w:rFonts w:ascii="华文仿宋" w:hAnsi="华文仿宋"/>
          <w:szCs w:val="28"/>
        </w:rPr>
        <w:t xml:space="preserve">3.1 </w:t>
      </w:r>
      <w:r>
        <w:rPr>
          <w:rFonts w:hint="eastAsia" w:ascii="华文仿宋" w:hAnsi="华文仿宋"/>
          <w:szCs w:val="28"/>
        </w:rPr>
        <w:t>产品到货前，发包人可派人员到生产厂进行出厂验收，施工中设备供应厂商应派技术人员现场指导、配合施工，按有关规定进行安装和调试，直至验收。</w:t>
      </w:r>
    </w:p>
    <w:p>
      <w:pPr>
        <w:spacing w:before="12" w:beforeLines="5"/>
        <w:ind w:firstLine="560"/>
        <w:rPr>
          <w:rFonts w:ascii="华文仿宋" w:hAnsi="华文仿宋"/>
          <w:szCs w:val="28"/>
        </w:rPr>
      </w:pPr>
      <w:r>
        <w:rPr>
          <w:rFonts w:ascii="华文仿宋" w:hAnsi="华文仿宋"/>
          <w:szCs w:val="28"/>
        </w:rPr>
        <w:t xml:space="preserve">3.2 </w:t>
      </w:r>
      <w:r>
        <w:rPr>
          <w:rFonts w:hint="eastAsia" w:ascii="华文仿宋" w:hAnsi="华文仿宋"/>
          <w:szCs w:val="28"/>
        </w:rPr>
        <w:t>试验时如果发包人不能按时到场，在得到发包人允许后方可单独进行试验。所有试验结果需由发包人确认批准。试验验收后，并不减轻或减少承包人对设备所负的责任。</w:t>
      </w:r>
    </w:p>
    <w:p>
      <w:pPr>
        <w:spacing w:before="12" w:beforeLines="5"/>
        <w:ind w:firstLine="560"/>
        <w:rPr>
          <w:rFonts w:ascii="华文仿宋" w:hAnsi="华文仿宋"/>
          <w:szCs w:val="28"/>
        </w:rPr>
      </w:pPr>
      <w:r>
        <w:rPr>
          <w:rFonts w:ascii="华文仿宋" w:hAnsi="华文仿宋"/>
          <w:szCs w:val="28"/>
        </w:rPr>
        <w:t xml:space="preserve">3.3 </w:t>
      </w:r>
      <w:r>
        <w:rPr>
          <w:rFonts w:hint="eastAsia" w:ascii="华文仿宋" w:hAnsi="华文仿宋"/>
          <w:szCs w:val="28"/>
        </w:rPr>
        <w:t>满足下列条件才被认为验收合格。</w:t>
      </w:r>
    </w:p>
    <w:p>
      <w:pPr>
        <w:spacing w:before="12" w:beforeLines="5"/>
        <w:ind w:firstLine="560"/>
        <w:rPr>
          <w:rFonts w:ascii="华文仿宋" w:hAnsi="华文仿宋"/>
          <w:szCs w:val="28"/>
        </w:rPr>
      </w:pPr>
      <w:r>
        <w:rPr>
          <w:rFonts w:hint="eastAsia" w:ascii="华文仿宋" w:hAnsi="华文仿宋"/>
          <w:szCs w:val="28"/>
        </w:rPr>
        <w:t>承包人已提供了合同的全部货物，且货物的技术性能完全符合技术规格书的规定。性能测试、安装调试以及试运行中出现的问题已解决，并获得发包人的同意。试运行性能满足要求，且连续正常运行超过</w:t>
      </w:r>
      <w:r>
        <w:rPr>
          <w:rFonts w:ascii="华文仿宋" w:hAnsi="华文仿宋"/>
          <w:szCs w:val="28"/>
        </w:rPr>
        <w:t>30天。</w:t>
      </w:r>
    </w:p>
    <w:p>
      <w:pPr>
        <w:pStyle w:val="3"/>
        <w:adjustRightInd w:val="0"/>
        <w:snapToGrid w:val="0"/>
        <w:spacing w:before="240" w:line="415" w:lineRule="auto"/>
        <w:ind w:firstLine="561"/>
        <w:rPr>
          <w:rFonts w:ascii="华文仿宋" w:hAnsi="华文仿宋" w:cs="仿宋_GB2312"/>
          <w:szCs w:val="28"/>
        </w:rPr>
      </w:pPr>
      <w:bookmarkStart w:id="9" w:name="_Toc27495592"/>
      <w:bookmarkStart w:id="10" w:name="_Toc31534"/>
      <w:r>
        <w:rPr>
          <w:rFonts w:ascii="华文仿宋" w:hAnsi="华文仿宋" w:cs="仿宋_GB2312"/>
          <w:szCs w:val="28"/>
        </w:rPr>
        <w:t>4 设备产品保修、售后服务及培训</w:t>
      </w:r>
      <w:bookmarkEnd w:id="9"/>
      <w:bookmarkEnd w:id="10"/>
    </w:p>
    <w:p>
      <w:pPr>
        <w:spacing w:before="12" w:beforeLines="5"/>
        <w:ind w:firstLine="560"/>
        <w:rPr>
          <w:rFonts w:ascii="华文仿宋" w:hAnsi="华文仿宋"/>
          <w:szCs w:val="28"/>
        </w:rPr>
      </w:pPr>
      <w:r>
        <w:rPr>
          <w:rFonts w:ascii="华文仿宋" w:hAnsi="华文仿宋"/>
          <w:szCs w:val="28"/>
        </w:rPr>
        <w:t xml:space="preserve">4.1 </w:t>
      </w:r>
      <w:r>
        <w:rPr>
          <w:rFonts w:hint="eastAsia" w:ascii="华文仿宋" w:hAnsi="华文仿宋"/>
          <w:szCs w:val="28"/>
        </w:rPr>
        <w:t>从发包人出具正式验收合格证书之日算起的二年内为设备产品的保修期（另有特别注明者除外），在此期间，承包人应该对设备运行中出现的任何质量问题提供免费维修、更换，如因质量问题造成事故，由承包人承担事故责任。</w:t>
      </w:r>
    </w:p>
    <w:p>
      <w:pPr>
        <w:spacing w:before="12" w:beforeLines="5"/>
        <w:ind w:firstLine="560"/>
        <w:rPr>
          <w:rFonts w:ascii="华文仿宋" w:hAnsi="华文仿宋"/>
          <w:szCs w:val="28"/>
        </w:rPr>
      </w:pPr>
      <w:r>
        <w:rPr>
          <w:rFonts w:ascii="华文仿宋" w:hAnsi="华文仿宋"/>
          <w:szCs w:val="28"/>
        </w:rPr>
        <w:t>4.2设备产品的寿命应符合国标（已注明的按注明要求），保修期之后，设备供应厂商对产品应提供售后服务，发包人所需的设备、零件供应厂商不应高于市场价售于发包人，并配合安装、调试。</w:t>
      </w:r>
    </w:p>
    <w:p>
      <w:pPr>
        <w:spacing w:before="12" w:beforeLines="5"/>
        <w:ind w:firstLine="560"/>
        <w:rPr>
          <w:rFonts w:ascii="华文仿宋" w:hAnsi="华文仿宋"/>
          <w:szCs w:val="28"/>
        </w:rPr>
      </w:pPr>
      <w:r>
        <w:rPr>
          <w:rFonts w:ascii="华文仿宋" w:hAnsi="华文仿宋"/>
          <w:szCs w:val="28"/>
        </w:rPr>
        <w:t>4.3设备供应厂商应处理所有维修服务，并配有专职的、具有三年以上设备运行服务经验的技术工程师。该服务必须是每天24小时内提供的，在接到报修通知后3小时内赶到现场，并必须连续工作，直至故障修妥，完全恢复正常服务为止。该维修机构须备有足够的零备件，以满足发包人的维修需要。</w:t>
      </w:r>
    </w:p>
    <w:p>
      <w:pPr>
        <w:spacing w:before="12" w:beforeLines="5"/>
        <w:ind w:firstLine="560"/>
        <w:rPr>
          <w:rFonts w:ascii="华文仿宋" w:hAnsi="华文仿宋"/>
          <w:szCs w:val="28"/>
        </w:rPr>
      </w:pPr>
      <w:r>
        <w:rPr>
          <w:rFonts w:ascii="华文仿宋" w:hAnsi="华文仿宋"/>
          <w:szCs w:val="28"/>
        </w:rPr>
        <w:t xml:space="preserve">4.4 </w:t>
      </w:r>
      <w:r>
        <w:rPr>
          <w:rFonts w:hint="eastAsia" w:ascii="华文仿宋" w:hAnsi="华文仿宋"/>
          <w:szCs w:val="28"/>
        </w:rPr>
        <w:t>在质保期内承包人免费提供设备正常使用情况下的维修及保养服务。质保期内设备本身出现质量问题或由于设备本身质量原因造成的任何损伤或损坏，承包人应及时给予免费维修或免费更换，由此引起的施工费、人工费、材料费等其它一切费用由承包人负责。被更换的零部件的质保期则从更换之日重新起计。</w:t>
      </w:r>
    </w:p>
    <w:p>
      <w:pPr>
        <w:spacing w:before="12" w:beforeLines="5"/>
        <w:ind w:firstLine="560"/>
        <w:rPr>
          <w:rFonts w:ascii="华文仿宋" w:hAnsi="华文仿宋"/>
          <w:szCs w:val="28"/>
        </w:rPr>
      </w:pPr>
      <w:r>
        <w:rPr>
          <w:rFonts w:ascii="华文仿宋" w:hAnsi="华文仿宋"/>
          <w:szCs w:val="28"/>
        </w:rPr>
        <w:t xml:space="preserve">4.5 </w:t>
      </w:r>
      <w:r>
        <w:rPr>
          <w:rFonts w:hint="eastAsia" w:ascii="华文仿宋" w:hAnsi="华文仿宋"/>
          <w:szCs w:val="28"/>
        </w:rPr>
        <w:t>在保修期结束前，须由承包人和发包人代表进行一次全面检查，任何缺陷必须由承包人负责修理，在修理之后，承包人应将缺陷原因、修理内容、完成修理及恢复正常的时间和日期等报告给发包人。报告一式两份。</w:t>
      </w:r>
    </w:p>
    <w:p>
      <w:pPr>
        <w:spacing w:before="12" w:beforeLines="5"/>
        <w:ind w:firstLine="560"/>
        <w:rPr>
          <w:rFonts w:ascii="华文仿宋" w:hAnsi="华文仿宋"/>
          <w:szCs w:val="28"/>
        </w:rPr>
      </w:pPr>
      <w:r>
        <w:rPr>
          <w:rFonts w:ascii="华文仿宋" w:hAnsi="华文仿宋"/>
          <w:szCs w:val="28"/>
        </w:rPr>
        <w:t xml:space="preserve">4.6 </w:t>
      </w:r>
      <w:r>
        <w:rPr>
          <w:rFonts w:hint="eastAsia" w:ascii="华文仿宋" w:hAnsi="华文仿宋"/>
          <w:szCs w:val="28"/>
        </w:rPr>
        <w:t>设备供应厂商应派经验丰富的授课人员负责对发包人的维修、操作等有关人员进行培训。通过培训，使发包人技术人员能全面掌握系统的操作、维护等技能。</w:t>
      </w:r>
    </w:p>
    <w:p>
      <w:pPr>
        <w:spacing w:before="12" w:beforeLines="5"/>
        <w:ind w:firstLine="560"/>
        <w:rPr>
          <w:rFonts w:ascii="华文仿宋" w:hAnsi="华文仿宋"/>
          <w:szCs w:val="28"/>
        </w:rPr>
      </w:pPr>
      <w:r>
        <w:rPr>
          <w:rFonts w:ascii="华文仿宋" w:hAnsi="华文仿宋"/>
          <w:szCs w:val="28"/>
        </w:rPr>
        <w:t xml:space="preserve">    工厂培训：设备供应厂商应为发包人技术人员进行工厂培训，</w:t>
      </w:r>
      <w:r>
        <w:rPr>
          <w:rFonts w:hint="eastAsia" w:ascii="华文仿宋" w:hAnsi="华文仿宋"/>
          <w:szCs w:val="28"/>
        </w:rPr>
        <w:t>以达到了解设备结构工作原理及工作性质，排除一般故障的能力。</w:t>
      </w:r>
    </w:p>
    <w:p>
      <w:pPr>
        <w:spacing w:before="12" w:beforeLines="5"/>
        <w:ind w:firstLine="560"/>
        <w:rPr>
          <w:rFonts w:ascii="华文仿宋" w:hAnsi="华文仿宋"/>
          <w:szCs w:val="28"/>
        </w:rPr>
      </w:pPr>
      <w:r>
        <w:rPr>
          <w:rFonts w:ascii="华文仿宋" w:hAnsi="华文仿宋"/>
          <w:szCs w:val="28"/>
        </w:rPr>
        <w:t xml:space="preserve">    现场培训：设备供应厂商应在设备调试完毕后进行免费的现场培训，给予发包人技术人员、物业管理人员指导和演示，达到实际常规操作、进行零件的拆装、排除一般故障的能力。</w:t>
      </w:r>
    </w:p>
    <w:p>
      <w:pPr>
        <w:pStyle w:val="3"/>
        <w:adjustRightInd w:val="0"/>
        <w:snapToGrid w:val="0"/>
        <w:spacing w:before="240" w:line="415" w:lineRule="auto"/>
        <w:ind w:firstLine="561"/>
        <w:rPr>
          <w:rFonts w:ascii="华文仿宋" w:hAnsi="华文仿宋" w:cs="仿宋_GB2312"/>
          <w:szCs w:val="28"/>
        </w:rPr>
      </w:pPr>
      <w:bookmarkStart w:id="11" w:name="_Toc20537"/>
      <w:bookmarkStart w:id="12" w:name="_Toc27495593"/>
      <w:r>
        <w:rPr>
          <w:rFonts w:ascii="华文仿宋" w:hAnsi="华文仿宋" w:cs="仿宋_GB2312"/>
          <w:szCs w:val="28"/>
        </w:rPr>
        <w:t>5 设备产品的铭牌及各种标志</w:t>
      </w:r>
      <w:bookmarkEnd w:id="11"/>
      <w:bookmarkEnd w:id="12"/>
    </w:p>
    <w:p>
      <w:pPr>
        <w:spacing w:before="12" w:beforeLines="5"/>
        <w:ind w:firstLine="560"/>
        <w:rPr>
          <w:rFonts w:ascii="华文仿宋" w:hAnsi="华文仿宋"/>
          <w:szCs w:val="28"/>
        </w:rPr>
      </w:pPr>
      <w:r>
        <w:rPr>
          <w:rFonts w:ascii="华文仿宋" w:hAnsi="华文仿宋"/>
          <w:szCs w:val="28"/>
        </w:rPr>
        <w:t xml:space="preserve">5.1 </w:t>
      </w:r>
      <w:r>
        <w:rPr>
          <w:rFonts w:hint="eastAsia" w:ascii="华文仿宋" w:hAnsi="华文仿宋"/>
          <w:szCs w:val="28"/>
        </w:rPr>
        <w:t>设备的铭牌上应有设备名称、生产厂名、商标、型号、制造日期、出厂编号、防护等级、标准号、主要技术规格等。</w:t>
      </w:r>
    </w:p>
    <w:p>
      <w:pPr>
        <w:spacing w:before="12" w:beforeLines="5"/>
        <w:ind w:firstLine="560"/>
        <w:rPr>
          <w:rFonts w:ascii="华文仿宋" w:hAnsi="华文仿宋"/>
          <w:szCs w:val="28"/>
        </w:rPr>
      </w:pPr>
      <w:r>
        <w:rPr>
          <w:rFonts w:ascii="华文仿宋" w:hAnsi="华文仿宋"/>
          <w:szCs w:val="28"/>
        </w:rPr>
        <w:t xml:space="preserve">5.2 </w:t>
      </w:r>
      <w:r>
        <w:rPr>
          <w:rFonts w:hint="eastAsia" w:ascii="华文仿宋" w:hAnsi="华文仿宋"/>
          <w:szCs w:val="28"/>
        </w:rPr>
        <w:t>所有设备</w:t>
      </w:r>
      <w:r>
        <w:rPr>
          <w:rFonts w:ascii="华文仿宋" w:hAnsi="华文仿宋"/>
          <w:szCs w:val="28"/>
        </w:rPr>
        <w:t>(包括辅助设备)所用的铭牌、指示、警告指示必须有中文表示，不带中文铭牌和指示的产品将被视为不合格产品。铭牌应能防止气候的影响和腐蚀。</w:t>
      </w:r>
    </w:p>
    <w:p>
      <w:pPr>
        <w:pStyle w:val="3"/>
        <w:adjustRightInd w:val="0"/>
        <w:snapToGrid w:val="0"/>
        <w:spacing w:before="240" w:line="415" w:lineRule="auto"/>
        <w:ind w:firstLine="561"/>
        <w:rPr>
          <w:rFonts w:ascii="华文仿宋" w:hAnsi="华文仿宋" w:cs="仿宋_GB2312"/>
          <w:szCs w:val="28"/>
        </w:rPr>
      </w:pPr>
      <w:bookmarkStart w:id="13" w:name="_Toc29525"/>
      <w:bookmarkStart w:id="14" w:name="_Toc27495594"/>
      <w:r>
        <w:rPr>
          <w:rFonts w:ascii="华文仿宋" w:hAnsi="华文仿宋" w:cs="仿宋_GB2312"/>
          <w:szCs w:val="28"/>
        </w:rPr>
        <w:t>6技术资料提交要求</w:t>
      </w:r>
      <w:bookmarkEnd w:id="13"/>
      <w:bookmarkEnd w:id="14"/>
    </w:p>
    <w:p>
      <w:pPr>
        <w:spacing w:before="12" w:beforeLines="5"/>
        <w:ind w:firstLine="560"/>
        <w:rPr>
          <w:rFonts w:ascii="华文仿宋" w:hAnsi="华文仿宋"/>
          <w:szCs w:val="28"/>
        </w:rPr>
      </w:pPr>
      <w:r>
        <w:rPr>
          <w:rFonts w:ascii="华文仿宋" w:hAnsi="华文仿宋"/>
          <w:szCs w:val="28"/>
        </w:rPr>
        <w:t>6.1 所有技术文件均应提交发包人确认、批准。承包人应对所提供的所有技术文件的正确性、完备性和</w:t>
      </w:r>
      <w:r>
        <w:rPr>
          <w:rFonts w:hint="eastAsia" w:ascii="华文仿宋" w:hAnsi="华文仿宋"/>
          <w:szCs w:val="28"/>
        </w:rPr>
        <w:t>时效</w:t>
      </w:r>
      <w:r>
        <w:rPr>
          <w:rFonts w:ascii="华文仿宋" w:hAnsi="华文仿宋"/>
          <w:szCs w:val="28"/>
        </w:rPr>
        <w:t>性负完全责任。如果发包人认为技术文件不能满足需要，有权向</w:t>
      </w:r>
      <w:r>
        <w:rPr>
          <w:rFonts w:hint="eastAsia" w:ascii="华文仿宋" w:hAnsi="华文仿宋"/>
          <w:szCs w:val="28"/>
        </w:rPr>
        <w:t>承包人</w:t>
      </w:r>
      <w:r>
        <w:rPr>
          <w:rFonts w:ascii="华文仿宋" w:hAnsi="华文仿宋"/>
          <w:szCs w:val="28"/>
        </w:rPr>
        <w:t>要求增加必要的技术文件。当发包人要求</w:t>
      </w:r>
      <w:r>
        <w:rPr>
          <w:rFonts w:hint="eastAsia" w:ascii="华文仿宋" w:hAnsi="华文仿宋"/>
          <w:szCs w:val="28"/>
        </w:rPr>
        <w:t>增加</w:t>
      </w:r>
      <w:r>
        <w:rPr>
          <w:rFonts w:ascii="华文仿宋" w:hAnsi="华文仿宋"/>
          <w:szCs w:val="28"/>
        </w:rPr>
        <w:t>有关设备的技术资料时，承包人应及时提供。</w:t>
      </w:r>
    </w:p>
    <w:p>
      <w:pPr>
        <w:spacing w:before="12" w:beforeLines="5"/>
        <w:ind w:firstLine="560"/>
        <w:rPr>
          <w:rFonts w:ascii="华文仿宋" w:hAnsi="华文仿宋"/>
          <w:szCs w:val="28"/>
        </w:rPr>
      </w:pPr>
      <w:r>
        <w:rPr>
          <w:rFonts w:ascii="华文仿宋" w:hAnsi="华文仿宋"/>
          <w:szCs w:val="28"/>
        </w:rPr>
        <w:t>6.2 需要提供资料：</w:t>
      </w:r>
    </w:p>
    <w:p>
      <w:pPr>
        <w:spacing w:before="12" w:beforeLines="5"/>
        <w:ind w:left="179" w:leftChars="64" w:firstLine="378" w:firstLineChars="135"/>
        <w:rPr>
          <w:rFonts w:ascii="华文仿宋" w:hAnsi="华文仿宋"/>
          <w:szCs w:val="28"/>
        </w:rPr>
      </w:pPr>
      <w:r>
        <w:rPr>
          <w:rFonts w:ascii="华文仿宋" w:hAnsi="华文仿宋"/>
          <w:szCs w:val="28"/>
        </w:rPr>
        <w:t xml:space="preserve">  承包人应编制一份详细的计划表供发包人核准。该计划表包括设备及主要部件的设计、制造、检验和装运等有关重大步骤的时间</w:t>
      </w:r>
      <w:r>
        <w:rPr>
          <w:rFonts w:hint="eastAsia" w:ascii="华文仿宋" w:hAnsi="华文仿宋"/>
          <w:szCs w:val="28"/>
        </w:rPr>
        <w:t>、</w:t>
      </w:r>
      <w:r>
        <w:rPr>
          <w:rFonts w:ascii="华文仿宋" w:hAnsi="华文仿宋"/>
          <w:szCs w:val="28"/>
        </w:rPr>
        <w:t>地点，以及承包人提交资料的内容、时间、地点和方式。该计划表必须满足发包人设计、安装、调试等实施工作的进展要求。</w:t>
      </w:r>
    </w:p>
    <w:p>
      <w:pPr>
        <w:spacing w:before="12" w:beforeLines="5"/>
        <w:ind w:left="179" w:leftChars="64" w:firstLine="378" w:firstLineChars="135"/>
        <w:rPr>
          <w:rFonts w:ascii="华文仿宋" w:hAnsi="华文仿宋"/>
          <w:szCs w:val="28"/>
        </w:rPr>
      </w:pPr>
      <w:r>
        <w:rPr>
          <w:rFonts w:ascii="华文仿宋" w:hAnsi="华文仿宋"/>
          <w:szCs w:val="28"/>
        </w:rPr>
        <w:t xml:space="preserve"> 承包人应提供设备尺寸和有关土建安装要求图纸，一式六套提交发包人。</w:t>
      </w:r>
    </w:p>
    <w:p>
      <w:pPr>
        <w:spacing w:before="12" w:beforeLines="5"/>
        <w:ind w:left="179" w:leftChars="64" w:firstLine="378" w:firstLineChars="135"/>
        <w:rPr>
          <w:rFonts w:ascii="华文仿宋" w:hAnsi="华文仿宋"/>
          <w:szCs w:val="28"/>
        </w:rPr>
      </w:pPr>
      <w:r>
        <w:rPr>
          <w:rFonts w:ascii="华文仿宋" w:hAnsi="华文仿宋"/>
          <w:szCs w:val="28"/>
        </w:rPr>
        <w:t xml:space="preserve"> 承包人应提供各类图纸(系统原理图、设计图、装配图)</w:t>
      </w:r>
      <w:r>
        <w:rPr>
          <w:rFonts w:hint="eastAsia" w:ascii="华文仿宋" w:hAnsi="华文仿宋"/>
          <w:szCs w:val="28"/>
        </w:rPr>
        <w:t>、相关的计算书</w:t>
      </w:r>
      <w:r>
        <w:rPr>
          <w:rFonts w:ascii="华文仿宋" w:hAnsi="华文仿宋"/>
          <w:szCs w:val="28"/>
        </w:rPr>
        <w:t>及设计图纸，一式六套提交发包人。</w:t>
      </w:r>
    </w:p>
    <w:p>
      <w:pPr>
        <w:spacing w:before="12" w:beforeLines="5"/>
        <w:ind w:left="179" w:leftChars="64" w:firstLine="378" w:firstLineChars="135"/>
        <w:rPr>
          <w:rFonts w:ascii="华文仿宋" w:hAnsi="华文仿宋"/>
          <w:szCs w:val="28"/>
        </w:rPr>
      </w:pPr>
      <w:r>
        <w:rPr>
          <w:rFonts w:ascii="华文仿宋" w:hAnsi="华文仿宋"/>
          <w:szCs w:val="28"/>
        </w:rPr>
        <w:t xml:space="preserve"> 承包人应完成有关设备的安装</w:t>
      </w:r>
      <w:r>
        <w:rPr>
          <w:rFonts w:hint="eastAsia" w:ascii="华文仿宋" w:hAnsi="华文仿宋"/>
          <w:szCs w:val="28"/>
        </w:rPr>
        <w:t>、</w:t>
      </w:r>
      <w:r>
        <w:rPr>
          <w:rFonts w:ascii="华文仿宋" w:hAnsi="华文仿宋"/>
          <w:szCs w:val="28"/>
        </w:rPr>
        <w:t>调试等工程实施过程中的记录资料和试运行报告，以及竣工验收资料，一式六份提交发包人。</w:t>
      </w:r>
    </w:p>
    <w:p>
      <w:pPr>
        <w:spacing w:before="12" w:beforeLines="5"/>
        <w:ind w:firstLine="561"/>
        <w:rPr>
          <w:rFonts w:ascii="华文仿宋" w:hAnsi="华文仿宋"/>
          <w:b/>
          <w:szCs w:val="28"/>
        </w:rPr>
      </w:pPr>
      <w:r>
        <w:rPr>
          <w:rFonts w:ascii="华文仿宋" w:hAnsi="华文仿宋"/>
          <w:b/>
          <w:szCs w:val="28"/>
        </w:rPr>
        <w:t>6.3设备到场时承包人需提交操作与维修手册，使发包人及有关人员能事前熟悉所安装的设备。</w:t>
      </w:r>
    </w:p>
    <w:p>
      <w:pPr>
        <w:spacing w:before="12" w:beforeLines="5"/>
        <w:ind w:firstLine="561"/>
        <w:rPr>
          <w:rFonts w:ascii="华文仿宋" w:hAnsi="华文仿宋"/>
          <w:b/>
          <w:szCs w:val="28"/>
        </w:rPr>
      </w:pPr>
      <w:r>
        <w:rPr>
          <w:rFonts w:ascii="华文仿宋" w:hAnsi="华文仿宋"/>
          <w:b/>
          <w:szCs w:val="28"/>
        </w:rPr>
        <w:t>6.3.1需要提供的手册主要包括如下内容，但不限于此：</w:t>
      </w:r>
    </w:p>
    <w:p>
      <w:pPr>
        <w:numPr>
          <w:ilvl w:val="0"/>
          <w:numId w:val="22"/>
        </w:numPr>
        <w:ind w:left="0" w:firstLine="560"/>
        <w:rPr>
          <w:rFonts w:ascii="华文仿宋" w:hAnsi="华文仿宋"/>
          <w:szCs w:val="28"/>
        </w:rPr>
      </w:pPr>
      <w:r>
        <w:rPr>
          <w:rFonts w:ascii="华文仿宋" w:hAnsi="华文仿宋"/>
          <w:szCs w:val="28"/>
        </w:rPr>
        <w:t>技术手册（描述设备的技术参数、技术性能）；</w:t>
      </w:r>
    </w:p>
    <w:p>
      <w:pPr>
        <w:numPr>
          <w:ilvl w:val="0"/>
          <w:numId w:val="22"/>
        </w:numPr>
        <w:ind w:left="0" w:firstLine="560"/>
        <w:rPr>
          <w:rFonts w:ascii="华文仿宋" w:hAnsi="华文仿宋"/>
          <w:szCs w:val="28"/>
        </w:rPr>
      </w:pPr>
      <w:r>
        <w:rPr>
          <w:rFonts w:ascii="华文仿宋" w:hAnsi="华文仿宋"/>
          <w:szCs w:val="28"/>
        </w:rPr>
        <w:t>操作手册；</w:t>
      </w:r>
    </w:p>
    <w:p>
      <w:pPr>
        <w:numPr>
          <w:ilvl w:val="0"/>
          <w:numId w:val="22"/>
        </w:numPr>
        <w:ind w:left="0" w:firstLine="560"/>
        <w:rPr>
          <w:rFonts w:ascii="华文仿宋" w:hAnsi="华文仿宋"/>
          <w:szCs w:val="28"/>
        </w:rPr>
      </w:pPr>
      <w:r>
        <w:rPr>
          <w:rFonts w:ascii="华文仿宋" w:hAnsi="华文仿宋"/>
          <w:szCs w:val="28"/>
        </w:rPr>
        <w:t>安装手册；</w:t>
      </w:r>
    </w:p>
    <w:p>
      <w:pPr>
        <w:numPr>
          <w:ilvl w:val="0"/>
          <w:numId w:val="22"/>
        </w:numPr>
        <w:ind w:left="0" w:firstLine="560"/>
        <w:rPr>
          <w:rFonts w:ascii="华文仿宋" w:hAnsi="华文仿宋"/>
          <w:szCs w:val="28"/>
        </w:rPr>
      </w:pPr>
      <w:r>
        <w:rPr>
          <w:rFonts w:ascii="华文仿宋" w:hAnsi="华文仿宋"/>
          <w:szCs w:val="28"/>
        </w:rPr>
        <w:t>维护手册；</w:t>
      </w:r>
    </w:p>
    <w:p>
      <w:pPr>
        <w:numPr>
          <w:ilvl w:val="0"/>
          <w:numId w:val="22"/>
        </w:numPr>
        <w:ind w:left="0" w:firstLine="560"/>
        <w:rPr>
          <w:rFonts w:ascii="华文仿宋" w:hAnsi="华文仿宋"/>
          <w:szCs w:val="28"/>
        </w:rPr>
      </w:pPr>
      <w:r>
        <w:rPr>
          <w:rFonts w:ascii="华文仿宋" w:hAnsi="华文仿宋"/>
          <w:szCs w:val="28"/>
        </w:rPr>
        <w:t>保护装置及监控装置使用、维护手册；</w:t>
      </w:r>
    </w:p>
    <w:p>
      <w:pPr>
        <w:numPr>
          <w:ilvl w:val="0"/>
          <w:numId w:val="22"/>
        </w:numPr>
        <w:ind w:left="0" w:firstLine="560"/>
        <w:rPr>
          <w:rFonts w:ascii="华文仿宋" w:hAnsi="华文仿宋"/>
          <w:szCs w:val="28"/>
        </w:rPr>
      </w:pPr>
      <w:r>
        <w:rPr>
          <w:rFonts w:ascii="华文仿宋" w:hAnsi="华文仿宋"/>
          <w:szCs w:val="28"/>
        </w:rPr>
        <w:t>软件使用说明书。</w:t>
      </w:r>
    </w:p>
    <w:p>
      <w:pPr>
        <w:spacing w:before="12" w:beforeLines="5"/>
        <w:ind w:left="179" w:leftChars="64" w:firstLine="561"/>
        <w:rPr>
          <w:rFonts w:ascii="华文仿宋" w:hAnsi="华文仿宋"/>
          <w:b/>
          <w:szCs w:val="28"/>
        </w:rPr>
      </w:pPr>
      <w:r>
        <w:rPr>
          <w:rFonts w:ascii="华文仿宋" w:hAnsi="华文仿宋"/>
          <w:b/>
          <w:szCs w:val="28"/>
        </w:rPr>
        <w:t>6.3.2手册内应包括控制程序、操作和维修的程序。每一本手册应包括不少于以下的资料：</w:t>
      </w:r>
    </w:p>
    <w:p>
      <w:pPr>
        <w:numPr>
          <w:ilvl w:val="0"/>
          <w:numId w:val="22"/>
        </w:numPr>
        <w:ind w:left="0" w:firstLine="560"/>
        <w:rPr>
          <w:rFonts w:ascii="华文仿宋" w:hAnsi="华文仿宋"/>
          <w:szCs w:val="28"/>
        </w:rPr>
      </w:pPr>
      <w:r>
        <w:rPr>
          <w:rFonts w:ascii="华文仿宋" w:hAnsi="华文仿宋"/>
          <w:szCs w:val="28"/>
        </w:rPr>
        <w:t>所有设备的规格及手册、调试手册及质量保证书各三套</w:t>
      </w:r>
      <w:r>
        <w:rPr>
          <w:rFonts w:hint="eastAsia" w:ascii="华文仿宋" w:hAnsi="华文仿宋"/>
          <w:szCs w:val="28"/>
        </w:rPr>
        <w:t>；</w:t>
      </w:r>
    </w:p>
    <w:p>
      <w:pPr>
        <w:numPr>
          <w:ilvl w:val="0"/>
          <w:numId w:val="22"/>
        </w:numPr>
        <w:ind w:left="0" w:firstLine="560"/>
        <w:rPr>
          <w:rFonts w:ascii="华文仿宋" w:hAnsi="华文仿宋"/>
          <w:szCs w:val="28"/>
        </w:rPr>
      </w:pPr>
      <w:r>
        <w:rPr>
          <w:rFonts w:ascii="华文仿宋" w:hAnsi="华文仿宋"/>
          <w:szCs w:val="28"/>
        </w:rPr>
        <w:t>系统和主要部件常见故障说明</w:t>
      </w:r>
      <w:r>
        <w:rPr>
          <w:rFonts w:hint="eastAsia" w:ascii="华文仿宋" w:hAnsi="华文仿宋"/>
          <w:szCs w:val="28"/>
        </w:rPr>
        <w:t>；</w:t>
      </w:r>
    </w:p>
    <w:p>
      <w:pPr>
        <w:numPr>
          <w:ilvl w:val="0"/>
          <w:numId w:val="22"/>
        </w:numPr>
        <w:ind w:left="0" w:firstLine="560"/>
        <w:rPr>
          <w:rFonts w:ascii="华文仿宋" w:hAnsi="华文仿宋"/>
          <w:szCs w:val="28"/>
        </w:rPr>
      </w:pPr>
      <w:r>
        <w:rPr>
          <w:rFonts w:ascii="华文仿宋" w:hAnsi="华文仿宋"/>
          <w:szCs w:val="28"/>
        </w:rPr>
        <w:t>建议定期保养期及项目</w:t>
      </w:r>
      <w:r>
        <w:rPr>
          <w:rFonts w:hint="eastAsia" w:ascii="华文仿宋" w:hAnsi="华文仿宋"/>
          <w:szCs w:val="28"/>
        </w:rPr>
        <w:t>；</w:t>
      </w:r>
    </w:p>
    <w:p>
      <w:pPr>
        <w:numPr>
          <w:ilvl w:val="0"/>
          <w:numId w:val="22"/>
        </w:numPr>
        <w:ind w:left="0" w:firstLine="560"/>
        <w:rPr>
          <w:rFonts w:ascii="华文仿宋" w:hAnsi="华文仿宋"/>
          <w:szCs w:val="28"/>
        </w:rPr>
      </w:pPr>
      <w:r>
        <w:rPr>
          <w:rFonts w:ascii="华文仿宋" w:hAnsi="华文仿宋"/>
          <w:szCs w:val="28"/>
        </w:rPr>
        <w:t>建议紧急安全程序</w:t>
      </w:r>
      <w:r>
        <w:rPr>
          <w:rFonts w:hint="eastAsia" w:ascii="华文仿宋" w:hAnsi="华文仿宋"/>
          <w:szCs w:val="28"/>
        </w:rPr>
        <w:t>；</w:t>
      </w:r>
    </w:p>
    <w:p>
      <w:pPr>
        <w:numPr>
          <w:ilvl w:val="0"/>
          <w:numId w:val="22"/>
        </w:numPr>
        <w:ind w:left="0" w:firstLine="560"/>
        <w:rPr>
          <w:rFonts w:ascii="华文仿宋" w:hAnsi="华文仿宋"/>
          <w:szCs w:val="28"/>
        </w:rPr>
      </w:pPr>
      <w:r>
        <w:rPr>
          <w:rFonts w:ascii="华文仿宋" w:hAnsi="华文仿宋"/>
          <w:szCs w:val="28"/>
        </w:rPr>
        <w:t>紧急维修中心的电话、地址及负责人的联系方式</w:t>
      </w:r>
      <w:r>
        <w:rPr>
          <w:rFonts w:hint="eastAsia" w:ascii="华文仿宋" w:hAnsi="华文仿宋"/>
          <w:szCs w:val="28"/>
        </w:rPr>
        <w:t>；</w:t>
      </w:r>
    </w:p>
    <w:p>
      <w:pPr>
        <w:numPr>
          <w:ilvl w:val="0"/>
          <w:numId w:val="22"/>
        </w:numPr>
        <w:ind w:left="0" w:firstLine="560"/>
        <w:rPr>
          <w:rFonts w:ascii="华文仿宋" w:hAnsi="华文仿宋"/>
          <w:szCs w:val="28"/>
        </w:rPr>
      </w:pPr>
      <w:r>
        <w:rPr>
          <w:rFonts w:ascii="华文仿宋" w:hAnsi="华文仿宋"/>
          <w:szCs w:val="28"/>
        </w:rPr>
        <w:t>图纸（设备制造前需要提供的图纸主要包括以下内容，但不限于此）：</w:t>
      </w:r>
    </w:p>
    <w:p>
      <w:pPr>
        <w:numPr>
          <w:ilvl w:val="0"/>
          <w:numId w:val="22"/>
        </w:numPr>
        <w:ind w:left="0" w:firstLine="560"/>
        <w:rPr>
          <w:rFonts w:ascii="华文仿宋" w:hAnsi="华文仿宋"/>
          <w:szCs w:val="28"/>
        </w:rPr>
      </w:pPr>
      <w:r>
        <w:rPr>
          <w:rFonts w:ascii="华文仿宋" w:hAnsi="华文仿宋"/>
          <w:szCs w:val="28"/>
        </w:rPr>
        <w:t>装置外型图、结构图、排列图；</w:t>
      </w:r>
    </w:p>
    <w:p>
      <w:pPr>
        <w:numPr>
          <w:ilvl w:val="0"/>
          <w:numId w:val="22"/>
        </w:numPr>
        <w:ind w:left="0" w:firstLine="560"/>
        <w:rPr>
          <w:rFonts w:ascii="华文仿宋" w:hAnsi="华文仿宋"/>
          <w:szCs w:val="28"/>
        </w:rPr>
      </w:pPr>
      <w:r>
        <w:rPr>
          <w:rFonts w:ascii="华文仿宋" w:hAnsi="华文仿宋"/>
          <w:szCs w:val="28"/>
        </w:rPr>
        <w:t>装置组装图；</w:t>
      </w:r>
    </w:p>
    <w:p>
      <w:pPr>
        <w:numPr>
          <w:ilvl w:val="0"/>
          <w:numId w:val="22"/>
        </w:numPr>
        <w:ind w:left="0" w:firstLine="560"/>
        <w:rPr>
          <w:rFonts w:ascii="华文仿宋" w:hAnsi="华文仿宋"/>
          <w:szCs w:val="28"/>
        </w:rPr>
      </w:pPr>
      <w:r>
        <w:rPr>
          <w:rFonts w:ascii="华文仿宋" w:hAnsi="华文仿宋"/>
          <w:szCs w:val="28"/>
        </w:rPr>
        <w:t>二次接线原理图；</w:t>
      </w:r>
    </w:p>
    <w:p>
      <w:pPr>
        <w:numPr>
          <w:ilvl w:val="0"/>
          <w:numId w:val="22"/>
        </w:numPr>
        <w:ind w:left="0" w:firstLine="560"/>
        <w:rPr>
          <w:rFonts w:ascii="华文仿宋" w:hAnsi="华文仿宋"/>
          <w:szCs w:val="28"/>
        </w:rPr>
      </w:pPr>
      <w:r>
        <w:rPr>
          <w:rFonts w:ascii="华文仿宋" w:hAnsi="华文仿宋"/>
          <w:szCs w:val="28"/>
        </w:rPr>
        <w:t>二次接线端子图。</w:t>
      </w:r>
    </w:p>
    <w:p>
      <w:pPr>
        <w:spacing w:before="12" w:beforeLines="5"/>
        <w:ind w:firstLine="561"/>
        <w:rPr>
          <w:rFonts w:ascii="华文仿宋" w:hAnsi="华文仿宋"/>
          <w:szCs w:val="28"/>
        </w:rPr>
      </w:pPr>
      <w:r>
        <w:rPr>
          <w:rFonts w:ascii="华文仿宋" w:hAnsi="华文仿宋"/>
          <w:b/>
          <w:szCs w:val="28"/>
        </w:rPr>
        <w:t>6.3.3技术文件</w:t>
      </w:r>
      <w:r>
        <w:rPr>
          <w:rFonts w:ascii="华文仿宋" w:hAnsi="华文仿宋"/>
          <w:szCs w:val="28"/>
        </w:rPr>
        <w:t>（需要提供的技术文件主要包括以下内容，但不限于此）：</w:t>
      </w:r>
    </w:p>
    <w:p>
      <w:pPr>
        <w:numPr>
          <w:ilvl w:val="0"/>
          <w:numId w:val="22"/>
        </w:numPr>
        <w:ind w:left="0" w:firstLine="560"/>
        <w:rPr>
          <w:rFonts w:ascii="华文仿宋" w:hAnsi="华文仿宋"/>
          <w:szCs w:val="28"/>
        </w:rPr>
      </w:pPr>
      <w:r>
        <w:rPr>
          <w:rFonts w:ascii="华文仿宋" w:hAnsi="华文仿宋"/>
          <w:szCs w:val="28"/>
        </w:rPr>
        <w:t>设备技术规格书；</w:t>
      </w:r>
    </w:p>
    <w:p>
      <w:pPr>
        <w:numPr>
          <w:ilvl w:val="0"/>
          <w:numId w:val="22"/>
        </w:numPr>
        <w:ind w:left="0" w:firstLine="560"/>
        <w:rPr>
          <w:rFonts w:ascii="华文仿宋" w:hAnsi="华文仿宋"/>
          <w:szCs w:val="28"/>
        </w:rPr>
      </w:pPr>
      <w:r>
        <w:rPr>
          <w:rFonts w:ascii="华文仿宋" w:hAnsi="华文仿宋"/>
          <w:szCs w:val="28"/>
        </w:rPr>
        <w:t>设备及其主要部件和系统的最终说明书；</w:t>
      </w:r>
    </w:p>
    <w:p>
      <w:pPr>
        <w:numPr>
          <w:ilvl w:val="0"/>
          <w:numId w:val="22"/>
        </w:numPr>
        <w:ind w:left="0" w:firstLine="560"/>
        <w:rPr>
          <w:rFonts w:ascii="华文仿宋" w:hAnsi="华文仿宋"/>
          <w:szCs w:val="28"/>
        </w:rPr>
      </w:pPr>
      <w:r>
        <w:rPr>
          <w:rFonts w:ascii="华文仿宋" w:hAnsi="华文仿宋"/>
          <w:szCs w:val="28"/>
        </w:rPr>
        <w:t>计算过程及结果；</w:t>
      </w:r>
    </w:p>
    <w:p>
      <w:pPr>
        <w:numPr>
          <w:ilvl w:val="0"/>
          <w:numId w:val="22"/>
        </w:numPr>
        <w:ind w:left="0" w:firstLine="560"/>
        <w:rPr>
          <w:rFonts w:ascii="华文仿宋" w:hAnsi="华文仿宋"/>
          <w:szCs w:val="28"/>
        </w:rPr>
      </w:pPr>
      <w:r>
        <w:rPr>
          <w:rFonts w:ascii="华文仿宋" w:hAnsi="华文仿宋"/>
          <w:szCs w:val="28"/>
        </w:rPr>
        <w:t>设备及其主要部件的型式试验报告和特殊试验报告；</w:t>
      </w:r>
    </w:p>
    <w:p>
      <w:pPr>
        <w:numPr>
          <w:ilvl w:val="0"/>
          <w:numId w:val="22"/>
        </w:numPr>
        <w:ind w:left="0" w:firstLine="560"/>
        <w:rPr>
          <w:rFonts w:ascii="华文仿宋" w:hAnsi="华文仿宋"/>
          <w:szCs w:val="28"/>
        </w:rPr>
      </w:pPr>
      <w:r>
        <w:rPr>
          <w:rFonts w:ascii="华文仿宋" w:hAnsi="华文仿宋"/>
          <w:szCs w:val="28"/>
        </w:rPr>
        <w:t>设备的主要部件的出厂试验报告、产品耐压鉴定文件等;</w:t>
      </w:r>
    </w:p>
    <w:p>
      <w:pPr>
        <w:numPr>
          <w:ilvl w:val="0"/>
          <w:numId w:val="22"/>
        </w:numPr>
        <w:ind w:left="0" w:firstLine="560"/>
        <w:rPr>
          <w:rFonts w:ascii="华文仿宋" w:hAnsi="华文仿宋"/>
          <w:szCs w:val="28"/>
        </w:rPr>
      </w:pPr>
      <w:r>
        <w:rPr>
          <w:rFonts w:ascii="华文仿宋" w:hAnsi="华文仿宋"/>
          <w:szCs w:val="28"/>
        </w:rPr>
        <w:t>主要材料进货单、入厂检验报告和进口材料的商检报告;</w:t>
      </w:r>
    </w:p>
    <w:p>
      <w:pPr>
        <w:numPr>
          <w:ilvl w:val="0"/>
          <w:numId w:val="22"/>
        </w:numPr>
        <w:ind w:left="0" w:firstLine="560"/>
        <w:rPr>
          <w:rFonts w:ascii="华文仿宋" w:hAnsi="华文仿宋"/>
          <w:szCs w:val="28"/>
        </w:rPr>
      </w:pPr>
      <w:r>
        <w:rPr>
          <w:rFonts w:ascii="华文仿宋" w:hAnsi="华文仿宋"/>
          <w:szCs w:val="28"/>
        </w:rPr>
        <w:t>产品合格证;</w:t>
      </w:r>
    </w:p>
    <w:p>
      <w:pPr>
        <w:numPr>
          <w:ilvl w:val="0"/>
          <w:numId w:val="22"/>
        </w:numPr>
        <w:ind w:left="0" w:firstLine="560"/>
        <w:rPr>
          <w:rFonts w:ascii="华文仿宋" w:hAnsi="华文仿宋"/>
          <w:szCs w:val="28"/>
        </w:rPr>
      </w:pPr>
      <w:r>
        <w:rPr>
          <w:rFonts w:ascii="华文仿宋" w:hAnsi="华文仿宋"/>
          <w:szCs w:val="28"/>
        </w:rPr>
        <w:t>按规定提供的备品、备件清单;</w:t>
      </w:r>
    </w:p>
    <w:p>
      <w:pPr>
        <w:numPr>
          <w:ilvl w:val="0"/>
          <w:numId w:val="22"/>
        </w:numPr>
        <w:ind w:left="0" w:firstLine="560"/>
        <w:rPr>
          <w:rFonts w:ascii="华文仿宋" w:hAnsi="华文仿宋"/>
          <w:szCs w:val="28"/>
        </w:rPr>
      </w:pPr>
      <w:r>
        <w:rPr>
          <w:rFonts w:ascii="华文仿宋" w:hAnsi="华文仿宋"/>
          <w:szCs w:val="28"/>
        </w:rPr>
        <w:t>按供、需双方签署的合同提供的商品、备件清单;</w:t>
      </w:r>
    </w:p>
    <w:p>
      <w:pPr>
        <w:numPr>
          <w:ilvl w:val="0"/>
          <w:numId w:val="22"/>
        </w:numPr>
        <w:ind w:left="0" w:firstLine="560"/>
        <w:rPr>
          <w:rFonts w:ascii="华文仿宋" w:hAnsi="华文仿宋"/>
          <w:szCs w:val="28"/>
        </w:rPr>
      </w:pPr>
      <w:r>
        <w:rPr>
          <w:rFonts w:ascii="华文仿宋" w:hAnsi="华文仿宋"/>
          <w:szCs w:val="28"/>
        </w:rPr>
        <w:t>设备采用的相关标准。</w:t>
      </w:r>
    </w:p>
    <w:p>
      <w:pPr>
        <w:pStyle w:val="3"/>
        <w:adjustRightInd w:val="0"/>
        <w:snapToGrid w:val="0"/>
        <w:spacing w:before="240" w:line="415" w:lineRule="auto"/>
        <w:ind w:firstLine="561"/>
        <w:rPr>
          <w:rFonts w:ascii="华文仿宋" w:hAnsi="华文仿宋" w:cs="仿宋_GB2312"/>
          <w:szCs w:val="28"/>
        </w:rPr>
      </w:pPr>
      <w:bookmarkStart w:id="15" w:name="_Toc25718"/>
      <w:bookmarkStart w:id="16" w:name="_Toc27495595"/>
      <w:r>
        <w:rPr>
          <w:rFonts w:ascii="华文仿宋" w:hAnsi="华文仿宋" w:cs="仿宋_GB2312"/>
          <w:szCs w:val="28"/>
        </w:rPr>
        <w:t xml:space="preserve">7 </w:t>
      </w:r>
      <w:r>
        <w:rPr>
          <w:rFonts w:hint="eastAsia" w:ascii="华文仿宋" w:hAnsi="华文仿宋" w:cs="仿宋_GB2312"/>
          <w:szCs w:val="28"/>
        </w:rPr>
        <w:t>专用工具</w:t>
      </w:r>
      <w:bookmarkEnd w:id="15"/>
      <w:bookmarkEnd w:id="16"/>
    </w:p>
    <w:p>
      <w:pPr>
        <w:ind w:firstLine="560"/>
        <w:rPr>
          <w:rFonts w:ascii="华文仿宋" w:hAnsi="华文仿宋"/>
          <w:szCs w:val="28"/>
        </w:rPr>
      </w:pPr>
      <w:r>
        <w:rPr>
          <w:rFonts w:ascii="华文仿宋" w:hAnsi="华文仿宋"/>
          <w:szCs w:val="28"/>
        </w:rPr>
        <w:t xml:space="preserve"> 承包人必须提供必要的、全新的和完整的检测与维修(包括必需的附件、简体中文操作手册)所需的专用工具一套。</w:t>
      </w:r>
    </w:p>
    <w:p>
      <w:pPr>
        <w:ind w:firstLine="560"/>
        <w:rPr>
          <w:rFonts w:ascii="华文仿宋" w:hAnsi="华文仿宋"/>
          <w:szCs w:val="28"/>
        </w:rPr>
      </w:pPr>
      <w:r>
        <w:rPr>
          <w:rFonts w:ascii="华文仿宋" w:hAnsi="华文仿宋"/>
          <w:szCs w:val="28"/>
        </w:rPr>
        <w:t xml:space="preserve"> 设备试运行时，承包人应负责将所有检测、维修设备及工具单独装箱直接交付发包人。</w:t>
      </w:r>
    </w:p>
    <w:p>
      <w:pPr>
        <w:pStyle w:val="3"/>
        <w:adjustRightInd w:val="0"/>
        <w:snapToGrid w:val="0"/>
        <w:spacing w:before="240" w:line="415" w:lineRule="auto"/>
        <w:ind w:firstLine="561"/>
        <w:rPr>
          <w:rFonts w:ascii="华文仿宋" w:hAnsi="华文仿宋" w:cs="仿宋_GB2312"/>
          <w:szCs w:val="28"/>
        </w:rPr>
      </w:pPr>
      <w:bookmarkStart w:id="17" w:name="_Toc32295"/>
      <w:bookmarkStart w:id="18" w:name="_Toc27495596"/>
      <w:r>
        <w:rPr>
          <w:rFonts w:ascii="华文仿宋" w:hAnsi="华文仿宋" w:cs="仿宋_GB2312"/>
          <w:szCs w:val="28"/>
        </w:rPr>
        <w:t xml:space="preserve">8 </w:t>
      </w:r>
      <w:r>
        <w:rPr>
          <w:rFonts w:hint="eastAsia" w:ascii="华文仿宋" w:hAnsi="华文仿宋" w:cs="仿宋_GB2312"/>
          <w:szCs w:val="28"/>
        </w:rPr>
        <w:t>其他</w:t>
      </w:r>
      <w:bookmarkEnd w:id="17"/>
      <w:bookmarkEnd w:id="18"/>
    </w:p>
    <w:p>
      <w:pPr>
        <w:ind w:firstLine="561"/>
        <w:rPr>
          <w:rFonts w:ascii="华文仿宋" w:hAnsi="华文仿宋"/>
          <w:b/>
          <w:szCs w:val="28"/>
        </w:rPr>
      </w:pPr>
      <w:r>
        <w:rPr>
          <w:rFonts w:ascii="华文仿宋" w:hAnsi="华文仿宋"/>
          <w:b/>
          <w:szCs w:val="28"/>
        </w:rPr>
        <w:t>若本技术规格书与项目所在地供电管理部门</w:t>
      </w:r>
      <w:r>
        <w:rPr>
          <w:rFonts w:hint="eastAsia" w:ascii="华文仿宋" w:hAnsi="华文仿宋"/>
          <w:b/>
          <w:szCs w:val="28"/>
        </w:rPr>
        <w:t>负责的市政供电（即外电</w:t>
      </w:r>
      <w:r>
        <w:rPr>
          <w:rFonts w:ascii="华文仿宋" w:hAnsi="华文仿宋"/>
          <w:b/>
          <w:szCs w:val="28"/>
        </w:rPr>
        <w:t>部分</w:t>
      </w:r>
      <w:r>
        <w:rPr>
          <w:rFonts w:hint="eastAsia" w:ascii="华文仿宋" w:hAnsi="华文仿宋"/>
          <w:b/>
          <w:szCs w:val="28"/>
        </w:rPr>
        <w:t>）</w:t>
      </w:r>
      <w:r>
        <w:rPr>
          <w:rFonts w:ascii="华文仿宋" w:hAnsi="华文仿宋"/>
          <w:b/>
          <w:szCs w:val="28"/>
        </w:rPr>
        <w:t>设备材料（如</w:t>
      </w:r>
      <w:r>
        <w:rPr>
          <w:rFonts w:hint="eastAsia" w:ascii="华文仿宋" w:hAnsi="华文仿宋"/>
          <w:b/>
          <w:szCs w:val="28"/>
          <w:lang w:val="en-US" w:eastAsia="zh-CN"/>
        </w:rPr>
        <w:t>低压配电箱</w:t>
      </w:r>
      <w:r>
        <w:rPr>
          <w:rFonts w:ascii="华文仿宋" w:hAnsi="华文仿宋"/>
          <w:b/>
          <w:szCs w:val="28"/>
        </w:rPr>
        <w:t>等）的要求不一致</w:t>
      </w:r>
      <w:r>
        <w:rPr>
          <w:rFonts w:hint="eastAsia" w:ascii="华文仿宋" w:hAnsi="华文仿宋"/>
          <w:b/>
          <w:szCs w:val="28"/>
        </w:rPr>
        <w:t>时</w:t>
      </w:r>
      <w:r>
        <w:rPr>
          <w:rFonts w:ascii="华文仿宋" w:hAnsi="华文仿宋"/>
          <w:b/>
          <w:szCs w:val="28"/>
        </w:rPr>
        <w:t>，则以项目所在地供电管理部门</w:t>
      </w:r>
      <w:r>
        <w:rPr>
          <w:rFonts w:hint="eastAsia" w:ascii="华文仿宋" w:hAnsi="华文仿宋"/>
          <w:b/>
          <w:szCs w:val="28"/>
        </w:rPr>
        <w:t>和电力设计院</w:t>
      </w:r>
      <w:r>
        <w:rPr>
          <w:rFonts w:ascii="华文仿宋" w:hAnsi="华文仿宋"/>
          <w:b/>
          <w:szCs w:val="28"/>
        </w:rPr>
        <w:t>要求为准。</w:t>
      </w:r>
    </w:p>
    <w:p>
      <w:pPr>
        <w:pStyle w:val="2"/>
        <w:tabs>
          <w:tab w:val="left" w:pos="685"/>
        </w:tabs>
        <w:spacing w:before="240" w:after="240"/>
        <w:jc w:val="left"/>
        <w:rPr>
          <w:rFonts w:ascii="华文仿宋" w:hAnsi="华文仿宋"/>
          <w:szCs w:val="28"/>
        </w:rPr>
      </w:pPr>
      <w:r>
        <w:rPr>
          <w:rFonts w:ascii="华文仿宋" w:hAnsi="华文仿宋"/>
          <w:szCs w:val="28"/>
        </w:rPr>
        <w:tab/>
      </w:r>
      <w:bookmarkStart w:id="19" w:name="_Toc13450"/>
      <w:r>
        <w:rPr>
          <w:rFonts w:ascii="华文仿宋" w:hAnsi="华文仿宋"/>
          <w:szCs w:val="28"/>
        </w:rPr>
        <w:t>9 主要产品材料档次</w:t>
      </w:r>
      <w:bookmarkEnd w:id="19"/>
    </w:p>
    <w:tbl>
      <w:tblPr>
        <w:tblStyle w:val="8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747"/>
        <w:gridCol w:w="26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47" w:type="dxa"/>
          </w:tcPr>
          <w:p>
            <w:pPr>
              <w:ind w:firstLine="0" w:firstLineChars="0"/>
            </w:pPr>
            <w:r>
              <w:rPr>
                <w:rFonts w:hint="eastAsia"/>
              </w:rPr>
              <w:t>电气系统主要产品材料名称</w:t>
            </w:r>
          </w:p>
        </w:tc>
        <w:tc>
          <w:tcPr>
            <w:tcW w:w="2682" w:type="dxa"/>
          </w:tcPr>
          <w:p>
            <w:pPr>
              <w:ind w:firstLine="0" w:firstLineChars="0"/>
            </w:pPr>
            <w:r>
              <w:rPr>
                <w:rFonts w:hint="eastAsia"/>
              </w:rPr>
              <w:t>材料档次要求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47" w:type="dxa"/>
          </w:tcPr>
          <w:p>
            <w:pPr>
              <w:ind w:firstLine="0" w:firstLineChars="0"/>
            </w:pPr>
            <w:r>
              <w:rPr>
                <w:rFonts w:hint="eastAsia"/>
              </w:rPr>
              <w:t>低压配电箱（柜）</w:t>
            </w:r>
          </w:p>
        </w:tc>
        <w:tc>
          <w:tcPr>
            <w:tcW w:w="2682" w:type="dxa"/>
          </w:tcPr>
          <w:p>
            <w:pPr>
              <w:ind w:firstLine="0" w:firstLineChars="0"/>
            </w:pPr>
            <w:r>
              <w:rPr>
                <w:rFonts w:hint="eastAsia"/>
              </w:rPr>
              <w:t>中高档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47" w:type="dxa"/>
          </w:tcPr>
          <w:p>
            <w:pPr>
              <w:ind w:firstLine="0" w:firstLineChars="0"/>
            </w:pPr>
            <w:r>
              <w:rPr>
                <w:rFonts w:hint="eastAsia"/>
              </w:rPr>
              <w:t>电力电缆、电线</w:t>
            </w:r>
          </w:p>
        </w:tc>
        <w:tc>
          <w:tcPr>
            <w:tcW w:w="2682" w:type="dxa"/>
          </w:tcPr>
          <w:p>
            <w:pPr>
              <w:ind w:firstLine="0" w:firstLineChars="0"/>
            </w:pPr>
            <w:r>
              <w:rPr>
                <w:rFonts w:hint="eastAsia"/>
              </w:rPr>
              <w:t>中高档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47" w:type="dxa"/>
          </w:tcPr>
          <w:p>
            <w:pPr>
              <w:ind w:firstLine="0" w:firstLineChars="0"/>
            </w:pPr>
            <w:r>
              <w:rPr>
                <w:rFonts w:hint="eastAsia"/>
              </w:rPr>
              <w:t>金属梯架、托盘和槽盒、金属电线管</w:t>
            </w:r>
          </w:p>
        </w:tc>
        <w:tc>
          <w:tcPr>
            <w:tcW w:w="2682" w:type="dxa"/>
          </w:tcPr>
          <w:p>
            <w:pPr>
              <w:ind w:firstLine="0" w:firstLineChars="0"/>
            </w:pPr>
            <w:r>
              <w:rPr>
                <w:rFonts w:hint="eastAsia"/>
              </w:rPr>
              <w:t>中高档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47" w:type="dxa"/>
          </w:tcPr>
          <w:p>
            <w:pPr>
              <w:ind w:firstLine="0" w:firstLineChars="0"/>
            </w:pPr>
            <w:r>
              <w:rPr>
                <w:rFonts w:hint="eastAsia"/>
              </w:rPr>
              <w:t>照明灯具（非装修区域）</w:t>
            </w:r>
          </w:p>
        </w:tc>
        <w:tc>
          <w:tcPr>
            <w:tcW w:w="2682" w:type="dxa"/>
          </w:tcPr>
          <w:p>
            <w:pPr>
              <w:ind w:firstLine="0" w:firstLineChars="0"/>
            </w:pPr>
            <w:r>
              <w:rPr>
                <w:rFonts w:hint="eastAsia"/>
              </w:rPr>
              <w:t>中高档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47" w:type="dxa"/>
          </w:tcPr>
          <w:p>
            <w:pPr>
              <w:ind w:firstLine="0" w:firstLineChars="0"/>
            </w:pPr>
            <w:r>
              <w:rPr>
                <w:rFonts w:hint="eastAsia"/>
              </w:rPr>
              <w:t>消防应急照明和疏散指示系统</w:t>
            </w:r>
          </w:p>
        </w:tc>
        <w:tc>
          <w:tcPr>
            <w:tcW w:w="2682" w:type="dxa"/>
          </w:tcPr>
          <w:p>
            <w:pPr>
              <w:ind w:firstLine="0" w:firstLineChars="0"/>
            </w:pPr>
            <w:r>
              <w:rPr>
                <w:rFonts w:hint="eastAsia"/>
              </w:rPr>
              <w:t>中高档</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747" w:type="dxa"/>
          </w:tcPr>
          <w:p>
            <w:pPr>
              <w:ind w:firstLine="0" w:firstLineChars="0"/>
              <w:rPr>
                <w:rFonts w:hint="default" w:eastAsia="华文仿宋"/>
                <w:lang w:val="en-US" w:eastAsia="zh-CN"/>
              </w:rPr>
            </w:pPr>
            <w:r>
              <w:rPr>
                <w:rFonts w:hint="eastAsia"/>
                <w:lang w:val="en-US" w:eastAsia="zh-CN"/>
              </w:rPr>
              <w:t>智能家居系统</w:t>
            </w:r>
          </w:p>
        </w:tc>
        <w:tc>
          <w:tcPr>
            <w:tcW w:w="2682" w:type="dxa"/>
          </w:tcPr>
          <w:p>
            <w:pPr>
              <w:ind w:firstLine="0" w:firstLineChars="0"/>
              <w:rPr>
                <w:rFonts w:hint="eastAsia"/>
              </w:rPr>
            </w:pPr>
            <w:r>
              <w:rPr>
                <w:rFonts w:hint="eastAsia"/>
              </w:rPr>
              <w:t>中高档</w:t>
            </w:r>
          </w:p>
        </w:tc>
      </w:tr>
    </w:tbl>
    <w:p>
      <w:pPr>
        <w:ind w:firstLine="560"/>
      </w:pPr>
    </w:p>
    <w:p>
      <w:pPr>
        <w:pStyle w:val="2"/>
        <w:spacing w:before="240" w:after="240"/>
      </w:pPr>
      <w:r>
        <w:br w:type="page"/>
      </w:r>
      <w:bookmarkStart w:id="20" w:name="_Toc27495597"/>
      <w:bookmarkStart w:id="21" w:name="_Toc26349"/>
      <w:r>
        <w:rPr>
          <w:rFonts w:hint="eastAsia" w:ascii="华文仿宋" w:hAnsi="华文仿宋"/>
          <w:szCs w:val="28"/>
        </w:rPr>
        <w:t>第二部分</w:t>
      </w:r>
      <w:r>
        <w:rPr>
          <w:rFonts w:ascii="华文仿宋" w:hAnsi="华文仿宋"/>
          <w:szCs w:val="28"/>
        </w:rPr>
        <w:t xml:space="preserve"> </w:t>
      </w:r>
      <w:r>
        <w:rPr>
          <w:rFonts w:hint="eastAsia" w:ascii="华文仿宋" w:hAnsi="华文仿宋"/>
          <w:szCs w:val="28"/>
        </w:rPr>
        <w:t>电气系统</w:t>
      </w:r>
      <w:bookmarkEnd w:id="20"/>
      <w:bookmarkEnd w:id="21"/>
    </w:p>
    <w:bookmarkEnd w:id="2"/>
    <w:p>
      <w:pPr>
        <w:pStyle w:val="79"/>
        <w:ind w:firstLine="561"/>
        <w:rPr>
          <w:rFonts w:ascii="华文仿宋" w:hAnsi="华文仿宋"/>
          <w:szCs w:val="28"/>
        </w:rPr>
      </w:pPr>
      <w:bookmarkStart w:id="22" w:name="_Toc11227942"/>
      <w:bookmarkStart w:id="23" w:name="_Toc27495631"/>
      <w:bookmarkStart w:id="24" w:name="_Toc28501"/>
      <w:bookmarkStart w:id="25" w:name="_Toc398487522"/>
      <w:bookmarkStart w:id="26" w:name="_Toc420328895"/>
      <w:bookmarkStart w:id="27" w:name="_Toc410826682"/>
      <w:bookmarkStart w:id="28" w:name="_Toc420335007"/>
      <w:bookmarkStart w:id="29" w:name="_Toc9127"/>
      <w:r>
        <w:rPr>
          <w:rFonts w:hint="eastAsia" w:ascii="华文仿宋" w:hAnsi="华文仿宋"/>
          <w:szCs w:val="28"/>
          <w:lang w:val="en-US" w:eastAsia="zh-CN"/>
        </w:rPr>
        <w:t>一</w:t>
      </w:r>
      <w:r>
        <w:rPr>
          <w:rFonts w:ascii="华文仿宋" w:hAnsi="华文仿宋"/>
          <w:szCs w:val="28"/>
        </w:rPr>
        <w:t xml:space="preserve"> </w:t>
      </w:r>
      <w:r>
        <w:rPr>
          <w:rFonts w:hint="eastAsia" w:ascii="华文仿宋" w:hAnsi="华文仿宋"/>
          <w:szCs w:val="28"/>
        </w:rPr>
        <w:t>低压配电箱（柜）</w:t>
      </w:r>
      <w:bookmarkEnd w:id="22"/>
      <w:bookmarkEnd w:id="23"/>
      <w:bookmarkEnd w:id="24"/>
    </w:p>
    <w:p>
      <w:pPr>
        <w:pStyle w:val="3"/>
        <w:spacing w:before="240"/>
        <w:ind w:firstLine="561"/>
      </w:pPr>
      <w:bookmarkStart w:id="30" w:name="_Toc11227943"/>
      <w:bookmarkStart w:id="31" w:name="_Toc27495632"/>
      <w:bookmarkStart w:id="32" w:name="_Toc22234"/>
      <w:r>
        <w:t>1</w:t>
      </w:r>
      <w:bookmarkEnd w:id="30"/>
      <w:bookmarkEnd w:id="31"/>
      <w:r>
        <w:rPr>
          <w:rFonts w:hint="eastAsia"/>
        </w:rPr>
        <w:t>总则</w:t>
      </w:r>
      <w:bookmarkEnd w:id="32"/>
    </w:p>
    <w:p>
      <w:pPr>
        <w:spacing w:before="12" w:beforeLines="5"/>
        <w:ind w:firstLine="560"/>
        <w:rPr>
          <w:rFonts w:hAnsi="华文仿宋"/>
          <w:szCs w:val="28"/>
        </w:rPr>
      </w:pPr>
      <w:r>
        <w:rPr>
          <w:rFonts w:hint="eastAsia" w:hAnsi="华文仿宋"/>
          <w:szCs w:val="28"/>
        </w:rPr>
        <w:t>本章节适用于除电房低压开关柜之外的所有配电（照明、控制）箱（柜、台、盘）、插接箱、</w:t>
      </w:r>
      <w:r>
        <w:rPr>
          <w:rFonts w:hAnsi="华文仿宋"/>
          <w:szCs w:val="28"/>
        </w:rPr>
        <w:t>T</w:t>
      </w:r>
      <w:r>
        <w:rPr>
          <w:rFonts w:hint="eastAsia" w:hAnsi="华文仿宋"/>
          <w:szCs w:val="28"/>
        </w:rPr>
        <w:t>接箱、接线箱等设备。</w:t>
      </w:r>
    </w:p>
    <w:p>
      <w:pPr>
        <w:spacing w:before="12" w:beforeLines="5"/>
        <w:ind w:firstLine="560"/>
        <w:rPr>
          <w:rFonts w:hAnsi="华文仿宋"/>
          <w:szCs w:val="28"/>
        </w:rPr>
      </w:pPr>
      <w:r>
        <w:rPr>
          <w:rFonts w:hint="eastAsia" w:hAnsi="华文仿宋"/>
          <w:szCs w:val="28"/>
        </w:rPr>
        <w:t>为了便于开关上下级保护配合、断路分断能力的级联及方便管理，与低压开关柜内的框架式开关、塑壳开关要求选用同一品牌（同一厂家）的产品。</w:t>
      </w:r>
    </w:p>
    <w:p>
      <w:pPr>
        <w:spacing w:before="12" w:beforeLines="5"/>
        <w:ind w:firstLine="560"/>
        <w:rPr>
          <w:rFonts w:hAnsi="华文仿宋"/>
          <w:szCs w:val="28"/>
        </w:rPr>
      </w:pPr>
      <w:r>
        <w:rPr>
          <w:rFonts w:hint="eastAsia" w:hAnsi="华文仿宋"/>
          <w:szCs w:val="28"/>
        </w:rPr>
        <w:t>柜内导线、导线颜色、按钮、指示灯、插接件、布线槽等均应符合国家或行业的有关标准；</w:t>
      </w:r>
    </w:p>
    <w:p>
      <w:pPr>
        <w:spacing w:before="12" w:beforeLines="5"/>
        <w:ind w:firstLine="560"/>
        <w:rPr>
          <w:rFonts w:hAnsi="华文仿宋"/>
          <w:szCs w:val="28"/>
        </w:rPr>
      </w:pPr>
      <w:r>
        <w:rPr>
          <w:rFonts w:hint="eastAsia" w:hAnsi="华文仿宋"/>
          <w:szCs w:val="28"/>
        </w:rPr>
        <w:t>接线端子应适合连接硬、软铜导线，并保证维持适合于电器元件和电路的额定电流、短路电流强度所需要的接触压力。</w:t>
      </w:r>
    </w:p>
    <w:p>
      <w:pPr>
        <w:pStyle w:val="3"/>
        <w:spacing w:before="240"/>
        <w:ind w:firstLine="561"/>
      </w:pPr>
      <w:bookmarkStart w:id="33" w:name="_Toc16324"/>
      <w:bookmarkStart w:id="34" w:name="_Toc11227944"/>
      <w:bookmarkStart w:id="35" w:name="_Toc27495633"/>
      <w:r>
        <w:t xml:space="preserve">2 </w:t>
      </w:r>
      <w:r>
        <w:rPr>
          <w:rFonts w:hint="eastAsia"/>
        </w:rPr>
        <w:t>规范及标准</w:t>
      </w:r>
      <w:bookmarkEnd w:id="33"/>
      <w:bookmarkEnd w:id="34"/>
      <w:bookmarkEnd w:id="35"/>
    </w:p>
    <w:p>
      <w:pPr>
        <w:spacing w:before="12" w:beforeLines="5"/>
        <w:ind w:left="179" w:leftChars="64" w:firstLine="378" w:firstLineChars="135"/>
        <w:rPr>
          <w:rFonts w:ascii="华文仿宋" w:hAnsi="华文仿宋"/>
          <w:szCs w:val="28"/>
        </w:rPr>
      </w:pPr>
      <w:r>
        <w:rPr>
          <w:rFonts w:ascii="华文仿宋" w:hAnsi="华文仿宋"/>
          <w:szCs w:val="28"/>
        </w:rPr>
        <w:t>GB 7251.1-2013       《</w:t>
      </w:r>
      <w:r>
        <w:rPr>
          <w:rFonts w:hint="eastAsia" w:ascii="华文仿宋" w:hAnsi="华文仿宋"/>
          <w:szCs w:val="28"/>
        </w:rPr>
        <w:t>低压成套开关设备和控制设备</w:t>
      </w:r>
      <w:r>
        <w:rPr>
          <w:rFonts w:ascii="华文仿宋" w:hAnsi="华文仿宋"/>
          <w:szCs w:val="28"/>
        </w:rPr>
        <w:t xml:space="preserve"> </w:t>
      </w:r>
      <w:r>
        <w:rPr>
          <w:rFonts w:hint="eastAsia" w:ascii="华文仿宋" w:hAnsi="华文仿宋"/>
          <w:szCs w:val="28"/>
        </w:rPr>
        <w:t>第</w:t>
      </w:r>
      <w:r>
        <w:rPr>
          <w:rFonts w:ascii="华文仿宋" w:hAnsi="华文仿宋"/>
          <w:szCs w:val="28"/>
        </w:rPr>
        <w:t>1部分:总则》</w:t>
      </w:r>
    </w:p>
    <w:p>
      <w:pPr>
        <w:spacing w:before="12" w:beforeLines="5"/>
        <w:ind w:left="179" w:leftChars="64" w:firstLine="378" w:firstLineChars="135"/>
        <w:rPr>
          <w:rFonts w:ascii="华文仿宋" w:hAnsi="华文仿宋"/>
          <w:szCs w:val="28"/>
        </w:rPr>
      </w:pPr>
      <w:r>
        <w:rPr>
          <w:rFonts w:ascii="华文仿宋" w:hAnsi="华文仿宋"/>
          <w:szCs w:val="28"/>
        </w:rPr>
        <w:t>GB 7251.6-2015       《</w:t>
      </w:r>
      <w:r>
        <w:rPr>
          <w:rFonts w:hint="eastAsia" w:ascii="华文仿宋" w:hAnsi="华文仿宋"/>
          <w:szCs w:val="28"/>
        </w:rPr>
        <w:t>低压成套开关设备和控制设备</w:t>
      </w:r>
      <w:r>
        <w:rPr>
          <w:rFonts w:ascii="华文仿宋" w:hAnsi="华文仿宋"/>
          <w:szCs w:val="28"/>
        </w:rPr>
        <w:t xml:space="preserve"> </w:t>
      </w:r>
      <w:r>
        <w:rPr>
          <w:rFonts w:hint="eastAsia" w:ascii="华文仿宋" w:hAnsi="华文仿宋"/>
          <w:szCs w:val="28"/>
        </w:rPr>
        <w:t>第</w:t>
      </w:r>
      <w:r>
        <w:rPr>
          <w:rFonts w:ascii="华文仿宋" w:hAnsi="华文仿宋"/>
          <w:szCs w:val="28"/>
        </w:rPr>
        <w:t>6部分：母线干线系统（母线槽）》</w:t>
      </w:r>
    </w:p>
    <w:p>
      <w:pPr>
        <w:spacing w:before="12" w:beforeLines="5"/>
        <w:ind w:left="179" w:leftChars="64" w:firstLine="378" w:firstLineChars="135"/>
        <w:rPr>
          <w:rFonts w:ascii="华文仿宋" w:hAnsi="华文仿宋"/>
          <w:szCs w:val="28"/>
        </w:rPr>
      </w:pPr>
      <w:r>
        <w:rPr>
          <w:rFonts w:ascii="华文仿宋" w:hAnsi="华文仿宋"/>
          <w:szCs w:val="28"/>
        </w:rPr>
        <w:t>GB 14048.1-2012       《</w:t>
      </w:r>
      <w:r>
        <w:rPr>
          <w:rFonts w:hint="eastAsia" w:ascii="华文仿宋" w:hAnsi="华文仿宋"/>
          <w:szCs w:val="28"/>
        </w:rPr>
        <w:t>低压开关设备和控制设备</w:t>
      </w:r>
      <w:r>
        <w:rPr>
          <w:rFonts w:ascii="华文仿宋" w:hAnsi="华文仿宋"/>
          <w:szCs w:val="28"/>
        </w:rPr>
        <w:t xml:space="preserve"> </w:t>
      </w:r>
      <w:r>
        <w:rPr>
          <w:rFonts w:hint="eastAsia" w:ascii="华文仿宋" w:hAnsi="华文仿宋"/>
          <w:szCs w:val="28"/>
        </w:rPr>
        <w:t>第</w:t>
      </w:r>
      <w:r>
        <w:rPr>
          <w:rFonts w:ascii="华文仿宋" w:hAnsi="华文仿宋"/>
          <w:szCs w:val="28"/>
        </w:rPr>
        <w:t xml:space="preserve">1部分 </w:t>
      </w:r>
      <w:r>
        <w:rPr>
          <w:rFonts w:hint="eastAsia" w:ascii="华文仿宋" w:hAnsi="华文仿宋"/>
          <w:szCs w:val="28"/>
        </w:rPr>
        <w:t>总则</w:t>
      </w:r>
      <w:r>
        <w:rPr>
          <w:rFonts w:ascii="华文仿宋" w:hAnsi="华文仿宋"/>
          <w:szCs w:val="28"/>
        </w:rPr>
        <w:t>》</w:t>
      </w:r>
    </w:p>
    <w:p>
      <w:pPr>
        <w:spacing w:before="12" w:beforeLines="5"/>
        <w:ind w:left="179" w:leftChars="64" w:firstLine="378" w:firstLineChars="135"/>
        <w:rPr>
          <w:rFonts w:ascii="华文仿宋" w:hAnsi="华文仿宋"/>
          <w:szCs w:val="28"/>
        </w:rPr>
      </w:pPr>
      <w:r>
        <w:rPr>
          <w:rFonts w:ascii="华文仿宋" w:hAnsi="华文仿宋"/>
          <w:szCs w:val="28"/>
        </w:rPr>
        <w:t>GB 14048.2-2008       《</w:t>
      </w:r>
      <w:r>
        <w:rPr>
          <w:rFonts w:hint="eastAsia" w:ascii="华文仿宋" w:hAnsi="华文仿宋"/>
          <w:szCs w:val="28"/>
        </w:rPr>
        <w:t>低压开关设备和控制设备</w:t>
      </w:r>
      <w:r>
        <w:rPr>
          <w:rFonts w:ascii="华文仿宋" w:hAnsi="华文仿宋"/>
          <w:szCs w:val="28"/>
        </w:rPr>
        <w:t xml:space="preserve"> </w:t>
      </w:r>
      <w:r>
        <w:rPr>
          <w:rFonts w:hint="eastAsia" w:ascii="华文仿宋" w:hAnsi="华文仿宋"/>
          <w:szCs w:val="28"/>
        </w:rPr>
        <w:t>第</w:t>
      </w:r>
      <w:r>
        <w:rPr>
          <w:rFonts w:ascii="华文仿宋" w:hAnsi="华文仿宋"/>
          <w:szCs w:val="28"/>
        </w:rPr>
        <w:t xml:space="preserve">2部分 </w:t>
      </w:r>
      <w:r>
        <w:rPr>
          <w:rFonts w:hint="eastAsia" w:ascii="华文仿宋" w:hAnsi="华文仿宋"/>
          <w:szCs w:val="28"/>
        </w:rPr>
        <w:t>断路器</w:t>
      </w:r>
      <w:r>
        <w:rPr>
          <w:rFonts w:ascii="华文仿宋" w:hAnsi="华文仿宋"/>
          <w:szCs w:val="28"/>
        </w:rPr>
        <w:t>》</w:t>
      </w:r>
    </w:p>
    <w:p>
      <w:pPr>
        <w:spacing w:before="12" w:beforeLines="5"/>
        <w:ind w:left="179" w:leftChars="64" w:firstLine="378" w:firstLineChars="135"/>
        <w:rPr>
          <w:rFonts w:ascii="华文仿宋" w:hAnsi="华文仿宋"/>
          <w:szCs w:val="28"/>
        </w:rPr>
      </w:pPr>
      <w:r>
        <w:rPr>
          <w:rFonts w:ascii="华文仿宋" w:hAnsi="华文仿宋"/>
          <w:szCs w:val="28"/>
        </w:rPr>
        <w:t xml:space="preserve">GB 14048.3-2008       《低压开关设备及控制设备 </w:t>
      </w:r>
      <w:r>
        <w:rPr>
          <w:rFonts w:hint="eastAsia" w:ascii="华文仿宋" w:hAnsi="华文仿宋"/>
          <w:szCs w:val="28"/>
        </w:rPr>
        <w:t>第</w:t>
      </w:r>
      <w:r>
        <w:rPr>
          <w:rFonts w:ascii="华文仿宋" w:hAnsi="华文仿宋"/>
          <w:szCs w:val="28"/>
        </w:rPr>
        <w:t>3部分:开关、隔离器、隔离开关及熔断器组合电器》</w:t>
      </w:r>
    </w:p>
    <w:p>
      <w:pPr>
        <w:spacing w:before="12" w:beforeLines="5"/>
        <w:ind w:left="179" w:leftChars="64" w:firstLine="378" w:firstLineChars="135"/>
        <w:rPr>
          <w:rFonts w:ascii="华文仿宋" w:hAnsi="华文仿宋"/>
          <w:szCs w:val="28"/>
        </w:rPr>
      </w:pPr>
      <w:r>
        <w:rPr>
          <w:rFonts w:ascii="华文仿宋" w:hAnsi="华文仿宋"/>
          <w:szCs w:val="28"/>
        </w:rPr>
        <w:t>GB 14048.4-2010       《</w:t>
      </w:r>
      <w:r>
        <w:rPr>
          <w:rFonts w:hint="eastAsia" w:ascii="华文仿宋" w:hAnsi="华文仿宋"/>
          <w:szCs w:val="28"/>
        </w:rPr>
        <w:t>低压开关设备和控制设备</w:t>
      </w:r>
      <w:r>
        <w:rPr>
          <w:rFonts w:ascii="华文仿宋" w:hAnsi="华文仿宋"/>
          <w:szCs w:val="28"/>
        </w:rPr>
        <w:t xml:space="preserve"> </w:t>
      </w:r>
      <w:r>
        <w:rPr>
          <w:rFonts w:hint="eastAsia" w:ascii="华文仿宋" w:hAnsi="华文仿宋"/>
          <w:szCs w:val="28"/>
        </w:rPr>
        <w:t>第</w:t>
      </w:r>
      <w:r>
        <w:rPr>
          <w:rFonts w:ascii="华文仿宋" w:hAnsi="华文仿宋"/>
          <w:szCs w:val="28"/>
        </w:rPr>
        <w:t xml:space="preserve">4-1部分接触器和电动机起动器 </w:t>
      </w:r>
      <w:r>
        <w:rPr>
          <w:rFonts w:hint="eastAsia" w:ascii="华文仿宋" w:hAnsi="华文仿宋"/>
          <w:szCs w:val="28"/>
        </w:rPr>
        <w:t>机电式接触器和电动机启动器（含电动机保护器）</w:t>
      </w:r>
      <w:r>
        <w:rPr>
          <w:rFonts w:ascii="华文仿宋" w:hAnsi="华文仿宋"/>
          <w:szCs w:val="28"/>
        </w:rPr>
        <w:t>》</w:t>
      </w:r>
    </w:p>
    <w:p>
      <w:pPr>
        <w:spacing w:before="12" w:beforeLines="5"/>
        <w:ind w:left="179" w:leftChars="64" w:firstLine="378" w:firstLineChars="135"/>
        <w:rPr>
          <w:rFonts w:ascii="华文仿宋" w:hAnsi="华文仿宋"/>
          <w:szCs w:val="28"/>
        </w:rPr>
      </w:pPr>
      <w:r>
        <w:rPr>
          <w:rFonts w:ascii="华文仿宋" w:hAnsi="华文仿宋"/>
          <w:szCs w:val="28"/>
        </w:rPr>
        <w:t>GB 14048.9-2008       《</w:t>
      </w:r>
      <w:r>
        <w:rPr>
          <w:rFonts w:hint="eastAsia" w:ascii="华文仿宋" w:hAnsi="华文仿宋"/>
          <w:szCs w:val="28"/>
        </w:rPr>
        <w:t>低压开关设备和控制设备第</w:t>
      </w:r>
      <w:r>
        <w:rPr>
          <w:rFonts w:ascii="华文仿宋" w:hAnsi="华文仿宋"/>
          <w:szCs w:val="28"/>
        </w:rPr>
        <w:t xml:space="preserve">6-2部分 </w:t>
      </w:r>
      <w:r>
        <w:rPr>
          <w:rFonts w:hint="eastAsia" w:ascii="华文仿宋" w:hAnsi="华文仿宋"/>
          <w:szCs w:val="28"/>
        </w:rPr>
        <w:t>多功能电器（设备）控制与保护开关电器</w:t>
      </w:r>
      <w:r>
        <w:rPr>
          <w:rFonts w:ascii="华文仿宋" w:hAnsi="华文仿宋"/>
          <w:szCs w:val="28"/>
        </w:rPr>
        <w:t>》</w:t>
      </w:r>
    </w:p>
    <w:p>
      <w:pPr>
        <w:spacing w:before="12" w:beforeLines="5"/>
        <w:ind w:left="179" w:leftChars="64" w:firstLine="378" w:firstLineChars="135"/>
        <w:rPr>
          <w:rFonts w:ascii="华文仿宋" w:hAnsi="华文仿宋"/>
          <w:szCs w:val="28"/>
        </w:rPr>
      </w:pPr>
      <w:r>
        <w:rPr>
          <w:rFonts w:ascii="华文仿宋" w:hAnsi="华文仿宋"/>
          <w:szCs w:val="28"/>
        </w:rPr>
        <w:t>GB/T 14048.11-2008     《</w:t>
      </w:r>
      <w:r>
        <w:rPr>
          <w:rFonts w:hint="eastAsia" w:ascii="华文仿宋" w:hAnsi="华文仿宋"/>
          <w:szCs w:val="28"/>
        </w:rPr>
        <w:t>多功能电器</w:t>
      </w:r>
      <w:r>
        <w:rPr>
          <w:rFonts w:ascii="华文仿宋" w:hAnsi="华文仿宋"/>
          <w:szCs w:val="28"/>
        </w:rPr>
        <w:t xml:space="preserve"> 转换开关电器》</w:t>
      </w:r>
    </w:p>
    <w:p>
      <w:pPr>
        <w:spacing w:before="12" w:beforeLines="5"/>
        <w:ind w:left="179" w:leftChars="64" w:firstLine="378" w:firstLineChars="135"/>
        <w:rPr>
          <w:rFonts w:ascii="华文仿宋" w:hAnsi="华文仿宋"/>
          <w:szCs w:val="28"/>
        </w:rPr>
      </w:pPr>
      <w:r>
        <w:rPr>
          <w:rFonts w:ascii="华文仿宋" w:hAnsi="华文仿宋"/>
          <w:szCs w:val="28"/>
        </w:rPr>
        <w:t>GB 13539.1~6-2013       《低压熔断器》</w:t>
      </w:r>
    </w:p>
    <w:p>
      <w:pPr>
        <w:spacing w:before="12" w:beforeLines="5"/>
        <w:ind w:left="179" w:leftChars="64" w:firstLine="378" w:firstLineChars="135"/>
        <w:rPr>
          <w:rFonts w:ascii="华文仿宋" w:hAnsi="华文仿宋"/>
          <w:szCs w:val="28"/>
        </w:rPr>
      </w:pPr>
      <w:r>
        <w:rPr>
          <w:rFonts w:ascii="华文仿宋" w:hAnsi="华文仿宋"/>
          <w:szCs w:val="28"/>
        </w:rPr>
        <w:t>GB/T 24274-2009      《</w:t>
      </w:r>
      <w:r>
        <w:rPr>
          <w:rFonts w:hint="eastAsia" w:ascii="华文仿宋" w:hAnsi="华文仿宋"/>
          <w:szCs w:val="28"/>
        </w:rPr>
        <w:t>低压抽出式成套开关设备和控制设备</w:t>
      </w:r>
      <w:r>
        <w:rPr>
          <w:rFonts w:ascii="华文仿宋" w:hAnsi="华文仿宋"/>
          <w:szCs w:val="28"/>
        </w:rPr>
        <w:t>》</w:t>
      </w:r>
    </w:p>
    <w:p>
      <w:pPr>
        <w:spacing w:before="12" w:beforeLines="5"/>
        <w:ind w:left="179" w:leftChars="64" w:firstLine="378" w:firstLineChars="135"/>
        <w:rPr>
          <w:rFonts w:ascii="华文仿宋" w:hAnsi="华文仿宋"/>
          <w:szCs w:val="28"/>
        </w:rPr>
      </w:pPr>
      <w:r>
        <w:fldChar w:fldCharType="begin"/>
      </w:r>
      <w:r>
        <w:instrText xml:space="preserve"> HYPERLINK "http://mail.qq.com/cgi-bin/mail_spam?action=check_link&amp;spam=0&amp;sid=Qm-eIh49O7_iDjRm&amp;url=http%3A%2F%2F218.106.175.20%2Fstdlinfo%2Fservlet%2Fcom.sac.sacGBzhcx.GjbzcxDetailServlet%3Fstd_code%3DGB%25205585.2-1985&amp;mailid=ZL0127-jaBTe0f9Z~P_ZV8NeYQvK38" \t "_blank" </w:instrText>
      </w:r>
      <w:r>
        <w:fldChar w:fldCharType="separate"/>
      </w:r>
      <w:r>
        <w:rPr>
          <w:rFonts w:ascii="华文仿宋" w:hAnsi="华文仿宋"/>
          <w:szCs w:val="28"/>
        </w:rPr>
        <w:t>GB/T 5585.1-2005 </w:t>
      </w:r>
      <w:r>
        <w:rPr>
          <w:rFonts w:ascii="华文仿宋" w:hAnsi="华文仿宋"/>
          <w:szCs w:val="28"/>
        </w:rPr>
        <w:fldChar w:fldCharType="end"/>
      </w:r>
      <w:r>
        <w:rPr>
          <w:rFonts w:ascii="华文仿宋" w:hAnsi="华文仿宋"/>
          <w:szCs w:val="28"/>
        </w:rPr>
        <w:t>      《电工用铜、铝及其合金母线 第1 部分:铜</w:t>
      </w:r>
      <w:r>
        <w:rPr>
          <w:rFonts w:hint="eastAsia" w:ascii="华文仿宋" w:hAnsi="华文仿宋"/>
          <w:szCs w:val="28"/>
        </w:rPr>
        <w:t>和铜合金</w:t>
      </w:r>
      <w:r>
        <w:rPr>
          <w:rFonts w:ascii="华文仿宋" w:hAnsi="华文仿宋"/>
          <w:szCs w:val="28"/>
        </w:rPr>
        <w:t>母线》</w:t>
      </w:r>
    </w:p>
    <w:p>
      <w:pPr>
        <w:spacing w:before="12" w:beforeLines="5"/>
        <w:ind w:left="179" w:leftChars="64" w:firstLine="378" w:firstLineChars="135"/>
        <w:rPr>
          <w:rFonts w:ascii="华文仿宋" w:hAnsi="华文仿宋"/>
          <w:szCs w:val="28"/>
        </w:rPr>
      </w:pPr>
      <w:r>
        <w:rPr>
          <w:rFonts w:ascii="华文仿宋" w:hAnsi="华文仿宋"/>
          <w:szCs w:val="28"/>
        </w:rPr>
        <w:t>GB 20840.1-2010       《</w:t>
      </w:r>
      <w:r>
        <w:rPr>
          <w:rFonts w:hint="eastAsia" w:ascii="华文仿宋" w:hAnsi="华文仿宋"/>
          <w:szCs w:val="28"/>
        </w:rPr>
        <w:t>互感器</w:t>
      </w:r>
      <w:r>
        <w:rPr>
          <w:rFonts w:ascii="华文仿宋" w:hAnsi="华文仿宋"/>
          <w:szCs w:val="28"/>
        </w:rPr>
        <w:t xml:space="preserve"> </w:t>
      </w:r>
      <w:r>
        <w:rPr>
          <w:rFonts w:hint="eastAsia" w:ascii="华文仿宋" w:hAnsi="华文仿宋"/>
          <w:szCs w:val="28"/>
        </w:rPr>
        <w:t>第</w:t>
      </w:r>
      <w:r>
        <w:rPr>
          <w:rFonts w:ascii="华文仿宋" w:hAnsi="华文仿宋"/>
          <w:szCs w:val="28"/>
        </w:rPr>
        <w:t>1部分:通用技术要求》</w:t>
      </w:r>
    </w:p>
    <w:p>
      <w:pPr>
        <w:spacing w:before="12" w:beforeLines="5"/>
        <w:ind w:left="179" w:leftChars="64" w:firstLine="378" w:firstLineChars="135"/>
        <w:rPr>
          <w:rFonts w:ascii="华文仿宋" w:hAnsi="华文仿宋"/>
          <w:szCs w:val="28"/>
        </w:rPr>
      </w:pPr>
      <w:r>
        <w:rPr>
          <w:rFonts w:ascii="华文仿宋" w:hAnsi="华文仿宋"/>
          <w:szCs w:val="28"/>
        </w:rPr>
        <w:t>GB 20840.2-2014       《</w:t>
      </w:r>
      <w:r>
        <w:rPr>
          <w:rFonts w:hint="eastAsia" w:ascii="华文仿宋" w:hAnsi="华文仿宋"/>
          <w:szCs w:val="28"/>
        </w:rPr>
        <w:t>互感器</w:t>
      </w:r>
      <w:r>
        <w:rPr>
          <w:rFonts w:ascii="华文仿宋" w:hAnsi="华文仿宋"/>
          <w:szCs w:val="28"/>
        </w:rPr>
        <w:t xml:space="preserve"> </w:t>
      </w:r>
      <w:r>
        <w:rPr>
          <w:rFonts w:hint="eastAsia" w:ascii="华文仿宋" w:hAnsi="华文仿宋"/>
          <w:szCs w:val="28"/>
        </w:rPr>
        <w:t>第</w:t>
      </w:r>
      <w:r>
        <w:rPr>
          <w:rFonts w:ascii="华文仿宋" w:hAnsi="华文仿宋"/>
          <w:szCs w:val="28"/>
        </w:rPr>
        <w:t>2部分:电流互感器的补充技术要求》</w:t>
      </w:r>
    </w:p>
    <w:p>
      <w:pPr>
        <w:spacing w:before="12" w:beforeLines="5"/>
        <w:ind w:left="179" w:leftChars="64" w:firstLine="378" w:firstLineChars="135"/>
        <w:rPr>
          <w:rFonts w:ascii="华文仿宋" w:hAnsi="华文仿宋"/>
          <w:szCs w:val="28"/>
        </w:rPr>
      </w:pPr>
      <w:r>
        <w:rPr>
          <w:rFonts w:ascii="华文仿宋" w:hAnsi="华文仿宋"/>
          <w:szCs w:val="28"/>
        </w:rPr>
        <w:t>GB/T 4208－2017    《外壳防护等级》</w:t>
      </w:r>
    </w:p>
    <w:p>
      <w:pPr>
        <w:spacing w:before="12" w:beforeLines="5"/>
        <w:ind w:left="179" w:leftChars="64" w:firstLine="378" w:firstLineChars="135"/>
        <w:rPr>
          <w:rFonts w:ascii="华文仿宋" w:hAnsi="华文仿宋"/>
          <w:szCs w:val="28"/>
        </w:rPr>
      </w:pPr>
      <w:r>
        <w:rPr>
          <w:rFonts w:ascii="华文仿宋" w:hAnsi="华文仿宋"/>
          <w:szCs w:val="28"/>
        </w:rPr>
        <w:t>GB 10963.1-2005      《</w:t>
      </w:r>
      <w:r>
        <w:rPr>
          <w:rFonts w:hint="eastAsia" w:ascii="华文仿宋" w:hAnsi="华文仿宋"/>
          <w:szCs w:val="28"/>
        </w:rPr>
        <w:t>电气附件</w:t>
      </w:r>
      <w:r>
        <w:rPr>
          <w:rFonts w:ascii="华文仿宋" w:hAnsi="华文仿宋"/>
          <w:szCs w:val="28"/>
        </w:rPr>
        <w:t xml:space="preserve">-家用及类似场所用过电流保护断路器 </w:t>
      </w:r>
      <w:r>
        <w:rPr>
          <w:rFonts w:hint="eastAsia" w:ascii="华文仿宋" w:hAnsi="华文仿宋"/>
          <w:szCs w:val="28"/>
        </w:rPr>
        <w:t>第</w:t>
      </w:r>
      <w:r>
        <w:rPr>
          <w:rFonts w:ascii="华文仿宋" w:hAnsi="华文仿宋"/>
          <w:szCs w:val="28"/>
        </w:rPr>
        <w:t>1部分：用于交流的断路器》</w:t>
      </w:r>
    </w:p>
    <w:p>
      <w:pPr>
        <w:spacing w:before="12" w:beforeLines="5"/>
        <w:ind w:left="179" w:leftChars="64" w:firstLine="378" w:firstLineChars="135"/>
        <w:rPr>
          <w:rFonts w:ascii="华文仿宋" w:hAnsi="华文仿宋"/>
          <w:szCs w:val="28"/>
        </w:rPr>
      </w:pPr>
      <w:r>
        <w:rPr>
          <w:rFonts w:ascii="华文仿宋" w:hAnsi="华文仿宋"/>
          <w:szCs w:val="28"/>
        </w:rPr>
        <w:t>GB 10963.2-2008      《</w:t>
      </w:r>
      <w:r>
        <w:rPr>
          <w:rFonts w:hint="eastAsia" w:ascii="华文仿宋" w:hAnsi="华文仿宋"/>
          <w:szCs w:val="28"/>
        </w:rPr>
        <w:t>家用及类似场所用过电流保护断路器</w:t>
      </w:r>
      <w:r>
        <w:rPr>
          <w:rFonts w:ascii="华文仿宋" w:hAnsi="华文仿宋"/>
          <w:szCs w:val="28"/>
        </w:rPr>
        <w:t xml:space="preserve"> </w:t>
      </w:r>
      <w:r>
        <w:rPr>
          <w:rFonts w:hint="eastAsia" w:ascii="华文仿宋" w:hAnsi="华文仿宋"/>
          <w:szCs w:val="28"/>
        </w:rPr>
        <w:t>第</w:t>
      </w:r>
      <w:r>
        <w:rPr>
          <w:rFonts w:ascii="华文仿宋" w:hAnsi="华文仿宋"/>
          <w:szCs w:val="28"/>
        </w:rPr>
        <w:t>2部分：用于交流和直流的断路器》</w:t>
      </w:r>
    </w:p>
    <w:p>
      <w:pPr>
        <w:spacing w:before="12" w:beforeLines="5"/>
        <w:ind w:left="179" w:leftChars="64" w:firstLine="378" w:firstLineChars="135"/>
        <w:rPr>
          <w:rFonts w:ascii="华文仿宋" w:hAnsi="华文仿宋"/>
          <w:szCs w:val="28"/>
        </w:rPr>
      </w:pPr>
      <w:r>
        <w:rPr>
          <w:rFonts w:ascii="华文仿宋" w:hAnsi="华文仿宋"/>
          <w:szCs w:val="28"/>
        </w:rPr>
        <w:t>GB 16917.1-2014      《</w:t>
      </w:r>
      <w:r>
        <w:rPr>
          <w:rFonts w:hint="eastAsia" w:ascii="华文仿宋" w:hAnsi="华文仿宋"/>
          <w:szCs w:val="28"/>
        </w:rPr>
        <w:t>家用和类似用途的带过电流保护的剩余电流动作断路器（</w:t>
      </w:r>
      <w:r>
        <w:rPr>
          <w:rFonts w:ascii="华文仿宋" w:hAnsi="华文仿宋"/>
          <w:szCs w:val="28"/>
        </w:rPr>
        <w:t xml:space="preserve">RCBO) </w:t>
      </w:r>
      <w:r>
        <w:rPr>
          <w:rFonts w:hint="eastAsia" w:ascii="华文仿宋" w:hAnsi="华文仿宋"/>
          <w:szCs w:val="28"/>
        </w:rPr>
        <w:t>第</w:t>
      </w:r>
      <w:r>
        <w:rPr>
          <w:rFonts w:ascii="华文仿宋" w:hAnsi="华文仿宋"/>
          <w:szCs w:val="28"/>
        </w:rPr>
        <w:t>1部分：一般规则》</w:t>
      </w:r>
    </w:p>
    <w:p>
      <w:pPr>
        <w:spacing w:before="12" w:beforeLines="5"/>
        <w:ind w:left="179" w:leftChars="64" w:firstLine="378" w:firstLineChars="135"/>
        <w:rPr>
          <w:rFonts w:ascii="华文仿宋" w:hAnsi="华文仿宋"/>
          <w:szCs w:val="28"/>
        </w:rPr>
      </w:pPr>
      <w:r>
        <w:rPr>
          <w:rFonts w:ascii="华文仿宋" w:hAnsi="华文仿宋"/>
          <w:szCs w:val="28"/>
        </w:rPr>
        <w:t>GB/T 12668.2-2002    《</w:t>
      </w:r>
      <w:r>
        <w:rPr>
          <w:rFonts w:hint="eastAsia" w:ascii="华文仿宋" w:hAnsi="华文仿宋"/>
          <w:szCs w:val="28"/>
        </w:rPr>
        <w:t>调速电气传动系统</w:t>
      </w:r>
      <w:r>
        <w:rPr>
          <w:rFonts w:ascii="华文仿宋" w:hAnsi="华文仿宋"/>
          <w:szCs w:val="28"/>
        </w:rPr>
        <w:t xml:space="preserve"> </w:t>
      </w:r>
      <w:r>
        <w:rPr>
          <w:rFonts w:hint="eastAsia" w:ascii="华文仿宋" w:hAnsi="华文仿宋"/>
          <w:szCs w:val="28"/>
        </w:rPr>
        <w:t>第</w:t>
      </w:r>
      <w:r>
        <w:rPr>
          <w:rFonts w:ascii="华文仿宋" w:hAnsi="华文仿宋"/>
          <w:szCs w:val="28"/>
        </w:rPr>
        <w:t xml:space="preserve">2部分：一般要求 </w:t>
      </w:r>
      <w:r>
        <w:rPr>
          <w:rFonts w:hint="eastAsia" w:ascii="华文仿宋" w:hAnsi="华文仿宋"/>
          <w:szCs w:val="28"/>
        </w:rPr>
        <w:t>低压交流变频电气传动系统额定值的规定</w:t>
      </w:r>
      <w:r>
        <w:rPr>
          <w:rFonts w:ascii="华文仿宋" w:hAnsi="华文仿宋"/>
          <w:szCs w:val="28"/>
        </w:rPr>
        <w:t>》</w:t>
      </w:r>
    </w:p>
    <w:p>
      <w:pPr>
        <w:spacing w:before="12" w:beforeLines="5"/>
        <w:ind w:left="179" w:leftChars="64" w:firstLine="378" w:firstLineChars="135"/>
        <w:rPr>
          <w:rFonts w:ascii="华文仿宋" w:hAnsi="华文仿宋"/>
          <w:szCs w:val="28"/>
        </w:rPr>
      </w:pPr>
    </w:p>
    <w:p>
      <w:pPr>
        <w:pStyle w:val="3"/>
        <w:spacing w:before="240"/>
        <w:ind w:firstLine="561"/>
        <w:rPr>
          <w:rFonts w:hAnsi="华文仿宋"/>
          <w:szCs w:val="28"/>
        </w:rPr>
      </w:pPr>
      <w:bookmarkStart w:id="36" w:name="_Toc27495634"/>
      <w:bookmarkStart w:id="37" w:name="_Toc391"/>
      <w:r>
        <w:rPr>
          <w:rFonts w:hAnsi="华文仿宋"/>
          <w:szCs w:val="28"/>
        </w:rPr>
        <w:t xml:space="preserve">3 </w:t>
      </w:r>
      <w:r>
        <w:rPr>
          <w:rFonts w:hint="eastAsia" w:hAnsi="华文仿宋"/>
          <w:szCs w:val="28"/>
        </w:rPr>
        <w:t>环境条件与运行条件</w:t>
      </w:r>
      <w:bookmarkEnd w:id="36"/>
      <w:r>
        <w:rPr>
          <w:rFonts w:hAnsi="华文仿宋"/>
          <w:szCs w:val="28"/>
        </w:rPr>
        <w:t xml:space="preserve">   </w:t>
      </w:r>
      <w:bookmarkEnd w:id="37"/>
    </w:p>
    <w:p>
      <w:pPr>
        <w:ind w:firstLine="560"/>
        <w:rPr>
          <w:rFonts w:ascii="华文仿宋" w:hAnsi="华文仿宋"/>
          <w:szCs w:val="28"/>
        </w:rPr>
      </w:pPr>
      <w:r>
        <w:rPr>
          <w:rFonts w:ascii="华文仿宋" w:hAnsi="华文仿宋"/>
          <w:szCs w:val="28"/>
        </w:rPr>
        <w:t>3.1 环境条件  </w:t>
      </w:r>
    </w:p>
    <w:p>
      <w:pPr>
        <w:numPr>
          <w:ilvl w:val="0"/>
          <w:numId w:val="23"/>
        </w:numPr>
        <w:ind w:firstLine="560"/>
        <w:rPr>
          <w:rFonts w:ascii="华文仿宋" w:hAnsi="华文仿宋"/>
          <w:szCs w:val="28"/>
        </w:rPr>
      </w:pPr>
      <w:r>
        <w:rPr>
          <w:rFonts w:ascii="华文仿宋" w:hAnsi="华文仿宋"/>
          <w:szCs w:val="28"/>
        </w:rPr>
        <w:t>海拔高度：&lt;1000m，户内安装</w:t>
      </w:r>
    </w:p>
    <w:p>
      <w:pPr>
        <w:numPr>
          <w:ilvl w:val="0"/>
          <w:numId w:val="23"/>
        </w:numPr>
        <w:ind w:firstLine="560"/>
        <w:rPr>
          <w:rFonts w:ascii="华文仿宋" w:hAnsi="华文仿宋"/>
          <w:szCs w:val="28"/>
        </w:rPr>
      </w:pPr>
      <w:r>
        <w:rPr>
          <w:rFonts w:ascii="华文仿宋" w:hAnsi="华文仿宋"/>
          <w:szCs w:val="28"/>
        </w:rPr>
        <w:t>环境温度：0℃~+40℃</w:t>
      </w:r>
    </w:p>
    <w:p>
      <w:pPr>
        <w:numPr>
          <w:ilvl w:val="0"/>
          <w:numId w:val="23"/>
        </w:numPr>
        <w:ind w:firstLine="560"/>
        <w:rPr>
          <w:rFonts w:ascii="华文仿宋" w:hAnsi="华文仿宋"/>
          <w:szCs w:val="28"/>
        </w:rPr>
      </w:pPr>
      <w:r>
        <w:rPr>
          <w:rFonts w:ascii="华文仿宋" w:hAnsi="华文仿宋"/>
          <w:szCs w:val="28"/>
        </w:rPr>
        <w:t>相对湿度：≤93％</w:t>
      </w:r>
    </w:p>
    <w:p>
      <w:pPr>
        <w:numPr>
          <w:ilvl w:val="0"/>
          <w:numId w:val="23"/>
        </w:numPr>
        <w:ind w:firstLine="560"/>
        <w:rPr>
          <w:rFonts w:ascii="华文仿宋" w:hAnsi="华文仿宋"/>
          <w:szCs w:val="28"/>
        </w:rPr>
      </w:pPr>
      <w:r>
        <w:rPr>
          <w:rFonts w:ascii="华文仿宋" w:hAnsi="华文仿宋"/>
          <w:szCs w:val="28"/>
        </w:rPr>
        <w:t>地震烈度：7度</w:t>
      </w:r>
    </w:p>
    <w:p>
      <w:pPr>
        <w:ind w:firstLine="560"/>
        <w:rPr>
          <w:rFonts w:ascii="华文仿宋" w:hAnsi="华文仿宋"/>
          <w:szCs w:val="28"/>
        </w:rPr>
      </w:pPr>
      <w:r>
        <w:rPr>
          <w:rFonts w:ascii="华文仿宋" w:hAnsi="华文仿宋"/>
          <w:szCs w:val="28"/>
        </w:rPr>
        <w:t>3.2 运行条件  </w:t>
      </w:r>
    </w:p>
    <w:p>
      <w:pPr>
        <w:numPr>
          <w:ilvl w:val="0"/>
          <w:numId w:val="23"/>
        </w:numPr>
        <w:ind w:firstLine="560"/>
        <w:rPr>
          <w:rFonts w:ascii="华文仿宋" w:hAnsi="华文仿宋"/>
          <w:szCs w:val="28"/>
        </w:rPr>
      </w:pPr>
      <w:r>
        <w:rPr>
          <w:rFonts w:ascii="华文仿宋" w:hAnsi="华文仿宋"/>
          <w:szCs w:val="28"/>
        </w:rPr>
        <w:t>额定运行电压  380V±10％  </w:t>
      </w:r>
    </w:p>
    <w:p>
      <w:pPr>
        <w:numPr>
          <w:ilvl w:val="0"/>
          <w:numId w:val="23"/>
        </w:numPr>
        <w:ind w:firstLine="560"/>
        <w:rPr>
          <w:rFonts w:ascii="华文仿宋" w:hAnsi="华文仿宋"/>
          <w:szCs w:val="28"/>
        </w:rPr>
      </w:pPr>
      <w:r>
        <w:rPr>
          <w:rFonts w:ascii="华文仿宋" w:hAnsi="华文仿宋"/>
          <w:szCs w:val="28"/>
        </w:rPr>
        <w:t>额定频率    50Hz±5％</w:t>
      </w:r>
    </w:p>
    <w:p>
      <w:pPr>
        <w:spacing w:before="12" w:beforeLines="5"/>
        <w:ind w:left="179" w:leftChars="64" w:firstLine="378" w:firstLineChars="135"/>
        <w:rPr>
          <w:rFonts w:ascii="华文仿宋" w:hAnsi="华文仿宋"/>
          <w:szCs w:val="28"/>
        </w:rPr>
      </w:pPr>
    </w:p>
    <w:p>
      <w:pPr>
        <w:pStyle w:val="3"/>
        <w:spacing w:before="240"/>
        <w:ind w:firstLine="561"/>
      </w:pPr>
      <w:bookmarkStart w:id="38" w:name="_Toc11227945"/>
      <w:bookmarkStart w:id="39" w:name="_Toc30183"/>
      <w:bookmarkStart w:id="40" w:name="_Toc27495635"/>
      <w:r>
        <w:t>4</w:t>
      </w:r>
      <w:r>
        <w:rPr>
          <w:rFonts w:hint="eastAsia"/>
        </w:rPr>
        <w:t>技术性能要求</w:t>
      </w:r>
      <w:bookmarkEnd w:id="38"/>
      <w:bookmarkEnd w:id="39"/>
      <w:bookmarkEnd w:id="40"/>
    </w:p>
    <w:p>
      <w:pPr>
        <w:ind w:firstLine="560"/>
      </w:pPr>
      <w:r>
        <w:t>4.1</w:t>
      </w:r>
      <w:r>
        <w:rPr>
          <w:rFonts w:hint="eastAsia"/>
        </w:rPr>
        <w:t>箱体部分</w:t>
      </w:r>
    </w:p>
    <w:p>
      <w:pPr>
        <w:ind w:firstLine="560"/>
      </w:pPr>
      <w:r>
        <w:t>4.1.1</w:t>
      </w:r>
      <w:r>
        <w:rPr>
          <w:rFonts w:hint="eastAsia"/>
        </w:rPr>
        <w:t>配电箱、柜板材的各种指标必须符合国家的有关标准要求。所有配电箱、柜应采用符合国家标准的冷轧钢板。</w:t>
      </w:r>
    </w:p>
    <w:p>
      <w:pPr>
        <w:ind w:firstLine="560"/>
        <w:rPr>
          <w:rFonts w:ascii="仿宋_GB2312" w:hAnsi="宋体" w:eastAsia="仿宋_GB2312"/>
          <w:szCs w:val="28"/>
        </w:rPr>
      </w:pPr>
      <w:r>
        <w:rPr>
          <w:rFonts w:hint="eastAsia" w:ascii="仿宋_GB2312" w:eastAsia="仿宋_GB2312"/>
          <w:szCs w:val="28"/>
        </w:rPr>
        <w:t>配电箱</w:t>
      </w:r>
      <w:r>
        <w:rPr>
          <w:rFonts w:hint="eastAsia" w:ascii="仿宋_GB2312" w:hAnsi="宋体" w:eastAsia="仿宋_GB2312"/>
          <w:szCs w:val="28"/>
        </w:rPr>
        <w:t>长边不大于</w:t>
      </w:r>
      <w:r>
        <w:rPr>
          <w:rFonts w:ascii="仿宋_GB2312" w:hAnsi="宋体" w:eastAsia="仿宋_GB2312"/>
          <w:szCs w:val="28"/>
        </w:rPr>
        <w:t xml:space="preserve"> 600mm时，板厚不得小于1.2mm；</w:t>
      </w:r>
    </w:p>
    <w:p>
      <w:pPr>
        <w:ind w:firstLine="560"/>
        <w:rPr>
          <w:rFonts w:ascii="仿宋_GB2312" w:hAnsi="宋体" w:eastAsia="仿宋_GB2312"/>
          <w:szCs w:val="28"/>
        </w:rPr>
      </w:pPr>
      <w:r>
        <w:rPr>
          <w:rFonts w:hint="eastAsia" w:ascii="仿宋_GB2312" w:eastAsia="仿宋_GB2312"/>
          <w:szCs w:val="28"/>
        </w:rPr>
        <w:t>配电箱</w:t>
      </w:r>
      <w:r>
        <w:rPr>
          <w:rFonts w:hint="eastAsia" w:ascii="仿宋_GB2312" w:hAnsi="宋体" w:eastAsia="仿宋_GB2312"/>
          <w:szCs w:val="28"/>
        </w:rPr>
        <w:t>长边不大于</w:t>
      </w:r>
      <w:r>
        <w:rPr>
          <w:rFonts w:ascii="仿宋_GB2312" w:hAnsi="宋体" w:eastAsia="仿宋_GB2312"/>
          <w:szCs w:val="28"/>
        </w:rPr>
        <w:t>1000mm时，板厚不得小于1.5mm；</w:t>
      </w:r>
    </w:p>
    <w:p>
      <w:pPr>
        <w:ind w:firstLine="560"/>
        <w:rPr>
          <w:rFonts w:ascii="仿宋_GB2312" w:eastAsia="仿宋_GB2312"/>
          <w:szCs w:val="28"/>
        </w:rPr>
      </w:pPr>
      <w:r>
        <w:rPr>
          <w:rFonts w:hint="eastAsia" w:ascii="仿宋_GB2312" w:hAnsi="宋体" w:eastAsia="仿宋_GB2312"/>
          <w:szCs w:val="28"/>
        </w:rPr>
        <w:t>长边大于</w:t>
      </w:r>
      <w:r>
        <w:rPr>
          <w:rFonts w:ascii="仿宋_GB2312" w:hAnsi="宋体" w:eastAsia="仿宋_GB2312"/>
          <w:szCs w:val="28"/>
        </w:rPr>
        <w:t>1000mm时，板厚不得小于2.0mm。</w:t>
      </w:r>
    </w:p>
    <w:p>
      <w:pPr>
        <w:ind w:firstLine="560"/>
      </w:pPr>
      <w:r>
        <w:t xml:space="preserve">4.1.2 </w:t>
      </w:r>
      <w:r>
        <w:rPr>
          <w:rFonts w:hint="eastAsia"/>
        </w:rPr>
        <w:t>落地柜配活顶盖，配电箱不开敲落孔，根据安装情况现场开孔。</w:t>
      </w:r>
      <w:r>
        <w:t xml:space="preserve"> </w:t>
      </w:r>
    </w:p>
    <w:p>
      <w:pPr>
        <w:ind w:firstLine="560"/>
      </w:pPr>
      <w:r>
        <w:t xml:space="preserve">4.1.3 </w:t>
      </w:r>
      <w:r>
        <w:rPr>
          <w:rFonts w:hint="eastAsia"/>
        </w:rPr>
        <w:t>照明箱内应设盖板。</w:t>
      </w:r>
    </w:p>
    <w:p>
      <w:pPr>
        <w:ind w:firstLine="560"/>
      </w:pPr>
      <w:r>
        <w:t xml:space="preserve">4.1.4 </w:t>
      </w:r>
      <w:r>
        <w:rPr>
          <w:rFonts w:hint="eastAsia"/>
        </w:rPr>
        <w:t>电气竖井、低压配电室、风机房、水泵房、电梯机房等所有设备房内的配电箱门、柜门均采用标准套筒型通锁通匙；其它部位的配电箱柜门锁须采用齿匙锁芯，所有齿匙及锁芯也为通锁通匙。</w:t>
      </w:r>
      <w:r>
        <w:t xml:space="preserve"> </w:t>
      </w:r>
    </w:p>
    <w:p>
      <w:pPr>
        <w:ind w:firstLine="560"/>
      </w:pPr>
      <w:r>
        <w:t>4.1.5</w:t>
      </w:r>
      <w:r>
        <w:rPr>
          <w:rFonts w:hint="eastAsia"/>
        </w:rPr>
        <w:t>配电箱、柜的金属部分：包括电器的安装板、支架和电器金属外壳等均须良好接地，配电箱、柜的门接地应采用镀锡铜编织软线穿透明塑料管与接地金属构架进行可靠电气连接。</w:t>
      </w:r>
      <w:r>
        <w:t xml:space="preserve"> </w:t>
      </w:r>
    </w:p>
    <w:p>
      <w:pPr>
        <w:ind w:firstLine="560"/>
      </w:pPr>
      <w:r>
        <w:t>4.1.6</w:t>
      </w:r>
      <w:r>
        <w:rPr>
          <w:rFonts w:hint="eastAsia"/>
        </w:rPr>
        <w:t>箱内配电母线、中性线汇流排、地线汇流排及其它导线材料应选用电解铜，其纯度达到</w:t>
      </w:r>
      <w:r>
        <w:t>99.90%</w:t>
      </w:r>
      <w:r>
        <w:rPr>
          <w:rFonts w:hint="eastAsia"/>
        </w:rPr>
        <w:t>以上。</w:t>
      </w:r>
    </w:p>
    <w:p>
      <w:pPr>
        <w:ind w:firstLine="560"/>
      </w:pPr>
      <w:r>
        <w:t>4.1.7</w:t>
      </w:r>
      <w:r>
        <w:rPr>
          <w:rFonts w:hint="eastAsia"/>
        </w:rPr>
        <w:t>配电箱箱体表面采用环氧粉末喷涂。</w:t>
      </w:r>
    </w:p>
    <w:p>
      <w:pPr>
        <w:ind w:firstLine="560"/>
      </w:pPr>
      <w:r>
        <w:t>4.1.8</w:t>
      </w:r>
      <w:r>
        <w:rPr>
          <w:rFonts w:hint="eastAsia"/>
        </w:rPr>
        <w:t>防护等级：所有柜体的防护等级必须满足设计图纸相关要求。</w:t>
      </w:r>
    </w:p>
    <w:p>
      <w:pPr>
        <w:ind w:firstLine="560"/>
      </w:pPr>
      <w:r>
        <w:t>4.2</w:t>
      </w:r>
      <w:r>
        <w:rPr>
          <w:rFonts w:hint="eastAsia"/>
        </w:rPr>
        <w:t>元件部分</w:t>
      </w:r>
    </w:p>
    <w:p>
      <w:pPr>
        <w:ind w:firstLine="560"/>
      </w:pPr>
      <w:r>
        <w:t>4.2.1</w:t>
      </w:r>
      <w:r>
        <w:rPr>
          <w:rFonts w:hint="eastAsia"/>
        </w:rPr>
        <w:t>塑壳开关：</w:t>
      </w:r>
    </w:p>
    <w:p>
      <w:pPr>
        <w:spacing w:before="12" w:beforeLines="5"/>
        <w:ind w:firstLine="560"/>
        <w:rPr>
          <w:rFonts w:hAnsi="华文仿宋"/>
          <w:szCs w:val="28"/>
        </w:rPr>
      </w:pPr>
      <w:r>
        <w:rPr>
          <w:rFonts w:hint="eastAsia" w:hAnsi="华文仿宋"/>
          <w:szCs w:val="28"/>
        </w:rPr>
        <w:t>额定绝缘电压：≥</w:t>
      </w:r>
      <w:r>
        <w:rPr>
          <w:rFonts w:hAnsi="华文仿宋"/>
          <w:szCs w:val="28"/>
        </w:rPr>
        <w:t>AC690V</w:t>
      </w:r>
      <w:r>
        <w:rPr>
          <w:rFonts w:hint="eastAsia" w:hAnsi="华文仿宋"/>
          <w:szCs w:val="28"/>
        </w:rPr>
        <w:t>。</w:t>
      </w:r>
    </w:p>
    <w:p>
      <w:pPr>
        <w:spacing w:before="12" w:beforeLines="5"/>
        <w:ind w:firstLine="560"/>
        <w:rPr>
          <w:rFonts w:hAnsi="华文仿宋"/>
          <w:szCs w:val="28"/>
        </w:rPr>
      </w:pPr>
      <w:r>
        <w:rPr>
          <w:rFonts w:hint="eastAsia" w:hAnsi="华文仿宋"/>
          <w:szCs w:val="28"/>
        </w:rPr>
        <w:t>额定工作电压：</w:t>
      </w:r>
      <w:r>
        <w:rPr>
          <w:rFonts w:hAnsi="华文仿宋"/>
          <w:szCs w:val="28"/>
        </w:rPr>
        <w:t xml:space="preserve"> </w:t>
      </w:r>
      <w:r>
        <w:rPr>
          <w:rFonts w:hint="eastAsia" w:hAnsi="华文仿宋"/>
          <w:szCs w:val="28"/>
        </w:rPr>
        <w:t>≥</w:t>
      </w:r>
      <w:r>
        <w:rPr>
          <w:rFonts w:hAnsi="华文仿宋"/>
          <w:szCs w:val="28"/>
        </w:rPr>
        <w:t>AC400V</w:t>
      </w:r>
      <w:r>
        <w:rPr>
          <w:rFonts w:hint="eastAsia" w:hAnsi="华文仿宋"/>
          <w:szCs w:val="28"/>
        </w:rPr>
        <w:t>。</w:t>
      </w:r>
    </w:p>
    <w:p>
      <w:pPr>
        <w:spacing w:before="12" w:beforeLines="5"/>
        <w:ind w:firstLine="560"/>
        <w:rPr>
          <w:rFonts w:hAnsi="华文仿宋"/>
          <w:szCs w:val="28"/>
        </w:rPr>
      </w:pPr>
      <w:r>
        <w:rPr>
          <w:rFonts w:hint="eastAsia" w:hAnsi="华文仿宋"/>
          <w:szCs w:val="28"/>
        </w:rPr>
        <w:t>额定冲击耐压：</w:t>
      </w:r>
      <w:r>
        <w:rPr>
          <w:rFonts w:hAnsi="华文仿宋"/>
          <w:szCs w:val="28"/>
        </w:rPr>
        <w:t>8KV</w:t>
      </w:r>
      <w:r>
        <w:rPr>
          <w:rFonts w:hint="eastAsia" w:hAnsi="华文仿宋"/>
          <w:szCs w:val="28"/>
        </w:rPr>
        <w:t>。</w:t>
      </w:r>
    </w:p>
    <w:p>
      <w:pPr>
        <w:spacing w:before="12" w:beforeLines="5"/>
        <w:ind w:firstLine="560"/>
        <w:rPr>
          <w:rFonts w:hAnsi="华文仿宋"/>
          <w:szCs w:val="28"/>
        </w:rPr>
      </w:pPr>
      <w:r>
        <w:rPr>
          <w:rFonts w:hint="eastAsia" w:hAnsi="华文仿宋"/>
          <w:szCs w:val="28"/>
        </w:rPr>
        <w:t>额定电流：见图纸。</w:t>
      </w:r>
    </w:p>
    <w:p>
      <w:pPr>
        <w:spacing w:before="12" w:beforeLines="5"/>
        <w:ind w:firstLine="560"/>
        <w:rPr>
          <w:rFonts w:hAnsi="华文仿宋"/>
          <w:szCs w:val="28"/>
        </w:rPr>
      </w:pPr>
      <w:r>
        <w:rPr>
          <w:rFonts w:hint="eastAsia" w:hAnsi="华文仿宋"/>
          <w:szCs w:val="28"/>
        </w:rPr>
        <w:t>极限短路分断能力</w:t>
      </w:r>
      <w:r>
        <w:rPr>
          <w:rFonts w:hAnsi="华文仿宋"/>
          <w:szCs w:val="28"/>
        </w:rPr>
        <w:t>Icu=</w:t>
      </w:r>
      <w:r>
        <w:rPr>
          <w:rFonts w:hint="eastAsia" w:hAnsi="华文仿宋"/>
          <w:szCs w:val="28"/>
        </w:rPr>
        <w:t>额定运行短路分断能力</w:t>
      </w:r>
      <w:r>
        <w:rPr>
          <w:rFonts w:hAnsi="华文仿宋"/>
          <w:szCs w:val="28"/>
        </w:rPr>
        <w:t>Ics</w:t>
      </w:r>
      <w:r>
        <w:rPr>
          <w:rFonts w:hint="eastAsia" w:hAnsi="华文仿宋"/>
          <w:szCs w:val="28"/>
        </w:rPr>
        <w:t>。</w:t>
      </w:r>
    </w:p>
    <w:p>
      <w:pPr>
        <w:spacing w:before="12" w:beforeLines="5"/>
        <w:ind w:firstLine="560"/>
        <w:rPr>
          <w:rFonts w:hAnsi="华文仿宋"/>
          <w:szCs w:val="28"/>
        </w:rPr>
      </w:pPr>
      <w:r>
        <w:rPr>
          <w:rFonts w:hint="eastAsia" w:hAnsi="华文仿宋"/>
          <w:szCs w:val="28"/>
        </w:rPr>
        <w:t>脱扣器：见图纸。</w:t>
      </w:r>
    </w:p>
    <w:p>
      <w:pPr>
        <w:spacing w:before="12" w:beforeLines="5"/>
        <w:ind w:firstLine="560"/>
        <w:rPr>
          <w:rFonts w:hAnsi="华文仿宋"/>
          <w:szCs w:val="28"/>
        </w:rPr>
      </w:pPr>
      <w:r>
        <w:rPr>
          <w:rFonts w:hint="eastAsia" w:hAnsi="华文仿宋"/>
          <w:szCs w:val="28"/>
        </w:rPr>
        <w:t>为满足用电设备的可能变化，断路器应可以现场更换。</w:t>
      </w:r>
    </w:p>
    <w:p>
      <w:pPr>
        <w:spacing w:before="12" w:beforeLines="5"/>
        <w:ind w:firstLine="560"/>
        <w:rPr>
          <w:rFonts w:hAnsi="华文仿宋"/>
          <w:szCs w:val="28"/>
        </w:rPr>
      </w:pPr>
      <w:r>
        <w:rPr>
          <w:rFonts w:hint="eastAsia" w:hAnsi="华文仿宋"/>
          <w:szCs w:val="28"/>
        </w:rPr>
        <w:t>断路器必须是抗湿热产品。</w:t>
      </w:r>
    </w:p>
    <w:p>
      <w:pPr>
        <w:ind w:firstLine="560"/>
        <w:rPr>
          <w:rFonts w:ascii="等线" w:hAnsi="等线"/>
          <w:szCs w:val="28"/>
        </w:rPr>
      </w:pPr>
      <w:r>
        <w:t>4.2.2</w:t>
      </w:r>
      <w:r>
        <w:rPr>
          <w:rFonts w:hint="eastAsia"/>
        </w:rPr>
        <w:t>微型断</w:t>
      </w:r>
      <w:r>
        <w:rPr>
          <w:rFonts w:hint="eastAsia" w:ascii="等线" w:hAnsi="等线"/>
          <w:szCs w:val="28"/>
        </w:rPr>
        <w:t>路器：</w:t>
      </w:r>
    </w:p>
    <w:p>
      <w:pPr>
        <w:spacing w:before="12" w:beforeLines="5"/>
        <w:ind w:firstLine="560"/>
        <w:rPr>
          <w:rFonts w:hAnsi="华文仿宋"/>
          <w:szCs w:val="28"/>
        </w:rPr>
      </w:pPr>
      <w:r>
        <w:rPr>
          <w:rFonts w:hint="eastAsia" w:hAnsi="华文仿宋"/>
          <w:szCs w:val="28"/>
        </w:rPr>
        <w:t>额定绝缘电压：≥</w:t>
      </w:r>
      <w:r>
        <w:rPr>
          <w:rFonts w:hAnsi="华文仿宋"/>
          <w:szCs w:val="28"/>
        </w:rPr>
        <w:t xml:space="preserve"> 500V</w:t>
      </w:r>
      <w:r>
        <w:rPr>
          <w:rFonts w:hint="eastAsia" w:hAnsi="华文仿宋"/>
          <w:szCs w:val="28"/>
        </w:rPr>
        <w:t>。</w:t>
      </w:r>
    </w:p>
    <w:p>
      <w:pPr>
        <w:spacing w:before="12" w:beforeLines="5"/>
        <w:ind w:firstLine="560"/>
        <w:rPr>
          <w:rFonts w:hAnsi="华文仿宋"/>
          <w:szCs w:val="28"/>
        </w:rPr>
      </w:pPr>
      <w:r>
        <w:rPr>
          <w:rFonts w:hint="eastAsia" w:hAnsi="华文仿宋"/>
          <w:szCs w:val="28"/>
        </w:rPr>
        <w:t>额定工作电压：≥</w:t>
      </w:r>
      <w:r>
        <w:rPr>
          <w:rFonts w:hAnsi="华文仿宋"/>
          <w:szCs w:val="28"/>
        </w:rPr>
        <w:t>230/400V</w:t>
      </w:r>
      <w:r>
        <w:rPr>
          <w:rFonts w:hint="eastAsia" w:hAnsi="华文仿宋"/>
          <w:szCs w:val="28"/>
        </w:rPr>
        <w:t>。</w:t>
      </w:r>
    </w:p>
    <w:p>
      <w:pPr>
        <w:spacing w:before="12" w:beforeLines="5"/>
        <w:ind w:firstLine="560"/>
        <w:rPr>
          <w:rFonts w:hAnsi="华文仿宋"/>
          <w:szCs w:val="28"/>
        </w:rPr>
      </w:pPr>
      <w:r>
        <w:rPr>
          <w:rFonts w:hint="eastAsia" w:hAnsi="华文仿宋"/>
          <w:szCs w:val="28"/>
        </w:rPr>
        <w:t>额定冲击耐压：</w:t>
      </w:r>
      <w:r>
        <w:rPr>
          <w:rFonts w:hAnsi="华文仿宋"/>
          <w:szCs w:val="28"/>
        </w:rPr>
        <w:t>4kV</w:t>
      </w:r>
      <w:r>
        <w:rPr>
          <w:rFonts w:hint="eastAsia" w:hAnsi="华文仿宋"/>
          <w:szCs w:val="28"/>
        </w:rPr>
        <w:t>。</w:t>
      </w:r>
    </w:p>
    <w:p>
      <w:pPr>
        <w:spacing w:before="12" w:beforeLines="5"/>
        <w:ind w:firstLine="560"/>
        <w:rPr>
          <w:rFonts w:hAnsi="华文仿宋"/>
          <w:szCs w:val="28"/>
        </w:rPr>
      </w:pPr>
      <w:r>
        <w:rPr>
          <w:rFonts w:hint="eastAsia" w:hAnsi="华文仿宋"/>
          <w:szCs w:val="28"/>
        </w:rPr>
        <w:t>额定电流：见图纸。</w:t>
      </w:r>
    </w:p>
    <w:p>
      <w:pPr>
        <w:spacing w:before="12" w:beforeLines="5"/>
        <w:ind w:firstLine="560"/>
        <w:rPr>
          <w:rFonts w:hAnsi="华文仿宋"/>
          <w:szCs w:val="28"/>
        </w:rPr>
      </w:pPr>
      <w:r>
        <w:rPr>
          <w:rFonts w:hint="eastAsia" w:hAnsi="华文仿宋"/>
          <w:szCs w:val="28"/>
        </w:rPr>
        <w:t>运行短路分断能力</w:t>
      </w:r>
      <w:r>
        <w:rPr>
          <w:rFonts w:hAnsi="华文仿宋"/>
          <w:szCs w:val="28"/>
        </w:rPr>
        <w:t>Ics</w:t>
      </w:r>
      <w:r>
        <w:rPr>
          <w:rFonts w:hint="eastAsia" w:hAnsi="华文仿宋"/>
          <w:szCs w:val="28"/>
        </w:rPr>
        <w:t>≮</w:t>
      </w:r>
      <w:r>
        <w:rPr>
          <w:rFonts w:hAnsi="华文仿宋"/>
          <w:szCs w:val="28"/>
        </w:rPr>
        <w:t>6kA</w:t>
      </w:r>
      <w:r>
        <w:rPr>
          <w:rFonts w:hint="eastAsia" w:hAnsi="华文仿宋"/>
          <w:szCs w:val="28"/>
        </w:rPr>
        <w:t>。</w:t>
      </w:r>
    </w:p>
    <w:p>
      <w:pPr>
        <w:spacing w:before="12" w:beforeLines="5"/>
        <w:ind w:firstLine="560"/>
        <w:rPr>
          <w:rFonts w:hAnsi="华文仿宋"/>
          <w:szCs w:val="28"/>
        </w:rPr>
      </w:pPr>
      <w:r>
        <w:rPr>
          <w:rFonts w:hint="eastAsia" w:hAnsi="华文仿宋"/>
          <w:szCs w:val="28"/>
        </w:rPr>
        <w:t>脱扣器：见图纸。</w:t>
      </w:r>
    </w:p>
    <w:p>
      <w:pPr>
        <w:spacing w:before="12" w:beforeLines="5"/>
        <w:ind w:firstLine="560"/>
        <w:rPr>
          <w:rFonts w:hAnsi="华文仿宋"/>
          <w:szCs w:val="28"/>
        </w:rPr>
      </w:pPr>
      <w:r>
        <w:rPr>
          <w:rFonts w:hint="eastAsia" w:hAnsi="华文仿宋"/>
          <w:szCs w:val="28"/>
        </w:rPr>
        <w:t>为满足用电设备的可能变化，断路器应可以现场更换。</w:t>
      </w:r>
    </w:p>
    <w:p>
      <w:pPr>
        <w:spacing w:before="12" w:beforeLines="5"/>
        <w:ind w:firstLine="560"/>
        <w:rPr>
          <w:rFonts w:hAnsi="华文仿宋"/>
          <w:szCs w:val="28"/>
        </w:rPr>
      </w:pPr>
      <w:r>
        <w:rPr>
          <w:rFonts w:hint="eastAsia" w:hAnsi="华文仿宋"/>
          <w:szCs w:val="28"/>
        </w:rPr>
        <w:t>断路器必须是抗湿热产品。</w:t>
      </w:r>
    </w:p>
    <w:p>
      <w:pPr>
        <w:ind w:firstLine="560"/>
      </w:pPr>
      <w:r>
        <w:t xml:space="preserve">4.2.3 </w:t>
      </w:r>
      <w:r>
        <w:rPr>
          <w:rFonts w:hint="eastAsia"/>
        </w:rPr>
        <w:t>负荷隔离开关</w:t>
      </w:r>
    </w:p>
    <w:p>
      <w:pPr>
        <w:ind w:firstLine="560"/>
        <w:rPr>
          <w:rFonts w:hAnsi="华文仿宋"/>
        </w:rPr>
      </w:pPr>
      <w:r>
        <w:rPr>
          <w:rFonts w:hint="eastAsia" w:hAnsi="华文仿宋"/>
        </w:rPr>
        <w:t>额定绝缘电压：≥</w:t>
      </w:r>
      <w:r>
        <w:rPr>
          <w:rFonts w:hAnsi="华文仿宋"/>
        </w:rPr>
        <w:t>AC750V</w:t>
      </w:r>
      <w:r>
        <w:rPr>
          <w:rFonts w:hint="eastAsia" w:hAnsi="华文仿宋"/>
        </w:rPr>
        <w:t>。</w:t>
      </w:r>
    </w:p>
    <w:p>
      <w:pPr>
        <w:ind w:firstLine="560"/>
        <w:rPr>
          <w:rFonts w:hAnsi="华文仿宋"/>
        </w:rPr>
      </w:pPr>
      <w:r>
        <w:rPr>
          <w:rFonts w:hint="eastAsia" w:hAnsi="华文仿宋"/>
        </w:rPr>
        <w:t>额定工作电压：</w:t>
      </w:r>
      <w:r>
        <w:rPr>
          <w:rFonts w:hAnsi="华文仿宋"/>
        </w:rPr>
        <w:t xml:space="preserve"> </w:t>
      </w:r>
      <w:r>
        <w:rPr>
          <w:rFonts w:hint="eastAsia" w:hAnsi="华文仿宋"/>
        </w:rPr>
        <w:t>≥</w:t>
      </w:r>
      <w:r>
        <w:rPr>
          <w:rFonts w:hAnsi="华文仿宋"/>
        </w:rPr>
        <w:t>AC400V</w:t>
      </w:r>
      <w:r>
        <w:rPr>
          <w:rFonts w:hint="eastAsia" w:hAnsi="华文仿宋"/>
        </w:rPr>
        <w:t>。</w:t>
      </w:r>
    </w:p>
    <w:p>
      <w:pPr>
        <w:ind w:firstLine="560"/>
        <w:rPr>
          <w:rFonts w:hAnsi="华文仿宋"/>
        </w:rPr>
      </w:pPr>
      <w:r>
        <w:rPr>
          <w:rFonts w:hint="eastAsia" w:hAnsi="华文仿宋"/>
        </w:rPr>
        <w:t>额定冲击耐压：</w:t>
      </w:r>
      <w:r>
        <w:rPr>
          <w:rFonts w:hAnsi="华文仿宋"/>
        </w:rPr>
        <w:t>8kV</w:t>
      </w:r>
      <w:r>
        <w:rPr>
          <w:rFonts w:hint="eastAsia" w:hAnsi="华文仿宋"/>
        </w:rPr>
        <w:t>。</w:t>
      </w:r>
    </w:p>
    <w:p>
      <w:pPr>
        <w:ind w:firstLine="560"/>
        <w:rPr>
          <w:rFonts w:hAnsi="华文仿宋"/>
        </w:rPr>
      </w:pPr>
      <w:r>
        <w:rPr>
          <w:rFonts w:hint="eastAsia" w:hAnsi="华文仿宋"/>
        </w:rPr>
        <w:t>额定电流：见图纸。</w:t>
      </w:r>
    </w:p>
    <w:p>
      <w:pPr>
        <w:ind w:firstLine="560"/>
      </w:pPr>
      <w:r>
        <w:t>4.2.4</w:t>
      </w:r>
      <w:r>
        <w:rPr>
          <w:rFonts w:hint="eastAsia"/>
        </w:rPr>
        <w:t>浪涌保护器：</w:t>
      </w:r>
    </w:p>
    <w:p>
      <w:pPr>
        <w:ind w:firstLine="560"/>
        <w:rPr>
          <w:rFonts w:hAnsi="华文仿宋"/>
        </w:rPr>
      </w:pPr>
      <w:r>
        <w:rPr>
          <w:rFonts w:hint="eastAsia" w:hAnsi="华文仿宋"/>
        </w:rPr>
        <w:t>全模保护（</w:t>
      </w:r>
      <w:r>
        <w:rPr>
          <w:rFonts w:hAnsi="华文仿宋"/>
        </w:rPr>
        <w:t>L-N</w:t>
      </w:r>
      <w:r>
        <w:rPr>
          <w:rFonts w:hint="eastAsia" w:hAnsi="华文仿宋"/>
        </w:rPr>
        <w:t>，</w:t>
      </w:r>
      <w:r>
        <w:rPr>
          <w:rFonts w:hAnsi="华文仿宋"/>
        </w:rPr>
        <w:t>L-G</w:t>
      </w:r>
      <w:r>
        <w:rPr>
          <w:rFonts w:hint="eastAsia" w:hAnsi="华文仿宋"/>
        </w:rPr>
        <w:t>，</w:t>
      </w:r>
      <w:r>
        <w:rPr>
          <w:rFonts w:hAnsi="华文仿宋"/>
        </w:rPr>
        <w:t>L-L</w:t>
      </w:r>
      <w:r>
        <w:rPr>
          <w:rFonts w:hint="eastAsia" w:hAnsi="华文仿宋"/>
        </w:rPr>
        <w:t>，</w:t>
      </w:r>
      <w:r>
        <w:rPr>
          <w:rFonts w:hAnsi="华文仿宋"/>
        </w:rPr>
        <w:t>N-G</w:t>
      </w:r>
      <w:r>
        <w:rPr>
          <w:rFonts w:hint="eastAsia" w:hAnsi="华文仿宋"/>
        </w:rPr>
        <w:t>），每相使用</w:t>
      </w:r>
      <w:r>
        <w:rPr>
          <w:rFonts w:hAnsi="华文仿宋"/>
        </w:rPr>
        <w:t>LED</w:t>
      </w:r>
      <w:r>
        <w:rPr>
          <w:rFonts w:hint="eastAsia" w:hAnsi="华文仿宋"/>
        </w:rPr>
        <w:t>显示保护状态或者机械窗口指示显示保护状态。</w:t>
      </w:r>
    </w:p>
    <w:p>
      <w:pPr>
        <w:ind w:firstLine="560"/>
        <w:rPr>
          <w:rFonts w:hAnsi="华文仿宋"/>
          <w:szCs w:val="28"/>
        </w:rPr>
      </w:pPr>
      <w:r>
        <w:rPr>
          <w:rFonts w:hint="eastAsia" w:hAnsi="华文仿宋"/>
          <w:szCs w:val="28"/>
        </w:rPr>
        <w:t>额定工作电压</w:t>
      </w:r>
      <w:r>
        <w:rPr>
          <w:rFonts w:hAnsi="华文仿宋"/>
          <w:szCs w:val="28"/>
        </w:rPr>
        <w:t>230/400V</w:t>
      </w:r>
      <w:r>
        <w:rPr>
          <w:rFonts w:hint="eastAsia" w:hAnsi="华文仿宋"/>
          <w:szCs w:val="28"/>
        </w:rPr>
        <w:t>，最大连续工作电压</w:t>
      </w:r>
      <w:r>
        <w:rPr>
          <w:rFonts w:hAnsi="华文仿宋"/>
          <w:szCs w:val="28"/>
        </w:rPr>
        <w:t>275/440V</w:t>
      </w:r>
      <w:r>
        <w:rPr>
          <w:rFonts w:hint="eastAsia" w:hAnsi="华文仿宋"/>
          <w:szCs w:val="28"/>
        </w:rPr>
        <w:t>。</w:t>
      </w:r>
    </w:p>
    <w:p>
      <w:pPr>
        <w:ind w:firstLine="560"/>
        <w:rPr>
          <w:rFonts w:hAnsi="华文仿宋"/>
          <w:szCs w:val="28"/>
        </w:rPr>
      </w:pPr>
      <w:r>
        <w:rPr>
          <w:rFonts w:hint="eastAsia" w:hAnsi="华文仿宋"/>
          <w:szCs w:val="28"/>
        </w:rPr>
        <w:t>保护电压水平≤</w:t>
      </w:r>
      <w:r>
        <w:rPr>
          <w:rFonts w:hAnsi="华文仿宋"/>
          <w:szCs w:val="28"/>
        </w:rPr>
        <w:t>2kV</w:t>
      </w:r>
      <w:r>
        <w:rPr>
          <w:rFonts w:hint="eastAsia" w:hAnsi="华文仿宋"/>
          <w:szCs w:val="28"/>
        </w:rPr>
        <w:t>。</w:t>
      </w:r>
    </w:p>
    <w:p>
      <w:pPr>
        <w:ind w:firstLine="560"/>
        <w:rPr>
          <w:rFonts w:hAnsi="华文仿宋"/>
          <w:szCs w:val="28"/>
        </w:rPr>
      </w:pPr>
      <w:r>
        <w:rPr>
          <w:rFonts w:hint="eastAsia" w:hAnsi="华文仿宋"/>
          <w:szCs w:val="28"/>
        </w:rPr>
        <w:t>带故障指示功能。</w:t>
      </w:r>
    </w:p>
    <w:p>
      <w:pPr>
        <w:ind w:firstLine="560"/>
      </w:pPr>
      <w:r>
        <w:t>4.2.5</w:t>
      </w:r>
      <w:r>
        <w:rPr>
          <w:rFonts w:hint="eastAsia"/>
        </w:rPr>
        <w:t>双电源自动转换开关：</w:t>
      </w:r>
    </w:p>
    <w:p>
      <w:pPr>
        <w:spacing w:before="12" w:beforeLines="5"/>
        <w:ind w:firstLine="560"/>
        <w:rPr>
          <w:rFonts w:hAnsi="华文仿宋"/>
          <w:szCs w:val="28"/>
        </w:rPr>
      </w:pPr>
      <w:r>
        <w:rPr>
          <w:rFonts w:hint="eastAsia" w:hAnsi="华文仿宋"/>
          <w:szCs w:val="28"/>
        </w:rPr>
        <w:t>额定绝缘电压：≥</w:t>
      </w:r>
      <w:r>
        <w:rPr>
          <w:rFonts w:hAnsi="华文仿宋"/>
          <w:szCs w:val="28"/>
        </w:rPr>
        <w:t>AC750V</w:t>
      </w:r>
      <w:r>
        <w:rPr>
          <w:rFonts w:hint="eastAsia" w:hAnsi="华文仿宋"/>
          <w:szCs w:val="28"/>
        </w:rPr>
        <w:t>。</w:t>
      </w:r>
    </w:p>
    <w:p>
      <w:pPr>
        <w:spacing w:before="12" w:beforeLines="5"/>
        <w:ind w:firstLine="560"/>
        <w:rPr>
          <w:rFonts w:hAnsi="华文仿宋"/>
          <w:szCs w:val="28"/>
        </w:rPr>
      </w:pPr>
      <w:r>
        <w:rPr>
          <w:rFonts w:hint="eastAsia" w:hAnsi="华文仿宋"/>
          <w:szCs w:val="28"/>
        </w:rPr>
        <w:t>额定工作电压：</w:t>
      </w:r>
      <w:r>
        <w:rPr>
          <w:rFonts w:hAnsi="华文仿宋"/>
          <w:szCs w:val="28"/>
        </w:rPr>
        <w:t xml:space="preserve"> </w:t>
      </w:r>
      <w:r>
        <w:rPr>
          <w:rFonts w:hint="eastAsia" w:hAnsi="华文仿宋"/>
          <w:szCs w:val="28"/>
        </w:rPr>
        <w:t>≥</w:t>
      </w:r>
      <w:r>
        <w:rPr>
          <w:rFonts w:hAnsi="华文仿宋"/>
          <w:szCs w:val="28"/>
        </w:rPr>
        <w:t>AC400V</w:t>
      </w:r>
      <w:r>
        <w:rPr>
          <w:rFonts w:hint="eastAsia" w:hAnsi="华文仿宋"/>
          <w:szCs w:val="28"/>
        </w:rPr>
        <w:t>。</w:t>
      </w:r>
    </w:p>
    <w:p>
      <w:pPr>
        <w:spacing w:before="12" w:beforeLines="5"/>
        <w:ind w:firstLine="560"/>
        <w:rPr>
          <w:rFonts w:hAnsi="华文仿宋"/>
          <w:szCs w:val="28"/>
        </w:rPr>
      </w:pPr>
      <w:r>
        <w:rPr>
          <w:rFonts w:hint="eastAsia" w:hAnsi="华文仿宋"/>
          <w:szCs w:val="28"/>
        </w:rPr>
        <w:t>额定冲击耐压：</w:t>
      </w:r>
      <w:r>
        <w:rPr>
          <w:rFonts w:hAnsi="华文仿宋"/>
          <w:szCs w:val="28"/>
        </w:rPr>
        <w:t>8kV</w:t>
      </w:r>
      <w:r>
        <w:rPr>
          <w:rFonts w:hint="eastAsia" w:hAnsi="华文仿宋"/>
          <w:szCs w:val="28"/>
        </w:rPr>
        <w:t>。</w:t>
      </w:r>
    </w:p>
    <w:p>
      <w:pPr>
        <w:spacing w:before="12" w:beforeLines="5"/>
        <w:ind w:firstLine="560"/>
        <w:rPr>
          <w:rFonts w:hAnsi="华文仿宋"/>
          <w:szCs w:val="28"/>
        </w:rPr>
      </w:pPr>
      <w:r>
        <w:rPr>
          <w:rFonts w:hint="eastAsia" w:hAnsi="华文仿宋"/>
          <w:szCs w:val="28"/>
        </w:rPr>
        <w:t>额定电流：见图纸。</w:t>
      </w:r>
    </w:p>
    <w:p>
      <w:pPr>
        <w:spacing w:before="12" w:beforeLines="5"/>
        <w:ind w:firstLine="560"/>
        <w:rPr>
          <w:rFonts w:hAnsi="华文仿宋"/>
          <w:szCs w:val="28"/>
        </w:rPr>
      </w:pPr>
      <w:r>
        <w:rPr>
          <w:rFonts w:hint="eastAsia" w:hAnsi="华文仿宋"/>
          <w:szCs w:val="28"/>
        </w:rPr>
        <w:t>所有双电源自动转换开关具有过压、欠压、缺相检测转换报警功能。</w:t>
      </w:r>
    </w:p>
    <w:p>
      <w:pPr>
        <w:spacing w:before="12" w:beforeLines="5"/>
        <w:ind w:firstLine="560"/>
        <w:rPr>
          <w:rFonts w:hAnsi="华文仿宋"/>
          <w:szCs w:val="28"/>
        </w:rPr>
      </w:pPr>
      <w:r>
        <w:rPr>
          <w:rFonts w:hint="eastAsia" w:hAnsi="华文仿宋"/>
          <w:szCs w:val="28"/>
        </w:rPr>
        <w:t>应具备手动及电动操作功能。</w:t>
      </w:r>
    </w:p>
    <w:p>
      <w:pPr>
        <w:ind w:firstLine="560"/>
        <w:rPr>
          <w:rFonts w:hAnsi="华文仿宋"/>
          <w:szCs w:val="28"/>
        </w:rPr>
      </w:pPr>
      <w:r>
        <w:rPr>
          <w:rFonts w:hint="eastAsia" w:hAnsi="华文仿宋"/>
          <w:szCs w:val="28"/>
        </w:rPr>
        <w:t>应具备电气和机械联锁以便自动</w:t>
      </w:r>
      <w:r>
        <w:rPr>
          <w:rFonts w:hAnsi="华文仿宋"/>
          <w:szCs w:val="28"/>
        </w:rPr>
        <w:t xml:space="preserve">/ </w:t>
      </w:r>
      <w:r>
        <w:rPr>
          <w:rFonts w:hint="eastAsia" w:hAnsi="华文仿宋"/>
          <w:szCs w:val="28"/>
        </w:rPr>
        <w:t>手动由正常电源切换至备用电源。</w:t>
      </w:r>
    </w:p>
    <w:p>
      <w:pPr>
        <w:ind w:firstLine="560"/>
        <w:rPr>
          <w:rFonts w:hAnsi="华文仿宋"/>
          <w:szCs w:val="28"/>
        </w:rPr>
      </w:pPr>
      <w:r>
        <w:rPr>
          <w:rFonts w:hint="eastAsia" w:hAnsi="华文仿宋"/>
          <w:szCs w:val="28"/>
        </w:rPr>
        <w:t>在控制回路应装置试验开关以摸拟主电源故障而起动切换操作。</w:t>
      </w:r>
    </w:p>
    <w:p>
      <w:pPr>
        <w:tabs>
          <w:tab w:val="left" w:pos="425"/>
        </w:tabs>
        <w:spacing w:before="12" w:beforeLines="5"/>
        <w:ind w:firstLine="560"/>
      </w:pPr>
      <w:r>
        <w:t>4.2.6</w:t>
      </w:r>
      <w:r>
        <w:rPr>
          <w:rFonts w:hint="eastAsia"/>
        </w:rPr>
        <w:t>变频器</w:t>
      </w:r>
    </w:p>
    <w:p>
      <w:pPr>
        <w:numPr>
          <w:ilvl w:val="0"/>
          <w:numId w:val="24"/>
        </w:numPr>
        <w:ind w:left="0" w:firstLine="560"/>
        <w:rPr>
          <w:rFonts w:hAnsi="华文仿宋"/>
          <w:szCs w:val="28"/>
        </w:rPr>
      </w:pPr>
      <w:r>
        <w:rPr>
          <w:rFonts w:hAnsi="华文仿宋"/>
          <w:szCs w:val="28"/>
        </w:rPr>
        <w:t>变频器必须符合全球标准CE、UL等及相关的国家标准，并符合以下各项要求（不局限于以下要求）。</w:t>
      </w:r>
    </w:p>
    <w:p>
      <w:pPr>
        <w:numPr>
          <w:ilvl w:val="0"/>
          <w:numId w:val="24"/>
        </w:numPr>
        <w:ind w:left="0" w:firstLine="560"/>
        <w:rPr>
          <w:rFonts w:hAnsi="华文仿宋"/>
          <w:szCs w:val="28"/>
        </w:rPr>
      </w:pPr>
      <w:r>
        <w:rPr>
          <w:rFonts w:hAnsi="华文仿宋"/>
          <w:szCs w:val="28"/>
        </w:rPr>
        <w:t>变频器应适用于安装在电控柜内或电气室内的屏、盘内，运行温度为：－10～50ºC；柜体的通风性应备有通风口或换气装置以排出变频器产生的热量。</w:t>
      </w:r>
    </w:p>
    <w:p>
      <w:pPr>
        <w:numPr>
          <w:ilvl w:val="0"/>
          <w:numId w:val="24"/>
        </w:numPr>
        <w:ind w:left="0" w:firstLine="560"/>
        <w:rPr>
          <w:rFonts w:hAnsi="华文仿宋"/>
          <w:szCs w:val="28"/>
        </w:rPr>
      </w:pPr>
      <w:r>
        <w:rPr>
          <w:rFonts w:hAnsi="华文仿宋"/>
          <w:szCs w:val="28"/>
        </w:rPr>
        <w:t>变频器主要技术要求：</w:t>
      </w:r>
    </w:p>
    <w:p>
      <w:pPr>
        <w:numPr>
          <w:ilvl w:val="0"/>
          <w:numId w:val="25"/>
        </w:numPr>
        <w:ind w:firstLine="560"/>
        <w:rPr>
          <w:rFonts w:hAnsi="华文仿宋"/>
          <w:szCs w:val="28"/>
        </w:rPr>
      </w:pPr>
      <w:r>
        <w:rPr>
          <w:rFonts w:hAnsi="华文仿宋"/>
          <w:szCs w:val="28"/>
        </w:rPr>
        <w:t>输入电压：和设计图一致</w:t>
      </w:r>
    </w:p>
    <w:p>
      <w:pPr>
        <w:numPr>
          <w:ilvl w:val="0"/>
          <w:numId w:val="25"/>
        </w:numPr>
        <w:ind w:firstLine="560"/>
        <w:rPr>
          <w:rFonts w:hAnsi="华文仿宋"/>
          <w:szCs w:val="28"/>
        </w:rPr>
      </w:pPr>
      <w:r>
        <w:rPr>
          <w:rFonts w:hAnsi="华文仿宋"/>
          <w:szCs w:val="28"/>
        </w:rPr>
        <w:t>输入频率：和设计图一致</w:t>
      </w:r>
    </w:p>
    <w:p>
      <w:pPr>
        <w:numPr>
          <w:ilvl w:val="0"/>
          <w:numId w:val="25"/>
        </w:numPr>
        <w:ind w:firstLine="560"/>
        <w:rPr>
          <w:rFonts w:hAnsi="华文仿宋"/>
          <w:szCs w:val="28"/>
        </w:rPr>
      </w:pPr>
      <w:r>
        <w:rPr>
          <w:rFonts w:hAnsi="华文仿宋"/>
          <w:szCs w:val="28"/>
        </w:rPr>
        <w:t>负荷类型：风机、水泵类</w:t>
      </w:r>
    </w:p>
    <w:p>
      <w:pPr>
        <w:numPr>
          <w:ilvl w:val="0"/>
          <w:numId w:val="25"/>
        </w:numPr>
        <w:ind w:firstLine="560"/>
        <w:rPr>
          <w:rFonts w:hAnsi="华文仿宋"/>
          <w:szCs w:val="28"/>
        </w:rPr>
      </w:pPr>
      <w:r>
        <w:rPr>
          <w:rFonts w:hAnsi="华文仿宋"/>
          <w:szCs w:val="28"/>
        </w:rPr>
        <w:t>额定容量：符合设计图纸要求</w:t>
      </w:r>
    </w:p>
    <w:p>
      <w:pPr>
        <w:numPr>
          <w:ilvl w:val="0"/>
          <w:numId w:val="25"/>
        </w:numPr>
        <w:ind w:firstLine="560"/>
        <w:rPr>
          <w:rFonts w:hAnsi="华文仿宋"/>
          <w:szCs w:val="28"/>
        </w:rPr>
      </w:pPr>
      <w:r>
        <w:rPr>
          <w:rFonts w:hAnsi="华文仿宋"/>
          <w:szCs w:val="28"/>
        </w:rPr>
        <w:t>频率输出：0.1Hz~400Hz</w:t>
      </w:r>
    </w:p>
    <w:p>
      <w:pPr>
        <w:numPr>
          <w:ilvl w:val="0"/>
          <w:numId w:val="25"/>
        </w:numPr>
        <w:ind w:firstLine="560"/>
        <w:rPr>
          <w:rFonts w:hAnsi="华文仿宋"/>
          <w:szCs w:val="28"/>
        </w:rPr>
      </w:pPr>
      <w:r>
        <w:rPr>
          <w:rFonts w:hAnsi="华文仿宋"/>
          <w:szCs w:val="28"/>
        </w:rPr>
        <w:t>控制方式：无编码矢量控制</w:t>
      </w:r>
    </w:p>
    <w:p>
      <w:pPr>
        <w:numPr>
          <w:ilvl w:val="0"/>
          <w:numId w:val="25"/>
        </w:numPr>
        <w:ind w:firstLine="560"/>
        <w:rPr>
          <w:rFonts w:hAnsi="华文仿宋"/>
          <w:szCs w:val="28"/>
        </w:rPr>
      </w:pPr>
      <w:r>
        <w:rPr>
          <w:rFonts w:hAnsi="华文仿宋"/>
          <w:szCs w:val="28"/>
        </w:rPr>
        <w:t>功率器件：IGBT</w:t>
      </w:r>
    </w:p>
    <w:p>
      <w:pPr>
        <w:numPr>
          <w:ilvl w:val="0"/>
          <w:numId w:val="25"/>
        </w:numPr>
        <w:ind w:firstLine="560"/>
        <w:rPr>
          <w:rFonts w:hAnsi="华文仿宋"/>
          <w:szCs w:val="28"/>
        </w:rPr>
      </w:pPr>
      <w:r>
        <w:rPr>
          <w:rFonts w:hAnsi="华文仿宋"/>
          <w:szCs w:val="28"/>
        </w:rPr>
        <w:t>效    率：额定负载下大于95%</w:t>
      </w:r>
    </w:p>
    <w:p>
      <w:pPr>
        <w:numPr>
          <w:ilvl w:val="0"/>
          <w:numId w:val="25"/>
        </w:numPr>
        <w:ind w:firstLine="560"/>
        <w:rPr>
          <w:rFonts w:hAnsi="华文仿宋"/>
          <w:szCs w:val="28"/>
        </w:rPr>
      </w:pPr>
      <w:r>
        <w:rPr>
          <w:rFonts w:hAnsi="华文仿宋"/>
          <w:szCs w:val="28"/>
        </w:rPr>
        <w:t>频率设定精度：0.01Hz</w:t>
      </w:r>
    </w:p>
    <w:p>
      <w:pPr>
        <w:numPr>
          <w:ilvl w:val="0"/>
          <w:numId w:val="25"/>
        </w:numPr>
        <w:ind w:left="0" w:firstLine="560"/>
        <w:rPr>
          <w:rFonts w:hAnsi="华文仿宋"/>
          <w:szCs w:val="28"/>
        </w:rPr>
      </w:pPr>
      <w:r>
        <w:rPr>
          <w:rFonts w:hAnsi="华文仿宋"/>
          <w:szCs w:val="28"/>
        </w:rPr>
        <w:t>冷却方式：风冷</w:t>
      </w:r>
    </w:p>
    <w:p>
      <w:pPr>
        <w:numPr>
          <w:ilvl w:val="0"/>
          <w:numId w:val="24"/>
        </w:numPr>
        <w:ind w:left="0" w:firstLine="560"/>
        <w:rPr>
          <w:rFonts w:hAnsi="华文仿宋"/>
          <w:szCs w:val="28"/>
        </w:rPr>
      </w:pPr>
      <w:r>
        <w:rPr>
          <w:rFonts w:hAnsi="华文仿宋"/>
          <w:szCs w:val="28"/>
        </w:rPr>
        <w:t xml:space="preserve"> 具有单元旁路功能，具有缺相，欠压，过压，过流，变频器过载，电机过载，过热，电流检测故障，外部设备故障，接触器监测等功能。可以显示当前输出频率、当前时间、当前流量、输出电流、当前输出电压、故障类型以及功能码参数、操作参数</w:t>
      </w:r>
      <w:r>
        <w:rPr>
          <w:rFonts w:hint="eastAsia" w:hAnsi="华文仿宋"/>
          <w:szCs w:val="28"/>
        </w:rPr>
        <w:t>。</w:t>
      </w:r>
    </w:p>
    <w:p>
      <w:pPr>
        <w:numPr>
          <w:ilvl w:val="0"/>
          <w:numId w:val="24"/>
        </w:numPr>
        <w:ind w:left="0" w:firstLine="560"/>
        <w:rPr>
          <w:rFonts w:hAnsi="华文仿宋"/>
          <w:szCs w:val="28"/>
        </w:rPr>
      </w:pPr>
      <w:r>
        <w:rPr>
          <w:rFonts w:hAnsi="华文仿宋"/>
          <w:szCs w:val="28"/>
        </w:rPr>
        <w:t xml:space="preserve"> V/f 特性可自由设定，具有PID、节能控制功能。</w:t>
      </w:r>
    </w:p>
    <w:p>
      <w:pPr>
        <w:numPr>
          <w:ilvl w:val="0"/>
          <w:numId w:val="24"/>
        </w:numPr>
        <w:ind w:left="0" w:firstLine="560"/>
        <w:rPr>
          <w:rFonts w:hAnsi="华文仿宋"/>
          <w:szCs w:val="28"/>
        </w:rPr>
      </w:pPr>
      <w:r>
        <w:rPr>
          <w:rFonts w:hAnsi="华文仿宋"/>
          <w:szCs w:val="28"/>
        </w:rPr>
        <w:t xml:space="preserve"> 频率设定可由数字键盘、外部模拟接口、或内置RS485接口控制。</w:t>
      </w:r>
    </w:p>
    <w:p>
      <w:pPr>
        <w:numPr>
          <w:ilvl w:val="0"/>
          <w:numId w:val="24"/>
        </w:numPr>
        <w:ind w:left="0" w:firstLine="560"/>
        <w:rPr>
          <w:rFonts w:hAnsi="华文仿宋"/>
          <w:szCs w:val="28"/>
        </w:rPr>
      </w:pPr>
      <w:r>
        <w:rPr>
          <w:rFonts w:hAnsi="华文仿宋"/>
          <w:szCs w:val="28"/>
        </w:rPr>
        <w:t xml:space="preserve"> 外部模拟输入输出接口采用：电压0～10V，电流4～20mA</w:t>
      </w:r>
      <w:r>
        <w:rPr>
          <w:rFonts w:hint="eastAsia" w:hAnsi="华文仿宋"/>
          <w:szCs w:val="28"/>
        </w:rPr>
        <w:t>。</w:t>
      </w:r>
    </w:p>
    <w:p>
      <w:pPr>
        <w:numPr>
          <w:ilvl w:val="0"/>
          <w:numId w:val="24"/>
        </w:numPr>
        <w:ind w:left="0" w:firstLine="560"/>
        <w:rPr>
          <w:rFonts w:hAnsi="华文仿宋"/>
          <w:szCs w:val="28"/>
        </w:rPr>
      </w:pPr>
      <w:r>
        <w:rPr>
          <w:rFonts w:hAnsi="华文仿宋"/>
          <w:szCs w:val="28"/>
        </w:rPr>
        <w:t xml:space="preserve"> 变频器与供电电源之间应装设带有短路及过载保护的低压断路器以及交流接触器</w:t>
      </w:r>
      <w:r>
        <w:rPr>
          <w:rFonts w:hint="eastAsia" w:hAnsi="华文仿宋"/>
          <w:szCs w:val="28"/>
        </w:rPr>
        <w:t>。</w:t>
      </w:r>
    </w:p>
    <w:p>
      <w:pPr>
        <w:numPr>
          <w:ilvl w:val="0"/>
          <w:numId w:val="24"/>
        </w:numPr>
        <w:ind w:left="0" w:firstLine="560"/>
        <w:rPr>
          <w:rFonts w:hAnsi="华文仿宋"/>
          <w:szCs w:val="28"/>
        </w:rPr>
      </w:pPr>
      <w:r>
        <w:rPr>
          <w:rFonts w:hAnsi="华文仿宋"/>
          <w:szCs w:val="28"/>
        </w:rPr>
        <w:t xml:space="preserve"> 变频器的起动、停止，应使用变频器控制面板上的启动、停止控制端子</w:t>
      </w:r>
      <w:r>
        <w:rPr>
          <w:rFonts w:hint="eastAsia" w:hAnsi="华文仿宋"/>
          <w:szCs w:val="28"/>
        </w:rPr>
        <w:t>。</w:t>
      </w:r>
    </w:p>
    <w:p>
      <w:pPr>
        <w:numPr>
          <w:ilvl w:val="0"/>
          <w:numId w:val="24"/>
        </w:numPr>
        <w:ind w:left="0" w:firstLine="560"/>
        <w:rPr>
          <w:rFonts w:hAnsi="华文仿宋"/>
          <w:szCs w:val="28"/>
        </w:rPr>
      </w:pPr>
      <w:r>
        <w:rPr>
          <w:rFonts w:hAnsi="华文仿宋"/>
          <w:szCs w:val="28"/>
        </w:rPr>
        <w:t xml:space="preserve"> 不能在变频器输出侧安装电力电容器、浪涌抑制器和无线电噪声滤波器；</w:t>
      </w:r>
    </w:p>
    <w:p>
      <w:pPr>
        <w:numPr>
          <w:ilvl w:val="0"/>
          <w:numId w:val="24"/>
        </w:numPr>
        <w:ind w:left="0" w:firstLine="560"/>
        <w:rPr>
          <w:rFonts w:hAnsi="华文仿宋"/>
          <w:szCs w:val="28"/>
        </w:rPr>
      </w:pPr>
      <w:r>
        <w:rPr>
          <w:rFonts w:hAnsi="华文仿宋"/>
          <w:szCs w:val="28"/>
        </w:rPr>
        <w:t xml:space="preserve"> 必须采取电磁兼容措施，应配置DC电抗器，改善变频器电源侧功率因数和降低输入高次谐波电流。</w:t>
      </w:r>
    </w:p>
    <w:p>
      <w:pPr>
        <w:numPr>
          <w:ilvl w:val="0"/>
          <w:numId w:val="24"/>
        </w:numPr>
        <w:ind w:left="0" w:firstLine="560"/>
      </w:pPr>
      <w:r>
        <w:rPr>
          <w:rFonts w:hAnsi="华文仿宋"/>
          <w:szCs w:val="28"/>
        </w:rPr>
        <w:t>要求具备</w:t>
      </w:r>
      <w:r>
        <w:rPr>
          <w:rFonts w:hint="eastAsia" w:hAnsi="华文仿宋"/>
          <w:szCs w:val="28"/>
        </w:rPr>
        <w:t>谐波滤波功能，总谐波畸变率应满足《电能质量公共电网谐波》</w:t>
      </w:r>
      <w:r>
        <w:rPr>
          <w:rFonts w:hAnsi="华文仿宋"/>
          <w:szCs w:val="28"/>
        </w:rPr>
        <w:t>GB/T14549</w:t>
      </w:r>
      <w:r>
        <w:rPr>
          <w:rFonts w:hint="eastAsia" w:hAnsi="华文仿宋"/>
          <w:szCs w:val="28"/>
        </w:rPr>
        <w:t>的相关要求。</w:t>
      </w:r>
    </w:p>
    <w:p>
      <w:pPr>
        <w:ind w:firstLine="560"/>
      </w:pPr>
      <w:r>
        <w:t>4.2.7</w:t>
      </w:r>
      <w:r>
        <w:rPr>
          <w:rFonts w:hint="eastAsia"/>
        </w:rPr>
        <w:t>中间继电器：应采用合资品牌。</w:t>
      </w:r>
    </w:p>
    <w:p>
      <w:pPr>
        <w:ind w:firstLine="560"/>
      </w:pPr>
      <w:r>
        <w:t>4.2.8</w:t>
      </w:r>
      <w:r>
        <w:rPr>
          <w:rFonts w:hint="eastAsia"/>
        </w:rPr>
        <w:t>其它辅件：国产一线优质品牌。</w:t>
      </w:r>
    </w:p>
    <w:p>
      <w:pPr>
        <w:ind w:firstLine="560"/>
        <w:rPr>
          <w:rFonts w:ascii="仿宋_GB2312"/>
          <w:szCs w:val="28"/>
        </w:rPr>
      </w:pPr>
      <w:r>
        <w:rPr>
          <w:rFonts w:hint="eastAsia" w:hAnsi="华文仿宋"/>
          <w:szCs w:val="28"/>
        </w:rPr>
        <w:t>厂家提供与之配套的电缆接线</w:t>
      </w:r>
      <w:r>
        <w:rPr>
          <w:rFonts w:hint="eastAsia" w:ascii="仿宋_GB2312"/>
          <w:szCs w:val="28"/>
        </w:rPr>
        <w:t>端子。如进、出线缆大，而电器端子小，应设母排将端子外引。</w:t>
      </w:r>
    </w:p>
    <w:p>
      <w:pPr>
        <w:ind w:firstLine="560"/>
      </w:pPr>
      <w:r>
        <w:t>4.2.9</w:t>
      </w:r>
      <w:r>
        <w:rPr>
          <w:rFonts w:hint="eastAsia"/>
        </w:rPr>
        <w:t>其它元件、附件及材料均需选用符合国家或行业现行技术标准。</w:t>
      </w:r>
      <w:r>
        <w:t xml:space="preserve"> </w:t>
      </w:r>
    </w:p>
    <w:p>
      <w:pPr>
        <w:ind w:firstLine="560"/>
        <w:rPr>
          <w:rFonts w:eastAsia="仿宋_GB2312"/>
        </w:rPr>
      </w:pPr>
      <w:r>
        <w:rPr>
          <w:rFonts w:hint="eastAsia"/>
        </w:rPr>
        <w:t>提供所有元件、导线的合格证及中文说明书（实行强制认证的提供</w:t>
      </w:r>
      <w:r>
        <w:t>CCC</w:t>
      </w:r>
      <w:r>
        <w:rPr>
          <w:rFonts w:hint="eastAsia"/>
        </w:rPr>
        <w:t>认证证书及</w:t>
      </w:r>
      <w:r>
        <w:t>CC</w:t>
      </w:r>
      <w:r>
        <w:rPr>
          <w:rFonts w:eastAsia="仿宋_GB2312"/>
        </w:rPr>
        <w:t>C</w:t>
      </w:r>
      <w:r>
        <w:rPr>
          <w:rFonts w:hint="eastAsia" w:eastAsia="仿宋_GB2312"/>
        </w:rPr>
        <w:t>试验报告）。</w:t>
      </w:r>
    </w:p>
    <w:p>
      <w:pPr>
        <w:ind w:firstLine="560"/>
      </w:pPr>
      <w:r>
        <w:rPr>
          <w:rFonts w:hint="eastAsia"/>
        </w:rPr>
        <w:t>电气元件、规格型号见系统图。</w:t>
      </w:r>
    </w:p>
    <w:p>
      <w:pPr>
        <w:ind w:firstLine="560"/>
      </w:pPr>
      <w:r>
        <w:rPr>
          <w:rFonts w:hint="eastAsia"/>
        </w:rPr>
        <w:t>上述条款如有低于图纸设计标准的以图纸为准。</w:t>
      </w:r>
    </w:p>
    <w:p>
      <w:pPr>
        <w:ind w:firstLine="560"/>
      </w:pPr>
      <w:r>
        <w:t>4.3</w:t>
      </w:r>
      <w:r>
        <w:rPr>
          <w:rFonts w:hint="eastAsia"/>
        </w:rPr>
        <w:t>组装配线</w:t>
      </w:r>
      <w:r>
        <w:t xml:space="preserve"> </w:t>
      </w:r>
    </w:p>
    <w:p>
      <w:pPr>
        <w:ind w:firstLine="560"/>
      </w:pPr>
      <w:r>
        <w:t>4.3.1</w:t>
      </w:r>
      <w:r>
        <w:rPr>
          <w:rFonts w:hint="eastAsia"/>
        </w:rPr>
        <w:t>配电箱、柜上的电器、仪表应符合电器、仪表排列间距要求。</w:t>
      </w:r>
      <w:r>
        <w:t xml:space="preserve"> </w:t>
      </w:r>
    </w:p>
    <w:p>
      <w:pPr>
        <w:ind w:firstLine="560"/>
      </w:pPr>
      <w:r>
        <w:t>4.3.2</w:t>
      </w:r>
      <w:r>
        <w:rPr>
          <w:rFonts w:hint="eastAsia"/>
        </w:rPr>
        <w:t>全部紧固件均采用镀锌件。</w:t>
      </w:r>
    </w:p>
    <w:p>
      <w:pPr>
        <w:ind w:firstLine="560"/>
      </w:pPr>
      <w:r>
        <w:t>4.3.3</w:t>
      </w:r>
      <w:r>
        <w:rPr>
          <w:rFonts w:hint="eastAsia"/>
        </w:rPr>
        <w:t>二次配线均采用黑色线，加套管编序，线径按厂家标准。</w:t>
      </w:r>
      <w:r>
        <w:t xml:space="preserve">  </w:t>
      </w:r>
    </w:p>
    <w:p>
      <w:pPr>
        <w:ind w:firstLine="560"/>
      </w:pPr>
      <w:r>
        <w:t>4.3.4</w:t>
      </w:r>
      <w:r>
        <w:rPr>
          <w:rFonts w:hint="eastAsia"/>
        </w:rPr>
        <w:t>分层配电箱接线应考虑干线进出。</w:t>
      </w:r>
      <w:r>
        <w:t xml:space="preserve">  </w:t>
      </w:r>
    </w:p>
    <w:p>
      <w:pPr>
        <w:ind w:firstLine="560"/>
      </w:pPr>
      <w:r>
        <w:t>4.3.5</w:t>
      </w:r>
      <w:r>
        <w:rPr>
          <w:rFonts w:hint="eastAsia"/>
        </w:rPr>
        <w:t>开关接线端子应与导线截面匹配。</w:t>
      </w:r>
    </w:p>
    <w:p>
      <w:pPr>
        <w:ind w:firstLine="560"/>
      </w:pPr>
      <w:r>
        <w:t>4.3.6</w:t>
      </w:r>
      <w:r>
        <w:rPr>
          <w:rFonts w:hint="eastAsia"/>
        </w:rPr>
        <w:t>配电箱、柜装有计量仪表的导线；多芯铜线须采用套管或线鼻压接，并做好搪锡。</w:t>
      </w:r>
      <w:r>
        <w:t xml:space="preserve">  </w:t>
      </w:r>
    </w:p>
    <w:p>
      <w:pPr>
        <w:ind w:firstLine="560"/>
      </w:pPr>
      <w:r>
        <w:t>4.3.7</w:t>
      </w:r>
      <w:r>
        <w:rPr>
          <w:rFonts w:hint="eastAsia"/>
        </w:rPr>
        <w:t>电器安装后的配线须排列整齐，用尼龙带绑扎成束或敷于专用线槽内，并卡固在板后或柜内安装架处，配线应留适当长度。</w:t>
      </w:r>
      <w:r>
        <w:t xml:space="preserve">  </w:t>
      </w:r>
    </w:p>
    <w:p>
      <w:pPr>
        <w:ind w:firstLine="560"/>
      </w:pPr>
      <w:r>
        <w:t>4.3.8</w:t>
      </w:r>
      <w:r>
        <w:rPr>
          <w:rFonts w:hint="eastAsia"/>
        </w:rPr>
        <w:t>配电箱、柜所装的各种开关、继电器，当处于断开状态时，可动部分不宜带电；垂直安装时上端接电源，下端接负荷，水平安装时，左端接电源，右端接负荷。（指面对配电装置）</w:t>
      </w:r>
      <w:r>
        <w:t xml:space="preserve">  </w:t>
      </w:r>
    </w:p>
    <w:p>
      <w:pPr>
        <w:ind w:firstLine="560"/>
      </w:pPr>
      <w:r>
        <w:t>4.3.9</w:t>
      </w:r>
      <w:r>
        <w:rPr>
          <w:rFonts w:hint="eastAsia"/>
        </w:rPr>
        <w:t>配电箱、柜电源指示等，应接在总电源开关前侧。</w:t>
      </w:r>
      <w:r>
        <w:t xml:space="preserve">  </w:t>
      </w:r>
    </w:p>
    <w:p>
      <w:pPr>
        <w:ind w:firstLine="560"/>
      </w:pPr>
      <w:r>
        <w:t>4.3.10</w:t>
      </w:r>
      <w:r>
        <w:rPr>
          <w:rFonts w:hint="eastAsia"/>
        </w:rPr>
        <w:t>配电箱、柜内的配线须按设计图纸相序分色。配电箱、柜内的电源母线，应有颜色分相标志。</w:t>
      </w:r>
      <w:r>
        <w:t xml:space="preserve"> </w:t>
      </w:r>
    </w:p>
    <w:tbl>
      <w:tblPr>
        <w:tblStyle w:val="83"/>
        <w:tblW w:w="756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3600"/>
        <w:gridCol w:w="39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7" w:hRule="atLeast"/>
          <w:jc w:val="center"/>
        </w:trPr>
        <w:tc>
          <w:tcPr>
            <w:tcW w:w="3600" w:type="dxa"/>
            <w:tcBorders>
              <w:top w:val="single" w:color="auto" w:sz="4" w:space="0"/>
              <w:left w:val="single" w:color="auto" w:sz="4" w:space="0"/>
              <w:bottom w:val="single" w:color="auto" w:sz="4" w:space="0"/>
              <w:right w:val="single" w:color="auto" w:sz="4" w:space="0"/>
            </w:tcBorders>
            <w:vAlign w:val="center"/>
          </w:tcPr>
          <w:p>
            <w:pPr>
              <w:ind w:firstLine="420"/>
              <w:jc w:val="center"/>
              <w:rPr>
                <w:rFonts w:ascii="仿宋_GB2312" w:hAnsi="宋体" w:eastAsia="华文中宋" w:cs="Arial"/>
                <w:kern w:val="0"/>
                <w:sz w:val="21"/>
                <w:szCs w:val="21"/>
              </w:rPr>
            </w:pPr>
            <w:r>
              <w:rPr>
                <w:rFonts w:hint="eastAsia" w:ascii="仿宋_GB2312" w:hAnsi="宋体" w:eastAsia="华文中宋" w:cs="Arial"/>
                <w:kern w:val="0"/>
                <w:sz w:val="21"/>
                <w:szCs w:val="21"/>
              </w:rPr>
              <w:t>相序</w:t>
            </w:r>
          </w:p>
        </w:tc>
        <w:tc>
          <w:tcPr>
            <w:tcW w:w="3960" w:type="dxa"/>
            <w:tcBorders>
              <w:top w:val="single" w:color="auto" w:sz="4" w:space="0"/>
              <w:left w:val="single" w:color="auto" w:sz="4" w:space="0"/>
              <w:bottom w:val="single" w:color="auto" w:sz="4" w:space="0"/>
              <w:right w:val="single" w:color="auto" w:sz="4" w:space="0"/>
            </w:tcBorders>
            <w:vAlign w:val="center"/>
          </w:tcPr>
          <w:p>
            <w:pPr>
              <w:ind w:firstLine="420"/>
              <w:jc w:val="center"/>
              <w:rPr>
                <w:rFonts w:ascii="仿宋_GB2312" w:hAnsi="宋体" w:eastAsia="华文中宋" w:cs="Arial"/>
                <w:kern w:val="0"/>
                <w:sz w:val="21"/>
                <w:szCs w:val="21"/>
              </w:rPr>
            </w:pPr>
            <w:r>
              <w:rPr>
                <w:rFonts w:hint="eastAsia" w:ascii="仿宋_GB2312" w:hAnsi="宋体" w:eastAsia="华文中宋" w:cs="Arial"/>
                <w:kern w:val="0"/>
                <w:sz w:val="21"/>
                <w:szCs w:val="21"/>
              </w:rPr>
              <w:t>标色</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450" w:hRule="atLeast"/>
          <w:jc w:val="center"/>
        </w:trPr>
        <w:tc>
          <w:tcPr>
            <w:tcW w:w="3600" w:type="dxa"/>
            <w:tcBorders>
              <w:top w:val="single" w:color="auto" w:sz="4" w:space="0"/>
              <w:left w:val="single" w:color="auto" w:sz="4" w:space="0"/>
              <w:bottom w:val="single" w:color="auto" w:sz="4" w:space="0"/>
              <w:right w:val="single" w:color="auto" w:sz="4" w:space="0"/>
            </w:tcBorders>
            <w:vAlign w:val="center"/>
          </w:tcPr>
          <w:p>
            <w:pPr>
              <w:ind w:firstLine="420"/>
              <w:jc w:val="center"/>
              <w:rPr>
                <w:rFonts w:ascii="仿宋_GB2312" w:hAnsi="宋体" w:eastAsia="华文中宋" w:cs="Arial"/>
                <w:kern w:val="0"/>
                <w:sz w:val="21"/>
                <w:szCs w:val="21"/>
              </w:rPr>
            </w:pPr>
            <w:r>
              <w:rPr>
                <w:rFonts w:ascii="仿宋_GB2312" w:hAnsi="宋体" w:eastAsia="华文中宋" w:cs="Arial"/>
                <w:kern w:val="0"/>
                <w:sz w:val="21"/>
                <w:szCs w:val="21"/>
              </w:rPr>
              <w:t>L1</w:t>
            </w:r>
          </w:p>
        </w:tc>
        <w:tc>
          <w:tcPr>
            <w:tcW w:w="3960" w:type="dxa"/>
            <w:tcBorders>
              <w:top w:val="single" w:color="auto" w:sz="4" w:space="0"/>
              <w:left w:val="single" w:color="auto" w:sz="4" w:space="0"/>
              <w:bottom w:val="single" w:color="auto" w:sz="4" w:space="0"/>
              <w:right w:val="single" w:color="auto" w:sz="4" w:space="0"/>
            </w:tcBorders>
            <w:vAlign w:val="center"/>
          </w:tcPr>
          <w:p>
            <w:pPr>
              <w:ind w:firstLine="420"/>
              <w:jc w:val="center"/>
              <w:rPr>
                <w:rFonts w:ascii="仿宋_GB2312" w:hAnsi="宋体" w:eastAsia="华文中宋" w:cs="Arial"/>
                <w:kern w:val="0"/>
                <w:sz w:val="21"/>
                <w:szCs w:val="21"/>
              </w:rPr>
            </w:pPr>
            <w:r>
              <w:rPr>
                <w:rFonts w:hint="eastAsia" w:ascii="仿宋_GB2312" w:hAnsi="宋体" w:eastAsia="华文中宋" w:cs="Arial"/>
                <w:kern w:val="0"/>
                <w:sz w:val="21"/>
                <w:szCs w:val="21"/>
              </w:rPr>
              <w:t>黄</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jc w:val="center"/>
        </w:trPr>
        <w:tc>
          <w:tcPr>
            <w:tcW w:w="3600" w:type="dxa"/>
            <w:tcBorders>
              <w:top w:val="single" w:color="auto" w:sz="4" w:space="0"/>
              <w:left w:val="single" w:color="auto" w:sz="4" w:space="0"/>
              <w:bottom w:val="single" w:color="auto" w:sz="4" w:space="0"/>
              <w:right w:val="single" w:color="auto" w:sz="4" w:space="0"/>
            </w:tcBorders>
            <w:vAlign w:val="center"/>
          </w:tcPr>
          <w:p>
            <w:pPr>
              <w:ind w:firstLine="420"/>
              <w:jc w:val="center"/>
              <w:rPr>
                <w:rFonts w:ascii="仿宋_GB2312" w:hAnsi="宋体" w:eastAsia="华文中宋" w:cs="Arial"/>
                <w:kern w:val="0"/>
                <w:sz w:val="21"/>
                <w:szCs w:val="21"/>
              </w:rPr>
            </w:pPr>
            <w:r>
              <w:rPr>
                <w:rFonts w:ascii="仿宋_GB2312" w:hAnsi="宋体" w:eastAsia="华文中宋" w:cs="Arial"/>
                <w:kern w:val="0"/>
                <w:sz w:val="21"/>
                <w:szCs w:val="21"/>
              </w:rPr>
              <w:t>L2</w:t>
            </w:r>
          </w:p>
        </w:tc>
        <w:tc>
          <w:tcPr>
            <w:tcW w:w="3960" w:type="dxa"/>
            <w:tcBorders>
              <w:top w:val="single" w:color="auto" w:sz="4" w:space="0"/>
              <w:left w:val="single" w:color="auto" w:sz="4" w:space="0"/>
              <w:bottom w:val="single" w:color="auto" w:sz="4" w:space="0"/>
              <w:right w:val="single" w:color="auto" w:sz="4" w:space="0"/>
            </w:tcBorders>
            <w:vAlign w:val="center"/>
          </w:tcPr>
          <w:p>
            <w:pPr>
              <w:ind w:firstLine="420"/>
              <w:jc w:val="center"/>
              <w:rPr>
                <w:rFonts w:ascii="仿宋_GB2312" w:hAnsi="宋体" w:eastAsia="华文中宋" w:cs="Arial"/>
                <w:kern w:val="0"/>
                <w:sz w:val="21"/>
                <w:szCs w:val="21"/>
              </w:rPr>
            </w:pPr>
            <w:r>
              <w:rPr>
                <w:rFonts w:hint="eastAsia" w:ascii="仿宋_GB2312" w:hAnsi="宋体" w:eastAsia="华文中宋" w:cs="Arial"/>
                <w:kern w:val="0"/>
                <w:sz w:val="21"/>
                <w:szCs w:val="21"/>
              </w:rPr>
              <w:t>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jc w:val="center"/>
        </w:trPr>
        <w:tc>
          <w:tcPr>
            <w:tcW w:w="3600" w:type="dxa"/>
            <w:tcBorders>
              <w:top w:val="single" w:color="auto" w:sz="4" w:space="0"/>
              <w:left w:val="single" w:color="auto" w:sz="4" w:space="0"/>
              <w:bottom w:val="single" w:color="auto" w:sz="4" w:space="0"/>
              <w:right w:val="single" w:color="auto" w:sz="4" w:space="0"/>
            </w:tcBorders>
            <w:vAlign w:val="center"/>
          </w:tcPr>
          <w:p>
            <w:pPr>
              <w:ind w:firstLine="420"/>
              <w:jc w:val="center"/>
              <w:rPr>
                <w:rFonts w:ascii="仿宋_GB2312" w:hAnsi="宋体" w:eastAsia="华文中宋" w:cs="Arial"/>
                <w:kern w:val="0"/>
                <w:sz w:val="21"/>
                <w:szCs w:val="21"/>
              </w:rPr>
            </w:pPr>
            <w:r>
              <w:rPr>
                <w:rFonts w:ascii="仿宋_GB2312" w:hAnsi="宋体" w:eastAsia="华文中宋" w:cs="Arial"/>
                <w:kern w:val="0"/>
                <w:sz w:val="21"/>
                <w:szCs w:val="21"/>
              </w:rPr>
              <w:t>L3</w:t>
            </w:r>
          </w:p>
        </w:tc>
        <w:tc>
          <w:tcPr>
            <w:tcW w:w="3960" w:type="dxa"/>
            <w:tcBorders>
              <w:top w:val="single" w:color="auto" w:sz="4" w:space="0"/>
              <w:left w:val="single" w:color="auto" w:sz="4" w:space="0"/>
              <w:bottom w:val="single" w:color="auto" w:sz="4" w:space="0"/>
              <w:right w:val="single" w:color="auto" w:sz="4" w:space="0"/>
            </w:tcBorders>
            <w:vAlign w:val="center"/>
          </w:tcPr>
          <w:p>
            <w:pPr>
              <w:ind w:firstLine="420"/>
              <w:jc w:val="center"/>
              <w:rPr>
                <w:rFonts w:ascii="仿宋_GB2312" w:hAnsi="宋体" w:eastAsia="华文中宋" w:cs="Arial"/>
                <w:kern w:val="0"/>
                <w:sz w:val="21"/>
                <w:szCs w:val="21"/>
              </w:rPr>
            </w:pPr>
            <w:r>
              <w:rPr>
                <w:rFonts w:hint="eastAsia" w:ascii="仿宋_GB2312" w:hAnsi="宋体" w:eastAsia="华文中宋" w:cs="Arial"/>
                <w:kern w:val="0"/>
                <w:sz w:val="21"/>
                <w:szCs w:val="21"/>
              </w:rPr>
              <w:t>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jc w:val="center"/>
        </w:trPr>
        <w:tc>
          <w:tcPr>
            <w:tcW w:w="3600" w:type="dxa"/>
            <w:tcBorders>
              <w:top w:val="single" w:color="auto" w:sz="4" w:space="0"/>
              <w:left w:val="single" w:color="auto" w:sz="4" w:space="0"/>
              <w:bottom w:val="single" w:color="auto" w:sz="4" w:space="0"/>
              <w:right w:val="single" w:color="auto" w:sz="4" w:space="0"/>
            </w:tcBorders>
            <w:vAlign w:val="center"/>
          </w:tcPr>
          <w:p>
            <w:pPr>
              <w:ind w:firstLine="420"/>
              <w:jc w:val="center"/>
              <w:rPr>
                <w:rFonts w:ascii="仿宋_GB2312" w:hAnsi="宋体" w:eastAsia="华文中宋" w:cs="Arial"/>
                <w:kern w:val="0"/>
                <w:sz w:val="21"/>
                <w:szCs w:val="21"/>
              </w:rPr>
            </w:pPr>
            <w:r>
              <w:rPr>
                <w:rFonts w:ascii="仿宋_GB2312" w:hAnsi="宋体" w:eastAsia="华文中宋" w:cs="Arial"/>
                <w:kern w:val="0"/>
                <w:sz w:val="21"/>
                <w:szCs w:val="21"/>
              </w:rPr>
              <w:t>N</w:t>
            </w:r>
          </w:p>
        </w:tc>
        <w:tc>
          <w:tcPr>
            <w:tcW w:w="3960" w:type="dxa"/>
            <w:tcBorders>
              <w:top w:val="single" w:color="auto" w:sz="4" w:space="0"/>
              <w:left w:val="single" w:color="auto" w:sz="4" w:space="0"/>
              <w:bottom w:val="single" w:color="auto" w:sz="4" w:space="0"/>
              <w:right w:val="single" w:color="auto" w:sz="4" w:space="0"/>
            </w:tcBorders>
            <w:vAlign w:val="center"/>
          </w:tcPr>
          <w:p>
            <w:pPr>
              <w:ind w:firstLine="420"/>
              <w:jc w:val="center"/>
              <w:rPr>
                <w:rFonts w:ascii="仿宋_GB2312" w:hAnsi="宋体" w:eastAsia="华文中宋" w:cs="Arial"/>
                <w:kern w:val="0"/>
                <w:sz w:val="21"/>
                <w:szCs w:val="21"/>
              </w:rPr>
            </w:pPr>
            <w:r>
              <w:rPr>
                <w:rFonts w:hint="eastAsia" w:ascii="仿宋_GB2312" w:hAnsi="宋体" w:eastAsia="华文中宋" w:cs="Arial"/>
                <w:kern w:val="0"/>
                <w:sz w:val="21"/>
                <w:szCs w:val="21"/>
              </w:rPr>
              <w:t>淡兰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5" w:hRule="atLeast"/>
          <w:jc w:val="center"/>
        </w:trPr>
        <w:tc>
          <w:tcPr>
            <w:tcW w:w="3600" w:type="dxa"/>
            <w:tcBorders>
              <w:top w:val="single" w:color="auto" w:sz="4" w:space="0"/>
              <w:left w:val="single" w:color="auto" w:sz="4" w:space="0"/>
              <w:bottom w:val="single" w:color="auto" w:sz="4" w:space="0"/>
              <w:right w:val="single" w:color="auto" w:sz="4" w:space="0"/>
            </w:tcBorders>
            <w:vAlign w:val="center"/>
          </w:tcPr>
          <w:p>
            <w:pPr>
              <w:ind w:firstLine="420"/>
              <w:jc w:val="center"/>
              <w:rPr>
                <w:rFonts w:ascii="仿宋_GB2312" w:hAnsi="宋体" w:eastAsia="华文中宋" w:cs="Arial"/>
                <w:kern w:val="0"/>
                <w:sz w:val="21"/>
                <w:szCs w:val="21"/>
              </w:rPr>
            </w:pPr>
            <w:r>
              <w:rPr>
                <w:rFonts w:ascii="仿宋_GB2312" w:hAnsi="宋体" w:eastAsia="华文中宋" w:cs="Arial"/>
                <w:kern w:val="0"/>
                <w:sz w:val="21"/>
                <w:szCs w:val="21"/>
              </w:rPr>
              <w:t>PE</w:t>
            </w:r>
          </w:p>
        </w:tc>
        <w:tc>
          <w:tcPr>
            <w:tcW w:w="3960" w:type="dxa"/>
            <w:tcBorders>
              <w:top w:val="single" w:color="auto" w:sz="4" w:space="0"/>
              <w:left w:val="single" w:color="auto" w:sz="4" w:space="0"/>
              <w:bottom w:val="single" w:color="auto" w:sz="4" w:space="0"/>
              <w:right w:val="single" w:color="auto" w:sz="4" w:space="0"/>
            </w:tcBorders>
            <w:vAlign w:val="center"/>
          </w:tcPr>
          <w:p>
            <w:pPr>
              <w:ind w:firstLine="420"/>
              <w:jc w:val="center"/>
              <w:rPr>
                <w:rFonts w:ascii="仿宋_GB2312" w:hAnsi="宋体" w:eastAsia="华文中宋" w:cs="Arial"/>
                <w:kern w:val="0"/>
                <w:sz w:val="21"/>
                <w:szCs w:val="21"/>
              </w:rPr>
            </w:pPr>
            <w:r>
              <w:rPr>
                <w:rFonts w:hint="eastAsia" w:ascii="仿宋_GB2312" w:hAnsi="宋体" w:eastAsia="华文中宋" w:cs="Arial"/>
                <w:kern w:val="0"/>
                <w:sz w:val="21"/>
                <w:szCs w:val="21"/>
              </w:rPr>
              <w:t>黄＋绿</w:t>
            </w:r>
          </w:p>
        </w:tc>
      </w:tr>
    </w:tbl>
    <w:p>
      <w:pPr>
        <w:ind w:firstLine="560"/>
      </w:pPr>
      <w:r>
        <w:t xml:space="preserve">4.3.11 </w:t>
      </w:r>
      <w:r>
        <w:rPr>
          <w:rFonts w:hint="eastAsia"/>
        </w:rPr>
        <w:t>所有铜母线连接处做搪锡处理，裸露部分均喷黑漆，贴色标。</w:t>
      </w:r>
      <w:r>
        <w:t xml:space="preserve">  </w:t>
      </w:r>
    </w:p>
    <w:p>
      <w:pPr>
        <w:ind w:firstLine="560"/>
      </w:pPr>
      <w:r>
        <w:t xml:space="preserve">4.3.12 </w:t>
      </w:r>
      <w:r>
        <w:rPr>
          <w:rFonts w:hint="eastAsia"/>
        </w:rPr>
        <w:t>配线整齐、清晰，导线绝缘良好。导线穿过铁制安装孔、面板时要加装橡皮或塑料护套。</w:t>
      </w:r>
      <w:r>
        <w:t xml:space="preserve">  </w:t>
      </w:r>
    </w:p>
    <w:p>
      <w:pPr>
        <w:ind w:firstLine="560"/>
      </w:pPr>
      <w:r>
        <w:t>4.3.13</w:t>
      </w:r>
      <w:r>
        <w:rPr>
          <w:rFonts w:hint="eastAsia"/>
        </w:rPr>
        <w:t>配电箱、柜内的</w:t>
      </w:r>
      <w:r>
        <w:t>N</w:t>
      </w:r>
      <w:r>
        <w:rPr>
          <w:rFonts w:hint="eastAsia"/>
        </w:rPr>
        <w:t>线、</w:t>
      </w:r>
      <w:r>
        <w:t>PE</w:t>
      </w:r>
      <w:r>
        <w:rPr>
          <w:rFonts w:hint="eastAsia"/>
        </w:rPr>
        <w:t>线必须设汇流排，汇流排的大小必须符合有关规范要求，导线不得盘成弹簧状。</w:t>
      </w:r>
      <w:r>
        <w:t xml:space="preserve">  </w:t>
      </w:r>
    </w:p>
    <w:p>
      <w:pPr>
        <w:ind w:firstLine="560"/>
      </w:pPr>
      <w:r>
        <w:t>4.3.14</w:t>
      </w:r>
      <w:r>
        <w:rPr>
          <w:rFonts w:hint="eastAsia"/>
        </w:rPr>
        <w:t>配电箱、柜应考虑电缆的安装空间。箱体二层板与箱体之间及二层板与箱体四周根据图纸进出线的规格及导线多少留出足够的配线空间。配电箱、柜的箱体、二层板、面板均须有明显而不易脱落的与图纸相符的设计编号</w:t>
      </w:r>
    </w:p>
    <w:p>
      <w:pPr>
        <w:ind w:firstLine="560"/>
      </w:pPr>
      <w:r>
        <w:t>4.3.15</w:t>
      </w:r>
      <w:r>
        <w:rPr>
          <w:rFonts w:hint="eastAsia"/>
        </w:rPr>
        <w:t>凡是两根以上电缆（包括有∏接的电缆）连接一个箱体（链接方式，电缆一进一出）的配电箱总开关上端须要设链接母线，规格必须与系统图中电缆规格相匹配。</w:t>
      </w:r>
      <w:r>
        <w:t xml:space="preserve">  </w:t>
      </w:r>
    </w:p>
    <w:p>
      <w:pPr>
        <w:ind w:firstLine="560"/>
      </w:pPr>
      <w:r>
        <w:t>4.3.16</w:t>
      </w:r>
      <w:r>
        <w:rPr>
          <w:rFonts w:hint="eastAsia"/>
        </w:rPr>
        <w:t>配电箱、柜内的</w:t>
      </w:r>
      <w:r>
        <w:t>PE</w:t>
      </w:r>
      <w:r>
        <w:rPr>
          <w:rFonts w:hint="eastAsia"/>
        </w:rPr>
        <w:t>线不得串接，与活动部件连接的</w:t>
      </w:r>
      <w:r>
        <w:t>PE</w:t>
      </w:r>
      <w:r>
        <w:rPr>
          <w:rFonts w:hint="eastAsia"/>
        </w:rPr>
        <w:t>线必须采用铜质涮锡软编织线穿透明塑料管，同一接地端子最多只能压一根</w:t>
      </w:r>
      <w:r>
        <w:t>PE</w:t>
      </w:r>
      <w:r>
        <w:rPr>
          <w:rFonts w:hint="eastAsia"/>
        </w:rPr>
        <w:t>线，</w:t>
      </w:r>
      <w:r>
        <w:t>PE</w:t>
      </w:r>
      <w:r>
        <w:rPr>
          <w:rFonts w:hint="eastAsia"/>
        </w:rPr>
        <w:t>线截面应符合施工规范要求。</w:t>
      </w:r>
      <w:r>
        <w:t xml:space="preserve">  </w:t>
      </w:r>
    </w:p>
    <w:p>
      <w:pPr>
        <w:ind w:firstLine="560"/>
      </w:pPr>
      <w:r>
        <w:t>4.3.17</w:t>
      </w:r>
      <w:r>
        <w:rPr>
          <w:rFonts w:hint="eastAsia"/>
        </w:rPr>
        <w:t>消防设备的配电箱、柜必须有红色明显标识。</w:t>
      </w:r>
    </w:p>
    <w:p>
      <w:pPr>
        <w:ind w:firstLine="560"/>
      </w:pPr>
      <w:r>
        <w:t>4.3.18</w:t>
      </w:r>
      <w:r>
        <w:rPr>
          <w:rFonts w:hint="eastAsia"/>
        </w:rPr>
        <w:t>不等截面的两根导线严禁压在一个端子上。等截面的导线（</w:t>
      </w:r>
      <w:r>
        <w:t>6</w:t>
      </w:r>
      <w:r>
        <w:rPr>
          <w:rFonts w:hint="eastAsia"/>
        </w:rPr>
        <w:t>平方毫米以下）一个端子上最多只能压两根。</w:t>
      </w:r>
      <w:r>
        <w:t xml:space="preserve">  </w:t>
      </w:r>
    </w:p>
    <w:p>
      <w:pPr>
        <w:ind w:firstLine="560"/>
      </w:pPr>
      <w:r>
        <w:t>4.3.19</w:t>
      </w:r>
      <w:r>
        <w:rPr>
          <w:rFonts w:hint="eastAsia"/>
        </w:rPr>
        <w:t>生产厂家需提供控制箱、柜元件排列图、原理图、接线图、箱门贴图等相关资料，箱门贴图必须过塑且需与箱、柜内标识对应。所有打印的图纸资料均应采用喷墨（黑色）打印。</w:t>
      </w:r>
    </w:p>
    <w:p>
      <w:pPr>
        <w:ind w:firstLine="560"/>
      </w:pPr>
      <w:r>
        <w:t>4.3.20</w:t>
      </w:r>
      <w:r>
        <w:rPr>
          <w:rFonts w:hint="eastAsia"/>
        </w:rPr>
        <w:t>配电箱、柜内的系统图必须采用塑封，注明各支路所控制的主要区域的名称。并制作插入图纸框。</w:t>
      </w:r>
    </w:p>
    <w:p>
      <w:pPr>
        <w:ind w:firstLine="560"/>
        <w:rPr>
          <w:rFonts w:ascii="华文仿宋" w:hAnsi="华文仿宋" w:cs="宋体"/>
          <w:kern w:val="0"/>
          <w:szCs w:val="28"/>
        </w:rPr>
      </w:pPr>
      <w:r>
        <w:t xml:space="preserve">4.3.21 </w:t>
      </w:r>
      <w:r>
        <w:rPr>
          <w:rFonts w:hint="eastAsia"/>
        </w:rPr>
        <w:t>所有标记用阻燃</w:t>
      </w:r>
      <w:r>
        <w:t>PVC</w:t>
      </w:r>
      <w:r>
        <w:rPr>
          <w:rFonts w:hint="eastAsia"/>
        </w:rPr>
        <w:t>或亚克力材料制成，刻出字样，并用镀铬螺丝固定。</w:t>
      </w:r>
    </w:p>
    <w:p>
      <w:pPr>
        <w:pStyle w:val="79"/>
        <w:ind w:firstLine="561"/>
        <w:jc w:val="center"/>
        <w:rPr>
          <w:rFonts w:ascii="华文仿宋" w:hAnsi="华文仿宋"/>
          <w:szCs w:val="28"/>
        </w:rPr>
      </w:pPr>
      <w:bookmarkStart w:id="41" w:name="_Toc7738"/>
      <w:r>
        <w:rPr>
          <w:rStyle w:val="399"/>
          <w:rFonts w:hint="eastAsia"/>
          <w:lang w:val="en-US" w:eastAsia="zh-CN"/>
        </w:rPr>
        <w:drawing>
          <wp:inline distT="0" distB="0" distL="0" distR="0">
            <wp:extent cx="2389505" cy="2630170"/>
            <wp:effectExtent l="0" t="0" r="0" b="0"/>
            <wp:docPr id="14" name="图片 14" descr="K:\新建文件夹\微信\WeChat Files\weiboH3580\FileStorage\Temp\17314618532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K:\新建文件夹\微信\WeChat Files\weiboH3580\FileStorage\Temp\1731461853246.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2407977" cy="2650100"/>
                    </a:xfrm>
                    <a:prstGeom prst="rect">
                      <a:avLst/>
                    </a:prstGeom>
                    <a:noFill/>
                    <a:ln>
                      <a:noFill/>
                    </a:ln>
                  </pic:spPr>
                </pic:pic>
              </a:graphicData>
            </a:graphic>
          </wp:inline>
        </w:drawing>
      </w:r>
      <w:r>
        <w:rPr>
          <w:rStyle w:val="399"/>
          <w:rFonts w:hint="eastAsia"/>
          <w:lang w:val="en-US" w:eastAsia="zh-CN"/>
        </w:rPr>
        <w:drawing>
          <wp:inline distT="0" distB="0" distL="0" distR="0">
            <wp:extent cx="2846705" cy="1987550"/>
            <wp:effectExtent l="0" t="0" r="0" b="0"/>
            <wp:docPr id="13" name="图片 13" descr="K:\新建文件夹\微信\WeChat Files\weiboH3580\FileStorage\Temp\17314616993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K:\新建文件夹\微信\WeChat Files\weiboH3580\FileStorage\Temp\1731461699314.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a:xfrm>
                      <a:off x="0" y="0"/>
                      <a:ext cx="2851552" cy="1991006"/>
                    </a:xfrm>
                    <a:prstGeom prst="rect">
                      <a:avLst/>
                    </a:prstGeom>
                    <a:noFill/>
                    <a:ln>
                      <a:noFill/>
                    </a:ln>
                  </pic:spPr>
                </pic:pic>
              </a:graphicData>
            </a:graphic>
          </wp:inline>
        </w:drawing>
      </w:r>
      <w:r>
        <w:rPr>
          <w:rStyle w:val="399"/>
          <w:b w:val="0"/>
        </w:rPr>
        <w:br w:type="page"/>
      </w:r>
      <w:bookmarkStart w:id="42" w:name="_Toc27495636"/>
      <w:r>
        <w:rPr>
          <w:rFonts w:hint="eastAsia" w:ascii="华文仿宋" w:hAnsi="华文仿宋"/>
          <w:szCs w:val="28"/>
          <w:lang w:val="en-US" w:eastAsia="zh-CN"/>
        </w:rPr>
        <w:t>二</w:t>
      </w:r>
      <w:r>
        <w:rPr>
          <w:rFonts w:ascii="华文仿宋" w:hAnsi="华文仿宋"/>
          <w:szCs w:val="28"/>
        </w:rPr>
        <w:t xml:space="preserve"> </w:t>
      </w:r>
      <w:r>
        <w:rPr>
          <w:rFonts w:hint="eastAsia" w:ascii="华文仿宋" w:hAnsi="华文仿宋"/>
          <w:szCs w:val="28"/>
        </w:rPr>
        <w:t>直流电源柜</w:t>
      </w:r>
      <w:bookmarkEnd w:id="25"/>
      <w:bookmarkEnd w:id="26"/>
      <w:bookmarkEnd w:id="27"/>
      <w:bookmarkEnd w:id="28"/>
      <w:bookmarkEnd w:id="41"/>
      <w:bookmarkEnd w:id="42"/>
    </w:p>
    <w:p>
      <w:pPr>
        <w:pStyle w:val="3"/>
        <w:adjustRightInd w:val="0"/>
        <w:snapToGrid w:val="0"/>
        <w:spacing w:before="240" w:line="415" w:lineRule="auto"/>
        <w:ind w:firstLine="561"/>
        <w:rPr>
          <w:rFonts w:ascii="华文仿宋" w:hAnsi="华文仿宋" w:cs="仿宋_GB2312"/>
          <w:szCs w:val="28"/>
        </w:rPr>
      </w:pPr>
      <w:bookmarkStart w:id="43" w:name="_Toc27495637"/>
      <w:bookmarkStart w:id="44" w:name="_Toc15771"/>
      <w:r>
        <w:rPr>
          <w:rFonts w:ascii="华文仿宋" w:hAnsi="华文仿宋" w:cs="仿宋_GB2312"/>
          <w:szCs w:val="28"/>
        </w:rPr>
        <w:t xml:space="preserve">1 </w:t>
      </w:r>
      <w:r>
        <w:rPr>
          <w:rFonts w:hint="eastAsia" w:ascii="华文仿宋" w:hAnsi="华文仿宋" w:cs="仿宋_GB2312"/>
          <w:szCs w:val="28"/>
        </w:rPr>
        <w:t>总则</w:t>
      </w:r>
      <w:bookmarkEnd w:id="43"/>
      <w:bookmarkEnd w:id="44"/>
    </w:p>
    <w:p>
      <w:pPr>
        <w:autoSpaceDE w:val="0"/>
        <w:autoSpaceDN w:val="0"/>
        <w:adjustRightInd w:val="0"/>
        <w:ind w:firstLine="560"/>
        <w:rPr>
          <w:rFonts w:ascii="华文仿宋" w:hAnsi="华文仿宋" w:cs="宋体"/>
          <w:kern w:val="0"/>
          <w:szCs w:val="28"/>
        </w:rPr>
      </w:pPr>
      <w:r>
        <w:rPr>
          <w:rFonts w:hint="eastAsia" w:ascii="华文仿宋" w:hAnsi="华文仿宋" w:cs="宋体"/>
          <w:kern w:val="0"/>
          <w:szCs w:val="28"/>
        </w:rPr>
        <w:t>本技术规格书为直流电源柜的招标订货、检查和试验的最基本要求。</w:t>
      </w:r>
    </w:p>
    <w:p>
      <w:pPr>
        <w:pStyle w:val="3"/>
        <w:adjustRightInd w:val="0"/>
        <w:snapToGrid w:val="0"/>
        <w:spacing w:before="240" w:line="415" w:lineRule="auto"/>
        <w:ind w:firstLine="561"/>
        <w:rPr>
          <w:rFonts w:ascii="华文仿宋" w:hAnsi="华文仿宋"/>
          <w:szCs w:val="28"/>
        </w:rPr>
      </w:pPr>
      <w:bookmarkStart w:id="45" w:name="_Toc27495638"/>
      <w:bookmarkStart w:id="46" w:name="_Toc23644"/>
      <w:r>
        <w:rPr>
          <w:rFonts w:ascii="华文仿宋" w:hAnsi="华文仿宋" w:cs="仿宋_GB2312"/>
          <w:szCs w:val="28"/>
        </w:rPr>
        <w:t xml:space="preserve">2 </w:t>
      </w:r>
      <w:r>
        <w:rPr>
          <w:rFonts w:hint="eastAsia" w:ascii="华文仿宋" w:hAnsi="华文仿宋" w:cs="仿宋_GB2312"/>
          <w:szCs w:val="28"/>
        </w:rPr>
        <w:t>规范及标准</w:t>
      </w:r>
      <w:bookmarkEnd w:id="45"/>
      <w:bookmarkEnd w:id="46"/>
    </w:p>
    <w:p>
      <w:pPr>
        <w:autoSpaceDE w:val="0"/>
        <w:autoSpaceDN w:val="0"/>
        <w:adjustRightInd w:val="0"/>
        <w:spacing w:line="288" w:lineRule="auto"/>
        <w:ind w:firstLine="560"/>
        <w:rPr>
          <w:rFonts w:ascii="华文仿宋" w:hAnsi="华文仿宋" w:cs="宋体"/>
          <w:szCs w:val="28"/>
        </w:rPr>
      </w:pPr>
      <w:r>
        <w:rPr>
          <w:rFonts w:ascii="华文仿宋" w:hAnsi="华文仿宋"/>
          <w:szCs w:val="28"/>
        </w:rPr>
        <w:t>DL/T 1112-2009</w:t>
      </w:r>
      <w:r>
        <w:rPr>
          <w:rFonts w:ascii="华文仿宋" w:hAnsi="华文仿宋"/>
          <w:szCs w:val="28"/>
        </w:rPr>
        <w:tab/>
      </w:r>
      <w:r>
        <w:rPr>
          <w:rFonts w:ascii="华文仿宋" w:hAnsi="华文仿宋" w:cs="宋体"/>
          <w:szCs w:val="28"/>
        </w:rPr>
        <w:t xml:space="preserve">   交、直流仪表检验装置检定规程</w:t>
      </w:r>
    </w:p>
    <w:p>
      <w:pPr>
        <w:autoSpaceDE w:val="0"/>
        <w:autoSpaceDN w:val="0"/>
        <w:adjustRightInd w:val="0"/>
        <w:spacing w:line="288" w:lineRule="auto"/>
        <w:ind w:firstLine="560"/>
        <w:rPr>
          <w:rFonts w:ascii="华文仿宋" w:hAnsi="华文仿宋" w:cs="宋体"/>
          <w:szCs w:val="28"/>
        </w:rPr>
      </w:pPr>
      <w:r>
        <w:rPr>
          <w:rFonts w:ascii="华文仿宋" w:hAnsi="华文仿宋"/>
          <w:szCs w:val="28"/>
        </w:rPr>
        <w:t xml:space="preserve">DL/T 459-2000 </w:t>
      </w:r>
      <w:r>
        <w:rPr>
          <w:rFonts w:ascii="华文仿宋" w:hAnsi="华文仿宋" w:cs="宋体"/>
          <w:szCs w:val="28"/>
        </w:rPr>
        <w:tab/>
      </w:r>
      <w:r>
        <w:rPr>
          <w:rFonts w:ascii="华文仿宋" w:hAnsi="华文仿宋" w:cs="宋体"/>
          <w:szCs w:val="28"/>
        </w:rPr>
        <w:t xml:space="preserve">   电力系统直流电源柜订货技术条件</w:t>
      </w:r>
    </w:p>
    <w:p>
      <w:pPr>
        <w:autoSpaceDE w:val="0"/>
        <w:autoSpaceDN w:val="0"/>
        <w:adjustRightInd w:val="0"/>
        <w:spacing w:line="288" w:lineRule="auto"/>
        <w:ind w:firstLine="560"/>
        <w:rPr>
          <w:rFonts w:ascii="华文仿宋" w:hAnsi="华文仿宋" w:cs="宋体"/>
          <w:szCs w:val="28"/>
        </w:rPr>
      </w:pPr>
      <w:r>
        <w:rPr>
          <w:rFonts w:ascii="华文仿宋" w:hAnsi="华文仿宋"/>
          <w:szCs w:val="28"/>
        </w:rPr>
        <w:t>DL/T 5044-2004</w:t>
      </w:r>
      <w:r>
        <w:rPr>
          <w:rFonts w:ascii="华文仿宋" w:hAnsi="华文仿宋" w:cs="宋体"/>
          <w:szCs w:val="28"/>
        </w:rPr>
        <w:tab/>
      </w:r>
      <w:r>
        <w:rPr>
          <w:rFonts w:ascii="华文仿宋" w:hAnsi="华文仿宋" w:cs="宋体"/>
          <w:szCs w:val="28"/>
        </w:rPr>
        <w:t xml:space="preserve">   电力工程直流系统设计技术规程</w:t>
      </w:r>
    </w:p>
    <w:p>
      <w:pPr>
        <w:autoSpaceDE w:val="0"/>
        <w:autoSpaceDN w:val="0"/>
        <w:adjustRightInd w:val="0"/>
        <w:spacing w:line="288" w:lineRule="auto"/>
        <w:ind w:firstLine="560"/>
        <w:rPr>
          <w:rFonts w:ascii="华文仿宋" w:hAnsi="华文仿宋" w:cs="宋体"/>
          <w:szCs w:val="28"/>
        </w:rPr>
      </w:pPr>
      <w:r>
        <w:rPr>
          <w:rFonts w:ascii="华文仿宋" w:hAnsi="华文仿宋"/>
          <w:szCs w:val="28"/>
        </w:rPr>
        <w:t xml:space="preserve">DL/T 637-1997 </w:t>
      </w:r>
      <w:r>
        <w:rPr>
          <w:rFonts w:ascii="华文仿宋" w:hAnsi="华文仿宋" w:cs="宋体"/>
          <w:szCs w:val="28"/>
        </w:rPr>
        <w:tab/>
      </w:r>
      <w:r>
        <w:rPr>
          <w:rFonts w:ascii="华文仿宋" w:hAnsi="华文仿宋" w:cs="宋体"/>
          <w:szCs w:val="28"/>
        </w:rPr>
        <w:t xml:space="preserve">   阀控式密封铅酸蓄电池订货技术条件</w:t>
      </w:r>
    </w:p>
    <w:p>
      <w:pPr>
        <w:autoSpaceDE w:val="0"/>
        <w:autoSpaceDN w:val="0"/>
        <w:adjustRightInd w:val="0"/>
        <w:spacing w:line="288" w:lineRule="auto"/>
        <w:ind w:firstLine="560"/>
        <w:rPr>
          <w:rFonts w:ascii="华文仿宋" w:hAnsi="华文仿宋" w:cs="宋体"/>
          <w:szCs w:val="28"/>
        </w:rPr>
      </w:pPr>
      <w:r>
        <w:rPr>
          <w:rFonts w:ascii="华文仿宋" w:hAnsi="华文仿宋"/>
          <w:szCs w:val="28"/>
        </w:rPr>
        <w:t>DL/T 857-2004</w:t>
      </w:r>
      <w:r>
        <w:rPr>
          <w:rFonts w:ascii="华文仿宋" w:hAnsi="华文仿宋" w:cs="宋体"/>
          <w:szCs w:val="28"/>
        </w:rPr>
        <w:tab/>
      </w:r>
      <w:r>
        <w:rPr>
          <w:rFonts w:ascii="华文仿宋" w:hAnsi="华文仿宋" w:cs="宋体"/>
          <w:szCs w:val="28"/>
        </w:rPr>
        <w:tab/>
      </w:r>
      <w:r>
        <w:rPr>
          <w:rFonts w:hint="eastAsia" w:ascii="华文仿宋" w:hAnsi="华文仿宋" w:cs="宋体"/>
          <w:szCs w:val="28"/>
        </w:rPr>
        <w:t>发电厂、变电所蓄电池用整流逆变设备技术条件</w:t>
      </w:r>
    </w:p>
    <w:p>
      <w:pPr>
        <w:autoSpaceDE w:val="0"/>
        <w:autoSpaceDN w:val="0"/>
        <w:adjustRightInd w:val="0"/>
        <w:spacing w:line="288" w:lineRule="auto"/>
        <w:ind w:firstLine="560"/>
        <w:rPr>
          <w:rFonts w:ascii="华文仿宋" w:hAnsi="华文仿宋" w:cs="宋体"/>
          <w:szCs w:val="28"/>
        </w:rPr>
      </w:pPr>
      <w:r>
        <w:rPr>
          <w:rFonts w:ascii="华文仿宋" w:hAnsi="华文仿宋"/>
          <w:szCs w:val="28"/>
        </w:rPr>
        <w:t>GB/T 3859.1-1993</w:t>
      </w:r>
      <w:r>
        <w:rPr>
          <w:rFonts w:ascii="华文仿宋" w:hAnsi="华文仿宋" w:cs="宋体"/>
          <w:szCs w:val="28"/>
        </w:rPr>
        <w:tab/>
      </w:r>
      <w:r>
        <w:rPr>
          <w:rFonts w:hint="eastAsia" w:ascii="华文仿宋" w:hAnsi="华文仿宋" w:cs="宋体"/>
          <w:szCs w:val="28"/>
        </w:rPr>
        <w:t>半导体变流器基本要求的规定</w:t>
      </w:r>
    </w:p>
    <w:p>
      <w:pPr>
        <w:autoSpaceDE w:val="0"/>
        <w:autoSpaceDN w:val="0"/>
        <w:adjustRightInd w:val="0"/>
        <w:spacing w:line="288" w:lineRule="auto"/>
        <w:ind w:firstLine="560"/>
        <w:rPr>
          <w:rFonts w:ascii="华文仿宋" w:hAnsi="华文仿宋" w:cs="宋体"/>
          <w:szCs w:val="28"/>
        </w:rPr>
      </w:pPr>
      <w:r>
        <w:rPr>
          <w:rFonts w:ascii="华文仿宋" w:hAnsi="华文仿宋"/>
          <w:szCs w:val="28"/>
        </w:rPr>
        <w:t>GB/T 3859.4-2004</w:t>
      </w:r>
      <w:r>
        <w:rPr>
          <w:rFonts w:ascii="华文仿宋" w:hAnsi="华文仿宋" w:cs="宋体"/>
          <w:szCs w:val="28"/>
        </w:rPr>
        <w:tab/>
      </w:r>
      <w:r>
        <w:rPr>
          <w:rFonts w:hint="eastAsia" w:ascii="华文仿宋" w:hAnsi="华文仿宋" w:cs="宋体"/>
          <w:szCs w:val="28"/>
        </w:rPr>
        <w:t>半导体变流器</w:t>
      </w:r>
      <w:r>
        <w:rPr>
          <w:rFonts w:ascii="华文仿宋" w:hAnsi="华文仿宋" w:cs="宋体"/>
          <w:szCs w:val="28"/>
        </w:rPr>
        <w:t xml:space="preserve"> </w:t>
      </w:r>
      <w:r>
        <w:rPr>
          <w:rFonts w:hint="eastAsia" w:ascii="华文仿宋" w:hAnsi="华文仿宋" w:cs="宋体"/>
          <w:szCs w:val="28"/>
        </w:rPr>
        <w:t>包括直接直流变流器的半导体自换相变流器</w:t>
      </w:r>
    </w:p>
    <w:p>
      <w:pPr>
        <w:autoSpaceDE w:val="0"/>
        <w:autoSpaceDN w:val="0"/>
        <w:adjustRightInd w:val="0"/>
        <w:spacing w:line="288" w:lineRule="auto"/>
        <w:ind w:left="118" w:leftChars="42" w:right="224" w:rightChars="80" w:firstLine="420" w:firstLineChars="150"/>
        <w:contextualSpacing/>
        <w:rPr>
          <w:rFonts w:ascii="华文仿宋" w:hAnsi="华文仿宋" w:cs="宋体"/>
          <w:szCs w:val="28"/>
        </w:rPr>
      </w:pPr>
      <w:r>
        <w:rPr>
          <w:rFonts w:ascii="华文仿宋" w:hAnsi="华文仿宋"/>
          <w:szCs w:val="28"/>
        </w:rPr>
        <w:t>GB 10963.2-2008</w:t>
      </w:r>
      <w:r>
        <w:rPr>
          <w:rFonts w:ascii="华文仿宋" w:hAnsi="华文仿宋"/>
          <w:szCs w:val="28"/>
        </w:rPr>
        <w:tab/>
      </w:r>
      <w:r>
        <w:rPr>
          <w:rFonts w:ascii="华文仿宋" w:hAnsi="华文仿宋"/>
          <w:szCs w:val="28"/>
        </w:rPr>
        <w:t xml:space="preserve">   </w:t>
      </w:r>
      <w:r>
        <w:rPr>
          <w:rFonts w:hint="eastAsia" w:ascii="华文仿宋" w:hAnsi="华文仿宋" w:cs="宋体"/>
          <w:szCs w:val="28"/>
        </w:rPr>
        <w:t>家用及类似场所用过电流保护断路器</w:t>
      </w:r>
      <w:r>
        <w:rPr>
          <w:rFonts w:ascii="华文仿宋" w:hAnsi="华文仿宋" w:cs="宋体"/>
          <w:szCs w:val="28"/>
        </w:rPr>
        <w:t xml:space="preserve"> </w:t>
      </w:r>
      <w:r>
        <w:rPr>
          <w:rFonts w:hint="eastAsia" w:ascii="华文仿宋" w:hAnsi="华文仿宋" w:cs="宋体"/>
          <w:szCs w:val="28"/>
        </w:rPr>
        <w:t>第</w:t>
      </w:r>
      <w:r>
        <w:rPr>
          <w:rFonts w:ascii="华文仿宋" w:hAnsi="华文仿宋" w:cs="宋体"/>
          <w:szCs w:val="28"/>
        </w:rPr>
        <w:t xml:space="preserve"> 2 </w:t>
      </w:r>
      <w:r>
        <w:rPr>
          <w:rFonts w:hint="eastAsia" w:ascii="华文仿宋" w:hAnsi="华文仿宋" w:cs="宋体"/>
          <w:szCs w:val="28"/>
        </w:rPr>
        <w:t>部分：用于交流和直流的断路器</w:t>
      </w:r>
      <w:r>
        <w:rPr>
          <w:rFonts w:ascii="华文仿宋" w:hAnsi="华文仿宋" w:cs="宋体"/>
          <w:szCs w:val="28"/>
        </w:rPr>
        <w:tab/>
      </w:r>
    </w:p>
    <w:p>
      <w:pPr>
        <w:autoSpaceDE w:val="0"/>
        <w:autoSpaceDN w:val="0"/>
        <w:adjustRightInd w:val="0"/>
        <w:spacing w:line="288" w:lineRule="auto"/>
        <w:ind w:firstLine="560"/>
        <w:contextualSpacing/>
        <w:rPr>
          <w:rFonts w:ascii="华文仿宋" w:hAnsi="华文仿宋" w:cs="宋体"/>
          <w:szCs w:val="28"/>
        </w:rPr>
      </w:pPr>
      <w:r>
        <w:rPr>
          <w:rFonts w:ascii="华文仿宋" w:hAnsi="华文仿宋"/>
          <w:szCs w:val="28"/>
        </w:rPr>
        <w:t>GB/T 17478-2004</w:t>
      </w:r>
      <w:r>
        <w:rPr>
          <w:rFonts w:ascii="华文仿宋" w:hAnsi="华文仿宋" w:cs="宋体"/>
          <w:szCs w:val="28"/>
        </w:rPr>
        <w:tab/>
      </w:r>
      <w:r>
        <w:rPr>
          <w:rFonts w:hint="eastAsia" w:ascii="华文仿宋" w:hAnsi="华文仿宋" w:cs="宋体"/>
          <w:szCs w:val="28"/>
        </w:rPr>
        <w:t>低压直流电源设备的</w:t>
      </w:r>
      <w:r>
        <w:rPr>
          <w:rFonts w:hint="eastAsia" w:ascii="华文仿宋" w:hAnsi="华文仿宋"/>
          <w:szCs w:val="28"/>
        </w:rPr>
        <w:t>性</w:t>
      </w:r>
      <w:r>
        <w:rPr>
          <w:rFonts w:hint="eastAsia" w:ascii="华文仿宋" w:hAnsi="华文仿宋" w:cs="宋体"/>
          <w:szCs w:val="28"/>
        </w:rPr>
        <w:t>能特性</w:t>
      </w:r>
    </w:p>
    <w:p>
      <w:pPr>
        <w:autoSpaceDE w:val="0"/>
        <w:autoSpaceDN w:val="0"/>
        <w:adjustRightInd w:val="0"/>
        <w:spacing w:line="288" w:lineRule="auto"/>
        <w:ind w:left="118" w:leftChars="42" w:right="224" w:rightChars="80" w:firstLine="420" w:firstLineChars="150"/>
        <w:contextualSpacing/>
        <w:rPr>
          <w:rFonts w:ascii="华文仿宋" w:hAnsi="华文仿宋" w:cs="宋体"/>
          <w:szCs w:val="28"/>
        </w:rPr>
      </w:pPr>
      <w:r>
        <w:rPr>
          <w:rFonts w:ascii="华文仿宋" w:hAnsi="华文仿宋"/>
          <w:szCs w:val="28"/>
        </w:rPr>
        <w:t>GB/T 17626.17-2005</w:t>
      </w:r>
      <w:r>
        <w:rPr>
          <w:rFonts w:ascii="华文仿宋" w:hAnsi="华文仿宋" w:cs="宋体"/>
          <w:szCs w:val="28"/>
        </w:rPr>
        <w:tab/>
      </w:r>
      <w:r>
        <w:rPr>
          <w:rFonts w:hint="eastAsia" w:ascii="华文仿宋" w:hAnsi="华文仿宋" w:cs="宋体"/>
          <w:szCs w:val="28"/>
        </w:rPr>
        <w:t>电磁兼容</w:t>
      </w:r>
      <w:r>
        <w:rPr>
          <w:rFonts w:ascii="华文仿宋" w:hAnsi="华文仿宋" w:cs="宋体"/>
          <w:szCs w:val="28"/>
        </w:rPr>
        <w:t xml:space="preserve">  </w:t>
      </w:r>
      <w:r>
        <w:rPr>
          <w:rFonts w:hint="eastAsia" w:ascii="华文仿宋" w:hAnsi="华文仿宋" w:cs="宋体"/>
          <w:szCs w:val="28"/>
        </w:rPr>
        <w:t>试验和测量技术</w:t>
      </w:r>
      <w:r>
        <w:rPr>
          <w:rFonts w:ascii="华文仿宋" w:hAnsi="华文仿宋" w:cs="宋体"/>
          <w:szCs w:val="28"/>
        </w:rPr>
        <w:t xml:space="preserve">  </w:t>
      </w:r>
      <w:r>
        <w:rPr>
          <w:rFonts w:hint="eastAsia" w:ascii="华文仿宋" w:hAnsi="华文仿宋" w:cs="宋体"/>
          <w:szCs w:val="28"/>
        </w:rPr>
        <w:t>直流电源输入端口纹波抗扰度试验</w:t>
      </w:r>
    </w:p>
    <w:p>
      <w:pPr>
        <w:autoSpaceDE w:val="0"/>
        <w:autoSpaceDN w:val="0"/>
        <w:adjustRightInd w:val="0"/>
        <w:spacing w:line="288" w:lineRule="auto"/>
        <w:ind w:left="118" w:leftChars="42" w:firstLine="420" w:firstLineChars="150"/>
        <w:contextualSpacing/>
        <w:rPr>
          <w:rFonts w:ascii="华文仿宋" w:hAnsi="华文仿宋" w:cs="宋体"/>
          <w:szCs w:val="28"/>
        </w:rPr>
      </w:pPr>
      <w:r>
        <w:rPr>
          <w:rFonts w:ascii="华文仿宋" w:hAnsi="华文仿宋"/>
          <w:szCs w:val="28"/>
        </w:rPr>
        <w:t>GB/T 17626.29-2006</w:t>
      </w:r>
      <w:r>
        <w:rPr>
          <w:rFonts w:ascii="华文仿宋" w:hAnsi="华文仿宋"/>
          <w:szCs w:val="28"/>
        </w:rPr>
        <w:tab/>
      </w:r>
      <w:r>
        <w:rPr>
          <w:rFonts w:hint="eastAsia" w:ascii="华文仿宋" w:hAnsi="华文仿宋" w:cs="宋体"/>
          <w:szCs w:val="28"/>
        </w:rPr>
        <w:t>电磁兼容</w:t>
      </w:r>
      <w:r>
        <w:rPr>
          <w:rFonts w:ascii="华文仿宋" w:hAnsi="华文仿宋" w:cs="宋体"/>
          <w:szCs w:val="28"/>
        </w:rPr>
        <w:t xml:space="preserve"> </w:t>
      </w:r>
      <w:r>
        <w:rPr>
          <w:rFonts w:hint="eastAsia" w:ascii="华文仿宋" w:hAnsi="华文仿宋" w:cs="宋体"/>
          <w:szCs w:val="28"/>
        </w:rPr>
        <w:t>试验和测量技术</w:t>
      </w:r>
      <w:r>
        <w:rPr>
          <w:rFonts w:ascii="华文仿宋" w:hAnsi="华文仿宋" w:cs="宋体"/>
          <w:szCs w:val="28"/>
        </w:rPr>
        <w:t xml:space="preserve"> </w:t>
      </w:r>
      <w:r>
        <w:rPr>
          <w:rFonts w:hint="eastAsia" w:ascii="华文仿宋" w:hAnsi="华文仿宋" w:cs="宋体"/>
          <w:szCs w:val="28"/>
        </w:rPr>
        <w:t>直流电源输入端口电压暂降、短时中断和电压变化的抗扰度试验</w:t>
      </w:r>
    </w:p>
    <w:p>
      <w:pPr>
        <w:autoSpaceDE w:val="0"/>
        <w:autoSpaceDN w:val="0"/>
        <w:adjustRightInd w:val="0"/>
        <w:spacing w:line="288" w:lineRule="auto"/>
        <w:ind w:firstLine="560"/>
        <w:contextualSpacing/>
        <w:rPr>
          <w:rFonts w:ascii="华文仿宋" w:hAnsi="华文仿宋" w:cs="宋体"/>
          <w:szCs w:val="28"/>
        </w:rPr>
      </w:pPr>
      <w:r>
        <w:rPr>
          <w:rFonts w:ascii="华文仿宋" w:hAnsi="华文仿宋"/>
          <w:szCs w:val="28"/>
        </w:rPr>
        <w:t>GB/T 19826-2014</w:t>
      </w:r>
      <w:r>
        <w:rPr>
          <w:rFonts w:ascii="华文仿宋" w:hAnsi="华文仿宋"/>
          <w:szCs w:val="28"/>
        </w:rPr>
        <w:tab/>
      </w:r>
      <w:r>
        <w:rPr>
          <w:rFonts w:ascii="华文仿宋" w:hAnsi="华文仿宋"/>
          <w:szCs w:val="28"/>
        </w:rPr>
        <w:tab/>
      </w:r>
      <w:r>
        <w:rPr>
          <w:rFonts w:hint="eastAsia" w:ascii="华文仿宋" w:hAnsi="华文仿宋" w:cs="宋体"/>
          <w:szCs w:val="28"/>
        </w:rPr>
        <w:t>电力工程直流电源设备通用技术条件及安全要求</w:t>
      </w:r>
    </w:p>
    <w:p>
      <w:pPr>
        <w:autoSpaceDE w:val="0"/>
        <w:autoSpaceDN w:val="0"/>
        <w:adjustRightInd w:val="0"/>
        <w:spacing w:line="288" w:lineRule="auto"/>
        <w:ind w:firstLine="560"/>
        <w:contextualSpacing/>
        <w:rPr>
          <w:rFonts w:ascii="华文仿宋" w:hAnsi="华文仿宋" w:cs="宋体"/>
          <w:szCs w:val="28"/>
        </w:rPr>
      </w:pPr>
      <w:r>
        <w:rPr>
          <w:rFonts w:ascii="华文仿宋" w:hAnsi="华文仿宋"/>
          <w:szCs w:val="28"/>
        </w:rPr>
        <w:t>GB/T 21560.3-2008</w:t>
      </w:r>
      <w:r>
        <w:rPr>
          <w:rFonts w:ascii="华文仿宋" w:hAnsi="华文仿宋" w:cs="宋体"/>
          <w:szCs w:val="28"/>
        </w:rPr>
        <w:tab/>
      </w:r>
      <w:r>
        <w:rPr>
          <w:rFonts w:hint="eastAsia" w:ascii="华文仿宋" w:hAnsi="华文仿宋" w:cs="宋体"/>
          <w:szCs w:val="28"/>
        </w:rPr>
        <w:t>低压直流电源</w:t>
      </w:r>
      <w:r>
        <w:rPr>
          <w:rFonts w:ascii="华文仿宋" w:hAnsi="华文仿宋" w:cs="宋体"/>
          <w:szCs w:val="28"/>
        </w:rPr>
        <w:t xml:space="preserve">  </w:t>
      </w:r>
      <w:r>
        <w:rPr>
          <w:rFonts w:hint="eastAsia" w:ascii="华文仿宋" w:hAnsi="华文仿宋" w:cs="宋体"/>
          <w:szCs w:val="28"/>
        </w:rPr>
        <w:t>第</w:t>
      </w:r>
      <w:r>
        <w:rPr>
          <w:rFonts w:ascii="华文仿宋" w:hAnsi="华文仿宋" w:cs="宋体"/>
          <w:szCs w:val="28"/>
        </w:rPr>
        <w:t xml:space="preserve"> 3 </w:t>
      </w:r>
      <w:r>
        <w:rPr>
          <w:rFonts w:hint="eastAsia" w:ascii="华文仿宋" w:hAnsi="华文仿宋" w:cs="宋体"/>
          <w:szCs w:val="28"/>
        </w:rPr>
        <w:t>部分：电磁兼容性（</w:t>
      </w:r>
      <w:r>
        <w:rPr>
          <w:rFonts w:ascii="华文仿宋" w:hAnsi="华文仿宋" w:cs="宋体"/>
          <w:szCs w:val="28"/>
        </w:rPr>
        <w:t>EMC</w:t>
      </w:r>
      <w:r>
        <w:rPr>
          <w:rFonts w:hint="eastAsia" w:ascii="华文仿宋" w:hAnsi="华文仿宋" w:cs="宋体"/>
          <w:szCs w:val="28"/>
        </w:rPr>
        <w:t>）</w:t>
      </w:r>
    </w:p>
    <w:p>
      <w:pPr>
        <w:autoSpaceDE w:val="0"/>
        <w:autoSpaceDN w:val="0"/>
        <w:adjustRightInd w:val="0"/>
        <w:spacing w:line="288" w:lineRule="auto"/>
        <w:ind w:firstLine="560"/>
        <w:contextualSpacing/>
        <w:rPr>
          <w:rFonts w:ascii="华文仿宋" w:hAnsi="华文仿宋" w:cs="宋体"/>
          <w:szCs w:val="28"/>
        </w:rPr>
      </w:pPr>
      <w:r>
        <w:rPr>
          <w:rFonts w:ascii="华文仿宋" w:hAnsi="华文仿宋"/>
          <w:szCs w:val="28"/>
        </w:rPr>
        <w:t>GB/T 21560.6-2008</w:t>
      </w:r>
      <w:r>
        <w:rPr>
          <w:rFonts w:ascii="华文仿宋" w:hAnsi="华文仿宋" w:cs="宋体"/>
          <w:szCs w:val="28"/>
        </w:rPr>
        <w:tab/>
      </w:r>
      <w:r>
        <w:rPr>
          <w:rFonts w:hint="eastAsia" w:ascii="华文仿宋" w:hAnsi="华文仿宋" w:cs="宋体"/>
          <w:szCs w:val="28"/>
        </w:rPr>
        <w:t>低压直流电源</w:t>
      </w:r>
      <w:r>
        <w:rPr>
          <w:rFonts w:ascii="华文仿宋" w:hAnsi="华文仿宋" w:cs="宋体"/>
          <w:szCs w:val="28"/>
        </w:rPr>
        <w:t xml:space="preserve"> </w:t>
      </w:r>
      <w:r>
        <w:rPr>
          <w:rFonts w:hint="eastAsia" w:ascii="华文仿宋" w:hAnsi="华文仿宋" w:cs="宋体"/>
          <w:szCs w:val="28"/>
        </w:rPr>
        <w:t>第</w:t>
      </w:r>
      <w:r>
        <w:rPr>
          <w:rFonts w:ascii="华文仿宋" w:hAnsi="华文仿宋" w:cs="宋体"/>
          <w:szCs w:val="28"/>
        </w:rPr>
        <w:t xml:space="preserve"> 6 </w:t>
      </w:r>
      <w:r>
        <w:rPr>
          <w:rFonts w:hint="eastAsia" w:ascii="华文仿宋" w:hAnsi="华文仿宋" w:cs="宋体"/>
          <w:szCs w:val="28"/>
        </w:rPr>
        <w:t>部分：评定低压直流电源性能的要求</w:t>
      </w:r>
    </w:p>
    <w:p>
      <w:pPr>
        <w:pStyle w:val="383"/>
        <w:spacing w:before="120" w:line="288" w:lineRule="auto"/>
        <w:ind w:firstLine="420" w:firstLineChars="0"/>
        <w:rPr>
          <w:rFonts w:ascii="华文仿宋" w:hAnsi="华文仿宋" w:eastAsia="华文仿宋"/>
          <w:sz w:val="28"/>
          <w:szCs w:val="28"/>
        </w:rPr>
      </w:pPr>
      <w:r>
        <w:rPr>
          <w:rFonts w:ascii="华文仿宋" w:hAnsi="华文仿宋" w:eastAsia="华文仿宋"/>
          <w:sz w:val="28"/>
          <w:szCs w:val="28"/>
        </w:rPr>
        <w:t xml:space="preserve">GB50171-2012      </w:t>
      </w:r>
      <w:r>
        <w:rPr>
          <w:rFonts w:hint="eastAsia" w:ascii="华文仿宋" w:hAnsi="华文仿宋" w:eastAsia="华文仿宋"/>
          <w:sz w:val="28"/>
          <w:szCs w:val="28"/>
        </w:rPr>
        <w:t>电气装置安装工程盘、柜及二次回路接线施工及验收规范</w:t>
      </w:r>
    </w:p>
    <w:p>
      <w:pPr>
        <w:autoSpaceDE w:val="0"/>
        <w:autoSpaceDN w:val="0"/>
        <w:adjustRightInd w:val="0"/>
        <w:spacing w:line="288" w:lineRule="auto"/>
        <w:ind w:firstLine="560"/>
        <w:contextualSpacing/>
        <w:rPr>
          <w:rFonts w:ascii="华文仿宋" w:hAnsi="华文仿宋"/>
          <w:szCs w:val="28"/>
        </w:rPr>
      </w:pPr>
      <w:r>
        <w:rPr>
          <w:rFonts w:ascii="华文仿宋" w:hAnsi="华文仿宋"/>
          <w:szCs w:val="28"/>
        </w:rPr>
        <w:t xml:space="preserve">GBJ50172－2012    </w:t>
      </w:r>
      <w:r>
        <w:rPr>
          <w:rFonts w:hint="eastAsia" w:ascii="华文仿宋" w:hAnsi="华文仿宋"/>
          <w:szCs w:val="28"/>
        </w:rPr>
        <w:t>电气装置安装工程</w:t>
      </w:r>
      <w:r>
        <w:rPr>
          <w:rFonts w:ascii="华文仿宋" w:hAnsi="华文仿宋"/>
          <w:szCs w:val="28"/>
        </w:rPr>
        <w:t xml:space="preserve"> </w:t>
      </w:r>
      <w:r>
        <w:rPr>
          <w:rFonts w:hint="eastAsia" w:ascii="华文仿宋" w:hAnsi="华文仿宋"/>
          <w:szCs w:val="28"/>
        </w:rPr>
        <w:t>蓄电池施工及验收规范</w:t>
      </w:r>
    </w:p>
    <w:p>
      <w:pPr>
        <w:autoSpaceDE w:val="0"/>
        <w:autoSpaceDN w:val="0"/>
        <w:adjustRightInd w:val="0"/>
        <w:spacing w:line="288" w:lineRule="auto"/>
        <w:ind w:firstLine="560"/>
        <w:contextualSpacing/>
        <w:rPr>
          <w:rFonts w:ascii="华文仿宋" w:hAnsi="华文仿宋"/>
          <w:szCs w:val="28"/>
        </w:rPr>
      </w:pPr>
      <w:r>
        <w:rPr>
          <w:rFonts w:ascii="华文仿宋" w:hAnsi="华文仿宋"/>
          <w:szCs w:val="28"/>
        </w:rPr>
        <w:t xml:space="preserve">GB50150-2016      </w:t>
      </w:r>
      <w:r>
        <w:rPr>
          <w:rFonts w:hint="eastAsia" w:ascii="华文仿宋" w:hAnsi="华文仿宋"/>
          <w:szCs w:val="28"/>
        </w:rPr>
        <w:t>电气装置安装工程</w:t>
      </w:r>
      <w:r>
        <w:rPr>
          <w:rFonts w:ascii="华文仿宋" w:hAnsi="华文仿宋"/>
          <w:szCs w:val="28"/>
        </w:rPr>
        <w:t xml:space="preserve"> </w:t>
      </w:r>
      <w:r>
        <w:rPr>
          <w:rFonts w:hint="eastAsia" w:ascii="华文仿宋" w:hAnsi="华文仿宋"/>
          <w:szCs w:val="28"/>
        </w:rPr>
        <w:t>电气设备交接试验标准</w:t>
      </w:r>
    </w:p>
    <w:p>
      <w:pPr>
        <w:autoSpaceDE w:val="0"/>
        <w:autoSpaceDN w:val="0"/>
        <w:adjustRightInd w:val="0"/>
        <w:spacing w:line="288" w:lineRule="auto"/>
        <w:ind w:firstLine="560"/>
        <w:contextualSpacing/>
        <w:rPr>
          <w:rFonts w:ascii="华文仿宋" w:hAnsi="华文仿宋" w:cs="宋体"/>
          <w:szCs w:val="28"/>
        </w:rPr>
      </w:pPr>
      <w:r>
        <w:rPr>
          <w:rFonts w:hint="eastAsia" w:ascii="华文仿宋" w:hAnsi="华文仿宋" w:cs="宋体"/>
          <w:szCs w:val="28"/>
        </w:rPr>
        <w:t>以上仅列出了主要标准，但不是全部。</w:t>
      </w:r>
    </w:p>
    <w:p>
      <w:pPr>
        <w:pStyle w:val="3"/>
        <w:adjustRightInd w:val="0"/>
        <w:snapToGrid w:val="0"/>
        <w:spacing w:before="240" w:line="415" w:lineRule="auto"/>
        <w:ind w:firstLine="561"/>
        <w:rPr>
          <w:rFonts w:ascii="华文仿宋" w:hAnsi="华文仿宋" w:cs="仿宋_GB2312"/>
          <w:szCs w:val="28"/>
        </w:rPr>
      </w:pPr>
      <w:bookmarkStart w:id="47" w:name="_Toc27495639"/>
      <w:bookmarkStart w:id="48" w:name="_Toc30615"/>
      <w:bookmarkStart w:id="49" w:name="_Toc328469312"/>
      <w:bookmarkStart w:id="50" w:name="_Toc420335009"/>
      <w:bookmarkStart w:id="51" w:name="_Toc398487526"/>
      <w:r>
        <w:rPr>
          <w:rFonts w:ascii="华文仿宋" w:hAnsi="华文仿宋" w:cs="仿宋_GB2312"/>
          <w:szCs w:val="28"/>
        </w:rPr>
        <w:t xml:space="preserve">3 </w:t>
      </w:r>
      <w:r>
        <w:rPr>
          <w:rFonts w:hint="eastAsia" w:ascii="华文仿宋" w:hAnsi="华文仿宋" w:cs="仿宋_GB2312"/>
          <w:szCs w:val="28"/>
        </w:rPr>
        <w:t>环境条件与运行条件</w:t>
      </w:r>
      <w:bookmarkEnd w:id="47"/>
      <w:r>
        <w:rPr>
          <w:rFonts w:ascii="华文仿宋" w:hAnsi="华文仿宋" w:cs="仿宋_GB2312"/>
          <w:szCs w:val="28"/>
        </w:rPr>
        <w:t xml:space="preserve">   </w:t>
      </w:r>
      <w:bookmarkEnd w:id="48"/>
    </w:p>
    <w:p>
      <w:pPr>
        <w:ind w:firstLine="560"/>
        <w:rPr>
          <w:rFonts w:ascii="华文仿宋" w:hAnsi="华文仿宋"/>
          <w:szCs w:val="28"/>
        </w:rPr>
      </w:pPr>
      <w:r>
        <w:rPr>
          <w:rFonts w:ascii="华文仿宋" w:hAnsi="华文仿宋"/>
          <w:szCs w:val="28"/>
        </w:rPr>
        <w:t>3.1 环境条件  </w:t>
      </w:r>
    </w:p>
    <w:p>
      <w:pPr>
        <w:numPr>
          <w:ilvl w:val="0"/>
          <w:numId w:val="26"/>
        </w:numPr>
        <w:ind w:firstLine="560"/>
        <w:rPr>
          <w:rFonts w:ascii="华文仿宋" w:hAnsi="华文仿宋"/>
          <w:szCs w:val="28"/>
        </w:rPr>
      </w:pPr>
      <w:r>
        <w:rPr>
          <w:rFonts w:ascii="华文仿宋" w:hAnsi="华文仿宋"/>
          <w:szCs w:val="28"/>
        </w:rPr>
        <w:t>海拔高度：&lt;1000m，户内安装</w:t>
      </w:r>
    </w:p>
    <w:p>
      <w:pPr>
        <w:numPr>
          <w:ilvl w:val="0"/>
          <w:numId w:val="26"/>
        </w:numPr>
        <w:ind w:firstLine="560"/>
        <w:rPr>
          <w:rFonts w:ascii="华文仿宋" w:hAnsi="华文仿宋"/>
          <w:szCs w:val="28"/>
        </w:rPr>
      </w:pPr>
      <w:r>
        <w:rPr>
          <w:rFonts w:ascii="华文仿宋" w:hAnsi="华文仿宋"/>
          <w:szCs w:val="28"/>
        </w:rPr>
        <w:t>环境温度：0℃~+40℃</w:t>
      </w:r>
    </w:p>
    <w:p>
      <w:pPr>
        <w:numPr>
          <w:ilvl w:val="0"/>
          <w:numId w:val="26"/>
        </w:numPr>
        <w:ind w:firstLine="560"/>
        <w:rPr>
          <w:rFonts w:ascii="华文仿宋" w:hAnsi="华文仿宋"/>
          <w:szCs w:val="28"/>
        </w:rPr>
      </w:pPr>
      <w:r>
        <w:rPr>
          <w:rFonts w:ascii="华文仿宋" w:hAnsi="华文仿宋"/>
          <w:szCs w:val="28"/>
        </w:rPr>
        <w:t>相对湿度：≤93％</w:t>
      </w:r>
    </w:p>
    <w:p>
      <w:pPr>
        <w:numPr>
          <w:ilvl w:val="0"/>
          <w:numId w:val="26"/>
        </w:numPr>
        <w:ind w:firstLine="560"/>
        <w:rPr>
          <w:rFonts w:ascii="华文仿宋" w:hAnsi="华文仿宋"/>
          <w:szCs w:val="28"/>
        </w:rPr>
      </w:pPr>
      <w:r>
        <w:rPr>
          <w:rFonts w:ascii="华文仿宋" w:hAnsi="华文仿宋"/>
          <w:szCs w:val="28"/>
        </w:rPr>
        <w:t>地震烈度：7度</w:t>
      </w:r>
    </w:p>
    <w:p>
      <w:pPr>
        <w:ind w:firstLine="560"/>
        <w:rPr>
          <w:rFonts w:ascii="华文仿宋" w:hAnsi="华文仿宋"/>
          <w:szCs w:val="28"/>
        </w:rPr>
      </w:pPr>
      <w:r>
        <w:rPr>
          <w:rFonts w:ascii="华文仿宋" w:hAnsi="华文仿宋"/>
          <w:szCs w:val="28"/>
        </w:rPr>
        <w:t>3.2 运行条件  </w:t>
      </w:r>
    </w:p>
    <w:p>
      <w:pPr>
        <w:numPr>
          <w:ilvl w:val="0"/>
          <w:numId w:val="26"/>
        </w:numPr>
        <w:ind w:firstLine="560"/>
        <w:rPr>
          <w:rFonts w:ascii="华文仿宋" w:hAnsi="华文仿宋"/>
          <w:szCs w:val="28"/>
        </w:rPr>
      </w:pPr>
      <w:r>
        <w:rPr>
          <w:rFonts w:ascii="华文仿宋" w:hAnsi="华文仿宋"/>
          <w:szCs w:val="28"/>
        </w:rPr>
        <w:t>额定运行电压  380V±15％  </w:t>
      </w:r>
    </w:p>
    <w:p>
      <w:pPr>
        <w:numPr>
          <w:ilvl w:val="0"/>
          <w:numId w:val="26"/>
        </w:numPr>
        <w:ind w:firstLine="560"/>
        <w:rPr>
          <w:rFonts w:ascii="华文仿宋" w:hAnsi="华文仿宋"/>
          <w:szCs w:val="28"/>
        </w:rPr>
      </w:pPr>
      <w:r>
        <w:rPr>
          <w:rFonts w:ascii="华文仿宋" w:hAnsi="华文仿宋"/>
          <w:szCs w:val="28"/>
        </w:rPr>
        <w:t>额定频率    50Hz±5％</w:t>
      </w:r>
    </w:p>
    <w:p>
      <w:pPr>
        <w:pStyle w:val="3"/>
        <w:adjustRightInd w:val="0"/>
        <w:snapToGrid w:val="0"/>
        <w:spacing w:before="240" w:line="415" w:lineRule="auto"/>
        <w:ind w:firstLine="561"/>
        <w:rPr>
          <w:rFonts w:ascii="华文仿宋" w:hAnsi="华文仿宋" w:cs="仿宋_GB2312"/>
          <w:szCs w:val="28"/>
        </w:rPr>
      </w:pPr>
      <w:bookmarkStart w:id="52" w:name="_Toc13531"/>
      <w:bookmarkStart w:id="53" w:name="_Toc27495640"/>
      <w:r>
        <w:rPr>
          <w:rFonts w:ascii="华文仿宋" w:hAnsi="华文仿宋" w:cs="仿宋_GB2312"/>
          <w:szCs w:val="28"/>
        </w:rPr>
        <w:t xml:space="preserve">4 </w:t>
      </w:r>
      <w:r>
        <w:rPr>
          <w:rFonts w:hint="eastAsia" w:ascii="华文仿宋" w:hAnsi="华文仿宋" w:cs="仿宋_GB2312"/>
          <w:szCs w:val="28"/>
        </w:rPr>
        <w:t>技术性能要求</w:t>
      </w:r>
      <w:bookmarkEnd w:id="49"/>
      <w:bookmarkEnd w:id="50"/>
      <w:bookmarkEnd w:id="51"/>
      <w:bookmarkEnd w:id="52"/>
      <w:bookmarkEnd w:id="53"/>
    </w:p>
    <w:p>
      <w:pPr>
        <w:autoSpaceDE w:val="0"/>
        <w:autoSpaceDN w:val="0"/>
        <w:adjustRightInd w:val="0"/>
        <w:spacing w:before="120" w:beforeLines="50" w:after="120" w:afterLines="50" w:line="288" w:lineRule="auto"/>
        <w:ind w:firstLine="561"/>
        <w:contextualSpacing/>
        <w:rPr>
          <w:rFonts w:ascii="华文仿宋" w:hAnsi="华文仿宋"/>
          <w:b/>
          <w:kern w:val="0"/>
          <w:szCs w:val="28"/>
        </w:rPr>
      </w:pPr>
      <w:bookmarkStart w:id="54" w:name="_Toc328469313"/>
      <w:bookmarkStart w:id="55" w:name="_Toc398487527"/>
      <w:r>
        <w:rPr>
          <w:rFonts w:ascii="华文仿宋" w:hAnsi="华文仿宋"/>
          <w:b/>
          <w:kern w:val="0"/>
          <w:szCs w:val="28"/>
        </w:rPr>
        <w:t xml:space="preserve">4.1 </w:t>
      </w:r>
      <w:r>
        <w:rPr>
          <w:rFonts w:hint="eastAsia" w:ascii="华文仿宋" w:hAnsi="华文仿宋"/>
          <w:b/>
          <w:kern w:val="0"/>
          <w:szCs w:val="28"/>
        </w:rPr>
        <w:t>使用条件</w:t>
      </w:r>
    </w:p>
    <w:p>
      <w:pPr>
        <w:ind w:firstLine="560"/>
        <w:rPr>
          <w:rFonts w:ascii="华文仿宋" w:hAnsi="华文仿宋"/>
          <w:szCs w:val="28"/>
        </w:rPr>
      </w:pPr>
      <w:r>
        <w:rPr>
          <w:rFonts w:ascii="华文仿宋" w:hAnsi="华文仿宋" w:cs="宋体"/>
          <w:kern w:val="0"/>
          <w:szCs w:val="28"/>
        </w:rPr>
        <w:t>4.1.1</w:t>
      </w:r>
      <w:r>
        <w:rPr>
          <w:rFonts w:hint="eastAsia" w:ascii="华文仿宋" w:hAnsi="华文仿宋" w:cs="宋体"/>
          <w:kern w:val="0"/>
          <w:szCs w:val="28"/>
        </w:rPr>
        <w:t>整流</w:t>
      </w:r>
      <w:r>
        <w:rPr>
          <w:rFonts w:hint="eastAsia" w:ascii="华文仿宋" w:hAnsi="华文仿宋"/>
          <w:szCs w:val="28"/>
        </w:rPr>
        <w:t>器使用条件为</w:t>
      </w:r>
      <w:r>
        <w:rPr>
          <w:rFonts w:ascii="华文仿宋" w:hAnsi="华文仿宋"/>
          <w:szCs w:val="28"/>
        </w:rPr>
        <w:t xml:space="preserve"> IEC60146-1-1 </w:t>
      </w:r>
      <w:r>
        <w:rPr>
          <w:rFonts w:hint="eastAsia" w:ascii="华文仿宋" w:hAnsi="华文仿宋"/>
          <w:szCs w:val="28"/>
        </w:rPr>
        <w:t>规定的使用条件。</w:t>
      </w:r>
    </w:p>
    <w:p>
      <w:pPr>
        <w:ind w:firstLine="560"/>
        <w:rPr>
          <w:rFonts w:ascii="华文仿宋" w:hAnsi="华文仿宋"/>
          <w:szCs w:val="28"/>
        </w:rPr>
      </w:pPr>
      <w:r>
        <w:rPr>
          <w:rFonts w:ascii="华文仿宋" w:hAnsi="华文仿宋"/>
          <w:szCs w:val="28"/>
        </w:rPr>
        <w:t>4.1.2</w:t>
      </w:r>
      <w:r>
        <w:rPr>
          <w:rFonts w:hint="eastAsia" w:ascii="华文仿宋" w:hAnsi="华文仿宋"/>
          <w:szCs w:val="28"/>
        </w:rPr>
        <w:t>根据</w:t>
      </w:r>
      <w:r>
        <w:rPr>
          <w:rFonts w:ascii="华文仿宋" w:hAnsi="华文仿宋"/>
          <w:szCs w:val="28"/>
        </w:rPr>
        <w:t xml:space="preserve"> IEC 60146-2 </w:t>
      </w:r>
      <w:r>
        <w:rPr>
          <w:rFonts w:hint="eastAsia" w:ascii="华文仿宋" w:hAnsi="华文仿宋"/>
          <w:szCs w:val="28"/>
        </w:rPr>
        <w:t>的要求，在正常工作条件下的交流电源线电压为正弦波。</w:t>
      </w:r>
    </w:p>
    <w:p>
      <w:pPr>
        <w:ind w:firstLine="560"/>
        <w:rPr>
          <w:rFonts w:ascii="华文仿宋" w:hAnsi="华文仿宋" w:cs="宋体"/>
          <w:kern w:val="0"/>
          <w:szCs w:val="28"/>
        </w:rPr>
      </w:pPr>
      <w:r>
        <w:rPr>
          <w:rFonts w:ascii="华文仿宋" w:hAnsi="华文仿宋"/>
          <w:szCs w:val="28"/>
        </w:rPr>
        <w:t>4.1.3</w:t>
      </w:r>
      <w:r>
        <w:rPr>
          <w:rFonts w:hint="eastAsia" w:ascii="华文仿宋" w:hAnsi="华文仿宋"/>
          <w:szCs w:val="28"/>
        </w:rPr>
        <w:t>整流器的额定值应以</w:t>
      </w:r>
      <w:r>
        <w:rPr>
          <w:rFonts w:ascii="华文仿宋" w:hAnsi="华文仿宋"/>
          <w:szCs w:val="28"/>
        </w:rPr>
        <w:t xml:space="preserve"> IEC 60146-1-1 </w:t>
      </w:r>
      <w:r>
        <w:rPr>
          <w:rFonts w:hint="eastAsia" w:ascii="华文仿宋" w:hAnsi="华文仿宋"/>
          <w:szCs w:val="28"/>
        </w:rPr>
        <w:t>第</w:t>
      </w:r>
      <w:r>
        <w:rPr>
          <w:rFonts w:ascii="华文仿宋" w:hAnsi="华文仿宋"/>
          <w:szCs w:val="28"/>
        </w:rPr>
        <w:t xml:space="preserve"> 5 条中定义的电气使用条件为基础</w:t>
      </w:r>
      <w:r>
        <w:rPr>
          <w:rFonts w:hint="eastAsia" w:ascii="华文仿宋" w:hAnsi="华文仿宋" w:cs="宋体"/>
          <w:kern w:val="0"/>
          <w:szCs w:val="28"/>
        </w:rPr>
        <w:t>。</w:t>
      </w:r>
    </w:p>
    <w:p>
      <w:pPr>
        <w:autoSpaceDE w:val="0"/>
        <w:autoSpaceDN w:val="0"/>
        <w:adjustRightInd w:val="0"/>
        <w:spacing w:before="120" w:beforeLines="50" w:after="120" w:afterLines="50" w:line="288" w:lineRule="auto"/>
        <w:ind w:firstLine="561"/>
        <w:contextualSpacing/>
        <w:rPr>
          <w:rFonts w:ascii="华文仿宋" w:hAnsi="华文仿宋" w:cs="宋体"/>
          <w:bCs/>
          <w:kern w:val="0"/>
          <w:position w:val="-3"/>
          <w:szCs w:val="28"/>
        </w:rPr>
      </w:pPr>
      <w:r>
        <w:rPr>
          <w:rFonts w:ascii="华文仿宋" w:hAnsi="华文仿宋"/>
          <w:b/>
          <w:kern w:val="0"/>
          <w:szCs w:val="28"/>
        </w:rPr>
        <w:t xml:space="preserve">4.2 </w:t>
      </w:r>
      <w:r>
        <w:rPr>
          <w:rFonts w:hint="eastAsia" w:ascii="华文仿宋" w:hAnsi="华文仿宋"/>
          <w:b/>
          <w:kern w:val="0"/>
          <w:szCs w:val="28"/>
        </w:rPr>
        <w:t>防护等级</w:t>
      </w:r>
    </w:p>
    <w:p>
      <w:pPr>
        <w:ind w:firstLine="560"/>
        <w:rPr>
          <w:rFonts w:ascii="华文仿宋" w:hAnsi="华文仿宋" w:cs="宋体"/>
          <w:kern w:val="0"/>
          <w:szCs w:val="28"/>
        </w:rPr>
      </w:pPr>
      <w:r>
        <w:rPr>
          <w:rFonts w:ascii="华文仿宋" w:hAnsi="华文仿宋" w:cs="宋体"/>
          <w:kern w:val="0"/>
          <w:szCs w:val="28"/>
        </w:rPr>
        <w:t>4.2.1</w:t>
      </w:r>
      <w:r>
        <w:rPr>
          <w:rFonts w:hint="eastAsia" w:ascii="华文仿宋" w:hAnsi="华文仿宋" w:cs="宋体"/>
          <w:kern w:val="0"/>
          <w:szCs w:val="28"/>
        </w:rPr>
        <w:t>可使用卖方的标准外壳，但其防护等级应符合</w:t>
      </w:r>
      <w:r>
        <w:rPr>
          <w:rFonts w:ascii="华文仿宋" w:hAnsi="华文仿宋" w:cs="宋体"/>
          <w:kern w:val="0"/>
          <w:szCs w:val="28"/>
        </w:rPr>
        <w:t xml:space="preserve"> IEC 60529 </w:t>
      </w:r>
      <w:r>
        <w:rPr>
          <w:rFonts w:hint="eastAsia" w:ascii="华文仿宋" w:hAnsi="华文仿宋" w:cs="宋体"/>
          <w:kern w:val="0"/>
          <w:szCs w:val="28"/>
        </w:rPr>
        <w:t>的要求，最低要求如下：</w:t>
      </w:r>
    </w:p>
    <w:p>
      <w:pPr>
        <w:autoSpaceDE w:val="0"/>
        <w:autoSpaceDN w:val="0"/>
        <w:adjustRightInd w:val="0"/>
        <w:spacing w:line="288" w:lineRule="auto"/>
        <w:ind w:firstLine="560"/>
        <w:rPr>
          <w:rFonts w:ascii="华文仿宋" w:hAnsi="华文仿宋" w:cs="宋体"/>
          <w:kern w:val="0"/>
          <w:szCs w:val="28"/>
        </w:rPr>
      </w:pPr>
      <w:r>
        <w:rPr>
          <w:rFonts w:hint="eastAsia" w:ascii="华文仿宋" w:hAnsi="华文仿宋" w:cs="宋体"/>
          <w:kern w:val="0"/>
          <w:szCs w:val="28"/>
        </w:rPr>
        <w:t>——</w:t>
      </w:r>
      <w:r>
        <w:rPr>
          <w:rFonts w:ascii="华文仿宋" w:hAnsi="华文仿宋" w:cs="宋体"/>
          <w:kern w:val="0"/>
          <w:szCs w:val="28"/>
        </w:rPr>
        <w:t xml:space="preserve"> IP 4X；</w:t>
      </w:r>
    </w:p>
    <w:p>
      <w:pPr>
        <w:autoSpaceDE w:val="0"/>
        <w:autoSpaceDN w:val="0"/>
        <w:adjustRightInd w:val="0"/>
        <w:spacing w:line="288" w:lineRule="auto"/>
        <w:ind w:firstLine="560"/>
        <w:rPr>
          <w:rFonts w:ascii="华文仿宋" w:hAnsi="华文仿宋" w:cs="宋体"/>
          <w:kern w:val="0"/>
          <w:szCs w:val="28"/>
        </w:rPr>
      </w:pPr>
      <w:r>
        <w:rPr>
          <w:rFonts w:hint="eastAsia" w:ascii="华文仿宋" w:hAnsi="华文仿宋" w:cs="宋体"/>
          <w:kern w:val="0"/>
          <w:szCs w:val="28"/>
        </w:rPr>
        <w:t>——</w:t>
      </w:r>
      <w:r>
        <w:rPr>
          <w:rFonts w:ascii="华文仿宋" w:hAnsi="华文仿宋" w:cs="宋体"/>
          <w:kern w:val="0"/>
          <w:szCs w:val="28"/>
        </w:rPr>
        <w:t xml:space="preserve"> IP 20 </w:t>
      </w:r>
      <w:r>
        <w:rPr>
          <w:rFonts w:hint="eastAsia" w:ascii="华文仿宋" w:hAnsi="华文仿宋" w:cs="宋体"/>
          <w:kern w:val="0"/>
          <w:szCs w:val="28"/>
        </w:rPr>
        <w:t>带开启门（带电部件屏蔽）。</w:t>
      </w:r>
    </w:p>
    <w:p>
      <w:pPr>
        <w:ind w:firstLine="560"/>
        <w:rPr>
          <w:rFonts w:ascii="华文仿宋" w:hAnsi="华文仿宋" w:cs="宋体"/>
          <w:kern w:val="0"/>
          <w:szCs w:val="28"/>
        </w:rPr>
      </w:pPr>
      <w:r>
        <w:rPr>
          <w:rFonts w:ascii="华文仿宋" w:hAnsi="华文仿宋" w:cs="宋体"/>
          <w:kern w:val="0"/>
          <w:szCs w:val="28"/>
        </w:rPr>
        <w:t>4.2.2</w:t>
      </w:r>
      <w:r>
        <w:rPr>
          <w:rFonts w:hint="eastAsia" w:ascii="华文仿宋" w:hAnsi="华文仿宋" w:cs="宋体"/>
          <w:kern w:val="0"/>
          <w:szCs w:val="28"/>
        </w:rPr>
        <w:t>冷却方式应</w:t>
      </w:r>
      <w:r>
        <w:rPr>
          <w:rFonts w:hint="eastAsia" w:ascii="华文仿宋" w:hAnsi="华文仿宋"/>
          <w:szCs w:val="28"/>
        </w:rPr>
        <w:t>符合</w:t>
      </w:r>
      <w:r>
        <w:rPr>
          <w:rFonts w:ascii="华文仿宋" w:hAnsi="华文仿宋" w:cs="宋体"/>
          <w:kern w:val="0"/>
          <w:szCs w:val="28"/>
        </w:rPr>
        <w:t xml:space="preserve"> IEC 60146-1-1 </w:t>
      </w:r>
      <w:r>
        <w:rPr>
          <w:rFonts w:hint="eastAsia" w:ascii="华文仿宋" w:hAnsi="华文仿宋" w:cs="宋体"/>
          <w:kern w:val="0"/>
          <w:szCs w:val="28"/>
        </w:rPr>
        <w:t>的要求。冷却空气孔应仅位于盘的前部或顶部。最好为自然通风，当需要强制通风时，强制通风应包括必需的空气过滤器、风扇和风道。</w:t>
      </w:r>
    </w:p>
    <w:p>
      <w:pPr>
        <w:ind w:firstLine="560"/>
        <w:rPr>
          <w:rFonts w:ascii="华文仿宋" w:hAnsi="华文仿宋" w:cs="宋体"/>
          <w:kern w:val="0"/>
          <w:szCs w:val="28"/>
        </w:rPr>
      </w:pPr>
      <w:r>
        <w:rPr>
          <w:rFonts w:ascii="华文仿宋" w:hAnsi="华文仿宋" w:cs="宋体"/>
          <w:kern w:val="0"/>
          <w:szCs w:val="28"/>
        </w:rPr>
        <w:t>4.2.3</w:t>
      </w:r>
      <w:r>
        <w:rPr>
          <w:rFonts w:hint="eastAsia" w:ascii="华文仿宋" w:hAnsi="华文仿宋" w:cs="宋体"/>
          <w:kern w:val="0"/>
          <w:szCs w:val="28"/>
        </w:rPr>
        <w:t>柜体应有足够的机械强度以用于墙上或地面上安装，并应有足够的提升设施。</w:t>
      </w:r>
    </w:p>
    <w:p>
      <w:pPr>
        <w:autoSpaceDE w:val="0"/>
        <w:autoSpaceDN w:val="0"/>
        <w:adjustRightInd w:val="0"/>
        <w:spacing w:before="120" w:beforeLines="50" w:after="120" w:afterLines="50" w:line="288" w:lineRule="auto"/>
        <w:ind w:firstLine="561"/>
        <w:contextualSpacing/>
        <w:rPr>
          <w:rFonts w:ascii="华文仿宋" w:hAnsi="华文仿宋"/>
          <w:b/>
          <w:kern w:val="0"/>
          <w:szCs w:val="28"/>
        </w:rPr>
      </w:pPr>
      <w:r>
        <w:rPr>
          <w:rFonts w:ascii="华文仿宋" w:hAnsi="华文仿宋"/>
          <w:b/>
          <w:kern w:val="0"/>
          <w:szCs w:val="28"/>
        </w:rPr>
        <w:t xml:space="preserve">4.3 </w:t>
      </w:r>
      <w:bookmarkEnd w:id="54"/>
      <w:bookmarkEnd w:id="55"/>
      <w:r>
        <w:rPr>
          <w:rFonts w:hint="eastAsia" w:ascii="华文仿宋" w:hAnsi="华文仿宋"/>
          <w:b/>
          <w:kern w:val="0"/>
          <w:szCs w:val="28"/>
        </w:rPr>
        <w:t>主要技术参数</w:t>
      </w:r>
    </w:p>
    <w:p>
      <w:pPr>
        <w:numPr>
          <w:ilvl w:val="0"/>
          <w:numId w:val="26"/>
        </w:numPr>
        <w:ind w:firstLine="560"/>
        <w:rPr>
          <w:rFonts w:ascii="华文仿宋" w:hAnsi="华文仿宋"/>
          <w:szCs w:val="28"/>
        </w:rPr>
      </w:pPr>
      <w:r>
        <w:rPr>
          <w:rFonts w:hint="eastAsia" w:ascii="华文仿宋" w:hAnsi="华文仿宋" w:cs="宋体"/>
          <w:kern w:val="0"/>
          <w:szCs w:val="28"/>
        </w:rPr>
        <w:t>交流输</w:t>
      </w:r>
      <w:r>
        <w:rPr>
          <w:rFonts w:hint="eastAsia" w:ascii="华文仿宋" w:hAnsi="华文仿宋"/>
          <w:szCs w:val="28"/>
        </w:rPr>
        <w:t>入电压：三相</w:t>
      </w:r>
      <w:r>
        <w:rPr>
          <w:rFonts w:ascii="华文仿宋" w:hAnsi="华文仿宋"/>
          <w:szCs w:val="28"/>
        </w:rPr>
        <w:t>380V±15%</w:t>
      </w:r>
    </w:p>
    <w:p>
      <w:pPr>
        <w:numPr>
          <w:ilvl w:val="0"/>
          <w:numId w:val="26"/>
        </w:numPr>
        <w:ind w:firstLine="560"/>
        <w:rPr>
          <w:rFonts w:ascii="华文仿宋" w:hAnsi="华文仿宋"/>
          <w:szCs w:val="28"/>
        </w:rPr>
      </w:pPr>
      <w:r>
        <w:rPr>
          <w:rFonts w:hint="eastAsia" w:ascii="华文仿宋" w:hAnsi="华文仿宋"/>
          <w:szCs w:val="28"/>
        </w:rPr>
        <w:t>额定频率：</w:t>
      </w:r>
      <w:r>
        <w:rPr>
          <w:rFonts w:ascii="华文仿宋" w:hAnsi="华文仿宋"/>
          <w:szCs w:val="28"/>
        </w:rPr>
        <w:t xml:space="preserve">50Hz， </w:t>
      </w:r>
      <w:r>
        <w:rPr>
          <w:rFonts w:hint="eastAsia" w:ascii="华文仿宋" w:hAnsi="华文仿宋"/>
          <w:szCs w:val="28"/>
        </w:rPr>
        <w:t>频率变动范围：</w:t>
      </w:r>
      <w:r>
        <w:rPr>
          <w:rFonts w:ascii="华文仿宋" w:hAnsi="华文仿宋"/>
          <w:szCs w:val="28"/>
        </w:rPr>
        <w:t>49～51Hz</w:t>
      </w:r>
    </w:p>
    <w:p>
      <w:pPr>
        <w:numPr>
          <w:ilvl w:val="0"/>
          <w:numId w:val="26"/>
        </w:numPr>
        <w:ind w:firstLine="560"/>
        <w:rPr>
          <w:rFonts w:ascii="华文仿宋" w:hAnsi="华文仿宋"/>
          <w:szCs w:val="28"/>
        </w:rPr>
      </w:pPr>
      <w:r>
        <w:rPr>
          <w:rFonts w:hint="eastAsia" w:ascii="华文仿宋" w:hAnsi="华文仿宋"/>
          <w:szCs w:val="28"/>
        </w:rPr>
        <w:t>系统接地方式：</w:t>
      </w:r>
      <w:r>
        <w:rPr>
          <w:rFonts w:ascii="华文仿宋" w:hAnsi="华文仿宋"/>
          <w:szCs w:val="28"/>
        </w:rPr>
        <w:t>TN-S</w:t>
      </w:r>
    </w:p>
    <w:p>
      <w:pPr>
        <w:numPr>
          <w:ilvl w:val="0"/>
          <w:numId w:val="26"/>
        </w:numPr>
        <w:ind w:firstLine="560"/>
        <w:rPr>
          <w:rFonts w:ascii="华文仿宋" w:hAnsi="华文仿宋"/>
          <w:szCs w:val="28"/>
        </w:rPr>
      </w:pPr>
      <w:r>
        <w:rPr>
          <w:rFonts w:hint="eastAsia" w:ascii="华文仿宋" w:hAnsi="华文仿宋"/>
          <w:szCs w:val="28"/>
        </w:rPr>
        <w:t>电池容量及直流额定输出：详见图纸</w:t>
      </w:r>
    </w:p>
    <w:p>
      <w:pPr>
        <w:numPr>
          <w:ilvl w:val="0"/>
          <w:numId w:val="26"/>
        </w:numPr>
        <w:ind w:firstLine="560"/>
        <w:rPr>
          <w:rFonts w:ascii="华文仿宋" w:hAnsi="华文仿宋"/>
          <w:szCs w:val="28"/>
        </w:rPr>
      </w:pPr>
      <w:r>
        <w:rPr>
          <w:rFonts w:hint="eastAsia" w:ascii="华文仿宋" w:hAnsi="华文仿宋"/>
          <w:szCs w:val="28"/>
        </w:rPr>
        <w:t>电压纹波系数</w:t>
      </w:r>
      <w:r>
        <w:rPr>
          <w:rFonts w:ascii="华文仿宋" w:hAnsi="华文仿宋"/>
          <w:szCs w:val="28"/>
        </w:rPr>
        <w:t>:＜0.2%</w:t>
      </w:r>
    </w:p>
    <w:p>
      <w:pPr>
        <w:numPr>
          <w:ilvl w:val="0"/>
          <w:numId w:val="26"/>
        </w:numPr>
        <w:ind w:firstLine="560"/>
        <w:rPr>
          <w:rFonts w:ascii="华文仿宋" w:hAnsi="华文仿宋"/>
          <w:szCs w:val="28"/>
        </w:rPr>
      </w:pPr>
      <w:r>
        <w:rPr>
          <w:rFonts w:hint="eastAsia" w:ascii="华文仿宋" w:hAnsi="华文仿宋"/>
          <w:szCs w:val="28"/>
        </w:rPr>
        <w:t>稳压、稳流精度</w:t>
      </w:r>
      <w:r>
        <w:rPr>
          <w:rFonts w:ascii="华文仿宋" w:hAnsi="华文仿宋"/>
          <w:szCs w:val="28"/>
        </w:rPr>
        <w:t>:≤±0.5%</w:t>
      </w:r>
    </w:p>
    <w:p>
      <w:pPr>
        <w:numPr>
          <w:ilvl w:val="0"/>
          <w:numId w:val="26"/>
        </w:numPr>
        <w:ind w:firstLine="560"/>
        <w:rPr>
          <w:rFonts w:ascii="华文仿宋" w:hAnsi="华文仿宋"/>
          <w:szCs w:val="28"/>
        </w:rPr>
      </w:pPr>
      <w:r>
        <w:rPr>
          <w:rFonts w:hint="eastAsia" w:ascii="华文仿宋" w:hAnsi="华文仿宋"/>
          <w:szCs w:val="28"/>
        </w:rPr>
        <w:t>噪声≤</w:t>
      </w:r>
      <w:r>
        <w:rPr>
          <w:rFonts w:ascii="华文仿宋" w:hAnsi="华文仿宋"/>
          <w:szCs w:val="28"/>
        </w:rPr>
        <w:t>60 dB</w:t>
      </w:r>
    </w:p>
    <w:p>
      <w:pPr>
        <w:numPr>
          <w:ilvl w:val="0"/>
          <w:numId w:val="26"/>
        </w:numPr>
        <w:ind w:firstLine="560"/>
        <w:rPr>
          <w:rFonts w:ascii="华文仿宋" w:hAnsi="华文仿宋"/>
          <w:szCs w:val="28"/>
        </w:rPr>
      </w:pPr>
      <w:r>
        <w:rPr>
          <w:rFonts w:hint="eastAsia" w:ascii="华文仿宋" w:hAnsi="华文仿宋"/>
          <w:szCs w:val="28"/>
        </w:rPr>
        <w:t>综合效率≥</w:t>
      </w:r>
      <w:r>
        <w:rPr>
          <w:rFonts w:ascii="华文仿宋" w:hAnsi="华文仿宋"/>
          <w:szCs w:val="28"/>
        </w:rPr>
        <w:t>90%</w:t>
      </w:r>
    </w:p>
    <w:p>
      <w:pPr>
        <w:numPr>
          <w:ilvl w:val="0"/>
          <w:numId w:val="26"/>
        </w:numPr>
        <w:ind w:firstLine="560"/>
        <w:rPr>
          <w:rFonts w:ascii="华文仿宋" w:hAnsi="华文仿宋"/>
          <w:szCs w:val="28"/>
        </w:rPr>
      </w:pPr>
      <w:r>
        <w:rPr>
          <w:rFonts w:hint="eastAsia" w:ascii="华文仿宋" w:hAnsi="华文仿宋"/>
          <w:szCs w:val="28"/>
        </w:rPr>
        <w:t>绝缘电阻：在正常试验大气压下，绝缘电阻大于</w:t>
      </w:r>
      <w:r>
        <w:rPr>
          <w:rFonts w:ascii="华文仿宋" w:hAnsi="华文仿宋"/>
          <w:szCs w:val="28"/>
        </w:rPr>
        <w:t>5</w:t>
      </w:r>
      <w:r>
        <w:rPr>
          <w:rFonts w:ascii="华文仿宋" w:hAnsi="华文仿宋"/>
          <w:szCs w:val="28"/>
        </w:rPr>
        <w:sym w:font="Symbol" w:char="F04D"/>
      </w:r>
      <w:r>
        <w:rPr>
          <w:rFonts w:ascii="华文仿宋" w:hAnsi="华文仿宋"/>
          <w:szCs w:val="28"/>
        </w:rPr>
        <w:sym w:font="Symbol" w:char="F057"/>
      </w:r>
      <w:r>
        <w:rPr>
          <w:rFonts w:hint="eastAsia" w:ascii="华文仿宋" w:hAnsi="华文仿宋"/>
          <w:szCs w:val="28"/>
        </w:rPr>
        <w:t>（用</w:t>
      </w:r>
      <w:r>
        <w:rPr>
          <w:rFonts w:ascii="华文仿宋" w:hAnsi="华文仿宋"/>
          <w:szCs w:val="28"/>
        </w:rPr>
        <w:t>500V兆欧表）。</w:t>
      </w:r>
    </w:p>
    <w:p>
      <w:pPr>
        <w:numPr>
          <w:ilvl w:val="0"/>
          <w:numId w:val="26"/>
        </w:numPr>
        <w:ind w:firstLine="560"/>
        <w:rPr>
          <w:rFonts w:ascii="华文仿宋" w:hAnsi="华文仿宋"/>
          <w:szCs w:val="28"/>
        </w:rPr>
      </w:pPr>
      <w:r>
        <w:rPr>
          <w:rFonts w:hint="eastAsia" w:ascii="华文仿宋" w:hAnsi="华文仿宋"/>
          <w:szCs w:val="28"/>
        </w:rPr>
        <w:t>耐压水平：应能承受</w:t>
      </w:r>
      <w:r>
        <w:rPr>
          <w:rFonts w:ascii="华文仿宋" w:hAnsi="华文仿宋"/>
          <w:szCs w:val="28"/>
        </w:rPr>
        <w:t>2kV、50Hz，一分钟的工频电压</w:t>
      </w:r>
    </w:p>
    <w:p>
      <w:pPr>
        <w:numPr>
          <w:ilvl w:val="0"/>
          <w:numId w:val="26"/>
        </w:numPr>
        <w:ind w:firstLine="560"/>
        <w:rPr>
          <w:rFonts w:ascii="华文仿宋" w:hAnsi="华文仿宋"/>
          <w:szCs w:val="28"/>
        </w:rPr>
      </w:pPr>
      <w:r>
        <w:rPr>
          <w:rFonts w:hint="eastAsia" w:ascii="华文仿宋" w:hAnsi="华文仿宋"/>
          <w:szCs w:val="28"/>
        </w:rPr>
        <w:t>温升：符合</w:t>
      </w:r>
      <w:r>
        <w:rPr>
          <w:rFonts w:ascii="华文仿宋" w:hAnsi="华文仿宋"/>
          <w:szCs w:val="28"/>
        </w:rPr>
        <w:t>IEC947-1有关温升的规定。</w:t>
      </w:r>
    </w:p>
    <w:p>
      <w:pPr>
        <w:autoSpaceDE w:val="0"/>
        <w:autoSpaceDN w:val="0"/>
        <w:adjustRightInd w:val="0"/>
        <w:spacing w:before="120" w:beforeLines="50" w:after="120" w:afterLines="50" w:line="288" w:lineRule="auto"/>
        <w:ind w:firstLine="561"/>
        <w:contextualSpacing/>
        <w:rPr>
          <w:rFonts w:ascii="华文仿宋" w:hAnsi="华文仿宋" w:cs="宋体"/>
          <w:bCs/>
          <w:kern w:val="0"/>
          <w:position w:val="-3"/>
          <w:szCs w:val="28"/>
        </w:rPr>
      </w:pPr>
      <w:bookmarkStart w:id="56" w:name="_Toc328469314"/>
      <w:bookmarkStart w:id="57" w:name="_Toc398487528"/>
      <w:r>
        <w:rPr>
          <w:rFonts w:ascii="华文仿宋" w:hAnsi="华文仿宋"/>
          <w:b/>
          <w:kern w:val="0"/>
          <w:szCs w:val="28"/>
        </w:rPr>
        <w:t xml:space="preserve">4.4 </w:t>
      </w:r>
      <w:bookmarkEnd w:id="56"/>
      <w:bookmarkEnd w:id="57"/>
      <w:r>
        <w:rPr>
          <w:rFonts w:hint="eastAsia" w:ascii="华文仿宋" w:hAnsi="华文仿宋"/>
          <w:b/>
          <w:kern w:val="0"/>
          <w:szCs w:val="28"/>
        </w:rPr>
        <w:t>性能要求</w:t>
      </w:r>
    </w:p>
    <w:p>
      <w:pPr>
        <w:ind w:firstLine="560"/>
        <w:rPr>
          <w:rFonts w:ascii="华文仿宋" w:hAnsi="华文仿宋" w:cs="宋体"/>
          <w:kern w:val="0"/>
          <w:szCs w:val="28"/>
        </w:rPr>
      </w:pPr>
      <w:r>
        <w:rPr>
          <w:rFonts w:ascii="华文仿宋" w:hAnsi="华文仿宋"/>
          <w:szCs w:val="28"/>
        </w:rPr>
        <w:t>4.4.1 直流电源屏选用</w:t>
      </w:r>
      <w:r>
        <w:rPr>
          <w:rFonts w:hint="eastAsia" w:ascii="华文仿宋" w:hAnsi="华文仿宋" w:cs="宋体"/>
          <w:kern w:val="0"/>
          <w:szCs w:val="28"/>
        </w:rPr>
        <w:t>微机监控型，置于户内。直流系统由交流配电单元，智能高频开关充电模块，蓄电池组，直流母线自动</w:t>
      </w:r>
      <w:r>
        <w:rPr>
          <w:rFonts w:ascii="华文仿宋" w:hAnsi="华文仿宋" w:cs="宋体"/>
          <w:kern w:val="0"/>
          <w:szCs w:val="28"/>
        </w:rPr>
        <w:t>(手动)调压装置，馈电单元，电池巡检装置、绝缘故障监测装置、智能监控单元等组</w:t>
      </w:r>
      <w:r>
        <w:rPr>
          <w:rFonts w:hint="eastAsia" w:ascii="华文仿宋" w:hAnsi="华文仿宋" w:cs="宋体"/>
          <w:kern w:val="0"/>
          <w:szCs w:val="28"/>
        </w:rPr>
        <w:t>成，所有设备分别安装在直流盘内。</w:t>
      </w:r>
    </w:p>
    <w:p>
      <w:pPr>
        <w:ind w:firstLine="560"/>
        <w:rPr>
          <w:rFonts w:ascii="华文仿宋" w:hAnsi="华文仿宋"/>
          <w:szCs w:val="28"/>
        </w:rPr>
      </w:pPr>
      <w:r>
        <w:rPr>
          <w:rFonts w:ascii="华文仿宋" w:hAnsi="华文仿宋" w:cs="宋体"/>
          <w:kern w:val="0"/>
          <w:szCs w:val="28"/>
        </w:rPr>
        <w:t>4.4.2</w:t>
      </w:r>
      <w:r>
        <w:rPr>
          <w:rFonts w:hint="eastAsia" w:ascii="华文仿宋" w:hAnsi="华文仿宋" w:cs="宋体"/>
          <w:kern w:val="0"/>
          <w:szCs w:val="28"/>
        </w:rPr>
        <w:t>正常供电时，充电单元对蓄电池组进行充电或浮充电，同时为全所的经常性直流负荷提</w:t>
      </w:r>
      <w:r>
        <w:rPr>
          <w:rFonts w:hint="eastAsia" w:ascii="华文仿宋" w:hAnsi="华文仿宋"/>
          <w:szCs w:val="28"/>
        </w:rPr>
        <w:t>供电源，由蓄电池向冲击负荷供电。交流失电后，由蓄电池向所内全部直流负荷包括经常性负荷供电。</w:t>
      </w:r>
    </w:p>
    <w:p>
      <w:pPr>
        <w:autoSpaceDE w:val="0"/>
        <w:autoSpaceDN w:val="0"/>
        <w:adjustRightInd w:val="0"/>
        <w:spacing w:before="120" w:beforeLines="50" w:after="120" w:afterLines="50" w:line="288" w:lineRule="auto"/>
        <w:ind w:firstLine="561"/>
        <w:contextualSpacing/>
        <w:rPr>
          <w:rFonts w:ascii="华文仿宋" w:hAnsi="华文仿宋"/>
          <w:b/>
          <w:kern w:val="0"/>
          <w:szCs w:val="28"/>
        </w:rPr>
      </w:pPr>
      <w:bookmarkStart w:id="58" w:name="_Toc398487529"/>
      <w:bookmarkStart w:id="59" w:name="_Toc328469315"/>
      <w:r>
        <w:rPr>
          <w:rFonts w:ascii="华文仿宋" w:hAnsi="华文仿宋"/>
          <w:b/>
          <w:kern w:val="0"/>
          <w:szCs w:val="28"/>
        </w:rPr>
        <w:t xml:space="preserve">4.5 </w:t>
      </w:r>
      <w:bookmarkEnd w:id="58"/>
      <w:bookmarkEnd w:id="59"/>
      <w:r>
        <w:rPr>
          <w:rFonts w:hint="eastAsia" w:ascii="华文仿宋" w:hAnsi="华文仿宋"/>
          <w:b/>
          <w:kern w:val="0"/>
          <w:szCs w:val="28"/>
        </w:rPr>
        <w:t>设备结构</w:t>
      </w:r>
    </w:p>
    <w:p>
      <w:pPr>
        <w:ind w:firstLine="560"/>
      </w:pPr>
      <w:r>
        <w:t>4.5.1</w:t>
      </w:r>
      <w:r>
        <w:rPr>
          <w:rFonts w:hint="eastAsia"/>
        </w:rPr>
        <w:t>盘的种类：直流输出回路详图纸。</w:t>
      </w:r>
    </w:p>
    <w:p>
      <w:pPr>
        <w:ind w:firstLine="560"/>
      </w:pPr>
      <w:r>
        <w:t>4.5.2</w:t>
      </w:r>
      <w:r>
        <w:rPr>
          <w:rFonts w:hint="eastAsia"/>
        </w:rPr>
        <w:t>直流盘体</w:t>
      </w:r>
    </w:p>
    <w:p>
      <w:pPr>
        <w:pStyle w:val="383"/>
        <w:spacing w:before="120" w:line="288" w:lineRule="auto"/>
        <w:ind w:firstLine="560"/>
        <w:rPr>
          <w:rFonts w:ascii="华文仿宋" w:hAnsi="华文仿宋" w:eastAsia="华文仿宋"/>
          <w:sz w:val="28"/>
          <w:szCs w:val="28"/>
        </w:rPr>
      </w:pPr>
      <w:r>
        <w:rPr>
          <w:rFonts w:hint="eastAsia" w:ascii="华文仿宋" w:hAnsi="华文仿宋" w:eastAsia="华文仿宋"/>
          <w:sz w:val="28"/>
          <w:szCs w:val="28"/>
        </w:rPr>
        <w:t>直流系统配电盘由直流控制盘、蓄电池盘组成，为带玻璃门的</w:t>
      </w:r>
      <w:r>
        <w:rPr>
          <w:rFonts w:ascii="华文仿宋" w:hAnsi="华文仿宋" w:eastAsia="华文仿宋"/>
          <w:sz w:val="28"/>
          <w:szCs w:val="28"/>
        </w:rPr>
        <w:t>GK型屏体，配套基座供货。</w:t>
      </w:r>
    </w:p>
    <w:p>
      <w:pPr>
        <w:ind w:firstLine="560"/>
      </w:pPr>
      <w:r>
        <w:t>1.</w:t>
      </w:r>
      <w:r>
        <w:rPr>
          <w:rFonts w:hint="eastAsia"/>
        </w:rPr>
        <w:t>直流盘应由钢板及骨架组成，采用钢性好，有一定耐热能力的钢材，表面应进行严格的处理并采取防腐蚀措施。钢板厚度不小于</w:t>
      </w:r>
      <w:r>
        <w:t>2.5mm</w:t>
      </w:r>
      <w:r>
        <w:rPr>
          <w:rFonts w:hint="eastAsia"/>
        </w:rPr>
        <w:t>。盘内辅助钢板厚度不应小于</w:t>
      </w:r>
      <w:r>
        <w:t>1.5mm</w:t>
      </w:r>
      <w:r>
        <w:rPr>
          <w:rFonts w:hint="eastAsia"/>
        </w:rPr>
        <w:t>。制成的面板及屏架应有足够的机械强度，以保证元件安装及操作时无摇晃，盘面板及盘架无变形。盘的防护等级为</w:t>
      </w:r>
      <w:r>
        <w:t>IP4X</w:t>
      </w:r>
      <w:r>
        <w:rPr>
          <w:rFonts w:hint="eastAsia"/>
        </w:rPr>
        <w:t>，盘的颜色：合同阶段确定。</w:t>
      </w:r>
    </w:p>
    <w:p>
      <w:pPr>
        <w:ind w:firstLine="560"/>
        <w:rPr>
          <w:rFonts w:ascii="华文仿宋" w:hAnsi="华文仿宋"/>
          <w:szCs w:val="28"/>
        </w:rPr>
      </w:pPr>
      <w:r>
        <w:rPr>
          <w:rFonts w:ascii="华文仿宋" w:hAnsi="华文仿宋"/>
          <w:szCs w:val="28"/>
        </w:rPr>
        <w:t>2.盘内配线截面应满足各回路载流量的要求。可动部分应过渡柔软，并能承受挠曲而不致疲劳损伤，盘内编号应统一、清晰。</w:t>
      </w:r>
    </w:p>
    <w:p>
      <w:pPr>
        <w:ind w:firstLine="560"/>
        <w:rPr>
          <w:rFonts w:ascii="华文仿宋" w:hAnsi="华文仿宋"/>
          <w:szCs w:val="28"/>
        </w:rPr>
      </w:pPr>
      <w:r>
        <w:rPr>
          <w:rFonts w:ascii="华文仿宋" w:hAnsi="华文仿宋"/>
          <w:szCs w:val="28"/>
        </w:rPr>
        <w:t>3.直流设备的电气间隙、爬电距离、间隔距离、外接导线端子的选择、接线、安装等要求，均满足GB7251有关规定。</w:t>
      </w:r>
    </w:p>
    <w:p>
      <w:pPr>
        <w:ind w:firstLine="560"/>
      </w:pPr>
      <w:r>
        <w:t>4.</w:t>
      </w:r>
      <w:r>
        <w:rPr>
          <w:rFonts w:hint="eastAsia"/>
        </w:rPr>
        <w:t>盘上端子排的设计应考虑运行、检修、调试、的方便，采用高质量、名牌阻燃端子。端子连接方式应可靠牢固。引进引出盘外的导线必须经过端子排；大电流端子、一般端子、弱电端子之间应有所间隔。适当考虑与设备位置对应，端子排导电部分为铜质。端子的选用应满足回路载流量及所接电缆截面的需要。盘内应预留适当数量的端子及端子安装位置。</w:t>
      </w:r>
    </w:p>
    <w:p>
      <w:pPr>
        <w:ind w:firstLine="560"/>
        <w:rPr>
          <w:rFonts w:ascii="华文仿宋" w:hAnsi="华文仿宋"/>
          <w:szCs w:val="28"/>
        </w:rPr>
      </w:pPr>
      <w:r>
        <w:rPr>
          <w:rFonts w:ascii="华文仿宋" w:hAnsi="华文仿宋"/>
          <w:szCs w:val="28"/>
        </w:rPr>
        <w:t>5.盘上装设接地螺栓，盘的活动金属构件及金属门，与盘体之间应用铜线牢固连接。</w:t>
      </w:r>
    </w:p>
    <w:p>
      <w:pPr>
        <w:ind w:firstLine="560"/>
        <w:rPr>
          <w:rFonts w:ascii="华文仿宋" w:hAnsi="华文仿宋"/>
          <w:szCs w:val="28"/>
        </w:rPr>
      </w:pPr>
      <w:r>
        <w:rPr>
          <w:rFonts w:ascii="华文仿宋" w:hAnsi="华文仿宋"/>
          <w:szCs w:val="28"/>
        </w:rPr>
        <w:t>6.盘内元器件安装及走线要求整齐可靠、布置合理，电气间绝缘应符合国家有关标准。测量表计的安装应便于读数。盘体结构要求通风良好，柜体正面采用钢化玻璃门，后面为双开门，柜体应有通风散热孔。安装元件的面板应采用门板式结构，可方便开启，便于维护。</w:t>
      </w:r>
    </w:p>
    <w:p>
      <w:pPr>
        <w:ind w:firstLine="560"/>
        <w:rPr>
          <w:rFonts w:ascii="华文仿宋" w:hAnsi="华文仿宋"/>
          <w:szCs w:val="28"/>
        </w:rPr>
      </w:pPr>
      <w:r>
        <w:rPr>
          <w:rFonts w:ascii="华文仿宋" w:hAnsi="华文仿宋"/>
          <w:szCs w:val="28"/>
        </w:rPr>
        <w:t>7.元器件的要求：</w:t>
      </w:r>
    </w:p>
    <w:p>
      <w:pPr>
        <w:ind w:firstLine="560"/>
        <w:rPr>
          <w:rFonts w:ascii="华文仿宋" w:hAnsi="华文仿宋"/>
          <w:szCs w:val="28"/>
        </w:rPr>
      </w:pPr>
      <w:r>
        <w:rPr>
          <w:rFonts w:hint="eastAsia" w:ascii="华文仿宋" w:hAnsi="华文仿宋"/>
          <w:szCs w:val="28"/>
        </w:rPr>
        <w:t>柜内安装的元器件均应采用进口或合资工厂的元件。</w:t>
      </w:r>
    </w:p>
    <w:p>
      <w:pPr>
        <w:ind w:firstLine="560"/>
        <w:rPr>
          <w:rFonts w:ascii="华文仿宋" w:hAnsi="华文仿宋"/>
          <w:szCs w:val="28"/>
        </w:rPr>
      </w:pPr>
      <w:r>
        <w:rPr>
          <w:rFonts w:hint="eastAsia" w:ascii="华文仿宋" w:hAnsi="华文仿宋"/>
          <w:szCs w:val="28"/>
        </w:rPr>
        <w:t>导线、导线颜色、指示灯、按钮、行线槽、涂漆，均应符合国家或行业现行有关标准的规定。其中导线应选用铜线，按室温</w:t>
      </w:r>
      <w:r>
        <w:rPr>
          <w:rFonts w:ascii="华文仿宋" w:hAnsi="华文仿宋"/>
          <w:szCs w:val="28"/>
        </w:rPr>
        <w:t>40</w:t>
      </w:r>
      <w:r>
        <w:rPr>
          <w:rFonts w:ascii="华文仿宋" w:hAnsi="华文仿宋"/>
          <w:szCs w:val="28"/>
        </w:rPr>
        <w:sym w:font="Symbol" w:char="F0B0"/>
      </w:r>
      <w:r>
        <w:rPr>
          <w:rFonts w:ascii="华文仿宋" w:hAnsi="华文仿宋"/>
          <w:szCs w:val="28"/>
        </w:rPr>
        <w:t>C时长期连续负荷工作制选用，导线截面积必须满足回路容量的要求。</w:t>
      </w:r>
    </w:p>
    <w:p>
      <w:pPr>
        <w:ind w:firstLine="560"/>
        <w:rPr>
          <w:rFonts w:ascii="华文仿宋" w:hAnsi="华文仿宋"/>
          <w:szCs w:val="28"/>
        </w:rPr>
      </w:pPr>
      <w:r>
        <w:rPr>
          <w:rFonts w:hint="eastAsia" w:ascii="华文仿宋" w:hAnsi="华文仿宋"/>
          <w:szCs w:val="28"/>
        </w:rPr>
        <w:t>盘面布置应整齐、简洁、美观、合理。安装高度应考虑运行操作的方便。各受馈电开关的位置信号应与开关对应，以便于维护人员操作、检查。</w:t>
      </w:r>
    </w:p>
    <w:p>
      <w:pPr>
        <w:autoSpaceDE w:val="0"/>
        <w:autoSpaceDN w:val="0"/>
        <w:adjustRightInd w:val="0"/>
        <w:spacing w:line="288" w:lineRule="auto"/>
        <w:ind w:firstLine="561"/>
        <w:contextualSpacing/>
        <w:rPr>
          <w:rFonts w:ascii="华文仿宋" w:hAnsi="华文仿宋"/>
          <w:b/>
          <w:kern w:val="0"/>
          <w:szCs w:val="28"/>
        </w:rPr>
      </w:pPr>
      <w:bookmarkStart w:id="60" w:name="_Toc328469323"/>
      <w:bookmarkStart w:id="61" w:name="_Toc398487537"/>
      <w:r>
        <w:rPr>
          <w:rFonts w:ascii="华文仿宋" w:hAnsi="华文仿宋"/>
          <w:b/>
          <w:kern w:val="0"/>
          <w:szCs w:val="28"/>
        </w:rPr>
        <w:t xml:space="preserve">4.6 </w:t>
      </w:r>
      <w:r>
        <w:rPr>
          <w:rFonts w:hint="eastAsia" w:ascii="华文仿宋" w:hAnsi="华文仿宋"/>
          <w:b/>
          <w:kern w:val="0"/>
          <w:szCs w:val="28"/>
        </w:rPr>
        <w:t>控制、保护和自检系统</w:t>
      </w:r>
      <w:bookmarkEnd w:id="60"/>
      <w:bookmarkEnd w:id="61"/>
    </w:p>
    <w:p>
      <w:pPr>
        <w:ind w:firstLine="560"/>
      </w:pPr>
      <w:r>
        <w:t>4.6.1</w:t>
      </w:r>
      <w:r>
        <w:rPr>
          <w:rFonts w:hint="eastAsia"/>
        </w:rPr>
        <w:t>当对任何主要元件进行维护时，控制电源不应断电。</w:t>
      </w:r>
    </w:p>
    <w:p>
      <w:pPr>
        <w:ind w:firstLine="560"/>
      </w:pPr>
      <w:r>
        <w:t>4.6.2</w:t>
      </w:r>
      <w:r>
        <w:rPr>
          <w:rFonts w:hint="eastAsia"/>
        </w:rPr>
        <w:t>整流器能就地控制并有状态显示和整定值的读出单元。其最低要求应满足数据表或单线图中规定的功能要求。</w:t>
      </w:r>
    </w:p>
    <w:p>
      <w:pPr>
        <w:ind w:firstLine="560"/>
      </w:pPr>
      <w:r>
        <w:t>4.6.3</w:t>
      </w:r>
      <w:r>
        <w:rPr>
          <w:rFonts w:hint="eastAsia"/>
        </w:rPr>
        <w:t>信号和控制装置应平装在柜门上。信号灯和按钮的色标应符合</w:t>
      </w:r>
      <w:r>
        <w:t xml:space="preserve"> IEC 60073</w:t>
      </w:r>
      <w:r>
        <w:rPr>
          <w:rFonts w:hint="eastAsia"/>
        </w:rPr>
        <w:t>的规定。</w:t>
      </w:r>
    </w:p>
    <w:p>
      <w:pPr>
        <w:ind w:firstLine="560"/>
      </w:pPr>
      <w:r>
        <w:t>4.6.4</w:t>
      </w:r>
      <w:r>
        <w:rPr>
          <w:rFonts w:hint="eastAsia"/>
        </w:rPr>
        <w:t>控制回路应有专门的短路保护。过负荷元件应能手动复位。</w:t>
      </w:r>
    </w:p>
    <w:p>
      <w:pPr>
        <w:ind w:firstLine="560"/>
      </w:pPr>
      <w:r>
        <w:t>4.6.5</w:t>
      </w:r>
      <w:r>
        <w:rPr>
          <w:rFonts w:hint="eastAsia"/>
        </w:rPr>
        <w:t>蓄电池和整流器的直流线路应设接地故障检测器。</w:t>
      </w:r>
    </w:p>
    <w:p>
      <w:pPr>
        <w:ind w:firstLine="560"/>
      </w:pPr>
      <w:r>
        <w:t>4.6.6</w:t>
      </w:r>
      <w:r>
        <w:rPr>
          <w:rFonts w:hint="eastAsia"/>
        </w:rPr>
        <w:t>保护半导体元件的熔断器应带熔断指示。</w:t>
      </w:r>
    </w:p>
    <w:p>
      <w:pPr>
        <w:ind w:firstLine="560"/>
      </w:pPr>
      <w:r>
        <w:t>4.6.7</w:t>
      </w:r>
      <w:r>
        <w:rPr>
          <w:rFonts w:hint="eastAsia"/>
        </w:rPr>
        <w:t>直流配电柜的输出回路应有过电流和短路保护，其保护应带有指示保护装置动作的辅助接点。所有接点应串联并接至指示和自检系统。输出回路应采用直流专用断路器。</w:t>
      </w:r>
    </w:p>
    <w:p>
      <w:pPr>
        <w:ind w:firstLine="560"/>
      </w:pPr>
      <w:r>
        <w:t>4.6.8</w:t>
      </w:r>
      <w:r>
        <w:rPr>
          <w:rFonts w:hint="eastAsia"/>
        </w:rPr>
        <w:t>整流器应安全自保。故障自检系统应易于发现故障。</w:t>
      </w:r>
    </w:p>
    <w:p>
      <w:pPr>
        <w:ind w:firstLine="560"/>
      </w:pPr>
      <w:r>
        <w:t>4.6.9</w:t>
      </w:r>
      <w:r>
        <w:rPr>
          <w:rFonts w:hint="eastAsia"/>
        </w:rPr>
        <w:t>自检、保护和报警系统应监视和保护整流器系统，此系统应独立于静态控制功能。</w:t>
      </w:r>
    </w:p>
    <w:p>
      <w:pPr>
        <w:ind w:firstLine="560"/>
      </w:pPr>
      <w:r>
        <w:t>4.6.10</w:t>
      </w:r>
      <w:r>
        <w:rPr>
          <w:rFonts w:hint="eastAsia"/>
        </w:rPr>
        <w:t>柜体正面设一表示整流器系统主要元件和工作状态的模拟显示。内部电缆绝缘颜色应满足如下相</w:t>
      </w:r>
      <w:r>
        <w:t>/</w:t>
      </w:r>
      <w:r>
        <w:rPr>
          <w:rFonts w:hint="eastAsia"/>
        </w:rPr>
        <w:t>极性颜色要求：</w:t>
      </w:r>
      <w:r>
        <w:t xml:space="preserve">A </w:t>
      </w:r>
      <w:r>
        <w:rPr>
          <w:rFonts w:hint="eastAsia"/>
        </w:rPr>
        <w:t>相—黄色、</w:t>
      </w:r>
      <w:r>
        <w:t xml:space="preserve">B </w:t>
      </w:r>
      <w:r>
        <w:rPr>
          <w:rFonts w:hint="eastAsia"/>
        </w:rPr>
        <w:t>相—绿色、</w:t>
      </w:r>
      <w:r>
        <w:t xml:space="preserve">C </w:t>
      </w:r>
      <w:r>
        <w:rPr>
          <w:rFonts w:hint="eastAsia"/>
        </w:rPr>
        <w:t>相—红色、中性线—黑色、</w:t>
      </w:r>
      <w:r>
        <w:t xml:space="preserve">PE </w:t>
      </w:r>
      <w:r>
        <w:rPr>
          <w:rFonts w:hint="eastAsia"/>
        </w:rPr>
        <w:t>线—黄绿相间、正极—赭色、负极—蓝色。</w:t>
      </w:r>
    </w:p>
    <w:p>
      <w:pPr>
        <w:ind w:firstLine="560"/>
      </w:pPr>
      <w:r>
        <w:t>4.6.11</w:t>
      </w:r>
      <w:r>
        <w:rPr>
          <w:rFonts w:hint="eastAsia"/>
        </w:rPr>
        <w:t>应预留数据表中要求的用于遥控信号的接点。若无特殊规定，则输出接点为干接点。</w:t>
      </w:r>
    </w:p>
    <w:p>
      <w:pPr>
        <w:ind w:firstLine="560"/>
      </w:pPr>
      <w:r>
        <w:t>4.6.12</w:t>
      </w:r>
      <w:r>
        <w:rPr>
          <w:rFonts w:hint="eastAsia"/>
        </w:rPr>
        <w:t>应设有防电涌保护装置。</w:t>
      </w:r>
    </w:p>
    <w:p>
      <w:pPr>
        <w:ind w:firstLine="560"/>
      </w:pPr>
      <w:r>
        <w:drawing>
          <wp:anchor distT="0" distB="0" distL="114300" distR="114300" simplePos="0" relativeHeight="251659264" behindDoc="0" locked="0" layoutInCell="1" allowOverlap="1">
            <wp:simplePos x="0" y="0"/>
            <wp:positionH relativeFrom="page">
              <wp:align>center</wp:align>
            </wp:positionH>
            <wp:positionV relativeFrom="paragraph">
              <wp:posOffset>562610</wp:posOffset>
            </wp:positionV>
            <wp:extent cx="1647190" cy="2052320"/>
            <wp:effectExtent l="0" t="0" r="0" b="5080"/>
            <wp:wrapSquare wrapText="bothSides"/>
            <wp:docPr id="15" name="图片 15" descr="C:\Users\86137\AppData\Local\Temp\企业微信截图_173146196430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C:\Users\86137\AppData\Local\Temp\企业微信截图_17314619643056.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1647190" cy="2052320"/>
                    </a:xfrm>
                    <a:prstGeom prst="rect">
                      <a:avLst/>
                    </a:prstGeom>
                    <a:noFill/>
                    <a:ln>
                      <a:noFill/>
                    </a:ln>
                  </pic:spPr>
                </pic:pic>
              </a:graphicData>
            </a:graphic>
          </wp:anchor>
        </w:drawing>
      </w:r>
      <w:r>
        <w:t>4.6.13</w:t>
      </w:r>
      <w:r>
        <w:rPr>
          <w:rFonts w:hint="eastAsia"/>
        </w:rPr>
        <w:t>直流屏应有通信功能，能将所有重要参数传输至电力监控系统。</w:t>
      </w:r>
    </w:p>
    <w:p>
      <w:pPr>
        <w:autoSpaceDE w:val="0"/>
        <w:autoSpaceDN w:val="0"/>
        <w:adjustRightInd w:val="0"/>
        <w:spacing w:line="288" w:lineRule="auto"/>
        <w:ind w:firstLine="560"/>
        <w:rPr>
          <w:rFonts w:ascii="华文仿宋" w:hAnsi="华文仿宋" w:cs="宋体"/>
          <w:kern w:val="0"/>
          <w:szCs w:val="28"/>
        </w:rPr>
      </w:pPr>
    </w:p>
    <w:p>
      <w:pPr>
        <w:tabs>
          <w:tab w:val="left" w:pos="435"/>
        </w:tabs>
        <w:snapToGrid w:val="0"/>
        <w:spacing w:before="5"/>
        <w:ind w:firstLine="560"/>
        <w:rPr>
          <w:rFonts w:ascii="华文仿宋" w:hAnsi="华文仿宋"/>
          <w:szCs w:val="28"/>
        </w:rPr>
      </w:pPr>
      <w:bookmarkStart w:id="62" w:name="_Toc410826688"/>
      <w:bookmarkStart w:id="63" w:name="_Toc420328901"/>
      <w:bookmarkStart w:id="64" w:name="_Toc420335048"/>
      <w:r>
        <w:rPr>
          <w:rFonts w:ascii="华文仿宋" w:hAnsi="华文仿宋"/>
          <w:szCs w:val="28"/>
        </w:rPr>
        <w:br w:type="page"/>
      </w:r>
      <w:bookmarkEnd w:id="29"/>
      <w:bookmarkEnd w:id="62"/>
      <w:bookmarkEnd w:id="63"/>
      <w:bookmarkEnd w:id="64"/>
      <w:bookmarkStart w:id="65" w:name="_Toc17420"/>
    </w:p>
    <w:bookmarkEnd w:id="65"/>
    <w:p>
      <w:pPr>
        <w:pStyle w:val="2"/>
        <w:spacing w:before="240" w:after="240"/>
      </w:pPr>
      <w:bookmarkStart w:id="66" w:name="_Toc27495654"/>
      <w:bookmarkStart w:id="67" w:name="_Toc12260"/>
      <w:r>
        <w:rPr>
          <w:rFonts w:hint="eastAsia"/>
          <w:lang w:val="en-US" w:eastAsia="zh-CN"/>
        </w:rPr>
        <w:t>三</w:t>
      </w:r>
      <w:r>
        <w:t xml:space="preserve"> </w:t>
      </w:r>
      <w:r>
        <w:rPr>
          <w:rFonts w:hint="eastAsia"/>
        </w:rPr>
        <w:t>电力电缆、电线</w:t>
      </w:r>
      <w:bookmarkEnd w:id="66"/>
      <w:bookmarkEnd w:id="67"/>
    </w:p>
    <w:p>
      <w:pPr>
        <w:pStyle w:val="3"/>
        <w:adjustRightInd w:val="0"/>
        <w:snapToGrid w:val="0"/>
        <w:spacing w:before="240" w:line="415" w:lineRule="auto"/>
        <w:ind w:firstLine="561"/>
        <w:rPr>
          <w:rFonts w:ascii="华文仿宋" w:hAnsi="华文仿宋" w:cs="仿宋_GB2312"/>
          <w:szCs w:val="28"/>
        </w:rPr>
      </w:pPr>
      <w:bookmarkStart w:id="68" w:name="_Toc9008440"/>
      <w:bookmarkStart w:id="69" w:name="_Toc9006372"/>
      <w:bookmarkStart w:id="70" w:name="_Toc18237"/>
      <w:r>
        <w:rPr>
          <w:rFonts w:ascii="华文仿宋" w:hAnsi="华文仿宋" w:cs="仿宋_GB2312"/>
          <w:szCs w:val="28"/>
        </w:rPr>
        <w:t xml:space="preserve">1 </w:t>
      </w:r>
      <w:r>
        <w:rPr>
          <w:rFonts w:hint="eastAsia" w:ascii="华文仿宋" w:hAnsi="华文仿宋" w:cs="仿宋_GB2312"/>
          <w:szCs w:val="28"/>
        </w:rPr>
        <w:t>总则</w:t>
      </w:r>
      <w:bookmarkEnd w:id="68"/>
      <w:bookmarkEnd w:id="69"/>
      <w:bookmarkEnd w:id="70"/>
    </w:p>
    <w:p>
      <w:pPr>
        <w:pStyle w:val="338"/>
        <w:spacing w:before="12" w:beforeLines="5" w:line="360" w:lineRule="auto"/>
        <w:ind w:left="64" w:firstLine="560"/>
        <w:rPr>
          <w:rFonts w:ascii="华文仿宋" w:hAnsi="华文仿宋" w:eastAsia="华文仿宋"/>
          <w:color w:val="auto"/>
          <w:sz w:val="28"/>
          <w:szCs w:val="28"/>
        </w:rPr>
      </w:pPr>
      <w:r>
        <w:rPr>
          <w:rFonts w:ascii="华文仿宋" w:hAnsi="华文仿宋" w:eastAsia="华文仿宋"/>
          <w:color w:val="auto"/>
          <w:sz w:val="28"/>
          <w:szCs w:val="28"/>
        </w:rPr>
        <w:t>1 .1 本技术规格书为电力电缆及电线的选材、制造、检查和试验的最基本要求。</w:t>
      </w:r>
    </w:p>
    <w:p>
      <w:pPr>
        <w:pStyle w:val="338"/>
        <w:spacing w:before="12" w:beforeLines="5" w:line="360" w:lineRule="auto"/>
        <w:ind w:left="64" w:firstLine="560"/>
        <w:rPr>
          <w:rFonts w:ascii="华文仿宋" w:hAnsi="华文仿宋" w:eastAsia="华文仿宋"/>
          <w:color w:val="auto"/>
          <w:sz w:val="28"/>
          <w:szCs w:val="28"/>
        </w:rPr>
      </w:pPr>
      <w:r>
        <w:rPr>
          <w:rFonts w:ascii="华文仿宋" w:hAnsi="华文仿宋" w:eastAsia="华文仿宋"/>
          <w:color w:val="auto"/>
          <w:sz w:val="28"/>
          <w:szCs w:val="28"/>
        </w:rPr>
        <w:t>1 .2 选型</w:t>
      </w:r>
    </w:p>
    <w:p>
      <w:pPr>
        <w:pStyle w:val="338"/>
        <w:spacing w:before="12" w:beforeLines="5" w:line="360" w:lineRule="auto"/>
        <w:ind w:left="280" w:leftChars="100" w:firstLine="403" w:firstLineChars="144"/>
        <w:rPr>
          <w:rFonts w:ascii="华文仿宋" w:hAnsi="华文仿宋" w:eastAsia="华文仿宋"/>
          <w:color w:val="auto"/>
          <w:kern w:val="2"/>
          <w:sz w:val="28"/>
          <w:szCs w:val="28"/>
        </w:rPr>
      </w:pPr>
      <w:r>
        <w:rPr>
          <w:rFonts w:ascii="华文仿宋" w:hAnsi="华文仿宋" w:eastAsia="华文仿宋"/>
          <w:color w:val="auto"/>
          <w:kern w:val="2"/>
          <w:sz w:val="28"/>
          <w:szCs w:val="28"/>
        </w:rPr>
        <w:t>1.2.</w:t>
      </w:r>
      <w:r>
        <w:rPr>
          <w:rFonts w:hint="eastAsia" w:ascii="华文仿宋" w:hAnsi="华文仿宋" w:eastAsia="华文仿宋"/>
          <w:color w:val="auto"/>
          <w:kern w:val="2"/>
          <w:sz w:val="28"/>
          <w:szCs w:val="28"/>
          <w:lang w:val="en-US" w:eastAsia="zh-CN"/>
        </w:rPr>
        <w:t>1</w:t>
      </w:r>
      <w:r>
        <w:rPr>
          <w:rFonts w:hint="eastAsia" w:ascii="华文仿宋" w:hAnsi="华文仿宋" w:eastAsia="华文仿宋"/>
          <w:color w:val="auto"/>
          <w:kern w:val="2"/>
          <w:sz w:val="28"/>
          <w:szCs w:val="28"/>
        </w:rPr>
        <w:t>消防干线配电电力电缆</w:t>
      </w:r>
      <w:r>
        <w:rPr>
          <w:rFonts w:ascii="华文仿宋" w:hAnsi="华文仿宋" w:eastAsia="华文仿宋"/>
          <w:color w:val="auto"/>
          <w:kern w:val="2"/>
          <w:sz w:val="28"/>
          <w:szCs w:val="28"/>
        </w:rPr>
        <w:t>:矿物绝缘类铜芯不燃性电缆</w:t>
      </w:r>
      <w:r>
        <w:rPr>
          <w:rFonts w:hint="eastAsia" w:ascii="华文仿宋" w:hAnsi="华文仿宋" w:eastAsia="华文仿宋"/>
          <w:color w:val="auto"/>
          <w:kern w:val="2"/>
          <w:sz w:val="28"/>
          <w:szCs w:val="28"/>
        </w:rPr>
        <w:t>(</w:t>
      </w:r>
      <w:r>
        <w:rPr>
          <w:rFonts w:ascii="华文仿宋" w:hAnsi="华文仿宋" w:eastAsia="华文仿宋"/>
          <w:color w:val="auto"/>
          <w:kern w:val="2"/>
          <w:sz w:val="28"/>
          <w:szCs w:val="28"/>
        </w:rPr>
        <w:t>NW</w:t>
      </w:r>
      <w:r>
        <w:rPr>
          <w:rFonts w:hint="eastAsia" w:ascii="华文仿宋" w:hAnsi="华文仿宋" w:eastAsia="华文仿宋"/>
          <w:color w:val="auto"/>
          <w:kern w:val="2"/>
          <w:sz w:val="28"/>
          <w:szCs w:val="28"/>
        </w:rPr>
        <w:t>型和N</w:t>
      </w:r>
      <w:r>
        <w:rPr>
          <w:rFonts w:ascii="华文仿宋" w:hAnsi="华文仿宋" w:eastAsia="华文仿宋"/>
          <w:color w:val="auto"/>
          <w:kern w:val="2"/>
          <w:sz w:val="28"/>
          <w:szCs w:val="28"/>
        </w:rPr>
        <w:t>S</w:t>
      </w:r>
      <w:r>
        <w:rPr>
          <w:rFonts w:hint="eastAsia" w:ascii="华文仿宋" w:hAnsi="华文仿宋" w:eastAsia="华文仿宋"/>
          <w:color w:val="auto"/>
          <w:kern w:val="2"/>
          <w:sz w:val="28"/>
          <w:szCs w:val="28"/>
        </w:rPr>
        <w:t>型</w:t>
      </w:r>
      <w:r>
        <w:rPr>
          <w:rFonts w:ascii="华文仿宋" w:hAnsi="华文仿宋" w:eastAsia="华文仿宋"/>
          <w:color w:val="auto"/>
          <w:kern w:val="2"/>
          <w:sz w:val="28"/>
          <w:szCs w:val="28"/>
        </w:rPr>
        <w:t>)。</w:t>
      </w:r>
    </w:p>
    <w:p>
      <w:pPr>
        <w:tabs>
          <w:tab w:val="left" w:pos="420"/>
        </w:tabs>
        <w:spacing w:before="12" w:beforeLines="5"/>
        <w:ind w:firstLine="560"/>
        <w:rPr>
          <w:rFonts w:ascii="华文仿宋" w:hAnsi="华文仿宋"/>
          <w:szCs w:val="28"/>
        </w:rPr>
      </w:pPr>
      <w:r>
        <w:rPr>
          <w:rFonts w:ascii="华文仿宋" w:hAnsi="华文仿宋"/>
          <w:szCs w:val="28"/>
        </w:rPr>
        <w:t>1.2.</w:t>
      </w:r>
      <w:r>
        <w:rPr>
          <w:rFonts w:hint="eastAsia" w:ascii="华文仿宋" w:hAnsi="华文仿宋"/>
          <w:szCs w:val="28"/>
          <w:lang w:val="en-US" w:eastAsia="zh-CN"/>
        </w:rPr>
        <w:t>2</w:t>
      </w:r>
      <w:r>
        <w:rPr>
          <w:rFonts w:hint="eastAsia" w:ascii="华文仿宋" w:hAnsi="华文仿宋"/>
          <w:szCs w:val="28"/>
        </w:rPr>
        <w:t>低压一般配电电缆：低烟无卤阻燃B级耐火交联铜芯电力电缆；</w:t>
      </w:r>
    </w:p>
    <w:p>
      <w:pPr>
        <w:tabs>
          <w:tab w:val="left" w:pos="420"/>
        </w:tabs>
        <w:spacing w:before="12" w:beforeLines="5"/>
        <w:ind w:firstLine="560"/>
        <w:rPr>
          <w:rFonts w:ascii="华文仿宋" w:hAnsi="华文仿宋"/>
          <w:szCs w:val="28"/>
        </w:rPr>
      </w:pPr>
      <w:r>
        <w:rPr>
          <w:rFonts w:ascii="华文仿宋" w:hAnsi="华文仿宋"/>
          <w:szCs w:val="28"/>
        </w:rPr>
        <w:t>1.2.</w:t>
      </w:r>
      <w:r>
        <w:rPr>
          <w:rFonts w:hint="eastAsia" w:ascii="华文仿宋" w:hAnsi="华文仿宋"/>
          <w:szCs w:val="28"/>
          <w:lang w:val="en-US" w:eastAsia="zh-CN"/>
        </w:rPr>
        <w:t>3</w:t>
      </w:r>
      <w:r>
        <w:rPr>
          <w:rFonts w:hint="eastAsia" w:ascii="华文仿宋" w:hAnsi="华文仿宋"/>
          <w:szCs w:val="28"/>
        </w:rPr>
        <w:t>低压消防配电电线：低烟无卤阻燃B级耐火铜芯电线；</w:t>
      </w:r>
    </w:p>
    <w:p>
      <w:pPr>
        <w:tabs>
          <w:tab w:val="left" w:pos="420"/>
        </w:tabs>
        <w:spacing w:before="12" w:beforeLines="5"/>
        <w:ind w:firstLine="560"/>
        <w:rPr>
          <w:rFonts w:ascii="华文仿宋" w:hAnsi="华文仿宋"/>
          <w:szCs w:val="28"/>
        </w:rPr>
      </w:pPr>
      <w:r>
        <w:rPr>
          <w:rFonts w:ascii="华文仿宋" w:hAnsi="华文仿宋"/>
          <w:szCs w:val="28"/>
        </w:rPr>
        <w:t>1.2.</w:t>
      </w:r>
      <w:r>
        <w:rPr>
          <w:rFonts w:hint="eastAsia" w:ascii="华文仿宋" w:hAnsi="华文仿宋"/>
          <w:szCs w:val="28"/>
          <w:lang w:val="en-US" w:eastAsia="zh-CN"/>
        </w:rPr>
        <w:t>4</w:t>
      </w:r>
      <w:r>
        <w:rPr>
          <w:rFonts w:hint="eastAsia" w:ascii="华文仿宋" w:hAnsi="华文仿宋"/>
          <w:szCs w:val="28"/>
        </w:rPr>
        <w:t>低压一般电线：低烟无卤阻燃C级铜芯电线；</w:t>
      </w:r>
    </w:p>
    <w:p>
      <w:pPr>
        <w:tabs>
          <w:tab w:val="left" w:pos="420"/>
        </w:tabs>
        <w:spacing w:before="12" w:beforeLines="5"/>
        <w:ind w:firstLine="560"/>
        <w:rPr>
          <w:rFonts w:ascii="华文仿宋" w:hAnsi="华文仿宋"/>
          <w:szCs w:val="28"/>
        </w:rPr>
      </w:pPr>
      <w:r>
        <w:rPr>
          <w:rFonts w:ascii="华文仿宋" w:hAnsi="华文仿宋"/>
          <w:szCs w:val="28"/>
        </w:rPr>
        <w:t>1.2.</w:t>
      </w:r>
      <w:r>
        <w:rPr>
          <w:rFonts w:hint="eastAsia" w:ascii="华文仿宋" w:hAnsi="华文仿宋"/>
          <w:szCs w:val="28"/>
          <w:lang w:val="en-US" w:eastAsia="zh-CN"/>
        </w:rPr>
        <w:t>5</w:t>
      </w:r>
      <w:r>
        <w:rPr>
          <w:rFonts w:hint="eastAsia" w:ascii="华文仿宋" w:hAnsi="华文仿宋"/>
          <w:szCs w:val="28"/>
        </w:rPr>
        <w:t>低压消防电线：低烟无卤阻燃C级耐火铜芯电线；</w:t>
      </w:r>
    </w:p>
    <w:p>
      <w:pPr>
        <w:tabs>
          <w:tab w:val="left" w:pos="420"/>
        </w:tabs>
        <w:spacing w:before="12" w:beforeLines="5"/>
        <w:ind w:firstLine="560"/>
        <w:rPr>
          <w:rFonts w:ascii="华文仿宋" w:hAnsi="华文仿宋"/>
          <w:szCs w:val="28"/>
        </w:rPr>
      </w:pPr>
      <w:r>
        <w:rPr>
          <w:rFonts w:ascii="华文仿宋" w:hAnsi="华文仿宋"/>
          <w:szCs w:val="28"/>
        </w:rPr>
        <w:t>1.2.</w:t>
      </w:r>
      <w:r>
        <w:rPr>
          <w:rFonts w:hint="eastAsia" w:ascii="华文仿宋" w:hAnsi="华文仿宋"/>
          <w:szCs w:val="28"/>
          <w:lang w:val="en-US" w:eastAsia="zh-CN"/>
        </w:rPr>
        <w:t>6</w:t>
      </w:r>
      <w:r>
        <w:rPr>
          <w:rFonts w:hint="eastAsia" w:ascii="华文仿宋" w:hAnsi="华文仿宋"/>
          <w:szCs w:val="28"/>
        </w:rPr>
        <w:t>低压控制电缆：低烟无卤阻燃B级铜芯电缆，用于消防时，采用耐火型。</w:t>
      </w:r>
    </w:p>
    <w:p>
      <w:pPr>
        <w:tabs>
          <w:tab w:val="left" w:pos="420"/>
        </w:tabs>
        <w:spacing w:before="12" w:beforeLines="5"/>
        <w:ind w:firstLine="560"/>
        <w:rPr>
          <w:rFonts w:ascii="华文仿宋" w:hAnsi="华文仿宋"/>
          <w:szCs w:val="28"/>
        </w:rPr>
      </w:pPr>
      <w:r>
        <w:rPr>
          <w:rFonts w:hint="eastAsia" w:ascii="华文仿宋" w:hAnsi="华文仿宋"/>
          <w:szCs w:val="28"/>
        </w:rPr>
        <w:t>1.2.</w:t>
      </w:r>
      <w:r>
        <w:rPr>
          <w:rFonts w:hint="eastAsia" w:ascii="华文仿宋" w:hAnsi="华文仿宋"/>
          <w:szCs w:val="28"/>
          <w:lang w:val="en-US" w:eastAsia="zh-CN"/>
        </w:rPr>
        <w:t>7</w:t>
      </w:r>
      <w:r>
        <w:rPr>
          <w:rFonts w:ascii="华文仿宋" w:hAnsi="华文仿宋"/>
          <w:szCs w:val="28"/>
        </w:rPr>
        <w:t xml:space="preserve"> </w:t>
      </w:r>
      <w:r>
        <w:rPr>
          <w:rFonts w:hint="eastAsia" w:ascii="华文仿宋" w:hAnsi="华文仿宋"/>
          <w:szCs w:val="28"/>
        </w:rPr>
        <w:t>消防类电线电缆采用B</w:t>
      </w:r>
      <w:r>
        <w:rPr>
          <w:rFonts w:ascii="华文仿宋" w:hAnsi="华文仿宋"/>
          <w:szCs w:val="28"/>
        </w:rPr>
        <w:t>1</w:t>
      </w:r>
      <w:r>
        <w:rPr>
          <w:rFonts w:hint="eastAsia" w:ascii="华文仿宋" w:hAnsi="华文仿宋"/>
          <w:szCs w:val="28"/>
        </w:rPr>
        <w:t>级燃烧性能</w:t>
      </w:r>
    </w:p>
    <w:p>
      <w:pPr>
        <w:tabs>
          <w:tab w:val="left" w:pos="420"/>
        </w:tabs>
        <w:spacing w:before="12" w:beforeLines="5"/>
        <w:ind w:firstLine="560"/>
        <w:rPr>
          <w:rFonts w:ascii="华文仿宋" w:hAnsi="华文仿宋"/>
          <w:szCs w:val="28"/>
        </w:rPr>
      </w:pPr>
      <w:r>
        <w:rPr>
          <w:rFonts w:hint="eastAsia" w:ascii="华文仿宋" w:hAnsi="华文仿宋"/>
          <w:szCs w:val="28"/>
        </w:rPr>
        <w:t>1.2.</w:t>
      </w:r>
      <w:r>
        <w:rPr>
          <w:rFonts w:hint="eastAsia" w:ascii="华文仿宋" w:hAnsi="华文仿宋"/>
          <w:szCs w:val="28"/>
          <w:lang w:val="en-US" w:eastAsia="zh-CN"/>
        </w:rPr>
        <w:t>8</w:t>
      </w:r>
      <w:r>
        <w:rPr>
          <w:rFonts w:ascii="华文仿宋" w:hAnsi="华文仿宋"/>
          <w:szCs w:val="28"/>
        </w:rPr>
        <w:t xml:space="preserve"> </w:t>
      </w:r>
      <w:r>
        <w:rPr>
          <w:rFonts w:hint="eastAsia" w:ascii="华文仿宋" w:hAnsi="华文仿宋"/>
          <w:szCs w:val="28"/>
        </w:rPr>
        <w:t>人员密集场所非消防类电线电缆</w:t>
      </w:r>
      <w:r>
        <w:rPr>
          <w:rFonts w:ascii="华文仿宋" w:hAnsi="华文仿宋"/>
          <w:szCs w:val="28"/>
        </w:rPr>
        <w:t>应选用燃烧性能Bl级、产烟毒性为tl级、燃烧滴落物／微粒等级为d1级；</w:t>
      </w:r>
    </w:p>
    <w:p>
      <w:pPr>
        <w:tabs>
          <w:tab w:val="left" w:pos="420"/>
        </w:tabs>
        <w:spacing w:before="12" w:beforeLines="5"/>
        <w:ind w:firstLine="560"/>
        <w:rPr>
          <w:rFonts w:hint="eastAsia" w:ascii="华文仿宋" w:hAnsi="华文仿宋"/>
          <w:szCs w:val="28"/>
        </w:rPr>
      </w:pPr>
      <w:r>
        <w:rPr>
          <w:rFonts w:hint="eastAsia" w:ascii="华文仿宋" w:hAnsi="华文仿宋"/>
          <w:szCs w:val="28"/>
        </w:rPr>
        <w:t>1.2.</w:t>
      </w:r>
      <w:r>
        <w:rPr>
          <w:rFonts w:hint="eastAsia" w:ascii="华文仿宋" w:hAnsi="华文仿宋"/>
          <w:szCs w:val="28"/>
          <w:lang w:val="en-US" w:eastAsia="zh-CN"/>
        </w:rPr>
        <w:t>9</w:t>
      </w:r>
      <w:r>
        <w:rPr>
          <w:rFonts w:ascii="华文仿宋" w:hAnsi="华文仿宋"/>
          <w:szCs w:val="28"/>
        </w:rPr>
        <w:t xml:space="preserve"> 其他</w:t>
      </w:r>
      <w:r>
        <w:rPr>
          <w:rFonts w:hint="eastAsia" w:ascii="华文仿宋" w:hAnsi="华文仿宋"/>
          <w:szCs w:val="28"/>
        </w:rPr>
        <w:t>非人员密集场所非消防类电线电缆</w:t>
      </w:r>
      <w:r>
        <w:rPr>
          <w:rFonts w:ascii="华文仿宋" w:hAnsi="华文仿宋"/>
          <w:szCs w:val="28"/>
        </w:rPr>
        <w:t>应选择燃烧性能不低于B2级、产烟毒性为t2级、燃烧滴落物／微粒等级为d2级的电线和电缆；</w:t>
      </w:r>
    </w:p>
    <w:p>
      <w:pPr>
        <w:tabs>
          <w:tab w:val="left" w:pos="420"/>
        </w:tabs>
        <w:spacing w:before="12" w:beforeLines="5"/>
        <w:ind w:firstLine="561"/>
        <w:rPr>
          <w:rFonts w:ascii="华文仿宋" w:hAnsi="华文仿宋"/>
          <w:b/>
          <w:kern w:val="0"/>
          <w:szCs w:val="28"/>
        </w:rPr>
      </w:pPr>
      <w:r>
        <w:rPr>
          <w:rFonts w:hint="eastAsia" w:ascii="华文仿宋" w:hAnsi="华文仿宋"/>
          <w:b/>
          <w:kern w:val="0"/>
          <w:szCs w:val="28"/>
        </w:rPr>
        <w:t>注：以上标准与图纸不符时，以图纸为准。</w:t>
      </w:r>
    </w:p>
    <w:p>
      <w:pPr>
        <w:pStyle w:val="3"/>
        <w:adjustRightInd w:val="0"/>
        <w:snapToGrid w:val="0"/>
        <w:spacing w:before="240" w:line="415" w:lineRule="auto"/>
        <w:ind w:firstLine="561"/>
        <w:rPr>
          <w:rFonts w:ascii="华文仿宋" w:hAnsi="华文仿宋" w:cs="仿宋_GB2312"/>
          <w:szCs w:val="28"/>
        </w:rPr>
      </w:pPr>
      <w:bookmarkStart w:id="71" w:name="_Toc9008441"/>
      <w:bookmarkStart w:id="72" w:name="_Toc9006373"/>
      <w:bookmarkStart w:id="73" w:name="_Toc17667"/>
      <w:r>
        <w:rPr>
          <w:rFonts w:ascii="华文仿宋" w:hAnsi="华文仿宋" w:cs="仿宋_GB2312"/>
          <w:szCs w:val="28"/>
        </w:rPr>
        <w:t>2规范</w:t>
      </w:r>
      <w:r>
        <w:rPr>
          <w:rFonts w:hint="eastAsia" w:ascii="华文仿宋" w:hAnsi="华文仿宋" w:cs="仿宋_GB2312"/>
          <w:szCs w:val="28"/>
        </w:rPr>
        <w:t>及</w:t>
      </w:r>
      <w:r>
        <w:rPr>
          <w:rFonts w:ascii="华文仿宋" w:hAnsi="华文仿宋" w:cs="仿宋_GB2312"/>
          <w:szCs w:val="28"/>
        </w:rPr>
        <w:t>标准</w:t>
      </w:r>
      <w:bookmarkEnd w:id="71"/>
      <w:bookmarkEnd w:id="72"/>
      <w:bookmarkEnd w:id="73"/>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2.1应执行不限于以下的标准，在执行过程中若有国内标准与国际标准不一致之处，按高标准执行：</w:t>
      </w:r>
    </w:p>
    <w:tbl>
      <w:tblPr>
        <w:tblStyle w:val="83"/>
        <w:tblW w:w="0" w:type="auto"/>
        <w:tblInd w:w="0" w:type="dxa"/>
        <w:tblLayout w:type="autofit"/>
        <w:tblCellMar>
          <w:top w:w="0" w:type="dxa"/>
          <w:left w:w="108" w:type="dxa"/>
          <w:bottom w:w="0" w:type="dxa"/>
          <w:right w:w="108" w:type="dxa"/>
        </w:tblCellMar>
      </w:tblPr>
      <w:tblGrid>
        <w:gridCol w:w="3085"/>
        <w:gridCol w:w="5437"/>
      </w:tblGrid>
      <w:tr>
        <w:tblPrEx>
          <w:tblCellMar>
            <w:top w:w="0" w:type="dxa"/>
            <w:left w:w="108" w:type="dxa"/>
            <w:bottom w:w="0" w:type="dxa"/>
            <w:right w:w="108" w:type="dxa"/>
          </w:tblCellMar>
        </w:tblPrEx>
        <w:trPr>
          <w:trHeight w:val="1050" w:hRule="atLeast"/>
        </w:trPr>
        <w:tc>
          <w:tcPr>
            <w:tcW w:w="3085" w:type="dxa"/>
            <w:tcBorders>
              <w:top w:val="nil"/>
              <w:left w:val="nil"/>
              <w:bottom w:val="nil"/>
              <w:right w:val="nil"/>
            </w:tcBorders>
            <w:shd w:val="clear" w:color="auto" w:fill="auto"/>
            <w:noWrap/>
          </w:tcPr>
          <w:p>
            <w:pPr>
              <w:widowControl/>
              <w:ind w:firstLine="280" w:firstLineChars="100"/>
              <w:rPr>
                <w:rFonts w:ascii="华文仿宋" w:hAnsi="华文仿宋" w:cs="宋体"/>
                <w:kern w:val="0"/>
                <w:szCs w:val="28"/>
              </w:rPr>
            </w:pPr>
            <w:r>
              <w:rPr>
                <w:rFonts w:ascii="华文仿宋" w:hAnsi="华文仿宋" w:cs="宋体"/>
                <w:kern w:val="0"/>
                <w:szCs w:val="28"/>
              </w:rPr>
              <w:t>GB/T13033-2007</w:t>
            </w:r>
          </w:p>
        </w:tc>
        <w:tc>
          <w:tcPr>
            <w:tcW w:w="5437" w:type="dxa"/>
            <w:tcBorders>
              <w:top w:val="nil"/>
              <w:left w:val="nil"/>
              <w:bottom w:val="nil"/>
              <w:right w:val="nil"/>
            </w:tcBorders>
            <w:shd w:val="clear" w:color="auto" w:fill="auto"/>
          </w:tcPr>
          <w:p>
            <w:pPr>
              <w:widowControl/>
              <w:ind w:firstLine="560"/>
              <w:rPr>
                <w:rFonts w:ascii="华文仿宋" w:hAnsi="华文仿宋" w:cs="宋体"/>
                <w:kern w:val="0"/>
                <w:szCs w:val="28"/>
              </w:rPr>
            </w:pPr>
            <w:r>
              <w:rPr>
                <w:rFonts w:ascii="华文仿宋" w:hAnsi="华文仿宋" w:cs="宋体"/>
                <w:kern w:val="0"/>
                <w:szCs w:val="28"/>
              </w:rPr>
              <w:t xml:space="preserve">   《额定电压750V及以下矿物绝缘电缆及终端》 </w:t>
            </w:r>
          </w:p>
        </w:tc>
      </w:tr>
      <w:tr>
        <w:tblPrEx>
          <w:tblCellMar>
            <w:top w:w="0" w:type="dxa"/>
            <w:left w:w="108" w:type="dxa"/>
            <w:bottom w:w="0" w:type="dxa"/>
            <w:right w:w="108" w:type="dxa"/>
          </w:tblCellMar>
        </w:tblPrEx>
        <w:trPr>
          <w:trHeight w:val="1050" w:hRule="atLeast"/>
        </w:trPr>
        <w:tc>
          <w:tcPr>
            <w:tcW w:w="3085" w:type="dxa"/>
            <w:tcBorders>
              <w:top w:val="nil"/>
              <w:left w:val="nil"/>
              <w:bottom w:val="nil"/>
              <w:right w:val="nil"/>
            </w:tcBorders>
            <w:shd w:val="clear" w:color="auto" w:fill="auto"/>
            <w:noWrap/>
          </w:tcPr>
          <w:p>
            <w:pPr>
              <w:widowControl/>
              <w:ind w:firstLine="280" w:firstLineChars="100"/>
              <w:rPr>
                <w:rFonts w:ascii="华文仿宋" w:hAnsi="华文仿宋" w:cs="宋体"/>
                <w:kern w:val="0"/>
                <w:szCs w:val="28"/>
              </w:rPr>
            </w:pPr>
            <w:r>
              <w:rPr>
                <w:rFonts w:ascii="华文仿宋" w:hAnsi="华文仿宋" w:cs="宋体"/>
                <w:kern w:val="0"/>
                <w:szCs w:val="28"/>
              </w:rPr>
              <w:t>GB/T 3048-2007</w:t>
            </w:r>
          </w:p>
        </w:tc>
        <w:tc>
          <w:tcPr>
            <w:tcW w:w="5437" w:type="dxa"/>
            <w:tcBorders>
              <w:top w:val="nil"/>
              <w:left w:val="nil"/>
              <w:bottom w:val="nil"/>
              <w:right w:val="nil"/>
            </w:tcBorders>
            <w:shd w:val="clear" w:color="auto" w:fill="auto"/>
          </w:tcPr>
          <w:p>
            <w:pPr>
              <w:widowControl/>
              <w:ind w:firstLine="560"/>
              <w:rPr>
                <w:rFonts w:ascii="华文仿宋" w:hAnsi="华文仿宋" w:cs="宋体"/>
                <w:kern w:val="0"/>
                <w:szCs w:val="28"/>
              </w:rPr>
            </w:pPr>
            <w:r>
              <w:rPr>
                <w:rFonts w:hint="eastAsia" w:ascii="华文仿宋" w:hAnsi="华文仿宋" w:cs="宋体"/>
                <w:kern w:val="0"/>
                <w:szCs w:val="28"/>
              </w:rPr>
              <w:t>《电线电缆电性能试验方法》</w:t>
            </w:r>
          </w:p>
        </w:tc>
      </w:tr>
      <w:tr>
        <w:tblPrEx>
          <w:tblCellMar>
            <w:top w:w="0" w:type="dxa"/>
            <w:left w:w="108" w:type="dxa"/>
            <w:bottom w:w="0" w:type="dxa"/>
            <w:right w:w="108" w:type="dxa"/>
          </w:tblCellMar>
        </w:tblPrEx>
        <w:trPr>
          <w:trHeight w:val="1050" w:hRule="atLeast"/>
        </w:trPr>
        <w:tc>
          <w:tcPr>
            <w:tcW w:w="3085" w:type="dxa"/>
            <w:tcBorders>
              <w:top w:val="nil"/>
              <w:left w:val="nil"/>
              <w:bottom w:val="nil"/>
              <w:right w:val="nil"/>
            </w:tcBorders>
            <w:shd w:val="clear" w:color="auto" w:fill="auto"/>
            <w:noWrap/>
          </w:tcPr>
          <w:p>
            <w:pPr>
              <w:widowControl/>
              <w:ind w:firstLine="280" w:firstLineChars="100"/>
              <w:rPr>
                <w:rFonts w:ascii="华文仿宋" w:hAnsi="华文仿宋" w:cs="宋体"/>
                <w:kern w:val="0"/>
                <w:szCs w:val="28"/>
              </w:rPr>
            </w:pPr>
            <w:r>
              <w:rPr>
                <w:rFonts w:ascii="华文仿宋" w:hAnsi="华文仿宋" w:cs="宋体"/>
                <w:kern w:val="0"/>
                <w:szCs w:val="28"/>
              </w:rPr>
              <w:t>GB/T 18380-2008</w:t>
            </w:r>
          </w:p>
        </w:tc>
        <w:tc>
          <w:tcPr>
            <w:tcW w:w="5437" w:type="dxa"/>
            <w:tcBorders>
              <w:top w:val="nil"/>
              <w:left w:val="nil"/>
              <w:bottom w:val="nil"/>
              <w:right w:val="nil"/>
            </w:tcBorders>
            <w:shd w:val="clear" w:color="auto" w:fill="auto"/>
          </w:tcPr>
          <w:p>
            <w:pPr>
              <w:widowControl/>
              <w:ind w:firstLine="560"/>
              <w:rPr>
                <w:rFonts w:ascii="华文仿宋" w:hAnsi="华文仿宋" w:cs="宋体"/>
                <w:kern w:val="0"/>
                <w:szCs w:val="28"/>
              </w:rPr>
            </w:pPr>
            <w:r>
              <w:rPr>
                <w:rFonts w:hint="eastAsia" w:ascii="华文仿宋" w:hAnsi="华文仿宋" w:cs="宋体"/>
                <w:kern w:val="0"/>
                <w:szCs w:val="28"/>
              </w:rPr>
              <w:t>《电缆和光缆在火焰条件下的燃烧试验》</w:t>
            </w:r>
          </w:p>
        </w:tc>
      </w:tr>
      <w:tr>
        <w:tblPrEx>
          <w:tblCellMar>
            <w:top w:w="0" w:type="dxa"/>
            <w:left w:w="108" w:type="dxa"/>
            <w:bottom w:w="0" w:type="dxa"/>
            <w:right w:w="108" w:type="dxa"/>
          </w:tblCellMar>
        </w:tblPrEx>
        <w:trPr>
          <w:cantSplit/>
          <w:trHeight w:val="1050" w:hRule="atLeast"/>
        </w:trPr>
        <w:tc>
          <w:tcPr>
            <w:tcW w:w="3085" w:type="dxa"/>
            <w:tcBorders>
              <w:top w:val="nil"/>
              <w:left w:val="nil"/>
              <w:bottom w:val="nil"/>
              <w:right w:val="nil"/>
            </w:tcBorders>
            <w:shd w:val="clear" w:color="auto" w:fill="auto"/>
            <w:noWrap/>
          </w:tcPr>
          <w:p>
            <w:pPr>
              <w:widowControl/>
              <w:ind w:firstLine="280" w:firstLineChars="100"/>
              <w:rPr>
                <w:rFonts w:ascii="华文仿宋" w:hAnsi="华文仿宋" w:cs="宋体"/>
                <w:kern w:val="0"/>
                <w:szCs w:val="28"/>
              </w:rPr>
            </w:pPr>
            <w:r>
              <w:rPr>
                <w:rFonts w:ascii="华文仿宋" w:hAnsi="华文仿宋" w:cs="宋体"/>
                <w:kern w:val="0"/>
                <w:szCs w:val="28"/>
              </w:rPr>
              <w:t>GB/T 12666-2008</w:t>
            </w:r>
          </w:p>
        </w:tc>
        <w:tc>
          <w:tcPr>
            <w:tcW w:w="5437" w:type="dxa"/>
            <w:tcBorders>
              <w:top w:val="nil"/>
              <w:left w:val="nil"/>
              <w:bottom w:val="nil"/>
              <w:right w:val="nil"/>
            </w:tcBorders>
            <w:shd w:val="clear" w:color="auto" w:fill="auto"/>
          </w:tcPr>
          <w:p>
            <w:pPr>
              <w:widowControl/>
              <w:ind w:firstLine="560"/>
              <w:rPr>
                <w:rFonts w:ascii="华文仿宋" w:hAnsi="华文仿宋" w:cs="宋体"/>
                <w:kern w:val="0"/>
                <w:szCs w:val="28"/>
              </w:rPr>
            </w:pPr>
            <w:r>
              <w:rPr>
                <w:rFonts w:hint="eastAsia" w:ascii="华文仿宋" w:hAnsi="华文仿宋" w:cs="宋体"/>
                <w:kern w:val="0"/>
                <w:szCs w:val="28"/>
              </w:rPr>
              <w:t>《电线电缆燃烧试验方法》</w:t>
            </w:r>
          </w:p>
        </w:tc>
      </w:tr>
      <w:tr>
        <w:tblPrEx>
          <w:tblCellMar>
            <w:top w:w="0" w:type="dxa"/>
            <w:left w:w="108" w:type="dxa"/>
            <w:bottom w:w="0" w:type="dxa"/>
            <w:right w:w="108" w:type="dxa"/>
          </w:tblCellMar>
        </w:tblPrEx>
        <w:trPr>
          <w:trHeight w:val="1050" w:hRule="atLeast"/>
        </w:trPr>
        <w:tc>
          <w:tcPr>
            <w:tcW w:w="3085" w:type="dxa"/>
            <w:tcBorders>
              <w:top w:val="nil"/>
              <w:left w:val="nil"/>
              <w:bottom w:val="nil"/>
              <w:right w:val="nil"/>
            </w:tcBorders>
            <w:shd w:val="clear" w:color="auto" w:fill="auto"/>
            <w:noWrap/>
          </w:tcPr>
          <w:p>
            <w:pPr>
              <w:widowControl/>
              <w:ind w:firstLine="280" w:firstLineChars="100"/>
              <w:rPr>
                <w:rFonts w:ascii="华文仿宋" w:hAnsi="华文仿宋" w:cs="宋体"/>
                <w:kern w:val="0"/>
                <w:szCs w:val="28"/>
              </w:rPr>
            </w:pPr>
            <w:r>
              <w:rPr>
                <w:rFonts w:ascii="华文仿宋" w:hAnsi="华文仿宋" w:cs="宋体"/>
                <w:kern w:val="0"/>
                <w:szCs w:val="28"/>
              </w:rPr>
              <w:t>GB/T 19216.21-2003</w:t>
            </w:r>
          </w:p>
        </w:tc>
        <w:tc>
          <w:tcPr>
            <w:tcW w:w="5437" w:type="dxa"/>
            <w:tcBorders>
              <w:top w:val="nil"/>
              <w:left w:val="nil"/>
              <w:bottom w:val="nil"/>
              <w:right w:val="nil"/>
            </w:tcBorders>
            <w:shd w:val="clear" w:color="auto" w:fill="auto"/>
          </w:tcPr>
          <w:p>
            <w:pPr>
              <w:widowControl/>
              <w:ind w:firstLine="560"/>
              <w:rPr>
                <w:rFonts w:ascii="华文仿宋" w:hAnsi="华文仿宋" w:cs="宋体"/>
                <w:kern w:val="0"/>
                <w:szCs w:val="28"/>
              </w:rPr>
            </w:pPr>
            <w:r>
              <w:rPr>
                <w:rFonts w:hint="eastAsia" w:ascii="华文仿宋" w:hAnsi="华文仿宋" w:cs="宋体"/>
                <w:kern w:val="0"/>
                <w:szCs w:val="28"/>
              </w:rPr>
              <w:t>《在火焰条件下电缆或光缆的线路完整性试验</w:t>
            </w:r>
            <w:r>
              <w:rPr>
                <w:rFonts w:ascii="华文仿宋" w:hAnsi="华文仿宋" w:cs="宋体"/>
                <w:kern w:val="0"/>
                <w:szCs w:val="28"/>
              </w:rPr>
              <w:t xml:space="preserve"> </w:t>
            </w:r>
            <w:r>
              <w:rPr>
                <w:rFonts w:hint="eastAsia" w:ascii="华文仿宋" w:hAnsi="华文仿宋" w:cs="宋体"/>
                <w:kern w:val="0"/>
                <w:szCs w:val="28"/>
              </w:rPr>
              <w:t>第</w:t>
            </w:r>
            <w:r>
              <w:rPr>
                <w:rFonts w:ascii="华文仿宋" w:hAnsi="华文仿宋" w:cs="宋体"/>
                <w:kern w:val="0"/>
                <w:szCs w:val="28"/>
              </w:rPr>
              <w:t>21部分:试验步骤和要求——额定电压0.6/1.0kV及以下电缆》</w:t>
            </w:r>
          </w:p>
        </w:tc>
      </w:tr>
      <w:tr>
        <w:tblPrEx>
          <w:tblCellMar>
            <w:top w:w="0" w:type="dxa"/>
            <w:left w:w="108" w:type="dxa"/>
            <w:bottom w:w="0" w:type="dxa"/>
            <w:right w:w="108" w:type="dxa"/>
          </w:tblCellMar>
        </w:tblPrEx>
        <w:trPr>
          <w:trHeight w:val="1050" w:hRule="atLeast"/>
        </w:trPr>
        <w:tc>
          <w:tcPr>
            <w:tcW w:w="3085" w:type="dxa"/>
            <w:tcBorders>
              <w:top w:val="nil"/>
              <w:left w:val="nil"/>
              <w:bottom w:val="nil"/>
              <w:right w:val="nil"/>
            </w:tcBorders>
            <w:shd w:val="clear" w:color="auto" w:fill="auto"/>
            <w:noWrap/>
          </w:tcPr>
          <w:p>
            <w:pPr>
              <w:widowControl/>
              <w:ind w:firstLine="280" w:firstLineChars="100"/>
              <w:rPr>
                <w:rFonts w:ascii="华文仿宋" w:hAnsi="华文仿宋" w:cs="宋体"/>
                <w:kern w:val="0"/>
                <w:szCs w:val="28"/>
              </w:rPr>
            </w:pPr>
            <w:r>
              <w:rPr>
                <w:rFonts w:ascii="华文仿宋" w:hAnsi="华文仿宋" w:cs="宋体"/>
                <w:kern w:val="0"/>
                <w:szCs w:val="28"/>
              </w:rPr>
              <w:t>GB/T 3956-2008</w:t>
            </w:r>
          </w:p>
        </w:tc>
        <w:tc>
          <w:tcPr>
            <w:tcW w:w="5437" w:type="dxa"/>
            <w:tcBorders>
              <w:top w:val="nil"/>
              <w:left w:val="nil"/>
              <w:bottom w:val="nil"/>
              <w:right w:val="nil"/>
            </w:tcBorders>
            <w:shd w:val="clear" w:color="auto" w:fill="auto"/>
          </w:tcPr>
          <w:p>
            <w:pPr>
              <w:widowControl/>
              <w:ind w:firstLine="560"/>
              <w:rPr>
                <w:rFonts w:ascii="华文仿宋" w:hAnsi="华文仿宋" w:cs="宋体"/>
                <w:kern w:val="0"/>
                <w:szCs w:val="28"/>
              </w:rPr>
            </w:pPr>
            <w:r>
              <w:rPr>
                <w:rFonts w:hint="eastAsia" w:ascii="华文仿宋" w:hAnsi="华文仿宋" w:cs="宋体"/>
                <w:kern w:val="0"/>
                <w:szCs w:val="28"/>
              </w:rPr>
              <w:t>《电缆的导体》</w:t>
            </w:r>
          </w:p>
        </w:tc>
      </w:tr>
      <w:tr>
        <w:trPr>
          <w:trHeight w:val="1050" w:hRule="atLeast"/>
        </w:trPr>
        <w:tc>
          <w:tcPr>
            <w:tcW w:w="3085" w:type="dxa"/>
            <w:tcBorders>
              <w:top w:val="nil"/>
              <w:left w:val="nil"/>
              <w:bottom w:val="nil"/>
              <w:right w:val="nil"/>
            </w:tcBorders>
            <w:shd w:val="clear" w:color="auto" w:fill="auto"/>
            <w:noWrap/>
          </w:tcPr>
          <w:p>
            <w:pPr>
              <w:widowControl/>
              <w:ind w:firstLine="280" w:firstLineChars="100"/>
              <w:rPr>
                <w:rFonts w:ascii="华文仿宋" w:hAnsi="华文仿宋" w:cs="宋体"/>
                <w:kern w:val="0"/>
                <w:szCs w:val="28"/>
              </w:rPr>
            </w:pPr>
            <w:r>
              <w:rPr>
                <w:rFonts w:ascii="华文仿宋" w:hAnsi="华文仿宋" w:cs="宋体"/>
                <w:kern w:val="0"/>
                <w:szCs w:val="28"/>
              </w:rPr>
              <w:t>GB/T 2951-2008</w:t>
            </w:r>
          </w:p>
        </w:tc>
        <w:tc>
          <w:tcPr>
            <w:tcW w:w="5437" w:type="dxa"/>
            <w:tcBorders>
              <w:top w:val="nil"/>
              <w:left w:val="nil"/>
              <w:bottom w:val="nil"/>
              <w:right w:val="nil"/>
            </w:tcBorders>
            <w:shd w:val="clear" w:color="auto" w:fill="auto"/>
          </w:tcPr>
          <w:p>
            <w:pPr>
              <w:widowControl/>
              <w:ind w:firstLine="560"/>
              <w:rPr>
                <w:rFonts w:ascii="华文仿宋" w:hAnsi="华文仿宋" w:cs="宋体"/>
                <w:kern w:val="0"/>
                <w:szCs w:val="28"/>
              </w:rPr>
            </w:pPr>
            <w:r>
              <w:rPr>
                <w:rFonts w:hint="eastAsia" w:ascii="华文仿宋" w:hAnsi="华文仿宋" w:cs="宋体"/>
                <w:kern w:val="0"/>
                <w:szCs w:val="28"/>
              </w:rPr>
              <w:t>《电缆绝缘和护套材料通用试验方法》</w:t>
            </w:r>
          </w:p>
        </w:tc>
      </w:tr>
      <w:tr>
        <w:tblPrEx>
          <w:tblCellMar>
            <w:top w:w="0" w:type="dxa"/>
            <w:left w:w="108" w:type="dxa"/>
            <w:bottom w:w="0" w:type="dxa"/>
            <w:right w:w="108" w:type="dxa"/>
          </w:tblCellMar>
        </w:tblPrEx>
        <w:trPr>
          <w:trHeight w:val="1050" w:hRule="atLeast"/>
        </w:trPr>
        <w:tc>
          <w:tcPr>
            <w:tcW w:w="3085" w:type="dxa"/>
            <w:tcBorders>
              <w:top w:val="nil"/>
              <w:left w:val="nil"/>
              <w:bottom w:val="nil"/>
              <w:right w:val="nil"/>
            </w:tcBorders>
            <w:shd w:val="clear" w:color="auto" w:fill="auto"/>
            <w:noWrap/>
          </w:tcPr>
          <w:p>
            <w:pPr>
              <w:widowControl/>
              <w:ind w:firstLine="280" w:firstLineChars="100"/>
              <w:rPr>
                <w:rFonts w:ascii="华文仿宋" w:hAnsi="华文仿宋" w:cs="宋体"/>
                <w:kern w:val="0"/>
                <w:szCs w:val="28"/>
              </w:rPr>
            </w:pPr>
            <w:r>
              <w:rPr>
                <w:rFonts w:ascii="华文仿宋" w:hAnsi="华文仿宋" w:cs="宋体"/>
                <w:kern w:val="0"/>
                <w:szCs w:val="28"/>
              </w:rPr>
              <w:t>GB/T 3048-2007</w:t>
            </w:r>
          </w:p>
        </w:tc>
        <w:tc>
          <w:tcPr>
            <w:tcW w:w="5437" w:type="dxa"/>
            <w:tcBorders>
              <w:top w:val="nil"/>
              <w:left w:val="nil"/>
              <w:bottom w:val="nil"/>
              <w:right w:val="nil"/>
            </w:tcBorders>
            <w:shd w:val="clear" w:color="auto" w:fill="auto"/>
          </w:tcPr>
          <w:p>
            <w:pPr>
              <w:widowControl/>
              <w:ind w:firstLine="560"/>
              <w:rPr>
                <w:rFonts w:ascii="华文仿宋" w:hAnsi="华文仿宋" w:cs="宋体"/>
                <w:kern w:val="0"/>
                <w:szCs w:val="28"/>
              </w:rPr>
            </w:pPr>
            <w:r>
              <w:rPr>
                <w:rFonts w:hint="eastAsia" w:ascii="华文仿宋" w:hAnsi="华文仿宋" w:cs="宋体"/>
                <w:kern w:val="0"/>
                <w:szCs w:val="28"/>
              </w:rPr>
              <w:t>《电线电缆电性能试验方法》</w:t>
            </w:r>
            <w:r>
              <w:rPr>
                <w:rFonts w:ascii="华文仿宋" w:hAnsi="华文仿宋" w:cs="宋体"/>
                <w:kern w:val="0"/>
                <w:szCs w:val="28"/>
              </w:rPr>
              <w:t xml:space="preserve"> </w:t>
            </w:r>
          </w:p>
        </w:tc>
      </w:tr>
      <w:tr>
        <w:tblPrEx>
          <w:tblCellMar>
            <w:top w:w="0" w:type="dxa"/>
            <w:left w:w="108" w:type="dxa"/>
            <w:bottom w:w="0" w:type="dxa"/>
            <w:right w:w="108" w:type="dxa"/>
          </w:tblCellMar>
        </w:tblPrEx>
        <w:trPr>
          <w:trHeight w:val="1050" w:hRule="atLeast"/>
        </w:trPr>
        <w:tc>
          <w:tcPr>
            <w:tcW w:w="3085" w:type="dxa"/>
            <w:tcBorders>
              <w:top w:val="nil"/>
              <w:left w:val="nil"/>
              <w:bottom w:val="nil"/>
              <w:right w:val="nil"/>
            </w:tcBorders>
            <w:shd w:val="clear" w:color="auto" w:fill="auto"/>
            <w:noWrap/>
          </w:tcPr>
          <w:p>
            <w:pPr>
              <w:widowControl/>
              <w:ind w:firstLine="280" w:firstLineChars="100"/>
              <w:rPr>
                <w:rFonts w:ascii="华文仿宋" w:hAnsi="华文仿宋" w:cs="宋体"/>
                <w:kern w:val="0"/>
                <w:szCs w:val="28"/>
              </w:rPr>
            </w:pPr>
            <w:r>
              <w:rPr>
                <w:rFonts w:ascii="华文仿宋" w:hAnsi="华文仿宋" w:cs="宋体"/>
                <w:kern w:val="0"/>
                <w:szCs w:val="28"/>
              </w:rPr>
              <w:t>GB50217-2018</w:t>
            </w:r>
          </w:p>
        </w:tc>
        <w:tc>
          <w:tcPr>
            <w:tcW w:w="5437" w:type="dxa"/>
            <w:tcBorders>
              <w:top w:val="nil"/>
              <w:left w:val="nil"/>
              <w:bottom w:val="nil"/>
              <w:right w:val="nil"/>
            </w:tcBorders>
            <w:shd w:val="clear" w:color="auto" w:fill="auto"/>
          </w:tcPr>
          <w:p>
            <w:pPr>
              <w:widowControl/>
              <w:ind w:firstLine="560"/>
              <w:rPr>
                <w:rFonts w:ascii="华文仿宋" w:hAnsi="华文仿宋" w:cs="宋体"/>
                <w:kern w:val="0"/>
                <w:szCs w:val="28"/>
              </w:rPr>
            </w:pPr>
            <w:r>
              <w:rPr>
                <w:rFonts w:hint="eastAsia" w:ascii="华文仿宋" w:hAnsi="华文仿宋" w:cs="宋体"/>
                <w:kern w:val="0"/>
                <w:szCs w:val="28"/>
              </w:rPr>
              <w:t>《电力工程电缆设计标准》</w:t>
            </w:r>
          </w:p>
        </w:tc>
      </w:tr>
      <w:tr>
        <w:tblPrEx>
          <w:tblCellMar>
            <w:top w:w="0" w:type="dxa"/>
            <w:left w:w="108" w:type="dxa"/>
            <w:bottom w:w="0" w:type="dxa"/>
            <w:right w:w="108" w:type="dxa"/>
          </w:tblCellMar>
        </w:tblPrEx>
        <w:trPr>
          <w:trHeight w:val="1050" w:hRule="atLeast"/>
        </w:trPr>
        <w:tc>
          <w:tcPr>
            <w:tcW w:w="3085" w:type="dxa"/>
            <w:tcBorders>
              <w:top w:val="nil"/>
              <w:left w:val="nil"/>
              <w:bottom w:val="nil"/>
              <w:right w:val="nil"/>
            </w:tcBorders>
            <w:shd w:val="clear" w:color="auto" w:fill="auto"/>
            <w:noWrap/>
          </w:tcPr>
          <w:p>
            <w:pPr>
              <w:widowControl/>
              <w:ind w:firstLine="280" w:firstLineChars="100"/>
              <w:rPr>
                <w:rFonts w:ascii="华文仿宋" w:hAnsi="华文仿宋" w:cs="宋体"/>
                <w:kern w:val="0"/>
                <w:szCs w:val="28"/>
              </w:rPr>
            </w:pPr>
            <w:r>
              <w:rPr>
                <w:rFonts w:ascii="华文仿宋" w:hAnsi="华文仿宋" w:cs="宋体"/>
                <w:kern w:val="0"/>
                <w:szCs w:val="28"/>
              </w:rPr>
              <w:t>GB31247-2014</w:t>
            </w:r>
          </w:p>
        </w:tc>
        <w:tc>
          <w:tcPr>
            <w:tcW w:w="5437" w:type="dxa"/>
            <w:tcBorders>
              <w:top w:val="nil"/>
              <w:left w:val="nil"/>
              <w:bottom w:val="nil"/>
              <w:right w:val="nil"/>
            </w:tcBorders>
            <w:shd w:val="clear" w:color="auto" w:fill="auto"/>
          </w:tcPr>
          <w:p>
            <w:pPr>
              <w:widowControl/>
              <w:ind w:firstLine="560"/>
              <w:rPr>
                <w:rFonts w:ascii="华文仿宋" w:hAnsi="华文仿宋" w:cs="宋体"/>
                <w:kern w:val="0"/>
                <w:szCs w:val="28"/>
              </w:rPr>
            </w:pPr>
            <w:r>
              <w:rPr>
                <w:rFonts w:hint="eastAsia" w:ascii="华文仿宋" w:hAnsi="华文仿宋" w:cs="宋体"/>
                <w:kern w:val="0"/>
                <w:szCs w:val="28"/>
              </w:rPr>
              <w:t>《电缆及光缆燃烧性能分级》</w:t>
            </w:r>
          </w:p>
        </w:tc>
      </w:tr>
      <w:tr>
        <w:tblPrEx>
          <w:tblCellMar>
            <w:top w:w="0" w:type="dxa"/>
            <w:left w:w="108" w:type="dxa"/>
            <w:bottom w:w="0" w:type="dxa"/>
            <w:right w:w="108" w:type="dxa"/>
          </w:tblCellMar>
        </w:tblPrEx>
        <w:trPr>
          <w:trHeight w:val="1050" w:hRule="atLeast"/>
        </w:trPr>
        <w:tc>
          <w:tcPr>
            <w:tcW w:w="3085" w:type="dxa"/>
            <w:tcBorders>
              <w:top w:val="nil"/>
              <w:left w:val="nil"/>
              <w:bottom w:val="nil"/>
              <w:right w:val="nil"/>
            </w:tcBorders>
            <w:shd w:val="clear" w:color="auto" w:fill="auto"/>
            <w:noWrap/>
          </w:tcPr>
          <w:p>
            <w:pPr>
              <w:widowControl/>
              <w:ind w:firstLine="280" w:firstLineChars="100"/>
              <w:rPr>
                <w:rFonts w:ascii="华文仿宋" w:hAnsi="华文仿宋" w:cs="宋体"/>
                <w:kern w:val="0"/>
                <w:szCs w:val="28"/>
              </w:rPr>
            </w:pPr>
            <w:r>
              <w:rPr>
                <w:rFonts w:ascii="华文仿宋" w:hAnsi="华文仿宋" w:cs="宋体"/>
                <w:kern w:val="0"/>
                <w:szCs w:val="28"/>
              </w:rPr>
              <w:t>JGJ 16-2008</w:t>
            </w:r>
          </w:p>
        </w:tc>
        <w:tc>
          <w:tcPr>
            <w:tcW w:w="5437" w:type="dxa"/>
            <w:tcBorders>
              <w:top w:val="nil"/>
              <w:left w:val="nil"/>
              <w:bottom w:val="nil"/>
              <w:right w:val="nil"/>
            </w:tcBorders>
            <w:shd w:val="clear" w:color="auto" w:fill="auto"/>
          </w:tcPr>
          <w:p>
            <w:pPr>
              <w:widowControl/>
              <w:ind w:firstLine="560"/>
              <w:rPr>
                <w:rFonts w:hint="eastAsia" w:ascii="华文仿宋" w:hAnsi="华文仿宋" w:cs="宋体"/>
                <w:kern w:val="0"/>
                <w:szCs w:val="28"/>
              </w:rPr>
            </w:pPr>
            <w:r>
              <w:rPr>
                <w:rFonts w:hint="eastAsia" w:ascii="华文仿宋" w:hAnsi="华文仿宋" w:cs="宋体"/>
                <w:kern w:val="0"/>
                <w:szCs w:val="28"/>
              </w:rPr>
              <w:t>《民用建筑电气设计规范》</w:t>
            </w:r>
          </w:p>
        </w:tc>
      </w:tr>
      <w:tr>
        <w:tblPrEx>
          <w:tblCellMar>
            <w:top w:w="0" w:type="dxa"/>
            <w:left w:w="108" w:type="dxa"/>
            <w:bottom w:w="0" w:type="dxa"/>
            <w:right w:w="108" w:type="dxa"/>
          </w:tblCellMar>
        </w:tblPrEx>
        <w:trPr>
          <w:trHeight w:val="1050" w:hRule="atLeast"/>
        </w:trPr>
        <w:tc>
          <w:tcPr>
            <w:tcW w:w="3085" w:type="dxa"/>
            <w:tcBorders>
              <w:top w:val="nil"/>
              <w:left w:val="nil"/>
              <w:bottom w:val="nil"/>
              <w:right w:val="nil"/>
            </w:tcBorders>
            <w:shd w:val="clear" w:color="auto" w:fill="auto"/>
            <w:noWrap/>
          </w:tcPr>
          <w:p>
            <w:pPr>
              <w:widowControl/>
              <w:ind w:firstLine="280" w:firstLineChars="100"/>
              <w:rPr>
                <w:rFonts w:hint="eastAsia" w:ascii="华文仿宋" w:hAnsi="华文仿宋" w:cs="宋体"/>
                <w:kern w:val="0"/>
                <w:szCs w:val="28"/>
              </w:rPr>
            </w:pPr>
            <w:r>
              <w:rPr>
                <w:rFonts w:ascii="华文仿宋" w:hAnsi="华文仿宋" w:cs="宋体"/>
                <w:kern w:val="0"/>
                <w:szCs w:val="28"/>
              </w:rPr>
              <w:t>DBJ/T 15-226-2021</w:t>
            </w:r>
          </w:p>
        </w:tc>
        <w:tc>
          <w:tcPr>
            <w:tcW w:w="5437" w:type="dxa"/>
            <w:tcBorders>
              <w:top w:val="nil"/>
              <w:left w:val="nil"/>
              <w:bottom w:val="nil"/>
              <w:right w:val="nil"/>
            </w:tcBorders>
            <w:shd w:val="clear" w:color="auto" w:fill="auto"/>
          </w:tcPr>
          <w:p>
            <w:pPr>
              <w:widowControl/>
              <w:ind w:firstLine="198" w:firstLineChars="71"/>
              <w:rPr>
                <w:rFonts w:hint="eastAsia" w:ascii="华文仿宋" w:hAnsi="华文仿宋" w:cs="宋体"/>
                <w:kern w:val="0"/>
                <w:szCs w:val="28"/>
              </w:rPr>
            </w:pPr>
            <w:r>
              <w:rPr>
                <w:rFonts w:hint="eastAsia" w:ascii="华文仿宋" w:hAnsi="华文仿宋" w:cs="宋体"/>
                <w:kern w:val="0"/>
                <w:szCs w:val="28"/>
              </w:rPr>
              <w:t>《民用建筑电线电缆防火技术规程》</w:t>
            </w:r>
          </w:p>
        </w:tc>
      </w:tr>
    </w:tbl>
    <w:p>
      <w:pPr>
        <w:pStyle w:val="338"/>
        <w:spacing w:before="12" w:beforeLines="5" w:line="360" w:lineRule="auto"/>
        <w:ind w:firstLine="561" w:firstLineChars="200"/>
        <w:rPr>
          <w:rFonts w:ascii="华文仿宋" w:hAnsi="华文仿宋" w:eastAsia="华文仿宋"/>
          <w:b/>
          <w:color w:val="auto"/>
          <w:sz w:val="28"/>
          <w:szCs w:val="28"/>
        </w:rPr>
      </w:pPr>
      <w:r>
        <w:rPr>
          <w:rFonts w:ascii="华文仿宋" w:hAnsi="华文仿宋" w:eastAsia="华文仿宋"/>
          <w:b/>
          <w:color w:val="auto"/>
          <w:sz w:val="28"/>
          <w:szCs w:val="28"/>
        </w:rPr>
        <w:t>2.2 产品要求</w:t>
      </w:r>
    </w:p>
    <w:p>
      <w:pPr>
        <w:pStyle w:val="338"/>
        <w:spacing w:before="12" w:beforeLines="5" w:line="360" w:lineRule="auto"/>
        <w:ind w:firstLine="561" w:firstLineChars="200"/>
        <w:rPr>
          <w:rFonts w:ascii="华文仿宋" w:hAnsi="华文仿宋" w:eastAsia="华文仿宋"/>
          <w:b/>
          <w:color w:val="auto"/>
          <w:sz w:val="28"/>
          <w:szCs w:val="28"/>
        </w:rPr>
      </w:pPr>
      <w:r>
        <w:rPr>
          <w:rFonts w:ascii="华文仿宋" w:hAnsi="华文仿宋" w:eastAsia="华文仿宋"/>
          <w:b/>
          <w:color w:val="auto"/>
          <w:sz w:val="28"/>
          <w:szCs w:val="28"/>
        </w:rPr>
        <w:t>CQC 自愿性安全认证证书</w:t>
      </w:r>
    </w:p>
    <w:p>
      <w:pPr>
        <w:pStyle w:val="338"/>
        <w:spacing w:before="12" w:beforeLines="5" w:line="360" w:lineRule="auto"/>
        <w:ind w:firstLine="561" w:firstLineChars="200"/>
        <w:rPr>
          <w:rFonts w:ascii="华文仿宋" w:hAnsi="华文仿宋" w:eastAsia="华文仿宋"/>
          <w:b/>
          <w:color w:val="auto"/>
          <w:sz w:val="28"/>
          <w:szCs w:val="28"/>
        </w:rPr>
      </w:pPr>
      <w:r>
        <w:rPr>
          <w:rFonts w:ascii="华文仿宋" w:hAnsi="华文仿宋" w:eastAsia="华文仿宋"/>
          <w:b/>
          <w:color w:val="auto"/>
          <w:sz w:val="28"/>
          <w:szCs w:val="28"/>
        </w:rPr>
        <w:t>公安部消防研究所的型式试验报告</w:t>
      </w:r>
    </w:p>
    <w:p>
      <w:pPr>
        <w:pStyle w:val="338"/>
        <w:spacing w:before="12" w:beforeLines="5" w:line="360" w:lineRule="auto"/>
        <w:ind w:firstLine="561" w:firstLineChars="200"/>
        <w:rPr>
          <w:rFonts w:ascii="华文仿宋" w:hAnsi="华文仿宋" w:eastAsia="华文仿宋"/>
          <w:b/>
          <w:color w:val="auto"/>
          <w:sz w:val="28"/>
          <w:szCs w:val="28"/>
        </w:rPr>
      </w:pPr>
      <w:r>
        <w:rPr>
          <w:rFonts w:ascii="华文仿宋" w:hAnsi="华文仿宋" w:eastAsia="华文仿宋"/>
          <w:b/>
          <w:color w:val="auto"/>
          <w:sz w:val="28"/>
          <w:szCs w:val="28"/>
        </w:rPr>
        <w:t>中国电线电缆检测中心电缆、终端、中间联接附件的检测报告</w:t>
      </w:r>
    </w:p>
    <w:p>
      <w:pPr>
        <w:pStyle w:val="338"/>
        <w:spacing w:before="12" w:beforeLines="5" w:line="360" w:lineRule="auto"/>
        <w:ind w:firstLine="561" w:firstLineChars="200"/>
        <w:rPr>
          <w:rFonts w:ascii="华文仿宋" w:hAnsi="华文仿宋" w:eastAsia="华文仿宋"/>
          <w:b/>
          <w:color w:val="auto"/>
          <w:sz w:val="28"/>
          <w:szCs w:val="28"/>
        </w:rPr>
      </w:pPr>
      <w:r>
        <w:rPr>
          <w:rFonts w:ascii="华文仿宋" w:hAnsi="华文仿宋" w:eastAsia="华文仿宋"/>
          <w:b/>
          <w:color w:val="auto"/>
          <w:sz w:val="28"/>
          <w:szCs w:val="28"/>
        </w:rPr>
        <w:t>防爆认证检测报告相关项目的用户意见证明</w:t>
      </w:r>
    </w:p>
    <w:p>
      <w:pPr>
        <w:pStyle w:val="3"/>
        <w:adjustRightInd w:val="0"/>
        <w:snapToGrid w:val="0"/>
        <w:spacing w:before="240" w:line="415" w:lineRule="auto"/>
        <w:ind w:firstLine="561"/>
        <w:rPr>
          <w:rFonts w:ascii="华文仿宋" w:hAnsi="华文仿宋" w:cs="仿宋_GB2312"/>
          <w:szCs w:val="28"/>
        </w:rPr>
      </w:pPr>
      <w:bookmarkStart w:id="74" w:name="_Toc9008442"/>
      <w:bookmarkStart w:id="75" w:name="_Toc9006374"/>
      <w:bookmarkStart w:id="76" w:name="_Toc10420"/>
      <w:r>
        <w:rPr>
          <w:rFonts w:ascii="华文仿宋" w:hAnsi="华文仿宋" w:cs="仿宋_GB2312"/>
          <w:szCs w:val="28"/>
        </w:rPr>
        <w:t>3矿物绝缘</w:t>
      </w:r>
      <w:r>
        <w:rPr>
          <w:rFonts w:hint="eastAsia" w:ascii="华文仿宋" w:hAnsi="华文仿宋" w:cs="仿宋_GB2312"/>
          <w:szCs w:val="28"/>
        </w:rPr>
        <w:t>类不燃性</w:t>
      </w:r>
      <w:r>
        <w:rPr>
          <w:rFonts w:ascii="华文仿宋" w:hAnsi="华文仿宋" w:cs="仿宋_GB2312"/>
          <w:szCs w:val="28"/>
        </w:rPr>
        <w:t>电缆技术参数</w:t>
      </w:r>
      <w:bookmarkEnd w:id="74"/>
      <w:bookmarkEnd w:id="75"/>
      <w:bookmarkEnd w:id="76"/>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3.1使用特性</w:t>
      </w:r>
    </w:p>
    <w:p>
      <w:pPr>
        <w:spacing w:before="12" w:beforeLines="5"/>
        <w:ind w:firstLine="560"/>
        <w:rPr>
          <w:rFonts w:ascii="华文仿宋" w:hAnsi="华文仿宋"/>
          <w:szCs w:val="28"/>
        </w:rPr>
      </w:pPr>
      <w:r>
        <w:rPr>
          <w:rFonts w:ascii="华文仿宋" w:hAnsi="华文仿宋"/>
          <w:szCs w:val="28"/>
        </w:rPr>
        <w:t>在250℃ 高温下，电缆正常工作。</w:t>
      </w:r>
    </w:p>
    <w:p>
      <w:pPr>
        <w:spacing w:before="12" w:beforeLines="5"/>
        <w:ind w:firstLine="560"/>
        <w:rPr>
          <w:rFonts w:ascii="华文仿宋" w:hAnsi="华文仿宋"/>
          <w:szCs w:val="28"/>
        </w:rPr>
      </w:pPr>
      <w:r>
        <w:rPr>
          <w:rFonts w:ascii="华文仿宋" w:hAnsi="华文仿宋"/>
          <w:szCs w:val="28"/>
        </w:rPr>
        <w:t>在950℃ 时，电缆维持正常运行180分钟。</w:t>
      </w:r>
    </w:p>
    <w:p>
      <w:pPr>
        <w:spacing w:before="12" w:beforeLines="5"/>
        <w:ind w:firstLine="560"/>
        <w:rPr>
          <w:rFonts w:ascii="华文仿宋" w:hAnsi="华文仿宋"/>
          <w:szCs w:val="28"/>
        </w:rPr>
      </w:pPr>
      <w:r>
        <w:rPr>
          <w:rFonts w:ascii="华文仿宋" w:hAnsi="华文仿宋"/>
          <w:szCs w:val="28"/>
        </w:rPr>
        <w:t>电缆弯曲半径小于20倍电缆的实际外径。</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3.2运行环境条件</w:t>
      </w:r>
    </w:p>
    <w:p>
      <w:pPr>
        <w:spacing w:before="12" w:beforeLines="5"/>
        <w:ind w:firstLine="560"/>
        <w:rPr>
          <w:rFonts w:ascii="华文仿宋" w:hAnsi="华文仿宋"/>
          <w:szCs w:val="28"/>
        </w:rPr>
      </w:pPr>
      <w:r>
        <w:rPr>
          <w:rFonts w:ascii="华文仿宋" w:hAnsi="华文仿宋"/>
          <w:szCs w:val="28"/>
        </w:rPr>
        <w:t>矿物绝缘电缆能在以下运行环境中正常运行：</w:t>
      </w:r>
    </w:p>
    <w:p>
      <w:pPr>
        <w:spacing w:before="12" w:beforeLines="5"/>
        <w:ind w:firstLine="560"/>
        <w:rPr>
          <w:rFonts w:ascii="华文仿宋" w:hAnsi="华文仿宋"/>
          <w:szCs w:val="28"/>
        </w:rPr>
      </w:pPr>
      <w:r>
        <w:rPr>
          <w:rFonts w:ascii="华文仿宋" w:hAnsi="华文仿宋"/>
          <w:szCs w:val="28"/>
        </w:rPr>
        <w:t>环境温度：-5℃-40℃</w:t>
      </w:r>
    </w:p>
    <w:p>
      <w:pPr>
        <w:spacing w:before="12" w:beforeLines="5"/>
        <w:ind w:firstLine="560"/>
        <w:rPr>
          <w:rFonts w:ascii="华文仿宋" w:hAnsi="华文仿宋"/>
          <w:szCs w:val="28"/>
        </w:rPr>
      </w:pPr>
      <w:r>
        <w:rPr>
          <w:rFonts w:ascii="华文仿宋" w:hAnsi="华文仿宋"/>
          <w:szCs w:val="28"/>
        </w:rPr>
        <w:t>运输和存储温度：－25℃~55℃</w:t>
      </w:r>
    </w:p>
    <w:p>
      <w:pPr>
        <w:spacing w:before="12" w:beforeLines="5"/>
        <w:ind w:firstLine="560"/>
        <w:rPr>
          <w:rFonts w:ascii="华文仿宋" w:hAnsi="华文仿宋"/>
          <w:szCs w:val="28"/>
        </w:rPr>
      </w:pPr>
      <w:r>
        <w:rPr>
          <w:rFonts w:ascii="华文仿宋" w:hAnsi="华文仿宋"/>
          <w:szCs w:val="28"/>
        </w:rPr>
        <w:t>3.3技术规格及要求</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3.3.1导体</w:t>
      </w:r>
    </w:p>
    <w:p>
      <w:pPr>
        <w:pStyle w:val="338"/>
        <w:spacing w:before="12" w:beforeLines="5" w:line="360" w:lineRule="auto"/>
        <w:ind w:left="179" w:leftChars="64" w:firstLine="518" w:firstLineChars="185"/>
        <w:rPr>
          <w:rFonts w:ascii="华文仿宋" w:hAnsi="华文仿宋" w:eastAsia="华文仿宋"/>
          <w:color w:val="auto"/>
          <w:sz w:val="28"/>
          <w:szCs w:val="28"/>
        </w:rPr>
      </w:pPr>
      <w:r>
        <w:rPr>
          <w:rFonts w:ascii="华文仿宋" w:hAnsi="华文仿宋" w:eastAsia="华文仿宋"/>
          <w:color w:val="auto"/>
          <w:sz w:val="28"/>
          <w:szCs w:val="28"/>
        </w:rPr>
        <w:t>导体表面光洁、无</w:t>
      </w:r>
      <w:r>
        <w:rPr>
          <w:rFonts w:ascii="华文仿宋" w:hAnsi="华文仿宋" w:eastAsia="华文仿宋"/>
          <w:color w:val="auto"/>
          <w:kern w:val="2"/>
          <w:sz w:val="28"/>
          <w:szCs w:val="28"/>
        </w:rPr>
        <w:t>油污、无损伤屏蔽及绝缘的毛刺、锐边，无突起或断裂的单线。导体采用不低于GB5231规定的TU2级或T2级的退火铜材料，含铜量不小于99.</w:t>
      </w:r>
      <w:r>
        <w:rPr>
          <w:rFonts w:ascii="华文仿宋" w:hAnsi="华文仿宋" w:eastAsia="华文仿宋"/>
          <w:color w:val="auto"/>
          <w:sz w:val="28"/>
          <w:szCs w:val="28"/>
        </w:rPr>
        <w:t>99％，且具有近似圆形的实芯截面。</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3.3.2检验报告</w:t>
      </w:r>
    </w:p>
    <w:p>
      <w:pPr>
        <w:pStyle w:val="338"/>
        <w:spacing w:before="12" w:beforeLines="5" w:line="360" w:lineRule="auto"/>
        <w:ind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提供国家电线电缆质量监督检验中心颁发的矿物绝缘电缆的检验报告。</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3.3.3安装后的电气试验：电缆线路工频耐压交流2500V/1min。</w:t>
      </w:r>
    </w:p>
    <w:p>
      <w:pPr>
        <w:pStyle w:val="3"/>
        <w:adjustRightInd w:val="0"/>
        <w:snapToGrid w:val="0"/>
        <w:spacing w:before="240" w:line="415" w:lineRule="auto"/>
        <w:ind w:firstLine="561"/>
        <w:rPr>
          <w:rFonts w:ascii="华文仿宋" w:hAnsi="华文仿宋" w:cs="仿宋_GB2312"/>
          <w:szCs w:val="28"/>
        </w:rPr>
      </w:pPr>
      <w:bookmarkStart w:id="77" w:name="_Toc11595"/>
      <w:bookmarkStart w:id="78" w:name="_Toc9006375"/>
      <w:bookmarkStart w:id="79" w:name="_Toc9008443"/>
      <w:r>
        <w:rPr>
          <w:rFonts w:ascii="华文仿宋" w:hAnsi="华文仿宋" w:cs="仿宋_GB2312"/>
          <w:szCs w:val="28"/>
        </w:rPr>
        <w:t>4低烟无卤型电缆</w:t>
      </w:r>
      <w:r>
        <w:rPr>
          <w:rFonts w:hint="eastAsia" w:ascii="华文仿宋" w:hAnsi="华文仿宋" w:cs="仿宋_GB2312"/>
          <w:szCs w:val="28"/>
        </w:rPr>
        <w:t>技术参数</w:t>
      </w:r>
      <w:bookmarkEnd w:id="77"/>
      <w:bookmarkEnd w:id="78"/>
      <w:bookmarkEnd w:id="79"/>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4.1技术标准</w:t>
      </w:r>
    </w:p>
    <w:p>
      <w:pPr>
        <w:pStyle w:val="338"/>
        <w:spacing w:before="12" w:beforeLines="5" w:line="360" w:lineRule="auto"/>
        <w:ind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绝缘及护套均采用低烟无卤阻燃聚乙烯，绝缘层采用交联工艺；</w:t>
      </w:r>
    </w:p>
    <w:p>
      <w:pPr>
        <w:pStyle w:val="338"/>
        <w:spacing w:before="12" w:beforeLines="5" w:line="360" w:lineRule="auto"/>
        <w:ind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线芯长期允许工作温度90℃；</w:t>
      </w:r>
    </w:p>
    <w:p>
      <w:pPr>
        <w:pStyle w:val="338"/>
        <w:spacing w:before="12" w:beforeLines="5" w:line="360" w:lineRule="auto"/>
        <w:ind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绝缘须通过GB/T12706-2002 90℃浸水绝缘电阻试验；</w:t>
      </w:r>
    </w:p>
    <w:p>
      <w:pPr>
        <w:pStyle w:val="338"/>
        <w:spacing w:before="12" w:beforeLines="5" w:line="360" w:lineRule="auto"/>
        <w:ind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短路时(最长持续时间不超过5s)电缆导体的最高温度不超过250</w:t>
      </w:r>
      <w:r>
        <w:rPr>
          <w:rFonts w:ascii="华文仿宋" w:hAnsi="华文仿宋"/>
          <w:color w:val="auto"/>
          <w:szCs w:val="28"/>
        </w:rPr>
        <w:t>℃</w:t>
      </w:r>
      <w:r>
        <w:rPr>
          <w:rFonts w:ascii="华文仿宋" w:hAnsi="华文仿宋" w:eastAsia="华文仿宋"/>
          <w:color w:val="auto"/>
          <w:sz w:val="28"/>
          <w:szCs w:val="28"/>
        </w:rPr>
        <w:t>。</w:t>
      </w:r>
    </w:p>
    <w:p>
      <w:pPr>
        <w:pStyle w:val="338"/>
        <w:spacing w:before="12" w:beforeLines="5" w:line="360" w:lineRule="auto"/>
        <w:ind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电缆燃烧时透光率≥70%；</w:t>
      </w:r>
    </w:p>
    <w:p>
      <w:pPr>
        <w:pStyle w:val="338"/>
        <w:spacing w:before="12" w:beforeLines="5" w:line="360" w:lineRule="auto"/>
        <w:ind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绝缘PH值≥4.3；</w:t>
      </w:r>
    </w:p>
    <w:p>
      <w:pPr>
        <w:pStyle w:val="338"/>
        <w:spacing w:before="12" w:beforeLines="5" w:line="360" w:lineRule="auto"/>
        <w:ind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卤素含量为零；</w:t>
      </w:r>
    </w:p>
    <w:p>
      <w:pPr>
        <w:pStyle w:val="338"/>
        <w:spacing w:before="12" w:beforeLines="5" w:line="360" w:lineRule="auto"/>
        <w:ind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阻燃性能要求按照GB/T12666－2008《电线电缆燃烧试验方法 第5部分：成束燃烧试验方法》及IEC60332－3：2000规定的试验条件，要求达A级阻燃电缆标准，氧指数不低于38。</w:t>
      </w:r>
    </w:p>
    <w:p>
      <w:pPr>
        <w:pStyle w:val="338"/>
        <w:spacing w:before="12" w:beforeLines="5" w:line="360" w:lineRule="auto"/>
        <w:ind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所使用产品必须获得国家产品免检证书、中国名牌产品证书及CCC中国国家强制性产品认证证书，并且获得公安消防部门检验合格证书。生产企业必须已通 过ISO9001：2000质量管理体系认证。</w:t>
      </w:r>
    </w:p>
    <w:p>
      <w:pPr>
        <w:pStyle w:val="3"/>
        <w:adjustRightInd w:val="0"/>
        <w:snapToGrid w:val="0"/>
        <w:spacing w:before="240" w:line="415" w:lineRule="auto"/>
        <w:ind w:firstLine="561"/>
        <w:rPr>
          <w:rFonts w:ascii="华文仿宋" w:hAnsi="华文仿宋" w:cs="仿宋_GB2312"/>
          <w:szCs w:val="28"/>
        </w:rPr>
      </w:pPr>
      <w:bookmarkStart w:id="80" w:name="_Toc9008444"/>
      <w:bookmarkStart w:id="81" w:name="_Toc31863"/>
      <w:bookmarkStart w:id="82" w:name="_Toc9006376"/>
      <w:r>
        <w:rPr>
          <w:rFonts w:ascii="华文仿宋" w:hAnsi="华文仿宋" w:cs="仿宋_GB2312"/>
          <w:szCs w:val="28"/>
        </w:rPr>
        <w:t>5电缆接头附件</w:t>
      </w:r>
      <w:bookmarkEnd w:id="80"/>
      <w:bookmarkEnd w:id="81"/>
      <w:bookmarkEnd w:id="82"/>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5.1 10kV电力电缆采用热缩材料电缆附件（质量轻、体积小、按装方便、运行可靠），根据电缆种类和敷设场所选配相应种类的电缆附件（包括中间头、终端 头）。</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5.2 户内、外1kV电力电缆采用的电缆附件如下：</w:t>
      </w:r>
    </w:p>
    <w:p>
      <w:pPr>
        <w:pStyle w:val="338"/>
        <w:spacing w:before="12" w:beforeLines="5" w:line="360" w:lineRule="auto"/>
        <w:ind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分支手套：采用黑色软质聚氯乙烯塑料注射成形，用于户外电缆终端头上。</w:t>
      </w:r>
    </w:p>
    <w:p>
      <w:pPr>
        <w:pStyle w:val="338"/>
        <w:spacing w:before="12" w:beforeLines="5" w:line="360" w:lineRule="auto"/>
        <w:ind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雨罩：采用黑色或蓝色软质聚氯乙烯塑料注射成形，用于户外电缆终端头上。</w:t>
      </w:r>
    </w:p>
    <w:p>
      <w:pPr>
        <w:pStyle w:val="338"/>
        <w:spacing w:before="12" w:beforeLines="5" w:line="360" w:lineRule="auto"/>
        <w:ind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粘性橡胶带：采用J系列丁基自粘性橡胶带，用于电缆终端头和中间连接头 绝缘的防水密封处理。</w:t>
      </w:r>
    </w:p>
    <w:p>
      <w:pPr>
        <w:pStyle w:val="338"/>
        <w:spacing w:before="12" w:beforeLines="5" w:line="360" w:lineRule="auto"/>
        <w:ind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内电缆附件：采用NTH系列户内环氧树脂电缆终端头。</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5.3 电缆接线端子：采用DT系列铜质接线端子。</w:t>
      </w:r>
    </w:p>
    <w:p>
      <w:pPr>
        <w:pStyle w:val="338"/>
        <w:spacing w:before="12" w:beforeLines="5" w:line="360" w:lineRule="auto"/>
        <w:ind w:left="64" w:firstLine="560"/>
        <w:rPr>
          <w:rFonts w:ascii="华文仿宋" w:hAnsi="华文仿宋" w:eastAsia="华文仿宋"/>
          <w:color w:val="auto"/>
          <w:sz w:val="28"/>
          <w:szCs w:val="28"/>
        </w:rPr>
      </w:pPr>
      <w:r>
        <w:rPr>
          <w:rFonts w:ascii="华文仿宋" w:hAnsi="华文仿宋" w:eastAsia="华文仿宋"/>
          <w:color w:val="auto"/>
          <w:sz w:val="28"/>
          <w:szCs w:val="28"/>
        </w:rPr>
        <w:t>5.4 所使用产品必须获得国家产品免检证书、中国名牌产品证书及CCC中国国家强制 性产品认证证书，并且获得公安消防部门检验合格证书。生产企业必须已通过 ISO9001：2000质量管理体系认证。</w:t>
      </w:r>
    </w:p>
    <w:p>
      <w:pPr>
        <w:pStyle w:val="338"/>
        <w:spacing w:before="12" w:beforeLines="5" w:line="360" w:lineRule="auto"/>
        <w:ind w:left="64" w:firstLine="560"/>
        <w:rPr>
          <w:rFonts w:ascii="华文仿宋" w:hAnsi="华文仿宋" w:eastAsia="华文仿宋"/>
          <w:color w:val="auto"/>
          <w:sz w:val="28"/>
          <w:szCs w:val="28"/>
        </w:rPr>
      </w:pPr>
    </w:p>
    <w:p>
      <w:pPr>
        <w:pStyle w:val="79"/>
        <w:ind w:firstLine="561"/>
        <w:rPr>
          <w:rFonts w:ascii="华文仿宋" w:hAnsi="华文仿宋"/>
          <w:szCs w:val="28"/>
          <w:highlight w:val="red"/>
        </w:rPr>
      </w:pPr>
      <w:r>
        <w:rPr>
          <w:rFonts w:ascii="华文仿宋" w:hAnsi="华文仿宋"/>
          <w:szCs w:val="28"/>
        </w:rPr>
        <w:br w:type="page"/>
      </w:r>
      <w:bookmarkStart w:id="83" w:name="_Toc7815"/>
      <w:bookmarkStart w:id="84" w:name="_Toc27495658"/>
      <w:bookmarkStart w:id="85" w:name="_Toc29775"/>
      <w:r>
        <w:rPr>
          <w:rFonts w:hint="eastAsia" w:ascii="华文仿宋" w:hAnsi="华文仿宋"/>
          <w:szCs w:val="28"/>
          <w:lang w:val="en-US" w:eastAsia="zh-CN"/>
        </w:rPr>
        <w:t>四</w:t>
      </w:r>
      <w:r>
        <w:rPr>
          <w:rFonts w:ascii="华文仿宋" w:hAnsi="华文仿宋"/>
          <w:szCs w:val="28"/>
        </w:rPr>
        <w:t xml:space="preserve"> </w:t>
      </w:r>
      <w:bookmarkEnd w:id="83"/>
      <w:r>
        <w:rPr>
          <w:rFonts w:hint="eastAsia" w:ascii="华文仿宋" w:hAnsi="华文仿宋"/>
          <w:szCs w:val="28"/>
        </w:rPr>
        <w:t>金属</w:t>
      </w:r>
      <w:r>
        <w:rPr>
          <w:rFonts w:ascii="华文仿宋" w:hAnsi="华文仿宋"/>
          <w:szCs w:val="28"/>
        </w:rPr>
        <w:t>梯架、托盘和槽盒</w:t>
      </w:r>
      <w:bookmarkEnd w:id="84"/>
      <w:r>
        <w:rPr>
          <w:rFonts w:hint="eastAsia" w:ascii="华文仿宋" w:hAnsi="华文仿宋"/>
          <w:szCs w:val="28"/>
        </w:rPr>
        <w:t>、金属电线管</w:t>
      </w:r>
      <w:bookmarkEnd w:id="85"/>
    </w:p>
    <w:p>
      <w:pPr>
        <w:pStyle w:val="3"/>
        <w:adjustRightInd w:val="0"/>
        <w:snapToGrid w:val="0"/>
        <w:spacing w:before="240" w:line="415" w:lineRule="auto"/>
        <w:ind w:firstLine="561"/>
        <w:rPr>
          <w:rFonts w:ascii="华文仿宋" w:hAnsi="华文仿宋" w:cs="仿宋_GB2312"/>
          <w:szCs w:val="28"/>
        </w:rPr>
      </w:pPr>
      <w:bookmarkStart w:id="86" w:name="_Toc27495659"/>
      <w:bookmarkStart w:id="87" w:name="_Toc10275"/>
      <w:r>
        <w:rPr>
          <w:rFonts w:ascii="华文仿宋" w:hAnsi="华文仿宋" w:cs="仿宋_GB2312"/>
          <w:szCs w:val="28"/>
        </w:rPr>
        <w:t>1 总则</w:t>
      </w:r>
      <w:bookmarkEnd w:id="86"/>
      <w:bookmarkEnd w:id="87"/>
    </w:p>
    <w:p>
      <w:pPr>
        <w:pStyle w:val="338"/>
        <w:spacing w:before="12" w:beforeLines="5" w:line="360" w:lineRule="auto"/>
        <w:ind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本章</w:t>
      </w:r>
      <w:r>
        <w:rPr>
          <w:rFonts w:hint="eastAsia" w:ascii="华文仿宋" w:hAnsi="华文仿宋" w:eastAsia="华文仿宋"/>
          <w:color w:val="auto"/>
          <w:sz w:val="28"/>
          <w:szCs w:val="28"/>
        </w:rPr>
        <w:t>为梯</w:t>
      </w:r>
      <w:r>
        <w:rPr>
          <w:rFonts w:ascii="华文仿宋" w:hAnsi="华文仿宋" w:eastAsia="华文仿宋"/>
          <w:color w:val="auto"/>
          <w:sz w:val="28"/>
          <w:szCs w:val="28"/>
        </w:rPr>
        <w:t>架、托盘和槽盒</w:t>
      </w:r>
      <w:r>
        <w:rPr>
          <w:rFonts w:hint="eastAsia" w:ascii="华文仿宋" w:hAnsi="华文仿宋" w:eastAsia="华文仿宋"/>
          <w:color w:val="auto"/>
          <w:sz w:val="28"/>
          <w:szCs w:val="28"/>
        </w:rPr>
        <w:t>、</w:t>
      </w:r>
      <w:r>
        <w:rPr>
          <w:rFonts w:ascii="华文仿宋" w:hAnsi="华文仿宋" w:eastAsia="华文仿宋"/>
          <w:color w:val="auto"/>
          <w:sz w:val="28"/>
          <w:szCs w:val="28"/>
        </w:rPr>
        <w:t>金属电线管的供应、安装、测试、试运行和投入工作。</w:t>
      </w:r>
    </w:p>
    <w:p>
      <w:pPr>
        <w:pStyle w:val="338"/>
        <w:spacing w:before="12" w:beforeLines="5" w:line="360" w:lineRule="auto"/>
        <w:ind w:firstLine="560" w:firstLineChars="200"/>
        <w:rPr>
          <w:rFonts w:ascii="华文仿宋" w:hAnsi="华文仿宋" w:eastAsia="华文仿宋"/>
          <w:color w:val="auto"/>
          <w:sz w:val="28"/>
          <w:szCs w:val="28"/>
        </w:rPr>
      </w:pPr>
      <w:r>
        <w:rPr>
          <w:rFonts w:hint="eastAsia" w:ascii="华文仿宋" w:hAnsi="华文仿宋" w:eastAsia="华文仿宋"/>
          <w:color w:val="auto"/>
          <w:sz w:val="28"/>
          <w:szCs w:val="28"/>
        </w:rPr>
        <w:t>梯</w:t>
      </w:r>
      <w:r>
        <w:rPr>
          <w:rFonts w:ascii="华文仿宋" w:hAnsi="华文仿宋" w:eastAsia="华文仿宋"/>
          <w:color w:val="auto"/>
          <w:sz w:val="28"/>
          <w:szCs w:val="28"/>
        </w:rPr>
        <w:t>架、托盘和槽盒</w:t>
      </w:r>
      <w:r>
        <w:rPr>
          <w:rFonts w:hint="eastAsia" w:ascii="华文仿宋" w:hAnsi="华文仿宋" w:eastAsia="华文仿宋"/>
          <w:color w:val="auto"/>
          <w:sz w:val="28"/>
          <w:szCs w:val="28"/>
        </w:rPr>
        <w:t>、</w:t>
      </w:r>
      <w:r>
        <w:rPr>
          <w:rFonts w:ascii="华文仿宋" w:hAnsi="华文仿宋" w:eastAsia="华文仿宋"/>
          <w:color w:val="auto"/>
          <w:sz w:val="28"/>
          <w:szCs w:val="28"/>
        </w:rPr>
        <w:t>金属电线管须采用国产一线品牌产品。</w:t>
      </w:r>
    </w:p>
    <w:p>
      <w:pPr>
        <w:pStyle w:val="338"/>
        <w:spacing w:before="12" w:beforeLines="5" w:line="360" w:lineRule="auto"/>
        <w:ind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所有装置、材料和工艺须符合本设计规定对应的国家规范和批准的相等国际标准及当地有关部门的要求。</w:t>
      </w:r>
    </w:p>
    <w:p>
      <w:pPr>
        <w:pStyle w:val="338"/>
        <w:spacing w:before="12" w:beforeLines="5" w:line="360" w:lineRule="auto"/>
        <w:ind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制造商须具有不少于十年制造同类产品的经验，不少于500万元注册资金；通过ISO9001（或等同）认证。</w:t>
      </w:r>
    </w:p>
    <w:p>
      <w:pPr>
        <w:pStyle w:val="338"/>
        <w:spacing w:before="12" w:beforeLines="5" w:line="360" w:lineRule="auto"/>
        <w:ind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制造商需提供证明符合本设计技术要求的第三方检测资料呈审（参阅技术响应条款），必须对制造商初步进场以及工程进行中的适当阶段，进行现场抽检以确保符合要求。</w:t>
      </w:r>
    </w:p>
    <w:p>
      <w:pPr>
        <w:pStyle w:val="338"/>
        <w:spacing w:before="12" w:beforeLines="5" w:line="360" w:lineRule="auto"/>
        <w:ind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所有同类装置和材料，须为同一制造厂商产品，所有相同项目装备须可互相替换。</w:t>
      </w:r>
    </w:p>
    <w:p>
      <w:pPr>
        <w:pStyle w:val="338"/>
        <w:spacing w:before="12" w:beforeLines="5" w:line="360" w:lineRule="auto"/>
        <w:ind w:firstLine="560" w:firstLineChars="200"/>
        <w:rPr>
          <w:rFonts w:ascii="华文仿宋" w:hAnsi="华文仿宋" w:eastAsia="华文仿宋"/>
          <w:color w:val="auto"/>
          <w:sz w:val="28"/>
          <w:szCs w:val="28"/>
        </w:rPr>
      </w:pPr>
      <w:r>
        <w:rPr>
          <w:rFonts w:hint="eastAsia" w:ascii="华文仿宋" w:hAnsi="华文仿宋" w:eastAsia="华文仿宋"/>
          <w:color w:val="auto"/>
          <w:sz w:val="28"/>
          <w:szCs w:val="28"/>
        </w:rPr>
        <w:t>本章节标准适用于电线电缆安装用的梯架、托盘及槽盒。</w:t>
      </w:r>
    </w:p>
    <w:p>
      <w:pPr>
        <w:pStyle w:val="3"/>
        <w:adjustRightInd w:val="0"/>
        <w:snapToGrid w:val="0"/>
        <w:spacing w:before="240" w:line="415" w:lineRule="auto"/>
        <w:ind w:firstLine="561"/>
        <w:rPr>
          <w:rFonts w:ascii="华文仿宋" w:hAnsi="华文仿宋" w:cs="仿宋_GB2312"/>
          <w:szCs w:val="28"/>
        </w:rPr>
      </w:pPr>
      <w:bookmarkStart w:id="88" w:name="_Toc6212"/>
      <w:bookmarkStart w:id="89" w:name="_Toc27495660"/>
      <w:r>
        <w:rPr>
          <w:rFonts w:ascii="华文仿宋" w:hAnsi="华文仿宋" w:cs="仿宋_GB2312"/>
          <w:szCs w:val="28"/>
        </w:rPr>
        <w:t>2 规范及标准</w:t>
      </w:r>
      <w:bookmarkEnd w:id="88"/>
      <w:bookmarkEnd w:id="89"/>
    </w:p>
    <w:p>
      <w:pPr>
        <w:pStyle w:val="338"/>
        <w:spacing w:before="12" w:beforeLines="5" w:line="360" w:lineRule="auto"/>
        <w:ind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所有设备、安装、材料和工艺须符合下列及以下各项所注明的规则及标准（如下述内容中不为最新版本，应按最新版本采用）：</w:t>
      </w:r>
    </w:p>
    <w:tbl>
      <w:tblPr>
        <w:tblStyle w:val="83"/>
        <w:tblW w:w="8505" w:type="dxa"/>
        <w:jc w:val="center"/>
        <w:tblLayout w:type="autofit"/>
        <w:tblCellMar>
          <w:top w:w="0" w:type="dxa"/>
          <w:left w:w="108" w:type="dxa"/>
          <w:bottom w:w="0" w:type="dxa"/>
          <w:right w:w="108" w:type="dxa"/>
        </w:tblCellMar>
      </w:tblPr>
      <w:tblGrid>
        <w:gridCol w:w="2689"/>
        <w:gridCol w:w="5816"/>
      </w:tblGrid>
      <w:tr>
        <w:tblPrEx>
          <w:tblCellMar>
            <w:top w:w="0" w:type="dxa"/>
            <w:left w:w="108" w:type="dxa"/>
            <w:bottom w:w="0" w:type="dxa"/>
            <w:right w:w="108" w:type="dxa"/>
          </w:tblCellMar>
        </w:tblPrEx>
        <w:trPr>
          <w:trHeight w:val="630" w:hRule="atLeast"/>
          <w:jc w:val="center"/>
        </w:trPr>
        <w:tc>
          <w:tcPr>
            <w:tcW w:w="2689" w:type="dxa"/>
            <w:shd w:val="clear" w:color="auto" w:fill="auto"/>
            <w:noWrap/>
          </w:tcPr>
          <w:p>
            <w:pPr>
              <w:widowControl/>
              <w:spacing w:line="240" w:lineRule="auto"/>
              <w:ind w:firstLine="0" w:firstLineChars="0"/>
              <w:rPr>
                <w:rFonts w:hAnsi="华文仿宋" w:cs="宋体"/>
                <w:kern w:val="0"/>
                <w:szCs w:val="28"/>
              </w:rPr>
            </w:pPr>
            <w:r>
              <w:rPr>
                <w:rFonts w:hAnsi="华文仿宋" w:cs="宋体"/>
                <w:kern w:val="0"/>
                <w:szCs w:val="28"/>
              </w:rPr>
              <w:t>T/CECS 31-2017</w:t>
            </w:r>
          </w:p>
        </w:tc>
        <w:tc>
          <w:tcPr>
            <w:tcW w:w="5816" w:type="dxa"/>
            <w:shd w:val="clear" w:color="auto" w:fill="auto"/>
          </w:tcPr>
          <w:p>
            <w:pPr>
              <w:widowControl/>
              <w:spacing w:line="240" w:lineRule="auto"/>
              <w:ind w:firstLine="0" w:firstLineChars="0"/>
              <w:rPr>
                <w:rFonts w:hAnsi="华文仿宋" w:cs="宋体"/>
                <w:kern w:val="0"/>
                <w:szCs w:val="28"/>
              </w:rPr>
            </w:pPr>
            <w:r>
              <w:rPr>
                <w:rFonts w:hint="eastAsia" w:hAnsi="华文仿宋" w:cs="宋体"/>
                <w:kern w:val="0"/>
                <w:szCs w:val="28"/>
              </w:rPr>
              <w:t>《钢制电缆桥架工程技术规程》</w:t>
            </w:r>
          </w:p>
        </w:tc>
      </w:tr>
      <w:tr>
        <w:tblPrEx>
          <w:tblCellMar>
            <w:top w:w="0" w:type="dxa"/>
            <w:left w:w="108" w:type="dxa"/>
            <w:bottom w:w="0" w:type="dxa"/>
            <w:right w:w="108" w:type="dxa"/>
          </w:tblCellMar>
        </w:tblPrEx>
        <w:trPr>
          <w:trHeight w:val="630" w:hRule="atLeast"/>
          <w:jc w:val="center"/>
        </w:trPr>
        <w:tc>
          <w:tcPr>
            <w:tcW w:w="2689" w:type="dxa"/>
            <w:shd w:val="clear" w:color="auto" w:fill="auto"/>
            <w:noWrap/>
          </w:tcPr>
          <w:p>
            <w:pPr>
              <w:widowControl/>
              <w:spacing w:line="240" w:lineRule="auto"/>
              <w:ind w:firstLine="0" w:firstLineChars="0"/>
              <w:rPr>
                <w:rFonts w:hAnsi="华文仿宋" w:cs="宋体"/>
                <w:kern w:val="0"/>
                <w:szCs w:val="28"/>
              </w:rPr>
            </w:pPr>
            <w:r>
              <w:rPr>
                <w:rFonts w:hAnsi="华文仿宋" w:cs="宋体"/>
                <w:kern w:val="0"/>
                <w:szCs w:val="28"/>
              </w:rPr>
              <w:t>GB/T21762-2008</w:t>
            </w:r>
          </w:p>
        </w:tc>
        <w:tc>
          <w:tcPr>
            <w:tcW w:w="5816" w:type="dxa"/>
            <w:shd w:val="clear" w:color="auto" w:fill="auto"/>
          </w:tcPr>
          <w:p>
            <w:pPr>
              <w:widowControl/>
              <w:spacing w:line="240" w:lineRule="auto"/>
              <w:ind w:firstLine="0" w:firstLineChars="0"/>
              <w:rPr>
                <w:rFonts w:hAnsi="华文仿宋" w:cs="宋体"/>
                <w:kern w:val="0"/>
                <w:szCs w:val="28"/>
              </w:rPr>
            </w:pPr>
            <w:r>
              <w:rPr>
                <w:rFonts w:hint="eastAsia" w:hAnsi="华文仿宋" w:cs="宋体"/>
                <w:kern w:val="0"/>
                <w:szCs w:val="28"/>
              </w:rPr>
              <w:t>《电缆管理</w:t>
            </w:r>
            <w:r>
              <w:rPr>
                <w:rFonts w:hAnsi="华文仿宋" w:cs="宋体"/>
                <w:kern w:val="0"/>
                <w:szCs w:val="28"/>
              </w:rPr>
              <w:t>--</w:t>
            </w:r>
            <w:r>
              <w:rPr>
                <w:rFonts w:hint="eastAsia" w:hAnsi="华文仿宋" w:cs="宋体"/>
                <w:kern w:val="0"/>
                <w:szCs w:val="28"/>
              </w:rPr>
              <w:t>电缆托盘系统和电缆梯架系统》</w:t>
            </w:r>
          </w:p>
        </w:tc>
      </w:tr>
      <w:tr>
        <w:tblPrEx>
          <w:tblCellMar>
            <w:top w:w="0" w:type="dxa"/>
            <w:left w:w="108" w:type="dxa"/>
            <w:bottom w:w="0" w:type="dxa"/>
            <w:right w:w="108" w:type="dxa"/>
          </w:tblCellMar>
        </w:tblPrEx>
        <w:trPr>
          <w:trHeight w:val="630" w:hRule="atLeast"/>
          <w:jc w:val="center"/>
        </w:trPr>
        <w:tc>
          <w:tcPr>
            <w:tcW w:w="2689" w:type="dxa"/>
            <w:shd w:val="clear" w:color="auto" w:fill="auto"/>
            <w:noWrap/>
          </w:tcPr>
          <w:p>
            <w:pPr>
              <w:widowControl/>
              <w:spacing w:line="240" w:lineRule="auto"/>
              <w:ind w:firstLine="0" w:firstLineChars="0"/>
              <w:rPr>
                <w:rFonts w:hAnsi="华文仿宋" w:cs="宋体"/>
                <w:kern w:val="0"/>
                <w:szCs w:val="28"/>
              </w:rPr>
            </w:pPr>
            <w:r>
              <w:rPr>
                <w:rFonts w:hAnsi="华文仿宋" w:cs="宋体"/>
                <w:kern w:val="0"/>
                <w:szCs w:val="28"/>
              </w:rPr>
              <w:t>03S402</w:t>
            </w:r>
          </w:p>
        </w:tc>
        <w:tc>
          <w:tcPr>
            <w:tcW w:w="5816" w:type="dxa"/>
            <w:shd w:val="clear" w:color="auto" w:fill="auto"/>
          </w:tcPr>
          <w:p>
            <w:pPr>
              <w:widowControl/>
              <w:spacing w:line="240" w:lineRule="auto"/>
              <w:ind w:firstLine="0" w:firstLineChars="0"/>
              <w:rPr>
                <w:rFonts w:hAnsi="华文仿宋" w:cs="宋体"/>
                <w:kern w:val="0"/>
                <w:szCs w:val="28"/>
              </w:rPr>
            </w:pPr>
            <w:r>
              <w:rPr>
                <w:rFonts w:hint="eastAsia" w:hAnsi="华文仿宋" w:cs="宋体"/>
                <w:kern w:val="0"/>
                <w:szCs w:val="28"/>
              </w:rPr>
              <w:t>《室内管道支架及吊架》</w:t>
            </w:r>
          </w:p>
        </w:tc>
      </w:tr>
      <w:tr>
        <w:tblPrEx>
          <w:tblCellMar>
            <w:top w:w="0" w:type="dxa"/>
            <w:left w:w="108" w:type="dxa"/>
            <w:bottom w:w="0" w:type="dxa"/>
            <w:right w:w="108" w:type="dxa"/>
          </w:tblCellMar>
        </w:tblPrEx>
        <w:trPr>
          <w:trHeight w:val="630" w:hRule="atLeast"/>
          <w:jc w:val="center"/>
        </w:trPr>
        <w:tc>
          <w:tcPr>
            <w:tcW w:w="2689" w:type="dxa"/>
            <w:shd w:val="clear" w:color="auto" w:fill="auto"/>
            <w:noWrap/>
          </w:tcPr>
          <w:p>
            <w:pPr>
              <w:widowControl/>
              <w:spacing w:line="240" w:lineRule="auto"/>
              <w:ind w:firstLine="0" w:firstLineChars="0"/>
              <w:rPr>
                <w:rFonts w:hAnsi="华文仿宋" w:cs="宋体"/>
                <w:kern w:val="0"/>
                <w:szCs w:val="28"/>
              </w:rPr>
            </w:pPr>
            <w:r>
              <w:rPr>
                <w:rFonts w:hAnsi="华文仿宋" w:cs="宋体"/>
                <w:kern w:val="0"/>
                <w:szCs w:val="28"/>
              </w:rPr>
              <w:t>GB/T19215.1-2003</w:t>
            </w:r>
          </w:p>
        </w:tc>
        <w:tc>
          <w:tcPr>
            <w:tcW w:w="5816" w:type="dxa"/>
            <w:shd w:val="clear" w:color="auto" w:fill="auto"/>
          </w:tcPr>
          <w:p>
            <w:pPr>
              <w:widowControl/>
              <w:spacing w:line="240" w:lineRule="auto"/>
              <w:ind w:firstLine="0" w:firstLineChars="0"/>
              <w:rPr>
                <w:rFonts w:hAnsi="华文仿宋" w:cs="宋体"/>
                <w:kern w:val="0"/>
                <w:szCs w:val="28"/>
              </w:rPr>
            </w:pPr>
            <w:r>
              <w:rPr>
                <w:rFonts w:hint="eastAsia" w:hAnsi="华文仿宋" w:cs="宋体"/>
                <w:kern w:val="0"/>
                <w:szCs w:val="28"/>
              </w:rPr>
              <w:t>《电气安装用电缆槽管系统</w:t>
            </w:r>
            <w:r>
              <w:rPr>
                <w:rFonts w:hAnsi="华文仿宋" w:cs="宋体"/>
                <w:kern w:val="0"/>
                <w:szCs w:val="28"/>
              </w:rPr>
              <w:t xml:space="preserve"> </w:t>
            </w:r>
            <w:r>
              <w:rPr>
                <w:rFonts w:hint="eastAsia" w:hAnsi="华文仿宋" w:cs="宋体"/>
                <w:kern w:val="0"/>
                <w:szCs w:val="28"/>
              </w:rPr>
              <w:t>第</w:t>
            </w:r>
            <w:r>
              <w:rPr>
                <w:rFonts w:hAnsi="华文仿宋" w:cs="宋体"/>
                <w:kern w:val="0"/>
                <w:szCs w:val="28"/>
              </w:rPr>
              <w:t>1</w:t>
            </w:r>
            <w:r>
              <w:rPr>
                <w:rFonts w:hint="eastAsia" w:hAnsi="华文仿宋" w:cs="宋体"/>
                <w:kern w:val="0"/>
                <w:szCs w:val="28"/>
              </w:rPr>
              <w:t>部分：通用要求》</w:t>
            </w:r>
          </w:p>
        </w:tc>
      </w:tr>
      <w:tr>
        <w:tblPrEx>
          <w:tblCellMar>
            <w:top w:w="0" w:type="dxa"/>
            <w:left w:w="108" w:type="dxa"/>
            <w:bottom w:w="0" w:type="dxa"/>
            <w:right w:w="108" w:type="dxa"/>
          </w:tblCellMar>
        </w:tblPrEx>
        <w:trPr>
          <w:trHeight w:val="1002" w:hRule="atLeast"/>
          <w:jc w:val="center"/>
        </w:trPr>
        <w:tc>
          <w:tcPr>
            <w:tcW w:w="2689" w:type="dxa"/>
            <w:shd w:val="clear" w:color="auto" w:fill="auto"/>
            <w:noWrap/>
          </w:tcPr>
          <w:p>
            <w:pPr>
              <w:spacing w:line="240" w:lineRule="auto"/>
              <w:ind w:firstLine="0" w:firstLineChars="0"/>
            </w:pPr>
            <w:r>
              <w:t>GB/T19215.2-2003</w:t>
            </w:r>
          </w:p>
        </w:tc>
        <w:tc>
          <w:tcPr>
            <w:tcW w:w="5816" w:type="dxa"/>
            <w:shd w:val="clear" w:color="auto" w:fill="auto"/>
          </w:tcPr>
          <w:p>
            <w:pPr>
              <w:spacing w:line="240" w:lineRule="auto"/>
              <w:ind w:firstLine="0" w:firstLineChars="0"/>
            </w:pPr>
            <w:r>
              <w:rPr>
                <w:rFonts w:hint="eastAsia"/>
                <w:bCs/>
              </w:rPr>
              <w:t>《电气安装用电缆槽管系统第</w:t>
            </w:r>
            <w:r>
              <w:rPr>
                <w:bCs/>
              </w:rPr>
              <w:t>2</w:t>
            </w:r>
            <w:r>
              <w:rPr>
                <w:rFonts w:hint="eastAsia"/>
                <w:bCs/>
              </w:rPr>
              <w:t>部分：特殊要求 第</w:t>
            </w:r>
            <w:r>
              <w:rPr>
                <w:bCs/>
              </w:rPr>
              <w:t>1</w:t>
            </w:r>
            <w:r>
              <w:rPr>
                <w:rFonts w:hint="eastAsia"/>
                <w:bCs/>
              </w:rPr>
              <w:t>节</w:t>
            </w:r>
            <w:r>
              <w:rPr>
                <w:bCs/>
              </w:rPr>
              <w:t xml:space="preserve">: </w:t>
            </w:r>
            <w:r>
              <w:rPr>
                <w:rFonts w:hint="eastAsia"/>
                <w:bCs/>
              </w:rPr>
              <w:t>用于安装在墙上或天花板上的电缆槽管系统</w:t>
            </w:r>
            <w:r>
              <w:rPr>
                <w:rFonts w:hint="eastAsia"/>
              </w:rPr>
              <w:t>》</w:t>
            </w:r>
          </w:p>
        </w:tc>
      </w:tr>
      <w:tr>
        <w:tblPrEx>
          <w:tblCellMar>
            <w:top w:w="0" w:type="dxa"/>
            <w:left w:w="108" w:type="dxa"/>
            <w:bottom w:w="0" w:type="dxa"/>
            <w:right w:w="108" w:type="dxa"/>
          </w:tblCellMar>
        </w:tblPrEx>
        <w:trPr>
          <w:trHeight w:val="1002" w:hRule="atLeast"/>
          <w:jc w:val="center"/>
        </w:trPr>
        <w:tc>
          <w:tcPr>
            <w:tcW w:w="2689" w:type="dxa"/>
            <w:shd w:val="clear" w:color="auto" w:fill="auto"/>
            <w:noWrap/>
          </w:tcPr>
          <w:p>
            <w:pPr>
              <w:spacing w:line="240" w:lineRule="auto"/>
              <w:ind w:firstLine="0" w:firstLineChars="0"/>
            </w:pPr>
            <w:r>
              <w:t>GB50168-2018</w:t>
            </w:r>
          </w:p>
        </w:tc>
        <w:tc>
          <w:tcPr>
            <w:tcW w:w="5816" w:type="dxa"/>
            <w:shd w:val="clear" w:color="auto" w:fill="auto"/>
          </w:tcPr>
          <w:p>
            <w:pPr>
              <w:spacing w:line="240" w:lineRule="auto"/>
              <w:ind w:firstLine="0" w:firstLineChars="0"/>
              <w:rPr>
                <w:rFonts w:ascii="华文仿宋"/>
                <w:bCs/>
              </w:rPr>
            </w:pPr>
            <w:r>
              <w:rPr>
                <w:rFonts w:hint="eastAsia" w:ascii="华文仿宋"/>
              </w:rPr>
              <w:t>《电气装置安装工程电缆线路施工及验收规范》</w:t>
            </w:r>
          </w:p>
        </w:tc>
      </w:tr>
      <w:tr>
        <w:tblPrEx>
          <w:tblCellMar>
            <w:top w:w="0" w:type="dxa"/>
            <w:left w:w="108" w:type="dxa"/>
            <w:bottom w:w="0" w:type="dxa"/>
            <w:right w:w="108" w:type="dxa"/>
          </w:tblCellMar>
        </w:tblPrEx>
        <w:trPr>
          <w:trHeight w:val="630" w:hRule="atLeast"/>
          <w:jc w:val="center"/>
        </w:trPr>
        <w:tc>
          <w:tcPr>
            <w:tcW w:w="2689" w:type="dxa"/>
            <w:shd w:val="clear" w:color="auto" w:fill="auto"/>
            <w:noWrap/>
          </w:tcPr>
          <w:p>
            <w:pPr>
              <w:spacing w:line="240" w:lineRule="auto"/>
              <w:ind w:firstLine="0" w:firstLineChars="0"/>
            </w:pPr>
            <w:r>
              <w:t>GB1720-1979</w:t>
            </w:r>
          </w:p>
        </w:tc>
        <w:tc>
          <w:tcPr>
            <w:tcW w:w="5816" w:type="dxa"/>
            <w:shd w:val="clear" w:color="auto" w:fill="auto"/>
          </w:tcPr>
          <w:p>
            <w:pPr>
              <w:spacing w:line="240" w:lineRule="auto"/>
              <w:ind w:firstLine="0" w:firstLineChars="0"/>
            </w:pPr>
            <w:r>
              <w:rPr>
                <w:rFonts w:hint="eastAsia"/>
              </w:rPr>
              <w:t>《漆膜附着力测定法》</w:t>
            </w:r>
          </w:p>
        </w:tc>
      </w:tr>
      <w:tr>
        <w:tblPrEx>
          <w:tblCellMar>
            <w:top w:w="0" w:type="dxa"/>
            <w:left w:w="108" w:type="dxa"/>
            <w:bottom w:w="0" w:type="dxa"/>
            <w:right w:w="108" w:type="dxa"/>
          </w:tblCellMar>
        </w:tblPrEx>
        <w:trPr>
          <w:trHeight w:val="630" w:hRule="atLeast"/>
          <w:jc w:val="center"/>
        </w:trPr>
        <w:tc>
          <w:tcPr>
            <w:tcW w:w="2689" w:type="dxa"/>
            <w:shd w:val="clear" w:color="auto" w:fill="auto"/>
            <w:noWrap/>
          </w:tcPr>
          <w:p>
            <w:pPr>
              <w:spacing w:line="240" w:lineRule="auto"/>
              <w:ind w:firstLine="0" w:firstLineChars="0"/>
            </w:pPr>
            <w:r>
              <w:t>GB1731-1993</w:t>
            </w:r>
          </w:p>
        </w:tc>
        <w:tc>
          <w:tcPr>
            <w:tcW w:w="5816" w:type="dxa"/>
            <w:shd w:val="clear" w:color="auto" w:fill="auto"/>
          </w:tcPr>
          <w:p>
            <w:pPr>
              <w:spacing w:line="240" w:lineRule="auto"/>
              <w:ind w:firstLine="0" w:firstLineChars="0"/>
            </w:pPr>
            <w:r>
              <w:rPr>
                <w:rFonts w:hint="eastAsia"/>
              </w:rPr>
              <w:t>《漆膜柔韧性测定法》</w:t>
            </w:r>
          </w:p>
        </w:tc>
      </w:tr>
      <w:tr>
        <w:tblPrEx>
          <w:tblCellMar>
            <w:top w:w="0" w:type="dxa"/>
            <w:left w:w="108" w:type="dxa"/>
            <w:bottom w:w="0" w:type="dxa"/>
            <w:right w:w="108" w:type="dxa"/>
          </w:tblCellMar>
        </w:tblPrEx>
        <w:trPr>
          <w:trHeight w:val="630" w:hRule="atLeast"/>
          <w:jc w:val="center"/>
        </w:trPr>
        <w:tc>
          <w:tcPr>
            <w:tcW w:w="2689" w:type="dxa"/>
            <w:shd w:val="clear" w:color="auto" w:fill="auto"/>
            <w:noWrap/>
          </w:tcPr>
          <w:p>
            <w:pPr>
              <w:spacing w:line="240" w:lineRule="auto"/>
              <w:ind w:firstLine="0" w:firstLineChars="0"/>
            </w:pPr>
            <w:r>
              <w:t>GB1732-1993</w:t>
            </w:r>
          </w:p>
        </w:tc>
        <w:tc>
          <w:tcPr>
            <w:tcW w:w="5816" w:type="dxa"/>
            <w:shd w:val="clear" w:color="auto" w:fill="auto"/>
          </w:tcPr>
          <w:p>
            <w:pPr>
              <w:spacing w:line="240" w:lineRule="auto"/>
              <w:ind w:firstLine="0" w:firstLineChars="0"/>
            </w:pPr>
            <w:r>
              <w:rPr>
                <w:rFonts w:hint="eastAsia"/>
              </w:rPr>
              <w:t>《漆膜耐冲击性测定法》</w:t>
            </w:r>
          </w:p>
        </w:tc>
      </w:tr>
      <w:tr>
        <w:tblPrEx>
          <w:tblCellMar>
            <w:top w:w="0" w:type="dxa"/>
            <w:left w:w="108" w:type="dxa"/>
            <w:bottom w:w="0" w:type="dxa"/>
            <w:right w:w="108" w:type="dxa"/>
          </w:tblCellMar>
        </w:tblPrEx>
        <w:trPr>
          <w:trHeight w:val="630" w:hRule="atLeast"/>
          <w:jc w:val="center"/>
        </w:trPr>
        <w:tc>
          <w:tcPr>
            <w:tcW w:w="2689" w:type="dxa"/>
            <w:shd w:val="clear" w:color="auto" w:fill="auto"/>
            <w:noWrap/>
          </w:tcPr>
          <w:p>
            <w:pPr>
              <w:spacing w:line="240" w:lineRule="auto"/>
              <w:ind w:firstLine="0" w:firstLineChars="0"/>
            </w:pPr>
            <w:r>
              <w:t>GB4208-2017</w:t>
            </w:r>
          </w:p>
        </w:tc>
        <w:tc>
          <w:tcPr>
            <w:tcW w:w="5816" w:type="dxa"/>
            <w:shd w:val="clear" w:color="auto" w:fill="auto"/>
          </w:tcPr>
          <w:p>
            <w:pPr>
              <w:spacing w:line="240" w:lineRule="auto"/>
              <w:ind w:firstLine="0" w:firstLineChars="0"/>
            </w:pPr>
            <w:r>
              <w:rPr>
                <w:rFonts w:hint="eastAsia"/>
              </w:rPr>
              <w:t>《外壳防护等级（</w:t>
            </w:r>
            <w:r>
              <w:t>IP</w:t>
            </w:r>
            <w:r>
              <w:rPr>
                <w:rFonts w:hint="eastAsia"/>
              </w:rPr>
              <w:t>代码）》</w:t>
            </w:r>
          </w:p>
        </w:tc>
      </w:tr>
      <w:tr>
        <w:tblPrEx>
          <w:tblCellMar>
            <w:top w:w="0" w:type="dxa"/>
            <w:left w:w="108" w:type="dxa"/>
            <w:bottom w:w="0" w:type="dxa"/>
            <w:right w:w="108" w:type="dxa"/>
          </w:tblCellMar>
        </w:tblPrEx>
        <w:trPr>
          <w:trHeight w:val="630" w:hRule="atLeast"/>
          <w:jc w:val="center"/>
        </w:trPr>
        <w:tc>
          <w:tcPr>
            <w:tcW w:w="2689" w:type="dxa"/>
            <w:shd w:val="clear" w:color="auto" w:fill="auto"/>
            <w:noWrap/>
          </w:tcPr>
          <w:p>
            <w:pPr>
              <w:spacing w:line="240" w:lineRule="auto"/>
              <w:ind w:firstLine="0" w:firstLineChars="0"/>
            </w:pPr>
            <w:r>
              <w:t>GB4955-2005</w:t>
            </w:r>
          </w:p>
        </w:tc>
        <w:tc>
          <w:tcPr>
            <w:tcW w:w="5816" w:type="dxa"/>
            <w:shd w:val="clear" w:color="auto" w:fill="auto"/>
          </w:tcPr>
          <w:p>
            <w:pPr>
              <w:spacing w:line="240" w:lineRule="auto"/>
              <w:ind w:firstLine="0" w:firstLineChars="0"/>
            </w:pPr>
            <w:r>
              <w:rPr>
                <w:rFonts w:hint="eastAsia"/>
              </w:rPr>
              <w:t>《金属覆盖层覆盖层厚度测量阳极溶解库仓仑法》</w:t>
            </w:r>
          </w:p>
        </w:tc>
      </w:tr>
      <w:tr>
        <w:tblPrEx>
          <w:tblCellMar>
            <w:top w:w="0" w:type="dxa"/>
            <w:left w:w="108" w:type="dxa"/>
            <w:bottom w:w="0" w:type="dxa"/>
            <w:right w:w="108" w:type="dxa"/>
          </w:tblCellMar>
        </w:tblPrEx>
        <w:trPr>
          <w:trHeight w:val="630" w:hRule="atLeast"/>
          <w:jc w:val="center"/>
        </w:trPr>
        <w:tc>
          <w:tcPr>
            <w:tcW w:w="2689" w:type="dxa"/>
            <w:shd w:val="clear" w:color="auto" w:fill="auto"/>
            <w:noWrap/>
          </w:tcPr>
          <w:p>
            <w:pPr>
              <w:spacing w:line="240" w:lineRule="auto"/>
              <w:ind w:firstLine="0" w:firstLineChars="0"/>
            </w:pPr>
            <w:r>
              <w:t>GB4956-2003</w:t>
            </w:r>
          </w:p>
        </w:tc>
        <w:tc>
          <w:tcPr>
            <w:tcW w:w="5816" w:type="dxa"/>
            <w:shd w:val="clear" w:color="auto" w:fill="auto"/>
          </w:tcPr>
          <w:p>
            <w:pPr>
              <w:spacing w:line="240" w:lineRule="auto"/>
              <w:ind w:firstLine="0" w:firstLineChars="0"/>
            </w:pPr>
            <w:r>
              <w:rPr>
                <w:rFonts w:hint="eastAsia"/>
              </w:rPr>
              <w:t>《磁性基体上非磁性覆盖层覆盖层厚度测量磁性法》</w:t>
            </w:r>
          </w:p>
        </w:tc>
      </w:tr>
      <w:tr>
        <w:tblPrEx>
          <w:tblCellMar>
            <w:top w:w="0" w:type="dxa"/>
            <w:left w:w="108" w:type="dxa"/>
            <w:bottom w:w="0" w:type="dxa"/>
            <w:right w:w="108" w:type="dxa"/>
          </w:tblCellMar>
        </w:tblPrEx>
        <w:trPr>
          <w:trHeight w:val="1140" w:hRule="atLeast"/>
          <w:jc w:val="center"/>
        </w:trPr>
        <w:tc>
          <w:tcPr>
            <w:tcW w:w="2689" w:type="dxa"/>
            <w:shd w:val="clear" w:color="auto" w:fill="auto"/>
            <w:noWrap/>
          </w:tcPr>
          <w:p>
            <w:pPr>
              <w:spacing w:line="240" w:lineRule="auto"/>
              <w:ind w:firstLine="0" w:firstLineChars="0"/>
            </w:pPr>
            <w:r>
              <w:t>GB5270-2005</w:t>
            </w:r>
          </w:p>
          <w:p>
            <w:pPr>
              <w:spacing w:line="240" w:lineRule="auto"/>
              <w:ind w:firstLine="0" w:firstLineChars="0"/>
            </w:pPr>
          </w:p>
          <w:p>
            <w:pPr>
              <w:spacing w:line="240" w:lineRule="auto"/>
              <w:ind w:firstLine="0" w:firstLineChars="0"/>
            </w:pPr>
          </w:p>
          <w:p>
            <w:pPr>
              <w:spacing w:line="240" w:lineRule="auto"/>
              <w:ind w:firstLine="0" w:firstLineChars="0"/>
            </w:pPr>
            <w:r>
              <w:t>GB T14823.1-93</w:t>
            </w:r>
          </w:p>
          <w:p>
            <w:pPr>
              <w:spacing w:line="240" w:lineRule="auto"/>
              <w:ind w:firstLine="0" w:firstLineChars="0"/>
            </w:pPr>
          </w:p>
          <w:p>
            <w:pPr>
              <w:spacing w:line="240" w:lineRule="auto"/>
              <w:ind w:firstLine="0" w:firstLineChars="0"/>
            </w:pPr>
            <w:r>
              <w:t>CECS120</w:t>
            </w:r>
            <w:r>
              <w:rPr>
                <w:rFonts w:hint="eastAsia"/>
              </w:rPr>
              <w:t>：</w:t>
            </w:r>
            <w:r>
              <w:t>2000</w:t>
            </w:r>
          </w:p>
        </w:tc>
        <w:tc>
          <w:tcPr>
            <w:tcW w:w="5816" w:type="dxa"/>
            <w:shd w:val="clear" w:color="auto" w:fill="auto"/>
          </w:tcPr>
          <w:p>
            <w:pPr>
              <w:spacing w:line="240" w:lineRule="auto"/>
              <w:ind w:firstLine="0" w:firstLineChars="0"/>
            </w:pPr>
            <w:r>
              <w:rPr>
                <w:rFonts w:hint="eastAsia"/>
              </w:rPr>
              <w:t>《金属基体上的金属覆盖层电沉积和化学沉积层附着强度试验方法评述》</w:t>
            </w:r>
          </w:p>
          <w:p>
            <w:pPr>
              <w:spacing w:line="240" w:lineRule="auto"/>
              <w:ind w:firstLine="0" w:firstLineChars="0"/>
            </w:pPr>
            <w:r>
              <w:rPr>
                <w:rFonts w:hint="eastAsia"/>
              </w:rPr>
              <w:t>《电气安装用导管</w:t>
            </w:r>
            <w:r>
              <w:t xml:space="preserve">  </w:t>
            </w:r>
            <w:r>
              <w:rPr>
                <w:rFonts w:hint="eastAsia"/>
              </w:rPr>
              <w:t>特殊要求—金属导管》</w:t>
            </w:r>
          </w:p>
          <w:p>
            <w:pPr>
              <w:spacing w:line="240" w:lineRule="auto"/>
              <w:ind w:firstLine="0" w:firstLineChars="0"/>
            </w:pPr>
          </w:p>
          <w:p>
            <w:pPr>
              <w:spacing w:line="240" w:lineRule="auto"/>
              <w:ind w:firstLine="0" w:firstLineChars="0"/>
            </w:pPr>
            <w:r>
              <w:rPr>
                <w:rFonts w:hint="eastAsia"/>
              </w:rPr>
              <w:t>《套接紧定式钢管电线管路施工及验收规程》</w:t>
            </w:r>
          </w:p>
        </w:tc>
      </w:tr>
    </w:tbl>
    <w:p>
      <w:pPr>
        <w:pStyle w:val="3"/>
        <w:adjustRightInd w:val="0"/>
        <w:snapToGrid w:val="0"/>
        <w:spacing w:before="240" w:line="415" w:lineRule="auto"/>
        <w:ind w:firstLine="561"/>
        <w:rPr>
          <w:rFonts w:ascii="华文仿宋" w:hAnsi="华文仿宋" w:cs="仿宋_GB2312"/>
          <w:szCs w:val="28"/>
        </w:rPr>
      </w:pPr>
      <w:bookmarkStart w:id="90" w:name="_Toc19449"/>
      <w:bookmarkStart w:id="91" w:name="_Toc27495661"/>
      <w:r>
        <w:rPr>
          <w:rFonts w:ascii="华文仿宋" w:hAnsi="华文仿宋" w:cs="仿宋_GB2312"/>
          <w:szCs w:val="28"/>
        </w:rPr>
        <w:t xml:space="preserve">3 </w:t>
      </w:r>
      <w:r>
        <w:rPr>
          <w:rFonts w:hint="eastAsia" w:ascii="华文仿宋" w:hAnsi="华文仿宋" w:cs="仿宋_GB2312"/>
          <w:szCs w:val="28"/>
        </w:rPr>
        <w:t>环境条件与运行条件</w:t>
      </w:r>
      <w:bookmarkEnd w:id="90"/>
      <w:bookmarkEnd w:id="91"/>
    </w:p>
    <w:p>
      <w:pPr>
        <w:ind w:firstLine="560"/>
        <w:rPr>
          <w:rFonts w:ascii="华文仿宋" w:hAnsi="华文仿宋"/>
          <w:szCs w:val="28"/>
        </w:rPr>
      </w:pPr>
      <w:r>
        <w:rPr>
          <w:rFonts w:ascii="华文仿宋" w:hAnsi="华文仿宋"/>
          <w:szCs w:val="28"/>
        </w:rPr>
        <w:t>3.1 环境条件  </w:t>
      </w:r>
    </w:p>
    <w:p>
      <w:pPr>
        <w:spacing w:before="12" w:beforeLines="5"/>
        <w:ind w:left="179" w:leftChars="64" w:firstLine="378" w:firstLineChars="135"/>
        <w:rPr>
          <w:rFonts w:ascii="华文仿宋" w:hAnsi="华文仿宋"/>
          <w:kern w:val="0"/>
          <w:szCs w:val="28"/>
        </w:rPr>
      </w:pPr>
      <w:r>
        <w:rPr>
          <w:rFonts w:ascii="华文仿宋" w:hAnsi="华文仿宋"/>
          <w:szCs w:val="28"/>
        </w:rPr>
        <w:t>海拔高</w:t>
      </w:r>
      <w:r>
        <w:rPr>
          <w:rFonts w:ascii="华文仿宋" w:hAnsi="华文仿宋"/>
          <w:kern w:val="0"/>
          <w:szCs w:val="28"/>
        </w:rPr>
        <w:t>度：&lt;1000m，户内安装环境温度：0℃~+40℃</w:t>
      </w:r>
    </w:p>
    <w:p>
      <w:pPr>
        <w:spacing w:before="12" w:beforeLines="5"/>
        <w:ind w:left="179" w:leftChars="64" w:firstLine="378" w:firstLineChars="135"/>
        <w:rPr>
          <w:rFonts w:ascii="华文仿宋" w:hAnsi="华文仿宋"/>
          <w:szCs w:val="28"/>
        </w:rPr>
      </w:pPr>
      <w:r>
        <w:rPr>
          <w:rFonts w:ascii="华文仿宋" w:hAnsi="华文仿宋"/>
          <w:szCs w:val="28"/>
        </w:rPr>
        <w:t>相对湿度：≤93％</w:t>
      </w:r>
    </w:p>
    <w:p>
      <w:pPr>
        <w:spacing w:before="12" w:beforeLines="5"/>
        <w:ind w:left="179" w:leftChars="64" w:firstLine="378" w:firstLineChars="135"/>
        <w:rPr>
          <w:rFonts w:ascii="华文仿宋" w:hAnsi="华文仿宋"/>
          <w:szCs w:val="28"/>
        </w:rPr>
      </w:pPr>
      <w:r>
        <w:rPr>
          <w:rFonts w:ascii="华文仿宋" w:hAnsi="华文仿宋"/>
          <w:szCs w:val="28"/>
        </w:rPr>
        <w:t>地震烈度：7度</w:t>
      </w:r>
    </w:p>
    <w:p>
      <w:pPr>
        <w:spacing w:before="12" w:beforeLines="5"/>
        <w:ind w:left="179" w:leftChars="64" w:firstLine="378" w:firstLineChars="135"/>
        <w:rPr>
          <w:rFonts w:ascii="华文仿宋" w:hAnsi="华文仿宋"/>
          <w:kern w:val="0"/>
          <w:szCs w:val="28"/>
        </w:rPr>
      </w:pPr>
    </w:p>
    <w:p>
      <w:pPr>
        <w:pStyle w:val="3"/>
        <w:adjustRightInd w:val="0"/>
        <w:snapToGrid w:val="0"/>
        <w:spacing w:before="240" w:line="415" w:lineRule="auto"/>
        <w:ind w:firstLine="561"/>
        <w:rPr>
          <w:rFonts w:ascii="华文仿宋" w:hAnsi="华文仿宋" w:cs="仿宋_GB2312"/>
          <w:szCs w:val="28"/>
        </w:rPr>
      </w:pPr>
      <w:bookmarkStart w:id="92" w:name="_Toc28606"/>
      <w:bookmarkStart w:id="93" w:name="_Toc27495662"/>
      <w:r>
        <w:rPr>
          <w:rFonts w:ascii="华文仿宋" w:hAnsi="华文仿宋" w:cs="仿宋_GB2312"/>
          <w:szCs w:val="28"/>
        </w:rPr>
        <w:t>4 技术性能要求</w:t>
      </w:r>
      <w:bookmarkEnd w:id="92"/>
      <w:bookmarkEnd w:id="93"/>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4.1 梯架、托盘和槽盒</w:t>
      </w:r>
    </w:p>
    <w:p>
      <w:pPr>
        <w:spacing w:before="12" w:beforeLines="5"/>
        <w:ind w:left="179" w:leftChars="64" w:firstLine="378" w:firstLineChars="135"/>
        <w:rPr>
          <w:rFonts w:hAnsi="华文仿宋"/>
          <w:szCs w:val="28"/>
        </w:rPr>
      </w:pPr>
      <w:r>
        <w:rPr>
          <w:rFonts w:hAnsi="华文仿宋"/>
          <w:b/>
          <w:szCs w:val="28"/>
        </w:rPr>
        <w:t>采用</w:t>
      </w:r>
      <w:r>
        <w:rPr>
          <w:rFonts w:hint="eastAsia" w:hAnsi="华文仿宋"/>
          <w:b/>
          <w:szCs w:val="28"/>
        </w:rPr>
        <w:t>热浸镀锌</w:t>
      </w:r>
      <w:r>
        <w:rPr>
          <w:rFonts w:hAnsi="华文仿宋"/>
          <w:b/>
          <w:szCs w:val="28"/>
        </w:rPr>
        <w:t>型金属</w:t>
      </w:r>
      <w:r>
        <w:rPr>
          <w:rFonts w:hint="eastAsia" w:hAnsi="华文仿宋"/>
          <w:b/>
          <w:szCs w:val="28"/>
        </w:rPr>
        <w:t>梯</w:t>
      </w:r>
      <w:r>
        <w:rPr>
          <w:rFonts w:hAnsi="华文仿宋"/>
          <w:b/>
          <w:szCs w:val="28"/>
        </w:rPr>
        <w:t>架、托盘和槽盒</w:t>
      </w:r>
      <w:r>
        <w:rPr>
          <w:rFonts w:hint="eastAsia" w:hAnsi="华文仿宋"/>
          <w:szCs w:val="28"/>
        </w:rPr>
        <w:t>，盖板及各种弯通要求配套执行。</w:t>
      </w:r>
    </w:p>
    <w:p>
      <w:pPr>
        <w:spacing w:before="12" w:beforeLines="5"/>
        <w:ind w:left="179" w:leftChars="64" w:firstLine="378" w:firstLineChars="135"/>
        <w:rPr>
          <w:rFonts w:hAnsi="华文仿宋"/>
          <w:szCs w:val="28"/>
        </w:rPr>
      </w:pPr>
      <w:r>
        <w:rPr>
          <w:rFonts w:hint="eastAsia" w:hAnsi="华文仿宋"/>
          <w:szCs w:val="28"/>
        </w:rPr>
        <w:t>梯</w:t>
      </w:r>
      <w:r>
        <w:rPr>
          <w:rFonts w:hAnsi="华文仿宋"/>
          <w:szCs w:val="28"/>
        </w:rPr>
        <w:t>架、托盘和槽盒水平安装时，支架间距不大于1.5m，垂直安装时，支架间距不大于2m。桥架施工时，应注意与其它专业的配合。</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4.1.1金属</w:t>
      </w:r>
      <w:r>
        <w:rPr>
          <w:rFonts w:hint="eastAsia" w:ascii="华文仿宋" w:hAnsi="华文仿宋" w:eastAsia="华文仿宋"/>
          <w:color w:val="auto"/>
          <w:sz w:val="28"/>
          <w:szCs w:val="28"/>
        </w:rPr>
        <w:t>梯</w:t>
      </w:r>
      <w:r>
        <w:rPr>
          <w:rFonts w:ascii="华文仿宋" w:hAnsi="华文仿宋" w:eastAsia="华文仿宋"/>
          <w:color w:val="auto"/>
          <w:sz w:val="28"/>
          <w:szCs w:val="28"/>
        </w:rPr>
        <w:t>架、托盘和槽盒须采用整体或分体挤出压铸型材，制作后须进行</w:t>
      </w:r>
      <w:r>
        <w:rPr>
          <w:rFonts w:hint="eastAsia" w:ascii="华文仿宋" w:hAnsi="华文仿宋" w:eastAsia="华文仿宋"/>
          <w:color w:val="auto"/>
          <w:sz w:val="28"/>
          <w:szCs w:val="28"/>
        </w:rPr>
        <w:t>热浸锌处理</w:t>
      </w:r>
      <w:r>
        <w:rPr>
          <w:rFonts w:ascii="华文仿宋" w:hAnsi="华文仿宋" w:eastAsia="华文仿宋"/>
          <w:color w:val="auto"/>
          <w:sz w:val="28"/>
          <w:szCs w:val="28"/>
        </w:rPr>
        <w:t>，以确保具有相当的系统防腐蚀性能。</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4.1.2金属电缆桥架高度、宽度与</w:t>
      </w:r>
      <w:r>
        <w:rPr>
          <w:rFonts w:hint="eastAsia" w:ascii="华文仿宋" w:hAnsi="华文仿宋" w:eastAsia="华文仿宋"/>
          <w:color w:val="auto"/>
          <w:sz w:val="28"/>
          <w:szCs w:val="28"/>
        </w:rPr>
        <w:t>槽体</w:t>
      </w:r>
      <w:r>
        <w:rPr>
          <w:rFonts w:ascii="华文仿宋" w:hAnsi="华文仿宋" w:eastAsia="华文仿宋"/>
          <w:color w:val="auto"/>
          <w:sz w:val="28"/>
          <w:szCs w:val="28"/>
        </w:rPr>
        <w:t>厚度尺寸应在下表范围内选择：（单位：mm）</w:t>
      </w:r>
    </w:p>
    <w:p>
      <w:pPr>
        <w:pStyle w:val="338"/>
        <w:spacing w:before="12" w:beforeLines="5" w:line="360" w:lineRule="auto"/>
        <w:ind w:firstLine="560"/>
        <w:rPr>
          <w:rFonts w:ascii="华文仿宋" w:hAnsi="华文仿宋"/>
          <w:color w:val="auto"/>
          <w:szCs w:val="28"/>
        </w:rPr>
      </w:pPr>
      <w:r>
        <w:rPr>
          <w:rFonts w:ascii="华文仿宋" w:hAnsi="华文仿宋"/>
          <w:color w:val="auto"/>
          <w:szCs w:val="28"/>
        </w:rPr>
        <w:drawing>
          <wp:inline distT="0" distB="0" distL="0" distR="0">
            <wp:extent cx="5502275" cy="1438910"/>
            <wp:effectExtent l="0" t="0" r="0" b="0"/>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a:xfrm>
                      <a:off x="0" y="0"/>
                      <a:ext cx="5502275" cy="1438910"/>
                    </a:xfrm>
                    <a:prstGeom prst="rect">
                      <a:avLst/>
                    </a:prstGeom>
                    <a:noFill/>
                    <a:ln>
                      <a:noFill/>
                    </a:ln>
                  </pic:spPr>
                </pic:pic>
              </a:graphicData>
            </a:graphic>
          </wp:inline>
        </w:drawing>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color w:val="auto"/>
          <w:szCs w:val="28"/>
        </w:rPr>
        <w:drawing>
          <wp:inline distT="0" distB="0" distL="0" distR="0">
            <wp:extent cx="5494655" cy="1526540"/>
            <wp:effectExtent l="0" t="0" r="0" b="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a:xfrm>
                      <a:off x="0" y="0"/>
                      <a:ext cx="5494655" cy="1526540"/>
                    </a:xfrm>
                    <a:prstGeom prst="rect">
                      <a:avLst/>
                    </a:prstGeom>
                    <a:noFill/>
                    <a:ln>
                      <a:noFill/>
                    </a:ln>
                  </pic:spPr>
                </pic:pic>
              </a:graphicData>
            </a:graphic>
          </wp:inline>
        </w:drawing>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4.1.3对分体挤出压铸组合的</w:t>
      </w:r>
      <w:r>
        <w:rPr>
          <w:rFonts w:hint="eastAsia" w:ascii="华文仿宋" w:hAnsi="华文仿宋" w:eastAsia="华文仿宋"/>
          <w:color w:val="auto"/>
          <w:sz w:val="28"/>
          <w:szCs w:val="28"/>
        </w:rPr>
        <w:t>梯</w:t>
      </w:r>
      <w:r>
        <w:rPr>
          <w:rFonts w:ascii="华文仿宋" w:hAnsi="华文仿宋" w:eastAsia="华文仿宋"/>
          <w:color w:val="auto"/>
          <w:sz w:val="28"/>
          <w:szCs w:val="28"/>
        </w:rPr>
        <w:t>架、托盘和槽盒，除侧板厚度必须满足上表要求外，其他结构部位的厚度，在满足结构载荷性能、外观原则下，可按照制造商的产品设计选择板材厚度。</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4.1.4当容线量</w:t>
      </w:r>
      <w:r>
        <w:rPr>
          <w:rFonts w:hint="eastAsia" w:ascii="华文仿宋" w:hAnsi="华文仿宋" w:eastAsia="华文仿宋"/>
          <w:color w:val="auto"/>
          <w:sz w:val="28"/>
          <w:szCs w:val="28"/>
        </w:rPr>
        <w:t>要求</w:t>
      </w:r>
      <w:r>
        <w:rPr>
          <w:rFonts w:ascii="华文仿宋" w:hAnsi="华文仿宋" w:eastAsia="华文仿宋"/>
          <w:color w:val="auto"/>
          <w:sz w:val="28"/>
          <w:szCs w:val="28"/>
        </w:rPr>
        <w:t>特殊规格与上表规格范围不吻合时，可选择符合相关规范材质要求的金属板材弯曲制成桥架，但直通体与盖板的固定必须采用具有外置锁扣或自身具有锁扣啮合功能结构的速配型桥架，以确保防水及线缆保护效果。不得采用其他类型的盖板固定方式。</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4.1.5所有连接紧固件螺栓，必须采用热浸镀锌或镀铝锌的钢制蘑菇形头（骑马）钢螺栓、螺母和防震动固定垫圈；并须能够耐受盐雾腐蚀72小时以上，不得采用电镀锌或镀镍铬的连接配件；确保连接件与桥架主体防腐等级基本一致。</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4.1.6有孔托盘底部通风孔面积宜</w:t>
      </w:r>
      <w:r>
        <w:rPr>
          <w:rFonts w:hint="eastAsia" w:ascii="华文仿宋" w:hAnsi="华文仿宋" w:eastAsia="华文仿宋"/>
          <w:color w:val="auto"/>
          <w:sz w:val="28"/>
          <w:szCs w:val="28"/>
        </w:rPr>
        <w:t>为</w:t>
      </w:r>
      <w:r>
        <w:rPr>
          <w:rFonts w:ascii="华文仿宋" w:hAnsi="华文仿宋" w:eastAsia="华文仿宋"/>
          <w:color w:val="auto"/>
          <w:sz w:val="28"/>
          <w:szCs w:val="28"/>
        </w:rPr>
        <w:t>底部面积的30%~40%。</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4.1.7梯架直通横挡中心间距均应为200~300mm，横挡底部须有孔，宽度应为20~50mm，以方便电缆紧固捆扎。</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4.1.8</w:t>
      </w:r>
      <w:r>
        <w:rPr>
          <w:rFonts w:hint="eastAsia" w:ascii="华文仿宋" w:hAnsi="华文仿宋" w:eastAsia="华文仿宋"/>
          <w:color w:val="auto"/>
          <w:sz w:val="28"/>
          <w:szCs w:val="28"/>
        </w:rPr>
        <w:t>梯</w:t>
      </w:r>
      <w:r>
        <w:rPr>
          <w:rFonts w:ascii="华文仿宋" w:hAnsi="华文仿宋" w:eastAsia="华文仿宋"/>
          <w:color w:val="auto"/>
          <w:sz w:val="28"/>
          <w:szCs w:val="28"/>
        </w:rPr>
        <w:t>架、托盘和槽盒每个接头处须</w:t>
      </w:r>
      <w:r>
        <w:rPr>
          <w:rFonts w:hint="eastAsia" w:ascii="华文仿宋" w:hAnsi="华文仿宋" w:eastAsia="华文仿宋"/>
          <w:color w:val="auto"/>
          <w:sz w:val="28"/>
          <w:szCs w:val="28"/>
        </w:rPr>
        <w:t>有可靠的电气</w:t>
      </w:r>
      <w:r>
        <w:rPr>
          <w:rFonts w:ascii="华文仿宋" w:hAnsi="华文仿宋" w:eastAsia="华文仿宋"/>
          <w:color w:val="auto"/>
          <w:sz w:val="28"/>
          <w:szCs w:val="28"/>
        </w:rPr>
        <w:t>连接</w:t>
      </w:r>
      <w:r>
        <w:rPr>
          <w:rFonts w:hint="eastAsia" w:ascii="华文仿宋" w:hAnsi="华文仿宋" w:eastAsia="华文仿宋"/>
          <w:color w:val="auto"/>
          <w:sz w:val="28"/>
          <w:szCs w:val="28"/>
        </w:rPr>
        <w:t>装置</w:t>
      </w:r>
      <w:r>
        <w:rPr>
          <w:rFonts w:ascii="华文仿宋" w:hAnsi="华文仿宋" w:eastAsia="华文仿宋"/>
          <w:color w:val="auto"/>
          <w:sz w:val="28"/>
          <w:szCs w:val="28"/>
        </w:rPr>
        <w:t>，以确保电气的连续性。</w:t>
      </w:r>
    </w:p>
    <w:p>
      <w:pPr>
        <w:pStyle w:val="338"/>
        <w:spacing w:before="12" w:beforeLines="5" w:line="360" w:lineRule="auto"/>
        <w:ind w:firstLine="561"/>
        <w:rPr>
          <w:rFonts w:ascii="华文仿宋" w:hAnsi="华文仿宋" w:eastAsia="华文仿宋"/>
          <w:b/>
          <w:color w:val="auto"/>
          <w:sz w:val="28"/>
          <w:szCs w:val="28"/>
        </w:rPr>
      </w:pPr>
      <w:r>
        <w:rPr>
          <w:rFonts w:ascii="华文仿宋" w:hAnsi="华文仿宋" w:eastAsia="华文仿宋"/>
          <w:b/>
          <w:color w:val="auto"/>
          <w:sz w:val="28"/>
          <w:szCs w:val="28"/>
        </w:rPr>
        <w:t>4.2 管槽支架</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4.2.1全部</w:t>
      </w:r>
      <w:r>
        <w:rPr>
          <w:rFonts w:hint="eastAsia" w:ascii="华文仿宋" w:hAnsi="华文仿宋" w:eastAsia="华文仿宋"/>
          <w:color w:val="auto"/>
          <w:sz w:val="28"/>
          <w:szCs w:val="28"/>
        </w:rPr>
        <w:t>梯</w:t>
      </w:r>
      <w:r>
        <w:rPr>
          <w:rFonts w:ascii="华文仿宋" w:hAnsi="华文仿宋" w:eastAsia="华文仿宋"/>
          <w:color w:val="auto"/>
          <w:sz w:val="28"/>
          <w:szCs w:val="28"/>
        </w:rPr>
        <w:t>架、托盘和槽盒的支吊架，采用钢制构件热浸镀锌。</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4.2.2支架的弯脚(U型)槽钢实际选用的规格尺寸的承载能力应与荷载强度及刚度相对应。</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4.2.3在安装现场，除膨胀锚栓需在混凝土钻孔外，其他仅为现场机械连接的吊挂支架标准构件。</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4.2.4各种附件及支吊架在满足相应载荷条件下，其规格尺寸应配合电缆桥架具体实际确定</w:t>
      </w:r>
      <w:r>
        <w:rPr>
          <w:rFonts w:hint="eastAsia" w:ascii="华文仿宋" w:hAnsi="华文仿宋" w:eastAsia="华文仿宋"/>
          <w:color w:val="auto"/>
          <w:sz w:val="28"/>
          <w:szCs w:val="28"/>
        </w:rPr>
        <w:t>。</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4.2.5各种形式支吊架应能承受托盘梯架相应规格层数的额定均布载荷及自重。</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4.2.6各种支吊架的结构以及连接紧固附件参照03S402《室内管道支架及吊架》的标准及规范确定及选用。</w:t>
      </w:r>
      <w:r>
        <w:rPr>
          <w:rFonts w:ascii="华文仿宋" w:hAnsi="华文仿宋" w:eastAsia="华文仿宋"/>
          <w:color w:val="auto"/>
          <w:sz w:val="28"/>
          <w:szCs w:val="28"/>
        </w:rPr>
        <w:drawing>
          <wp:inline distT="0" distB="0" distL="0" distR="0">
            <wp:extent cx="5503545" cy="6210935"/>
            <wp:effectExtent l="0" t="0" r="1905" b="0"/>
            <wp:docPr id="16" name="图片 16" descr="K:\新建文件夹\微信\WeChat Files\weiboH3580\FileStorage\Temp\17314629499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K:\新建文件夹\微信\WeChat Files\weiboH3580\FileStorage\Temp\1731462949994.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5503545" cy="6211292"/>
                    </a:xfrm>
                    <a:prstGeom prst="rect">
                      <a:avLst/>
                    </a:prstGeom>
                    <a:noFill/>
                    <a:ln>
                      <a:noFill/>
                    </a:ln>
                  </pic:spPr>
                </pic:pic>
              </a:graphicData>
            </a:graphic>
          </wp:inline>
        </w:drawing>
      </w:r>
    </w:p>
    <w:p>
      <w:pPr>
        <w:pStyle w:val="338"/>
        <w:spacing w:before="12" w:beforeLines="5" w:line="360" w:lineRule="auto"/>
        <w:ind w:firstLine="560"/>
        <w:rPr>
          <w:rFonts w:ascii="华文仿宋" w:hAnsi="华文仿宋" w:eastAsia="华文仿宋"/>
          <w:b/>
          <w:color w:val="auto"/>
          <w:sz w:val="28"/>
          <w:szCs w:val="28"/>
        </w:rPr>
      </w:pPr>
      <w:r>
        <w:rPr>
          <w:rFonts w:ascii="华文仿宋" w:hAnsi="华文仿宋" w:eastAsia="华文仿宋"/>
          <w:b/>
          <w:color w:val="auto"/>
          <w:sz w:val="28"/>
          <w:szCs w:val="28"/>
        </w:rPr>
        <w:t xml:space="preserve">4.3  </w:t>
      </w:r>
      <w:r>
        <w:rPr>
          <w:rFonts w:hint="eastAsia" w:ascii="华文仿宋" w:hAnsi="华文仿宋" w:eastAsia="华文仿宋"/>
          <w:b/>
          <w:color w:val="auto"/>
          <w:sz w:val="28"/>
          <w:szCs w:val="28"/>
        </w:rPr>
        <w:t>金属电线管</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4.3.1</w:t>
      </w:r>
      <w:r>
        <w:rPr>
          <w:rFonts w:hint="eastAsia" w:ascii="华文仿宋" w:hAnsi="华文仿宋" w:eastAsia="华文仿宋"/>
          <w:color w:val="auto"/>
          <w:sz w:val="28"/>
          <w:szCs w:val="28"/>
        </w:rPr>
        <w:t>金属</w:t>
      </w:r>
      <w:r>
        <w:rPr>
          <w:rFonts w:ascii="华文仿宋" w:hAnsi="华文仿宋" w:eastAsia="华文仿宋"/>
          <w:color w:val="auto"/>
          <w:sz w:val="28"/>
          <w:szCs w:val="28"/>
        </w:rPr>
        <w:t>电线管</w:t>
      </w:r>
      <w:r>
        <w:rPr>
          <w:rFonts w:hint="eastAsia" w:ascii="华文仿宋" w:hAnsi="华文仿宋" w:eastAsia="华文仿宋"/>
          <w:color w:val="auto"/>
          <w:sz w:val="28"/>
          <w:szCs w:val="28"/>
        </w:rPr>
        <w:t>的安装及选用，应满足《套接紧定式钢导管电线管路施工及验收规程》。管材壁厚不应小于</w:t>
      </w:r>
      <w:r>
        <w:rPr>
          <w:rFonts w:ascii="华文仿宋" w:hAnsi="华文仿宋" w:eastAsia="华文仿宋"/>
          <w:color w:val="auto"/>
          <w:sz w:val="28"/>
          <w:szCs w:val="28"/>
        </w:rPr>
        <w:t>1.6mm。管材必须为内外壁热镀锌。</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 xml:space="preserve">4.3.2穿人防墙的金属管采用内外壁热镀锌的金属钢管， </w:t>
      </w:r>
      <w:r>
        <w:rPr>
          <w:rFonts w:hint="eastAsia" w:ascii="华文仿宋" w:hAnsi="华文仿宋" w:eastAsia="华文仿宋"/>
          <w:color w:val="auto"/>
          <w:sz w:val="28"/>
          <w:szCs w:val="28"/>
        </w:rPr>
        <w:t>壁厚不小于</w:t>
      </w:r>
      <w:r>
        <w:rPr>
          <w:rFonts w:ascii="华文仿宋" w:hAnsi="华文仿宋" w:eastAsia="华文仿宋"/>
          <w:color w:val="auto"/>
          <w:sz w:val="28"/>
          <w:szCs w:val="28"/>
        </w:rPr>
        <w:t>2.5mm。明敷或埋地敷设于潮湿场所的金属钢管，采用内外壁热镀锌的焊接钢管，壁厚不应小于2.0mm。</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4.3.3</w:t>
      </w:r>
      <w:r>
        <w:rPr>
          <w:rFonts w:hint="eastAsia" w:ascii="华文仿宋" w:hAnsi="华文仿宋" w:eastAsia="华文仿宋"/>
          <w:color w:val="auto"/>
          <w:sz w:val="28"/>
          <w:szCs w:val="28"/>
        </w:rPr>
        <w:t>所有金属电线管之配件必须符合有关国家规范之要求。</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4.3.4分线盒须为方形的铸铁盒，深度不小于50mm，其大小尺寸须能使穿于电线管内最大尺寸的电线得以拉入而不致使电线过度弯曲。盒盖须与盒体为同样等级以黄铜螺栓固定。分线盒须按电线管直径之要求钻孔。</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4.3.5插座，照明开关等之出线盒须为热镀锌钢板制，符合国家标准之要求，</w:t>
      </w:r>
      <w:r>
        <w:rPr>
          <w:rFonts w:hint="eastAsia" w:ascii="华文仿宋" w:hAnsi="华文仿宋" w:eastAsia="华文仿宋"/>
          <w:color w:val="auto"/>
          <w:sz w:val="28"/>
          <w:szCs w:val="28"/>
        </w:rPr>
        <w:t>具有安装耳，足够的敲落孔及固定于底部之黄铜接地端子。</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4.3.6固定电线管之鞍形夹须由锻铁制，专为明装固定电线管而设计，使之距表面约10mm。</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4.3.7对明装电线管须按规定使用明装的出线盒。</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4.3.8</w:t>
      </w:r>
      <w:r>
        <w:rPr>
          <w:rFonts w:hint="eastAsia" w:ascii="华文仿宋" w:hAnsi="华文仿宋" w:eastAsia="华文仿宋"/>
          <w:color w:val="auto"/>
          <w:sz w:val="28"/>
          <w:szCs w:val="28"/>
        </w:rPr>
        <w:t>电线管与分线盒，出线盒及开关装置之连接须用联接管箍和六角公螺纹套筒。</w:t>
      </w:r>
    </w:p>
    <w:p>
      <w:pPr>
        <w:ind w:firstLine="560"/>
        <w:rPr>
          <w:rFonts w:ascii="华文仿宋" w:hAnsi="华文仿宋"/>
          <w:kern w:val="0"/>
          <w:szCs w:val="28"/>
        </w:rPr>
      </w:pPr>
      <w:r>
        <w:rPr>
          <w:rFonts w:ascii="华文仿宋" w:hAnsi="华文仿宋"/>
          <w:szCs w:val="28"/>
        </w:rPr>
        <w:t>4.3.9</w:t>
      </w:r>
      <w:r>
        <w:rPr>
          <w:rFonts w:hint="eastAsia" w:ascii="华文仿宋" w:hAnsi="华文仿宋"/>
          <w:kern w:val="0"/>
          <w:szCs w:val="28"/>
        </w:rPr>
        <w:t>当用于室外安装，电线盒及电线管配件均须防风雨。防风雨的电线盒及电线管配件亦用于除室外在图上规定之其它处所。</w:t>
      </w:r>
    </w:p>
    <w:p>
      <w:pPr>
        <w:ind w:firstLine="560"/>
        <w:rPr>
          <w:rFonts w:ascii="华文仿宋" w:hAnsi="华文仿宋"/>
          <w:kern w:val="0"/>
          <w:szCs w:val="28"/>
        </w:rPr>
      </w:pPr>
      <w:r>
        <w:rPr>
          <w:rFonts w:ascii="华文仿宋" w:hAnsi="华文仿宋"/>
          <w:kern w:val="0"/>
          <w:szCs w:val="28"/>
        </w:rPr>
        <w:t>4.3.10挠性电线管必须为金属制成，并须为镀锌。用于室外的挠性</w:t>
      </w:r>
      <w:r>
        <w:rPr>
          <w:rFonts w:hint="eastAsia" w:ascii="华文仿宋" w:hAnsi="华文仿宋"/>
          <w:kern w:val="0"/>
          <w:szCs w:val="28"/>
        </w:rPr>
        <w:t>电线管须为防水型、外包阻燃的聚氯乙烯护套并装置黄铜镀镍的联接器，阻燃聚氯乙烯外护套并内附一条单独的接地。联接器拧入挠性管及电线管中。联接器必须稳固于金属管上避免分开而使电缆暴露受损。</w:t>
      </w:r>
    </w:p>
    <w:p>
      <w:pPr>
        <w:pStyle w:val="3"/>
        <w:adjustRightInd w:val="0"/>
        <w:snapToGrid w:val="0"/>
        <w:spacing w:before="240" w:line="415" w:lineRule="auto"/>
        <w:ind w:firstLine="561"/>
        <w:rPr>
          <w:rFonts w:ascii="华文仿宋" w:hAnsi="华文仿宋" w:cs="仿宋_GB2312"/>
          <w:szCs w:val="28"/>
        </w:rPr>
      </w:pPr>
      <w:bookmarkStart w:id="94" w:name="_Toc27495663"/>
      <w:bookmarkStart w:id="95" w:name="_Toc9777"/>
      <w:r>
        <w:rPr>
          <w:rFonts w:ascii="华文仿宋" w:hAnsi="华文仿宋" w:cs="仿宋_GB2312"/>
          <w:szCs w:val="28"/>
        </w:rPr>
        <w:t>5 施工要求</w:t>
      </w:r>
      <w:bookmarkEnd w:id="94"/>
      <w:bookmarkEnd w:id="95"/>
    </w:p>
    <w:p>
      <w:pPr>
        <w:pStyle w:val="338"/>
        <w:numPr>
          <w:ilvl w:val="1"/>
          <w:numId w:val="27"/>
        </w:numPr>
        <w:spacing w:before="12" w:beforeLines="5" w:line="360" w:lineRule="auto"/>
        <w:ind w:firstLine="561"/>
        <w:rPr>
          <w:rFonts w:ascii="华文仿宋" w:hAnsi="华文仿宋" w:eastAsia="华文仿宋"/>
          <w:b/>
          <w:color w:val="auto"/>
          <w:sz w:val="28"/>
          <w:szCs w:val="28"/>
        </w:rPr>
      </w:pPr>
      <w:r>
        <w:rPr>
          <w:rFonts w:hint="eastAsia" w:ascii="华文仿宋" w:hAnsi="华文仿宋" w:eastAsia="华文仿宋"/>
          <w:b/>
          <w:color w:val="auto"/>
          <w:sz w:val="28"/>
          <w:szCs w:val="28"/>
        </w:rPr>
        <w:t>梯</w:t>
      </w:r>
      <w:r>
        <w:rPr>
          <w:rFonts w:ascii="华文仿宋" w:hAnsi="华文仿宋" w:eastAsia="华文仿宋"/>
          <w:b/>
          <w:color w:val="auto"/>
          <w:sz w:val="28"/>
          <w:szCs w:val="28"/>
        </w:rPr>
        <w:t>架、托盘和槽盒及吊挂支架安装</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5.1.1</w:t>
      </w:r>
      <w:r>
        <w:rPr>
          <w:rFonts w:hint="eastAsia" w:ascii="华文仿宋" w:hAnsi="华文仿宋" w:eastAsia="华文仿宋"/>
          <w:color w:val="auto"/>
          <w:sz w:val="28"/>
          <w:szCs w:val="28"/>
        </w:rPr>
        <w:t>梯</w:t>
      </w:r>
      <w:r>
        <w:rPr>
          <w:rFonts w:ascii="华文仿宋" w:hAnsi="华文仿宋" w:eastAsia="华文仿宋"/>
          <w:color w:val="auto"/>
          <w:sz w:val="28"/>
          <w:szCs w:val="28"/>
        </w:rPr>
        <w:t>架、托盘和槽盒的支架安装，应根据生根构件建筑形式参照03S402《室内管道支架及吊架》标准要求选择支架、吊架。</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5.1.2</w:t>
      </w:r>
      <w:r>
        <w:rPr>
          <w:rFonts w:hint="eastAsia" w:ascii="华文仿宋" w:hAnsi="华文仿宋" w:eastAsia="华文仿宋"/>
          <w:color w:val="auto"/>
          <w:sz w:val="28"/>
          <w:szCs w:val="28"/>
        </w:rPr>
        <w:t>梯</w:t>
      </w:r>
      <w:r>
        <w:rPr>
          <w:rFonts w:ascii="华文仿宋" w:hAnsi="华文仿宋" w:eastAsia="华文仿宋"/>
          <w:color w:val="auto"/>
          <w:sz w:val="28"/>
          <w:szCs w:val="28"/>
        </w:rPr>
        <w:t>架、托盘和槽盒的主柱、底座、引出管的底座和托臂等部件，可用膨胀螺栓固定在混凝土构件或砖墙上。</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5.1.3垂直</w:t>
      </w:r>
      <w:r>
        <w:rPr>
          <w:rFonts w:hint="eastAsia" w:ascii="华文仿宋" w:hAnsi="华文仿宋" w:eastAsia="华文仿宋"/>
          <w:color w:val="auto"/>
          <w:sz w:val="28"/>
          <w:szCs w:val="28"/>
        </w:rPr>
        <w:t>梯</w:t>
      </w:r>
      <w:r>
        <w:rPr>
          <w:rFonts w:ascii="华文仿宋" w:hAnsi="华文仿宋" w:eastAsia="华文仿宋"/>
          <w:color w:val="auto"/>
          <w:sz w:val="28"/>
          <w:szCs w:val="28"/>
        </w:rPr>
        <w:t>架、托盘和槽盒须装有支撑器，以防上电缆移动和由于电缆移动而在电缆上产生张力。</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5.1.4选配管道吊挂支架规格尺寸按照承载能力应与荷载强度及刚度相对应。</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5.1.5全螺纹吊杆和型钢在现场按照需要切割长度，修去毛刺，进行连接组合。</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5.1.6对长度超过单根供货长度的全螺纹吊杆或现场余料，可用连接螺母接长使用，但每个吊点仅可使用一次连接螺母。</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5.1.7全螺纹吊杆螺纹的啮合长度最低应保证螺纹顶端露出螺纹达1-2牙。</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5.1.8</w:t>
      </w:r>
      <w:r>
        <w:rPr>
          <w:rFonts w:hint="eastAsia" w:ascii="华文仿宋" w:hAnsi="华文仿宋" w:eastAsia="华文仿宋"/>
          <w:color w:val="auto"/>
          <w:sz w:val="28"/>
          <w:szCs w:val="28"/>
        </w:rPr>
        <w:t>梯</w:t>
      </w:r>
      <w:r>
        <w:rPr>
          <w:rFonts w:ascii="华文仿宋" w:hAnsi="华文仿宋" w:eastAsia="华文仿宋"/>
          <w:color w:val="auto"/>
          <w:sz w:val="28"/>
          <w:szCs w:val="28"/>
        </w:rPr>
        <w:t>架、托盘和槽盒可水平、垂</w:t>
      </w:r>
      <w:r>
        <w:rPr>
          <w:rFonts w:hint="eastAsia" w:ascii="华文仿宋" w:hAnsi="华文仿宋" w:eastAsia="华文仿宋"/>
          <w:color w:val="auto"/>
          <w:sz w:val="28"/>
          <w:szCs w:val="28"/>
        </w:rPr>
        <w:t>直</w:t>
      </w:r>
      <w:r>
        <w:rPr>
          <w:rFonts w:ascii="华文仿宋" w:hAnsi="华文仿宋" w:eastAsia="华文仿宋"/>
          <w:color w:val="auto"/>
          <w:sz w:val="28"/>
          <w:szCs w:val="28"/>
        </w:rPr>
        <w:t>敷设，可转角或斜角，可进行T形或十字形分支。按设计要求，可由宽变窄，由高变低或由低变高。桥架上</w:t>
      </w:r>
      <w:r>
        <w:rPr>
          <w:rFonts w:hint="eastAsia" w:ascii="华文仿宋" w:hAnsi="华文仿宋" w:eastAsia="华文仿宋"/>
          <w:color w:val="auto"/>
          <w:sz w:val="28"/>
          <w:szCs w:val="28"/>
        </w:rPr>
        <w:t>升</w:t>
      </w:r>
      <w:r>
        <w:rPr>
          <w:rFonts w:ascii="华文仿宋" w:hAnsi="华文仿宋" w:eastAsia="华文仿宋"/>
          <w:color w:val="auto"/>
          <w:sz w:val="28"/>
          <w:szCs w:val="28"/>
        </w:rPr>
        <w:t>和下降敷设，一般以45斜坡进行变化。在某一段内桥架的支、吊架应一致。</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5.1.9</w:t>
      </w:r>
      <w:r>
        <w:rPr>
          <w:rFonts w:hint="eastAsia" w:ascii="华文仿宋" w:hAnsi="华文仿宋" w:eastAsia="华文仿宋"/>
          <w:color w:val="auto"/>
          <w:sz w:val="28"/>
          <w:szCs w:val="28"/>
        </w:rPr>
        <w:t>梯</w:t>
      </w:r>
      <w:r>
        <w:rPr>
          <w:rFonts w:ascii="华文仿宋" w:hAnsi="华文仿宋" w:eastAsia="华文仿宋"/>
          <w:color w:val="auto"/>
          <w:sz w:val="28"/>
          <w:szCs w:val="28"/>
        </w:rPr>
        <w:t>架、托盘和槽盒安装应有利于穿放电缆，桥架安装后进行调直，桥架应用压片固定在支架上。</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5.1.10支持桥架的支、吊架长度应与桥架宽度一致，不应有长短不一致的现象。</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5.1.11电缆上下</w:t>
      </w:r>
      <w:r>
        <w:rPr>
          <w:rFonts w:hint="eastAsia" w:ascii="华文仿宋" w:hAnsi="华文仿宋" w:eastAsia="华文仿宋"/>
          <w:color w:val="auto"/>
          <w:sz w:val="28"/>
          <w:szCs w:val="28"/>
        </w:rPr>
        <w:t>梯</w:t>
      </w:r>
      <w:r>
        <w:rPr>
          <w:rFonts w:ascii="华文仿宋" w:hAnsi="华文仿宋" w:eastAsia="华文仿宋"/>
          <w:color w:val="auto"/>
          <w:sz w:val="28"/>
          <w:szCs w:val="28"/>
        </w:rPr>
        <w:t>架、托盘和槽盒应通过引下装置，在安装引下装置部位两侧1m处，增设加强支、吊架。</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5.1.12</w:t>
      </w:r>
      <w:r>
        <w:rPr>
          <w:rFonts w:hint="eastAsia" w:ascii="华文仿宋" w:hAnsi="华文仿宋" w:eastAsia="华文仿宋"/>
          <w:color w:val="auto"/>
          <w:sz w:val="28"/>
          <w:szCs w:val="28"/>
        </w:rPr>
        <w:t>梯</w:t>
      </w:r>
      <w:r>
        <w:rPr>
          <w:rFonts w:ascii="华文仿宋" w:hAnsi="华文仿宋" w:eastAsia="华文仿宋"/>
          <w:color w:val="auto"/>
          <w:sz w:val="28"/>
          <w:szCs w:val="28"/>
        </w:rPr>
        <w:t>架、托盘和槽盒在水平段每1~1.5m 设置一个支、吊架；垂直段以及均布载荷较大的水平段可适当缩小支点距离；距三通、四通、弯头处，两端1m处应设置支、吊架。</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5.1.13</w:t>
      </w:r>
      <w:r>
        <w:rPr>
          <w:rFonts w:hint="eastAsia" w:ascii="华文仿宋" w:hAnsi="华文仿宋" w:eastAsia="华文仿宋"/>
          <w:color w:val="auto"/>
          <w:sz w:val="28"/>
          <w:szCs w:val="28"/>
        </w:rPr>
        <w:t>梯</w:t>
      </w:r>
      <w:r>
        <w:rPr>
          <w:rFonts w:ascii="华文仿宋" w:hAnsi="华文仿宋" w:eastAsia="华文仿宋"/>
          <w:color w:val="auto"/>
          <w:sz w:val="28"/>
          <w:szCs w:val="28"/>
        </w:rPr>
        <w:t>架、托盘和槽盒经过建筑物的伸缩缝时，应断开100~150mm间距，间距两端应进行接地跨接。</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5.1.14电缆在托盘上可进行单层敷设，小型电缆用塑料卡带固定在托盘上，大型电缆可用铁皮卡固定。</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5.1.15</w:t>
      </w:r>
      <w:r>
        <w:rPr>
          <w:rFonts w:hint="eastAsia" w:ascii="华文仿宋" w:hAnsi="华文仿宋" w:eastAsia="华文仿宋"/>
          <w:color w:val="auto"/>
          <w:sz w:val="28"/>
          <w:szCs w:val="28"/>
        </w:rPr>
        <w:t>梯</w:t>
      </w:r>
      <w:r>
        <w:rPr>
          <w:rFonts w:ascii="华文仿宋" w:hAnsi="华文仿宋" w:eastAsia="华文仿宋"/>
          <w:color w:val="auto"/>
          <w:sz w:val="28"/>
          <w:szCs w:val="28"/>
        </w:rPr>
        <w:t>架、托盘和槽盒必须以 1.25m至1.5m 之间距支承于墙上或悬挂于天花板上，并须完全垂直和水平。在加上电缆之荷载后不能有明显的弧垂。在</w:t>
      </w:r>
      <w:r>
        <w:rPr>
          <w:rFonts w:hint="eastAsia" w:ascii="华文仿宋" w:hAnsi="华文仿宋" w:eastAsia="华文仿宋"/>
          <w:color w:val="auto"/>
          <w:sz w:val="28"/>
          <w:szCs w:val="28"/>
        </w:rPr>
        <w:t>梯</w:t>
      </w:r>
      <w:r>
        <w:rPr>
          <w:rFonts w:ascii="华文仿宋" w:hAnsi="华文仿宋" w:eastAsia="华文仿宋"/>
          <w:color w:val="auto"/>
          <w:sz w:val="28"/>
          <w:szCs w:val="28"/>
        </w:rPr>
        <w:t>架、托盘和槽盒之悬挂点上须加一块厚度不小于3mm 之加强垫板或垫片，其截面不得小于电线槽</w:t>
      </w:r>
      <w:r>
        <w:rPr>
          <w:rFonts w:hint="eastAsia" w:ascii="华文仿宋" w:hAnsi="华文仿宋" w:eastAsia="华文仿宋"/>
          <w:color w:val="auto"/>
          <w:sz w:val="28"/>
          <w:szCs w:val="28"/>
        </w:rPr>
        <w:t>一</w:t>
      </w:r>
      <w:r>
        <w:rPr>
          <w:rFonts w:ascii="华文仿宋" w:hAnsi="华文仿宋" w:eastAsia="华文仿宋"/>
          <w:color w:val="auto"/>
          <w:sz w:val="28"/>
          <w:szCs w:val="28"/>
        </w:rPr>
        <w:t xml:space="preserve">半。  </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5.1.16除电讯电缆槽外，垂直</w:t>
      </w:r>
      <w:r>
        <w:rPr>
          <w:rFonts w:hint="eastAsia" w:ascii="华文仿宋" w:hAnsi="华文仿宋" w:eastAsia="华文仿宋"/>
          <w:color w:val="auto"/>
          <w:sz w:val="28"/>
          <w:szCs w:val="28"/>
        </w:rPr>
        <w:t>梯</w:t>
      </w:r>
      <w:r>
        <w:rPr>
          <w:rFonts w:ascii="华文仿宋" w:hAnsi="华文仿宋" w:eastAsia="华文仿宋"/>
          <w:color w:val="auto"/>
          <w:sz w:val="28"/>
          <w:szCs w:val="28"/>
        </w:rPr>
        <w:t xml:space="preserve">架、托盘和槽盒内必须装置支持装置以防止由于电缆自重而引起电缆下垂及电缆受到张力。  </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 xml:space="preserve">5.1.17进电缆槽之地点必须防止浸水或加以防水保护。  </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5.1.18安装前，</w:t>
      </w:r>
      <w:r>
        <w:rPr>
          <w:rFonts w:hint="eastAsia" w:ascii="华文仿宋" w:hAnsi="华文仿宋" w:eastAsia="华文仿宋"/>
          <w:color w:val="auto"/>
          <w:sz w:val="28"/>
          <w:szCs w:val="28"/>
        </w:rPr>
        <w:t>梯</w:t>
      </w:r>
      <w:r>
        <w:rPr>
          <w:rFonts w:ascii="华文仿宋" w:hAnsi="华文仿宋" w:eastAsia="华文仿宋"/>
          <w:color w:val="auto"/>
          <w:sz w:val="28"/>
          <w:szCs w:val="28"/>
        </w:rPr>
        <w:t>架、托盘和槽盒上一切被磨损和尖锐的边缘应削平。</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5.1.19电线管与电线槽之连接必须使用镀锌的联接管箍或黄铜套筒。</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 xml:space="preserve">5.1.20电线槽上不得有敲落孔，开孔必须于工地钻孔。在切割后，电线槽之尖锐边缘必须磨平以免擦伤电缆并须涂以防腐蚀油。  </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5.1.21当电缆槽盖打开后、在电缆可能从槽中落出之处，桥架须装设防护条或其它适合的电缆支撑夹持装置。</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5.1.23所有</w:t>
      </w:r>
      <w:r>
        <w:rPr>
          <w:rFonts w:hint="eastAsia" w:ascii="华文仿宋" w:hAnsi="华文仿宋" w:eastAsia="华文仿宋"/>
          <w:color w:val="auto"/>
          <w:sz w:val="28"/>
          <w:szCs w:val="28"/>
        </w:rPr>
        <w:t>梯</w:t>
      </w:r>
      <w:r>
        <w:rPr>
          <w:rFonts w:ascii="华文仿宋" w:hAnsi="华文仿宋" w:eastAsia="华文仿宋"/>
          <w:color w:val="auto"/>
          <w:sz w:val="28"/>
          <w:szCs w:val="28"/>
        </w:rPr>
        <w:t>架、托盘和槽盒须在</w:t>
      </w:r>
      <w:r>
        <w:rPr>
          <w:rFonts w:hint="eastAsia" w:ascii="华文仿宋" w:hAnsi="华文仿宋" w:eastAsia="华文仿宋"/>
          <w:color w:val="auto"/>
          <w:sz w:val="28"/>
          <w:szCs w:val="28"/>
        </w:rPr>
        <w:t>显眼</w:t>
      </w:r>
      <w:r>
        <w:rPr>
          <w:rFonts w:ascii="华文仿宋" w:hAnsi="华文仿宋" w:eastAsia="华文仿宋"/>
          <w:color w:val="auto"/>
          <w:sz w:val="28"/>
          <w:szCs w:val="28"/>
        </w:rPr>
        <w:t>的地方，涂上</w:t>
      </w:r>
      <w:r>
        <w:rPr>
          <w:rFonts w:hint="eastAsia" w:ascii="华文仿宋" w:hAnsi="华文仿宋" w:eastAsia="华文仿宋"/>
          <w:color w:val="auto"/>
          <w:sz w:val="28"/>
          <w:szCs w:val="28"/>
        </w:rPr>
        <w:t>梯</w:t>
      </w:r>
      <w:r>
        <w:rPr>
          <w:rFonts w:ascii="华文仿宋" w:hAnsi="华文仿宋" w:eastAsia="华文仿宋"/>
          <w:color w:val="auto"/>
          <w:sz w:val="28"/>
          <w:szCs w:val="28"/>
        </w:rPr>
        <w:t>架、托盘和槽盒</w:t>
      </w:r>
      <w:r>
        <w:rPr>
          <w:rFonts w:hint="eastAsia" w:ascii="华文仿宋" w:hAnsi="华文仿宋" w:eastAsia="华文仿宋"/>
          <w:color w:val="auto"/>
          <w:sz w:val="28"/>
          <w:szCs w:val="28"/>
        </w:rPr>
        <w:t>名称，</w:t>
      </w:r>
      <w:r>
        <w:rPr>
          <w:rFonts w:ascii="华文仿宋" w:hAnsi="华文仿宋" w:eastAsia="华文仿宋"/>
          <w:color w:val="auto"/>
          <w:sz w:val="28"/>
          <w:szCs w:val="28"/>
        </w:rPr>
        <w:t>中文字须为 50mm 高。</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5.1.24敷设在电气竖井内穿楼板处和穿越不同防火区的梯架、托盘和槽盒.应有防火隔堵措施。</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5.1.25敷设在电气竖井内的电缆梯架或托盘，其固定支架不应安装在固定电缆的横担上.且每隔3层~5层应设置承重支架。</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5.1.26对于敷设在室外的梯架、托盘和档盒。当进人室内或配电箱(柜)时应有防雨水措施,槽盒底部应有泄水孔。</w:t>
      </w:r>
    </w:p>
    <w:p>
      <w:pPr>
        <w:pStyle w:val="3"/>
        <w:adjustRightInd w:val="0"/>
        <w:snapToGrid w:val="0"/>
        <w:spacing w:before="240" w:line="415" w:lineRule="auto"/>
        <w:ind w:firstLine="561"/>
        <w:rPr>
          <w:rFonts w:hAnsi="华文仿宋" w:cs="仿宋_GB2312"/>
          <w:szCs w:val="28"/>
        </w:rPr>
      </w:pPr>
      <w:bookmarkStart w:id="96" w:name="_Toc16964"/>
      <w:bookmarkStart w:id="97" w:name="_Toc27495664"/>
      <w:bookmarkStart w:id="98" w:name="_Toc11227962"/>
      <w:r>
        <w:rPr>
          <w:rFonts w:hAnsi="华文仿宋" w:cs="仿宋_GB2312"/>
          <w:szCs w:val="28"/>
        </w:rPr>
        <w:t>6 检验测试</w:t>
      </w:r>
      <w:bookmarkEnd w:id="96"/>
      <w:bookmarkEnd w:id="97"/>
      <w:bookmarkEnd w:id="98"/>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6.1 测试验收前，须提交下列供验收用：</w:t>
      </w:r>
    </w:p>
    <w:p>
      <w:pPr>
        <w:pStyle w:val="338"/>
        <w:spacing w:before="12" w:beforeLines="5" w:line="360" w:lineRule="auto"/>
        <w:ind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安装图；</w:t>
      </w:r>
    </w:p>
    <w:p>
      <w:pPr>
        <w:pStyle w:val="338"/>
        <w:spacing w:before="12" w:beforeLines="5" w:line="360" w:lineRule="auto"/>
        <w:ind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完整的测试报告。</w:t>
      </w:r>
    </w:p>
    <w:p>
      <w:pPr>
        <w:pStyle w:val="338"/>
        <w:spacing w:before="12" w:beforeLines="5" w:line="360" w:lineRule="auto"/>
        <w:ind w:firstLine="560"/>
        <w:rPr>
          <w:rFonts w:ascii="华文仿宋" w:hAnsi="华文仿宋" w:eastAsia="华文仿宋"/>
          <w:color w:val="auto"/>
          <w:sz w:val="28"/>
          <w:szCs w:val="28"/>
        </w:rPr>
      </w:pPr>
      <w:r>
        <w:rPr>
          <w:rFonts w:ascii="华文仿宋" w:hAnsi="华文仿宋" w:eastAsia="华文仿宋"/>
          <w:color w:val="auto"/>
          <w:sz w:val="28"/>
          <w:szCs w:val="28"/>
        </w:rPr>
        <w:t>6.2 检验测试内容至少为下列各项(但不局限以下)：</w:t>
      </w:r>
    </w:p>
    <w:p>
      <w:pPr>
        <w:pStyle w:val="338"/>
        <w:spacing w:before="12" w:beforeLines="5" w:line="360" w:lineRule="auto"/>
        <w:ind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接地测试；</w:t>
      </w:r>
    </w:p>
    <w:p>
      <w:pPr>
        <w:pStyle w:val="338"/>
        <w:spacing w:before="12" w:beforeLines="5" w:line="360" w:lineRule="auto"/>
        <w:ind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目视测试；</w:t>
      </w:r>
    </w:p>
    <w:p>
      <w:pPr>
        <w:pStyle w:val="338"/>
        <w:spacing w:before="12" w:beforeLines="5" w:line="360" w:lineRule="auto"/>
        <w:ind w:firstLine="560" w:firstLineChars="200"/>
        <w:rPr>
          <w:rFonts w:ascii="华文仿宋" w:hAnsi="华文仿宋" w:eastAsia="华文仿宋"/>
          <w:color w:val="auto"/>
          <w:sz w:val="28"/>
          <w:szCs w:val="28"/>
        </w:rPr>
      </w:pPr>
      <w:r>
        <w:rPr>
          <w:rFonts w:hint="eastAsia" w:ascii="华文仿宋" w:hAnsi="华文仿宋" w:eastAsia="华文仿宋"/>
          <w:color w:val="auto"/>
          <w:sz w:val="28"/>
          <w:szCs w:val="28"/>
        </w:rPr>
        <w:t>梯</w:t>
      </w:r>
      <w:r>
        <w:rPr>
          <w:rFonts w:ascii="华文仿宋" w:hAnsi="华文仿宋" w:eastAsia="华文仿宋"/>
          <w:color w:val="auto"/>
          <w:sz w:val="28"/>
          <w:szCs w:val="28"/>
        </w:rPr>
        <w:t>架、托盘和槽盒、支（吊）架、连接件和附件的质量应符合施工的有关技术标准；</w:t>
      </w:r>
    </w:p>
    <w:p>
      <w:pPr>
        <w:pStyle w:val="338"/>
        <w:spacing w:before="12" w:beforeLines="5" w:line="360" w:lineRule="auto"/>
        <w:ind w:firstLine="560" w:firstLineChars="200"/>
        <w:rPr>
          <w:rFonts w:ascii="华文仿宋" w:hAnsi="华文仿宋" w:eastAsia="华文仿宋"/>
          <w:color w:val="auto"/>
          <w:sz w:val="28"/>
          <w:szCs w:val="28"/>
        </w:rPr>
      </w:pPr>
      <w:r>
        <w:rPr>
          <w:rFonts w:hint="eastAsia" w:ascii="华文仿宋" w:hAnsi="华文仿宋" w:eastAsia="华文仿宋"/>
          <w:color w:val="auto"/>
          <w:sz w:val="28"/>
          <w:szCs w:val="28"/>
        </w:rPr>
        <w:t>梯</w:t>
      </w:r>
      <w:r>
        <w:rPr>
          <w:rFonts w:ascii="华文仿宋" w:hAnsi="华文仿宋" w:eastAsia="华文仿宋"/>
          <w:color w:val="auto"/>
          <w:sz w:val="28"/>
          <w:szCs w:val="28"/>
        </w:rPr>
        <w:t>架、托盘和槽盒的规格、支吊跨距、防腐类型应符合设计要求。</w:t>
      </w:r>
    </w:p>
    <w:p>
      <w:pPr>
        <w:pStyle w:val="79"/>
        <w:rPr>
          <w:rFonts w:ascii="华文仿宋"/>
        </w:rPr>
      </w:pPr>
      <w:r>
        <w:rPr>
          <w:rFonts w:ascii="华文仿宋" w:hAnsi="华文仿宋"/>
          <w:szCs w:val="28"/>
        </w:rPr>
        <w:br w:type="page"/>
      </w:r>
      <w:bookmarkStart w:id="99" w:name="_Toc27495665"/>
      <w:bookmarkStart w:id="100" w:name="_Toc11227963"/>
      <w:bookmarkStart w:id="101" w:name="_Toc441"/>
      <w:r>
        <w:rPr>
          <w:rFonts w:hint="eastAsia"/>
          <w:lang w:val="en-US" w:eastAsia="zh-CN"/>
        </w:rPr>
        <w:t>五</w:t>
      </w:r>
      <w:r>
        <w:t xml:space="preserve"> </w:t>
      </w:r>
      <w:r>
        <w:rPr>
          <w:rFonts w:hint="eastAsia"/>
        </w:rPr>
        <w:t>照明灯具</w:t>
      </w:r>
      <w:bookmarkEnd w:id="99"/>
      <w:bookmarkEnd w:id="100"/>
      <w:bookmarkEnd w:id="101"/>
    </w:p>
    <w:p>
      <w:pPr>
        <w:pStyle w:val="3"/>
        <w:adjustRightInd w:val="0"/>
        <w:snapToGrid w:val="0"/>
        <w:spacing w:before="240" w:line="415" w:lineRule="auto"/>
        <w:ind w:firstLine="561"/>
        <w:rPr>
          <w:rFonts w:hAnsi="华文仿宋" w:cs="仿宋_GB2312"/>
          <w:szCs w:val="28"/>
        </w:rPr>
      </w:pPr>
      <w:bookmarkStart w:id="102" w:name="_Toc11227964"/>
      <w:bookmarkStart w:id="103" w:name="_Toc27495666"/>
      <w:bookmarkStart w:id="104" w:name="_Toc21123"/>
      <w:r>
        <w:rPr>
          <w:rFonts w:hAnsi="华文仿宋" w:cs="仿宋_GB2312"/>
          <w:szCs w:val="28"/>
        </w:rPr>
        <w:t>1</w:t>
      </w:r>
      <w:r>
        <w:rPr>
          <w:rFonts w:hint="eastAsia" w:hAnsi="华文仿宋" w:cs="仿宋_GB2312"/>
          <w:szCs w:val="28"/>
        </w:rPr>
        <w:t>总则</w:t>
      </w:r>
      <w:bookmarkEnd w:id="102"/>
      <w:bookmarkEnd w:id="103"/>
      <w:bookmarkEnd w:id="104"/>
    </w:p>
    <w:p>
      <w:pPr>
        <w:adjustRightInd w:val="0"/>
        <w:snapToGrid w:val="0"/>
        <w:ind w:firstLine="560"/>
        <w:rPr>
          <w:szCs w:val="28"/>
        </w:rPr>
      </w:pPr>
      <w:r>
        <w:rPr>
          <w:szCs w:val="28"/>
        </w:rPr>
        <w:t>1. 1</w:t>
      </w:r>
      <w:r>
        <w:rPr>
          <w:rFonts w:hint="eastAsia"/>
          <w:szCs w:val="28"/>
        </w:rPr>
        <w:t>质量要求</w:t>
      </w:r>
    </w:p>
    <w:p>
      <w:pPr>
        <w:adjustRightInd w:val="0"/>
        <w:snapToGrid w:val="0"/>
        <w:ind w:firstLine="560"/>
        <w:rPr>
          <w:szCs w:val="28"/>
        </w:rPr>
      </w:pPr>
      <w:r>
        <w:rPr>
          <w:szCs w:val="28"/>
        </w:rPr>
        <w:t>1.1.1</w:t>
      </w:r>
      <w:r>
        <w:rPr>
          <w:rFonts w:hint="eastAsia"/>
          <w:szCs w:val="28"/>
        </w:rPr>
        <w:t>所有灯具（不包括电压低于</w:t>
      </w:r>
      <w:r>
        <w:rPr>
          <w:szCs w:val="28"/>
        </w:rPr>
        <w:t xml:space="preserve"> 36V </w:t>
      </w:r>
      <w:r>
        <w:rPr>
          <w:rFonts w:hint="eastAsia"/>
          <w:szCs w:val="28"/>
        </w:rPr>
        <w:t>的照明设备）、电子镇流器须提供国家相关测试机构检测证明及国家主管部门颁发的</w:t>
      </w:r>
      <w:r>
        <w:rPr>
          <w:szCs w:val="28"/>
        </w:rPr>
        <w:t xml:space="preserve"> 3C </w:t>
      </w:r>
      <w:r>
        <w:rPr>
          <w:rFonts w:hint="eastAsia"/>
          <w:szCs w:val="28"/>
        </w:rPr>
        <w:t>认证证书。</w:t>
      </w:r>
    </w:p>
    <w:p>
      <w:pPr>
        <w:adjustRightInd w:val="0"/>
        <w:snapToGrid w:val="0"/>
        <w:ind w:firstLine="560"/>
        <w:rPr>
          <w:szCs w:val="28"/>
        </w:rPr>
      </w:pPr>
      <w:r>
        <w:rPr>
          <w:szCs w:val="28"/>
        </w:rPr>
        <w:t>1.1.2</w:t>
      </w:r>
      <w:r>
        <w:rPr>
          <w:rFonts w:hint="eastAsia"/>
          <w:szCs w:val="28"/>
        </w:rPr>
        <w:t>照明灯具内的所有配件须由照明灯具原厂提供，所有相同的部件须可互相替换。</w:t>
      </w:r>
    </w:p>
    <w:p>
      <w:pPr>
        <w:adjustRightInd w:val="0"/>
        <w:snapToGrid w:val="0"/>
        <w:ind w:firstLine="560"/>
        <w:rPr>
          <w:szCs w:val="28"/>
        </w:rPr>
      </w:pPr>
      <w:r>
        <w:rPr>
          <w:szCs w:val="28"/>
        </w:rPr>
        <w:t>1.1.3</w:t>
      </w:r>
      <w:r>
        <w:rPr>
          <w:rFonts w:hint="eastAsia"/>
          <w:szCs w:val="28"/>
        </w:rPr>
        <w:t>除非另有规定外，所有提供的照明灯具均须符合施工图设计要求。</w:t>
      </w:r>
    </w:p>
    <w:p>
      <w:pPr>
        <w:adjustRightInd w:val="0"/>
        <w:snapToGrid w:val="0"/>
        <w:ind w:firstLine="560"/>
        <w:rPr>
          <w:szCs w:val="28"/>
        </w:rPr>
      </w:pPr>
      <w:r>
        <w:rPr>
          <w:szCs w:val="28"/>
        </w:rPr>
        <w:t>1.2</w:t>
      </w:r>
      <w:r>
        <w:rPr>
          <w:rFonts w:hint="eastAsia"/>
          <w:szCs w:val="28"/>
        </w:rPr>
        <w:t>资料提交</w:t>
      </w:r>
    </w:p>
    <w:p>
      <w:pPr>
        <w:adjustRightInd w:val="0"/>
        <w:snapToGrid w:val="0"/>
        <w:ind w:firstLine="560"/>
        <w:rPr>
          <w:szCs w:val="28"/>
        </w:rPr>
      </w:pPr>
      <w:r>
        <w:rPr>
          <w:rFonts w:hint="eastAsia"/>
          <w:szCs w:val="28"/>
        </w:rPr>
        <w:t>在工程实施中的适当阶段，</w:t>
      </w:r>
      <w:r>
        <w:rPr>
          <w:szCs w:val="28"/>
        </w:rPr>
        <w:t xml:space="preserve"> </w:t>
      </w:r>
      <w:r>
        <w:rPr>
          <w:rFonts w:hint="eastAsia"/>
          <w:szCs w:val="28"/>
        </w:rPr>
        <w:t>至少须报送下列文件供审批：</w:t>
      </w:r>
    </w:p>
    <w:p>
      <w:pPr>
        <w:adjustRightInd w:val="0"/>
        <w:snapToGrid w:val="0"/>
        <w:ind w:firstLine="560"/>
        <w:rPr>
          <w:szCs w:val="28"/>
        </w:rPr>
      </w:pPr>
      <w:r>
        <w:rPr>
          <w:szCs w:val="28"/>
        </w:rPr>
        <w:t>1.2.1</w:t>
      </w:r>
      <w:r>
        <w:rPr>
          <w:rFonts w:hint="eastAsia"/>
          <w:szCs w:val="28"/>
        </w:rPr>
        <w:t>设备和部件的详情表，制造厂商数据和样品。如有需求时，须提交制造厂商定型试验证明和试验文件供审阅。</w:t>
      </w:r>
    </w:p>
    <w:p>
      <w:pPr>
        <w:adjustRightInd w:val="0"/>
        <w:snapToGrid w:val="0"/>
        <w:ind w:firstLine="560"/>
        <w:rPr>
          <w:szCs w:val="28"/>
        </w:rPr>
      </w:pPr>
      <w:r>
        <w:rPr>
          <w:szCs w:val="28"/>
        </w:rPr>
        <w:t>1.2.2</w:t>
      </w:r>
      <w:r>
        <w:rPr>
          <w:rFonts w:hint="eastAsia"/>
          <w:szCs w:val="28"/>
        </w:rPr>
        <w:t>每种照明灯具的说明书及安装图。</w:t>
      </w:r>
    </w:p>
    <w:p>
      <w:pPr>
        <w:adjustRightInd w:val="0"/>
        <w:snapToGrid w:val="0"/>
        <w:ind w:firstLine="560"/>
        <w:rPr>
          <w:szCs w:val="28"/>
        </w:rPr>
      </w:pPr>
      <w:r>
        <w:rPr>
          <w:szCs w:val="28"/>
        </w:rPr>
        <w:t>1.2.3</w:t>
      </w:r>
      <w:r>
        <w:rPr>
          <w:rFonts w:hint="eastAsia"/>
          <w:szCs w:val="28"/>
        </w:rPr>
        <w:t>对土建及装修的要求。</w:t>
      </w:r>
    </w:p>
    <w:p>
      <w:pPr>
        <w:adjustRightInd w:val="0"/>
        <w:snapToGrid w:val="0"/>
        <w:ind w:firstLine="560"/>
        <w:rPr>
          <w:szCs w:val="28"/>
        </w:rPr>
      </w:pPr>
      <w:r>
        <w:rPr>
          <w:szCs w:val="28"/>
        </w:rPr>
        <w:t>1.2.4</w:t>
      </w:r>
      <w:r>
        <w:rPr>
          <w:rFonts w:hint="eastAsia"/>
          <w:szCs w:val="28"/>
        </w:rPr>
        <w:t>各部位</w:t>
      </w:r>
      <w:r>
        <w:rPr>
          <w:szCs w:val="28"/>
        </w:rPr>
        <w:t>/</w:t>
      </w:r>
      <w:r>
        <w:rPr>
          <w:rFonts w:hint="eastAsia"/>
          <w:szCs w:val="28"/>
        </w:rPr>
        <w:t>房间的照度计算书。</w:t>
      </w:r>
    </w:p>
    <w:p>
      <w:pPr>
        <w:pStyle w:val="3"/>
        <w:adjustRightInd w:val="0"/>
        <w:snapToGrid w:val="0"/>
        <w:spacing w:before="240" w:line="415" w:lineRule="auto"/>
        <w:ind w:firstLine="561"/>
        <w:rPr>
          <w:rFonts w:hAnsi="华文仿宋" w:cs="仿宋_GB2312"/>
          <w:szCs w:val="28"/>
        </w:rPr>
      </w:pPr>
      <w:bookmarkStart w:id="105" w:name="_Toc27495667"/>
      <w:bookmarkStart w:id="106" w:name="_Toc5144"/>
      <w:bookmarkStart w:id="107" w:name="_Toc11227965"/>
      <w:r>
        <w:rPr>
          <w:rFonts w:hAnsi="华文仿宋" w:cs="仿宋_GB2312"/>
          <w:szCs w:val="28"/>
        </w:rPr>
        <w:t xml:space="preserve">2 </w:t>
      </w:r>
      <w:r>
        <w:rPr>
          <w:rFonts w:hint="eastAsia" w:hAnsi="华文仿宋" w:cs="仿宋_GB2312"/>
          <w:szCs w:val="28"/>
        </w:rPr>
        <w:t>规范及标准</w:t>
      </w:r>
      <w:bookmarkEnd w:id="105"/>
      <w:bookmarkEnd w:id="106"/>
      <w:bookmarkEnd w:id="107"/>
    </w:p>
    <w:p>
      <w:pPr>
        <w:ind w:firstLine="560"/>
        <w:rPr>
          <w:szCs w:val="28"/>
        </w:rPr>
      </w:pPr>
      <w:r>
        <w:rPr>
          <w:szCs w:val="28"/>
        </w:rPr>
        <w:t xml:space="preserve">GB/T7922-2008    </w:t>
      </w:r>
      <w:r>
        <w:rPr>
          <w:rFonts w:hint="eastAsia"/>
          <w:szCs w:val="28"/>
        </w:rPr>
        <w:t>《照明光源颜色的测量方法》</w:t>
      </w:r>
    </w:p>
    <w:p>
      <w:pPr>
        <w:ind w:firstLine="560"/>
        <w:rPr>
          <w:szCs w:val="28"/>
        </w:rPr>
      </w:pPr>
      <w:r>
        <w:rPr>
          <w:szCs w:val="28"/>
        </w:rPr>
        <w:t xml:space="preserve">GB 7000.17-2003   </w:t>
      </w:r>
      <w:r>
        <w:rPr>
          <w:rFonts w:hint="eastAsia"/>
          <w:szCs w:val="28"/>
        </w:rPr>
        <w:t>《限制表面温度灯具安全要求》</w:t>
      </w:r>
    </w:p>
    <w:p>
      <w:pPr>
        <w:ind w:firstLine="560"/>
        <w:rPr>
          <w:szCs w:val="28"/>
        </w:rPr>
      </w:pPr>
      <w:r>
        <w:rPr>
          <w:szCs w:val="28"/>
        </w:rPr>
        <w:t xml:space="preserve">GB 7000.2-2008    </w:t>
      </w:r>
      <w:r>
        <w:rPr>
          <w:rFonts w:hint="eastAsia"/>
          <w:szCs w:val="28"/>
        </w:rPr>
        <w:t>《灯具第</w:t>
      </w:r>
      <w:r>
        <w:rPr>
          <w:szCs w:val="28"/>
        </w:rPr>
        <w:t>2-22</w:t>
      </w:r>
      <w:r>
        <w:rPr>
          <w:rFonts w:hint="eastAsia"/>
          <w:szCs w:val="28"/>
        </w:rPr>
        <w:t>部分：特殊要求应急照明灯具》</w:t>
      </w:r>
    </w:p>
    <w:p>
      <w:pPr>
        <w:ind w:firstLine="560"/>
        <w:rPr>
          <w:szCs w:val="28"/>
        </w:rPr>
      </w:pPr>
      <w:r>
        <w:rPr>
          <w:bCs/>
          <w:szCs w:val="28"/>
        </w:rPr>
        <w:t xml:space="preserve">GB 7000.201-2008  </w:t>
      </w:r>
      <w:r>
        <w:rPr>
          <w:rFonts w:hint="eastAsia"/>
          <w:bCs/>
          <w:szCs w:val="28"/>
        </w:rPr>
        <w:t>《</w:t>
      </w:r>
      <w:r>
        <w:rPr>
          <w:rFonts w:hint="eastAsia"/>
          <w:szCs w:val="28"/>
        </w:rPr>
        <w:t>灯具第</w:t>
      </w:r>
      <w:r>
        <w:rPr>
          <w:szCs w:val="28"/>
        </w:rPr>
        <w:t>2-1</w:t>
      </w:r>
      <w:r>
        <w:rPr>
          <w:rFonts w:hint="eastAsia"/>
          <w:szCs w:val="28"/>
        </w:rPr>
        <w:t>部分：特殊要求固定式通用灯具》</w:t>
      </w:r>
    </w:p>
    <w:p>
      <w:pPr>
        <w:ind w:firstLine="560"/>
        <w:rPr>
          <w:szCs w:val="28"/>
        </w:rPr>
      </w:pPr>
      <w:r>
        <w:rPr>
          <w:szCs w:val="28"/>
        </w:rPr>
        <w:t xml:space="preserve">GB 7000.1-2015    </w:t>
      </w:r>
      <w:r>
        <w:rPr>
          <w:rFonts w:hint="eastAsia"/>
          <w:szCs w:val="28"/>
        </w:rPr>
        <w:t>《灯具第</w:t>
      </w:r>
      <w:r>
        <w:rPr>
          <w:szCs w:val="28"/>
        </w:rPr>
        <w:t>1</w:t>
      </w:r>
      <w:r>
        <w:rPr>
          <w:rFonts w:hint="eastAsia"/>
          <w:szCs w:val="28"/>
        </w:rPr>
        <w:t>部分：一般要求与试验》</w:t>
      </w:r>
    </w:p>
    <w:p>
      <w:pPr>
        <w:ind w:firstLine="560"/>
        <w:rPr>
          <w:szCs w:val="28"/>
        </w:rPr>
      </w:pPr>
      <w:r>
        <w:rPr>
          <w:bCs/>
          <w:szCs w:val="28"/>
        </w:rPr>
        <w:t xml:space="preserve">GB/T 9468-2008   </w:t>
      </w:r>
      <w:r>
        <w:rPr>
          <w:rFonts w:hint="eastAsia"/>
          <w:bCs/>
          <w:szCs w:val="28"/>
        </w:rPr>
        <w:t>《</w:t>
      </w:r>
      <w:r>
        <w:rPr>
          <w:rFonts w:hint="eastAsia"/>
          <w:szCs w:val="28"/>
        </w:rPr>
        <w:t>灯具分布光度测量的一般要求》</w:t>
      </w:r>
    </w:p>
    <w:p>
      <w:pPr>
        <w:ind w:firstLine="560"/>
        <w:rPr>
          <w:szCs w:val="28"/>
        </w:rPr>
      </w:pPr>
      <w:r>
        <w:rPr>
          <w:szCs w:val="28"/>
        </w:rPr>
        <w:t xml:space="preserve">GB/T 24823-2009  </w:t>
      </w:r>
      <w:r>
        <w:rPr>
          <w:rFonts w:hint="eastAsia"/>
          <w:szCs w:val="28"/>
        </w:rPr>
        <w:t>《普通照明用</w:t>
      </w:r>
      <w:r>
        <w:rPr>
          <w:szCs w:val="28"/>
        </w:rPr>
        <w:t>LED</w:t>
      </w:r>
      <w:r>
        <w:rPr>
          <w:rFonts w:hint="eastAsia"/>
          <w:szCs w:val="28"/>
        </w:rPr>
        <w:t>模块性能要求》</w:t>
      </w:r>
    </w:p>
    <w:p>
      <w:pPr>
        <w:ind w:firstLine="560"/>
        <w:rPr>
          <w:szCs w:val="28"/>
        </w:rPr>
      </w:pPr>
      <w:r>
        <w:rPr>
          <w:szCs w:val="28"/>
        </w:rPr>
        <w:t xml:space="preserve">GB/T 24824-2009  </w:t>
      </w:r>
      <w:r>
        <w:rPr>
          <w:rFonts w:hint="eastAsia"/>
          <w:szCs w:val="28"/>
        </w:rPr>
        <w:t>《普通照明用</w:t>
      </w:r>
      <w:r>
        <w:rPr>
          <w:szCs w:val="28"/>
        </w:rPr>
        <w:t>LED</w:t>
      </w:r>
      <w:r>
        <w:rPr>
          <w:rFonts w:hint="eastAsia"/>
          <w:szCs w:val="28"/>
        </w:rPr>
        <w:t>模块测试方法》</w:t>
      </w:r>
    </w:p>
    <w:p>
      <w:pPr>
        <w:ind w:firstLine="560"/>
        <w:rPr>
          <w:szCs w:val="28"/>
        </w:rPr>
      </w:pPr>
      <w:r>
        <w:rPr>
          <w:szCs w:val="28"/>
        </w:rPr>
        <w:t xml:space="preserve">GB/T 24826-2009  </w:t>
      </w:r>
      <w:r>
        <w:rPr>
          <w:rFonts w:hint="eastAsia"/>
          <w:szCs w:val="28"/>
        </w:rPr>
        <w:t>《普通照明用</w:t>
      </w:r>
      <w:r>
        <w:rPr>
          <w:szCs w:val="28"/>
        </w:rPr>
        <w:t>LED</w:t>
      </w:r>
      <w:r>
        <w:rPr>
          <w:rFonts w:hint="eastAsia"/>
          <w:szCs w:val="28"/>
        </w:rPr>
        <w:t>和</w:t>
      </w:r>
      <w:r>
        <w:rPr>
          <w:szCs w:val="28"/>
        </w:rPr>
        <w:t>LED</w:t>
      </w:r>
      <w:r>
        <w:rPr>
          <w:rFonts w:hint="eastAsia"/>
          <w:szCs w:val="28"/>
        </w:rPr>
        <w:t>模块术语和定义》</w:t>
      </w:r>
    </w:p>
    <w:p>
      <w:pPr>
        <w:ind w:firstLine="560"/>
        <w:rPr>
          <w:szCs w:val="28"/>
        </w:rPr>
      </w:pPr>
      <w:r>
        <w:rPr>
          <w:szCs w:val="28"/>
        </w:rPr>
        <w:t xml:space="preserve">GB 24906-2010    </w:t>
      </w:r>
      <w:r>
        <w:rPr>
          <w:rFonts w:hint="eastAsia"/>
          <w:szCs w:val="28"/>
        </w:rPr>
        <w:t>《普通照明用</w:t>
      </w:r>
      <w:r>
        <w:rPr>
          <w:szCs w:val="28"/>
        </w:rPr>
        <w:t>50V</w:t>
      </w:r>
      <w:r>
        <w:rPr>
          <w:rFonts w:hint="eastAsia"/>
          <w:szCs w:val="28"/>
        </w:rPr>
        <w:t>以上自镇流</w:t>
      </w:r>
      <w:r>
        <w:rPr>
          <w:szCs w:val="28"/>
        </w:rPr>
        <w:t>LED</w:t>
      </w:r>
      <w:r>
        <w:rPr>
          <w:rFonts w:hint="eastAsia"/>
          <w:szCs w:val="28"/>
        </w:rPr>
        <w:t>灯　安全要求》</w:t>
      </w:r>
    </w:p>
    <w:p>
      <w:pPr>
        <w:ind w:firstLine="560"/>
        <w:rPr>
          <w:szCs w:val="28"/>
        </w:rPr>
      </w:pPr>
      <w:r>
        <w:rPr>
          <w:szCs w:val="28"/>
        </w:rPr>
        <w:t xml:space="preserve">GB/T 24908-2010  </w:t>
      </w:r>
      <w:r>
        <w:rPr>
          <w:rFonts w:hint="eastAsia"/>
          <w:szCs w:val="28"/>
        </w:rPr>
        <w:t>《普通照明用自镇流</w:t>
      </w:r>
      <w:r>
        <w:rPr>
          <w:szCs w:val="28"/>
        </w:rPr>
        <w:t>LED</w:t>
      </w:r>
      <w:r>
        <w:rPr>
          <w:rFonts w:hint="eastAsia"/>
          <w:szCs w:val="28"/>
        </w:rPr>
        <w:t>灯性能要求》</w:t>
      </w:r>
    </w:p>
    <w:p>
      <w:pPr>
        <w:ind w:firstLine="560"/>
        <w:rPr>
          <w:szCs w:val="28"/>
        </w:rPr>
      </w:pPr>
      <w:r>
        <w:rPr>
          <w:szCs w:val="28"/>
        </w:rPr>
        <w:t xml:space="preserve">GB/T 24909-2010  </w:t>
      </w:r>
      <w:r>
        <w:rPr>
          <w:rFonts w:hint="eastAsia"/>
          <w:szCs w:val="28"/>
        </w:rPr>
        <w:t>《装饰照明用</w:t>
      </w:r>
      <w:r>
        <w:rPr>
          <w:szCs w:val="28"/>
        </w:rPr>
        <w:t>LED</w:t>
      </w:r>
      <w:r>
        <w:rPr>
          <w:rFonts w:hint="eastAsia"/>
          <w:szCs w:val="28"/>
        </w:rPr>
        <w:t>灯》</w:t>
      </w:r>
    </w:p>
    <w:p>
      <w:pPr>
        <w:ind w:firstLine="560"/>
        <w:rPr>
          <w:szCs w:val="28"/>
        </w:rPr>
      </w:pPr>
      <w:r>
        <w:rPr>
          <w:szCs w:val="28"/>
        </w:rPr>
        <w:t xml:space="preserve">GB 17625.1-2012   </w:t>
      </w:r>
      <w:r>
        <w:rPr>
          <w:rFonts w:hint="eastAsia"/>
          <w:szCs w:val="28"/>
        </w:rPr>
        <w:t>《电磁兼容限值谐波电流发射限值</w:t>
      </w:r>
      <w:r>
        <w:rPr>
          <w:szCs w:val="28"/>
        </w:rPr>
        <w:t>(</w:t>
      </w:r>
      <w:r>
        <w:rPr>
          <w:rFonts w:hint="eastAsia"/>
          <w:szCs w:val="28"/>
        </w:rPr>
        <w:t>设备每相输入电流≤</w:t>
      </w:r>
      <w:r>
        <w:rPr>
          <w:szCs w:val="28"/>
        </w:rPr>
        <w:t>16A)</w:t>
      </w:r>
      <w:r>
        <w:rPr>
          <w:rFonts w:hint="eastAsia"/>
          <w:szCs w:val="28"/>
        </w:rPr>
        <w:t>》</w:t>
      </w:r>
    </w:p>
    <w:p>
      <w:pPr>
        <w:ind w:firstLine="560"/>
        <w:rPr>
          <w:szCs w:val="28"/>
        </w:rPr>
      </w:pPr>
      <w:r>
        <w:rPr>
          <w:szCs w:val="28"/>
        </w:rPr>
        <w:t xml:space="preserve">GB/T 18595-2001  </w:t>
      </w:r>
      <w:r>
        <w:rPr>
          <w:rFonts w:hint="eastAsia"/>
          <w:szCs w:val="28"/>
        </w:rPr>
        <w:t>《一般照明用设备电磁兼容抗扰度要求》</w:t>
      </w:r>
    </w:p>
    <w:p>
      <w:pPr>
        <w:ind w:firstLine="560"/>
        <w:rPr>
          <w:szCs w:val="28"/>
        </w:rPr>
      </w:pPr>
      <w:r>
        <w:rPr>
          <w:bCs/>
          <w:szCs w:val="28"/>
        </w:rPr>
        <w:t xml:space="preserve">GB 4208-2017     </w:t>
      </w:r>
      <w:r>
        <w:rPr>
          <w:rFonts w:hint="eastAsia"/>
          <w:bCs/>
          <w:szCs w:val="28"/>
        </w:rPr>
        <w:t>《</w:t>
      </w:r>
      <w:r>
        <w:rPr>
          <w:rFonts w:hint="eastAsia"/>
          <w:szCs w:val="28"/>
        </w:rPr>
        <w:t>外壳防护等级</w:t>
      </w:r>
      <w:r>
        <w:rPr>
          <w:szCs w:val="28"/>
        </w:rPr>
        <w:t>(IP</w:t>
      </w:r>
      <w:r>
        <w:rPr>
          <w:rFonts w:hint="eastAsia"/>
          <w:szCs w:val="28"/>
        </w:rPr>
        <w:t>代码</w:t>
      </w:r>
      <w:r>
        <w:rPr>
          <w:szCs w:val="28"/>
        </w:rPr>
        <w:t xml:space="preserve">) </w:t>
      </w:r>
      <w:r>
        <w:rPr>
          <w:rFonts w:hint="eastAsia"/>
          <w:szCs w:val="28"/>
        </w:rPr>
        <w:t>》</w:t>
      </w:r>
    </w:p>
    <w:p>
      <w:pPr>
        <w:ind w:firstLine="560"/>
        <w:rPr>
          <w:szCs w:val="28"/>
        </w:rPr>
      </w:pPr>
      <w:r>
        <w:rPr>
          <w:bCs/>
          <w:szCs w:val="28"/>
        </w:rPr>
        <w:t xml:space="preserve">GB 8624-2012     </w:t>
      </w:r>
      <w:r>
        <w:rPr>
          <w:rFonts w:hint="eastAsia"/>
          <w:bCs/>
          <w:szCs w:val="28"/>
        </w:rPr>
        <w:t>《</w:t>
      </w:r>
      <w:r>
        <w:rPr>
          <w:rFonts w:hint="eastAsia"/>
          <w:szCs w:val="28"/>
        </w:rPr>
        <w:t>建筑材料及制品燃烧性能分级》</w:t>
      </w:r>
    </w:p>
    <w:p>
      <w:pPr>
        <w:ind w:firstLine="560"/>
        <w:rPr>
          <w:szCs w:val="28"/>
        </w:rPr>
      </w:pPr>
      <w:r>
        <w:rPr>
          <w:szCs w:val="28"/>
        </w:rPr>
        <w:t xml:space="preserve">GB17945-2010     </w:t>
      </w:r>
      <w:r>
        <w:rPr>
          <w:rFonts w:hint="eastAsia"/>
          <w:szCs w:val="28"/>
        </w:rPr>
        <w:t>《消防应急照明和疏散指示系统》</w:t>
      </w:r>
    </w:p>
    <w:p>
      <w:pPr>
        <w:ind w:firstLine="560"/>
        <w:rPr>
          <w:szCs w:val="28"/>
        </w:rPr>
      </w:pPr>
      <w:r>
        <w:rPr>
          <w:szCs w:val="28"/>
        </w:rPr>
        <w:t xml:space="preserve">GB50034-2013     </w:t>
      </w:r>
      <w:r>
        <w:rPr>
          <w:rFonts w:hint="eastAsia"/>
          <w:szCs w:val="28"/>
        </w:rPr>
        <w:t>《建筑照明设计标准》</w:t>
      </w:r>
    </w:p>
    <w:p>
      <w:pPr>
        <w:pStyle w:val="3"/>
        <w:adjustRightInd w:val="0"/>
        <w:snapToGrid w:val="0"/>
        <w:spacing w:before="240" w:line="415" w:lineRule="auto"/>
        <w:ind w:firstLine="561"/>
        <w:rPr>
          <w:rFonts w:hAnsi="华文仿宋" w:cs="仿宋_GB2312"/>
          <w:szCs w:val="28"/>
        </w:rPr>
      </w:pPr>
      <w:bookmarkStart w:id="108" w:name="_Toc11227966"/>
      <w:bookmarkStart w:id="109" w:name="_Toc20272"/>
      <w:bookmarkStart w:id="110" w:name="_Toc27495668"/>
      <w:r>
        <w:rPr>
          <w:rFonts w:hAnsi="华文仿宋" w:cs="仿宋_GB2312"/>
          <w:szCs w:val="28"/>
        </w:rPr>
        <w:t xml:space="preserve">3 </w:t>
      </w:r>
      <w:r>
        <w:rPr>
          <w:rFonts w:hint="eastAsia" w:hAnsi="华文仿宋" w:cs="仿宋_GB2312"/>
          <w:szCs w:val="28"/>
        </w:rPr>
        <w:t>环境条件与运行条件</w:t>
      </w:r>
      <w:bookmarkEnd w:id="108"/>
      <w:bookmarkEnd w:id="109"/>
      <w:bookmarkEnd w:id="110"/>
    </w:p>
    <w:p>
      <w:pPr>
        <w:ind w:firstLine="560"/>
        <w:rPr>
          <w:szCs w:val="28"/>
        </w:rPr>
      </w:pPr>
      <w:r>
        <w:rPr>
          <w:szCs w:val="28"/>
        </w:rPr>
        <w:t xml:space="preserve">3.1 </w:t>
      </w:r>
      <w:r>
        <w:rPr>
          <w:rFonts w:hint="eastAsia"/>
          <w:szCs w:val="28"/>
        </w:rPr>
        <w:t>环境条件</w:t>
      </w:r>
      <w:r>
        <w:rPr>
          <w:szCs w:val="28"/>
        </w:rPr>
        <w:t xml:space="preserve">  </w:t>
      </w:r>
    </w:p>
    <w:p>
      <w:pPr>
        <w:ind w:firstLine="560"/>
        <w:rPr>
          <w:szCs w:val="28"/>
        </w:rPr>
      </w:pPr>
      <w:r>
        <w:rPr>
          <w:rFonts w:hint="eastAsia"/>
          <w:szCs w:val="28"/>
        </w:rPr>
        <w:t>海拔高度：</w:t>
      </w:r>
      <w:r>
        <w:rPr>
          <w:szCs w:val="28"/>
        </w:rPr>
        <w:t>&lt;1000m</w:t>
      </w:r>
      <w:r>
        <w:rPr>
          <w:rFonts w:hint="eastAsia"/>
          <w:szCs w:val="28"/>
        </w:rPr>
        <w:t>，户内安装环境温度：</w:t>
      </w:r>
      <w:r>
        <w:rPr>
          <w:szCs w:val="28"/>
        </w:rPr>
        <w:t>0</w:t>
      </w:r>
      <w:r>
        <w:rPr>
          <w:rFonts w:hint="eastAsia"/>
          <w:szCs w:val="28"/>
        </w:rPr>
        <w:t>℃</w:t>
      </w:r>
      <w:r>
        <w:rPr>
          <w:szCs w:val="28"/>
        </w:rPr>
        <w:t>~+40</w:t>
      </w:r>
      <w:r>
        <w:rPr>
          <w:rFonts w:hint="eastAsia"/>
          <w:szCs w:val="28"/>
        </w:rPr>
        <w:t>℃</w:t>
      </w:r>
    </w:p>
    <w:p>
      <w:pPr>
        <w:spacing w:before="12" w:beforeLines="5"/>
        <w:ind w:left="179" w:leftChars="64" w:firstLine="378" w:firstLineChars="135"/>
        <w:rPr>
          <w:rFonts w:ascii="华文仿宋" w:hAnsi="华文仿宋"/>
          <w:szCs w:val="28"/>
        </w:rPr>
      </w:pPr>
      <w:r>
        <w:rPr>
          <w:rFonts w:ascii="华文仿宋" w:hAnsi="华文仿宋"/>
          <w:szCs w:val="28"/>
        </w:rPr>
        <w:t>相对湿度：≤93％地震烈度：7度</w:t>
      </w:r>
    </w:p>
    <w:p>
      <w:pPr>
        <w:ind w:firstLine="560"/>
        <w:rPr>
          <w:szCs w:val="28"/>
        </w:rPr>
      </w:pPr>
      <w:r>
        <w:rPr>
          <w:szCs w:val="28"/>
        </w:rPr>
        <w:t xml:space="preserve">3.2 </w:t>
      </w:r>
      <w:r>
        <w:rPr>
          <w:rFonts w:hint="eastAsia"/>
          <w:szCs w:val="28"/>
        </w:rPr>
        <w:t>运行条件</w:t>
      </w:r>
      <w:r>
        <w:rPr>
          <w:szCs w:val="28"/>
        </w:rPr>
        <w:t xml:space="preserve">  </w:t>
      </w:r>
    </w:p>
    <w:p>
      <w:pPr>
        <w:ind w:firstLine="560"/>
        <w:rPr>
          <w:szCs w:val="28"/>
        </w:rPr>
      </w:pPr>
      <w:r>
        <w:rPr>
          <w:rFonts w:hint="eastAsia"/>
          <w:szCs w:val="28"/>
        </w:rPr>
        <w:t>额定运行电压</w:t>
      </w:r>
      <w:r>
        <w:rPr>
          <w:szCs w:val="28"/>
        </w:rPr>
        <w:t xml:space="preserve">  220V</w:t>
      </w:r>
      <w:r>
        <w:rPr>
          <w:rFonts w:hint="eastAsia"/>
          <w:szCs w:val="28"/>
        </w:rPr>
        <w:t>±</w:t>
      </w:r>
      <w:r>
        <w:rPr>
          <w:szCs w:val="28"/>
        </w:rPr>
        <w:t>10</w:t>
      </w:r>
      <w:r>
        <w:rPr>
          <w:rFonts w:hint="eastAsia"/>
          <w:szCs w:val="28"/>
        </w:rPr>
        <w:t>％</w:t>
      </w:r>
      <w:r>
        <w:rPr>
          <w:szCs w:val="28"/>
        </w:rPr>
        <w:t xml:space="preserve">  </w:t>
      </w:r>
    </w:p>
    <w:p>
      <w:pPr>
        <w:ind w:firstLine="560"/>
        <w:rPr>
          <w:szCs w:val="28"/>
        </w:rPr>
      </w:pPr>
      <w:r>
        <w:rPr>
          <w:rFonts w:hint="eastAsia"/>
          <w:szCs w:val="28"/>
        </w:rPr>
        <w:t>额定频率</w:t>
      </w:r>
      <w:r>
        <w:rPr>
          <w:szCs w:val="28"/>
        </w:rPr>
        <w:t xml:space="preserve">    50Hz</w:t>
      </w:r>
      <w:r>
        <w:rPr>
          <w:rFonts w:hint="eastAsia"/>
          <w:szCs w:val="28"/>
        </w:rPr>
        <w:t>±</w:t>
      </w:r>
      <w:r>
        <w:rPr>
          <w:szCs w:val="28"/>
        </w:rPr>
        <w:t>5</w:t>
      </w:r>
      <w:r>
        <w:rPr>
          <w:rFonts w:hint="eastAsia"/>
          <w:szCs w:val="28"/>
        </w:rPr>
        <w:t>％</w:t>
      </w:r>
    </w:p>
    <w:p>
      <w:pPr>
        <w:pStyle w:val="3"/>
        <w:adjustRightInd w:val="0"/>
        <w:snapToGrid w:val="0"/>
        <w:spacing w:before="240" w:line="415" w:lineRule="auto"/>
        <w:ind w:firstLine="561"/>
        <w:rPr>
          <w:rFonts w:hAnsi="华文仿宋" w:cs="仿宋_GB2312"/>
          <w:szCs w:val="28"/>
        </w:rPr>
      </w:pPr>
      <w:bookmarkStart w:id="111" w:name="_Toc2899"/>
      <w:bookmarkStart w:id="112" w:name="_Toc27495669"/>
      <w:bookmarkStart w:id="113" w:name="_Toc11227967"/>
      <w:r>
        <w:rPr>
          <w:rFonts w:hAnsi="华文仿宋" w:cs="仿宋_GB2312"/>
          <w:szCs w:val="28"/>
        </w:rPr>
        <w:t xml:space="preserve">4 </w:t>
      </w:r>
      <w:r>
        <w:rPr>
          <w:rFonts w:hint="eastAsia" w:hAnsi="华文仿宋" w:cs="仿宋_GB2312"/>
          <w:szCs w:val="28"/>
        </w:rPr>
        <w:t>技术性能要求</w:t>
      </w:r>
      <w:bookmarkEnd w:id="111"/>
      <w:bookmarkEnd w:id="112"/>
      <w:bookmarkEnd w:id="113"/>
    </w:p>
    <w:p>
      <w:pPr>
        <w:adjustRightInd w:val="0"/>
        <w:snapToGrid w:val="0"/>
        <w:ind w:firstLine="560"/>
        <w:rPr>
          <w:szCs w:val="28"/>
        </w:rPr>
      </w:pPr>
      <w:r>
        <w:rPr>
          <w:szCs w:val="28"/>
        </w:rPr>
        <w:t>4.1</w:t>
      </w:r>
      <w:r>
        <w:rPr>
          <w:rFonts w:hint="eastAsia"/>
          <w:szCs w:val="28"/>
        </w:rPr>
        <w:t>一般照明</w:t>
      </w:r>
    </w:p>
    <w:p>
      <w:pPr>
        <w:adjustRightInd w:val="0"/>
        <w:snapToGrid w:val="0"/>
        <w:ind w:firstLine="560"/>
        <w:rPr>
          <w:szCs w:val="28"/>
        </w:rPr>
      </w:pPr>
      <w:r>
        <w:rPr>
          <w:szCs w:val="28"/>
        </w:rPr>
        <w:t>4.1.1</w:t>
      </w:r>
      <w:r>
        <w:rPr>
          <w:rFonts w:hint="eastAsia"/>
          <w:szCs w:val="28"/>
        </w:rPr>
        <w:t>灯具</w:t>
      </w:r>
    </w:p>
    <w:p>
      <w:pPr>
        <w:pStyle w:val="191"/>
        <w:numPr>
          <w:ilvl w:val="0"/>
          <w:numId w:val="28"/>
        </w:numPr>
        <w:spacing w:line="360" w:lineRule="auto"/>
        <w:ind w:left="0" w:firstLine="560" w:firstLineChars="200"/>
        <w:jc w:val="left"/>
        <w:rPr>
          <w:rFonts w:eastAsia="华文仿宋"/>
          <w:kern w:val="2"/>
          <w:sz w:val="28"/>
          <w:szCs w:val="28"/>
        </w:rPr>
      </w:pPr>
      <w:r>
        <w:rPr>
          <w:rFonts w:hint="eastAsia" w:eastAsia="华文仿宋"/>
          <w:kern w:val="2"/>
          <w:sz w:val="28"/>
          <w:szCs w:val="28"/>
        </w:rPr>
        <w:t>所有电气控制装置须全部安装在装配组合内。</w:t>
      </w:r>
    </w:p>
    <w:p>
      <w:pPr>
        <w:pStyle w:val="191"/>
        <w:numPr>
          <w:ilvl w:val="0"/>
          <w:numId w:val="28"/>
        </w:numPr>
        <w:spacing w:line="360" w:lineRule="auto"/>
        <w:ind w:left="0" w:firstLine="560" w:firstLineChars="200"/>
        <w:jc w:val="left"/>
        <w:rPr>
          <w:rFonts w:eastAsia="华文仿宋"/>
          <w:kern w:val="2"/>
          <w:sz w:val="28"/>
          <w:szCs w:val="28"/>
        </w:rPr>
      </w:pPr>
      <w:r>
        <w:rPr>
          <w:rFonts w:hint="eastAsia" w:eastAsia="华文仿宋"/>
          <w:kern w:val="2"/>
          <w:sz w:val="28"/>
          <w:szCs w:val="28"/>
        </w:rPr>
        <w:t>所有灯具内部布线应牢固，通过任何金属部件边缘时应采用套管保护。</w:t>
      </w:r>
    </w:p>
    <w:p>
      <w:pPr>
        <w:pStyle w:val="191"/>
        <w:numPr>
          <w:ilvl w:val="0"/>
          <w:numId w:val="28"/>
        </w:numPr>
        <w:spacing w:line="360" w:lineRule="auto"/>
        <w:ind w:left="0" w:firstLine="560" w:firstLineChars="200"/>
        <w:jc w:val="left"/>
        <w:rPr>
          <w:rFonts w:eastAsia="华文仿宋"/>
          <w:kern w:val="2"/>
          <w:sz w:val="28"/>
          <w:szCs w:val="28"/>
        </w:rPr>
      </w:pPr>
      <w:r>
        <w:rPr>
          <w:rFonts w:hint="eastAsia" w:eastAsia="华文仿宋"/>
          <w:kern w:val="2"/>
          <w:sz w:val="28"/>
          <w:szCs w:val="28"/>
        </w:rPr>
        <w:t>所有多股导线在连接处应机械压接端子或搪锡。</w:t>
      </w:r>
    </w:p>
    <w:p>
      <w:pPr>
        <w:pStyle w:val="191"/>
        <w:numPr>
          <w:ilvl w:val="0"/>
          <w:numId w:val="28"/>
        </w:numPr>
        <w:spacing w:line="360" w:lineRule="auto"/>
        <w:ind w:left="0" w:firstLine="560" w:firstLineChars="200"/>
        <w:jc w:val="left"/>
        <w:rPr>
          <w:rFonts w:eastAsia="华文仿宋"/>
          <w:kern w:val="2"/>
          <w:sz w:val="28"/>
          <w:szCs w:val="28"/>
        </w:rPr>
      </w:pPr>
      <w:r>
        <w:rPr>
          <w:rFonts w:hint="eastAsia" w:eastAsia="华文仿宋"/>
          <w:kern w:val="2"/>
          <w:sz w:val="28"/>
          <w:szCs w:val="28"/>
        </w:rPr>
        <w:t>灯具须设置专用</w:t>
      </w:r>
      <w:r>
        <w:rPr>
          <w:rFonts w:eastAsia="华文仿宋"/>
          <w:kern w:val="2"/>
          <w:sz w:val="28"/>
          <w:szCs w:val="28"/>
        </w:rPr>
        <w:t>PE</w:t>
      </w:r>
      <w:r>
        <w:rPr>
          <w:rFonts w:hint="eastAsia" w:eastAsia="华文仿宋"/>
          <w:kern w:val="2"/>
          <w:sz w:val="28"/>
          <w:szCs w:val="28"/>
        </w:rPr>
        <w:t>接线端子，并有明显标示。</w:t>
      </w:r>
    </w:p>
    <w:p>
      <w:pPr>
        <w:pStyle w:val="191"/>
        <w:numPr>
          <w:ilvl w:val="0"/>
          <w:numId w:val="28"/>
        </w:numPr>
        <w:spacing w:line="360" w:lineRule="auto"/>
        <w:ind w:left="0" w:firstLine="560" w:firstLineChars="200"/>
        <w:jc w:val="left"/>
        <w:rPr>
          <w:rFonts w:eastAsia="华文仿宋"/>
          <w:kern w:val="2"/>
          <w:sz w:val="28"/>
          <w:szCs w:val="28"/>
        </w:rPr>
      </w:pPr>
      <w:r>
        <w:rPr>
          <w:rFonts w:hint="eastAsia" w:eastAsia="华文仿宋"/>
          <w:kern w:val="2"/>
          <w:sz w:val="28"/>
          <w:szCs w:val="28"/>
        </w:rPr>
        <w:t>灯具金属外壳与</w:t>
      </w:r>
      <w:r>
        <w:rPr>
          <w:rFonts w:eastAsia="华文仿宋"/>
          <w:kern w:val="2"/>
          <w:sz w:val="28"/>
          <w:szCs w:val="28"/>
        </w:rPr>
        <w:t>PE</w:t>
      </w:r>
      <w:r>
        <w:rPr>
          <w:rFonts w:hint="eastAsia" w:eastAsia="华文仿宋"/>
          <w:kern w:val="2"/>
          <w:sz w:val="28"/>
          <w:szCs w:val="28"/>
        </w:rPr>
        <w:t>接线端子应有可靠的电气连接。</w:t>
      </w:r>
    </w:p>
    <w:p>
      <w:pPr>
        <w:pStyle w:val="191"/>
        <w:numPr>
          <w:ilvl w:val="0"/>
          <w:numId w:val="28"/>
        </w:numPr>
        <w:spacing w:line="360" w:lineRule="auto"/>
        <w:ind w:left="0" w:firstLine="560" w:firstLineChars="200"/>
        <w:jc w:val="left"/>
        <w:rPr>
          <w:rFonts w:eastAsia="华文仿宋"/>
          <w:kern w:val="2"/>
          <w:sz w:val="28"/>
          <w:szCs w:val="28"/>
        </w:rPr>
      </w:pPr>
      <w:r>
        <w:rPr>
          <w:rFonts w:hint="eastAsia" w:eastAsia="华文仿宋"/>
          <w:kern w:val="2"/>
          <w:sz w:val="28"/>
          <w:szCs w:val="28"/>
        </w:rPr>
        <w:t>灯具效率不低于以下表格的数据要求</w:t>
      </w:r>
    </w:p>
    <w:tbl>
      <w:tblPr>
        <w:tblStyle w:val="8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838"/>
        <w:gridCol w:w="1699"/>
        <w:gridCol w:w="1700"/>
        <w:gridCol w:w="1699"/>
        <w:gridCol w:w="17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8" w:type="dxa"/>
            <w:tcBorders>
              <w:top w:val="single" w:color="auto" w:sz="4" w:space="0"/>
              <w:left w:val="single" w:color="auto" w:sz="4" w:space="0"/>
              <w:bottom w:val="single" w:color="auto" w:sz="4" w:space="0"/>
              <w:right w:val="single" w:color="auto" w:sz="4" w:space="0"/>
            </w:tcBorders>
            <w:shd w:val="clear" w:color="auto" w:fill="auto"/>
          </w:tcPr>
          <w:p>
            <w:pPr>
              <w:spacing w:line="240" w:lineRule="auto"/>
              <w:ind w:firstLine="0" w:firstLineChars="0"/>
              <w:jc w:val="center"/>
              <w:rPr>
                <w:rFonts w:eastAsia="华文中宋"/>
                <w:sz w:val="21"/>
                <w:szCs w:val="21"/>
              </w:rPr>
            </w:pPr>
            <w:r>
              <w:rPr>
                <w:rFonts w:hint="eastAsia" w:eastAsia="华文中宋"/>
                <w:sz w:val="21"/>
                <w:szCs w:val="21"/>
              </w:rPr>
              <w:t>灯具出光口形式</w:t>
            </w:r>
          </w:p>
        </w:tc>
        <w:tc>
          <w:tcPr>
            <w:tcW w:w="1699" w:type="dxa"/>
            <w:tcBorders>
              <w:top w:val="single" w:color="auto" w:sz="4" w:space="0"/>
              <w:left w:val="single" w:color="auto" w:sz="4" w:space="0"/>
              <w:bottom w:val="single" w:color="auto" w:sz="4" w:space="0"/>
              <w:right w:val="single" w:color="auto" w:sz="4" w:space="0"/>
            </w:tcBorders>
            <w:shd w:val="clear" w:color="auto" w:fill="auto"/>
          </w:tcPr>
          <w:p>
            <w:pPr>
              <w:spacing w:line="240" w:lineRule="auto"/>
              <w:ind w:firstLine="0" w:firstLineChars="0"/>
              <w:jc w:val="center"/>
              <w:rPr>
                <w:rFonts w:eastAsia="华文中宋"/>
                <w:sz w:val="21"/>
                <w:szCs w:val="21"/>
              </w:rPr>
            </w:pPr>
            <w:r>
              <w:rPr>
                <w:rFonts w:hint="eastAsia" w:eastAsia="华文中宋"/>
                <w:sz w:val="21"/>
                <w:szCs w:val="21"/>
              </w:rPr>
              <w:t>开敞式</w:t>
            </w:r>
          </w:p>
        </w:tc>
        <w:tc>
          <w:tcPr>
            <w:tcW w:w="1700" w:type="dxa"/>
            <w:tcBorders>
              <w:top w:val="single" w:color="auto" w:sz="4" w:space="0"/>
              <w:left w:val="single" w:color="auto" w:sz="4" w:space="0"/>
              <w:bottom w:val="single" w:color="auto" w:sz="4" w:space="0"/>
              <w:right w:val="single" w:color="auto" w:sz="4" w:space="0"/>
            </w:tcBorders>
            <w:shd w:val="clear" w:color="auto" w:fill="auto"/>
          </w:tcPr>
          <w:p>
            <w:pPr>
              <w:spacing w:line="240" w:lineRule="auto"/>
              <w:ind w:firstLine="0" w:firstLineChars="0"/>
              <w:jc w:val="center"/>
              <w:rPr>
                <w:rFonts w:eastAsia="华文中宋"/>
                <w:sz w:val="21"/>
                <w:szCs w:val="21"/>
              </w:rPr>
            </w:pPr>
            <w:r>
              <w:rPr>
                <w:rFonts w:hint="eastAsia" w:eastAsia="华文中宋"/>
                <w:sz w:val="21"/>
                <w:szCs w:val="21"/>
              </w:rPr>
              <w:t>透明材质</w:t>
            </w:r>
          </w:p>
        </w:tc>
        <w:tc>
          <w:tcPr>
            <w:tcW w:w="1699" w:type="dxa"/>
            <w:tcBorders>
              <w:top w:val="single" w:color="auto" w:sz="4" w:space="0"/>
              <w:left w:val="single" w:color="auto" w:sz="4" w:space="0"/>
              <w:bottom w:val="single" w:color="auto" w:sz="4" w:space="0"/>
              <w:right w:val="single" w:color="auto" w:sz="4" w:space="0"/>
            </w:tcBorders>
            <w:shd w:val="clear" w:color="auto" w:fill="auto"/>
          </w:tcPr>
          <w:p>
            <w:pPr>
              <w:spacing w:line="240" w:lineRule="auto"/>
              <w:ind w:firstLine="0" w:firstLineChars="0"/>
              <w:jc w:val="center"/>
              <w:rPr>
                <w:rFonts w:eastAsia="华文中宋"/>
                <w:sz w:val="21"/>
                <w:szCs w:val="21"/>
              </w:rPr>
            </w:pPr>
            <w:r>
              <w:rPr>
                <w:rFonts w:hint="eastAsia" w:eastAsia="华文中宋"/>
                <w:sz w:val="21"/>
                <w:szCs w:val="21"/>
              </w:rPr>
              <w:t>磨砂或棱镜</w:t>
            </w:r>
          </w:p>
        </w:tc>
        <w:tc>
          <w:tcPr>
            <w:tcW w:w="1700" w:type="dxa"/>
            <w:tcBorders>
              <w:top w:val="single" w:color="auto" w:sz="4" w:space="0"/>
              <w:left w:val="single" w:color="auto" w:sz="4" w:space="0"/>
              <w:bottom w:val="single" w:color="auto" w:sz="4" w:space="0"/>
              <w:right w:val="single" w:color="auto" w:sz="4" w:space="0"/>
            </w:tcBorders>
            <w:shd w:val="clear" w:color="auto" w:fill="auto"/>
          </w:tcPr>
          <w:p>
            <w:pPr>
              <w:spacing w:line="240" w:lineRule="auto"/>
              <w:ind w:firstLine="0" w:firstLineChars="0"/>
              <w:jc w:val="center"/>
              <w:rPr>
                <w:rFonts w:eastAsia="华文中宋"/>
                <w:sz w:val="21"/>
                <w:szCs w:val="21"/>
              </w:rPr>
            </w:pPr>
            <w:r>
              <w:rPr>
                <w:rFonts w:hint="eastAsia" w:eastAsia="华文中宋"/>
                <w:sz w:val="21"/>
                <w:szCs w:val="21"/>
              </w:rPr>
              <w:t>格栅</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838" w:type="dxa"/>
            <w:tcBorders>
              <w:top w:val="single" w:color="auto" w:sz="4" w:space="0"/>
              <w:left w:val="single" w:color="auto" w:sz="4" w:space="0"/>
              <w:bottom w:val="single" w:color="auto" w:sz="4" w:space="0"/>
              <w:right w:val="single" w:color="auto" w:sz="4" w:space="0"/>
            </w:tcBorders>
            <w:shd w:val="clear" w:color="auto" w:fill="auto"/>
          </w:tcPr>
          <w:p>
            <w:pPr>
              <w:spacing w:line="240" w:lineRule="auto"/>
              <w:ind w:firstLine="0" w:firstLineChars="0"/>
              <w:jc w:val="center"/>
              <w:rPr>
                <w:rFonts w:eastAsia="华文中宋"/>
                <w:sz w:val="21"/>
                <w:szCs w:val="21"/>
              </w:rPr>
            </w:pPr>
            <w:r>
              <w:rPr>
                <w:rFonts w:hint="eastAsia" w:eastAsia="华文中宋"/>
                <w:sz w:val="21"/>
                <w:szCs w:val="21"/>
              </w:rPr>
              <w:t>灯具效率</w:t>
            </w:r>
          </w:p>
        </w:tc>
        <w:tc>
          <w:tcPr>
            <w:tcW w:w="1699" w:type="dxa"/>
            <w:tcBorders>
              <w:top w:val="single" w:color="auto" w:sz="4" w:space="0"/>
              <w:left w:val="single" w:color="auto" w:sz="4" w:space="0"/>
              <w:bottom w:val="single" w:color="auto" w:sz="4" w:space="0"/>
              <w:right w:val="single" w:color="auto" w:sz="4" w:space="0"/>
            </w:tcBorders>
            <w:shd w:val="clear" w:color="auto" w:fill="auto"/>
          </w:tcPr>
          <w:p>
            <w:pPr>
              <w:spacing w:line="240" w:lineRule="auto"/>
              <w:ind w:firstLine="0" w:firstLineChars="0"/>
              <w:jc w:val="center"/>
              <w:rPr>
                <w:rFonts w:eastAsia="华文中宋"/>
                <w:sz w:val="21"/>
                <w:szCs w:val="21"/>
              </w:rPr>
            </w:pPr>
            <w:r>
              <w:rPr>
                <w:rFonts w:eastAsia="华文中宋"/>
                <w:sz w:val="21"/>
                <w:szCs w:val="21"/>
              </w:rPr>
              <w:t>75%</w:t>
            </w:r>
          </w:p>
        </w:tc>
        <w:tc>
          <w:tcPr>
            <w:tcW w:w="1700" w:type="dxa"/>
            <w:tcBorders>
              <w:top w:val="single" w:color="auto" w:sz="4" w:space="0"/>
              <w:left w:val="single" w:color="auto" w:sz="4" w:space="0"/>
              <w:bottom w:val="single" w:color="auto" w:sz="4" w:space="0"/>
              <w:right w:val="single" w:color="auto" w:sz="4" w:space="0"/>
            </w:tcBorders>
            <w:shd w:val="clear" w:color="auto" w:fill="auto"/>
          </w:tcPr>
          <w:p>
            <w:pPr>
              <w:spacing w:line="240" w:lineRule="auto"/>
              <w:ind w:firstLine="0" w:firstLineChars="0"/>
              <w:jc w:val="center"/>
              <w:rPr>
                <w:rFonts w:eastAsia="华文中宋"/>
                <w:sz w:val="21"/>
                <w:szCs w:val="21"/>
              </w:rPr>
            </w:pPr>
            <w:r>
              <w:rPr>
                <w:rFonts w:eastAsia="华文中宋"/>
                <w:sz w:val="21"/>
                <w:szCs w:val="21"/>
              </w:rPr>
              <w:t>65%</w:t>
            </w:r>
          </w:p>
        </w:tc>
        <w:tc>
          <w:tcPr>
            <w:tcW w:w="1699" w:type="dxa"/>
            <w:tcBorders>
              <w:top w:val="single" w:color="auto" w:sz="4" w:space="0"/>
              <w:left w:val="single" w:color="auto" w:sz="4" w:space="0"/>
              <w:bottom w:val="single" w:color="auto" w:sz="4" w:space="0"/>
              <w:right w:val="single" w:color="auto" w:sz="4" w:space="0"/>
            </w:tcBorders>
            <w:shd w:val="clear" w:color="auto" w:fill="auto"/>
          </w:tcPr>
          <w:p>
            <w:pPr>
              <w:spacing w:line="240" w:lineRule="auto"/>
              <w:ind w:firstLine="0" w:firstLineChars="0"/>
              <w:jc w:val="center"/>
              <w:rPr>
                <w:rFonts w:eastAsia="华文中宋"/>
                <w:sz w:val="21"/>
                <w:szCs w:val="21"/>
              </w:rPr>
            </w:pPr>
            <w:r>
              <w:rPr>
                <w:rFonts w:eastAsia="华文中宋"/>
                <w:sz w:val="21"/>
                <w:szCs w:val="21"/>
              </w:rPr>
              <w:t>55%</w:t>
            </w:r>
          </w:p>
        </w:tc>
        <w:tc>
          <w:tcPr>
            <w:tcW w:w="1700" w:type="dxa"/>
            <w:tcBorders>
              <w:top w:val="single" w:color="auto" w:sz="4" w:space="0"/>
              <w:left w:val="single" w:color="auto" w:sz="4" w:space="0"/>
              <w:bottom w:val="single" w:color="auto" w:sz="4" w:space="0"/>
              <w:right w:val="single" w:color="auto" w:sz="4" w:space="0"/>
            </w:tcBorders>
            <w:shd w:val="clear" w:color="auto" w:fill="auto"/>
          </w:tcPr>
          <w:p>
            <w:pPr>
              <w:spacing w:line="240" w:lineRule="auto"/>
              <w:ind w:firstLine="0" w:firstLineChars="0"/>
              <w:jc w:val="center"/>
              <w:rPr>
                <w:rFonts w:eastAsia="华文中宋"/>
                <w:sz w:val="21"/>
                <w:szCs w:val="21"/>
              </w:rPr>
            </w:pPr>
            <w:r>
              <w:rPr>
                <w:rFonts w:eastAsia="华文中宋"/>
                <w:sz w:val="21"/>
                <w:szCs w:val="21"/>
              </w:rPr>
              <w:t>65%</w:t>
            </w:r>
          </w:p>
        </w:tc>
      </w:tr>
    </w:tbl>
    <w:p>
      <w:pPr>
        <w:adjustRightInd w:val="0"/>
        <w:snapToGrid w:val="0"/>
        <w:ind w:firstLine="560"/>
        <w:rPr>
          <w:szCs w:val="28"/>
        </w:rPr>
      </w:pPr>
      <w:r>
        <w:rPr>
          <w:szCs w:val="28"/>
        </w:rPr>
        <w:t>4.1.2 LED</w:t>
      </w:r>
      <w:r>
        <w:rPr>
          <w:rFonts w:hint="eastAsia"/>
          <w:szCs w:val="28"/>
        </w:rPr>
        <w:t>光源</w:t>
      </w:r>
    </w:p>
    <w:p>
      <w:pPr>
        <w:adjustRightInd w:val="0"/>
        <w:snapToGrid w:val="0"/>
        <w:ind w:firstLine="560"/>
        <w:rPr>
          <w:szCs w:val="28"/>
        </w:rPr>
      </w:pPr>
      <w:r>
        <w:rPr>
          <w:rFonts w:hint="eastAsia"/>
          <w:szCs w:val="28"/>
        </w:rPr>
        <w:t>采用由原厂封装的</w:t>
      </w:r>
      <w:r>
        <w:rPr>
          <w:szCs w:val="28"/>
        </w:rPr>
        <w:t>LED</w:t>
      </w:r>
      <w:r>
        <w:rPr>
          <w:rFonts w:hint="eastAsia"/>
          <w:szCs w:val="28"/>
        </w:rPr>
        <w:t>芯片。投标人需提供</w:t>
      </w:r>
      <w:r>
        <w:rPr>
          <w:szCs w:val="28"/>
        </w:rPr>
        <w:t>LED</w:t>
      </w:r>
      <w:r>
        <w:rPr>
          <w:rFonts w:hint="eastAsia"/>
          <w:szCs w:val="28"/>
        </w:rPr>
        <w:t>光源原厂出具的授权书。</w:t>
      </w:r>
    </w:p>
    <w:p>
      <w:pPr>
        <w:adjustRightInd w:val="0"/>
        <w:snapToGrid w:val="0"/>
        <w:ind w:firstLine="560"/>
        <w:rPr>
          <w:szCs w:val="28"/>
        </w:rPr>
      </w:pPr>
      <w:r>
        <w:rPr>
          <w:szCs w:val="28"/>
        </w:rPr>
        <w:t>LED</w:t>
      </w:r>
      <w:r>
        <w:rPr>
          <w:rFonts w:hint="eastAsia"/>
          <w:szCs w:val="28"/>
        </w:rPr>
        <w:t>应采用表面贴装技术（</w:t>
      </w:r>
      <w:r>
        <w:rPr>
          <w:szCs w:val="28"/>
        </w:rPr>
        <w:t>SMT</w:t>
      </w:r>
      <w:r>
        <w:rPr>
          <w:rFonts w:hint="eastAsia"/>
          <w:szCs w:val="28"/>
        </w:rPr>
        <w:t>）等先进封装技术，不得采用直插引脚式封装。封装材料应具有高穿透率、高导热率、耐高温、耐日光辐射和抗潮湿，不得采用环氧树脂作为封装材料或透镜材料。</w:t>
      </w:r>
      <w:r>
        <w:rPr>
          <w:szCs w:val="28"/>
        </w:rPr>
        <w:t>LED</w:t>
      </w:r>
      <w:r>
        <w:rPr>
          <w:rFonts w:hint="eastAsia"/>
          <w:szCs w:val="28"/>
        </w:rPr>
        <w:t>应无铅、符合</w:t>
      </w:r>
      <w:r>
        <w:rPr>
          <w:szCs w:val="28"/>
        </w:rPr>
        <w:t>RoHS</w:t>
      </w:r>
      <w:r>
        <w:rPr>
          <w:rFonts w:hint="eastAsia"/>
          <w:szCs w:val="28"/>
        </w:rPr>
        <w:t>标准。</w:t>
      </w:r>
    </w:p>
    <w:p>
      <w:pPr>
        <w:adjustRightInd w:val="0"/>
        <w:snapToGrid w:val="0"/>
        <w:ind w:firstLine="560"/>
        <w:rPr>
          <w:szCs w:val="28"/>
        </w:rPr>
      </w:pPr>
      <w:r>
        <w:rPr>
          <w:rFonts w:hint="eastAsia"/>
          <w:szCs w:val="28"/>
        </w:rPr>
        <w:t>相关色温在</w:t>
      </w:r>
      <w:r>
        <w:rPr>
          <w:szCs w:val="28"/>
        </w:rPr>
        <w:t>4000</w:t>
      </w:r>
      <w:r>
        <w:rPr>
          <w:rFonts w:hint="eastAsia"/>
          <w:szCs w:val="28"/>
        </w:rPr>
        <w:t>±</w:t>
      </w:r>
      <w:r>
        <w:rPr>
          <w:szCs w:val="28"/>
        </w:rPr>
        <w:t>200K</w:t>
      </w:r>
      <w:r>
        <w:rPr>
          <w:rFonts w:hint="eastAsia"/>
          <w:szCs w:val="28"/>
        </w:rPr>
        <w:t>范围内（不含特殊效果用途的光源），一般显色指数</w:t>
      </w:r>
      <w:r>
        <w:rPr>
          <w:szCs w:val="28"/>
        </w:rPr>
        <w:t>Ra</w:t>
      </w:r>
      <w:r>
        <w:rPr>
          <w:rFonts w:hint="eastAsia"/>
          <w:szCs w:val="28"/>
        </w:rPr>
        <w:t>≥</w:t>
      </w:r>
      <w:r>
        <w:rPr>
          <w:szCs w:val="28"/>
        </w:rPr>
        <w:t>80</w:t>
      </w:r>
      <w:r>
        <w:rPr>
          <w:rFonts w:hint="eastAsia"/>
          <w:szCs w:val="28"/>
        </w:rPr>
        <w:t>，特殊显色指数</w:t>
      </w:r>
      <w:r>
        <w:rPr>
          <w:szCs w:val="28"/>
        </w:rPr>
        <w:t>R9</w:t>
      </w:r>
      <w:r>
        <w:rPr>
          <w:rFonts w:hint="eastAsia"/>
          <w:szCs w:val="28"/>
        </w:rPr>
        <w:t>应大于零，色容差不大于</w:t>
      </w:r>
      <w:r>
        <w:rPr>
          <w:szCs w:val="28"/>
        </w:rPr>
        <w:t>5SDCM</w:t>
      </w:r>
      <w:r>
        <w:rPr>
          <w:rFonts w:hint="eastAsia"/>
          <w:szCs w:val="28"/>
        </w:rPr>
        <w:t>。</w:t>
      </w:r>
    </w:p>
    <w:p>
      <w:pPr>
        <w:adjustRightInd w:val="0"/>
        <w:snapToGrid w:val="0"/>
        <w:ind w:firstLine="560"/>
        <w:rPr>
          <w:szCs w:val="28"/>
        </w:rPr>
      </w:pPr>
      <w:r>
        <w:rPr>
          <w:rFonts w:hint="eastAsia"/>
          <w:szCs w:val="28"/>
        </w:rPr>
        <w:t>在寿命</w:t>
      </w:r>
      <w:r>
        <w:rPr>
          <w:szCs w:val="28"/>
        </w:rPr>
        <w:t>L70</w:t>
      </w:r>
      <w:r>
        <w:rPr>
          <w:rFonts w:hint="eastAsia"/>
          <w:szCs w:val="28"/>
        </w:rPr>
        <w:t>期内</w:t>
      </w:r>
      <w:r>
        <w:rPr>
          <w:szCs w:val="28"/>
        </w:rPr>
        <w:t>LED</w:t>
      </w:r>
      <w:r>
        <w:rPr>
          <w:rFonts w:hint="eastAsia"/>
          <w:szCs w:val="28"/>
        </w:rPr>
        <w:t>的色品坐标与初始值的偏差在国家标准《均匀色空间和色差公式》</w:t>
      </w:r>
      <w:r>
        <w:rPr>
          <w:szCs w:val="28"/>
        </w:rPr>
        <w:t>GB/T7921-2008</w:t>
      </w:r>
      <w:r>
        <w:rPr>
          <w:rFonts w:hint="eastAsia"/>
          <w:szCs w:val="28"/>
        </w:rPr>
        <w:t>规定的</w:t>
      </w:r>
      <w:r>
        <w:rPr>
          <w:szCs w:val="28"/>
        </w:rPr>
        <w:t>CIE1976</w:t>
      </w:r>
      <w:r>
        <w:rPr>
          <w:rFonts w:hint="eastAsia"/>
          <w:szCs w:val="28"/>
        </w:rPr>
        <w:t>均匀色度标尺图中，不应超过</w:t>
      </w:r>
      <w:r>
        <w:rPr>
          <w:szCs w:val="28"/>
        </w:rPr>
        <w:t>0.007</w:t>
      </w:r>
      <w:r>
        <w:rPr>
          <w:rFonts w:hint="eastAsia"/>
          <w:szCs w:val="28"/>
        </w:rPr>
        <w:t>。</w:t>
      </w:r>
    </w:p>
    <w:p>
      <w:pPr>
        <w:adjustRightInd w:val="0"/>
        <w:snapToGrid w:val="0"/>
        <w:ind w:firstLine="560"/>
        <w:rPr>
          <w:szCs w:val="28"/>
        </w:rPr>
      </w:pPr>
      <w:r>
        <w:rPr>
          <w:szCs w:val="28"/>
        </w:rPr>
        <w:t>LED PN</w:t>
      </w:r>
      <w:r>
        <w:rPr>
          <w:rFonts w:hint="eastAsia"/>
          <w:szCs w:val="28"/>
        </w:rPr>
        <w:t>结的最高允许工作温度不低于</w:t>
      </w:r>
      <w:r>
        <w:rPr>
          <w:szCs w:val="28"/>
        </w:rPr>
        <w:t>120</w:t>
      </w:r>
      <w:r>
        <w:rPr>
          <w:rFonts w:hint="eastAsia"/>
          <w:szCs w:val="28"/>
        </w:rPr>
        <w:t>℃。</w:t>
      </w:r>
    </w:p>
    <w:p>
      <w:pPr>
        <w:adjustRightInd w:val="0"/>
        <w:snapToGrid w:val="0"/>
        <w:ind w:firstLine="560"/>
        <w:rPr>
          <w:szCs w:val="28"/>
        </w:rPr>
      </w:pPr>
      <w:r>
        <w:rPr>
          <w:rFonts w:hint="eastAsia"/>
          <w:szCs w:val="28"/>
        </w:rPr>
        <w:t>单颗</w:t>
      </w:r>
      <w:r>
        <w:rPr>
          <w:szCs w:val="28"/>
        </w:rPr>
        <w:t>LED</w:t>
      </w:r>
      <w:r>
        <w:rPr>
          <w:rFonts w:hint="eastAsia"/>
          <w:szCs w:val="28"/>
        </w:rPr>
        <w:t>光源的额定功率应不低于</w:t>
      </w:r>
      <w:r>
        <w:rPr>
          <w:szCs w:val="28"/>
        </w:rPr>
        <w:t>0.3W</w:t>
      </w:r>
      <w:r>
        <w:rPr>
          <w:rFonts w:hint="eastAsia"/>
          <w:szCs w:val="28"/>
        </w:rPr>
        <w:t>，允许降功率运行。</w:t>
      </w:r>
    </w:p>
    <w:p>
      <w:pPr>
        <w:adjustRightInd w:val="0"/>
        <w:snapToGrid w:val="0"/>
        <w:ind w:firstLine="560"/>
        <w:rPr>
          <w:szCs w:val="28"/>
        </w:rPr>
      </w:pPr>
      <w:r>
        <w:rPr>
          <w:rFonts w:hint="eastAsia"/>
          <w:szCs w:val="28"/>
        </w:rPr>
        <w:t>额定光通量不应低于《</w:t>
      </w:r>
      <w:r>
        <w:rPr>
          <w:szCs w:val="28"/>
        </w:rPr>
        <w:t>LED</w:t>
      </w:r>
      <w:r>
        <w:rPr>
          <w:rFonts w:hint="eastAsia"/>
          <w:szCs w:val="28"/>
        </w:rPr>
        <w:t>室内照明应用技术要求》</w:t>
      </w:r>
      <w:r>
        <w:rPr>
          <w:szCs w:val="28"/>
        </w:rPr>
        <w:t>GB/T31831</w:t>
      </w:r>
      <w:r>
        <w:rPr>
          <w:rFonts w:hint="eastAsia"/>
          <w:szCs w:val="28"/>
        </w:rPr>
        <w:t>标准。</w:t>
      </w:r>
    </w:p>
    <w:p>
      <w:pPr>
        <w:ind w:firstLine="560"/>
        <w:rPr>
          <w:szCs w:val="28"/>
        </w:rPr>
      </w:pPr>
      <w:r>
        <w:rPr>
          <w:szCs w:val="28"/>
        </w:rPr>
        <w:t>4.1.3</w:t>
      </w:r>
      <w:r>
        <w:rPr>
          <w:rFonts w:hint="eastAsia"/>
          <w:szCs w:val="28"/>
        </w:rPr>
        <w:t>电源变换器</w:t>
      </w:r>
    </w:p>
    <w:p>
      <w:pPr>
        <w:ind w:firstLine="560"/>
        <w:rPr>
          <w:szCs w:val="28"/>
        </w:rPr>
      </w:pPr>
      <w:r>
        <w:rPr>
          <w:szCs w:val="28"/>
        </w:rPr>
        <w:t>LED</w:t>
      </w:r>
      <w:r>
        <w:rPr>
          <w:rFonts w:hint="eastAsia"/>
          <w:szCs w:val="28"/>
        </w:rPr>
        <w:t>综合节能照明装置的电源变换器采用开关型电源。开关型电源具有较宽的交流电源电压输入范围：</w:t>
      </w:r>
    </w:p>
    <w:p>
      <w:pPr>
        <w:ind w:firstLine="560"/>
        <w:rPr>
          <w:szCs w:val="28"/>
        </w:rPr>
      </w:pPr>
      <w:r>
        <w:rPr>
          <w:rFonts w:hint="eastAsia"/>
          <w:szCs w:val="28"/>
        </w:rPr>
        <w:t>电源额定电压</w:t>
      </w:r>
      <w:r>
        <w:rPr>
          <w:szCs w:val="28"/>
        </w:rPr>
        <w:t>AC220V</w:t>
      </w:r>
      <w:r>
        <w:rPr>
          <w:rFonts w:hint="eastAsia"/>
          <w:szCs w:val="28"/>
        </w:rPr>
        <w:t>时，允许输入电压</w:t>
      </w:r>
      <w:r>
        <w:rPr>
          <w:szCs w:val="28"/>
        </w:rPr>
        <w:t>180V</w:t>
      </w:r>
      <w:r>
        <w:rPr>
          <w:rFonts w:hint="eastAsia"/>
          <w:szCs w:val="28"/>
        </w:rPr>
        <w:t>～</w:t>
      </w:r>
      <w:r>
        <w:rPr>
          <w:szCs w:val="28"/>
        </w:rPr>
        <w:t>250V</w:t>
      </w:r>
      <w:r>
        <w:rPr>
          <w:rFonts w:hint="eastAsia"/>
          <w:szCs w:val="28"/>
        </w:rPr>
        <w:t>；</w:t>
      </w:r>
    </w:p>
    <w:p>
      <w:pPr>
        <w:ind w:firstLine="560"/>
        <w:rPr>
          <w:szCs w:val="28"/>
        </w:rPr>
      </w:pPr>
      <w:r>
        <w:rPr>
          <w:rFonts w:hint="eastAsia"/>
          <w:szCs w:val="28"/>
        </w:rPr>
        <w:t>电源额定电压</w:t>
      </w:r>
      <w:r>
        <w:rPr>
          <w:szCs w:val="28"/>
        </w:rPr>
        <w:t>AC36V</w:t>
      </w:r>
      <w:r>
        <w:rPr>
          <w:rFonts w:hint="eastAsia"/>
          <w:szCs w:val="28"/>
        </w:rPr>
        <w:t>时，允许输入电压</w:t>
      </w:r>
      <w:r>
        <w:rPr>
          <w:szCs w:val="28"/>
        </w:rPr>
        <w:t>20V</w:t>
      </w:r>
      <w:r>
        <w:rPr>
          <w:rFonts w:hint="eastAsia"/>
          <w:szCs w:val="28"/>
        </w:rPr>
        <w:t>～</w:t>
      </w:r>
      <w:r>
        <w:rPr>
          <w:szCs w:val="28"/>
        </w:rPr>
        <w:t>50V</w:t>
      </w:r>
      <w:r>
        <w:rPr>
          <w:rFonts w:hint="eastAsia"/>
          <w:szCs w:val="28"/>
        </w:rPr>
        <w:t>；</w:t>
      </w:r>
    </w:p>
    <w:p>
      <w:pPr>
        <w:ind w:firstLine="560"/>
        <w:rPr>
          <w:szCs w:val="28"/>
        </w:rPr>
      </w:pPr>
      <w:r>
        <w:rPr>
          <w:rFonts w:hint="eastAsia"/>
          <w:szCs w:val="28"/>
        </w:rPr>
        <w:t>输出直流电压与</w:t>
      </w:r>
      <w:r>
        <w:rPr>
          <w:szCs w:val="28"/>
        </w:rPr>
        <w:t>LED</w:t>
      </w:r>
      <w:r>
        <w:rPr>
          <w:rFonts w:hint="eastAsia"/>
          <w:szCs w:val="28"/>
        </w:rPr>
        <w:t>负载相匹配，并为</w:t>
      </w:r>
      <w:r>
        <w:rPr>
          <w:szCs w:val="28"/>
        </w:rPr>
        <w:t>LED</w:t>
      </w:r>
      <w:r>
        <w:rPr>
          <w:rFonts w:hint="eastAsia"/>
          <w:szCs w:val="28"/>
        </w:rPr>
        <w:t>提供恒定直流电流驱动。开关型电源的基本要求如下：</w:t>
      </w:r>
    </w:p>
    <w:p>
      <w:pPr>
        <w:pStyle w:val="191"/>
        <w:numPr>
          <w:ilvl w:val="0"/>
          <w:numId w:val="29"/>
        </w:numPr>
        <w:spacing w:line="360" w:lineRule="auto"/>
        <w:ind w:left="0" w:firstLine="560" w:firstLineChars="200"/>
        <w:jc w:val="left"/>
        <w:rPr>
          <w:rFonts w:eastAsia="华文仿宋"/>
          <w:kern w:val="2"/>
          <w:sz w:val="28"/>
          <w:szCs w:val="28"/>
        </w:rPr>
      </w:pPr>
      <w:r>
        <w:rPr>
          <w:rFonts w:hint="eastAsia" w:eastAsia="华文仿宋"/>
          <w:kern w:val="2"/>
          <w:sz w:val="28"/>
          <w:szCs w:val="28"/>
        </w:rPr>
        <w:t>具有升压或降压等功能，以满足</w:t>
      </w:r>
      <w:r>
        <w:rPr>
          <w:rFonts w:eastAsia="华文仿宋"/>
          <w:kern w:val="2"/>
          <w:sz w:val="28"/>
          <w:szCs w:val="28"/>
        </w:rPr>
        <w:t>LED</w:t>
      </w:r>
      <w:r>
        <w:rPr>
          <w:rFonts w:hint="eastAsia" w:eastAsia="华文仿宋"/>
          <w:kern w:val="2"/>
          <w:sz w:val="28"/>
          <w:szCs w:val="28"/>
        </w:rPr>
        <w:t>的工作电压要求。</w:t>
      </w:r>
    </w:p>
    <w:p>
      <w:pPr>
        <w:pStyle w:val="191"/>
        <w:numPr>
          <w:ilvl w:val="0"/>
          <w:numId w:val="29"/>
        </w:numPr>
        <w:spacing w:line="360" w:lineRule="auto"/>
        <w:ind w:left="0" w:firstLine="560" w:firstLineChars="200"/>
        <w:jc w:val="left"/>
        <w:rPr>
          <w:rFonts w:eastAsia="华文仿宋"/>
          <w:kern w:val="2"/>
          <w:sz w:val="28"/>
          <w:szCs w:val="28"/>
        </w:rPr>
      </w:pPr>
      <w:r>
        <w:rPr>
          <w:rFonts w:hint="eastAsia" w:eastAsia="华文仿宋"/>
          <w:kern w:val="2"/>
          <w:sz w:val="28"/>
          <w:szCs w:val="28"/>
        </w:rPr>
        <w:t>能输出恒定电流，使各个</w:t>
      </w:r>
      <w:r>
        <w:rPr>
          <w:rFonts w:eastAsia="华文仿宋"/>
          <w:kern w:val="2"/>
          <w:sz w:val="28"/>
          <w:szCs w:val="28"/>
        </w:rPr>
        <w:t>LED</w:t>
      </w:r>
      <w:r>
        <w:rPr>
          <w:rFonts w:hint="eastAsia" w:eastAsia="华文仿宋"/>
          <w:kern w:val="2"/>
          <w:sz w:val="28"/>
          <w:szCs w:val="28"/>
        </w:rPr>
        <w:t>的电流相匹配，以保持各个</w:t>
      </w:r>
      <w:r>
        <w:rPr>
          <w:rFonts w:eastAsia="华文仿宋"/>
          <w:kern w:val="2"/>
          <w:sz w:val="28"/>
          <w:szCs w:val="28"/>
        </w:rPr>
        <w:t>LED</w:t>
      </w:r>
      <w:r>
        <w:rPr>
          <w:rFonts w:hint="eastAsia" w:eastAsia="华文仿宋"/>
          <w:kern w:val="2"/>
          <w:sz w:val="28"/>
          <w:szCs w:val="28"/>
        </w:rPr>
        <w:t>的亮度均匀一致。</w:t>
      </w:r>
    </w:p>
    <w:p>
      <w:pPr>
        <w:pStyle w:val="191"/>
        <w:numPr>
          <w:ilvl w:val="0"/>
          <w:numId w:val="29"/>
        </w:numPr>
        <w:spacing w:line="360" w:lineRule="auto"/>
        <w:ind w:left="0" w:firstLine="560" w:firstLineChars="200"/>
        <w:jc w:val="left"/>
        <w:rPr>
          <w:rFonts w:eastAsia="华文仿宋"/>
          <w:kern w:val="2"/>
          <w:sz w:val="28"/>
          <w:szCs w:val="28"/>
        </w:rPr>
      </w:pPr>
      <w:r>
        <w:rPr>
          <w:rFonts w:hint="eastAsia" w:eastAsia="华文仿宋"/>
          <w:kern w:val="2"/>
          <w:sz w:val="28"/>
          <w:szCs w:val="28"/>
        </w:rPr>
        <w:t>具有较高的功率转换效率。</w:t>
      </w:r>
    </w:p>
    <w:p>
      <w:pPr>
        <w:pStyle w:val="191"/>
        <w:numPr>
          <w:ilvl w:val="0"/>
          <w:numId w:val="29"/>
        </w:numPr>
        <w:spacing w:line="360" w:lineRule="auto"/>
        <w:ind w:left="0" w:firstLine="560" w:firstLineChars="200"/>
        <w:jc w:val="left"/>
        <w:rPr>
          <w:rFonts w:eastAsia="华文仿宋"/>
          <w:kern w:val="2"/>
          <w:sz w:val="28"/>
          <w:szCs w:val="28"/>
        </w:rPr>
      </w:pPr>
      <w:r>
        <w:rPr>
          <w:rFonts w:hint="eastAsia" w:eastAsia="华文仿宋"/>
          <w:kern w:val="2"/>
          <w:sz w:val="28"/>
          <w:szCs w:val="28"/>
        </w:rPr>
        <w:t>提供完善的保护，如输入电压不足、过电压保护、输出开路与短路保护及过热关断保护等。</w:t>
      </w:r>
    </w:p>
    <w:p>
      <w:pPr>
        <w:pStyle w:val="191"/>
        <w:numPr>
          <w:ilvl w:val="0"/>
          <w:numId w:val="29"/>
        </w:numPr>
        <w:spacing w:line="360" w:lineRule="auto"/>
        <w:ind w:left="0" w:firstLine="560" w:firstLineChars="200"/>
        <w:jc w:val="left"/>
        <w:rPr>
          <w:rFonts w:eastAsia="华文仿宋"/>
          <w:kern w:val="2"/>
          <w:sz w:val="28"/>
          <w:szCs w:val="28"/>
        </w:rPr>
      </w:pPr>
      <w:r>
        <w:rPr>
          <w:rFonts w:hint="eastAsia" w:eastAsia="华文仿宋"/>
          <w:kern w:val="2"/>
          <w:sz w:val="28"/>
          <w:szCs w:val="28"/>
        </w:rPr>
        <w:t>小尺寸封装，散热良好，经久耐用（不低于</w:t>
      </w:r>
      <w:r>
        <w:rPr>
          <w:rFonts w:eastAsia="华文仿宋"/>
          <w:kern w:val="2"/>
          <w:sz w:val="28"/>
          <w:szCs w:val="28"/>
        </w:rPr>
        <w:t>5</w:t>
      </w:r>
      <w:r>
        <w:rPr>
          <w:rFonts w:hint="eastAsia" w:eastAsia="华文仿宋"/>
          <w:kern w:val="2"/>
          <w:sz w:val="28"/>
          <w:szCs w:val="28"/>
        </w:rPr>
        <w:t>年的使用寿命），无内置风扇。</w:t>
      </w:r>
    </w:p>
    <w:p>
      <w:pPr>
        <w:pStyle w:val="191"/>
        <w:numPr>
          <w:ilvl w:val="0"/>
          <w:numId w:val="29"/>
        </w:numPr>
        <w:spacing w:line="360" w:lineRule="auto"/>
        <w:ind w:left="0" w:firstLine="560" w:firstLineChars="200"/>
        <w:jc w:val="left"/>
        <w:rPr>
          <w:rFonts w:eastAsia="华文仿宋"/>
          <w:kern w:val="2"/>
          <w:sz w:val="28"/>
          <w:szCs w:val="28"/>
        </w:rPr>
      </w:pPr>
      <w:r>
        <w:rPr>
          <w:rFonts w:hint="eastAsia" w:eastAsia="华文仿宋"/>
          <w:kern w:val="2"/>
          <w:sz w:val="28"/>
          <w:szCs w:val="28"/>
        </w:rPr>
        <w:t>采用工业等级的高质量元件，电容等元件的使用寿命不低于</w:t>
      </w:r>
      <w:r>
        <w:rPr>
          <w:rFonts w:eastAsia="华文仿宋"/>
          <w:kern w:val="2"/>
          <w:sz w:val="28"/>
          <w:szCs w:val="28"/>
        </w:rPr>
        <w:t>5</w:t>
      </w:r>
      <w:r>
        <w:rPr>
          <w:rFonts w:hint="eastAsia" w:eastAsia="华文仿宋"/>
          <w:kern w:val="2"/>
          <w:sz w:val="28"/>
          <w:szCs w:val="28"/>
        </w:rPr>
        <w:t>年。</w:t>
      </w:r>
    </w:p>
    <w:p>
      <w:pPr>
        <w:pStyle w:val="191"/>
        <w:numPr>
          <w:ilvl w:val="0"/>
          <w:numId w:val="29"/>
        </w:numPr>
        <w:spacing w:line="360" w:lineRule="auto"/>
        <w:ind w:left="0" w:firstLine="560" w:firstLineChars="200"/>
        <w:jc w:val="left"/>
        <w:rPr>
          <w:szCs w:val="28"/>
        </w:rPr>
      </w:pPr>
      <w:r>
        <w:rPr>
          <w:rFonts w:hint="eastAsia" w:eastAsia="华文仿宋"/>
          <w:kern w:val="2"/>
          <w:sz w:val="28"/>
          <w:szCs w:val="28"/>
        </w:rPr>
        <w:t>对其它电路的电磁干扰小。</w:t>
      </w:r>
      <w:r>
        <w:rPr>
          <w:szCs w:val="28"/>
        </w:rPr>
        <w:br w:type="page"/>
      </w:r>
    </w:p>
    <w:p>
      <w:pPr>
        <w:pStyle w:val="79"/>
        <w:ind w:firstLine="560"/>
        <w:rPr>
          <w:rFonts w:ascii="华文仿宋" w:hAnsi="华文仿宋"/>
          <w:szCs w:val="28"/>
        </w:rPr>
      </w:pPr>
      <w:bookmarkStart w:id="114" w:name="_Toc27495689"/>
      <w:bookmarkStart w:id="115" w:name="_Toc2004"/>
      <w:r>
        <w:rPr>
          <w:rFonts w:hint="eastAsia" w:ascii="华文仿宋" w:hAnsi="华文仿宋"/>
          <w:szCs w:val="28"/>
          <w:lang w:val="en-US" w:eastAsia="zh-CN"/>
        </w:rPr>
        <w:t>六</w:t>
      </w:r>
      <w:r>
        <w:rPr>
          <w:rFonts w:ascii="华文仿宋" w:hAnsi="华文仿宋"/>
          <w:szCs w:val="28"/>
        </w:rPr>
        <w:t xml:space="preserve"> </w:t>
      </w:r>
      <w:r>
        <w:rPr>
          <w:rFonts w:hint="eastAsia" w:ascii="华文仿宋" w:hAnsi="华文仿宋"/>
          <w:szCs w:val="28"/>
        </w:rPr>
        <w:t>消防应急照明和疏散指示系统</w:t>
      </w:r>
      <w:bookmarkEnd w:id="114"/>
      <w:bookmarkEnd w:id="115"/>
    </w:p>
    <w:p>
      <w:pPr>
        <w:pStyle w:val="3"/>
        <w:adjustRightInd w:val="0"/>
        <w:snapToGrid w:val="0"/>
        <w:spacing w:before="240" w:line="415" w:lineRule="auto"/>
        <w:ind w:firstLine="561"/>
        <w:rPr>
          <w:rFonts w:ascii="华文仿宋" w:hAnsi="华文仿宋" w:cs="仿宋_GB2312"/>
          <w:szCs w:val="28"/>
        </w:rPr>
      </w:pPr>
      <w:bookmarkStart w:id="116" w:name="_Toc21506"/>
      <w:bookmarkStart w:id="117" w:name="_Toc27495690"/>
      <w:r>
        <w:rPr>
          <w:rFonts w:ascii="华文仿宋" w:hAnsi="华文仿宋" w:cs="仿宋_GB2312"/>
          <w:szCs w:val="28"/>
        </w:rPr>
        <w:t>1总则</w:t>
      </w:r>
      <w:bookmarkEnd w:id="116"/>
      <w:bookmarkEnd w:id="117"/>
    </w:p>
    <w:p>
      <w:pPr>
        <w:pStyle w:val="338"/>
        <w:spacing w:before="12" w:beforeLines="5" w:line="360" w:lineRule="auto"/>
        <w:ind w:left="64" w:firstLine="560" w:firstLineChars="200"/>
        <w:rPr>
          <w:rFonts w:ascii="华文仿宋" w:hAnsi="华文仿宋" w:eastAsia="华文仿宋"/>
          <w:color w:val="auto"/>
          <w:sz w:val="28"/>
          <w:szCs w:val="28"/>
        </w:rPr>
      </w:pPr>
      <w:r>
        <w:rPr>
          <w:rFonts w:hint="eastAsia" w:ascii="华文仿宋" w:hAnsi="华文仿宋" w:eastAsia="华文仿宋"/>
          <w:color w:val="auto"/>
          <w:sz w:val="28"/>
          <w:szCs w:val="28"/>
        </w:rPr>
        <w:t>本项目采用集中电源</w:t>
      </w:r>
      <w:r>
        <w:rPr>
          <w:rFonts w:hint="eastAsia" w:ascii="华文仿宋" w:hAnsi="华文仿宋" w:eastAsia="华文仿宋"/>
          <w:color w:val="auto"/>
          <w:sz w:val="28"/>
          <w:szCs w:val="28"/>
          <w:lang w:val="en-US" w:eastAsia="zh-CN"/>
        </w:rPr>
        <w:t>非</w:t>
      </w:r>
      <w:r>
        <w:rPr>
          <w:rFonts w:hint="eastAsia" w:ascii="华文仿宋" w:hAnsi="华文仿宋" w:eastAsia="华文仿宋"/>
          <w:color w:val="auto"/>
          <w:sz w:val="28"/>
          <w:szCs w:val="28"/>
        </w:rPr>
        <w:t>集中控制型消防应急照明和疏散指示系统。</w:t>
      </w:r>
    </w:p>
    <w:p>
      <w:pPr>
        <w:pStyle w:val="338"/>
        <w:spacing w:before="12" w:beforeLines="5" w:line="360" w:lineRule="auto"/>
        <w:ind w:left="64" w:firstLine="560" w:firstLineChars="200"/>
        <w:rPr>
          <w:rFonts w:ascii="华文仿宋" w:hAnsi="华文仿宋" w:eastAsia="华文仿宋"/>
          <w:color w:val="auto"/>
          <w:sz w:val="28"/>
          <w:szCs w:val="28"/>
        </w:rPr>
      </w:pPr>
      <w:r>
        <w:rPr>
          <w:rFonts w:hint="eastAsia" w:ascii="华文仿宋" w:hAnsi="华文仿宋" w:eastAsia="华文仿宋"/>
          <w:color w:val="auto"/>
          <w:sz w:val="28"/>
          <w:szCs w:val="28"/>
        </w:rPr>
        <w:t>承包人需对本系统进行深化设计，须充分阅读设计图纸，根据设计图纸要求及中标产品，在不低于招标要求的基础上对施工图进行深化。深化设计须经设计院、监理、业主审核同意。</w:t>
      </w:r>
    </w:p>
    <w:p>
      <w:pPr>
        <w:pStyle w:val="338"/>
        <w:spacing w:before="12" w:beforeLines="5" w:line="360" w:lineRule="auto"/>
        <w:ind w:left="64" w:firstLine="560" w:firstLineChars="200"/>
        <w:rPr>
          <w:rFonts w:ascii="华文仿宋" w:hAnsi="华文仿宋" w:eastAsia="华文仿宋"/>
          <w:color w:val="auto"/>
          <w:sz w:val="28"/>
          <w:szCs w:val="28"/>
        </w:rPr>
      </w:pPr>
      <w:r>
        <w:rPr>
          <w:rFonts w:hint="eastAsia" w:ascii="华文仿宋" w:hAnsi="华文仿宋" w:eastAsia="华文仿宋"/>
          <w:color w:val="auto"/>
          <w:sz w:val="28"/>
          <w:szCs w:val="28"/>
        </w:rPr>
        <w:t>承包人应对其产品在本工程的兼容性和适用性负责。在投标书中提出投标产品可能存在的接口设备及接口要求。在技术联络阶段，主动与施工单位、相关接口设备厂家共同确定接口事宜，并将接口方案送业主及设计单位确认。投标人承诺因投标及技术联络阶段接口方案不同而导致的相关费用调整已包含在投标报价中，并承诺因设备接口或与工程现场不匹配等原因引起的设备零部件变更时，予以免费修正或更换。</w:t>
      </w:r>
    </w:p>
    <w:p>
      <w:pPr>
        <w:pStyle w:val="338"/>
        <w:spacing w:before="12" w:beforeLines="5" w:line="360" w:lineRule="auto"/>
        <w:ind w:left="64" w:firstLine="560" w:firstLineChars="200"/>
        <w:rPr>
          <w:rFonts w:ascii="华文仿宋" w:hAnsi="华文仿宋" w:eastAsia="华文仿宋"/>
          <w:color w:val="auto"/>
          <w:sz w:val="28"/>
          <w:szCs w:val="28"/>
        </w:rPr>
      </w:pPr>
      <w:r>
        <w:rPr>
          <w:rFonts w:hint="eastAsia" w:ascii="华文仿宋" w:hAnsi="华文仿宋" w:eastAsia="华文仿宋"/>
          <w:color w:val="auto"/>
          <w:sz w:val="28"/>
          <w:szCs w:val="28"/>
        </w:rPr>
        <w:t>本次投标的所有消防系统设备经国家消防电子产品质量监督检验测试中心检测的检验报告及</w:t>
      </w:r>
      <w:r>
        <w:rPr>
          <w:rFonts w:ascii="华文仿宋" w:hAnsi="华文仿宋" w:eastAsia="华文仿宋"/>
          <w:color w:val="auto"/>
          <w:sz w:val="28"/>
          <w:szCs w:val="28"/>
        </w:rPr>
        <w:t>CCCF要求。</w:t>
      </w:r>
    </w:p>
    <w:p>
      <w:pPr>
        <w:pStyle w:val="3"/>
        <w:adjustRightInd w:val="0"/>
        <w:snapToGrid w:val="0"/>
        <w:spacing w:before="240" w:line="415" w:lineRule="auto"/>
        <w:ind w:firstLine="561"/>
        <w:rPr>
          <w:rFonts w:ascii="华文仿宋" w:hAnsi="华文仿宋" w:cs="仿宋_GB2312"/>
          <w:szCs w:val="28"/>
        </w:rPr>
      </w:pPr>
      <w:bookmarkStart w:id="118" w:name="_Toc27926"/>
      <w:bookmarkStart w:id="119" w:name="_Toc27495691"/>
      <w:r>
        <w:rPr>
          <w:rFonts w:ascii="华文仿宋" w:hAnsi="华文仿宋" w:cs="仿宋_GB2312"/>
          <w:szCs w:val="28"/>
        </w:rPr>
        <w:t xml:space="preserve">2 </w:t>
      </w:r>
      <w:r>
        <w:rPr>
          <w:rFonts w:hint="eastAsia" w:ascii="华文仿宋" w:hAnsi="华文仿宋" w:cs="仿宋_GB2312"/>
          <w:szCs w:val="28"/>
        </w:rPr>
        <w:t>主要技术规范、标准</w:t>
      </w:r>
      <w:bookmarkEnd w:id="118"/>
      <w:bookmarkEnd w:id="119"/>
    </w:p>
    <w:p>
      <w:pPr>
        <w:ind w:firstLine="560"/>
      </w:pPr>
      <w:r>
        <w:rPr>
          <w:rFonts w:hint="eastAsia"/>
        </w:rPr>
        <w:t>所有设备、安装、材料和工艺须符合下列及以下各项所注明的规则及标准：</w:t>
      </w:r>
    </w:p>
    <w:p>
      <w:pPr>
        <w:ind w:firstLine="560"/>
      </w:pPr>
      <w:r>
        <w:t>GB 51309-2018</w:t>
      </w:r>
      <w:r>
        <w:rPr>
          <w:rFonts w:hint="eastAsia"/>
        </w:rPr>
        <w:t>《消防应急照明和疏散指示系统技术标准》</w:t>
      </w:r>
    </w:p>
    <w:p>
      <w:pPr>
        <w:ind w:firstLine="560"/>
      </w:pPr>
      <w:r>
        <w:t xml:space="preserve">GB 17945-2010 </w:t>
      </w:r>
      <w:r>
        <w:rPr>
          <w:rFonts w:hint="eastAsia"/>
        </w:rPr>
        <w:t>《消防应急照明和疏散指示系统》</w:t>
      </w:r>
    </w:p>
    <w:p>
      <w:pPr>
        <w:ind w:firstLine="560"/>
      </w:pPr>
      <w:r>
        <w:t xml:space="preserve">GB7000.1-2007  </w:t>
      </w:r>
      <w:r>
        <w:rPr>
          <w:rFonts w:hint="eastAsia"/>
        </w:rPr>
        <w:t>《灯具一般安全要求与试验》</w:t>
      </w:r>
    </w:p>
    <w:p>
      <w:pPr>
        <w:ind w:firstLine="560"/>
      </w:pPr>
      <w:r>
        <w:t xml:space="preserve">GB 7000.2-2008 </w:t>
      </w:r>
      <w:r>
        <w:rPr>
          <w:rFonts w:hint="eastAsia"/>
        </w:rPr>
        <w:t>《灯具</w:t>
      </w:r>
      <w:r>
        <w:t xml:space="preserve"> </w:t>
      </w:r>
      <w:r>
        <w:rPr>
          <w:rFonts w:hint="eastAsia"/>
        </w:rPr>
        <w:t>第</w:t>
      </w:r>
      <w:r>
        <w:t>2-22</w:t>
      </w:r>
      <w:r>
        <w:rPr>
          <w:rFonts w:hint="eastAsia"/>
        </w:rPr>
        <w:t>部分：特殊要求</w:t>
      </w:r>
      <w:r>
        <w:t xml:space="preserve"> </w:t>
      </w:r>
      <w:r>
        <w:rPr>
          <w:rFonts w:hint="eastAsia"/>
        </w:rPr>
        <w:t>应急照明灯具》</w:t>
      </w:r>
    </w:p>
    <w:p>
      <w:pPr>
        <w:ind w:firstLine="560"/>
      </w:pPr>
      <w:r>
        <w:t xml:space="preserve">GB 13495-2015 </w:t>
      </w:r>
      <w:r>
        <w:rPr>
          <w:rFonts w:hint="eastAsia"/>
        </w:rPr>
        <w:t>《消防安全标志</w:t>
      </w:r>
      <w:r>
        <w:t xml:space="preserve"> </w:t>
      </w:r>
      <w:r>
        <w:rPr>
          <w:rFonts w:hint="eastAsia"/>
        </w:rPr>
        <w:t>第</w:t>
      </w:r>
      <w:r>
        <w:t>1</w:t>
      </w:r>
      <w:r>
        <w:rPr>
          <w:rFonts w:hint="eastAsia"/>
        </w:rPr>
        <w:t>部分</w:t>
      </w:r>
      <w:r>
        <w:t>-</w:t>
      </w:r>
      <w:r>
        <w:rPr>
          <w:rFonts w:hint="eastAsia"/>
        </w:rPr>
        <w:t>标志》</w:t>
      </w:r>
    </w:p>
    <w:p>
      <w:pPr>
        <w:ind w:firstLine="560"/>
      </w:pPr>
      <w:r>
        <w:t xml:space="preserve">GB/T 4208-2017 </w:t>
      </w:r>
      <w:r>
        <w:rPr>
          <w:rFonts w:hint="eastAsia"/>
        </w:rPr>
        <w:t>《外壳防护等级（</w:t>
      </w:r>
      <w:r>
        <w:t>IP</w:t>
      </w:r>
      <w:r>
        <w:rPr>
          <w:rFonts w:hint="eastAsia"/>
        </w:rPr>
        <w:t>代码）》</w:t>
      </w:r>
    </w:p>
    <w:p>
      <w:pPr>
        <w:ind w:firstLine="560"/>
      </w:pPr>
      <w:r>
        <w:t xml:space="preserve">GB 25506-2010   </w:t>
      </w:r>
      <w:r>
        <w:rPr>
          <w:rFonts w:hint="eastAsia"/>
        </w:rPr>
        <w:t>《消防控制室通用技术要求》</w:t>
      </w:r>
    </w:p>
    <w:p>
      <w:pPr>
        <w:ind w:firstLine="560"/>
      </w:pPr>
      <w:r>
        <w:t xml:space="preserve">GB 3805-2008    </w:t>
      </w:r>
      <w:r>
        <w:rPr>
          <w:rFonts w:hint="eastAsia"/>
        </w:rPr>
        <w:t>《特低电压（</w:t>
      </w:r>
      <w:r>
        <w:t>ELV</w:t>
      </w:r>
      <w:r>
        <w:rPr>
          <w:rFonts w:hint="eastAsia"/>
        </w:rPr>
        <w:t>）限值》</w:t>
      </w:r>
    </w:p>
    <w:p>
      <w:pPr>
        <w:ind w:firstLine="560"/>
        <w:rPr>
          <w:rFonts w:ascii="宋体" w:hAnsi="宋体" w:cs="宋体"/>
        </w:rPr>
      </w:pPr>
      <w:r>
        <w:rPr>
          <w:rFonts w:ascii="宋体" w:hAnsi="宋体" w:cs="宋体"/>
        </w:rPr>
        <w:t xml:space="preserve">GB17625.1-2003 </w:t>
      </w:r>
      <w:r>
        <w:rPr>
          <w:rFonts w:hint="eastAsia" w:ascii="宋体" w:hAnsi="宋体" w:cs="宋体"/>
        </w:rPr>
        <w:t>《电磁兼容</w:t>
      </w:r>
      <w:r>
        <w:rPr>
          <w:rFonts w:ascii="宋体" w:hAnsi="宋体" w:cs="宋体"/>
        </w:rPr>
        <w:t xml:space="preserve"> </w:t>
      </w:r>
      <w:r>
        <w:rPr>
          <w:rFonts w:hint="eastAsia" w:ascii="宋体" w:hAnsi="宋体" w:cs="宋体"/>
        </w:rPr>
        <w:t>限值</w:t>
      </w:r>
      <w:r>
        <w:rPr>
          <w:rFonts w:ascii="宋体" w:hAnsi="宋体" w:cs="宋体"/>
        </w:rPr>
        <w:t xml:space="preserve"> </w:t>
      </w:r>
      <w:r>
        <w:rPr>
          <w:rFonts w:hint="eastAsia" w:ascii="宋体" w:hAnsi="宋体" w:cs="宋体"/>
        </w:rPr>
        <w:t>谐波电流发射限值</w:t>
      </w:r>
      <w:r>
        <w:rPr>
          <w:rFonts w:ascii="宋体" w:hAnsi="宋体" w:cs="宋体"/>
        </w:rPr>
        <w:t>(</w:t>
      </w:r>
      <w:r>
        <w:rPr>
          <w:rFonts w:hint="eastAsia" w:ascii="宋体" w:hAnsi="宋体" w:cs="宋体"/>
        </w:rPr>
        <w:t>设备每相输入电流≤</w:t>
      </w:r>
      <w:r>
        <w:rPr>
          <w:rFonts w:ascii="宋体" w:hAnsi="宋体" w:cs="宋体"/>
        </w:rPr>
        <w:t>16A)</w:t>
      </w:r>
      <w:r>
        <w:rPr>
          <w:rFonts w:hint="eastAsia" w:ascii="宋体" w:hAnsi="宋体" w:cs="宋体"/>
        </w:rPr>
        <w:t>》</w:t>
      </w:r>
    </w:p>
    <w:p>
      <w:pPr>
        <w:ind w:firstLine="560"/>
      </w:pPr>
      <w:r>
        <w:rPr>
          <w:rFonts w:ascii="宋体" w:hAnsi="宋体" w:cs="宋体"/>
        </w:rPr>
        <w:t xml:space="preserve">GB17743-2007   </w:t>
      </w:r>
      <w:r>
        <w:rPr>
          <w:rFonts w:hint="eastAsia" w:ascii="宋体" w:hAnsi="宋体" w:cs="宋体"/>
        </w:rPr>
        <w:t>《电气照明和类似设备的无线电骚扰特性的限值和测量方法》</w:t>
      </w:r>
    </w:p>
    <w:p>
      <w:pPr>
        <w:pStyle w:val="3"/>
        <w:adjustRightInd w:val="0"/>
        <w:snapToGrid w:val="0"/>
        <w:spacing w:before="240" w:line="415" w:lineRule="auto"/>
        <w:ind w:firstLine="561"/>
        <w:rPr>
          <w:rFonts w:ascii="华文仿宋" w:hAnsi="华文仿宋" w:cs="仿宋_GB2312"/>
          <w:szCs w:val="28"/>
        </w:rPr>
      </w:pPr>
      <w:bookmarkStart w:id="120" w:name="_Toc8435"/>
      <w:bookmarkStart w:id="121" w:name="_Toc27495692"/>
      <w:r>
        <w:rPr>
          <w:rFonts w:ascii="华文仿宋" w:hAnsi="华文仿宋" w:cs="仿宋_GB2312"/>
          <w:szCs w:val="28"/>
        </w:rPr>
        <w:t>3工作环境及运行条件</w:t>
      </w:r>
      <w:bookmarkEnd w:id="120"/>
      <w:bookmarkEnd w:id="121"/>
    </w:p>
    <w:p>
      <w:pPr>
        <w:ind w:firstLine="560"/>
      </w:pPr>
      <w:r>
        <w:t>3.1</w:t>
      </w:r>
      <w:r>
        <w:rPr>
          <w:rFonts w:hint="eastAsia"/>
        </w:rPr>
        <w:t>环境条件</w:t>
      </w:r>
    </w:p>
    <w:p>
      <w:pPr>
        <w:pStyle w:val="338"/>
        <w:spacing w:before="12" w:beforeLines="5" w:line="360" w:lineRule="auto"/>
        <w:ind w:left="64"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海拔高度：&lt;1000m</w:t>
      </w:r>
      <w:r>
        <w:rPr>
          <w:rFonts w:hint="eastAsia" w:ascii="华文仿宋" w:hAnsi="华文仿宋" w:eastAsia="华文仿宋"/>
          <w:color w:val="auto"/>
          <w:sz w:val="28"/>
          <w:szCs w:val="28"/>
        </w:rPr>
        <w:t>，</w:t>
      </w:r>
      <w:r>
        <w:rPr>
          <w:rFonts w:ascii="华文仿宋" w:hAnsi="华文仿宋" w:eastAsia="华文仿宋"/>
          <w:color w:val="auto"/>
          <w:sz w:val="28"/>
          <w:szCs w:val="28"/>
        </w:rPr>
        <w:t>户内安装环境温度：-10℃~+55℃</w:t>
      </w:r>
    </w:p>
    <w:p>
      <w:pPr>
        <w:spacing w:before="12" w:beforeLines="5"/>
        <w:ind w:left="179" w:leftChars="64" w:firstLine="378" w:firstLineChars="135"/>
        <w:rPr>
          <w:rFonts w:ascii="华文仿宋" w:hAnsi="华文仿宋"/>
          <w:szCs w:val="28"/>
        </w:rPr>
      </w:pPr>
      <w:r>
        <w:rPr>
          <w:rFonts w:ascii="华文仿宋" w:hAnsi="华文仿宋"/>
          <w:szCs w:val="28"/>
        </w:rPr>
        <w:t>相对湿度：≤93％地震烈度：7度</w:t>
      </w:r>
    </w:p>
    <w:p>
      <w:pPr>
        <w:ind w:firstLine="560"/>
      </w:pPr>
      <w:r>
        <w:t>3.2</w:t>
      </w:r>
      <w:r>
        <w:rPr>
          <w:rFonts w:hint="eastAsia"/>
        </w:rPr>
        <w:t>运行条件</w:t>
      </w:r>
    </w:p>
    <w:p>
      <w:pPr>
        <w:pStyle w:val="338"/>
        <w:spacing w:before="12" w:beforeLines="5" w:line="360" w:lineRule="auto"/>
        <w:ind w:left="64"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额定运行电压：220V/380V±10％</w:t>
      </w:r>
    </w:p>
    <w:p>
      <w:pPr>
        <w:pStyle w:val="338"/>
        <w:spacing w:before="12" w:beforeLines="5" w:line="360" w:lineRule="auto"/>
        <w:ind w:left="64"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额定频率：50Hz±5％</w:t>
      </w:r>
    </w:p>
    <w:p>
      <w:pPr>
        <w:pStyle w:val="3"/>
        <w:adjustRightInd w:val="0"/>
        <w:snapToGrid w:val="0"/>
        <w:spacing w:before="240" w:line="415" w:lineRule="auto"/>
        <w:ind w:firstLine="561"/>
        <w:rPr>
          <w:rFonts w:ascii="华文仿宋" w:hAnsi="华文仿宋" w:cs="仿宋_GB2312"/>
          <w:szCs w:val="28"/>
        </w:rPr>
      </w:pPr>
      <w:bookmarkStart w:id="122" w:name="_Toc27495693"/>
      <w:bookmarkStart w:id="123" w:name="_Toc24641"/>
      <w:r>
        <w:rPr>
          <w:rFonts w:ascii="华文仿宋" w:hAnsi="华文仿宋" w:cs="仿宋_GB2312"/>
          <w:szCs w:val="28"/>
        </w:rPr>
        <w:t>4技术性能要求</w:t>
      </w:r>
      <w:bookmarkEnd w:id="122"/>
      <w:bookmarkEnd w:id="123"/>
    </w:p>
    <w:p>
      <w:pPr>
        <w:ind w:firstLine="560"/>
      </w:pPr>
      <w:r>
        <w:t>4.1</w:t>
      </w:r>
      <w:r>
        <w:rPr>
          <w:rFonts w:hint="eastAsia"/>
        </w:rPr>
        <w:t>系统基本要求</w:t>
      </w:r>
    </w:p>
    <w:p>
      <w:pPr>
        <w:ind w:firstLine="560"/>
        <w:rPr>
          <w:rFonts w:ascii="华文仿宋" w:hAnsi="华文仿宋"/>
          <w:szCs w:val="28"/>
        </w:rPr>
      </w:pPr>
      <w:r>
        <w:rPr>
          <w:rFonts w:ascii="华文仿宋" w:hAnsi="华文仿宋"/>
          <w:szCs w:val="28"/>
        </w:rPr>
        <w:t>4.1.1</w:t>
      </w:r>
      <w:r>
        <w:rPr>
          <w:rFonts w:hint="eastAsia" w:ascii="华文仿宋" w:hAnsi="华文仿宋"/>
          <w:szCs w:val="28"/>
          <w:lang w:val="en-US" w:eastAsia="zh-CN"/>
        </w:rPr>
        <w:t>非</w:t>
      </w:r>
      <w:r>
        <w:rPr>
          <w:rFonts w:hint="eastAsia" w:ascii="华文仿宋" w:hAnsi="华文仿宋"/>
          <w:szCs w:val="28"/>
        </w:rPr>
        <w:t>集中控制型应急照明和疏散指示系统由设置应急照明集中电源、以及终端消防应急照明灯具、消防应急标志灯具组成。</w:t>
      </w:r>
    </w:p>
    <w:p>
      <w:pPr>
        <w:ind w:firstLine="560"/>
        <w:rPr>
          <w:rFonts w:ascii="华文仿宋" w:hAnsi="华文仿宋"/>
          <w:szCs w:val="28"/>
        </w:rPr>
      </w:pPr>
      <w:r>
        <w:rPr>
          <w:rFonts w:ascii="华文仿宋" w:hAnsi="华文仿宋"/>
          <w:szCs w:val="28"/>
        </w:rPr>
        <w:t>4.1.2</w:t>
      </w:r>
      <w:r>
        <w:rPr>
          <w:rFonts w:hint="eastAsia" w:ascii="华文仿宋" w:hAnsi="华文仿宋"/>
          <w:szCs w:val="28"/>
        </w:rPr>
        <w:t>系统能够对当前终端消防应急照明灯具及其光源和消防应急标志灯具的灯具及其光源、线路及备电电池状态进行检测，如消防应急照明灯具和消防应急标志灯具的灯具、供电线路或电池发生故障，应急照明控制器能够报警，并准确定位故障发生点，提醒工作人员在第一时间进行维护，确保建筑内应急照明和疏散指示灯具的正常工作。</w:t>
      </w:r>
    </w:p>
    <w:p>
      <w:pPr>
        <w:ind w:firstLine="560"/>
      </w:pPr>
      <w:r>
        <w:t>4.2</w:t>
      </w:r>
      <w:r>
        <w:rPr>
          <w:rFonts w:hint="eastAsia"/>
        </w:rPr>
        <w:t>应急照明控制器</w:t>
      </w:r>
    </w:p>
    <w:p>
      <w:pPr>
        <w:ind w:firstLine="560"/>
      </w:pPr>
      <w:r>
        <w:rPr>
          <w:rFonts w:hint="eastAsia"/>
        </w:rPr>
        <w:t>额定运行电压：</w:t>
      </w:r>
      <w:r>
        <w:t>220V/380V±10</w:t>
      </w:r>
      <w:r>
        <w:rPr>
          <w:rFonts w:hint="eastAsia"/>
        </w:rPr>
        <w:t>％</w:t>
      </w:r>
    </w:p>
    <w:p>
      <w:pPr>
        <w:ind w:firstLine="560"/>
      </w:pPr>
      <w:r>
        <w:rPr>
          <w:rFonts w:hint="eastAsia"/>
        </w:rPr>
        <w:t>额定频率：</w:t>
      </w:r>
      <w:r>
        <w:t>50Hz±5</w:t>
      </w:r>
      <w:r>
        <w:rPr>
          <w:rFonts w:hint="eastAsia"/>
        </w:rPr>
        <w:t>％</w:t>
      </w:r>
    </w:p>
    <w:p>
      <w:pPr>
        <w:ind w:firstLine="560"/>
      </w:pPr>
      <w:r>
        <w:rPr>
          <w:rFonts w:hint="eastAsia"/>
        </w:rPr>
        <w:t>自备电源应急时间：大于</w:t>
      </w:r>
      <w:r>
        <w:t>180</w:t>
      </w:r>
      <w:r>
        <w:rPr>
          <w:rFonts w:hint="eastAsia"/>
        </w:rPr>
        <w:t>分钟；</w:t>
      </w:r>
    </w:p>
    <w:p>
      <w:pPr>
        <w:ind w:firstLine="560"/>
      </w:pPr>
      <w:r>
        <w:rPr>
          <w:rFonts w:hint="eastAsia"/>
        </w:rPr>
        <w:t>带全中文打印机；</w:t>
      </w:r>
    </w:p>
    <w:p>
      <w:pPr>
        <w:ind w:firstLine="560"/>
      </w:pPr>
      <w:r>
        <w:rPr>
          <w:rFonts w:hint="eastAsia"/>
        </w:rPr>
        <w:t>液晶屏：不小于</w:t>
      </w:r>
      <w:r>
        <w:t>15’</w:t>
      </w:r>
      <w:r>
        <w:rPr>
          <w:rFonts w:hint="eastAsia"/>
        </w:rPr>
        <w:t>；</w:t>
      </w:r>
    </w:p>
    <w:p>
      <w:pPr>
        <w:ind w:firstLine="560"/>
      </w:pPr>
      <w:r>
        <w:t>4.3  A</w:t>
      </w:r>
      <w:r>
        <w:rPr>
          <w:rFonts w:hint="eastAsia"/>
        </w:rPr>
        <w:t>型应急照明集中电源</w:t>
      </w:r>
    </w:p>
    <w:p>
      <w:pPr>
        <w:pStyle w:val="338"/>
        <w:spacing w:before="12" w:beforeLines="5" w:line="360" w:lineRule="auto"/>
        <w:ind w:left="64"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额定运行电压：220V/380V±10％</w:t>
      </w:r>
    </w:p>
    <w:p>
      <w:pPr>
        <w:pStyle w:val="338"/>
        <w:spacing w:before="12" w:beforeLines="5" w:line="360" w:lineRule="auto"/>
        <w:ind w:left="64"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额定频率：50Hz±5％</w:t>
      </w:r>
    </w:p>
    <w:p>
      <w:pPr>
        <w:pStyle w:val="338"/>
        <w:spacing w:before="12" w:beforeLines="5" w:line="360" w:lineRule="auto"/>
        <w:ind w:left="64" w:firstLine="560" w:firstLineChars="200"/>
        <w:rPr>
          <w:rFonts w:ascii="华文仿宋" w:hAnsi="华文仿宋" w:eastAsia="华文仿宋"/>
          <w:color w:val="auto"/>
          <w:sz w:val="28"/>
          <w:szCs w:val="28"/>
        </w:rPr>
      </w:pPr>
      <w:r>
        <w:rPr>
          <w:rFonts w:hint="eastAsia" w:ascii="华文仿宋" w:hAnsi="华文仿宋" w:eastAsia="华文仿宋"/>
          <w:color w:val="auto"/>
          <w:sz w:val="28"/>
          <w:szCs w:val="28"/>
        </w:rPr>
        <w:t>输出电压：</w:t>
      </w:r>
      <w:r>
        <w:rPr>
          <w:rFonts w:ascii="华文仿宋" w:hAnsi="华文仿宋" w:eastAsia="华文仿宋"/>
          <w:color w:val="auto"/>
          <w:sz w:val="28"/>
          <w:szCs w:val="28"/>
        </w:rPr>
        <w:t xml:space="preserve"> DC24V/36V；</w:t>
      </w:r>
    </w:p>
    <w:p>
      <w:pPr>
        <w:pStyle w:val="338"/>
        <w:spacing w:before="12" w:beforeLines="5" w:line="360" w:lineRule="auto"/>
        <w:ind w:left="64" w:firstLine="560" w:firstLineChars="200"/>
        <w:rPr>
          <w:rFonts w:ascii="华文仿宋" w:hAnsi="华文仿宋" w:eastAsia="华文仿宋"/>
          <w:color w:val="auto"/>
          <w:sz w:val="28"/>
          <w:szCs w:val="28"/>
        </w:rPr>
      </w:pPr>
      <w:r>
        <w:rPr>
          <w:rFonts w:ascii="华文仿宋" w:hAnsi="华文仿宋" w:eastAsia="华文仿宋"/>
          <w:color w:val="auto"/>
          <w:sz w:val="28"/>
          <w:szCs w:val="28"/>
        </w:rPr>
        <w:t xml:space="preserve">电池: </w:t>
      </w:r>
      <w:r>
        <w:rPr>
          <w:rFonts w:hint="eastAsia" w:ascii="华文仿宋" w:hAnsi="华文仿宋" w:eastAsia="华文仿宋"/>
          <w:color w:val="auto"/>
          <w:sz w:val="28"/>
          <w:szCs w:val="28"/>
        </w:rPr>
        <w:t>环保锂</w:t>
      </w:r>
      <w:r>
        <w:rPr>
          <w:rFonts w:ascii="华文仿宋" w:hAnsi="华文仿宋" w:eastAsia="华文仿宋"/>
          <w:color w:val="auto"/>
          <w:sz w:val="28"/>
          <w:szCs w:val="28"/>
        </w:rPr>
        <w:t>电池,容量按图纸要求。</w:t>
      </w:r>
    </w:p>
    <w:p>
      <w:pPr>
        <w:ind w:firstLine="560"/>
        <w:rPr>
          <w:rFonts w:ascii="华文仿宋" w:hAnsi="华文仿宋"/>
          <w:szCs w:val="28"/>
        </w:rPr>
      </w:pPr>
      <w:r>
        <w:rPr>
          <w:rFonts w:hint="eastAsia" w:ascii="华文仿宋" w:hAnsi="华文仿宋"/>
          <w:szCs w:val="28"/>
        </w:rPr>
        <w:t>人机界面应显示电网充电电压，电池电压，应急输出电压及应急输出电流。</w:t>
      </w:r>
    </w:p>
    <w:p>
      <w:pPr>
        <w:ind w:firstLine="560"/>
      </w:pPr>
      <w:r>
        <w:rPr>
          <w:rFonts w:hint="eastAsia"/>
        </w:rPr>
        <w:t>存储容量具有不低于</w:t>
      </w:r>
      <w:r>
        <w:t>1000</w:t>
      </w:r>
      <w:r>
        <w:rPr>
          <w:rFonts w:hint="eastAsia"/>
        </w:rPr>
        <w:t>条历史故障记录功能，系统参数掉电不会丢失。</w:t>
      </w:r>
    </w:p>
    <w:p>
      <w:pPr>
        <w:ind w:firstLine="560"/>
      </w:pPr>
      <w:r>
        <w:rPr>
          <w:rFonts w:hint="eastAsia"/>
        </w:rPr>
        <w:t>具有市电检测功能，应急时间详图纸，应急时间后自动关闭，确保火灾发生时系统有足够的应急时间的余量。</w:t>
      </w:r>
    </w:p>
    <w:p>
      <w:pPr>
        <w:ind w:firstLine="560"/>
      </w:pPr>
      <w:r>
        <w:rPr>
          <w:rFonts w:hint="eastAsia"/>
        </w:rPr>
        <w:t>具有进线电源停电自动点亮功能。</w:t>
      </w:r>
    </w:p>
    <w:p>
      <w:pPr>
        <w:ind w:firstLine="560"/>
      </w:pPr>
      <w:r>
        <w:t>4.4  A</w:t>
      </w:r>
      <w:r>
        <w:rPr>
          <w:rFonts w:hint="eastAsia"/>
        </w:rPr>
        <w:t>型集中控制型消防应急标志灯</w:t>
      </w:r>
    </w:p>
    <w:p>
      <w:pPr>
        <w:ind w:firstLine="560"/>
      </w:pPr>
      <w:r>
        <w:rPr>
          <w:rFonts w:hint="eastAsia"/>
        </w:rPr>
        <w:t>具有独立地址；</w:t>
      </w:r>
    </w:p>
    <w:p>
      <w:pPr>
        <w:ind w:firstLine="560"/>
      </w:pPr>
      <w:r>
        <w:rPr>
          <w:rFonts w:hint="eastAsia"/>
        </w:rPr>
        <w:t>采用节能</w:t>
      </w:r>
      <w:r>
        <w:t>LED</w:t>
      </w:r>
      <w:r>
        <w:rPr>
          <w:rFonts w:hint="eastAsia"/>
        </w:rPr>
        <w:t>光源；</w:t>
      </w:r>
    </w:p>
    <w:p>
      <w:pPr>
        <w:ind w:firstLine="560"/>
      </w:pPr>
      <w:r>
        <w:rPr>
          <w:rFonts w:hint="eastAsia"/>
        </w:rPr>
        <w:t>具有调向、灭灯、频闪、巡检等功能，各种具体要求见图纸；</w:t>
      </w:r>
    </w:p>
    <w:p>
      <w:pPr>
        <w:ind w:firstLine="560"/>
      </w:pPr>
      <w:r>
        <w:rPr>
          <w:rFonts w:hint="eastAsia"/>
        </w:rPr>
        <w:t>灯具外壳面板应采用不锈钢材料，灯具后背板应采用金属材料，应能承受机械损伤而不致碎裂；</w:t>
      </w:r>
    </w:p>
    <w:p>
      <w:pPr>
        <w:ind w:firstLine="560"/>
      </w:pPr>
      <w:r>
        <w:rPr>
          <w:rFonts w:hint="eastAsia"/>
        </w:rPr>
        <w:t>灯具内部发热件表面最高温度不超过</w:t>
      </w:r>
      <w:r>
        <w:t>90</w:t>
      </w:r>
      <w:r>
        <w:rPr>
          <w:rFonts w:hint="eastAsia"/>
        </w:rPr>
        <w:t>℃（环境温度</w:t>
      </w:r>
      <w:r>
        <w:t>25</w:t>
      </w:r>
      <w:r>
        <w:rPr>
          <w:rFonts w:hint="eastAsia"/>
        </w:rPr>
        <w:t>℃时）；</w:t>
      </w:r>
    </w:p>
    <w:p>
      <w:pPr>
        <w:ind w:firstLine="560"/>
      </w:pPr>
      <w:r>
        <w:rPr>
          <w:rFonts w:hint="eastAsia"/>
        </w:rPr>
        <w:t>应具有状态指示灯；</w:t>
      </w:r>
    </w:p>
    <w:p>
      <w:pPr>
        <w:ind w:firstLine="560"/>
      </w:pPr>
      <w:r>
        <w:rPr>
          <w:rFonts w:hint="eastAsia"/>
        </w:rPr>
        <w:t>消防应急标志灯点亮状态时光源应为绿色，其表面亮度应大于</w:t>
      </w:r>
      <w:r>
        <w:t>50cd</w:t>
      </w:r>
      <w:r>
        <w:rPr>
          <w:rFonts w:hint="eastAsia"/>
        </w:rPr>
        <w:t>，小于</w:t>
      </w:r>
      <w:r>
        <w:t>300cd</w:t>
      </w:r>
      <w:r>
        <w:rPr>
          <w:rFonts w:hint="eastAsia"/>
        </w:rPr>
        <w:t>。</w:t>
      </w:r>
    </w:p>
    <w:p>
      <w:pPr>
        <w:ind w:left="480" w:firstLine="560"/>
        <w:rPr>
          <w:rFonts w:ascii="华文仿宋" w:hAnsi="华文仿宋"/>
          <w:szCs w:val="28"/>
        </w:rPr>
      </w:pPr>
    </w:p>
    <w:p>
      <w:pPr>
        <w:ind w:firstLine="560"/>
      </w:pPr>
      <w:bookmarkStart w:id="124" w:name="_Toc417408632"/>
      <w:r>
        <w:t>4.5 A</w:t>
      </w:r>
      <w:r>
        <w:rPr>
          <w:rFonts w:hint="eastAsia"/>
        </w:rPr>
        <w:t>型集中控制型消防应急照明灯</w:t>
      </w:r>
      <w:bookmarkEnd w:id="124"/>
    </w:p>
    <w:p>
      <w:pPr>
        <w:ind w:firstLine="560"/>
      </w:pPr>
      <w:r>
        <w:rPr>
          <w:rFonts w:hint="eastAsia"/>
        </w:rPr>
        <w:t>具有独立地址；</w:t>
      </w:r>
    </w:p>
    <w:p>
      <w:pPr>
        <w:ind w:firstLine="560"/>
      </w:pPr>
      <w:r>
        <w:rPr>
          <w:rFonts w:hint="eastAsia"/>
        </w:rPr>
        <w:t>采用高亮节能</w:t>
      </w:r>
      <w:r>
        <w:t>LED</w:t>
      </w:r>
      <w:r>
        <w:rPr>
          <w:rFonts w:hint="eastAsia"/>
        </w:rPr>
        <w:t>光源，光通量满足不小于</w:t>
      </w:r>
      <w:r>
        <w:t>120Lm/W</w:t>
      </w:r>
      <w:r>
        <w:rPr>
          <w:rFonts w:hint="eastAsia"/>
        </w:rPr>
        <w:t>，灯具选型须满足图纸照度要求。</w:t>
      </w:r>
    </w:p>
    <w:p>
      <w:pPr>
        <w:ind w:firstLine="560"/>
      </w:pPr>
      <w:r>
        <w:rPr>
          <w:rFonts w:hint="eastAsia"/>
        </w:rPr>
        <w:t>应急照明灯应具有状态指示灯；</w:t>
      </w:r>
    </w:p>
    <w:p>
      <w:pPr>
        <w:ind w:firstLine="560"/>
      </w:pPr>
      <w:r>
        <w:rPr>
          <w:rFonts w:hint="eastAsia"/>
        </w:rPr>
        <w:t>具有巡检，远程开启、关闭，定时开启等功能；</w:t>
      </w:r>
    </w:p>
    <w:p>
      <w:pPr>
        <w:ind w:firstLine="560"/>
      </w:pPr>
      <w:r>
        <w:rPr>
          <w:rFonts w:hint="eastAsia"/>
        </w:rPr>
        <w:t>灯具内部发热件表面最高温度不超过</w:t>
      </w:r>
      <w:r>
        <w:t>90</w:t>
      </w:r>
      <w:r>
        <w:rPr>
          <w:rFonts w:hint="eastAsia"/>
        </w:rPr>
        <w:t>℃（环境温度</w:t>
      </w:r>
      <w:r>
        <w:t>25</w:t>
      </w:r>
      <w:r>
        <w:rPr>
          <w:rFonts w:hint="eastAsia"/>
        </w:rPr>
        <w:t>℃时）</w:t>
      </w:r>
    </w:p>
    <w:p>
      <w:pPr>
        <w:ind w:firstLine="560"/>
      </w:pPr>
      <w:bookmarkStart w:id="125" w:name="_Toc417408633"/>
      <w:r>
        <w:t xml:space="preserve">4.6 </w:t>
      </w:r>
      <w:r>
        <w:rPr>
          <w:rFonts w:hint="eastAsia"/>
        </w:rPr>
        <w:t>功能</w:t>
      </w:r>
      <w:bookmarkEnd w:id="125"/>
    </w:p>
    <w:p>
      <w:pPr>
        <w:ind w:firstLine="560"/>
      </w:pPr>
      <w:r>
        <w:rPr>
          <w:rFonts w:hint="eastAsia"/>
        </w:rPr>
        <w:t>在</w:t>
      </w:r>
      <w:r>
        <w:rPr>
          <w:rFonts w:hint="eastAsia"/>
          <w:lang w:val="en-US" w:eastAsia="zh-CN"/>
        </w:rPr>
        <w:t>市政</w:t>
      </w:r>
      <w:r>
        <w:rPr>
          <w:rFonts w:hint="eastAsia"/>
        </w:rPr>
        <w:t>电源中断时，系统自动切换至应急电源，为照明灯具持续供电，确保疏散路径的</w:t>
      </w:r>
      <w:r>
        <w:rPr>
          <w:rFonts w:hint="eastAsia"/>
          <w:lang w:val="en-US" w:eastAsia="zh-CN"/>
        </w:rPr>
        <w:t>照度要求</w:t>
      </w:r>
      <w:r>
        <w:rPr>
          <w:rFonts w:hint="default"/>
        </w:rPr>
        <w:t>。该系统无需独立控制器，通过</w:t>
      </w:r>
      <w:r>
        <w:rPr>
          <w:rFonts w:hint="eastAsia"/>
        </w:rPr>
        <w:t>应急照明集中电源</w:t>
      </w:r>
      <w:r>
        <w:rPr>
          <w:rFonts w:hint="default"/>
        </w:rPr>
        <w:t>主机直接控制灯具的启动和运行</w:t>
      </w:r>
      <w:r>
        <w:rPr>
          <w:rFonts w:hint="eastAsia"/>
        </w:rPr>
        <w:t>。</w:t>
      </w:r>
    </w:p>
    <w:p>
      <w:pPr>
        <w:pStyle w:val="79"/>
        <w:ind w:firstLine="560"/>
        <w:rPr>
          <w:rFonts w:ascii="华文仿宋" w:hAnsi="华文仿宋"/>
          <w:szCs w:val="28"/>
        </w:rPr>
      </w:pPr>
      <w:r>
        <w:rPr>
          <w:rFonts w:ascii="华文仿宋" w:hAnsi="华文仿宋"/>
          <w:szCs w:val="28"/>
        </w:rPr>
        <w:br w:type="page"/>
      </w:r>
      <w:bookmarkStart w:id="126" w:name="_Toc18708"/>
      <w:r>
        <w:rPr>
          <w:rFonts w:hint="eastAsia" w:ascii="华文仿宋" w:hAnsi="华文仿宋"/>
          <w:szCs w:val="28"/>
          <w:lang w:val="en-US" w:eastAsia="zh-CN"/>
        </w:rPr>
        <w:t>七</w:t>
      </w:r>
      <w:r>
        <w:rPr>
          <w:rFonts w:ascii="华文仿宋" w:hAnsi="华文仿宋"/>
          <w:szCs w:val="28"/>
        </w:rPr>
        <w:t xml:space="preserve"> </w:t>
      </w:r>
      <w:r>
        <w:rPr>
          <w:rFonts w:hint="eastAsia" w:ascii="华文仿宋" w:hAnsi="华文仿宋"/>
          <w:szCs w:val="28"/>
          <w:lang w:val="en-US" w:eastAsia="zh-CN"/>
        </w:rPr>
        <w:t>智能家居</w:t>
      </w:r>
      <w:r>
        <w:rPr>
          <w:rFonts w:hint="eastAsia" w:ascii="华文仿宋" w:hAnsi="华文仿宋"/>
          <w:szCs w:val="28"/>
        </w:rPr>
        <w:t>系统</w:t>
      </w:r>
      <w:bookmarkEnd w:id="126"/>
    </w:p>
    <w:p>
      <w:pPr>
        <w:pStyle w:val="3"/>
        <w:adjustRightInd w:val="0"/>
        <w:snapToGrid w:val="0"/>
        <w:spacing w:before="240" w:line="415" w:lineRule="auto"/>
        <w:ind w:firstLine="561"/>
        <w:rPr>
          <w:rFonts w:ascii="华文仿宋" w:hAnsi="华文仿宋" w:cs="仿宋_GB2312"/>
          <w:szCs w:val="28"/>
        </w:rPr>
      </w:pPr>
      <w:bookmarkStart w:id="127" w:name="_Toc13339"/>
      <w:r>
        <w:rPr>
          <w:rFonts w:ascii="华文仿宋" w:hAnsi="华文仿宋" w:cs="仿宋_GB2312"/>
          <w:szCs w:val="28"/>
        </w:rPr>
        <w:t>1总则</w:t>
      </w:r>
      <w:bookmarkEnd w:id="127"/>
    </w:p>
    <w:p>
      <w:pPr>
        <w:ind w:firstLine="480"/>
        <w:rPr>
          <w:rFonts w:hint="eastAsia" w:ascii="宋体" w:hAnsi="宋体"/>
        </w:rPr>
      </w:pPr>
      <w:r>
        <w:rPr>
          <w:rFonts w:hint="eastAsia" w:ascii="宋体" w:hAnsi="宋体"/>
        </w:rPr>
        <w:t>采用</w:t>
      </w:r>
      <w:r>
        <w:rPr>
          <w:rFonts w:hint="eastAsia" w:ascii="宋体" w:hAnsi="宋体"/>
          <w:lang w:val="en-US" w:eastAsia="zh-CN"/>
        </w:rPr>
        <w:t>强弱电一体箱</w:t>
      </w:r>
      <w:r>
        <w:rPr>
          <w:rFonts w:hint="eastAsia" w:ascii="宋体" w:hAnsi="宋体"/>
        </w:rPr>
        <w:t>智能家居系统</w:t>
      </w:r>
      <w:r>
        <w:rPr>
          <w:rFonts w:hint="eastAsia" w:ascii="宋体" w:hAnsi="宋体"/>
          <w:lang w:eastAsia="zh-CN"/>
        </w:rPr>
        <w:t>，</w:t>
      </w:r>
      <w:r>
        <w:rPr>
          <w:rFonts w:hint="eastAsia" w:ascii="宋体" w:hAnsi="宋体"/>
        </w:rPr>
        <w:t>集成照明、环境控制、能源管理等功能，支持本地操作与远程云端控制，兼容主流通信协议（如KNX、Zigbee、Wi-Fi 6、蓝牙Mesh等），支持多种通信接口和协议，并具有接口开放和开发功能。</w:t>
      </w:r>
    </w:p>
    <w:p>
      <w:pPr>
        <w:pStyle w:val="4"/>
        <w:spacing w:before="156" w:after="156"/>
        <w:rPr>
          <w:rFonts w:ascii="华文仿宋" w:hAnsi="华文仿宋" w:cs="仿宋_GB2312"/>
          <w:szCs w:val="28"/>
        </w:rPr>
      </w:pPr>
      <w:bookmarkStart w:id="128" w:name="_Toc30070"/>
      <w:r>
        <w:rPr>
          <w:rFonts w:ascii="华文仿宋" w:hAnsi="华文仿宋" w:cs="仿宋_GB2312"/>
          <w:szCs w:val="28"/>
        </w:rPr>
        <w:t xml:space="preserve">2 </w:t>
      </w:r>
      <w:r>
        <w:rPr>
          <w:rFonts w:hint="eastAsia"/>
        </w:rPr>
        <w:t>系统总体技术要求</w:t>
      </w:r>
      <w:bookmarkEnd w:id="128"/>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165" w:beforeAutospacing="0" w:after="90" w:afterAutospacing="0" w:line="450" w:lineRule="atLeast"/>
        <w:ind w:left="0" w:right="0" w:firstLine="0"/>
        <w:jc w:val="left"/>
        <w:rPr>
          <w:rFonts w:hint="default" w:ascii="Times New Roman" w:hAnsi="Times New Roman" w:eastAsia="华文仿宋" w:cs="Times New Roman"/>
          <w:b w:val="0"/>
          <w:bCs w:val="0"/>
          <w:kern w:val="2"/>
          <w:sz w:val="28"/>
          <w:szCs w:val="24"/>
          <w:lang w:val="en-US" w:eastAsia="zh-CN" w:bidi="ar-SA"/>
        </w:rPr>
      </w:pPr>
      <w:bookmarkStart w:id="129" w:name="_Toc4420"/>
      <w:r>
        <w:rPr>
          <w:rFonts w:hint="eastAsia" w:ascii="Times New Roman" w:hAnsi="Times New Roman" w:eastAsia="华文仿宋" w:cs="Times New Roman"/>
          <w:b w:val="0"/>
          <w:bCs w:val="0"/>
          <w:kern w:val="2"/>
          <w:sz w:val="28"/>
          <w:szCs w:val="24"/>
          <w:lang w:val="en-US" w:eastAsia="zh-CN" w:bidi="ar-SA"/>
        </w:rPr>
        <w:t>2.1 ‌</w:t>
      </w:r>
      <w:r>
        <w:rPr>
          <w:rFonts w:hint="default" w:ascii="Times New Roman" w:hAnsi="Times New Roman" w:eastAsia="华文仿宋" w:cs="Times New Roman"/>
          <w:b w:val="0"/>
          <w:bCs w:val="0"/>
          <w:kern w:val="2"/>
          <w:sz w:val="28"/>
          <w:szCs w:val="24"/>
          <w:lang w:val="en-US" w:eastAsia="zh-CN" w:bidi="ar-SA"/>
        </w:rPr>
        <w:t>模块化架构</w:t>
      </w:r>
      <w:bookmarkEnd w:id="129"/>
    </w:p>
    <w:p>
      <w:pPr>
        <w:rPr>
          <w:rFonts w:hint="default" w:ascii="Times New Roman" w:hAnsi="Times New Roman" w:eastAsia="华文仿宋" w:cs="Times New Roman"/>
          <w:b w:val="0"/>
          <w:bCs w:val="0"/>
          <w:kern w:val="2"/>
          <w:sz w:val="28"/>
          <w:szCs w:val="24"/>
          <w:lang w:val="en-US" w:eastAsia="zh-CN" w:bidi="ar-SA"/>
        </w:rPr>
      </w:pPr>
      <w:r>
        <w:rPr>
          <w:rFonts w:hint="eastAsia" w:ascii="Times New Roman" w:hAnsi="Times New Roman" w:eastAsia="华文仿宋" w:cs="Times New Roman"/>
          <w:b w:val="0"/>
          <w:bCs w:val="0"/>
          <w:kern w:val="2"/>
          <w:sz w:val="28"/>
          <w:szCs w:val="24"/>
          <w:lang w:val="en-US" w:eastAsia="zh-CN" w:bidi="ar-SA"/>
        </w:rPr>
        <w:t>强弱电模块独立分区，预留20%扩展空间，支持后期新增回路与通信协议扩展</w:t>
      </w:r>
      <w:r>
        <w:rPr>
          <w:rFonts w:hint="eastAsia" w:cs="Times New Roman"/>
          <w:b w:val="0"/>
          <w:bCs w:val="0"/>
          <w:kern w:val="2"/>
          <w:sz w:val="28"/>
          <w:szCs w:val="24"/>
          <w:lang w:val="en-US" w:eastAsia="zh-CN" w:bidi="ar-SA"/>
        </w:rPr>
        <w:t>。</w:t>
      </w:r>
      <w:r>
        <w:rPr>
          <w:rFonts w:hint="eastAsia" w:ascii="Times New Roman" w:hAnsi="Times New Roman" w:eastAsia="华文仿宋" w:cs="Times New Roman"/>
          <w:b w:val="0"/>
          <w:bCs w:val="0"/>
          <w:kern w:val="2"/>
          <w:sz w:val="28"/>
          <w:szCs w:val="24"/>
          <w:lang w:val="en-US" w:eastAsia="zh-CN" w:bidi="ar-SA"/>
        </w:rPr>
        <w:t>箱体采用镀锌钢板材质，防护等级≥IP54</w:t>
      </w:r>
      <w:r>
        <w:rPr>
          <w:rFonts w:hint="eastAsia" w:cs="Times New Roman"/>
          <w:b w:val="0"/>
          <w:bCs w:val="0"/>
          <w:kern w:val="2"/>
          <w:sz w:val="28"/>
          <w:szCs w:val="24"/>
          <w:lang w:val="en-US" w:eastAsia="zh-CN" w:bidi="ar-SA"/>
        </w:rPr>
        <w:t>。</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165" w:beforeAutospacing="0" w:after="90" w:afterAutospacing="0" w:line="450" w:lineRule="atLeast"/>
        <w:ind w:left="0" w:right="0" w:firstLine="0"/>
        <w:jc w:val="left"/>
        <w:rPr>
          <w:rFonts w:ascii="Times New Roman" w:hAnsi="Times New Roman" w:eastAsia="华文仿宋" w:cs="Times New Roman"/>
          <w:b w:val="0"/>
          <w:bCs w:val="0"/>
          <w:kern w:val="2"/>
          <w:sz w:val="28"/>
          <w:szCs w:val="24"/>
          <w:lang w:val="en-US" w:eastAsia="zh-CN" w:bidi="ar-SA"/>
        </w:rPr>
      </w:pPr>
      <w:bookmarkStart w:id="130" w:name="_Toc10411"/>
      <w:r>
        <w:rPr>
          <w:rFonts w:hint="eastAsia" w:ascii="Times New Roman" w:hAnsi="Times New Roman" w:eastAsia="华文仿宋" w:cs="Times New Roman"/>
          <w:b w:val="0"/>
          <w:bCs w:val="0"/>
          <w:kern w:val="2"/>
          <w:sz w:val="28"/>
          <w:szCs w:val="24"/>
          <w:lang w:val="en-US" w:eastAsia="zh-CN" w:bidi="ar-SA"/>
        </w:rPr>
        <w:t>2.</w:t>
      </w:r>
      <w:r>
        <w:rPr>
          <w:rFonts w:hint="eastAsia" w:cs="Times New Roman"/>
          <w:b w:val="0"/>
          <w:bCs w:val="0"/>
          <w:kern w:val="2"/>
          <w:sz w:val="28"/>
          <w:szCs w:val="24"/>
          <w:lang w:val="en-US" w:eastAsia="zh-CN" w:bidi="ar-SA"/>
        </w:rPr>
        <w:t>2</w:t>
      </w:r>
      <w:r>
        <w:rPr>
          <w:rFonts w:hint="eastAsia" w:ascii="Times New Roman" w:hAnsi="Times New Roman" w:eastAsia="华文仿宋" w:cs="Times New Roman"/>
          <w:b w:val="0"/>
          <w:bCs w:val="0"/>
          <w:kern w:val="2"/>
          <w:sz w:val="28"/>
          <w:szCs w:val="24"/>
          <w:lang w:val="en-US" w:eastAsia="zh-CN" w:bidi="ar-SA"/>
        </w:rPr>
        <w:t xml:space="preserve"> </w:t>
      </w:r>
      <w:r>
        <w:rPr>
          <w:rFonts w:hint="default" w:ascii="Times New Roman" w:hAnsi="Times New Roman" w:eastAsia="华文仿宋" w:cs="Times New Roman"/>
          <w:b w:val="0"/>
          <w:bCs w:val="0"/>
          <w:kern w:val="2"/>
          <w:sz w:val="28"/>
          <w:szCs w:val="24"/>
          <w:lang w:val="en-US" w:eastAsia="zh-CN" w:bidi="ar-SA"/>
        </w:rPr>
        <w:t>智能配电系统</w:t>
      </w:r>
      <w:bookmarkEnd w:id="130"/>
    </w:p>
    <w:p>
      <w:pPr>
        <w:ind w:firstLine="560"/>
        <w:rPr>
          <w:rFonts w:hint="eastAsia"/>
          <w:lang w:eastAsia="zh-CN"/>
        </w:rPr>
      </w:pPr>
      <w:r>
        <w:rPr>
          <w:rFonts w:hint="eastAsia"/>
          <w:lang w:val="en-US" w:eastAsia="zh-CN"/>
        </w:rPr>
        <w:t>配电系统：</w:t>
      </w:r>
      <w:r>
        <w:rPr>
          <w:rFonts w:hint="eastAsia"/>
        </w:rPr>
        <w:t>支持实时能耗监测与分项计量</w:t>
      </w:r>
      <w:r>
        <w:rPr>
          <w:rFonts w:hint="eastAsia"/>
          <w:lang w:eastAsia="zh-CN"/>
        </w:rPr>
        <w:t>。</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90" w:beforeAutospacing="0" w:after="90" w:afterAutospacing="0" w:line="420" w:lineRule="atLeast"/>
        <w:ind w:right="0" w:rightChars="0" w:firstLine="560" w:firstLineChars="200"/>
        <w:jc w:val="left"/>
        <w:rPr>
          <w:rFonts w:hint="eastAsia"/>
          <w:lang w:val="en-US" w:eastAsia="zh-CN"/>
        </w:rPr>
      </w:pPr>
      <w:r>
        <w:rPr>
          <w:rFonts w:hint="eastAsia"/>
          <w:lang w:val="en-US" w:eastAsia="zh-CN"/>
        </w:rPr>
        <w:t>回路控制：照明回路额定电流≤16A，支持调光（0-10V/PWM）及场景模式切换；插座回路配置AFCI（电弧故障保护）功能，负载电流≤20A。具有远程断开断路器功能。</w:t>
      </w:r>
    </w:p>
    <w:p>
      <w:pPr>
        <w:pStyle w:val="4"/>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165" w:beforeAutospacing="0" w:after="90" w:afterAutospacing="0" w:line="450" w:lineRule="atLeast"/>
        <w:ind w:left="0" w:right="0" w:firstLine="0"/>
        <w:jc w:val="left"/>
        <w:rPr>
          <w:rFonts w:hint="default" w:ascii="Times New Roman" w:hAnsi="Times New Roman" w:eastAsia="华文仿宋" w:cs="Times New Roman"/>
          <w:b w:val="0"/>
          <w:bCs w:val="0"/>
          <w:kern w:val="2"/>
          <w:sz w:val="28"/>
          <w:szCs w:val="24"/>
          <w:lang w:val="en-US" w:eastAsia="zh-CN" w:bidi="ar-SA"/>
        </w:rPr>
      </w:pPr>
      <w:bookmarkStart w:id="131" w:name="_Toc17076"/>
      <w:r>
        <w:rPr>
          <w:rFonts w:hint="eastAsia" w:ascii="Times New Roman" w:hAnsi="Times New Roman" w:eastAsia="华文仿宋" w:cs="Times New Roman"/>
          <w:b w:val="0"/>
          <w:bCs w:val="0"/>
          <w:kern w:val="2"/>
          <w:sz w:val="28"/>
          <w:szCs w:val="24"/>
          <w:lang w:val="en-US" w:eastAsia="zh-CN" w:bidi="ar-SA"/>
        </w:rPr>
        <w:t>2.</w:t>
      </w:r>
      <w:r>
        <w:rPr>
          <w:rFonts w:hint="eastAsia" w:cs="Times New Roman"/>
          <w:b w:val="0"/>
          <w:bCs w:val="0"/>
          <w:kern w:val="2"/>
          <w:sz w:val="28"/>
          <w:szCs w:val="24"/>
          <w:lang w:val="en-US" w:eastAsia="zh-CN" w:bidi="ar-SA"/>
        </w:rPr>
        <w:t>3</w:t>
      </w:r>
      <w:r>
        <w:rPr>
          <w:rFonts w:hint="eastAsia" w:ascii="Times New Roman" w:hAnsi="Times New Roman" w:eastAsia="华文仿宋" w:cs="Times New Roman"/>
          <w:b w:val="0"/>
          <w:bCs w:val="0"/>
          <w:kern w:val="2"/>
          <w:sz w:val="28"/>
          <w:szCs w:val="24"/>
          <w:lang w:val="en-US" w:eastAsia="zh-CN" w:bidi="ar-SA"/>
        </w:rPr>
        <w:t xml:space="preserve"> </w:t>
      </w:r>
      <w:r>
        <w:rPr>
          <w:rFonts w:hint="default" w:ascii="Times New Roman" w:hAnsi="Times New Roman" w:eastAsia="华文仿宋" w:cs="Times New Roman"/>
          <w:b w:val="0"/>
          <w:bCs w:val="0"/>
          <w:kern w:val="2"/>
          <w:sz w:val="28"/>
          <w:szCs w:val="24"/>
          <w:lang w:val="en-US" w:eastAsia="zh-CN" w:bidi="ar-SA"/>
        </w:rPr>
        <w:t>智能照明控制</w:t>
      </w:r>
      <w:bookmarkEnd w:id="131"/>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90" w:beforeAutospacing="0" w:after="90" w:afterAutospacing="0" w:line="420" w:lineRule="atLeast"/>
        <w:ind w:right="0" w:rightChars="0" w:firstLine="560" w:firstLineChars="200"/>
        <w:jc w:val="left"/>
        <w:rPr>
          <w:rFonts w:hint="eastAsia"/>
          <w:lang w:val="en-US" w:eastAsia="zh-CN"/>
        </w:rPr>
      </w:pPr>
      <w:r>
        <w:rPr>
          <w:rFonts w:hint="eastAsia"/>
          <w:lang w:val="en-US" w:eastAsia="zh-CN"/>
        </w:rPr>
        <w:t>照明灯具要求：LED灯具色温可调（2700K-6500K），显色指数Ra≥90，调光范围1%-100%，调光精度±2%。</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90" w:beforeAutospacing="0" w:after="90" w:afterAutospacing="0" w:line="420" w:lineRule="atLeast"/>
        <w:ind w:right="0" w:rightChars="0" w:firstLine="560" w:firstLineChars="200"/>
        <w:jc w:val="left"/>
        <w:rPr>
          <w:rFonts w:hint="default"/>
          <w:lang w:val="en-US" w:eastAsia="zh-CN"/>
        </w:rPr>
      </w:pPr>
      <w:r>
        <w:rPr>
          <w:rFonts w:hint="eastAsia"/>
          <w:lang w:val="en-US" w:eastAsia="zh-CN"/>
        </w:rPr>
        <w:t>2.4 智能网关：四核CPU，内存≥2GB，支持边缘计算与本地策略执行。</w:t>
      </w:r>
    </w:p>
    <w:p>
      <w:pPr>
        <w:keepNext w:val="0"/>
        <w:keepLines w:val="0"/>
        <w:widowControl/>
        <w:numPr>
          <w:ilvl w:val="0"/>
          <w:numId w:val="0"/>
        </w:numPr>
        <w:suppressLineNumbers w:val="0"/>
        <w:pBdr>
          <w:top w:val="none" w:color="auto" w:sz="0" w:space="0"/>
          <w:left w:val="none" w:color="auto" w:sz="0" w:space="0"/>
          <w:bottom w:val="none" w:color="auto" w:sz="0" w:space="0"/>
          <w:right w:val="none" w:color="auto" w:sz="0" w:space="0"/>
        </w:pBdr>
        <w:spacing w:before="90" w:beforeAutospacing="0" w:after="90" w:afterAutospacing="0" w:line="420" w:lineRule="atLeast"/>
        <w:ind w:right="0" w:rightChars="0" w:firstLine="560" w:firstLineChars="200"/>
        <w:jc w:val="left"/>
        <w:rPr>
          <w:rFonts w:hint="eastAsia"/>
          <w:lang w:val="en-US" w:eastAsia="zh-CN"/>
        </w:rPr>
      </w:pPr>
      <w:r>
        <w:rPr>
          <w:rFonts w:hint="eastAsia"/>
          <w:lang w:val="en-US" w:eastAsia="zh-CN"/>
        </w:rPr>
        <w:t>2.5 具有接入智慧城市（城区、社区）的功能。</w:t>
      </w:r>
      <w:r>
        <w:rPr>
          <w:rFonts w:hint="default"/>
          <w:lang w:val="en-US" w:eastAsia="zh-CN"/>
        </w:rPr>
        <w:t>‌</w:t>
      </w:r>
    </w:p>
    <w:p>
      <w:pPr>
        <w:ind w:firstLine="560"/>
        <w:jc w:val="center"/>
      </w:pPr>
    </w:p>
    <w:sectPr>
      <w:headerReference r:id="rId11" w:type="default"/>
      <w:footerReference r:id="rId12" w:type="default"/>
      <w:pgSz w:w="11907" w:h="16840"/>
      <w:pgMar w:top="1460" w:right="1560" w:bottom="1180" w:left="1680" w:header="737" w:footer="962" w:gutter="0"/>
      <w:pgNumType w:fmt="decimal" w:start="1"/>
      <w:cols w:space="720" w:num="1"/>
      <w:docGrid w:linePitch="381"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560"/>
      </w:pPr>
      <w:r>
        <w:separator/>
      </w:r>
    </w:p>
  </w:endnote>
  <w:endnote w:type="continuationSeparator" w:id="1">
    <w:p>
      <w:pPr>
        <w:spacing w:line="240" w:lineRule="auto"/>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华文仿宋">
    <w:panose1 w:val="02010600040101010101"/>
    <w:charset w:val="86"/>
    <w:family w:val="auto"/>
    <w:pitch w:val="default"/>
    <w:sig w:usb0="00000287" w:usb1="080F0000" w:usb2="00000000" w:usb3="00000000" w:csb0="0004009F" w:csb1="DFD70000"/>
  </w:font>
  <w:font w:name="等线">
    <w:panose1 w:val="02010600030101010101"/>
    <w:charset w:val="86"/>
    <w:family w:val="auto"/>
    <w:pitch w:val="default"/>
    <w:sig w:usb0="A00002BF" w:usb1="38CF7CFA" w:usb2="00000016" w:usb3="00000000" w:csb0="0004000F" w:csb1="00000000"/>
  </w:font>
  <w:font w:name="仿宋_GB2312">
    <w:panose1 w:val="02010609030101010101"/>
    <w:charset w:val="86"/>
    <w:family w:val="modern"/>
    <w:pitch w:val="default"/>
    <w:sig w:usb0="00000001" w:usb1="080E0000" w:usb2="00000000" w:usb3="00000000" w:csb0="00040000" w:csb1="00000000"/>
  </w:font>
  <w:font w:name="MingLiU">
    <w:panose1 w:val="02010609000101010101"/>
    <w:charset w:val="88"/>
    <w:family w:val="modern"/>
    <w:pitch w:val="default"/>
    <w:sig w:usb0="80000001" w:usb1="28091800" w:usb2="00000016" w:usb3="00000000" w:csb0="00100001" w:csb1="00000000"/>
  </w:font>
  <w:font w:name="Cambria">
    <w:panose1 w:val="02040503050406030204"/>
    <w:charset w:val="00"/>
    <w:family w:val="roman"/>
    <w:pitch w:val="default"/>
    <w:sig w:usb0="E00006FF" w:usb1="420024FF" w:usb2="02000000" w:usb3="00000000" w:csb0="2000019F" w:csb1="00000000"/>
  </w:font>
  <w:font w:name="Tahoma">
    <w:panose1 w:val="020B0604030504040204"/>
    <w:charset w:val="00"/>
    <w:family w:val="swiss"/>
    <w:pitch w:val="default"/>
    <w:sig w:usb0="E1002EFF" w:usb1="C000605B" w:usb2="00000029" w:usb3="00000000" w:csb0="200101FF" w:csb1="20280000"/>
  </w:font>
  <w:font w:name="PMingLiU">
    <w:altName w:val="MingLiU"/>
    <w:panose1 w:val="02010601000101010101"/>
    <w:charset w:val="88"/>
    <w:family w:val="roman"/>
    <w:pitch w:val="default"/>
    <w:sig w:usb0="00000000" w:usb1="00000000" w:usb2="00000016" w:usb3="00000000" w:csb0="00100001" w:csb1="00000000"/>
  </w:font>
  <w:font w:name="等线 Light">
    <w:panose1 w:val="02010600030101010101"/>
    <w:charset w:val="86"/>
    <w:family w:val="auto"/>
    <w:pitch w:val="default"/>
    <w:sig w:usb0="A00002BF" w:usb1="38CF7CFA" w:usb2="00000016" w:usb3="00000000" w:csb0="0004000F" w:csb1="00000000"/>
  </w:font>
  <w:font w:name="汉仪大宋简">
    <w:altName w:val="宋体"/>
    <w:panose1 w:val="00000000000000000000"/>
    <w:charset w:val="86"/>
    <w:family w:val="modern"/>
    <w:pitch w:val="default"/>
    <w:sig w:usb0="00000000" w:usb1="00000000" w:usb2="00000012" w:usb3="00000000" w:csb0="00040000" w:csb1="00000000"/>
  </w:font>
  <w:font w:name="方正书宋简体">
    <w:altName w:val="宋体"/>
    <w:panose1 w:val="00000000000000000000"/>
    <w:charset w:val="86"/>
    <w:family w:val="auto"/>
    <w:pitch w:val="default"/>
    <w:sig w:usb0="00000000" w:usb1="00000000" w:usb2="00000010" w:usb3="00000000" w:csb0="00040000" w:csb1="00000000"/>
  </w:font>
  <w:font w:name="楷体">
    <w:panose1 w:val="02010609060101010101"/>
    <w:charset w:val="86"/>
    <w:family w:val="modern"/>
    <w:pitch w:val="default"/>
    <w:sig w:usb0="800002BF" w:usb1="38CF7CFA" w:usb2="00000016" w:usb3="00000000" w:csb0="00040001" w:csb1="00000000"/>
  </w:font>
  <w:font w:name="Plotter">
    <w:altName w:val="Times New Roman"/>
    <w:panose1 w:val="00000000000000000000"/>
    <w:charset w:val="00"/>
    <w:family w:val="roman"/>
    <w:pitch w:val="default"/>
    <w:sig w:usb0="00000000" w:usb1="00000000" w:usb2="00000000" w:usb3="00000000" w:csb0="00000001" w:csb1="00000000"/>
  </w:font>
  <w:font w:name="楷体_GB2312">
    <w:panose1 w:val="02010609030101010101"/>
    <w:charset w:val="86"/>
    <w:family w:val="modern"/>
    <w:pitch w:val="default"/>
    <w:sig w:usb0="00000001" w:usb1="080E0000" w:usb2="00000000" w:usb3="00000000" w:csb0="00040000" w:csb1="00000000"/>
  </w:font>
  <w:font w:name="华文新魏">
    <w:panose1 w:val="02010800040101010101"/>
    <w:charset w:val="86"/>
    <w:family w:val="auto"/>
    <w:pitch w:val="default"/>
    <w:sig w:usb0="00000001" w:usb1="080F0000" w:usb2="00000000" w:usb3="00000000" w:csb0="00040000" w:csb1="00000000"/>
  </w:font>
  <w:font w:name="Univers">
    <w:altName w:val="AMGDT"/>
    <w:panose1 w:val="00000000000000000000"/>
    <w:charset w:val="00"/>
    <w:family w:val="swiss"/>
    <w:pitch w:val="default"/>
    <w:sig w:usb0="00000000" w:usb1="00000000" w:usb2="00000000" w:usb3="00000000" w:csb0="0000000F" w:csb1="00000000"/>
  </w:font>
  <w:font w:name="Arial Unicode MS">
    <w:panose1 w:val="020B0604020202020204"/>
    <w:charset w:val="86"/>
    <w:family w:val="swiss"/>
    <w:pitch w:val="default"/>
    <w:sig w:usb0="FFFFFFFF" w:usb1="E9FFFFFF" w:usb2="0000003F" w:usb3="00000000" w:csb0="603F01FF" w:csb1="FFFF0000"/>
  </w:font>
  <w:font w:name="ˎ̥">
    <w:altName w:val="Times New Roman"/>
    <w:panose1 w:val="00000000000000000000"/>
    <w:charset w:val="00"/>
    <w:family w:val="roman"/>
    <w:pitch w:val="default"/>
    <w:sig w:usb0="00000000" w:usb1="00000000" w:usb2="00000000" w:usb3="00000000" w:csb0="00000000" w:csb1="00000000"/>
  </w:font>
  <w:font w:name="全真中明體">
    <w:altName w:val="MingLiU"/>
    <w:panose1 w:val="00000000000000000000"/>
    <w:charset w:val="88"/>
    <w:family w:val="modern"/>
    <w:pitch w:val="default"/>
    <w:sig w:usb0="00000000" w:usb1="00000000" w:usb2="00000010" w:usb3="00000000" w:csb0="00100000" w:csb1="00000000"/>
  </w:font>
  <w:font w:name="微软雅黑">
    <w:panose1 w:val="020B0503020204020204"/>
    <w:charset w:val="86"/>
    <w:family w:val="swiss"/>
    <w:pitch w:val="default"/>
    <w:sig w:usb0="80000287" w:usb1="2ACF3C50" w:usb2="00000016" w:usb3="00000000" w:csb0="0004001F" w:csb1="00000000"/>
  </w:font>
  <w:font w:name="华文中宋">
    <w:panose1 w:val="02010600040101010101"/>
    <w:charset w:val="86"/>
    <w:family w:val="auto"/>
    <w:pitch w:val="default"/>
    <w:sig w:usb0="00000287" w:usb1="080F0000" w:usb2="00000000" w:usb3="00000000" w:csb0="0004009F" w:csb1="DFD70000"/>
  </w:font>
  <w:font w:name="AMGDT">
    <w:panose1 w:val="02000400000000000000"/>
    <w:charset w:val="00"/>
    <w:family w:val="auto"/>
    <w:pitch w:val="default"/>
    <w:sig w:usb0="80000003" w:usb1="1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1"/>
      <w:tabs>
        <w:tab w:val="center" w:pos="4333"/>
        <w:tab w:val="right" w:pos="8222"/>
        <w:tab w:val="clear" w:pos="4153"/>
        <w:tab w:val="clear" w:pos="8306"/>
      </w:tabs>
      <w:ind w:firstLine="360"/>
      <w:jc w:val="right"/>
      <w:rPr>
        <w:b/>
        <w:bCs/>
        <w:szCs w:val="24"/>
      </w:rPr>
    </w:pPr>
    <w:r>
      <w:rPr>
        <w:b/>
        <w:bCs/>
        <w:szCs w:val="24"/>
      </w:rPr>
      <mc:AlternateContent>
        <mc:Choice Requires="wps">
          <w:drawing>
            <wp:anchor distT="0" distB="0" distL="114300" distR="114300" simplePos="0" relativeHeight="251660288" behindDoc="0" locked="0" layoutInCell="1" allowOverlap="1">
              <wp:simplePos x="0" y="0"/>
              <wp:positionH relativeFrom="column">
                <wp:posOffset>44450</wp:posOffset>
              </wp:positionH>
              <wp:positionV relativeFrom="paragraph">
                <wp:posOffset>-66040</wp:posOffset>
              </wp:positionV>
              <wp:extent cx="5260975" cy="0"/>
              <wp:effectExtent l="0" t="0" r="15875" b="0"/>
              <wp:wrapNone/>
              <wp:docPr id="2" name="AutoShape 11"/>
              <wp:cNvGraphicFramePr/>
              <a:graphic xmlns:a="http://schemas.openxmlformats.org/drawingml/2006/main">
                <a:graphicData uri="http://schemas.microsoft.com/office/word/2010/wordprocessingShape">
                  <wps:wsp>
                    <wps:cNvCnPr>
                      <a:cxnSpLocks noChangeShapeType="1"/>
                    </wps:cNvCnPr>
                    <wps:spPr bwMode="auto">
                      <a:xfrm>
                        <a:off x="0" y="0"/>
                        <a:ext cx="5260975" cy="0"/>
                      </a:xfrm>
                      <a:prstGeom prst="straightConnector1">
                        <a:avLst/>
                      </a:prstGeom>
                      <a:noFill/>
                      <a:ln w="9525">
                        <a:solidFill>
                          <a:srgbClr val="000000"/>
                        </a:solidFill>
                        <a:round/>
                      </a:ln>
                    </wps:spPr>
                    <wps:bodyPr/>
                  </wps:wsp>
                </a:graphicData>
              </a:graphic>
            </wp:anchor>
          </w:drawing>
        </mc:Choice>
        <mc:Fallback>
          <w:pict>
            <v:shape id="AutoShape 11" o:spid="_x0000_s1026" o:spt="32" type="#_x0000_t32" style="position:absolute;left:0pt;margin-left:3.5pt;margin-top:-5.2pt;height:0pt;width:414.25pt;z-index:251660288;mso-width-relative:page;mso-height-relative:page;" filled="f" stroked="t" coordsize="21600,21600" o:gfxdata="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vDwQi9cAAAAJAQAADwAAAAAAAAABACAA&#10;AAAiAAAAZHJzL2Rvd25yZXYueG1sUEsBAhQAFAAAAAgAh07iQJQbydDVAQAAswMAAA4AAAAAAAAA&#10;AQAgAAAAJgEAAGRycy9lMm9Eb2MueG1sUEsFBgAAAAAGAAYAWQEAAG0FAAAAAA==&#10;">
              <v:fill on="f" focussize="0,0"/>
              <v:stroke color="#000000" joinstyle="round"/>
              <v:imagedata o:title=""/>
              <o:lock v:ext="edit" aspectratio="f"/>
            </v:shape>
          </w:pict>
        </mc:Fallback>
      </mc:AlternateContent>
    </w:r>
    <w:r>
      <w:rPr>
        <w:b/>
        <w:bCs/>
        <w:szCs w:val="24"/>
      </w:rPr>
      <w:tab/>
    </w:r>
    <w:r>
      <w:rPr>
        <w:b/>
        <w:bCs/>
        <w:szCs w:val="24"/>
      </w:rPr>
      <w:tab/>
    </w:r>
    <w:r>
      <w:rPr>
        <w:rFonts w:hint="eastAsia"/>
        <w:bCs/>
        <w:szCs w:val="24"/>
      </w:rPr>
      <w:t>202</w:t>
    </w:r>
    <w:r>
      <w:rPr>
        <w:rFonts w:hint="eastAsia"/>
        <w:bCs/>
        <w:szCs w:val="24"/>
        <w:lang w:val="en-US" w:eastAsia="zh-CN"/>
      </w:rPr>
      <w:t>5</w:t>
    </w:r>
    <w:r>
      <w:rPr>
        <w:rFonts w:hint="eastAsia"/>
        <w:bCs/>
        <w:szCs w:val="24"/>
      </w:rPr>
      <w:t>年</w:t>
    </w:r>
    <w:r>
      <w:rPr>
        <w:rFonts w:hint="eastAsia"/>
        <w:bCs/>
        <w:szCs w:val="24"/>
        <w:lang w:val="en-US" w:eastAsia="zh-CN"/>
      </w:rPr>
      <w:t>04</w:t>
    </w:r>
    <w:r>
      <w:rPr>
        <w:rFonts w:hint="eastAsia"/>
        <w:bCs/>
        <w:szCs w:val="24"/>
      </w:rPr>
      <w:t>月</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1"/>
      <w:framePr w:wrap="around" w:vAnchor="text" w:hAnchor="margin" w:xAlign="center" w:y="1"/>
      <w:ind w:firstLine="360"/>
      <w:rPr>
        <w:rStyle w:val="130"/>
      </w:rPr>
    </w:pPr>
    <w:r>
      <w:rPr>
        <w:rStyle w:val="130"/>
      </w:rPr>
      <w:fldChar w:fldCharType="begin"/>
    </w:r>
    <w:r>
      <w:rPr>
        <w:rStyle w:val="130"/>
      </w:rPr>
      <w:instrText xml:space="preserve">PAGE  </w:instrText>
    </w:r>
    <w:r>
      <w:rPr>
        <w:rStyle w:val="130"/>
      </w:rPr>
      <w:fldChar w:fldCharType="end"/>
    </w:r>
  </w:p>
  <w:p>
    <w:pPr>
      <w:pStyle w:val="51"/>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1"/>
      <w:ind w:firstLine="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1"/>
      <w:tabs>
        <w:tab w:val="center" w:pos="4333"/>
        <w:tab w:val="right" w:pos="8667"/>
        <w:tab w:val="clear" w:pos="4153"/>
        <w:tab w:val="clear" w:pos="8306"/>
      </w:tabs>
      <w:ind w:firstLine="360"/>
      <w:jc w:val="right"/>
      <w:rPr>
        <w:b/>
        <w:bCs/>
        <w:szCs w:val="24"/>
      </w:rPr>
    </w:pPr>
    <w:r>
      <w:rPr>
        <w:sz w:val="18"/>
      </w:rPr>
      <mc:AlternateContent>
        <mc:Choice Requires="wps">
          <w:drawing>
            <wp:anchor distT="0" distB="0" distL="114300" distR="114300" simplePos="0" relativeHeight="251661312" behindDoc="0" locked="0" layoutInCell="1" allowOverlap="1">
              <wp:simplePos x="0" y="0"/>
              <wp:positionH relativeFrom="margin">
                <wp:align>right</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xtLst>
                        <a:ext uri="{909E8E84-426E-40DD-AFC4-6F175D3DCCD1}">
                          <a14:hiddenFill xmlns:a14="http://schemas.microsoft.com/office/drawing/2010/main">
                            <a:solidFill>
                              <a:schemeClr val="lt1"/>
                            </a:solidFill>
                          </a14:hiddenFill>
                        </a:ext>
                        <a:ext uri="{91240B29-F687-4F45-9708-019B960494DF}">
                          <a14:hiddenLine xmlns:a14="http://schemas.microsoft.com/office/drawing/2010/main" w="6350">
                            <a:solidFill>
                              <a:prstClr val="black"/>
                            </a:solidFill>
                          </a14:hiddenLine>
                        </a:ext>
                      </a:extLst>
                    </wps:spPr>
                    <wps:style>
                      <a:lnRef idx="0">
                        <a:schemeClr val="accent1"/>
                      </a:lnRef>
                      <a:fillRef idx="0">
                        <a:schemeClr val="accent1"/>
                      </a:fillRef>
                      <a:effectRef idx="0">
                        <a:schemeClr val="accent1"/>
                      </a:effectRef>
                      <a:fontRef idx="minor">
                        <a:schemeClr val="dk1"/>
                      </a:fontRef>
                    </wps:style>
                    <wps:txbx>
                      <w:txbxContent>
                        <w:p>
                          <w:pPr>
                            <w:pStyle w:val="51"/>
                            <w:tabs>
                              <w:tab w:val="center" w:pos="4333"/>
                              <w:tab w:val="right" w:pos="8667"/>
                              <w:tab w:val="clear" w:pos="4153"/>
                              <w:tab w:val="clear" w:pos="8306"/>
                            </w:tabs>
                            <w:ind w:firstLine="360"/>
                            <w:jc w:val="right"/>
                          </w:pPr>
                          <w:r>
                            <w:rPr>
                              <w:b/>
                              <w:bCs/>
                              <w:szCs w:val="24"/>
                            </w:rPr>
                            <w:tab/>
                          </w:r>
                          <w:r>
                            <w:rPr>
                              <w:b/>
                              <w:bCs/>
                              <w:szCs w:val="24"/>
                              <w:lang w:val="zh-CN"/>
                            </w:rPr>
                            <w:t xml:space="preserve"> </w:t>
                          </w:r>
                          <w:r>
                            <w:rPr>
                              <w:b/>
                              <w:bCs/>
                              <w:szCs w:val="24"/>
                            </w:rPr>
                            <w:fldChar w:fldCharType="begin"/>
                          </w:r>
                          <w:r>
                            <w:rPr>
                              <w:b/>
                              <w:bCs/>
                              <w:szCs w:val="24"/>
                            </w:rPr>
                            <w:instrText xml:space="preserve">PAGE  \* Arabic  \* MERGEFORMAT</w:instrText>
                          </w:r>
                          <w:r>
                            <w:rPr>
                              <w:b/>
                              <w:bCs/>
                              <w:szCs w:val="24"/>
                            </w:rPr>
                            <w:fldChar w:fldCharType="separate"/>
                          </w:r>
                          <w:r>
                            <w:rPr>
                              <w:b/>
                              <w:bCs/>
                              <w:szCs w:val="24"/>
                              <w:lang w:val="zh-CN"/>
                            </w:rPr>
                            <w:t>144</w:t>
                          </w:r>
                          <w:r>
                            <w:rPr>
                              <w:b/>
                              <w:bCs/>
                              <w:szCs w:val="24"/>
                            </w:rPr>
                            <w:fldChar w:fldCharType="end"/>
                          </w:r>
                          <w:r>
                            <w:rPr>
                              <w:b/>
                              <w:bCs/>
                              <w:szCs w:val="24"/>
                              <w:lang w:val="zh-CN"/>
                            </w:rPr>
                            <w:t xml:space="preserve"> / </w:t>
                          </w:r>
                          <w:r>
                            <w:rPr>
                              <w:rFonts w:hint="eastAsia"/>
                              <w:b/>
                              <w:bCs/>
                              <w:szCs w:val="24"/>
                              <w:lang w:val="en-US" w:eastAsia="zh-CN"/>
                            </w:rPr>
                            <w:t>47</w:t>
                          </w:r>
                          <w:r>
                            <w:rPr>
                              <w:b/>
                              <w:bCs/>
                              <w:szCs w:val="24"/>
                            </w:rPr>
                            <w:tab/>
                          </w:r>
                          <w:r>
                            <w:rPr>
                              <w:rFonts w:hint="eastAsia"/>
                              <w:bCs/>
                              <w:szCs w:val="24"/>
                            </w:rPr>
                            <w:t>202</w:t>
                          </w:r>
                          <w:r>
                            <w:rPr>
                              <w:rFonts w:hint="eastAsia"/>
                              <w:bCs/>
                              <w:szCs w:val="24"/>
                              <w:lang w:val="en-US" w:eastAsia="zh-CN"/>
                            </w:rPr>
                            <w:t>5</w:t>
                          </w:r>
                          <w:r>
                            <w:rPr>
                              <w:rFonts w:hint="eastAsia"/>
                              <w:bCs/>
                              <w:szCs w:val="24"/>
                            </w:rPr>
                            <w:t>年</w:t>
                          </w:r>
                          <w:r>
                            <w:rPr>
                              <w:rFonts w:hint="eastAsia"/>
                              <w:bCs/>
                              <w:szCs w:val="24"/>
                              <w:lang w:val="en-US" w:eastAsia="zh-CN"/>
                            </w:rPr>
                            <w:t>04</w:t>
                          </w:r>
                          <w:r>
                            <w:rPr>
                              <w:rFonts w:hint="eastAsia"/>
                              <w:bCs/>
                              <w:szCs w:val="24"/>
                            </w:rPr>
                            <w:t>月</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right;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">
              <v:fill on="f" focussize="0,0"/>
              <v:stroke on="f" weight="0.5pt"/>
              <v:imagedata o:title=""/>
              <o:lock v:ext="edit" aspectratio="f"/>
              <v:textbox inset="0mm,0mm,0mm,0mm" style="mso-fit-shape-to-text:t;">
                <w:txbxContent>
                  <w:p>
                    <w:pPr>
                      <w:pStyle w:val="51"/>
                      <w:tabs>
                        <w:tab w:val="center" w:pos="4333"/>
                        <w:tab w:val="right" w:pos="8667"/>
                        <w:tab w:val="clear" w:pos="4153"/>
                        <w:tab w:val="clear" w:pos="8306"/>
                      </w:tabs>
                      <w:ind w:firstLine="360"/>
                      <w:jc w:val="right"/>
                    </w:pPr>
                    <w:r>
                      <w:rPr>
                        <w:b/>
                        <w:bCs/>
                        <w:szCs w:val="24"/>
                      </w:rPr>
                      <w:tab/>
                    </w:r>
                    <w:r>
                      <w:rPr>
                        <w:b/>
                        <w:bCs/>
                        <w:szCs w:val="24"/>
                        <w:lang w:val="zh-CN"/>
                      </w:rPr>
                      <w:t xml:space="preserve"> </w:t>
                    </w:r>
                    <w:r>
                      <w:rPr>
                        <w:b/>
                        <w:bCs/>
                        <w:szCs w:val="24"/>
                      </w:rPr>
                      <w:fldChar w:fldCharType="begin"/>
                    </w:r>
                    <w:r>
                      <w:rPr>
                        <w:b/>
                        <w:bCs/>
                        <w:szCs w:val="24"/>
                      </w:rPr>
                      <w:instrText xml:space="preserve">PAGE  \* Arabic  \* MERGEFORMAT</w:instrText>
                    </w:r>
                    <w:r>
                      <w:rPr>
                        <w:b/>
                        <w:bCs/>
                        <w:szCs w:val="24"/>
                      </w:rPr>
                      <w:fldChar w:fldCharType="separate"/>
                    </w:r>
                    <w:r>
                      <w:rPr>
                        <w:b/>
                        <w:bCs/>
                        <w:szCs w:val="24"/>
                        <w:lang w:val="zh-CN"/>
                      </w:rPr>
                      <w:t>144</w:t>
                    </w:r>
                    <w:r>
                      <w:rPr>
                        <w:b/>
                        <w:bCs/>
                        <w:szCs w:val="24"/>
                      </w:rPr>
                      <w:fldChar w:fldCharType="end"/>
                    </w:r>
                    <w:r>
                      <w:rPr>
                        <w:b/>
                        <w:bCs/>
                        <w:szCs w:val="24"/>
                        <w:lang w:val="zh-CN"/>
                      </w:rPr>
                      <w:t xml:space="preserve"> / </w:t>
                    </w:r>
                    <w:r>
                      <w:rPr>
                        <w:rFonts w:hint="eastAsia"/>
                        <w:b/>
                        <w:bCs/>
                        <w:szCs w:val="24"/>
                        <w:lang w:val="en-US" w:eastAsia="zh-CN"/>
                      </w:rPr>
                      <w:t>47</w:t>
                    </w:r>
                    <w:r>
                      <w:rPr>
                        <w:b/>
                        <w:bCs/>
                        <w:szCs w:val="24"/>
                      </w:rPr>
                      <w:tab/>
                    </w:r>
                    <w:r>
                      <w:rPr>
                        <w:rFonts w:hint="eastAsia"/>
                        <w:bCs/>
                        <w:szCs w:val="24"/>
                      </w:rPr>
                      <w:t>202</w:t>
                    </w:r>
                    <w:r>
                      <w:rPr>
                        <w:rFonts w:hint="eastAsia"/>
                        <w:bCs/>
                        <w:szCs w:val="24"/>
                        <w:lang w:val="en-US" w:eastAsia="zh-CN"/>
                      </w:rPr>
                      <w:t>5</w:t>
                    </w:r>
                    <w:r>
                      <w:rPr>
                        <w:rFonts w:hint="eastAsia"/>
                        <w:bCs/>
                        <w:szCs w:val="24"/>
                      </w:rPr>
                      <w:t>年</w:t>
                    </w:r>
                    <w:r>
                      <w:rPr>
                        <w:rFonts w:hint="eastAsia"/>
                        <w:bCs/>
                        <w:szCs w:val="24"/>
                        <w:lang w:val="en-US" w:eastAsia="zh-CN"/>
                      </w:rPr>
                      <w:t>04</w:t>
                    </w:r>
                    <w:r>
                      <w:rPr>
                        <w:rFonts w:hint="eastAsia"/>
                        <w:bCs/>
                        <w:szCs w:val="24"/>
                      </w:rPr>
                      <w:t>月</w:t>
                    </w:r>
                  </w:p>
                </w:txbxContent>
              </v:textbox>
            </v:shape>
          </w:pict>
        </mc:Fallback>
      </mc:AlternateContent>
    </w:r>
    <w:r>
      <w:rPr>
        <w:b/>
        <w:bCs/>
        <w:szCs w:val="24"/>
      </w:rPr>
      <mc:AlternateContent>
        <mc:Choice Requires="wps">
          <w:drawing>
            <wp:anchor distT="0" distB="0" distL="114300" distR="114300" simplePos="0" relativeHeight="251659264" behindDoc="0" locked="0" layoutInCell="1" allowOverlap="1">
              <wp:simplePos x="0" y="0"/>
              <wp:positionH relativeFrom="column">
                <wp:posOffset>-17145</wp:posOffset>
              </wp:positionH>
              <wp:positionV relativeFrom="paragraph">
                <wp:posOffset>-12065</wp:posOffset>
              </wp:positionV>
              <wp:extent cx="5534025" cy="0"/>
              <wp:effectExtent l="0" t="0" r="9525" b="0"/>
              <wp:wrapNone/>
              <wp:docPr id="1" name="AutoShape 10"/>
              <wp:cNvGraphicFramePr/>
              <a:graphic xmlns:a="http://schemas.openxmlformats.org/drawingml/2006/main">
                <a:graphicData uri="http://schemas.microsoft.com/office/word/2010/wordprocessingShape">
                  <wps:wsp>
                    <wps:cNvCnPr>
                      <a:cxnSpLocks noChangeShapeType="1"/>
                    </wps:cNvCnPr>
                    <wps:spPr bwMode="auto">
                      <a:xfrm>
                        <a:off x="0" y="0"/>
                        <a:ext cx="5534025" cy="0"/>
                      </a:xfrm>
                      <a:prstGeom prst="straightConnector1">
                        <a:avLst/>
                      </a:prstGeom>
                      <a:noFill/>
                      <a:ln w="9525">
                        <a:solidFill>
                          <a:srgbClr val="000000"/>
                        </a:solidFill>
                        <a:round/>
                      </a:ln>
                    </wps:spPr>
                    <wps:bodyPr/>
                  </wps:wsp>
                </a:graphicData>
              </a:graphic>
            </wp:anchor>
          </w:drawing>
        </mc:Choice>
        <mc:Fallback>
          <w:pict>
            <v:shape id="AutoShape 10" o:spid="_x0000_s1026" o:spt="32" type="#_x0000_t32" style="position:absolute;left:0pt;margin-left:-1.35pt;margin-top:-0.95pt;height:0pt;width:435.75pt;z-index:251659264;mso-width-relative:page;mso-height-relative:page;" filled="f" stroked="t" coordsize="21600,21600" o:gfxdata="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ONPXIHXAAAACAEAAA8AAAAAAAAAAQAgAAAA&#10;IgAAAGRycy9kb3ducmV2LnhtbFBLAQIUABQAAAAIAIdO4kAXM4kY0wEAALMDAAAOAAAAAAAAAAEA&#10;IAAAACYBAABkcnMvZTJvRG9jLnhtbFBLBQYAAAAABgAGAFkBAABrBQAAAAA=&#10;">
              <v:fill on="f" focussize="0,0"/>
              <v:stroke color="#000000" joinstyle="round"/>
              <v:imagedata o:title=""/>
              <o:lock v:ext="edit" aspectratio="f"/>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560"/>
      </w:pPr>
      <w:r>
        <w:separator/>
      </w:r>
    </w:p>
  </w:footnote>
  <w:footnote w:type="continuationSeparator" w:id="1">
    <w:p>
      <w:pPr>
        <w:spacing w:line="360" w:lineRule="auto"/>
        <w:ind w:firstLine="56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3"/>
      <w:tabs>
        <w:tab w:val="right" w:pos="8647"/>
        <w:tab w:val="clear" w:pos="8306"/>
      </w:tabs>
      <w:spacing w:line="240" w:lineRule="auto"/>
      <w:ind w:firstLine="0" w:firstLineChars="0"/>
      <w:jc w:val="left"/>
    </w:pPr>
    <w:r>
      <w:rPr>
        <w:rFonts w:ascii="微软雅黑" w:hAnsi="微软雅黑" w:eastAsia="微软雅黑" w:cs="微软雅黑"/>
        <w:color w:val="002060"/>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3"/>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3"/>
      <w:ind w:firstLine="36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3"/>
      <w:tabs>
        <w:tab w:val="right" w:pos="8647"/>
        <w:tab w:val="clear" w:pos="8306"/>
      </w:tabs>
      <w:spacing w:line="240" w:lineRule="auto"/>
      <w:ind w:firstLine="0" w:firstLineChars="0"/>
      <w:jc w:val="left"/>
    </w:pPr>
    <w:r>
      <w:rPr>
        <w:rFonts w:ascii="微软雅黑" w:hAnsi="微软雅黑" w:eastAsia="微软雅黑" w:cs="微软雅黑"/>
        <w:color w:val="002060"/>
      </w:rP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4653A09"/>
    <w:multiLevelType w:val="multilevel"/>
    <w:tmpl w:val="04653A09"/>
    <w:lvl w:ilvl="0" w:tentative="0">
      <w:start w:val="1"/>
      <w:numFmt w:val="decimal"/>
      <w:pStyle w:val="18"/>
      <w:lvlText w:val="（%1）"/>
      <w:lvlJc w:val="left"/>
      <w:pPr>
        <w:tabs>
          <w:tab w:val="left" w:pos="720"/>
        </w:tabs>
        <w:ind w:left="720" w:hanging="720"/>
      </w:pPr>
      <w:rPr>
        <w:rFonts w:hint="eastAsia"/>
        <w:lang w:val="en-US"/>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
    <w:nsid w:val="04D219C7"/>
    <w:multiLevelType w:val="multilevel"/>
    <w:tmpl w:val="04D219C7"/>
    <w:lvl w:ilvl="0" w:tentative="0">
      <w:start w:val="2"/>
      <w:numFmt w:val="decimal"/>
      <w:pStyle w:val="307"/>
      <w:lvlText w:val="%1、"/>
      <w:lvlJc w:val="left"/>
      <w:pPr>
        <w:tabs>
          <w:tab w:val="left" w:pos="360"/>
        </w:tabs>
        <w:ind w:left="360" w:hanging="360"/>
      </w:pPr>
      <w:rPr>
        <w:rFonts w:hint="default" w:ascii="Times New Roman" w:hAnsi="Times New Roman" w:cs="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
    <w:nsid w:val="0A8C4A73"/>
    <w:multiLevelType w:val="multilevel"/>
    <w:tmpl w:val="0A8C4A73"/>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3">
    <w:nsid w:val="0D2C1461"/>
    <w:multiLevelType w:val="multilevel"/>
    <w:tmpl w:val="0D2C1461"/>
    <w:lvl w:ilvl="0" w:tentative="0">
      <w:start w:val="1"/>
      <w:numFmt w:val="decimal"/>
      <w:pStyle w:val="37"/>
      <w:lvlText w:val="%1、"/>
      <w:lvlJc w:val="left"/>
      <w:pPr>
        <w:tabs>
          <w:tab w:val="left" w:pos="360"/>
        </w:tabs>
        <w:ind w:left="360" w:hanging="360"/>
      </w:pPr>
      <w:rPr>
        <w:rFonts w:hint="eastAsia"/>
      </w:rPr>
    </w:lvl>
    <w:lvl w:ilvl="1" w:tentative="0">
      <w:start w:val="1"/>
      <w:numFmt w:val="decimal"/>
      <w:lvlText w:val="%2．"/>
      <w:lvlJc w:val="left"/>
      <w:pPr>
        <w:tabs>
          <w:tab w:val="left" w:pos="780"/>
        </w:tabs>
        <w:ind w:left="780" w:hanging="360"/>
      </w:pPr>
      <w:rPr>
        <w:rFonts w:hint="eastAsia"/>
      </w:r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4">
    <w:nsid w:val="11DE162F"/>
    <w:multiLevelType w:val="multilevel"/>
    <w:tmpl w:val="11DE162F"/>
    <w:lvl w:ilvl="0" w:tentative="0">
      <w:start w:val="7"/>
      <w:numFmt w:val="decimal"/>
      <w:pStyle w:val="321"/>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5">
    <w:nsid w:val="169B7962"/>
    <w:multiLevelType w:val="multilevel"/>
    <w:tmpl w:val="169B7962"/>
    <w:lvl w:ilvl="0" w:tentative="0">
      <w:start w:val="1"/>
      <w:numFmt w:val="decimal"/>
      <w:pStyle w:val="283"/>
      <w:lvlText w:val="%1．"/>
      <w:lvlJc w:val="left"/>
      <w:pPr>
        <w:tabs>
          <w:tab w:val="left" w:pos="780"/>
        </w:tabs>
        <w:ind w:left="780" w:hanging="360"/>
      </w:pPr>
      <w:rPr>
        <w:rFonts w:hint="eastAsia"/>
      </w:rPr>
    </w:lvl>
    <w:lvl w:ilvl="1" w:tentative="0">
      <w:start w:val="1"/>
      <w:numFmt w:val="decimal"/>
      <w:lvlText w:val="%2."/>
      <w:lvlJc w:val="left"/>
      <w:pPr>
        <w:tabs>
          <w:tab w:val="left" w:pos="1200"/>
        </w:tabs>
        <w:ind w:left="1200" w:hanging="360"/>
      </w:pPr>
      <w:rPr>
        <w:rFonts w:hint="eastAsia"/>
      </w:rPr>
    </w:lvl>
    <w:lvl w:ilvl="2" w:tentative="0">
      <w:start w:val="1"/>
      <w:numFmt w:val="lowerRoman"/>
      <w:lvlText w:val="%3."/>
      <w:lvlJc w:val="right"/>
      <w:pPr>
        <w:tabs>
          <w:tab w:val="left" w:pos="1680"/>
        </w:tabs>
        <w:ind w:left="1680" w:hanging="420"/>
      </w:pPr>
    </w:lvl>
    <w:lvl w:ilvl="3" w:tentative="0">
      <w:start w:val="1"/>
      <w:numFmt w:val="decimal"/>
      <w:lvlText w:val="%4."/>
      <w:lvlJc w:val="left"/>
      <w:pPr>
        <w:tabs>
          <w:tab w:val="left" w:pos="2100"/>
        </w:tabs>
        <w:ind w:left="2100" w:hanging="420"/>
      </w:pPr>
    </w:lvl>
    <w:lvl w:ilvl="4" w:tentative="0">
      <w:start w:val="1"/>
      <w:numFmt w:val="lowerLetter"/>
      <w:lvlText w:val="%5)"/>
      <w:lvlJc w:val="left"/>
      <w:pPr>
        <w:tabs>
          <w:tab w:val="left" w:pos="2520"/>
        </w:tabs>
        <w:ind w:left="2520" w:hanging="420"/>
      </w:pPr>
    </w:lvl>
    <w:lvl w:ilvl="5" w:tentative="0">
      <w:start w:val="1"/>
      <w:numFmt w:val="lowerRoman"/>
      <w:lvlText w:val="%6."/>
      <w:lvlJc w:val="right"/>
      <w:pPr>
        <w:tabs>
          <w:tab w:val="left" w:pos="2940"/>
        </w:tabs>
        <w:ind w:left="2940" w:hanging="420"/>
      </w:pPr>
    </w:lvl>
    <w:lvl w:ilvl="6" w:tentative="0">
      <w:start w:val="1"/>
      <w:numFmt w:val="decimal"/>
      <w:lvlText w:val="%7."/>
      <w:lvlJc w:val="left"/>
      <w:pPr>
        <w:tabs>
          <w:tab w:val="left" w:pos="3360"/>
        </w:tabs>
        <w:ind w:left="3360" w:hanging="420"/>
      </w:pPr>
    </w:lvl>
    <w:lvl w:ilvl="7" w:tentative="0">
      <w:start w:val="1"/>
      <w:numFmt w:val="lowerLetter"/>
      <w:lvlText w:val="%8)"/>
      <w:lvlJc w:val="left"/>
      <w:pPr>
        <w:tabs>
          <w:tab w:val="left" w:pos="3780"/>
        </w:tabs>
        <w:ind w:left="3780" w:hanging="420"/>
      </w:pPr>
    </w:lvl>
    <w:lvl w:ilvl="8" w:tentative="0">
      <w:start w:val="1"/>
      <w:numFmt w:val="lowerRoman"/>
      <w:lvlText w:val="%9."/>
      <w:lvlJc w:val="right"/>
      <w:pPr>
        <w:tabs>
          <w:tab w:val="left" w:pos="4200"/>
        </w:tabs>
        <w:ind w:left="4200" w:hanging="420"/>
      </w:pPr>
    </w:lvl>
  </w:abstractNum>
  <w:abstractNum w:abstractNumId="6">
    <w:nsid w:val="20D54CB1"/>
    <w:multiLevelType w:val="multilevel"/>
    <w:tmpl w:val="20D54CB1"/>
    <w:lvl w:ilvl="0" w:tentative="0">
      <w:start w:val="5"/>
      <w:numFmt w:val="decimal"/>
      <w:lvlText w:val="%1"/>
      <w:lvlJc w:val="left"/>
      <w:pPr>
        <w:ind w:left="360" w:hanging="360"/>
      </w:pPr>
      <w:rPr>
        <w:rFonts w:hint="default"/>
      </w:rPr>
    </w:lvl>
    <w:lvl w:ilvl="1" w:tentative="0">
      <w:start w:val="1"/>
      <w:numFmt w:val="decimal"/>
      <w:isLgl/>
      <w:lvlText w:val="%1.%2"/>
      <w:lvlJc w:val="left"/>
      <w:pPr>
        <w:ind w:left="720" w:hanging="720"/>
      </w:pPr>
      <w:rPr>
        <w:rFonts w:hint="default"/>
      </w:rPr>
    </w:lvl>
    <w:lvl w:ilvl="2" w:tentative="0">
      <w:start w:val="1"/>
      <w:numFmt w:val="decimal"/>
      <w:isLgl/>
      <w:lvlText w:val="%1.%2.%3"/>
      <w:lvlJc w:val="left"/>
      <w:pPr>
        <w:ind w:left="720" w:hanging="720"/>
      </w:pPr>
      <w:rPr>
        <w:rFonts w:hint="default"/>
      </w:rPr>
    </w:lvl>
    <w:lvl w:ilvl="3" w:tentative="0">
      <w:start w:val="1"/>
      <w:numFmt w:val="decimal"/>
      <w:isLgl/>
      <w:lvlText w:val="%1.%2.%3.%4"/>
      <w:lvlJc w:val="left"/>
      <w:pPr>
        <w:ind w:left="1080" w:hanging="1080"/>
      </w:pPr>
      <w:rPr>
        <w:rFonts w:hint="default"/>
      </w:rPr>
    </w:lvl>
    <w:lvl w:ilvl="4" w:tentative="0">
      <w:start w:val="1"/>
      <w:numFmt w:val="decimal"/>
      <w:isLgl/>
      <w:lvlText w:val="%1.%2.%3.%4.%5"/>
      <w:lvlJc w:val="left"/>
      <w:pPr>
        <w:ind w:left="1440" w:hanging="1440"/>
      </w:pPr>
      <w:rPr>
        <w:rFonts w:hint="default"/>
      </w:rPr>
    </w:lvl>
    <w:lvl w:ilvl="5" w:tentative="0">
      <w:start w:val="1"/>
      <w:numFmt w:val="decimal"/>
      <w:isLgl/>
      <w:lvlText w:val="%1.%2.%3.%4.%5.%6"/>
      <w:lvlJc w:val="left"/>
      <w:pPr>
        <w:ind w:left="1440" w:hanging="1440"/>
      </w:pPr>
      <w:rPr>
        <w:rFonts w:hint="default"/>
      </w:rPr>
    </w:lvl>
    <w:lvl w:ilvl="6" w:tentative="0">
      <w:start w:val="1"/>
      <w:numFmt w:val="decimal"/>
      <w:isLgl/>
      <w:lvlText w:val="%1.%2.%3.%4.%5.%6.%7"/>
      <w:lvlJc w:val="left"/>
      <w:pPr>
        <w:ind w:left="1800" w:hanging="1800"/>
      </w:pPr>
      <w:rPr>
        <w:rFonts w:hint="default"/>
      </w:rPr>
    </w:lvl>
    <w:lvl w:ilvl="7" w:tentative="0">
      <w:start w:val="1"/>
      <w:numFmt w:val="decimal"/>
      <w:isLgl/>
      <w:lvlText w:val="%1.%2.%3.%4.%5.%6.%7.%8"/>
      <w:lvlJc w:val="left"/>
      <w:pPr>
        <w:ind w:left="2160" w:hanging="2160"/>
      </w:pPr>
      <w:rPr>
        <w:rFonts w:hint="default"/>
      </w:rPr>
    </w:lvl>
    <w:lvl w:ilvl="8" w:tentative="0">
      <w:start w:val="1"/>
      <w:numFmt w:val="decimal"/>
      <w:isLgl/>
      <w:lvlText w:val="%1.%2.%3.%4.%5.%6.%7.%8.%9"/>
      <w:lvlJc w:val="left"/>
      <w:pPr>
        <w:ind w:left="2520" w:hanging="2520"/>
      </w:pPr>
      <w:rPr>
        <w:rFonts w:hint="default"/>
      </w:rPr>
    </w:lvl>
  </w:abstractNum>
  <w:abstractNum w:abstractNumId="7">
    <w:nsid w:val="25C075A1"/>
    <w:multiLevelType w:val="multilevel"/>
    <w:tmpl w:val="25C075A1"/>
    <w:lvl w:ilvl="0" w:tentative="0">
      <w:start w:val="1"/>
      <w:numFmt w:val="decimal"/>
      <w:pStyle w:val="158"/>
      <w:lvlText w:val="%1."/>
      <w:lvlJc w:val="left"/>
      <w:pPr>
        <w:ind w:left="620" w:hanging="420"/>
      </w:pPr>
      <w:rPr>
        <w:rFonts w:hint="eastAsia"/>
      </w:rPr>
    </w:lvl>
    <w:lvl w:ilvl="1" w:tentative="0">
      <w:start w:val="1"/>
      <w:numFmt w:val="lowerLetter"/>
      <w:lvlText w:val="%2)"/>
      <w:lvlJc w:val="left"/>
      <w:pPr>
        <w:ind w:left="1040" w:hanging="420"/>
      </w:pPr>
    </w:lvl>
    <w:lvl w:ilvl="2" w:tentative="0">
      <w:start w:val="1"/>
      <w:numFmt w:val="lowerRoman"/>
      <w:lvlText w:val="%3."/>
      <w:lvlJc w:val="right"/>
      <w:pPr>
        <w:ind w:left="1460" w:hanging="420"/>
      </w:pPr>
    </w:lvl>
    <w:lvl w:ilvl="3" w:tentative="0">
      <w:start w:val="1"/>
      <w:numFmt w:val="decimal"/>
      <w:lvlText w:val="%4."/>
      <w:lvlJc w:val="left"/>
      <w:pPr>
        <w:ind w:left="1880" w:hanging="420"/>
      </w:pPr>
    </w:lvl>
    <w:lvl w:ilvl="4" w:tentative="0">
      <w:start w:val="1"/>
      <w:numFmt w:val="lowerLetter"/>
      <w:lvlText w:val="%5)"/>
      <w:lvlJc w:val="left"/>
      <w:pPr>
        <w:ind w:left="2300" w:hanging="420"/>
      </w:pPr>
    </w:lvl>
    <w:lvl w:ilvl="5" w:tentative="0">
      <w:start w:val="1"/>
      <w:numFmt w:val="lowerRoman"/>
      <w:lvlText w:val="%6."/>
      <w:lvlJc w:val="right"/>
      <w:pPr>
        <w:ind w:left="2720" w:hanging="420"/>
      </w:pPr>
    </w:lvl>
    <w:lvl w:ilvl="6" w:tentative="0">
      <w:start w:val="1"/>
      <w:numFmt w:val="decimal"/>
      <w:lvlText w:val="%7."/>
      <w:lvlJc w:val="left"/>
      <w:pPr>
        <w:ind w:left="3140" w:hanging="420"/>
      </w:pPr>
    </w:lvl>
    <w:lvl w:ilvl="7" w:tentative="0">
      <w:start w:val="1"/>
      <w:numFmt w:val="lowerLetter"/>
      <w:lvlText w:val="%8)"/>
      <w:lvlJc w:val="left"/>
      <w:pPr>
        <w:ind w:left="3560" w:hanging="420"/>
      </w:pPr>
    </w:lvl>
    <w:lvl w:ilvl="8" w:tentative="0">
      <w:start w:val="1"/>
      <w:numFmt w:val="lowerRoman"/>
      <w:lvlText w:val="%9."/>
      <w:lvlJc w:val="right"/>
      <w:pPr>
        <w:ind w:left="3980" w:hanging="420"/>
      </w:pPr>
    </w:lvl>
  </w:abstractNum>
  <w:abstractNum w:abstractNumId="8">
    <w:nsid w:val="30D51EE5"/>
    <w:multiLevelType w:val="multilevel"/>
    <w:tmpl w:val="30D51EE5"/>
    <w:lvl w:ilvl="0" w:tentative="0">
      <w:start w:val="1"/>
      <w:numFmt w:val="decimal"/>
      <w:lvlText w:val="%1．"/>
      <w:lvlJc w:val="left"/>
      <w:pPr>
        <w:tabs>
          <w:tab w:val="left" w:pos="360"/>
        </w:tabs>
        <w:ind w:left="360" w:hanging="360"/>
      </w:pPr>
      <w:rPr>
        <w:rFonts w:hint="eastAsia"/>
      </w:rPr>
    </w:lvl>
    <w:lvl w:ilvl="1" w:tentative="0">
      <w:start w:val="1"/>
      <w:numFmt w:val="lowerLetter"/>
      <w:pStyle w:val="314"/>
      <w:lvlText w:val="%2)"/>
      <w:lvlJc w:val="left"/>
      <w:pPr>
        <w:tabs>
          <w:tab w:val="left" w:pos="840"/>
        </w:tabs>
        <w:ind w:left="840" w:hanging="420"/>
      </w:pPr>
    </w:lvl>
    <w:lvl w:ilvl="2" w:tentative="0">
      <w:start w:val="1"/>
      <w:numFmt w:val="lowerRoman"/>
      <w:pStyle w:val="352"/>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9">
    <w:nsid w:val="347C46F9"/>
    <w:multiLevelType w:val="multilevel"/>
    <w:tmpl w:val="347C46F9"/>
    <w:lvl w:ilvl="0" w:tentative="0">
      <w:start w:val="1"/>
      <w:numFmt w:val="decimal"/>
      <w:pStyle w:val="335"/>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pStyle w:val="303"/>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0">
    <w:nsid w:val="399A096C"/>
    <w:multiLevelType w:val="multilevel"/>
    <w:tmpl w:val="399A096C"/>
    <w:lvl w:ilvl="0" w:tentative="0">
      <w:start w:val="1"/>
      <w:numFmt w:val="decimal"/>
      <w:lvlText w:val="%1．"/>
      <w:lvlJc w:val="left"/>
      <w:pPr>
        <w:tabs>
          <w:tab w:val="left" w:pos="720"/>
        </w:tabs>
        <w:ind w:left="720" w:hanging="720"/>
      </w:pPr>
      <w:rPr>
        <w:rFonts w:hint="eastAsia"/>
      </w:rPr>
    </w:lvl>
    <w:lvl w:ilvl="1" w:tentative="0">
      <w:start w:val="1"/>
      <w:numFmt w:val="decimal"/>
      <w:lvlText w:val="（%2）"/>
      <w:lvlJc w:val="left"/>
      <w:pPr>
        <w:tabs>
          <w:tab w:val="left" w:pos="1140"/>
        </w:tabs>
        <w:ind w:left="1140" w:hanging="720"/>
      </w:pPr>
      <w:rPr>
        <w:rFonts w:hint="eastAsia"/>
      </w:rPr>
    </w:lvl>
    <w:lvl w:ilvl="2" w:tentative="0">
      <w:start w:val="1"/>
      <w:numFmt w:val="decimal"/>
      <w:lvlText w:val="%3．"/>
      <w:lvlJc w:val="left"/>
      <w:pPr>
        <w:tabs>
          <w:tab w:val="left" w:pos="1560"/>
        </w:tabs>
        <w:ind w:left="1560" w:hanging="720"/>
      </w:pPr>
      <w:rPr>
        <w:rFonts w:hint="eastAsia"/>
      </w:rPr>
    </w:lvl>
    <w:lvl w:ilvl="3" w:tentative="0">
      <w:start w:val="1"/>
      <w:numFmt w:val="decimal"/>
      <w:pStyle w:val="291"/>
      <w:lvlText w:val="%4."/>
      <w:lvlJc w:val="left"/>
      <w:pPr>
        <w:tabs>
          <w:tab w:val="left" w:pos="1680"/>
        </w:tabs>
        <w:ind w:left="1680" w:hanging="420"/>
      </w:pPr>
    </w:lvl>
    <w:lvl w:ilvl="4" w:tentative="0">
      <w:start w:val="1"/>
      <w:numFmt w:val="lowerLetter"/>
      <w:pStyle w:val="347"/>
      <w:lvlText w:val="%5)"/>
      <w:lvlJc w:val="left"/>
      <w:pPr>
        <w:tabs>
          <w:tab w:val="left" w:pos="2100"/>
        </w:tabs>
        <w:ind w:left="2100" w:hanging="420"/>
      </w:pPr>
    </w:lvl>
    <w:lvl w:ilvl="5" w:tentative="0">
      <w:start w:val="1"/>
      <w:numFmt w:val="lowerRoman"/>
      <w:pStyle w:val="285"/>
      <w:lvlText w:val="%6."/>
      <w:lvlJc w:val="right"/>
      <w:pPr>
        <w:tabs>
          <w:tab w:val="left" w:pos="2520"/>
        </w:tabs>
        <w:ind w:left="2520" w:hanging="420"/>
      </w:pPr>
    </w:lvl>
    <w:lvl w:ilvl="6" w:tentative="0">
      <w:start w:val="1"/>
      <w:numFmt w:val="decimal"/>
      <w:pStyle w:val="357"/>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1">
    <w:nsid w:val="49370CF9"/>
    <w:multiLevelType w:val="multilevel"/>
    <w:tmpl w:val="49370CF9"/>
    <w:lvl w:ilvl="0" w:tentative="0">
      <w:start w:val="1"/>
      <w:numFmt w:val="decimal"/>
      <w:lvlText w:val="%1."/>
      <w:lvlJc w:val="left"/>
      <w:pPr>
        <w:ind w:left="420" w:hanging="420"/>
      </w:pPr>
      <w:rPr>
        <w:rFonts w:hint="eastAsia" w:ascii="Times New Roman" w:hAnsi="Times New Roman" w:eastAsia="华文仿宋"/>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2">
    <w:nsid w:val="4A5272C7"/>
    <w:multiLevelType w:val="multilevel"/>
    <w:tmpl w:val="4A5272C7"/>
    <w:lvl w:ilvl="0" w:tentative="0">
      <w:start w:val="1"/>
      <w:numFmt w:val="decimal"/>
      <w:pStyle w:val="159"/>
      <w:lvlText w:val="(%1)"/>
      <w:lvlJc w:val="left"/>
      <w:pPr>
        <w:ind w:left="980" w:hanging="420"/>
      </w:pPr>
      <w:rPr>
        <w:rFonts w:hint="eastAsia"/>
      </w:r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13">
    <w:nsid w:val="4C0E7907"/>
    <w:multiLevelType w:val="multilevel"/>
    <w:tmpl w:val="4C0E7907"/>
    <w:lvl w:ilvl="0" w:tentative="0">
      <w:start w:val="1"/>
      <w:numFmt w:val="decimal"/>
      <w:pStyle w:val="22"/>
      <w:lvlText w:val="%1．"/>
      <w:lvlJc w:val="left"/>
      <w:pPr>
        <w:tabs>
          <w:tab w:val="left" w:pos="720"/>
        </w:tabs>
        <w:ind w:left="720" w:hanging="7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4">
    <w:nsid w:val="50563AEB"/>
    <w:multiLevelType w:val="multilevel"/>
    <w:tmpl w:val="50563AEB"/>
    <w:lvl w:ilvl="0" w:tentative="0">
      <w:start w:val="1"/>
      <w:numFmt w:val="decimal"/>
      <w:pStyle w:val="33"/>
      <w:lvlText w:val="%1、"/>
      <w:lvlJc w:val="left"/>
      <w:pPr>
        <w:tabs>
          <w:tab w:val="left" w:pos="360"/>
        </w:tabs>
        <w:ind w:left="360" w:hanging="360"/>
      </w:pPr>
      <w:rPr>
        <w:rFonts w:hint="eastAsia"/>
      </w:rPr>
    </w:lvl>
    <w:lvl w:ilvl="1" w:tentative="0">
      <w:start w:val="1"/>
      <w:numFmt w:val="decimal"/>
      <w:lvlText w:val="%2．"/>
      <w:lvlJc w:val="left"/>
      <w:pPr>
        <w:tabs>
          <w:tab w:val="left" w:pos="780"/>
        </w:tabs>
        <w:ind w:left="780" w:hanging="360"/>
      </w:pPr>
      <w:rPr>
        <w:rFonts w:hint="eastAsia" w:ascii="Times New Roman" w:hAnsi="Times New Roman"/>
        <w:sz w:val="21"/>
      </w:r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5">
    <w:nsid w:val="52FF53E7"/>
    <w:multiLevelType w:val="multilevel"/>
    <w:tmpl w:val="52FF53E7"/>
    <w:lvl w:ilvl="0" w:tentative="0">
      <w:start w:val="1"/>
      <w:numFmt w:val="bullet"/>
      <w:lvlText w:val=""/>
      <w:lvlJc w:val="left"/>
      <w:pPr>
        <w:ind w:left="932" w:hanging="420"/>
      </w:pPr>
      <w:rPr>
        <w:rFonts w:hint="default" w:ascii="Wingdings" w:hAnsi="Wingdings"/>
      </w:rPr>
    </w:lvl>
    <w:lvl w:ilvl="1" w:tentative="0">
      <w:start w:val="1"/>
      <w:numFmt w:val="bullet"/>
      <w:lvlText w:val=""/>
      <w:lvlJc w:val="left"/>
      <w:pPr>
        <w:ind w:left="1352" w:hanging="420"/>
      </w:pPr>
      <w:rPr>
        <w:rFonts w:hint="default" w:ascii="Wingdings" w:hAnsi="Wingdings"/>
      </w:rPr>
    </w:lvl>
    <w:lvl w:ilvl="2" w:tentative="0">
      <w:start w:val="1"/>
      <w:numFmt w:val="bullet"/>
      <w:lvlText w:val=""/>
      <w:lvlJc w:val="left"/>
      <w:pPr>
        <w:ind w:left="1772" w:hanging="420"/>
      </w:pPr>
      <w:rPr>
        <w:rFonts w:hint="default" w:ascii="Wingdings" w:hAnsi="Wingdings"/>
      </w:rPr>
    </w:lvl>
    <w:lvl w:ilvl="3" w:tentative="0">
      <w:start w:val="1"/>
      <w:numFmt w:val="bullet"/>
      <w:lvlText w:val=""/>
      <w:lvlJc w:val="left"/>
      <w:pPr>
        <w:ind w:left="2192" w:hanging="420"/>
      </w:pPr>
      <w:rPr>
        <w:rFonts w:hint="default" w:ascii="Wingdings" w:hAnsi="Wingdings"/>
      </w:rPr>
    </w:lvl>
    <w:lvl w:ilvl="4" w:tentative="0">
      <w:start w:val="1"/>
      <w:numFmt w:val="bullet"/>
      <w:lvlText w:val=""/>
      <w:lvlJc w:val="left"/>
      <w:pPr>
        <w:ind w:left="2612" w:hanging="420"/>
      </w:pPr>
      <w:rPr>
        <w:rFonts w:hint="default" w:ascii="Wingdings" w:hAnsi="Wingdings"/>
      </w:rPr>
    </w:lvl>
    <w:lvl w:ilvl="5" w:tentative="0">
      <w:start w:val="1"/>
      <w:numFmt w:val="bullet"/>
      <w:lvlText w:val=""/>
      <w:lvlJc w:val="left"/>
      <w:pPr>
        <w:ind w:left="3032" w:hanging="420"/>
      </w:pPr>
      <w:rPr>
        <w:rFonts w:hint="default" w:ascii="Wingdings" w:hAnsi="Wingdings"/>
      </w:rPr>
    </w:lvl>
    <w:lvl w:ilvl="6" w:tentative="0">
      <w:start w:val="1"/>
      <w:numFmt w:val="bullet"/>
      <w:lvlText w:val=""/>
      <w:lvlJc w:val="left"/>
      <w:pPr>
        <w:ind w:left="3452" w:hanging="420"/>
      </w:pPr>
      <w:rPr>
        <w:rFonts w:hint="default" w:ascii="Wingdings" w:hAnsi="Wingdings"/>
      </w:rPr>
    </w:lvl>
    <w:lvl w:ilvl="7" w:tentative="0">
      <w:start w:val="1"/>
      <w:numFmt w:val="bullet"/>
      <w:lvlText w:val=""/>
      <w:lvlJc w:val="left"/>
      <w:pPr>
        <w:ind w:left="3872" w:hanging="420"/>
      </w:pPr>
      <w:rPr>
        <w:rFonts w:hint="default" w:ascii="Wingdings" w:hAnsi="Wingdings"/>
      </w:rPr>
    </w:lvl>
    <w:lvl w:ilvl="8" w:tentative="0">
      <w:start w:val="1"/>
      <w:numFmt w:val="bullet"/>
      <w:lvlText w:val=""/>
      <w:lvlJc w:val="left"/>
      <w:pPr>
        <w:ind w:left="4292" w:hanging="420"/>
      </w:pPr>
      <w:rPr>
        <w:rFonts w:hint="default" w:ascii="Wingdings" w:hAnsi="Wingdings"/>
      </w:rPr>
    </w:lvl>
  </w:abstractNum>
  <w:abstractNum w:abstractNumId="16">
    <w:nsid w:val="54964022"/>
    <w:multiLevelType w:val="multilevel"/>
    <w:tmpl w:val="54964022"/>
    <w:lvl w:ilvl="0" w:tentative="0">
      <w:start w:val="1"/>
      <w:numFmt w:val="decimal"/>
      <w:pStyle w:val="30"/>
      <w:lvlText w:val="%1．"/>
      <w:lvlJc w:val="left"/>
      <w:pPr>
        <w:tabs>
          <w:tab w:val="left" w:pos="360"/>
        </w:tabs>
        <w:ind w:left="360" w:hanging="360"/>
      </w:pPr>
      <w:rPr>
        <w:rFonts w:hint="eastAsia"/>
      </w:rPr>
    </w:lvl>
    <w:lvl w:ilvl="1" w:tentative="0">
      <w:start w:val="1"/>
      <w:numFmt w:val="decimal"/>
      <w:lvlText w:val="（%2）"/>
      <w:lvlJc w:val="left"/>
      <w:pPr>
        <w:tabs>
          <w:tab w:val="left" w:pos="1140"/>
        </w:tabs>
        <w:ind w:left="1140" w:hanging="720"/>
      </w:pPr>
      <w:rPr>
        <w:rFonts w:hint="eastAsia"/>
      </w:r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7">
    <w:nsid w:val="55196096"/>
    <w:multiLevelType w:val="multilevel"/>
    <w:tmpl w:val="55196096"/>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18">
    <w:nsid w:val="5BC310D3"/>
    <w:multiLevelType w:val="multilevel"/>
    <w:tmpl w:val="5BC310D3"/>
    <w:lvl w:ilvl="0" w:tentative="0">
      <w:start w:val="1"/>
      <w:numFmt w:val="decimal"/>
      <w:pStyle w:val="44"/>
      <w:lvlText w:val="%1．"/>
      <w:lvlJc w:val="left"/>
      <w:pPr>
        <w:tabs>
          <w:tab w:val="left" w:pos="360"/>
        </w:tabs>
        <w:ind w:left="360" w:hanging="360"/>
      </w:pPr>
      <w:rPr>
        <w:rFonts w:hint="eastAsia"/>
      </w:rPr>
    </w:lvl>
    <w:lvl w:ilvl="1" w:tentative="0">
      <w:start w:val="1"/>
      <w:numFmt w:val="decimal"/>
      <w:lvlText w:val="(%2)"/>
      <w:lvlJc w:val="left"/>
      <w:pPr>
        <w:tabs>
          <w:tab w:val="left" w:pos="900"/>
        </w:tabs>
        <w:ind w:left="900" w:hanging="480"/>
      </w:pPr>
      <w:rPr>
        <w:rFonts w:hint="eastAsia"/>
      </w:rPr>
    </w:lvl>
    <w:lvl w:ilvl="2" w:tentative="0">
      <w:start w:val="1"/>
      <w:numFmt w:val="decimal"/>
      <w:lvlText w:val="（%3）"/>
      <w:lvlJc w:val="left"/>
      <w:pPr>
        <w:tabs>
          <w:tab w:val="left" w:pos="1560"/>
        </w:tabs>
        <w:ind w:left="1560" w:hanging="720"/>
      </w:pPr>
      <w:rPr>
        <w:rFonts w:hint="eastAsia"/>
      </w:r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9">
    <w:nsid w:val="61B5320C"/>
    <w:multiLevelType w:val="multilevel"/>
    <w:tmpl w:val="61B5320C"/>
    <w:lvl w:ilvl="0" w:tentative="0">
      <w:start w:val="1"/>
      <w:numFmt w:val="decimal"/>
      <w:lvlText w:val="%1."/>
      <w:lvlJc w:val="left"/>
      <w:pPr>
        <w:ind w:left="1298" w:hanging="420"/>
      </w:pPr>
      <w:rPr>
        <w:rFonts w:hint="eastAsia" w:eastAsia="华文仿宋"/>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0">
    <w:nsid w:val="62FE0930"/>
    <w:multiLevelType w:val="multilevel"/>
    <w:tmpl w:val="62FE0930"/>
    <w:lvl w:ilvl="0" w:tentative="0">
      <w:start w:val="1"/>
      <w:numFmt w:val="decimal"/>
      <w:pStyle w:val="13"/>
      <w:lvlText w:val="%1．"/>
      <w:lvlJc w:val="left"/>
      <w:pPr>
        <w:tabs>
          <w:tab w:val="left" w:pos="720"/>
        </w:tabs>
        <w:ind w:left="720" w:hanging="7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1">
    <w:nsid w:val="664B26FF"/>
    <w:multiLevelType w:val="multilevel"/>
    <w:tmpl w:val="664B26FF"/>
    <w:lvl w:ilvl="0" w:tentative="0">
      <w:start w:val="1"/>
      <w:numFmt w:val="decimal"/>
      <w:lvlText w:val="%1."/>
      <w:lvlJc w:val="left"/>
      <w:pPr>
        <w:ind w:left="980" w:hanging="420"/>
      </w:pPr>
      <w:rPr>
        <w:rFonts w:hint="eastAsia" w:ascii="Times New Roman" w:hAnsi="Times New Roman" w:eastAsia="华文仿宋"/>
      </w:rPr>
    </w:lvl>
    <w:lvl w:ilvl="1" w:tentative="0">
      <w:start w:val="1"/>
      <w:numFmt w:val="lowerLetter"/>
      <w:lvlText w:val="%2)"/>
      <w:lvlJc w:val="left"/>
      <w:pPr>
        <w:ind w:left="1400" w:hanging="420"/>
      </w:pPr>
    </w:lvl>
    <w:lvl w:ilvl="2" w:tentative="0">
      <w:start w:val="1"/>
      <w:numFmt w:val="lowerRoman"/>
      <w:lvlText w:val="%3."/>
      <w:lvlJc w:val="right"/>
      <w:pPr>
        <w:ind w:left="1820" w:hanging="420"/>
      </w:pPr>
    </w:lvl>
    <w:lvl w:ilvl="3" w:tentative="0">
      <w:start w:val="1"/>
      <w:numFmt w:val="decimal"/>
      <w:lvlText w:val="%4."/>
      <w:lvlJc w:val="left"/>
      <w:pPr>
        <w:ind w:left="2240" w:hanging="420"/>
      </w:pPr>
    </w:lvl>
    <w:lvl w:ilvl="4" w:tentative="0">
      <w:start w:val="1"/>
      <w:numFmt w:val="lowerLetter"/>
      <w:lvlText w:val="%5)"/>
      <w:lvlJc w:val="left"/>
      <w:pPr>
        <w:ind w:left="2660" w:hanging="420"/>
      </w:pPr>
    </w:lvl>
    <w:lvl w:ilvl="5" w:tentative="0">
      <w:start w:val="1"/>
      <w:numFmt w:val="lowerRoman"/>
      <w:lvlText w:val="%6."/>
      <w:lvlJc w:val="right"/>
      <w:pPr>
        <w:ind w:left="3080" w:hanging="420"/>
      </w:pPr>
    </w:lvl>
    <w:lvl w:ilvl="6" w:tentative="0">
      <w:start w:val="1"/>
      <w:numFmt w:val="decimal"/>
      <w:lvlText w:val="%7."/>
      <w:lvlJc w:val="left"/>
      <w:pPr>
        <w:ind w:left="3500" w:hanging="420"/>
      </w:pPr>
    </w:lvl>
    <w:lvl w:ilvl="7" w:tentative="0">
      <w:start w:val="1"/>
      <w:numFmt w:val="lowerLetter"/>
      <w:lvlText w:val="%8)"/>
      <w:lvlJc w:val="left"/>
      <w:pPr>
        <w:ind w:left="3920" w:hanging="420"/>
      </w:pPr>
    </w:lvl>
    <w:lvl w:ilvl="8" w:tentative="0">
      <w:start w:val="1"/>
      <w:numFmt w:val="lowerRoman"/>
      <w:lvlText w:val="%9."/>
      <w:lvlJc w:val="right"/>
      <w:pPr>
        <w:ind w:left="4340" w:hanging="420"/>
      </w:pPr>
    </w:lvl>
  </w:abstractNum>
  <w:abstractNum w:abstractNumId="22">
    <w:nsid w:val="69C02C39"/>
    <w:multiLevelType w:val="multilevel"/>
    <w:tmpl w:val="69C02C39"/>
    <w:lvl w:ilvl="0" w:tentative="0">
      <w:start w:val="1"/>
      <w:numFmt w:val="decimal"/>
      <w:lvlText w:val="%1、"/>
      <w:lvlJc w:val="left"/>
      <w:pPr>
        <w:tabs>
          <w:tab w:val="left" w:pos="540"/>
        </w:tabs>
        <w:ind w:left="540" w:hanging="360"/>
      </w:pPr>
      <w:rPr>
        <w:rFonts w:hint="default"/>
      </w:rPr>
    </w:lvl>
    <w:lvl w:ilvl="1" w:tentative="0">
      <w:start w:val="1"/>
      <w:numFmt w:val="lowerLetter"/>
      <w:pStyle w:val="186"/>
      <w:lvlText w:val="%2)"/>
      <w:lvlJc w:val="left"/>
      <w:pPr>
        <w:tabs>
          <w:tab w:val="left" w:pos="1020"/>
        </w:tabs>
        <w:ind w:left="1020" w:hanging="420"/>
      </w:pPr>
    </w:lvl>
    <w:lvl w:ilvl="2" w:tentative="0">
      <w:start w:val="1"/>
      <w:numFmt w:val="lowerRoman"/>
      <w:pStyle w:val="234"/>
      <w:lvlText w:val="%3."/>
      <w:lvlJc w:val="right"/>
      <w:pPr>
        <w:tabs>
          <w:tab w:val="left" w:pos="1440"/>
        </w:tabs>
        <w:ind w:left="1440" w:hanging="420"/>
      </w:pPr>
    </w:lvl>
    <w:lvl w:ilvl="3" w:tentative="0">
      <w:start w:val="1"/>
      <w:numFmt w:val="decimal"/>
      <w:lvlText w:val="%4."/>
      <w:lvlJc w:val="left"/>
      <w:pPr>
        <w:tabs>
          <w:tab w:val="left" w:pos="1860"/>
        </w:tabs>
        <w:ind w:left="1860" w:hanging="420"/>
      </w:pPr>
    </w:lvl>
    <w:lvl w:ilvl="4" w:tentative="0">
      <w:start w:val="1"/>
      <w:numFmt w:val="lowerLetter"/>
      <w:lvlText w:val="%5)"/>
      <w:lvlJc w:val="left"/>
      <w:pPr>
        <w:tabs>
          <w:tab w:val="left" w:pos="2280"/>
        </w:tabs>
        <w:ind w:left="2280" w:hanging="420"/>
      </w:pPr>
    </w:lvl>
    <w:lvl w:ilvl="5" w:tentative="0">
      <w:start w:val="1"/>
      <w:numFmt w:val="lowerRoman"/>
      <w:lvlText w:val="%6."/>
      <w:lvlJc w:val="right"/>
      <w:pPr>
        <w:tabs>
          <w:tab w:val="left" w:pos="2700"/>
        </w:tabs>
        <w:ind w:left="2700" w:hanging="420"/>
      </w:pPr>
    </w:lvl>
    <w:lvl w:ilvl="6" w:tentative="0">
      <w:start w:val="1"/>
      <w:numFmt w:val="decimal"/>
      <w:lvlText w:val="%7."/>
      <w:lvlJc w:val="left"/>
      <w:pPr>
        <w:tabs>
          <w:tab w:val="left" w:pos="3120"/>
        </w:tabs>
        <w:ind w:left="3120" w:hanging="420"/>
      </w:pPr>
    </w:lvl>
    <w:lvl w:ilvl="7" w:tentative="0">
      <w:start w:val="1"/>
      <w:numFmt w:val="lowerLetter"/>
      <w:lvlText w:val="%8)"/>
      <w:lvlJc w:val="left"/>
      <w:pPr>
        <w:tabs>
          <w:tab w:val="left" w:pos="3540"/>
        </w:tabs>
        <w:ind w:left="3540" w:hanging="420"/>
      </w:pPr>
    </w:lvl>
    <w:lvl w:ilvl="8" w:tentative="0">
      <w:start w:val="1"/>
      <w:numFmt w:val="lowerRoman"/>
      <w:lvlText w:val="%9."/>
      <w:lvlJc w:val="right"/>
      <w:pPr>
        <w:tabs>
          <w:tab w:val="left" w:pos="3960"/>
        </w:tabs>
        <w:ind w:left="3960" w:hanging="420"/>
      </w:pPr>
    </w:lvl>
  </w:abstractNum>
  <w:abstractNum w:abstractNumId="23">
    <w:nsid w:val="6A1214AF"/>
    <w:multiLevelType w:val="multilevel"/>
    <w:tmpl w:val="6A1214AF"/>
    <w:lvl w:ilvl="0" w:tentative="0">
      <w:start w:val="1"/>
      <w:numFmt w:val="decimal"/>
      <w:pStyle w:val="43"/>
      <w:lvlText w:val="%1．"/>
      <w:lvlJc w:val="left"/>
      <w:pPr>
        <w:tabs>
          <w:tab w:val="left" w:pos="360"/>
        </w:tabs>
        <w:ind w:left="360" w:hanging="360"/>
      </w:pPr>
      <w:rPr>
        <w:rFonts w:hint="eastAsia"/>
      </w:rPr>
    </w:lvl>
    <w:lvl w:ilvl="1" w:tentative="0">
      <w:start w:val="1"/>
      <w:numFmt w:val="decimal"/>
      <w:lvlText w:val="%2."/>
      <w:lvlJc w:val="left"/>
      <w:pPr>
        <w:tabs>
          <w:tab w:val="left" w:pos="780"/>
        </w:tabs>
        <w:ind w:left="780" w:hanging="360"/>
      </w:pPr>
      <w:rPr>
        <w:rFonts w:hint="eastAsia"/>
      </w:r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4">
    <w:nsid w:val="6B056553"/>
    <w:multiLevelType w:val="multilevel"/>
    <w:tmpl w:val="6B056553"/>
    <w:lvl w:ilvl="0" w:tentative="0">
      <w:start w:val="1"/>
      <w:numFmt w:val="decimal"/>
      <w:pStyle w:val="15"/>
      <w:lvlText w:val="%1、"/>
      <w:lvlJc w:val="left"/>
      <w:pPr>
        <w:tabs>
          <w:tab w:val="left" w:pos="720"/>
        </w:tabs>
        <w:ind w:left="720" w:hanging="7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5">
    <w:nsid w:val="6CC76982"/>
    <w:multiLevelType w:val="multilevel"/>
    <w:tmpl w:val="6CC76982"/>
    <w:lvl w:ilvl="0" w:tentative="0">
      <w:start w:val="1"/>
      <w:numFmt w:val="decimal"/>
      <w:pStyle w:val="160"/>
      <w:lvlText w:val="%1."/>
      <w:lvlJc w:val="left"/>
      <w:pPr>
        <w:ind w:left="620" w:hanging="420"/>
      </w:pPr>
      <w:rPr>
        <w:rFonts w:hint="eastAsia"/>
      </w:rPr>
    </w:lvl>
    <w:lvl w:ilvl="1" w:tentative="0">
      <w:start w:val="1"/>
      <w:numFmt w:val="lowerLetter"/>
      <w:lvlText w:val="%2)"/>
      <w:lvlJc w:val="left"/>
      <w:pPr>
        <w:ind w:left="1040" w:hanging="420"/>
      </w:pPr>
    </w:lvl>
    <w:lvl w:ilvl="2" w:tentative="0">
      <w:start w:val="1"/>
      <w:numFmt w:val="lowerRoman"/>
      <w:lvlText w:val="%3."/>
      <w:lvlJc w:val="right"/>
      <w:pPr>
        <w:ind w:left="1460" w:hanging="420"/>
      </w:pPr>
    </w:lvl>
    <w:lvl w:ilvl="3" w:tentative="0">
      <w:start w:val="1"/>
      <w:numFmt w:val="decimal"/>
      <w:lvlText w:val="%4."/>
      <w:lvlJc w:val="left"/>
      <w:pPr>
        <w:ind w:left="1880" w:hanging="420"/>
      </w:pPr>
    </w:lvl>
    <w:lvl w:ilvl="4" w:tentative="0">
      <w:start w:val="1"/>
      <w:numFmt w:val="lowerLetter"/>
      <w:lvlText w:val="%5)"/>
      <w:lvlJc w:val="left"/>
      <w:pPr>
        <w:ind w:left="2300" w:hanging="420"/>
      </w:pPr>
    </w:lvl>
    <w:lvl w:ilvl="5" w:tentative="0">
      <w:start w:val="1"/>
      <w:numFmt w:val="lowerRoman"/>
      <w:lvlText w:val="%6."/>
      <w:lvlJc w:val="right"/>
      <w:pPr>
        <w:ind w:left="2720" w:hanging="420"/>
      </w:pPr>
    </w:lvl>
    <w:lvl w:ilvl="6" w:tentative="0">
      <w:start w:val="1"/>
      <w:numFmt w:val="decimal"/>
      <w:lvlText w:val="%7."/>
      <w:lvlJc w:val="left"/>
      <w:pPr>
        <w:ind w:left="3140" w:hanging="420"/>
      </w:pPr>
    </w:lvl>
    <w:lvl w:ilvl="7" w:tentative="0">
      <w:start w:val="1"/>
      <w:numFmt w:val="lowerLetter"/>
      <w:lvlText w:val="%8)"/>
      <w:lvlJc w:val="left"/>
      <w:pPr>
        <w:ind w:left="3560" w:hanging="420"/>
      </w:pPr>
    </w:lvl>
    <w:lvl w:ilvl="8" w:tentative="0">
      <w:start w:val="1"/>
      <w:numFmt w:val="lowerRoman"/>
      <w:lvlText w:val="%9."/>
      <w:lvlJc w:val="right"/>
      <w:pPr>
        <w:ind w:left="3980" w:hanging="420"/>
      </w:pPr>
    </w:lvl>
  </w:abstractNum>
  <w:abstractNum w:abstractNumId="26">
    <w:nsid w:val="733173BD"/>
    <w:multiLevelType w:val="multilevel"/>
    <w:tmpl w:val="733173BD"/>
    <w:lvl w:ilvl="0" w:tentative="0">
      <w:start w:val="1"/>
      <w:numFmt w:val="decimal"/>
      <w:pStyle w:val="61"/>
      <w:lvlText w:val="（%1）"/>
      <w:lvlJc w:val="left"/>
      <w:pPr>
        <w:tabs>
          <w:tab w:val="left" w:pos="720"/>
        </w:tabs>
        <w:ind w:left="720" w:hanging="7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7">
    <w:nsid w:val="793F41E1"/>
    <w:multiLevelType w:val="multilevel"/>
    <w:tmpl w:val="793F41E1"/>
    <w:lvl w:ilvl="0" w:tentative="0">
      <w:start w:val="1"/>
      <w:numFmt w:val="bullet"/>
      <w:lvlText w:val=""/>
      <w:lvlJc w:val="left"/>
      <w:pPr>
        <w:ind w:left="420" w:hanging="420"/>
      </w:pPr>
      <w:rPr>
        <w:rFonts w:hint="default" w:ascii="Wingdings" w:hAnsi="Wingdings"/>
      </w:rPr>
    </w:lvl>
    <w:lvl w:ilvl="1" w:tentative="0">
      <w:start w:val="1"/>
      <w:numFmt w:val="bullet"/>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28">
    <w:nsid w:val="7F2C2133"/>
    <w:multiLevelType w:val="multilevel"/>
    <w:tmpl w:val="7F2C2133"/>
    <w:lvl w:ilvl="0" w:tentative="0">
      <w:start w:val="1"/>
      <w:numFmt w:val="decimal"/>
      <w:lvlText w:val="%1．"/>
      <w:lvlJc w:val="left"/>
      <w:pPr>
        <w:tabs>
          <w:tab w:val="left" w:pos="720"/>
        </w:tabs>
        <w:ind w:left="720" w:hanging="720"/>
      </w:pPr>
      <w:rPr>
        <w:rFonts w:hint="eastAsia"/>
      </w:rPr>
    </w:lvl>
    <w:lvl w:ilvl="1" w:tentative="0">
      <w:start w:val="1"/>
      <w:numFmt w:val="decimal"/>
      <w:lvlText w:val="（%2）"/>
      <w:lvlJc w:val="left"/>
      <w:pPr>
        <w:tabs>
          <w:tab w:val="left" w:pos="1140"/>
        </w:tabs>
        <w:ind w:left="1140" w:hanging="720"/>
      </w:pPr>
      <w:rPr>
        <w:rFonts w:hint="eastAsia"/>
      </w:rPr>
    </w:lvl>
    <w:lvl w:ilvl="2" w:tentative="0">
      <w:start w:val="1"/>
      <w:numFmt w:val="lowerRoman"/>
      <w:pStyle w:val="246"/>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20"/>
  </w:num>
  <w:num w:numId="2">
    <w:abstractNumId w:val="24"/>
  </w:num>
  <w:num w:numId="3">
    <w:abstractNumId w:val="0"/>
  </w:num>
  <w:num w:numId="4">
    <w:abstractNumId w:val="13"/>
  </w:num>
  <w:num w:numId="5">
    <w:abstractNumId w:val="16"/>
  </w:num>
  <w:num w:numId="6">
    <w:abstractNumId w:val="14"/>
  </w:num>
  <w:num w:numId="7">
    <w:abstractNumId w:val="3"/>
  </w:num>
  <w:num w:numId="8">
    <w:abstractNumId w:val="23"/>
  </w:num>
  <w:num w:numId="9">
    <w:abstractNumId w:val="18"/>
  </w:num>
  <w:num w:numId="10">
    <w:abstractNumId w:val="26"/>
  </w:num>
  <w:num w:numId="11">
    <w:abstractNumId w:val="7"/>
  </w:num>
  <w:num w:numId="12">
    <w:abstractNumId w:val="12"/>
  </w:num>
  <w:num w:numId="13">
    <w:abstractNumId w:val="25"/>
  </w:num>
  <w:num w:numId="14">
    <w:abstractNumId w:val="22"/>
  </w:num>
  <w:num w:numId="15">
    <w:abstractNumId w:val="28"/>
  </w:num>
  <w:num w:numId="16">
    <w:abstractNumId w:val="5"/>
  </w:num>
  <w:num w:numId="17">
    <w:abstractNumId w:val="10"/>
  </w:num>
  <w:num w:numId="18">
    <w:abstractNumId w:val="9"/>
  </w:num>
  <w:num w:numId="19">
    <w:abstractNumId w:val="1"/>
  </w:num>
  <w:num w:numId="20">
    <w:abstractNumId w:val="8"/>
  </w:num>
  <w:num w:numId="21">
    <w:abstractNumId w:val="4"/>
  </w:num>
  <w:num w:numId="22">
    <w:abstractNumId w:val="15"/>
  </w:num>
  <w:num w:numId="23">
    <w:abstractNumId w:val="17"/>
  </w:num>
  <w:num w:numId="24">
    <w:abstractNumId w:val="19"/>
  </w:num>
  <w:num w:numId="25">
    <w:abstractNumId w:val="27"/>
  </w:num>
  <w:num w:numId="26">
    <w:abstractNumId w:val="2"/>
  </w:num>
  <w:num w:numId="27">
    <w:abstractNumId w:val="6"/>
  </w:num>
  <w:num w:numId="2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0"/>
  <w:bordersDoNotSurroundFooter w:val="0"/>
  <w:hideSpelling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5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TdmNThkMDhlMzk2Yzc4NTAzZjA3MWM4YmRjYTUwOGQifQ=="/>
  </w:docVars>
  <w:rsids>
    <w:rsidRoot w:val="00172A27"/>
    <w:rsid w:val="000045E2"/>
    <w:rsid w:val="00004DB1"/>
    <w:rsid w:val="0000565F"/>
    <w:rsid w:val="0000706E"/>
    <w:rsid w:val="00007327"/>
    <w:rsid w:val="00012AA3"/>
    <w:rsid w:val="0001387A"/>
    <w:rsid w:val="00014DEF"/>
    <w:rsid w:val="00015FD9"/>
    <w:rsid w:val="000179DD"/>
    <w:rsid w:val="000256A0"/>
    <w:rsid w:val="00026E8E"/>
    <w:rsid w:val="00030122"/>
    <w:rsid w:val="00031CF6"/>
    <w:rsid w:val="00031E9E"/>
    <w:rsid w:val="000330FC"/>
    <w:rsid w:val="00034B68"/>
    <w:rsid w:val="00043646"/>
    <w:rsid w:val="00046AC3"/>
    <w:rsid w:val="00047FD8"/>
    <w:rsid w:val="00051F6C"/>
    <w:rsid w:val="000551BA"/>
    <w:rsid w:val="0006161D"/>
    <w:rsid w:val="00065275"/>
    <w:rsid w:val="00065E8B"/>
    <w:rsid w:val="00066304"/>
    <w:rsid w:val="00066574"/>
    <w:rsid w:val="000676BE"/>
    <w:rsid w:val="00067E36"/>
    <w:rsid w:val="00071404"/>
    <w:rsid w:val="00073F0A"/>
    <w:rsid w:val="00075DA8"/>
    <w:rsid w:val="0007656D"/>
    <w:rsid w:val="000846F7"/>
    <w:rsid w:val="00086721"/>
    <w:rsid w:val="00087EB1"/>
    <w:rsid w:val="000905A8"/>
    <w:rsid w:val="00094B74"/>
    <w:rsid w:val="000A688F"/>
    <w:rsid w:val="000B03D3"/>
    <w:rsid w:val="000B1405"/>
    <w:rsid w:val="000B15AB"/>
    <w:rsid w:val="000B28F8"/>
    <w:rsid w:val="000B66D7"/>
    <w:rsid w:val="000C27BA"/>
    <w:rsid w:val="000C6C52"/>
    <w:rsid w:val="000E0F0C"/>
    <w:rsid w:val="000E2D5B"/>
    <w:rsid w:val="000F1918"/>
    <w:rsid w:val="000F2314"/>
    <w:rsid w:val="000F462F"/>
    <w:rsid w:val="000F5107"/>
    <w:rsid w:val="000F6539"/>
    <w:rsid w:val="000F74ED"/>
    <w:rsid w:val="001039FE"/>
    <w:rsid w:val="0010558E"/>
    <w:rsid w:val="001106C5"/>
    <w:rsid w:val="00111C6A"/>
    <w:rsid w:val="00112ABE"/>
    <w:rsid w:val="001134F5"/>
    <w:rsid w:val="00113616"/>
    <w:rsid w:val="00113910"/>
    <w:rsid w:val="001204EF"/>
    <w:rsid w:val="0012273F"/>
    <w:rsid w:val="0012479C"/>
    <w:rsid w:val="0012769D"/>
    <w:rsid w:val="001303BC"/>
    <w:rsid w:val="001324E4"/>
    <w:rsid w:val="00137014"/>
    <w:rsid w:val="001422FA"/>
    <w:rsid w:val="001452EA"/>
    <w:rsid w:val="00145926"/>
    <w:rsid w:val="00150809"/>
    <w:rsid w:val="001567C7"/>
    <w:rsid w:val="00157262"/>
    <w:rsid w:val="001623ED"/>
    <w:rsid w:val="00165317"/>
    <w:rsid w:val="00165A79"/>
    <w:rsid w:val="001713EE"/>
    <w:rsid w:val="0017615F"/>
    <w:rsid w:val="0018088B"/>
    <w:rsid w:val="00184037"/>
    <w:rsid w:val="0019343C"/>
    <w:rsid w:val="001A1B0C"/>
    <w:rsid w:val="001A7FF6"/>
    <w:rsid w:val="001C5A24"/>
    <w:rsid w:val="001C71B1"/>
    <w:rsid w:val="001D40D3"/>
    <w:rsid w:val="001E530B"/>
    <w:rsid w:val="001E6421"/>
    <w:rsid w:val="001F157B"/>
    <w:rsid w:val="001F354A"/>
    <w:rsid w:val="001F4A3C"/>
    <w:rsid w:val="001F680C"/>
    <w:rsid w:val="00201B24"/>
    <w:rsid w:val="0020271C"/>
    <w:rsid w:val="0021022C"/>
    <w:rsid w:val="00215577"/>
    <w:rsid w:val="002208AC"/>
    <w:rsid w:val="002308C7"/>
    <w:rsid w:val="00234B31"/>
    <w:rsid w:val="00234BF8"/>
    <w:rsid w:val="00235999"/>
    <w:rsid w:val="00240C21"/>
    <w:rsid w:val="00244E71"/>
    <w:rsid w:val="002455D7"/>
    <w:rsid w:val="0024610C"/>
    <w:rsid w:val="00250704"/>
    <w:rsid w:val="002511C0"/>
    <w:rsid w:val="002513CB"/>
    <w:rsid w:val="002548F6"/>
    <w:rsid w:val="00261B09"/>
    <w:rsid w:val="00262A1F"/>
    <w:rsid w:val="002667AE"/>
    <w:rsid w:val="00267CE4"/>
    <w:rsid w:val="00272FF7"/>
    <w:rsid w:val="002731AF"/>
    <w:rsid w:val="00273AED"/>
    <w:rsid w:val="00287146"/>
    <w:rsid w:val="0029116D"/>
    <w:rsid w:val="002955F4"/>
    <w:rsid w:val="00296BD7"/>
    <w:rsid w:val="002A1E22"/>
    <w:rsid w:val="002A6B70"/>
    <w:rsid w:val="002B195C"/>
    <w:rsid w:val="002B471C"/>
    <w:rsid w:val="002C0E8F"/>
    <w:rsid w:val="002C12C8"/>
    <w:rsid w:val="002C16CE"/>
    <w:rsid w:val="002C4D66"/>
    <w:rsid w:val="002C64AA"/>
    <w:rsid w:val="002C690E"/>
    <w:rsid w:val="002C73A4"/>
    <w:rsid w:val="002C772E"/>
    <w:rsid w:val="002D19DE"/>
    <w:rsid w:val="002D6F9B"/>
    <w:rsid w:val="002E373C"/>
    <w:rsid w:val="002F2C2B"/>
    <w:rsid w:val="002F660E"/>
    <w:rsid w:val="0030418D"/>
    <w:rsid w:val="00312F4C"/>
    <w:rsid w:val="00317B39"/>
    <w:rsid w:val="00323529"/>
    <w:rsid w:val="0032400E"/>
    <w:rsid w:val="00324831"/>
    <w:rsid w:val="00325C59"/>
    <w:rsid w:val="00326FE1"/>
    <w:rsid w:val="0033279B"/>
    <w:rsid w:val="00332894"/>
    <w:rsid w:val="00341F15"/>
    <w:rsid w:val="00347B6D"/>
    <w:rsid w:val="00355B24"/>
    <w:rsid w:val="00356A5A"/>
    <w:rsid w:val="003620A7"/>
    <w:rsid w:val="00371E71"/>
    <w:rsid w:val="00373C76"/>
    <w:rsid w:val="00385FE2"/>
    <w:rsid w:val="00386324"/>
    <w:rsid w:val="00393E8C"/>
    <w:rsid w:val="00397CBE"/>
    <w:rsid w:val="003A266D"/>
    <w:rsid w:val="003A37BB"/>
    <w:rsid w:val="003A4706"/>
    <w:rsid w:val="003A7FD0"/>
    <w:rsid w:val="003B1223"/>
    <w:rsid w:val="003B4F50"/>
    <w:rsid w:val="003B6D27"/>
    <w:rsid w:val="003C0215"/>
    <w:rsid w:val="003C2C89"/>
    <w:rsid w:val="003C57D8"/>
    <w:rsid w:val="003D3535"/>
    <w:rsid w:val="003D5D39"/>
    <w:rsid w:val="003E025B"/>
    <w:rsid w:val="003E5485"/>
    <w:rsid w:val="003E5B24"/>
    <w:rsid w:val="003E62BA"/>
    <w:rsid w:val="003F393D"/>
    <w:rsid w:val="003F5002"/>
    <w:rsid w:val="003F57DD"/>
    <w:rsid w:val="00400066"/>
    <w:rsid w:val="00402E32"/>
    <w:rsid w:val="00415D89"/>
    <w:rsid w:val="004170B0"/>
    <w:rsid w:val="004170B1"/>
    <w:rsid w:val="00417403"/>
    <w:rsid w:val="00424F10"/>
    <w:rsid w:val="00436178"/>
    <w:rsid w:val="00441D4A"/>
    <w:rsid w:val="004433E2"/>
    <w:rsid w:val="00443432"/>
    <w:rsid w:val="00447AE9"/>
    <w:rsid w:val="00455CB1"/>
    <w:rsid w:val="004600BD"/>
    <w:rsid w:val="00460EFA"/>
    <w:rsid w:val="0046197D"/>
    <w:rsid w:val="00461F2C"/>
    <w:rsid w:val="004704C5"/>
    <w:rsid w:val="00476382"/>
    <w:rsid w:val="00477231"/>
    <w:rsid w:val="00482F90"/>
    <w:rsid w:val="00486982"/>
    <w:rsid w:val="00491147"/>
    <w:rsid w:val="00491FBD"/>
    <w:rsid w:val="004933FE"/>
    <w:rsid w:val="004945F4"/>
    <w:rsid w:val="0049472F"/>
    <w:rsid w:val="00497061"/>
    <w:rsid w:val="004B0B74"/>
    <w:rsid w:val="004B3614"/>
    <w:rsid w:val="004C7B88"/>
    <w:rsid w:val="004D7087"/>
    <w:rsid w:val="004E5A97"/>
    <w:rsid w:val="004F397D"/>
    <w:rsid w:val="004F5626"/>
    <w:rsid w:val="005010A5"/>
    <w:rsid w:val="00501293"/>
    <w:rsid w:val="00503ACD"/>
    <w:rsid w:val="005059EB"/>
    <w:rsid w:val="00520D14"/>
    <w:rsid w:val="005264D0"/>
    <w:rsid w:val="005319B0"/>
    <w:rsid w:val="00533CAD"/>
    <w:rsid w:val="00541B5D"/>
    <w:rsid w:val="0054401A"/>
    <w:rsid w:val="0054553C"/>
    <w:rsid w:val="00552E0B"/>
    <w:rsid w:val="00553065"/>
    <w:rsid w:val="00554AB6"/>
    <w:rsid w:val="00561069"/>
    <w:rsid w:val="00563931"/>
    <w:rsid w:val="0056479A"/>
    <w:rsid w:val="00573FA5"/>
    <w:rsid w:val="005800AB"/>
    <w:rsid w:val="005805EB"/>
    <w:rsid w:val="00581711"/>
    <w:rsid w:val="00587E89"/>
    <w:rsid w:val="005919A4"/>
    <w:rsid w:val="00596006"/>
    <w:rsid w:val="00597900"/>
    <w:rsid w:val="005A7C71"/>
    <w:rsid w:val="005B0F95"/>
    <w:rsid w:val="005B13A4"/>
    <w:rsid w:val="005B17B2"/>
    <w:rsid w:val="005C60A9"/>
    <w:rsid w:val="005C735D"/>
    <w:rsid w:val="005C7595"/>
    <w:rsid w:val="005E0B2C"/>
    <w:rsid w:val="005F02A5"/>
    <w:rsid w:val="005F16B7"/>
    <w:rsid w:val="006002BF"/>
    <w:rsid w:val="0060050D"/>
    <w:rsid w:val="006023D6"/>
    <w:rsid w:val="00604D56"/>
    <w:rsid w:val="00610BD5"/>
    <w:rsid w:val="00611BD7"/>
    <w:rsid w:val="006132A1"/>
    <w:rsid w:val="00616E54"/>
    <w:rsid w:val="00617D55"/>
    <w:rsid w:val="00621A74"/>
    <w:rsid w:val="00625BFC"/>
    <w:rsid w:val="00634703"/>
    <w:rsid w:val="0064013F"/>
    <w:rsid w:val="0064238B"/>
    <w:rsid w:val="00643D68"/>
    <w:rsid w:val="006556F8"/>
    <w:rsid w:val="006635C7"/>
    <w:rsid w:val="00664198"/>
    <w:rsid w:val="00690923"/>
    <w:rsid w:val="00691B17"/>
    <w:rsid w:val="00691F6C"/>
    <w:rsid w:val="006937B3"/>
    <w:rsid w:val="006A0CD5"/>
    <w:rsid w:val="006A2D3B"/>
    <w:rsid w:val="006B38BA"/>
    <w:rsid w:val="006C1E7A"/>
    <w:rsid w:val="006C1F9E"/>
    <w:rsid w:val="006C3027"/>
    <w:rsid w:val="006C6070"/>
    <w:rsid w:val="006D0336"/>
    <w:rsid w:val="006D2F4F"/>
    <w:rsid w:val="006D321D"/>
    <w:rsid w:val="006D327D"/>
    <w:rsid w:val="006D480A"/>
    <w:rsid w:val="006D4A41"/>
    <w:rsid w:val="006E0969"/>
    <w:rsid w:val="006E130F"/>
    <w:rsid w:val="006E277C"/>
    <w:rsid w:val="006E5B54"/>
    <w:rsid w:val="006F33AC"/>
    <w:rsid w:val="006F368D"/>
    <w:rsid w:val="006F6E15"/>
    <w:rsid w:val="0070238E"/>
    <w:rsid w:val="007028D6"/>
    <w:rsid w:val="00706011"/>
    <w:rsid w:val="00712ADC"/>
    <w:rsid w:val="007168DB"/>
    <w:rsid w:val="007175E3"/>
    <w:rsid w:val="00717A7D"/>
    <w:rsid w:val="007204ED"/>
    <w:rsid w:val="007222E9"/>
    <w:rsid w:val="0074087D"/>
    <w:rsid w:val="00742E82"/>
    <w:rsid w:val="00746053"/>
    <w:rsid w:val="00750C5B"/>
    <w:rsid w:val="00752967"/>
    <w:rsid w:val="00753279"/>
    <w:rsid w:val="007658C5"/>
    <w:rsid w:val="00766A3E"/>
    <w:rsid w:val="00771173"/>
    <w:rsid w:val="007749FA"/>
    <w:rsid w:val="007766B8"/>
    <w:rsid w:val="007908B8"/>
    <w:rsid w:val="007941D0"/>
    <w:rsid w:val="00795E68"/>
    <w:rsid w:val="00796973"/>
    <w:rsid w:val="00796AD5"/>
    <w:rsid w:val="007A1057"/>
    <w:rsid w:val="007A42CC"/>
    <w:rsid w:val="007A6232"/>
    <w:rsid w:val="007B03DF"/>
    <w:rsid w:val="007B058F"/>
    <w:rsid w:val="007B5AF0"/>
    <w:rsid w:val="007B6C27"/>
    <w:rsid w:val="007C3F0D"/>
    <w:rsid w:val="007D7EC9"/>
    <w:rsid w:val="007E6FAF"/>
    <w:rsid w:val="007F48E0"/>
    <w:rsid w:val="007F4D34"/>
    <w:rsid w:val="007F5442"/>
    <w:rsid w:val="00800F6D"/>
    <w:rsid w:val="0080143A"/>
    <w:rsid w:val="00801CCC"/>
    <w:rsid w:val="008069DB"/>
    <w:rsid w:val="00806E2D"/>
    <w:rsid w:val="00807A2A"/>
    <w:rsid w:val="00813A80"/>
    <w:rsid w:val="00813B05"/>
    <w:rsid w:val="008200A1"/>
    <w:rsid w:val="00824650"/>
    <w:rsid w:val="00827B0D"/>
    <w:rsid w:val="00835677"/>
    <w:rsid w:val="0084005D"/>
    <w:rsid w:val="00841FDF"/>
    <w:rsid w:val="00844D0A"/>
    <w:rsid w:val="00845398"/>
    <w:rsid w:val="00846CDF"/>
    <w:rsid w:val="00860CBC"/>
    <w:rsid w:val="00862A4B"/>
    <w:rsid w:val="00865DF8"/>
    <w:rsid w:val="0086682F"/>
    <w:rsid w:val="0087511A"/>
    <w:rsid w:val="008805EE"/>
    <w:rsid w:val="008850A3"/>
    <w:rsid w:val="008870C1"/>
    <w:rsid w:val="0089242D"/>
    <w:rsid w:val="00896E3A"/>
    <w:rsid w:val="008A2EE9"/>
    <w:rsid w:val="008A2F71"/>
    <w:rsid w:val="008A5F27"/>
    <w:rsid w:val="008B380F"/>
    <w:rsid w:val="008B630C"/>
    <w:rsid w:val="008C0130"/>
    <w:rsid w:val="008C0322"/>
    <w:rsid w:val="008C6601"/>
    <w:rsid w:val="008C67A4"/>
    <w:rsid w:val="008D0891"/>
    <w:rsid w:val="008D529B"/>
    <w:rsid w:val="008D6FD8"/>
    <w:rsid w:val="008E13A1"/>
    <w:rsid w:val="008F2318"/>
    <w:rsid w:val="008F2409"/>
    <w:rsid w:val="008F34DA"/>
    <w:rsid w:val="008F3961"/>
    <w:rsid w:val="008F71D9"/>
    <w:rsid w:val="00902CE6"/>
    <w:rsid w:val="00911E6B"/>
    <w:rsid w:val="00912B25"/>
    <w:rsid w:val="00912BBD"/>
    <w:rsid w:val="0091481B"/>
    <w:rsid w:val="00921825"/>
    <w:rsid w:val="00921BFD"/>
    <w:rsid w:val="0092250B"/>
    <w:rsid w:val="00924EDE"/>
    <w:rsid w:val="00930098"/>
    <w:rsid w:val="00940EBB"/>
    <w:rsid w:val="0094227F"/>
    <w:rsid w:val="009459AC"/>
    <w:rsid w:val="00946BC2"/>
    <w:rsid w:val="00950B79"/>
    <w:rsid w:val="00965539"/>
    <w:rsid w:val="00966609"/>
    <w:rsid w:val="00966F56"/>
    <w:rsid w:val="009714C6"/>
    <w:rsid w:val="00973428"/>
    <w:rsid w:val="00975ADE"/>
    <w:rsid w:val="009807D2"/>
    <w:rsid w:val="00982938"/>
    <w:rsid w:val="009869A0"/>
    <w:rsid w:val="0099230D"/>
    <w:rsid w:val="009937B5"/>
    <w:rsid w:val="00993C02"/>
    <w:rsid w:val="009A0CD3"/>
    <w:rsid w:val="009A1C33"/>
    <w:rsid w:val="009A342D"/>
    <w:rsid w:val="009A46F6"/>
    <w:rsid w:val="009A7079"/>
    <w:rsid w:val="009B107E"/>
    <w:rsid w:val="009B11CC"/>
    <w:rsid w:val="009B3256"/>
    <w:rsid w:val="009B5904"/>
    <w:rsid w:val="009C0928"/>
    <w:rsid w:val="009C1405"/>
    <w:rsid w:val="009C256B"/>
    <w:rsid w:val="009C28DA"/>
    <w:rsid w:val="009C29ED"/>
    <w:rsid w:val="009C38C6"/>
    <w:rsid w:val="009C4A3B"/>
    <w:rsid w:val="009C5021"/>
    <w:rsid w:val="009C6B9C"/>
    <w:rsid w:val="009D44FB"/>
    <w:rsid w:val="009D4B6D"/>
    <w:rsid w:val="009D526E"/>
    <w:rsid w:val="009D7D0C"/>
    <w:rsid w:val="009E0C11"/>
    <w:rsid w:val="009E21B7"/>
    <w:rsid w:val="009E53B8"/>
    <w:rsid w:val="009E742C"/>
    <w:rsid w:val="009F0368"/>
    <w:rsid w:val="009F0CEE"/>
    <w:rsid w:val="009F265A"/>
    <w:rsid w:val="00A005EC"/>
    <w:rsid w:val="00A023E9"/>
    <w:rsid w:val="00A05501"/>
    <w:rsid w:val="00A106E0"/>
    <w:rsid w:val="00A10E83"/>
    <w:rsid w:val="00A12CB9"/>
    <w:rsid w:val="00A144D5"/>
    <w:rsid w:val="00A14AB8"/>
    <w:rsid w:val="00A14ECB"/>
    <w:rsid w:val="00A155EF"/>
    <w:rsid w:val="00A16BB2"/>
    <w:rsid w:val="00A16F69"/>
    <w:rsid w:val="00A17922"/>
    <w:rsid w:val="00A20E59"/>
    <w:rsid w:val="00A25384"/>
    <w:rsid w:val="00A36228"/>
    <w:rsid w:val="00A37303"/>
    <w:rsid w:val="00A378D6"/>
    <w:rsid w:val="00A4073C"/>
    <w:rsid w:val="00A42FFD"/>
    <w:rsid w:val="00A46D1B"/>
    <w:rsid w:val="00A46EBB"/>
    <w:rsid w:val="00A4717D"/>
    <w:rsid w:val="00A5565F"/>
    <w:rsid w:val="00A568B9"/>
    <w:rsid w:val="00A61142"/>
    <w:rsid w:val="00A64A1A"/>
    <w:rsid w:val="00A6744A"/>
    <w:rsid w:val="00A67F77"/>
    <w:rsid w:val="00A706A8"/>
    <w:rsid w:val="00A70811"/>
    <w:rsid w:val="00A73C55"/>
    <w:rsid w:val="00A75446"/>
    <w:rsid w:val="00A75BA7"/>
    <w:rsid w:val="00A8147B"/>
    <w:rsid w:val="00A9481C"/>
    <w:rsid w:val="00A951FE"/>
    <w:rsid w:val="00AA274B"/>
    <w:rsid w:val="00AA3275"/>
    <w:rsid w:val="00AA6A2C"/>
    <w:rsid w:val="00AB2F37"/>
    <w:rsid w:val="00AC1F80"/>
    <w:rsid w:val="00AC6CCB"/>
    <w:rsid w:val="00AC7F8B"/>
    <w:rsid w:val="00AD16D1"/>
    <w:rsid w:val="00AD3355"/>
    <w:rsid w:val="00AE2B16"/>
    <w:rsid w:val="00AE6B74"/>
    <w:rsid w:val="00AF238E"/>
    <w:rsid w:val="00AF6335"/>
    <w:rsid w:val="00B02872"/>
    <w:rsid w:val="00B048EE"/>
    <w:rsid w:val="00B14856"/>
    <w:rsid w:val="00B174DC"/>
    <w:rsid w:val="00B17F04"/>
    <w:rsid w:val="00B20020"/>
    <w:rsid w:val="00B21D38"/>
    <w:rsid w:val="00B22E27"/>
    <w:rsid w:val="00B25AD2"/>
    <w:rsid w:val="00B27AF8"/>
    <w:rsid w:val="00B37F5D"/>
    <w:rsid w:val="00B50CBA"/>
    <w:rsid w:val="00B5251D"/>
    <w:rsid w:val="00B54AC1"/>
    <w:rsid w:val="00B649CA"/>
    <w:rsid w:val="00B713FC"/>
    <w:rsid w:val="00B7144A"/>
    <w:rsid w:val="00B77F35"/>
    <w:rsid w:val="00B8044D"/>
    <w:rsid w:val="00B80BB3"/>
    <w:rsid w:val="00B86CD2"/>
    <w:rsid w:val="00B90635"/>
    <w:rsid w:val="00B9094B"/>
    <w:rsid w:val="00B9783B"/>
    <w:rsid w:val="00B9794B"/>
    <w:rsid w:val="00BA17BE"/>
    <w:rsid w:val="00BA41E2"/>
    <w:rsid w:val="00BA4825"/>
    <w:rsid w:val="00BB0B5E"/>
    <w:rsid w:val="00BB0DED"/>
    <w:rsid w:val="00BB2D2A"/>
    <w:rsid w:val="00BB3489"/>
    <w:rsid w:val="00BB46ED"/>
    <w:rsid w:val="00BB7D28"/>
    <w:rsid w:val="00BC04C0"/>
    <w:rsid w:val="00BC27AD"/>
    <w:rsid w:val="00BC5373"/>
    <w:rsid w:val="00BC5D9F"/>
    <w:rsid w:val="00BC6FFC"/>
    <w:rsid w:val="00BD135C"/>
    <w:rsid w:val="00BD19B2"/>
    <w:rsid w:val="00BD2984"/>
    <w:rsid w:val="00BD2ACC"/>
    <w:rsid w:val="00BD3F93"/>
    <w:rsid w:val="00BD44F2"/>
    <w:rsid w:val="00BD49D8"/>
    <w:rsid w:val="00BE6DCD"/>
    <w:rsid w:val="00BF0355"/>
    <w:rsid w:val="00BF2AA8"/>
    <w:rsid w:val="00BF3138"/>
    <w:rsid w:val="00BF42CC"/>
    <w:rsid w:val="00C0242D"/>
    <w:rsid w:val="00C10AFA"/>
    <w:rsid w:val="00C10EC4"/>
    <w:rsid w:val="00C1160A"/>
    <w:rsid w:val="00C15BED"/>
    <w:rsid w:val="00C15C17"/>
    <w:rsid w:val="00C22C7E"/>
    <w:rsid w:val="00C25AA6"/>
    <w:rsid w:val="00C26121"/>
    <w:rsid w:val="00C27BB3"/>
    <w:rsid w:val="00C30634"/>
    <w:rsid w:val="00C316E6"/>
    <w:rsid w:val="00C33666"/>
    <w:rsid w:val="00C358D0"/>
    <w:rsid w:val="00C35ACE"/>
    <w:rsid w:val="00C372BF"/>
    <w:rsid w:val="00C439F3"/>
    <w:rsid w:val="00C455DC"/>
    <w:rsid w:val="00C4750A"/>
    <w:rsid w:val="00C54B37"/>
    <w:rsid w:val="00C55EAE"/>
    <w:rsid w:val="00C60822"/>
    <w:rsid w:val="00C66B5B"/>
    <w:rsid w:val="00C679DC"/>
    <w:rsid w:val="00C72343"/>
    <w:rsid w:val="00C742C3"/>
    <w:rsid w:val="00C76C3A"/>
    <w:rsid w:val="00CA37B7"/>
    <w:rsid w:val="00CA5FF9"/>
    <w:rsid w:val="00CB0523"/>
    <w:rsid w:val="00CB0B87"/>
    <w:rsid w:val="00CB6C4D"/>
    <w:rsid w:val="00CB71A3"/>
    <w:rsid w:val="00CB745B"/>
    <w:rsid w:val="00CC22B0"/>
    <w:rsid w:val="00CC241E"/>
    <w:rsid w:val="00CC26D0"/>
    <w:rsid w:val="00CC3B68"/>
    <w:rsid w:val="00CC4E04"/>
    <w:rsid w:val="00CD0183"/>
    <w:rsid w:val="00CD3D52"/>
    <w:rsid w:val="00CD6BAE"/>
    <w:rsid w:val="00CE126A"/>
    <w:rsid w:val="00CE686D"/>
    <w:rsid w:val="00CF0865"/>
    <w:rsid w:val="00CF43D4"/>
    <w:rsid w:val="00CF6C01"/>
    <w:rsid w:val="00CF73DF"/>
    <w:rsid w:val="00CF754F"/>
    <w:rsid w:val="00D126D9"/>
    <w:rsid w:val="00D12745"/>
    <w:rsid w:val="00D13E23"/>
    <w:rsid w:val="00D13FA5"/>
    <w:rsid w:val="00D154D2"/>
    <w:rsid w:val="00D161F8"/>
    <w:rsid w:val="00D16A9F"/>
    <w:rsid w:val="00D16B1A"/>
    <w:rsid w:val="00D22BEE"/>
    <w:rsid w:val="00D25566"/>
    <w:rsid w:val="00D326D3"/>
    <w:rsid w:val="00D51838"/>
    <w:rsid w:val="00D56175"/>
    <w:rsid w:val="00D60836"/>
    <w:rsid w:val="00D6243F"/>
    <w:rsid w:val="00D64D1A"/>
    <w:rsid w:val="00D650EA"/>
    <w:rsid w:val="00D73BDA"/>
    <w:rsid w:val="00D75C24"/>
    <w:rsid w:val="00D77DD6"/>
    <w:rsid w:val="00D8509C"/>
    <w:rsid w:val="00D853E4"/>
    <w:rsid w:val="00D86399"/>
    <w:rsid w:val="00D9121E"/>
    <w:rsid w:val="00DA12BE"/>
    <w:rsid w:val="00DB246D"/>
    <w:rsid w:val="00DB338B"/>
    <w:rsid w:val="00DB5D2B"/>
    <w:rsid w:val="00DC0FF9"/>
    <w:rsid w:val="00DC1416"/>
    <w:rsid w:val="00DD1B7A"/>
    <w:rsid w:val="00DD2942"/>
    <w:rsid w:val="00DD2CBD"/>
    <w:rsid w:val="00DD540D"/>
    <w:rsid w:val="00DD7F1D"/>
    <w:rsid w:val="00DE0044"/>
    <w:rsid w:val="00DE0498"/>
    <w:rsid w:val="00DE629E"/>
    <w:rsid w:val="00DE7724"/>
    <w:rsid w:val="00DF05E5"/>
    <w:rsid w:val="00DF064E"/>
    <w:rsid w:val="00DF1F59"/>
    <w:rsid w:val="00DF25A1"/>
    <w:rsid w:val="00DF2BDA"/>
    <w:rsid w:val="00DF7943"/>
    <w:rsid w:val="00DF7CDC"/>
    <w:rsid w:val="00E02BDC"/>
    <w:rsid w:val="00E0397C"/>
    <w:rsid w:val="00E1056E"/>
    <w:rsid w:val="00E10922"/>
    <w:rsid w:val="00E10BDE"/>
    <w:rsid w:val="00E1244B"/>
    <w:rsid w:val="00E13363"/>
    <w:rsid w:val="00E13DA1"/>
    <w:rsid w:val="00E1627D"/>
    <w:rsid w:val="00E1656C"/>
    <w:rsid w:val="00E201A9"/>
    <w:rsid w:val="00E20D8F"/>
    <w:rsid w:val="00E22A2F"/>
    <w:rsid w:val="00E24555"/>
    <w:rsid w:val="00E3175C"/>
    <w:rsid w:val="00E37108"/>
    <w:rsid w:val="00E41B9E"/>
    <w:rsid w:val="00E54051"/>
    <w:rsid w:val="00E60CD1"/>
    <w:rsid w:val="00E81EAF"/>
    <w:rsid w:val="00E82104"/>
    <w:rsid w:val="00E848AE"/>
    <w:rsid w:val="00E857FB"/>
    <w:rsid w:val="00E86036"/>
    <w:rsid w:val="00EA05BE"/>
    <w:rsid w:val="00EB338A"/>
    <w:rsid w:val="00EC15D3"/>
    <w:rsid w:val="00ED572E"/>
    <w:rsid w:val="00ED7BFB"/>
    <w:rsid w:val="00EE3FD5"/>
    <w:rsid w:val="00EF0004"/>
    <w:rsid w:val="00EF6BB9"/>
    <w:rsid w:val="00F01740"/>
    <w:rsid w:val="00F03A9D"/>
    <w:rsid w:val="00F05F21"/>
    <w:rsid w:val="00F221F3"/>
    <w:rsid w:val="00F24502"/>
    <w:rsid w:val="00F26B78"/>
    <w:rsid w:val="00F30D6F"/>
    <w:rsid w:val="00F320B7"/>
    <w:rsid w:val="00F32C97"/>
    <w:rsid w:val="00F33DD4"/>
    <w:rsid w:val="00F34D85"/>
    <w:rsid w:val="00F37DC8"/>
    <w:rsid w:val="00F41DDE"/>
    <w:rsid w:val="00F50FA6"/>
    <w:rsid w:val="00F5215D"/>
    <w:rsid w:val="00F52869"/>
    <w:rsid w:val="00F54044"/>
    <w:rsid w:val="00F61007"/>
    <w:rsid w:val="00F6247F"/>
    <w:rsid w:val="00F631A6"/>
    <w:rsid w:val="00F648B5"/>
    <w:rsid w:val="00F651B3"/>
    <w:rsid w:val="00F71C1C"/>
    <w:rsid w:val="00F80A0C"/>
    <w:rsid w:val="00F8170C"/>
    <w:rsid w:val="00F87680"/>
    <w:rsid w:val="00F87FEA"/>
    <w:rsid w:val="00F946AB"/>
    <w:rsid w:val="00F961C2"/>
    <w:rsid w:val="00F96756"/>
    <w:rsid w:val="00FA7742"/>
    <w:rsid w:val="00FB6F13"/>
    <w:rsid w:val="00FB7424"/>
    <w:rsid w:val="00FC0847"/>
    <w:rsid w:val="00FC1596"/>
    <w:rsid w:val="00FD04C4"/>
    <w:rsid w:val="00FD27AB"/>
    <w:rsid w:val="00FD3872"/>
    <w:rsid w:val="00FE1C99"/>
    <w:rsid w:val="00FE2E4E"/>
    <w:rsid w:val="00FE799E"/>
    <w:rsid w:val="00FF0957"/>
    <w:rsid w:val="00FF4413"/>
    <w:rsid w:val="00FF525F"/>
    <w:rsid w:val="00FF7EE9"/>
    <w:rsid w:val="1763787E"/>
    <w:rsid w:val="26B65DD7"/>
    <w:rsid w:val="2777196F"/>
    <w:rsid w:val="318555E4"/>
    <w:rsid w:val="32BB29BC"/>
    <w:rsid w:val="335F0C64"/>
    <w:rsid w:val="342C18B6"/>
    <w:rsid w:val="355F06FC"/>
    <w:rsid w:val="35D95990"/>
    <w:rsid w:val="37454F7E"/>
    <w:rsid w:val="3A1F26F9"/>
    <w:rsid w:val="43504DB3"/>
    <w:rsid w:val="43E84135"/>
    <w:rsid w:val="46CC5759"/>
    <w:rsid w:val="47ED0B9E"/>
    <w:rsid w:val="48FC146A"/>
    <w:rsid w:val="4B815EA8"/>
    <w:rsid w:val="50C14933"/>
    <w:rsid w:val="59DA442C"/>
    <w:rsid w:val="5B1758FC"/>
    <w:rsid w:val="626346CE"/>
    <w:rsid w:val="6390599C"/>
    <w:rsid w:val="6DA94571"/>
    <w:rsid w:val="6F6005DE"/>
    <w:rsid w:val="6FB653D5"/>
    <w:rsid w:val="722E437A"/>
    <w:rsid w:val="72BE34D0"/>
    <w:rsid w:val="72F1578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qFormat="1" w:unhideWhenUsed="0" w:uiPriority="0" w:semiHidden="0" w:name="index 1"/>
    <w:lsdException w:qFormat="1" w:unhideWhenUsed="0" w:uiPriority="0" w:semiHidden="0" w:name="index 2"/>
    <w:lsdException w:qFormat="1" w:unhideWhenUsed="0" w:uiPriority="0" w:semiHidden="0" w:name="index 3"/>
    <w:lsdException w:qFormat="1" w:unhideWhenUsed="0" w:uiPriority="0" w:semiHidden="0" w:name="index 4"/>
    <w:lsdException w:qFormat="1" w:unhideWhenUsed="0" w:uiPriority="0" w:semiHidden="0" w:name="index 5"/>
    <w:lsdException w:qFormat="1" w:unhideWhenUsed="0" w:uiPriority="0" w:semiHidden="0" w:name="index 6"/>
    <w:lsdException w:qFormat="1" w:unhideWhenUsed="0" w:uiPriority="0" w:semiHidden="0" w:name="index 7"/>
    <w:lsdException w:qFormat="1" w:unhideWhenUsed="0" w:uiPriority="0" w:semiHidden="0" w:name="index 8"/>
    <w:lsdException w:qFormat="1" w:unhideWhenUsed="0" w:uiPriority="0" w:semiHidden="0" w:name="index 9"/>
    <w:lsdException w:unhideWhenUsed="0" w:uiPriority="39" w:semiHidden="0" w:name="toc 1"/>
    <w:lsdException w:qFormat="1" w:unhideWhenUsed="0" w:uiPriority="39" w:semiHidden="0" w:name="toc 2"/>
    <w:lsdException w:unhideWhenUsed="0" w:uiPriority="39" w:semiHidden="0" w:name="toc 3"/>
    <w:lsdException w:uiPriority="39" w:semiHidden="0" w:name="toc 4"/>
    <w:lsdException w:qFormat="1" w:uiPriority="39" w:semiHidden="0" w:name="toc 5"/>
    <w:lsdException w:uiPriority="39" w:semiHidden="0" w:name="toc 6"/>
    <w:lsdException w:qFormat="1" w:uiPriority="39" w:semiHidden="0" w:name="toc 7"/>
    <w:lsdException w:qFormat="1" w:uiPriority="39" w:semiHidden="0" w:name="toc 8"/>
    <w:lsdException w:uiPriority="39" w:semiHidden="0" w:name="toc 9"/>
    <w:lsdException w:qFormat="1" w:unhideWhenUsed="0" w:uiPriority="0" w:semiHidden="0" w:name="Normal Indent"/>
    <w:lsdException w:uiPriority="0" w:name="footnote text"/>
    <w:lsdException w:unhideWhenUsed="0" w:uiPriority="0" w:semiHidden="0" w:name="annotation text"/>
    <w:lsdException w:unhideWhenUsed="0" w:uiPriority="0" w:semiHidden="0" w:name="header"/>
    <w:lsdException w:qFormat="1" w:unhideWhenUsed="0" w:uiPriority="99" w:semiHidden="0" w:name="footer"/>
    <w:lsdException w:qFormat="1" w:unhideWhenUsed="0" w:uiPriority="0" w:semiHidden="0" w:name="index heading"/>
    <w:lsdException w:qFormat="1" w:unhideWhenUsed="0" w:uiPriority="0" w:semiHidden="0" w:name="caption"/>
    <w:lsdException w:qFormat="1" w:unhideWhenUsed="0" w:uiPriority="0" w:semiHidden="0" w:name="table of figures"/>
    <w:lsdException w:qFormat="1" w:unhideWhenUsed="0" w:uiPriority="0" w:semiHidden="0" w:name="envelope address"/>
    <w:lsdException w:qFormat="1" w:unhideWhenUsed="0" w:uiPriority="0" w:semiHidden="0" w:name="envelope return"/>
    <w:lsdException w:uiPriority="0" w:name="footnote reference"/>
    <w:lsdException w:unhideWhenUsed="0" w:uiPriority="0" w:semiHidden="0" w:name="annotation reference"/>
    <w:lsdException w:unhideWhenUsed="0" w:uiPriority="0" w:semiHidden="0" w:name="line number"/>
    <w:lsdException w:unhideWhenUsed="0" w:uiPriority="0" w:semiHidden="0" w:name="page number"/>
    <w:lsdException w:uiPriority="0" w:name="endnote reference"/>
    <w:lsdException w:uiPriority="0" w:name="endnote text"/>
    <w:lsdException w:uiPriority="0" w:name="table of authorities"/>
    <w:lsdException w:uiPriority="0" w:name="macro"/>
    <w:lsdException w:uiPriority="0" w:name="toa heading"/>
    <w:lsdException w:qFormat="1" w:unhideWhenUsed="0" w:uiPriority="0" w:semiHidden="0" w:name="List"/>
    <w:lsdException w:qFormat="1" w:unhideWhenUsed="0" w:uiPriority="0" w:semiHidden="0" w:name="List Bullet"/>
    <w:lsdException w:qFormat="1" w:unhideWhenUsed="0" w:uiPriority="0" w:semiHidden="0" w:name="List Number"/>
    <w:lsdException w:qFormat="1" w:unhideWhenUsed="0" w:uiPriority="0" w:semiHidden="0" w:name="List 2"/>
    <w:lsdException w:qFormat="1" w:unhideWhenUsed="0" w:uiPriority="0" w:semiHidden="0" w:name="List 3"/>
    <w:lsdException w:qFormat="1" w:unhideWhenUsed="0" w:uiPriority="0" w:semiHidden="0" w:name="List 4"/>
    <w:lsdException w:qFormat="1" w:unhideWhenUsed="0" w:uiPriority="0" w:semiHidden="0" w:name="List 5"/>
    <w:lsdException w:qFormat="1" w:unhideWhenUsed="0" w:uiPriority="0" w:semiHidden="0" w:name="List Bullet 2"/>
    <w:lsdException w:qFormat="1" w:unhideWhenUsed="0" w:uiPriority="0" w:semiHidden="0" w:name="List Bullet 3"/>
    <w:lsdException w:qFormat="1" w:unhideWhenUsed="0" w:uiPriority="0" w:semiHidden="0" w:name="List Bullet 4"/>
    <w:lsdException w:qFormat="1" w:unhideWhenUsed="0" w:uiPriority="0" w:semiHidden="0" w:name="List Bullet 5"/>
    <w:lsdException w:qFormat="1" w:unhideWhenUsed="0" w:uiPriority="0" w:semiHidden="0" w:name="List Number 2"/>
    <w:lsdException w:qFormat="1" w:unhideWhenUsed="0" w:uiPriority="0" w:semiHidden="0" w:name="List Number 3"/>
    <w:lsdException w:qFormat="1" w:unhideWhenUsed="0" w:uiPriority="0" w:semiHidden="0" w:name="List Number 4"/>
    <w:lsdException w:qFormat="1"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qFormat="1" w:unhideWhenUsed="0" w:uiPriority="0" w:semiHidden="0" w:name="List Continue"/>
    <w:lsdException w:qFormat="1" w:unhideWhenUsed="0" w:uiPriority="0" w:semiHidden="0" w:name="List Continue 2"/>
    <w:lsdException w:qFormat="1" w:unhideWhenUsed="0" w:uiPriority="0" w:semiHidden="0" w:name="List Continue 3"/>
    <w:lsdException w:qFormat="1" w:unhideWhenUsed="0" w:uiPriority="0" w:semiHidden="0" w:name="List Continue 4"/>
    <w:lsdException w:qFormat="1" w:unhideWhenUsed="0" w:uiPriority="0" w:semiHidden="0" w:name="List Continue 5"/>
    <w:lsdException w:qFormat="1"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qFormat="1" w:unhideWhenUsed="0" w:uiPriority="0" w:semiHidden="0" w:name="Body Text Indent 2"/>
    <w:lsdException w:qFormat="1" w:unhideWhenUsed="0" w:uiPriority="0" w:semiHidden="0" w:name="Body Text Indent 3"/>
    <w:lsdException w:qFormat="1" w:unhideWhenUsed="0" w:uiPriority="0" w:semiHidden="0" w:name="Block Text"/>
    <w:lsdException w:qFormat="1" w:uiPriority="99" w:semiHidden="0" w:name="Hyperlink"/>
    <w:lsdException w:qFormat="1" w:unhideWhenUsed="0" w:uiPriority="0" w:semiHidden="0" w:name="FollowedHyperlink"/>
    <w:lsdException w:qFormat="1" w:unhideWhenUsed="0" w:uiPriority="0" w:semiHidden="0" w:name="Strong"/>
    <w:lsdException w:qFormat="1" w:unhideWhenUsed="0" w:uiPriority="20" w:semiHidden="0" w:name="Emphasis"/>
    <w:lsdException w:unhideWhenUsed="0" w:uiPriority="0" w:semiHidden="0" w:name="Document Map"/>
    <w:lsdException w:qFormat="1" w:unhideWhenUsed="0" w:uiPriority="99"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qFormat="1" w:unhideWhenUsed="0" w:uiPriority="0" w:semiHidden="0" w:name="HTML Address"/>
    <w:lsdException w:qFormat="1" w:unhideWhenUsed="0" w:uiPriority="0" w:semiHidden="0" w:name="HTML Cite"/>
    <w:lsdException w:qFormat="1" w:unhideWhenUsed="0" w:uiPriority="0" w:semiHidden="0" w:name="HTML Code"/>
    <w:lsdException w:unhideWhenUsed="0" w:uiPriority="0" w:semiHidden="0" w:name="HTML Definition"/>
    <w:lsdException w:qFormat="1" w:unhideWhenUsed="0" w:uiPriority="0" w:semiHidden="0" w:name="HTML Keyboard"/>
    <w:lsdException w:qFormat="1" w:unhideWhenUsed="0" w:uiPriority="0" w:semiHidden="0" w:name="HTML Preformatted"/>
    <w:lsdException w:unhideWhenUsed="0" w:uiPriority="0" w:semiHidden="0" w:name="HTML Sample"/>
    <w:lsdException w:qFormat="1" w:unhideWhenUsed="0" w:uiPriority="0" w:semiHidden="0" w:name="HTML Typewriter"/>
    <w:lsdException w:qFormat="1" w:unhideWhenUsed="0" w:uiPriority="0" w:semiHidden="0" w:name="HTML Variable"/>
    <w:lsdException w:qFormat="1" w:uiPriority="99" w:name="Normal Table"/>
    <w:lsdException w:qFormat="1" w:unhideWhenUsed="0" w:uiPriority="0" w:semiHidden="0" w:name="annotation subject"/>
    <w:lsdException w:qFormat="1" w:unhideWhenUsed="0" w:uiPriority="0" w:semiHidden="0" w:name="Table Simple 1"/>
    <w:lsdException w:qFormat="1" w:unhideWhenUsed="0" w:uiPriority="0" w:semiHidden="0" w:name="Table Simple 2"/>
    <w:lsdException w:qFormat="1" w:unhideWhenUsed="0" w:uiPriority="0" w:semiHidden="0" w:name="Table Simple 3"/>
    <w:lsdException w:qFormat="1" w:unhideWhenUsed="0" w:uiPriority="0" w:semiHidden="0" w:name="Table Classic 1"/>
    <w:lsdException w:qFormat="1" w:unhideWhenUsed="0" w:uiPriority="0" w:semiHidden="0" w:name="Table Classic 2"/>
    <w:lsdException w:qFormat="1" w:unhideWhenUsed="0" w:uiPriority="0" w:semiHidden="0" w:name="Table Classic 3"/>
    <w:lsdException w:qFormat="1" w:unhideWhenUsed="0" w:uiPriority="0" w:semiHidden="0" w:name="Table Classic 4"/>
    <w:lsdException w:qFormat="1" w:unhideWhenUsed="0" w:uiPriority="0" w:semiHidden="0" w:name="Table Colorful 1"/>
    <w:lsdException w:qFormat="1" w:unhideWhenUsed="0" w:uiPriority="0" w:semiHidden="0" w:name="Table Colorful 2"/>
    <w:lsdException w:qFormat="1" w:unhideWhenUsed="0" w:uiPriority="0" w:semiHidden="0" w:name="Table Colorful 3"/>
    <w:lsdException w:qFormat="1" w:unhideWhenUsed="0" w:uiPriority="0" w:semiHidden="0" w:name="Table Columns 1"/>
    <w:lsdException w:qFormat="1" w:unhideWhenUsed="0" w:uiPriority="0" w:semiHidden="0" w:name="Table Columns 2"/>
    <w:lsdException w:qFormat="1" w:unhideWhenUsed="0" w:uiPriority="0" w:semiHidden="0" w:name="Table Columns 3"/>
    <w:lsdException w:qFormat="1" w:unhideWhenUsed="0" w:uiPriority="0" w:semiHidden="0" w:name="Table Columns 4"/>
    <w:lsdException w:qFormat="1" w:unhideWhenUsed="0" w:uiPriority="0" w:semiHidden="0" w:name="Table Columns 5"/>
    <w:lsdException w:qFormat="1" w:unhideWhenUsed="0" w:uiPriority="0" w:semiHidden="0" w:name="Table Grid 1"/>
    <w:lsdException w:qFormat="1" w:unhideWhenUsed="0" w:uiPriority="0" w:semiHidden="0" w:name="Table Grid 2"/>
    <w:lsdException w:qFormat="1" w:unhideWhenUsed="0" w:uiPriority="0" w:semiHidden="0" w:name="Table Grid 3"/>
    <w:lsdException w:qFormat="1" w:unhideWhenUsed="0" w:uiPriority="0" w:semiHidden="0" w:name="Table Grid 4"/>
    <w:lsdException w:qFormat="1" w:unhideWhenUsed="0" w:uiPriority="0" w:semiHidden="0" w:name="Table Grid 5"/>
    <w:lsdException w:qFormat="1" w:unhideWhenUsed="0" w:uiPriority="0" w:semiHidden="0" w:name="Table Grid 6"/>
    <w:lsdException w:qFormat="1" w:unhideWhenUsed="0" w:uiPriority="0" w:semiHidden="0" w:name="Table Grid 7"/>
    <w:lsdException w:qFormat="1" w:unhideWhenUsed="0" w:uiPriority="0" w:semiHidden="0" w:name="Table Grid 8"/>
    <w:lsdException w:qFormat="1" w:unhideWhenUsed="0" w:uiPriority="0" w:semiHidden="0" w:name="Table List 1"/>
    <w:lsdException w:qFormat="1" w:unhideWhenUsed="0" w:uiPriority="0" w:semiHidden="0" w:name="Table List 2"/>
    <w:lsdException w:qFormat="1" w:unhideWhenUsed="0" w:uiPriority="0" w:semiHidden="0" w:name="Table List 3"/>
    <w:lsdException w:qFormat="1" w:unhideWhenUsed="0" w:uiPriority="0" w:semiHidden="0" w:name="Table List 4"/>
    <w:lsdException w:qFormat="1" w:unhideWhenUsed="0" w:uiPriority="0" w:semiHidden="0" w:name="Table List 5"/>
    <w:lsdException w:qFormat="1" w:unhideWhenUsed="0" w:uiPriority="0" w:semiHidden="0" w:name="Table List 6"/>
    <w:lsdException w:qFormat="1" w:unhideWhenUsed="0" w:uiPriority="0" w:semiHidden="0" w:name="Table List 7"/>
    <w:lsdException w:qFormat="1" w:unhideWhenUsed="0" w:uiPriority="0" w:semiHidden="0" w:name="Table List 8"/>
    <w:lsdException w:qFormat="1" w:unhideWhenUsed="0" w:uiPriority="0" w:semiHidden="0" w:name="Table 3D effects 1"/>
    <w:lsdException w:unhideWhenUsed="0" w:uiPriority="0" w:semiHidden="0" w:name="Table 3D effects 2"/>
    <w:lsdException w:unhideWhenUsed="0" w:uiPriority="0" w:semiHidden="0" w:name="Table 3D effects 3"/>
    <w:lsdException w:qFormat="1" w:unhideWhenUsed="0" w:uiPriority="0" w:semiHidden="0" w:name="Table Contemporary"/>
    <w:lsdException w:qFormat="1" w:unhideWhenUsed="0" w:uiPriority="0" w:semiHidden="0" w:name="Table Elegant"/>
    <w:lsdException w:qFormat="1" w:unhideWhenUsed="0" w:uiPriority="0" w:semiHidden="0" w:name="Table Professional"/>
    <w:lsdException w:qFormat="1" w:unhideWhenUsed="0" w:uiPriority="0" w:semiHidden="0" w:name="Table Subtle 1"/>
    <w:lsdException w:qFormat="1" w:unhideWhenUsed="0" w:uiPriority="0" w:semiHidden="0" w:name="Table Subtle 2"/>
    <w:lsdException w:qFormat="1" w:unhideWhenUsed="0" w:uiPriority="0" w:semiHidden="0" w:name="Table Web 1"/>
    <w:lsdException w:qFormat="1" w:unhideWhenUsed="0" w:uiPriority="0" w:semiHidden="0" w:name="Table Web 2"/>
    <w:lsdException w:qFormat="1" w:unhideWhenUsed="0" w:uiPriority="0" w:semiHidden="0" w:name="Table Web 3"/>
    <w:lsdException w:unhideWhenUsed="0" w:uiPriority="0" w:semiHidden="0" w:name="Balloon Text"/>
    <w:lsdException w:unhideWhenUsed="0" w:uiPriority="39" w:semiHidden="0" w:name="Table Grid"/>
    <w:lsdException w:qFormat="1" w:unhideWhenUsed="0" w:uiPriority="0" w:semiHidden="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ind w:firstLine="200" w:firstLineChars="200"/>
    </w:pPr>
    <w:rPr>
      <w:rFonts w:ascii="Times New Roman" w:hAnsi="Times New Roman" w:eastAsia="华文仿宋" w:cs="Times New Roman"/>
      <w:kern w:val="2"/>
      <w:sz w:val="28"/>
      <w:szCs w:val="24"/>
      <w:lang w:val="en-US" w:eastAsia="zh-CN" w:bidi="ar-SA"/>
    </w:rPr>
  </w:style>
  <w:style w:type="paragraph" w:styleId="2">
    <w:name w:val="heading 1"/>
    <w:basedOn w:val="1"/>
    <w:next w:val="1"/>
    <w:link w:val="145"/>
    <w:qFormat/>
    <w:uiPriority w:val="0"/>
    <w:pPr>
      <w:keepNext/>
      <w:keepLines/>
      <w:spacing w:beforeLines="100" w:afterLines="100"/>
      <w:ind w:firstLine="0" w:firstLineChars="0"/>
      <w:jc w:val="center"/>
      <w:outlineLvl w:val="0"/>
    </w:pPr>
    <w:rPr>
      <w:b/>
      <w:bCs/>
      <w:kern w:val="44"/>
      <w:szCs w:val="44"/>
    </w:rPr>
  </w:style>
  <w:style w:type="paragraph" w:styleId="3">
    <w:name w:val="heading 2"/>
    <w:basedOn w:val="1"/>
    <w:next w:val="1"/>
    <w:link w:val="144"/>
    <w:qFormat/>
    <w:uiPriority w:val="0"/>
    <w:pPr>
      <w:keepNext/>
      <w:keepLines/>
      <w:spacing w:beforeLines="100"/>
      <w:outlineLvl w:val="1"/>
    </w:pPr>
    <w:rPr>
      <w:rFonts w:ascii="Arial" w:hAnsi="Arial"/>
      <w:b/>
      <w:bCs/>
      <w:szCs w:val="32"/>
    </w:rPr>
  </w:style>
  <w:style w:type="paragraph" w:styleId="4">
    <w:name w:val="heading 3"/>
    <w:basedOn w:val="1"/>
    <w:next w:val="1"/>
    <w:link w:val="173"/>
    <w:qFormat/>
    <w:uiPriority w:val="0"/>
    <w:pPr>
      <w:keepNext/>
      <w:keepLines/>
      <w:spacing w:before="260" w:after="260" w:line="416" w:lineRule="auto"/>
      <w:jc w:val="both"/>
      <w:outlineLvl w:val="2"/>
    </w:pPr>
    <w:rPr>
      <w:b/>
      <w:bCs/>
      <w:szCs w:val="32"/>
    </w:rPr>
  </w:style>
  <w:style w:type="paragraph" w:styleId="5">
    <w:name w:val="heading 4"/>
    <w:basedOn w:val="1"/>
    <w:link w:val="174"/>
    <w:qFormat/>
    <w:uiPriority w:val="0"/>
    <w:pPr>
      <w:widowControl/>
      <w:spacing w:before="100" w:beforeAutospacing="1" w:after="100" w:afterAutospacing="1"/>
      <w:outlineLvl w:val="3"/>
    </w:pPr>
    <w:rPr>
      <w:rFonts w:ascii="宋体" w:hAnsi="宋体" w:cs="宋体"/>
      <w:b/>
      <w:bCs/>
      <w:kern w:val="0"/>
      <w:sz w:val="24"/>
    </w:rPr>
  </w:style>
  <w:style w:type="paragraph" w:styleId="6">
    <w:name w:val="heading 5"/>
    <w:basedOn w:val="1"/>
    <w:next w:val="1"/>
    <w:link w:val="175"/>
    <w:qFormat/>
    <w:uiPriority w:val="0"/>
    <w:pPr>
      <w:keepNext/>
      <w:keepLines/>
      <w:tabs>
        <w:tab w:val="left" w:pos="3827"/>
      </w:tabs>
      <w:ind w:left="3402"/>
      <w:jc w:val="both"/>
      <w:outlineLvl w:val="4"/>
    </w:pPr>
    <w:rPr>
      <w:rFonts w:eastAsia="黑体"/>
      <w:bCs/>
      <w:sz w:val="21"/>
      <w:szCs w:val="28"/>
    </w:rPr>
  </w:style>
  <w:style w:type="paragraph" w:styleId="7">
    <w:name w:val="heading 6"/>
    <w:basedOn w:val="1"/>
    <w:next w:val="1"/>
    <w:link w:val="176"/>
    <w:qFormat/>
    <w:uiPriority w:val="0"/>
    <w:pPr>
      <w:keepNext/>
      <w:keepLines/>
      <w:tabs>
        <w:tab w:val="left" w:pos="4677"/>
      </w:tabs>
      <w:spacing w:before="240" w:after="64" w:line="320" w:lineRule="auto"/>
      <w:ind w:left="4252"/>
      <w:jc w:val="both"/>
      <w:outlineLvl w:val="5"/>
    </w:pPr>
    <w:rPr>
      <w:rFonts w:ascii="Arial" w:hAnsi="Arial" w:eastAsia="黑体"/>
      <w:b/>
      <w:bCs/>
      <w:sz w:val="24"/>
    </w:rPr>
  </w:style>
  <w:style w:type="paragraph" w:styleId="8">
    <w:name w:val="heading 7"/>
    <w:basedOn w:val="1"/>
    <w:next w:val="1"/>
    <w:link w:val="177"/>
    <w:qFormat/>
    <w:uiPriority w:val="0"/>
    <w:pPr>
      <w:keepNext/>
      <w:keepLines/>
      <w:tabs>
        <w:tab w:val="left" w:pos="5528"/>
      </w:tabs>
      <w:spacing w:before="240" w:after="64" w:line="320" w:lineRule="auto"/>
      <w:ind w:left="5102"/>
      <w:jc w:val="both"/>
      <w:outlineLvl w:val="6"/>
    </w:pPr>
    <w:rPr>
      <w:rFonts w:eastAsia="宋体"/>
      <w:b/>
      <w:bCs/>
      <w:sz w:val="24"/>
    </w:rPr>
  </w:style>
  <w:style w:type="paragraph" w:styleId="9">
    <w:name w:val="heading 8"/>
    <w:basedOn w:val="1"/>
    <w:next w:val="1"/>
    <w:link w:val="178"/>
    <w:qFormat/>
    <w:uiPriority w:val="0"/>
    <w:pPr>
      <w:keepNext/>
      <w:keepLines/>
      <w:tabs>
        <w:tab w:val="left" w:pos="6378"/>
      </w:tabs>
      <w:spacing w:before="240" w:after="64" w:line="320" w:lineRule="auto"/>
      <w:ind w:left="5953"/>
      <w:jc w:val="both"/>
      <w:outlineLvl w:val="7"/>
    </w:pPr>
    <w:rPr>
      <w:rFonts w:ascii="Arial" w:hAnsi="Arial" w:eastAsia="黑体"/>
      <w:sz w:val="24"/>
    </w:rPr>
  </w:style>
  <w:style w:type="paragraph" w:styleId="10">
    <w:name w:val="heading 9"/>
    <w:basedOn w:val="1"/>
    <w:next w:val="1"/>
    <w:link w:val="179"/>
    <w:qFormat/>
    <w:uiPriority w:val="0"/>
    <w:pPr>
      <w:keepNext/>
      <w:keepLines/>
      <w:tabs>
        <w:tab w:val="left" w:pos="7228"/>
      </w:tabs>
      <w:spacing w:before="240" w:after="64" w:line="320" w:lineRule="auto"/>
      <w:ind w:left="6803"/>
      <w:jc w:val="both"/>
      <w:outlineLvl w:val="8"/>
    </w:pPr>
    <w:rPr>
      <w:rFonts w:ascii="Arial" w:hAnsi="Arial" w:eastAsia="黑体"/>
      <w:sz w:val="21"/>
      <w:szCs w:val="21"/>
    </w:rPr>
  </w:style>
  <w:style w:type="character" w:default="1" w:styleId="128">
    <w:name w:val="Default Paragraph Font"/>
    <w:semiHidden/>
    <w:unhideWhenUsed/>
    <w:qFormat/>
    <w:uiPriority w:val="1"/>
  </w:style>
  <w:style w:type="table" w:default="1" w:styleId="83">
    <w:name w:val="Normal Table"/>
    <w:semiHidden/>
    <w:unhideWhenUsed/>
    <w:qFormat/>
    <w:uiPriority w:val="99"/>
    <w:tblPr>
      <w:tblCellMar>
        <w:top w:w="0" w:type="dxa"/>
        <w:left w:w="108" w:type="dxa"/>
        <w:bottom w:w="0" w:type="dxa"/>
        <w:right w:w="108" w:type="dxa"/>
      </w:tblCellMar>
    </w:tblPr>
  </w:style>
  <w:style w:type="paragraph" w:styleId="11">
    <w:name w:val="List 3"/>
    <w:basedOn w:val="1"/>
    <w:qFormat/>
    <w:uiPriority w:val="0"/>
    <w:pPr>
      <w:ind w:left="1260" w:hanging="420"/>
      <w:jc w:val="both"/>
    </w:pPr>
  </w:style>
  <w:style w:type="paragraph" w:styleId="12">
    <w:name w:val="toc 7"/>
    <w:basedOn w:val="1"/>
    <w:next w:val="1"/>
    <w:unhideWhenUsed/>
    <w:qFormat/>
    <w:uiPriority w:val="39"/>
    <w:pPr>
      <w:spacing w:line="240" w:lineRule="auto"/>
      <w:ind w:left="2520" w:leftChars="1200" w:firstLine="0" w:firstLineChars="0"/>
      <w:jc w:val="both"/>
    </w:pPr>
    <w:rPr>
      <w:rFonts w:ascii="等线" w:hAnsi="等线" w:eastAsia="等线"/>
      <w:sz w:val="21"/>
      <w:szCs w:val="22"/>
    </w:rPr>
  </w:style>
  <w:style w:type="paragraph" w:styleId="13">
    <w:name w:val="List Number 2"/>
    <w:basedOn w:val="1"/>
    <w:qFormat/>
    <w:uiPriority w:val="0"/>
    <w:pPr>
      <w:numPr>
        <w:ilvl w:val="0"/>
        <w:numId w:val="1"/>
      </w:numPr>
      <w:tabs>
        <w:tab w:val="left" w:pos="780"/>
      </w:tabs>
      <w:jc w:val="both"/>
    </w:pPr>
  </w:style>
  <w:style w:type="paragraph" w:styleId="14">
    <w:name w:val="Note Heading"/>
    <w:basedOn w:val="1"/>
    <w:next w:val="1"/>
    <w:link w:val="217"/>
    <w:uiPriority w:val="0"/>
    <w:pPr>
      <w:jc w:val="center"/>
    </w:pPr>
    <w:rPr>
      <w:rFonts w:eastAsia="宋体"/>
      <w:sz w:val="21"/>
    </w:rPr>
  </w:style>
  <w:style w:type="paragraph" w:styleId="15">
    <w:name w:val="List Bullet 4"/>
    <w:basedOn w:val="1"/>
    <w:qFormat/>
    <w:uiPriority w:val="0"/>
    <w:pPr>
      <w:numPr>
        <w:ilvl w:val="0"/>
        <w:numId w:val="2"/>
      </w:numPr>
      <w:tabs>
        <w:tab w:val="left" w:pos="1620"/>
      </w:tabs>
      <w:jc w:val="both"/>
    </w:pPr>
  </w:style>
  <w:style w:type="paragraph" w:styleId="16">
    <w:name w:val="index 8"/>
    <w:basedOn w:val="1"/>
    <w:next w:val="1"/>
    <w:qFormat/>
    <w:uiPriority w:val="0"/>
    <w:pPr>
      <w:ind w:left="1400" w:leftChars="1400"/>
      <w:jc w:val="both"/>
    </w:pPr>
    <w:rPr>
      <w:rFonts w:eastAsia="仿宋_GB2312"/>
    </w:rPr>
  </w:style>
  <w:style w:type="paragraph" w:styleId="17">
    <w:name w:val="E-mail Signature"/>
    <w:basedOn w:val="1"/>
    <w:link w:val="201"/>
    <w:uiPriority w:val="0"/>
    <w:pPr>
      <w:jc w:val="both"/>
    </w:pPr>
    <w:rPr>
      <w:rFonts w:eastAsia="宋体"/>
      <w:sz w:val="21"/>
    </w:rPr>
  </w:style>
  <w:style w:type="paragraph" w:styleId="18">
    <w:name w:val="List Number"/>
    <w:basedOn w:val="1"/>
    <w:qFormat/>
    <w:uiPriority w:val="0"/>
    <w:pPr>
      <w:numPr>
        <w:ilvl w:val="0"/>
        <w:numId w:val="3"/>
      </w:numPr>
      <w:tabs>
        <w:tab w:val="left" w:pos="360"/>
      </w:tabs>
      <w:jc w:val="both"/>
    </w:pPr>
  </w:style>
  <w:style w:type="paragraph" w:styleId="19">
    <w:name w:val="Normal Indent"/>
    <w:basedOn w:val="1"/>
    <w:link w:val="241"/>
    <w:qFormat/>
    <w:uiPriority w:val="0"/>
    <w:pPr>
      <w:ind w:firstLine="420"/>
      <w:jc w:val="both"/>
    </w:pPr>
    <w:rPr>
      <w:rFonts w:eastAsia="宋体"/>
      <w:sz w:val="21"/>
    </w:rPr>
  </w:style>
  <w:style w:type="paragraph" w:styleId="20">
    <w:name w:val="caption"/>
    <w:basedOn w:val="1"/>
    <w:next w:val="1"/>
    <w:qFormat/>
    <w:uiPriority w:val="0"/>
    <w:pPr>
      <w:spacing w:before="152" w:after="160"/>
      <w:jc w:val="both"/>
    </w:pPr>
    <w:rPr>
      <w:rFonts w:ascii="Arial" w:hAnsi="Arial" w:eastAsia="黑体"/>
      <w:sz w:val="20"/>
      <w:szCs w:val="20"/>
    </w:rPr>
  </w:style>
  <w:style w:type="paragraph" w:styleId="21">
    <w:name w:val="index 5"/>
    <w:basedOn w:val="1"/>
    <w:next w:val="1"/>
    <w:qFormat/>
    <w:uiPriority w:val="0"/>
    <w:pPr>
      <w:ind w:left="800" w:leftChars="800"/>
      <w:jc w:val="both"/>
    </w:pPr>
    <w:rPr>
      <w:rFonts w:eastAsia="仿宋_GB2312"/>
    </w:rPr>
  </w:style>
  <w:style w:type="paragraph" w:styleId="22">
    <w:name w:val="List Bullet"/>
    <w:basedOn w:val="1"/>
    <w:qFormat/>
    <w:uiPriority w:val="0"/>
    <w:pPr>
      <w:numPr>
        <w:ilvl w:val="0"/>
        <w:numId w:val="4"/>
      </w:numPr>
      <w:tabs>
        <w:tab w:val="left" w:pos="360"/>
      </w:tabs>
      <w:jc w:val="both"/>
    </w:pPr>
  </w:style>
  <w:style w:type="paragraph" w:styleId="23">
    <w:name w:val="envelope address"/>
    <w:basedOn w:val="1"/>
    <w:qFormat/>
    <w:uiPriority w:val="0"/>
    <w:pPr>
      <w:framePr w:w="7920" w:h="1980" w:hRule="exact" w:hSpace="180" w:wrap="around" w:vAnchor="margin" w:hAnchor="page" w:xAlign="center" w:yAlign="bottom"/>
      <w:snapToGrid w:val="0"/>
      <w:ind w:left="2880"/>
      <w:jc w:val="both"/>
    </w:pPr>
    <w:rPr>
      <w:rFonts w:ascii="Arial" w:hAnsi="Arial" w:cs="Arial"/>
      <w:sz w:val="24"/>
    </w:rPr>
  </w:style>
  <w:style w:type="paragraph" w:styleId="24">
    <w:name w:val="Document Map"/>
    <w:basedOn w:val="1"/>
    <w:link w:val="220"/>
    <w:uiPriority w:val="0"/>
    <w:pPr>
      <w:shd w:val="clear" w:color="auto" w:fill="000080"/>
    </w:pPr>
  </w:style>
  <w:style w:type="paragraph" w:styleId="25">
    <w:name w:val="annotation text"/>
    <w:basedOn w:val="1"/>
    <w:link w:val="203"/>
    <w:uiPriority w:val="0"/>
    <w:rPr>
      <w:rFonts w:eastAsia="宋体"/>
      <w:sz w:val="21"/>
    </w:rPr>
  </w:style>
  <w:style w:type="paragraph" w:styleId="26">
    <w:name w:val="index 6"/>
    <w:basedOn w:val="1"/>
    <w:next w:val="1"/>
    <w:qFormat/>
    <w:uiPriority w:val="0"/>
    <w:pPr>
      <w:ind w:left="1000" w:leftChars="1000"/>
      <w:jc w:val="both"/>
    </w:pPr>
    <w:rPr>
      <w:rFonts w:eastAsia="仿宋_GB2312"/>
    </w:rPr>
  </w:style>
  <w:style w:type="paragraph" w:styleId="27">
    <w:name w:val="Salutation"/>
    <w:basedOn w:val="1"/>
    <w:next w:val="1"/>
    <w:link w:val="193"/>
    <w:uiPriority w:val="0"/>
    <w:pPr>
      <w:jc w:val="both"/>
    </w:pPr>
    <w:rPr>
      <w:rFonts w:eastAsia="宋体"/>
      <w:sz w:val="21"/>
    </w:rPr>
  </w:style>
  <w:style w:type="paragraph" w:styleId="28">
    <w:name w:val="Body Text 3"/>
    <w:basedOn w:val="1"/>
    <w:link w:val="215"/>
    <w:uiPriority w:val="0"/>
    <w:pPr>
      <w:spacing w:after="120"/>
      <w:jc w:val="both"/>
    </w:pPr>
    <w:rPr>
      <w:rFonts w:eastAsia="宋体"/>
      <w:sz w:val="16"/>
      <w:szCs w:val="16"/>
    </w:rPr>
  </w:style>
  <w:style w:type="paragraph" w:styleId="29">
    <w:name w:val="Closing"/>
    <w:basedOn w:val="1"/>
    <w:link w:val="229"/>
    <w:uiPriority w:val="0"/>
    <w:pPr>
      <w:ind w:left="4320"/>
      <w:jc w:val="both"/>
    </w:pPr>
    <w:rPr>
      <w:rFonts w:eastAsia="宋体"/>
      <w:sz w:val="21"/>
    </w:rPr>
  </w:style>
  <w:style w:type="paragraph" w:styleId="30">
    <w:name w:val="List Bullet 3"/>
    <w:basedOn w:val="1"/>
    <w:qFormat/>
    <w:uiPriority w:val="0"/>
    <w:pPr>
      <w:numPr>
        <w:ilvl w:val="0"/>
        <w:numId w:val="5"/>
      </w:numPr>
      <w:tabs>
        <w:tab w:val="left" w:pos="1200"/>
      </w:tabs>
      <w:jc w:val="both"/>
    </w:pPr>
  </w:style>
  <w:style w:type="paragraph" w:styleId="31">
    <w:name w:val="Body Text"/>
    <w:basedOn w:val="1"/>
    <w:link w:val="394"/>
    <w:qFormat/>
    <w:uiPriority w:val="0"/>
  </w:style>
  <w:style w:type="paragraph" w:styleId="32">
    <w:name w:val="Body Text Indent"/>
    <w:basedOn w:val="1"/>
    <w:link w:val="396"/>
    <w:uiPriority w:val="0"/>
    <w:pPr>
      <w:spacing w:after="120"/>
      <w:ind w:left="420" w:leftChars="200"/>
    </w:pPr>
  </w:style>
  <w:style w:type="paragraph" w:styleId="33">
    <w:name w:val="List Number 3"/>
    <w:basedOn w:val="1"/>
    <w:qFormat/>
    <w:uiPriority w:val="0"/>
    <w:pPr>
      <w:numPr>
        <w:ilvl w:val="0"/>
        <w:numId w:val="6"/>
      </w:numPr>
      <w:tabs>
        <w:tab w:val="left" w:pos="1200"/>
      </w:tabs>
      <w:jc w:val="both"/>
    </w:pPr>
  </w:style>
  <w:style w:type="paragraph" w:styleId="34">
    <w:name w:val="List 2"/>
    <w:basedOn w:val="1"/>
    <w:qFormat/>
    <w:uiPriority w:val="0"/>
    <w:pPr>
      <w:ind w:left="840" w:hanging="420"/>
      <w:jc w:val="both"/>
    </w:pPr>
  </w:style>
  <w:style w:type="paragraph" w:styleId="35">
    <w:name w:val="List Continue"/>
    <w:basedOn w:val="1"/>
    <w:qFormat/>
    <w:uiPriority w:val="0"/>
    <w:pPr>
      <w:spacing w:after="120"/>
      <w:ind w:left="420"/>
      <w:jc w:val="both"/>
    </w:pPr>
  </w:style>
  <w:style w:type="paragraph" w:styleId="36">
    <w:name w:val="Block Text"/>
    <w:basedOn w:val="1"/>
    <w:qFormat/>
    <w:uiPriority w:val="0"/>
    <w:pPr>
      <w:spacing w:after="120"/>
      <w:ind w:left="1440" w:right="1440"/>
      <w:jc w:val="both"/>
    </w:pPr>
  </w:style>
  <w:style w:type="paragraph" w:styleId="37">
    <w:name w:val="List Bullet 2"/>
    <w:basedOn w:val="1"/>
    <w:qFormat/>
    <w:uiPriority w:val="0"/>
    <w:pPr>
      <w:numPr>
        <w:ilvl w:val="0"/>
        <w:numId w:val="7"/>
      </w:numPr>
      <w:tabs>
        <w:tab w:val="left" w:pos="780"/>
      </w:tabs>
      <w:jc w:val="both"/>
    </w:pPr>
  </w:style>
  <w:style w:type="paragraph" w:styleId="38">
    <w:name w:val="HTML Address"/>
    <w:basedOn w:val="1"/>
    <w:link w:val="180"/>
    <w:qFormat/>
    <w:uiPriority w:val="0"/>
    <w:pPr>
      <w:jc w:val="both"/>
    </w:pPr>
    <w:rPr>
      <w:rFonts w:eastAsia="宋体"/>
      <w:i/>
      <w:iCs/>
      <w:sz w:val="21"/>
    </w:rPr>
  </w:style>
  <w:style w:type="paragraph" w:styleId="39">
    <w:name w:val="index 4"/>
    <w:basedOn w:val="1"/>
    <w:next w:val="1"/>
    <w:qFormat/>
    <w:uiPriority w:val="0"/>
    <w:pPr>
      <w:ind w:left="600" w:leftChars="600"/>
      <w:jc w:val="both"/>
    </w:pPr>
    <w:rPr>
      <w:rFonts w:eastAsia="仿宋_GB2312"/>
    </w:rPr>
  </w:style>
  <w:style w:type="paragraph" w:styleId="40">
    <w:name w:val="toc 5"/>
    <w:basedOn w:val="1"/>
    <w:next w:val="1"/>
    <w:unhideWhenUsed/>
    <w:qFormat/>
    <w:uiPriority w:val="39"/>
    <w:pPr>
      <w:spacing w:line="240" w:lineRule="auto"/>
      <w:ind w:left="1680" w:leftChars="800" w:firstLine="0" w:firstLineChars="0"/>
      <w:jc w:val="both"/>
    </w:pPr>
    <w:rPr>
      <w:rFonts w:ascii="等线" w:hAnsi="等线" w:eastAsia="等线"/>
      <w:sz w:val="21"/>
      <w:szCs w:val="22"/>
    </w:rPr>
  </w:style>
  <w:style w:type="paragraph" w:styleId="41">
    <w:name w:val="toc 3"/>
    <w:basedOn w:val="1"/>
    <w:next w:val="1"/>
    <w:uiPriority w:val="39"/>
    <w:pPr>
      <w:ind w:left="840" w:leftChars="400"/>
    </w:pPr>
  </w:style>
  <w:style w:type="paragraph" w:styleId="42">
    <w:name w:val="Plain Text"/>
    <w:basedOn w:val="1"/>
    <w:link w:val="258"/>
    <w:qFormat/>
    <w:uiPriority w:val="99"/>
    <w:rPr>
      <w:rFonts w:ascii="MingLiU" w:hAnsi="Courier New" w:eastAsia="MingLiU"/>
      <w:sz w:val="24"/>
      <w:szCs w:val="20"/>
      <w:lang w:eastAsia="zh-TW"/>
    </w:rPr>
  </w:style>
  <w:style w:type="paragraph" w:styleId="43">
    <w:name w:val="List Bullet 5"/>
    <w:basedOn w:val="1"/>
    <w:qFormat/>
    <w:uiPriority w:val="0"/>
    <w:pPr>
      <w:numPr>
        <w:ilvl w:val="0"/>
        <w:numId w:val="8"/>
      </w:numPr>
      <w:tabs>
        <w:tab w:val="left" w:pos="2040"/>
      </w:tabs>
      <w:jc w:val="both"/>
    </w:pPr>
  </w:style>
  <w:style w:type="paragraph" w:styleId="44">
    <w:name w:val="List Number 4"/>
    <w:basedOn w:val="1"/>
    <w:qFormat/>
    <w:uiPriority w:val="0"/>
    <w:pPr>
      <w:numPr>
        <w:ilvl w:val="0"/>
        <w:numId w:val="9"/>
      </w:numPr>
      <w:tabs>
        <w:tab w:val="left" w:pos="1620"/>
      </w:tabs>
      <w:jc w:val="both"/>
    </w:pPr>
  </w:style>
  <w:style w:type="paragraph" w:styleId="45">
    <w:name w:val="toc 8"/>
    <w:basedOn w:val="1"/>
    <w:next w:val="1"/>
    <w:unhideWhenUsed/>
    <w:qFormat/>
    <w:uiPriority w:val="39"/>
    <w:pPr>
      <w:spacing w:line="240" w:lineRule="auto"/>
      <w:ind w:left="2940" w:leftChars="1400" w:firstLine="0" w:firstLineChars="0"/>
      <w:jc w:val="both"/>
    </w:pPr>
    <w:rPr>
      <w:rFonts w:ascii="等线" w:hAnsi="等线" w:eastAsia="等线"/>
      <w:sz w:val="21"/>
      <w:szCs w:val="22"/>
    </w:rPr>
  </w:style>
  <w:style w:type="paragraph" w:styleId="46">
    <w:name w:val="index 3"/>
    <w:basedOn w:val="1"/>
    <w:next w:val="1"/>
    <w:qFormat/>
    <w:uiPriority w:val="0"/>
    <w:pPr>
      <w:ind w:left="400" w:leftChars="400"/>
      <w:jc w:val="both"/>
    </w:pPr>
    <w:rPr>
      <w:rFonts w:eastAsia="仿宋_GB2312"/>
    </w:rPr>
  </w:style>
  <w:style w:type="paragraph" w:styleId="47">
    <w:name w:val="Date"/>
    <w:basedOn w:val="1"/>
    <w:next w:val="1"/>
    <w:link w:val="247"/>
    <w:qFormat/>
    <w:uiPriority w:val="0"/>
    <w:pPr>
      <w:ind w:left="100" w:leftChars="2500"/>
      <w:jc w:val="both"/>
    </w:pPr>
    <w:rPr>
      <w:rFonts w:eastAsia="宋体"/>
      <w:sz w:val="21"/>
    </w:rPr>
  </w:style>
  <w:style w:type="paragraph" w:styleId="48">
    <w:name w:val="Body Text Indent 2"/>
    <w:basedOn w:val="1"/>
    <w:link w:val="254"/>
    <w:qFormat/>
    <w:uiPriority w:val="0"/>
    <w:pPr>
      <w:spacing w:after="120" w:line="480" w:lineRule="auto"/>
      <w:ind w:left="420"/>
      <w:jc w:val="both"/>
    </w:pPr>
    <w:rPr>
      <w:rFonts w:eastAsia="宋体"/>
      <w:sz w:val="21"/>
    </w:rPr>
  </w:style>
  <w:style w:type="paragraph" w:styleId="49">
    <w:name w:val="List Continue 5"/>
    <w:basedOn w:val="1"/>
    <w:qFormat/>
    <w:uiPriority w:val="0"/>
    <w:pPr>
      <w:spacing w:after="120"/>
      <w:ind w:left="2100"/>
      <w:jc w:val="both"/>
    </w:pPr>
  </w:style>
  <w:style w:type="paragraph" w:styleId="50">
    <w:name w:val="Balloon Text"/>
    <w:basedOn w:val="1"/>
    <w:link w:val="151"/>
    <w:uiPriority w:val="0"/>
    <w:rPr>
      <w:sz w:val="18"/>
      <w:szCs w:val="18"/>
    </w:rPr>
  </w:style>
  <w:style w:type="paragraph" w:styleId="51">
    <w:name w:val="footer"/>
    <w:basedOn w:val="1"/>
    <w:link w:val="164"/>
    <w:qFormat/>
    <w:uiPriority w:val="99"/>
    <w:pPr>
      <w:tabs>
        <w:tab w:val="center" w:pos="4153"/>
        <w:tab w:val="right" w:pos="8306"/>
      </w:tabs>
      <w:snapToGrid w:val="0"/>
    </w:pPr>
    <w:rPr>
      <w:sz w:val="18"/>
      <w:szCs w:val="18"/>
    </w:rPr>
  </w:style>
  <w:style w:type="paragraph" w:styleId="52">
    <w:name w:val="envelope return"/>
    <w:basedOn w:val="1"/>
    <w:qFormat/>
    <w:uiPriority w:val="0"/>
    <w:pPr>
      <w:snapToGrid w:val="0"/>
      <w:jc w:val="both"/>
    </w:pPr>
    <w:rPr>
      <w:rFonts w:ascii="Arial" w:hAnsi="Arial" w:cs="Arial"/>
    </w:rPr>
  </w:style>
  <w:style w:type="paragraph" w:styleId="53">
    <w:name w:val="header"/>
    <w:basedOn w:val="1"/>
    <w:link w:val="153"/>
    <w:uiPriority w:val="0"/>
    <w:pPr>
      <w:pBdr>
        <w:bottom w:val="single" w:color="auto" w:sz="6" w:space="1"/>
      </w:pBdr>
      <w:tabs>
        <w:tab w:val="center" w:pos="4153"/>
        <w:tab w:val="right" w:pos="8306"/>
      </w:tabs>
      <w:snapToGrid w:val="0"/>
      <w:jc w:val="center"/>
    </w:pPr>
    <w:rPr>
      <w:sz w:val="18"/>
      <w:szCs w:val="18"/>
    </w:rPr>
  </w:style>
  <w:style w:type="paragraph" w:styleId="54">
    <w:name w:val="Signature"/>
    <w:basedOn w:val="1"/>
    <w:link w:val="207"/>
    <w:uiPriority w:val="0"/>
    <w:pPr>
      <w:ind w:left="4320"/>
      <w:jc w:val="both"/>
    </w:pPr>
    <w:rPr>
      <w:rFonts w:eastAsia="宋体"/>
      <w:sz w:val="21"/>
    </w:rPr>
  </w:style>
  <w:style w:type="paragraph" w:styleId="55">
    <w:name w:val="toc 1"/>
    <w:basedOn w:val="1"/>
    <w:next w:val="1"/>
    <w:uiPriority w:val="39"/>
  </w:style>
  <w:style w:type="paragraph" w:styleId="56">
    <w:name w:val="List Continue 4"/>
    <w:basedOn w:val="1"/>
    <w:qFormat/>
    <w:uiPriority w:val="0"/>
    <w:pPr>
      <w:spacing w:after="120"/>
      <w:ind w:left="1680"/>
      <w:jc w:val="both"/>
    </w:pPr>
  </w:style>
  <w:style w:type="paragraph" w:styleId="57">
    <w:name w:val="toc 4"/>
    <w:basedOn w:val="1"/>
    <w:next w:val="1"/>
    <w:unhideWhenUsed/>
    <w:uiPriority w:val="39"/>
    <w:pPr>
      <w:spacing w:line="240" w:lineRule="auto"/>
      <w:ind w:left="1260" w:leftChars="600" w:firstLine="0" w:firstLineChars="0"/>
      <w:jc w:val="both"/>
    </w:pPr>
    <w:rPr>
      <w:rFonts w:ascii="等线" w:hAnsi="等线" w:eastAsia="等线"/>
      <w:sz w:val="21"/>
      <w:szCs w:val="22"/>
    </w:rPr>
  </w:style>
  <w:style w:type="paragraph" w:styleId="58">
    <w:name w:val="index heading"/>
    <w:basedOn w:val="1"/>
    <w:next w:val="59"/>
    <w:qFormat/>
    <w:uiPriority w:val="0"/>
    <w:pPr>
      <w:jc w:val="both"/>
    </w:pPr>
    <w:rPr>
      <w:rFonts w:eastAsia="仿宋_GB2312"/>
    </w:rPr>
  </w:style>
  <w:style w:type="paragraph" w:styleId="59">
    <w:name w:val="index 1"/>
    <w:basedOn w:val="1"/>
    <w:next w:val="1"/>
    <w:qFormat/>
    <w:uiPriority w:val="0"/>
  </w:style>
  <w:style w:type="paragraph" w:styleId="60">
    <w:name w:val="Subtitle"/>
    <w:basedOn w:val="1"/>
    <w:link w:val="242"/>
    <w:qFormat/>
    <w:uiPriority w:val="0"/>
    <w:pPr>
      <w:spacing w:before="240" w:after="60" w:line="312" w:lineRule="auto"/>
      <w:jc w:val="center"/>
      <w:outlineLvl w:val="1"/>
    </w:pPr>
    <w:rPr>
      <w:rFonts w:ascii="Arial" w:hAnsi="Arial" w:eastAsia="宋体" w:cs="Arial"/>
      <w:b/>
      <w:bCs/>
      <w:kern w:val="28"/>
      <w:sz w:val="32"/>
      <w:szCs w:val="32"/>
    </w:rPr>
  </w:style>
  <w:style w:type="paragraph" w:styleId="61">
    <w:name w:val="List Number 5"/>
    <w:basedOn w:val="1"/>
    <w:qFormat/>
    <w:uiPriority w:val="0"/>
    <w:pPr>
      <w:numPr>
        <w:ilvl w:val="0"/>
        <w:numId w:val="10"/>
      </w:numPr>
      <w:tabs>
        <w:tab w:val="left" w:pos="2040"/>
      </w:tabs>
      <w:jc w:val="both"/>
    </w:pPr>
  </w:style>
  <w:style w:type="paragraph" w:styleId="62">
    <w:name w:val="List"/>
    <w:basedOn w:val="1"/>
    <w:qFormat/>
    <w:uiPriority w:val="0"/>
    <w:pPr>
      <w:ind w:left="420" w:hanging="420"/>
      <w:jc w:val="both"/>
    </w:pPr>
  </w:style>
  <w:style w:type="paragraph" w:styleId="63">
    <w:name w:val="toc 6"/>
    <w:basedOn w:val="1"/>
    <w:next w:val="1"/>
    <w:unhideWhenUsed/>
    <w:uiPriority w:val="39"/>
    <w:pPr>
      <w:spacing w:line="240" w:lineRule="auto"/>
      <w:ind w:left="2100" w:leftChars="1000" w:firstLine="0" w:firstLineChars="0"/>
      <w:jc w:val="both"/>
    </w:pPr>
    <w:rPr>
      <w:rFonts w:ascii="等线" w:hAnsi="等线" w:eastAsia="等线"/>
      <w:sz w:val="21"/>
      <w:szCs w:val="22"/>
    </w:rPr>
  </w:style>
  <w:style w:type="paragraph" w:styleId="64">
    <w:name w:val="List 5"/>
    <w:basedOn w:val="1"/>
    <w:qFormat/>
    <w:uiPriority w:val="0"/>
    <w:pPr>
      <w:ind w:left="2100" w:hanging="420"/>
      <w:jc w:val="both"/>
    </w:pPr>
  </w:style>
  <w:style w:type="paragraph" w:styleId="65">
    <w:name w:val="Body Text Indent 3"/>
    <w:basedOn w:val="1"/>
    <w:link w:val="183"/>
    <w:qFormat/>
    <w:uiPriority w:val="0"/>
    <w:pPr>
      <w:spacing w:after="120"/>
      <w:ind w:left="420"/>
      <w:jc w:val="both"/>
    </w:pPr>
    <w:rPr>
      <w:rFonts w:eastAsia="宋体"/>
      <w:sz w:val="16"/>
      <w:szCs w:val="16"/>
    </w:rPr>
  </w:style>
  <w:style w:type="paragraph" w:styleId="66">
    <w:name w:val="index 7"/>
    <w:basedOn w:val="1"/>
    <w:next w:val="1"/>
    <w:qFormat/>
    <w:uiPriority w:val="0"/>
    <w:pPr>
      <w:ind w:left="1200" w:leftChars="1200"/>
      <w:jc w:val="both"/>
    </w:pPr>
    <w:rPr>
      <w:rFonts w:eastAsia="仿宋_GB2312"/>
    </w:rPr>
  </w:style>
  <w:style w:type="paragraph" w:styleId="67">
    <w:name w:val="index 9"/>
    <w:basedOn w:val="1"/>
    <w:next w:val="1"/>
    <w:qFormat/>
    <w:uiPriority w:val="0"/>
    <w:pPr>
      <w:ind w:left="1600" w:leftChars="1600"/>
      <w:jc w:val="both"/>
    </w:pPr>
    <w:rPr>
      <w:rFonts w:eastAsia="仿宋_GB2312"/>
    </w:rPr>
  </w:style>
  <w:style w:type="paragraph" w:styleId="68">
    <w:name w:val="table of figures"/>
    <w:basedOn w:val="1"/>
    <w:next w:val="1"/>
    <w:qFormat/>
    <w:uiPriority w:val="0"/>
    <w:pPr>
      <w:ind w:left="200" w:leftChars="200" w:hanging="200" w:hangingChars="200"/>
      <w:jc w:val="both"/>
    </w:pPr>
  </w:style>
  <w:style w:type="paragraph" w:styleId="69">
    <w:name w:val="toc 2"/>
    <w:basedOn w:val="1"/>
    <w:next w:val="1"/>
    <w:qFormat/>
    <w:uiPriority w:val="39"/>
    <w:pPr>
      <w:ind w:left="420" w:leftChars="200"/>
    </w:pPr>
  </w:style>
  <w:style w:type="paragraph" w:styleId="70">
    <w:name w:val="toc 9"/>
    <w:basedOn w:val="1"/>
    <w:next w:val="1"/>
    <w:unhideWhenUsed/>
    <w:uiPriority w:val="39"/>
    <w:pPr>
      <w:spacing w:line="240" w:lineRule="auto"/>
      <w:ind w:left="3360" w:leftChars="1600" w:firstLine="0" w:firstLineChars="0"/>
      <w:jc w:val="both"/>
    </w:pPr>
    <w:rPr>
      <w:rFonts w:ascii="等线" w:hAnsi="等线" w:eastAsia="等线"/>
      <w:sz w:val="21"/>
      <w:szCs w:val="22"/>
    </w:rPr>
  </w:style>
  <w:style w:type="paragraph" w:styleId="71">
    <w:name w:val="Body Text 2"/>
    <w:basedOn w:val="1"/>
    <w:link w:val="262"/>
    <w:qFormat/>
    <w:uiPriority w:val="0"/>
    <w:pPr>
      <w:spacing w:after="120" w:line="480" w:lineRule="auto"/>
      <w:jc w:val="both"/>
    </w:pPr>
    <w:rPr>
      <w:rFonts w:eastAsia="宋体"/>
      <w:sz w:val="21"/>
    </w:rPr>
  </w:style>
  <w:style w:type="paragraph" w:styleId="72">
    <w:name w:val="List 4"/>
    <w:basedOn w:val="1"/>
    <w:qFormat/>
    <w:uiPriority w:val="0"/>
    <w:pPr>
      <w:ind w:left="1680" w:hanging="420"/>
      <w:jc w:val="both"/>
    </w:pPr>
  </w:style>
  <w:style w:type="paragraph" w:styleId="73">
    <w:name w:val="List Continue 2"/>
    <w:basedOn w:val="1"/>
    <w:qFormat/>
    <w:uiPriority w:val="0"/>
    <w:pPr>
      <w:spacing w:after="120"/>
      <w:ind w:left="840"/>
      <w:jc w:val="both"/>
    </w:pPr>
  </w:style>
  <w:style w:type="paragraph" w:styleId="74">
    <w:name w:val="Message Header"/>
    <w:basedOn w:val="1"/>
    <w:link w:val="251"/>
    <w:qFormat/>
    <w:uiPriority w:val="0"/>
    <w:pPr>
      <w:pBdr>
        <w:top w:val="single" w:color="auto" w:sz="6" w:space="1"/>
        <w:left w:val="single" w:color="auto" w:sz="6" w:space="1"/>
        <w:bottom w:val="single" w:color="auto" w:sz="6" w:space="1"/>
        <w:right w:val="single" w:color="auto" w:sz="6" w:space="1"/>
      </w:pBdr>
      <w:shd w:val="pct20" w:color="auto" w:fill="auto"/>
      <w:ind w:left="1080" w:hanging="1080"/>
      <w:jc w:val="both"/>
    </w:pPr>
    <w:rPr>
      <w:rFonts w:ascii="Arial" w:hAnsi="Arial" w:eastAsia="宋体" w:cs="Arial"/>
      <w:sz w:val="24"/>
    </w:rPr>
  </w:style>
  <w:style w:type="paragraph" w:styleId="75">
    <w:name w:val="HTML Preformatted"/>
    <w:basedOn w:val="1"/>
    <w:link w:val="187"/>
    <w:qFormat/>
    <w:uiPriority w:val="0"/>
    <w:pPr>
      <w:jc w:val="both"/>
    </w:pPr>
    <w:rPr>
      <w:rFonts w:ascii="Courier New" w:hAnsi="Courier New" w:eastAsia="宋体" w:cs="Courier New"/>
      <w:sz w:val="20"/>
      <w:szCs w:val="20"/>
    </w:rPr>
  </w:style>
  <w:style w:type="paragraph" w:styleId="76">
    <w:name w:val="Normal (Web)"/>
    <w:basedOn w:val="1"/>
    <w:qFormat/>
    <w:uiPriority w:val="0"/>
    <w:pPr>
      <w:widowControl/>
      <w:spacing w:before="100" w:beforeAutospacing="1" w:after="100" w:afterAutospacing="1"/>
    </w:pPr>
    <w:rPr>
      <w:rFonts w:ascii="宋体" w:hAnsi="宋体" w:cs="宋体"/>
      <w:kern w:val="0"/>
      <w:sz w:val="24"/>
    </w:rPr>
  </w:style>
  <w:style w:type="paragraph" w:styleId="77">
    <w:name w:val="List Continue 3"/>
    <w:basedOn w:val="1"/>
    <w:qFormat/>
    <w:uiPriority w:val="0"/>
    <w:pPr>
      <w:spacing w:after="120"/>
      <w:ind w:left="1260"/>
      <w:jc w:val="both"/>
    </w:pPr>
  </w:style>
  <w:style w:type="paragraph" w:styleId="78">
    <w:name w:val="index 2"/>
    <w:basedOn w:val="1"/>
    <w:next w:val="1"/>
    <w:qFormat/>
    <w:uiPriority w:val="0"/>
    <w:pPr>
      <w:ind w:left="200" w:leftChars="200"/>
      <w:jc w:val="both"/>
    </w:pPr>
    <w:rPr>
      <w:rFonts w:eastAsia="仿宋_GB2312"/>
    </w:rPr>
  </w:style>
  <w:style w:type="paragraph" w:styleId="79">
    <w:name w:val="Title"/>
    <w:basedOn w:val="1"/>
    <w:next w:val="1"/>
    <w:link w:val="256"/>
    <w:qFormat/>
    <w:uiPriority w:val="0"/>
    <w:pPr>
      <w:spacing w:before="240" w:after="60"/>
      <w:ind w:firstLine="0" w:firstLineChars="0"/>
      <w:jc w:val="center"/>
      <w:outlineLvl w:val="0"/>
    </w:pPr>
    <w:rPr>
      <w:rFonts w:ascii="Cambria" w:hAnsi="Cambria"/>
      <w:b/>
      <w:bCs/>
      <w:szCs w:val="32"/>
    </w:rPr>
  </w:style>
  <w:style w:type="paragraph" w:styleId="80">
    <w:name w:val="annotation subject"/>
    <w:basedOn w:val="25"/>
    <w:next w:val="25"/>
    <w:link w:val="205"/>
    <w:qFormat/>
    <w:uiPriority w:val="0"/>
    <w:rPr>
      <w:b/>
      <w:bCs/>
    </w:rPr>
  </w:style>
  <w:style w:type="paragraph" w:styleId="81">
    <w:name w:val="Body Text First Indent"/>
    <w:basedOn w:val="31"/>
    <w:link w:val="227"/>
    <w:uiPriority w:val="0"/>
    <w:pPr>
      <w:spacing w:after="120"/>
      <w:ind w:firstLine="420" w:firstLineChars="100"/>
    </w:pPr>
    <w:rPr>
      <w:rFonts w:eastAsia="宋体"/>
      <w:sz w:val="21"/>
    </w:rPr>
  </w:style>
  <w:style w:type="paragraph" w:styleId="82">
    <w:name w:val="Body Text First Indent 2"/>
    <w:basedOn w:val="32"/>
    <w:link w:val="253"/>
    <w:uiPriority w:val="0"/>
    <w:pPr>
      <w:ind w:firstLine="420"/>
    </w:pPr>
    <w:rPr>
      <w:rFonts w:ascii="宋体" w:eastAsia="宋体"/>
      <w:color w:val="000080"/>
      <w:sz w:val="21"/>
    </w:rPr>
  </w:style>
  <w:style w:type="table" w:styleId="84">
    <w:name w:val="Table Grid"/>
    <w:basedOn w:val="83"/>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85">
    <w:name w:val="Table Theme"/>
    <w:basedOn w:val="83"/>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86">
    <w:name w:val="Table Colorful 1"/>
    <w:basedOn w:val="83"/>
    <w:qFormat/>
    <w:uiPriority w:val="0"/>
    <w:pPr>
      <w:widowControl w:val="0"/>
      <w:jc w:val="both"/>
    </w:pPr>
    <w:rPr>
      <w:color w:val="FFFFFF"/>
    </w:rPr>
    <w:tblPr>
      <w:tblBorders>
        <w:top w:val="single" w:color="008080" w:sz="12" w:space="0"/>
        <w:left w:val="single" w:color="008080" w:sz="12" w:space="0"/>
        <w:bottom w:val="single" w:color="008080" w:sz="12" w:space="0"/>
        <w:right w:val="single" w:color="008080" w:sz="12" w:space="0"/>
        <w:insideH w:val="single" w:color="00FFFF" w:sz="6" w:space="0"/>
      </w:tblBorders>
    </w:tblPr>
    <w:tcPr>
      <w:shd w:val="solid" w:color="008080" w:fill="FFFFFF"/>
    </w:tcPr>
    <w:tblStylePr w:type="firstRow">
      <w:rPr>
        <w:b/>
        <w:bCs/>
        <w:i/>
        <w:iCs/>
      </w:rPr>
      <w:tblPr/>
      <w:tcPr>
        <w:tcBorders>
          <w:top w:val="nil"/>
          <w:left w:val="nil"/>
          <w:bottom w:val="nil"/>
          <w:right w:val="nil"/>
          <w:insideH w:val="nil"/>
          <w:insideV w:val="nil"/>
          <w:tl2br w:val="nil"/>
          <w:tr2bl w:val="nil"/>
        </w:tcBorders>
        <w:shd w:val="solid" w:color="000000" w:fill="FFFFFF"/>
      </w:tcPr>
    </w:tblStylePr>
    <w:tblStylePr w:type="firstCol">
      <w:rPr>
        <w:b/>
        <w:bCs/>
        <w:i/>
        <w:iCs/>
      </w:rPr>
      <w:tblPr/>
      <w:tcPr>
        <w:tcBorders>
          <w:top w:val="nil"/>
          <w:left w:val="nil"/>
          <w:bottom w:val="nil"/>
          <w:right w:val="nil"/>
          <w:insideH w:val="nil"/>
          <w:insideV w:val="nil"/>
          <w:tl2br w:val="nil"/>
          <w:tr2bl w:val="nil"/>
        </w:tcBorders>
        <w:shd w:val="solid" w:color="000080" w:fill="FFFFFF"/>
      </w:tcPr>
    </w:tblStylePr>
    <w:tblStylePr w:type="nwCell">
      <w:tblPr/>
      <w:tcPr>
        <w:tcBorders>
          <w:top w:val="nil"/>
          <w:left w:val="nil"/>
          <w:bottom w:val="nil"/>
          <w:right w:val="nil"/>
          <w:insideH w:val="nil"/>
          <w:insideV w:val="nil"/>
          <w:tl2br w:val="nil"/>
          <w:tr2bl w:val="nil"/>
        </w:tcBorders>
        <w:shd w:val="solid" w:color="000000" w:fill="FFFFFF"/>
      </w:tcPr>
    </w:tblStylePr>
    <w:tblStylePr w:type="swCell">
      <w:rPr>
        <w:b/>
        <w:bCs/>
        <w:i w:val="0"/>
        <w:iCs w:val="0"/>
      </w:rPr>
      <w:tblPr/>
      <w:tcPr>
        <w:tcBorders>
          <w:top w:val="nil"/>
          <w:left w:val="nil"/>
          <w:bottom w:val="nil"/>
          <w:right w:val="nil"/>
          <w:insideH w:val="nil"/>
          <w:insideV w:val="nil"/>
          <w:tl2br w:val="nil"/>
          <w:tr2bl w:val="nil"/>
        </w:tcBorders>
      </w:tcPr>
    </w:tblStylePr>
  </w:style>
  <w:style w:type="table" w:styleId="87">
    <w:name w:val="Table Colorful 2"/>
    <w:basedOn w:val="83"/>
    <w:qFormat/>
    <w:uiPriority w:val="0"/>
    <w:pPr>
      <w:widowControl w:val="0"/>
      <w:jc w:val="both"/>
    </w:pPr>
    <w:tblPr>
      <w:tblBorders>
        <w:bottom w:val="single" w:color="000000" w:sz="12" w:space="0"/>
      </w:tblBorders>
    </w:tblPr>
    <w:tcPr>
      <w:shd w:val="pct20" w:color="FFFF00" w:fill="FFFFFF"/>
    </w:tcPr>
    <w:tblStylePr w:type="firstRow">
      <w:rPr>
        <w:b/>
        <w:bCs/>
        <w:i/>
        <w:iCs/>
        <w:color w:val="FFFFFF"/>
      </w:rPr>
      <w:tblPr/>
      <w:tcPr>
        <w:tcBorders>
          <w:top w:val="nil"/>
          <w:left w:val="nil"/>
          <w:bottom w:val="single" w:color="000000" w:sz="12" w:space="0"/>
          <w:right w:val="nil"/>
          <w:insideH w:val="nil"/>
          <w:insideV w:val="nil"/>
          <w:tl2br w:val="nil"/>
          <w:tr2bl w:val="nil"/>
        </w:tcBorders>
        <w:shd w:val="solid" w:color="800000" w:fill="FFFFFF"/>
      </w:tcPr>
    </w:tblStylePr>
    <w:tblStylePr w:type="firstCol">
      <w:rPr>
        <w:b/>
        <w:bCs/>
        <w:i/>
        <w:iCs/>
      </w:rPr>
      <w:tblPr/>
      <w:tcPr>
        <w:tcBorders>
          <w:top w:val="nil"/>
          <w:left w:val="nil"/>
          <w:bottom w:val="nil"/>
          <w:right w:val="nil"/>
          <w:insideH w:val="nil"/>
          <w:insideV w:val="nil"/>
          <w:tl2br w:val="nil"/>
          <w:tr2bl w:val="nil"/>
        </w:tcBorders>
      </w:tcPr>
    </w:tblStylePr>
    <w:tblStylePr w:type="lastCol">
      <w:tblPr/>
      <w:tcPr>
        <w:tcBorders>
          <w:top w:val="nil"/>
          <w:left w:val="nil"/>
          <w:bottom w:val="nil"/>
          <w:right w:val="nil"/>
          <w:insideH w:val="nil"/>
          <w:insideV w:val="nil"/>
          <w:tl2br w:val="nil"/>
          <w:tr2bl w:val="nil"/>
        </w:tcBorders>
        <w:shd w:val="solid" w:color="C0C0C0" w:fill="FFFFFF"/>
      </w:tcPr>
    </w:tblStylePr>
    <w:tblStylePr w:type="swCell">
      <w:rPr>
        <w:b/>
        <w:bCs/>
        <w:i w:val="0"/>
        <w:iCs w:val="0"/>
      </w:rPr>
      <w:tblPr/>
      <w:tcPr>
        <w:tcBorders>
          <w:top w:val="nil"/>
          <w:left w:val="nil"/>
          <w:bottom w:val="nil"/>
          <w:right w:val="nil"/>
          <w:insideH w:val="nil"/>
          <w:insideV w:val="nil"/>
          <w:tl2br w:val="nil"/>
          <w:tr2bl w:val="nil"/>
        </w:tcBorders>
      </w:tcPr>
    </w:tblStylePr>
  </w:style>
  <w:style w:type="table" w:styleId="88">
    <w:name w:val="Table Colorful 3"/>
    <w:basedOn w:val="83"/>
    <w:qFormat/>
    <w:uiPriority w:val="0"/>
    <w:pPr>
      <w:widowControl w:val="0"/>
      <w:jc w:val="both"/>
    </w:pPr>
    <w:tblPr>
      <w:tblBorders>
        <w:top w:val="single" w:color="000000" w:sz="18" w:space="0"/>
        <w:left w:val="single" w:color="000000" w:sz="18" w:space="0"/>
        <w:bottom w:val="single" w:color="000000" w:sz="18" w:space="0"/>
        <w:right w:val="single" w:color="000000" w:sz="18" w:space="0"/>
        <w:insideH w:val="single" w:color="C0C0C0" w:sz="6" w:space="0"/>
      </w:tblBorders>
    </w:tblPr>
    <w:tcPr>
      <w:shd w:val="pct25" w:color="008080" w:fill="FFFFFF"/>
    </w:tcPr>
    <w:tblStylePr w:type="firstRow">
      <w:tblPr/>
      <w:tcPr>
        <w:tcBorders>
          <w:top w:val="nil"/>
          <w:left w:val="nil"/>
          <w:bottom w:val="single" w:color="000000" w:sz="6" w:space="0"/>
          <w:right w:val="nil"/>
          <w:insideH w:val="nil"/>
          <w:insideV w:val="nil"/>
          <w:tl2br w:val="nil"/>
          <w:tr2bl w:val="nil"/>
        </w:tcBorders>
        <w:shd w:val="solid" w:color="008080" w:fill="FFFFFF"/>
      </w:tcPr>
    </w:tblStylePr>
    <w:tblStylePr w:type="firstCol">
      <w:tblPr/>
      <w:tcPr>
        <w:tcBorders>
          <w:top w:val="nil"/>
          <w:left w:val="single" w:color="000000" w:sz="36" w:space="0"/>
          <w:bottom w:val="nil"/>
          <w:right w:val="single" w:color="000000" w:sz="6" w:space="0"/>
          <w:insideH w:val="nil"/>
          <w:insideV w:val="nil"/>
          <w:tl2br w:val="nil"/>
          <w:tr2bl w:val="nil"/>
        </w:tcBorders>
        <w:shd w:val="solid" w:color="008080" w:fill="FFFFFF"/>
      </w:tcPr>
    </w:tblStylePr>
    <w:tblStylePr w:type="nwCell">
      <w:rPr>
        <w:b/>
        <w:bCs/>
        <w:color w:val="FFFFFF"/>
      </w:rPr>
      <w:tblPr/>
      <w:tcPr>
        <w:tcBorders>
          <w:top w:val="nil"/>
          <w:left w:val="nil"/>
          <w:bottom w:val="nil"/>
          <w:right w:val="nil"/>
          <w:insideH w:val="nil"/>
          <w:insideV w:val="nil"/>
          <w:tl2br w:val="nil"/>
          <w:tr2bl w:val="nil"/>
        </w:tcBorders>
        <w:shd w:val="solid" w:color="000000" w:fill="FFFFFF"/>
      </w:tcPr>
    </w:tblStylePr>
  </w:style>
  <w:style w:type="table" w:styleId="89">
    <w:name w:val="Table Elegant"/>
    <w:basedOn w:val="83"/>
    <w:qFormat/>
    <w:uiPriority w:val="0"/>
    <w:pPr>
      <w:widowControl w:val="0"/>
      <w:jc w:val="both"/>
    </w:p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Pr>
    <w:tcPr>
      <w:shd w:val="clear" w:color="auto" w:fill="auto"/>
    </w:tcPr>
    <w:tblStylePr w:type="firstRow">
      <w:rPr>
        <w:caps/>
        <w:color w:val="auto"/>
      </w:rPr>
      <w:tblPr/>
      <w:tcPr>
        <w:tcBorders>
          <w:top w:val="nil"/>
          <w:left w:val="nil"/>
          <w:bottom w:val="nil"/>
          <w:right w:val="nil"/>
          <w:insideH w:val="nil"/>
          <w:insideV w:val="nil"/>
          <w:tl2br w:val="nil"/>
          <w:tr2bl w:val="nil"/>
        </w:tcBorders>
      </w:tcPr>
    </w:tblStylePr>
  </w:style>
  <w:style w:type="table" w:styleId="90">
    <w:name w:val="Table Classic 1"/>
    <w:basedOn w:val="83"/>
    <w:qFormat/>
    <w:uiPriority w:val="0"/>
    <w:pPr>
      <w:widowControl w:val="0"/>
      <w:jc w:val="both"/>
    </w:pPr>
    <w:tblPr>
      <w:tblBorders>
        <w:top w:val="single" w:color="000000" w:sz="12" w:space="0"/>
        <w:bottom w:val="single" w:color="000000" w:sz="12" w:space="0"/>
      </w:tblBorders>
    </w:tblPr>
    <w:tcPr>
      <w:shd w:val="clear" w:color="auto" w:fill="auto"/>
    </w:tcPr>
    <w:tblStylePr w:type="firstRow">
      <w:rPr>
        <w:i/>
        <w:iCs/>
      </w:rPr>
      <w:tblPr/>
      <w:tcPr>
        <w:tcBorders>
          <w:top w:val="nil"/>
          <w:left w:val="nil"/>
          <w:bottom w:val="single" w:color="000000" w:sz="6" w:space="0"/>
          <w:right w:val="nil"/>
          <w:insideH w:val="nil"/>
          <w:insideV w:val="nil"/>
          <w:tl2br w:val="nil"/>
          <w:tr2bl w:val="nil"/>
        </w:tcBorders>
      </w:tcPr>
    </w:tblStylePr>
    <w:tblStylePr w:type="lastRow">
      <w:rPr>
        <w:color w:val="auto"/>
      </w:rPr>
      <w:tblPr/>
      <w:tcPr>
        <w:tcBorders>
          <w:top w:val="single" w:color="000000" w:sz="6" w:space="0"/>
          <w:left w:val="nil"/>
          <w:bottom w:val="nil"/>
          <w:right w:val="nil"/>
          <w:insideH w:val="nil"/>
          <w:insideV w:val="nil"/>
          <w:tl2br w:val="nil"/>
          <w:tr2bl w:val="nil"/>
        </w:tcBorders>
      </w:tcPr>
    </w:tblStylePr>
    <w:tblStylePr w:type="firstCol">
      <w:tblPr/>
      <w:tcPr>
        <w:tcBorders>
          <w:top w:val="nil"/>
          <w:left w:val="nil"/>
          <w:bottom w:val="nil"/>
          <w:right w:val="single" w:color="000000" w:sz="6" w:space="0"/>
          <w:insideH w:val="nil"/>
          <w:insideV w:val="nil"/>
          <w:tl2br w:val="nil"/>
          <w:tr2bl w:val="nil"/>
        </w:tcBorders>
      </w:tcPr>
    </w:tblStylePr>
    <w:tblStylePr w:type="neCell">
      <w:rPr>
        <w:b/>
        <w:bCs/>
        <w:i w:val="0"/>
        <w:iCs w:val="0"/>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91">
    <w:name w:val="Table Classic 2"/>
    <w:basedOn w:val="83"/>
    <w:qFormat/>
    <w:uiPriority w:val="0"/>
    <w:pPr>
      <w:widowControl w:val="0"/>
      <w:jc w:val="both"/>
    </w:pPr>
    <w:tblPr>
      <w:tblBorders>
        <w:top w:val="single" w:color="000000" w:sz="12" w:space="0"/>
        <w:bottom w:val="single" w:color="000000" w:sz="12" w:space="0"/>
      </w:tblBorders>
    </w:tblPr>
    <w:tcPr>
      <w:shd w:val="clear" w:color="auto" w:fill="auto"/>
    </w:tcPr>
    <w:tblStylePr w:type="firstRow">
      <w:rPr>
        <w:color w:val="FFFFFF"/>
      </w:rPr>
      <w:tblPr/>
      <w:tcPr>
        <w:tcBorders>
          <w:top w:val="nil"/>
          <w:left w:val="nil"/>
          <w:bottom w:val="single" w:color="000000" w:sz="6" w:space="0"/>
          <w:right w:val="nil"/>
          <w:insideH w:val="nil"/>
          <w:insideV w:val="nil"/>
          <w:tl2br w:val="nil"/>
          <w:tr2bl w:val="nil"/>
        </w:tcBorders>
        <w:shd w:val="solid" w:color="800080" w:fill="FFFFFF"/>
      </w:tcPr>
    </w:tblStylePr>
    <w:tblStylePr w:type="lastRow">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shd w:val="solid" w:color="C0C0C0" w:fill="FFFFFF"/>
      </w:tcPr>
    </w:tblStylePr>
    <w:tblStylePr w:type="neCel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nil"/>
          <w:tr2bl w:val="nil"/>
        </w:tcBorders>
        <w:shd w:val="solid" w:color="800080" w:fill="FFFFFF"/>
      </w:tcPr>
    </w:tblStylePr>
    <w:tblStylePr w:type="swCell">
      <w:rPr>
        <w:color w:val="000080"/>
      </w:rPr>
      <w:tblPr/>
      <w:tcPr>
        <w:tcBorders>
          <w:top w:val="nil"/>
          <w:left w:val="nil"/>
          <w:bottom w:val="nil"/>
          <w:right w:val="nil"/>
          <w:insideH w:val="nil"/>
          <w:insideV w:val="nil"/>
          <w:tl2br w:val="nil"/>
          <w:tr2bl w:val="nil"/>
        </w:tcBorders>
      </w:tcPr>
    </w:tblStylePr>
  </w:style>
  <w:style w:type="table" w:styleId="92">
    <w:name w:val="Table Classic 3"/>
    <w:basedOn w:val="83"/>
    <w:qFormat/>
    <w:uiPriority w:val="0"/>
    <w:pPr>
      <w:widowControl w:val="0"/>
      <w:jc w:val="both"/>
    </w:pPr>
    <w:rPr>
      <w:color w:val="000080"/>
    </w:rPr>
    <w:tblPr>
      <w:tblBorders>
        <w:top w:val="single" w:color="000000" w:sz="12" w:space="0"/>
        <w:left w:val="single" w:color="000000" w:sz="12" w:space="0"/>
        <w:bottom w:val="single" w:color="000000" w:sz="12" w:space="0"/>
        <w:right w:val="single" w:color="000000" w:sz="12" w:space="0"/>
      </w:tblBorders>
    </w:tblPr>
    <w:tcPr>
      <w:shd w:val="solid" w:color="C0C0C0" w:fill="FFFFFF"/>
    </w:tcPr>
    <w:tblStylePr w:type="firstRow">
      <w:rPr>
        <w:b/>
        <w:bCs/>
        <w:i/>
        <w:iCs/>
        <w:color w:val="FFFFFF"/>
      </w:rPr>
      <w:tblPr/>
      <w:tcPr>
        <w:tcBorders>
          <w:top w:val="nil"/>
          <w:left w:val="nil"/>
          <w:bottom w:val="single" w:color="000000" w:sz="6" w:space="0"/>
          <w:right w:val="nil"/>
          <w:insideH w:val="nil"/>
          <w:insideV w:val="nil"/>
          <w:tl2br w:val="nil"/>
          <w:tr2bl w:val="nil"/>
        </w:tcBorders>
        <w:shd w:val="solid" w:color="000080" w:fill="FFFFFF"/>
      </w:tcPr>
    </w:tblStylePr>
    <w:tblStylePr w:type="lastRow">
      <w:rPr>
        <w:color w:val="000080"/>
      </w:rPr>
      <w:tblPr/>
      <w:tcPr>
        <w:tcBorders>
          <w:top w:val="single" w:color="000000" w:sz="12" w:space="0"/>
          <w:left w:val="nil"/>
          <w:bottom w:val="nil"/>
          <w:right w:val="nil"/>
          <w:insideH w:val="nil"/>
          <w:insideV w:val="nil"/>
          <w:tl2br w:val="nil"/>
          <w:tr2bl w:val="nil"/>
        </w:tcBorders>
        <w:shd w:val="solid" w:color="FFFFFF" w:fill="FFFFFF"/>
      </w:tcPr>
    </w:tblStylePr>
    <w:tblStylePr w:type="firstCol">
      <w:rPr>
        <w:b/>
        <w:bCs/>
        <w:color w:val="000000"/>
      </w:rPr>
      <w:tblPr/>
      <w:tcPr>
        <w:tcBorders>
          <w:top w:val="nil"/>
          <w:left w:val="nil"/>
          <w:bottom w:val="nil"/>
          <w:right w:val="nil"/>
          <w:insideH w:val="nil"/>
          <w:insideV w:val="nil"/>
          <w:tl2br w:val="nil"/>
          <w:tr2bl w:val="nil"/>
        </w:tcBorders>
      </w:tcPr>
    </w:tblStylePr>
  </w:style>
  <w:style w:type="table" w:styleId="93">
    <w:name w:val="Table Classic 4"/>
    <w:basedOn w:val="83"/>
    <w:qFormat/>
    <w:uiPriority w:val="0"/>
    <w:pPr>
      <w:widowControl w:val="0"/>
      <w:jc w:val="both"/>
    </w:pPr>
    <w:tblPr>
      <w:tblBorders>
        <w:top w:val="single" w:color="000000" w:sz="12" w:space="0"/>
        <w:left w:val="single" w:color="000000" w:sz="6" w:space="0"/>
        <w:bottom w:val="single" w:color="000000" w:sz="12" w:space="0"/>
        <w:right w:val="single" w:color="000000" w:sz="6" w:space="0"/>
      </w:tblBorders>
    </w:tblPr>
    <w:tcPr>
      <w:shd w:val="clear" w:color="auto" w:fill="auto"/>
    </w:tcPr>
    <w:tblStylePr w:type="firstRow">
      <w:rPr>
        <w:b/>
        <w:bCs/>
        <w:i/>
        <w:iCs/>
        <w:color w:val="FFFFFF"/>
      </w:rPr>
      <w:tblPr/>
      <w:tcPr>
        <w:tcBorders>
          <w:top w:val="nil"/>
          <w:left w:val="nil"/>
          <w:bottom w:val="single" w:color="000000" w:sz="6" w:space="0"/>
          <w:right w:val="nil"/>
          <w:insideH w:val="nil"/>
          <w:insideV w:val="nil"/>
          <w:tl2br w:val="nil"/>
          <w:tr2bl w:val="nil"/>
        </w:tcBorders>
        <w:shd w:val="pct50" w:color="000080" w:fill="FFFFFF"/>
      </w:tcPr>
    </w:tblStylePr>
    <w:tblStylePr w:type="lastRow">
      <w:rPr>
        <w:color w:val="000080"/>
      </w:rPr>
      <w:tblPr/>
      <w:tcPr>
        <w:tcBorders>
          <w:top w:val="nil"/>
          <w:left w:val="nil"/>
          <w:bottom w:val="single" w:color="000000" w:sz="6" w:space="0"/>
          <w:right w:val="nil"/>
          <w:insideH w:val="nil"/>
          <w:insideV w:val="nil"/>
          <w:tl2br w:val="nil"/>
          <w:tr2bl w:val="nil"/>
        </w:tcBorders>
        <w:shd w:val="pct50" w:color="000000" w:fill="FFFFFF"/>
      </w:tcPr>
    </w:tblStylePr>
    <w:tblStylePr w:type="firstCol">
      <w:rPr>
        <w:b/>
        <w:bCs/>
      </w:rPr>
      <w:tblPr/>
      <w:tcPr>
        <w:tcBorders>
          <w:top w:val="nil"/>
          <w:left w:val="nil"/>
          <w:bottom w:val="nil"/>
          <w:right w:val="nil"/>
          <w:insideH w:val="nil"/>
          <w:insideV w:val="nil"/>
          <w:tl2br w:val="nil"/>
          <w:tr2bl w:val="nil"/>
        </w:tcBorders>
      </w:tcPr>
    </w:tblStylePr>
    <w:tblStylePr w:type="nwCell">
      <w:rPr>
        <w:b/>
        <w:bCs/>
      </w:rPr>
      <w:tblPr/>
      <w:tcPr>
        <w:tcBorders>
          <w:top w:val="nil"/>
          <w:left w:val="nil"/>
          <w:bottom w:val="nil"/>
          <w:right w:val="nil"/>
          <w:insideH w:val="nil"/>
          <w:insideV w:val="nil"/>
          <w:tl2br w:val="nil"/>
          <w:tr2bl w:val="nil"/>
        </w:tcBorders>
      </w:tcPr>
    </w:tblStylePr>
    <w:tblStylePr w:type="swCell">
      <w:rPr>
        <w:color w:val="000080"/>
      </w:rPr>
      <w:tblPr/>
      <w:tcPr>
        <w:tcBorders>
          <w:top w:val="nil"/>
          <w:left w:val="nil"/>
          <w:bottom w:val="nil"/>
          <w:right w:val="nil"/>
          <w:insideH w:val="nil"/>
          <w:insideV w:val="nil"/>
          <w:tl2br w:val="nil"/>
          <w:tr2bl w:val="nil"/>
        </w:tcBorders>
      </w:tcPr>
    </w:tblStylePr>
  </w:style>
  <w:style w:type="table" w:styleId="94">
    <w:name w:val="Table Simple 1"/>
    <w:basedOn w:val="83"/>
    <w:qFormat/>
    <w:uiPriority w:val="0"/>
    <w:pPr>
      <w:widowControl w:val="0"/>
      <w:jc w:val="both"/>
    </w:pPr>
    <w:tblPr>
      <w:tblBorders>
        <w:top w:val="single" w:color="008000" w:sz="12" w:space="0"/>
        <w:bottom w:val="single" w:color="008000" w:sz="12" w:space="0"/>
      </w:tblBorders>
    </w:tblPr>
    <w:tcPr>
      <w:shd w:val="clear" w:color="auto" w:fill="auto"/>
    </w:tcPr>
    <w:tblStylePr w:type="firstRow">
      <w:tblPr/>
      <w:tcPr>
        <w:tcBorders>
          <w:top w:val="nil"/>
          <w:left w:val="nil"/>
          <w:bottom w:val="single" w:color="008000" w:sz="6" w:space="0"/>
          <w:right w:val="nil"/>
          <w:insideH w:val="nil"/>
          <w:insideV w:val="nil"/>
          <w:tl2br w:val="nil"/>
          <w:tr2bl w:val="nil"/>
        </w:tcBorders>
      </w:tcPr>
    </w:tblStylePr>
    <w:tblStylePr w:type="lastRow">
      <w:tblPr/>
      <w:tcPr>
        <w:tcBorders>
          <w:top w:val="single" w:color="008000" w:sz="6" w:space="0"/>
          <w:left w:val="nil"/>
          <w:bottom w:val="nil"/>
          <w:right w:val="nil"/>
          <w:insideH w:val="nil"/>
          <w:insideV w:val="nil"/>
          <w:tl2br w:val="nil"/>
          <w:tr2bl w:val="nil"/>
        </w:tcBorders>
      </w:tcPr>
    </w:tblStylePr>
  </w:style>
  <w:style w:type="table" w:styleId="95">
    <w:name w:val="Table Simple 2"/>
    <w:basedOn w:val="83"/>
    <w:qFormat/>
    <w:uiPriority w:val="0"/>
    <w:pPr>
      <w:widowControl w:val="0"/>
      <w:jc w:val="both"/>
    </w:pPr>
    <w:tblPr/>
    <w:tblStylePr w:type="firstRow">
      <w:rPr>
        <w:b/>
        <w:bCs/>
      </w:rPr>
      <w:tblPr/>
      <w:tcPr>
        <w:tcBorders>
          <w:top w:val="nil"/>
          <w:left w:val="nil"/>
          <w:bottom w:val="single" w:color="000000" w:sz="12" w:space="0"/>
          <w:right w:val="nil"/>
          <w:insideH w:val="nil"/>
          <w:insideV w:val="nil"/>
          <w:tl2br w:val="nil"/>
          <w:tr2bl w:val="nil"/>
        </w:tcBorders>
      </w:tcPr>
    </w:tblStylePr>
    <w:tblStylePr w:type="lastRow">
      <w:rPr>
        <w:b/>
        <w:bCs/>
        <w:color w:val="auto"/>
      </w:rPr>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single" w:color="000000" w:sz="12" w:space="0"/>
          <w:insideH w:val="nil"/>
          <w:insideV w:val="nil"/>
          <w:tl2br w:val="nil"/>
          <w:tr2bl w:val="nil"/>
        </w:tcBorders>
      </w:tcPr>
    </w:tblStylePr>
    <w:tblStylePr w:type="lastCol">
      <w:rPr>
        <w:b/>
        <w:bCs/>
      </w:rPr>
      <w:tblPr/>
      <w:tcPr>
        <w:tcBorders>
          <w:top w:val="nil"/>
          <w:left w:val="single" w:color="000000" w:sz="6" w:space="0"/>
          <w:bottom w:val="nil"/>
          <w:right w:val="nil"/>
          <w:insideH w:val="nil"/>
          <w:insideV w:val="nil"/>
          <w:tl2br w:val="nil"/>
          <w:tr2bl w:val="nil"/>
        </w:tcBorders>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96">
    <w:name w:val="Table Simple 3"/>
    <w:basedOn w:val="83"/>
    <w:qFormat/>
    <w:uiPriority w:val="0"/>
    <w:pPr>
      <w:widowControl w:val="0"/>
      <w:jc w:val="both"/>
    </w:pPr>
    <w:tblPr>
      <w:tblBorders>
        <w:top w:val="single" w:color="000000" w:sz="12" w:space="0"/>
        <w:left w:val="single" w:color="000000" w:sz="12" w:space="0"/>
        <w:bottom w:val="single" w:color="000000" w:sz="12" w:space="0"/>
        <w:right w:val="single" w:color="000000" w:sz="12" w:space="0"/>
      </w:tblBorders>
    </w:tblPr>
    <w:tcPr>
      <w:shd w:val="clear" w:color="auto" w:fill="auto"/>
    </w:tcPr>
    <w:tblStylePr w:type="firstRow">
      <w:rPr>
        <w:b/>
        <w:bCs/>
        <w:color w:val="FFFFFF"/>
      </w:rPr>
      <w:tblPr/>
      <w:tcPr>
        <w:tcBorders>
          <w:top w:val="nil"/>
          <w:left w:val="nil"/>
          <w:bottom w:val="nil"/>
          <w:right w:val="nil"/>
          <w:insideH w:val="nil"/>
          <w:insideV w:val="nil"/>
          <w:tl2br w:val="nil"/>
          <w:tr2bl w:val="nil"/>
        </w:tcBorders>
        <w:shd w:val="solid" w:color="000000" w:fill="FFFFFF"/>
      </w:tcPr>
    </w:tblStylePr>
  </w:style>
  <w:style w:type="table" w:styleId="97">
    <w:name w:val="Table Subtle 1"/>
    <w:basedOn w:val="83"/>
    <w:qFormat/>
    <w:uiPriority w:val="0"/>
    <w:pPr>
      <w:widowControl w:val="0"/>
      <w:jc w:val="both"/>
    </w:pPr>
    <w:tblPr>
      <w:tblStyleRowBandSize w:val="1"/>
    </w:tblPr>
    <w:tblStylePr w:type="firstRow">
      <w:tblPr/>
      <w:tcPr>
        <w:tcBorders>
          <w:top w:val="single" w:color="000000" w:sz="6" w:space="0"/>
          <w:left w:val="nil"/>
          <w:bottom w:val="single" w:color="000000" w:sz="12" w:space="0"/>
          <w:right w:val="nil"/>
          <w:insideH w:val="nil"/>
          <w:insideV w:val="nil"/>
          <w:tl2br w:val="nil"/>
          <w:tr2bl w:val="nil"/>
        </w:tcBorders>
      </w:tcPr>
    </w:tblStylePr>
    <w:tblStylePr w:type="lastRow">
      <w:tblPr/>
      <w:tcPr>
        <w:tcBorders>
          <w:top w:val="single" w:color="000000" w:sz="12" w:space="0"/>
          <w:left w:val="nil"/>
          <w:bottom w:val="nil"/>
          <w:right w:val="nil"/>
          <w:insideH w:val="nil"/>
          <w:insideV w:val="nil"/>
          <w:tl2br w:val="nil"/>
          <w:tr2bl w:val="nil"/>
        </w:tcBorders>
        <w:shd w:val="pct25" w:color="800080" w:fill="FFFFFF"/>
      </w:tcPr>
    </w:tblStylePr>
    <w:tblStylePr w:type="firstCol">
      <w:tblPr/>
      <w:tcPr>
        <w:tcBorders>
          <w:top w:val="nil"/>
          <w:left w:val="nil"/>
          <w:bottom w:val="nil"/>
          <w:right w:val="single" w:color="000000" w:sz="12" w:space="0"/>
          <w:insideH w:val="nil"/>
          <w:insideV w:val="nil"/>
          <w:tl2br w:val="nil"/>
          <w:tr2bl w:val="nil"/>
        </w:tcBorders>
      </w:tcPr>
    </w:tblStylePr>
    <w:tblStylePr w:type="lastCol">
      <w:tblPr/>
      <w:tcPr>
        <w:tcBorders>
          <w:top w:val="nil"/>
          <w:left w:val="single" w:color="000000" w:sz="12" w:space="0"/>
          <w:bottom w:val="nil"/>
          <w:right w:val="nil"/>
          <w:insideH w:val="nil"/>
          <w:insideV w:val="nil"/>
          <w:tl2br w:val="nil"/>
          <w:tr2bl w:val="nil"/>
        </w:tcBorders>
      </w:tcPr>
    </w:tblStylePr>
    <w:tblStylePr w:type="band1Horz">
      <w:tblPr/>
      <w:tcPr>
        <w:tcBorders>
          <w:top w:val="nil"/>
          <w:left w:val="nil"/>
          <w:bottom w:val="single" w:color="000000" w:sz="6" w:space="0"/>
          <w:right w:val="nil"/>
          <w:insideH w:val="nil"/>
          <w:insideV w:val="nil"/>
          <w:tl2br w:val="nil"/>
          <w:tr2bl w:val="nil"/>
        </w:tcBorders>
        <w:shd w:val="pct25" w:color="808000" w:fill="FFFFFF"/>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98">
    <w:name w:val="Table Subtle 2"/>
    <w:basedOn w:val="83"/>
    <w:qFormat/>
    <w:uiPriority w:val="0"/>
    <w:pPr>
      <w:widowControl w:val="0"/>
      <w:jc w:val="both"/>
    </w:pPr>
    <w:tblPr>
      <w:tblBorders>
        <w:left w:val="single" w:color="000000" w:sz="6" w:space="0"/>
        <w:right w:val="single" w:color="000000" w:sz="6" w:space="0"/>
      </w:tblBorders>
    </w:tblPr>
    <w:tblStylePr w:type="firstRow">
      <w:tblPr/>
      <w:tcPr>
        <w:tcBorders>
          <w:top w:val="nil"/>
          <w:left w:val="nil"/>
          <w:bottom w:val="single" w:color="000000" w:sz="12" w:space="0"/>
          <w:right w:val="nil"/>
          <w:insideH w:val="nil"/>
          <w:insideV w:val="nil"/>
          <w:tl2br w:val="nil"/>
          <w:tr2bl w:val="nil"/>
        </w:tcBorders>
      </w:tcPr>
    </w:tblStylePr>
    <w:tblStylePr w:type="lastRow">
      <w:tblPr/>
      <w:tcPr>
        <w:tcBorders>
          <w:top w:val="single" w:color="000000" w:sz="12" w:space="0"/>
          <w:left w:val="nil"/>
          <w:bottom w:val="nil"/>
          <w:right w:val="nil"/>
          <w:insideH w:val="nil"/>
          <w:insideV w:val="nil"/>
          <w:tl2br w:val="nil"/>
          <w:tr2bl w:val="nil"/>
        </w:tcBorders>
      </w:tcPr>
    </w:tblStylePr>
    <w:tblStylePr w:type="firstCol">
      <w:tblPr/>
      <w:tcPr>
        <w:tcBorders>
          <w:top w:val="nil"/>
          <w:left w:val="nil"/>
          <w:bottom w:val="nil"/>
          <w:right w:val="single" w:color="000000" w:sz="12" w:space="0"/>
          <w:insideH w:val="nil"/>
          <w:insideV w:val="nil"/>
          <w:tl2br w:val="nil"/>
          <w:tr2bl w:val="nil"/>
        </w:tcBorders>
        <w:shd w:val="pct25" w:color="008000" w:fill="FFFFFF"/>
      </w:tcPr>
    </w:tblStylePr>
    <w:tblStylePr w:type="lastCol">
      <w:tblPr/>
      <w:tcPr>
        <w:tcBorders>
          <w:top w:val="nil"/>
          <w:left w:val="single" w:color="000000" w:sz="12" w:space="0"/>
          <w:bottom w:val="nil"/>
          <w:right w:val="nil"/>
          <w:insideH w:val="nil"/>
          <w:insideV w:val="nil"/>
          <w:tl2br w:val="nil"/>
          <w:tr2bl w:val="nil"/>
        </w:tcBorders>
        <w:shd w:val="pct25" w:color="808000" w:fill="FFFFFF"/>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99">
    <w:name w:val="Table 3D effects 1"/>
    <w:basedOn w:val="83"/>
    <w:qFormat/>
    <w:uiPriority w:val="0"/>
    <w:pPr>
      <w:widowControl w:val="0"/>
      <w:spacing w:line="360" w:lineRule="auto"/>
      <w:ind w:firstLine="200" w:firstLineChars="200"/>
    </w:pPr>
    <w:tblPr/>
    <w:tcPr>
      <w:shd w:val="solid" w:color="C0C0C0" w:fill="FFFFFF"/>
    </w:tcPr>
    <w:tblStylePr w:type="firstRow">
      <w:rPr>
        <w:b/>
        <w:bCs/>
        <w:color w:val="800080"/>
      </w:rPr>
      <w:tblPr/>
      <w:tcPr>
        <w:tcBorders>
          <w:bottom w:val="single" w:color="808080" w:sz="6" w:space="0"/>
          <w:tl2br w:val="nil"/>
          <w:tr2bl w:val="nil"/>
        </w:tcBorders>
      </w:tcPr>
    </w:tblStylePr>
    <w:tblStylePr w:type="lastRow">
      <w:tblPr/>
      <w:tcPr>
        <w:tcBorders>
          <w:top w:val="single" w:color="FFFFFF" w:sz="6" w:space="0"/>
          <w:tl2br w:val="nil"/>
          <w:tr2bl w:val="nil"/>
        </w:tcBorders>
      </w:tcPr>
    </w:tblStylePr>
    <w:tblStylePr w:type="firstCol">
      <w:rPr>
        <w:b/>
        <w:bCs/>
      </w:rPr>
      <w:tblPr/>
      <w:tcPr>
        <w:tcBorders>
          <w:right w:val="single" w:color="808080" w:sz="6" w:space="0"/>
          <w:tl2br w:val="nil"/>
          <w:tr2bl w:val="nil"/>
        </w:tcBorders>
      </w:tcPr>
    </w:tblStylePr>
    <w:tblStylePr w:type="lastCol">
      <w:tblPr/>
      <w:tcPr>
        <w:tcBorders>
          <w:left w:val="single" w:color="FFFFFF" w:sz="6" w:space="0"/>
          <w:tl2br w:val="nil"/>
          <w:tr2bl w:val="nil"/>
        </w:tcBorders>
      </w:tcPr>
    </w:tblStylePr>
    <w:tblStylePr w:type="neCell">
      <w:tblPr/>
      <w:tcPr>
        <w:tcBorders>
          <w:left w:val="nil"/>
          <w:bottom w:val="nil"/>
          <w:tl2br w:val="nil"/>
          <w:tr2bl w:val="nil"/>
        </w:tcBorders>
      </w:tcPr>
    </w:tblStylePr>
    <w:tblStylePr w:type="nwCell">
      <w:tblPr/>
      <w:tcPr>
        <w:tcBorders>
          <w:bottom w:val="nil"/>
          <w:right w:val="nil"/>
          <w:tl2br w:val="nil"/>
          <w:tr2bl w:val="nil"/>
        </w:tcBorders>
      </w:tcPr>
    </w:tblStylePr>
    <w:tblStylePr w:type="seCell">
      <w:tblPr/>
      <w:tcPr>
        <w:tcBorders>
          <w:top w:val="nil"/>
          <w:left w:val="nil"/>
          <w:tl2br w:val="nil"/>
          <w:tr2bl w:val="nil"/>
        </w:tcBorders>
      </w:tcPr>
    </w:tblStylePr>
    <w:tblStylePr w:type="swCell">
      <w:rPr>
        <w:color w:val="000080"/>
      </w:rPr>
      <w:tblPr/>
      <w:tcPr>
        <w:tcBorders>
          <w:top w:val="nil"/>
          <w:right w:val="nil"/>
          <w:tl2br w:val="nil"/>
          <w:tr2bl w:val="nil"/>
        </w:tcBorders>
      </w:tcPr>
    </w:tblStylePr>
  </w:style>
  <w:style w:type="table" w:styleId="100">
    <w:name w:val="Table 3D effects 2"/>
    <w:basedOn w:val="83"/>
    <w:uiPriority w:val="0"/>
    <w:pPr>
      <w:widowControl w:val="0"/>
      <w:spacing w:line="360" w:lineRule="auto"/>
      <w:ind w:firstLine="200" w:firstLineChars="200"/>
    </w:pPr>
    <w:tblPr>
      <w:tblStyleRowBandSize w:val="1"/>
    </w:tblPr>
    <w:tcPr>
      <w:shd w:val="solid" w:color="C0C0C0" w:fill="FFFFFF"/>
    </w:tcPr>
    <w:tblStylePr w:type="firstRow">
      <w:rPr>
        <w:b/>
        <w:bCs/>
      </w:rPr>
      <w:tblPr/>
      <w:tcPr>
        <w:tcBorders>
          <w:tl2br w:val="nil"/>
          <w:tr2bl w:val="nil"/>
        </w:tcBorders>
      </w:tcPr>
    </w:tblStylePr>
    <w:tblStylePr w:type="firstCol">
      <w:tblPr/>
      <w:tcPr>
        <w:tcBorders>
          <w:top w:val="nil"/>
          <w:bottom w:val="nil"/>
          <w:right w:val="single" w:color="808080" w:sz="6" w:space="0"/>
          <w:tl2br w:val="nil"/>
          <w:tr2bl w:val="nil"/>
        </w:tcBorders>
      </w:tcPr>
    </w:tblStylePr>
    <w:tblStylePr w:type="lastCol">
      <w:tblPr/>
      <w:tcPr>
        <w:tcBorders>
          <w:right w:val="single" w:color="FFFFFF" w:sz="6" w:space="0"/>
          <w:tl2br w:val="nil"/>
          <w:tr2bl w:val="nil"/>
        </w:tcBorders>
      </w:tcPr>
    </w:tblStylePr>
    <w:tblStylePr w:type="band1Horz">
      <w:tblPr/>
      <w:tcPr>
        <w:tcBorders>
          <w:top w:val="single" w:color="808080" w:sz="6" w:space="0"/>
          <w:bottom w:val="single" w:color="FFFFFF" w:sz="6" w:space="0"/>
          <w:tl2br w:val="nil"/>
          <w:tr2bl w:val="nil"/>
        </w:tcBorders>
      </w:tcPr>
    </w:tblStylePr>
    <w:tblStylePr w:type="swCell">
      <w:rPr>
        <w:b/>
        <w:bCs/>
      </w:rPr>
      <w:tblPr/>
      <w:tcPr>
        <w:tcBorders>
          <w:tl2br w:val="nil"/>
          <w:tr2bl w:val="nil"/>
        </w:tcBorders>
      </w:tcPr>
    </w:tblStylePr>
  </w:style>
  <w:style w:type="table" w:styleId="101">
    <w:name w:val="Table 3D effects 3"/>
    <w:basedOn w:val="83"/>
    <w:uiPriority w:val="0"/>
    <w:pPr>
      <w:widowControl w:val="0"/>
      <w:spacing w:line="360" w:lineRule="auto"/>
      <w:ind w:firstLine="200" w:firstLineChars="200"/>
    </w:pPr>
    <w:tblPr>
      <w:tblStyleRowBandSize w:val="1"/>
      <w:tblStyleColBandSize w:val="1"/>
    </w:tblPr>
    <w:tblStylePr w:type="firstRow">
      <w:rPr>
        <w:b/>
        <w:bCs/>
      </w:rPr>
      <w:tblPr/>
      <w:tcPr>
        <w:tcBorders>
          <w:tl2br w:val="nil"/>
          <w:tr2bl w:val="nil"/>
        </w:tcBorders>
      </w:tcPr>
    </w:tblStylePr>
    <w:tblStylePr w:type="firstCol">
      <w:tblPr/>
      <w:tcPr>
        <w:tcBorders>
          <w:top w:val="nil"/>
          <w:bottom w:val="nil"/>
          <w:right w:val="single" w:color="808080" w:sz="6" w:space="0"/>
          <w:tl2br w:val="nil"/>
          <w:tr2bl w:val="nil"/>
        </w:tcBorders>
      </w:tcPr>
    </w:tblStylePr>
    <w:tblStylePr w:type="lastCol">
      <w:tblPr/>
      <w:tcPr>
        <w:tcBorders>
          <w:right w:val="single" w:color="FFFFFF" w:sz="6" w:space="0"/>
          <w:tl2br w:val="nil"/>
          <w:tr2bl w:val="nil"/>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color="808080" w:sz="6" w:space="0"/>
          <w:bottom w:val="single" w:color="FFFFFF" w:sz="6" w:space="0"/>
          <w:tl2br w:val="nil"/>
          <w:tr2bl w:val="nil"/>
        </w:tcBorders>
      </w:tcPr>
    </w:tblStylePr>
    <w:tblStylePr w:type="swCell">
      <w:rPr>
        <w:b/>
        <w:bCs/>
      </w:rPr>
      <w:tblPr/>
      <w:tcPr>
        <w:tcBorders>
          <w:tl2br w:val="nil"/>
          <w:tr2bl w:val="nil"/>
        </w:tcBorders>
      </w:tcPr>
    </w:tblStylePr>
  </w:style>
  <w:style w:type="table" w:styleId="102">
    <w:name w:val="Table List 1"/>
    <w:basedOn w:val="83"/>
    <w:qFormat/>
    <w:uiPriority w:val="0"/>
    <w:pPr>
      <w:widowControl w:val="0"/>
      <w:jc w:val="both"/>
    </w:pPr>
    <w:tblPr>
      <w:tblBorders>
        <w:top w:val="single" w:color="008080" w:sz="12" w:space="0"/>
        <w:left w:val="single" w:color="008080" w:sz="6" w:space="0"/>
        <w:bottom w:val="single" w:color="008080" w:sz="12" w:space="0"/>
        <w:right w:val="single" w:color="008080" w:sz="6" w:space="0"/>
      </w:tblBorders>
    </w:tblPr>
    <w:tblStylePr w:type="firstRow">
      <w:rPr>
        <w:b/>
        <w:bCs/>
        <w:i/>
        <w:iCs/>
        <w:color w:val="800000"/>
      </w:rPr>
      <w:tblPr/>
      <w:tcPr>
        <w:tcBorders>
          <w:top w:val="nil"/>
          <w:left w:val="nil"/>
          <w:bottom w:val="single" w:color="000000" w:sz="6" w:space="0"/>
          <w:right w:val="nil"/>
          <w:insideH w:val="nil"/>
          <w:insideV w:val="nil"/>
          <w:tl2br w:val="nil"/>
          <w:tr2bl w:val="nil"/>
        </w:tcBorders>
        <w:shd w:val="solid" w:color="C0C0C0" w:fill="FFFFFF"/>
      </w:tcPr>
    </w:tblStylePr>
    <w:tblStylePr w:type="lastRow">
      <w:tblPr/>
      <w:tcPr>
        <w:tcBorders>
          <w:top w:val="single" w:color="000000" w:sz="6" w:space="0"/>
          <w:left w:val="nil"/>
          <w:bottom w:val="nil"/>
          <w:right w:val="nil"/>
          <w:insideH w:val="nil"/>
          <w:insideV w:val="nil"/>
          <w:tl2br w:val="nil"/>
          <w:tr2bl w:val="nil"/>
        </w:tcBorders>
      </w:tcPr>
    </w:tblStylePr>
    <w:tblStylePr w:type="band1Horz">
      <w:rPr>
        <w:color w:val="auto"/>
      </w:rPr>
      <w:tblPr/>
      <w:tcPr>
        <w:tcBorders>
          <w:top w:val="nil"/>
          <w:left w:val="nil"/>
          <w:bottom w:val="nil"/>
          <w:right w:val="nil"/>
          <w:insideH w:val="nil"/>
          <w:insideV w:val="nil"/>
          <w:tl2br w:val="nil"/>
          <w:tr2bl w:val="nil"/>
        </w:tcBorders>
        <w:shd w:val="solid" w:color="C0C0C0" w:fill="FFFFFF"/>
      </w:tcPr>
    </w:tblStylePr>
    <w:tblStylePr w:type="band2Horz">
      <w:rPr>
        <w:color w:val="auto"/>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03">
    <w:name w:val="Table List 2"/>
    <w:basedOn w:val="83"/>
    <w:qFormat/>
    <w:uiPriority w:val="0"/>
    <w:pPr>
      <w:widowControl w:val="0"/>
      <w:jc w:val="both"/>
    </w:pPr>
    <w:tblPr>
      <w:tblBorders>
        <w:bottom w:val="single" w:color="808080" w:sz="12" w:space="0"/>
      </w:tblBorders>
    </w:tblPr>
    <w:tblStylePr w:type="firstRow">
      <w:rPr>
        <w:b/>
        <w:bCs/>
        <w:color w:val="FFFFFF"/>
      </w:rPr>
      <w:tblPr/>
      <w:tcPr>
        <w:tcBorders>
          <w:top w:val="nil"/>
          <w:left w:val="nil"/>
          <w:bottom w:val="single" w:color="000000" w:sz="6" w:space="0"/>
          <w:right w:val="nil"/>
          <w:insideH w:val="nil"/>
          <w:insideV w:val="nil"/>
          <w:tl2br w:val="nil"/>
          <w:tr2bl w:val="nil"/>
        </w:tcBorders>
        <w:shd w:val="pct75" w:color="008080" w:fill="008000"/>
      </w:tcPr>
    </w:tblStylePr>
    <w:tblStylePr w:type="lastRow">
      <w:tblPr/>
      <w:tcPr>
        <w:tcBorders>
          <w:top w:val="single" w:color="000000" w:sz="6" w:space="0"/>
          <w:left w:val="nil"/>
          <w:bottom w:val="nil"/>
          <w:right w:val="nil"/>
          <w:insideH w:val="nil"/>
          <w:insideV w:val="nil"/>
          <w:tl2br w:val="nil"/>
          <w:tr2bl w:val="nil"/>
        </w:tcBorders>
      </w:tcPr>
    </w:tblStylePr>
    <w:tblStylePr w:type="band1Horz">
      <w:rPr>
        <w:color w:val="auto"/>
      </w:rPr>
      <w:tblPr/>
      <w:tcPr>
        <w:tcBorders>
          <w:top w:val="nil"/>
          <w:left w:val="nil"/>
          <w:bottom w:val="nil"/>
          <w:right w:val="nil"/>
          <w:insideH w:val="nil"/>
          <w:insideV w:val="nil"/>
          <w:tl2br w:val="nil"/>
          <w:tr2bl w:val="nil"/>
        </w:tcBorders>
        <w:shd w:val="pct20" w:color="00FF00" w:fill="FFFFFF"/>
      </w:tcPr>
    </w:tblStylePr>
    <w:tblStylePr w:type="band2Horz">
      <w:rPr>
        <w:color w:val="auto"/>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04">
    <w:name w:val="Table List 3"/>
    <w:basedOn w:val="83"/>
    <w:qFormat/>
    <w:uiPriority w:val="0"/>
    <w:pPr>
      <w:widowControl w:val="0"/>
      <w:jc w:val="both"/>
    </w:pPr>
    <w:tblPr>
      <w:tblBorders>
        <w:top w:val="single" w:color="000000" w:sz="12" w:space="0"/>
        <w:bottom w:val="single" w:color="000000" w:sz="12" w:space="0"/>
        <w:insideH w:val="single" w:color="000000" w:sz="6" w:space="0"/>
      </w:tblBorders>
    </w:tblPr>
    <w:tcPr>
      <w:shd w:val="clear" w:color="auto" w:fill="auto"/>
    </w:tcPr>
    <w:tblStylePr w:type="firstRow">
      <w:rPr>
        <w:b/>
        <w:bCs/>
        <w:color w:val="000080"/>
      </w:rPr>
      <w:tblPr/>
      <w:tcPr>
        <w:tcBorders>
          <w:top w:val="nil"/>
          <w:left w:val="nil"/>
          <w:bottom w:val="single" w:color="000000" w:sz="12" w:space="0"/>
          <w:right w:val="nil"/>
          <w:insideH w:val="nil"/>
          <w:insideV w:val="nil"/>
          <w:tl2br w:val="nil"/>
          <w:tr2bl w:val="nil"/>
        </w:tcBorders>
      </w:tcPr>
    </w:tblStylePr>
    <w:tblStylePr w:type="lastRow">
      <w:tblPr/>
      <w:tcPr>
        <w:tcBorders>
          <w:top w:val="single" w:color="000000" w:sz="12" w:space="0"/>
          <w:left w:val="nil"/>
          <w:bottom w:val="nil"/>
          <w:right w:val="nil"/>
          <w:insideH w:val="nil"/>
          <w:insideV w:val="nil"/>
          <w:tl2br w:val="nil"/>
          <w:tr2bl w:val="nil"/>
        </w:tcBorders>
      </w:tcPr>
    </w:tblStylePr>
    <w:tblStylePr w:type="swCell">
      <w:rPr>
        <w:i/>
        <w:iCs/>
        <w:color w:val="000080"/>
      </w:rPr>
      <w:tblPr/>
      <w:tcPr>
        <w:tcBorders>
          <w:top w:val="nil"/>
          <w:left w:val="nil"/>
          <w:bottom w:val="nil"/>
          <w:right w:val="nil"/>
          <w:insideH w:val="nil"/>
          <w:insideV w:val="nil"/>
          <w:tl2br w:val="nil"/>
          <w:tr2bl w:val="nil"/>
        </w:tcBorders>
      </w:tcPr>
    </w:tblStylePr>
  </w:style>
  <w:style w:type="table" w:styleId="105">
    <w:name w:val="Table List 4"/>
    <w:basedOn w:val="83"/>
    <w:qFormat/>
    <w:uiPriority w:val="0"/>
    <w:pPr>
      <w:widowControl w:val="0"/>
      <w:jc w:val="both"/>
    </w:pPr>
    <w:tblPr>
      <w:tblBorders>
        <w:top w:val="single" w:color="000000" w:sz="12" w:space="0"/>
        <w:left w:val="single" w:color="000000" w:sz="12" w:space="0"/>
        <w:bottom w:val="single" w:color="000000" w:sz="12" w:space="0"/>
        <w:right w:val="single" w:color="000000" w:sz="12" w:space="0"/>
        <w:insideH w:val="single" w:color="000000" w:sz="6" w:space="0"/>
      </w:tblBorders>
    </w:tblPr>
    <w:tcPr>
      <w:shd w:val="clear" w:color="auto" w:fill="auto"/>
    </w:tcPr>
    <w:tblStylePr w:type="firstRow">
      <w:rPr>
        <w:b/>
        <w:bCs/>
        <w:color w:val="FFFFFF"/>
      </w:rPr>
      <w:tblPr/>
      <w:tcPr>
        <w:tcBorders>
          <w:top w:val="nil"/>
          <w:left w:val="nil"/>
          <w:bottom w:val="single" w:color="000000" w:sz="12" w:space="0"/>
          <w:right w:val="nil"/>
          <w:insideH w:val="nil"/>
          <w:insideV w:val="nil"/>
          <w:tl2br w:val="nil"/>
          <w:tr2bl w:val="nil"/>
        </w:tcBorders>
        <w:shd w:val="solid" w:color="808080" w:fill="FFFFFF"/>
      </w:tcPr>
    </w:tblStylePr>
  </w:style>
  <w:style w:type="table" w:styleId="106">
    <w:name w:val="Table List 5"/>
    <w:basedOn w:val="83"/>
    <w:qFormat/>
    <w:uiPriority w:val="0"/>
    <w:pPr>
      <w:widowControl w:val="0"/>
      <w:jc w:val="both"/>
    </w:pPr>
    <w:tblPr>
      <w:tblBorders>
        <w:top w:val="single" w:color="000000" w:sz="6" w:space="0"/>
        <w:left w:val="single" w:color="000000" w:sz="6" w:space="0"/>
        <w:bottom w:val="single" w:color="000000" w:sz="6" w:space="0"/>
        <w:right w:val="single" w:color="000000" w:sz="6" w:space="0"/>
        <w:insideH w:val="single" w:color="000000" w:sz="6" w:space="0"/>
      </w:tblBorders>
    </w:tblPr>
    <w:tcPr>
      <w:shd w:val="clear" w:color="auto" w:fill="auto"/>
    </w:tcPr>
    <w:tblStylePr w:type="firstRow">
      <w:rPr>
        <w:b/>
        <w:bCs/>
      </w:rPr>
      <w:tblPr/>
      <w:tcPr>
        <w:tcBorders>
          <w:top w:val="nil"/>
          <w:left w:val="nil"/>
          <w:bottom w:val="single" w:color="000000" w:sz="12" w:space="0"/>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style>
  <w:style w:type="table" w:styleId="107">
    <w:name w:val="Table List 6"/>
    <w:basedOn w:val="83"/>
    <w:qFormat/>
    <w:uiPriority w:val="0"/>
    <w:pPr>
      <w:widowControl w:val="0"/>
      <w:jc w:val="both"/>
    </w:pPr>
    <w:tblPr>
      <w:tblBorders>
        <w:top w:val="single" w:color="000000" w:sz="6" w:space="0"/>
        <w:left w:val="single" w:color="000000" w:sz="6" w:space="0"/>
        <w:bottom w:val="single" w:color="000000" w:sz="6" w:space="0"/>
        <w:right w:val="single" w:color="000000" w:sz="6" w:space="0"/>
      </w:tblBorders>
    </w:tblPr>
    <w:tcPr>
      <w:shd w:val="pct50" w:color="000000" w:fill="FFFFFF"/>
    </w:tcPr>
    <w:tblStylePr w:type="firstRow">
      <w:rPr>
        <w:b/>
        <w:bCs/>
      </w:rPr>
      <w:tblPr/>
      <w:tcPr>
        <w:tcBorders>
          <w:top w:val="nil"/>
          <w:left w:val="nil"/>
          <w:bottom w:val="single" w:color="000000" w:sz="12" w:space="0"/>
          <w:right w:val="nil"/>
          <w:insideH w:val="nil"/>
          <w:insideV w:val="nil"/>
          <w:tl2br w:val="nil"/>
          <w:tr2bl w:val="nil"/>
        </w:tcBorders>
      </w:tcPr>
    </w:tblStylePr>
    <w:tblStylePr w:type="firstCol">
      <w:rPr>
        <w:b/>
        <w:bCs/>
      </w:rPr>
      <w:tblPr/>
      <w:tcPr>
        <w:tcBorders>
          <w:top w:val="nil"/>
          <w:left w:val="nil"/>
          <w:bottom w:val="nil"/>
          <w:right w:val="single" w:color="000000" w:sz="12" w:space="0"/>
          <w:insideH w:val="nil"/>
          <w:insideV w:val="nil"/>
          <w:tl2br w:val="nil"/>
          <w:tr2bl w:val="nil"/>
        </w:tcBorders>
      </w:tcPr>
    </w:tblStylePr>
    <w:tblStylePr w:type="band1Horz">
      <w:tblPr/>
      <w:tcPr>
        <w:tcBorders>
          <w:top w:val="nil"/>
          <w:left w:val="nil"/>
          <w:bottom w:val="nil"/>
          <w:right w:val="nil"/>
          <w:insideH w:val="nil"/>
          <w:insideV w:val="nil"/>
          <w:tl2br w:val="nil"/>
          <w:tr2bl w:val="nil"/>
        </w:tcBorders>
        <w:shd w:val="pct25" w:color="000000" w:fill="FFFFFF"/>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08">
    <w:name w:val="Table List 7"/>
    <w:basedOn w:val="83"/>
    <w:qFormat/>
    <w:uiPriority w:val="0"/>
    <w:pPr>
      <w:widowControl w:val="0"/>
      <w:jc w:val="both"/>
    </w:pPr>
    <w:tblPr>
      <w:tblBorders>
        <w:top w:val="single" w:color="008000" w:sz="12" w:space="0"/>
        <w:left w:val="single" w:color="008000" w:sz="6" w:space="0"/>
        <w:bottom w:val="single" w:color="008000" w:sz="12" w:space="0"/>
        <w:right w:val="single" w:color="008000" w:sz="6" w:space="0"/>
        <w:insideH w:val="single" w:color="000000" w:sz="6" w:space="0"/>
      </w:tblBorders>
    </w:tblPr>
    <w:tblStylePr w:type="firstRow">
      <w:rPr>
        <w:b/>
        <w:bCs/>
      </w:rPr>
      <w:tblPr/>
      <w:tcPr>
        <w:tcBorders>
          <w:top w:val="nil"/>
          <w:left w:val="nil"/>
          <w:bottom w:val="single" w:color="008000" w:sz="12" w:space="0"/>
          <w:right w:val="nil"/>
          <w:insideH w:val="nil"/>
          <w:insideV w:val="nil"/>
          <w:tl2br w:val="nil"/>
          <w:tr2bl w:val="nil"/>
        </w:tcBorders>
        <w:shd w:val="solid" w:color="C0C0C0" w:fill="FFFFFF"/>
      </w:tcPr>
    </w:tblStylePr>
    <w:tblStylePr w:type="lastRow">
      <w:rPr>
        <w:b/>
        <w:bCs/>
      </w:rPr>
      <w:tblPr/>
      <w:tcPr>
        <w:tcBorders>
          <w:top w:val="single" w:color="008000" w:sz="12"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band1Horz">
      <w:rPr>
        <w:color w:val="auto"/>
      </w:rPr>
      <w:tblPr/>
      <w:tcPr>
        <w:tcBorders>
          <w:top w:val="nil"/>
          <w:left w:val="nil"/>
          <w:bottom w:val="nil"/>
          <w:right w:val="nil"/>
          <w:insideH w:val="nil"/>
          <w:insideV w:val="nil"/>
          <w:tl2br w:val="nil"/>
          <w:tr2bl w:val="nil"/>
        </w:tcBorders>
        <w:shd w:val="pct20" w:color="000000" w:fill="FFFFFF"/>
      </w:tcPr>
    </w:tblStylePr>
    <w:tblStylePr w:type="band2Horz">
      <w:tblPr/>
      <w:tcPr>
        <w:tcBorders>
          <w:top w:val="nil"/>
          <w:left w:val="nil"/>
          <w:bottom w:val="nil"/>
          <w:right w:val="nil"/>
          <w:insideH w:val="nil"/>
          <w:insideV w:val="nil"/>
          <w:tl2br w:val="nil"/>
          <w:tr2bl w:val="nil"/>
        </w:tcBorders>
        <w:shd w:val="pct25" w:color="FFFF00" w:fill="FFFFFF"/>
      </w:tcPr>
    </w:tblStylePr>
  </w:style>
  <w:style w:type="table" w:styleId="109">
    <w:name w:val="Table List 8"/>
    <w:basedOn w:val="83"/>
    <w:qFormat/>
    <w:uiPriority w:val="0"/>
    <w:pPr>
      <w:widowControl w:val="0"/>
      <w:jc w:val="both"/>
    </w:pPr>
    <w:tblPr>
      <w:tblBorders>
        <w:top w:val="single" w:color="000000" w:sz="6" w:space="0"/>
        <w:left w:val="single" w:color="000000" w:sz="6" w:space="0"/>
        <w:bottom w:val="single" w:color="000000" w:sz="6" w:space="0"/>
        <w:right w:val="single" w:color="000000" w:sz="6" w:space="0"/>
        <w:insideV w:val="single" w:color="000000" w:sz="6" w:space="0"/>
      </w:tblBorders>
    </w:tblPr>
    <w:tblStylePr w:type="firstRow">
      <w:rPr>
        <w:b/>
        <w:bCs/>
        <w:i/>
        <w:iCs/>
      </w:rPr>
      <w:tblPr/>
      <w:tcPr>
        <w:tcBorders>
          <w:top w:val="nil"/>
          <w:left w:val="nil"/>
          <w:bottom w:val="single" w:color="000000" w:sz="6" w:space="0"/>
          <w:right w:val="nil"/>
          <w:insideH w:val="nil"/>
          <w:insideV w:val="nil"/>
          <w:tl2br w:val="nil"/>
          <w:tr2bl w:val="nil"/>
        </w:tcBorders>
        <w:shd w:val="solid" w:color="FFFF00" w:fill="FFFFFF"/>
      </w:tcPr>
    </w:tblStylePr>
    <w:tblStylePr w:type="lastRow">
      <w:rPr>
        <w:b/>
        <w:bCs/>
      </w:rPr>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band1Horz">
      <w:rPr>
        <w:color w:val="auto"/>
      </w:rPr>
      <w:tblPr/>
      <w:tcPr>
        <w:tcBorders>
          <w:top w:val="nil"/>
          <w:left w:val="nil"/>
          <w:bottom w:val="nil"/>
          <w:right w:val="nil"/>
          <w:insideH w:val="nil"/>
          <w:insideV w:val="nil"/>
          <w:tl2br w:val="nil"/>
          <w:tr2bl w:val="nil"/>
        </w:tcBorders>
        <w:shd w:val="pct25" w:color="FFFF00" w:fill="FFFFFF"/>
      </w:tcPr>
    </w:tblStylePr>
    <w:tblStylePr w:type="band2Horz">
      <w:tblPr/>
      <w:tcPr>
        <w:tcBorders>
          <w:top w:val="nil"/>
          <w:left w:val="nil"/>
          <w:bottom w:val="nil"/>
          <w:right w:val="nil"/>
          <w:insideH w:val="nil"/>
          <w:insideV w:val="nil"/>
          <w:tl2br w:val="nil"/>
          <w:tr2bl w:val="nil"/>
        </w:tcBorders>
        <w:shd w:val="pct50" w:color="FF0000" w:fill="FFFFFF"/>
      </w:tcPr>
    </w:tblStylePr>
    <w:tblStylePr w:type="nwCell">
      <w:tblPr/>
      <w:tcPr>
        <w:tcBorders>
          <w:top w:val="nil"/>
          <w:left w:val="nil"/>
          <w:bottom w:val="nil"/>
          <w:right w:val="nil"/>
          <w:insideH w:val="nil"/>
          <w:insideV w:val="nil"/>
          <w:tl2br w:val="single" w:color="auto" w:sz="6" w:space="0"/>
          <w:tr2bl w:val="nil"/>
        </w:tcBorders>
      </w:tcPr>
    </w:tblStylePr>
  </w:style>
  <w:style w:type="table" w:styleId="110">
    <w:name w:val="Table Contemporary"/>
    <w:basedOn w:val="83"/>
    <w:qFormat/>
    <w:uiPriority w:val="0"/>
    <w:pPr>
      <w:widowControl w:val="0"/>
      <w:jc w:val="both"/>
    </w:pPr>
    <w:tblPr>
      <w:tblBorders>
        <w:insideH w:val="single" w:color="FFFFFF" w:sz="18" w:space="0"/>
        <w:insideV w:val="single" w:color="FFFFFF" w:sz="18" w:space="0"/>
      </w:tblBorders>
    </w:tblPr>
    <w:tblStylePr w:type="firstRow">
      <w:rPr>
        <w:b/>
        <w:bCs/>
        <w:color w:val="auto"/>
      </w:rPr>
      <w:tblPr/>
      <w:tcPr>
        <w:tcBorders>
          <w:top w:val="nil"/>
          <w:left w:val="nil"/>
          <w:bottom w:val="nil"/>
          <w:right w:val="nil"/>
          <w:insideH w:val="nil"/>
          <w:insideV w:val="nil"/>
          <w:tl2br w:val="nil"/>
          <w:tr2bl w:val="nil"/>
        </w:tcBorders>
        <w:shd w:val="pct20" w:color="000000" w:fill="FFFFFF"/>
      </w:tcPr>
    </w:tblStylePr>
    <w:tblStylePr w:type="band1Horz">
      <w:rPr>
        <w:color w:val="auto"/>
      </w:rPr>
      <w:tblPr/>
      <w:tcPr>
        <w:tcBorders>
          <w:top w:val="nil"/>
          <w:left w:val="nil"/>
          <w:bottom w:val="nil"/>
          <w:right w:val="nil"/>
          <w:insideH w:val="nil"/>
          <w:insideV w:val="nil"/>
          <w:tl2br w:val="nil"/>
          <w:tr2bl w:val="nil"/>
        </w:tcBorders>
        <w:shd w:val="pct5" w:color="000000" w:fill="FFFFFF"/>
      </w:tcPr>
    </w:tblStylePr>
    <w:tblStylePr w:type="band2Horz">
      <w:rPr>
        <w:color w:val="auto"/>
      </w:rPr>
      <w:tblPr/>
      <w:tcPr>
        <w:tcBorders>
          <w:top w:val="nil"/>
          <w:left w:val="nil"/>
          <w:bottom w:val="nil"/>
          <w:right w:val="nil"/>
          <w:insideH w:val="nil"/>
          <w:insideV w:val="nil"/>
          <w:tl2br w:val="nil"/>
          <w:tr2bl w:val="nil"/>
        </w:tcBorders>
        <w:shd w:val="pct20" w:color="000000" w:fill="FFFFFF"/>
      </w:tcPr>
    </w:tblStylePr>
  </w:style>
  <w:style w:type="table" w:styleId="111">
    <w:name w:val="Table Columns 1"/>
    <w:basedOn w:val="83"/>
    <w:qFormat/>
    <w:uiPriority w:val="0"/>
    <w:pPr>
      <w:widowControl w:val="0"/>
      <w:jc w:val="both"/>
    </w:pPr>
    <w:rPr>
      <w:b/>
      <w:bCs/>
    </w:rPr>
    <w:tblPr>
      <w:tblBorders>
        <w:top w:val="single" w:color="000000" w:sz="12" w:space="0"/>
        <w:left w:val="single" w:color="000000" w:sz="12" w:space="0"/>
        <w:bottom w:val="single" w:color="000000" w:sz="12" w:space="0"/>
        <w:right w:val="single" w:color="000000" w:sz="12" w:space="0"/>
      </w:tblBorders>
    </w:tblPr>
    <w:tblStylePr w:type="firstRow">
      <w:rPr>
        <w:b w:val="0"/>
        <w:bCs w:val="0"/>
      </w:rPr>
      <w:tblPr/>
      <w:tcPr>
        <w:tcBorders>
          <w:top w:val="nil"/>
          <w:left w:val="nil"/>
          <w:bottom w:val="double" w:color="000000" w:sz="6" w:space="0"/>
          <w:right w:val="nil"/>
          <w:insideH w:val="nil"/>
          <w:insideV w:val="nil"/>
          <w:tl2br w:val="nil"/>
          <w:tr2bl w:val="nil"/>
        </w:tcBorders>
      </w:tcPr>
    </w:tblStylePr>
    <w:tblStylePr w:type="lastRow">
      <w:rPr>
        <w:b w:val="0"/>
        <w:bCs w:val="0"/>
      </w:rPr>
      <w:tblPr/>
      <w:tcPr>
        <w:tcBorders>
          <w:top w:val="nil"/>
          <w:left w:val="nil"/>
          <w:bottom w:val="nil"/>
          <w:right w:val="nil"/>
          <w:insideH w:val="nil"/>
          <w:insideV w:val="nil"/>
          <w:tl2br w:val="nil"/>
          <w:tr2bl w:val="nil"/>
        </w:tcBorders>
      </w:tcPr>
    </w:tblStylePr>
    <w:tblStylePr w:type="firstCol">
      <w:rPr>
        <w:b w:val="0"/>
        <w:bCs w:val="0"/>
      </w:rPr>
      <w:tblPr/>
      <w:tcPr>
        <w:tcBorders>
          <w:top w:val="nil"/>
          <w:left w:val="nil"/>
          <w:bottom w:val="nil"/>
          <w:right w:val="nil"/>
          <w:insideH w:val="nil"/>
          <w:insideV w:val="nil"/>
          <w:tl2br w:val="nil"/>
          <w:tr2bl w:val="nil"/>
        </w:tcBorders>
      </w:tcPr>
    </w:tblStylePr>
    <w:tblStylePr w:type="lastCol">
      <w:rPr>
        <w:b w:val="0"/>
        <w:bCs w:val="0"/>
      </w:rPr>
      <w:tblPr/>
      <w:tcPr>
        <w:tcBorders>
          <w:top w:val="nil"/>
          <w:left w:val="nil"/>
          <w:bottom w:val="nil"/>
          <w:right w:val="nil"/>
          <w:insideH w:val="nil"/>
          <w:insideV w:val="nil"/>
          <w:tl2br w:val="nil"/>
          <w:tr2bl w:val="nil"/>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12">
    <w:name w:val="Table Columns 2"/>
    <w:basedOn w:val="83"/>
    <w:qFormat/>
    <w:uiPriority w:val="0"/>
    <w:pPr>
      <w:widowControl w:val="0"/>
      <w:jc w:val="both"/>
    </w:pPr>
    <w:rPr>
      <w:b/>
      <w:bCs/>
    </w:rPr>
    <w:tblPr>
      <w:tblStyleColBandSize w:val="1"/>
    </w:tblPr>
    <w:tblStylePr w:type="firstRow">
      <w:rPr>
        <w:color w:val="FFFFFF"/>
      </w:rPr>
      <w:tblPr/>
      <w:tcPr>
        <w:tcBorders>
          <w:top w:val="nil"/>
          <w:left w:val="nil"/>
          <w:bottom w:val="nil"/>
          <w:right w:val="nil"/>
          <w:insideH w:val="nil"/>
          <w:insideV w:val="nil"/>
          <w:tl2br w:val="nil"/>
          <w:tr2bl w:val="nil"/>
        </w:tcBorders>
        <w:shd w:val="solid" w:color="000080" w:fill="FFFFFF"/>
      </w:tcPr>
    </w:tblStylePr>
    <w:tblStylePr w:type="lastRow">
      <w:rPr>
        <w:b w:val="0"/>
        <w:bCs w:val="0"/>
      </w:rPr>
      <w:tblPr/>
      <w:tcPr>
        <w:tcBorders>
          <w:top w:val="nil"/>
          <w:left w:val="nil"/>
          <w:bottom w:val="nil"/>
          <w:right w:val="nil"/>
          <w:insideH w:val="nil"/>
          <w:insideV w:val="nil"/>
          <w:tl2br w:val="nil"/>
          <w:tr2bl w:val="nil"/>
        </w:tcBorders>
      </w:tcPr>
    </w:tblStylePr>
    <w:tblStylePr w:type="firstCol">
      <w:rPr>
        <w:b w:val="0"/>
        <w:bCs w:val="0"/>
        <w:color w:val="000000"/>
      </w:rPr>
      <w:tblPr/>
      <w:tcPr>
        <w:tcBorders>
          <w:top w:val="nil"/>
          <w:left w:val="nil"/>
          <w:bottom w:val="nil"/>
          <w:right w:val="nil"/>
          <w:insideH w:val="nil"/>
          <w:insideV w:val="nil"/>
          <w:tl2br w:val="nil"/>
          <w:tr2bl w:val="nil"/>
        </w:tcBorders>
      </w:tcPr>
    </w:tblStylePr>
    <w:tblStylePr w:type="lastCol">
      <w:rPr>
        <w:b w:val="0"/>
        <w:bCs w:val="0"/>
      </w:rPr>
      <w:tblPr/>
      <w:tcPr>
        <w:tcBorders>
          <w:top w:val="nil"/>
          <w:left w:val="nil"/>
          <w:bottom w:val="nil"/>
          <w:right w:val="nil"/>
          <w:insideH w:val="nil"/>
          <w:insideV w:val="nil"/>
          <w:tl2br w:val="nil"/>
          <w:tr2bl w:val="nil"/>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op w:val="nil"/>
          <w:left w:val="nil"/>
          <w:bottom w:val="nil"/>
          <w:right w:val="nil"/>
          <w:insideH w:val="nil"/>
          <w:insideV w:val="nil"/>
          <w:tl2br w:val="nil"/>
          <w:tr2bl w:val="nil"/>
        </w:tcBorders>
      </w:tcPr>
    </w:tblStylePr>
    <w:tblStylePr w:type="swCell">
      <w:rPr>
        <w:b/>
        <w:bCs/>
      </w:rPr>
      <w:tblPr/>
      <w:tcPr>
        <w:tcBorders>
          <w:top w:val="nil"/>
          <w:left w:val="nil"/>
          <w:bottom w:val="nil"/>
          <w:right w:val="nil"/>
          <w:insideH w:val="nil"/>
          <w:insideV w:val="nil"/>
          <w:tl2br w:val="nil"/>
          <w:tr2bl w:val="nil"/>
        </w:tcBorders>
      </w:tcPr>
    </w:tblStylePr>
  </w:style>
  <w:style w:type="table" w:styleId="113">
    <w:name w:val="Table Columns 3"/>
    <w:basedOn w:val="83"/>
    <w:qFormat/>
    <w:uiPriority w:val="0"/>
    <w:pPr>
      <w:widowControl w:val="0"/>
      <w:jc w:val="both"/>
    </w:pPr>
    <w:rPr>
      <w:b/>
      <w:bCs/>
    </w:rPr>
    <w:tblPr>
      <w:tblBorders>
        <w:top w:val="single" w:color="000080" w:sz="6" w:space="0"/>
        <w:left w:val="single" w:color="000080" w:sz="6" w:space="0"/>
        <w:bottom w:val="single" w:color="000080" w:sz="6" w:space="0"/>
        <w:right w:val="single" w:color="000080" w:sz="6" w:space="0"/>
        <w:insideV w:val="single" w:color="000080" w:sz="6" w:space="0"/>
      </w:tblBorders>
    </w:tblPr>
    <w:tblStylePr w:type="firstRow">
      <w:rPr>
        <w:color w:val="FFFFFF"/>
      </w:rPr>
      <w:tblPr/>
      <w:tcPr>
        <w:tcBorders>
          <w:top w:val="nil"/>
          <w:left w:val="nil"/>
          <w:bottom w:val="nil"/>
          <w:right w:val="nil"/>
          <w:insideH w:val="nil"/>
          <w:insideV w:val="nil"/>
          <w:tl2br w:val="nil"/>
          <w:tr2bl w:val="nil"/>
        </w:tcBorders>
        <w:shd w:val="solid" w:color="000080" w:fill="FFFFFF"/>
      </w:tcPr>
    </w:tblStylePr>
    <w:tblStylePr w:type="lastRow">
      <w:rPr>
        <w:b w:val="0"/>
        <w:bCs w:val="0"/>
      </w:rPr>
      <w:tblPr/>
      <w:tcPr>
        <w:tcBorders>
          <w:top w:val="single" w:color="000080" w:sz="6" w:space="0"/>
          <w:left w:val="nil"/>
          <w:bottom w:val="nil"/>
          <w:right w:val="nil"/>
          <w:insideH w:val="nil"/>
          <w:insideV w:val="nil"/>
          <w:tl2br w:val="nil"/>
          <w:tr2bl w:val="nil"/>
        </w:tcBorders>
      </w:tcPr>
    </w:tblStylePr>
    <w:tblStylePr w:type="firstCol">
      <w:rPr>
        <w:b w:val="0"/>
        <w:bCs w:val="0"/>
      </w:rPr>
      <w:tblPr/>
      <w:tcPr>
        <w:tcBorders>
          <w:top w:val="nil"/>
          <w:left w:val="nil"/>
          <w:bottom w:val="nil"/>
          <w:right w:val="nil"/>
          <w:insideH w:val="nil"/>
          <w:insideV w:val="nil"/>
          <w:tl2br w:val="nil"/>
          <w:tr2bl w:val="nil"/>
        </w:tcBorders>
      </w:tcPr>
    </w:tblStylePr>
    <w:tblStylePr w:type="lastCol">
      <w:rPr>
        <w:b w:val="0"/>
        <w:bCs w:val="0"/>
      </w:rPr>
      <w:tblPr/>
      <w:tcPr>
        <w:tcBorders>
          <w:top w:val="nil"/>
          <w:left w:val="nil"/>
          <w:bottom w:val="nil"/>
          <w:right w:val="nil"/>
          <w:insideH w:val="nil"/>
          <w:insideV w:val="nil"/>
          <w:tl2br w:val="nil"/>
          <w:tr2bl w:val="nil"/>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op w:val="nil"/>
          <w:left w:val="nil"/>
          <w:bottom w:val="nil"/>
          <w:right w:val="nil"/>
          <w:insideH w:val="nil"/>
          <w:insideV w:val="nil"/>
          <w:tl2br w:val="nil"/>
          <w:tr2bl w:val="nil"/>
        </w:tcBorders>
      </w:tcPr>
    </w:tblStylePr>
  </w:style>
  <w:style w:type="table" w:styleId="114">
    <w:name w:val="Table Columns 4"/>
    <w:basedOn w:val="83"/>
    <w:qFormat/>
    <w:uiPriority w:val="0"/>
    <w:pPr>
      <w:widowControl w:val="0"/>
      <w:jc w:val="both"/>
    </w:pPr>
    <w:tblPr>
      <w:tblStyleColBandSize w:val="1"/>
    </w:tblPr>
    <w:tblStylePr w:type="firstRow">
      <w:rPr>
        <w:color w:val="FFFFFF"/>
      </w:rPr>
      <w:tblPr/>
      <w:tcPr>
        <w:tcBorders>
          <w:top w:val="nil"/>
          <w:left w:val="nil"/>
          <w:bottom w:val="nil"/>
          <w:right w:val="nil"/>
          <w:insideH w:val="nil"/>
          <w:insideV w:val="nil"/>
          <w:tl2br w:val="nil"/>
          <w:tr2bl w:val="nil"/>
        </w:tcBorders>
        <w:shd w:val="solid" w:color="000000" w:fill="FFFFFF"/>
      </w:tcPr>
    </w:tblStylePr>
    <w:tblStylePr w:type="lastRow">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115">
    <w:name w:val="Table Columns 5"/>
    <w:basedOn w:val="83"/>
    <w:qFormat/>
    <w:uiPriority w:val="0"/>
    <w:pPr>
      <w:widowControl w:val="0"/>
      <w:jc w:val="both"/>
    </w:pPr>
    <w:tblPr>
      <w:tblBorders>
        <w:top w:val="single" w:color="808080" w:sz="12" w:space="0"/>
        <w:left w:val="single" w:color="808080" w:sz="12" w:space="0"/>
        <w:bottom w:val="single" w:color="808080" w:sz="12" w:space="0"/>
        <w:right w:val="single" w:color="808080" w:sz="12" w:space="0"/>
        <w:insideV w:val="single" w:color="C0C0C0" w:sz="6" w:space="0"/>
      </w:tblBorders>
    </w:tblPr>
    <w:tblStylePr w:type="firstRow">
      <w:rPr>
        <w:b/>
        <w:bCs/>
        <w:i/>
        <w:iCs/>
      </w:rPr>
      <w:tblPr/>
      <w:tcPr>
        <w:tcBorders>
          <w:top w:val="nil"/>
          <w:left w:val="nil"/>
          <w:bottom w:val="single" w:color="808080" w:sz="6" w:space="0"/>
          <w:right w:val="nil"/>
          <w:insideH w:val="nil"/>
          <w:insideV w:val="nil"/>
          <w:tl2br w:val="nil"/>
          <w:tr2bl w:val="nil"/>
        </w:tcBorders>
      </w:tcPr>
    </w:tblStylePr>
    <w:tblStylePr w:type="lastRow">
      <w:rPr>
        <w:b/>
        <w:bCs/>
      </w:rPr>
      <w:tblPr/>
      <w:tcPr>
        <w:tcBorders>
          <w:top w:val="single" w:color="80808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band1Vert">
      <w:rPr>
        <w:color w:val="auto"/>
      </w:rPr>
      <w:tblPr/>
      <w:tcPr>
        <w:shd w:val="solid" w:color="C0C0C0" w:fill="FFFFFF"/>
      </w:tcPr>
    </w:tblStylePr>
    <w:tblStylePr w:type="band2Vert">
      <w:rPr>
        <w:color w:val="auto"/>
      </w:rPr>
    </w:tblStylePr>
  </w:style>
  <w:style w:type="table" w:styleId="116">
    <w:name w:val="Table Grid 1"/>
    <w:basedOn w:val="83"/>
    <w:qFormat/>
    <w:uiPriority w:val="0"/>
    <w:pPr>
      <w:widowControl w:val="0"/>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lastRow">
      <w:rPr>
        <w:i/>
        <w:iCs/>
      </w:rPr>
      <w:tblPr/>
      <w:tcPr>
        <w:tcBorders>
          <w:top w:val="nil"/>
          <w:left w:val="nil"/>
          <w:bottom w:val="nil"/>
          <w:right w:val="nil"/>
          <w:insideH w:val="nil"/>
          <w:insideV w:val="nil"/>
          <w:tl2br w:val="nil"/>
          <w:tr2bl w:val="nil"/>
        </w:tcBorders>
      </w:tcPr>
    </w:tblStylePr>
    <w:tblStylePr w:type="lastCol">
      <w:rPr>
        <w:i/>
        <w:i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17">
    <w:name w:val="Table Grid 2"/>
    <w:basedOn w:val="83"/>
    <w:qFormat/>
    <w:uiPriority w:val="0"/>
    <w:pPr>
      <w:widowControl w:val="0"/>
      <w:jc w:val="both"/>
    </w:pPr>
    <w:tblPr>
      <w:tblBorders>
        <w:insideH w:val="single" w:color="000000" w:sz="6" w:space="0"/>
        <w:insideV w:val="single" w:color="000000" w:sz="6" w:space="0"/>
      </w:tblBorders>
    </w:tblPr>
    <w:tcPr>
      <w:shd w:val="clear" w:color="auto" w:fill="auto"/>
    </w:tcPr>
    <w:tblStylePr w:type="firstRow">
      <w:rPr>
        <w:b/>
        <w:bCs/>
      </w:rPr>
      <w:tblPr/>
      <w:tcPr>
        <w:tcBorders>
          <w:top w:val="nil"/>
          <w:left w:val="nil"/>
          <w:bottom w:val="nil"/>
          <w:right w:val="nil"/>
          <w:insideH w:val="nil"/>
          <w:insideV w:val="nil"/>
          <w:tl2br w:val="nil"/>
          <w:tr2bl w:val="nil"/>
        </w:tcBorders>
      </w:tcPr>
    </w:tblStylePr>
    <w:tblStylePr w:type="lastRow">
      <w:rPr>
        <w:b/>
        <w:bCs/>
      </w:rPr>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style>
  <w:style w:type="table" w:styleId="118">
    <w:name w:val="Table Grid 3"/>
    <w:basedOn w:val="83"/>
    <w:qFormat/>
    <w:uiPriority w:val="0"/>
    <w:pPr>
      <w:widowControl w:val="0"/>
      <w:jc w:val="both"/>
    </w:pPr>
    <w:tblPr>
      <w:tblBorders>
        <w:top w:val="single" w:color="000000" w:sz="6" w:space="0"/>
        <w:left w:val="single" w:color="000000" w:sz="12" w:space="0"/>
        <w:bottom w:val="single" w:color="000000" w:sz="6" w:space="0"/>
        <w:right w:val="single" w:color="000000" w:sz="12" w:space="0"/>
        <w:insideV w:val="single" w:color="000000" w:sz="6" w:space="0"/>
      </w:tblBorders>
    </w:tblPr>
    <w:tcPr>
      <w:shd w:val="clear" w:color="auto" w:fill="auto"/>
    </w:tcPr>
    <w:tblStylePr w:type="firstRow">
      <w:tblPr/>
      <w:tcPr>
        <w:tcBorders>
          <w:top w:val="nil"/>
          <w:left w:val="nil"/>
          <w:bottom w:val="single" w:color="000000" w:sz="6" w:space="0"/>
          <w:right w:val="nil"/>
          <w:insideH w:val="nil"/>
          <w:insideV w:val="nil"/>
          <w:tl2br w:val="nil"/>
          <w:tr2bl w:val="nil"/>
        </w:tcBorders>
        <w:shd w:val="pct30" w:color="FFFF00" w:fill="FFFFFF"/>
      </w:tcPr>
    </w:tblStylePr>
    <w:tblStylePr w:type="lastRow">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19">
    <w:name w:val="Table Grid 4"/>
    <w:basedOn w:val="83"/>
    <w:qFormat/>
    <w:uiPriority w:val="0"/>
    <w:pPr>
      <w:widowControl w:val="0"/>
      <w:jc w:val="both"/>
    </w:pPr>
    <w:tblPr>
      <w:tblBorders>
        <w:left w:val="single" w:color="000000" w:sz="12" w:space="0"/>
        <w:right w:val="single" w:color="000000" w:sz="12" w:space="0"/>
        <w:insideH w:val="single" w:color="000000" w:sz="6" w:space="0"/>
        <w:insideV w:val="single" w:color="000000" w:sz="6" w:space="0"/>
      </w:tblBorders>
    </w:tblPr>
    <w:tcPr>
      <w:shd w:val="clear" w:color="auto" w:fill="auto"/>
    </w:tcPr>
    <w:tblStylePr w:type="firstRow">
      <w:rPr>
        <w:color w:val="auto"/>
      </w:rPr>
      <w:tblPr/>
      <w:tcPr>
        <w:tcBorders>
          <w:top w:val="nil"/>
          <w:left w:val="nil"/>
          <w:bottom w:val="single" w:color="000000" w:sz="6" w:space="0"/>
          <w:right w:val="nil"/>
          <w:insideH w:val="nil"/>
          <w:insideV w:val="nil"/>
          <w:tl2br w:val="nil"/>
          <w:tr2bl w:val="nil"/>
        </w:tcBorders>
        <w:shd w:val="pct30" w:color="FFFF00" w:fill="FFFFFF"/>
      </w:tcPr>
    </w:tblStylePr>
    <w:tblStylePr w:type="lastRow">
      <w:rPr>
        <w:b/>
        <w:bCs/>
        <w:color w:val="auto"/>
      </w:rPr>
      <w:tblPr/>
      <w:tcPr>
        <w:tcBorders>
          <w:top w:val="single" w:color="000000" w:sz="6" w:space="0"/>
          <w:left w:val="nil"/>
          <w:bottom w:val="nil"/>
          <w:right w:val="nil"/>
          <w:insideH w:val="nil"/>
          <w:insideV w:val="nil"/>
          <w:tl2br w:val="nil"/>
          <w:tr2bl w:val="nil"/>
        </w:tcBorders>
        <w:shd w:val="pct30" w:color="FFFF00" w:fill="FFFFFF"/>
      </w:tcPr>
    </w:tblStylePr>
    <w:tblStylePr w:type="lastCol">
      <w:rPr>
        <w:b/>
        <w:bCs/>
        <w:color w:val="auto"/>
      </w:rPr>
      <w:tblPr/>
      <w:tcPr>
        <w:tcBorders>
          <w:top w:val="nil"/>
          <w:left w:val="nil"/>
          <w:bottom w:val="nil"/>
          <w:right w:val="nil"/>
          <w:insideH w:val="nil"/>
          <w:insideV w:val="nil"/>
          <w:tl2br w:val="nil"/>
          <w:tr2bl w:val="nil"/>
        </w:tcBorders>
      </w:tcPr>
    </w:tblStylePr>
  </w:style>
  <w:style w:type="table" w:styleId="120">
    <w:name w:val="Table Grid 5"/>
    <w:basedOn w:val="83"/>
    <w:qFormat/>
    <w:uiPriority w:val="0"/>
    <w:pPr>
      <w:widowControl w:val="0"/>
      <w:jc w:val="both"/>
    </w:p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tblPr/>
      <w:tcPr>
        <w:tcBorders>
          <w:top w:val="nil"/>
          <w:left w:val="nil"/>
          <w:bottom w:val="single" w:color="000000" w:sz="12" w:space="0"/>
          <w:right w:val="nil"/>
          <w:insideH w:val="nil"/>
          <w:insideV w:val="nil"/>
          <w:tl2br w:val="nil"/>
          <w:tr2bl w:val="nil"/>
        </w:tcBorders>
      </w:tcPr>
    </w:tblStylePr>
    <w:tblStylePr w:type="lastRow">
      <w:rPr>
        <w:b/>
        <w:bCs/>
      </w:rPr>
      <w:tblPr/>
      <w:tcPr>
        <w:tcBorders>
          <w:top w:val="nil"/>
          <w:left w:val="nil"/>
          <w:bottom w:val="nil"/>
          <w:right w:val="nil"/>
          <w:insideH w:val="nil"/>
          <w:insideV w:val="nil"/>
          <w:tl2br w:val="nil"/>
          <w:tr2bl w:val="nil"/>
        </w:tcBorders>
      </w:tcPr>
    </w:tblStylePr>
    <w:tblStylePr w:type="lastCo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21">
    <w:name w:val="Table Grid 6"/>
    <w:basedOn w:val="83"/>
    <w:qFormat/>
    <w:uiPriority w:val="0"/>
    <w:pPr>
      <w:widowControl w:val="0"/>
      <w:jc w:val="both"/>
    </w:pPr>
    <w:tblPr>
      <w:tblBorders>
        <w:top w:val="single" w:color="000000" w:sz="12" w:space="0"/>
        <w:left w:val="single" w:color="000000" w:sz="12" w:space="0"/>
        <w:bottom w:val="single" w:color="000000" w:sz="12" w:space="0"/>
        <w:right w:val="single" w:color="000000" w:sz="12" w:space="0"/>
        <w:insideV w:val="single" w:color="000000" w:sz="6" w:space="0"/>
      </w:tblBorders>
    </w:tblPr>
    <w:tcPr>
      <w:shd w:val="clear" w:color="auto" w:fill="auto"/>
    </w:tcPr>
    <w:tblStylePr w:type="firstRow">
      <w:rPr>
        <w:b/>
        <w:bCs/>
      </w:rPr>
      <w:tblPr/>
      <w:tcPr>
        <w:tcBorders>
          <w:top w:val="nil"/>
          <w:left w:val="nil"/>
          <w:bottom w:val="single" w:color="000000" w:sz="6" w:space="0"/>
          <w:right w:val="nil"/>
          <w:insideH w:val="nil"/>
          <w:insideV w:val="nil"/>
          <w:tl2br w:val="nil"/>
          <w:tr2bl w:val="nil"/>
        </w:tcBorders>
      </w:tcPr>
    </w:tblStylePr>
    <w:tblStylePr w:type="lastRow">
      <w:rPr>
        <w:color w:val="auto"/>
      </w:rPr>
      <w:tblPr/>
      <w:tcPr>
        <w:tcBorders>
          <w:top w:val="single" w:color="000000" w:sz="6" w:space="0"/>
          <w:left w:val="nil"/>
          <w:bottom w:val="nil"/>
          <w:right w:val="nil"/>
          <w:insideH w:val="nil"/>
          <w:insideV w:val="nil"/>
          <w:tl2br w:val="nil"/>
          <w:tr2bl w:val="nil"/>
        </w:tcBorders>
      </w:tcPr>
    </w:tblStylePr>
    <w:tblStylePr w:type="firstCol">
      <w:rPr>
        <w:b/>
        <w:bCs/>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22">
    <w:name w:val="Table Grid 7"/>
    <w:basedOn w:val="83"/>
    <w:qFormat/>
    <w:uiPriority w:val="0"/>
    <w:pPr>
      <w:widowControl w:val="0"/>
      <w:jc w:val="both"/>
    </w:pPr>
    <w:rPr>
      <w:b/>
      <w:bCs/>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Pr>
    <w:tcPr>
      <w:shd w:val="clear" w:color="auto" w:fill="auto"/>
    </w:tcPr>
    <w:tblStylePr w:type="firstRow">
      <w:rPr>
        <w:b w:val="0"/>
        <w:bCs w:val="0"/>
      </w:rPr>
      <w:tblPr/>
      <w:tcPr>
        <w:tcBorders>
          <w:top w:val="nil"/>
          <w:left w:val="nil"/>
          <w:bottom w:val="single" w:color="000000" w:sz="12" w:space="0"/>
          <w:right w:val="nil"/>
          <w:insideH w:val="nil"/>
          <w:insideV w:val="nil"/>
          <w:tl2br w:val="nil"/>
          <w:tr2bl w:val="nil"/>
        </w:tcBorders>
      </w:tcPr>
    </w:tblStylePr>
    <w:tblStylePr w:type="lastRow">
      <w:rPr>
        <w:b w:val="0"/>
        <w:bCs w:val="0"/>
      </w:rPr>
      <w:tblPr/>
      <w:tcPr>
        <w:tcBorders>
          <w:top w:val="single" w:color="000000" w:sz="6" w:space="0"/>
          <w:left w:val="nil"/>
          <w:bottom w:val="nil"/>
          <w:right w:val="nil"/>
          <w:insideH w:val="nil"/>
          <w:insideV w:val="nil"/>
          <w:tl2br w:val="nil"/>
          <w:tr2bl w:val="nil"/>
        </w:tcBorders>
      </w:tcPr>
    </w:tblStylePr>
    <w:tblStylePr w:type="firstCol">
      <w:rPr>
        <w:b w:val="0"/>
        <w:bCs w:val="0"/>
      </w:rPr>
      <w:tblPr/>
      <w:tcPr>
        <w:tcBorders>
          <w:top w:val="nil"/>
          <w:left w:val="nil"/>
          <w:bottom w:val="nil"/>
          <w:right w:val="nil"/>
          <w:insideH w:val="nil"/>
          <w:insideV w:val="nil"/>
          <w:tl2br w:val="nil"/>
          <w:tr2bl w:val="nil"/>
        </w:tcBorders>
      </w:tcPr>
    </w:tblStylePr>
    <w:tblStylePr w:type="lastCol">
      <w:rPr>
        <w:b w:val="0"/>
        <w:bCs w:val="0"/>
      </w:rPr>
      <w:tblPr/>
      <w:tcPr>
        <w:tcBorders>
          <w:top w:val="nil"/>
          <w:left w:val="nil"/>
          <w:bottom w:val="nil"/>
          <w:right w:val="nil"/>
          <w:insideH w:val="nil"/>
          <w:insideV w:val="nil"/>
          <w:tl2br w:val="nil"/>
          <w:tr2bl w:val="nil"/>
        </w:tcBorders>
      </w:tcPr>
    </w:tblStylePr>
    <w:tblStylePr w:type="nwCell">
      <w:tblPr/>
      <w:tcPr>
        <w:tcBorders>
          <w:top w:val="nil"/>
          <w:left w:val="nil"/>
          <w:bottom w:val="nil"/>
          <w:right w:val="nil"/>
          <w:insideH w:val="nil"/>
          <w:insideV w:val="nil"/>
          <w:tl2br w:val="single" w:color="000000" w:sz="6" w:space="0"/>
          <w:tr2bl w:val="nil"/>
        </w:tcBorders>
      </w:tcPr>
    </w:tblStylePr>
  </w:style>
  <w:style w:type="table" w:styleId="123">
    <w:name w:val="Table Grid 8"/>
    <w:basedOn w:val="83"/>
    <w:qFormat/>
    <w:uiPriority w:val="0"/>
    <w:pPr>
      <w:widowControl w:val="0"/>
      <w:jc w:val="both"/>
    </w:p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Pr>
    <w:tcPr>
      <w:shd w:val="clear" w:color="auto" w:fill="auto"/>
    </w:tcPr>
    <w:tblStylePr w:type="firstRow">
      <w:rPr>
        <w:b/>
        <w:bCs/>
        <w:color w:val="FFFFFF"/>
      </w:rPr>
      <w:tblPr/>
      <w:tcPr>
        <w:tcBorders>
          <w:top w:val="nil"/>
          <w:left w:val="nil"/>
          <w:bottom w:val="nil"/>
          <w:right w:val="nil"/>
          <w:insideH w:val="nil"/>
          <w:insideV w:val="nil"/>
          <w:tl2br w:val="nil"/>
          <w:tr2bl w:val="nil"/>
        </w:tcBorders>
        <w:shd w:val="solid" w:color="000080" w:fill="FFFFFF"/>
      </w:tcPr>
    </w:tblStylePr>
    <w:tblStylePr w:type="lastRow">
      <w:rPr>
        <w:b/>
        <w:bCs/>
        <w:color w:val="auto"/>
      </w:rPr>
      <w:tblPr/>
      <w:tcPr>
        <w:tcBorders>
          <w:top w:val="nil"/>
          <w:left w:val="nil"/>
          <w:bottom w:val="nil"/>
          <w:right w:val="nil"/>
          <w:insideH w:val="nil"/>
          <w:insideV w:val="nil"/>
          <w:tl2br w:val="nil"/>
          <w:tr2bl w:val="nil"/>
        </w:tcBorders>
      </w:tcPr>
    </w:tblStylePr>
    <w:tblStylePr w:type="lastCol">
      <w:rPr>
        <w:b/>
        <w:bCs/>
        <w:color w:val="auto"/>
      </w:rPr>
      <w:tblPr/>
      <w:tcPr>
        <w:tcBorders>
          <w:top w:val="nil"/>
          <w:left w:val="nil"/>
          <w:bottom w:val="nil"/>
          <w:right w:val="nil"/>
          <w:insideH w:val="nil"/>
          <w:insideV w:val="nil"/>
          <w:tl2br w:val="nil"/>
          <w:tr2bl w:val="nil"/>
        </w:tcBorders>
      </w:tcPr>
    </w:tblStylePr>
  </w:style>
  <w:style w:type="table" w:styleId="124">
    <w:name w:val="Table Web 1"/>
    <w:basedOn w:val="83"/>
    <w:qFormat/>
    <w:uiPriority w:val="0"/>
    <w:pPr>
      <w:widowControl w:val="0"/>
      <w:jc w:val="both"/>
    </w:pPr>
    <w:tblPr>
      <w:tblCellSpacing w:w="20" w:type="dxa"/>
      <w:tblBorders>
        <w:top w:val="outset" w:color="auto" w:sz="6" w:space="0"/>
        <w:left w:val="outset" w:color="auto" w:sz="6" w:space="0"/>
        <w:bottom w:val="outset" w:color="auto" w:sz="6" w:space="0"/>
        <w:right w:val="outset" w:color="auto" w:sz="6"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op w:val="nil"/>
          <w:left w:val="nil"/>
          <w:bottom w:val="nil"/>
          <w:right w:val="nil"/>
          <w:insideH w:val="nil"/>
          <w:insideV w:val="nil"/>
          <w:tl2br w:val="nil"/>
          <w:tr2bl w:val="nil"/>
        </w:tcBorders>
      </w:tcPr>
    </w:tblStylePr>
  </w:style>
  <w:style w:type="table" w:styleId="125">
    <w:name w:val="Table Web 2"/>
    <w:basedOn w:val="83"/>
    <w:qFormat/>
    <w:uiPriority w:val="0"/>
    <w:pPr>
      <w:widowControl w:val="0"/>
      <w:jc w:val="both"/>
    </w:p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Pr>
    <w:trPr>
      <w:tblCellSpacing w:w="20" w:type="dxa"/>
    </w:trPr>
    <w:tcPr>
      <w:shd w:val="clear" w:color="auto" w:fill="auto"/>
    </w:tcPr>
    <w:tblStylePr w:type="firstRow">
      <w:rPr>
        <w:color w:val="auto"/>
      </w:rPr>
      <w:tblPr/>
      <w:tcPr>
        <w:tcBorders>
          <w:top w:val="nil"/>
          <w:left w:val="nil"/>
          <w:bottom w:val="nil"/>
          <w:right w:val="nil"/>
          <w:insideH w:val="nil"/>
          <w:insideV w:val="nil"/>
          <w:tl2br w:val="nil"/>
          <w:tr2bl w:val="nil"/>
        </w:tcBorders>
      </w:tcPr>
    </w:tblStylePr>
  </w:style>
  <w:style w:type="table" w:styleId="126">
    <w:name w:val="Table Web 3"/>
    <w:basedOn w:val="83"/>
    <w:qFormat/>
    <w:uiPriority w:val="0"/>
    <w:pPr>
      <w:widowControl w:val="0"/>
      <w:jc w:val="both"/>
    </w:p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Pr>
    <w:trPr>
      <w:tblCellSpacing w:w="20" w:type="dxa"/>
    </w:trPr>
    <w:tcPr>
      <w:shd w:val="clear" w:color="auto" w:fill="auto"/>
    </w:tcPr>
    <w:tblStylePr w:type="firstRow">
      <w:rPr>
        <w:color w:val="auto"/>
      </w:rPr>
      <w:tblPr/>
      <w:tcPr>
        <w:tcBorders>
          <w:top w:val="nil"/>
          <w:left w:val="nil"/>
          <w:bottom w:val="nil"/>
          <w:right w:val="nil"/>
          <w:insideH w:val="nil"/>
          <w:insideV w:val="nil"/>
          <w:tl2br w:val="nil"/>
          <w:tr2bl w:val="nil"/>
        </w:tcBorders>
      </w:tcPr>
    </w:tblStylePr>
  </w:style>
  <w:style w:type="table" w:styleId="127">
    <w:name w:val="Table Professional"/>
    <w:basedOn w:val="83"/>
    <w:qFormat/>
    <w:uiPriority w:val="0"/>
    <w:pPr>
      <w:widowControl w:val="0"/>
      <w:jc w:val="both"/>
    </w:p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Pr>
    <w:tcPr>
      <w:shd w:val="clear" w:color="auto" w:fill="auto"/>
    </w:tcPr>
    <w:tblStylePr w:type="firstRow">
      <w:rPr>
        <w:b/>
        <w:bCs/>
        <w:color w:val="auto"/>
      </w:rPr>
      <w:tblPr/>
      <w:tcPr>
        <w:tcBorders>
          <w:top w:val="nil"/>
          <w:left w:val="nil"/>
          <w:bottom w:val="nil"/>
          <w:right w:val="nil"/>
          <w:insideH w:val="nil"/>
          <w:insideV w:val="nil"/>
          <w:tl2br w:val="nil"/>
          <w:tr2bl w:val="nil"/>
        </w:tcBorders>
        <w:shd w:val="solid" w:color="000000" w:fill="FFFFFF"/>
      </w:tcPr>
    </w:tblStylePr>
  </w:style>
  <w:style w:type="character" w:styleId="129">
    <w:name w:val="Strong"/>
    <w:qFormat/>
    <w:uiPriority w:val="0"/>
    <w:rPr>
      <w:b/>
      <w:bCs/>
    </w:rPr>
  </w:style>
  <w:style w:type="character" w:styleId="130">
    <w:name w:val="page number"/>
    <w:basedOn w:val="128"/>
    <w:uiPriority w:val="0"/>
  </w:style>
  <w:style w:type="character" w:styleId="131">
    <w:name w:val="FollowedHyperlink"/>
    <w:qFormat/>
    <w:uiPriority w:val="0"/>
    <w:rPr>
      <w:color w:val="954F72"/>
      <w:u w:val="single"/>
    </w:rPr>
  </w:style>
  <w:style w:type="character" w:styleId="132">
    <w:name w:val="Emphasis"/>
    <w:qFormat/>
    <w:uiPriority w:val="20"/>
    <w:rPr>
      <w:i/>
      <w:iCs/>
    </w:rPr>
  </w:style>
  <w:style w:type="character" w:styleId="133">
    <w:name w:val="line number"/>
    <w:uiPriority w:val="0"/>
  </w:style>
  <w:style w:type="character" w:styleId="134">
    <w:name w:val="HTML Definition"/>
    <w:uiPriority w:val="0"/>
    <w:rPr>
      <w:i/>
      <w:iCs/>
    </w:rPr>
  </w:style>
  <w:style w:type="character" w:styleId="135">
    <w:name w:val="HTML Typewriter"/>
    <w:qFormat/>
    <w:uiPriority w:val="0"/>
    <w:rPr>
      <w:rFonts w:ascii="Courier New" w:hAnsi="Courier New" w:cs="Courier New"/>
      <w:sz w:val="20"/>
      <w:szCs w:val="20"/>
    </w:rPr>
  </w:style>
  <w:style w:type="character" w:styleId="136">
    <w:name w:val="HTML Acronym"/>
    <w:uiPriority w:val="0"/>
  </w:style>
  <w:style w:type="character" w:styleId="137">
    <w:name w:val="HTML Variable"/>
    <w:qFormat/>
    <w:uiPriority w:val="0"/>
    <w:rPr>
      <w:i/>
      <w:iCs/>
    </w:rPr>
  </w:style>
  <w:style w:type="character" w:styleId="138">
    <w:name w:val="Hyperlink"/>
    <w:unhideWhenUsed/>
    <w:qFormat/>
    <w:uiPriority w:val="99"/>
    <w:rPr>
      <w:color w:val="0563C1"/>
      <w:u w:val="single"/>
    </w:rPr>
  </w:style>
  <w:style w:type="character" w:styleId="139">
    <w:name w:val="HTML Code"/>
    <w:qFormat/>
    <w:uiPriority w:val="0"/>
    <w:rPr>
      <w:rFonts w:ascii="Courier New" w:hAnsi="Courier New" w:cs="Courier New"/>
      <w:sz w:val="20"/>
      <w:szCs w:val="20"/>
    </w:rPr>
  </w:style>
  <w:style w:type="character" w:styleId="140">
    <w:name w:val="annotation reference"/>
    <w:uiPriority w:val="0"/>
    <w:rPr>
      <w:sz w:val="21"/>
      <w:szCs w:val="21"/>
    </w:rPr>
  </w:style>
  <w:style w:type="character" w:styleId="141">
    <w:name w:val="HTML Cite"/>
    <w:qFormat/>
    <w:uiPriority w:val="0"/>
    <w:rPr>
      <w:i/>
      <w:iCs/>
    </w:rPr>
  </w:style>
  <w:style w:type="character" w:styleId="142">
    <w:name w:val="HTML Keyboard"/>
    <w:qFormat/>
    <w:uiPriority w:val="0"/>
    <w:rPr>
      <w:rFonts w:ascii="Courier New" w:hAnsi="Courier New" w:cs="Courier New"/>
      <w:sz w:val="20"/>
      <w:szCs w:val="20"/>
    </w:rPr>
  </w:style>
  <w:style w:type="character" w:styleId="143">
    <w:name w:val="HTML Sample"/>
    <w:uiPriority w:val="0"/>
    <w:rPr>
      <w:rFonts w:ascii="Courier New" w:hAnsi="Courier New" w:cs="Courier New"/>
    </w:rPr>
  </w:style>
  <w:style w:type="character" w:customStyle="1" w:styleId="144">
    <w:name w:val="标题 2 字符"/>
    <w:link w:val="3"/>
    <w:qFormat/>
    <w:uiPriority w:val="0"/>
    <w:rPr>
      <w:rFonts w:ascii="Arial" w:hAnsi="Arial" w:eastAsia="华文仿宋"/>
      <w:b/>
      <w:bCs/>
      <w:kern w:val="2"/>
      <w:sz w:val="28"/>
      <w:szCs w:val="32"/>
    </w:rPr>
  </w:style>
  <w:style w:type="character" w:customStyle="1" w:styleId="145">
    <w:name w:val="标题 1 字符"/>
    <w:link w:val="2"/>
    <w:uiPriority w:val="0"/>
    <w:rPr>
      <w:rFonts w:eastAsia="华文仿宋"/>
      <w:b/>
      <w:bCs/>
      <w:kern w:val="44"/>
      <w:sz w:val="28"/>
      <w:szCs w:val="44"/>
    </w:rPr>
  </w:style>
  <w:style w:type="paragraph" w:customStyle="1" w:styleId="146">
    <w:name w:val="_Style 17"/>
    <w:basedOn w:val="24"/>
    <w:qFormat/>
    <w:uiPriority w:val="0"/>
    <w:rPr>
      <w:rFonts w:ascii="Tahoma" w:hAnsi="Tahoma"/>
      <w:sz w:val="24"/>
    </w:rPr>
  </w:style>
  <w:style w:type="paragraph" w:customStyle="1" w:styleId="147">
    <w:name w:val="Char Char Char Char Char Char Char Char Char Char Char Char Char Char Char Char"/>
    <w:basedOn w:val="24"/>
    <w:qFormat/>
    <w:uiPriority w:val="0"/>
    <w:rPr>
      <w:rFonts w:ascii="Tahoma" w:hAnsi="Tahoma"/>
      <w:sz w:val="24"/>
    </w:rPr>
  </w:style>
  <w:style w:type="character" w:customStyle="1" w:styleId="148">
    <w:name w:val="cbs21"/>
    <w:uiPriority w:val="0"/>
    <w:rPr>
      <w:color w:val="000066"/>
      <w:sz w:val="20"/>
      <w:szCs w:val="20"/>
    </w:rPr>
  </w:style>
  <w:style w:type="paragraph" w:customStyle="1" w:styleId="149">
    <w:name w:val="Char Char Char Char Char Char Char Char Char"/>
    <w:basedOn w:val="24"/>
    <w:uiPriority w:val="0"/>
    <w:rPr>
      <w:rFonts w:ascii="Tahoma" w:hAnsi="Tahoma"/>
      <w:sz w:val="24"/>
    </w:rPr>
  </w:style>
  <w:style w:type="paragraph" w:customStyle="1" w:styleId="150">
    <w:name w:val="默认段落字体 Para Char Char Char Char Char Char Char"/>
    <w:basedOn w:val="1"/>
    <w:qFormat/>
    <w:uiPriority w:val="0"/>
  </w:style>
  <w:style w:type="character" w:customStyle="1" w:styleId="151">
    <w:name w:val="批注框文本 字符"/>
    <w:link w:val="50"/>
    <w:qFormat/>
    <w:uiPriority w:val="0"/>
    <w:rPr>
      <w:kern w:val="2"/>
      <w:sz w:val="18"/>
      <w:szCs w:val="18"/>
    </w:rPr>
  </w:style>
  <w:style w:type="character" w:customStyle="1" w:styleId="152">
    <w:name w:val="apple-converted-space"/>
    <w:qFormat/>
    <w:uiPriority w:val="0"/>
  </w:style>
  <w:style w:type="character" w:customStyle="1" w:styleId="153">
    <w:name w:val="页眉 字符"/>
    <w:link w:val="53"/>
    <w:qFormat/>
    <w:uiPriority w:val="0"/>
    <w:rPr>
      <w:kern w:val="2"/>
      <w:sz w:val="18"/>
      <w:szCs w:val="18"/>
    </w:rPr>
  </w:style>
  <w:style w:type="paragraph" w:customStyle="1" w:styleId="154">
    <w:name w:val="內文1-1"/>
    <w:qFormat/>
    <w:uiPriority w:val="0"/>
    <w:pPr>
      <w:spacing w:line="360" w:lineRule="auto"/>
      <w:ind w:left="1020" w:hanging="510"/>
      <w:jc w:val="both"/>
    </w:pPr>
    <w:rPr>
      <w:rFonts w:ascii="Times New Roman" w:hAnsi="Times New Roman" w:eastAsia="PMingLiU" w:cs="Times New Roman"/>
      <w:sz w:val="24"/>
      <w:lang w:val="en-US" w:eastAsia="zh-CN" w:bidi="ar-SA"/>
    </w:rPr>
  </w:style>
  <w:style w:type="paragraph" w:customStyle="1" w:styleId="155">
    <w:name w:val="段"/>
    <w:uiPriority w:val="0"/>
    <w:pPr>
      <w:autoSpaceDE w:val="0"/>
      <w:autoSpaceDN w:val="0"/>
      <w:ind w:firstLine="200" w:firstLineChars="200"/>
      <w:jc w:val="both"/>
    </w:pPr>
    <w:rPr>
      <w:rFonts w:ascii="宋体" w:hAnsi="Times New Roman" w:eastAsia="宋体" w:cs="Times New Roman"/>
      <w:sz w:val="21"/>
      <w:lang w:val="en-US" w:eastAsia="zh-CN" w:bidi="ar-SA"/>
    </w:rPr>
  </w:style>
  <w:style w:type="character" w:customStyle="1" w:styleId="156">
    <w:name w:val="span_job2"/>
    <w:basedOn w:val="128"/>
    <w:uiPriority w:val="0"/>
  </w:style>
  <w:style w:type="paragraph" w:customStyle="1" w:styleId="157">
    <w:name w:val="Char"/>
    <w:basedOn w:val="1"/>
    <w:qFormat/>
    <w:uiPriority w:val="0"/>
    <w:rPr>
      <w:rFonts w:ascii="Tahoma" w:hAnsi="Tahoma"/>
      <w:sz w:val="24"/>
      <w:szCs w:val="20"/>
    </w:rPr>
  </w:style>
  <w:style w:type="paragraph" w:styleId="158">
    <w:name w:val="No Spacing"/>
    <w:qFormat/>
    <w:uiPriority w:val="1"/>
    <w:pPr>
      <w:widowControl w:val="0"/>
      <w:numPr>
        <w:ilvl w:val="0"/>
        <w:numId w:val="11"/>
      </w:numPr>
      <w:spacing w:line="360" w:lineRule="auto"/>
      <w:ind w:firstLine="200" w:firstLineChars="200"/>
    </w:pPr>
    <w:rPr>
      <w:rFonts w:ascii="Times New Roman" w:hAnsi="Times New Roman" w:eastAsia="华文仿宋" w:cs="Times New Roman"/>
      <w:kern w:val="2"/>
      <w:sz w:val="28"/>
      <w:szCs w:val="24"/>
      <w:lang w:val="en-US" w:eastAsia="zh-CN" w:bidi="ar-SA"/>
    </w:rPr>
  </w:style>
  <w:style w:type="paragraph" w:customStyle="1" w:styleId="159">
    <w:name w:val="序号2级"/>
    <w:basedOn w:val="1"/>
    <w:link w:val="161"/>
    <w:qFormat/>
    <w:uiPriority w:val="0"/>
    <w:pPr>
      <w:numPr>
        <w:ilvl w:val="0"/>
        <w:numId w:val="12"/>
      </w:numPr>
      <w:ind w:left="0" w:firstLine="200"/>
    </w:pPr>
  </w:style>
  <w:style w:type="paragraph" w:customStyle="1" w:styleId="160">
    <w:name w:val="序号1级"/>
    <w:basedOn w:val="1"/>
    <w:link w:val="163"/>
    <w:qFormat/>
    <w:uiPriority w:val="0"/>
    <w:pPr>
      <w:numPr>
        <w:ilvl w:val="0"/>
        <w:numId w:val="13"/>
      </w:numPr>
      <w:ind w:left="0" w:firstLine="200"/>
    </w:pPr>
  </w:style>
  <w:style w:type="character" w:customStyle="1" w:styleId="161">
    <w:name w:val="序号2级 字符"/>
    <w:link w:val="159"/>
    <w:uiPriority w:val="0"/>
    <w:rPr>
      <w:rFonts w:eastAsia="华文仿宋"/>
      <w:kern w:val="2"/>
      <w:sz w:val="28"/>
      <w:szCs w:val="24"/>
    </w:rPr>
  </w:style>
  <w:style w:type="paragraph" w:customStyle="1" w:styleId="162">
    <w:name w:val="TOC Heading"/>
    <w:basedOn w:val="2"/>
    <w:next w:val="1"/>
    <w:unhideWhenUsed/>
    <w:qFormat/>
    <w:uiPriority w:val="39"/>
    <w:pPr>
      <w:widowControl/>
      <w:spacing w:beforeLines="0" w:afterLines="0" w:line="259" w:lineRule="auto"/>
      <w:jc w:val="left"/>
      <w:outlineLvl w:val="9"/>
    </w:pPr>
    <w:rPr>
      <w:rFonts w:ascii="等线 Light" w:hAnsi="等线 Light" w:eastAsia="等线 Light"/>
      <w:b w:val="0"/>
      <w:bCs w:val="0"/>
      <w:color w:val="2F5496"/>
      <w:kern w:val="0"/>
      <w:sz w:val="32"/>
      <w:szCs w:val="32"/>
    </w:rPr>
  </w:style>
  <w:style w:type="character" w:customStyle="1" w:styleId="163">
    <w:name w:val="序号1级 字符"/>
    <w:link w:val="160"/>
    <w:qFormat/>
    <w:uiPriority w:val="0"/>
    <w:rPr>
      <w:rFonts w:eastAsia="华文仿宋"/>
      <w:kern w:val="2"/>
      <w:sz w:val="28"/>
      <w:szCs w:val="24"/>
    </w:rPr>
  </w:style>
  <w:style w:type="character" w:customStyle="1" w:styleId="164">
    <w:name w:val="页脚 字符"/>
    <w:link w:val="51"/>
    <w:uiPriority w:val="99"/>
    <w:rPr>
      <w:rFonts w:eastAsia="华文仿宋"/>
      <w:kern w:val="2"/>
      <w:sz w:val="18"/>
      <w:szCs w:val="18"/>
    </w:rPr>
  </w:style>
  <w:style w:type="character" w:customStyle="1" w:styleId="165">
    <w:name w:val="标题 3 字符"/>
    <w:qFormat/>
    <w:uiPriority w:val="0"/>
    <w:rPr>
      <w:rFonts w:eastAsia="华文仿宋"/>
      <w:b/>
      <w:bCs/>
      <w:kern w:val="2"/>
      <w:sz w:val="32"/>
      <w:szCs w:val="32"/>
    </w:rPr>
  </w:style>
  <w:style w:type="character" w:customStyle="1" w:styleId="166">
    <w:name w:val="标题 5 字符"/>
    <w:semiHidden/>
    <w:qFormat/>
    <w:uiPriority w:val="0"/>
    <w:rPr>
      <w:rFonts w:eastAsia="华文仿宋"/>
      <w:b/>
      <w:bCs/>
      <w:kern w:val="2"/>
      <w:sz w:val="28"/>
      <w:szCs w:val="28"/>
    </w:rPr>
  </w:style>
  <w:style w:type="character" w:customStyle="1" w:styleId="167">
    <w:name w:val="标题 6 字符"/>
    <w:semiHidden/>
    <w:uiPriority w:val="0"/>
    <w:rPr>
      <w:rFonts w:ascii="等线 Light" w:hAnsi="等线 Light" w:eastAsia="等线 Light" w:cs="Times New Roman"/>
      <w:b/>
      <w:bCs/>
      <w:kern w:val="2"/>
      <w:sz w:val="24"/>
      <w:szCs w:val="24"/>
    </w:rPr>
  </w:style>
  <w:style w:type="character" w:customStyle="1" w:styleId="168">
    <w:name w:val="标题 7 字符"/>
    <w:semiHidden/>
    <w:qFormat/>
    <w:uiPriority w:val="0"/>
    <w:rPr>
      <w:rFonts w:eastAsia="华文仿宋"/>
      <w:b/>
      <w:bCs/>
      <w:kern w:val="2"/>
      <w:sz w:val="24"/>
      <w:szCs w:val="24"/>
    </w:rPr>
  </w:style>
  <w:style w:type="character" w:customStyle="1" w:styleId="169">
    <w:name w:val="标题 8 字符"/>
    <w:semiHidden/>
    <w:uiPriority w:val="0"/>
    <w:rPr>
      <w:rFonts w:ascii="等线 Light" w:hAnsi="等线 Light" w:eastAsia="等线 Light" w:cs="Times New Roman"/>
      <w:kern w:val="2"/>
      <w:sz w:val="24"/>
      <w:szCs w:val="24"/>
    </w:rPr>
  </w:style>
  <w:style w:type="character" w:customStyle="1" w:styleId="170">
    <w:name w:val="标题 9 字符"/>
    <w:semiHidden/>
    <w:uiPriority w:val="0"/>
    <w:rPr>
      <w:rFonts w:ascii="等线 Light" w:hAnsi="等线 Light" w:eastAsia="等线 Light" w:cs="Times New Roman"/>
      <w:kern w:val="2"/>
      <w:sz w:val="21"/>
      <w:szCs w:val="21"/>
    </w:rPr>
  </w:style>
  <w:style w:type="character" w:customStyle="1" w:styleId="171">
    <w:name w:val="标题 1 Char"/>
    <w:qFormat/>
    <w:uiPriority w:val="0"/>
    <w:rPr>
      <w:b/>
      <w:bCs/>
      <w:kern w:val="44"/>
      <w:sz w:val="21"/>
      <w:szCs w:val="44"/>
    </w:rPr>
  </w:style>
  <w:style w:type="character" w:customStyle="1" w:styleId="172">
    <w:name w:val="标题 2 Char"/>
    <w:qFormat/>
    <w:uiPriority w:val="0"/>
    <w:rPr>
      <w:rFonts w:ascii="Arial" w:hAnsi="Arial"/>
      <w:b/>
      <w:bCs/>
      <w:kern w:val="2"/>
      <w:sz w:val="21"/>
      <w:szCs w:val="32"/>
    </w:rPr>
  </w:style>
  <w:style w:type="character" w:customStyle="1" w:styleId="173">
    <w:name w:val="标题 3 字符1"/>
    <w:link w:val="4"/>
    <w:qFormat/>
    <w:uiPriority w:val="0"/>
    <w:rPr>
      <w:rFonts w:eastAsia="华文仿宋"/>
      <w:b/>
      <w:bCs/>
      <w:kern w:val="2"/>
      <w:sz w:val="28"/>
      <w:szCs w:val="32"/>
    </w:rPr>
  </w:style>
  <w:style w:type="character" w:customStyle="1" w:styleId="174">
    <w:name w:val="标题 4 字符"/>
    <w:link w:val="5"/>
    <w:uiPriority w:val="0"/>
    <w:rPr>
      <w:rFonts w:ascii="宋体" w:hAnsi="宋体" w:eastAsia="华文仿宋" w:cs="宋体"/>
      <w:b/>
      <w:bCs/>
      <w:sz w:val="24"/>
      <w:szCs w:val="24"/>
    </w:rPr>
  </w:style>
  <w:style w:type="character" w:customStyle="1" w:styleId="175">
    <w:name w:val="标题 5 字符1"/>
    <w:link w:val="6"/>
    <w:qFormat/>
    <w:uiPriority w:val="0"/>
    <w:rPr>
      <w:rFonts w:eastAsia="黑体"/>
      <w:bCs/>
      <w:kern w:val="2"/>
      <w:sz w:val="21"/>
      <w:szCs w:val="28"/>
    </w:rPr>
  </w:style>
  <w:style w:type="character" w:customStyle="1" w:styleId="176">
    <w:name w:val="标题 6 字符1"/>
    <w:link w:val="7"/>
    <w:uiPriority w:val="0"/>
    <w:rPr>
      <w:rFonts w:ascii="Arial" w:hAnsi="Arial" w:eastAsia="黑体"/>
      <w:b/>
      <w:bCs/>
      <w:kern w:val="2"/>
      <w:sz w:val="24"/>
      <w:szCs w:val="24"/>
    </w:rPr>
  </w:style>
  <w:style w:type="character" w:customStyle="1" w:styleId="177">
    <w:name w:val="标题 7 字符1"/>
    <w:link w:val="8"/>
    <w:qFormat/>
    <w:uiPriority w:val="0"/>
    <w:rPr>
      <w:b/>
      <w:bCs/>
      <w:kern w:val="2"/>
      <w:sz w:val="24"/>
      <w:szCs w:val="24"/>
    </w:rPr>
  </w:style>
  <w:style w:type="character" w:customStyle="1" w:styleId="178">
    <w:name w:val="标题 8 字符1"/>
    <w:link w:val="9"/>
    <w:uiPriority w:val="0"/>
    <w:rPr>
      <w:rFonts w:ascii="Arial" w:hAnsi="Arial" w:eastAsia="黑体"/>
      <w:kern w:val="2"/>
      <w:sz w:val="24"/>
      <w:szCs w:val="24"/>
    </w:rPr>
  </w:style>
  <w:style w:type="character" w:customStyle="1" w:styleId="179">
    <w:name w:val="标题 9 字符1"/>
    <w:link w:val="10"/>
    <w:qFormat/>
    <w:uiPriority w:val="0"/>
    <w:rPr>
      <w:rFonts w:ascii="Arial" w:hAnsi="Arial" w:eastAsia="黑体"/>
      <w:kern w:val="2"/>
      <w:sz w:val="21"/>
      <w:szCs w:val="21"/>
    </w:rPr>
  </w:style>
  <w:style w:type="character" w:customStyle="1" w:styleId="180">
    <w:name w:val="HTML 地址 字符1"/>
    <w:link w:val="38"/>
    <w:qFormat/>
    <w:uiPriority w:val="0"/>
    <w:rPr>
      <w:i/>
      <w:iCs/>
      <w:kern w:val="2"/>
      <w:sz w:val="21"/>
      <w:szCs w:val="24"/>
    </w:rPr>
  </w:style>
  <w:style w:type="character" w:customStyle="1" w:styleId="181">
    <w:name w:val="HTML 地址 字符"/>
    <w:uiPriority w:val="0"/>
    <w:rPr>
      <w:rFonts w:eastAsia="华文仿宋"/>
      <w:i/>
      <w:iCs/>
      <w:kern w:val="2"/>
      <w:sz w:val="28"/>
      <w:szCs w:val="24"/>
    </w:rPr>
  </w:style>
  <w:style w:type="character" w:customStyle="1" w:styleId="182">
    <w:name w:val="标题 1 Char Char"/>
    <w:qFormat/>
    <w:uiPriority w:val="0"/>
    <w:rPr>
      <w:rFonts w:ascii="宋体" w:eastAsia="宋体"/>
      <w:b/>
      <w:bCs/>
      <w:kern w:val="44"/>
      <w:sz w:val="21"/>
      <w:szCs w:val="21"/>
      <w:lang w:val="en-US" w:eastAsia="zh-CN" w:bidi="ar-SA"/>
    </w:rPr>
  </w:style>
  <w:style w:type="character" w:customStyle="1" w:styleId="183">
    <w:name w:val="正文文本缩进 3 字符1"/>
    <w:link w:val="65"/>
    <w:uiPriority w:val="0"/>
    <w:rPr>
      <w:kern w:val="2"/>
      <w:sz w:val="16"/>
      <w:szCs w:val="16"/>
    </w:rPr>
  </w:style>
  <w:style w:type="character" w:customStyle="1" w:styleId="184">
    <w:name w:val="正文文本缩进 3 字符"/>
    <w:qFormat/>
    <w:uiPriority w:val="0"/>
    <w:rPr>
      <w:rFonts w:eastAsia="华文仿宋"/>
      <w:kern w:val="2"/>
      <w:sz w:val="16"/>
      <w:szCs w:val="16"/>
    </w:rPr>
  </w:style>
  <w:style w:type="character" w:customStyle="1" w:styleId="185">
    <w:name w:val="章标题 Char"/>
    <w:link w:val="186"/>
    <w:uiPriority w:val="0"/>
    <w:rPr>
      <w:rFonts w:ascii="黑体" w:eastAsia="黑体"/>
      <w:b/>
      <w:sz w:val="21"/>
    </w:rPr>
  </w:style>
  <w:style w:type="paragraph" w:customStyle="1" w:styleId="186">
    <w:name w:val="章标题"/>
    <w:next w:val="155"/>
    <w:link w:val="185"/>
    <w:qFormat/>
    <w:uiPriority w:val="0"/>
    <w:pPr>
      <w:numPr>
        <w:ilvl w:val="1"/>
        <w:numId w:val="14"/>
      </w:numPr>
      <w:tabs>
        <w:tab w:val="left" w:pos="420"/>
      </w:tabs>
      <w:spacing w:beforeLines="50" w:afterLines="50"/>
      <w:jc w:val="both"/>
      <w:outlineLvl w:val="1"/>
    </w:pPr>
    <w:rPr>
      <w:rFonts w:ascii="黑体" w:hAnsi="Times New Roman" w:eastAsia="黑体" w:cs="Times New Roman"/>
      <w:b/>
      <w:sz w:val="21"/>
      <w:lang w:val="en-US" w:eastAsia="zh-CN" w:bidi="ar-SA"/>
    </w:rPr>
  </w:style>
  <w:style w:type="character" w:customStyle="1" w:styleId="187">
    <w:name w:val="HTML 预设格式 字符1"/>
    <w:link w:val="75"/>
    <w:uiPriority w:val="0"/>
    <w:rPr>
      <w:rFonts w:ascii="Courier New" w:hAnsi="Courier New" w:cs="Courier New"/>
      <w:kern w:val="2"/>
    </w:rPr>
  </w:style>
  <w:style w:type="character" w:customStyle="1" w:styleId="188">
    <w:name w:val="HTML 预设格式 字符"/>
    <w:qFormat/>
    <w:uiPriority w:val="0"/>
    <w:rPr>
      <w:rFonts w:ascii="Courier New" w:hAnsi="Courier New" w:eastAsia="华文仿宋" w:cs="Courier New"/>
      <w:kern w:val="2"/>
    </w:rPr>
  </w:style>
  <w:style w:type="character" w:customStyle="1" w:styleId="189">
    <w:name w:val="正文格式 Char"/>
    <w:link w:val="190"/>
    <w:uiPriority w:val="0"/>
    <w:rPr>
      <w:rFonts w:ascii="宋体" w:hAnsi="宋体"/>
      <w:bCs/>
      <w:kern w:val="2"/>
      <w:sz w:val="21"/>
      <w:szCs w:val="21"/>
    </w:rPr>
  </w:style>
  <w:style w:type="paragraph" w:customStyle="1" w:styleId="190">
    <w:name w:val="正文格式"/>
    <w:basedOn w:val="1"/>
    <w:link w:val="189"/>
    <w:uiPriority w:val="0"/>
    <w:pPr>
      <w:topLinePunct/>
      <w:ind w:firstLine="420"/>
      <w:jc w:val="both"/>
    </w:pPr>
    <w:rPr>
      <w:rFonts w:ascii="宋体" w:hAnsi="宋体" w:eastAsia="宋体"/>
      <w:bCs/>
      <w:sz w:val="21"/>
      <w:szCs w:val="21"/>
    </w:rPr>
  </w:style>
  <w:style w:type="paragraph" w:customStyle="1" w:styleId="191">
    <w:name w:val="_Style 82"/>
    <w:qFormat/>
    <w:uiPriority w:val="0"/>
    <w:pPr>
      <w:widowControl w:val="0"/>
      <w:jc w:val="both"/>
    </w:pPr>
    <w:rPr>
      <w:rFonts w:ascii="Times New Roman" w:hAnsi="Times New Roman" w:eastAsia="宋体" w:cs="Times New Roman"/>
      <w:lang w:val="en-US" w:eastAsia="zh-CN" w:bidi="ar-SA"/>
    </w:rPr>
  </w:style>
  <w:style w:type="character" w:customStyle="1" w:styleId="192">
    <w:name w:val="ca-2"/>
    <w:qFormat/>
    <w:uiPriority w:val="0"/>
  </w:style>
  <w:style w:type="character" w:customStyle="1" w:styleId="193">
    <w:name w:val="称呼 字符1"/>
    <w:link w:val="27"/>
    <w:uiPriority w:val="0"/>
    <w:rPr>
      <w:kern w:val="2"/>
      <w:sz w:val="21"/>
      <w:szCs w:val="24"/>
    </w:rPr>
  </w:style>
  <w:style w:type="character" w:customStyle="1" w:styleId="194">
    <w:name w:val="称呼 字符"/>
    <w:qFormat/>
    <w:uiPriority w:val="0"/>
    <w:rPr>
      <w:rFonts w:eastAsia="华文仿宋"/>
      <w:kern w:val="2"/>
      <w:sz w:val="28"/>
      <w:szCs w:val="24"/>
    </w:rPr>
  </w:style>
  <w:style w:type="character" w:customStyle="1" w:styleId="195">
    <w:name w:val="ca-3"/>
    <w:uiPriority w:val="0"/>
  </w:style>
  <w:style w:type="character" w:customStyle="1" w:styleId="196">
    <w:name w:val="页脚 Char"/>
    <w:uiPriority w:val="99"/>
    <w:rPr>
      <w:kern w:val="2"/>
      <w:sz w:val="18"/>
      <w:szCs w:val="18"/>
    </w:rPr>
  </w:style>
  <w:style w:type="character" w:customStyle="1" w:styleId="197">
    <w:name w:val="表内居两端对齐 Char"/>
    <w:link w:val="198"/>
    <w:uiPriority w:val="0"/>
  </w:style>
  <w:style w:type="paragraph" w:customStyle="1" w:styleId="198">
    <w:name w:val="表内居两端对齐"/>
    <w:basedOn w:val="199"/>
    <w:link w:val="197"/>
    <w:uiPriority w:val="0"/>
    <w:pPr>
      <w:jc w:val="both"/>
    </w:pPr>
    <w:rPr>
      <w:sz w:val="20"/>
      <w:szCs w:val="20"/>
    </w:rPr>
  </w:style>
  <w:style w:type="paragraph" w:customStyle="1" w:styleId="199">
    <w:name w:val="表内居中小五"/>
    <w:basedOn w:val="1"/>
    <w:link w:val="200"/>
    <w:qFormat/>
    <w:uiPriority w:val="0"/>
    <w:pPr>
      <w:jc w:val="center"/>
    </w:pPr>
    <w:rPr>
      <w:rFonts w:eastAsia="宋体"/>
      <w:kern w:val="0"/>
      <w:sz w:val="18"/>
      <w:szCs w:val="18"/>
    </w:rPr>
  </w:style>
  <w:style w:type="character" w:customStyle="1" w:styleId="200">
    <w:name w:val="表内居中小五 Char"/>
    <w:link w:val="199"/>
    <w:uiPriority w:val="0"/>
    <w:rPr>
      <w:sz w:val="18"/>
      <w:szCs w:val="18"/>
    </w:rPr>
  </w:style>
  <w:style w:type="character" w:customStyle="1" w:styleId="201">
    <w:name w:val="电子邮件签名 字符1"/>
    <w:link w:val="17"/>
    <w:qFormat/>
    <w:uiPriority w:val="0"/>
    <w:rPr>
      <w:kern w:val="2"/>
      <w:sz w:val="21"/>
      <w:szCs w:val="24"/>
    </w:rPr>
  </w:style>
  <w:style w:type="character" w:customStyle="1" w:styleId="202">
    <w:name w:val="电子邮件签名 字符"/>
    <w:uiPriority w:val="0"/>
    <w:rPr>
      <w:rFonts w:eastAsia="华文仿宋"/>
      <w:kern w:val="2"/>
      <w:sz w:val="28"/>
      <w:szCs w:val="24"/>
    </w:rPr>
  </w:style>
  <w:style w:type="character" w:customStyle="1" w:styleId="203">
    <w:name w:val="批注文字 字符1"/>
    <w:link w:val="25"/>
    <w:uiPriority w:val="0"/>
    <w:rPr>
      <w:kern w:val="2"/>
      <w:sz w:val="21"/>
      <w:szCs w:val="24"/>
    </w:rPr>
  </w:style>
  <w:style w:type="character" w:customStyle="1" w:styleId="204">
    <w:name w:val="批注文字 字符"/>
    <w:uiPriority w:val="0"/>
    <w:rPr>
      <w:rFonts w:eastAsia="华文仿宋"/>
      <w:kern w:val="2"/>
      <w:sz w:val="28"/>
      <w:szCs w:val="24"/>
    </w:rPr>
  </w:style>
  <w:style w:type="character" w:customStyle="1" w:styleId="205">
    <w:name w:val="批注主题 字符1"/>
    <w:link w:val="80"/>
    <w:uiPriority w:val="0"/>
    <w:rPr>
      <w:b/>
      <w:bCs/>
      <w:kern w:val="2"/>
      <w:sz w:val="21"/>
      <w:szCs w:val="24"/>
    </w:rPr>
  </w:style>
  <w:style w:type="character" w:customStyle="1" w:styleId="206">
    <w:name w:val="批注主题 字符"/>
    <w:uiPriority w:val="0"/>
    <w:rPr>
      <w:rFonts w:eastAsia="华文仿宋"/>
      <w:b/>
      <w:bCs/>
      <w:kern w:val="2"/>
      <w:sz w:val="28"/>
      <w:szCs w:val="24"/>
    </w:rPr>
  </w:style>
  <w:style w:type="character" w:customStyle="1" w:styleId="207">
    <w:name w:val="签名 字符1"/>
    <w:link w:val="54"/>
    <w:uiPriority w:val="0"/>
    <w:rPr>
      <w:kern w:val="2"/>
      <w:sz w:val="21"/>
      <w:szCs w:val="24"/>
    </w:rPr>
  </w:style>
  <w:style w:type="character" w:customStyle="1" w:styleId="208">
    <w:name w:val="签名 字符"/>
    <w:uiPriority w:val="0"/>
    <w:rPr>
      <w:rFonts w:eastAsia="华文仿宋"/>
      <w:kern w:val="2"/>
      <w:sz w:val="28"/>
      <w:szCs w:val="24"/>
    </w:rPr>
  </w:style>
  <w:style w:type="character" w:customStyle="1" w:styleId="209">
    <w:name w:val="Char Char2"/>
    <w:uiPriority w:val="0"/>
    <w:rPr>
      <w:rFonts w:eastAsia="汉仪大宋简"/>
      <w:kern w:val="44"/>
      <w:sz w:val="22"/>
      <w:szCs w:val="22"/>
      <w:lang w:val="en-US" w:eastAsia="zh-CN" w:bidi="ar-SA"/>
    </w:rPr>
  </w:style>
  <w:style w:type="character" w:customStyle="1" w:styleId="210">
    <w:name w:val="样式 标题 4 + (符号) 宋体 Char"/>
    <w:link w:val="211"/>
    <w:uiPriority w:val="0"/>
    <w:rPr>
      <w:rFonts w:ascii="宋体"/>
      <w:kern w:val="2"/>
      <w:sz w:val="21"/>
      <w:szCs w:val="21"/>
    </w:rPr>
  </w:style>
  <w:style w:type="paragraph" w:customStyle="1" w:styleId="211">
    <w:name w:val="样式 标题 4 + (符号) 宋体"/>
    <w:basedOn w:val="5"/>
    <w:link w:val="210"/>
    <w:uiPriority w:val="0"/>
    <w:pPr>
      <w:widowControl w:val="0"/>
      <w:tabs>
        <w:tab w:val="left" w:pos="2976"/>
      </w:tabs>
      <w:adjustRightInd w:val="0"/>
      <w:snapToGrid w:val="0"/>
      <w:spacing w:before="0" w:beforeAutospacing="0" w:after="0" w:afterAutospacing="0"/>
      <w:ind w:left="2551" w:firstLine="200" w:firstLineChars="200"/>
      <w:jc w:val="both"/>
    </w:pPr>
    <w:rPr>
      <w:rFonts w:hAnsi="Times New Roman" w:eastAsia="宋体" w:cs="Times New Roman"/>
      <w:b w:val="0"/>
      <w:bCs w:val="0"/>
      <w:kern w:val="2"/>
      <w:sz w:val="21"/>
      <w:szCs w:val="21"/>
    </w:rPr>
  </w:style>
  <w:style w:type="character" w:customStyle="1" w:styleId="212">
    <w:name w:val="页眉 Char"/>
    <w:uiPriority w:val="0"/>
    <w:rPr>
      <w:kern w:val="2"/>
      <w:sz w:val="18"/>
      <w:szCs w:val="18"/>
    </w:rPr>
  </w:style>
  <w:style w:type="character" w:customStyle="1" w:styleId="213">
    <w:name w:val="jl 三级 Char Char"/>
    <w:link w:val="214"/>
    <w:semiHidden/>
    <w:uiPriority w:val="0"/>
    <w:rPr>
      <w:rFonts w:ascii="宋体" w:hAnsi="宋体"/>
      <w:b/>
      <w:color w:val="000000"/>
      <w:kern w:val="2"/>
      <w:sz w:val="24"/>
      <w:szCs w:val="24"/>
    </w:rPr>
  </w:style>
  <w:style w:type="paragraph" w:customStyle="1" w:styleId="214">
    <w:name w:val="jl 三级 Char"/>
    <w:basedOn w:val="1"/>
    <w:link w:val="213"/>
    <w:semiHidden/>
    <w:uiPriority w:val="0"/>
    <w:pPr>
      <w:autoSpaceDE w:val="0"/>
      <w:autoSpaceDN w:val="0"/>
      <w:adjustRightInd w:val="0"/>
      <w:spacing w:beforeLines="50" w:afterLines="50"/>
      <w:ind w:firstLine="480"/>
      <w:textAlignment w:val="baseline"/>
      <w:outlineLvl w:val="2"/>
    </w:pPr>
    <w:rPr>
      <w:rFonts w:ascii="宋体" w:hAnsi="宋体" w:eastAsia="宋体"/>
      <w:b/>
      <w:color w:val="000000"/>
      <w:sz w:val="24"/>
    </w:rPr>
  </w:style>
  <w:style w:type="character" w:customStyle="1" w:styleId="215">
    <w:name w:val="正文文本 3 字符1"/>
    <w:link w:val="28"/>
    <w:uiPriority w:val="0"/>
    <w:rPr>
      <w:kern w:val="2"/>
      <w:sz w:val="16"/>
      <w:szCs w:val="16"/>
    </w:rPr>
  </w:style>
  <w:style w:type="character" w:customStyle="1" w:styleId="216">
    <w:name w:val="正文文本 3 字符"/>
    <w:uiPriority w:val="0"/>
    <w:rPr>
      <w:rFonts w:eastAsia="华文仿宋"/>
      <w:kern w:val="2"/>
      <w:sz w:val="16"/>
      <w:szCs w:val="16"/>
    </w:rPr>
  </w:style>
  <w:style w:type="character" w:customStyle="1" w:styleId="217">
    <w:name w:val="注释标题 字符1"/>
    <w:link w:val="14"/>
    <w:uiPriority w:val="0"/>
    <w:rPr>
      <w:kern w:val="2"/>
      <w:sz w:val="21"/>
      <w:szCs w:val="24"/>
    </w:rPr>
  </w:style>
  <w:style w:type="character" w:customStyle="1" w:styleId="218">
    <w:name w:val="注释标题 字符"/>
    <w:uiPriority w:val="0"/>
    <w:rPr>
      <w:rFonts w:eastAsia="华文仿宋"/>
      <w:kern w:val="2"/>
      <w:sz w:val="28"/>
      <w:szCs w:val="24"/>
    </w:rPr>
  </w:style>
  <w:style w:type="character" w:customStyle="1" w:styleId="219">
    <w:name w:val="正文文本缩进 Char"/>
    <w:uiPriority w:val="0"/>
    <w:rPr>
      <w:rFonts w:ascii="宋体"/>
      <w:color w:val="000080"/>
      <w:kern w:val="2"/>
      <w:sz w:val="24"/>
      <w:szCs w:val="24"/>
    </w:rPr>
  </w:style>
  <w:style w:type="character" w:customStyle="1" w:styleId="220">
    <w:name w:val="文档结构图 字符"/>
    <w:link w:val="24"/>
    <w:uiPriority w:val="0"/>
    <w:rPr>
      <w:rFonts w:eastAsia="华文仿宋"/>
      <w:kern w:val="2"/>
      <w:sz w:val="28"/>
      <w:szCs w:val="24"/>
      <w:shd w:val="clear" w:color="auto" w:fill="000080"/>
    </w:rPr>
  </w:style>
  <w:style w:type="character" w:customStyle="1" w:styleId="221">
    <w:name w:val="Char Char16"/>
    <w:uiPriority w:val="0"/>
    <w:rPr>
      <w:rFonts w:ascii="Arial" w:hAnsi="Arial" w:eastAsia="黑体"/>
      <w:b/>
      <w:bCs/>
      <w:kern w:val="2"/>
      <w:sz w:val="32"/>
      <w:szCs w:val="32"/>
      <w:lang w:val="en-US" w:eastAsia="zh-CN" w:bidi="ar-SA"/>
    </w:rPr>
  </w:style>
  <w:style w:type="character" w:customStyle="1" w:styleId="222">
    <w:name w:val="样式 Arial"/>
    <w:qFormat/>
    <w:uiPriority w:val="0"/>
    <w:rPr>
      <w:rFonts w:hint="default" w:ascii="Times New Roman" w:hAnsi="Times New Roman" w:eastAsia="宋体" w:cs="Times New Roman"/>
      <w:sz w:val="21"/>
      <w:szCs w:val="21"/>
    </w:rPr>
  </w:style>
  <w:style w:type="character" w:customStyle="1" w:styleId="223">
    <w:name w:val="三级条标题 Char"/>
    <w:link w:val="224"/>
    <w:uiPriority w:val="0"/>
    <w:rPr>
      <w:rFonts w:ascii="黑体" w:eastAsia="黑体"/>
      <w:b/>
      <w:sz w:val="21"/>
    </w:rPr>
  </w:style>
  <w:style w:type="paragraph" w:customStyle="1" w:styleId="224">
    <w:name w:val="三级条标题"/>
    <w:basedOn w:val="225"/>
    <w:next w:val="155"/>
    <w:link w:val="223"/>
    <w:uiPriority w:val="0"/>
    <w:pPr>
      <w:tabs>
        <w:tab w:val="left" w:pos="945"/>
        <w:tab w:val="left" w:pos="1080"/>
      </w:tabs>
      <w:outlineLvl w:val="4"/>
    </w:pPr>
  </w:style>
  <w:style w:type="paragraph" w:customStyle="1" w:styleId="225">
    <w:name w:val="二级条标题"/>
    <w:basedOn w:val="1"/>
    <w:next w:val="1"/>
    <w:link w:val="226"/>
    <w:uiPriority w:val="0"/>
    <w:pPr>
      <w:widowControl/>
      <w:jc w:val="both"/>
      <w:outlineLvl w:val="3"/>
    </w:pPr>
    <w:rPr>
      <w:rFonts w:ascii="黑体" w:eastAsia="黑体"/>
      <w:b/>
      <w:kern w:val="0"/>
      <w:sz w:val="21"/>
      <w:szCs w:val="20"/>
    </w:rPr>
  </w:style>
  <w:style w:type="character" w:customStyle="1" w:styleId="226">
    <w:name w:val="二级条标题 Char"/>
    <w:link w:val="225"/>
    <w:uiPriority w:val="0"/>
    <w:rPr>
      <w:rFonts w:ascii="黑体" w:eastAsia="黑体"/>
      <w:b/>
      <w:sz w:val="21"/>
    </w:rPr>
  </w:style>
  <w:style w:type="character" w:customStyle="1" w:styleId="227">
    <w:name w:val="正文首行缩进 字符"/>
    <w:basedOn w:val="228"/>
    <w:link w:val="81"/>
    <w:uiPriority w:val="0"/>
    <w:rPr>
      <w:kern w:val="2"/>
      <w:sz w:val="21"/>
      <w:szCs w:val="24"/>
    </w:rPr>
  </w:style>
  <w:style w:type="character" w:customStyle="1" w:styleId="228">
    <w:name w:val="正文文本 Char"/>
    <w:uiPriority w:val="0"/>
    <w:rPr>
      <w:kern w:val="2"/>
      <w:sz w:val="21"/>
      <w:szCs w:val="24"/>
    </w:rPr>
  </w:style>
  <w:style w:type="character" w:customStyle="1" w:styleId="229">
    <w:name w:val="结束语 字符1"/>
    <w:link w:val="29"/>
    <w:uiPriority w:val="0"/>
    <w:rPr>
      <w:kern w:val="2"/>
      <w:sz w:val="21"/>
      <w:szCs w:val="24"/>
    </w:rPr>
  </w:style>
  <w:style w:type="character" w:customStyle="1" w:styleId="230">
    <w:name w:val="结束语 字符"/>
    <w:qFormat/>
    <w:uiPriority w:val="0"/>
    <w:rPr>
      <w:rFonts w:eastAsia="华文仿宋"/>
      <w:kern w:val="2"/>
      <w:sz w:val="28"/>
      <w:szCs w:val="24"/>
    </w:rPr>
  </w:style>
  <w:style w:type="character" w:customStyle="1" w:styleId="231">
    <w:name w:val="中标题 Char"/>
    <w:link w:val="232"/>
    <w:qFormat/>
    <w:uiPriority w:val="0"/>
    <w:rPr>
      <w:rFonts w:ascii="黑体" w:hAnsi="宋体" w:eastAsia="黑体"/>
      <w:b/>
      <w:bCs/>
      <w:kern w:val="2"/>
      <w:sz w:val="30"/>
      <w:szCs w:val="24"/>
    </w:rPr>
  </w:style>
  <w:style w:type="paragraph" w:customStyle="1" w:styleId="232">
    <w:name w:val="中标题"/>
    <w:basedOn w:val="1"/>
    <w:link w:val="231"/>
    <w:qFormat/>
    <w:uiPriority w:val="0"/>
    <w:pPr>
      <w:widowControl/>
      <w:tabs>
        <w:tab w:val="left" w:pos="840"/>
      </w:tabs>
      <w:spacing w:line="340" w:lineRule="exact"/>
      <w:jc w:val="center"/>
    </w:pPr>
    <w:rPr>
      <w:rFonts w:ascii="黑体" w:hAnsi="宋体" w:eastAsia="黑体"/>
      <w:b/>
      <w:bCs/>
      <w:sz w:val="30"/>
    </w:rPr>
  </w:style>
  <w:style w:type="character" w:customStyle="1" w:styleId="233">
    <w:name w:val="一级条标题 Char"/>
    <w:link w:val="234"/>
    <w:qFormat/>
    <w:uiPriority w:val="0"/>
    <w:rPr>
      <w:rFonts w:ascii="黑体" w:eastAsia="黑体"/>
      <w:b/>
      <w:sz w:val="21"/>
    </w:rPr>
  </w:style>
  <w:style w:type="paragraph" w:customStyle="1" w:styleId="234">
    <w:name w:val="一级条标题"/>
    <w:basedOn w:val="186"/>
    <w:next w:val="155"/>
    <w:link w:val="233"/>
    <w:qFormat/>
    <w:uiPriority w:val="0"/>
    <w:pPr>
      <w:numPr>
        <w:ilvl w:val="2"/>
      </w:numPr>
      <w:tabs>
        <w:tab w:val="left" w:pos="525"/>
        <w:tab w:val="clear" w:pos="420"/>
      </w:tabs>
      <w:spacing w:beforeLines="0" w:afterLines="0"/>
      <w:outlineLvl w:val="2"/>
    </w:pPr>
  </w:style>
  <w:style w:type="character" w:customStyle="1" w:styleId="235">
    <w:name w:val="批注文字 Char"/>
    <w:semiHidden/>
    <w:qFormat/>
    <w:uiPriority w:val="99"/>
    <w:rPr>
      <w:rFonts w:ascii="Times New Roman" w:hAnsi="Times New Roman" w:eastAsia="宋体" w:cs="Times New Roman"/>
      <w:szCs w:val="24"/>
    </w:rPr>
  </w:style>
  <w:style w:type="character" w:customStyle="1" w:styleId="236">
    <w:name w:val="表头 Char"/>
    <w:link w:val="237"/>
    <w:qFormat/>
    <w:uiPriority w:val="0"/>
    <w:rPr>
      <w:rFonts w:eastAsia="黑体"/>
      <w:kern w:val="2"/>
      <w:sz w:val="21"/>
      <w:szCs w:val="21"/>
    </w:rPr>
  </w:style>
  <w:style w:type="paragraph" w:customStyle="1" w:styleId="237">
    <w:name w:val="表头"/>
    <w:basedOn w:val="1"/>
    <w:link w:val="236"/>
    <w:qFormat/>
    <w:uiPriority w:val="0"/>
    <w:pPr>
      <w:topLinePunct/>
      <w:spacing w:before="160" w:after="60"/>
      <w:jc w:val="center"/>
    </w:pPr>
    <w:rPr>
      <w:rFonts w:eastAsia="黑体"/>
      <w:sz w:val="21"/>
      <w:szCs w:val="21"/>
    </w:rPr>
  </w:style>
  <w:style w:type="character" w:customStyle="1" w:styleId="238">
    <w:name w:val="ca-1"/>
    <w:qFormat/>
    <w:uiPriority w:val="0"/>
  </w:style>
  <w:style w:type="character" w:customStyle="1" w:styleId="239">
    <w:name w:val="jl 正文 Char Char Char"/>
    <w:link w:val="240"/>
    <w:semiHidden/>
    <w:qFormat/>
    <w:uiPriority w:val="0"/>
    <w:rPr>
      <w:rFonts w:ascii="宋体"/>
      <w:kern w:val="2"/>
      <w:sz w:val="24"/>
      <w:szCs w:val="24"/>
    </w:rPr>
  </w:style>
  <w:style w:type="paragraph" w:customStyle="1" w:styleId="240">
    <w:name w:val="jl 正文 Char Char"/>
    <w:basedOn w:val="1"/>
    <w:link w:val="239"/>
    <w:semiHidden/>
    <w:qFormat/>
    <w:uiPriority w:val="0"/>
    <w:pPr>
      <w:autoSpaceDE w:val="0"/>
      <w:autoSpaceDN w:val="0"/>
      <w:adjustRightInd w:val="0"/>
      <w:textAlignment w:val="baseline"/>
    </w:pPr>
    <w:rPr>
      <w:rFonts w:ascii="宋体" w:eastAsia="宋体"/>
      <w:sz w:val="24"/>
    </w:rPr>
  </w:style>
  <w:style w:type="character" w:customStyle="1" w:styleId="241">
    <w:name w:val="正文缩进 字符"/>
    <w:link w:val="19"/>
    <w:qFormat/>
    <w:uiPriority w:val="0"/>
    <w:rPr>
      <w:kern w:val="2"/>
      <w:sz w:val="21"/>
      <w:szCs w:val="24"/>
    </w:rPr>
  </w:style>
  <w:style w:type="character" w:customStyle="1" w:styleId="242">
    <w:name w:val="副标题 字符1"/>
    <w:link w:val="60"/>
    <w:qFormat/>
    <w:uiPriority w:val="0"/>
    <w:rPr>
      <w:rFonts w:ascii="Arial" w:hAnsi="Arial" w:cs="Arial"/>
      <w:b/>
      <w:bCs/>
      <w:kern w:val="28"/>
      <w:sz w:val="32"/>
      <w:szCs w:val="32"/>
    </w:rPr>
  </w:style>
  <w:style w:type="character" w:customStyle="1" w:styleId="243">
    <w:name w:val="副标题 字符"/>
    <w:qFormat/>
    <w:uiPriority w:val="0"/>
    <w:rPr>
      <w:rFonts w:ascii="等线 Light" w:hAnsi="等线 Light" w:cs="Times New Roman"/>
      <w:b/>
      <w:bCs/>
      <w:kern w:val="28"/>
      <w:sz w:val="32"/>
      <w:szCs w:val="32"/>
    </w:rPr>
  </w:style>
  <w:style w:type="character" w:customStyle="1" w:styleId="244">
    <w:name w:val="ca-7"/>
    <w:qFormat/>
    <w:uiPriority w:val="0"/>
  </w:style>
  <w:style w:type="character" w:customStyle="1" w:styleId="245">
    <w:name w:val="样式6 Char"/>
    <w:link w:val="246"/>
    <w:qFormat/>
    <w:uiPriority w:val="0"/>
    <w:rPr>
      <w:kern w:val="2"/>
      <w:sz w:val="21"/>
      <w:szCs w:val="24"/>
    </w:rPr>
  </w:style>
  <w:style w:type="paragraph" w:customStyle="1" w:styleId="246">
    <w:name w:val="样式6"/>
    <w:basedOn w:val="1"/>
    <w:link w:val="245"/>
    <w:qFormat/>
    <w:uiPriority w:val="0"/>
    <w:pPr>
      <w:numPr>
        <w:ilvl w:val="2"/>
        <w:numId w:val="15"/>
      </w:numPr>
      <w:tabs>
        <w:tab w:val="left" w:pos="1571"/>
      </w:tabs>
      <w:jc w:val="both"/>
    </w:pPr>
    <w:rPr>
      <w:rFonts w:eastAsia="宋体"/>
      <w:sz w:val="21"/>
    </w:rPr>
  </w:style>
  <w:style w:type="character" w:customStyle="1" w:styleId="247">
    <w:name w:val="日期 字符1"/>
    <w:link w:val="47"/>
    <w:qFormat/>
    <w:uiPriority w:val="0"/>
    <w:rPr>
      <w:kern w:val="2"/>
      <w:sz w:val="21"/>
      <w:szCs w:val="24"/>
    </w:rPr>
  </w:style>
  <w:style w:type="character" w:customStyle="1" w:styleId="248">
    <w:name w:val="日期 字符"/>
    <w:qFormat/>
    <w:uiPriority w:val="0"/>
    <w:rPr>
      <w:rFonts w:eastAsia="华文仿宋"/>
      <w:kern w:val="2"/>
      <w:sz w:val="28"/>
      <w:szCs w:val="24"/>
    </w:rPr>
  </w:style>
  <w:style w:type="character" w:customStyle="1" w:styleId="249">
    <w:name w:val="首行缩进 Char"/>
    <w:link w:val="250"/>
    <w:qFormat/>
    <w:uiPriority w:val="0"/>
    <w:rPr>
      <w:rFonts w:eastAsia="方正书宋简体" w:cs="宋体"/>
    </w:rPr>
  </w:style>
  <w:style w:type="paragraph" w:customStyle="1" w:styleId="250">
    <w:name w:val="首行缩进"/>
    <w:basedOn w:val="1"/>
    <w:link w:val="249"/>
    <w:qFormat/>
    <w:uiPriority w:val="0"/>
    <w:pPr>
      <w:spacing w:line="300" w:lineRule="auto"/>
      <w:ind w:firstLine="420"/>
      <w:jc w:val="both"/>
    </w:pPr>
    <w:rPr>
      <w:rFonts w:eastAsia="方正书宋简体" w:cs="宋体"/>
      <w:kern w:val="0"/>
      <w:sz w:val="20"/>
      <w:szCs w:val="20"/>
    </w:rPr>
  </w:style>
  <w:style w:type="character" w:customStyle="1" w:styleId="251">
    <w:name w:val="信息标题 字符1"/>
    <w:link w:val="74"/>
    <w:qFormat/>
    <w:uiPriority w:val="0"/>
    <w:rPr>
      <w:rFonts w:ascii="Arial" w:hAnsi="Arial" w:cs="Arial"/>
      <w:kern w:val="2"/>
      <w:sz w:val="24"/>
      <w:szCs w:val="24"/>
      <w:shd w:val="pct20" w:color="auto" w:fill="auto"/>
    </w:rPr>
  </w:style>
  <w:style w:type="character" w:customStyle="1" w:styleId="252">
    <w:name w:val="信息标题 字符"/>
    <w:qFormat/>
    <w:uiPriority w:val="0"/>
    <w:rPr>
      <w:rFonts w:ascii="等线 Light" w:hAnsi="等线 Light" w:eastAsia="等线 Light" w:cs="Times New Roman"/>
      <w:kern w:val="2"/>
      <w:sz w:val="24"/>
      <w:szCs w:val="24"/>
      <w:shd w:val="pct20" w:color="auto" w:fill="auto"/>
    </w:rPr>
  </w:style>
  <w:style w:type="character" w:customStyle="1" w:styleId="253">
    <w:name w:val="正文首行缩进 2 字符"/>
    <w:link w:val="82"/>
    <w:qFormat/>
    <w:uiPriority w:val="0"/>
    <w:rPr>
      <w:rFonts w:ascii="宋体"/>
      <w:color w:val="000080"/>
      <w:kern w:val="2"/>
      <w:sz w:val="21"/>
      <w:szCs w:val="24"/>
    </w:rPr>
  </w:style>
  <w:style w:type="character" w:customStyle="1" w:styleId="254">
    <w:name w:val="正文文本缩进 2 字符1"/>
    <w:link w:val="48"/>
    <w:qFormat/>
    <w:uiPriority w:val="0"/>
    <w:rPr>
      <w:kern w:val="2"/>
      <w:sz w:val="21"/>
      <w:szCs w:val="24"/>
    </w:rPr>
  </w:style>
  <w:style w:type="character" w:customStyle="1" w:styleId="255">
    <w:name w:val="正文文本缩进 2 字符"/>
    <w:qFormat/>
    <w:uiPriority w:val="0"/>
    <w:rPr>
      <w:rFonts w:eastAsia="华文仿宋"/>
      <w:kern w:val="2"/>
      <w:sz w:val="28"/>
      <w:szCs w:val="24"/>
    </w:rPr>
  </w:style>
  <w:style w:type="character" w:customStyle="1" w:styleId="256">
    <w:name w:val="标题 字符2"/>
    <w:link w:val="79"/>
    <w:qFormat/>
    <w:uiPriority w:val="0"/>
    <w:rPr>
      <w:rFonts w:ascii="Cambria" w:hAnsi="Cambria" w:eastAsia="华文仿宋"/>
      <w:b/>
      <w:bCs/>
      <w:kern w:val="2"/>
      <w:sz w:val="28"/>
      <w:szCs w:val="32"/>
    </w:rPr>
  </w:style>
  <w:style w:type="character" w:customStyle="1" w:styleId="257">
    <w:name w:val="标题 字符"/>
    <w:qFormat/>
    <w:uiPriority w:val="0"/>
    <w:rPr>
      <w:rFonts w:ascii="等线 Light" w:hAnsi="等线 Light" w:cs="Times New Roman"/>
      <w:b/>
      <w:bCs/>
      <w:kern w:val="2"/>
      <w:sz w:val="32"/>
      <w:szCs w:val="32"/>
    </w:rPr>
  </w:style>
  <w:style w:type="character" w:customStyle="1" w:styleId="258">
    <w:name w:val="纯文本 字符"/>
    <w:link w:val="42"/>
    <w:qFormat/>
    <w:uiPriority w:val="99"/>
    <w:rPr>
      <w:rFonts w:ascii="MingLiU" w:hAnsi="Courier New" w:eastAsia="MingLiU"/>
      <w:kern w:val="2"/>
      <w:sz w:val="24"/>
      <w:lang w:eastAsia="zh-TW"/>
    </w:rPr>
  </w:style>
  <w:style w:type="character" w:customStyle="1" w:styleId="259">
    <w:name w:val="标题 2 Char1"/>
    <w:qFormat/>
    <w:uiPriority w:val="0"/>
    <w:rPr>
      <w:rFonts w:ascii="Times New Roman" w:hAnsi="Times New Roman" w:eastAsia="黑体" w:cs="Times New Roman"/>
      <w:bCs/>
      <w:szCs w:val="21"/>
    </w:rPr>
  </w:style>
  <w:style w:type="character" w:customStyle="1" w:styleId="260">
    <w:name w:val="ca-6"/>
    <w:qFormat/>
    <w:uiPriority w:val="0"/>
  </w:style>
  <w:style w:type="character" w:customStyle="1" w:styleId="261">
    <w:name w:val="批注框文本 Char"/>
    <w:semiHidden/>
    <w:qFormat/>
    <w:uiPriority w:val="0"/>
    <w:rPr>
      <w:kern w:val="2"/>
      <w:sz w:val="18"/>
      <w:szCs w:val="18"/>
    </w:rPr>
  </w:style>
  <w:style w:type="character" w:customStyle="1" w:styleId="262">
    <w:name w:val="正文文本 2 字符1"/>
    <w:link w:val="71"/>
    <w:qFormat/>
    <w:uiPriority w:val="0"/>
    <w:rPr>
      <w:kern w:val="2"/>
      <w:sz w:val="21"/>
      <w:szCs w:val="24"/>
    </w:rPr>
  </w:style>
  <w:style w:type="character" w:customStyle="1" w:styleId="263">
    <w:name w:val="正文文本 2 字符"/>
    <w:qFormat/>
    <w:uiPriority w:val="0"/>
    <w:rPr>
      <w:rFonts w:eastAsia="华文仿宋"/>
      <w:kern w:val="2"/>
      <w:sz w:val="28"/>
      <w:szCs w:val="24"/>
    </w:rPr>
  </w:style>
  <w:style w:type="character" w:customStyle="1" w:styleId="264">
    <w:name w:val="Char Char4"/>
    <w:qFormat/>
    <w:uiPriority w:val="0"/>
    <w:rPr>
      <w:rFonts w:eastAsia="汉仪大宋简"/>
      <w:kern w:val="44"/>
      <w:sz w:val="22"/>
      <w:szCs w:val="22"/>
      <w:lang w:val="en-US" w:eastAsia="zh-CN" w:bidi="ar-SA"/>
    </w:rPr>
  </w:style>
  <w:style w:type="character" w:customStyle="1" w:styleId="265">
    <w:name w:val="正文 Char"/>
    <w:qFormat/>
    <w:uiPriority w:val="0"/>
    <w:rPr>
      <w:rFonts w:eastAsia="宋体" w:cs="宋体"/>
      <w:kern w:val="2"/>
      <w:sz w:val="21"/>
      <w:lang w:val="en-US" w:eastAsia="zh-CN" w:bidi="ar-SA"/>
    </w:rPr>
  </w:style>
  <w:style w:type="character" w:customStyle="1" w:styleId="266">
    <w:name w:val="样式 标题 3 + 宋体 Char"/>
    <w:link w:val="267"/>
    <w:qFormat/>
    <w:uiPriority w:val="0"/>
    <w:rPr>
      <w:rFonts w:ascii="宋体" w:hAnsi="宋体"/>
      <w:kern w:val="2"/>
      <w:sz w:val="21"/>
      <w:szCs w:val="21"/>
    </w:rPr>
  </w:style>
  <w:style w:type="paragraph" w:customStyle="1" w:styleId="267">
    <w:name w:val="样式 标题 3 + 宋体"/>
    <w:basedOn w:val="4"/>
    <w:link w:val="266"/>
    <w:qFormat/>
    <w:uiPriority w:val="0"/>
    <w:pPr>
      <w:keepNext w:val="0"/>
      <w:keepLines w:val="0"/>
      <w:tabs>
        <w:tab w:val="left" w:pos="1560"/>
      </w:tabs>
      <w:snapToGrid w:val="0"/>
      <w:spacing w:before="0" w:after="0" w:line="360" w:lineRule="auto"/>
      <w:ind w:left="360" w:firstLine="200" w:firstLineChars="200"/>
    </w:pPr>
    <w:rPr>
      <w:rFonts w:ascii="宋体" w:hAnsi="宋体"/>
      <w:b w:val="0"/>
      <w:bCs w:val="0"/>
      <w:sz w:val="21"/>
      <w:szCs w:val="21"/>
    </w:rPr>
  </w:style>
  <w:style w:type="character" w:customStyle="1" w:styleId="268">
    <w:name w:val="ca-5"/>
    <w:qFormat/>
    <w:uiPriority w:val="0"/>
  </w:style>
  <w:style w:type="character" w:customStyle="1" w:styleId="269">
    <w:name w:val="articlebody21"/>
    <w:qFormat/>
    <w:uiPriority w:val="0"/>
    <w:rPr>
      <w:rFonts w:hint="default"/>
      <w:sz w:val="21"/>
    </w:rPr>
  </w:style>
  <w:style w:type="paragraph" w:customStyle="1" w:styleId="270">
    <w:name w:val="数字编号列项（二级）"/>
    <w:qFormat/>
    <w:uiPriority w:val="0"/>
    <w:pPr>
      <w:jc w:val="both"/>
    </w:pPr>
    <w:rPr>
      <w:rFonts w:ascii="宋体" w:hAnsi="Times New Roman" w:eastAsia="宋体" w:cs="Times New Roman"/>
      <w:sz w:val="21"/>
      <w:lang w:val="en-US" w:eastAsia="zh-CN" w:bidi="ar-SA"/>
    </w:rPr>
  </w:style>
  <w:style w:type="paragraph" w:customStyle="1" w:styleId="271">
    <w:name w:val="表文"/>
    <w:basedOn w:val="1"/>
    <w:qFormat/>
    <w:uiPriority w:val="0"/>
    <w:pPr>
      <w:topLinePunct/>
      <w:spacing w:before="40" w:after="40"/>
      <w:jc w:val="both"/>
    </w:pPr>
    <w:rPr>
      <w:sz w:val="18"/>
      <w:szCs w:val="18"/>
    </w:rPr>
  </w:style>
  <w:style w:type="paragraph" w:customStyle="1" w:styleId="272">
    <w:name w:val="五级条标题"/>
    <w:basedOn w:val="273"/>
    <w:next w:val="155"/>
    <w:qFormat/>
    <w:uiPriority w:val="0"/>
    <w:pPr>
      <w:tabs>
        <w:tab w:val="left" w:pos="1021"/>
        <w:tab w:val="left" w:pos="1155"/>
        <w:tab w:val="left" w:pos="1407"/>
        <w:tab w:val="left" w:pos="1440"/>
      </w:tabs>
      <w:outlineLvl w:val="6"/>
    </w:pPr>
  </w:style>
  <w:style w:type="paragraph" w:customStyle="1" w:styleId="273">
    <w:name w:val="四级条标题"/>
    <w:basedOn w:val="224"/>
    <w:next w:val="155"/>
    <w:qFormat/>
    <w:uiPriority w:val="0"/>
    <w:pPr>
      <w:tabs>
        <w:tab w:val="left" w:pos="1021"/>
        <w:tab w:val="left" w:pos="1155"/>
        <w:tab w:val="clear" w:pos="945"/>
        <w:tab w:val="clear" w:pos="1080"/>
      </w:tabs>
      <w:outlineLvl w:val="5"/>
    </w:pPr>
  </w:style>
  <w:style w:type="paragraph" w:customStyle="1" w:styleId="274">
    <w:name w:val="xl36"/>
    <w:basedOn w:val="1"/>
    <w:semiHidden/>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color w:val="000000"/>
      <w:kern w:val="0"/>
      <w:sz w:val="20"/>
      <w:szCs w:val="20"/>
    </w:rPr>
  </w:style>
  <w:style w:type="paragraph" w:customStyle="1" w:styleId="275">
    <w:name w:val="Char Char Char Char Char Char Char Char Char Char Char Char Char"/>
    <w:basedOn w:val="1"/>
    <w:qFormat/>
    <w:uiPriority w:val="0"/>
    <w:pPr>
      <w:jc w:val="both"/>
    </w:pPr>
    <w:rPr>
      <w:rFonts w:ascii="宋体" w:hAnsi="宋体" w:cs="宋体"/>
      <w:sz w:val="24"/>
    </w:rPr>
  </w:style>
  <w:style w:type="paragraph" w:customStyle="1" w:styleId="276">
    <w:name w:val="pa-1"/>
    <w:basedOn w:val="1"/>
    <w:qFormat/>
    <w:uiPriority w:val="0"/>
    <w:pPr>
      <w:widowControl/>
      <w:spacing w:before="100" w:beforeAutospacing="1" w:after="100" w:afterAutospacing="1"/>
    </w:pPr>
    <w:rPr>
      <w:rFonts w:ascii="宋体" w:hAnsi="宋体" w:cs="宋体"/>
      <w:kern w:val="0"/>
      <w:sz w:val="24"/>
    </w:rPr>
  </w:style>
  <w:style w:type="paragraph" w:customStyle="1" w:styleId="277">
    <w:name w:val="附录"/>
    <w:basedOn w:val="2"/>
    <w:qFormat/>
    <w:uiPriority w:val="0"/>
    <w:pPr>
      <w:topLinePunct/>
      <w:spacing w:beforeLines="0" w:afterLines="0" w:line="960" w:lineRule="auto"/>
      <w:ind w:firstLine="420" w:firstLineChars="200"/>
      <w:textAlignment w:val="baseline"/>
    </w:pPr>
    <w:rPr>
      <w:rFonts w:eastAsia="黑体"/>
      <w:b w:val="0"/>
      <w:bCs w:val="0"/>
      <w:kern w:val="2"/>
      <w:szCs w:val="28"/>
    </w:rPr>
  </w:style>
  <w:style w:type="paragraph" w:customStyle="1" w:styleId="278">
    <w:name w:val="样式5"/>
    <w:semiHidden/>
    <w:qFormat/>
    <w:uiPriority w:val="0"/>
    <w:pPr>
      <w:snapToGrid w:val="0"/>
      <w:spacing w:before="160" w:after="40"/>
      <w:jc w:val="center"/>
    </w:pPr>
    <w:rPr>
      <w:rFonts w:ascii="Times New Roman" w:hAnsi="Times New Roman" w:eastAsia="宋体" w:cs="宋体"/>
      <w:kern w:val="2"/>
      <w:sz w:val="18"/>
      <w:lang w:val="en-US" w:eastAsia="zh-CN" w:bidi="ar-SA"/>
    </w:rPr>
  </w:style>
  <w:style w:type="paragraph" w:customStyle="1" w:styleId="279">
    <w:name w:val="正文（）"/>
    <w:basedOn w:val="1"/>
    <w:qFormat/>
    <w:uiPriority w:val="0"/>
    <w:pPr>
      <w:keepNext/>
      <w:adjustRightInd w:val="0"/>
      <w:snapToGrid w:val="0"/>
      <w:spacing w:beforeLines="50" w:line="240" w:lineRule="auto"/>
      <w:ind w:firstLine="0" w:firstLineChars="0"/>
      <w:jc w:val="both"/>
    </w:pPr>
    <w:rPr>
      <w:rFonts w:eastAsia="楷体"/>
      <w:sz w:val="21"/>
    </w:rPr>
  </w:style>
  <w:style w:type="paragraph" w:customStyle="1" w:styleId="280">
    <w:name w:val="图形标题"/>
    <w:basedOn w:val="20"/>
    <w:semiHidden/>
    <w:qFormat/>
    <w:uiPriority w:val="0"/>
    <w:pPr>
      <w:spacing w:before="0" w:after="0"/>
      <w:jc w:val="center"/>
    </w:pPr>
    <w:rPr>
      <w:rFonts w:ascii="宋体" w:hAnsi="Plotter" w:eastAsia="宋体"/>
      <w:sz w:val="21"/>
    </w:rPr>
  </w:style>
  <w:style w:type="paragraph" w:customStyle="1" w:styleId="281">
    <w:name w:val="xl42"/>
    <w:basedOn w:val="1"/>
    <w:semiHidden/>
    <w:qFormat/>
    <w:uiPriority w:val="0"/>
    <w:pPr>
      <w:widowControl/>
      <w:pBdr>
        <w:left w:val="single" w:color="auto" w:sz="4" w:space="0"/>
        <w:right w:val="single" w:color="auto" w:sz="4" w:space="0"/>
      </w:pBdr>
      <w:spacing w:before="100" w:beforeAutospacing="1" w:after="100" w:afterAutospacing="1"/>
      <w:jc w:val="center"/>
      <w:textAlignment w:val="center"/>
    </w:pPr>
    <w:rPr>
      <w:color w:val="000000"/>
      <w:kern w:val="0"/>
      <w:sz w:val="16"/>
      <w:szCs w:val="16"/>
    </w:rPr>
  </w:style>
  <w:style w:type="paragraph" w:customStyle="1" w:styleId="282">
    <w:name w:val="样式2"/>
    <w:basedOn w:val="3"/>
    <w:semiHidden/>
    <w:qFormat/>
    <w:uiPriority w:val="0"/>
    <w:pPr>
      <w:tabs>
        <w:tab w:val="left" w:pos="567"/>
        <w:tab w:val="left" w:pos="850"/>
        <w:tab w:val="left" w:pos="1276"/>
      </w:tabs>
      <w:topLinePunct/>
      <w:spacing w:beforeLines="0" w:line="960" w:lineRule="auto"/>
      <w:ind w:left="851" w:firstLine="200" w:firstLineChars="200"/>
    </w:pPr>
    <w:rPr>
      <w:rFonts w:ascii="Times New Roman" w:hAnsi="Times New Roman" w:eastAsia="黑体"/>
      <w:bCs w:val="0"/>
      <w:sz w:val="36"/>
      <w:szCs w:val="36"/>
    </w:rPr>
  </w:style>
  <w:style w:type="paragraph" w:customStyle="1" w:styleId="283">
    <w:name w:val="正文表标题"/>
    <w:next w:val="155"/>
    <w:qFormat/>
    <w:uiPriority w:val="0"/>
    <w:pPr>
      <w:numPr>
        <w:ilvl w:val="0"/>
        <w:numId w:val="16"/>
      </w:numPr>
      <w:tabs>
        <w:tab w:val="left" w:pos="360"/>
      </w:tabs>
      <w:jc w:val="center"/>
    </w:pPr>
    <w:rPr>
      <w:rFonts w:ascii="黑体" w:hAnsi="Times New Roman" w:eastAsia="黑体" w:cs="Times New Roman"/>
      <w:sz w:val="21"/>
      <w:lang w:val="en-US" w:eastAsia="zh-CN" w:bidi="ar-SA"/>
    </w:rPr>
  </w:style>
  <w:style w:type="paragraph" w:customStyle="1" w:styleId="284">
    <w:name w:val="列表段落1"/>
    <w:basedOn w:val="1"/>
    <w:qFormat/>
    <w:uiPriority w:val="34"/>
    <w:pPr>
      <w:ind w:firstLine="420"/>
      <w:jc w:val="both"/>
    </w:pPr>
  </w:style>
  <w:style w:type="paragraph" w:customStyle="1" w:styleId="285">
    <w:name w:val="四级无标题条"/>
    <w:basedOn w:val="1"/>
    <w:qFormat/>
    <w:uiPriority w:val="0"/>
    <w:pPr>
      <w:numPr>
        <w:ilvl w:val="5"/>
        <w:numId w:val="17"/>
      </w:numPr>
      <w:jc w:val="both"/>
    </w:pPr>
  </w:style>
  <w:style w:type="paragraph" w:customStyle="1" w:styleId="286">
    <w:name w:val="Char Char Char Char Char Char Char"/>
    <w:basedOn w:val="1"/>
    <w:qFormat/>
    <w:uiPriority w:val="0"/>
  </w:style>
  <w:style w:type="paragraph" w:customStyle="1" w:styleId="287">
    <w:name w:val="目次、标准名称标题"/>
    <w:basedOn w:val="1"/>
    <w:next w:val="155"/>
    <w:qFormat/>
    <w:uiPriority w:val="0"/>
    <w:pPr>
      <w:widowControl/>
      <w:shd w:val="clear" w:color="FFFFFF" w:fill="FFFFFF"/>
      <w:tabs>
        <w:tab w:val="left" w:pos="1140"/>
      </w:tabs>
      <w:spacing w:before="640" w:after="560" w:line="460" w:lineRule="exact"/>
      <w:jc w:val="center"/>
      <w:outlineLvl w:val="0"/>
    </w:pPr>
    <w:rPr>
      <w:rFonts w:ascii="黑体" w:eastAsia="黑体"/>
      <w:kern w:val="0"/>
      <w:sz w:val="32"/>
      <w:szCs w:val="20"/>
    </w:rPr>
  </w:style>
  <w:style w:type="paragraph" w:customStyle="1" w:styleId="288">
    <w:name w:val="xl31"/>
    <w:basedOn w:val="1"/>
    <w:semiHidden/>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kern w:val="0"/>
      <w:sz w:val="16"/>
      <w:szCs w:val="16"/>
    </w:rPr>
  </w:style>
  <w:style w:type="paragraph" w:customStyle="1" w:styleId="289">
    <w:name w:val="样式 首行缩进:  0 厘米 行距: 单倍行距"/>
    <w:basedOn w:val="1"/>
    <w:semiHidden/>
    <w:qFormat/>
    <w:uiPriority w:val="0"/>
    <w:pPr>
      <w:adjustRightInd w:val="0"/>
      <w:jc w:val="both"/>
      <w:textAlignment w:val="baseline"/>
    </w:pPr>
    <w:rPr>
      <w:kern w:val="0"/>
      <w:szCs w:val="20"/>
    </w:rPr>
  </w:style>
  <w:style w:type="paragraph" w:customStyle="1" w:styleId="290">
    <w:name w:val="样式 标题 2 + 黑体 段前: 10.25 磅 段后: 10.25 磅 行距: 单倍行距"/>
    <w:basedOn w:val="3"/>
    <w:semiHidden/>
    <w:qFormat/>
    <w:uiPriority w:val="0"/>
    <w:pPr>
      <w:tabs>
        <w:tab w:val="left" w:pos="1276"/>
      </w:tabs>
      <w:adjustRightInd w:val="0"/>
      <w:spacing w:beforeLines="50" w:afterLines="50"/>
      <w:ind w:left="851" w:firstLine="200" w:firstLineChars="200"/>
      <w:textAlignment w:val="baseline"/>
    </w:pPr>
    <w:rPr>
      <w:rFonts w:ascii="黑体" w:hAnsi="黑体" w:eastAsia="黑体"/>
      <w:bCs w:val="0"/>
      <w:kern w:val="0"/>
      <w:sz w:val="24"/>
      <w:szCs w:val="20"/>
    </w:rPr>
  </w:style>
  <w:style w:type="paragraph" w:customStyle="1" w:styleId="291">
    <w:name w:val="二级无标题条"/>
    <w:basedOn w:val="1"/>
    <w:qFormat/>
    <w:uiPriority w:val="0"/>
    <w:pPr>
      <w:numPr>
        <w:ilvl w:val="3"/>
        <w:numId w:val="17"/>
      </w:numPr>
      <w:jc w:val="both"/>
    </w:pPr>
  </w:style>
  <w:style w:type="paragraph" w:customStyle="1" w:styleId="292">
    <w:name w:val="样式 首行缩进:  0 厘米 行距: 单倍行距 Char"/>
    <w:basedOn w:val="1"/>
    <w:qFormat/>
    <w:uiPriority w:val="0"/>
    <w:pPr>
      <w:adjustRightInd w:val="0"/>
      <w:jc w:val="both"/>
      <w:textAlignment w:val="baseline"/>
    </w:pPr>
    <w:rPr>
      <w:kern w:val="0"/>
      <w:szCs w:val="21"/>
    </w:rPr>
  </w:style>
  <w:style w:type="paragraph" w:customStyle="1" w:styleId="293">
    <w:name w:val="样式 标题 1 + 首行缩进:  2 字符 段前: 1 行 段后: 1 行"/>
    <w:basedOn w:val="2"/>
    <w:semiHidden/>
    <w:qFormat/>
    <w:uiPriority w:val="0"/>
    <w:pPr>
      <w:tabs>
        <w:tab w:val="left" w:pos="425"/>
      </w:tabs>
      <w:ind w:firstLine="200" w:firstLineChars="200"/>
      <w:jc w:val="both"/>
    </w:pPr>
    <w:rPr>
      <w:rFonts w:eastAsia="宋体"/>
      <w:bCs w:val="0"/>
      <w:szCs w:val="20"/>
    </w:rPr>
  </w:style>
  <w:style w:type="paragraph" w:customStyle="1" w:styleId="294">
    <w:name w:val="xl53"/>
    <w:basedOn w:val="1"/>
    <w:semiHidden/>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textAlignment w:val="center"/>
    </w:pPr>
    <w:rPr>
      <w:kern w:val="0"/>
      <w:sz w:val="16"/>
      <w:szCs w:val="16"/>
    </w:rPr>
  </w:style>
  <w:style w:type="paragraph" w:customStyle="1" w:styleId="295">
    <w:name w:val="样式4"/>
    <w:basedOn w:val="5"/>
    <w:semiHidden/>
    <w:qFormat/>
    <w:uiPriority w:val="0"/>
    <w:pPr>
      <w:keepNext/>
      <w:keepLines/>
      <w:widowControl w:val="0"/>
      <w:tabs>
        <w:tab w:val="left" w:pos="2976"/>
      </w:tabs>
      <w:topLinePunct/>
      <w:spacing w:before="0" w:beforeAutospacing="0" w:after="0" w:afterAutospacing="0" w:line="480" w:lineRule="auto"/>
      <w:ind w:left="2551" w:firstLine="420" w:firstLineChars="200"/>
      <w:jc w:val="both"/>
    </w:pPr>
    <w:rPr>
      <w:rFonts w:ascii="Times New Roman" w:hAnsi="Times New Roman" w:eastAsia="楷体_GB2312" w:cs="Times New Roman"/>
      <w:b w:val="0"/>
      <w:bCs w:val="0"/>
      <w:kern w:val="2"/>
      <w:szCs w:val="20"/>
    </w:rPr>
  </w:style>
  <w:style w:type="paragraph" w:customStyle="1" w:styleId="296">
    <w:name w:val="实施日期"/>
    <w:basedOn w:val="1"/>
    <w:qFormat/>
    <w:uiPriority w:val="0"/>
    <w:pPr>
      <w:framePr w:w="4000" w:h="473" w:hRule="exact" w:vSpace="180" w:wrap="around" w:vAnchor="margin" w:hAnchor="margin" w:xAlign="right" w:y="13511" w:anchorLock="1"/>
      <w:widowControl/>
      <w:jc w:val="right"/>
    </w:pPr>
    <w:rPr>
      <w:rFonts w:eastAsia="黑体"/>
      <w:kern w:val="0"/>
      <w:szCs w:val="20"/>
    </w:rPr>
  </w:style>
  <w:style w:type="paragraph" w:customStyle="1" w:styleId="297">
    <w:name w:val="xl39"/>
    <w:basedOn w:val="1"/>
    <w:semiHidden/>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kern w:val="0"/>
      <w:sz w:val="16"/>
      <w:szCs w:val="16"/>
    </w:rPr>
  </w:style>
  <w:style w:type="paragraph" w:customStyle="1" w:styleId="298">
    <w:name w:val="pa-5"/>
    <w:basedOn w:val="1"/>
    <w:qFormat/>
    <w:uiPriority w:val="0"/>
    <w:pPr>
      <w:widowControl/>
      <w:spacing w:before="100" w:beforeAutospacing="1" w:after="100" w:afterAutospacing="1"/>
    </w:pPr>
    <w:rPr>
      <w:rFonts w:ascii="宋体" w:hAnsi="宋体" w:cs="宋体"/>
      <w:kern w:val="0"/>
      <w:sz w:val="24"/>
    </w:rPr>
  </w:style>
  <w:style w:type="paragraph" w:customStyle="1" w:styleId="299">
    <w:name w:val="节小标题"/>
    <w:basedOn w:val="9"/>
    <w:semiHidden/>
    <w:qFormat/>
    <w:uiPriority w:val="0"/>
    <w:pPr>
      <w:adjustRightInd w:val="0"/>
      <w:snapToGrid w:val="0"/>
      <w:spacing w:before="100" w:after="0" w:line="300" w:lineRule="auto"/>
      <w:ind w:left="5953" w:firstLine="359" w:firstLineChars="200"/>
      <w:outlineLvl w:val="9"/>
    </w:pPr>
    <w:rPr>
      <w:rFonts w:ascii="Times New Roman" w:hAnsi="Times New Roman" w:eastAsia="仿宋_GB2312"/>
      <w:sz w:val="30"/>
      <w:szCs w:val="20"/>
    </w:rPr>
  </w:style>
  <w:style w:type="paragraph" w:customStyle="1" w:styleId="300">
    <w:name w:val="样式 Arial 首行缩进:  2 字符"/>
    <w:basedOn w:val="1"/>
    <w:qFormat/>
    <w:uiPriority w:val="0"/>
    <w:pPr>
      <w:ind w:firstLine="403"/>
      <w:jc w:val="both"/>
    </w:pPr>
    <w:rPr>
      <w:rFonts w:cs="华文新魏"/>
      <w:szCs w:val="21"/>
    </w:rPr>
  </w:style>
  <w:style w:type="paragraph" w:customStyle="1" w:styleId="301">
    <w:name w:val="pa-10"/>
    <w:basedOn w:val="1"/>
    <w:qFormat/>
    <w:uiPriority w:val="0"/>
    <w:pPr>
      <w:widowControl/>
      <w:spacing w:before="100" w:beforeAutospacing="1" w:after="100" w:afterAutospacing="1"/>
    </w:pPr>
    <w:rPr>
      <w:rFonts w:ascii="宋体" w:hAnsi="宋体" w:cs="宋体"/>
      <w:kern w:val="0"/>
      <w:sz w:val="24"/>
    </w:rPr>
  </w:style>
  <w:style w:type="paragraph" w:customStyle="1" w:styleId="302">
    <w:name w:val="xl54"/>
    <w:basedOn w:val="1"/>
    <w:semiHidden/>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kern w:val="0"/>
      <w:sz w:val="20"/>
      <w:szCs w:val="20"/>
    </w:rPr>
  </w:style>
  <w:style w:type="paragraph" w:customStyle="1" w:styleId="303">
    <w:name w:val="样式1"/>
    <w:basedOn w:val="1"/>
    <w:semiHidden/>
    <w:qFormat/>
    <w:uiPriority w:val="0"/>
    <w:pPr>
      <w:keepNext/>
      <w:keepLines/>
      <w:numPr>
        <w:ilvl w:val="3"/>
        <w:numId w:val="18"/>
      </w:numPr>
      <w:topLinePunct/>
      <w:spacing w:line="1200" w:lineRule="auto"/>
      <w:jc w:val="center"/>
      <w:outlineLvl w:val="0"/>
    </w:pPr>
    <w:rPr>
      <w:rFonts w:cs="宋体"/>
      <w:b/>
      <w:kern w:val="44"/>
      <w:sz w:val="52"/>
      <w:szCs w:val="52"/>
    </w:rPr>
  </w:style>
  <w:style w:type="paragraph" w:customStyle="1" w:styleId="304">
    <w:name w:val="xl51"/>
    <w:basedOn w:val="1"/>
    <w:semiHidden/>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textAlignment w:val="center"/>
    </w:pPr>
    <w:rPr>
      <w:kern w:val="0"/>
      <w:sz w:val="16"/>
      <w:szCs w:val="16"/>
    </w:rPr>
  </w:style>
  <w:style w:type="paragraph" w:customStyle="1" w:styleId="305">
    <w:name w:val="xl28"/>
    <w:basedOn w:val="1"/>
    <w:semiHidden/>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color w:val="000000"/>
      <w:kern w:val="0"/>
      <w:sz w:val="16"/>
      <w:szCs w:val="16"/>
    </w:rPr>
  </w:style>
  <w:style w:type="paragraph" w:customStyle="1" w:styleId="306">
    <w:name w:val="xl40"/>
    <w:basedOn w:val="1"/>
    <w:semiHidden/>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kern w:val="0"/>
      <w:sz w:val="16"/>
      <w:szCs w:val="16"/>
    </w:rPr>
  </w:style>
  <w:style w:type="paragraph" w:customStyle="1" w:styleId="307">
    <w:name w:val="前言、引言标题"/>
    <w:next w:val="1"/>
    <w:qFormat/>
    <w:uiPriority w:val="0"/>
    <w:pPr>
      <w:numPr>
        <w:ilvl w:val="0"/>
        <w:numId w:val="19"/>
      </w:numPr>
      <w:shd w:val="clear" w:color="FFFFFF" w:fill="FFFFFF"/>
      <w:spacing w:before="640" w:after="560"/>
      <w:jc w:val="center"/>
      <w:outlineLvl w:val="0"/>
    </w:pPr>
    <w:rPr>
      <w:rFonts w:ascii="黑体" w:hAnsi="Times New Roman" w:eastAsia="黑体" w:cs="Times New Roman"/>
      <w:sz w:val="32"/>
      <w:lang w:val="en-US" w:eastAsia="zh-CN" w:bidi="ar-SA"/>
    </w:rPr>
  </w:style>
  <w:style w:type="paragraph" w:customStyle="1" w:styleId="308">
    <w:name w:val="Char1"/>
    <w:basedOn w:val="24"/>
    <w:qFormat/>
    <w:uiPriority w:val="0"/>
    <w:pPr>
      <w:jc w:val="both"/>
    </w:pPr>
    <w:rPr>
      <w:rFonts w:ascii="Tahoma" w:hAnsi="Tahoma" w:eastAsia="宋体"/>
      <w:sz w:val="24"/>
    </w:rPr>
  </w:style>
  <w:style w:type="paragraph" w:customStyle="1" w:styleId="309">
    <w:name w:val="图说"/>
    <w:basedOn w:val="1"/>
    <w:semiHidden/>
    <w:qFormat/>
    <w:uiPriority w:val="0"/>
    <w:pPr>
      <w:topLinePunct/>
      <w:spacing w:before="40" w:after="160"/>
      <w:jc w:val="center"/>
    </w:pPr>
    <w:rPr>
      <w:rFonts w:cs="宋体"/>
      <w:sz w:val="18"/>
      <w:szCs w:val="20"/>
    </w:rPr>
  </w:style>
  <w:style w:type="paragraph" w:customStyle="1" w:styleId="310">
    <w:name w:val="Char Char Char Char Char Char"/>
    <w:basedOn w:val="1"/>
    <w:qFormat/>
    <w:uiPriority w:val="0"/>
    <w:pPr>
      <w:jc w:val="both"/>
    </w:pPr>
  </w:style>
  <w:style w:type="paragraph" w:customStyle="1" w:styleId="311">
    <w:name w:val="xl43"/>
    <w:basedOn w:val="1"/>
    <w:semiHidden/>
    <w:qFormat/>
    <w:uiPriority w:val="0"/>
    <w:pPr>
      <w:widowControl/>
      <w:pBdr>
        <w:left w:val="single" w:color="auto" w:sz="4" w:space="0"/>
        <w:bottom w:val="single" w:color="auto" w:sz="4" w:space="0"/>
        <w:right w:val="single" w:color="auto" w:sz="4" w:space="0"/>
      </w:pBdr>
      <w:spacing w:before="100" w:beforeAutospacing="1" w:after="100" w:afterAutospacing="1"/>
      <w:jc w:val="center"/>
      <w:textAlignment w:val="center"/>
    </w:pPr>
    <w:rPr>
      <w:color w:val="000000"/>
      <w:kern w:val="0"/>
      <w:sz w:val="16"/>
      <w:szCs w:val="16"/>
    </w:rPr>
  </w:style>
  <w:style w:type="paragraph" w:customStyle="1" w:styleId="312">
    <w:name w:val="Char3"/>
    <w:basedOn w:val="1"/>
    <w:semiHidden/>
    <w:qFormat/>
    <w:uiPriority w:val="0"/>
    <w:pPr>
      <w:jc w:val="both"/>
    </w:pPr>
    <w:rPr>
      <w:szCs w:val="20"/>
    </w:rPr>
  </w:style>
  <w:style w:type="paragraph" w:customStyle="1" w:styleId="313">
    <w:name w:val="Char2"/>
    <w:basedOn w:val="1"/>
    <w:semiHidden/>
    <w:qFormat/>
    <w:uiPriority w:val="0"/>
    <w:pPr>
      <w:jc w:val="both"/>
    </w:pPr>
  </w:style>
  <w:style w:type="paragraph" w:customStyle="1" w:styleId="314">
    <w:name w:val="样式 标题 2标题 2 Char + 宋体"/>
    <w:basedOn w:val="3"/>
    <w:qFormat/>
    <w:uiPriority w:val="0"/>
    <w:pPr>
      <w:keepNext w:val="0"/>
      <w:numPr>
        <w:ilvl w:val="1"/>
        <w:numId w:val="20"/>
      </w:numPr>
      <w:tabs>
        <w:tab w:val="left" w:pos="1320"/>
      </w:tabs>
      <w:adjustRightInd w:val="0"/>
      <w:snapToGrid w:val="0"/>
      <w:spacing w:beforeLines="0"/>
      <w:jc w:val="both"/>
    </w:pPr>
    <w:rPr>
      <w:rFonts w:ascii="宋体" w:hAnsi="Times New Roman" w:eastAsia="宋体"/>
      <w:b w:val="0"/>
      <w:bCs w:val="0"/>
      <w:sz w:val="21"/>
      <w:szCs w:val="21"/>
    </w:rPr>
  </w:style>
  <w:style w:type="paragraph" w:customStyle="1" w:styleId="315">
    <w:name w:val="Char Char Char Char Char Char Char1"/>
    <w:basedOn w:val="1"/>
    <w:qFormat/>
    <w:uiPriority w:val="0"/>
    <w:pPr>
      <w:jc w:val="both"/>
    </w:pPr>
  </w:style>
  <w:style w:type="paragraph" w:customStyle="1" w:styleId="316">
    <w:name w:val="xl33"/>
    <w:basedOn w:val="1"/>
    <w:semiHidden/>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textAlignment w:val="center"/>
    </w:pPr>
    <w:rPr>
      <w:color w:val="000000"/>
      <w:kern w:val="0"/>
      <w:sz w:val="16"/>
      <w:szCs w:val="16"/>
    </w:rPr>
  </w:style>
  <w:style w:type="paragraph" w:customStyle="1" w:styleId="317">
    <w:name w:val="xl25"/>
    <w:basedOn w:val="1"/>
    <w:semiHidden/>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16"/>
      <w:szCs w:val="16"/>
    </w:rPr>
  </w:style>
  <w:style w:type="paragraph" w:customStyle="1" w:styleId="318">
    <w:name w:val="其他标准称谓"/>
    <w:qFormat/>
    <w:uiPriority w:val="0"/>
    <w:pPr>
      <w:spacing w:line="0" w:lineRule="atLeast"/>
      <w:jc w:val="distribute"/>
    </w:pPr>
    <w:rPr>
      <w:rFonts w:ascii="黑体" w:hAnsi="宋体" w:eastAsia="黑体" w:cs="Times New Roman"/>
      <w:sz w:val="52"/>
      <w:lang w:val="en-US" w:eastAsia="zh-CN" w:bidi="ar-SA"/>
    </w:rPr>
  </w:style>
  <w:style w:type="paragraph" w:customStyle="1" w:styleId="319">
    <w:name w:val="Char Char Char Char Char Char Char Char Char Char"/>
    <w:basedOn w:val="1"/>
    <w:qFormat/>
    <w:uiPriority w:val="0"/>
    <w:pPr>
      <w:jc w:val="both"/>
    </w:pPr>
    <w:rPr>
      <w:rFonts w:ascii="Tahoma" w:hAnsi="Tahoma"/>
      <w:sz w:val="24"/>
      <w:szCs w:val="20"/>
    </w:rPr>
  </w:style>
  <w:style w:type="paragraph" w:customStyle="1" w:styleId="320">
    <w:name w:val="Char Char Char"/>
    <w:basedOn w:val="1"/>
    <w:qFormat/>
    <w:uiPriority w:val="0"/>
    <w:pPr>
      <w:jc w:val="both"/>
    </w:pPr>
  </w:style>
  <w:style w:type="paragraph" w:customStyle="1" w:styleId="321">
    <w:name w:val="样式7"/>
    <w:basedOn w:val="1"/>
    <w:qFormat/>
    <w:uiPriority w:val="0"/>
    <w:pPr>
      <w:numPr>
        <w:ilvl w:val="0"/>
        <w:numId w:val="21"/>
      </w:numPr>
      <w:tabs>
        <w:tab w:val="left" w:pos="840"/>
      </w:tabs>
      <w:jc w:val="both"/>
    </w:pPr>
  </w:style>
  <w:style w:type="paragraph" w:customStyle="1" w:styleId="322">
    <w:name w:val="xl29"/>
    <w:basedOn w:val="1"/>
    <w:qFormat/>
    <w:uiPriority w:val="0"/>
    <w:pPr>
      <w:widowControl/>
      <w:spacing w:before="100" w:beforeAutospacing="1" w:after="100" w:afterAutospacing="1"/>
      <w:jc w:val="center"/>
    </w:pPr>
    <w:rPr>
      <w:rFonts w:ascii="Univers" w:hAnsi="Univers" w:eastAsia="Arial Unicode MS" w:cs="Arial Unicode MS"/>
      <w:kern w:val="0"/>
      <w:sz w:val="20"/>
      <w:szCs w:val="20"/>
      <w:lang w:eastAsia="zh-TW"/>
    </w:rPr>
  </w:style>
  <w:style w:type="paragraph" w:customStyle="1" w:styleId="323">
    <w:name w:val="正文1"/>
    <w:basedOn w:val="303"/>
    <w:link w:val="399"/>
    <w:semiHidden/>
    <w:qFormat/>
    <w:uiPriority w:val="0"/>
    <w:pPr>
      <w:keepNext w:val="0"/>
      <w:keepLines w:val="0"/>
      <w:numPr>
        <w:ilvl w:val="0"/>
        <w:numId w:val="0"/>
      </w:numPr>
      <w:tabs>
        <w:tab w:val="left" w:pos="2160"/>
      </w:tabs>
      <w:topLinePunct w:val="0"/>
      <w:adjustRightInd w:val="0"/>
      <w:spacing w:line="490" w:lineRule="exact"/>
      <w:textAlignment w:val="baseline"/>
      <w:outlineLvl w:val="9"/>
    </w:pPr>
    <w:rPr>
      <w:rFonts w:ascii="仿宋_GB2312" w:eastAsia="仿宋_GB2312" w:cs="Times New Roman"/>
      <w:b w:val="0"/>
      <w:kern w:val="0"/>
      <w:sz w:val="34"/>
      <w:szCs w:val="20"/>
    </w:rPr>
  </w:style>
  <w:style w:type="paragraph" w:customStyle="1" w:styleId="324">
    <w:name w:val="样式 标题 5 + 右侧:  1 字符"/>
    <w:basedOn w:val="6"/>
    <w:qFormat/>
    <w:uiPriority w:val="0"/>
    <w:pPr>
      <w:adjustRightInd w:val="0"/>
      <w:ind w:left="3402" w:right="210" w:rightChars="100" w:firstLine="200" w:firstLineChars="200"/>
      <w:textAlignment w:val="baseline"/>
    </w:pPr>
    <w:rPr>
      <w:rFonts w:eastAsia="宋体" w:cs="宋体"/>
      <w:bCs w:val="0"/>
      <w:kern w:val="0"/>
      <w:szCs w:val="20"/>
    </w:rPr>
  </w:style>
  <w:style w:type="paragraph" w:customStyle="1" w:styleId="325">
    <w:name w:val="xl48"/>
    <w:basedOn w:val="1"/>
    <w:semiHidden/>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kern w:val="0"/>
      <w:sz w:val="20"/>
      <w:szCs w:val="20"/>
    </w:rPr>
  </w:style>
  <w:style w:type="paragraph" w:customStyle="1" w:styleId="326">
    <w:name w:val="xl45"/>
    <w:basedOn w:val="1"/>
    <w:semiHidden/>
    <w:qFormat/>
    <w:uiPriority w:val="0"/>
    <w:pPr>
      <w:widowControl/>
      <w:pBdr>
        <w:left w:val="single" w:color="auto" w:sz="4" w:space="0"/>
        <w:right w:val="single" w:color="auto" w:sz="4" w:space="0"/>
      </w:pBdr>
      <w:shd w:val="clear" w:color="auto" w:fill="C0C0C0"/>
      <w:spacing w:before="100" w:beforeAutospacing="1" w:after="100" w:afterAutospacing="1"/>
      <w:jc w:val="center"/>
      <w:textAlignment w:val="center"/>
    </w:pPr>
    <w:rPr>
      <w:color w:val="000000"/>
      <w:kern w:val="0"/>
      <w:sz w:val="16"/>
      <w:szCs w:val="16"/>
    </w:rPr>
  </w:style>
  <w:style w:type="paragraph" w:customStyle="1" w:styleId="327">
    <w:name w:val="封面标准名称"/>
    <w:qFormat/>
    <w:uiPriority w:val="0"/>
    <w:pPr>
      <w:framePr w:w="9638" w:h="6917" w:hRule="exact" w:wrap="around" w:vAnchor="margin" w:hAnchor="margin" w:xAlign="center" w:y="5955"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328">
    <w:name w:val="封面标准文稿编辑信息"/>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329">
    <w:name w:val="xl35"/>
    <w:basedOn w:val="1"/>
    <w:semiHidden/>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kern w:val="0"/>
      <w:sz w:val="20"/>
      <w:szCs w:val="20"/>
    </w:rPr>
  </w:style>
  <w:style w:type="paragraph" w:customStyle="1" w:styleId="330">
    <w:name w:val="前言首行"/>
    <w:basedOn w:val="1"/>
    <w:qFormat/>
    <w:uiPriority w:val="0"/>
    <w:pPr>
      <w:spacing w:after="120"/>
      <w:jc w:val="center"/>
    </w:pPr>
    <w:rPr>
      <w:rFonts w:eastAsia="黑体" w:cs="宋体"/>
      <w:b/>
      <w:bCs/>
      <w:sz w:val="32"/>
      <w:szCs w:val="20"/>
    </w:rPr>
  </w:style>
  <w:style w:type="paragraph" w:customStyle="1" w:styleId="331">
    <w:name w:val="xl37"/>
    <w:basedOn w:val="1"/>
    <w:semiHidden/>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kern w:val="0"/>
      <w:sz w:val="20"/>
      <w:szCs w:val="20"/>
    </w:rPr>
  </w:style>
  <w:style w:type="paragraph" w:customStyle="1" w:styleId="332">
    <w:name w:val="1."/>
    <w:basedOn w:val="1"/>
    <w:qFormat/>
    <w:uiPriority w:val="0"/>
    <w:pPr>
      <w:tabs>
        <w:tab w:val="left" w:pos="0"/>
        <w:tab w:val="left" w:pos="426"/>
      </w:tabs>
      <w:adjustRightInd w:val="0"/>
      <w:snapToGrid w:val="0"/>
      <w:spacing w:before="120" w:after="120" w:line="400" w:lineRule="atLeast"/>
      <w:ind w:left="425" w:hanging="425"/>
      <w:jc w:val="center"/>
      <w:textAlignment w:val="baseline"/>
    </w:pPr>
    <w:rPr>
      <w:rFonts w:ascii="Arial" w:hAnsi="Arial"/>
      <w:b/>
      <w:bCs/>
      <w:kern w:val="0"/>
      <w:sz w:val="32"/>
      <w:szCs w:val="20"/>
    </w:rPr>
  </w:style>
  <w:style w:type="paragraph" w:customStyle="1" w:styleId="333">
    <w:name w:val="默认段落字体 Para Char Char Char Char"/>
    <w:basedOn w:val="1"/>
    <w:semiHidden/>
    <w:qFormat/>
    <w:uiPriority w:val="0"/>
    <w:pPr>
      <w:jc w:val="both"/>
    </w:pPr>
    <w:rPr>
      <w:rFonts w:ascii="宋体" w:hAnsi="宋体"/>
      <w:b/>
      <w:color w:val="000000"/>
      <w:sz w:val="24"/>
    </w:rPr>
  </w:style>
  <w:style w:type="paragraph" w:customStyle="1" w:styleId="334">
    <w:name w:val="xl46"/>
    <w:basedOn w:val="1"/>
    <w:semiHidden/>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textAlignment w:val="center"/>
    </w:pPr>
    <w:rPr>
      <w:color w:val="000000"/>
      <w:kern w:val="0"/>
      <w:sz w:val="16"/>
      <w:szCs w:val="16"/>
    </w:rPr>
  </w:style>
  <w:style w:type="paragraph" w:customStyle="1" w:styleId="335">
    <w:name w:val="标准书眉一"/>
    <w:qFormat/>
    <w:uiPriority w:val="0"/>
    <w:pPr>
      <w:numPr>
        <w:ilvl w:val="0"/>
        <w:numId w:val="18"/>
      </w:numPr>
      <w:jc w:val="both"/>
    </w:pPr>
    <w:rPr>
      <w:rFonts w:ascii="Times New Roman" w:hAnsi="Times New Roman" w:eastAsia="宋体" w:cs="Times New Roman"/>
      <w:lang w:val="en-US" w:eastAsia="zh-CN" w:bidi="ar-SA"/>
    </w:rPr>
  </w:style>
  <w:style w:type="paragraph" w:customStyle="1" w:styleId="336">
    <w:name w:val="font5"/>
    <w:basedOn w:val="1"/>
    <w:semiHidden/>
    <w:qFormat/>
    <w:uiPriority w:val="0"/>
    <w:pPr>
      <w:widowControl/>
      <w:spacing w:before="100" w:beforeAutospacing="1" w:after="100" w:afterAutospacing="1"/>
    </w:pPr>
    <w:rPr>
      <w:rFonts w:hint="eastAsia" w:ascii="宋体" w:hAnsi="宋体"/>
      <w:kern w:val="0"/>
      <w:sz w:val="18"/>
      <w:szCs w:val="18"/>
    </w:rPr>
  </w:style>
  <w:style w:type="paragraph" w:customStyle="1" w:styleId="337">
    <w:name w:val="Char Char Char Char"/>
    <w:basedOn w:val="1"/>
    <w:qFormat/>
    <w:uiPriority w:val="0"/>
    <w:pPr>
      <w:jc w:val="both"/>
    </w:pPr>
  </w:style>
  <w:style w:type="paragraph" w:customStyle="1" w:styleId="338">
    <w:name w:val="Default"/>
    <w:qFormat/>
    <w:uiPriority w:val="0"/>
    <w:pPr>
      <w:widowControl w:val="0"/>
      <w:autoSpaceDE w:val="0"/>
      <w:autoSpaceDN w:val="0"/>
      <w:adjustRightInd w:val="0"/>
    </w:pPr>
    <w:rPr>
      <w:rFonts w:ascii="黑体" w:hAnsi="Calibri" w:eastAsia="黑体" w:cs="Times New Roman"/>
      <w:color w:val="000000"/>
      <w:sz w:val="24"/>
      <w:lang w:val="en-US" w:eastAsia="zh-CN" w:bidi="ar-SA"/>
    </w:rPr>
  </w:style>
  <w:style w:type="paragraph" w:customStyle="1" w:styleId="339">
    <w:name w:val="封面一致性程度标识"/>
    <w:qFormat/>
    <w:uiPriority w:val="0"/>
    <w:pPr>
      <w:spacing w:before="440" w:line="400" w:lineRule="exact"/>
      <w:jc w:val="center"/>
    </w:pPr>
    <w:rPr>
      <w:rFonts w:ascii="宋体" w:hAnsi="Times New Roman" w:eastAsia="宋体" w:cs="Times New Roman"/>
      <w:sz w:val="28"/>
      <w:lang w:val="en-US" w:eastAsia="zh-CN" w:bidi="ar-SA"/>
    </w:rPr>
  </w:style>
  <w:style w:type="paragraph" w:customStyle="1" w:styleId="340">
    <w:name w:val="封面标准文稿类别"/>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341">
    <w:name w:val="pa-9"/>
    <w:basedOn w:val="1"/>
    <w:qFormat/>
    <w:uiPriority w:val="0"/>
    <w:pPr>
      <w:widowControl/>
      <w:spacing w:before="100" w:beforeAutospacing="1" w:after="100" w:afterAutospacing="1"/>
    </w:pPr>
    <w:rPr>
      <w:rFonts w:ascii="宋体" w:hAnsi="宋体" w:cs="宋体"/>
      <w:kern w:val="0"/>
      <w:sz w:val="24"/>
    </w:rPr>
  </w:style>
  <w:style w:type="paragraph" w:customStyle="1" w:styleId="342">
    <w:name w:val="样式3"/>
    <w:basedOn w:val="4"/>
    <w:semiHidden/>
    <w:qFormat/>
    <w:uiPriority w:val="0"/>
    <w:pPr>
      <w:tabs>
        <w:tab w:val="left" w:pos="709"/>
        <w:tab w:val="left" w:pos="2126"/>
      </w:tabs>
      <w:topLinePunct/>
      <w:spacing w:before="0" w:after="0" w:line="720" w:lineRule="auto"/>
      <w:ind w:left="1701" w:firstLine="200" w:firstLineChars="200"/>
      <w:jc w:val="left"/>
    </w:pPr>
    <w:rPr>
      <w:rFonts w:ascii="Arial" w:hAnsi="Arial" w:eastAsia="黑体"/>
      <w:bCs w:val="0"/>
      <w:sz w:val="30"/>
      <w:szCs w:val="30"/>
    </w:rPr>
  </w:style>
  <w:style w:type="paragraph" w:customStyle="1" w:styleId="343">
    <w:name w:val="默认段落字体 Para Char Char Char Char Char"/>
    <w:basedOn w:val="1"/>
    <w:qFormat/>
    <w:uiPriority w:val="0"/>
    <w:pPr>
      <w:jc w:val="both"/>
    </w:pPr>
    <w:rPr>
      <w:rFonts w:ascii="宋体" w:hAnsi="宋体"/>
      <w:b/>
      <w:color w:val="000000"/>
      <w:sz w:val="24"/>
    </w:rPr>
  </w:style>
  <w:style w:type="paragraph" w:customStyle="1" w:styleId="344">
    <w:name w:val="xl52"/>
    <w:basedOn w:val="1"/>
    <w:semiHidden/>
    <w:qFormat/>
    <w:uiPriority w:val="0"/>
    <w:pPr>
      <w:widowControl/>
      <w:pBdr>
        <w:left w:val="single" w:color="auto" w:sz="4" w:space="0"/>
        <w:right w:val="single" w:color="auto" w:sz="4" w:space="0"/>
      </w:pBdr>
      <w:shd w:val="clear" w:color="auto" w:fill="C0C0C0"/>
      <w:spacing w:before="100" w:beforeAutospacing="1" w:after="100" w:afterAutospacing="1"/>
      <w:jc w:val="center"/>
      <w:textAlignment w:val="center"/>
    </w:pPr>
    <w:rPr>
      <w:kern w:val="0"/>
      <w:sz w:val="16"/>
      <w:szCs w:val="16"/>
    </w:rPr>
  </w:style>
  <w:style w:type="paragraph" w:customStyle="1" w:styleId="345">
    <w:name w:val="jl 正文"/>
    <w:basedOn w:val="1"/>
    <w:semiHidden/>
    <w:qFormat/>
    <w:uiPriority w:val="0"/>
    <w:pPr>
      <w:autoSpaceDE w:val="0"/>
      <w:autoSpaceDN w:val="0"/>
      <w:adjustRightInd w:val="0"/>
      <w:textAlignment w:val="baseline"/>
    </w:pPr>
    <w:rPr>
      <w:rFonts w:ascii="宋体"/>
      <w:kern w:val="0"/>
      <w:sz w:val="24"/>
    </w:rPr>
  </w:style>
  <w:style w:type="paragraph" w:customStyle="1" w:styleId="346">
    <w:name w:val="标题 3 + 小四 段前: 0 磅 段后: 0 磅 行距: 1.5 倍行距"/>
    <w:basedOn w:val="4"/>
    <w:next w:val="4"/>
    <w:semiHidden/>
    <w:qFormat/>
    <w:uiPriority w:val="0"/>
    <w:pPr>
      <w:tabs>
        <w:tab w:val="left" w:pos="2126"/>
      </w:tabs>
      <w:spacing w:before="0" w:after="0" w:line="360" w:lineRule="auto"/>
      <w:ind w:left="1701" w:firstLine="200" w:firstLineChars="200"/>
      <w:jc w:val="center"/>
    </w:pPr>
    <w:rPr>
      <w:rFonts w:eastAsia="黑体" w:cs="宋体"/>
      <w:b w:val="0"/>
      <w:sz w:val="24"/>
      <w:szCs w:val="20"/>
    </w:rPr>
  </w:style>
  <w:style w:type="paragraph" w:customStyle="1" w:styleId="347">
    <w:name w:val="三级无标题条"/>
    <w:basedOn w:val="1"/>
    <w:qFormat/>
    <w:uiPriority w:val="0"/>
    <w:pPr>
      <w:numPr>
        <w:ilvl w:val="4"/>
        <w:numId w:val="17"/>
      </w:numPr>
      <w:jc w:val="both"/>
    </w:pPr>
  </w:style>
  <w:style w:type="paragraph" w:customStyle="1" w:styleId="348">
    <w:name w:val="1"/>
    <w:basedOn w:val="1"/>
    <w:qFormat/>
    <w:uiPriority w:val="0"/>
    <w:pPr>
      <w:widowControl/>
      <w:spacing w:before="100" w:beforeAutospacing="1" w:after="100" w:afterAutospacing="1" w:line="330" w:lineRule="atLeast"/>
      <w:ind w:left="360"/>
    </w:pPr>
    <w:rPr>
      <w:rFonts w:ascii="ˎ̥" w:hAnsi="ˎ̥" w:cs="宋体"/>
      <w:color w:val="51585D"/>
      <w:kern w:val="0"/>
      <w:sz w:val="24"/>
      <w:szCs w:val="18"/>
    </w:rPr>
  </w:style>
  <w:style w:type="paragraph" w:customStyle="1" w:styleId="349">
    <w:name w:val="样式 样式 标题 2 + 段前: 0.5 行 段后: 0.5 行 + 首行缩进:  2 字符 段前: 0.5 行 段后: 0..."/>
    <w:basedOn w:val="1"/>
    <w:semiHidden/>
    <w:qFormat/>
    <w:uiPriority w:val="0"/>
    <w:pPr>
      <w:keepNext/>
      <w:keepLines/>
      <w:adjustRightInd w:val="0"/>
      <w:spacing w:beforeLines="50" w:afterLines="50"/>
      <w:textAlignment w:val="baseline"/>
      <w:outlineLvl w:val="1"/>
    </w:pPr>
    <w:rPr>
      <w:rFonts w:eastAsia="黑体"/>
      <w:kern w:val="0"/>
      <w:szCs w:val="20"/>
    </w:rPr>
  </w:style>
  <w:style w:type="paragraph" w:customStyle="1" w:styleId="350">
    <w:name w:val="发布日期"/>
    <w:qFormat/>
    <w:uiPriority w:val="0"/>
    <w:pPr>
      <w:framePr w:w="4000" w:h="473" w:hRule="exact" w:hSpace="180" w:vSpace="180" w:wrap="around" w:vAnchor="margin" w:hAnchor="margin" w:y="13511" w:anchorLock="1"/>
    </w:pPr>
    <w:rPr>
      <w:rFonts w:ascii="Times New Roman" w:hAnsi="Times New Roman" w:eastAsia="黑体" w:cs="Times New Roman"/>
      <w:sz w:val="28"/>
      <w:lang w:val="en-US" w:eastAsia="zh-CN" w:bidi="ar-SA"/>
    </w:rPr>
  </w:style>
  <w:style w:type="paragraph" w:customStyle="1" w:styleId="351">
    <w:name w:val="标准书脚_偶数页"/>
    <w:qFormat/>
    <w:uiPriority w:val="0"/>
    <w:pPr>
      <w:spacing w:before="120"/>
    </w:pPr>
    <w:rPr>
      <w:rFonts w:ascii="Times New Roman" w:hAnsi="Times New Roman" w:eastAsia="宋体" w:cs="Times New Roman"/>
      <w:sz w:val="18"/>
      <w:lang w:val="en-US" w:eastAsia="zh-CN" w:bidi="ar-SA"/>
    </w:rPr>
  </w:style>
  <w:style w:type="paragraph" w:customStyle="1" w:styleId="352">
    <w:name w:val="样式 标题 3 + 宋体 段前: 7.8 磅"/>
    <w:basedOn w:val="4"/>
    <w:qFormat/>
    <w:uiPriority w:val="0"/>
    <w:pPr>
      <w:keepNext w:val="0"/>
      <w:keepLines w:val="0"/>
      <w:numPr>
        <w:ilvl w:val="2"/>
        <w:numId w:val="20"/>
      </w:numPr>
      <w:tabs>
        <w:tab w:val="left" w:pos="1560"/>
      </w:tabs>
      <w:adjustRightInd w:val="0"/>
      <w:snapToGrid w:val="0"/>
      <w:spacing w:before="156" w:after="0" w:line="360" w:lineRule="auto"/>
    </w:pPr>
    <w:rPr>
      <w:rFonts w:ascii="宋体" w:hAnsi="宋体" w:cs="宋体"/>
      <w:b w:val="0"/>
      <w:bCs w:val="0"/>
      <w:sz w:val="21"/>
      <w:szCs w:val="20"/>
    </w:rPr>
  </w:style>
  <w:style w:type="paragraph" w:customStyle="1" w:styleId="353">
    <w:name w:val="xl55"/>
    <w:basedOn w:val="1"/>
    <w:semiHidden/>
    <w:qFormat/>
    <w:uiPriority w:val="0"/>
    <w:pPr>
      <w:widowControl/>
      <w:pBdr>
        <w:left w:val="single" w:color="auto" w:sz="4" w:space="0"/>
        <w:bottom w:val="single" w:color="auto" w:sz="4" w:space="0"/>
        <w:right w:val="single" w:color="auto" w:sz="4" w:space="0"/>
      </w:pBdr>
      <w:shd w:val="clear" w:color="auto" w:fill="C0C0C0"/>
      <w:spacing w:before="100" w:beforeAutospacing="1" w:after="100" w:afterAutospacing="1"/>
      <w:jc w:val="center"/>
      <w:textAlignment w:val="center"/>
    </w:pPr>
    <w:rPr>
      <w:kern w:val="0"/>
      <w:sz w:val="16"/>
      <w:szCs w:val="16"/>
    </w:rPr>
  </w:style>
  <w:style w:type="paragraph" w:customStyle="1" w:styleId="354">
    <w:name w:val="标准称谓"/>
    <w:next w:val="1"/>
    <w:qFormat/>
    <w:uiPriority w:val="0"/>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eastAsia="宋体" w:cs="Times New Roman"/>
      <w:b/>
      <w:bCs/>
      <w:spacing w:val="20"/>
      <w:w w:val="148"/>
      <w:sz w:val="52"/>
      <w:lang w:val="en-US" w:eastAsia="zh-CN" w:bidi="ar-SA"/>
    </w:rPr>
  </w:style>
  <w:style w:type="paragraph" w:customStyle="1" w:styleId="355">
    <w:name w:val="xl32"/>
    <w:basedOn w:val="1"/>
    <w:semiHidden/>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kern w:val="0"/>
      <w:sz w:val="16"/>
      <w:szCs w:val="16"/>
    </w:rPr>
  </w:style>
  <w:style w:type="paragraph" w:customStyle="1" w:styleId="356">
    <w:name w:val="xl26"/>
    <w:basedOn w:val="1"/>
    <w:semiHidden/>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textAlignment w:val="center"/>
    </w:pPr>
    <w:rPr>
      <w:kern w:val="0"/>
      <w:sz w:val="16"/>
      <w:szCs w:val="16"/>
    </w:rPr>
  </w:style>
  <w:style w:type="paragraph" w:customStyle="1" w:styleId="357">
    <w:name w:val="五级无标题条"/>
    <w:basedOn w:val="1"/>
    <w:qFormat/>
    <w:uiPriority w:val="0"/>
    <w:pPr>
      <w:numPr>
        <w:ilvl w:val="6"/>
        <w:numId w:val="17"/>
      </w:numPr>
      <w:jc w:val="both"/>
    </w:pPr>
  </w:style>
  <w:style w:type="paragraph" w:customStyle="1" w:styleId="358">
    <w:name w:val="xl41"/>
    <w:basedOn w:val="1"/>
    <w:semiHidden/>
    <w:qFormat/>
    <w:uiPriority w:val="0"/>
    <w:pPr>
      <w:widowControl/>
      <w:pBdr>
        <w:top w:val="single" w:color="auto" w:sz="4" w:space="0"/>
        <w:left w:val="single" w:color="auto" w:sz="4" w:space="0"/>
        <w:right w:val="single" w:color="auto" w:sz="4" w:space="0"/>
      </w:pBdr>
      <w:spacing w:before="100" w:beforeAutospacing="1" w:after="100" w:afterAutospacing="1"/>
      <w:jc w:val="center"/>
      <w:textAlignment w:val="center"/>
    </w:pPr>
    <w:rPr>
      <w:color w:val="000000"/>
      <w:kern w:val="0"/>
      <w:sz w:val="16"/>
      <w:szCs w:val="16"/>
    </w:rPr>
  </w:style>
  <w:style w:type="paragraph" w:customStyle="1" w:styleId="359">
    <w:name w:val="一级无标题条"/>
    <w:basedOn w:val="1"/>
    <w:qFormat/>
    <w:uiPriority w:val="0"/>
    <w:pPr>
      <w:jc w:val="both"/>
    </w:pPr>
  </w:style>
  <w:style w:type="paragraph" w:customStyle="1" w:styleId="360">
    <w:name w:val="xl50"/>
    <w:basedOn w:val="1"/>
    <w:semiHidden/>
    <w:qFormat/>
    <w:uiPriority w:val="0"/>
    <w:pPr>
      <w:widowControl/>
      <w:spacing w:before="100" w:beforeAutospacing="1" w:after="100" w:afterAutospacing="1"/>
      <w:jc w:val="center"/>
    </w:pPr>
    <w:rPr>
      <w:rFonts w:ascii="宋体" w:hAnsi="宋体"/>
      <w:kern w:val="0"/>
      <w:sz w:val="24"/>
    </w:rPr>
  </w:style>
  <w:style w:type="paragraph" w:customStyle="1" w:styleId="361">
    <w:name w:val="标准书脚_奇数页"/>
    <w:qFormat/>
    <w:uiPriority w:val="0"/>
    <w:pPr>
      <w:spacing w:before="120"/>
      <w:jc w:val="right"/>
    </w:pPr>
    <w:rPr>
      <w:rFonts w:ascii="Times New Roman" w:hAnsi="Times New Roman" w:eastAsia="宋体" w:cs="Times New Roman"/>
      <w:sz w:val="18"/>
      <w:lang w:val="en-US" w:eastAsia="zh-CN" w:bidi="ar-SA"/>
    </w:rPr>
  </w:style>
  <w:style w:type="paragraph" w:customStyle="1" w:styleId="362">
    <w:name w:val="font6"/>
    <w:basedOn w:val="1"/>
    <w:semiHidden/>
    <w:qFormat/>
    <w:uiPriority w:val="0"/>
    <w:pPr>
      <w:widowControl/>
      <w:spacing w:before="100" w:beforeAutospacing="1" w:after="100" w:afterAutospacing="1"/>
    </w:pPr>
    <w:rPr>
      <w:rFonts w:hint="eastAsia" w:ascii="宋体" w:hAnsi="宋体"/>
      <w:color w:val="000000"/>
      <w:kern w:val="0"/>
      <w:sz w:val="20"/>
      <w:szCs w:val="20"/>
    </w:rPr>
  </w:style>
  <w:style w:type="paragraph" w:customStyle="1" w:styleId="363">
    <w:name w:val="xl38"/>
    <w:basedOn w:val="1"/>
    <w:semiHidden/>
    <w:qFormat/>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jc w:val="center"/>
    </w:pPr>
    <w:rPr>
      <w:kern w:val="0"/>
      <w:sz w:val="16"/>
      <w:szCs w:val="16"/>
    </w:rPr>
  </w:style>
  <w:style w:type="paragraph" w:customStyle="1" w:styleId="364">
    <w:name w:val="font7"/>
    <w:basedOn w:val="1"/>
    <w:semiHidden/>
    <w:qFormat/>
    <w:uiPriority w:val="0"/>
    <w:pPr>
      <w:widowControl/>
      <w:spacing w:before="100" w:beforeAutospacing="1" w:after="100" w:afterAutospacing="1"/>
    </w:pPr>
    <w:rPr>
      <w:color w:val="000000"/>
      <w:kern w:val="0"/>
      <w:sz w:val="20"/>
      <w:szCs w:val="20"/>
    </w:rPr>
  </w:style>
  <w:style w:type="paragraph" w:customStyle="1" w:styleId="365">
    <w:name w:val="xl24"/>
    <w:basedOn w:val="1"/>
    <w:semiHidden/>
    <w:qFormat/>
    <w:uiPriority w:val="0"/>
    <w:pPr>
      <w:widowControl/>
      <w:pBdr>
        <w:top w:val="single" w:color="auto" w:sz="4" w:space="0"/>
        <w:left w:val="single" w:color="auto" w:sz="4" w:space="0"/>
        <w:bottom w:val="single" w:color="auto" w:sz="4" w:space="0"/>
        <w:right w:val="single" w:color="auto" w:sz="4" w:space="0"/>
      </w:pBdr>
      <w:shd w:val="clear" w:color="auto" w:fill="C0C0C0"/>
      <w:spacing w:before="100" w:beforeAutospacing="1" w:after="100" w:afterAutospacing="1"/>
      <w:jc w:val="center"/>
    </w:pPr>
    <w:rPr>
      <w:kern w:val="0"/>
      <w:sz w:val="16"/>
      <w:szCs w:val="16"/>
    </w:rPr>
  </w:style>
  <w:style w:type="paragraph" w:customStyle="1" w:styleId="366">
    <w:name w:val="xl27"/>
    <w:basedOn w:val="1"/>
    <w:semiHidden/>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pPr>
    <w:rPr>
      <w:kern w:val="0"/>
      <w:sz w:val="16"/>
      <w:szCs w:val="16"/>
    </w:rPr>
  </w:style>
  <w:style w:type="paragraph" w:customStyle="1" w:styleId="367">
    <w:name w:val="xl47"/>
    <w:basedOn w:val="1"/>
    <w:semiHidden/>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kern w:val="0"/>
      <w:sz w:val="20"/>
      <w:szCs w:val="20"/>
    </w:rPr>
  </w:style>
  <w:style w:type="paragraph" w:customStyle="1" w:styleId="368">
    <w:name w:val="font0"/>
    <w:basedOn w:val="1"/>
    <w:semiHidden/>
    <w:qFormat/>
    <w:uiPriority w:val="0"/>
    <w:pPr>
      <w:widowControl/>
      <w:spacing w:before="100" w:beforeAutospacing="1" w:after="100" w:afterAutospacing="1"/>
    </w:pPr>
    <w:rPr>
      <w:rFonts w:hint="eastAsia" w:ascii="宋体"/>
      <w:kern w:val="0"/>
      <w:sz w:val="24"/>
    </w:rPr>
  </w:style>
  <w:style w:type="paragraph" w:customStyle="1" w:styleId="369">
    <w:name w:val="xl30"/>
    <w:basedOn w:val="1"/>
    <w:semiHidden/>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kern w:val="0"/>
      <w:sz w:val="16"/>
      <w:szCs w:val="16"/>
    </w:rPr>
  </w:style>
  <w:style w:type="paragraph" w:customStyle="1" w:styleId="370">
    <w:name w:val="xl34"/>
    <w:basedOn w:val="1"/>
    <w:semiHidden/>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rFonts w:ascii="宋体" w:hAnsi="宋体"/>
      <w:color w:val="000000"/>
      <w:kern w:val="0"/>
      <w:sz w:val="20"/>
      <w:szCs w:val="20"/>
    </w:rPr>
  </w:style>
  <w:style w:type="paragraph" w:customStyle="1" w:styleId="371">
    <w:name w:val="xl49"/>
    <w:basedOn w:val="1"/>
    <w:semiHidden/>
    <w:qFormat/>
    <w:uiPriority w:val="0"/>
    <w:pPr>
      <w:widowControl/>
      <w:pBdr>
        <w:left w:val="single" w:color="auto" w:sz="4" w:space="0"/>
        <w:right w:val="single" w:color="auto" w:sz="4" w:space="0"/>
      </w:pBdr>
      <w:spacing w:before="100" w:beforeAutospacing="1" w:after="100" w:afterAutospacing="1"/>
      <w:jc w:val="center"/>
      <w:textAlignment w:val="center"/>
    </w:pPr>
    <w:rPr>
      <w:kern w:val="0"/>
      <w:sz w:val="16"/>
      <w:szCs w:val="16"/>
    </w:rPr>
  </w:style>
  <w:style w:type="paragraph" w:customStyle="1" w:styleId="372">
    <w:name w:val="xl44"/>
    <w:basedOn w:val="1"/>
    <w:semiHidden/>
    <w:qFormat/>
    <w:uiPriority w:val="0"/>
    <w:pPr>
      <w:widowControl/>
      <w:pBdr>
        <w:top w:val="single" w:color="auto" w:sz="4" w:space="0"/>
        <w:left w:val="single" w:color="auto" w:sz="4" w:space="0"/>
        <w:right w:val="single" w:color="auto" w:sz="4" w:space="0"/>
      </w:pBdr>
      <w:shd w:val="clear" w:color="auto" w:fill="C0C0C0"/>
      <w:spacing w:before="100" w:beforeAutospacing="1" w:after="100" w:afterAutospacing="1"/>
      <w:jc w:val="center"/>
      <w:textAlignment w:val="center"/>
    </w:pPr>
    <w:rPr>
      <w:color w:val="000000"/>
      <w:kern w:val="0"/>
      <w:sz w:val="16"/>
      <w:szCs w:val="16"/>
    </w:rPr>
  </w:style>
  <w:style w:type="paragraph" w:customStyle="1" w:styleId="373">
    <w:name w:val="xl56"/>
    <w:basedOn w:val="1"/>
    <w:semiHidden/>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textAlignment w:val="center"/>
    </w:pPr>
    <w:rPr>
      <w:kern w:val="0"/>
      <w:sz w:val="20"/>
      <w:szCs w:val="20"/>
    </w:rPr>
  </w:style>
  <w:style w:type="paragraph" w:customStyle="1" w:styleId="374">
    <w:name w:val="p82"/>
    <w:basedOn w:val="1"/>
    <w:semiHidden/>
    <w:qFormat/>
    <w:uiPriority w:val="0"/>
    <w:pPr>
      <w:widowControl/>
      <w:tabs>
        <w:tab w:val="left" w:pos="460"/>
      </w:tabs>
      <w:overflowPunct w:val="0"/>
      <w:autoSpaceDE w:val="0"/>
      <w:autoSpaceDN w:val="0"/>
      <w:adjustRightInd w:val="0"/>
      <w:spacing w:line="320" w:lineRule="atLeast"/>
      <w:jc w:val="both"/>
      <w:textAlignment w:val="baseline"/>
    </w:pPr>
    <w:rPr>
      <w:kern w:val="0"/>
      <w:sz w:val="24"/>
      <w:szCs w:val="20"/>
      <w:lang w:val="en-GB"/>
    </w:rPr>
  </w:style>
  <w:style w:type="paragraph" w:customStyle="1" w:styleId="375">
    <w:name w:val="其他发布部门"/>
    <w:basedOn w:val="1"/>
    <w:qFormat/>
    <w:uiPriority w:val="0"/>
    <w:pPr>
      <w:framePr w:w="7433" w:h="585" w:hRule="exact" w:hSpace="180" w:vSpace="180" w:wrap="around" w:vAnchor="margin" w:hAnchor="margin" w:xAlign="center" w:y="14401" w:anchorLock="1"/>
      <w:widowControl/>
      <w:spacing w:line="0" w:lineRule="atLeast"/>
      <w:jc w:val="center"/>
    </w:pPr>
    <w:rPr>
      <w:rFonts w:ascii="黑体" w:eastAsia="黑体"/>
      <w:spacing w:val="20"/>
      <w:w w:val="135"/>
      <w:kern w:val="0"/>
      <w:sz w:val="36"/>
      <w:szCs w:val="20"/>
    </w:rPr>
  </w:style>
  <w:style w:type="paragraph" w:customStyle="1" w:styleId="376">
    <w:name w:val="Char Char Char Char Char"/>
    <w:basedOn w:val="1"/>
    <w:qFormat/>
    <w:uiPriority w:val="0"/>
    <w:pPr>
      <w:ind w:firstLine="360" w:firstLineChars="150"/>
      <w:jc w:val="both"/>
    </w:pPr>
    <w:rPr>
      <w:rFonts w:ascii="Tahoma" w:hAnsi="Tahoma"/>
      <w:sz w:val="24"/>
      <w:szCs w:val="20"/>
    </w:rPr>
  </w:style>
  <w:style w:type="paragraph" w:customStyle="1" w:styleId="377">
    <w:name w:val="无标题条"/>
    <w:next w:val="155"/>
    <w:qFormat/>
    <w:uiPriority w:val="0"/>
    <w:pPr>
      <w:jc w:val="both"/>
    </w:pPr>
    <w:rPr>
      <w:rFonts w:ascii="Times New Roman" w:hAnsi="Times New Roman" w:eastAsia="宋体" w:cs="Times New Roman"/>
      <w:sz w:val="21"/>
      <w:lang w:val="en-US" w:eastAsia="zh-CN" w:bidi="ar-SA"/>
    </w:rPr>
  </w:style>
  <w:style w:type="paragraph" w:customStyle="1" w:styleId="378">
    <w:name w:val="pa-2"/>
    <w:basedOn w:val="1"/>
    <w:qFormat/>
    <w:uiPriority w:val="0"/>
    <w:pPr>
      <w:widowControl/>
      <w:spacing w:before="100" w:beforeAutospacing="1" w:after="100" w:afterAutospacing="1"/>
    </w:pPr>
    <w:rPr>
      <w:rFonts w:ascii="宋体" w:hAnsi="宋体" w:cs="宋体"/>
      <w:kern w:val="0"/>
      <w:sz w:val="24"/>
    </w:rPr>
  </w:style>
  <w:style w:type="paragraph" w:customStyle="1" w:styleId="379">
    <w:name w:val="Char Char Char Char Char Char Char Char Char Char Char Char"/>
    <w:basedOn w:val="1"/>
    <w:qFormat/>
    <w:uiPriority w:val="0"/>
    <w:pPr>
      <w:jc w:val="both"/>
    </w:pPr>
    <w:rPr>
      <w:rFonts w:ascii="Tahoma" w:hAnsi="Tahoma"/>
      <w:sz w:val="24"/>
      <w:szCs w:val="20"/>
    </w:rPr>
  </w:style>
  <w:style w:type="paragraph" w:customStyle="1" w:styleId="380">
    <w:name w:val="tab.txt"/>
    <w:basedOn w:val="1"/>
    <w:qFormat/>
    <w:uiPriority w:val="0"/>
    <w:pPr>
      <w:widowControl/>
    </w:pPr>
    <w:rPr>
      <w:rFonts w:ascii="Arial" w:hAnsi="Arial"/>
      <w:kern w:val="0"/>
      <w:sz w:val="18"/>
      <w:szCs w:val="20"/>
      <w:lang w:val="en-GB" w:eastAsia="fr-FR"/>
    </w:rPr>
  </w:style>
  <w:style w:type="paragraph" w:customStyle="1" w:styleId="381">
    <w:name w:val="Char Char1 Char Char Char Char Char Char Char Char Char Char Char Char Char Char Char Char Char Char Char"/>
    <w:basedOn w:val="1"/>
    <w:qFormat/>
    <w:uiPriority w:val="0"/>
    <w:pPr>
      <w:widowControl/>
    </w:pPr>
  </w:style>
  <w:style w:type="paragraph" w:customStyle="1" w:styleId="382">
    <w:name w:val="FHDI中文报告正文缩进"/>
    <w:basedOn w:val="1"/>
    <w:next w:val="1"/>
    <w:qFormat/>
    <w:uiPriority w:val="0"/>
    <w:pPr>
      <w:adjustRightInd w:val="0"/>
      <w:spacing w:line="288" w:lineRule="auto"/>
      <w:ind w:left="200" w:leftChars="200"/>
    </w:pPr>
    <w:rPr>
      <w:rFonts w:ascii="Arial" w:hAnsi="Arial"/>
      <w:szCs w:val="28"/>
    </w:rPr>
  </w:style>
  <w:style w:type="paragraph" w:customStyle="1" w:styleId="383">
    <w:name w:val="正文+楷体_GB2312"/>
    <w:basedOn w:val="1"/>
    <w:qFormat/>
    <w:uiPriority w:val="0"/>
    <w:pPr>
      <w:adjustRightInd w:val="0"/>
      <w:snapToGrid w:val="0"/>
      <w:spacing w:beforeLines="50"/>
      <w:ind w:firstLine="480"/>
      <w:jc w:val="both"/>
    </w:pPr>
    <w:rPr>
      <w:rFonts w:ascii="楷体_GB2312" w:hAnsi="宋体" w:eastAsia="楷体_GB2312"/>
      <w:sz w:val="24"/>
    </w:rPr>
  </w:style>
  <w:style w:type="paragraph" w:customStyle="1" w:styleId="384">
    <w:name w:val="P1"/>
    <w:qFormat/>
    <w:uiPriority w:val="0"/>
    <w:pPr>
      <w:widowControl w:val="0"/>
      <w:spacing w:after="240" w:line="240" w:lineRule="atLeast"/>
      <w:ind w:left="2304" w:hanging="576"/>
      <w:jc w:val="both"/>
    </w:pPr>
    <w:rPr>
      <w:rFonts w:ascii="Times New Roman" w:hAnsi="Times New Roman" w:eastAsia="全真中明體" w:cs="Times New Roman"/>
      <w:snapToGrid w:val="0"/>
      <w:spacing w:val="20"/>
      <w:sz w:val="24"/>
      <w:lang w:val="en-GB" w:eastAsia="en-US" w:bidi="ar-SA"/>
    </w:rPr>
  </w:style>
  <w:style w:type="character" w:customStyle="1" w:styleId="385">
    <w:name w:val="标题 Char1"/>
    <w:qFormat/>
    <w:uiPriority w:val="10"/>
    <w:rPr>
      <w:rFonts w:ascii="Cambria" w:hAnsi="Cambria" w:eastAsia="宋体" w:cs="Times New Roman"/>
      <w:b/>
      <w:bCs/>
      <w:sz w:val="32"/>
      <w:szCs w:val="32"/>
    </w:rPr>
  </w:style>
  <w:style w:type="character" w:customStyle="1" w:styleId="386">
    <w:name w:val="副标题 Char1"/>
    <w:qFormat/>
    <w:uiPriority w:val="11"/>
    <w:rPr>
      <w:rFonts w:ascii="Cambria" w:hAnsi="Cambria" w:eastAsia="宋体" w:cs="Times New Roman"/>
      <w:b/>
      <w:bCs/>
      <w:kern w:val="28"/>
      <w:sz w:val="32"/>
      <w:szCs w:val="32"/>
    </w:rPr>
  </w:style>
  <w:style w:type="paragraph" w:customStyle="1" w:styleId="387">
    <w:name w:val="列出段落1"/>
    <w:basedOn w:val="1"/>
    <w:qFormat/>
    <w:uiPriority w:val="34"/>
    <w:pPr>
      <w:ind w:firstLine="420"/>
      <w:jc w:val="both"/>
    </w:pPr>
  </w:style>
  <w:style w:type="paragraph" w:customStyle="1" w:styleId="388">
    <w:name w:val="Char11"/>
    <w:basedOn w:val="24"/>
    <w:uiPriority w:val="0"/>
    <w:pPr>
      <w:jc w:val="both"/>
    </w:pPr>
    <w:rPr>
      <w:rFonts w:ascii="Tahoma" w:hAnsi="Tahoma" w:eastAsia="宋体"/>
      <w:sz w:val="24"/>
    </w:rPr>
  </w:style>
  <w:style w:type="paragraph" w:customStyle="1" w:styleId="389">
    <w:name w:val="Char Char Char Char Char Char Char Char Char Char1"/>
    <w:basedOn w:val="1"/>
    <w:uiPriority w:val="0"/>
    <w:pPr>
      <w:jc w:val="both"/>
    </w:pPr>
    <w:rPr>
      <w:rFonts w:ascii="Tahoma" w:hAnsi="Tahoma"/>
      <w:sz w:val="24"/>
      <w:szCs w:val="20"/>
    </w:rPr>
  </w:style>
  <w:style w:type="paragraph" w:customStyle="1" w:styleId="390">
    <w:name w:val="Char Char Char Char1"/>
    <w:basedOn w:val="1"/>
    <w:uiPriority w:val="0"/>
    <w:pPr>
      <w:jc w:val="both"/>
    </w:pPr>
  </w:style>
  <w:style w:type="paragraph" w:customStyle="1" w:styleId="391">
    <w:name w:val="Char Char Char Char Char1"/>
    <w:basedOn w:val="1"/>
    <w:uiPriority w:val="0"/>
    <w:pPr>
      <w:ind w:firstLine="360" w:firstLineChars="150"/>
      <w:jc w:val="both"/>
    </w:pPr>
    <w:rPr>
      <w:rFonts w:ascii="Tahoma" w:hAnsi="Tahoma"/>
      <w:sz w:val="24"/>
      <w:szCs w:val="20"/>
    </w:rPr>
  </w:style>
  <w:style w:type="character" w:customStyle="1" w:styleId="392">
    <w:name w:val="标题 字符1"/>
    <w:uiPriority w:val="0"/>
    <w:rPr>
      <w:rFonts w:ascii="Cambria" w:hAnsi="Cambria"/>
      <w:b/>
      <w:bCs/>
      <w:kern w:val="2"/>
      <w:sz w:val="21"/>
      <w:szCs w:val="32"/>
    </w:rPr>
  </w:style>
  <w:style w:type="character" w:customStyle="1" w:styleId="393">
    <w:name w:val="Unresolved Mention"/>
    <w:semiHidden/>
    <w:unhideWhenUsed/>
    <w:uiPriority w:val="99"/>
    <w:rPr>
      <w:color w:val="605E5C"/>
      <w:shd w:val="clear" w:color="auto" w:fill="E1DFDD"/>
    </w:rPr>
  </w:style>
  <w:style w:type="character" w:customStyle="1" w:styleId="394">
    <w:name w:val="正文文本 字符"/>
    <w:link w:val="31"/>
    <w:qFormat/>
    <w:uiPriority w:val="0"/>
    <w:rPr>
      <w:rFonts w:eastAsia="华文仿宋"/>
      <w:kern w:val="2"/>
      <w:sz w:val="28"/>
      <w:szCs w:val="24"/>
    </w:rPr>
  </w:style>
  <w:style w:type="character" w:customStyle="1" w:styleId="395">
    <w:name w:val="正文文本首行缩进 字符"/>
    <w:basedOn w:val="394"/>
    <w:uiPriority w:val="0"/>
    <w:rPr>
      <w:rFonts w:eastAsia="华文仿宋"/>
      <w:kern w:val="2"/>
      <w:sz w:val="28"/>
      <w:szCs w:val="24"/>
    </w:rPr>
  </w:style>
  <w:style w:type="character" w:customStyle="1" w:styleId="396">
    <w:name w:val="正文文本缩进 字符"/>
    <w:link w:val="32"/>
    <w:qFormat/>
    <w:uiPriority w:val="0"/>
    <w:rPr>
      <w:rFonts w:eastAsia="华文仿宋"/>
      <w:kern w:val="2"/>
      <w:sz w:val="28"/>
      <w:szCs w:val="24"/>
    </w:rPr>
  </w:style>
  <w:style w:type="character" w:customStyle="1" w:styleId="397">
    <w:name w:val="正文文本首行缩进 2 字符"/>
    <w:basedOn w:val="396"/>
    <w:uiPriority w:val="0"/>
    <w:rPr>
      <w:rFonts w:eastAsia="华文仿宋"/>
      <w:kern w:val="2"/>
      <w:sz w:val="28"/>
      <w:szCs w:val="24"/>
    </w:rPr>
  </w:style>
  <w:style w:type="paragraph" w:styleId="398">
    <w:name w:val="List Paragraph"/>
    <w:basedOn w:val="1"/>
    <w:qFormat/>
    <w:uiPriority w:val="34"/>
    <w:pPr>
      <w:ind w:firstLine="420"/>
    </w:pPr>
  </w:style>
  <w:style w:type="character" w:customStyle="1" w:styleId="399">
    <w:name w:val="正文1 Char"/>
    <w:link w:val="323"/>
    <w:uiPriority w:val="0"/>
    <w:rPr>
      <w:rFonts w:ascii="仿宋_GB2312" w:eastAsia="仿宋_GB2312" w:cs="Times New Roman"/>
      <w:kern w:val="0"/>
      <w:sz w:val="34"/>
      <w:szCs w:val="20"/>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3" Type="http://schemas.openxmlformats.org/officeDocument/2006/relationships/fontTable" Target="fontTable.xml"/><Relationship Id="rId22" Type="http://schemas.openxmlformats.org/officeDocument/2006/relationships/customXml" Target="../customXml/item2.xml"/><Relationship Id="rId21" Type="http://schemas.openxmlformats.org/officeDocument/2006/relationships/numbering" Target="numbering.xml"/><Relationship Id="rId20" Type="http://schemas.openxmlformats.org/officeDocument/2006/relationships/customXml" Target="../customXml/item1.xml"/><Relationship Id="rId2" Type="http://schemas.openxmlformats.org/officeDocument/2006/relationships/settings" Target="settings.xml"/><Relationship Id="rId19" Type="http://schemas.openxmlformats.org/officeDocument/2006/relationships/image" Target="media/image6.png"/><Relationship Id="rId18" Type="http://schemas.openxmlformats.org/officeDocument/2006/relationships/image" Target="media/image5.png"/><Relationship Id="rId17" Type="http://schemas.openxmlformats.org/officeDocument/2006/relationships/image" Target="media/image4.png"/><Relationship Id="rId16" Type="http://schemas.openxmlformats.org/officeDocument/2006/relationships/image" Target="media/image3.png"/><Relationship Id="rId15" Type="http://schemas.openxmlformats.org/officeDocument/2006/relationships/image" Target="media/image2.png"/><Relationship Id="rId14" Type="http://schemas.openxmlformats.org/officeDocument/2006/relationships/image" Target="media/image1.png"/><Relationship Id="rId13" Type="http://schemas.openxmlformats.org/officeDocument/2006/relationships/theme" Target="theme/theme1.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CHICAGO.XSL" StyleName="Chicago" Version="15"/>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F565408-2643-499C-9328-99223FEF1193}">
  <ds:schemaRefs/>
</ds:datastoreItem>
</file>

<file path=docProps/app.xml><?xml version="1.0" encoding="utf-8"?>
<Properties xmlns="http://schemas.openxmlformats.org/officeDocument/2006/extended-properties" xmlns:vt="http://schemas.openxmlformats.org/officeDocument/2006/docPropsVTypes">
  <Template>Normal.dotm</Template>
  <Company>CITIC Archi</Company>
  <Pages>152</Pages>
  <Words>11212</Words>
  <Characters>63912</Characters>
  <Lines>532</Lines>
  <Paragraphs>149</Paragraphs>
  <TotalTime>1</TotalTime>
  <ScaleCrop>false</ScaleCrop>
  <LinksUpToDate>false</LinksUpToDate>
  <CharactersWithSpaces>74975</CharactersWithSpaces>
  <Application>WPS Office_12.1.0.15990_F1E327BC-269C-435d-A152-05C5408002CA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2024-11-13T01:25:00Z</dcterms:created>
  <dc:creator>微软用户</dc:creator>
  <cp:lastModifiedBy>永杰</cp:lastModifiedBy>
  <cp:lastPrinted>2020-06-19T09:13:00Z</cp:lastPrinted>
  <dcterms:modified xsi:type="dcterms:W3CDTF">2025-04-25T02:42:49Z</dcterms:modified>
  <dc:title>给排水材料技术要求</dc:title>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2052-12.1.0.15990</vt:lpwstr>
  </property>
  <property fmtid="{D5CDD505-2E9C-101B-9397-08002B2CF9AE}" pid="3" name="ICV">
    <vt:lpwstr>DE41031EC632480A8BD6ABD26B5B54C9_12</vt:lpwstr>
  </property>
</Properties>
</file>