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DBA54">
      <w:pPr>
        <w:spacing w:line="360" w:lineRule="auto"/>
        <w:rPr>
          <w:rFonts w:ascii="宋体" w:hAnsi="宋体" w:cs="宋体"/>
          <w:color w:val="auto"/>
          <w:highlight w:val="none"/>
        </w:rPr>
      </w:pPr>
    </w:p>
    <w:p w14:paraId="262AFDF7">
      <w:pPr>
        <w:spacing w:line="360" w:lineRule="auto"/>
        <w:rPr>
          <w:rFonts w:ascii="宋体" w:hAnsi="宋体" w:cs="宋体"/>
          <w:color w:val="auto"/>
          <w:highlight w:val="none"/>
        </w:rPr>
      </w:pPr>
    </w:p>
    <w:p w14:paraId="67CEA3B0">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番禺汽车城金轩二路B线工程检测</w:t>
      </w:r>
    </w:p>
    <w:p w14:paraId="7B72F257">
      <w:pPr>
        <w:pStyle w:val="15"/>
        <w:spacing w:after="0" w:line="600" w:lineRule="auto"/>
        <w:rPr>
          <w:rFonts w:ascii="宋体" w:hAnsi="宋体" w:cs="宋体"/>
          <w:color w:val="auto"/>
          <w:highlight w:val="none"/>
        </w:rPr>
      </w:pPr>
    </w:p>
    <w:p w14:paraId="6472B71A">
      <w:pPr>
        <w:spacing w:line="360" w:lineRule="auto"/>
        <w:rPr>
          <w:rFonts w:ascii="宋体" w:hAnsi="宋体" w:cs="宋体"/>
          <w:color w:val="auto"/>
          <w:sz w:val="36"/>
          <w:szCs w:val="36"/>
          <w:highlight w:val="none"/>
        </w:rPr>
      </w:pPr>
    </w:p>
    <w:p w14:paraId="69F330A9">
      <w:pPr>
        <w:spacing w:line="360" w:lineRule="auto"/>
        <w:rPr>
          <w:rFonts w:ascii="宋体" w:hAnsi="宋体" w:cs="宋体"/>
          <w:color w:val="auto"/>
          <w:sz w:val="36"/>
          <w:szCs w:val="36"/>
          <w:highlight w:val="none"/>
        </w:rPr>
      </w:pPr>
    </w:p>
    <w:p w14:paraId="6E76E183">
      <w:pPr>
        <w:spacing w:line="360" w:lineRule="auto"/>
        <w:rPr>
          <w:rFonts w:ascii="宋体" w:hAnsi="宋体" w:cs="宋体"/>
          <w:color w:val="auto"/>
          <w:sz w:val="36"/>
          <w:szCs w:val="36"/>
          <w:highlight w:val="none"/>
        </w:rPr>
      </w:pPr>
    </w:p>
    <w:p w14:paraId="3E222D1C">
      <w:pPr>
        <w:spacing w:line="360" w:lineRule="auto"/>
        <w:rPr>
          <w:rFonts w:ascii="宋体" w:hAnsi="宋体" w:cs="宋体"/>
          <w:color w:val="auto"/>
          <w:sz w:val="36"/>
          <w:szCs w:val="36"/>
          <w:highlight w:val="none"/>
        </w:rPr>
      </w:pPr>
    </w:p>
    <w:p w14:paraId="33432F5F">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招标文件</w:t>
      </w:r>
    </w:p>
    <w:p w14:paraId="65B0AD5A">
      <w:pPr>
        <w:spacing w:line="360" w:lineRule="auto"/>
        <w:rPr>
          <w:rFonts w:ascii="宋体" w:hAnsi="宋体" w:cs="宋体"/>
          <w:color w:val="auto"/>
          <w:sz w:val="36"/>
          <w:szCs w:val="36"/>
          <w:highlight w:val="none"/>
        </w:rPr>
      </w:pPr>
    </w:p>
    <w:p w14:paraId="5B65C285">
      <w:pPr>
        <w:spacing w:line="360" w:lineRule="auto"/>
        <w:rPr>
          <w:rFonts w:ascii="宋体" w:hAnsi="宋体" w:cs="宋体"/>
          <w:color w:val="auto"/>
          <w:sz w:val="36"/>
          <w:szCs w:val="36"/>
          <w:highlight w:val="none"/>
        </w:rPr>
      </w:pPr>
    </w:p>
    <w:p w14:paraId="36499C12">
      <w:pPr>
        <w:spacing w:line="360" w:lineRule="auto"/>
        <w:rPr>
          <w:rFonts w:ascii="宋体" w:hAnsi="宋体" w:cs="宋体"/>
          <w:color w:val="auto"/>
          <w:sz w:val="36"/>
          <w:szCs w:val="36"/>
          <w:highlight w:val="none"/>
        </w:rPr>
      </w:pPr>
    </w:p>
    <w:p w14:paraId="75838F68">
      <w:pPr>
        <w:spacing w:line="360" w:lineRule="auto"/>
        <w:rPr>
          <w:rFonts w:ascii="宋体" w:hAnsi="宋体" w:cs="宋体"/>
          <w:color w:val="auto"/>
          <w:sz w:val="36"/>
          <w:szCs w:val="36"/>
          <w:highlight w:val="none"/>
        </w:rPr>
      </w:pPr>
    </w:p>
    <w:p w14:paraId="3C334AF9">
      <w:pPr>
        <w:spacing w:line="360" w:lineRule="auto"/>
        <w:rPr>
          <w:rFonts w:ascii="宋体" w:hAnsi="宋体" w:cs="宋体"/>
          <w:color w:val="auto"/>
          <w:sz w:val="36"/>
          <w:szCs w:val="36"/>
          <w:highlight w:val="none"/>
        </w:rPr>
      </w:pPr>
    </w:p>
    <w:p w14:paraId="08C8C98F">
      <w:pPr>
        <w:spacing w:line="360" w:lineRule="auto"/>
        <w:rPr>
          <w:rFonts w:ascii="宋体" w:hAnsi="宋体" w:cs="宋体"/>
          <w:color w:val="auto"/>
          <w:sz w:val="36"/>
          <w:szCs w:val="36"/>
          <w:highlight w:val="none"/>
        </w:rPr>
      </w:pPr>
    </w:p>
    <w:p w14:paraId="7A35BE74">
      <w:pPr>
        <w:spacing w:line="360" w:lineRule="auto"/>
        <w:ind w:firstLine="964" w:firstLineChars="300"/>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招标单位：广州市番禺区基本建设投资管理中心</w:t>
      </w:r>
    </w:p>
    <w:p w14:paraId="1C66BE65">
      <w:pPr>
        <w:spacing w:line="360" w:lineRule="auto"/>
        <w:ind w:firstLine="94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招标代理单位：</w:t>
      </w:r>
      <w:r>
        <w:rPr>
          <w:rFonts w:hint="eastAsia" w:ascii="宋体" w:hAnsi="宋体" w:cs="宋体"/>
          <w:b/>
          <w:bCs/>
          <w:color w:val="auto"/>
          <w:sz w:val="32"/>
          <w:szCs w:val="32"/>
          <w:highlight w:val="none"/>
          <w:lang w:eastAsia="zh-CN"/>
        </w:rPr>
        <w:t>广东粤能工程管理有限公司</w:t>
      </w:r>
      <w:r>
        <w:rPr>
          <w:rFonts w:hint="eastAsia" w:ascii="宋体" w:hAnsi="宋体" w:cs="宋体"/>
          <w:b/>
          <w:bCs/>
          <w:color w:val="auto"/>
          <w:sz w:val="32"/>
          <w:szCs w:val="32"/>
          <w:highlight w:val="none"/>
        </w:rPr>
        <w:t xml:space="preserve"> </w:t>
      </w:r>
    </w:p>
    <w:p w14:paraId="1CDF277F">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月</w:t>
      </w:r>
    </w:p>
    <w:p w14:paraId="5B107310">
      <w:pPr>
        <w:pStyle w:val="15"/>
        <w:spacing w:after="0" w:line="360" w:lineRule="auto"/>
        <w:rPr>
          <w:rFonts w:ascii="宋体" w:hAnsi="宋体" w:cs="宋体"/>
          <w:color w:val="auto"/>
          <w:sz w:val="28"/>
          <w:highlight w:val="none"/>
        </w:rPr>
      </w:pPr>
    </w:p>
    <w:p w14:paraId="51923A82">
      <w:pPr>
        <w:pStyle w:val="15"/>
        <w:spacing w:after="0" w:line="360" w:lineRule="auto"/>
        <w:rPr>
          <w:rFonts w:ascii="宋体" w:hAnsi="宋体" w:cs="宋体"/>
          <w:color w:val="auto"/>
          <w:sz w:val="28"/>
          <w:highlight w:val="none"/>
        </w:rPr>
        <w:sectPr>
          <w:footerReference r:id="rId3" w:type="default"/>
          <w:pgSz w:w="11905" w:h="16838"/>
          <w:pgMar w:top="1417" w:right="1417" w:bottom="1417" w:left="1417" w:header="851" w:footer="850" w:gutter="0"/>
          <w:cols w:space="720" w:num="1"/>
          <w:titlePg/>
          <w:docGrid w:type="lines" w:linePitch="312" w:charSpace="0"/>
        </w:sectPr>
      </w:pPr>
    </w:p>
    <w:p w14:paraId="42FBF2A9">
      <w:pPr>
        <w:spacing w:line="360" w:lineRule="auto"/>
        <w:jc w:val="center"/>
        <w:rPr>
          <w:rFonts w:ascii="宋体" w:hAnsi="宋体" w:cs="宋体"/>
          <w:bCs/>
          <w:color w:val="auto"/>
          <w:sz w:val="52"/>
          <w:highlight w:val="none"/>
        </w:rPr>
      </w:pPr>
      <w:r>
        <w:rPr>
          <w:rFonts w:hint="eastAsia" w:ascii="宋体" w:hAnsi="宋体" w:cs="宋体"/>
          <w:bCs/>
          <w:color w:val="auto"/>
          <w:sz w:val="52"/>
          <w:highlight w:val="none"/>
        </w:rPr>
        <w:t>重要提示</w:t>
      </w:r>
    </w:p>
    <w:p w14:paraId="6D6DA7E4">
      <w:pPr>
        <w:spacing w:line="360" w:lineRule="auto"/>
        <w:ind w:firstLine="537" w:firstLineChars="224"/>
        <w:jc w:val="center"/>
        <w:rPr>
          <w:rFonts w:ascii="宋体" w:hAnsi="宋体" w:cs="宋体"/>
          <w:bCs/>
          <w:color w:val="auto"/>
          <w:sz w:val="24"/>
          <w:highlight w:val="none"/>
        </w:rPr>
      </w:pPr>
    </w:p>
    <w:p w14:paraId="18351569">
      <w:pPr>
        <w:spacing w:line="360" w:lineRule="auto"/>
        <w:ind w:firstLine="480" w:firstLineChars="200"/>
        <w:rPr>
          <w:rFonts w:ascii="宋体" w:hAnsi="宋体" w:cs="宋体"/>
          <w:color w:val="auto"/>
          <w:sz w:val="24"/>
          <w:highlight w:val="none"/>
        </w:rPr>
        <w:sectPr>
          <w:pgSz w:w="11905" w:h="16838"/>
          <w:pgMar w:top="1418" w:right="1701" w:bottom="1418" w:left="1701" w:header="851" w:footer="794" w:gutter="0"/>
          <w:pgNumType w:start="1"/>
          <w:cols w:space="720" w:num="1"/>
          <w:docGrid w:type="lines" w:linePitch="312" w:charSpace="0"/>
        </w:sectPr>
      </w:pPr>
      <w:r>
        <w:rPr>
          <w:rFonts w:hint="eastAsia" w:ascii="宋体" w:hAnsi="宋体" w:cs="宋体"/>
          <w:color w:val="auto"/>
          <w:sz w:val="24"/>
          <w:highlight w:val="none"/>
        </w:rPr>
        <w:t>本项目实施电子招投标，投标人应先认真阅读《房屋建筑和市政基础设施工程全流程电子化项目专章》。</w:t>
      </w:r>
    </w:p>
    <w:p w14:paraId="6120CEC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7545A2EB">
      <w:pPr>
        <w:pStyle w:val="13"/>
        <w:tabs>
          <w:tab w:val="right" w:leader="dot" w:pos="8503"/>
        </w:tabs>
        <w:spacing w:before="0" w:after="0" w:line="360" w:lineRule="auto"/>
        <w:rPr>
          <w:color w:val="auto"/>
          <w:highlight w:val="none"/>
        </w:rPr>
      </w:pPr>
      <w:bookmarkStart w:id="0" w:name="_Toc377719897"/>
      <w:r>
        <w:rPr>
          <w:rFonts w:hint="eastAsia" w:ascii="宋体" w:hAnsi="宋体" w:cs="宋体"/>
          <w:b w:val="0"/>
          <w:bCs w:val="0"/>
          <w:color w:val="auto"/>
          <w:kern w:val="44"/>
          <w:sz w:val="21"/>
          <w:szCs w:val="21"/>
          <w:highlight w:val="none"/>
        </w:rPr>
        <w:fldChar w:fldCharType="begin"/>
      </w:r>
      <w:r>
        <w:rPr>
          <w:rFonts w:hint="eastAsia" w:ascii="宋体" w:hAnsi="宋体" w:cs="宋体"/>
          <w:b w:val="0"/>
          <w:bCs w:val="0"/>
          <w:color w:val="auto"/>
          <w:kern w:val="44"/>
          <w:sz w:val="21"/>
          <w:szCs w:val="21"/>
          <w:highlight w:val="none"/>
        </w:rPr>
        <w:instrText xml:space="preserve">TOC \o "1-2" \h \u </w:instrText>
      </w:r>
      <w:r>
        <w:rPr>
          <w:rFonts w:hint="eastAsia" w:ascii="宋体" w:hAnsi="宋体" w:cs="宋体"/>
          <w:b w:val="0"/>
          <w:bCs w:val="0"/>
          <w:color w:val="auto"/>
          <w:kern w:val="44"/>
          <w:sz w:val="21"/>
          <w:szCs w:val="21"/>
          <w:highlight w:val="none"/>
        </w:rPr>
        <w:fldChar w:fldCharType="separate"/>
      </w:r>
      <w:r>
        <w:rPr>
          <w:color w:val="auto"/>
          <w:highlight w:val="none"/>
        </w:rPr>
        <w:fldChar w:fldCharType="begin"/>
      </w:r>
      <w:r>
        <w:rPr>
          <w:color w:val="auto"/>
          <w:highlight w:val="none"/>
        </w:rPr>
        <w:instrText xml:space="preserve"> HYPERLINK \l "_Toc3058"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_Toc3058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4A457F0">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"_Toc11430"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_Toc11430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2381F0E">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"_Toc25358" </w:instrText>
      </w:r>
      <w:r>
        <w:rPr>
          <w:color w:val="auto"/>
          <w:highlight w:val="none"/>
        </w:rPr>
        <w:fldChar w:fldCharType="separate"/>
      </w:r>
      <w:r>
        <w:rPr>
          <w:rFonts w:hint="eastAsia" w:ascii="宋体" w:hAnsi="宋体" w:cs="宋体"/>
          <w:color w:val="auto"/>
          <w:szCs w:val="36"/>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_Toc25358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1BDA4CA">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cs="宋体"/>
          <w:bCs/>
          <w:color w:val="auto"/>
          <w:kern w:val="44"/>
          <w:szCs w:val="36"/>
          <w:highlight w:val="none"/>
        </w:rPr>
        <w:t>投标人须知</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8D3FF9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"_Toc30141" </w:instrText>
      </w:r>
      <w:r>
        <w:rPr>
          <w:color w:val="auto"/>
          <w:highlight w:val="none"/>
        </w:rPr>
        <w:fldChar w:fldCharType="separate"/>
      </w:r>
      <w:r>
        <w:rPr>
          <w:rFonts w:hint="eastAsia" w:ascii="宋体" w:hAnsi="宋体" w:cs="宋体"/>
          <w:bCs/>
          <w:color w:val="auto"/>
          <w:szCs w:val="32"/>
          <w:highlight w:val="none"/>
        </w:rPr>
        <w:t>1.总则</w:t>
      </w:r>
      <w:r>
        <w:rPr>
          <w:color w:val="auto"/>
          <w:highlight w:val="none"/>
        </w:rPr>
        <w:tab/>
      </w:r>
      <w:r>
        <w:rPr>
          <w:color w:val="auto"/>
          <w:highlight w:val="none"/>
        </w:rPr>
        <w:fldChar w:fldCharType="begin"/>
      </w:r>
      <w:r>
        <w:rPr>
          <w:color w:val="auto"/>
          <w:highlight w:val="none"/>
        </w:rPr>
        <w:instrText xml:space="preserve"> PAGEREF _Toc30141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687A788">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"_Toc13966" </w:instrText>
      </w:r>
      <w:r>
        <w:rPr>
          <w:color w:val="auto"/>
          <w:highlight w:val="none"/>
        </w:rPr>
        <w:fldChar w:fldCharType="separate"/>
      </w:r>
      <w:r>
        <w:rPr>
          <w:rFonts w:hint="eastAsia" w:ascii="宋体" w:hAnsi="宋体" w:cs="宋体"/>
          <w:bCs/>
          <w:color w:val="auto"/>
          <w:szCs w:val="32"/>
          <w:highlight w:val="none"/>
        </w:rPr>
        <w:t>2.招标文件</w:t>
      </w:r>
      <w:r>
        <w:rPr>
          <w:color w:val="auto"/>
          <w:highlight w:val="none"/>
        </w:rPr>
        <w:tab/>
      </w:r>
      <w:r>
        <w:rPr>
          <w:color w:val="auto"/>
          <w:highlight w:val="none"/>
        </w:rPr>
        <w:fldChar w:fldCharType="begin"/>
      </w:r>
      <w:r>
        <w:rPr>
          <w:color w:val="auto"/>
          <w:highlight w:val="none"/>
        </w:rPr>
        <w:instrText xml:space="preserve"> PAGEREF _Toc13966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F350562">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"_Toc14013" </w:instrText>
      </w:r>
      <w:r>
        <w:rPr>
          <w:color w:val="auto"/>
          <w:highlight w:val="none"/>
        </w:rPr>
        <w:fldChar w:fldCharType="separate"/>
      </w:r>
      <w:r>
        <w:rPr>
          <w:rFonts w:hint="eastAsia" w:ascii="宋体" w:hAnsi="宋体" w:cs="宋体"/>
          <w:bCs/>
          <w:color w:val="auto"/>
          <w:szCs w:val="32"/>
          <w:highlight w:val="none"/>
        </w:rPr>
        <w:t>3.投标文件</w:t>
      </w:r>
      <w:r>
        <w:rPr>
          <w:color w:val="auto"/>
          <w:highlight w:val="none"/>
        </w:rPr>
        <w:tab/>
      </w:r>
      <w:r>
        <w:rPr>
          <w:color w:val="auto"/>
          <w:highlight w:val="none"/>
        </w:rPr>
        <w:fldChar w:fldCharType="begin"/>
      </w:r>
      <w:r>
        <w:rPr>
          <w:color w:val="auto"/>
          <w:highlight w:val="none"/>
        </w:rPr>
        <w:instrText xml:space="preserve"> PAGEREF _Toc14013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61754A1">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"_Toc3516" </w:instrText>
      </w:r>
      <w:r>
        <w:rPr>
          <w:color w:val="auto"/>
          <w:highlight w:val="none"/>
        </w:rPr>
        <w:fldChar w:fldCharType="separate"/>
      </w:r>
      <w:r>
        <w:rPr>
          <w:rFonts w:hint="eastAsia" w:ascii="宋体" w:hAnsi="宋体" w:cs="宋体"/>
          <w:bCs/>
          <w:color w:val="auto"/>
          <w:szCs w:val="32"/>
          <w:highlight w:val="none"/>
        </w:rPr>
        <w:t>4.投标</w:t>
      </w:r>
      <w:r>
        <w:rPr>
          <w:color w:val="auto"/>
          <w:highlight w:val="none"/>
        </w:rPr>
        <w:tab/>
      </w:r>
      <w:r>
        <w:rPr>
          <w:color w:val="auto"/>
          <w:highlight w:val="none"/>
        </w:rPr>
        <w:fldChar w:fldCharType="begin"/>
      </w:r>
      <w:r>
        <w:rPr>
          <w:color w:val="auto"/>
          <w:highlight w:val="none"/>
        </w:rPr>
        <w:instrText xml:space="preserve"> PAGEREF _Toc3516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EBBB9B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"_Toc25545" </w:instrText>
      </w:r>
      <w:r>
        <w:rPr>
          <w:color w:val="auto"/>
          <w:highlight w:val="none"/>
        </w:rPr>
        <w:fldChar w:fldCharType="separate"/>
      </w:r>
      <w:r>
        <w:rPr>
          <w:rFonts w:hint="eastAsia" w:ascii="宋体" w:hAnsi="宋体" w:cs="宋体"/>
          <w:bCs/>
          <w:color w:val="auto"/>
          <w:szCs w:val="32"/>
          <w:highlight w:val="none"/>
        </w:rPr>
        <w:t>5.开标</w:t>
      </w:r>
      <w:r>
        <w:rPr>
          <w:color w:val="auto"/>
          <w:highlight w:val="none"/>
        </w:rPr>
        <w:tab/>
      </w:r>
      <w:r>
        <w:rPr>
          <w:color w:val="auto"/>
          <w:highlight w:val="none"/>
        </w:rPr>
        <w:fldChar w:fldCharType="begin"/>
      </w:r>
      <w:r>
        <w:rPr>
          <w:color w:val="auto"/>
          <w:highlight w:val="none"/>
        </w:rPr>
        <w:instrText xml:space="preserve"> PAGEREF _Toc25545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DD30A8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"_Toc27507" </w:instrText>
      </w:r>
      <w:r>
        <w:rPr>
          <w:color w:val="auto"/>
          <w:highlight w:val="none"/>
        </w:rPr>
        <w:fldChar w:fldCharType="separate"/>
      </w:r>
      <w:r>
        <w:rPr>
          <w:rFonts w:hint="eastAsia" w:ascii="宋体" w:hAnsi="宋体" w:cs="宋体"/>
          <w:bCs/>
          <w:color w:val="auto"/>
          <w:szCs w:val="32"/>
          <w:highlight w:val="none"/>
        </w:rPr>
        <w:t>6.评标</w:t>
      </w:r>
      <w:r>
        <w:rPr>
          <w:color w:val="auto"/>
          <w:highlight w:val="none"/>
        </w:rPr>
        <w:tab/>
      </w:r>
      <w:r>
        <w:rPr>
          <w:color w:val="auto"/>
          <w:highlight w:val="none"/>
        </w:rPr>
        <w:fldChar w:fldCharType="begin"/>
      </w:r>
      <w:r>
        <w:rPr>
          <w:color w:val="auto"/>
          <w:highlight w:val="none"/>
        </w:rPr>
        <w:instrText xml:space="preserve"> PAGEREF _Toc27507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9E2AD3B">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"_Toc9775" </w:instrText>
      </w:r>
      <w:r>
        <w:rPr>
          <w:color w:val="auto"/>
          <w:highlight w:val="none"/>
        </w:rPr>
        <w:fldChar w:fldCharType="separate"/>
      </w:r>
      <w:r>
        <w:rPr>
          <w:rFonts w:hint="eastAsia" w:ascii="宋体" w:hAnsi="宋体" w:cs="宋体"/>
          <w:bCs/>
          <w:color w:val="auto"/>
          <w:szCs w:val="32"/>
          <w:highlight w:val="none"/>
        </w:rPr>
        <w:t>7.合同授予</w:t>
      </w:r>
      <w:r>
        <w:rPr>
          <w:color w:val="auto"/>
          <w:highlight w:val="none"/>
        </w:rPr>
        <w:tab/>
      </w:r>
      <w:r>
        <w:rPr>
          <w:color w:val="auto"/>
          <w:highlight w:val="none"/>
        </w:rPr>
        <w:fldChar w:fldCharType="begin"/>
      </w:r>
      <w:r>
        <w:rPr>
          <w:color w:val="auto"/>
          <w:highlight w:val="none"/>
        </w:rPr>
        <w:instrText xml:space="preserve"> PAGEREF _Toc9775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C213D26">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"_Toc29502" </w:instrText>
      </w:r>
      <w:r>
        <w:rPr>
          <w:color w:val="auto"/>
          <w:highlight w:val="none"/>
        </w:rPr>
        <w:fldChar w:fldCharType="separate"/>
      </w:r>
      <w:r>
        <w:rPr>
          <w:rFonts w:hint="eastAsia" w:ascii="宋体" w:hAnsi="宋体" w:cs="宋体"/>
          <w:bCs/>
          <w:color w:val="auto"/>
          <w:szCs w:val="32"/>
          <w:highlight w:val="none"/>
        </w:rPr>
        <w:t>8.纪律和监督</w:t>
      </w:r>
      <w:r>
        <w:rPr>
          <w:color w:val="auto"/>
          <w:highlight w:val="none"/>
        </w:rPr>
        <w:tab/>
      </w:r>
      <w:r>
        <w:rPr>
          <w:color w:val="auto"/>
          <w:highlight w:val="none"/>
        </w:rPr>
        <w:fldChar w:fldCharType="begin"/>
      </w:r>
      <w:r>
        <w:rPr>
          <w:color w:val="auto"/>
          <w:highlight w:val="none"/>
        </w:rPr>
        <w:instrText xml:space="preserve"> PAGEREF _Toc29502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3E6226E">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"_Toc31993" </w:instrText>
      </w:r>
      <w:r>
        <w:rPr>
          <w:color w:val="auto"/>
          <w:highlight w:val="none"/>
        </w:rPr>
        <w:fldChar w:fldCharType="separate"/>
      </w:r>
      <w:r>
        <w:rPr>
          <w:rFonts w:hint="eastAsia" w:ascii="宋体" w:hAnsi="宋体" w:cs="宋体"/>
          <w:bCs/>
          <w:color w:val="auto"/>
          <w:szCs w:val="32"/>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_Toc31993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9DD834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"_Toc4862" </w:instrText>
      </w:r>
      <w:r>
        <w:rPr>
          <w:color w:val="auto"/>
          <w:highlight w:val="none"/>
        </w:rPr>
        <w:fldChar w:fldCharType="separate"/>
      </w:r>
      <w:r>
        <w:rPr>
          <w:rFonts w:hint="eastAsia" w:ascii="宋体" w:hAnsi="宋体" w:cs="宋体"/>
          <w:bCs/>
          <w:color w:val="auto"/>
          <w:szCs w:val="32"/>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_Toc4862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21FAED0">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"_Toc25981" </w:instrText>
      </w:r>
      <w:r>
        <w:rPr>
          <w:color w:val="auto"/>
          <w:highlight w:val="none"/>
        </w:rPr>
        <w:fldChar w:fldCharType="separate"/>
      </w:r>
      <w:r>
        <w:rPr>
          <w:rFonts w:hint="eastAsia" w:ascii="宋体" w:hAnsi="宋体" w:cs="宋体"/>
          <w:color w:val="auto"/>
          <w:highlight w:val="none"/>
        </w:rPr>
        <w:t>第三章  评标办法（综合评分法）</w:t>
      </w:r>
      <w:r>
        <w:rPr>
          <w:color w:val="auto"/>
          <w:highlight w:val="none"/>
        </w:rPr>
        <w:tab/>
      </w:r>
      <w:r>
        <w:rPr>
          <w:color w:val="auto"/>
          <w:highlight w:val="none"/>
        </w:rPr>
        <w:fldChar w:fldCharType="begin"/>
      </w:r>
      <w:r>
        <w:rPr>
          <w:color w:val="auto"/>
          <w:highlight w:val="none"/>
        </w:rPr>
        <w:instrText xml:space="preserve"> PAGEREF _Toc25981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6FB77E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"_Toc26053" </w:instrText>
      </w:r>
      <w:r>
        <w:rPr>
          <w:color w:val="auto"/>
          <w:highlight w:val="none"/>
        </w:rPr>
        <w:fldChar w:fldCharType="separate"/>
      </w:r>
      <w:r>
        <w:rPr>
          <w:rFonts w:hint="eastAsia" w:ascii="宋体" w:hAnsi="宋体" w:cs="宋体"/>
          <w:color w:val="auto"/>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_Toc26053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53E590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"_Toc7506" </w:instrText>
      </w:r>
      <w:r>
        <w:rPr>
          <w:color w:val="auto"/>
          <w:highlight w:val="none"/>
        </w:rPr>
        <w:fldChar w:fldCharType="separate"/>
      </w:r>
      <w:r>
        <w:rPr>
          <w:rFonts w:hint="eastAsia" w:ascii="宋体" w:hAnsi="宋体" w:cs="宋体"/>
          <w:color w:val="auto"/>
          <w:szCs w:val="36"/>
          <w:highlight w:val="none"/>
        </w:rPr>
        <w:t>评标方法</w:t>
      </w:r>
      <w:r>
        <w:rPr>
          <w:color w:val="auto"/>
          <w:highlight w:val="none"/>
        </w:rPr>
        <w:tab/>
      </w:r>
      <w:r>
        <w:rPr>
          <w:color w:val="auto"/>
          <w:highlight w:val="none"/>
        </w:rPr>
        <w:fldChar w:fldCharType="begin"/>
      </w:r>
      <w:r>
        <w:rPr>
          <w:color w:val="auto"/>
          <w:highlight w:val="none"/>
        </w:rPr>
        <w:instrText xml:space="preserve"> PAGEREF _Toc7506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786FFE1">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"_Toc11888" </w:instrText>
      </w:r>
      <w:r>
        <w:rPr>
          <w:color w:val="auto"/>
          <w:highlight w:val="none"/>
        </w:rPr>
        <w:fldChar w:fldCharType="separate"/>
      </w:r>
      <w:r>
        <w:rPr>
          <w:rFonts w:hint="eastAsia" w:ascii="宋体" w:hAnsi="宋体" w:cs="宋体"/>
          <w:bCs/>
          <w:color w:val="auto"/>
          <w:szCs w:val="32"/>
          <w:highlight w:val="none"/>
        </w:rPr>
        <w:t>1.评标方法</w:t>
      </w:r>
      <w:r>
        <w:rPr>
          <w:color w:val="auto"/>
          <w:highlight w:val="none"/>
        </w:rPr>
        <w:tab/>
      </w:r>
      <w:r>
        <w:rPr>
          <w:color w:val="auto"/>
          <w:highlight w:val="none"/>
        </w:rPr>
        <w:fldChar w:fldCharType="begin"/>
      </w:r>
      <w:r>
        <w:rPr>
          <w:color w:val="auto"/>
          <w:highlight w:val="none"/>
        </w:rPr>
        <w:instrText xml:space="preserve"> PAGEREF _Toc11888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868232D">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"_Toc28918" </w:instrText>
      </w:r>
      <w:r>
        <w:rPr>
          <w:color w:val="auto"/>
          <w:highlight w:val="none"/>
        </w:rPr>
        <w:fldChar w:fldCharType="separate"/>
      </w:r>
      <w:r>
        <w:rPr>
          <w:rFonts w:hint="eastAsia" w:ascii="宋体" w:hAnsi="宋体" w:cs="宋体"/>
          <w:bCs/>
          <w:color w:val="auto"/>
          <w:szCs w:val="32"/>
          <w:highlight w:val="none"/>
        </w:rPr>
        <w:t>2.评审标准</w:t>
      </w:r>
      <w:r>
        <w:rPr>
          <w:color w:val="auto"/>
          <w:highlight w:val="none"/>
        </w:rPr>
        <w:tab/>
      </w:r>
      <w:r>
        <w:rPr>
          <w:color w:val="auto"/>
          <w:highlight w:val="none"/>
        </w:rPr>
        <w:fldChar w:fldCharType="begin"/>
      </w:r>
      <w:r>
        <w:rPr>
          <w:color w:val="auto"/>
          <w:highlight w:val="none"/>
        </w:rPr>
        <w:instrText xml:space="preserve"> PAGEREF _Toc28918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0E17A7F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"_Toc12342" </w:instrText>
      </w:r>
      <w:r>
        <w:rPr>
          <w:color w:val="auto"/>
          <w:highlight w:val="none"/>
        </w:rPr>
        <w:fldChar w:fldCharType="separate"/>
      </w:r>
      <w:r>
        <w:rPr>
          <w:rFonts w:hint="eastAsia" w:ascii="宋体" w:hAnsi="宋体" w:cs="宋体"/>
          <w:bCs/>
          <w:color w:val="auto"/>
          <w:szCs w:val="32"/>
          <w:highlight w:val="none"/>
        </w:rPr>
        <w:t>3. 评标程序</w:t>
      </w:r>
      <w:r>
        <w:rPr>
          <w:color w:val="auto"/>
          <w:highlight w:val="none"/>
        </w:rPr>
        <w:tab/>
      </w:r>
      <w:r>
        <w:rPr>
          <w:color w:val="auto"/>
          <w:highlight w:val="none"/>
        </w:rPr>
        <w:fldChar w:fldCharType="begin"/>
      </w:r>
      <w:r>
        <w:rPr>
          <w:color w:val="auto"/>
          <w:highlight w:val="none"/>
        </w:rPr>
        <w:instrText xml:space="preserve"> PAGEREF _Toc12342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C9B43DD">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"_Toc25775" </w:instrText>
      </w:r>
      <w:r>
        <w:rPr>
          <w:color w:val="auto"/>
          <w:highlight w:val="none"/>
        </w:rPr>
        <w:fldChar w:fldCharType="separate"/>
      </w:r>
      <w:r>
        <w:rPr>
          <w:rFonts w:hint="eastAsia" w:ascii="宋体" w:hAnsi="宋体" w:cs="宋体"/>
          <w:color w:val="auto"/>
          <w:szCs w:val="44"/>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_Toc25775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826428D">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"_Toc7302" </w:instrText>
      </w:r>
      <w:r>
        <w:rPr>
          <w:color w:val="auto"/>
          <w:highlight w:val="none"/>
        </w:rPr>
        <w:fldChar w:fldCharType="separate"/>
      </w:r>
      <w:r>
        <w:rPr>
          <w:rFonts w:hint="eastAsia" w:ascii="宋体" w:hAnsi="宋体" w:cs="宋体"/>
          <w:color w:val="auto"/>
          <w:szCs w:val="32"/>
          <w:highlight w:val="none"/>
        </w:rPr>
        <w:t>（另册）</w:t>
      </w:r>
      <w:r>
        <w:rPr>
          <w:rFonts w:hint="eastAsia" w:ascii="宋体" w:hAnsi="宋体" w:cs="宋体"/>
          <w:color w:val="auto"/>
          <w:szCs w:val="44"/>
          <w:highlight w:val="none"/>
        </w:rPr>
        <w:t>第五章  招标人要求</w:t>
      </w:r>
      <w:r>
        <w:rPr>
          <w:color w:val="auto"/>
          <w:highlight w:val="none"/>
        </w:rPr>
        <w:tab/>
      </w:r>
      <w:r>
        <w:rPr>
          <w:color w:val="auto"/>
          <w:highlight w:val="none"/>
        </w:rPr>
        <w:fldChar w:fldCharType="begin"/>
      </w:r>
      <w:r>
        <w:rPr>
          <w:color w:val="auto"/>
          <w:highlight w:val="none"/>
        </w:rPr>
        <w:instrText xml:space="preserve"> PAGEREF _Toc7302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4C4F692">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"_Toc12654" </w:instrText>
      </w:r>
      <w:r>
        <w:rPr>
          <w:color w:val="auto"/>
          <w:highlight w:val="none"/>
        </w:rPr>
        <w:fldChar w:fldCharType="separate"/>
      </w:r>
      <w:r>
        <w:rPr>
          <w:rFonts w:hint="eastAsia" w:ascii="宋体" w:hAnsi="宋体" w:cs="宋体"/>
          <w:bCs w:val="0"/>
          <w:color w:val="auto"/>
          <w:szCs w:val="44"/>
          <w:highlight w:val="none"/>
        </w:rPr>
        <w:t xml:space="preserve">第六章 </w:t>
      </w:r>
      <w:r>
        <w:rPr>
          <w:rFonts w:hint="eastAsia" w:ascii="宋体" w:hAnsi="宋体" w:cs="宋体"/>
          <w:color w:val="auto"/>
          <w:szCs w:val="44"/>
          <w:highlight w:val="none"/>
        </w:rPr>
        <w:t>工程量清单</w:t>
      </w:r>
      <w:r>
        <w:rPr>
          <w:color w:val="auto"/>
          <w:highlight w:val="none"/>
        </w:rPr>
        <w:tab/>
      </w:r>
      <w:r>
        <w:rPr>
          <w:color w:val="auto"/>
          <w:highlight w:val="none"/>
        </w:rPr>
        <w:fldChar w:fldCharType="begin"/>
      </w:r>
      <w:r>
        <w:rPr>
          <w:color w:val="auto"/>
          <w:highlight w:val="none"/>
        </w:rPr>
        <w:instrText xml:space="preserve"> PAGEREF _Toc12654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1F0D0AF">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"_Toc18657" </w:instrText>
      </w:r>
      <w:r>
        <w:rPr>
          <w:color w:val="auto"/>
          <w:highlight w:val="none"/>
        </w:rPr>
        <w:fldChar w:fldCharType="separate"/>
      </w:r>
      <w:r>
        <w:rPr>
          <w:rFonts w:hint="eastAsia" w:ascii="宋体" w:hAnsi="宋体" w:cs="宋体"/>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_Toc18657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A27B490">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"_Toc7606" </w:instrText>
      </w:r>
      <w:r>
        <w:rPr>
          <w:color w:val="auto"/>
          <w:highlight w:val="none"/>
        </w:rPr>
        <w:fldChar w:fldCharType="separate"/>
      </w:r>
      <w:r>
        <w:rPr>
          <w:rFonts w:hint="eastAsia" w:ascii="宋体" w:hAnsi="宋体" w:cs="宋体"/>
          <w:color w:val="auto"/>
          <w:highlight w:val="none"/>
        </w:rPr>
        <w:t>一、</w:t>
      </w:r>
      <w:r>
        <w:rPr>
          <w:rFonts w:hint="eastAsia" w:ascii="宋体" w:hAnsi="宋体" w:cs="宋体"/>
          <w:bCs/>
          <w:color w:val="auto"/>
          <w:szCs w:val="32"/>
          <w:highlight w:val="none"/>
        </w:rPr>
        <w:t>投标函及投标函附录</w:t>
      </w:r>
      <w:r>
        <w:rPr>
          <w:color w:val="auto"/>
          <w:highlight w:val="none"/>
        </w:rPr>
        <w:tab/>
      </w:r>
      <w:r>
        <w:rPr>
          <w:color w:val="auto"/>
          <w:highlight w:val="none"/>
        </w:rPr>
        <w:fldChar w:fldCharType="begin"/>
      </w:r>
      <w:r>
        <w:rPr>
          <w:color w:val="auto"/>
          <w:highlight w:val="none"/>
        </w:rPr>
        <w:instrText xml:space="preserve"> PAGEREF _Toc7606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32C99E5">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"_Toc13471" </w:instrText>
      </w:r>
      <w:r>
        <w:rPr>
          <w:color w:val="auto"/>
          <w:highlight w:val="none"/>
        </w:rPr>
        <w:fldChar w:fldCharType="separate"/>
      </w:r>
      <w:r>
        <w:rPr>
          <w:rFonts w:hint="eastAsia" w:ascii="宋体" w:hAnsi="宋体" w:cs="宋体"/>
          <w:bCs/>
          <w:color w:val="auto"/>
          <w:szCs w:val="32"/>
          <w:highlight w:val="none"/>
        </w:rPr>
        <w:t>二、法定代表人证明书及授权委托书</w:t>
      </w:r>
      <w:r>
        <w:rPr>
          <w:color w:val="auto"/>
          <w:highlight w:val="none"/>
        </w:rPr>
        <w:tab/>
      </w:r>
      <w:r>
        <w:rPr>
          <w:color w:val="auto"/>
          <w:highlight w:val="none"/>
        </w:rPr>
        <w:fldChar w:fldCharType="begin"/>
      </w:r>
      <w:r>
        <w:rPr>
          <w:color w:val="auto"/>
          <w:highlight w:val="none"/>
        </w:rPr>
        <w:instrText xml:space="preserve"> PAGEREF _Toc13471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6A09CAB">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"_Toc15064" </w:instrText>
      </w:r>
      <w:r>
        <w:rPr>
          <w:color w:val="auto"/>
          <w:highlight w:val="none"/>
        </w:rPr>
        <w:fldChar w:fldCharType="separate"/>
      </w:r>
      <w:r>
        <w:rPr>
          <w:rFonts w:hint="eastAsia" w:ascii="宋体" w:hAnsi="宋体" w:cs="宋体"/>
          <w:bCs/>
          <w:color w:val="auto"/>
          <w:szCs w:val="32"/>
          <w:highlight w:val="none"/>
        </w:rPr>
        <w:t>三、关于投标保证金的承诺</w:t>
      </w:r>
      <w:r>
        <w:rPr>
          <w:color w:val="auto"/>
          <w:highlight w:val="none"/>
        </w:rPr>
        <w:tab/>
      </w:r>
      <w:r>
        <w:rPr>
          <w:color w:val="auto"/>
          <w:highlight w:val="none"/>
        </w:rPr>
        <w:fldChar w:fldCharType="begin"/>
      </w:r>
      <w:r>
        <w:rPr>
          <w:color w:val="auto"/>
          <w:highlight w:val="none"/>
        </w:rPr>
        <w:instrText xml:space="preserve"> PAGEREF _Toc15064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B72CC9C">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"_Toc26045" </w:instrText>
      </w:r>
      <w:r>
        <w:rPr>
          <w:color w:val="auto"/>
          <w:highlight w:val="none"/>
        </w:rPr>
        <w:fldChar w:fldCharType="separate"/>
      </w:r>
      <w:r>
        <w:rPr>
          <w:rFonts w:hint="eastAsia" w:ascii="宋体" w:hAnsi="宋体" w:cs="宋体"/>
          <w:bCs/>
          <w:color w:val="auto"/>
          <w:szCs w:val="32"/>
          <w:highlight w:val="none"/>
        </w:rPr>
        <w:t>四、联合体协议书（如有）</w:t>
      </w:r>
      <w:r>
        <w:rPr>
          <w:color w:val="auto"/>
          <w:highlight w:val="none"/>
        </w:rPr>
        <w:tab/>
      </w:r>
      <w:r>
        <w:rPr>
          <w:color w:val="auto"/>
          <w:highlight w:val="none"/>
        </w:rPr>
        <w:fldChar w:fldCharType="begin"/>
      </w:r>
      <w:r>
        <w:rPr>
          <w:color w:val="auto"/>
          <w:highlight w:val="none"/>
        </w:rPr>
        <w:instrText xml:space="preserve"> PAGEREF _Toc26045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C087AC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"_Toc4362" </w:instrText>
      </w:r>
      <w:r>
        <w:rPr>
          <w:color w:val="auto"/>
          <w:highlight w:val="none"/>
        </w:rPr>
        <w:fldChar w:fldCharType="separate"/>
      </w:r>
      <w:r>
        <w:rPr>
          <w:rFonts w:hint="eastAsia" w:ascii="宋体" w:hAnsi="宋体" w:cs="宋体"/>
          <w:bCs/>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_Toc4362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E57A63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"_Toc7456" </w:instrText>
      </w:r>
      <w:r>
        <w:rPr>
          <w:color w:val="auto"/>
          <w:highlight w:val="none"/>
        </w:rPr>
        <w:fldChar w:fldCharType="separate"/>
      </w:r>
      <w:r>
        <w:rPr>
          <w:rFonts w:hint="eastAsia" w:ascii="宋体" w:hAnsi="宋体" w:cs="宋体"/>
          <w:bCs/>
          <w:color w:val="auto"/>
          <w:szCs w:val="32"/>
          <w:highlight w:val="none"/>
        </w:rPr>
        <w:t>六、类似项目业绩表</w:t>
      </w:r>
      <w:r>
        <w:rPr>
          <w:color w:val="auto"/>
          <w:highlight w:val="none"/>
        </w:rPr>
        <w:tab/>
      </w:r>
      <w:r>
        <w:rPr>
          <w:color w:val="auto"/>
          <w:highlight w:val="none"/>
        </w:rPr>
        <w:fldChar w:fldCharType="begin"/>
      </w:r>
      <w:r>
        <w:rPr>
          <w:color w:val="auto"/>
          <w:highlight w:val="none"/>
        </w:rPr>
        <w:instrText xml:space="preserve"> PAGEREF _Toc7456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82033D5">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"_Toc22808" </w:instrText>
      </w:r>
      <w:r>
        <w:rPr>
          <w:color w:val="auto"/>
          <w:highlight w:val="none"/>
        </w:rPr>
        <w:fldChar w:fldCharType="separate"/>
      </w:r>
      <w:r>
        <w:rPr>
          <w:rFonts w:hint="eastAsia" w:ascii="宋体" w:hAnsi="宋体" w:cs="宋体"/>
          <w:color w:val="auto"/>
          <w:highlight w:val="none"/>
        </w:rPr>
        <w:t>七、拟投入本项目的人员一览表</w:t>
      </w:r>
      <w:r>
        <w:rPr>
          <w:color w:val="auto"/>
          <w:highlight w:val="none"/>
        </w:rPr>
        <w:tab/>
      </w:r>
      <w:r>
        <w:rPr>
          <w:color w:val="auto"/>
          <w:highlight w:val="none"/>
        </w:rPr>
        <w:fldChar w:fldCharType="begin"/>
      </w:r>
      <w:r>
        <w:rPr>
          <w:color w:val="auto"/>
          <w:highlight w:val="none"/>
        </w:rPr>
        <w:instrText xml:space="preserve"> PAGEREF _Toc22808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23517F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"_Toc9717" </w:instrText>
      </w:r>
      <w:r>
        <w:rPr>
          <w:color w:val="auto"/>
          <w:highlight w:val="none"/>
        </w:rPr>
        <w:fldChar w:fldCharType="separate"/>
      </w:r>
      <w:r>
        <w:rPr>
          <w:rFonts w:hint="eastAsia" w:ascii="宋体" w:hAnsi="宋体" w:cs="宋体"/>
          <w:color w:val="auto"/>
          <w:highlight w:val="none"/>
        </w:rPr>
        <w:t>八、拟投入本项目的人员简历表</w:t>
      </w:r>
      <w:r>
        <w:rPr>
          <w:color w:val="auto"/>
          <w:highlight w:val="none"/>
        </w:rPr>
        <w:tab/>
      </w:r>
      <w:r>
        <w:rPr>
          <w:color w:val="auto"/>
          <w:highlight w:val="none"/>
        </w:rPr>
        <w:fldChar w:fldCharType="begin"/>
      </w:r>
      <w:r>
        <w:rPr>
          <w:color w:val="auto"/>
          <w:highlight w:val="none"/>
        </w:rPr>
        <w:instrText xml:space="preserve"> PAGEREF _Toc9717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247E74A">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"_Toc6338" </w:instrText>
      </w:r>
      <w:r>
        <w:rPr>
          <w:color w:val="auto"/>
          <w:highlight w:val="none"/>
        </w:rPr>
        <w:fldChar w:fldCharType="separate"/>
      </w:r>
      <w:r>
        <w:rPr>
          <w:rFonts w:hint="eastAsia" w:ascii="宋体" w:hAnsi="宋体" w:cs="宋体"/>
          <w:color w:val="auto"/>
          <w:highlight w:val="none"/>
        </w:rPr>
        <w:t>九、拟投入本项目的主要仪器设备一览表</w:t>
      </w:r>
      <w:r>
        <w:rPr>
          <w:color w:val="auto"/>
          <w:highlight w:val="none"/>
        </w:rPr>
        <w:tab/>
      </w:r>
      <w:r>
        <w:rPr>
          <w:color w:val="auto"/>
          <w:highlight w:val="none"/>
        </w:rPr>
        <w:fldChar w:fldCharType="begin"/>
      </w:r>
      <w:r>
        <w:rPr>
          <w:color w:val="auto"/>
          <w:highlight w:val="none"/>
        </w:rPr>
        <w:instrText xml:space="preserve"> PAGEREF _Toc6338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881E8D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"_Toc24856" </w:instrText>
      </w:r>
      <w:r>
        <w:rPr>
          <w:color w:val="auto"/>
          <w:highlight w:val="none"/>
        </w:rPr>
        <w:fldChar w:fldCharType="separate"/>
      </w:r>
      <w:r>
        <w:rPr>
          <w:rFonts w:hint="eastAsia" w:ascii="宋体" w:hAnsi="宋体" w:cs="宋体"/>
          <w:bCs/>
          <w:color w:val="auto"/>
          <w:szCs w:val="32"/>
          <w:highlight w:val="none"/>
        </w:rPr>
        <w:t>十、检测技术方案</w:t>
      </w:r>
      <w:r>
        <w:rPr>
          <w:color w:val="auto"/>
          <w:highlight w:val="none"/>
        </w:rPr>
        <w:tab/>
      </w:r>
      <w:r>
        <w:rPr>
          <w:color w:val="auto"/>
          <w:highlight w:val="none"/>
        </w:rPr>
        <w:fldChar w:fldCharType="begin"/>
      </w:r>
      <w:r>
        <w:rPr>
          <w:color w:val="auto"/>
          <w:highlight w:val="none"/>
        </w:rPr>
        <w:instrText xml:space="preserve"> PAGEREF _Toc24856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2143AF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"_Toc24338" </w:instrText>
      </w:r>
      <w:r>
        <w:rPr>
          <w:color w:val="auto"/>
          <w:highlight w:val="none"/>
        </w:rPr>
        <w:fldChar w:fldCharType="separate"/>
      </w:r>
      <w:r>
        <w:rPr>
          <w:rFonts w:hint="eastAsia" w:ascii="宋体" w:hAnsi="宋体" w:cs="宋体"/>
          <w:bCs/>
          <w:color w:val="auto"/>
          <w:szCs w:val="32"/>
          <w:highlight w:val="none"/>
        </w:rPr>
        <w:t>十一、投标人认为应该提供的其他资料</w:t>
      </w:r>
      <w:r>
        <w:rPr>
          <w:color w:val="auto"/>
          <w:highlight w:val="none"/>
        </w:rPr>
        <w:tab/>
      </w:r>
      <w:r>
        <w:rPr>
          <w:color w:val="auto"/>
          <w:highlight w:val="none"/>
        </w:rPr>
        <w:fldChar w:fldCharType="begin"/>
      </w:r>
      <w:r>
        <w:rPr>
          <w:color w:val="auto"/>
          <w:highlight w:val="none"/>
        </w:rPr>
        <w:instrText xml:space="preserve"> PAGEREF _Toc24338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49EA6AF">
      <w:pPr>
        <w:spacing w:line="360" w:lineRule="auto"/>
        <w:rPr>
          <w:rFonts w:ascii="宋体" w:hAnsi="宋体" w:cs="宋体"/>
          <w:b/>
          <w:bCs/>
          <w:color w:val="auto"/>
          <w:sz w:val="24"/>
          <w:szCs w:val="24"/>
          <w:highlight w:val="none"/>
        </w:rPr>
        <w:sectPr>
          <w:footerReference r:id="rId4" w:type="default"/>
          <w:pgSz w:w="11905" w:h="16838"/>
          <w:pgMar w:top="1418" w:right="1701" w:bottom="1418" w:left="1701" w:header="851" w:footer="794" w:gutter="0"/>
          <w:cols w:space="720" w:num="1"/>
          <w:docGrid w:type="lines" w:linePitch="312" w:charSpace="0"/>
        </w:sectPr>
      </w:pPr>
      <w:r>
        <w:rPr>
          <w:rFonts w:hint="eastAsia" w:ascii="宋体" w:hAnsi="宋体" w:cs="宋体"/>
          <w:color w:val="auto"/>
          <w:kern w:val="44"/>
          <w:szCs w:val="21"/>
          <w:highlight w:val="none"/>
        </w:rPr>
        <w:fldChar w:fldCharType="end"/>
      </w:r>
    </w:p>
    <w:p w14:paraId="1047F55A">
      <w:pPr>
        <w:pStyle w:val="3"/>
        <w:keepNext w:val="0"/>
        <w:keepLines w:val="0"/>
        <w:numPr>
          <w:ilvl w:val="0"/>
          <w:numId w:val="1"/>
        </w:numPr>
        <w:spacing w:line="360" w:lineRule="auto"/>
        <w:jc w:val="center"/>
        <w:rPr>
          <w:rFonts w:ascii="宋体" w:hAnsi="宋体" w:eastAsia="宋体" w:cs="宋体"/>
          <w:color w:val="auto"/>
          <w:highlight w:val="none"/>
        </w:rPr>
      </w:pPr>
      <w:bookmarkStart w:id="1" w:name="_Toc525063243"/>
      <w:bookmarkStart w:id="2" w:name="_Toc18030"/>
      <w:bookmarkStart w:id="3" w:name="_Toc17573"/>
      <w:bookmarkStart w:id="4" w:name="_Toc532367869"/>
      <w:bookmarkStart w:id="5" w:name="_Toc30437"/>
      <w:bookmarkStart w:id="6" w:name="_Toc5050"/>
      <w:bookmarkStart w:id="7" w:name="_Toc11832"/>
      <w:bookmarkStart w:id="8" w:name="_Toc8029"/>
      <w:bookmarkStart w:id="9" w:name="_Toc3857"/>
      <w:r>
        <w:rPr>
          <w:rFonts w:hint="eastAsia" w:ascii="宋体" w:hAnsi="宋体" w:eastAsia="宋体" w:cs="宋体"/>
          <w:color w:val="auto"/>
          <w:highlight w:val="none"/>
        </w:rPr>
        <w:t xml:space="preserve"> </w:t>
      </w:r>
      <w:bookmarkStart w:id="10" w:name="_Toc3058"/>
      <w:r>
        <w:rPr>
          <w:rFonts w:hint="eastAsia" w:ascii="宋体" w:hAnsi="宋体" w:eastAsia="宋体" w:cs="宋体"/>
          <w:color w:val="auto"/>
          <w:highlight w:val="none"/>
        </w:rPr>
        <w:t>招标公告</w:t>
      </w:r>
      <w:bookmarkEnd w:id="1"/>
      <w:bookmarkEnd w:id="2"/>
      <w:bookmarkEnd w:id="3"/>
      <w:bookmarkEnd w:id="4"/>
      <w:bookmarkEnd w:id="5"/>
      <w:bookmarkEnd w:id="6"/>
      <w:bookmarkEnd w:id="7"/>
      <w:bookmarkEnd w:id="8"/>
      <w:bookmarkEnd w:id="9"/>
      <w:bookmarkEnd w:id="10"/>
    </w:p>
    <w:p w14:paraId="28577EF7">
      <w:pPr>
        <w:spacing w:line="360" w:lineRule="auto"/>
        <w:rPr>
          <w:color w:val="auto"/>
          <w:highlight w:val="none"/>
        </w:rPr>
      </w:pPr>
    </w:p>
    <w:p w14:paraId="2F7B0B4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番禺汽车城金轩二路B线工程检测</w:t>
      </w:r>
      <w:r>
        <w:rPr>
          <w:rFonts w:hint="eastAsia" w:ascii="宋体" w:hAnsi="宋体" w:cs="宋体"/>
          <w:color w:val="auto"/>
          <w:sz w:val="28"/>
          <w:szCs w:val="28"/>
          <w:highlight w:val="none"/>
        </w:rPr>
        <w:t>招标公告（另册）</w:t>
      </w:r>
    </w:p>
    <w:p w14:paraId="5CC1ED02">
      <w:pPr>
        <w:spacing w:line="360" w:lineRule="auto"/>
        <w:rPr>
          <w:rFonts w:ascii="宋体" w:hAnsi="宋体" w:cs="宋体"/>
          <w:b/>
          <w:bCs/>
          <w:color w:val="auto"/>
          <w:sz w:val="44"/>
          <w:szCs w:val="44"/>
          <w:highlight w:val="none"/>
        </w:rPr>
      </w:pPr>
    </w:p>
    <w:p w14:paraId="41184382">
      <w:pPr>
        <w:spacing w:line="360" w:lineRule="auto"/>
        <w:rPr>
          <w:rFonts w:ascii="宋体" w:hAnsi="宋体" w:cs="宋体"/>
          <w:b/>
          <w:bCs/>
          <w:color w:val="auto"/>
          <w:sz w:val="44"/>
          <w:szCs w:val="44"/>
          <w:highlight w:val="none"/>
        </w:rPr>
        <w:sectPr>
          <w:footerReference r:id="rId5" w:type="default"/>
          <w:pgSz w:w="11905" w:h="16838"/>
          <w:pgMar w:top="1418" w:right="1701" w:bottom="1418" w:left="1701" w:header="851" w:footer="794" w:gutter="0"/>
          <w:cols w:space="720" w:num="1"/>
          <w:docGrid w:type="lines" w:linePitch="312" w:charSpace="0"/>
        </w:sectPr>
      </w:pPr>
    </w:p>
    <w:bookmarkEnd w:id="0"/>
    <w:p w14:paraId="5D9D99A1">
      <w:pPr>
        <w:pStyle w:val="3"/>
        <w:keepNext w:val="0"/>
        <w:keepLines w:val="0"/>
        <w:spacing w:line="360" w:lineRule="auto"/>
        <w:jc w:val="center"/>
        <w:rPr>
          <w:rFonts w:ascii="宋体" w:hAnsi="宋体" w:eastAsia="宋体" w:cs="宋体"/>
          <w:color w:val="auto"/>
          <w:highlight w:val="none"/>
        </w:rPr>
      </w:pPr>
      <w:bookmarkStart w:id="11" w:name="_Toc11430"/>
      <w:bookmarkStart w:id="12" w:name="_Toc10944"/>
      <w:bookmarkStart w:id="13" w:name="_Toc21577"/>
      <w:bookmarkStart w:id="14" w:name="_Toc532367870"/>
      <w:bookmarkStart w:id="15" w:name="_Toc17191"/>
      <w:bookmarkStart w:id="16" w:name="_Toc525063244"/>
      <w:bookmarkStart w:id="17" w:name="_Toc8572"/>
      <w:bookmarkStart w:id="18" w:name="_Toc32023"/>
      <w:bookmarkStart w:id="19" w:name="_Toc25716"/>
      <w:bookmarkStart w:id="20" w:name="_Toc25508"/>
      <w:r>
        <w:rPr>
          <w:rFonts w:hint="eastAsia" w:ascii="宋体" w:hAnsi="宋体" w:eastAsia="宋体" w:cs="宋体"/>
          <w:color w:val="auto"/>
          <w:highlight w:val="none"/>
        </w:rPr>
        <w:t>第二章  投标人须知</w:t>
      </w:r>
      <w:bookmarkEnd w:id="11"/>
      <w:bookmarkEnd w:id="12"/>
      <w:bookmarkEnd w:id="13"/>
      <w:bookmarkEnd w:id="14"/>
      <w:bookmarkEnd w:id="15"/>
      <w:bookmarkEnd w:id="16"/>
      <w:bookmarkEnd w:id="17"/>
      <w:bookmarkEnd w:id="18"/>
      <w:bookmarkEnd w:id="19"/>
      <w:bookmarkEnd w:id="20"/>
    </w:p>
    <w:p w14:paraId="2A2BE353">
      <w:pPr>
        <w:pStyle w:val="4"/>
        <w:keepNext w:val="0"/>
        <w:keepLines w:val="0"/>
        <w:spacing w:before="0" w:after="0" w:line="360" w:lineRule="auto"/>
        <w:jc w:val="center"/>
        <w:rPr>
          <w:rFonts w:ascii="宋体" w:hAnsi="宋体" w:eastAsia="宋体" w:cs="宋体"/>
          <w:color w:val="auto"/>
          <w:sz w:val="36"/>
          <w:szCs w:val="36"/>
          <w:highlight w:val="none"/>
        </w:rPr>
      </w:pPr>
      <w:bookmarkStart w:id="21" w:name="_Toc25024"/>
      <w:bookmarkStart w:id="22" w:name="_Toc24433"/>
      <w:bookmarkStart w:id="23" w:name="_Toc21151"/>
      <w:bookmarkStart w:id="24" w:name="_Toc532367871"/>
      <w:bookmarkStart w:id="25" w:name="_Toc32479"/>
      <w:bookmarkStart w:id="26" w:name="_Toc525063245"/>
      <w:bookmarkStart w:id="27" w:name="_Toc25358"/>
      <w:bookmarkStart w:id="28" w:name="_Toc25608"/>
      <w:bookmarkStart w:id="29" w:name="_Toc390"/>
      <w:bookmarkStart w:id="30" w:name="_Toc16303"/>
      <w:r>
        <w:rPr>
          <w:rFonts w:hint="eastAsia" w:ascii="宋体" w:hAnsi="宋体" w:eastAsia="宋体" w:cs="宋体"/>
          <w:color w:val="auto"/>
          <w:sz w:val="36"/>
          <w:szCs w:val="36"/>
          <w:highlight w:val="none"/>
        </w:rPr>
        <w:t>投标人须知前附表</w:t>
      </w:r>
      <w:bookmarkEnd w:id="21"/>
      <w:bookmarkEnd w:id="22"/>
      <w:bookmarkEnd w:id="23"/>
      <w:bookmarkEnd w:id="24"/>
      <w:bookmarkEnd w:id="25"/>
      <w:bookmarkEnd w:id="26"/>
      <w:bookmarkEnd w:id="27"/>
      <w:bookmarkEnd w:id="28"/>
      <w:bookmarkEnd w:id="29"/>
      <w:bookmarkEnd w:id="30"/>
    </w:p>
    <w:tbl>
      <w:tblPr>
        <w:tblStyle w:val="17"/>
        <w:tblW w:w="93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613"/>
        <w:gridCol w:w="5774"/>
      </w:tblGrid>
      <w:tr w14:paraId="21F98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959" w:type="dxa"/>
            <w:vAlign w:val="center"/>
          </w:tcPr>
          <w:p w14:paraId="1A9A5A1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613" w:type="dxa"/>
            <w:vAlign w:val="center"/>
          </w:tcPr>
          <w:p w14:paraId="0B59AE6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774" w:type="dxa"/>
            <w:vAlign w:val="center"/>
          </w:tcPr>
          <w:p w14:paraId="33E86EA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69F47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959" w:type="dxa"/>
            <w:vAlign w:val="center"/>
          </w:tcPr>
          <w:p w14:paraId="667A152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613" w:type="dxa"/>
            <w:vAlign w:val="center"/>
          </w:tcPr>
          <w:p w14:paraId="79A1B2D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774" w:type="dxa"/>
            <w:vAlign w:val="center"/>
          </w:tcPr>
          <w:p w14:paraId="6C53F493">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广州市番禺区基本建设投资管理中心</w:t>
            </w:r>
          </w:p>
          <w:p w14:paraId="24662108">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广州市番禺区清河东路319号西副楼六楼</w:t>
            </w:r>
          </w:p>
          <w:p w14:paraId="501D5AF2">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周工</w:t>
            </w:r>
          </w:p>
          <w:p w14:paraId="4FF02B29">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020-84612339</w:t>
            </w:r>
          </w:p>
        </w:tc>
      </w:tr>
      <w:tr w14:paraId="06592B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959" w:type="dxa"/>
            <w:vAlign w:val="center"/>
          </w:tcPr>
          <w:p w14:paraId="2593BAA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613" w:type="dxa"/>
            <w:vAlign w:val="center"/>
          </w:tcPr>
          <w:p w14:paraId="06502A5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774" w:type="dxa"/>
            <w:vAlign w:val="center"/>
          </w:tcPr>
          <w:p w14:paraId="0BE6E4C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广东粤能工程管理有限公司</w:t>
            </w:r>
            <w:r>
              <w:rPr>
                <w:rFonts w:hint="eastAsia" w:ascii="宋体" w:hAnsi="宋体" w:cs="宋体"/>
                <w:color w:val="auto"/>
                <w:szCs w:val="21"/>
                <w:highlight w:val="none"/>
              </w:rPr>
              <w:t xml:space="preserve"> </w:t>
            </w:r>
          </w:p>
          <w:p w14:paraId="7B5CAE3E">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lang w:eastAsia="zh-CN"/>
              </w:rPr>
              <w:t>广州市</w:t>
            </w:r>
            <w:r>
              <w:rPr>
                <w:rFonts w:hint="eastAsia" w:ascii="宋体" w:hAnsi="宋体" w:eastAsia="宋体" w:cs="宋体"/>
                <w:color w:val="auto"/>
                <w:szCs w:val="21"/>
                <w:highlight w:val="none"/>
                <w:lang w:val="en-US" w:eastAsia="zh-CN"/>
              </w:rPr>
              <w:t>番禺区南堤东路668号三楼</w:t>
            </w:r>
          </w:p>
          <w:p w14:paraId="5011D61F">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许</w:t>
            </w:r>
            <w:r>
              <w:rPr>
                <w:rFonts w:hint="eastAsia" w:ascii="宋体" w:hAnsi="宋体" w:cs="宋体"/>
                <w:color w:val="auto"/>
                <w:szCs w:val="21"/>
                <w:highlight w:val="none"/>
              </w:rPr>
              <w:t>工</w:t>
            </w:r>
          </w:p>
          <w:p w14:paraId="2AD3CC8B">
            <w:pPr>
              <w:snapToGrid w:val="0"/>
              <w:spacing w:line="27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13070216361</w:t>
            </w:r>
          </w:p>
        </w:tc>
      </w:tr>
      <w:tr w14:paraId="70110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EEA133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613" w:type="dxa"/>
            <w:vAlign w:val="center"/>
          </w:tcPr>
          <w:p w14:paraId="5636FD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774" w:type="dxa"/>
            <w:vAlign w:val="center"/>
          </w:tcPr>
          <w:p w14:paraId="6DC72AB7">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番禺汽车城金轩二路B线工程检测</w:t>
            </w:r>
          </w:p>
        </w:tc>
      </w:tr>
      <w:tr w14:paraId="6A8C0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D7D2A5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613" w:type="dxa"/>
            <w:vAlign w:val="center"/>
          </w:tcPr>
          <w:p w14:paraId="40E639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5774" w:type="dxa"/>
            <w:vAlign w:val="center"/>
          </w:tcPr>
          <w:p w14:paraId="4AA93CB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6F4E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D431B6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613" w:type="dxa"/>
            <w:vAlign w:val="center"/>
          </w:tcPr>
          <w:p w14:paraId="14062BA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5774" w:type="dxa"/>
            <w:vAlign w:val="center"/>
          </w:tcPr>
          <w:p w14:paraId="192FB9D5">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8E65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959" w:type="dxa"/>
            <w:vAlign w:val="center"/>
          </w:tcPr>
          <w:p w14:paraId="11C9568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613" w:type="dxa"/>
            <w:vAlign w:val="center"/>
          </w:tcPr>
          <w:p w14:paraId="1E6DFD4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5774" w:type="dxa"/>
            <w:vAlign w:val="center"/>
          </w:tcPr>
          <w:p w14:paraId="7D68B868">
            <w:pPr>
              <w:pStyle w:val="5"/>
              <w:spacing w:before="0" w:after="0" w:line="276" w:lineRule="auto"/>
              <w:rPr>
                <w:rFonts w:ascii="宋体" w:hAnsi="宋体" w:cs="宋体"/>
                <w:b w:val="0"/>
                <w:color w:val="auto"/>
                <w:kern w:val="2"/>
                <w:sz w:val="21"/>
                <w:szCs w:val="21"/>
                <w:highlight w:val="none"/>
              </w:rPr>
            </w:pPr>
            <w:r>
              <w:rPr>
                <w:rFonts w:hint="eastAsia" w:ascii="宋体" w:hAnsi="宋体" w:cs="宋体"/>
                <w:b w:val="0"/>
                <w:color w:val="auto"/>
                <w:kern w:val="2"/>
                <w:sz w:val="21"/>
                <w:szCs w:val="21"/>
                <w:highlight w:val="none"/>
              </w:rPr>
              <w:t>工程项目施工预计开工日期：具体以招标人通知为准。</w:t>
            </w:r>
          </w:p>
          <w:p w14:paraId="308DEC68">
            <w:pPr>
              <w:spacing w:line="276" w:lineRule="auto"/>
              <w:rPr>
                <w:rFonts w:ascii="宋体" w:hAnsi="宋体" w:cs="宋体"/>
                <w:color w:val="auto"/>
                <w:szCs w:val="21"/>
                <w:highlight w:val="none"/>
              </w:rPr>
            </w:pPr>
            <w:r>
              <w:rPr>
                <w:rFonts w:hint="eastAsia" w:ascii="宋体" w:hAnsi="宋体" w:cs="宋体"/>
                <w:color w:val="auto"/>
                <w:szCs w:val="21"/>
                <w:highlight w:val="none"/>
              </w:rPr>
              <w:t>建设周期为</w:t>
            </w:r>
            <w:r>
              <w:rPr>
                <w:rFonts w:hint="eastAsia" w:ascii="宋体" w:hAnsi="宋体" w:cs="宋体"/>
                <w:color w:val="auto"/>
                <w:szCs w:val="21"/>
                <w:highlight w:val="none"/>
                <w:lang w:val="en-US" w:eastAsia="zh-CN"/>
              </w:rPr>
              <w:t>270</w:t>
            </w:r>
            <w:r>
              <w:rPr>
                <w:rFonts w:hint="eastAsia" w:ascii="宋体" w:hAnsi="宋体" w:cs="宋体"/>
                <w:color w:val="auto"/>
                <w:szCs w:val="21"/>
                <w:highlight w:val="none"/>
              </w:rPr>
              <w:t>日历天。服务期限：自招标人书面通知进场至项目完成竣工验收备案为止，服务周期必须满足实际施工要求和验收要求。</w:t>
            </w:r>
          </w:p>
        </w:tc>
      </w:tr>
      <w:tr w14:paraId="0B2AA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59" w:type="dxa"/>
            <w:vAlign w:val="center"/>
          </w:tcPr>
          <w:p w14:paraId="30FD657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613" w:type="dxa"/>
            <w:vAlign w:val="center"/>
          </w:tcPr>
          <w:p w14:paraId="2710A018">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建筑安装工程费/工程概算</w:t>
            </w:r>
          </w:p>
        </w:tc>
        <w:tc>
          <w:tcPr>
            <w:tcW w:w="5774" w:type="dxa"/>
            <w:vAlign w:val="center"/>
          </w:tcPr>
          <w:p w14:paraId="62EE0365">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DDAB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85507F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613" w:type="dxa"/>
            <w:vAlign w:val="center"/>
          </w:tcPr>
          <w:p w14:paraId="77F977B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774" w:type="dxa"/>
            <w:vAlign w:val="center"/>
          </w:tcPr>
          <w:p w14:paraId="79033D7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8C56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C3F98B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613" w:type="dxa"/>
            <w:vAlign w:val="center"/>
          </w:tcPr>
          <w:p w14:paraId="2822C7D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74" w:type="dxa"/>
            <w:vAlign w:val="center"/>
          </w:tcPr>
          <w:p w14:paraId="51BD756C">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636ED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493DA5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613" w:type="dxa"/>
            <w:vAlign w:val="center"/>
          </w:tcPr>
          <w:p w14:paraId="7E8B924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774" w:type="dxa"/>
            <w:vAlign w:val="center"/>
          </w:tcPr>
          <w:p w14:paraId="51B885F6">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7FEC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9" w:type="dxa"/>
            <w:vAlign w:val="center"/>
          </w:tcPr>
          <w:p w14:paraId="13CB471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613" w:type="dxa"/>
            <w:vAlign w:val="center"/>
          </w:tcPr>
          <w:p w14:paraId="5E1464F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74" w:type="dxa"/>
            <w:vAlign w:val="center"/>
          </w:tcPr>
          <w:p w14:paraId="3892DA19">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u w:val="single"/>
              </w:rPr>
              <w:t>自招标人书面通知进场至项目完成竣工验收备案为止，服务周期必须满足实际施工要求和验收要求。</w:t>
            </w:r>
          </w:p>
        </w:tc>
      </w:tr>
      <w:tr w14:paraId="56AB34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vAlign w:val="center"/>
          </w:tcPr>
          <w:p w14:paraId="51A606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613" w:type="dxa"/>
            <w:vAlign w:val="center"/>
          </w:tcPr>
          <w:p w14:paraId="5AB66CC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774" w:type="dxa"/>
            <w:vAlign w:val="center"/>
          </w:tcPr>
          <w:p w14:paraId="1F4B3F43">
            <w:pPr>
              <w:pStyle w:val="15"/>
              <w:snapToGrid w:val="0"/>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符合国家和省、市检测规范和规章制度要求。</w:t>
            </w:r>
          </w:p>
        </w:tc>
      </w:tr>
      <w:tr w14:paraId="0DB21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59" w:type="dxa"/>
            <w:vAlign w:val="center"/>
          </w:tcPr>
          <w:p w14:paraId="4B8A14D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613" w:type="dxa"/>
            <w:vAlign w:val="center"/>
          </w:tcPr>
          <w:p w14:paraId="72EBFC1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5774" w:type="dxa"/>
            <w:vAlign w:val="center"/>
          </w:tcPr>
          <w:p w14:paraId="21831B27">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（1）资质要求：详见招标公告投标人资格要求。</w:t>
            </w:r>
          </w:p>
          <w:p w14:paraId="795CD357">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（2）财务要求：/（不作为资格审查内容）</w:t>
            </w:r>
          </w:p>
          <w:p w14:paraId="429286AD">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（3）业绩要求：/（不作为资格审查内容）</w:t>
            </w:r>
          </w:p>
          <w:p w14:paraId="492D69E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（4）信誉要求：/（不作为资格审查内容）</w:t>
            </w:r>
          </w:p>
          <w:p w14:paraId="45D5969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（5）项目负责人的资格要求：详见招标公告投标人资格要求。</w:t>
            </w:r>
          </w:p>
          <w:p w14:paraId="6FADC654">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（6）其他主要人员要求：/（不作为资格审查内容）</w:t>
            </w:r>
          </w:p>
          <w:p w14:paraId="609D397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（7）试验仪器设备要求：/（不作为资格审查内容）</w:t>
            </w:r>
          </w:p>
          <w:p w14:paraId="3AE350E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（8）其他要求：见招标公告投标人资格要求。</w:t>
            </w:r>
          </w:p>
        </w:tc>
      </w:tr>
      <w:tr w14:paraId="0AE6E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59" w:type="dxa"/>
            <w:vAlign w:val="center"/>
          </w:tcPr>
          <w:p w14:paraId="015CA5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613" w:type="dxa"/>
            <w:vAlign w:val="center"/>
          </w:tcPr>
          <w:p w14:paraId="7FAE8E7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774" w:type="dxa"/>
            <w:vAlign w:val="center"/>
          </w:tcPr>
          <w:p w14:paraId="3F1C03E4">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□不接受</w:t>
            </w:r>
          </w:p>
          <w:p w14:paraId="5F488B3B">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■接受，应满足</w:t>
            </w:r>
            <w:r>
              <w:rPr>
                <w:rFonts w:hint="eastAsia" w:ascii="宋体" w:hAnsi="宋体" w:cs="宋体"/>
                <w:color w:val="auto"/>
                <w:szCs w:val="21"/>
                <w:highlight w:val="none"/>
                <w:u w:val="single"/>
              </w:rPr>
              <w:t>招标公告</w:t>
            </w:r>
            <w:r>
              <w:rPr>
                <w:rFonts w:hint="eastAsia" w:ascii="宋体" w:hAnsi="宋体" w:cs="宋体"/>
                <w:color w:val="auto"/>
                <w:szCs w:val="21"/>
                <w:highlight w:val="none"/>
              </w:rPr>
              <w:t>要求</w:t>
            </w:r>
          </w:p>
        </w:tc>
      </w:tr>
      <w:tr w14:paraId="2556B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959" w:type="dxa"/>
            <w:vAlign w:val="center"/>
          </w:tcPr>
          <w:p w14:paraId="7EB9DDA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613" w:type="dxa"/>
            <w:vAlign w:val="center"/>
          </w:tcPr>
          <w:p w14:paraId="1E7D2F0A">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投标人不得存在的其他情形</w:t>
            </w:r>
          </w:p>
        </w:tc>
        <w:tc>
          <w:tcPr>
            <w:tcW w:w="5774" w:type="dxa"/>
            <w:vAlign w:val="center"/>
          </w:tcPr>
          <w:p w14:paraId="2043DFBA">
            <w:pPr>
              <w:pStyle w:val="15"/>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w:t>
            </w:r>
          </w:p>
        </w:tc>
      </w:tr>
      <w:tr w14:paraId="42718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59" w:type="dxa"/>
            <w:vAlign w:val="center"/>
          </w:tcPr>
          <w:p w14:paraId="09689C2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613" w:type="dxa"/>
            <w:vAlign w:val="center"/>
          </w:tcPr>
          <w:p w14:paraId="6DC2AD3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74" w:type="dxa"/>
            <w:vAlign w:val="center"/>
          </w:tcPr>
          <w:p w14:paraId="6F74C634">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■不组织</w:t>
            </w:r>
          </w:p>
          <w:p w14:paraId="5F049F9D">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□组织，踏勘时间：         踏勘集中地点：</w:t>
            </w:r>
          </w:p>
        </w:tc>
      </w:tr>
      <w:tr w14:paraId="34716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9" w:type="dxa"/>
            <w:vAlign w:val="center"/>
          </w:tcPr>
          <w:p w14:paraId="4822622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613" w:type="dxa"/>
            <w:vAlign w:val="center"/>
          </w:tcPr>
          <w:p w14:paraId="102D377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774" w:type="dxa"/>
            <w:vAlign w:val="center"/>
          </w:tcPr>
          <w:p w14:paraId="211FFF6F">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■不召开</w:t>
            </w:r>
          </w:p>
          <w:p w14:paraId="748B9B24">
            <w:pPr>
              <w:spacing w:line="276" w:lineRule="auto"/>
              <w:rPr>
                <w:rFonts w:ascii="宋体" w:hAnsi="宋体" w:cs="宋体"/>
                <w:color w:val="auto"/>
                <w:szCs w:val="21"/>
                <w:highlight w:val="none"/>
              </w:rPr>
            </w:pPr>
            <w:r>
              <w:rPr>
                <w:rFonts w:hint="eastAsia" w:ascii="宋体" w:hAnsi="宋体" w:cs="宋体"/>
                <w:color w:val="auto"/>
                <w:szCs w:val="21"/>
                <w:highlight w:val="none"/>
              </w:rPr>
              <w:t>□召开，召开时间：         召开地点：</w:t>
            </w:r>
          </w:p>
        </w:tc>
      </w:tr>
      <w:tr w14:paraId="01DE3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9" w:type="dxa"/>
            <w:vMerge w:val="restart"/>
            <w:vAlign w:val="center"/>
          </w:tcPr>
          <w:p w14:paraId="3FD9663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613" w:type="dxa"/>
            <w:vMerge w:val="restart"/>
            <w:vAlign w:val="center"/>
          </w:tcPr>
          <w:p w14:paraId="29A2BD3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774" w:type="dxa"/>
            <w:vAlign w:val="center"/>
          </w:tcPr>
          <w:p w14:paraId="6C998CE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50070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Merge w:val="continue"/>
            <w:vAlign w:val="center"/>
          </w:tcPr>
          <w:p w14:paraId="561A3253">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2E27B167">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4A327A4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0A65D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53875A5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613" w:type="dxa"/>
            <w:vAlign w:val="center"/>
          </w:tcPr>
          <w:p w14:paraId="14F4497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54C34F2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  （不召开投标预备会，此为投标预备会的答疑澄清）</w:t>
            </w:r>
          </w:p>
        </w:tc>
      </w:tr>
      <w:tr w14:paraId="49A2B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661D9C28">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1.11</w:t>
            </w:r>
          </w:p>
        </w:tc>
        <w:tc>
          <w:tcPr>
            <w:tcW w:w="2613" w:type="dxa"/>
            <w:vAlign w:val="center"/>
          </w:tcPr>
          <w:p w14:paraId="1F196CAF">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分包</w:t>
            </w:r>
          </w:p>
        </w:tc>
        <w:tc>
          <w:tcPr>
            <w:tcW w:w="5774" w:type="dxa"/>
            <w:vAlign w:val="center"/>
          </w:tcPr>
          <w:p w14:paraId="3E21CBE6">
            <w:pPr>
              <w:snapToGrid w:val="0"/>
              <w:spacing w:line="276" w:lineRule="auto"/>
              <w:rPr>
                <w:rFonts w:ascii="宋体" w:hAnsi="宋体" w:cs="宋体"/>
                <w:color w:val="auto"/>
                <w:szCs w:val="21"/>
                <w:highlight w:val="none"/>
                <w:u w:val="single"/>
              </w:rPr>
            </w:pPr>
            <w:r>
              <w:rPr>
                <w:rFonts w:hint="eastAsia" w:ascii="宋体" w:hAnsi="宋体" w:cs="宋体"/>
                <w:color w:val="auto"/>
                <w:sz w:val="24"/>
                <w:szCs w:val="24"/>
                <w:highlight w:val="none"/>
                <w:u w:val="single"/>
              </w:rPr>
              <w:t>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分包项目的检测质量和检测工期由中标单位负责。分包合同原则上由中标单位与分包方签订。该部分检测内容纳入中标单位合同一并进行结算。</w:t>
            </w:r>
          </w:p>
        </w:tc>
      </w:tr>
      <w:tr w14:paraId="1AD85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59" w:type="dxa"/>
            <w:vAlign w:val="center"/>
          </w:tcPr>
          <w:p w14:paraId="6447C20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613" w:type="dxa"/>
            <w:vAlign w:val="center"/>
          </w:tcPr>
          <w:p w14:paraId="469E381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5774" w:type="dxa"/>
            <w:vAlign w:val="center"/>
          </w:tcPr>
          <w:p w14:paraId="48B63147">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u w:val="single"/>
              </w:rPr>
              <w:t xml:space="preserve">  /  </w:t>
            </w:r>
          </w:p>
        </w:tc>
      </w:tr>
      <w:tr w14:paraId="27B4A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59" w:type="dxa"/>
            <w:vAlign w:val="center"/>
          </w:tcPr>
          <w:p w14:paraId="0F76EBC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2613" w:type="dxa"/>
            <w:vAlign w:val="center"/>
          </w:tcPr>
          <w:p w14:paraId="03A8F8A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5774" w:type="dxa"/>
            <w:vAlign w:val="center"/>
          </w:tcPr>
          <w:p w14:paraId="6A59DF9E">
            <w:pPr>
              <w:spacing w:line="276" w:lineRule="auto"/>
              <w:rPr>
                <w:rFonts w:ascii="宋体" w:hAnsi="宋体" w:cs="宋体"/>
                <w:color w:val="auto"/>
                <w:szCs w:val="21"/>
                <w:highlight w:val="none"/>
              </w:rPr>
            </w:pPr>
            <w:r>
              <w:rPr>
                <w:rFonts w:hint="eastAsia" w:ascii="宋体" w:hAnsi="宋体" w:cs="宋体"/>
                <w:color w:val="auto"/>
                <w:szCs w:val="21"/>
                <w:highlight w:val="none"/>
              </w:rPr>
              <w:t>■不允许</w:t>
            </w:r>
          </w:p>
          <w:p w14:paraId="0EAB0ED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□允许，偏差范围：         偏差幅度：</w:t>
            </w:r>
          </w:p>
        </w:tc>
      </w:tr>
      <w:tr w14:paraId="78894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59" w:type="dxa"/>
            <w:vAlign w:val="center"/>
          </w:tcPr>
          <w:p w14:paraId="5060737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613" w:type="dxa"/>
            <w:vAlign w:val="center"/>
          </w:tcPr>
          <w:p w14:paraId="7B8997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74" w:type="dxa"/>
            <w:vAlign w:val="center"/>
          </w:tcPr>
          <w:p w14:paraId="6202916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349D3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959" w:type="dxa"/>
            <w:vAlign w:val="center"/>
          </w:tcPr>
          <w:p w14:paraId="48D30C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613" w:type="dxa"/>
            <w:vAlign w:val="center"/>
          </w:tcPr>
          <w:p w14:paraId="6017910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774" w:type="dxa"/>
            <w:vAlign w:val="center"/>
          </w:tcPr>
          <w:p w14:paraId="7DE7967A">
            <w:pPr>
              <w:snapToGrid w:val="0"/>
              <w:spacing w:line="276" w:lineRule="auto"/>
              <w:rPr>
                <w:rFonts w:ascii="宋体" w:hAnsi="宋体"/>
                <w:color w:val="auto"/>
                <w:szCs w:val="21"/>
                <w:highlight w:val="none"/>
              </w:rPr>
            </w:pPr>
            <w:r>
              <w:rPr>
                <w:rFonts w:hint="eastAsia" w:ascii="宋体" w:hAnsi="宋体"/>
                <w:color w:val="auto"/>
                <w:szCs w:val="21"/>
                <w:highlight w:val="none"/>
              </w:rPr>
              <w:t>时间：提交投标文件截止时间18天前提出</w:t>
            </w:r>
          </w:p>
          <w:p w14:paraId="3D15A62E">
            <w:pPr>
              <w:snapToGrid w:val="0"/>
              <w:spacing w:line="276" w:lineRule="auto"/>
              <w:rPr>
                <w:rFonts w:ascii="宋体" w:hAnsi="宋体"/>
                <w:color w:val="auto"/>
                <w:szCs w:val="21"/>
                <w:highlight w:val="none"/>
              </w:rPr>
            </w:pPr>
            <w:r>
              <w:rPr>
                <w:rFonts w:hint="eastAsia" w:ascii="宋体" w:hAnsi="宋体"/>
                <w:color w:val="auto"/>
                <w:szCs w:val="21"/>
                <w:highlight w:val="none"/>
              </w:rPr>
              <w:t>形式：投标人疑问通过网上提交。</w:t>
            </w:r>
          </w:p>
          <w:p w14:paraId="002D491E">
            <w:pPr>
              <w:pStyle w:val="15"/>
              <w:snapToGrid w:val="0"/>
              <w:spacing w:after="0" w:line="276" w:lineRule="auto"/>
              <w:rPr>
                <w:rFonts w:ascii="宋体" w:hAnsi="宋体" w:cs="宋体"/>
                <w:color w:val="auto"/>
                <w:szCs w:val="21"/>
                <w:highlight w:val="none"/>
              </w:rPr>
            </w:pPr>
            <w:r>
              <w:rPr>
                <w:rFonts w:hint="eastAsia" w:ascii="宋体" w:hAnsi="宋体"/>
                <w:color w:val="auto"/>
                <w:szCs w:val="21"/>
                <w:highlight w:val="none"/>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25FBC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vAlign w:val="center"/>
          </w:tcPr>
          <w:p w14:paraId="37AB3F7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613" w:type="dxa"/>
            <w:vAlign w:val="center"/>
          </w:tcPr>
          <w:p w14:paraId="29523A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5F64E091">
            <w:pPr>
              <w:pStyle w:val="15"/>
              <w:snapToGrid w:val="0"/>
              <w:spacing w:after="0" w:line="276" w:lineRule="auto"/>
              <w:ind w:firstLine="0"/>
              <w:rPr>
                <w:rFonts w:ascii="宋体" w:hAnsi="宋体" w:cs="宋体"/>
                <w:color w:val="auto"/>
                <w:szCs w:val="21"/>
                <w:highlight w:val="none"/>
                <w:u w:val="single"/>
              </w:rPr>
            </w:pPr>
            <w:r>
              <w:rPr>
                <w:rFonts w:hint="eastAsia" w:ascii="宋体" w:hAnsi="宋体" w:cs="宋体"/>
                <w:color w:val="auto"/>
                <w:szCs w:val="21"/>
                <w:highlight w:val="none"/>
                <w:u w:val="single"/>
              </w:rPr>
              <w:t>招标人应在投标截止时间15日前解答投标人对招标文件提出的疑问，在广州交易集团有限公司（广州公共资源交易中心）网站项目答疑专区发布。</w:t>
            </w:r>
          </w:p>
        </w:tc>
      </w:tr>
      <w:tr w14:paraId="2D9C1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959" w:type="dxa"/>
            <w:vMerge w:val="restart"/>
            <w:vAlign w:val="center"/>
          </w:tcPr>
          <w:p w14:paraId="178E8C1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613" w:type="dxa"/>
            <w:vMerge w:val="restart"/>
            <w:vAlign w:val="center"/>
          </w:tcPr>
          <w:p w14:paraId="20AC4CC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774" w:type="dxa"/>
            <w:vAlign w:val="center"/>
          </w:tcPr>
          <w:p w14:paraId="0DF104D1">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3B899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59" w:type="dxa"/>
            <w:vMerge w:val="continue"/>
            <w:vAlign w:val="center"/>
          </w:tcPr>
          <w:p w14:paraId="7949EC6D">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74211BC2">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10F80D29">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03C97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Align w:val="center"/>
          </w:tcPr>
          <w:p w14:paraId="471C249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613" w:type="dxa"/>
            <w:vAlign w:val="center"/>
          </w:tcPr>
          <w:p w14:paraId="72AF49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774" w:type="dxa"/>
            <w:vAlign w:val="center"/>
          </w:tcPr>
          <w:p w14:paraId="2CF3335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4D04B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Merge w:val="restart"/>
            <w:vAlign w:val="center"/>
          </w:tcPr>
          <w:p w14:paraId="797C814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613" w:type="dxa"/>
            <w:vMerge w:val="restart"/>
            <w:vAlign w:val="center"/>
          </w:tcPr>
          <w:p w14:paraId="4B4D44D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774" w:type="dxa"/>
            <w:vAlign w:val="center"/>
          </w:tcPr>
          <w:p w14:paraId="51F509D6">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67B79D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Merge w:val="continue"/>
            <w:vAlign w:val="center"/>
          </w:tcPr>
          <w:p w14:paraId="7528E510">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6ACDD909">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441A4B8E">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13232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59" w:type="dxa"/>
            <w:vAlign w:val="center"/>
          </w:tcPr>
          <w:p w14:paraId="1CEF5F2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613" w:type="dxa"/>
            <w:vAlign w:val="center"/>
          </w:tcPr>
          <w:p w14:paraId="0A16F8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74" w:type="dxa"/>
            <w:vAlign w:val="center"/>
          </w:tcPr>
          <w:p w14:paraId="54CF867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满足本项目评审要求的其他资料。</w:t>
            </w:r>
          </w:p>
        </w:tc>
      </w:tr>
      <w:tr w14:paraId="6436E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144F8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613" w:type="dxa"/>
            <w:vAlign w:val="center"/>
          </w:tcPr>
          <w:p w14:paraId="750F89A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5774" w:type="dxa"/>
            <w:vAlign w:val="center"/>
          </w:tcPr>
          <w:p w14:paraId="4F9F9A6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按国家税务机关的规定执行。</w:t>
            </w:r>
          </w:p>
        </w:tc>
      </w:tr>
      <w:tr w14:paraId="4CC57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09F87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613" w:type="dxa"/>
            <w:vAlign w:val="center"/>
          </w:tcPr>
          <w:p w14:paraId="1FD05F0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74" w:type="dxa"/>
            <w:vAlign w:val="center"/>
          </w:tcPr>
          <w:p w14:paraId="15B7E5F9">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自行报价（以“元”为单位，精确到小数位后2位）。</w:t>
            </w:r>
          </w:p>
        </w:tc>
      </w:tr>
      <w:tr w14:paraId="73F0D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59" w:type="dxa"/>
            <w:vAlign w:val="center"/>
          </w:tcPr>
          <w:p w14:paraId="26D394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613" w:type="dxa"/>
            <w:vAlign w:val="center"/>
          </w:tcPr>
          <w:p w14:paraId="5C7363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774" w:type="dxa"/>
            <w:vAlign w:val="center"/>
          </w:tcPr>
          <w:p w14:paraId="3151E55E">
            <w:pPr>
              <w:tabs>
                <w:tab w:val="left" w:pos="7513"/>
              </w:tabs>
              <w:spacing w:line="276" w:lineRule="auto"/>
              <w:rPr>
                <w:rFonts w:ascii="宋体" w:hAnsi="宋体" w:cs="宋体"/>
                <w:color w:val="auto"/>
                <w:szCs w:val="21"/>
                <w:highlight w:val="none"/>
              </w:rPr>
            </w:pPr>
            <w:r>
              <w:rPr>
                <w:rFonts w:hint="eastAsia" w:ascii="宋体" w:hAnsi="宋体" w:cs="宋体"/>
                <w:color w:val="auto"/>
                <w:szCs w:val="21"/>
                <w:highlight w:val="none"/>
              </w:rPr>
              <w:t>□无</w:t>
            </w:r>
          </w:p>
          <w:p w14:paraId="56AE23BB">
            <w:pPr>
              <w:tabs>
                <w:tab w:val="left" w:pos="7513"/>
              </w:tabs>
              <w:spacing w:line="276" w:lineRule="auto"/>
              <w:rPr>
                <w:rFonts w:ascii="宋体" w:hAnsi="宋体"/>
                <w:color w:val="auto"/>
                <w:szCs w:val="21"/>
                <w:highlight w:val="none"/>
                <w:u w:val="single"/>
              </w:rPr>
            </w:pPr>
            <w:r>
              <w:rPr>
                <w:rFonts w:hint="eastAsia" w:ascii="宋体" w:hAnsi="宋体" w:cs="宋体"/>
                <w:color w:val="auto"/>
                <w:szCs w:val="21"/>
                <w:highlight w:val="none"/>
              </w:rPr>
              <w:t>■有，最高投标限价</w:t>
            </w:r>
            <w:bookmarkStart w:id="31" w:name="OLE_LINK1"/>
            <w:r>
              <w:rPr>
                <w:rFonts w:hint="eastAsia" w:ascii="宋体" w:hAnsi="宋体" w:cs="宋体"/>
                <w:color w:val="auto"/>
                <w:szCs w:val="21"/>
                <w:highlight w:val="none"/>
              </w:rPr>
              <w:t>（总价）</w:t>
            </w:r>
            <w:bookmarkEnd w:id="31"/>
            <w:r>
              <w:rPr>
                <w:rFonts w:hint="eastAsia" w:ascii="宋体" w:hAnsi="宋体" w:cs="宋体"/>
                <w:color w:val="auto"/>
                <w:szCs w:val="21"/>
                <w:highlight w:val="none"/>
              </w:rPr>
              <w:t>：</w:t>
            </w:r>
            <w:r>
              <w:rPr>
                <w:rFonts w:hint="eastAsia" w:ascii="宋体" w:hAnsi="宋体"/>
                <w:bCs/>
                <w:color w:val="auto"/>
                <w:sz w:val="24"/>
                <w:szCs w:val="24"/>
                <w:highlight w:val="none"/>
                <w:u w:val="single"/>
                <w:lang w:val="en-US" w:eastAsia="zh-CN"/>
              </w:rPr>
              <w:t>1342828.01</w:t>
            </w:r>
            <w:r>
              <w:rPr>
                <w:rFonts w:hint="eastAsia" w:ascii="宋体" w:hAnsi="宋体"/>
                <w:bCs/>
                <w:color w:val="auto"/>
                <w:sz w:val="24"/>
                <w:szCs w:val="24"/>
                <w:highlight w:val="none"/>
                <w:u w:val="single"/>
              </w:rPr>
              <w:t>元</w:t>
            </w:r>
            <w:r>
              <w:rPr>
                <w:rFonts w:hint="eastAsia" w:ascii="宋体" w:hAnsi="宋体"/>
                <w:color w:val="auto"/>
                <w:szCs w:val="21"/>
                <w:highlight w:val="none"/>
                <w:u w:val="single"/>
              </w:rPr>
              <w:t>。</w:t>
            </w:r>
          </w:p>
          <w:p w14:paraId="2DA62AD4">
            <w:pPr>
              <w:tabs>
                <w:tab w:val="left" w:pos="7513"/>
              </w:tabs>
              <w:rPr>
                <w:rFonts w:ascii="宋体" w:hAnsi="宋体" w:cs="宋体"/>
                <w:color w:val="auto"/>
                <w:szCs w:val="21"/>
                <w:highlight w:val="none"/>
                <w:u w:val="single"/>
              </w:rPr>
            </w:pPr>
            <w:r>
              <w:rPr>
                <w:rFonts w:hint="eastAsia" w:ascii="宋体" w:hAnsi="宋体" w:cs="宋体"/>
                <w:color w:val="auto"/>
                <w:szCs w:val="21"/>
                <w:highlight w:val="none"/>
                <w:u w:val="single"/>
              </w:rPr>
              <w:t>注：投标人在总价以内（含本数）自行填报投标价及投标下浮率，超出最高投标限价的报价做废标处理。</w:t>
            </w:r>
          </w:p>
          <w:p w14:paraId="1668175C">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4675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959" w:type="dxa"/>
            <w:vAlign w:val="center"/>
          </w:tcPr>
          <w:p w14:paraId="4B928B4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613" w:type="dxa"/>
            <w:vAlign w:val="center"/>
          </w:tcPr>
          <w:p w14:paraId="310032B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774" w:type="dxa"/>
            <w:vAlign w:val="center"/>
          </w:tcPr>
          <w:p w14:paraId="197493C9">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本项目投标价及下浮率：投标价以发布的项目控制价（详见招标文件）乘以中标人的投标报价下浮率计算，投标下浮率为投标人投标总报价相对于最高投标限价（招标控制价）的投标下浮率。</w:t>
            </w:r>
          </w:p>
          <w:p w14:paraId="58DF84A4">
            <w:pPr>
              <w:tabs>
                <w:tab w:val="left" w:pos="7513"/>
              </w:tabs>
              <w:spacing w:line="276" w:lineRule="auto"/>
              <w:rPr>
                <w:color w:val="auto"/>
                <w:highlight w:val="none"/>
              </w:rPr>
            </w:pPr>
            <w:r>
              <w:rPr>
                <w:rFonts w:hint="eastAsia" w:ascii="宋体" w:hAnsi="宋体" w:cs="宋体"/>
                <w:color w:val="auto"/>
                <w:szCs w:val="21"/>
                <w:highlight w:val="none"/>
                <w:u w:val="single"/>
              </w:rPr>
              <w:t>本合同工程量以实际发生（按业主、监理人、中标人确认）进行计算，结算时依据实际工程量</w:t>
            </w:r>
            <w:r>
              <w:rPr>
                <w:rFonts w:ascii="宋体" w:hAnsi="宋体" w:cs="宋体"/>
                <w:color w:val="auto"/>
                <w:szCs w:val="21"/>
                <w:highlight w:val="none"/>
                <w:u w:val="single"/>
              </w:rPr>
              <w:t>×</w:t>
            </w:r>
            <w:r>
              <w:rPr>
                <w:rFonts w:hint="eastAsia" w:ascii="宋体" w:hAnsi="宋体" w:cs="宋体"/>
                <w:color w:val="auto"/>
                <w:szCs w:val="21"/>
                <w:highlight w:val="none"/>
                <w:u w:val="single"/>
              </w:rPr>
              <w:t>收费标准单价</w:t>
            </w:r>
            <w:r>
              <w:rPr>
                <w:rFonts w:ascii="宋体" w:hAnsi="宋体" w:cs="宋体"/>
                <w:color w:val="auto"/>
                <w:szCs w:val="21"/>
                <w:highlight w:val="none"/>
                <w:u w:val="single"/>
              </w:rPr>
              <w:t>×</w:t>
            </w:r>
            <w:r>
              <w:rPr>
                <w:rFonts w:hint="eastAsia" w:ascii="宋体" w:hAnsi="宋体" w:cs="宋体"/>
                <w:color w:val="auto"/>
                <w:szCs w:val="21"/>
                <w:highlight w:val="none"/>
                <w:u w:val="single"/>
              </w:rPr>
              <w:t>（1-投标下浮率）结算，结算价超过</w:t>
            </w:r>
            <w:r>
              <w:rPr>
                <w:rFonts w:hint="eastAsia" w:ascii="宋体" w:hAnsi="宋体" w:cs="宋体"/>
                <w:color w:val="auto"/>
                <w:szCs w:val="21"/>
                <w:highlight w:val="none"/>
                <w:u w:val="single"/>
                <w:lang w:eastAsia="zh-CN"/>
              </w:rPr>
              <w:t>本项目最高投标限价</w:t>
            </w:r>
            <w:r>
              <w:rPr>
                <w:rFonts w:hint="eastAsia" w:ascii="宋体" w:hAnsi="宋体" w:cs="宋体"/>
                <w:color w:val="auto"/>
                <w:szCs w:val="21"/>
                <w:highlight w:val="none"/>
                <w:u w:val="single"/>
              </w:rPr>
              <w:t>的，则按最终</w:t>
            </w:r>
            <w:r>
              <w:rPr>
                <w:rFonts w:hint="eastAsia" w:ascii="宋体" w:hAnsi="宋体" w:cs="宋体"/>
                <w:color w:val="auto"/>
                <w:szCs w:val="21"/>
                <w:highlight w:val="none"/>
                <w:u w:val="single"/>
                <w:lang w:eastAsia="zh-CN"/>
              </w:rPr>
              <w:t>最高投标限价为最终结算价</w:t>
            </w:r>
            <w:r>
              <w:rPr>
                <w:rFonts w:hint="eastAsia" w:ascii="宋体" w:hAnsi="宋体" w:cs="宋体"/>
                <w:color w:val="auto"/>
                <w:szCs w:val="21"/>
                <w:highlight w:val="none"/>
                <w:u w:val="single"/>
              </w:rPr>
              <w:t>（如有审计、以审计结果为准）。</w:t>
            </w:r>
          </w:p>
          <w:p w14:paraId="17C2A0CE">
            <w:pPr>
              <w:snapToGrid w:val="0"/>
              <w:rPr>
                <w:rFonts w:ascii="宋体" w:hAnsi="宋体" w:cs="宋体"/>
                <w:color w:val="auto"/>
                <w:szCs w:val="21"/>
                <w:highlight w:val="none"/>
              </w:rPr>
            </w:pPr>
            <w:r>
              <w:rPr>
                <w:rFonts w:hint="eastAsia" w:ascii="宋体" w:hAnsi="宋体" w:cs="宋体"/>
                <w:color w:val="auto"/>
                <w:szCs w:val="21"/>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19D90996">
            <w:pPr>
              <w:snapToGrid w:val="0"/>
              <w:rPr>
                <w:rFonts w:ascii="宋体" w:hAnsi="宋体" w:cs="宋体"/>
                <w:color w:val="auto"/>
                <w:szCs w:val="21"/>
                <w:highlight w:val="none"/>
              </w:rPr>
            </w:pPr>
            <w:r>
              <w:rPr>
                <w:rFonts w:hint="eastAsia" w:ascii="宋体" w:hAnsi="宋体" w:cs="宋体"/>
                <w:color w:val="auto"/>
                <w:szCs w:val="21"/>
                <w:highlight w:val="none"/>
              </w:rPr>
              <w:t>4、项目实际发生的工程量单价按不超过《广东省房屋建筑和市政工程质量安全检测收费指导价（第一批）》（粤建检协〔2015〕8号）、《广东省既有房屋建筑安全性鉴定收费指导价》的通知（粤建检协〔2015〕8号）、《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商确定，最终以评审审定为准，结算时按中标人投标时的下浮率结合合同相关条款进行结算，结算价超过经财政评审的概算中对应的检测服务的审定金额或最高投标限价的，则按评审审定金额和最高投标限价的低者为最终结算价（如有审计，以审计结果为准）。</w:t>
            </w:r>
          </w:p>
          <w:p w14:paraId="7658E7B5">
            <w:pPr>
              <w:snapToGrid w:val="0"/>
              <w:rPr>
                <w:rFonts w:ascii="宋体" w:hAnsi="宋体" w:cs="宋体"/>
                <w:color w:val="auto"/>
                <w:szCs w:val="21"/>
                <w:highlight w:val="none"/>
              </w:rPr>
            </w:pPr>
            <w:r>
              <w:rPr>
                <w:rFonts w:hint="eastAsia" w:ascii="宋体" w:hAnsi="宋体" w:cs="宋体"/>
                <w:color w:val="auto"/>
                <w:szCs w:val="21"/>
                <w:highlight w:val="none"/>
              </w:rPr>
              <w:t>5、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66E9A192">
            <w:pPr>
              <w:snapToGrid w:val="0"/>
              <w:rPr>
                <w:rFonts w:ascii="宋体" w:hAnsi="宋体" w:cs="宋体"/>
                <w:color w:val="auto"/>
                <w:szCs w:val="21"/>
                <w:highlight w:val="none"/>
                <w:u w:val="single"/>
              </w:rPr>
            </w:pPr>
            <w:r>
              <w:rPr>
                <w:rFonts w:hint="eastAsia" w:ascii="宋体" w:hAnsi="宋体" w:cs="宋体"/>
                <w:color w:val="auto"/>
                <w:szCs w:val="21"/>
                <w:highlight w:val="none"/>
              </w:rPr>
              <w:t>6、检测服务的工作量根据经招标人批准的检测方案，并结合现场实际情况由招标人、监理人、中标人三方进行签证确认，中标人自行增加的额外工作量将不被承认，最终以番禺区财政评审机构审定为准结算。</w:t>
            </w:r>
          </w:p>
        </w:tc>
      </w:tr>
      <w:tr w14:paraId="5D4C9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0A56136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613" w:type="dxa"/>
            <w:vAlign w:val="center"/>
          </w:tcPr>
          <w:p w14:paraId="14CF0A4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774" w:type="dxa"/>
            <w:vAlign w:val="center"/>
          </w:tcPr>
          <w:p w14:paraId="7A38E4F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14:paraId="639EF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6BF4246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613" w:type="dxa"/>
            <w:vAlign w:val="center"/>
          </w:tcPr>
          <w:p w14:paraId="187C02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774" w:type="dxa"/>
            <w:vAlign w:val="center"/>
          </w:tcPr>
          <w:p w14:paraId="47952041">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是否要求投标人递交投标保证金：</w:t>
            </w:r>
          </w:p>
          <w:p w14:paraId="7FF0109B">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要求</w:t>
            </w:r>
          </w:p>
          <w:p w14:paraId="0DBAC8B5">
            <w:pPr>
              <w:pStyle w:val="7"/>
              <w:topLinePunct/>
              <w:snapToGrid w:val="0"/>
              <w:spacing w:line="276" w:lineRule="auto"/>
              <w:rPr>
                <w:rFonts w:hAnsi="宋体" w:cs="宋体"/>
                <w:color w:val="auto"/>
                <w:sz w:val="21"/>
                <w:szCs w:val="21"/>
                <w:highlight w:val="none"/>
              </w:rPr>
            </w:pPr>
            <w:r>
              <w:rPr>
                <w:rFonts w:hint="eastAsia" w:hAnsi="宋体" w:cs="宋体"/>
                <w:b/>
                <w:color w:val="auto"/>
                <w:sz w:val="21"/>
                <w:szCs w:val="21"/>
                <w:highlight w:val="none"/>
              </w:rPr>
              <w:t>■</w:t>
            </w:r>
            <w:r>
              <w:rPr>
                <w:rFonts w:hint="eastAsia" w:hAnsi="宋体" w:cs="宋体"/>
                <w:color w:val="auto"/>
                <w:sz w:val="21"/>
                <w:szCs w:val="21"/>
                <w:highlight w:val="none"/>
              </w:rPr>
              <w:t>不要求</w:t>
            </w:r>
          </w:p>
          <w:p w14:paraId="7D865053">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1.本项目免收投标保证金，具体规定如下：提供《关于投标保证金的承诺》（详见投标文件格式三）。</w:t>
            </w:r>
          </w:p>
          <w:p w14:paraId="0428A855">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2.对于投标人已提供《关于投标保证金的承诺》，若投标人存在3.4.4条款所列情形，该投标人应在发现存在3.4.4条款所列情形之日起5个工作日内补交人民币4万元投标保证金；若未按要求补交投标保证金的将暂停其参与招标人后续工程投标，直至完成补交手续为止。</w:t>
            </w:r>
          </w:p>
        </w:tc>
      </w:tr>
      <w:tr w14:paraId="3776D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3F563FD9">
            <w:pPr>
              <w:snapToGrid w:val="0"/>
              <w:spacing w:line="276" w:lineRule="auto"/>
              <w:jc w:val="center"/>
              <w:rPr>
                <w:rFonts w:ascii="宋体" w:hAnsi="宋体" w:cs="宋体"/>
                <w:color w:val="auto"/>
                <w:szCs w:val="21"/>
                <w:highlight w:val="none"/>
              </w:rPr>
            </w:pPr>
            <w:r>
              <w:rPr>
                <w:rFonts w:ascii="宋体" w:hAnsi="宋体"/>
                <w:color w:val="auto"/>
                <w:szCs w:val="21"/>
                <w:highlight w:val="none"/>
              </w:rPr>
              <w:t>3.4.4</w:t>
            </w:r>
          </w:p>
        </w:tc>
        <w:tc>
          <w:tcPr>
            <w:tcW w:w="2613" w:type="dxa"/>
            <w:vAlign w:val="center"/>
          </w:tcPr>
          <w:p w14:paraId="5AC95337">
            <w:pPr>
              <w:snapToGrid w:val="0"/>
              <w:spacing w:line="276" w:lineRule="auto"/>
              <w:jc w:val="center"/>
              <w:rPr>
                <w:rFonts w:ascii="宋体" w:hAnsi="宋体" w:cs="宋体"/>
                <w:color w:val="auto"/>
                <w:szCs w:val="21"/>
                <w:highlight w:val="none"/>
              </w:rPr>
            </w:pPr>
            <w:r>
              <w:rPr>
                <w:rFonts w:ascii="宋体" w:hAnsi="宋体"/>
                <w:color w:val="auto"/>
                <w:szCs w:val="21"/>
                <w:highlight w:val="none"/>
              </w:rPr>
              <w:t>其他可以不予退还投标保证金的情形</w:t>
            </w:r>
          </w:p>
        </w:tc>
        <w:tc>
          <w:tcPr>
            <w:tcW w:w="5774" w:type="dxa"/>
            <w:vAlign w:val="center"/>
          </w:tcPr>
          <w:p w14:paraId="32989B36">
            <w:pPr>
              <w:spacing w:line="276" w:lineRule="auto"/>
              <w:rPr>
                <w:rFonts w:ascii="宋体" w:hAnsi="宋体" w:cs="宋体"/>
                <w:color w:val="auto"/>
                <w:szCs w:val="21"/>
                <w:highlight w:val="none"/>
              </w:rPr>
            </w:pPr>
            <w:r>
              <w:rPr>
                <w:rFonts w:hint="eastAsia" w:ascii="宋体" w:hAnsi="宋体" w:cs="宋体"/>
                <w:color w:val="auto"/>
                <w:szCs w:val="21"/>
                <w:highlight w:val="none"/>
              </w:rPr>
              <w:t>（1）若在中标通知书发放后15个日历天内，中标人未提交履约担保且未征得招标人同意延期缴交的，招标人有权取消其中标资格并没收其投标保证金，并由其他中标候选人顺次序替补。</w:t>
            </w:r>
          </w:p>
          <w:p w14:paraId="52789F89">
            <w:pPr>
              <w:spacing w:line="276" w:lineRule="auto"/>
              <w:rPr>
                <w:rFonts w:ascii="宋体" w:hAnsi="宋体" w:cs="宋体"/>
                <w:color w:val="auto"/>
                <w:szCs w:val="21"/>
                <w:highlight w:val="none"/>
              </w:rPr>
            </w:pPr>
            <w:r>
              <w:rPr>
                <w:rFonts w:hint="eastAsia" w:ascii="宋体" w:hAnsi="宋体" w:cs="宋体"/>
                <w:color w:val="auto"/>
                <w:szCs w:val="21"/>
                <w:highlight w:val="none"/>
              </w:rPr>
              <w:t>（2）中标通知书自广州公共资源交易中心交易平台发出之日，视作中标人确认收到。</w:t>
            </w:r>
          </w:p>
          <w:p w14:paraId="61D124C4">
            <w:pPr>
              <w:spacing w:line="276" w:lineRule="auto"/>
              <w:rPr>
                <w:rFonts w:ascii="宋体" w:hAnsi="宋体" w:cs="宋体"/>
                <w:color w:val="auto"/>
                <w:szCs w:val="21"/>
                <w:highlight w:val="none"/>
              </w:rPr>
            </w:pPr>
            <w:r>
              <w:rPr>
                <w:rFonts w:hint="eastAsia" w:ascii="宋体" w:hAnsi="宋体" w:cs="宋体"/>
                <w:color w:val="auto"/>
                <w:szCs w:val="21"/>
                <w:highlight w:val="none"/>
              </w:rPr>
              <w:t>（3）投标人采用不正当的手段，骗取中标，经查实的，招标人有权取消其中标资格，并由其他中标候选人顺次序替补。</w:t>
            </w:r>
          </w:p>
          <w:p w14:paraId="1335356F">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（4）中标人在发放中标通知书后</w:t>
            </w:r>
            <w:r>
              <w:rPr>
                <w:rFonts w:hint="eastAsia" w:hAnsi="宋体" w:cs="宋体"/>
                <w:color w:val="auto"/>
                <w:sz w:val="21"/>
                <w:szCs w:val="21"/>
                <w:highlight w:val="none"/>
                <w:u w:val="single"/>
              </w:rPr>
              <w:t>30</w:t>
            </w:r>
            <w:r>
              <w:rPr>
                <w:rFonts w:hint="eastAsia" w:hAnsi="宋体" w:cs="宋体"/>
                <w:color w:val="auto"/>
                <w:sz w:val="21"/>
                <w:szCs w:val="21"/>
                <w:highlight w:val="none"/>
              </w:rPr>
              <w:t>个日历天内，无正当理由不与招标人订立合同，在签订合同时向招标人提出附加条件的，招标人有权取消其中标资格并没收其补交的投标保证金，并由其他中标候选人顺次序替补。</w:t>
            </w:r>
          </w:p>
        </w:tc>
      </w:tr>
      <w:tr w14:paraId="37A40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59" w:type="dxa"/>
            <w:vAlign w:val="center"/>
          </w:tcPr>
          <w:p w14:paraId="42EF722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613" w:type="dxa"/>
            <w:vAlign w:val="center"/>
          </w:tcPr>
          <w:p w14:paraId="576BA2B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774" w:type="dxa"/>
            <w:vAlign w:val="center"/>
          </w:tcPr>
          <w:p w14:paraId="40CADAA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■无</w:t>
            </w:r>
          </w:p>
          <w:p w14:paraId="3EC38569">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r>
              <w:rPr>
                <w:rFonts w:hint="eastAsia" w:hAnsi="宋体"/>
                <w:color w:val="auto"/>
                <w:spacing w:val="-1"/>
                <w:sz w:val="21"/>
                <w:szCs w:val="21"/>
                <w:highlight w:val="none"/>
              </w:rPr>
              <w:t>/</w:t>
            </w:r>
          </w:p>
        </w:tc>
      </w:tr>
      <w:tr w14:paraId="124206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59" w:type="dxa"/>
            <w:vAlign w:val="center"/>
          </w:tcPr>
          <w:p w14:paraId="1F7742F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613" w:type="dxa"/>
            <w:vAlign w:val="center"/>
          </w:tcPr>
          <w:p w14:paraId="3B01513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774" w:type="dxa"/>
            <w:vAlign w:val="center"/>
          </w:tcPr>
          <w:p w14:paraId="489588D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tc>
      </w:tr>
      <w:tr w14:paraId="43EEB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59" w:type="dxa"/>
            <w:vAlign w:val="center"/>
          </w:tcPr>
          <w:p w14:paraId="0B58042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613" w:type="dxa"/>
            <w:vAlign w:val="center"/>
          </w:tcPr>
          <w:p w14:paraId="2313FD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774" w:type="dxa"/>
            <w:vAlign w:val="center"/>
          </w:tcPr>
          <w:p w14:paraId="13878560">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tc>
      </w:tr>
      <w:tr w14:paraId="14C5F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59" w:type="dxa"/>
            <w:vAlign w:val="center"/>
          </w:tcPr>
          <w:p w14:paraId="0BFD95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613" w:type="dxa"/>
            <w:vAlign w:val="center"/>
          </w:tcPr>
          <w:p w14:paraId="1486F6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5774" w:type="dxa"/>
            <w:vAlign w:val="center"/>
          </w:tcPr>
          <w:p w14:paraId="3C6D0EA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14:paraId="2B54B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959" w:type="dxa"/>
            <w:vAlign w:val="center"/>
          </w:tcPr>
          <w:p w14:paraId="20E8EB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613" w:type="dxa"/>
            <w:vAlign w:val="center"/>
          </w:tcPr>
          <w:p w14:paraId="2BC6A04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74" w:type="dxa"/>
            <w:vAlign w:val="center"/>
          </w:tcPr>
          <w:p w14:paraId="12531449">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14:paraId="4A00998B">
            <w:pPr>
              <w:spacing w:line="276" w:lineRule="auto"/>
              <w:rPr>
                <w:rFonts w:ascii="宋体" w:hAnsi="宋体" w:cs="宋体"/>
                <w:color w:val="auto"/>
                <w:szCs w:val="21"/>
                <w:highlight w:val="none"/>
              </w:rPr>
            </w:pPr>
            <w:r>
              <w:rPr>
                <w:rFonts w:hint="eastAsia" w:ascii="宋体" w:hAnsi="宋体" w:cs="宋体"/>
                <w:color w:val="auto"/>
                <w:szCs w:val="21"/>
                <w:highlight w:val="none"/>
              </w:rPr>
              <w:t>□允许</w:t>
            </w:r>
          </w:p>
        </w:tc>
      </w:tr>
      <w:tr w14:paraId="393C2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959" w:type="dxa"/>
            <w:vAlign w:val="center"/>
          </w:tcPr>
          <w:p w14:paraId="4DC0EB4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04AE686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774" w:type="dxa"/>
            <w:vAlign w:val="center"/>
          </w:tcPr>
          <w:p w14:paraId="44D8D64E">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证书证件需为原件清晰扫描件，并采用单位数字证书，按照招标文件要求在相应位置加盖电子印章。</w:t>
            </w:r>
          </w:p>
        </w:tc>
      </w:tr>
      <w:tr w14:paraId="7B02B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2CA6210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192264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774" w:type="dxa"/>
            <w:vAlign w:val="center"/>
          </w:tcPr>
          <w:p w14:paraId="41DDA855">
            <w:pPr>
              <w:pStyle w:val="7"/>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u w:val="single"/>
              </w:rPr>
              <w:t>取消在招标文件中采用个人数字证书和加盖个人电子印章要求，投标文件中需个人签字或盖章的，应手签后扫描上传。投标文件按招标文件要求加盖单位电子印章。具体操作详见广州交易集团有限公司（广州公共资源交易中心）网站发布的最新版操作指引。</w:t>
            </w:r>
          </w:p>
          <w:p w14:paraId="4753D91E">
            <w:pPr>
              <w:pStyle w:val="7"/>
              <w:topLinePunct/>
              <w:snapToGrid w:val="0"/>
              <w:spacing w:line="276" w:lineRule="auto"/>
              <w:rPr>
                <w:rFonts w:hAnsi="宋体" w:cs="宋体"/>
                <w:color w:val="auto"/>
                <w:szCs w:val="21"/>
                <w:highlight w:val="none"/>
                <w:u w:val="single"/>
              </w:rPr>
            </w:pPr>
            <w:r>
              <w:rPr>
                <w:rFonts w:hAnsi="宋体" w:cs="宋体"/>
                <w:color w:val="auto"/>
                <w:sz w:val="21"/>
                <w:szCs w:val="21"/>
                <w:highlight w:val="none"/>
                <w:u w:val="single"/>
              </w:rPr>
              <w:t>联合体投标时，除“联合体协议书”需由联合体各方分别按要求进行签字或盖章外，其他资料若需要签字或盖章的均可由联合体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签字或盖章即可；投标资料封面及其他内容及落款中的“</w:t>
            </w:r>
            <w:r>
              <w:rPr>
                <w:rFonts w:hint="eastAsia" w:hAnsi="宋体" w:cs="宋体"/>
                <w:color w:val="auto"/>
                <w:sz w:val="21"/>
                <w:szCs w:val="21"/>
                <w:highlight w:val="none"/>
                <w:u w:val="single"/>
              </w:rPr>
              <w:t>投标单位</w:t>
            </w:r>
            <w:r>
              <w:rPr>
                <w:rFonts w:hAnsi="宋体" w:cs="宋体"/>
                <w:color w:val="auto"/>
                <w:sz w:val="21"/>
                <w:szCs w:val="21"/>
                <w:highlight w:val="none"/>
                <w:u w:val="single"/>
              </w:rPr>
              <w:t>”应填写联合体各方的单位全称【格式示例为：（主）单位全称（成）单位全称】，由联合体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按要求签字或盖章即可。电子</w:t>
            </w:r>
            <w:r>
              <w:rPr>
                <w:rFonts w:hint="eastAsia" w:hAnsi="宋体" w:cs="宋体"/>
                <w:color w:val="auto"/>
                <w:sz w:val="21"/>
                <w:szCs w:val="21"/>
                <w:highlight w:val="none"/>
                <w:u w:val="single"/>
              </w:rPr>
              <w:t>印</w:t>
            </w:r>
            <w:r>
              <w:rPr>
                <w:rFonts w:hAnsi="宋体" w:cs="宋体"/>
                <w:color w:val="auto"/>
                <w:sz w:val="21"/>
                <w:szCs w:val="21"/>
                <w:highlight w:val="none"/>
                <w:u w:val="single"/>
              </w:rPr>
              <w:t>章由</w:t>
            </w:r>
            <w:r>
              <w:rPr>
                <w:rFonts w:hint="eastAsia" w:hAnsi="宋体" w:cs="宋体"/>
                <w:color w:val="auto"/>
                <w:sz w:val="21"/>
                <w:szCs w:val="21"/>
                <w:highlight w:val="none"/>
                <w:u w:val="single"/>
              </w:rPr>
              <w:t>牵头方</w:t>
            </w:r>
            <w:r>
              <w:rPr>
                <w:rFonts w:hAnsi="宋体" w:cs="宋体"/>
                <w:color w:val="auto"/>
                <w:sz w:val="21"/>
                <w:szCs w:val="21"/>
                <w:highlight w:val="none"/>
                <w:u w:val="single"/>
              </w:rPr>
              <w:t>进行签章即可。</w:t>
            </w:r>
          </w:p>
        </w:tc>
      </w:tr>
      <w:tr w14:paraId="0B628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7EA1587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613" w:type="dxa"/>
            <w:vAlign w:val="center"/>
          </w:tcPr>
          <w:p w14:paraId="797A6F4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5774" w:type="dxa"/>
            <w:vAlign w:val="center"/>
          </w:tcPr>
          <w:p w14:paraId="63838AC5">
            <w:pPr>
              <w:pStyle w:val="7"/>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rPr>
              <w:t>网上递交的电子投标文件须进行加密。具体操作详见广州交易集团有限公司（广州公共资源交易中心）网站发布的最新版操作指引。</w:t>
            </w:r>
          </w:p>
        </w:tc>
      </w:tr>
      <w:tr w14:paraId="452C51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959" w:type="dxa"/>
            <w:vAlign w:val="center"/>
          </w:tcPr>
          <w:p w14:paraId="7294D5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613" w:type="dxa"/>
            <w:vAlign w:val="center"/>
          </w:tcPr>
          <w:p w14:paraId="468E1DC7">
            <w:pPr>
              <w:snapToGrid w:val="0"/>
              <w:spacing w:line="276"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774" w:type="dxa"/>
            <w:vAlign w:val="center"/>
          </w:tcPr>
          <w:p w14:paraId="63182F03">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对递交的备用投标文件电子光盘要求封装。</w:t>
            </w:r>
          </w:p>
          <w:p w14:paraId="0E328696">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招标人名称：广州市番禺区基本建设投资管理中心</w:t>
            </w:r>
          </w:p>
          <w:p w14:paraId="5FCCFB36">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招标人地址：广州市番禺区清河东路319号西副楼六楼</w:t>
            </w:r>
          </w:p>
          <w:p w14:paraId="6232665C">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lang w:eastAsia="zh-CN"/>
              </w:rPr>
              <w:t>番禺汽车城金轩二路B线工程检测</w:t>
            </w:r>
            <w:r>
              <w:rPr>
                <w:rFonts w:hint="eastAsia" w:hAnsi="宋体" w:cs="宋体"/>
                <w:color w:val="auto"/>
                <w:sz w:val="21"/>
                <w:szCs w:val="21"/>
                <w:highlight w:val="none"/>
              </w:rPr>
              <w:t>投标文件</w:t>
            </w:r>
          </w:p>
          <w:p w14:paraId="54DC4AF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招标项目编号：</w:t>
            </w:r>
          </w:p>
          <w:p w14:paraId="4062F11A">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在2025年  月  日   时前不得开启</w:t>
            </w:r>
          </w:p>
        </w:tc>
      </w:tr>
      <w:tr w14:paraId="4F385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59" w:type="dxa"/>
            <w:vAlign w:val="center"/>
          </w:tcPr>
          <w:p w14:paraId="2B8F115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613" w:type="dxa"/>
            <w:vAlign w:val="center"/>
          </w:tcPr>
          <w:p w14:paraId="33499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774" w:type="dxa"/>
            <w:vAlign w:val="center"/>
          </w:tcPr>
          <w:p w14:paraId="44F0993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2025年  月  日  时  分（北京时间）</w:t>
            </w:r>
          </w:p>
          <w:p w14:paraId="2BA562BE">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14:paraId="13E16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959" w:type="dxa"/>
            <w:vAlign w:val="center"/>
          </w:tcPr>
          <w:p w14:paraId="3CEE24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613" w:type="dxa"/>
            <w:vAlign w:val="center"/>
          </w:tcPr>
          <w:p w14:paraId="49518F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递交电子投标文件交易平台</w:t>
            </w:r>
          </w:p>
        </w:tc>
        <w:tc>
          <w:tcPr>
            <w:tcW w:w="5774" w:type="dxa"/>
            <w:vAlign w:val="center"/>
          </w:tcPr>
          <w:p w14:paraId="002DDDD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1.递交方式：网上递交投标文件</w:t>
            </w:r>
          </w:p>
          <w:p w14:paraId="5D88D7D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2.递交投标文件的起始时间：（详见广州交易集团有限公司（广州公共资源交易中心）网站信息）。</w:t>
            </w:r>
          </w:p>
          <w:p w14:paraId="77922FF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截止时间：（详见广州交易集团有限公司（广州公共资源交易中心）网站信息）</w:t>
            </w:r>
          </w:p>
          <w:p w14:paraId="6755FC56">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3.地点：广州交易集团有限公司（广州公共资源交易中心）网站。</w:t>
            </w:r>
          </w:p>
          <w:p w14:paraId="456729C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请密切留意招标答疑中的相关信息。也可登录广州交易集团有限公司（广州公共资源交易中心）网站首页，点击“服务指南”专栏中的“交易活动安排”，输入项目编号或项目名称查询最新信息。</w:t>
            </w:r>
          </w:p>
        </w:tc>
      </w:tr>
      <w:tr w14:paraId="72BD8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59" w:type="dxa"/>
            <w:vAlign w:val="center"/>
          </w:tcPr>
          <w:p w14:paraId="08FCD98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613" w:type="dxa"/>
            <w:vAlign w:val="center"/>
          </w:tcPr>
          <w:p w14:paraId="3CAB20C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5774" w:type="dxa"/>
            <w:vAlign w:val="center"/>
          </w:tcPr>
          <w:p w14:paraId="6B7D21A5">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■否</w:t>
            </w:r>
          </w:p>
          <w:p w14:paraId="3704BE02">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□是，退还时间：</w:t>
            </w:r>
          </w:p>
        </w:tc>
      </w:tr>
      <w:tr w14:paraId="4AFA6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959" w:type="dxa"/>
            <w:vAlign w:val="center"/>
          </w:tcPr>
          <w:p w14:paraId="7A9182B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613" w:type="dxa"/>
            <w:vAlign w:val="center"/>
          </w:tcPr>
          <w:p w14:paraId="353572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774" w:type="dxa"/>
            <w:vAlign w:val="center"/>
          </w:tcPr>
          <w:p w14:paraId="3F6479AC">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14:paraId="130EBD2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w:t>
            </w:r>
          </w:p>
        </w:tc>
      </w:tr>
      <w:tr w14:paraId="7F81B1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959" w:type="dxa"/>
            <w:vAlign w:val="center"/>
          </w:tcPr>
          <w:p w14:paraId="038032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613" w:type="dxa"/>
            <w:vAlign w:val="center"/>
          </w:tcPr>
          <w:p w14:paraId="64D0CB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774" w:type="dxa"/>
            <w:vAlign w:val="center"/>
          </w:tcPr>
          <w:p w14:paraId="059512B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346A2FF8">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3AB8019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05047544">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617B916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4F77D09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（4）投标人通过电子招标投标交易平台对已递交的电子投标文件进行解密，公布招标项目名称、投标人名称、投标总报价、服务期限及其他内容，并记录在案；</w:t>
            </w:r>
          </w:p>
          <w:p w14:paraId="553DD05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（5）投标人代表、招标人代表、监标人、记录人等有关人员在开标记录上签字确认；若有关人员不签字的，不影响开标程序；</w:t>
            </w:r>
          </w:p>
          <w:p w14:paraId="3B0F628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3EAD656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之外原因解密失败且未递交电子光盘或递交的电子光盘不能读取的，视为撤销其投标文件。</w:t>
            </w:r>
          </w:p>
          <w:p w14:paraId="7933F4E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77EE7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959" w:type="dxa"/>
            <w:vAlign w:val="center"/>
          </w:tcPr>
          <w:p w14:paraId="3D76DD9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613" w:type="dxa"/>
            <w:vAlign w:val="center"/>
          </w:tcPr>
          <w:p w14:paraId="04228A4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774" w:type="dxa"/>
            <w:vAlign w:val="center"/>
          </w:tcPr>
          <w:p w14:paraId="6EBADDE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6C82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2DD9BF2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6.3.2</w:t>
            </w:r>
          </w:p>
        </w:tc>
        <w:tc>
          <w:tcPr>
            <w:tcW w:w="2613" w:type="dxa"/>
            <w:vAlign w:val="center"/>
          </w:tcPr>
          <w:p w14:paraId="3C7591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5774" w:type="dxa"/>
            <w:vAlign w:val="center"/>
          </w:tcPr>
          <w:p w14:paraId="50366BD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3人</w:t>
            </w:r>
          </w:p>
        </w:tc>
      </w:tr>
      <w:tr w14:paraId="1D10C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959" w:type="dxa"/>
            <w:vAlign w:val="center"/>
          </w:tcPr>
          <w:p w14:paraId="64E2314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613" w:type="dxa"/>
            <w:vAlign w:val="center"/>
          </w:tcPr>
          <w:p w14:paraId="72A1125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774" w:type="dxa"/>
            <w:vAlign w:val="center"/>
          </w:tcPr>
          <w:p w14:paraId="2DBD6D70">
            <w:pPr>
              <w:spacing w:line="276" w:lineRule="auto"/>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14:paraId="7CFB2CB3">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13FF8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59" w:type="dxa"/>
            <w:vAlign w:val="center"/>
          </w:tcPr>
          <w:p w14:paraId="00A1657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613" w:type="dxa"/>
            <w:vAlign w:val="center"/>
          </w:tcPr>
          <w:p w14:paraId="3EB84F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74" w:type="dxa"/>
            <w:vAlign w:val="center"/>
          </w:tcPr>
          <w:p w14:paraId="77AFE835">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p w14:paraId="245FE763">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tc>
      </w:tr>
      <w:tr w14:paraId="3D0B6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959" w:type="dxa"/>
            <w:vAlign w:val="center"/>
          </w:tcPr>
          <w:p w14:paraId="7610DFB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613" w:type="dxa"/>
            <w:vAlign w:val="center"/>
          </w:tcPr>
          <w:p w14:paraId="7B6A8E4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774" w:type="dxa"/>
            <w:vAlign w:val="center"/>
          </w:tcPr>
          <w:p w14:paraId="2C806652">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是否要求中标人提交履约担保。</w:t>
            </w:r>
          </w:p>
          <w:p w14:paraId="17C07985">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□否</w:t>
            </w:r>
          </w:p>
          <w:p w14:paraId="4B524992">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√要求</w:t>
            </w:r>
          </w:p>
          <w:p w14:paraId="3C00547C">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中标人提供的履约担保为中标价的10% ，中标通知书发放后15个日历天内,中标人须向招标人提交履约担保，履约担保可采用现金或支票或汇票等有效方式提交，若中标人以银行转账或银行保函方式提供的，可按以下方式提交：</w:t>
            </w:r>
          </w:p>
          <w:p w14:paraId="67C72BA9">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391A9A81">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方式二：中标人按本合同附件中的格式1向发包人提供保证额为中标价款的10%的履约保证金银行保函，该银行保函应由在中国注册的银行开具。</w:t>
            </w:r>
          </w:p>
          <w:p w14:paraId="3285B463">
            <w:pPr>
              <w:pStyle w:val="7"/>
              <w:topLinePunct/>
              <w:spacing w:line="276" w:lineRule="auto"/>
              <w:rPr>
                <w:rFonts w:hAnsi="宋体" w:cs="宋体"/>
                <w:color w:val="auto"/>
                <w:sz w:val="21"/>
                <w:szCs w:val="21"/>
                <w:highlight w:val="none"/>
              </w:rPr>
            </w:pPr>
            <w:r>
              <w:rPr>
                <w:rFonts w:hint="eastAsia" w:hAnsi="宋体" w:cs="宋体"/>
                <w:bCs/>
                <w:color w:val="auto"/>
                <w:sz w:val="21"/>
                <w:szCs w:val="21"/>
                <w:highlight w:val="none"/>
              </w:rPr>
              <w:t>若在中标通知书发放后15个日历天内，中标人未提交履约担保且未征得招标人同意延期缴交的，招标人有权取消其中标资格并没收补交的投标保证金，并由其他中标候选人顺次序替补。</w:t>
            </w:r>
          </w:p>
        </w:tc>
      </w:tr>
      <w:tr w14:paraId="4B570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959" w:type="dxa"/>
            <w:vAlign w:val="center"/>
          </w:tcPr>
          <w:p w14:paraId="0F3AD7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613" w:type="dxa"/>
            <w:vAlign w:val="center"/>
          </w:tcPr>
          <w:p w14:paraId="709D2A9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5774" w:type="dxa"/>
            <w:vAlign w:val="center"/>
          </w:tcPr>
          <w:p w14:paraId="7988865E">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p w14:paraId="70EE6C17">
            <w:pPr>
              <w:spacing w:line="276" w:lineRule="auto"/>
              <w:ind w:left="2099" w:leftChars="3" w:hanging="2093" w:hangingChars="997"/>
              <w:rPr>
                <w:rFonts w:ascii="宋体" w:hAnsi="宋体" w:cs="宋体"/>
                <w:color w:val="auto"/>
                <w:szCs w:val="21"/>
                <w:highlight w:val="none"/>
              </w:rPr>
            </w:pPr>
            <w:r>
              <w:rPr>
                <w:rFonts w:hint="eastAsia" w:ascii="宋体" w:hAnsi="宋体" w:cs="宋体"/>
                <w:color w:val="auto"/>
                <w:szCs w:val="21"/>
                <w:highlight w:val="none"/>
              </w:rPr>
              <w:t>■是，具体要求：</w:t>
            </w:r>
          </w:p>
          <w:p w14:paraId="32FA3946">
            <w:pPr>
              <w:spacing w:line="276" w:lineRule="auto"/>
              <w:ind w:left="187" w:leftChars="89"/>
              <w:rPr>
                <w:rFonts w:ascii="宋体" w:hAnsi="宋体" w:cs="宋体"/>
                <w:color w:val="auto"/>
                <w:szCs w:val="21"/>
                <w:highlight w:val="none"/>
                <w:u w:val="single"/>
              </w:rPr>
            </w:pPr>
            <w:r>
              <w:rPr>
                <w:rFonts w:hint="eastAsia" w:ascii="宋体" w:hAnsi="宋体" w:cs="宋体"/>
                <w:color w:val="auto"/>
                <w:szCs w:val="21"/>
                <w:highlight w:val="none"/>
                <w:u w:val="single"/>
              </w:rPr>
              <w:t>1.具体操作详见广州交易集团有限公司（广州公共资源交易中心）网站发布的最新版操作指引。</w:t>
            </w:r>
          </w:p>
          <w:p w14:paraId="013157E3">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3392FB66">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投标人可按广州交易集团有限公司（广州公共资源交易中心）网站发布的最新版操作指引的操作方法制作的非加密的电子投标文件刻入光盘（1份），</w:t>
            </w:r>
            <w:r>
              <w:rPr>
                <w:rFonts w:hint="eastAsia" w:ascii="宋体" w:hAnsi="宋体" w:cs="宋体"/>
                <w:color w:val="auto"/>
                <w:szCs w:val="21"/>
                <w:highlight w:val="none"/>
              </w:rPr>
              <w:t>在开标现场（投标截止时间前）</w:t>
            </w:r>
            <w:r>
              <w:rPr>
                <w:rFonts w:hint="eastAsia" w:ascii="宋体" w:hAnsi="宋体" w:cs="宋体"/>
                <w:color w:val="auto"/>
                <w:szCs w:val="21"/>
                <w:highlight w:val="none"/>
                <w:u w:val="singl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现场提交的光盘。</w:t>
            </w:r>
          </w:p>
          <w:p w14:paraId="576AFC4C">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62A51408">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0C313E58">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1A170C9E">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749CFDE7">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30A6EAED">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78723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59" w:type="dxa"/>
            <w:vAlign w:val="center"/>
          </w:tcPr>
          <w:p w14:paraId="7158A25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613" w:type="dxa"/>
            <w:vAlign w:val="center"/>
          </w:tcPr>
          <w:p w14:paraId="226E71B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29128896">
            <w:pPr>
              <w:keepNext/>
              <w:keepLines/>
              <w:snapToGrid w:val="0"/>
              <w:spacing w:line="276" w:lineRule="auto"/>
              <w:outlineLvl w:val="0"/>
              <w:rPr>
                <w:rFonts w:ascii="宋体" w:hAnsi="宋体" w:cs="宋体"/>
                <w:color w:val="auto"/>
                <w:szCs w:val="21"/>
                <w:highlight w:val="none"/>
              </w:rPr>
            </w:pPr>
          </w:p>
        </w:tc>
      </w:tr>
      <w:tr w14:paraId="517D69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959" w:type="dxa"/>
            <w:vAlign w:val="center"/>
          </w:tcPr>
          <w:p w14:paraId="2005274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613" w:type="dxa"/>
            <w:vAlign w:val="center"/>
          </w:tcPr>
          <w:p w14:paraId="14203A4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5774" w:type="dxa"/>
            <w:vAlign w:val="center"/>
          </w:tcPr>
          <w:p w14:paraId="57F66803">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7CB36ECB">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67F35D38">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6FAB97F4">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3.存在围标或串标情形的；</w:t>
            </w:r>
          </w:p>
          <w:p w14:paraId="38835C7E">
            <w:pPr>
              <w:spacing w:line="276" w:lineRule="auto"/>
              <w:rPr>
                <w:rFonts w:ascii="宋体" w:hAnsi="宋体" w:cs="宋体"/>
                <w:color w:val="auto"/>
                <w:szCs w:val="21"/>
                <w:highlight w:val="none"/>
              </w:rPr>
            </w:pPr>
            <w:r>
              <w:rPr>
                <w:rFonts w:hint="eastAsia" w:ascii="宋体" w:hAnsi="宋体"/>
                <w:color w:val="auto"/>
                <w:szCs w:val="21"/>
                <w:highlight w:val="none"/>
              </w:rPr>
              <w:t>4.存在弄虚作假骗取中标情形的；</w:t>
            </w:r>
          </w:p>
        </w:tc>
      </w:tr>
      <w:tr w14:paraId="74722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44BEB68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613" w:type="dxa"/>
            <w:vAlign w:val="center"/>
          </w:tcPr>
          <w:p w14:paraId="57252B2E">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5774" w:type="dxa"/>
            <w:vAlign w:val="center"/>
          </w:tcPr>
          <w:p w14:paraId="60798A5E">
            <w:pPr>
              <w:pStyle w:val="6"/>
              <w:spacing w:line="276" w:lineRule="auto"/>
              <w:rPr>
                <w:rFonts w:ascii="宋体" w:hAnsi="宋体" w:cs="宋体"/>
                <w:strike/>
                <w:color w:val="auto"/>
                <w:szCs w:val="21"/>
                <w:highlight w:val="none"/>
              </w:rPr>
            </w:pPr>
            <w:r>
              <w:rPr>
                <w:rFonts w:hint="eastAsia" w:ascii="宋体" w:hAnsi="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30EB9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9" w:type="dxa"/>
            <w:vAlign w:val="center"/>
          </w:tcPr>
          <w:p w14:paraId="4D6FDFB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613" w:type="dxa"/>
            <w:vAlign w:val="center"/>
          </w:tcPr>
          <w:p w14:paraId="1B6ACBE3">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48DF6613">
            <w:pPr>
              <w:pStyle w:val="6"/>
              <w:spacing w:line="276" w:lineRule="auto"/>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在产生中标候选人后，招标人将中标候选人的投标文件商务部分的电子版（报价清单、方案等涉及商业秘密的内容除外）在广州公共资源交易中心网站公开。</w:t>
            </w:r>
          </w:p>
          <w:p w14:paraId="632B62E7">
            <w:pPr>
              <w:pStyle w:val="6"/>
              <w:spacing w:line="276" w:lineRule="auto"/>
              <w:rPr>
                <w:rFonts w:ascii="宋体" w:hAnsi="宋体"/>
                <w:color w:val="auto"/>
                <w:szCs w:val="21"/>
                <w:highlight w:val="none"/>
              </w:rPr>
            </w:pPr>
            <w:r>
              <w:rPr>
                <w:rFonts w:hint="eastAsia" w:ascii="宋体" w:hAnsi="宋体"/>
                <w:color w:val="auto"/>
                <w:szCs w:val="21"/>
                <w:highlight w:val="none"/>
              </w:rPr>
              <w:t>2.中标人代缴广州公共资源交易中心交易服务费，其费用包含在中标人报价中，由广州公共资源交易中心向中标人开具增值税发票。</w:t>
            </w:r>
          </w:p>
          <w:p w14:paraId="3B55C486">
            <w:pPr>
              <w:pStyle w:val="6"/>
              <w:spacing w:line="276" w:lineRule="auto"/>
              <w:rPr>
                <w:rFonts w:ascii="宋体" w:hAnsi="宋体"/>
                <w:color w:val="auto"/>
                <w:szCs w:val="21"/>
                <w:highlight w:val="none"/>
              </w:rPr>
            </w:pPr>
            <w:r>
              <w:rPr>
                <w:rFonts w:hint="eastAsia" w:ascii="宋体" w:hAnsi="宋体"/>
                <w:color w:val="auto"/>
                <w:szCs w:val="21"/>
                <w:highlight w:val="none"/>
              </w:rPr>
              <w:t>3.发放中标通知书后3个工作日内投标人需到招标人处，在招标人、招标代理、投标人三方共同见证下，将在广州公共资源交易中心网站下载的投标文件打印，并三方签名确认，投标人加盖公章，然后再复印4套，合共5套投标文件提供给招标人，相关费用由投标人支付。</w:t>
            </w:r>
          </w:p>
        </w:tc>
      </w:tr>
    </w:tbl>
    <w:p w14:paraId="5C7A91BA">
      <w:pPr>
        <w:keepNext/>
        <w:keepLines/>
        <w:spacing w:line="360" w:lineRule="auto"/>
        <w:jc w:val="center"/>
        <w:outlineLvl w:val="1"/>
        <w:rPr>
          <w:rFonts w:ascii="宋体" w:hAnsi="宋体" w:cs="宋体"/>
          <w:b/>
          <w:bCs/>
          <w:color w:val="auto"/>
          <w:kern w:val="44"/>
          <w:sz w:val="36"/>
          <w:szCs w:val="36"/>
          <w:highlight w:val="none"/>
        </w:rPr>
      </w:pPr>
      <w:r>
        <w:rPr>
          <w:rFonts w:hint="eastAsia" w:ascii="宋体" w:hAnsi="宋体" w:cs="宋体"/>
          <w:b/>
          <w:bCs/>
          <w:color w:val="auto"/>
          <w:kern w:val="44"/>
          <w:sz w:val="44"/>
          <w:szCs w:val="44"/>
          <w:highlight w:val="none"/>
        </w:rPr>
        <w:br w:type="page"/>
      </w:r>
      <w:bookmarkStart w:id="32" w:name="_Toc7730"/>
      <w:bookmarkStart w:id="33" w:name="_Toc21141"/>
      <w:bookmarkStart w:id="34" w:name="_Toc532367872"/>
      <w:bookmarkStart w:id="35" w:name="_Toc191"/>
      <w:bookmarkStart w:id="36" w:name="_Toc12986"/>
      <w:r>
        <w:rPr>
          <w:rFonts w:hint="eastAsia" w:ascii="宋体" w:hAnsi="宋体" w:cs="宋体"/>
          <w:b/>
          <w:bCs/>
          <w:color w:val="auto"/>
          <w:kern w:val="44"/>
          <w:sz w:val="36"/>
          <w:szCs w:val="36"/>
          <w:highlight w:val="none"/>
        </w:rPr>
        <w:t>投标人须知</w:t>
      </w:r>
      <w:bookmarkEnd w:id="32"/>
      <w:bookmarkEnd w:id="33"/>
      <w:bookmarkEnd w:id="34"/>
      <w:bookmarkEnd w:id="35"/>
      <w:bookmarkEnd w:id="36"/>
    </w:p>
    <w:p w14:paraId="23DF643B">
      <w:pPr>
        <w:keepNext/>
        <w:keepLines/>
        <w:spacing w:line="360" w:lineRule="auto"/>
        <w:jc w:val="left"/>
        <w:outlineLvl w:val="1"/>
        <w:rPr>
          <w:rFonts w:ascii="宋体" w:hAnsi="宋体" w:cs="宋体"/>
          <w:b/>
          <w:bCs/>
          <w:color w:val="auto"/>
          <w:sz w:val="32"/>
          <w:szCs w:val="32"/>
          <w:highlight w:val="none"/>
        </w:rPr>
      </w:pPr>
      <w:bookmarkStart w:id="37" w:name="_Toc7950"/>
      <w:bookmarkStart w:id="38" w:name="_Toc8300"/>
      <w:bookmarkStart w:id="39" w:name="_Toc31905"/>
      <w:bookmarkStart w:id="40" w:name="_Toc30141"/>
      <w:bookmarkStart w:id="41" w:name="_Toc27896"/>
      <w:bookmarkStart w:id="42" w:name="_Toc6964"/>
      <w:bookmarkStart w:id="43" w:name="_Toc32719"/>
      <w:bookmarkStart w:id="44" w:name="_Toc21041"/>
      <w:bookmarkStart w:id="45" w:name="_Toc377719900"/>
      <w:bookmarkStart w:id="46" w:name="_Toc532367873"/>
      <w:bookmarkStart w:id="47" w:name="_Toc13865"/>
      <w:bookmarkStart w:id="48" w:name="_Toc29394"/>
      <w:bookmarkStart w:id="49" w:name="_Toc9352"/>
      <w:r>
        <w:rPr>
          <w:rFonts w:hint="eastAsia" w:ascii="宋体" w:hAnsi="宋体" w:cs="宋体"/>
          <w:b/>
          <w:bCs/>
          <w:color w:val="auto"/>
          <w:sz w:val="32"/>
          <w:szCs w:val="32"/>
          <w:highlight w:val="none"/>
        </w:rPr>
        <w:t>1.总则</w:t>
      </w:r>
      <w:bookmarkEnd w:id="37"/>
      <w:bookmarkEnd w:id="38"/>
      <w:bookmarkEnd w:id="39"/>
      <w:bookmarkEnd w:id="40"/>
      <w:bookmarkEnd w:id="41"/>
      <w:bookmarkEnd w:id="42"/>
      <w:bookmarkEnd w:id="43"/>
      <w:bookmarkEnd w:id="44"/>
      <w:bookmarkEnd w:id="45"/>
      <w:bookmarkEnd w:id="46"/>
      <w:bookmarkEnd w:id="47"/>
      <w:bookmarkEnd w:id="48"/>
      <w:bookmarkEnd w:id="49"/>
    </w:p>
    <w:p w14:paraId="60E81E8D">
      <w:pPr>
        <w:keepNext/>
        <w:keepLines/>
        <w:spacing w:line="360" w:lineRule="auto"/>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1.1 招标项目概况</w:t>
      </w:r>
    </w:p>
    <w:p w14:paraId="36AAA8CB">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1.1.1根据《中华人民共和国招标投标法》、《中华人民共和国招标投标法实施条例》等有关法律、法规和规章的规定，本招标项目已具备招标条件，现对检测服务进行招标。</w:t>
      </w:r>
    </w:p>
    <w:p w14:paraId="4541C38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407A5AC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3245A7E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657B97F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47189CD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057D1C83">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678E2002">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1.1.8建筑安装工程费/工程概算：见投标人须知前附表。</w:t>
      </w:r>
    </w:p>
    <w:p w14:paraId="0E56F3A8">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1.2 招标项目的资金来源和落实情况</w:t>
      </w:r>
    </w:p>
    <w:p w14:paraId="30321786">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14:paraId="699FAA97">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14:paraId="1C35F990">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1.3 招标内容、服务期限和质量标准</w:t>
      </w:r>
    </w:p>
    <w:p w14:paraId="26A28C54">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1.3.1招标范围及内容：见投标人须知前附表。</w:t>
      </w:r>
    </w:p>
    <w:p w14:paraId="599D4D3A">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14:paraId="7EF0253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14:paraId="776EF024">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1.4 投标人资格要求</w:t>
      </w:r>
    </w:p>
    <w:p w14:paraId="73F46D3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14:paraId="74BE585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14:paraId="0E8ADE5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14:paraId="437F2D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14:paraId="4C06C3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14:paraId="1379C41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（5）项目负责人的资格要求：具体要求见投标人须知前附表；</w:t>
      </w:r>
    </w:p>
    <w:p w14:paraId="5F82E3D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14:paraId="29901B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（7）试验检测仪器设备要求：见投标人须知前附表。</w:t>
      </w:r>
    </w:p>
    <w:p w14:paraId="4945CA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14:paraId="7BDED7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4DD927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（1）联合体各方应按招标文件提供的格式签订联合体协议书，明确联合体牵头方和各方权利义务，并承诺就中标项目向招标人承担连带责任；</w:t>
      </w:r>
    </w:p>
    <w:p w14:paraId="5DEF6FB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（2）联合体各方不得再以自己名义单独或参加其他联合体在本招标项目中投标，否则各相关投标均无效。</w:t>
      </w:r>
    </w:p>
    <w:p w14:paraId="42B226E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14:paraId="7F245E36">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50246E4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39723828">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5EEE486B">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58FF281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（5）为本招标项目的代建人；</w:t>
      </w:r>
    </w:p>
    <w:p w14:paraId="1FA5C2A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35841EC8">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679C0203">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51B651F1">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67DB58DC">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（10）被依法暂停或者取消投标资格；</w:t>
      </w:r>
    </w:p>
    <w:p w14:paraId="6D892906">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（11）被责令停产停业、暂扣或者吊销许可证、暂扣或者吊销执照；</w:t>
      </w:r>
    </w:p>
    <w:p w14:paraId="2D237EC2">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（12）进入清算程序，或被宣告破产，或其他丧失履约能力的情形；</w:t>
      </w:r>
    </w:p>
    <w:p w14:paraId="013DDDCE">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（13）在最近两年内发生重大检测质量问题（以相关行业主管部门的行政处罚决定或司法机关出具的有关法律文书为准）；</w:t>
      </w:r>
    </w:p>
    <w:p w14:paraId="0BC42BCE">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（14）法律法规或投标人须知前附表规定的其他情形。</w:t>
      </w:r>
    </w:p>
    <w:p w14:paraId="36CBF90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1.5 费用承担</w:t>
      </w:r>
    </w:p>
    <w:p w14:paraId="456C090E">
      <w:pPr>
        <w:pStyle w:val="8"/>
        <w:kinsoku w:val="0"/>
        <w:overflowPunct w:val="0"/>
        <w:spacing w:after="0"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3C70C8A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1.6 保密</w:t>
      </w:r>
    </w:p>
    <w:p w14:paraId="5F373D0A">
      <w:pPr>
        <w:pStyle w:val="8"/>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1A442CF1">
      <w:pPr>
        <w:kinsoku w:val="0"/>
        <w:overflowPunct w:val="0"/>
        <w:spacing w:line="360" w:lineRule="auto"/>
        <w:outlineLvl w:val="2"/>
        <w:rPr>
          <w:rFonts w:ascii="宋体" w:hAnsi="宋体" w:cs="宋体"/>
          <w:b/>
          <w:bCs/>
          <w:color w:val="auto"/>
          <w:sz w:val="28"/>
          <w:szCs w:val="32"/>
          <w:highlight w:val="none"/>
        </w:rPr>
      </w:pPr>
      <w:bookmarkStart w:id="50" w:name="bookmark27"/>
      <w:bookmarkEnd w:id="50"/>
      <w:r>
        <w:rPr>
          <w:rFonts w:hint="eastAsia" w:ascii="宋体" w:hAnsi="宋体" w:cs="宋体"/>
          <w:b/>
          <w:bCs/>
          <w:color w:val="auto"/>
          <w:sz w:val="28"/>
          <w:szCs w:val="32"/>
          <w:highlight w:val="none"/>
        </w:rPr>
        <w:t>1.7 语言文字</w:t>
      </w:r>
    </w:p>
    <w:p w14:paraId="15F3F4E3">
      <w:pPr>
        <w:pStyle w:val="8"/>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2318AA66">
      <w:pPr>
        <w:kinsoku w:val="0"/>
        <w:overflowPunct w:val="0"/>
        <w:spacing w:line="360" w:lineRule="auto"/>
        <w:outlineLvl w:val="2"/>
        <w:rPr>
          <w:rFonts w:ascii="宋体" w:hAnsi="宋体" w:cs="宋体"/>
          <w:b/>
          <w:bCs/>
          <w:color w:val="auto"/>
          <w:sz w:val="28"/>
          <w:szCs w:val="32"/>
          <w:highlight w:val="none"/>
        </w:rPr>
      </w:pPr>
      <w:bookmarkStart w:id="51" w:name="bookmark28"/>
      <w:bookmarkEnd w:id="51"/>
      <w:r>
        <w:rPr>
          <w:rFonts w:hint="eastAsia" w:ascii="宋体" w:hAnsi="宋体" w:cs="宋体"/>
          <w:b/>
          <w:bCs/>
          <w:color w:val="auto"/>
          <w:sz w:val="28"/>
          <w:szCs w:val="32"/>
          <w:highlight w:val="none"/>
        </w:rPr>
        <w:t>1.8 计量单位</w:t>
      </w:r>
    </w:p>
    <w:p w14:paraId="2580BD65">
      <w:pPr>
        <w:pStyle w:val="8"/>
        <w:kinsoku w:val="0"/>
        <w:overflowPunct w:val="0"/>
        <w:spacing w:after="0"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所有计量均采用中华人民共和国法定计量单位。</w:t>
      </w:r>
    </w:p>
    <w:p w14:paraId="35833352">
      <w:pPr>
        <w:kinsoku w:val="0"/>
        <w:overflowPunct w:val="0"/>
        <w:spacing w:line="360" w:lineRule="auto"/>
        <w:outlineLvl w:val="2"/>
        <w:rPr>
          <w:rFonts w:ascii="宋体" w:hAnsi="宋体" w:cs="宋体"/>
          <w:b/>
          <w:bCs/>
          <w:color w:val="auto"/>
          <w:sz w:val="28"/>
          <w:szCs w:val="32"/>
          <w:highlight w:val="none"/>
        </w:rPr>
      </w:pPr>
      <w:bookmarkStart w:id="52" w:name="bookmark29"/>
      <w:bookmarkEnd w:id="52"/>
      <w:r>
        <w:rPr>
          <w:rFonts w:hint="eastAsia" w:ascii="宋体" w:hAnsi="宋体" w:cs="宋体"/>
          <w:b/>
          <w:bCs/>
          <w:color w:val="auto"/>
          <w:sz w:val="28"/>
          <w:szCs w:val="32"/>
          <w:highlight w:val="none"/>
        </w:rPr>
        <w:t>1.9 踏勘现场</w:t>
      </w:r>
    </w:p>
    <w:p w14:paraId="583DAE37">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0A5B10F7">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1.9.2投标人踏勘现场发生的费用自理。</w:t>
      </w:r>
    </w:p>
    <w:p w14:paraId="0144AB0E">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14:paraId="727886FE">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14:paraId="26B54C2F">
      <w:pPr>
        <w:kinsoku w:val="0"/>
        <w:overflowPunct w:val="0"/>
        <w:spacing w:line="360" w:lineRule="auto"/>
        <w:outlineLvl w:val="2"/>
        <w:rPr>
          <w:rFonts w:ascii="宋体" w:hAnsi="宋体" w:cs="宋体"/>
          <w:b/>
          <w:bCs/>
          <w:color w:val="auto"/>
          <w:sz w:val="28"/>
          <w:szCs w:val="32"/>
          <w:highlight w:val="none"/>
        </w:rPr>
      </w:pPr>
      <w:bookmarkStart w:id="53" w:name="bookmark30"/>
      <w:bookmarkEnd w:id="53"/>
      <w:r>
        <w:rPr>
          <w:rFonts w:hint="eastAsia" w:ascii="宋体" w:hAnsi="宋体" w:cs="宋体"/>
          <w:b/>
          <w:bCs/>
          <w:color w:val="auto"/>
          <w:sz w:val="28"/>
          <w:szCs w:val="32"/>
          <w:highlight w:val="none"/>
        </w:rPr>
        <w:t>1.10 投标预备会</w:t>
      </w:r>
    </w:p>
    <w:p w14:paraId="51E47403">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1.10.1投标人须知前附表规定召开投标预备会的，招标人按投标人须知前附表规定的时间和地点召开投标预备会，澄清投标人提出的问题。</w:t>
      </w:r>
    </w:p>
    <w:p w14:paraId="462F43B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1.10.2投标人应按投标人须知前附表规定的时间和形式将提出的问题送达招标人，以便招标人在会议期间澄清。</w:t>
      </w:r>
    </w:p>
    <w:p w14:paraId="45115D8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1.10.3投标预备会后，招标人将对投标人所提问题的澄清，以投标人须知前附表规定的形式通知所有潜在投标人。该澄清内容为招标文件的组成部分。</w:t>
      </w:r>
      <w:bookmarkStart w:id="54" w:name="bookmark31"/>
      <w:bookmarkEnd w:id="54"/>
    </w:p>
    <w:p w14:paraId="687F12C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1.11 分包</w:t>
      </w:r>
    </w:p>
    <w:p w14:paraId="67AF976F">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具体约定按合同相应条款执行。</w:t>
      </w:r>
    </w:p>
    <w:p w14:paraId="374E4FDE">
      <w:pPr>
        <w:kinsoku w:val="0"/>
        <w:overflowPunct w:val="0"/>
        <w:spacing w:line="360" w:lineRule="auto"/>
        <w:outlineLvl w:val="2"/>
        <w:rPr>
          <w:rFonts w:ascii="宋体" w:hAnsi="宋体" w:cs="宋体"/>
          <w:b/>
          <w:bCs/>
          <w:color w:val="auto"/>
          <w:sz w:val="28"/>
          <w:szCs w:val="32"/>
          <w:highlight w:val="none"/>
        </w:rPr>
      </w:pPr>
      <w:bookmarkStart w:id="55" w:name="bookmark32"/>
      <w:bookmarkEnd w:id="55"/>
      <w:r>
        <w:rPr>
          <w:rFonts w:hint="eastAsia" w:ascii="宋体" w:hAnsi="宋体" w:cs="宋体"/>
          <w:b/>
          <w:bCs/>
          <w:color w:val="auto"/>
          <w:sz w:val="28"/>
          <w:szCs w:val="32"/>
          <w:highlight w:val="none"/>
        </w:rPr>
        <w:t>1.12 响应和偏差</w:t>
      </w:r>
    </w:p>
    <w:p w14:paraId="0F8654D4">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14:paraId="36C78FB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1.12.2投标人应根据招标文件的要求提供技术方案等内容以对招标文件作出响应。</w:t>
      </w:r>
    </w:p>
    <w:p w14:paraId="19F8E9E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1.12.3投标人须知前附表允许投标文件偏离招标文件某些要求，偏差应当符合招标文件规定的偏差范围和幅度。</w:t>
      </w:r>
      <w:bookmarkStart w:id="56" w:name="_Toc3119"/>
      <w:bookmarkStart w:id="57" w:name="_Toc532367874"/>
      <w:bookmarkStart w:id="58" w:name="_Toc8160"/>
      <w:bookmarkStart w:id="59" w:name="_Toc22910"/>
      <w:bookmarkStart w:id="60" w:name="_Toc8885"/>
      <w:bookmarkStart w:id="61" w:name="_Toc377719901"/>
      <w:bookmarkStart w:id="62" w:name="_Toc4330"/>
      <w:bookmarkStart w:id="63" w:name="_Toc31365"/>
    </w:p>
    <w:p w14:paraId="176714BD">
      <w:pPr>
        <w:keepNext/>
        <w:keepLines/>
        <w:spacing w:line="360" w:lineRule="auto"/>
        <w:outlineLvl w:val="1"/>
        <w:rPr>
          <w:rFonts w:ascii="宋体" w:hAnsi="宋体" w:cs="宋体"/>
          <w:b/>
          <w:bCs/>
          <w:color w:val="auto"/>
          <w:sz w:val="32"/>
          <w:szCs w:val="32"/>
          <w:highlight w:val="none"/>
        </w:rPr>
      </w:pPr>
      <w:bookmarkStart w:id="64" w:name="_Toc32443"/>
      <w:bookmarkStart w:id="65" w:name="_Toc31503"/>
      <w:bookmarkStart w:id="66" w:name="_Toc24924"/>
      <w:bookmarkStart w:id="67" w:name="_Toc13966"/>
      <w:bookmarkStart w:id="68" w:name="_Toc16602"/>
      <w:r>
        <w:rPr>
          <w:rFonts w:hint="eastAsia" w:ascii="宋体" w:hAnsi="宋体" w:cs="宋体"/>
          <w:b/>
          <w:bCs/>
          <w:color w:val="auto"/>
          <w:sz w:val="32"/>
          <w:szCs w:val="32"/>
          <w:highlight w:val="none"/>
        </w:rPr>
        <w:t>2.招标文件</w:t>
      </w:r>
      <w:bookmarkEnd w:id="56"/>
      <w:bookmarkEnd w:id="57"/>
      <w:bookmarkEnd w:id="58"/>
      <w:bookmarkEnd w:id="59"/>
      <w:bookmarkEnd w:id="60"/>
      <w:bookmarkEnd w:id="61"/>
      <w:bookmarkEnd w:id="62"/>
      <w:bookmarkEnd w:id="63"/>
      <w:bookmarkEnd w:id="64"/>
      <w:bookmarkEnd w:id="65"/>
      <w:bookmarkEnd w:id="66"/>
      <w:bookmarkEnd w:id="67"/>
      <w:bookmarkEnd w:id="68"/>
    </w:p>
    <w:p w14:paraId="162428ED">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2.1  招标文件的组成</w:t>
      </w:r>
    </w:p>
    <w:p w14:paraId="4C4ADE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207A8F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（1）招标公告（或投标邀请书）；</w:t>
      </w:r>
    </w:p>
    <w:p w14:paraId="6111F43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5060834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7D05E2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6764F13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（5）招标人要求</w:t>
      </w:r>
    </w:p>
    <w:p w14:paraId="027BB683">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（6）工程量清单</w:t>
      </w:r>
      <w:r>
        <w:rPr>
          <w:rFonts w:hint="eastAsia" w:ascii="宋体" w:hAnsi="宋体" w:cs="宋体"/>
          <w:strike/>
          <w:color w:val="auto"/>
          <w:sz w:val="24"/>
          <w:szCs w:val="24"/>
          <w:highlight w:val="none"/>
          <w:u w:val="single"/>
        </w:rPr>
        <w:t>（另册）</w:t>
      </w:r>
      <w:r>
        <w:rPr>
          <w:rFonts w:hint="eastAsia" w:ascii="宋体" w:hAnsi="宋体" w:cs="宋体"/>
          <w:strike/>
          <w:color w:val="auto"/>
          <w:sz w:val="24"/>
          <w:szCs w:val="24"/>
          <w:highlight w:val="none"/>
        </w:rPr>
        <w:t>；</w:t>
      </w:r>
    </w:p>
    <w:p w14:paraId="42504D8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（7）投标文件格式；</w:t>
      </w:r>
    </w:p>
    <w:p w14:paraId="717F229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（8）投标人须知前附表规定的其他资料。</w:t>
      </w:r>
    </w:p>
    <w:p w14:paraId="1309872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14:paraId="2BF220E3">
      <w:pPr>
        <w:keepNext/>
        <w:keepLines/>
        <w:spacing w:line="360" w:lineRule="auto"/>
        <w:outlineLvl w:val="2"/>
        <w:rPr>
          <w:rFonts w:ascii="宋体" w:hAnsi="宋体" w:cs="宋体"/>
          <w:b/>
          <w:bCs/>
          <w:color w:val="auto"/>
          <w:sz w:val="28"/>
          <w:szCs w:val="32"/>
          <w:highlight w:val="none"/>
        </w:rPr>
      </w:pPr>
      <w:bookmarkStart w:id="69" w:name="_Toc377719902"/>
      <w:r>
        <w:rPr>
          <w:rFonts w:hint="eastAsia" w:ascii="宋体" w:hAnsi="宋体" w:cs="宋体"/>
          <w:b/>
          <w:bCs/>
          <w:color w:val="auto"/>
          <w:sz w:val="28"/>
          <w:szCs w:val="32"/>
          <w:highlight w:val="none"/>
        </w:rPr>
        <w:t>2.2.招标文件的澄清</w:t>
      </w:r>
    </w:p>
    <w:p w14:paraId="48FC7F5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B18BB7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03EDEE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投标人在收到澄清后，应按投标人须知前附表规定的时间和形式通知招标人，确认已收到该澄清。</w:t>
      </w:r>
    </w:p>
    <w:p w14:paraId="78B6F1C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2.2.4除非招标人认为确有必要答复，否则，招标人有权拒绝回复投标人在本章第2.2.1项规定的时间后的任何澄清要求。</w:t>
      </w:r>
    </w:p>
    <w:p w14:paraId="7BE7CEC9">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2.3 招标文件的修改</w:t>
      </w:r>
    </w:p>
    <w:p w14:paraId="3C55C5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32EC2CE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14:paraId="01B95BC7">
      <w:pPr>
        <w:kinsoku w:val="0"/>
        <w:overflowPunct w:val="0"/>
        <w:spacing w:line="360" w:lineRule="auto"/>
        <w:outlineLvl w:val="2"/>
        <w:rPr>
          <w:rFonts w:ascii="宋体" w:hAnsi="宋体" w:cs="宋体"/>
          <w:b/>
          <w:bCs/>
          <w:color w:val="auto"/>
          <w:sz w:val="28"/>
          <w:szCs w:val="32"/>
          <w:highlight w:val="none"/>
        </w:rPr>
      </w:pPr>
      <w:bookmarkStart w:id="70" w:name="bookmark37"/>
      <w:bookmarkEnd w:id="70"/>
      <w:r>
        <w:rPr>
          <w:rFonts w:hint="eastAsia" w:ascii="宋体" w:hAnsi="宋体" w:cs="宋体"/>
          <w:b/>
          <w:bCs/>
          <w:color w:val="auto"/>
          <w:sz w:val="28"/>
          <w:szCs w:val="32"/>
          <w:highlight w:val="none"/>
        </w:rPr>
        <w:t>2.4 招标文件的异议</w:t>
      </w:r>
    </w:p>
    <w:p w14:paraId="1B58461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01E0965F">
      <w:pPr>
        <w:keepNext/>
        <w:keepLines/>
        <w:spacing w:line="360" w:lineRule="auto"/>
        <w:jc w:val="left"/>
        <w:outlineLvl w:val="1"/>
        <w:rPr>
          <w:rFonts w:ascii="宋体" w:hAnsi="宋体" w:cs="宋体"/>
          <w:b/>
          <w:bCs/>
          <w:color w:val="auto"/>
          <w:sz w:val="32"/>
          <w:szCs w:val="32"/>
          <w:highlight w:val="none"/>
        </w:rPr>
      </w:pPr>
      <w:bookmarkStart w:id="71" w:name="_Toc25005"/>
      <w:bookmarkStart w:id="72" w:name="_Toc6920"/>
      <w:bookmarkStart w:id="73" w:name="_Toc3526"/>
      <w:bookmarkStart w:id="74" w:name="_Toc23329"/>
      <w:bookmarkStart w:id="75" w:name="_Toc1157"/>
      <w:bookmarkStart w:id="76" w:name="_Toc29001"/>
      <w:bookmarkStart w:id="77" w:name="_Toc14848"/>
      <w:bookmarkStart w:id="78" w:name="_Toc15723"/>
      <w:bookmarkStart w:id="79" w:name="_Toc25907"/>
      <w:bookmarkStart w:id="80" w:name="_Toc14013"/>
      <w:bookmarkStart w:id="81" w:name="_Toc532367875"/>
      <w:bookmarkStart w:id="82" w:name="_Toc30380"/>
      <w:r>
        <w:rPr>
          <w:rFonts w:hint="eastAsia" w:ascii="宋体" w:hAnsi="宋体" w:cs="宋体"/>
          <w:b/>
          <w:bCs/>
          <w:color w:val="auto"/>
          <w:sz w:val="32"/>
          <w:szCs w:val="32"/>
          <w:highlight w:val="none"/>
        </w:rPr>
        <w:t>3.投标文件</w:t>
      </w:r>
      <w:bookmarkEnd w:id="69"/>
      <w:bookmarkEnd w:id="71"/>
      <w:bookmarkEnd w:id="72"/>
      <w:bookmarkEnd w:id="73"/>
      <w:bookmarkEnd w:id="74"/>
      <w:bookmarkEnd w:id="75"/>
      <w:bookmarkEnd w:id="76"/>
      <w:bookmarkEnd w:id="77"/>
      <w:bookmarkEnd w:id="78"/>
      <w:bookmarkEnd w:id="79"/>
      <w:bookmarkEnd w:id="80"/>
      <w:bookmarkEnd w:id="81"/>
      <w:bookmarkEnd w:id="82"/>
    </w:p>
    <w:p w14:paraId="56335D69">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组成投标文件的文件</w:t>
      </w:r>
    </w:p>
    <w:p w14:paraId="686DDDF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3.1.1投标文件应包括下列内容：</w:t>
      </w:r>
    </w:p>
    <w:p w14:paraId="040AFBF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r>
        <w:rPr>
          <w:rFonts w:hint="eastAsia" w:ascii="宋体" w:hAnsi="宋体" w:cs="宋体"/>
          <w:color w:val="auto"/>
          <w:sz w:val="24"/>
          <w:szCs w:val="24"/>
          <w:highlight w:val="none"/>
        </w:rPr>
        <w:tab/>
      </w:r>
    </w:p>
    <w:p w14:paraId="67E499F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（2）法定代表人证明书及授权委托书</w:t>
      </w:r>
      <w:r>
        <w:rPr>
          <w:rFonts w:hint="eastAsia" w:ascii="宋体" w:hAnsi="宋体" w:cs="宋体"/>
          <w:color w:val="auto"/>
          <w:sz w:val="24"/>
          <w:szCs w:val="24"/>
          <w:highlight w:val="none"/>
        </w:rPr>
        <w:tab/>
      </w:r>
    </w:p>
    <w:p w14:paraId="1FE46C6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（3）关于投标保证金的承诺；</w:t>
      </w:r>
    </w:p>
    <w:p w14:paraId="4767B052">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（4）联合体协议书（如有）</w:t>
      </w:r>
      <w:r>
        <w:rPr>
          <w:rFonts w:hint="eastAsia" w:ascii="宋体" w:hAnsi="宋体" w:cs="宋体"/>
          <w:color w:val="auto"/>
          <w:sz w:val="24"/>
          <w:szCs w:val="24"/>
          <w:highlight w:val="none"/>
          <w:u w:val="single"/>
        </w:rPr>
        <w:tab/>
      </w:r>
    </w:p>
    <w:p w14:paraId="560B65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（5）资格审查资料</w:t>
      </w:r>
      <w:r>
        <w:rPr>
          <w:rFonts w:hint="eastAsia" w:ascii="宋体" w:hAnsi="宋体" w:cs="宋体"/>
          <w:color w:val="auto"/>
          <w:sz w:val="24"/>
          <w:szCs w:val="24"/>
          <w:highlight w:val="none"/>
        </w:rPr>
        <w:tab/>
      </w:r>
    </w:p>
    <w:p w14:paraId="4BE9BA2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（6）类似项目业绩表</w:t>
      </w:r>
      <w:r>
        <w:rPr>
          <w:rFonts w:hint="eastAsia" w:ascii="宋体" w:hAnsi="宋体" w:cs="宋体"/>
          <w:color w:val="auto"/>
          <w:sz w:val="24"/>
          <w:szCs w:val="24"/>
          <w:highlight w:val="none"/>
          <w:u w:val="single"/>
        </w:rPr>
        <w:tab/>
      </w:r>
    </w:p>
    <w:p w14:paraId="330DE1A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（7）拟投入本项目的人员一览表</w:t>
      </w:r>
    </w:p>
    <w:p w14:paraId="73849FF6">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（8）拟投入本项目的人员简历表</w:t>
      </w:r>
    </w:p>
    <w:p w14:paraId="35C9928D">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（9）拟投入本项目的主要仪器设备一览表</w:t>
      </w:r>
    </w:p>
    <w:p w14:paraId="3E5AEF2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（10）投标人认为应该提供的其他资料</w:t>
      </w:r>
    </w:p>
    <w:p w14:paraId="2A9F486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4F54802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3.1.2投标人须知前附表规定不接受联合体投标的，或投标人没有组成联合体的，投标文件不包括本章第3.1.1（3）所指的联合体协议书。</w:t>
      </w:r>
    </w:p>
    <w:p w14:paraId="4F792DE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3.2  投标价格</w:t>
      </w:r>
    </w:p>
    <w:p w14:paraId="16558F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3.2.1投标报价应包括国家规定的增值税税金，除投标人须知前附表另有规定外，增值税税金按一般计税方法计算。投标人应按第七章“投标文件格式”的要求在投标函中进行报价。</w:t>
      </w:r>
    </w:p>
    <w:p w14:paraId="3C5C35C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3.2.2投标人应充分了解该项目的总体情况以及影响投标报价的其他要素。</w:t>
      </w:r>
    </w:p>
    <w:p w14:paraId="2FD0C14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3.2.3本项目的报价方式见投标人须知前附表。投标人在投标截止时间前修改投标函中的投标报价总额。此修改须符合本章第4.3款的有关要求。</w:t>
      </w:r>
    </w:p>
    <w:p w14:paraId="306AAB9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3.2.4招标人设有最高投标限价的，投标人的投标报价不得超过最高投标限价，最高投标限价在投标人须知前附表中载明。</w:t>
      </w:r>
    </w:p>
    <w:p w14:paraId="2497A4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3.2.5投标报价的其他要求见投标人须知前附表。</w:t>
      </w:r>
    </w:p>
    <w:p w14:paraId="2D611E01">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投标有效期</w:t>
      </w:r>
    </w:p>
    <w:p w14:paraId="30CFC1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3.3.1除投标人须知前附表另有规定外，投标有效期为90天。</w:t>
      </w:r>
    </w:p>
    <w:p w14:paraId="66C3C5E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3.3.2在投标有效期内，投标人撤销投标文件的，应承担招标文件和法律规定的责任。</w:t>
      </w:r>
    </w:p>
    <w:p w14:paraId="312DC77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4F68A0FE">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投标保证金</w:t>
      </w:r>
    </w:p>
    <w:p w14:paraId="3559E2B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3.4.1</w:t>
      </w:r>
      <w:r>
        <w:rPr>
          <w:rFonts w:hint="eastAsia" w:ascii="宋体" w:hAnsi="宋体" w:cs="宋体"/>
          <w:color w:val="auto"/>
          <w:sz w:val="24"/>
          <w:szCs w:val="24"/>
          <w:highlight w:val="none"/>
          <w:u w:val="single"/>
        </w:rPr>
        <w:t>本项目免收投标保证金，投标人提供《关于投标保证金的承诺》（详见投标文件格式）。</w:t>
      </w:r>
    </w:p>
    <w:p w14:paraId="59DA8EA5">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3.4.2对于投标人已提供《关于投标保证金的承诺》，若投标人存在3.4.4条款所列情形，该投标人应在发现存在3.4.4条款所列情形之日起5个工作日内按投标人须知前附表第3.4.1项所述金额补交投标保证金。若未按要求补交投标保证金的将暂停其参与招标人后续工程投标，直至完成补交手续为止。</w:t>
      </w:r>
    </w:p>
    <w:p w14:paraId="0D02AF82">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3.4.3开标时投标人没有按招标文件要求提交符合免予提供投标保证金相关证明材料，且未提交投标保证金的投标人，视为未按要求提供投标保证金。</w:t>
      </w:r>
    </w:p>
    <w:p w14:paraId="6D34CCC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3.4.4如有下列情况之一的，招标人可以不予退还投标保证金（是否退还投标保证金由招标人在招标文件中规定）：</w:t>
      </w:r>
    </w:p>
    <w:p w14:paraId="4A0CCA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3.4.4.1因投标人原因造成投标文件未解密的；</w:t>
      </w:r>
    </w:p>
    <w:p w14:paraId="465F73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3.4.4.2投标人在投标有效期内撤销投标文件；</w:t>
      </w:r>
    </w:p>
    <w:p w14:paraId="3D50A7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3.4.4.3中标人未能在规定期限内按要求提交履约担保；</w:t>
      </w:r>
    </w:p>
    <w:p w14:paraId="08DD8C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3.4.4.4中标人未能在规定期限内签署合同协议。</w:t>
      </w:r>
    </w:p>
    <w:p w14:paraId="19B15CB1">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 xml:space="preserve">3.5  </w:t>
      </w:r>
      <w:bookmarkStart w:id="83" w:name="_Toc511383850"/>
      <w:r>
        <w:rPr>
          <w:rFonts w:hint="eastAsia" w:ascii="宋体" w:hAnsi="宋体" w:cs="宋体"/>
          <w:b/>
          <w:bCs/>
          <w:color w:val="auto"/>
          <w:sz w:val="28"/>
          <w:szCs w:val="32"/>
          <w:highlight w:val="none"/>
        </w:rPr>
        <w:t>资格审查资料（适用于未进行资格预审的）</w:t>
      </w:r>
      <w:bookmarkEnd w:id="83"/>
    </w:p>
    <w:p w14:paraId="0FF752F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w:t>
      </w:r>
      <w:r>
        <w:rPr>
          <w:rFonts w:hint="eastAsia" w:ascii="宋体" w:hAnsi="宋体" w:cs="宋体"/>
          <w:strike/>
          <w:color w:val="auto"/>
          <w:sz w:val="24"/>
          <w:szCs w:val="24"/>
          <w:highlight w:val="none"/>
        </w:rPr>
        <w:t>、财务、业绩、信誉等</w:t>
      </w:r>
      <w:r>
        <w:rPr>
          <w:rFonts w:hint="eastAsia" w:ascii="宋体" w:hAnsi="宋体" w:cs="宋体"/>
          <w:color w:val="auto"/>
          <w:sz w:val="24"/>
          <w:szCs w:val="24"/>
          <w:highlight w:val="none"/>
        </w:rPr>
        <w:t>要求。</w:t>
      </w:r>
    </w:p>
    <w:p w14:paraId="03339F90">
      <w:pPr>
        <w:spacing w:line="360" w:lineRule="auto"/>
        <w:ind w:firstLine="484" w:firstLineChars="202"/>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bidi="ar"/>
        </w:rPr>
        <w:t>3.5.1“投标人基本情况表”应附投标人营业执照或事业单位法人证书、建设行政主管部门颁发的建设工程质量检测机构资质证书、质量技术监督部门颁发的CMA计量认证合格证书、建设行政主管部门颁发的工程勘察资质证书的</w:t>
      </w:r>
      <w:bookmarkStart w:id="84" w:name="_Hlk66956957"/>
      <w:r>
        <w:rPr>
          <w:rFonts w:hint="eastAsia" w:ascii="宋体" w:hAnsi="宋体" w:cs="宋体"/>
          <w:color w:val="auto"/>
          <w:sz w:val="24"/>
          <w:szCs w:val="24"/>
          <w:highlight w:val="none"/>
          <w:u w:val="single"/>
          <w:lang w:bidi="ar"/>
        </w:rPr>
        <w:t>原件清晰扫描件。</w:t>
      </w:r>
      <w:bookmarkEnd w:id="84"/>
    </w:p>
    <w:p w14:paraId="763F2ED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3.5.2其他满足本章第1.4.1项规定的要求的相关资料。</w:t>
      </w:r>
    </w:p>
    <w:p w14:paraId="687CA24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color w:val="auto"/>
          <w:sz w:val="24"/>
          <w:szCs w:val="24"/>
          <w:highlight w:val="none"/>
          <w:u w:val="single"/>
          <w:lang w:bidi="ar"/>
        </w:rPr>
        <w:t xml:space="preserve"> </w:t>
      </w:r>
      <w:r>
        <w:rPr>
          <w:rFonts w:hint="eastAsia" w:ascii="宋体" w:hAnsi="宋体" w:cs="宋体"/>
          <w:b/>
          <w:bCs/>
          <w:color w:val="auto"/>
          <w:sz w:val="28"/>
          <w:szCs w:val="32"/>
          <w:highlight w:val="none"/>
        </w:rPr>
        <w:t>3.6 备选投标方案</w:t>
      </w:r>
    </w:p>
    <w:p w14:paraId="35FAB3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3.6.1除投标人须知前附表规定允许外，投标人不得递交备选投标方案，否则其投标将被否决。</w:t>
      </w:r>
    </w:p>
    <w:p w14:paraId="3988D55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460EE4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3.6.3投标人提供两个或两个以上投标报价，或者在投标文件中提供一个报价，但同时提供两个或两个以上服务方案的，视为提供备选方案。</w:t>
      </w:r>
    </w:p>
    <w:p w14:paraId="34E9D73A">
      <w:pPr>
        <w:keepNext/>
        <w:keepLines/>
        <w:spacing w:line="360" w:lineRule="auto"/>
        <w:jc w:val="left"/>
        <w:outlineLvl w:val="2"/>
        <w:rPr>
          <w:rFonts w:ascii="宋体" w:hAnsi="宋体" w:cs="宋体"/>
          <w:b/>
          <w:bCs/>
          <w:color w:val="auto"/>
          <w:sz w:val="28"/>
          <w:szCs w:val="32"/>
          <w:highlight w:val="none"/>
        </w:rPr>
      </w:pPr>
      <w:bookmarkStart w:id="85" w:name="bookmark46"/>
      <w:bookmarkEnd w:id="85"/>
      <w:r>
        <w:rPr>
          <w:rFonts w:hint="eastAsia" w:ascii="宋体" w:hAnsi="宋体" w:cs="宋体"/>
          <w:b/>
          <w:bCs/>
          <w:color w:val="auto"/>
          <w:sz w:val="28"/>
          <w:szCs w:val="32"/>
          <w:highlight w:val="none"/>
        </w:rPr>
        <w:t>3.7 投标文件的编制</w:t>
      </w:r>
    </w:p>
    <w:p w14:paraId="65BB8EE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3.7.1投标文件应按第七章“投标文件格式”进行编写，如有必要，可以增加附页，作为投标文件的组成部分。</w:t>
      </w:r>
    </w:p>
    <w:p w14:paraId="5119515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3.7.2投标文件应当对招标文件有关服务期限、投标有效期、招标人要求、招标范围等实质性内容作出响应。</w:t>
      </w:r>
    </w:p>
    <w:p w14:paraId="0BB6D62C">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3.7.3</w:t>
      </w:r>
      <w:r>
        <w:rPr>
          <w:rFonts w:hint="eastAsia" w:ascii="宋体" w:hAnsi="宋体" w:cs="宋体"/>
          <w:color w:val="auto"/>
          <w:sz w:val="24"/>
          <w:szCs w:val="24"/>
          <w:highlight w:val="none"/>
          <w:u w:val="single"/>
        </w:rPr>
        <w:t>投标文件全部采用电子文档，投标文件所附证书证件均为原件扫描件，并采用单位数字证书（联合体投标的，由联合体主办方采用其单位数字证书），按招标文件要求在相应位置加盖电子印章。投标文件中需个人签字或盖章的，应加盖个人电子印章或在线下完成后扫描上传。按照交易平台关于全流程电子化项目的相关指南进行操作。相关操作详见广州公共资源交易中心网站最新发布的《房屋建筑和市政基础设施工程全流程电子化项目专章》。签字或盖章的具体要求见投标人须知前附表。</w:t>
      </w:r>
    </w:p>
    <w:p w14:paraId="2DF96D2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511CE6CC">
      <w:pPr>
        <w:keepNext/>
        <w:keepLines/>
        <w:spacing w:line="360" w:lineRule="auto"/>
        <w:jc w:val="left"/>
        <w:outlineLvl w:val="1"/>
        <w:rPr>
          <w:rFonts w:ascii="宋体" w:hAnsi="宋体" w:cs="宋体"/>
          <w:b/>
          <w:bCs/>
          <w:color w:val="auto"/>
          <w:sz w:val="32"/>
          <w:szCs w:val="32"/>
          <w:highlight w:val="none"/>
        </w:rPr>
      </w:pPr>
      <w:bookmarkStart w:id="86" w:name="_Toc32552"/>
      <w:bookmarkStart w:id="87" w:name="_Toc3554"/>
      <w:bookmarkStart w:id="88" w:name="_Toc21930"/>
      <w:bookmarkStart w:id="89" w:name="_Toc23284"/>
      <w:bookmarkStart w:id="90" w:name="_Toc9342"/>
      <w:bookmarkStart w:id="91" w:name="_Toc29593"/>
      <w:bookmarkStart w:id="92" w:name="_Toc25065"/>
      <w:bookmarkStart w:id="93" w:name="_Toc532367876"/>
      <w:bookmarkStart w:id="94" w:name="_Toc31557"/>
      <w:bookmarkStart w:id="95" w:name="_Toc377719903"/>
      <w:bookmarkStart w:id="96" w:name="_Toc24378"/>
      <w:bookmarkStart w:id="97" w:name="_Toc23220"/>
      <w:bookmarkStart w:id="98" w:name="_Toc3516"/>
      <w:r>
        <w:rPr>
          <w:rFonts w:hint="eastAsia" w:ascii="宋体" w:hAnsi="宋体" w:cs="宋体"/>
          <w:b/>
          <w:bCs/>
          <w:color w:val="auto"/>
          <w:sz w:val="32"/>
          <w:szCs w:val="32"/>
          <w:highlight w:val="none"/>
        </w:rPr>
        <w:t>4.投标</w:t>
      </w:r>
      <w:bookmarkEnd w:id="86"/>
      <w:bookmarkEnd w:id="87"/>
      <w:bookmarkEnd w:id="88"/>
      <w:bookmarkEnd w:id="89"/>
      <w:bookmarkEnd w:id="90"/>
      <w:bookmarkEnd w:id="91"/>
      <w:bookmarkEnd w:id="92"/>
      <w:bookmarkEnd w:id="93"/>
      <w:bookmarkEnd w:id="94"/>
      <w:bookmarkEnd w:id="95"/>
      <w:bookmarkEnd w:id="96"/>
      <w:bookmarkEnd w:id="97"/>
      <w:bookmarkEnd w:id="98"/>
    </w:p>
    <w:p w14:paraId="70471FA0">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4.1  投标文件的密封和标记</w:t>
      </w:r>
    </w:p>
    <w:p w14:paraId="0719591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4.1.1 投标人应当按照招标文件和电子招标投标交易平台的要求加密投标文件，具体要求见投标人须知前附表。</w:t>
      </w:r>
    </w:p>
    <w:p w14:paraId="7C3284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271D3074">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4.1.3 未按本章第 4.1.1 项要求密封的投标文件，招标人将予以拒收。</w:t>
      </w:r>
    </w:p>
    <w:p w14:paraId="59D4B90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4.2  投标文件的递交</w:t>
      </w:r>
    </w:p>
    <w:p w14:paraId="5C93AD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14:paraId="180A308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4.2.2 投标人通过下载招标文件的电子招标投标交易平台递交电子投标文件。</w:t>
      </w:r>
    </w:p>
    <w:p w14:paraId="524031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4E901EA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4.2.4 投标人完成电子投标文件上传后，电子招标投标交易平台即时向投标人发出递交回执通知。递交时间以递交回执通知载明的传输完成时间为准。</w:t>
      </w:r>
    </w:p>
    <w:p w14:paraId="03A190CA">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4.2.5 逾期送达的投标文件，电子招标投标交易平台将予以拒收。</w:t>
      </w:r>
    </w:p>
    <w:p w14:paraId="49ACCC78">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4.3  投标文件的修改与撤回</w:t>
      </w:r>
    </w:p>
    <w:p w14:paraId="28D789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4.3.1 在本章第 4.2.1 项规定的投标截止时间前，投标人可以修改或撤回已递交的投标文件，但应以书面形式通知招标人。</w:t>
      </w:r>
    </w:p>
    <w:p w14:paraId="3029310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4.3.2 投标人修改或撤回已递交投标文件的通知，应按照本章第 3.7.3项的要求加盖电子印章。电子招标投标交易平台收到通知后，即时向投标人发出确认回执通知。</w:t>
      </w:r>
    </w:p>
    <w:p w14:paraId="4C8CAF1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4.3.3 修改的内容为投标文件的组成部分。修改的投标文件应按照本章第 3 条、第 4 条的规定进行编制、密封、标记和递交，并标明“修改”字样。</w:t>
      </w:r>
    </w:p>
    <w:p w14:paraId="6AF4F8E8">
      <w:pPr>
        <w:keepNext/>
        <w:keepLines/>
        <w:spacing w:line="360" w:lineRule="auto"/>
        <w:outlineLvl w:val="1"/>
        <w:rPr>
          <w:rFonts w:ascii="宋体" w:hAnsi="宋体" w:cs="宋体"/>
          <w:b/>
          <w:bCs/>
          <w:color w:val="auto"/>
          <w:sz w:val="32"/>
          <w:szCs w:val="32"/>
          <w:highlight w:val="none"/>
        </w:rPr>
      </w:pPr>
      <w:bookmarkStart w:id="99" w:name="_Toc31567"/>
      <w:bookmarkStart w:id="100" w:name="_Toc532367877"/>
      <w:bookmarkStart w:id="101" w:name="_Toc25545"/>
      <w:bookmarkStart w:id="102" w:name="_Toc17418"/>
      <w:bookmarkStart w:id="103" w:name="_Toc19088"/>
      <w:bookmarkStart w:id="104" w:name="_Toc1684"/>
      <w:bookmarkStart w:id="105" w:name="_Toc6570"/>
      <w:bookmarkStart w:id="106" w:name="_Toc10549"/>
      <w:bookmarkStart w:id="107" w:name="_Toc11066"/>
      <w:bookmarkStart w:id="108" w:name="_Toc111"/>
      <w:bookmarkStart w:id="109" w:name="_Toc5302"/>
      <w:bookmarkStart w:id="110" w:name="_Toc377719904"/>
      <w:bookmarkStart w:id="111" w:name="_Toc17138"/>
      <w:r>
        <w:rPr>
          <w:rFonts w:hint="eastAsia" w:ascii="宋体" w:hAnsi="宋体" w:cs="宋体"/>
          <w:b/>
          <w:bCs/>
          <w:color w:val="auto"/>
          <w:sz w:val="32"/>
          <w:szCs w:val="32"/>
          <w:highlight w:val="none"/>
        </w:rPr>
        <w:t>5.开标</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3E704B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5.1 开标时间和地点</w:t>
      </w:r>
    </w:p>
    <w:p w14:paraId="5D193EC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项规定的投标截止时间（开标时间）,通过电子招标投标交易平台公开开标，所有投标人的法定代表人或其委托代理人应当准时参加。</w:t>
      </w:r>
    </w:p>
    <w:p w14:paraId="3710891F">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5.2 开标程序</w:t>
      </w:r>
    </w:p>
    <w:p w14:paraId="11E2D8B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099CB3A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74E356A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7403E6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6C02834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（4）投标人通过电子招标投标交易平台对已递交的电子投标文件进行解密，公布招标项目名称、投标人名称、投标总报价、服务期限及其他内容，并记录在案；</w:t>
      </w:r>
    </w:p>
    <w:p w14:paraId="67E97C1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（5）投标人代表、招标人代表、监标人、记录人等有关人员使用本人的电子印章在开标记录上签字确认；若有关人员不签字的，不影响开标程序；</w:t>
      </w:r>
    </w:p>
    <w:p w14:paraId="32A7F2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（6）开标结束。</w:t>
      </w:r>
    </w:p>
    <w:p w14:paraId="36800B2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5.2.2投标截止时间前未完成投标文件传输的或因投标人之外的原因造成投标文件未解密的，视为投标人撤回投标文件。因投标人原因造成投标文件未解密的，视为撤销其投标文件。</w:t>
      </w:r>
    </w:p>
    <w:p w14:paraId="6CB8727C">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p w14:paraId="0FD0C929">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5.3 开标异议</w:t>
      </w:r>
    </w:p>
    <w:p w14:paraId="5E4AABDD">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099CBE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5.3.2参加现场开标的投标人对开标结果有异议的，应当在开标现场提出，该投标人代表须同时出示本人身份证原件，招标人当场作出答复，并制作记录。</w:t>
      </w:r>
    </w:p>
    <w:p w14:paraId="49B4203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1D95888">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5.3.4投标人未参加开标或在规定的时间内未提出异议的，视为对开标无异议。</w:t>
      </w:r>
    </w:p>
    <w:p w14:paraId="5D61BC35">
      <w:pPr>
        <w:keepNext/>
        <w:keepLines/>
        <w:spacing w:line="360" w:lineRule="auto"/>
        <w:jc w:val="left"/>
        <w:outlineLvl w:val="1"/>
        <w:rPr>
          <w:rFonts w:ascii="宋体" w:hAnsi="宋体" w:cs="宋体"/>
          <w:b/>
          <w:bCs/>
          <w:color w:val="auto"/>
          <w:sz w:val="32"/>
          <w:szCs w:val="32"/>
          <w:highlight w:val="none"/>
        </w:rPr>
      </w:pPr>
      <w:bookmarkStart w:id="112" w:name="_Toc532367878"/>
      <w:bookmarkStart w:id="113" w:name="_Toc5463"/>
      <w:bookmarkStart w:id="114" w:name="_Toc24608"/>
      <w:bookmarkStart w:id="115" w:name="_Toc17328"/>
      <w:bookmarkStart w:id="116" w:name="_Toc11500"/>
      <w:bookmarkStart w:id="117" w:name="_Toc27507"/>
      <w:r>
        <w:rPr>
          <w:rFonts w:hint="eastAsia" w:ascii="宋体" w:hAnsi="宋体" w:cs="宋体"/>
          <w:b/>
          <w:bCs/>
          <w:color w:val="auto"/>
          <w:sz w:val="32"/>
          <w:szCs w:val="32"/>
          <w:highlight w:val="none"/>
        </w:rPr>
        <w:t>6.评标</w:t>
      </w:r>
      <w:bookmarkEnd w:id="112"/>
      <w:bookmarkEnd w:id="113"/>
      <w:bookmarkEnd w:id="114"/>
      <w:bookmarkEnd w:id="115"/>
      <w:bookmarkEnd w:id="116"/>
      <w:bookmarkEnd w:id="117"/>
    </w:p>
    <w:p w14:paraId="4C848984">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6.1 评标委员会</w:t>
      </w:r>
    </w:p>
    <w:p w14:paraId="6D4935E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CFF4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71496EA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2FC5D8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7B9B138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6712B5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6B15461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2D2E0B8C">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0CB086D">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6.2 评标原则</w:t>
      </w:r>
    </w:p>
    <w:p w14:paraId="618FC7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00B8AC7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6.3 评标</w:t>
      </w:r>
    </w:p>
    <w:p w14:paraId="114D3A1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14:paraId="119611E8">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6.3.2 评标完成后，评标委员会应当向招标人提交书面评标报告和中标候选人名单。评标委员会推荐中标候选人的人数见投标人须知前附表。</w:t>
      </w:r>
    </w:p>
    <w:p w14:paraId="0147705C">
      <w:pPr>
        <w:keepNext/>
        <w:keepLines/>
        <w:spacing w:line="360" w:lineRule="auto"/>
        <w:outlineLvl w:val="1"/>
        <w:rPr>
          <w:rFonts w:ascii="宋体" w:hAnsi="宋体" w:cs="宋体"/>
          <w:b/>
          <w:bCs/>
          <w:color w:val="auto"/>
          <w:sz w:val="32"/>
          <w:szCs w:val="32"/>
          <w:highlight w:val="none"/>
        </w:rPr>
      </w:pPr>
      <w:bookmarkStart w:id="118" w:name="_Toc27928"/>
      <w:bookmarkStart w:id="119" w:name="_Toc24971"/>
      <w:bookmarkStart w:id="120" w:name="_Toc23147"/>
      <w:bookmarkStart w:id="121" w:name="_Toc17606"/>
      <w:bookmarkStart w:id="122" w:name="_Toc31080"/>
      <w:bookmarkStart w:id="123" w:name="_Toc15742"/>
      <w:bookmarkStart w:id="124" w:name="_Toc377719905"/>
      <w:bookmarkStart w:id="125" w:name="_Toc22463"/>
      <w:bookmarkStart w:id="126" w:name="_Toc532367879"/>
      <w:bookmarkStart w:id="127" w:name="_Toc21343"/>
      <w:bookmarkStart w:id="128" w:name="_Toc18237"/>
      <w:bookmarkStart w:id="129" w:name="_Toc9775"/>
      <w:bookmarkStart w:id="130" w:name="_Toc11665"/>
      <w:r>
        <w:rPr>
          <w:rFonts w:hint="eastAsia" w:ascii="宋体" w:hAnsi="宋体" w:cs="宋体"/>
          <w:b/>
          <w:bCs/>
          <w:color w:val="auto"/>
          <w:sz w:val="32"/>
          <w:szCs w:val="32"/>
          <w:highlight w:val="none"/>
        </w:rPr>
        <w:t>7.合同</w:t>
      </w:r>
      <w:bookmarkEnd w:id="118"/>
      <w:bookmarkEnd w:id="119"/>
      <w:bookmarkEnd w:id="120"/>
      <w:bookmarkEnd w:id="121"/>
      <w:bookmarkEnd w:id="122"/>
      <w:bookmarkEnd w:id="123"/>
      <w:bookmarkEnd w:id="124"/>
      <w:r>
        <w:rPr>
          <w:rFonts w:hint="eastAsia" w:ascii="宋体" w:hAnsi="宋体" w:cs="宋体"/>
          <w:b/>
          <w:bCs/>
          <w:color w:val="auto"/>
          <w:sz w:val="32"/>
          <w:szCs w:val="32"/>
          <w:highlight w:val="none"/>
        </w:rPr>
        <w:t>授予</w:t>
      </w:r>
      <w:bookmarkEnd w:id="125"/>
      <w:bookmarkEnd w:id="126"/>
      <w:bookmarkEnd w:id="127"/>
      <w:bookmarkEnd w:id="128"/>
      <w:bookmarkEnd w:id="129"/>
      <w:bookmarkEnd w:id="130"/>
    </w:p>
    <w:p w14:paraId="79F4141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7.1 中标候选人公示</w:t>
      </w:r>
    </w:p>
    <w:p w14:paraId="52CADBC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招标人在收到评标报告之日起 3 日内，按照投标人须知前附表规定的公示媒介和期限公示中标候选人，公示期不得少于 3 天</w:t>
      </w:r>
      <w:r>
        <w:rPr>
          <w:rFonts w:hint="eastAsia" w:ascii="宋体" w:hAnsi="宋体" w:cs="宋体"/>
          <w:color w:val="auto"/>
          <w:sz w:val="24"/>
          <w:szCs w:val="24"/>
          <w:highlight w:val="none"/>
          <w:u w:val="single"/>
        </w:rPr>
        <w:t>，公示期限最后一天为工作日</w:t>
      </w:r>
      <w:r>
        <w:rPr>
          <w:rFonts w:hint="eastAsia" w:ascii="宋体" w:hAnsi="宋体" w:cs="宋体"/>
          <w:color w:val="auto"/>
          <w:sz w:val="24"/>
          <w:szCs w:val="24"/>
          <w:highlight w:val="none"/>
        </w:rPr>
        <w:t>。</w:t>
      </w:r>
    </w:p>
    <w:p w14:paraId="4886DF7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7.2 评标结果异议</w:t>
      </w:r>
    </w:p>
    <w:p w14:paraId="765A22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投标人或者其他利害关系人对评标结果有异议的，应当在中标候选人公示期间提出。招标人将在收到异议之日起 3 日内作出答复；作出答复前，将暂停招标投标活动。</w:t>
      </w:r>
    </w:p>
    <w:p w14:paraId="6E888F7B">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7.3 中标候选人履约能力审查</w:t>
      </w:r>
    </w:p>
    <w:p w14:paraId="28EEB7D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EAB41B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7.4 定标</w:t>
      </w:r>
    </w:p>
    <w:p w14:paraId="1F964E4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14:paraId="5983554A">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7.5 中标通知</w:t>
      </w:r>
    </w:p>
    <w:p w14:paraId="5C9E607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在本章第 3.3 款规定的投标有效期内，</w:t>
      </w:r>
      <w:r>
        <w:rPr>
          <w:rFonts w:hint="eastAsia" w:ascii="宋体" w:hAnsi="宋体" w:cs="宋体"/>
          <w:color w:val="auto"/>
          <w:sz w:val="24"/>
          <w:szCs w:val="24"/>
          <w:highlight w:val="none"/>
          <w:u w:val="single"/>
        </w:rPr>
        <w:t>中标通知书及中标信息在广州公共资源交易中心交易平台发布，视为招标人已向中标人发出中标通知书，以及将中标结果通知未中标的投标人。</w:t>
      </w:r>
    </w:p>
    <w:p w14:paraId="4D8D635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7.6 履约保证金</w:t>
      </w:r>
    </w:p>
    <w:p w14:paraId="0DD403D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在签订合同前，中标人应按“投标人须知前附表”规定的担保形式和招标文件第四章“合同条款及格式”规定的或者事先经过招标人书面认可的履约担保格式向招标人提交履约保证金。除投标人须知前附表另有规定外，履约保证金为中标合同金额的</w:t>
      </w: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w:t>
      </w:r>
    </w:p>
    <w:p w14:paraId="0E69DFB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中标人不能按本章第7.6.1项要求提交履约保证金的，视为放弃中标，其补交的投标保证金不予退还，给招标人造成的损失超过投标保证金数额的，中标人还应当对超过部分予以赔偿。</w:t>
      </w:r>
    </w:p>
    <w:p w14:paraId="79A7AB5C">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7.7 签订合同</w:t>
      </w:r>
    </w:p>
    <w:p w14:paraId="3D25EF9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7.7.1招标人和中标人应当在中标通知书发出之日起</w:t>
      </w:r>
      <w:r>
        <w:rPr>
          <w:rFonts w:hint="eastAsia" w:ascii="宋体" w:hAnsi="宋体" w:cs="宋体"/>
          <w:color w:val="auto"/>
          <w:sz w:val="24"/>
          <w:szCs w:val="24"/>
          <w:highlight w:val="none"/>
          <w:u w:val="single"/>
        </w:rPr>
        <w:t>30个</w:t>
      </w:r>
      <w:r>
        <w:rPr>
          <w:rFonts w:hint="eastAsia" w:ascii="宋体" w:hAnsi="宋体" w:cs="宋体"/>
          <w:color w:val="auto"/>
          <w:sz w:val="24"/>
          <w:szCs w:val="24"/>
          <w:highlight w:val="none"/>
        </w:rPr>
        <w:t>日历天内，根据招标文件和中标人的投标文件订立书面合同。中标人无正当理由拒签合同，在签订合同时向招标人提出附加条件，或者不按照招标文件要求提交履约保证金的，招标人有权取消其中标资格，其</w:t>
      </w:r>
      <w:r>
        <w:rPr>
          <w:rFonts w:hint="eastAsia" w:ascii="宋体" w:hAnsi="宋体" w:cs="宋体"/>
          <w:color w:val="auto"/>
          <w:sz w:val="24"/>
          <w:szCs w:val="24"/>
          <w:highlight w:val="none"/>
          <w:u w:val="single"/>
        </w:rPr>
        <w:t>补交的</w:t>
      </w:r>
      <w:r>
        <w:rPr>
          <w:rFonts w:hint="eastAsia" w:ascii="宋体" w:hAnsi="宋体" w:cs="宋体"/>
          <w:color w:val="auto"/>
          <w:sz w:val="24"/>
          <w:szCs w:val="24"/>
          <w:highlight w:val="none"/>
        </w:rPr>
        <w:t>投标保证金不予退还；给招标人造成的损失超过投标保证金数额的，中标人还应当对超过部分予以赔偿。对依法必须招标项目的中标人，由有关行政监督部门责令改正。</w:t>
      </w:r>
    </w:p>
    <w:p w14:paraId="5A0A30D9">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7.7.2发出中标通知书后，招标人无正当理由拒签合同，或者在签订合同时向中标人提出附加条件的，招标人向中标人退还投标保证金；给中标人造成损失的，还应当赔偿损失。</w:t>
      </w:r>
    </w:p>
    <w:p w14:paraId="4F1007A3">
      <w:pPr>
        <w:pStyle w:val="8"/>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w:t>
      </w:r>
      <w:r>
        <w:rPr>
          <w:rFonts w:hint="eastAsia" w:ascii="宋体" w:hAnsi="宋体"/>
          <w:color w:val="auto"/>
          <w:sz w:val="24"/>
          <w:highlight w:val="none"/>
        </w:rPr>
        <w:t>联合体中标的，联合体各方应当共同与招标人签订合同，就中标项目向招标人承担连带责任</w:t>
      </w:r>
    </w:p>
    <w:p w14:paraId="0D73E15E">
      <w:pPr>
        <w:pStyle w:val="8"/>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7.7.3中标人应当在中标通知书发出之日起30日内，通过电子招标投标交易平台完成在线签订合同。</w:t>
      </w:r>
    </w:p>
    <w:p w14:paraId="28783ACF">
      <w:pPr>
        <w:keepNext/>
        <w:keepLines/>
        <w:spacing w:line="360" w:lineRule="auto"/>
        <w:jc w:val="left"/>
        <w:outlineLvl w:val="1"/>
        <w:rPr>
          <w:rFonts w:ascii="宋体" w:hAnsi="宋体" w:cs="宋体"/>
          <w:b/>
          <w:bCs/>
          <w:color w:val="auto"/>
          <w:sz w:val="32"/>
          <w:szCs w:val="32"/>
          <w:highlight w:val="none"/>
        </w:rPr>
      </w:pPr>
      <w:bookmarkStart w:id="131" w:name="_Toc29502"/>
      <w:bookmarkStart w:id="132" w:name="_Toc15378"/>
      <w:bookmarkStart w:id="133" w:name="_Toc19621"/>
      <w:bookmarkStart w:id="134" w:name="_Toc25746"/>
      <w:bookmarkStart w:id="135" w:name="_Toc15512"/>
      <w:bookmarkStart w:id="136" w:name="_Toc532367880"/>
      <w:r>
        <w:rPr>
          <w:rFonts w:hint="eastAsia" w:ascii="宋体" w:hAnsi="宋体" w:cs="宋体"/>
          <w:b/>
          <w:bCs/>
          <w:color w:val="auto"/>
          <w:sz w:val="32"/>
          <w:szCs w:val="32"/>
          <w:highlight w:val="none"/>
        </w:rPr>
        <w:t>8.纪律和监督</w:t>
      </w:r>
      <w:bookmarkEnd w:id="131"/>
      <w:bookmarkEnd w:id="132"/>
      <w:bookmarkEnd w:id="133"/>
      <w:bookmarkEnd w:id="134"/>
      <w:bookmarkEnd w:id="135"/>
      <w:bookmarkEnd w:id="136"/>
    </w:p>
    <w:p w14:paraId="43173F9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8.1 对招标人的纪律要求</w:t>
      </w:r>
    </w:p>
    <w:p w14:paraId="7B1497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5F2B68E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8.2 对投标人的纪律要求</w:t>
      </w:r>
    </w:p>
    <w:p w14:paraId="6737A9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DBE291">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8.3 对评标委员会成员的纪律要求</w:t>
      </w:r>
    </w:p>
    <w:p w14:paraId="3B77CE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7C35E8A">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8.4 对与评标活动有关的工作人员的纪律要求</w:t>
      </w:r>
    </w:p>
    <w:p w14:paraId="048E19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1F2A5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8.5 投诉</w:t>
      </w:r>
    </w:p>
    <w:p w14:paraId="6D30CE2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2C84CA48">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0F3FA046">
      <w:pPr>
        <w:keepNext/>
        <w:keepLines/>
        <w:spacing w:line="360" w:lineRule="auto"/>
        <w:jc w:val="left"/>
        <w:outlineLvl w:val="1"/>
        <w:rPr>
          <w:rFonts w:ascii="宋体" w:hAnsi="宋体" w:cs="宋体"/>
          <w:b/>
          <w:bCs/>
          <w:color w:val="auto"/>
          <w:sz w:val="32"/>
          <w:szCs w:val="32"/>
          <w:highlight w:val="none"/>
        </w:rPr>
      </w:pPr>
      <w:bookmarkStart w:id="137" w:name="_Toc31993"/>
      <w:bookmarkStart w:id="138" w:name="_Toc3441"/>
      <w:r>
        <w:rPr>
          <w:rFonts w:hint="eastAsia" w:ascii="宋体" w:hAnsi="宋体" w:cs="宋体"/>
          <w:b/>
          <w:bCs/>
          <w:color w:val="auto"/>
          <w:sz w:val="32"/>
          <w:szCs w:val="32"/>
          <w:highlight w:val="none"/>
        </w:rPr>
        <w:t>9.是否采用电子招标投标</w:t>
      </w:r>
      <w:bookmarkEnd w:id="137"/>
      <w:bookmarkEnd w:id="138"/>
    </w:p>
    <w:p w14:paraId="53D629E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6927DD5B">
      <w:pPr>
        <w:keepNext/>
        <w:keepLines/>
        <w:spacing w:line="360" w:lineRule="auto"/>
        <w:jc w:val="left"/>
        <w:outlineLvl w:val="1"/>
        <w:rPr>
          <w:rFonts w:ascii="宋体" w:hAnsi="宋体" w:cs="宋体"/>
          <w:b/>
          <w:bCs/>
          <w:color w:val="auto"/>
          <w:sz w:val="32"/>
          <w:szCs w:val="32"/>
          <w:highlight w:val="none"/>
        </w:rPr>
      </w:pPr>
      <w:bookmarkStart w:id="139" w:name="_Toc4862"/>
      <w:bookmarkStart w:id="140" w:name="_Toc5234"/>
      <w:r>
        <w:rPr>
          <w:rFonts w:hint="eastAsia" w:ascii="宋体" w:hAnsi="宋体" w:cs="宋体"/>
          <w:b/>
          <w:bCs/>
          <w:color w:val="auto"/>
          <w:sz w:val="32"/>
          <w:szCs w:val="32"/>
          <w:highlight w:val="none"/>
        </w:rPr>
        <w:t>10.需要补充的其他内容</w:t>
      </w:r>
      <w:bookmarkEnd w:id="139"/>
      <w:bookmarkEnd w:id="140"/>
    </w:p>
    <w:p w14:paraId="3FE624A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4C925442">
      <w:pPr>
        <w:keepNext/>
        <w:keepLines/>
        <w:spacing w:line="360" w:lineRule="auto"/>
        <w:rPr>
          <w:rFonts w:ascii="宋体" w:hAnsi="宋体" w:cs="宋体"/>
          <w:b/>
          <w:bCs/>
          <w:color w:val="auto"/>
          <w:kern w:val="44"/>
          <w:sz w:val="32"/>
          <w:szCs w:val="32"/>
          <w:highlight w:val="none"/>
        </w:rPr>
        <w:sectPr>
          <w:pgSz w:w="11905" w:h="16838"/>
          <w:pgMar w:top="1418" w:right="1701" w:bottom="1418" w:left="1701" w:header="851" w:footer="794" w:gutter="0"/>
          <w:cols w:space="720" w:num="1"/>
          <w:docGrid w:type="lines" w:linePitch="312" w:charSpace="0"/>
        </w:sectPr>
      </w:pPr>
    </w:p>
    <w:p w14:paraId="3B3FAFEA">
      <w:pPr>
        <w:pStyle w:val="3"/>
        <w:keepNext w:val="0"/>
        <w:keepLines w:val="0"/>
        <w:spacing w:line="360" w:lineRule="auto"/>
        <w:jc w:val="center"/>
        <w:rPr>
          <w:rFonts w:ascii="宋体" w:hAnsi="宋体" w:eastAsia="宋体" w:cs="宋体"/>
          <w:color w:val="auto"/>
          <w:highlight w:val="none"/>
        </w:rPr>
      </w:pPr>
      <w:bookmarkStart w:id="141" w:name="_Toc25981"/>
      <w:bookmarkStart w:id="142" w:name="_Toc19559"/>
      <w:bookmarkStart w:id="143" w:name="_Toc30148"/>
      <w:bookmarkStart w:id="144" w:name="_Toc24355"/>
      <w:bookmarkStart w:id="145" w:name="_Toc10395"/>
      <w:bookmarkStart w:id="146" w:name="_Toc31115"/>
      <w:bookmarkStart w:id="147" w:name="_Toc532367882"/>
      <w:bookmarkStart w:id="148" w:name="_Toc2287"/>
      <w:bookmarkStart w:id="149" w:name="_Toc5360"/>
      <w:bookmarkStart w:id="150" w:name="_Toc525063255"/>
      <w:r>
        <w:rPr>
          <w:rFonts w:hint="eastAsia" w:ascii="宋体" w:hAnsi="宋体" w:eastAsia="宋体" w:cs="宋体"/>
          <w:color w:val="auto"/>
          <w:highlight w:val="none"/>
        </w:rPr>
        <w:t>第三章  评标办法（综合评分法）</w:t>
      </w:r>
      <w:bookmarkEnd w:id="141"/>
    </w:p>
    <w:p w14:paraId="43524628">
      <w:pPr>
        <w:rPr>
          <w:color w:val="auto"/>
          <w:highlight w:val="none"/>
        </w:rPr>
      </w:pPr>
    </w:p>
    <w:p w14:paraId="665A4E74">
      <w:pPr>
        <w:pStyle w:val="4"/>
        <w:keepNext w:val="0"/>
        <w:keepLines w:val="0"/>
        <w:spacing w:before="0" w:after="0" w:line="360" w:lineRule="auto"/>
        <w:jc w:val="center"/>
        <w:rPr>
          <w:rFonts w:ascii="宋体" w:hAnsi="宋体" w:eastAsia="宋体" w:cs="宋体"/>
          <w:color w:val="auto"/>
          <w:sz w:val="36"/>
          <w:szCs w:val="36"/>
          <w:highlight w:val="none"/>
        </w:rPr>
      </w:pPr>
      <w:bookmarkStart w:id="151" w:name="_Toc26053"/>
      <w:r>
        <w:rPr>
          <w:rFonts w:hint="eastAsia" w:ascii="宋体" w:hAnsi="宋体" w:eastAsia="宋体" w:cs="宋体"/>
          <w:color w:val="auto"/>
          <w:sz w:val="36"/>
          <w:szCs w:val="36"/>
          <w:highlight w:val="none"/>
        </w:rPr>
        <w:t>评标办法前附表</w:t>
      </w:r>
      <w:bookmarkEnd w:id="142"/>
      <w:bookmarkEnd w:id="143"/>
      <w:bookmarkEnd w:id="144"/>
      <w:bookmarkEnd w:id="145"/>
      <w:bookmarkEnd w:id="146"/>
      <w:bookmarkEnd w:id="147"/>
      <w:bookmarkEnd w:id="148"/>
      <w:bookmarkEnd w:id="149"/>
      <w:bookmarkEnd w:id="150"/>
      <w:bookmarkEnd w:id="151"/>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841"/>
        <w:gridCol w:w="31"/>
        <w:gridCol w:w="1406"/>
        <w:gridCol w:w="5700"/>
      </w:tblGrid>
      <w:tr w14:paraId="4A9A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25" w:type="pct"/>
            <w:gridSpan w:val="3"/>
            <w:tcBorders>
              <w:top w:val="single" w:color="auto" w:sz="4" w:space="0"/>
              <w:bottom w:val="single" w:color="auto" w:sz="4" w:space="0"/>
              <w:right w:val="single" w:color="auto" w:sz="4" w:space="0"/>
            </w:tcBorders>
            <w:vAlign w:val="center"/>
          </w:tcPr>
          <w:p w14:paraId="10D8D2F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476978E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269" w:type="pct"/>
            <w:tcBorders>
              <w:top w:val="single" w:color="auto" w:sz="4" w:space="0"/>
              <w:left w:val="single" w:color="auto" w:sz="4" w:space="0"/>
              <w:bottom w:val="single" w:color="auto" w:sz="4" w:space="0"/>
              <w:right w:val="single" w:color="auto" w:sz="4" w:space="0"/>
            </w:tcBorders>
            <w:vAlign w:val="center"/>
          </w:tcPr>
          <w:p w14:paraId="54B0D0B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3E66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425" w:type="pct"/>
            <w:tcBorders>
              <w:top w:val="single" w:color="auto" w:sz="4" w:space="0"/>
              <w:left w:val="single" w:color="auto" w:sz="4" w:space="0"/>
              <w:bottom w:val="single" w:color="auto" w:sz="4" w:space="0"/>
              <w:right w:val="single" w:color="auto" w:sz="4" w:space="0"/>
            </w:tcBorders>
            <w:vAlign w:val="center"/>
          </w:tcPr>
          <w:p w14:paraId="61C6602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00" w:type="pct"/>
            <w:gridSpan w:val="2"/>
            <w:tcBorders>
              <w:top w:val="single" w:color="auto" w:sz="4" w:space="0"/>
              <w:left w:val="single" w:color="auto" w:sz="4" w:space="0"/>
              <w:bottom w:val="single" w:color="auto" w:sz="4" w:space="0"/>
              <w:right w:val="single" w:color="auto" w:sz="4" w:space="0"/>
            </w:tcBorders>
            <w:vAlign w:val="center"/>
          </w:tcPr>
          <w:p w14:paraId="51BBA22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806" w:type="pct"/>
            <w:tcBorders>
              <w:top w:val="single" w:color="auto" w:sz="4" w:space="0"/>
              <w:left w:val="single" w:color="auto" w:sz="4" w:space="0"/>
              <w:bottom w:val="single" w:color="auto" w:sz="4" w:space="0"/>
              <w:right w:val="single" w:color="auto" w:sz="4" w:space="0"/>
            </w:tcBorders>
            <w:vAlign w:val="center"/>
          </w:tcPr>
          <w:p w14:paraId="62739DF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3269" w:type="pct"/>
            <w:tcBorders>
              <w:top w:val="single" w:color="auto" w:sz="4" w:space="0"/>
              <w:left w:val="single" w:color="auto" w:sz="4" w:space="0"/>
              <w:bottom w:val="single" w:color="auto" w:sz="4" w:space="0"/>
              <w:right w:val="single" w:color="auto" w:sz="4" w:space="0"/>
            </w:tcBorders>
            <w:vAlign w:val="center"/>
          </w:tcPr>
          <w:p w14:paraId="65912C60">
            <w:pPr>
              <w:spacing w:line="276" w:lineRule="auto"/>
              <w:rPr>
                <w:rFonts w:ascii="宋体" w:hAnsi="宋体" w:cs="宋体"/>
                <w:color w:val="auto"/>
                <w:szCs w:val="21"/>
                <w:highlight w:val="none"/>
              </w:rPr>
            </w:pPr>
            <w:r>
              <w:rPr>
                <w:rFonts w:hint="eastAsia" w:ascii="宋体" w:hAnsi="宋体"/>
                <w:color w:val="auto"/>
                <w:szCs w:val="21"/>
                <w:highlight w:val="none"/>
              </w:rPr>
              <w:t>投标人综合得分由高到低排序前3名作为第一、第二、第三中标候选人，但投标报价低于其成本的除外。投标人总得分相等时，以投标报价低的优先；投标报价也相等的，以检测技术方案得分高的优先；如果检测技术方案得分也相等，由评标委员会采用记名投票方式对其排序，记名投票的形式及排序依据（须书面列举排序依据）由评标委员会研定。</w:t>
            </w:r>
          </w:p>
        </w:tc>
      </w:tr>
      <w:tr w14:paraId="3841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425" w:type="pct"/>
            <w:vMerge w:val="restart"/>
            <w:tcBorders>
              <w:top w:val="single" w:color="auto" w:sz="4" w:space="0"/>
              <w:right w:val="single" w:color="auto" w:sz="4" w:space="0"/>
            </w:tcBorders>
            <w:vAlign w:val="center"/>
          </w:tcPr>
          <w:p w14:paraId="16FA98D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500" w:type="pct"/>
            <w:gridSpan w:val="2"/>
            <w:vMerge w:val="restart"/>
            <w:tcBorders>
              <w:top w:val="single" w:color="auto" w:sz="4" w:space="0"/>
              <w:right w:val="single" w:color="auto" w:sz="4" w:space="0"/>
            </w:tcBorders>
            <w:vAlign w:val="center"/>
          </w:tcPr>
          <w:p w14:paraId="3B32551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8E1A17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269" w:type="pct"/>
            <w:tcBorders>
              <w:top w:val="single" w:color="auto" w:sz="4" w:space="0"/>
              <w:left w:val="single" w:color="auto" w:sz="4" w:space="0"/>
              <w:bottom w:val="single" w:color="auto" w:sz="4" w:space="0"/>
              <w:right w:val="single" w:color="auto" w:sz="4" w:space="0"/>
            </w:tcBorders>
            <w:vAlign w:val="center"/>
          </w:tcPr>
          <w:p w14:paraId="12214A8B">
            <w:pPr>
              <w:spacing w:line="276" w:lineRule="auto"/>
              <w:rPr>
                <w:rFonts w:ascii="宋体" w:hAnsi="宋体" w:cs="宋体"/>
                <w:color w:val="auto"/>
                <w:szCs w:val="21"/>
                <w:highlight w:val="none"/>
              </w:rPr>
            </w:pPr>
            <w:r>
              <w:rPr>
                <w:rFonts w:hint="eastAsia" w:ascii="宋体" w:hAnsi="宋体"/>
                <w:color w:val="auto"/>
                <w:szCs w:val="21"/>
                <w:highlight w:val="none"/>
              </w:rPr>
              <w:t>与营业执照（或事业单位法人证书）、资质证书一致。</w:t>
            </w:r>
          </w:p>
        </w:tc>
      </w:tr>
      <w:tr w14:paraId="4261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trPr>
        <w:tc>
          <w:tcPr>
            <w:tcW w:w="425" w:type="pct"/>
            <w:vMerge w:val="continue"/>
            <w:tcBorders>
              <w:right w:val="single" w:color="auto" w:sz="4" w:space="0"/>
            </w:tcBorders>
            <w:vAlign w:val="center"/>
          </w:tcPr>
          <w:p w14:paraId="1F29107A">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FC86590">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DD4B2B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投标函及附录签字盖章</w:t>
            </w:r>
          </w:p>
        </w:tc>
        <w:tc>
          <w:tcPr>
            <w:tcW w:w="3269" w:type="pct"/>
            <w:tcBorders>
              <w:top w:val="single" w:color="auto" w:sz="4" w:space="0"/>
              <w:left w:val="single" w:color="auto" w:sz="4" w:space="0"/>
              <w:bottom w:val="single" w:color="auto" w:sz="4" w:space="0"/>
              <w:right w:val="single" w:color="auto" w:sz="4" w:space="0"/>
            </w:tcBorders>
            <w:vAlign w:val="center"/>
          </w:tcPr>
          <w:p w14:paraId="228101C3">
            <w:pPr>
              <w:spacing w:line="276" w:lineRule="auto"/>
              <w:rPr>
                <w:rFonts w:ascii="宋体" w:hAnsi="宋体" w:cs="宋体"/>
                <w:color w:val="auto"/>
                <w:szCs w:val="21"/>
                <w:highlight w:val="none"/>
              </w:rPr>
            </w:pPr>
            <w:r>
              <w:rPr>
                <w:rFonts w:hint="eastAsia" w:ascii="宋体" w:hAnsi="宋体"/>
                <w:color w:val="auto"/>
                <w:szCs w:val="21"/>
                <w:highlight w:val="none"/>
              </w:rPr>
              <w:t>投标函及附录格式及签字盖章符合招标文件要求，由法定代表人签字的，应附法定代表人证明书，由代理人签字的，应附法定代表人证明书及授权委托书。</w:t>
            </w:r>
          </w:p>
        </w:tc>
      </w:tr>
      <w:tr w14:paraId="221E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62DDE10A">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614AC421">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A3C510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3269" w:type="pct"/>
            <w:tcBorders>
              <w:top w:val="single" w:color="auto" w:sz="4" w:space="0"/>
              <w:left w:val="single" w:color="auto" w:sz="4" w:space="0"/>
              <w:bottom w:val="single" w:color="auto" w:sz="4" w:space="0"/>
              <w:right w:val="single" w:color="auto" w:sz="4" w:space="0"/>
            </w:tcBorders>
            <w:vAlign w:val="center"/>
          </w:tcPr>
          <w:p w14:paraId="47D0EDB4">
            <w:pPr>
              <w:spacing w:line="276" w:lineRule="auto"/>
              <w:jc w:val="left"/>
              <w:rPr>
                <w:rFonts w:ascii="宋体" w:hAnsi="宋体" w:cs="宋体"/>
                <w:color w:val="auto"/>
                <w:szCs w:val="21"/>
                <w:highlight w:val="none"/>
              </w:rPr>
            </w:pPr>
            <w:r>
              <w:rPr>
                <w:rFonts w:hint="eastAsia" w:ascii="宋体" w:hAnsi="宋体"/>
                <w:color w:val="auto"/>
                <w:szCs w:val="21"/>
                <w:highlight w:val="none"/>
              </w:rPr>
              <w:t>符合第六章“投标文件格式”的规定。</w:t>
            </w:r>
          </w:p>
        </w:tc>
      </w:tr>
      <w:tr w14:paraId="4D41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792A1F93">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0705ABD">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5552DA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332C16F9">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1.4.2 项规定</w:t>
            </w:r>
          </w:p>
        </w:tc>
      </w:tr>
      <w:tr w14:paraId="3DCFE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45CB2D83">
            <w:pPr>
              <w:spacing w:line="276" w:lineRule="auto"/>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7BFD0366">
            <w:pPr>
              <w:spacing w:line="276" w:lineRule="auto"/>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7A8A078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3269" w:type="pct"/>
            <w:tcBorders>
              <w:top w:val="single" w:color="auto" w:sz="4" w:space="0"/>
              <w:left w:val="single" w:color="auto" w:sz="4" w:space="0"/>
              <w:bottom w:val="single" w:color="auto" w:sz="4" w:space="0"/>
              <w:right w:val="single" w:color="auto" w:sz="4" w:space="0"/>
            </w:tcBorders>
            <w:vAlign w:val="center"/>
          </w:tcPr>
          <w:p w14:paraId="065A1689">
            <w:pPr>
              <w:spacing w:line="276" w:lineRule="auto"/>
              <w:jc w:val="left"/>
              <w:rPr>
                <w:rFonts w:ascii="宋体" w:hAnsi="宋体" w:cs="宋体"/>
                <w:color w:val="auto"/>
                <w:szCs w:val="21"/>
                <w:highlight w:val="none"/>
              </w:rPr>
            </w:pPr>
            <w:r>
              <w:rPr>
                <w:rFonts w:hint="eastAsia" w:ascii="宋体" w:hAnsi="宋体"/>
                <w:color w:val="auto"/>
                <w:szCs w:val="21"/>
                <w:highlight w:val="none"/>
              </w:rPr>
              <w:t>不允许。</w:t>
            </w:r>
          </w:p>
        </w:tc>
      </w:tr>
      <w:tr w14:paraId="26D67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bottom w:val="single" w:color="auto" w:sz="4" w:space="0"/>
              <w:right w:val="single" w:color="auto" w:sz="4" w:space="0"/>
            </w:tcBorders>
            <w:vAlign w:val="center"/>
          </w:tcPr>
          <w:p w14:paraId="3481F1D1">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BE3A3E9">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9899EC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3269" w:type="pct"/>
            <w:tcBorders>
              <w:top w:val="single" w:color="auto" w:sz="4" w:space="0"/>
              <w:left w:val="single" w:color="auto" w:sz="4" w:space="0"/>
              <w:bottom w:val="single" w:color="auto" w:sz="4" w:space="0"/>
              <w:right w:val="single" w:color="auto" w:sz="4" w:space="0"/>
            </w:tcBorders>
          </w:tcPr>
          <w:p w14:paraId="23770E8C">
            <w:pPr>
              <w:spacing w:line="276" w:lineRule="auto"/>
              <w:jc w:val="left"/>
              <w:rPr>
                <w:rFonts w:ascii="宋体" w:hAnsi="宋体" w:cs="宋体"/>
                <w:color w:val="auto"/>
                <w:szCs w:val="21"/>
                <w:highlight w:val="none"/>
              </w:rPr>
            </w:pPr>
            <w:r>
              <w:rPr>
                <w:rFonts w:ascii="宋体" w:hAnsi="宋体" w:cs="宋体"/>
                <w:color w:val="auto"/>
                <w:spacing w:val="6"/>
                <w:szCs w:val="21"/>
                <w:highlight w:val="none"/>
              </w:rPr>
              <w:t>投</w:t>
            </w:r>
            <w:r>
              <w:rPr>
                <w:rFonts w:ascii="宋体" w:hAnsi="宋体" w:cs="宋体"/>
                <w:color w:val="auto"/>
                <w:spacing w:val="5"/>
                <w:szCs w:val="21"/>
                <w:highlight w:val="none"/>
              </w:rPr>
              <w:t>标人与其他投标人加密打包投标文件电脑机器特征码一致</w:t>
            </w:r>
            <w:r>
              <w:rPr>
                <w:rFonts w:ascii="宋体" w:hAnsi="宋体" w:cs="宋体"/>
                <w:color w:val="auto"/>
                <w:spacing w:val="-1"/>
                <w:szCs w:val="21"/>
                <w:highlight w:val="none"/>
              </w:rPr>
              <w:t>的</w:t>
            </w:r>
            <w:r>
              <w:rPr>
                <w:rFonts w:hint="eastAsia" w:ascii="Times New Roman" w:hAnsi="Times New Roman"/>
                <w:color w:val="auto"/>
                <w:spacing w:val="-1"/>
                <w:szCs w:val="21"/>
                <w:highlight w:val="none"/>
              </w:rPr>
              <w:t>（</w:t>
            </w:r>
            <w:r>
              <w:rPr>
                <w:rFonts w:ascii="宋体" w:hAnsi="宋体" w:cs="宋体"/>
                <w:color w:val="auto"/>
                <w:spacing w:val="-1"/>
                <w:szCs w:val="21"/>
                <w:highlight w:val="none"/>
              </w:rPr>
              <w:t>以广州公共资源交</w:t>
            </w:r>
            <w:r>
              <w:rPr>
                <w:rFonts w:ascii="宋体" w:hAnsi="宋体" w:cs="宋体"/>
                <w:color w:val="auto"/>
                <w:szCs w:val="21"/>
                <w:highlight w:val="none"/>
              </w:rPr>
              <w:t>易中心评标系统的检索信息为准</w:t>
            </w:r>
            <w:r>
              <w:rPr>
                <w:rFonts w:hint="eastAsia" w:ascii="Times New Roman" w:hAnsi="Times New Roman"/>
                <w:color w:val="auto"/>
                <w:spacing w:val="-1"/>
                <w:szCs w:val="21"/>
                <w:highlight w:val="none"/>
              </w:rPr>
              <w:t>）</w:t>
            </w:r>
            <w:r>
              <w:rPr>
                <w:rFonts w:ascii="宋体" w:hAnsi="宋体" w:cs="宋体"/>
                <w:color w:val="auto"/>
                <w:szCs w:val="21"/>
                <w:highlight w:val="none"/>
              </w:rPr>
              <w:t>将被否</w:t>
            </w:r>
            <w:r>
              <w:rPr>
                <w:rFonts w:ascii="宋体" w:hAnsi="宋体" w:cs="宋体"/>
                <w:color w:val="auto"/>
                <w:spacing w:val="-12"/>
                <w:szCs w:val="21"/>
                <w:highlight w:val="none"/>
              </w:rPr>
              <w:t>决</w:t>
            </w:r>
            <w:r>
              <w:rPr>
                <w:rFonts w:ascii="宋体" w:hAnsi="宋体" w:cs="宋体"/>
                <w:color w:val="auto"/>
                <w:spacing w:val="-10"/>
                <w:szCs w:val="21"/>
                <w:highlight w:val="none"/>
              </w:rPr>
              <w:t>。</w:t>
            </w:r>
          </w:p>
        </w:tc>
      </w:tr>
      <w:tr w14:paraId="09021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trPr>
        <w:tc>
          <w:tcPr>
            <w:tcW w:w="425" w:type="pct"/>
            <w:vMerge w:val="restart"/>
            <w:tcBorders>
              <w:top w:val="single" w:color="auto" w:sz="4" w:space="0"/>
              <w:bottom w:val="single" w:color="auto" w:sz="4" w:space="0"/>
              <w:right w:val="single" w:color="auto" w:sz="4" w:space="0"/>
            </w:tcBorders>
            <w:vAlign w:val="center"/>
          </w:tcPr>
          <w:p w14:paraId="0C1A7F0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500" w:type="pct"/>
            <w:gridSpan w:val="2"/>
            <w:vMerge w:val="restart"/>
            <w:tcBorders>
              <w:top w:val="single" w:color="auto" w:sz="4" w:space="0"/>
              <w:left w:val="single" w:color="auto" w:sz="4" w:space="0"/>
              <w:bottom w:val="single" w:color="auto" w:sz="4" w:space="0"/>
              <w:right w:val="single" w:color="auto" w:sz="4" w:space="0"/>
            </w:tcBorders>
            <w:vAlign w:val="center"/>
          </w:tcPr>
          <w:p w14:paraId="6E7CB5E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6119B3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（或事业单位法人证书）</w:t>
            </w:r>
          </w:p>
        </w:tc>
        <w:tc>
          <w:tcPr>
            <w:tcW w:w="3269" w:type="pct"/>
            <w:tcBorders>
              <w:top w:val="single" w:color="auto" w:sz="4" w:space="0"/>
              <w:left w:val="single" w:color="auto" w:sz="4" w:space="0"/>
              <w:bottom w:val="single" w:color="auto" w:sz="4" w:space="0"/>
              <w:right w:val="single" w:color="auto" w:sz="4" w:space="0"/>
            </w:tcBorders>
            <w:vAlign w:val="center"/>
          </w:tcPr>
          <w:p w14:paraId="0BEEE7A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045D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203BAAB8">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53F3342A">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12389D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3269" w:type="pct"/>
            <w:tcBorders>
              <w:top w:val="single" w:color="auto" w:sz="4" w:space="0"/>
              <w:left w:val="single" w:color="auto" w:sz="4" w:space="0"/>
              <w:bottom w:val="single" w:color="auto" w:sz="4" w:space="0"/>
              <w:right w:val="single" w:color="auto" w:sz="4" w:space="0"/>
            </w:tcBorders>
            <w:vAlign w:val="center"/>
          </w:tcPr>
          <w:p w14:paraId="1E768015">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7CB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875D36A">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33608E">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E9D184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269" w:type="pct"/>
            <w:tcBorders>
              <w:top w:val="single" w:color="auto" w:sz="4" w:space="0"/>
              <w:left w:val="single" w:color="auto" w:sz="4" w:space="0"/>
              <w:bottom w:val="single" w:color="auto" w:sz="4" w:space="0"/>
              <w:right w:val="single" w:color="auto" w:sz="4" w:space="0"/>
            </w:tcBorders>
            <w:vAlign w:val="center"/>
          </w:tcPr>
          <w:p w14:paraId="6B620BE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579B7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25" w:type="pct"/>
            <w:vMerge w:val="continue"/>
            <w:tcBorders>
              <w:top w:val="single" w:color="auto" w:sz="4" w:space="0"/>
              <w:bottom w:val="single" w:color="auto" w:sz="4" w:space="0"/>
              <w:right w:val="single" w:color="auto" w:sz="4" w:space="0"/>
            </w:tcBorders>
            <w:vAlign w:val="center"/>
          </w:tcPr>
          <w:p w14:paraId="1DC2EB5B">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968129">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ACF362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3269" w:type="pct"/>
            <w:tcBorders>
              <w:top w:val="single" w:color="auto" w:sz="4" w:space="0"/>
              <w:left w:val="single" w:color="auto" w:sz="4" w:space="0"/>
              <w:bottom w:val="single" w:color="auto" w:sz="4" w:space="0"/>
              <w:right w:val="single" w:color="auto" w:sz="4" w:space="0"/>
            </w:tcBorders>
            <w:vAlign w:val="center"/>
          </w:tcPr>
          <w:p w14:paraId="452B1B1B">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F1E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425" w:type="pct"/>
            <w:vMerge w:val="continue"/>
            <w:tcBorders>
              <w:top w:val="single" w:color="auto" w:sz="4" w:space="0"/>
              <w:bottom w:val="single" w:color="auto" w:sz="4" w:space="0"/>
              <w:right w:val="single" w:color="auto" w:sz="4" w:space="0"/>
            </w:tcBorders>
            <w:vAlign w:val="center"/>
          </w:tcPr>
          <w:p w14:paraId="027CF508">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41A2C678">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6B3BA4B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696E3E4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22DEC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A0D8733">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938A40C">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8E70E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3269" w:type="pct"/>
            <w:tcBorders>
              <w:top w:val="single" w:color="auto" w:sz="4" w:space="0"/>
              <w:left w:val="single" w:color="auto" w:sz="4" w:space="0"/>
              <w:bottom w:val="single" w:color="auto" w:sz="4" w:space="0"/>
              <w:right w:val="single" w:color="auto" w:sz="4" w:space="0"/>
            </w:tcBorders>
            <w:vAlign w:val="center"/>
          </w:tcPr>
          <w:p w14:paraId="4FE58468">
            <w:pPr>
              <w:spacing w:line="276"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14:paraId="6E29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425" w:type="pct"/>
            <w:vMerge w:val="restart"/>
            <w:tcBorders>
              <w:top w:val="single" w:color="auto" w:sz="4" w:space="0"/>
              <w:right w:val="single" w:color="auto" w:sz="4" w:space="0"/>
            </w:tcBorders>
            <w:vAlign w:val="center"/>
          </w:tcPr>
          <w:p w14:paraId="6798B2D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500" w:type="pct"/>
            <w:gridSpan w:val="2"/>
            <w:vMerge w:val="restart"/>
            <w:tcBorders>
              <w:top w:val="single" w:color="auto" w:sz="4" w:space="0"/>
              <w:left w:val="single" w:color="auto" w:sz="4" w:space="0"/>
              <w:right w:val="single" w:color="auto" w:sz="4" w:space="0"/>
            </w:tcBorders>
            <w:vAlign w:val="center"/>
          </w:tcPr>
          <w:p w14:paraId="2FC66F4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806" w:type="pct"/>
            <w:tcBorders>
              <w:top w:val="single" w:color="auto" w:sz="4" w:space="0"/>
              <w:left w:val="single" w:color="auto" w:sz="4" w:space="0"/>
              <w:right w:val="single" w:color="auto" w:sz="4" w:space="0"/>
            </w:tcBorders>
            <w:vAlign w:val="center"/>
          </w:tcPr>
          <w:p w14:paraId="690832A8">
            <w:pPr>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投标总报价</w:t>
            </w:r>
          </w:p>
        </w:tc>
        <w:tc>
          <w:tcPr>
            <w:tcW w:w="3269" w:type="pct"/>
            <w:tcBorders>
              <w:top w:val="single" w:color="auto" w:sz="4" w:space="0"/>
              <w:left w:val="single" w:color="auto" w:sz="4" w:space="0"/>
            </w:tcBorders>
            <w:vAlign w:val="center"/>
          </w:tcPr>
          <w:p w14:paraId="59398B83">
            <w:pPr>
              <w:spacing w:line="276" w:lineRule="auto"/>
              <w:rPr>
                <w:rFonts w:ascii="宋体" w:hAnsi="宋体" w:cs="宋体"/>
                <w:strike/>
                <w:color w:val="auto"/>
                <w:szCs w:val="21"/>
                <w:highlight w:val="none"/>
              </w:rPr>
            </w:pPr>
            <w:r>
              <w:rPr>
                <w:rFonts w:hint="eastAsia" w:ascii="宋体" w:hAnsi="宋体" w:cs="宋体"/>
                <w:color w:val="auto"/>
                <w:szCs w:val="21"/>
                <w:highlight w:val="none"/>
              </w:rPr>
              <w:t>符合第二章“投标人须知”第3.2款规定进行投标报价；</w:t>
            </w:r>
          </w:p>
        </w:tc>
      </w:tr>
      <w:tr w14:paraId="08E8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25" w:type="pct"/>
            <w:vMerge w:val="continue"/>
            <w:tcBorders>
              <w:right w:val="single" w:color="auto" w:sz="4" w:space="0"/>
            </w:tcBorders>
            <w:vAlign w:val="center"/>
          </w:tcPr>
          <w:p w14:paraId="59B5E98C">
            <w:pPr>
              <w:keepNext/>
              <w:keepLines/>
              <w:spacing w:line="276" w:lineRule="auto"/>
              <w:jc w:val="center"/>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A5FFA1">
            <w:pPr>
              <w:keepNext/>
              <w:keepLines/>
              <w:spacing w:line="276" w:lineRule="auto"/>
              <w:jc w:val="center"/>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368DDD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269" w:type="pct"/>
            <w:tcBorders>
              <w:top w:val="single" w:color="auto" w:sz="4" w:space="0"/>
              <w:left w:val="single" w:color="auto" w:sz="4" w:space="0"/>
              <w:bottom w:val="single" w:color="auto" w:sz="4" w:space="0"/>
            </w:tcBorders>
            <w:vAlign w:val="center"/>
          </w:tcPr>
          <w:p w14:paraId="2F42C3F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1.3.1项规定；</w:t>
            </w:r>
            <w:r>
              <w:rPr>
                <w:rFonts w:hint="eastAsia" w:ascii="宋体" w:hAnsi="宋体" w:cs="宋体"/>
                <w:color w:val="auto"/>
                <w:szCs w:val="21"/>
                <w:highlight w:val="none"/>
                <w:u w:val="single"/>
              </w:rPr>
              <w:t>投标文件按规定的格式填写，内容齐全或关键字迹清晰、容易辩认；</w:t>
            </w:r>
          </w:p>
        </w:tc>
      </w:tr>
      <w:tr w14:paraId="693F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425" w:type="pct"/>
            <w:vMerge w:val="continue"/>
            <w:tcBorders>
              <w:right w:val="single" w:color="auto" w:sz="4" w:space="0"/>
            </w:tcBorders>
            <w:vAlign w:val="center"/>
          </w:tcPr>
          <w:p w14:paraId="0E24B37C">
            <w:pPr>
              <w:spacing w:line="276" w:lineRule="auto"/>
              <w:jc w:val="center"/>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BF0C78">
            <w:pPr>
              <w:spacing w:line="276"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17E14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269" w:type="pct"/>
            <w:tcBorders>
              <w:top w:val="single" w:color="auto" w:sz="4" w:space="0"/>
              <w:left w:val="single" w:color="auto" w:sz="4" w:space="0"/>
              <w:bottom w:val="single" w:color="auto" w:sz="4" w:space="0"/>
            </w:tcBorders>
            <w:vAlign w:val="center"/>
          </w:tcPr>
          <w:p w14:paraId="077D2A5D">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符合第二章“投标人须知前附表”第1.3.2项规定</w:t>
            </w:r>
          </w:p>
        </w:tc>
      </w:tr>
      <w:tr w14:paraId="0B13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425" w:type="pct"/>
            <w:vMerge w:val="continue"/>
            <w:tcBorders>
              <w:right w:val="single" w:color="auto" w:sz="4" w:space="0"/>
            </w:tcBorders>
            <w:vAlign w:val="center"/>
          </w:tcPr>
          <w:p w14:paraId="32647142">
            <w:pPr>
              <w:keepNext/>
              <w:keepLines/>
              <w:spacing w:line="276" w:lineRule="auto"/>
              <w:jc w:val="center"/>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67B391E0">
            <w:pPr>
              <w:keepNext/>
              <w:keepLines/>
              <w:spacing w:line="276" w:lineRule="auto"/>
              <w:jc w:val="center"/>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2E6FD5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269" w:type="pct"/>
            <w:tcBorders>
              <w:top w:val="single" w:color="auto" w:sz="4" w:space="0"/>
              <w:left w:val="single" w:color="auto" w:sz="4" w:space="0"/>
              <w:bottom w:val="single" w:color="auto" w:sz="4" w:space="0"/>
            </w:tcBorders>
            <w:vAlign w:val="center"/>
          </w:tcPr>
          <w:p w14:paraId="75B9782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1.3.3 项规定</w:t>
            </w:r>
          </w:p>
        </w:tc>
      </w:tr>
      <w:tr w14:paraId="1900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425" w:type="pct"/>
            <w:vMerge w:val="continue"/>
            <w:tcBorders>
              <w:right w:val="single" w:color="auto" w:sz="4" w:space="0"/>
            </w:tcBorders>
            <w:vAlign w:val="center"/>
          </w:tcPr>
          <w:p w14:paraId="10FB291C">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AD089B">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4D04A6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269" w:type="pct"/>
            <w:tcBorders>
              <w:top w:val="single" w:color="auto" w:sz="4" w:space="0"/>
              <w:left w:val="single" w:color="auto" w:sz="4" w:space="0"/>
              <w:bottom w:val="single" w:color="auto" w:sz="4" w:space="0"/>
            </w:tcBorders>
            <w:vAlign w:val="center"/>
          </w:tcPr>
          <w:p w14:paraId="2503DD87">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3.3.1 项规定</w:t>
            </w:r>
          </w:p>
        </w:tc>
      </w:tr>
      <w:tr w14:paraId="68E4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trPr>
        <w:tc>
          <w:tcPr>
            <w:tcW w:w="425" w:type="pct"/>
            <w:vMerge w:val="continue"/>
            <w:tcBorders>
              <w:right w:val="single" w:color="auto" w:sz="4" w:space="0"/>
            </w:tcBorders>
            <w:vAlign w:val="center"/>
          </w:tcPr>
          <w:p w14:paraId="66172174">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692B3D40">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tcPr>
          <w:p w14:paraId="00F79B03">
            <w:pPr>
              <w:spacing w:line="276" w:lineRule="auto"/>
              <w:jc w:val="center"/>
              <w:rPr>
                <w:rFonts w:ascii="宋体" w:hAnsi="宋体" w:cs="宋体"/>
                <w:color w:val="auto"/>
                <w:szCs w:val="21"/>
                <w:highlight w:val="none"/>
              </w:rPr>
            </w:pPr>
            <w:r>
              <w:rPr>
                <w:rFonts w:ascii="宋体" w:hAnsi="宋体"/>
                <w:color w:val="auto"/>
                <w:highlight w:val="none"/>
              </w:rPr>
              <w:t>投标保证金</w:t>
            </w:r>
          </w:p>
        </w:tc>
        <w:tc>
          <w:tcPr>
            <w:tcW w:w="3269" w:type="pct"/>
            <w:tcBorders>
              <w:top w:val="single" w:color="auto" w:sz="4" w:space="0"/>
              <w:left w:val="single" w:color="auto" w:sz="4" w:space="0"/>
              <w:bottom w:val="single" w:color="auto" w:sz="4" w:space="0"/>
            </w:tcBorders>
          </w:tcPr>
          <w:p w14:paraId="6A81B423">
            <w:pPr>
              <w:spacing w:line="276" w:lineRule="auto"/>
              <w:rPr>
                <w:rFonts w:ascii="宋体" w:hAnsi="宋体" w:cs="宋体"/>
                <w:color w:val="auto"/>
                <w:szCs w:val="21"/>
                <w:highlight w:val="none"/>
              </w:rPr>
            </w:pPr>
            <w:r>
              <w:rPr>
                <w:rFonts w:hint="eastAsia" w:ascii="宋体" w:hAnsi="宋体" w:cs="宋体"/>
                <w:color w:val="auto"/>
                <w:highlight w:val="none"/>
                <w:u w:val="single"/>
              </w:rPr>
              <w:t>按规定的格式及内容要求签署《关于投标保证金的承诺》</w:t>
            </w:r>
          </w:p>
        </w:tc>
      </w:tr>
      <w:tr w14:paraId="17181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425" w:type="pct"/>
            <w:vMerge w:val="continue"/>
            <w:tcBorders>
              <w:bottom w:val="single" w:color="auto" w:sz="4" w:space="0"/>
              <w:right w:val="single" w:color="auto" w:sz="4" w:space="0"/>
            </w:tcBorders>
            <w:vAlign w:val="center"/>
          </w:tcPr>
          <w:p w14:paraId="4F9501B8">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bottom w:val="single" w:color="auto" w:sz="4" w:space="0"/>
              <w:right w:val="single" w:color="auto" w:sz="4" w:space="0"/>
            </w:tcBorders>
            <w:vAlign w:val="center"/>
          </w:tcPr>
          <w:p w14:paraId="059E0CC2">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B1FEA9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3269" w:type="pct"/>
            <w:tcBorders>
              <w:top w:val="single" w:color="auto" w:sz="4" w:space="0"/>
              <w:left w:val="single" w:color="auto" w:sz="4" w:space="0"/>
              <w:bottom w:val="single" w:color="auto" w:sz="4" w:space="0"/>
            </w:tcBorders>
            <w:vAlign w:val="center"/>
          </w:tcPr>
          <w:p w14:paraId="465EDEB5">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投标人之间不存在《广东省实施&lt;中华人民共和国招标投标法&gt;办法》第十六条所禁止的情形的；</w:t>
            </w:r>
          </w:p>
        </w:tc>
      </w:tr>
      <w:tr w14:paraId="35FCA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25" w:type="pct"/>
            <w:gridSpan w:val="3"/>
            <w:tcBorders>
              <w:top w:val="single" w:color="auto" w:sz="4" w:space="0"/>
              <w:bottom w:val="single" w:color="auto" w:sz="4" w:space="0"/>
              <w:right w:val="single" w:color="auto" w:sz="4" w:space="0"/>
            </w:tcBorders>
            <w:vAlign w:val="center"/>
          </w:tcPr>
          <w:p w14:paraId="14226FE8">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20A2618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3269" w:type="pct"/>
            <w:tcBorders>
              <w:top w:val="single" w:color="auto" w:sz="4" w:space="0"/>
              <w:left w:val="single" w:color="auto" w:sz="4" w:space="0"/>
              <w:bottom w:val="single" w:color="auto" w:sz="4" w:space="0"/>
              <w:right w:val="single" w:color="auto" w:sz="4" w:space="0"/>
            </w:tcBorders>
            <w:vAlign w:val="center"/>
          </w:tcPr>
          <w:p w14:paraId="3C1B6D0D">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32E7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925" w:type="pct"/>
            <w:gridSpan w:val="3"/>
            <w:tcBorders>
              <w:bottom w:val="single" w:color="auto" w:sz="4" w:space="0"/>
              <w:right w:val="single" w:color="auto" w:sz="4" w:space="0"/>
            </w:tcBorders>
            <w:vAlign w:val="center"/>
          </w:tcPr>
          <w:p w14:paraId="7694819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806" w:type="pct"/>
            <w:tcBorders>
              <w:top w:val="single" w:color="auto" w:sz="4" w:space="0"/>
              <w:left w:val="single" w:color="auto" w:sz="4" w:space="0"/>
              <w:bottom w:val="single" w:color="auto" w:sz="4" w:space="0"/>
              <w:right w:val="single" w:color="auto" w:sz="4" w:space="0"/>
            </w:tcBorders>
            <w:vAlign w:val="center"/>
          </w:tcPr>
          <w:p w14:paraId="142C1A8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682CF6C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269" w:type="pct"/>
            <w:tcBorders>
              <w:top w:val="single" w:color="auto" w:sz="4" w:space="0"/>
              <w:left w:val="single" w:color="auto" w:sz="4" w:space="0"/>
              <w:bottom w:val="single" w:color="auto" w:sz="4" w:space="0"/>
              <w:right w:val="single" w:color="auto" w:sz="4" w:space="0"/>
            </w:tcBorders>
            <w:vAlign w:val="center"/>
          </w:tcPr>
          <w:p w14:paraId="7E6FAFD1">
            <w:pPr>
              <w:rPr>
                <w:rFonts w:ascii="宋体" w:hAnsi="宋体" w:cs="宋体"/>
                <w:color w:val="auto"/>
                <w:szCs w:val="21"/>
                <w:highlight w:val="none"/>
              </w:rPr>
            </w:pPr>
            <w:r>
              <w:rPr>
                <w:rFonts w:hint="eastAsia" w:ascii="宋体" w:hAnsi="宋体" w:cs="宋体"/>
                <w:color w:val="auto"/>
                <w:szCs w:val="21"/>
                <w:highlight w:val="none"/>
              </w:rPr>
              <w:t>A资信业绩部分：65分</w:t>
            </w:r>
          </w:p>
          <w:p w14:paraId="22431DEF">
            <w:pPr>
              <w:rPr>
                <w:rFonts w:ascii="宋体" w:hAnsi="宋体" w:cs="宋体"/>
                <w:color w:val="auto"/>
                <w:szCs w:val="21"/>
                <w:highlight w:val="none"/>
              </w:rPr>
            </w:pPr>
            <w:r>
              <w:rPr>
                <w:rFonts w:hint="eastAsia" w:ascii="宋体" w:hAnsi="宋体" w:cs="宋体"/>
                <w:color w:val="auto"/>
                <w:szCs w:val="21"/>
                <w:highlight w:val="none"/>
              </w:rPr>
              <w:t>B检测方案：25分</w:t>
            </w:r>
          </w:p>
          <w:p w14:paraId="38170865">
            <w:pPr>
              <w:rPr>
                <w:rFonts w:ascii="宋体" w:hAnsi="宋体" w:cs="宋体"/>
                <w:color w:val="auto"/>
                <w:szCs w:val="21"/>
                <w:highlight w:val="none"/>
              </w:rPr>
            </w:pPr>
            <w:r>
              <w:rPr>
                <w:rFonts w:hint="eastAsia" w:ascii="宋体" w:hAnsi="宋体" w:cs="宋体"/>
                <w:color w:val="auto"/>
                <w:szCs w:val="21"/>
                <w:highlight w:val="none"/>
              </w:rPr>
              <w:t>C投标报价：10分</w:t>
            </w:r>
          </w:p>
          <w:p w14:paraId="67ACDDA7">
            <w:pPr>
              <w:spacing w:line="276" w:lineRule="auto"/>
              <w:rPr>
                <w:rFonts w:ascii="宋体" w:hAnsi="宋体" w:cs="宋体"/>
                <w:color w:val="auto"/>
                <w:szCs w:val="21"/>
                <w:highlight w:val="none"/>
              </w:rPr>
            </w:pPr>
            <w:r>
              <w:rPr>
                <w:rFonts w:hint="eastAsia" w:ascii="宋体" w:hAnsi="宋体" w:cs="宋体"/>
                <w:color w:val="auto"/>
                <w:szCs w:val="21"/>
                <w:highlight w:val="none"/>
              </w:rPr>
              <w:t>投标人总得分=A+B+C，A、B、C得分为各评委的评分汇总后去掉一个最高分和一个最低分后计取的算术平均分。分数出现小数点时，保留小数点后二位，第三位小数四舍五入）；</w:t>
            </w:r>
          </w:p>
        </w:tc>
      </w:tr>
      <w:tr w14:paraId="2FFA7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925" w:type="pct"/>
            <w:gridSpan w:val="3"/>
            <w:tcBorders>
              <w:top w:val="single" w:color="auto" w:sz="4" w:space="0"/>
              <w:bottom w:val="single" w:color="auto" w:sz="4" w:space="0"/>
              <w:right w:val="single" w:color="auto" w:sz="4" w:space="0"/>
            </w:tcBorders>
            <w:vAlign w:val="center"/>
          </w:tcPr>
          <w:p w14:paraId="4FBB0F6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806" w:type="pct"/>
            <w:tcBorders>
              <w:top w:val="single" w:color="auto" w:sz="4" w:space="0"/>
              <w:left w:val="single" w:color="auto" w:sz="4" w:space="0"/>
              <w:bottom w:val="single" w:color="auto" w:sz="4" w:space="0"/>
              <w:right w:val="single" w:color="auto" w:sz="4" w:space="0"/>
            </w:tcBorders>
            <w:vAlign w:val="center"/>
          </w:tcPr>
          <w:p w14:paraId="760467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3269" w:type="pct"/>
            <w:tcBorders>
              <w:top w:val="single" w:color="auto" w:sz="4" w:space="0"/>
              <w:left w:val="single" w:color="auto" w:sz="4" w:space="0"/>
              <w:bottom w:val="single" w:color="auto" w:sz="4" w:space="0"/>
              <w:right w:val="single" w:color="auto" w:sz="4" w:space="0"/>
            </w:tcBorders>
            <w:vAlign w:val="center"/>
          </w:tcPr>
          <w:p w14:paraId="394E0CF5">
            <w:pPr>
              <w:spacing w:line="276" w:lineRule="auto"/>
              <w:rPr>
                <w:rFonts w:ascii="宋体" w:hAnsi="宋体" w:cs="宋体"/>
                <w:color w:val="auto"/>
                <w:szCs w:val="21"/>
                <w:highlight w:val="none"/>
              </w:rPr>
            </w:pPr>
            <w:r>
              <w:rPr>
                <w:rFonts w:hint="eastAsia" w:ascii="宋体" w:hAnsi="宋体" w:cs="宋体"/>
                <w:color w:val="auto"/>
                <w:szCs w:val="21"/>
                <w:highlight w:val="none"/>
              </w:rPr>
              <w:t>当通过初步评审的有效投标人大于或等于5名且投标报价为有效投标价时，去掉一个最高价和一个最低价，取余下有效投标价的算术平均值的作为评标基准价。当通过初步评审的有效投标人小于5名时，取所有入围的有效投标价的算术平均值的作为评标基准价。</w:t>
            </w:r>
          </w:p>
        </w:tc>
      </w:tr>
      <w:tr w14:paraId="2C72F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5" w:type="pct"/>
            <w:gridSpan w:val="3"/>
            <w:tcBorders>
              <w:top w:val="single" w:color="auto" w:sz="4" w:space="0"/>
              <w:bottom w:val="single" w:color="auto" w:sz="4" w:space="0"/>
              <w:right w:val="single" w:color="auto" w:sz="4" w:space="0"/>
            </w:tcBorders>
            <w:vAlign w:val="center"/>
          </w:tcPr>
          <w:p w14:paraId="3EB1FDC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806" w:type="pct"/>
            <w:tcBorders>
              <w:top w:val="single" w:color="auto" w:sz="4" w:space="0"/>
              <w:left w:val="single" w:color="auto" w:sz="4" w:space="0"/>
              <w:bottom w:val="single" w:color="auto" w:sz="4" w:space="0"/>
              <w:right w:val="single" w:color="auto" w:sz="4" w:space="0"/>
            </w:tcBorders>
            <w:vAlign w:val="center"/>
          </w:tcPr>
          <w:p w14:paraId="73C27F0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3269" w:type="pct"/>
            <w:tcBorders>
              <w:top w:val="single" w:color="auto" w:sz="4" w:space="0"/>
              <w:left w:val="single" w:color="auto" w:sz="4" w:space="0"/>
              <w:bottom w:val="single" w:color="auto" w:sz="4" w:space="0"/>
              <w:right w:val="single" w:color="auto" w:sz="4" w:space="0"/>
            </w:tcBorders>
            <w:vAlign w:val="center"/>
          </w:tcPr>
          <w:p w14:paraId="6EE2F6A0">
            <w:pPr>
              <w:spacing w:line="276" w:lineRule="auto"/>
              <w:rPr>
                <w:rFonts w:ascii="宋体" w:hAnsi="宋体" w:cs="宋体"/>
                <w:color w:val="auto"/>
                <w:szCs w:val="21"/>
                <w:highlight w:val="none"/>
              </w:rPr>
            </w:pPr>
            <w:r>
              <w:rPr>
                <w:rFonts w:hint="eastAsia" w:ascii="宋体" w:hAnsi="宋体" w:cs="宋体"/>
                <w:color w:val="auto"/>
                <w:szCs w:val="21"/>
                <w:highlight w:val="none"/>
              </w:rPr>
              <w:t>偏差率=∣投标总报价—评标基准价∣/评标基准价*100%（偏差率四舍五入保留2位小数）</w:t>
            </w:r>
          </w:p>
        </w:tc>
      </w:tr>
      <w:tr w14:paraId="53F69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5" w:type="pct"/>
            <w:vMerge w:val="restart"/>
            <w:tcBorders>
              <w:top w:val="single" w:color="auto" w:sz="4" w:space="0"/>
              <w:right w:val="single" w:color="auto" w:sz="4" w:space="0"/>
            </w:tcBorders>
            <w:vAlign w:val="center"/>
          </w:tcPr>
          <w:p w14:paraId="5385F403">
            <w:pPr>
              <w:spacing w:line="276" w:lineRule="auto"/>
              <w:jc w:val="center"/>
              <w:rPr>
                <w:rFonts w:ascii="宋体" w:hAnsi="宋体" w:cs="宋体"/>
                <w:color w:val="auto"/>
                <w:szCs w:val="21"/>
                <w:highlight w:val="none"/>
              </w:rPr>
            </w:pPr>
            <w:bookmarkStart w:id="152" w:name="_Toc26875"/>
            <w:bookmarkStart w:id="153" w:name="_Toc28853"/>
            <w:bookmarkStart w:id="154" w:name="_Toc25831"/>
            <w:bookmarkStart w:id="155" w:name="_Toc16761"/>
            <w:bookmarkStart w:id="156" w:name="_Toc27844"/>
            <w:bookmarkStart w:id="157" w:name="_Toc532367883"/>
            <w:bookmarkStart w:id="158" w:name="_Toc12458"/>
            <w:bookmarkStart w:id="159" w:name="_Toc525063256"/>
            <w:bookmarkStart w:id="160" w:name="_Toc6317"/>
            <w:r>
              <w:rPr>
                <w:rFonts w:hint="eastAsia" w:ascii="宋体" w:hAnsi="宋体" w:cs="宋体"/>
                <w:color w:val="auto"/>
                <w:szCs w:val="21"/>
                <w:highlight w:val="none"/>
              </w:rPr>
              <w:t>2.2.4</w:t>
            </w:r>
          </w:p>
          <w:p w14:paraId="4660848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82" w:type="pct"/>
            <w:vMerge w:val="restart"/>
            <w:tcBorders>
              <w:top w:val="single" w:color="auto" w:sz="4" w:space="0"/>
              <w:right w:val="single" w:color="auto" w:sz="4" w:space="0"/>
            </w:tcBorders>
            <w:vAlign w:val="center"/>
          </w:tcPr>
          <w:p w14:paraId="7FDDE1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资信业绩部分评分标准（65分）</w:t>
            </w:r>
          </w:p>
        </w:tc>
        <w:tc>
          <w:tcPr>
            <w:tcW w:w="824" w:type="pct"/>
            <w:gridSpan w:val="2"/>
            <w:tcBorders>
              <w:top w:val="single" w:color="auto" w:sz="4" w:space="0"/>
              <w:left w:val="single" w:color="auto" w:sz="4" w:space="0"/>
              <w:right w:val="single" w:color="auto" w:sz="4" w:space="0"/>
            </w:tcBorders>
            <w:vAlign w:val="center"/>
          </w:tcPr>
          <w:p w14:paraId="68861AEF">
            <w:pPr>
              <w:widowControl/>
              <w:spacing w:line="276"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类似项目业绩（15分）</w:t>
            </w:r>
          </w:p>
        </w:tc>
        <w:tc>
          <w:tcPr>
            <w:tcW w:w="3269" w:type="pct"/>
            <w:tcBorders>
              <w:top w:val="single" w:color="auto" w:sz="4" w:space="0"/>
              <w:left w:val="single" w:color="auto" w:sz="4" w:space="0"/>
              <w:bottom w:val="single" w:color="auto" w:sz="4" w:space="0"/>
              <w:right w:val="single" w:color="auto" w:sz="4" w:space="0"/>
            </w:tcBorders>
            <w:vAlign w:val="center"/>
          </w:tcPr>
          <w:p w14:paraId="245B8F9E">
            <w:pPr>
              <w:widowControl/>
              <w:spacing w:line="240" w:lineRule="exact"/>
              <w:jc w:val="left"/>
              <w:textAlignment w:val="center"/>
              <w:rPr>
                <w:rFonts w:ascii="宋体" w:hAnsi="宋体"/>
                <w:color w:val="auto"/>
                <w:szCs w:val="21"/>
                <w:highlight w:val="none"/>
              </w:rPr>
            </w:pPr>
            <w:r>
              <w:rPr>
                <w:rFonts w:hint="eastAsia" w:ascii="宋体" w:hAnsi="宋体" w:cs="宋体"/>
                <w:color w:val="auto"/>
                <w:kern w:val="0"/>
                <w:szCs w:val="21"/>
                <w:highlight w:val="none"/>
                <w:lang w:bidi="ar"/>
              </w:rPr>
              <w:t>自2020年1月1日至投标截止时间止，投标人承接过的合同金额</w:t>
            </w:r>
            <w:r>
              <w:rPr>
                <w:rFonts w:hint="eastAsia" w:ascii="宋体" w:hAnsi="宋体" w:cs="宋体"/>
                <w:b/>
                <w:bCs/>
                <w:color w:val="auto"/>
                <w:kern w:val="0"/>
                <w:szCs w:val="21"/>
                <w:highlight w:val="none"/>
                <w:lang w:val="en-US" w:eastAsia="zh-CN" w:bidi="ar"/>
              </w:rPr>
              <w:t>70</w:t>
            </w:r>
            <w:r>
              <w:rPr>
                <w:rFonts w:hint="eastAsia" w:ascii="宋体" w:hAnsi="宋体" w:cs="宋体"/>
                <w:b/>
                <w:bCs/>
                <w:color w:val="auto"/>
                <w:kern w:val="0"/>
                <w:szCs w:val="21"/>
                <w:highlight w:val="none"/>
                <w:lang w:bidi="ar"/>
              </w:rPr>
              <w:t>万元</w:t>
            </w:r>
            <w:r>
              <w:rPr>
                <w:rFonts w:hint="eastAsia" w:ascii="宋体" w:hAnsi="宋体" w:cs="宋体"/>
                <w:color w:val="auto"/>
                <w:kern w:val="0"/>
                <w:szCs w:val="21"/>
                <w:highlight w:val="none"/>
                <w:lang w:bidi="ar"/>
              </w:rPr>
              <w:t>或以上类似检</w:t>
            </w:r>
            <w:r>
              <w:rPr>
                <w:rFonts w:hint="eastAsia" w:ascii="宋体" w:hAnsi="宋体" w:cs="宋体"/>
                <w:color w:val="auto"/>
                <w:kern w:val="0"/>
                <w:szCs w:val="21"/>
                <w:highlight w:val="none"/>
                <w:lang w:val="en-US" w:eastAsia="zh-CN" w:bidi="ar"/>
              </w:rPr>
              <w:t>测</w:t>
            </w:r>
            <w:r>
              <w:rPr>
                <w:rFonts w:hint="eastAsia" w:ascii="宋体" w:hAnsi="宋体" w:cs="宋体"/>
                <w:color w:val="auto"/>
                <w:kern w:val="0"/>
                <w:szCs w:val="21"/>
                <w:highlight w:val="none"/>
                <w:lang w:bidi="ar"/>
              </w:rPr>
              <w:t>项目业绩，每项得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分，本项最高得15分。</w:t>
            </w:r>
          </w:p>
          <w:p w14:paraId="533A8C0A">
            <w:pPr>
              <w:widowControl/>
              <w:spacing w:line="24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注：1、类似检测项目业绩：是指包含本次招标内容中的一项</w:t>
            </w:r>
            <w:bookmarkStart w:id="259" w:name="_GoBack"/>
            <w:bookmarkEnd w:id="259"/>
            <w:r>
              <w:rPr>
                <w:rFonts w:hint="eastAsia" w:ascii="宋体" w:hAnsi="宋体" w:cs="宋体"/>
                <w:color w:val="auto"/>
                <w:kern w:val="0"/>
                <w:szCs w:val="21"/>
                <w:highlight w:val="none"/>
                <w:lang w:bidi="ar"/>
              </w:rPr>
              <w:t>或多项的建设工程质量检测类业绩，合同内容名称不同，但表达的意思一致也视为满足内容要求。</w:t>
            </w:r>
          </w:p>
          <w:p w14:paraId="3450914C">
            <w:pPr>
              <w:widowControl/>
              <w:spacing w:line="24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需提供技术服务合同关键页（合同关键页包含签订合同双方的单位名称、项目名称、项目内容、双方签字盖章页及合同签订日期内容）、检测报告等证明材料扫描件，业绩时间及金额均以合同为准，类似业绩时间及金额均以合同为准。</w:t>
            </w:r>
          </w:p>
          <w:p w14:paraId="646EFFAD">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3、若以联合体方式参与投标的，本项评分内容联合体各成员可以累计加分。</w:t>
            </w:r>
          </w:p>
        </w:tc>
      </w:tr>
      <w:tr w14:paraId="3EC91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5" w:type="pct"/>
            <w:vMerge w:val="continue"/>
            <w:tcBorders>
              <w:right w:val="single" w:color="auto" w:sz="4" w:space="0"/>
            </w:tcBorders>
            <w:vAlign w:val="center"/>
          </w:tcPr>
          <w:p w14:paraId="6827ECC9">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0A0E267B">
            <w:pPr>
              <w:spacing w:line="276" w:lineRule="auto"/>
              <w:jc w:val="center"/>
              <w:rPr>
                <w:rFonts w:ascii="宋体" w:hAnsi="宋体" w:cs="宋体"/>
                <w:color w:val="auto"/>
                <w:szCs w:val="21"/>
                <w:highlight w:val="none"/>
              </w:rPr>
            </w:pPr>
          </w:p>
        </w:tc>
        <w:tc>
          <w:tcPr>
            <w:tcW w:w="824" w:type="pct"/>
            <w:gridSpan w:val="2"/>
            <w:vMerge w:val="restart"/>
            <w:tcBorders>
              <w:top w:val="single" w:color="auto" w:sz="4" w:space="0"/>
              <w:left w:val="single" w:color="auto" w:sz="4" w:space="0"/>
              <w:right w:val="single" w:color="auto" w:sz="4" w:space="0"/>
            </w:tcBorders>
            <w:vAlign w:val="center"/>
          </w:tcPr>
          <w:p w14:paraId="3F7612B3">
            <w:pPr>
              <w:widowControl/>
              <w:spacing w:line="276" w:lineRule="auto"/>
              <w:jc w:val="center"/>
              <w:textAlignment w:val="center"/>
              <w:rPr>
                <w:rFonts w:ascii="宋体" w:hAnsi="宋体" w:cs="宋体"/>
                <w:color w:val="auto"/>
                <w:szCs w:val="21"/>
                <w:highlight w:val="none"/>
              </w:rPr>
            </w:pPr>
            <w:r>
              <w:rPr>
                <w:rFonts w:hint="eastAsia" w:cs="宋体"/>
                <w:color w:val="auto"/>
                <w:szCs w:val="21"/>
                <w:highlight w:val="none"/>
              </w:rPr>
              <w:t>投标人信誉综合评价（25分）</w:t>
            </w:r>
          </w:p>
        </w:tc>
        <w:tc>
          <w:tcPr>
            <w:tcW w:w="3269" w:type="pct"/>
            <w:tcBorders>
              <w:top w:val="single" w:color="auto" w:sz="4" w:space="0"/>
              <w:left w:val="single" w:color="auto" w:sz="4" w:space="0"/>
              <w:bottom w:val="single" w:color="auto" w:sz="4" w:space="0"/>
              <w:right w:val="single" w:color="auto" w:sz="4" w:space="0"/>
            </w:tcBorders>
            <w:vAlign w:val="center"/>
          </w:tcPr>
          <w:p w14:paraId="5CEB8434">
            <w:pPr>
              <w:widowControl/>
              <w:spacing w:line="276" w:lineRule="auto"/>
              <w:jc w:val="left"/>
              <w:textAlignment w:val="center"/>
              <w:rPr>
                <w:rFonts w:ascii="宋体" w:hAnsi="宋体"/>
                <w:color w:val="auto"/>
                <w:szCs w:val="21"/>
                <w:highlight w:val="none"/>
              </w:rPr>
            </w:pPr>
            <w:r>
              <w:rPr>
                <w:rFonts w:hint="eastAsia" w:ascii="宋体" w:hAnsi="宋体"/>
                <w:color w:val="auto"/>
                <w:szCs w:val="21"/>
                <w:highlight w:val="none"/>
              </w:rPr>
              <w:t>投标人同时具备中国合格评定国家认可委员会检验机构证书（CNAS）和中国合格评定国家认可委员会实验室认可证（CNAS），且在有效期内的，得</w:t>
            </w:r>
            <w:r>
              <w:rPr>
                <w:rFonts w:ascii="宋体" w:hAnsi="宋体"/>
                <w:color w:val="auto"/>
                <w:szCs w:val="21"/>
                <w:highlight w:val="none"/>
              </w:rPr>
              <w:t>8</w:t>
            </w:r>
            <w:r>
              <w:rPr>
                <w:rFonts w:hint="eastAsia" w:ascii="宋体" w:hAnsi="宋体"/>
                <w:color w:val="auto"/>
                <w:szCs w:val="21"/>
                <w:highlight w:val="none"/>
              </w:rPr>
              <w:t>分；具备其中一个证书的，得</w:t>
            </w:r>
            <w:r>
              <w:rPr>
                <w:rFonts w:ascii="宋体" w:hAnsi="宋体"/>
                <w:color w:val="auto"/>
                <w:szCs w:val="21"/>
                <w:highlight w:val="none"/>
              </w:rPr>
              <w:t>4</w:t>
            </w:r>
            <w:r>
              <w:rPr>
                <w:rFonts w:hint="eastAsia" w:ascii="宋体" w:hAnsi="宋体"/>
                <w:color w:val="auto"/>
                <w:szCs w:val="21"/>
                <w:highlight w:val="none"/>
              </w:rPr>
              <w:t>分；没有证书不得分。本项最多得</w:t>
            </w:r>
            <w:r>
              <w:rPr>
                <w:rFonts w:ascii="宋体" w:hAnsi="宋体"/>
                <w:color w:val="auto"/>
                <w:szCs w:val="21"/>
                <w:highlight w:val="none"/>
              </w:rPr>
              <w:t>8</w:t>
            </w:r>
            <w:r>
              <w:rPr>
                <w:rFonts w:hint="eastAsia" w:ascii="宋体" w:hAnsi="宋体"/>
                <w:color w:val="auto"/>
                <w:szCs w:val="21"/>
                <w:highlight w:val="none"/>
              </w:rPr>
              <w:t>分。</w:t>
            </w:r>
          </w:p>
          <w:p w14:paraId="14A54E9A">
            <w:pPr>
              <w:pStyle w:val="2"/>
              <w:rPr>
                <w:color w:val="auto"/>
                <w:highlight w:val="none"/>
              </w:rPr>
            </w:pPr>
            <w:r>
              <w:rPr>
                <w:rFonts w:hint="eastAsia" w:ascii="宋体" w:hAnsi="宋体" w:cs="宋体"/>
                <w:color w:val="auto"/>
                <w:kern w:val="0"/>
                <w:szCs w:val="21"/>
                <w:highlight w:val="none"/>
                <w:lang w:bidi="ar"/>
              </w:rPr>
              <w:t>注：须提供相关证书的扫描件。若以联合体方式投标的，本项评分内容以牵头方提供资料为准，成员单位提供不计分。</w:t>
            </w:r>
          </w:p>
        </w:tc>
      </w:tr>
      <w:tr w14:paraId="2441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25" w:type="pct"/>
            <w:vMerge w:val="continue"/>
            <w:tcBorders>
              <w:right w:val="single" w:color="auto" w:sz="4" w:space="0"/>
            </w:tcBorders>
            <w:vAlign w:val="center"/>
          </w:tcPr>
          <w:p w14:paraId="1DF0887B">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0532DF36">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0932AE4C">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673B0734">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投标人具有有效期内的 “环境管理体系、职业健康安全管理体系、质量管理体系、知识产权管理体系、信息技术服务管理体系、安全生产标准化体系”认证证书的，每个证书得1分，本项最高得6分。</w:t>
            </w:r>
          </w:p>
          <w:p w14:paraId="752363D6">
            <w:pPr>
              <w:pStyle w:val="2"/>
              <w:rPr>
                <w:color w:val="auto"/>
                <w:highlight w:val="none"/>
              </w:rPr>
            </w:pPr>
            <w:r>
              <w:rPr>
                <w:rFonts w:hint="eastAsia" w:ascii="宋体" w:hAnsi="宋体" w:cs="宋体"/>
                <w:color w:val="auto"/>
                <w:kern w:val="0"/>
                <w:szCs w:val="21"/>
                <w:highlight w:val="none"/>
                <w:lang w:bidi="ar"/>
              </w:rPr>
              <w:t>注：须提供相关证书的扫描件，没有提供的不得分。若以联合体方式投标的，本项评分内容以牵头方提供资料为准，成员单位提供不计分。</w:t>
            </w:r>
          </w:p>
        </w:tc>
      </w:tr>
      <w:tr w14:paraId="73B53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09D3EE00">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6809F299">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2148D357">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5FDAAA9D">
            <w:pPr>
              <w:pStyle w:val="2"/>
              <w:rPr>
                <w:rFonts w:ascii="宋体" w:hAnsi="宋体"/>
                <w:color w:val="auto"/>
                <w:szCs w:val="21"/>
                <w:highlight w:val="none"/>
              </w:rPr>
            </w:pPr>
            <w:r>
              <w:rPr>
                <w:rFonts w:ascii="宋体" w:hAnsi="宋体"/>
                <w:color w:val="auto"/>
                <w:szCs w:val="21"/>
                <w:highlight w:val="none"/>
              </w:rPr>
              <w:t>投标人获得过</w:t>
            </w:r>
            <w:r>
              <w:rPr>
                <w:rFonts w:hint="eastAsia" w:ascii="宋体" w:hAnsi="宋体"/>
                <w:color w:val="auto"/>
                <w:szCs w:val="21"/>
                <w:highlight w:val="none"/>
              </w:rPr>
              <w:t>省级或以上</w:t>
            </w:r>
            <w:r>
              <w:rPr>
                <w:rFonts w:ascii="宋体" w:hAnsi="宋体"/>
                <w:color w:val="auto"/>
                <w:szCs w:val="21"/>
                <w:highlight w:val="none"/>
              </w:rPr>
              <w:t>行业</w:t>
            </w:r>
            <w:r>
              <w:rPr>
                <w:rFonts w:hint="eastAsia" w:ascii="宋体" w:hAnsi="宋体"/>
                <w:color w:val="auto"/>
                <w:szCs w:val="21"/>
                <w:highlight w:val="none"/>
              </w:rPr>
              <w:t>协会“</w:t>
            </w:r>
            <w:r>
              <w:rPr>
                <w:rFonts w:ascii="宋体" w:hAnsi="宋体"/>
                <w:color w:val="auto"/>
                <w:szCs w:val="21"/>
                <w:highlight w:val="none"/>
              </w:rPr>
              <w:t>先进单位</w:t>
            </w:r>
            <w:r>
              <w:rPr>
                <w:rFonts w:hint="eastAsia" w:ascii="宋体" w:hAnsi="宋体" w:cs="宋体"/>
                <w:color w:val="auto"/>
                <w:kern w:val="0"/>
                <w:szCs w:val="21"/>
                <w:highlight w:val="none"/>
                <w:lang w:bidi="ar"/>
              </w:rPr>
              <w:t>”</w:t>
            </w:r>
            <w:r>
              <w:rPr>
                <w:rFonts w:ascii="宋体" w:hAnsi="宋体"/>
                <w:color w:val="auto"/>
                <w:szCs w:val="21"/>
                <w:highlight w:val="none"/>
              </w:rPr>
              <w:t>表彰，一次得 5分；本项最多得5 分。</w:t>
            </w:r>
          </w:p>
          <w:p w14:paraId="028317F7">
            <w:pPr>
              <w:pStyle w:val="2"/>
              <w:rPr>
                <w:color w:val="auto"/>
                <w:highlight w:val="none"/>
              </w:rPr>
            </w:pPr>
            <w:r>
              <w:rPr>
                <w:rFonts w:hint="eastAsia" w:ascii="宋体" w:hAnsi="宋体" w:cs="宋体"/>
                <w:color w:val="auto"/>
                <w:szCs w:val="21"/>
                <w:highlight w:val="none"/>
              </w:rPr>
              <w:t>注：</w:t>
            </w:r>
            <w:r>
              <w:rPr>
                <w:rFonts w:hint="eastAsia" w:ascii="宋体" w:hAnsi="宋体" w:cs="宋体"/>
                <w:color w:val="auto"/>
                <w:kern w:val="0"/>
                <w:szCs w:val="21"/>
                <w:highlight w:val="none"/>
                <w:lang w:bidi="ar"/>
              </w:rPr>
              <w:t>须提供相关证书的清晰扫描件，没有提供的不得分。若以联合体方式投标的，本项评分内容以牵头方提供资料为准，成员单位提供不计分。</w:t>
            </w:r>
          </w:p>
        </w:tc>
      </w:tr>
      <w:tr w14:paraId="29968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38504F74">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1A743024">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3A5A2C6F">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2368C72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投标人获得过“科学技术奖励证书”：（本项最高得</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p>
          <w:p w14:paraId="31F0A81F">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（1）国家政府部门颁发的国家级科学技术奖励证书（不限等级），或获得省级人民政府颁发的科学技术奖励证书（特等奖或一等奖）的，得</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p>
          <w:p w14:paraId="7C70B87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（2）获得省级人民政府颁发的科学技术奖励证书（二等奖）的，得</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分；</w:t>
            </w:r>
          </w:p>
          <w:p w14:paraId="42C4D881">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（3）获得省级人民政府颁发的科学技术奖励证书（三等奖）的，得</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分。</w:t>
            </w:r>
          </w:p>
          <w:p w14:paraId="1A595386">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（4）获得市级人民政府颁发的科学技术奖励证书（不限等级）的，得2分。</w:t>
            </w:r>
          </w:p>
          <w:p w14:paraId="4C0C6B86">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（5）没有不得分。</w:t>
            </w:r>
          </w:p>
          <w:p w14:paraId="7F10A198">
            <w:pPr>
              <w:widowControl/>
              <w:spacing w:line="276" w:lineRule="auto"/>
              <w:jc w:val="left"/>
              <w:textAlignment w:val="center"/>
              <w:rPr>
                <w:color w:val="auto"/>
                <w:highlight w:val="none"/>
              </w:rPr>
            </w:pPr>
            <w:r>
              <w:rPr>
                <w:rFonts w:hint="eastAsia" w:ascii="宋体" w:hAnsi="宋体" w:cs="宋体"/>
                <w:color w:val="auto"/>
                <w:kern w:val="0"/>
                <w:szCs w:val="21"/>
                <w:highlight w:val="none"/>
                <w:lang w:bidi="ar"/>
              </w:rPr>
              <w:t>注：同一项目获得多个奖项的，按最高奖项计取，不重复计算。需提供获奖证书等相关证明材料扫描件，科学技术奖励证书颁发部门须为国家或省、市人民政府，个人奖项不得分。若以联合体方式投标的，本项评分内容以牵头方提供资料为准，成员单位提供不计分。</w:t>
            </w:r>
          </w:p>
        </w:tc>
      </w:tr>
      <w:tr w14:paraId="319D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5" w:type="pct"/>
            <w:vMerge w:val="continue"/>
            <w:tcBorders>
              <w:right w:val="single" w:color="auto" w:sz="4" w:space="0"/>
            </w:tcBorders>
            <w:vAlign w:val="center"/>
          </w:tcPr>
          <w:p w14:paraId="3F5F2191">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3C448CA2">
            <w:pPr>
              <w:spacing w:line="276" w:lineRule="auto"/>
              <w:jc w:val="center"/>
              <w:rPr>
                <w:rFonts w:ascii="宋体" w:hAnsi="宋体" w:cs="宋体"/>
                <w:color w:val="auto"/>
                <w:szCs w:val="21"/>
                <w:highlight w:val="none"/>
              </w:rPr>
            </w:pPr>
          </w:p>
        </w:tc>
        <w:tc>
          <w:tcPr>
            <w:tcW w:w="824" w:type="pct"/>
            <w:gridSpan w:val="2"/>
            <w:vMerge w:val="restart"/>
            <w:tcBorders>
              <w:top w:val="single" w:color="auto" w:sz="4" w:space="0"/>
              <w:left w:val="single" w:color="auto" w:sz="4" w:space="0"/>
              <w:right w:val="single" w:color="auto" w:sz="4" w:space="0"/>
            </w:tcBorders>
            <w:vAlign w:val="center"/>
          </w:tcPr>
          <w:p w14:paraId="461F828E">
            <w:pPr>
              <w:widowControl/>
              <w:spacing w:line="276" w:lineRule="auto"/>
              <w:jc w:val="center"/>
              <w:textAlignment w:val="center"/>
              <w:rPr>
                <w:rFonts w:ascii="宋体" w:hAnsi="宋体" w:cs="宋体"/>
                <w:color w:val="auto"/>
                <w:szCs w:val="21"/>
                <w:highlight w:val="none"/>
              </w:rPr>
            </w:pPr>
            <w:r>
              <w:rPr>
                <w:rFonts w:hint="eastAsia" w:cs="宋体"/>
                <w:color w:val="auto"/>
                <w:szCs w:val="21"/>
                <w:highlight w:val="none"/>
              </w:rPr>
              <w:t>拟投入人员综合水平（25分）</w:t>
            </w:r>
          </w:p>
        </w:tc>
        <w:tc>
          <w:tcPr>
            <w:tcW w:w="3269" w:type="pct"/>
            <w:tcBorders>
              <w:top w:val="single" w:color="auto" w:sz="4" w:space="0"/>
              <w:left w:val="single" w:color="auto" w:sz="4" w:space="0"/>
              <w:bottom w:val="single" w:color="auto" w:sz="4" w:space="0"/>
              <w:right w:val="single" w:color="auto" w:sz="4" w:space="0"/>
            </w:tcBorders>
            <w:vAlign w:val="center"/>
          </w:tcPr>
          <w:p w14:paraId="1E473E9D">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项目负责人:（本项最高得 7 分）：</w:t>
            </w:r>
          </w:p>
          <w:p w14:paraId="1893ED5F">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1、具有工程类相关专业副高级工程师或以上职称，得 3分，</w:t>
            </w:r>
            <w:r>
              <w:rPr>
                <w:rFonts w:hint="eastAsia" w:ascii="宋体" w:hAnsi="宋体" w:cs="宋体"/>
                <w:color w:val="auto"/>
                <w:szCs w:val="21"/>
                <w:highlight w:val="none"/>
              </w:rPr>
              <w:t>中级工程师职称得2分，</w:t>
            </w:r>
            <w:r>
              <w:rPr>
                <w:rFonts w:hint="eastAsia" w:ascii="宋体" w:hAnsi="宋体" w:cs="宋体"/>
                <w:color w:val="auto"/>
                <w:kern w:val="0"/>
                <w:szCs w:val="21"/>
                <w:highlight w:val="none"/>
                <w:lang w:bidi="ar"/>
              </w:rPr>
              <w:t>其他不得分。</w:t>
            </w:r>
          </w:p>
          <w:p w14:paraId="63E73872">
            <w:pPr>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、具有建设行政主管部门或其委托的机构、行业协会颁发的检测员证或检测鉴定培训合格证的得2分；没有获得，不得分；</w:t>
            </w:r>
          </w:p>
          <w:p w14:paraId="3215450E">
            <w:pPr>
              <w:rPr>
                <w:rFonts w:ascii="宋体" w:hAnsi="宋体"/>
                <w:bCs/>
                <w:color w:val="auto"/>
                <w:szCs w:val="21"/>
                <w:highlight w:val="none"/>
              </w:rPr>
            </w:pPr>
            <w:r>
              <w:rPr>
                <w:rFonts w:hint="eastAsia" w:ascii="宋体" w:hAnsi="宋体"/>
                <w:bCs/>
                <w:color w:val="auto"/>
                <w:szCs w:val="21"/>
                <w:highlight w:val="none"/>
              </w:rPr>
              <w:t>3.具有注册土木工程师（岩土）证书的（注册单位与投标单位一致），得2分</w:t>
            </w:r>
          </w:p>
          <w:p w14:paraId="537DAA48">
            <w:pPr>
              <w:widowControl/>
              <w:spacing w:line="276"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注：项目负责人与技术负责人不可兼任。须提供身份证、职称证书、检测员证或合格证等扫描件，提供投标截止前1月在本单位的社保证明材料，并加盖公章，否则不得分。若以联合体方式投标的，本项评分内容以牵头方提供资料为准，成员单位提供不计分。</w:t>
            </w:r>
          </w:p>
        </w:tc>
      </w:tr>
      <w:tr w14:paraId="29A2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25" w:type="pct"/>
            <w:vMerge w:val="continue"/>
            <w:tcBorders>
              <w:right w:val="single" w:color="auto" w:sz="4" w:space="0"/>
            </w:tcBorders>
            <w:vAlign w:val="center"/>
          </w:tcPr>
          <w:p w14:paraId="6F6495B1">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2F82290B">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52CCF115">
            <w:pPr>
              <w:widowControl/>
              <w:spacing w:line="276" w:lineRule="auto"/>
              <w:contextualSpacing/>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4D7703A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技术负责人（本项最高得 8 分）：</w:t>
            </w:r>
          </w:p>
          <w:p w14:paraId="7EE543D9">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1.具有工程类相关专业副高级工程师或以上职称得 3 分；具有工程类相关专业工程师职称得2 分，其他不得分。</w:t>
            </w:r>
          </w:p>
          <w:p w14:paraId="669C1E76">
            <w:pPr>
              <w:widowControl/>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具有</w:t>
            </w:r>
            <w:r>
              <w:rPr>
                <w:rFonts w:hint="eastAsia" w:ascii="宋体" w:hAnsi="宋体" w:cs="宋体"/>
                <w:color w:val="auto"/>
                <w:szCs w:val="21"/>
                <w:highlight w:val="none"/>
              </w:rPr>
              <w:t>建设行政主管部门或其委托的机构、行业协会颁发的检测员证或检测鉴定培训合格证的，得</w:t>
            </w:r>
            <w:r>
              <w:rPr>
                <w:rFonts w:hint="eastAsia" w:ascii="宋体" w:hAnsi="宋体" w:cs="宋体"/>
                <w:color w:val="auto"/>
                <w:szCs w:val="21"/>
                <w:highlight w:val="none"/>
                <w:u w:val="single"/>
              </w:rPr>
              <w:t>2</w:t>
            </w:r>
            <w:r>
              <w:rPr>
                <w:rFonts w:hint="eastAsia" w:ascii="宋体" w:hAnsi="宋体" w:cs="宋体"/>
                <w:color w:val="auto"/>
                <w:szCs w:val="21"/>
                <w:highlight w:val="none"/>
              </w:rPr>
              <w:t>分。</w:t>
            </w:r>
          </w:p>
          <w:p w14:paraId="7D0B005C">
            <w:pPr>
              <w:widowControl/>
              <w:jc w:val="left"/>
              <w:rPr>
                <w:rFonts w:ascii="宋体" w:hAnsi="宋体" w:cs="宋体"/>
                <w:color w:val="auto"/>
                <w:szCs w:val="21"/>
                <w:highlight w:val="none"/>
              </w:rPr>
            </w:pPr>
            <w:r>
              <w:rPr>
                <w:rFonts w:hint="eastAsia" w:ascii="宋体" w:hAnsi="宋体" w:cs="宋体"/>
                <w:color w:val="auto"/>
                <w:szCs w:val="21"/>
                <w:highlight w:val="none"/>
              </w:rPr>
              <w:t>3.具有注册土木工程师（岩土）证书的（注册单位与投标单位一致），得3分；</w:t>
            </w:r>
          </w:p>
          <w:p w14:paraId="11492D5D">
            <w:pPr>
              <w:pStyle w:val="2"/>
              <w:rPr>
                <w:color w:val="auto"/>
                <w:highlight w:val="none"/>
              </w:rPr>
            </w:pPr>
            <w:r>
              <w:rPr>
                <w:rFonts w:hint="eastAsia" w:ascii="宋体" w:hAnsi="宋体" w:cs="宋体"/>
                <w:color w:val="auto"/>
                <w:kern w:val="0"/>
                <w:szCs w:val="21"/>
                <w:highlight w:val="none"/>
                <w:lang w:bidi="ar"/>
              </w:rPr>
              <w:t>注：项目负责人与技术负责人不可兼任。须提供身份证、职称证书、注册证、检测员证或合格证等扫描件，提供投标截止前1月在本单位的社保证明材料，并加盖公章，否则不得分。若以联合体方式投标的，本项评分内容以牵头方提供资料为准，成员单位提供不计分。</w:t>
            </w:r>
          </w:p>
        </w:tc>
      </w:tr>
      <w:tr w14:paraId="02F83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25" w:type="pct"/>
            <w:vMerge w:val="continue"/>
            <w:tcBorders>
              <w:bottom w:val="single" w:color="auto" w:sz="4" w:space="0"/>
              <w:right w:val="single" w:color="auto" w:sz="4" w:space="0"/>
            </w:tcBorders>
            <w:vAlign w:val="center"/>
          </w:tcPr>
          <w:p w14:paraId="4C0D8BD0">
            <w:pPr>
              <w:spacing w:line="276" w:lineRule="auto"/>
              <w:jc w:val="center"/>
              <w:rPr>
                <w:rFonts w:ascii="宋体" w:hAnsi="宋体" w:cs="宋体"/>
                <w:color w:val="auto"/>
                <w:szCs w:val="21"/>
                <w:highlight w:val="none"/>
              </w:rPr>
            </w:pPr>
          </w:p>
        </w:tc>
        <w:tc>
          <w:tcPr>
            <w:tcW w:w="482" w:type="pct"/>
            <w:vMerge w:val="continue"/>
            <w:tcBorders>
              <w:bottom w:val="single" w:color="auto" w:sz="4" w:space="0"/>
              <w:right w:val="single" w:color="auto" w:sz="4" w:space="0"/>
            </w:tcBorders>
            <w:vAlign w:val="center"/>
          </w:tcPr>
          <w:p w14:paraId="253B395B">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bottom w:val="single" w:color="auto" w:sz="4" w:space="0"/>
              <w:right w:val="single" w:color="auto" w:sz="4" w:space="0"/>
            </w:tcBorders>
            <w:vAlign w:val="center"/>
          </w:tcPr>
          <w:p w14:paraId="68D8E310">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right w:val="single" w:color="auto" w:sz="4" w:space="0"/>
            </w:tcBorders>
            <w:vAlign w:val="center"/>
          </w:tcPr>
          <w:p w14:paraId="44FF0FBA">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主要技术人员（本项最高得 10分）：</w:t>
            </w:r>
          </w:p>
          <w:p w14:paraId="6EFB3F43">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拟投入本项目技术人员（除项目负责人、技术负责人外）中：</w:t>
            </w:r>
          </w:p>
          <w:p w14:paraId="15FAB5B5">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（1）持有建设行政主管部门或其委托的机构、行业协会颁发的检测员证或检测鉴定培训合格证，每一人得0.5分，最多得5分。</w:t>
            </w:r>
          </w:p>
          <w:p w14:paraId="6C55D65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（2）上述持有检测员证的人员中，具有工程类相关专业副高级工程师或以上职称，每一人加1分，具有工程类相关专业工程师职称，每一人加0.5分，最多得5分。（每个人员只按最高级别职称加分）。</w:t>
            </w:r>
          </w:p>
          <w:p w14:paraId="4C21624F">
            <w:pPr>
              <w:pStyle w:val="2"/>
              <w:rPr>
                <w:color w:val="auto"/>
                <w:highlight w:val="none"/>
              </w:rPr>
            </w:pPr>
            <w:r>
              <w:rPr>
                <w:rFonts w:hint="eastAsia" w:ascii="宋体" w:hAnsi="宋体" w:cs="宋体"/>
                <w:color w:val="auto"/>
                <w:kern w:val="0"/>
                <w:szCs w:val="21"/>
                <w:highlight w:val="none"/>
                <w:lang w:bidi="ar"/>
              </w:rPr>
              <w:t>注：以上检测技术人员须具有检测员岗位证或检测鉴定培训合格证，须提供身份证、职称证书、检测员证或合格证扫描件，提供投标截止前1月在本单位的社保证明材料，并加盖公章，否则不得分。若以联合体方式投标的，本项评分内容联合体各成员可以累计加分。</w:t>
            </w:r>
          </w:p>
        </w:tc>
      </w:tr>
      <w:tr w14:paraId="27BB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25" w:type="pct"/>
            <w:vMerge w:val="restart"/>
            <w:tcBorders>
              <w:top w:val="single" w:color="auto" w:sz="4" w:space="0"/>
              <w:bottom w:val="single" w:color="auto" w:sz="4" w:space="0"/>
              <w:right w:val="single" w:color="auto" w:sz="4" w:space="0"/>
            </w:tcBorders>
            <w:vAlign w:val="center"/>
          </w:tcPr>
          <w:p w14:paraId="2FEF6AC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400DB5F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82" w:type="pct"/>
            <w:vMerge w:val="restart"/>
            <w:tcBorders>
              <w:top w:val="single" w:color="auto" w:sz="4" w:space="0"/>
              <w:bottom w:val="single" w:color="auto" w:sz="4" w:space="0"/>
              <w:right w:val="single" w:color="auto" w:sz="4" w:space="0"/>
            </w:tcBorders>
            <w:vAlign w:val="center"/>
          </w:tcPr>
          <w:p w14:paraId="11D3A8BF">
            <w:pPr>
              <w:spacing w:line="276" w:lineRule="auto"/>
              <w:jc w:val="center"/>
              <w:rPr>
                <w:rFonts w:cs="宋体"/>
                <w:color w:val="auto"/>
                <w:szCs w:val="21"/>
                <w:highlight w:val="none"/>
              </w:rPr>
            </w:pPr>
            <w:r>
              <w:rPr>
                <w:rFonts w:hint="eastAsia" w:cs="宋体"/>
                <w:color w:val="auto"/>
                <w:szCs w:val="21"/>
                <w:highlight w:val="none"/>
              </w:rPr>
              <w:t>技术方案评分标准（25分）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623AFDEC">
            <w:pPr>
              <w:widowControl/>
              <w:spacing w:line="276" w:lineRule="auto"/>
              <w:jc w:val="center"/>
              <w:textAlignment w:val="center"/>
              <w:rPr>
                <w:rFonts w:cs="宋体"/>
                <w:color w:val="auto"/>
                <w:szCs w:val="21"/>
                <w:highlight w:val="none"/>
              </w:rPr>
            </w:pPr>
            <w:r>
              <w:rPr>
                <w:rFonts w:hint="eastAsia" w:cs="宋体"/>
                <w:color w:val="auto"/>
                <w:szCs w:val="21"/>
                <w:highlight w:val="none"/>
              </w:rPr>
              <w:t>拟投入本项目设备计划（10分）</w:t>
            </w:r>
          </w:p>
        </w:tc>
        <w:tc>
          <w:tcPr>
            <w:tcW w:w="3269" w:type="pct"/>
            <w:tcBorders>
              <w:top w:val="single" w:color="auto" w:sz="4" w:space="0"/>
              <w:left w:val="single" w:color="auto" w:sz="4" w:space="0"/>
              <w:bottom w:val="single" w:color="auto" w:sz="4" w:space="0"/>
              <w:right w:val="single" w:color="auto" w:sz="4" w:space="0"/>
            </w:tcBorders>
          </w:tcPr>
          <w:p w14:paraId="4695CFF9">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【优】拟投入检测设备先进、配备合理，完全满足检测和服务期要求，得8-10分；</w:t>
            </w:r>
          </w:p>
          <w:p w14:paraId="4BB8D325">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【良】拟投入检测设备先进、配备合理，能较好满足检测和服务期要求，得4-7分；</w:t>
            </w:r>
          </w:p>
          <w:p w14:paraId="130C37E8">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【中】拟投入检测设备先进、配备基本合理，能基本满足检测和服务期要求，得1-3分；</w:t>
            </w:r>
          </w:p>
          <w:p w14:paraId="4CA5B645">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【差】设备不能满足检测需要和服务期要求，得0分。</w:t>
            </w:r>
          </w:p>
          <w:p w14:paraId="33A46C3B">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注：1、要求投标人同时提供发票（或租赁合同）和检定校准证书扫描件；</w:t>
            </w:r>
          </w:p>
          <w:p w14:paraId="0F449511">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2、仪器发票开具发票单位或租赁使用单位如果和投标人不一致时，开具发票单位或租赁使用单位必须与投标人同为一个相同的法人单位，并附单位营业执照等相关证明文件；</w:t>
            </w:r>
          </w:p>
          <w:p w14:paraId="665E8B16">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3、检定证书送检单位必须与投标人一致，否则不予认可。</w:t>
            </w:r>
          </w:p>
          <w:p w14:paraId="268CE1A7">
            <w:pPr>
              <w:widowControl/>
              <w:spacing w:line="276" w:lineRule="auto"/>
              <w:jc w:val="left"/>
              <w:rPr>
                <w:color w:val="auto"/>
                <w:highlight w:val="none"/>
              </w:rPr>
            </w:pPr>
            <w:r>
              <w:rPr>
                <w:rFonts w:hint="eastAsia" w:ascii="宋体" w:hAnsi="宋体" w:cs="宋体"/>
                <w:color w:val="auto"/>
                <w:kern w:val="0"/>
                <w:szCs w:val="21"/>
                <w:highlight w:val="none"/>
                <w:lang w:bidi="ar"/>
              </w:rPr>
              <w:t>4、本项评分内容联合体各成员可以累计加分。</w:t>
            </w:r>
          </w:p>
        </w:tc>
      </w:tr>
      <w:tr w14:paraId="0442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425" w:type="pct"/>
            <w:vMerge w:val="continue"/>
            <w:tcBorders>
              <w:top w:val="single" w:color="auto" w:sz="4" w:space="0"/>
              <w:bottom w:val="single" w:color="auto" w:sz="4" w:space="0"/>
              <w:right w:val="single" w:color="auto" w:sz="4" w:space="0"/>
            </w:tcBorders>
            <w:vAlign w:val="center"/>
          </w:tcPr>
          <w:p w14:paraId="0FF4F0D3">
            <w:pPr>
              <w:spacing w:line="276" w:lineRule="auto"/>
              <w:jc w:val="center"/>
              <w:rPr>
                <w:rFonts w:ascii="宋体" w:hAnsi="宋体" w:cs="宋体"/>
                <w:color w:val="auto"/>
                <w:szCs w:val="21"/>
                <w:highlight w:val="none"/>
              </w:rPr>
            </w:pPr>
          </w:p>
        </w:tc>
        <w:tc>
          <w:tcPr>
            <w:tcW w:w="482" w:type="pct"/>
            <w:vMerge w:val="continue"/>
            <w:tcBorders>
              <w:top w:val="single" w:color="auto" w:sz="4" w:space="0"/>
              <w:bottom w:val="single" w:color="auto" w:sz="4" w:space="0"/>
              <w:right w:val="single" w:color="auto" w:sz="4" w:space="0"/>
            </w:tcBorders>
            <w:vAlign w:val="center"/>
          </w:tcPr>
          <w:p w14:paraId="60EA6092">
            <w:pPr>
              <w:spacing w:line="276" w:lineRule="auto"/>
              <w:jc w:val="center"/>
              <w:rPr>
                <w:rFonts w:cs="宋体"/>
                <w:color w:val="auto"/>
                <w:szCs w:val="21"/>
                <w:highlight w:val="none"/>
              </w:rPr>
            </w:pP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194DEA9A">
            <w:pPr>
              <w:widowControl/>
              <w:spacing w:line="276" w:lineRule="auto"/>
              <w:jc w:val="center"/>
              <w:textAlignment w:val="center"/>
              <w:rPr>
                <w:rFonts w:cs="宋体"/>
                <w:color w:val="auto"/>
                <w:szCs w:val="21"/>
                <w:highlight w:val="none"/>
              </w:rPr>
            </w:pPr>
            <w:r>
              <w:rPr>
                <w:rFonts w:hint="eastAsia" w:cs="宋体"/>
                <w:color w:val="auto"/>
                <w:szCs w:val="21"/>
                <w:highlight w:val="none"/>
              </w:rPr>
              <w:t>检测方案（15分）</w:t>
            </w:r>
          </w:p>
        </w:tc>
        <w:tc>
          <w:tcPr>
            <w:tcW w:w="3269" w:type="pct"/>
            <w:tcBorders>
              <w:top w:val="single" w:color="auto" w:sz="4" w:space="0"/>
              <w:left w:val="single" w:color="auto" w:sz="4" w:space="0"/>
              <w:bottom w:val="single" w:color="auto" w:sz="4" w:space="0"/>
              <w:right w:val="single" w:color="auto" w:sz="4" w:space="0"/>
            </w:tcBorders>
          </w:tcPr>
          <w:p w14:paraId="35E71722">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【优】检测方案详细、具体，内容齐全，方法合理可行，能满足本工程提出的所有项目，有合理可行的保证通过相关验收、满足工程进度、质量和安全确保措施，得12-15分。</w:t>
            </w:r>
          </w:p>
          <w:p w14:paraId="450D1129">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【良】检测方案较详细、较具体，内容较齐全，方法较合理可行，有比较可行的保证通过相关验收、满足工程进度、质量和安全确保措施，得8-11分；</w:t>
            </w:r>
          </w:p>
          <w:p w14:paraId="0DC5C88F">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【中】检测方案基本内容满足要求，方法基本符合规范要求，有基本能通过相关验收、满足工程进度、质量和安全的确保措施，得4-7分。</w:t>
            </w:r>
          </w:p>
          <w:p w14:paraId="6640C132">
            <w:pPr>
              <w:widowControl/>
              <w:spacing w:line="276" w:lineRule="auto"/>
              <w:ind w:firstLine="210" w:firstLineChars="100"/>
              <w:jc w:val="left"/>
              <w:textAlignment w:val="center"/>
              <w:rPr>
                <w:rFonts w:cs="宋体"/>
                <w:color w:val="auto"/>
                <w:szCs w:val="21"/>
                <w:highlight w:val="none"/>
              </w:rPr>
            </w:pPr>
            <w:r>
              <w:rPr>
                <w:rFonts w:hint="eastAsia" w:ascii="宋体" w:hAnsi="宋体" w:cs="宋体"/>
                <w:color w:val="auto"/>
                <w:szCs w:val="21"/>
                <w:highlight w:val="none"/>
              </w:rPr>
              <w:t>【差】检测方案基本内容阐述缺项，方法基本不能满足检测要求，得1-3分。</w:t>
            </w:r>
          </w:p>
        </w:tc>
      </w:tr>
      <w:tr w14:paraId="2FFD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25" w:type="pct"/>
            <w:tcBorders>
              <w:top w:val="single" w:color="auto" w:sz="4" w:space="0"/>
              <w:bottom w:val="single" w:color="auto" w:sz="4" w:space="0"/>
              <w:right w:val="single" w:color="auto" w:sz="4" w:space="0"/>
            </w:tcBorders>
            <w:vAlign w:val="center"/>
          </w:tcPr>
          <w:p w14:paraId="264CF14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36F5B9F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82" w:type="pct"/>
            <w:tcBorders>
              <w:top w:val="single" w:color="auto" w:sz="4" w:space="0"/>
              <w:bottom w:val="single" w:color="auto" w:sz="4" w:space="0"/>
              <w:right w:val="single" w:color="auto" w:sz="4" w:space="0"/>
            </w:tcBorders>
            <w:vAlign w:val="center"/>
          </w:tcPr>
          <w:p w14:paraId="1A235C03">
            <w:pPr>
              <w:spacing w:line="276" w:lineRule="auto"/>
              <w:jc w:val="center"/>
              <w:rPr>
                <w:rFonts w:cs="宋体"/>
                <w:color w:val="auto"/>
                <w:szCs w:val="21"/>
                <w:highlight w:val="none"/>
              </w:rPr>
            </w:pPr>
            <w:r>
              <w:rPr>
                <w:rFonts w:hint="eastAsia" w:cs="宋体"/>
                <w:color w:val="auto"/>
                <w:szCs w:val="21"/>
                <w:highlight w:val="none"/>
              </w:rPr>
              <w:t>投标报价评分标准（10分）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08230166">
            <w:pPr>
              <w:spacing w:line="276" w:lineRule="auto"/>
              <w:jc w:val="center"/>
              <w:rPr>
                <w:rFonts w:cs="宋体"/>
                <w:color w:val="auto"/>
                <w:szCs w:val="21"/>
                <w:highlight w:val="none"/>
              </w:rPr>
            </w:pPr>
            <w:r>
              <w:rPr>
                <w:rFonts w:hint="eastAsia" w:cs="宋体"/>
                <w:color w:val="auto"/>
                <w:szCs w:val="21"/>
                <w:highlight w:val="none"/>
              </w:rPr>
              <w:t>投标报价（10分）</w:t>
            </w:r>
          </w:p>
        </w:tc>
        <w:tc>
          <w:tcPr>
            <w:tcW w:w="3269" w:type="pct"/>
            <w:tcBorders>
              <w:top w:val="single" w:color="auto" w:sz="4" w:space="0"/>
              <w:left w:val="single" w:color="auto" w:sz="4" w:space="0"/>
              <w:bottom w:val="single" w:color="auto" w:sz="4" w:space="0"/>
              <w:right w:val="single" w:color="auto" w:sz="4" w:space="0"/>
            </w:tcBorders>
            <w:vAlign w:val="center"/>
          </w:tcPr>
          <w:p w14:paraId="44504D62">
            <w:pPr>
              <w:widowControl/>
              <w:spacing w:line="276" w:lineRule="auto"/>
              <w:jc w:val="left"/>
              <w:textAlignment w:val="center"/>
              <w:rPr>
                <w:rFonts w:cs="宋体"/>
                <w:color w:val="auto"/>
                <w:szCs w:val="21"/>
                <w:highlight w:val="none"/>
              </w:rPr>
            </w:pPr>
            <w:r>
              <w:rPr>
                <w:rFonts w:hint="eastAsia" w:ascii="宋体" w:hAnsi="宋体" w:cs="宋体"/>
                <w:color w:val="auto"/>
                <w:szCs w:val="21"/>
                <w:highlight w:val="none"/>
              </w:rPr>
              <w:t>以评标基准价作为计算各有效投标价得分的基础，当有效投标报价等于评标基准价时得10分；投标有效报价与评标基准价之差，每上偏1%扣1.5分，下偏1%扣1分，本项最高分为10分，最低分为0分。</w:t>
            </w:r>
          </w:p>
        </w:tc>
      </w:tr>
    </w:tbl>
    <w:p w14:paraId="6428CECF">
      <w:pPr>
        <w:pStyle w:val="2"/>
        <w:rPr>
          <w:color w:val="auto"/>
          <w:highlight w:val="none"/>
        </w:rPr>
      </w:pPr>
    </w:p>
    <w:p w14:paraId="69EE66F0">
      <w:pPr>
        <w:spacing w:line="360" w:lineRule="auto"/>
        <w:rPr>
          <w:color w:val="auto"/>
          <w:highlight w:val="none"/>
        </w:rPr>
      </w:pPr>
    </w:p>
    <w:p w14:paraId="5E362FF1">
      <w:pPr>
        <w:ind w:firstLine="420" w:firstLineChars="200"/>
        <w:rPr>
          <w:rFonts w:ascii="宋体" w:hAnsi="宋体" w:cs="宋体"/>
          <w:bCs/>
          <w:color w:val="auto"/>
          <w:szCs w:val="21"/>
          <w:highlight w:val="none"/>
        </w:rPr>
      </w:pPr>
      <w:bookmarkStart w:id="161" w:name="_Toc7506"/>
      <w:bookmarkStart w:id="162" w:name="_Toc4534"/>
      <w:bookmarkStart w:id="163" w:name="_Toc20848"/>
      <w:r>
        <w:rPr>
          <w:rFonts w:hint="eastAsia" w:ascii="宋体" w:hAnsi="宋体" w:cs="宋体"/>
          <w:bCs/>
          <w:color w:val="auto"/>
          <w:szCs w:val="21"/>
          <w:highlight w:val="none"/>
        </w:rPr>
        <w:t>备注：评标委员会成根据表中各项内容对投标人进行评分，投标人的综合得分为各评委的评分去掉一个最高分和一个最低分后计取的算术平均分（分数出现小数点时，保留小数点后二位，第三位小数四舍五入）。</w:t>
      </w:r>
    </w:p>
    <w:p w14:paraId="2C496162">
      <w:pPr>
        <w:widowControl/>
        <w:jc w:val="left"/>
        <w:rPr>
          <w:rFonts w:ascii="宋体" w:hAnsi="宋体" w:cs="宋体"/>
          <w:b/>
          <w:bCs/>
          <w:color w:val="auto"/>
          <w:kern w:val="0"/>
          <w:sz w:val="36"/>
          <w:szCs w:val="36"/>
          <w:highlight w:val="none"/>
        </w:rPr>
      </w:pPr>
      <w:r>
        <w:rPr>
          <w:rFonts w:ascii="宋体" w:hAnsi="宋体" w:cs="宋体"/>
          <w:color w:val="auto"/>
          <w:sz w:val="36"/>
          <w:szCs w:val="36"/>
          <w:highlight w:val="none"/>
        </w:rPr>
        <w:br w:type="page"/>
      </w:r>
    </w:p>
    <w:p w14:paraId="13B11A6F">
      <w:pPr>
        <w:pStyle w:val="4"/>
        <w:keepNext w:val="0"/>
        <w:keepLines w:val="0"/>
        <w:spacing w:before="0" w:after="0"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评标方法</w:t>
      </w:r>
      <w:bookmarkEnd w:id="152"/>
      <w:bookmarkEnd w:id="153"/>
      <w:bookmarkEnd w:id="154"/>
      <w:bookmarkEnd w:id="155"/>
      <w:bookmarkEnd w:id="156"/>
      <w:bookmarkEnd w:id="157"/>
      <w:bookmarkEnd w:id="158"/>
      <w:bookmarkEnd w:id="159"/>
      <w:bookmarkEnd w:id="160"/>
      <w:bookmarkEnd w:id="161"/>
      <w:bookmarkEnd w:id="162"/>
      <w:bookmarkEnd w:id="163"/>
    </w:p>
    <w:p w14:paraId="42256A10">
      <w:pPr>
        <w:keepNext/>
        <w:keepLines/>
        <w:spacing w:line="360" w:lineRule="auto"/>
        <w:jc w:val="left"/>
        <w:outlineLvl w:val="1"/>
        <w:rPr>
          <w:rFonts w:ascii="宋体" w:hAnsi="宋体" w:cs="宋体"/>
          <w:b/>
          <w:bCs/>
          <w:color w:val="auto"/>
          <w:sz w:val="32"/>
          <w:szCs w:val="32"/>
          <w:highlight w:val="none"/>
        </w:rPr>
      </w:pPr>
      <w:bookmarkStart w:id="164" w:name="_Toc5223"/>
      <w:bookmarkStart w:id="165" w:name="_Toc11888"/>
      <w:r>
        <w:rPr>
          <w:rFonts w:hint="eastAsia" w:ascii="宋体" w:hAnsi="宋体" w:cs="宋体"/>
          <w:b/>
          <w:bCs/>
          <w:color w:val="auto"/>
          <w:sz w:val="32"/>
          <w:szCs w:val="32"/>
          <w:highlight w:val="none"/>
        </w:rPr>
        <w:t>1.评标方法</w:t>
      </w:r>
      <w:bookmarkEnd w:id="164"/>
      <w:bookmarkEnd w:id="165"/>
    </w:p>
    <w:p w14:paraId="456419F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按照评标办法前附表的规定确定中标候选人顺序。</w:t>
      </w:r>
    </w:p>
    <w:p w14:paraId="02A6B2A9">
      <w:pPr>
        <w:keepNext/>
        <w:keepLines/>
        <w:spacing w:line="360" w:lineRule="auto"/>
        <w:jc w:val="left"/>
        <w:outlineLvl w:val="1"/>
        <w:rPr>
          <w:rFonts w:ascii="宋体" w:hAnsi="宋体" w:cs="宋体"/>
          <w:b/>
          <w:bCs/>
          <w:color w:val="auto"/>
          <w:sz w:val="32"/>
          <w:szCs w:val="32"/>
          <w:highlight w:val="none"/>
        </w:rPr>
      </w:pPr>
      <w:bookmarkStart w:id="166" w:name="_Toc28918"/>
      <w:r>
        <w:rPr>
          <w:rFonts w:hint="eastAsia" w:ascii="宋体" w:hAnsi="宋体" w:cs="宋体"/>
          <w:b/>
          <w:bCs/>
          <w:color w:val="auto"/>
          <w:sz w:val="32"/>
          <w:szCs w:val="32"/>
          <w:highlight w:val="none"/>
        </w:rPr>
        <w:t>2.评审标准</w:t>
      </w:r>
      <w:bookmarkEnd w:id="166"/>
    </w:p>
    <w:p w14:paraId="34A7BD08">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2.1 初步评审标准</w:t>
      </w:r>
    </w:p>
    <w:p w14:paraId="68A984B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40C2B7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6B9461FA">
      <w:pPr>
        <w:spacing w:line="360" w:lineRule="auto"/>
        <w:ind w:firstLine="484" w:firstLineChars="202"/>
        <w:jc w:val="left"/>
        <w:rPr>
          <w:rFonts w:ascii="宋体" w:hAnsi="宋体" w:cs="宋体"/>
          <w:color w:val="auto"/>
          <w:sz w:val="24"/>
          <w:szCs w:val="24"/>
          <w:highlight w:val="none"/>
        </w:rPr>
      </w:pPr>
      <w:bookmarkStart w:id="167" w:name="_Toc23335"/>
      <w:r>
        <w:rPr>
          <w:rFonts w:hint="eastAsia" w:ascii="宋体" w:hAnsi="宋体" w:cs="宋体"/>
          <w:color w:val="auto"/>
          <w:sz w:val="24"/>
          <w:szCs w:val="24"/>
          <w:highlight w:val="none"/>
        </w:rPr>
        <w:t xml:space="preserve">2.1.3 </w:t>
      </w:r>
      <w:bookmarkEnd w:id="167"/>
      <w:r>
        <w:rPr>
          <w:rFonts w:hint="eastAsia" w:ascii="宋体" w:hAnsi="宋体" w:cs="宋体"/>
          <w:color w:val="auto"/>
          <w:sz w:val="24"/>
          <w:szCs w:val="24"/>
          <w:highlight w:val="none"/>
        </w:rPr>
        <w:t>响应性评审标准：见评标办法前附表。</w:t>
      </w:r>
    </w:p>
    <w:p w14:paraId="768555C7">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2.2 分值构成与评分标准</w:t>
      </w:r>
    </w:p>
    <w:p w14:paraId="28CF851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61DC2BE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1D967BF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检测技术方案</w:t>
      </w:r>
      <w:r>
        <w:rPr>
          <w:rFonts w:hint="eastAsia" w:ascii="宋体" w:hAnsi="宋体" w:cs="宋体"/>
          <w:color w:val="auto"/>
          <w:sz w:val="24"/>
          <w:szCs w:val="24"/>
          <w:highlight w:val="none"/>
        </w:rPr>
        <w:t>部分：见评标办法前附表；</w:t>
      </w:r>
    </w:p>
    <w:p w14:paraId="078CBC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2DD35C21">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（4）其他评分因素：见评标办法前附表。</w:t>
      </w:r>
    </w:p>
    <w:p w14:paraId="7B725D6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014F1CB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64D92D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投标报价的计算</w:t>
      </w:r>
    </w:p>
    <w:p w14:paraId="6DA4EA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投标报价的计算公式：见评标办法前附表。</w:t>
      </w:r>
    </w:p>
    <w:p w14:paraId="24CFAEE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1CD20617">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73169D4D">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检测技术</w:t>
      </w:r>
      <w:r>
        <w:rPr>
          <w:rFonts w:hint="eastAsia" w:ascii="宋体" w:hAnsi="宋体" w:cs="宋体"/>
          <w:color w:val="auto"/>
          <w:sz w:val="24"/>
          <w:szCs w:val="24"/>
          <w:highlight w:val="none"/>
        </w:rPr>
        <w:t>方案部分评分标准：见评标办法前附表；</w:t>
      </w:r>
    </w:p>
    <w:p w14:paraId="3AFD35DF">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64CE5467">
      <w:pPr>
        <w:spacing w:line="360" w:lineRule="auto"/>
        <w:ind w:left="780"/>
        <w:rPr>
          <w:rFonts w:ascii="宋体" w:hAnsi="宋体" w:cs="宋体"/>
          <w:strike/>
          <w:color w:val="auto"/>
          <w:sz w:val="24"/>
          <w:szCs w:val="24"/>
          <w:highlight w:val="none"/>
        </w:rPr>
      </w:pPr>
      <w:r>
        <w:rPr>
          <w:rFonts w:hint="eastAsia" w:ascii="宋体" w:hAnsi="宋体" w:cs="宋体"/>
          <w:strike/>
          <w:color w:val="auto"/>
          <w:sz w:val="24"/>
          <w:szCs w:val="24"/>
          <w:highlight w:val="none"/>
        </w:rPr>
        <w:t>（4）其他因素评分标准：见评标办法前附表。</w:t>
      </w:r>
    </w:p>
    <w:p w14:paraId="6D6382E4">
      <w:pPr>
        <w:keepNext/>
        <w:keepLines/>
        <w:spacing w:line="360" w:lineRule="auto"/>
        <w:jc w:val="left"/>
        <w:outlineLvl w:val="1"/>
        <w:rPr>
          <w:rFonts w:ascii="宋体" w:hAnsi="宋体" w:cs="宋体"/>
          <w:b/>
          <w:bCs/>
          <w:color w:val="auto"/>
          <w:sz w:val="32"/>
          <w:szCs w:val="32"/>
          <w:highlight w:val="none"/>
        </w:rPr>
      </w:pPr>
      <w:bookmarkStart w:id="168" w:name="_Toc12342"/>
      <w:r>
        <w:rPr>
          <w:rFonts w:hint="eastAsia" w:ascii="宋体" w:hAnsi="宋体" w:cs="宋体"/>
          <w:b/>
          <w:bCs/>
          <w:color w:val="auto"/>
          <w:sz w:val="32"/>
          <w:szCs w:val="32"/>
          <w:highlight w:val="none"/>
        </w:rPr>
        <w:t>3. 评标程序</w:t>
      </w:r>
      <w:bookmarkEnd w:id="168"/>
    </w:p>
    <w:p w14:paraId="7E3641E0">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初步评审</w:t>
      </w:r>
    </w:p>
    <w:p w14:paraId="36A24A1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w:t>
      </w:r>
      <w:bookmarkStart w:id="169" w:name="_Toc25401"/>
      <w:r>
        <w:rPr>
          <w:rFonts w:hint="eastAsia" w:ascii="宋体" w:hAnsi="宋体" w:cs="宋体"/>
          <w:color w:val="auto"/>
          <w:sz w:val="24"/>
          <w:szCs w:val="24"/>
          <w:highlight w:val="none"/>
        </w:rPr>
        <w:t>验。评标委员会</w:t>
      </w:r>
      <w:bookmarkEnd w:id="169"/>
      <w:r>
        <w:rPr>
          <w:rFonts w:hint="eastAsia" w:ascii="宋体" w:hAnsi="宋体" w:cs="宋体"/>
          <w:color w:val="auto"/>
          <w:sz w:val="24"/>
          <w:szCs w:val="24"/>
          <w:highlight w:val="none"/>
        </w:rPr>
        <w:t>依据本章第 2.1 款规定的标准对投标文件进行初步评审。有一项不符合评审标准的，评标委员会应当否决其投标。</w:t>
      </w:r>
    </w:p>
    <w:p w14:paraId="62B50E4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4E2E81D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7A51F9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121E325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F3C3C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398406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7BED740F">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3.2 详细评审</w:t>
      </w:r>
    </w:p>
    <w:p w14:paraId="47627F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 2.2 款规定的量化因素和分值进行打分，并计算出综合评分得分。</w:t>
      </w:r>
    </w:p>
    <w:p w14:paraId="2BDFEE37">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（1）按本章第2.2.4（1）目规定的评审因素和分值对企业资信业绩计算出得分A；</w:t>
      </w:r>
    </w:p>
    <w:p w14:paraId="3CB2BE29">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（2）按本章第2.2.4（2）目规定的评审因素和分值对技术方案计算出得分B；</w:t>
      </w:r>
    </w:p>
    <w:p w14:paraId="667FE139">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（3）按本章第2.2.4（3）目规定的评审因素和分值对投标报价计算出得分C；</w:t>
      </w:r>
    </w:p>
    <w:p w14:paraId="0264530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00F2823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p>
    <w:p w14:paraId="62F370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196B0D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投标文件的澄清</w:t>
      </w:r>
    </w:p>
    <w:p w14:paraId="3B2653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06B406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5791A29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7DC9716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评标结果</w:t>
      </w:r>
    </w:p>
    <w:p w14:paraId="7BF168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14:paraId="52CD0C7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14:paraId="70B8A693">
      <w:pPr>
        <w:spacing w:line="360" w:lineRule="auto"/>
        <w:rPr>
          <w:rFonts w:ascii="宋体" w:hAnsi="宋体" w:cs="宋体"/>
          <w:color w:val="auto"/>
          <w:highlight w:val="none"/>
        </w:rPr>
      </w:pPr>
    </w:p>
    <w:p w14:paraId="6622F153">
      <w:pPr>
        <w:spacing w:line="360" w:lineRule="auto"/>
        <w:rPr>
          <w:rFonts w:ascii="宋体" w:hAnsi="宋体" w:cs="宋体"/>
          <w:color w:val="auto"/>
          <w:highlight w:val="none"/>
        </w:rPr>
      </w:pPr>
    </w:p>
    <w:p w14:paraId="0D207834">
      <w:pPr>
        <w:pStyle w:val="2"/>
        <w:rPr>
          <w:rFonts w:ascii="宋体" w:hAnsi="宋体" w:cs="宋体"/>
          <w:color w:val="auto"/>
          <w:highlight w:val="none"/>
        </w:rPr>
      </w:pPr>
    </w:p>
    <w:p w14:paraId="5B5661CF">
      <w:pPr>
        <w:pStyle w:val="2"/>
        <w:rPr>
          <w:rFonts w:ascii="宋体" w:hAnsi="宋体" w:cs="宋体"/>
          <w:color w:val="auto"/>
          <w:highlight w:val="none"/>
        </w:rPr>
      </w:pPr>
    </w:p>
    <w:p w14:paraId="5C331ADE">
      <w:pPr>
        <w:pStyle w:val="2"/>
        <w:rPr>
          <w:rFonts w:ascii="宋体" w:hAnsi="宋体" w:cs="宋体"/>
          <w:color w:val="auto"/>
          <w:highlight w:val="none"/>
        </w:rPr>
      </w:pPr>
    </w:p>
    <w:p w14:paraId="0922765C">
      <w:pPr>
        <w:pStyle w:val="2"/>
        <w:rPr>
          <w:rFonts w:ascii="宋体" w:hAnsi="宋体" w:cs="宋体"/>
          <w:color w:val="auto"/>
          <w:highlight w:val="none"/>
        </w:rPr>
      </w:pPr>
    </w:p>
    <w:p w14:paraId="70311FAC">
      <w:pPr>
        <w:pStyle w:val="2"/>
        <w:rPr>
          <w:rFonts w:ascii="宋体" w:hAnsi="宋体" w:cs="宋体"/>
          <w:color w:val="auto"/>
          <w:highlight w:val="none"/>
        </w:rPr>
      </w:pPr>
    </w:p>
    <w:p w14:paraId="3B966475">
      <w:pPr>
        <w:pStyle w:val="2"/>
        <w:rPr>
          <w:rFonts w:ascii="宋体" w:hAnsi="宋体" w:cs="宋体"/>
          <w:color w:val="auto"/>
          <w:highlight w:val="none"/>
        </w:rPr>
      </w:pPr>
    </w:p>
    <w:p w14:paraId="0449B564">
      <w:pPr>
        <w:pStyle w:val="2"/>
        <w:rPr>
          <w:rFonts w:ascii="宋体" w:hAnsi="宋体" w:cs="宋体"/>
          <w:color w:val="auto"/>
          <w:highlight w:val="none"/>
        </w:rPr>
      </w:pPr>
    </w:p>
    <w:p w14:paraId="7194C51A">
      <w:pPr>
        <w:pStyle w:val="2"/>
        <w:rPr>
          <w:rFonts w:ascii="宋体" w:hAnsi="宋体" w:cs="宋体"/>
          <w:color w:val="auto"/>
          <w:highlight w:val="none"/>
        </w:rPr>
      </w:pPr>
    </w:p>
    <w:p w14:paraId="6493B976">
      <w:pPr>
        <w:pStyle w:val="2"/>
        <w:rPr>
          <w:rFonts w:ascii="宋体" w:hAnsi="宋体" w:cs="宋体"/>
          <w:color w:val="auto"/>
          <w:highlight w:val="none"/>
        </w:rPr>
      </w:pPr>
    </w:p>
    <w:p w14:paraId="34ED00F1">
      <w:pPr>
        <w:pStyle w:val="2"/>
        <w:rPr>
          <w:rFonts w:ascii="宋体" w:hAnsi="宋体" w:cs="宋体"/>
          <w:color w:val="auto"/>
          <w:highlight w:val="none"/>
        </w:rPr>
      </w:pPr>
    </w:p>
    <w:p w14:paraId="32EB54AA">
      <w:pPr>
        <w:pStyle w:val="2"/>
        <w:rPr>
          <w:rFonts w:ascii="宋体" w:hAnsi="宋体" w:cs="宋体"/>
          <w:color w:val="auto"/>
          <w:highlight w:val="none"/>
        </w:rPr>
      </w:pPr>
    </w:p>
    <w:p w14:paraId="5C8C0A86">
      <w:pPr>
        <w:pStyle w:val="2"/>
        <w:rPr>
          <w:rFonts w:ascii="宋体" w:hAnsi="宋体" w:cs="宋体"/>
          <w:color w:val="auto"/>
          <w:highlight w:val="none"/>
        </w:rPr>
      </w:pPr>
    </w:p>
    <w:p w14:paraId="26F3DF8D">
      <w:pPr>
        <w:pStyle w:val="2"/>
        <w:rPr>
          <w:rFonts w:ascii="宋体" w:hAnsi="宋体" w:cs="宋体"/>
          <w:color w:val="auto"/>
          <w:highlight w:val="none"/>
        </w:rPr>
      </w:pPr>
    </w:p>
    <w:p w14:paraId="795FD261">
      <w:pPr>
        <w:pStyle w:val="2"/>
        <w:rPr>
          <w:rFonts w:ascii="宋体" w:hAnsi="宋体" w:cs="宋体"/>
          <w:color w:val="auto"/>
          <w:highlight w:val="none"/>
        </w:rPr>
      </w:pPr>
    </w:p>
    <w:p w14:paraId="45A0ACBA">
      <w:pPr>
        <w:pStyle w:val="2"/>
        <w:rPr>
          <w:rFonts w:ascii="宋体" w:hAnsi="宋体" w:cs="宋体"/>
          <w:color w:val="auto"/>
          <w:highlight w:val="none"/>
        </w:rPr>
      </w:pPr>
    </w:p>
    <w:p w14:paraId="7FD71F6F">
      <w:pPr>
        <w:keepNext/>
        <w:keepLines/>
        <w:adjustRightInd w:val="0"/>
        <w:snapToGrid w:val="0"/>
        <w:spacing w:before="312" w:beforeLines="100" w:after="312" w:afterLines="100" w:line="360" w:lineRule="auto"/>
        <w:ind w:firstLine="1767" w:firstLineChars="400"/>
        <w:textAlignment w:val="center"/>
        <w:outlineLvl w:val="0"/>
        <w:rPr>
          <w:rFonts w:ascii="宋体" w:hAnsi="宋体" w:cs="宋体"/>
          <w:color w:val="auto"/>
          <w:sz w:val="44"/>
          <w:szCs w:val="44"/>
          <w:highlight w:val="none"/>
        </w:rPr>
      </w:pPr>
      <w:bookmarkStart w:id="170" w:name="_Toc25775"/>
      <w:r>
        <w:rPr>
          <w:rFonts w:hint="eastAsia" w:ascii="宋体" w:hAnsi="宋体" w:cs="宋体"/>
          <w:b/>
          <w:bCs/>
          <w:color w:val="auto"/>
          <w:sz w:val="44"/>
          <w:szCs w:val="44"/>
          <w:highlight w:val="none"/>
        </w:rPr>
        <w:t>第四章  合同条款及格式</w:t>
      </w:r>
      <w:bookmarkEnd w:id="170"/>
    </w:p>
    <w:p w14:paraId="0B37C06E">
      <w:pPr>
        <w:keepNext/>
        <w:keepLines/>
        <w:tabs>
          <w:tab w:val="center" w:pos="0"/>
        </w:tabs>
        <w:adjustRightInd w:val="0"/>
        <w:snapToGrid w:val="0"/>
        <w:spacing w:before="312" w:beforeLines="100" w:after="312" w:afterLines="100" w:line="360" w:lineRule="auto"/>
        <w:jc w:val="center"/>
        <w:textAlignment w:val="center"/>
        <w:outlineLvl w:val="0"/>
        <w:rPr>
          <w:rFonts w:ascii="宋体" w:hAnsi="宋体" w:cs="宋体"/>
          <w:color w:val="auto"/>
          <w:sz w:val="44"/>
          <w:szCs w:val="44"/>
          <w:highlight w:val="none"/>
        </w:rPr>
      </w:pPr>
      <w:bookmarkStart w:id="171" w:name="_Toc7302"/>
      <w:r>
        <w:rPr>
          <w:rFonts w:hint="eastAsia" w:ascii="宋体" w:hAnsi="宋体" w:cs="宋体"/>
          <w:color w:val="auto"/>
          <w:sz w:val="32"/>
          <w:szCs w:val="32"/>
          <w:highlight w:val="none"/>
        </w:rPr>
        <w:t>（另册）</w:t>
      </w:r>
      <w:r>
        <w:rPr>
          <w:rFonts w:hint="eastAsia" w:ascii="宋体" w:hAnsi="宋体" w:cs="宋体"/>
          <w:color w:val="auto"/>
          <w:sz w:val="32"/>
          <w:szCs w:val="32"/>
          <w:highlight w:val="none"/>
        </w:rPr>
        <w:br w:type="page"/>
      </w:r>
      <w:r>
        <w:rPr>
          <w:rFonts w:hint="eastAsia" w:ascii="宋体" w:hAnsi="宋体" w:cs="宋体"/>
          <w:b/>
          <w:bCs/>
          <w:color w:val="auto"/>
          <w:sz w:val="44"/>
          <w:szCs w:val="44"/>
          <w:highlight w:val="none"/>
        </w:rPr>
        <w:t>第五章  招标人要求</w:t>
      </w:r>
      <w:bookmarkEnd w:id="171"/>
    </w:p>
    <w:p w14:paraId="31DC402D">
      <w:pPr>
        <w:adjustRightInd w:val="0"/>
        <w:snapToGrid w:val="0"/>
        <w:spacing w:line="360" w:lineRule="auto"/>
        <w:ind w:firstLine="643" w:firstLineChars="200"/>
        <w:jc w:val="center"/>
        <w:textAlignment w:val="baseline"/>
        <w:rPr>
          <w:rFonts w:ascii="宋体" w:hAnsi="宋体" w:cs="宋体"/>
          <w:color w:val="auto"/>
          <w:sz w:val="28"/>
          <w:szCs w:val="28"/>
          <w:highlight w:val="none"/>
        </w:rPr>
      </w:pPr>
      <w:r>
        <w:rPr>
          <w:rFonts w:hint="eastAsia" w:ascii="宋体" w:hAnsi="宋体" w:cs="宋体"/>
          <w:b/>
          <w:color w:val="auto"/>
          <w:sz w:val="32"/>
          <w:szCs w:val="32"/>
          <w:highlight w:val="none"/>
        </w:rPr>
        <w:t>（按国家、广东省、广州市相关规范执行）</w:t>
      </w:r>
    </w:p>
    <w:p w14:paraId="2F4C6EEF">
      <w:pPr>
        <w:keepNext/>
        <w:keepLines/>
        <w:numPr>
          <w:ilvl w:val="0"/>
          <w:numId w:val="2"/>
        </w:numPr>
        <w:tabs>
          <w:tab w:val="center" w:pos="0"/>
        </w:tabs>
        <w:adjustRightInd w:val="0"/>
        <w:snapToGrid w:val="0"/>
        <w:spacing w:before="312" w:beforeLines="100" w:after="312" w:afterLines="100" w:line="360" w:lineRule="auto"/>
        <w:jc w:val="center"/>
        <w:textAlignment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rPr>
        <w:t xml:space="preserve"> </w:t>
      </w:r>
      <w:bookmarkStart w:id="172" w:name="_Toc12654"/>
      <w:r>
        <w:rPr>
          <w:rFonts w:hint="eastAsia" w:ascii="宋体" w:hAnsi="宋体" w:cs="宋体"/>
          <w:b/>
          <w:bCs/>
          <w:color w:val="auto"/>
          <w:sz w:val="44"/>
          <w:szCs w:val="44"/>
          <w:highlight w:val="none"/>
        </w:rPr>
        <w:t>工程量清单</w:t>
      </w:r>
      <w:bookmarkEnd w:id="172"/>
    </w:p>
    <w:p w14:paraId="73FE596F">
      <w:pPr>
        <w:pStyle w:val="2"/>
        <w:jc w:val="center"/>
        <w:rPr>
          <w:color w:val="auto"/>
          <w:sz w:val="30"/>
          <w:szCs w:val="30"/>
          <w:highlight w:val="none"/>
        </w:rPr>
      </w:pPr>
    </w:p>
    <w:p w14:paraId="47C6B9E3">
      <w:pPr>
        <w:pStyle w:val="2"/>
        <w:jc w:val="center"/>
        <w:rPr>
          <w:color w:val="auto"/>
          <w:highlight w:val="none"/>
        </w:rPr>
      </w:pPr>
      <w:r>
        <w:rPr>
          <w:rFonts w:hint="eastAsia"/>
          <w:color w:val="auto"/>
          <w:sz w:val="30"/>
          <w:szCs w:val="30"/>
          <w:highlight w:val="none"/>
        </w:rPr>
        <w:t>本项目不需要提供工程量清单。</w:t>
      </w:r>
    </w:p>
    <w:p w14:paraId="21766AB7">
      <w:pPr>
        <w:spacing w:line="360" w:lineRule="auto"/>
        <w:rPr>
          <w:color w:val="auto"/>
          <w:highlight w:val="none"/>
        </w:rPr>
      </w:pPr>
      <w:bookmarkStart w:id="173" w:name="_Toc332631175"/>
      <w:bookmarkStart w:id="174" w:name="_Toc518374713"/>
    </w:p>
    <w:p w14:paraId="3AF2A7C3">
      <w:pPr>
        <w:widowControl/>
        <w:spacing w:line="360" w:lineRule="auto"/>
        <w:jc w:val="left"/>
        <w:rPr>
          <w:rFonts w:ascii="宋体" w:hAnsi="宋体" w:cs="宋体"/>
          <w:color w:val="auto"/>
          <w:szCs w:val="24"/>
          <w:highlight w:val="none"/>
        </w:rPr>
      </w:pPr>
      <w:r>
        <w:rPr>
          <w:rFonts w:hint="eastAsia"/>
          <w:color w:val="auto"/>
          <w:highlight w:val="none"/>
        </w:rPr>
        <w:br w:type="page"/>
      </w:r>
    </w:p>
    <w:p w14:paraId="508CF39D">
      <w:pPr>
        <w:pStyle w:val="3"/>
        <w:keepNext w:val="0"/>
        <w:keepLines w:val="0"/>
        <w:spacing w:line="360" w:lineRule="auto"/>
        <w:jc w:val="center"/>
        <w:rPr>
          <w:rFonts w:ascii="宋体" w:hAnsi="宋体" w:eastAsia="宋体" w:cs="宋体"/>
          <w:color w:val="auto"/>
          <w:kern w:val="2"/>
          <w:highlight w:val="none"/>
        </w:rPr>
      </w:pPr>
    </w:p>
    <w:p w14:paraId="7A559F2A">
      <w:pPr>
        <w:pStyle w:val="3"/>
        <w:keepNext w:val="0"/>
        <w:keepLines w:val="0"/>
        <w:spacing w:line="360" w:lineRule="auto"/>
        <w:jc w:val="center"/>
        <w:rPr>
          <w:rFonts w:ascii="宋体" w:hAnsi="宋体" w:eastAsia="宋体" w:cs="宋体"/>
          <w:color w:val="auto"/>
          <w:highlight w:val="none"/>
        </w:rPr>
      </w:pPr>
      <w:bookmarkStart w:id="175" w:name="_Toc18657"/>
      <w:r>
        <w:rPr>
          <w:rFonts w:hint="eastAsia" w:ascii="宋体" w:hAnsi="宋体" w:eastAsia="宋体" w:cs="宋体"/>
          <w:color w:val="auto"/>
          <w:kern w:val="2"/>
          <w:highlight w:val="none"/>
        </w:rPr>
        <w:t>第七章  投标文件格式</w:t>
      </w:r>
      <w:bookmarkEnd w:id="175"/>
    </w:p>
    <w:bookmarkEnd w:id="173"/>
    <w:bookmarkEnd w:id="174"/>
    <w:p w14:paraId="6D3F9A3C">
      <w:pPr>
        <w:spacing w:line="360" w:lineRule="auto"/>
        <w:jc w:val="center"/>
        <w:rPr>
          <w:rFonts w:ascii="宋体" w:hAnsi="宋体" w:cs="宋体"/>
          <w:b/>
          <w:color w:val="auto"/>
          <w:sz w:val="44"/>
          <w:szCs w:val="44"/>
          <w:highlight w:val="none"/>
        </w:rPr>
      </w:pPr>
    </w:p>
    <w:p w14:paraId="52329CAE">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番禺汽车城金轩二路B线工程检测</w:t>
      </w:r>
    </w:p>
    <w:p w14:paraId="5695D2D0">
      <w:pPr>
        <w:spacing w:line="360" w:lineRule="auto"/>
        <w:rPr>
          <w:rFonts w:ascii="宋体" w:hAnsi="宋体" w:cs="宋体"/>
          <w:color w:val="auto"/>
          <w:sz w:val="20"/>
          <w:highlight w:val="none"/>
        </w:rPr>
      </w:pPr>
    </w:p>
    <w:p w14:paraId="054B896A">
      <w:pPr>
        <w:spacing w:line="360" w:lineRule="auto"/>
        <w:rPr>
          <w:rFonts w:ascii="宋体" w:hAnsi="宋体" w:cs="宋体"/>
          <w:color w:val="auto"/>
          <w:sz w:val="20"/>
          <w:highlight w:val="none"/>
        </w:rPr>
      </w:pPr>
    </w:p>
    <w:p w14:paraId="165B901E">
      <w:pPr>
        <w:spacing w:line="360" w:lineRule="auto"/>
        <w:rPr>
          <w:rFonts w:ascii="宋体" w:hAnsi="宋体" w:cs="宋体"/>
          <w:color w:val="auto"/>
          <w:sz w:val="20"/>
          <w:highlight w:val="none"/>
        </w:rPr>
      </w:pPr>
    </w:p>
    <w:p w14:paraId="5A509454">
      <w:pPr>
        <w:spacing w:line="360" w:lineRule="auto"/>
        <w:rPr>
          <w:rFonts w:ascii="宋体" w:hAnsi="宋体" w:cs="宋体"/>
          <w:color w:val="auto"/>
          <w:sz w:val="20"/>
          <w:highlight w:val="none"/>
        </w:rPr>
      </w:pPr>
    </w:p>
    <w:p w14:paraId="3E142709">
      <w:pPr>
        <w:spacing w:line="360" w:lineRule="auto"/>
        <w:rPr>
          <w:rFonts w:ascii="宋体" w:hAnsi="宋体" w:cs="宋体"/>
          <w:color w:val="auto"/>
          <w:sz w:val="20"/>
          <w:highlight w:val="none"/>
        </w:rPr>
      </w:pPr>
    </w:p>
    <w:p w14:paraId="37D41ADB">
      <w:pPr>
        <w:spacing w:line="360" w:lineRule="auto"/>
        <w:rPr>
          <w:rFonts w:ascii="宋体" w:hAnsi="宋体" w:cs="宋体"/>
          <w:color w:val="auto"/>
          <w:sz w:val="20"/>
          <w:highlight w:val="none"/>
        </w:rPr>
      </w:pPr>
    </w:p>
    <w:p w14:paraId="498DB3F3">
      <w:pPr>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投标文件</w:t>
      </w:r>
    </w:p>
    <w:p w14:paraId="0C87C883">
      <w:pPr>
        <w:spacing w:line="360" w:lineRule="auto"/>
        <w:rPr>
          <w:rFonts w:ascii="宋体" w:hAnsi="宋体" w:cs="宋体"/>
          <w:color w:val="auto"/>
          <w:sz w:val="28"/>
          <w:highlight w:val="none"/>
        </w:rPr>
      </w:pPr>
    </w:p>
    <w:p w14:paraId="6FD78DBE">
      <w:pPr>
        <w:spacing w:line="360" w:lineRule="auto"/>
        <w:rPr>
          <w:rFonts w:ascii="宋体" w:hAnsi="宋体" w:cs="宋体"/>
          <w:color w:val="auto"/>
          <w:sz w:val="28"/>
          <w:highlight w:val="none"/>
        </w:rPr>
      </w:pPr>
    </w:p>
    <w:p w14:paraId="629B9DD0">
      <w:pPr>
        <w:spacing w:line="360" w:lineRule="auto"/>
        <w:rPr>
          <w:rFonts w:ascii="宋体" w:hAnsi="宋体" w:cs="宋体"/>
          <w:color w:val="auto"/>
          <w:sz w:val="28"/>
          <w:highlight w:val="none"/>
        </w:rPr>
      </w:pPr>
    </w:p>
    <w:p w14:paraId="11F0C82D">
      <w:pPr>
        <w:spacing w:line="360" w:lineRule="auto"/>
        <w:rPr>
          <w:rFonts w:ascii="宋体" w:hAnsi="宋体" w:cs="宋体"/>
          <w:color w:val="auto"/>
          <w:sz w:val="28"/>
          <w:highlight w:val="none"/>
        </w:rPr>
      </w:pPr>
    </w:p>
    <w:p w14:paraId="3AB77F51">
      <w:pPr>
        <w:spacing w:line="360" w:lineRule="auto"/>
        <w:rPr>
          <w:rFonts w:ascii="宋体" w:hAnsi="宋体" w:cs="宋体"/>
          <w:color w:val="auto"/>
          <w:sz w:val="28"/>
          <w:highlight w:val="none"/>
        </w:rPr>
      </w:pPr>
    </w:p>
    <w:p w14:paraId="38650A31">
      <w:pPr>
        <w:spacing w:line="360" w:lineRule="auto"/>
        <w:rPr>
          <w:rFonts w:ascii="宋体" w:hAnsi="宋体" w:cs="宋体"/>
          <w:color w:val="auto"/>
          <w:sz w:val="28"/>
          <w:highlight w:val="none"/>
        </w:rPr>
      </w:pPr>
    </w:p>
    <w:p w14:paraId="3A00D9F7">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投标人：（盖章）</w:t>
      </w:r>
    </w:p>
    <w:p w14:paraId="38F2B0A2">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法定代表人或其委托代理人：（签字或盖章）</w:t>
      </w:r>
    </w:p>
    <w:p w14:paraId="6231C8D7">
      <w:pPr>
        <w:spacing w:line="360" w:lineRule="auto"/>
        <w:jc w:val="center"/>
        <w:rPr>
          <w:rFonts w:ascii="宋体" w:hAnsi="宋体" w:cs="宋体"/>
          <w:color w:val="auto"/>
          <w:highlight w:val="none"/>
        </w:rPr>
      </w:pPr>
      <w:r>
        <w:rPr>
          <w:rFonts w:hint="eastAsia" w:ascii="宋体" w:hAnsi="宋体" w:cs="宋体"/>
          <w:color w:val="auto"/>
          <w:sz w:val="28"/>
          <w:highlight w:val="none"/>
        </w:rPr>
        <w:t>年  月  日</w:t>
      </w:r>
    </w:p>
    <w:p w14:paraId="57560D44">
      <w:pPr>
        <w:spacing w:line="360" w:lineRule="auto"/>
        <w:rPr>
          <w:rFonts w:ascii="宋体" w:hAnsi="宋体" w:cs="宋体"/>
          <w:color w:val="auto"/>
          <w:highlight w:val="none"/>
        </w:rPr>
      </w:pPr>
    </w:p>
    <w:p w14:paraId="326534E6">
      <w:pPr>
        <w:spacing w:line="360" w:lineRule="auto"/>
        <w:rPr>
          <w:rFonts w:ascii="宋体" w:hAnsi="宋体" w:cs="宋体"/>
          <w:color w:val="auto"/>
          <w:highlight w:val="none"/>
        </w:rPr>
      </w:pPr>
    </w:p>
    <w:p w14:paraId="12B9EDB1">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目录</w:t>
      </w:r>
    </w:p>
    <w:p w14:paraId="39BAD04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一、投标函及投标函附录</w:t>
      </w:r>
      <w:r>
        <w:rPr>
          <w:rFonts w:hint="eastAsia" w:ascii="宋体" w:hAnsi="宋体" w:cs="宋体"/>
          <w:color w:val="auto"/>
          <w:sz w:val="28"/>
          <w:szCs w:val="28"/>
          <w:highlight w:val="none"/>
        </w:rPr>
        <w:tab/>
      </w:r>
    </w:p>
    <w:p w14:paraId="2BEB57CB">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二、法定代表人证明书及授权委托书</w:t>
      </w:r>
      <w:r>
        <w:rPr>
          <w:rFonts w:hint="eastAsia" w:ascii="宋体" w:hAnsi="宋体" w:cs="宋体"/>
          <w:color w:val="auto"/>
          <w:sz w:val="28"/>
          <w:szCs w:val="28"/>
          <w:highlight w:val="none"/>
        </w:rPr>
        <w:tab/>
      </w:r>
    </w:p>
    <w:p w14:paraId="7DED59E0">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（如有）</w:t>
      </w:r>
    </w:p>
    <w:p w14:paraId="404C032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四、关于投标保证金的承诺</w:t>
      </w:r>
    </w:p>
    <w:p w14:paraId="4857F7DC">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五、资格审查资料</w:t>
      </w:r>
      <w:r>
        <w:rPr>
          <w:rFonts w:hint="eastAsia" w:ascii="宋体" w:hAnsi="宋体" w:cs="宋体"/>
          <w:color w:val="auto"/>
          <w:sz w:val="28"/>
          <w:szCs w:val="28"/>
          <w:highlight w:val="none"/>
        </w:rPr>
        <w:tab/>
      </w:r>
    </w:p>
    <w:p w14:paraId="3D3529CD">
      <w:pPr>
        <w:spacing w:line="360" w:lineRule="auto"/>
        <w:jc w:val="left"/>
        <w:rPr>
          <w:rFonts w:ascii="宋体" w:hAnsi="宋体" w:cs="宋体"/>
          <w:color w:val="auto"/>
          <w:sz w:val="28"/>
          <w:szCs w:val="28"/>
          <w:highlight w:val="none"/>
        </w:rPr>
      </w:pPr>
      <w:bookmarkStart w:id="176" w:name="_Toc15847"/>
      <w:bookmarkStart w:id="177" w:name="_Toc14300"/>
      <w:bookmarkStart w:id="178" w:name="_Toc759"/>
      <w:bookmarkStart w:id="179" w:name="_Toc20192"/>
      <w:bookmarkStart w:id="180" w:name="_Toc7672"/>
      <w:bookmarkStart w:id="181" w:name="_Toc525063272"/>
      <w:r>
        <w:rPr>
          <w:rFonts w:hint="eastAsia" w:ascii="宋体" w:hAnsi="宋体" w:cs="宋体"/>
          <w:color w:val="auto"/>
          <w:sz w:val="28"/>
          <w:szCs w:val="28"/>
          <w:highlight w:val="none"/>
        </w:rPr>
        <w:t>六、类似项目业绩表</w:t>
      </w:r>
    </w:p>
    <w:p w14:paraId="5E2DAF0E">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七、拟投入本项目的人员一览表</w:t>
      </w:r>
    </w:p>
    <w:p w14:paraId="2B0DF643">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八、拟投入本项目的人员简历表</w:t>
      </w:r>
    </w:p>
    <w:p w14:paraId="74D6EA22">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九、拟投入本项目的主要仪器设备一览表</w:t>
      </w:r>
    </w:p>
    <w:p w14:paraId="38BF3D99">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十、检测技术方案</w:t>
      </w:r>
      <w:r>
        <w:rPr>
          <w:rFonts w:hint="eastAsia" w:ascii="宋体" w:hAnsi="宋体" w:cs="宋体"/>
          <w:color w:val="auto"/>
          <w:sz w:val="28"/>
          <w:szCs w:val="28"/>
          <w:highlight w:val="none"/>
        </w:rPr>
        <w:tab/>
      </w:r>
    </w:p>
    <w:p w14:paraId="037FEEBC">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十一、投标人认为应该提供的其他资料</w:t>
      </w:r>
    </w:p>
    <w:p w14:paraId="5FAAD610">
      <w:pPr>
        <w:spacing w:line="360" w:lineRule="auto"/>
        <w:rPr>
          <w:rFonts w:ascii="宋体" w:hAnsi="宋体" w:cs="宋体"/>
          <w:color w:val="auto"/>
          <w:sz w:val="20"/>
          <w:highlight w:val="none"/>
        </w:rPr>
      </w:pPr>
    </w:p>
    <w:p w14:paraId="504169D8">
      <w:pPr>
        <w:keepNext/>
        <w:keepLines/>
        <w:spacing w:line="360" w:lineRule="auto"/>
        <w:jc w:val="center"/>
        <w:outlineLvl w:val="1"/>
        <w:rPr>
          <w:rFonts w:ascii="宋体" w:hAnsi="宋体" w:cs="宋体"/>
          <w:color w:val="auto"/>
          <w:sz w:val="32"/>
          <w:highlight w:val="none"/>
        </w:rPr>
      </w:pPr>
      <w:r>
        <w:rPr>
          <w:rFonts w:hint="eastAsia" w:ascii="宋体" w:hAnsi="宋体" w:cs="宋体"/>
          <w:color w:val="auto"/>
          <w:highlight w:val="none"/>
        </w:rPr>
        <w:br w:type="page"/>
      </w:r>
      <w:bookmarkStart w:id="182" w:name="_Toc7606"/>
      <w:r>
        <w:rPr>
          <w:rFonts w:hint="eastAsia" w:ascii="宋体" w:hAnsi="宋体" w:cs="宋体"/>
          <w:color w:val="auto"/>
          <w:sz w:val="32"/>
          <w:highlight w:val="none"/>
        </w:rPr>
        <w:t>一、</w:t>
      </w:r>
      <w:r>
        <w:rPr>
          <w:rFonts w:hint="eastAsia" w:ascii="宋体" w:hAnsi="宋体" w:cs="宋体"/>
          <w:b/>
          <w:bCs/>
          <w:color w:val="auto"/>
          <w:sz w:val="32"/>
          <w:szCs w:val="32"/>
          <w:highlight w:val="none"/>
        </w:rPr>
        <w:t>投标函及投标函附录</w:t>
      </w:r>
      <w:bookmarkEnd w:id="182"/>
    </w:p>
    <w:p w14:paraId="762BFBC0">
      <w:pPr>
        <w:spacing w:line="360" w:lineRule="auto"/>
        <w:jc w:val="center"/>
        <w:rPr>
          <w:rFonts w:ascii="宋体" w:hAnsi="宋体" w:cs="宋体"/>
          <w:color w:val="auto"/>
          <w:sz w:val="30"/>
          <w:szCs w:val="24"/>
          <w:highlight w:val="none"/>
        </w:rPr>
      </w:pPr>
      <w:r>
        <w:rPr>
          <w:rFonts w:hint="eastAsia" w:ascii="宋体" w:hAnsi="宋体" w:cs="宋体"/>
          <w:color w:val="auto"/>
          <w:sz w:val="30"/>
          <w:szCs w:val="24"/>
          <w:highlight w:val="none"/>
        </w:rPr>
        <w:t>（一）投标函</w:t>
      </w:r>
    </w:p>
    <w:p w14:paraId="466E8673">
      <w:pPr>
        <w:spacing w:line="360" w:lineRule="auto"/>
        <w:rPr>
          <w:rFonts w:ascii="宋体" w:hAnsi="宋体" w:cs="宋体"/>
          <w:color w:val="auto"/>
          <w:szCs w:val="24"/>
          <w:highlight w:val="none"/>
        </w:rPr>
      </w:pPr>
    </w:p>
    <w:bookmarkEnd w:id="176"/>
    <w:bookmarkEnd w:id="177"/>
    <w:bookmarkEnd w:id="178"/>
    <w:bookmarkEnd w:id="179"/>
    <w:bookmarkEnd w:id="180"/>
    <w:bookmarkEnd w:id="181"/>
    <w:p w14:paraId="534B834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6C477E0">
      <w:pPr>
        <w:pStyle w:val="8"/>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在仔细分析研究了贵单位提供的</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olor w:val="auto"/>
          <w:sz w:val="24"/>
          <w:highlight w:val="none"/>
        </w:rPr>
        <w:t>招标文件后，我方愿意以总价为人民币（大写）</w:t>
      </w:r>
      <w:r>
        <w:rPr>
          <w:rFonts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）作为</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 xml:space="preserve">         </w:t>
      </w:r>
      <w:r>
        <w:rPr>
          <w:rFonts w:hint="eastAsia" w:ascii="宋体" w:hAnsi="宋体"/>
          <w:color w:val="auto"/>
          <w:sz w:val="24"/>
          <w:highlight w:val="none"/>
        </w:rPr>
        <w:t>服务费的总价，并遵照招标文件的有关规定要求，承担全部服务任务工作。</w:t>
      </w:r>
    </w:p>
    <w:p w14:paraId="1794217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3DEAA2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如果贵单位接受我方的投标，我方保证按合同规定的期限内开始本工程的检测工作并按投标书中规定的期限内完成合同规定的全部任务。</w:t>
      </w:r>
    </w:p>
    <w:p w14:paraId="6881CBE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748EA29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4E04F1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1183D98D">
      <w:pPr>
        <w:spacing w:line="360" w:lineRule="auto"/>
        <w:rPr>
          <w:rFonts w:ascii="宋体" w:hAnsi="宋体"/>
          <w:color w:val="auto"/>
          <w:highlight w:val="none"/>
        </w:rPr>
      </w:pPr>
    </w:p>
    <w:p w14:paraId="11806E24">
      <w:pPr>
        <w:spacing w:line="360" w:lineRule="auto"/>
        <w:ind w:firstLine="2520" w:firstLineChars="1200"/>
        <w:jc w:val="left"/>
        <w:rPr>
          <w:rFonts w:ascii="宋体" w:hAnsi="宋体"/>
          <w:color w:val="auto"/>
          <w:szCs w:val="21"/>
          <w:highlight w:val="none"/>
        </w:rPr>
      </w:pPr>
    </w:p>
    <w:p w14:paraId="4E9E5615">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365DB518">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3587340B">
      <w:pPr>
        <w:spacing w:line="360" w:lineRule="auto"/>
        <w:ind w:firstLine="5400" w:firstLineChars="2250"/>
        <w:jc w:val="right"/>
        <w:rPr>
          <w:rFonts w:ascii="宋体" w:hAnsi="宋体"/>
          <w:color w:val="auto"/>
          <w:szCs w:val="21"/>
          <w:highlight w:val="none"/>
        </w:rPr>
      </w:pPr>
      <w:r>
        <w:rPr>
          <w:rFonts w:hint="eastAsia" w:ascii="Times New Roman" w:hAnsi="Times New Roman"/>
          <w:color w:val="auto"/>
          <w:sz w:val="24"/>
          <w:highlight w:val="none"/>
        </w:rPr>
        <w:t>2025年  月  日</w:t>
      </w:r>
    </w:p>
    <w:p w14:paraId="4195D29B">
      <w:pPr>
        <w:spacing w:line="360" w:lineRule="auto"/>
        <w:jc w:val="left"/>
        <w:rPr>
          <w:rFonts w:ascii="宋体" w:hAnsi="宋体" w:cs="宋体"/>
          <w:color w:val="auto"/>
          <w:highlight w:val="none"/>
        </w:rPr>
      </w:pPr>
    </w:p>
    <w:p w14:paraId="4444E00A">
      <w:pPr>
        <w:spacing w:line="360" w:lineRule="auto"/>
        <w:jc w:val="center"/>
        <w:rPr>
          <w:rFonts w:ascii="宋体" w:hAnsi="宋体" w:cs="宋体"/>
          <w:color w:val="auto"/>
          <w:sz w:val="30"/>
          <w:szCs w:val="24"/>
          <w:highlight w:val="none"/>
        </w:rPr>
      </w:pPr>
      <w:r>
        <w:rPr>
          <w:rFonts w:ascii="宋体" w:hAnsi="宋体" w:cs="宋体"/>
          <w:color w:val="auto"/>
          <w:sz w:val="30"/>
          <w:szCs w:val="24"/>
          <w:highlight w:val="none"/>
        </w:rPr>
        <w:br w:type="page"/>
      </w:r>
      <w:r>
        <w:rPr>
          <w:rFonts w:hint="eastAsia" w:ascii="宋体" w:hAnsi="宋体" w:cs="宋体"/>
          <w:color w:val="auto"/>
          <w:sz w:val="30"/>
          <w:szCs w:val="24"/>
          <w:highlight w:val="none"/>
        </w:rPr>
        <w:t>（二）投标函附录</w:t>
      </w:r>
    </w:p>
    <w:p w14:paraId="414AEE5C">
      <w:pPr>
        <w:spacing w:line="360" w:lineRule="auto"/>
        <w:rPr>
          <w:rFonts w:ascii="宋体" w:hAnsi="宋体" w:cs="宋体"/>
          <w:color w:val="auto"/>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4289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BA88EC5">
            <w:pPr>
              <w:jc w:val="center"/>
              <w:rPr>
                <w:rFonts w:ascii="宋体" w:hAnsi="宋体"/>
                <w:b/>
                <w:color w:val="auto"/>
                <w:sz w:val="24"/>
                <w:szCs w:val="28"/>
                <w:highlight w:val="none"/>
              </w:rPr>
            </w:pPr>
            <w:bookmarkStart w:id="183" w:name="_Toc369531697"/>
            <w:bookmarkStart w:id="184" w:name="_Toc152042576"/>
            <w:bookmarkStart w:id="185" w:name="_Toc144974856"/>
            <w:bookmarkStart w:id="186" w:name="_Toc300835209"/>
            <w:bookmarkStart w:id="187" w:name="_Toc384308375"/>
            <w:bookmarkStart w:id="188" w:name="_Toc247527827"/>
            <w:bookmarkStart w:id="189" w:name="_Toc247514246"/>
            <w:bookmarkStart w:id="190" w:name="_Toc152045787"/>
            <w:bookmarkStart w:id="191" w:name="_Toc352691661"/>
            <w:bookmarkStart w:id="192" w:name="_Toc361508752"/>
            <w:bookmarkStart w:id="193" w:name="_Toc17960"/>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4975E4EB">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554D63E7">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394614FE">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5B4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620C08C">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14:paraId="4A80CF1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61D10B05">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3C378F3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3FE3FA57">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5DE9F8E">
            <w:pPr>
              <w:jc w:val="center"/>
              <w:rPr>
                <w:rFonts w:ascii="宋体" w:hAnsi="宋体"/>
                <w:b/>
                <w:color w:val="auto"/>
                <w:szCs w:val="21"/>
                <w:highlight w:val="none"/>
              </w:rPr>
            </w:pPr>
          </w:p>
        </w:tc>
      </w:tr>
      <w:tr w14:paraId="05E6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193E2EE">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14:paraId="07FE0B89">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32301FF3">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177C68D4">
            <w:pPr>
              <w:jc w:val="center"/>
              <w:rPr>
                <w:rFonts w:ascii="宋体" w:hAnsi="宋体"/>
                <w:b/>
                <w:color w:val="auto"/>
                <w:szCs w:val="21"/>
                <w:highlight w:val="none"/>
              </w:rPr>
            </w:pPr>
          </w:p>
        </w:tc>
      </w:tr>
      <w:tr w14:paraId="7783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7B2922">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14:paraId="1A1D52B7">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4185AE7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62C8D7A">
            <w:pPr>
              <w:jc w:val="center"/>
              <w:rPr>
                <w:rFonts w:ascii="宋体" w:hAnsi="宋体"/>
                <w:b/>
                <w:color w:val="auto"/>
                <w:szCs w:val="21"/>
                <w:highlight w:val="none"/>
              </w:rPr>
            </w:pPr>
          </w:p>
        </w:tc>
      </w:tr>
      <w:tr w14:paraId="5044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ABE0E8B">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14:paraId="3051C7D5">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4BA51FB7">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0C4697F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05FF1875">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11E9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9F0A3E8">
            <w:pPr>
              <w:widowControl/>
              <w:jc w:val="left"/>
              <w:rPr>
                <w:rFonts w:ascii="宋体" w:hAnsi="宋体" w:cs="宋体"/>
                <w:color w:val="auto"/>
                <w:sz w:val="24"/>
                <w:szCs w:val="24"/>
                <w:highlight w:val="none"/>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11BB7701">
            <w:pPr>
              <w:widowControl/>
              <w:jc w:val="left"/>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14:paraId="2B02C4B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17B781E3">
            <w:pPr>
              <w:jc w:val="center"/>
              <w:rPr>
                <w:rFonts w:ascii="宋体" w:hAnsi="宋体"/>
                <w:b/>
                <w:color w:val="auto"/>
                <w:szCs w:val="21"/>
                <w:highlight w:val="none"/>
              </w:rPr>
            </w:pPr>
            <w:r>
              <w:rPr>
                <w:rFonts w:hint="eastAsia" w:ascii="宋体" w:hAnsi="宋体"/>
                <w:b/>
                <w:color w:val="auto"/>
                <w:szCs w:val="21"/>
                <w:highlight w:val="none"/>
              </w:rPr>
              <w:t>投标下浮率=（1-投标报价/</w:t>
            </w:r>
            <w:r>
              <w:rPr>
                <w:rFonts w:hint="eastAsia" w:ascii="宋体" w:hAnsi="宋体" w:cs="宋体"/>
                <w:b/>
                <w:color w:val="auto"/>
                <w:szCs w:val="21"/>
                <w:highlight w:val="none"/>
              </w:rPr>
              <w:t>最高投标限价</w:t>
            </w:r>
            <w:r>
              <w:rPr>
                <w:rFonts w:hint="eastAsia" w:ascii="宋体" w:hAnsi="宋体"/>
                <w:b/>
                <w:color w:val="auto"/>
                <w:szCs w:val="21"/>
                <w:highlight w:val="none"/>
              </w:rPr>
              <w:t>）*100%</w:t>
            </w:r>
          </w:p>
        </w:tc>
      </w:tr>
      <w:tr w14:paraId="6FD0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131A897">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tcBorders>
              <w:top w:val="single" w:color="auto" w:sz="4" w:space="0"/>
              <w:left w:val="single" w:color="auto" w:sz="4" w:space="0"/>
              <w:bottom w:val="single" w:color="auto" w:sz="4" w:space="0"/>
              <w:right w:val="single" w:color="auto" w:sz="4" w:space="0"/>
            </w:tcBorders>
            <w:vAlign w:val="center"/>
          </w:tcPr>
          <w:p w14:paraId="5D87A00F">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32D69F0F">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072B68E">
            <w:pPr>
              <w:jc w:val="center"/>
              <w:rPr>
                <w:rFonts w:ascii="宋体" w:hAnsi="宋体"/>
                <w:b/>
                <w:color w:val="auto"/>
                <w:szCs w:val="21"/>
                <w:highlight w:val="none"/>
              </w:rPr>
            </w:pPr>
          </w:p>
        </w:tc>
      </w:tr>
    </w:tbl>
    <w:p w14:paraId="4184BAC5">
      <w:pPr>
        <w:spacing w:line="360" w:lineRule="auto"/>
        <w:ind w:firstLine="2520" w:firstLineChars="1200"/>
        <w:jc w:val="left"/>
        <w:rPr>
          <w:rFonts w:ascii="宋体" w:hAnsi="宋体"/>
          <w:color w:val="auto"/>
          <w:szCs w:val="21"/>
          <w:highlight w:val="none"/>
        </w:rPr>
      </w:pPr>
    </w:p>
    <w:p w14:paraId="76D85769">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69311CA1">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38C397C6">
      <w:pPr>
        <w:spacing w:line="360" w:lineRule="auto"/>
        <w:ind w:firstLine="5280" w:firstLineChars="2200"/>
        <w:rPr>
          <w:rFonts w:ascii="宋体" w:hAnsi="宋体"/>
          <w:color w:val="auto"/>
          <w:highlight w:val="none"/>
        </w:rPr>
      </w:pPr>
      <w:r>
        <w:rPr>
          <w:rFonts w:hint="eastAsia" w:ascii="Times New Roman" w:hAnsi="Times New Roman"/>
          <w:color w:val="auto"/>
          <w:sz w:val="24"/>
          <w:highlight w:val="none"/>
        </w:rPr>
        <w:t>2025年  月  日</w:t>
      </w:r>
    </w:p>
    <w:p w14:paraId="7E4715F9">
      <w:pPr>
        <w:spacing w:line="360" w:lineRule="auto"/>
        <w:rPr>
          <w:rFonts w:ascii="宋体" w:hAnsi="宋体" w:cs="宋体"/>
          <w:b/>
          <w:bCs/>
          <w:color w:val="auto"/>
          <w:sz w:val="32"/>
          <w:szCs w:val="32"/>
          <w:highlight w:val="none"/>
        </w:rPr>
      </w:pPr>
    </w:p>
    <w:p w14:paraId="1727F791">
      <w:pPr>
        <w:keepNext/>
        <w:keepLines/>
        <w:spacing w:line="360" w:lineRule="auto"/>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194" w:name="_Toc13471"/>
      <w:r>
        <w:rPr>
          <w:rFonts w:hint="eastAsia" w:ascii="宋体" w:hAnsi="宋体" w:cs="宋体"/>
          <w:b/>
          <w:bCs/>
          <w:color w:val="auto"/>
          <w:sz w:val="32"/>
          <w:szCs w:val="32"/>
          <w:highlight w:val="none"/>
        </w:rPr>
        <w:t>二、法定代表人证明书及授权委托书</w:t>
      </w:r>
      <w:bookmarkEnd w:id="194"/>
    </w:p>
    <w:bookmarkEnd w:id="183"/>
    <w:bookmarkEnd w:id="184"/>
    <w:bookmarkEnd w:id="185"/>
    <w:bookmarkEnd w:id="186"/>
    <w:bookmarkEnd w:id="187"/>
    <w:bookmarkEnd w:id="188"/>
    <w:bookmarkEnd w:id="189"/>
    <w:bookmarkEnd w:id="190"/>
    <w:bookmarkEnd w:id="191"/>
    <w:bookmarkEnd w:id="192"/>
    <w:bookmarkEnd w:id="193"/>
    <w:p w14:paraId="7CC3727F">
      <w:pPr>
        <w:spacing w:before="156" w:beforeLines="50" w:line="360" w:lineRule="auto"/>
        <w:ind w:firstLine="482" w:firstLineChars="200"/>
        <w:jc w:val="center"/>
        <w:rPr>
          <w:rFonts w:ascii="宋体" w:hAnsi="宋体" w:cs="宋体"/>
          <w:b/>
          <w:color w:val="auto"/>
          <w:sz w:val="24"/>
          <w:szCs w:val="24"/>
          <w:highlight w:val="none"/>
        </w:rPr>
      </w:pPr>
      <w:bookmarkStart w:id="195" w:name="_Toc9391"/>
      <w:bookmarkStart w:id="196" w:name="_Toc24490"/>
      <w:bookmarkStart w:id="197" w:name="_Toc28597"/>
      <w:bookmarkStart w:id="198" w:name="_Toc525063283"/>
      <w:bookmarkStart w:id="199" w:name="_Toc787"/>
      <w:bookmarkStart w:id="200" w:name="_Toc3626"/>
      <w:bookmarkStart w:id="201" w:name="_Toc532367891"/>
      <w:r>
        <w:rPr>
          <w:rFonts w:hint="eastAsia" w:ascii="宋体" w:hAnsi="宋体" w:cs="宋体"/>
          <w:b/>
          <w:color w:val="auto"/>
          <w:sz w:val="24"/>
          <w:szCs w:val="24"/>
          <w:highlight w:val="none"/>
        </w:rPr>
        <w:t>法定代表人证明书</w:t>
      </w:r>
    </w:p>
    <w:p w14:paraId="5F9BF607">
      <w:pPr>
        <w:spacing w:line="360" w:lineRule="auto"/>
        <w:jc w:val="center"/>
        <w:rPr>
          <w:rFonts w:ascii="宋体" w:hAnsi="宋体"/>
          <w:color w:val="auto"/>
          <w:sz w:val="30"/>
          <w:szCs w:val="30"/>
          <w:highlight w:val="none"/>
        </w:rPr>
      </w:pPr>
      <w:r>
        <w:rPr>
          <w:color w:val="auto"/>
          <w:highlight w:val="none"/>
        </w:rPr>
        <mc:AlternateContent>
          <mc:Choice Requires="wpg">
            <w:drawing>
              <wp:inline distT="0" distB="0" distL="114300" distR="114300">
                <wp:extent cx="5800725" cy="2639060"/>
                <wp:effectExtent l="4445" t="4445" r="5080" b="23495"/>
                <wp:docPr id="5" name="组合 5"/>
                <wp:cNvGraphicFramePr/>
                <a:graphic xmlns:a="http://schemas.openxmlformats.org/drawingml/2006/main">
                  <a:graphicData uri="http://schemas.microsoft.com/office/word/2010/wordprocessingGroup">
                    <wpg:wgp>
                      <wpg:cNvGrpSpPr>
                        <a:grpSpLocks noRot="1"/>
                      </wpg:cNvGrpSpPr>
                      <wpg:grpSpPr>
                        <a:xfrm>
                          <a:off x="0" y="0"/>
                          <a:ext cx="5800725" cy="2639060"/>
                          <a:chOff x="0" y="0"/>
                          <a:chExt cx="7140" cy="3468"/>
                        </a:xfrm>
                        <a:effectLst/>
                      </wpg:grpSpPr>
                      <wps:wsp>
                        <wps:cNvPr id="6"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zCVt8NcAAAAFAQAA&#10;DwAAAAAAAAABACAAAAAiAAAAZHJzL2Rvd25yZXYueG1sUEsBAhQAFAAAAAgAh07iQP0CPXj+AgAA&#10;RwgAAA4AAAAAAAAAAQAgAAAAJgEAAGRycy9lMm9Eb2MueG1sUEsFBgAAAAAGAAYAWQEAAJYGAAAA&#10;AA==&#10;">
                <o:lock v:ext="edit" rotation="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0818D331">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注：按提供的该表格格式填写，或使用工商管理部门的格式填写。</w:t>
      </w:r>
    </w:p>
    <w:p w14:paraId="04D738E9">
      <w:pPr>
        <w:spacing w:before="156" w:beforeLines="50" w:line="360" w:lineRule="auto"/>
        <w:ind w:firstLine="482" w:firstLineChars="200"/>
        <w:jc w:val="center"/>
        <w:rPr>
          <w:rFonts w:ascii="宋体" w:hAnsi="宋体" w:cs="宋体"/>
          <w:b/>
          <w:color w:val="auto"/>
          <w:sz w:val="24"/>
          <w:szCs w:val="24"/>
          <w:highlight w:val="none"/>
        </w:rPr>
      </w:pPr>
    </w:p>
    <w:p w14:paraId="6CDF4E13">
      <w:pPr>
        <w:spacing w:before="156" w:beforeLines="50"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55B20E05">
      <w:pPr>
        <w:widowControl/>
        <w:spacing w:line="360" w:lineRule="auto"/>
        <w:ind w:right="1542"/>
        <w:jc w:val="center"/>
        <w:rPr>
          <w:rFonts w:ascii="宋体" w:hAnsi="宋体" w:cs="宋体"/>
          <w:b/>
          <w:bCs/>
          <w:color w:val="auto"/>
          <w:kern w:val="0"/>
          <w:sz w:val="32"/>
          <w:szCs w:val="32"/>
          <w:highlight w:val="none"/>
        </w:rPr>
      </w:pPr>
      <w:r>
        <w:rPr>
          <w:color w:val="auto"/>
          <w:highlight w:val="none"/>
        </w:rPr>
        <mc:AlternateContent>
          <mc:Choice Requires="wps">
            <w:drawing>
              <wp:inline distT="0" distB="0" distL="114300" distR="114300">
                <wp:extent cx="5734685" cy="2946400"/>
                <wp:effectExtent l="4445" t="4445" r="13970" b="2095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51.55pt;" fillcolor="#FFFFFF" filled="t" stroked="t" coordsize="21600,21600" o:gfxdata="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PiX9YAAAAF&#10;AQAADwAAAAAAAAABACAAAAAiAAAAZHJzL2Rvd25yZXYueG1sUEsBAhQAFAAAAAgAh07iQGvjoIFX&#10;AgAAqwQAAA4AAAAAAAAAAQAgAAAAJQEAAGRycy9lMm9Eb2MueG1sUEsFBgAAAAAGAAYAWQEAAO4F&#10;AAAAAA==&#10;">
                <v:fill on="t" focussize="0,0"/>
                <v:stroke color="#000000" miterlimit="8" joinstyle="miter"/>
                <v:imagedata o:title=""/>
                <o:lock v:ext="edit" rotation="t" aspectratio="f"/>
                <v:textbo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3A07F0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注：按提供的该表格格式填写，或使用工商管理部门的格式填写。</w:t>
      </w:r>
    </w:p>
    <w:bookmarkEnd w:id="195"/>
    <w:bookmarkEnd w:id="196"/>
    <w:bookmarkEnd w:id="197"/>
    <w:bookmarkEnd w:id="198"/>
    <w:bookmarkEnd w:id="199"/>
    <w:bookmarkEnd w:id="200"/>
    <w:bookmarkEnd w:id="201"/>
    <w:p w14:paraId="67576E69">
      <w:pPr>
        <w:spacing w:line="360" w:lineRule="auto"/>
        <w:rPr>
          <w:rFonts w:ascii="宋体" w:hAnsi="宋体" w:cs="宋体"/>
          <w:color w:val="auto"/>
          <w:highlight w:val="none"/>
        </w:rPr>
      </w:pPr>
      <w:bookmarkStart w:id="202" w:name="_Toc532367892"/>
      <w:bookmarkStart w:id="203" w:name="_Toc525063284"/>
      <w:bookmarkStart w:id="204" w:name="_Toc23444"/>
      <w:bookmarkStart w:id="205" w:name="_Toc29040"/>
      <w:bookmarkStart w:id="206" w:name="_Toc8221"/>
      <w:bookmarkStart w:id="207" w:name="_Toc15147"/>
      <w:bookmarkStart w:id="208" w:name="_Toc25035"/>
    </w:p>
    <w:p w14:paraId="5D6062F0">
      <w:pPr>
        <w:keepNext/>
        <w:keepLines/>
        <w:spacing w:line="360" w:lineRule="auto"/>
        <w:jc w:val="center"/>
        <w:outlineLvl w:val="1"/>
        <w:rPr>
          <w:rFonts w:ascii="宋体" w:hAnsi="宋体" w:cs="宋体"/>
          <w:color w:val="auto"/>
          <w:highlight w:val="none"/>
        </w:rPr>
      </w:pPr>
      <w:r>
        <w:rPr>
          <w:rFonts w:hint="eastAsia" w:ascii="宋体" w:hAnsi="宋体" w:cs="宋体"/>
          <w:color w:val="auto"/>
          <w:highlight w:val="none"/>
        </w:rPr>
        <w:br w:type="page"/>
      </w:r>
      <w:bookmarkStart w:id="209" w:name="_Toc15064"/>
      <w:r>
        <w:rPr>
          <w:rFonts w:hint="eastAsia" w:ascii="宋体" w:hAnsi="宋体" w:cs="宋体"/>
          <w:b/>
          <w:bCs/>
          <w:color w:val="auto"/>
          <w:sz w:val="32"/>
          <w:szCs w:val="32"/>
          <w:highlight w:val="none"/>
        </w:rPr>
        <w:t>三、关于投标保证金的承诺</w:t>
      </w:r>
      <w:bookmarkEnd w:id="209"/>
    </w:p>
    <w:p w14:paraId="77C71BF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F9FCC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项目的投标工作，作出郑重声明：</w:t>
      </w:r>
    </w:p>
    <w:p w14:paraId="728C6AD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color w:val="auto"/>
          <w:kern w:val="0"/>
          <w:sz w:val="24"/>
          <w:szCs w:val="24"/>
          <w:highlight w:val="none"/>
          <w:lang w:val="zh-CN"/>
        </w:rPr>
        <w:t>一旦发生符合招标文件规定的不予退还投标保证金情形的，将</w:t>
      </w:r>
      <w:r>
        <w:rPr>
          <w:rFonts w:hint="eastAsia" w:ascii="宋体" w:hAnsi="宋体" w:cs="宋体"/>
          <w:color w:val="auto"/>
          <w:sz w:val="24"/>
          <w:szCs w:val="24"/>
          <w:highlight w:val="none"/>
        </w:rPr>
        <w:t>按照招标人的要求，在规定的时间内向招标人足额补交投标保证金。</w:t>
      </w:r>
    </w:p>
    <w:p w14:paraId="6947DB2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本公司违反上述保证的，将被视为虚假承诺，按相关规定进行信用记录。本公司对失信行为产生的一切后果已知悉，并承担由此产生的相应责任。</w:t>
      </w:r>
    </w:p>
    <w:p w14:paraId="2FB986F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CF3F623">
      <w:pPr>
        <w:spacing w:line="360" w:lineRule="auto"/>
        <w:ind w:firstLine="480" w:firstLineChars="200"/>
        <w:jc w:val="left"/>
        <w:rPr>
          <w:rFonts w:ascii="宋体" w:hAnsi="宋体" w:cs="宋体"/>
          <w:color w:val="auto"/>
          <w:sz w:val="24"/>
          <w:szCs w:val="24"/>
          <w:highlight w:val="none"/>
        </w:rPr>
      </w:pPr>
    </w:p>
    <w:p w14:paraId="56028FE3">
      <w:pPr>
        <w:spacing w:line="360" w:lineRule="auto"/>
        <w:ind w:firstLine="4320" w:firstLineChars="18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（盖章）</w:t>
      </w:r>
    </w:p>
    <w:p w14:paraId="0CADDF82">
      <w:pPr>
        <w:spacing w:line="360" w:lineRule="auto"/>
        <w:rPr>
          <w:rFonts w:ascii="宋体" w:hAnsi="宋体"/>
          <w:color w:val="auto"/>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40BC4643">
      <w:pPr>
        <w:keepNext/>
        <w:keepLines/>
        <w:spacing w:line="360" w:lineRule="auto"/>
        <w:jc w:val="center"/>
        <w:outlineLvl w:val="1"/>
        <w:rPr>
          <w:rFonts w:ascii="宋体" w:hAnsi="宋体" w:cs="宋体"/>
          <w:color w:val="auto"/>
          <w:highlight w:val="none"/>
        </w:rPr>
      </w:pPr>
    </w:p>
    <w:p w14:paraId="650E51E9">
      <w:pPr>
        <w:keepNext/>
        <w:keepLines/>
        <w:spacing w:line="360" w:lineRule="auto"/>
        <w:jc w:val="center"/>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10" w:name="_Toc26045"/>
      <w:r>
        <w:rPr>
          <w:rFonts w:hint="eastAsia" w:ascii="宋体" w:hAnsi="宋体" w:cs="宋体"/>
          <w:b/>
          <w:bCs/>
          <w:color w:val="auto"/>
          <w:sz w:val="32"/>
          <w:szCs w:val="32"/>
          <w:highlight w:val="none"/>
        </w:rPr>
        <w:t>四、联合体协议书（如有）</w:t>
      </w:r>
      <w:bookmarkEnd w:id="210"/>
    </w:p>
    <w:p w14:paraId="3C1A6E7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（可参考本项目招标公告附件格式）</w:t>
      </w:r>
      <w:r>
        <w:rPr>
          <w:rFonts w:hint="eastAsia" w:ascii="宋体" w:hAnsi="宋体" w:cs="宋体"/>
          <w:color w:val="auto"/>
          <w:sz w:val="24"/>
          <w:szCs w:val="24"/>
          <w:highlight w:val="none"/>
        </w:rPr>
        <w:br w:type="page"/>
      </w:r>
    </w:p>
    <w:p w14:paraId="790E6E3C">
      <w:pPr>
        <w:keepNext/>
        <w:keepLines/>
        <w:spacing w:line="360" w:lineRule="auto"/>
        <w:jc w:val="center"/>
        <w:outlineLvl w:val="1"/>
        <w:rPr>
          <w:rFonts w:ascii="宋体" w:hAnsi="宋体" w:cs="宋体"/>
          <w:b/>
          <w:bCs/>
          <w:color w:val="auto"/>
          <w:sz w:val="32"/>
          <w:szCs w:val="32"/>
          <w:highlight w:val="none"/>
        </w:rPr>
      </w:pPr>
      <w:bookmarkStart w:id="211" w:name="_Toc4362"/>
      <w:r>
        <w:rPr>
          <w:rFonts w:hint="eastAsia" w:ascii="宋体" w:hAnsi="宋体" w:cs="宋体"/>
          <w:b/>
          <w:bCs/>
          <w:color w:val="auto"/>
          <w:sz w:val="32"/>
          <w:szCs w:val="32"/>
          <w:highlight w:val="none"/>
        </w:rPr>
        <w:t>五、</w:t>
      </w:r>
      <w:bookmarkEnd w:id="202"/>
      <w:bookmarkEnd w:id="203"/>
      <w:bookmarkEnd w:id="204"/>
      <w:bookmarkEnd w:id="205"/>
      <w:bookmarkEnd w:id="206"/>
      <w:bookmarkEnd w:id="207"/>
      <w:bookmarkEnd w:id="208"/>
      <w:r>
        <w:rPr>
          <w:rFonts w:hint="eastAsia" w:ascii="宋体" w:hAnsi="宋体" w:cs="宋体"/>
          <w:b/>
          <w:bCs/>
          <w:color w:val="auto"/>
          <w:sz w:val="32"/>
          <w:szCs w:val="32"/>
          <w:highlight w:val="none"/>
        </w:rPr>
        <w:t>资格审查资料</w:t>
      </w:r>
      <w:bookmarkEnd w:id="211"/>
    </w:p>
    <w:p w14:paraId="6E258DD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1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3053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A0EE3CD">
            <w:pPr>
              <w:topLinePunct/>
              <w:spacing w:line="360" w:lineRule="auto"/>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5AA5089A">
            <w:pPr>
              <w:topLinePunct/>
              <w:spacing w:line="360" w:lineRule="auto"/>
              <w:jc w:val="center"/>
              <w:rPr>
                <w:rFonts w:ascii="宋体" w:hAnsi="宋体"/>
                <w:color w:val="auto"/>
                <w:highlight w:val="none"/>
              </w:rPr>
            </w:pPr>
          </w:p>
        </w:tc>
      </w:tr>
      <w:tr w14:paraId="4B02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9A6EBC5">
            <w:pPr>
              <w:topLinePunct/>
              <w:spacing w:line="360" w:lineRule="auto"/>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B7D8C73">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3D5B05D">
            <w:pPr>
              <w:topLinePunct/>
              <w:spacing w:line="360" w:lineRule="auto"/>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2A6AAFF7">
            <w:pPr>
              <w:topLinePunct/>
              <w:spacing w:line="360" w:lineRule="auto"/>
              <w:jc w:val="center"/>
              <w:rPr>
                <w:rFonts w:ascii="宋体" w:hAnsi="宋体"/>
                <w:color w:val="auto"/>
                <w:highlight w:val="none"/>
              </w:rPr>
            </w:pPr>
          </w:p>
        </w:tc>
      </w:tr>
      <w:tr w14:paraId="12D5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54B36BAC">
            <w:pPr>
              <w:topLinePunct/>
              <w:spacing w:line="360" w:lineRule="auto"/>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F913B57">
            <w:pPr>
              <w:topLinePunct/>
              <w:spacing w:line="360" w:lineRule="auto"/>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7534EB1">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1AD3D92">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6438BC63">
            <w:pPr>
              <w:topLinePunct/>
              <w:spacing w:line="360" w:lineRule="auto"/>
              <w:jc w:val="center"/>
              <w:rPr>
                <w:rFonts w:ascii="宋体" w:hAnsi="宋体"/>
                <w:color w:val="auto"/>
                <w:highlight w:val="none"/>
              </w:rPr>
            </w:pPr>
          </w:p>
        </w:tc>
      </w:tr>
      <w:tr w14:paraId="2D4A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3AA36AFF">
            <w:pPr>
              <w:spacing w:line="360" w:lineRule="auto"/>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3363063">
            <w:pPr>
              <w:topLinePunct/>
              <w:spacing w:line="360" w:lineRule="auto"/>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1FD2EA7">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068AD0C">
            <w:pPr>
              <w:topLinePunct/>
              <w:spacing w:line="360" w:lineRule="auto"/>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00DF9E5C">
            <w:pPr>
              <w:topLinePunct/>
              <w:spacing w:line="360" w:lineRule="auto"/>
              <w:jc w:val="center"/>
              <w:rPr>
                <w:rFonts w:ascii="宋体" w:hAnsi="宋体"/>
                <w:color w:val="auto"/>
                <w:highlight w:val="none"/>
              </w:rPr>
            </w:pPr>
          </w:p>
        </w:tc>
      </w:tr>
      <w:tr w14:paraId="0134D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C08365E">
            <w:pPr>
              <w:topLinePunct/>
              <w:spacing w:line="360" w:lineRule="auto"/>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DD7760F">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2AEFB8E">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DD05F2A">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BDB980D">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0CB3E40">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1A7177A6">
            <w:pPr>
              <w:topLinePunct/>
              <w:spacing w:line="360" w:lineRule="auto"/>
              <w:jc w:val="center"/>
              <w:rPr>
                <w:rFonts w:ascii="宋体" w:hAnsi="宋体"/>
                <w:color w:val="auto"/>
                <w:highlight w:val="none"/>
              </w:rPr>
            </w:pPr>
          </w:p>
        </w:tc>
      </w:tr>
      <w:tr w14:paraId="5D43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289A0DD">
            <w:pPr>
              <w:topLinePunct/>
              <w:spacing w:line="360" w:lineRule="auto"/>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9852F40">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8BC61E1">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15C71CC">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0D5CCAF">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E1276FA">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651A6AD6">
            <w:pPr>
              <w:topLinePunct/>
              <w:spacing w:line="360" w:lineRule="auto"/>
              <w:jc w:val="center"/>
              <w:rPr>
                <w:rFonts w:ascii="宋体" w:hAnsi="宋体"/>
                <w:color w:val="auto"/>
                <w:highlight w:val="none"/>
              </w:rPr>
            </w:pPr>
          </w:p>
        </w:tc>
      </w:tr>
      <w:tr w14:paraId="52F4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1A52747">
            <w:pPr>
              <w:topLinePunct/>
              <w:spacing w:line="360" w:lineRule="auto"/>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632824C3">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B03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7939F03">
            <w:pPr>
              <w:topLinePunct/>
              <w:spacing w:line="360" w:lineRule="auto"/>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1556CE76">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F57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338E8FA">
            <w:pPr>
              <w:topLinePunct/>
              <w:spacing w:line="360" w:lineRule="auto"/>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720045D">
            <w:pPr>
              <w:topLinePunct/>
              <w:spacing w:line="360" w:lineRule="auto"/>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64EA9D79">
            <w:pPr>
              <w:topLinePunct/>
              <w:spacing w:line="360" w:lineRule="auto"/>
              <w:jc w:val="center"/>
              <w:rPr>
                <w:rFonts w:ascii="宋体" w:hAnsi="宋体"/>
                <w:color w:val="auto"/>
                <w:highlight w:val="none"/>
              </w:rPr>
            </w:pPr>
            <w:r>
              <w:rPr>
                <w:rFonts w:hint="eastAsia" w:ascii="宋体" w:hAnsi="宋体"/>
                <w:color w:val="auto"/>
                <w:highlight w:val="none"/>
              </w:rPr>
              <w:t>员工总人数：</w:t>
            </w:r>
          </w:p>
        </w:tc>
      </w:tr>
      <w:tr w14:paraId="7138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262BC39">
            <w:pPr>
              <w:topLinePunct/>
              <w:spacing w:line="360" w:lineRule="auto"/>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4537B98">
            <w:pPr>
              <w:topLinePunct/>
              <w:spacing w:line="360" w:lineRule="auto"/>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11949FAF">
            <w:pPr>
              <w:topLinePunct/>
              <w:spacing w:line="360" w:lineRule="auto"/>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937CD6">
            <w:pPr>
              <w:topLinePunct/>
              <w:spacing w:line="360" w:lineRule="auto"/>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0EF964B2">
            <w:pPr>
              <w:topLinePunct/>
              <w:spacing w:line="360" w:lineRule="auto"/>
              <w:jc w:val="center"/>
              <w:rPr>
                <w:rFonts w:ascii="宋体" w:hAnsi="宋体"/>
                <w:color w:val="auto"/>
                <w:highlight w:val="none"/>
              </w:rPr>
            </w:pPr>
          </w:p>
        </w:tc>
      </w:tr>
      <w:tr w14:paraId="7D3E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472D547">
            <w:pPr>
              <w:topLinePunct/>
              <w:spacing w:line="360" w:lineRule="auto"/>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C33900C">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3E3879DE">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DF87F69">
            <w:pPr>
              <w:topLinePunct/>
              <w:spacing w:line="360" w:lineRule="auto"/>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0F59EF84">
            <w:pPr>
              <w:topLinePunct/>
              <w:spacing w:line="360" w:lineRule="auto"/>
              <w:jc w:val="center"/>
              <w:rPr>
                <w:rFonts w:ascii="宋体" w:hAnsi="宋体"/>
                <w:color w:val="auto"/>
                <w:highlight w:val="none"/>
              </w:rPr>
            </w:pPr>
          </w:p>
        </w:tc>
      </w:tr>
      <w:tr w14:paraId="1C7A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8E24B60">
            <w:pPr>
              <w:topLinePunct/>
              <w:spacing w:line="360" w:lineRule="auto"/>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7E19D4">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6FB0721E">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DCE3B1B">
            <w:pPr>
              <w:topLinePunct/>
              <w:spacing w:line="360" w:lineRule="auto"/>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5DFC5CAB">
            <w:pPr>
              <w:topLinePunct/>
              <w:spacing w:line="360" w:lineRule="auto"/>
              <w:jc w:val="center"/>
              <w:rPr>
                <w:rFonts w:ascii="宋体" w:hAnsi="宋体"/>
                <w:color w:val="auto"/>
                <w:highlight w:val="none"/>
              </w:rPr>
            </w:pPr>
          </w:p>
        </w:tc>
      </w:tr>
      <w:tr w14:paraId="41B1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3E18110">
            <w:pPr>
              <w:topLinePunct/>
              <w:spacing w:line="360" w:lineRule="auto"/>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99C5886">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58386329">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AD636AA">
            <w:pPr>
              <w:topLinePunct/>
              <w:spacing w:line="360" w:lineRule="auto"/>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5A3B43E">
            <w:pPr>
              <w:topLinePunct/>
              <w:spacing w:line="360" w:lineRule="auto"/>
              <w:jc w:val="center"/>
              <w:rPr>
                <w:rFonts w:ascii="宋体" w:hAnsi="宋体"/>
                <w:color w:val="auto"/>
                <w:highlight w:val="none"/>
              </w:rPr>
            </w:pPr>
          </w:p>
        </w:tc>
      </w:tr>
      <w:tr w14:paraId="7E830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06076D29">
            <w:pPr>
              <w:topLinePunct/>
              <w:spacing w:line="360" w:lineRule="auto"/>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413E27C2">
            <w:pPr>
              <w:topLinePunct/>
              <w:spacing w:line="360" w:lineRule="auto"/>
              <w:jc w:val="center"/>
              <w:rPr>
                <w:rFonts w:ascii="宋体" w:hAnsi="宋体"/>
                <w:color w:val="auto"/>
                <w:highlight w:val="none"/>
              </w:rPr>
            </w:pPr>
          </w:p>
        </w:tc>
      </w:tr>
      <w:tr w14:paraId="5D2C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46CE9AAB">
            <w:pPr>
              <w:topLinePunct/>
              <w:spacing w:line="360" w:lineRule="auto"/>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219003AF">
            <w:pPr>
              <w:topLinePunct/>
              <w:spacing w:line="360" w:lineRule="auto"/>
              <w:jc w:val="center"/>
              <w:rPr>
                <w:rFonts w:ascii="宋体" w:hAnsi="宋体"/>
                <w:color w:val="auto"/>
                <w:highlight w:val="none"/>
              </w:rPr>
            </w:pPr>
          </w:p>
        </w:tc>
      </w:tr>
      <w:tr w14:paraId="67E3D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277893B">
            <w:pPr>
              <w:topLinePunct/>
              <w:spacing w:line="360" w:lineRule="auto"/>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3E35320E">
            <w:pPr>
              <w:topLinePunct/>
              <w:spacing w:line="360" w:lineRule="auto"/>
              <w:jc w:val="center"/>
              <w:rPr>
                <w:rFonts w:ascii="宋体" w:hAnsi="宋体"/>
                <w:color w:val="auto"/>
                <w:highlight w:val="none"/>
              </w:rPr>
            </w:pPr>
          </w:p>
        </w:tc>
      </w:tr>
    </w:tbl>
    <w:p w14:paraId="1B80929C">
      <w:pPr>
        <w:snapToGrid w:val="0"/>
        <w:spacing w:line="360" w:lineRule="auto"/>
        <w:rPr>
          <w:rFonts w:ascii="宋体" w:hAnsi="宋体"/>
          <w:color w:val="auto"/>
          <w:spacing w:val="-5"/>
          <w:szCs w:val="21"/>
          <w:highlight w:val="none"/>
        </w:rPr>
      </w:pPr>
      <w:r>
        <w:rPr>
          <w:rFonts w:hint="eastAsia" w:ascii="宋体" w:hAnsi="宋体"/>
          <w:color w:val="auto"/>
          <w:spacing w:val="-5"/>
          <w:szCs w:val="21"/>
          <w:highlight w:val="none"/>
        </w:rPr>
        <w:t>注：投标人应附投标人事业单位登记管理部门核发的事业单位法人证书或工商行政管理部门核发的企业法人营业执照、投标人资质证书、广州市住房和城乡建设局建立信用档案网页截图等材料的扫描件</w:t>
      </w:r>
    </w:p>
    <w:p w14:paraId="4A89269E">
      <w:pPr>
        <w:widowControl/>
        <w:spacing w:line="360" w:lineRule="auto"/>
        <w:jc w:val="center"/>
        <w:rPr>
          <w:rFonts w:ascii="宋体" w:hAnsi="宋体" w:cs="宋体"/>
          <w:b/>
          <w:bCs/>
          <w:color w:val="auto"/>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kern w:val="0"/>
          <w:sz w:val="28"/>
          <w:szCs w:val="28"/>
          <w:highlight w:val="none"/>
        </w:rPr>
        <w:t>（二）投标人声明</w:t>
      </w:r>
    </w:p>
    <w:p w14:paraId="2A66F1E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5D50E420">
      <w:pPr>
        <w:spacing w:line="360" w:lineRule="auto"/>
        <w:jc w:val="center"/>
        <w:rPr>
          <w:rFonts w:ascii="宋体" w:hAnsi="宋体" w:cs="宋体"/>
          <w:color w:val="auto"/>
          <w:sz w:val="28"/>
          <w:szCs w:val="28"/>
          <w:highlight w:val="none"/>
        </w:rPr>
      </w:pPr>
    </w:p>
    <w:p w14:paraId="69D091FA">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（三）投标承诺函</w:t>
      </w:r>
    </w:p>
    <w:p w14:paraId="412FB21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31FC8618">
      <w:pPr>
        <w:keepNext/>
        <w:keepLines/>
        <w:spacing w:line="360" w:lineRule="auto"/>
        <w:jc w:val="center"/>
        <w:outlineLvl w:val="1"/>
        <w:rPr>
          <w:rFonts w:ascii="宋体" w:hAnsi="宋体" w:cs="宋体"/>
          <w:color w:val="auto"/>
          <w:sz w:val="28"/>
          <w:szCs w:val="28"/>
          <w:highlight w:val="none"/>
        </w:rPr>
      </w:pPr>
    </w:p>
    <w:p w14:paraId="45942D3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（四）其他符合第二章“投标人须知”第1.4.1项规定的资料</w:t>
      </w:r>
    </w:p>
    <w:p w14:paraId="108447B1">
      <w:pPr>
        <w:keepNext/>
        <w:keepLines/>
        <w:spacing w:line="360" w:lineRule="auto"/>
        <w:jc w:val="center"/>
        <w:outlineLvl w:val="1"/>
        <w:rPr>
          <w:rFonts w:ascii="宋体" w:hAnsi="宋体" w:cs="宋体"/>
          <w:color w:val="auto"/>
          <w:szCs w:val="24"/>
          <w:highlight w:val="none"/>
        </w:rPr>
      </w:pPr>
      <w:r>
        <w:rPr>
          <w:rFonts w:ascii="宋体" w:hAnsi="宋体" w:cs="宋体"/>
          <w:color w:val="auto"/>
          <w:sz w:val="28"/>
          <w:szCs w:val="28"/>
          <w:highlight w:val="none"/>
        </w:rPr>
        <w:br w:type="page"/>
      </w:r>
      <w:bookmarkStart w:id="212" w:name="_Toc7456"/>
      <w:r>
        <w:rPr>
          <w:rFonts w:hint="eastAsia" w:ascii="宋体" w:hAnsi="宋体" w:cs="宋体"/>
          <w:b/>
          <w:bCs/>
          <w:color w:val="auto"/>
          <w:sz w:val="32"/>
          <w:szCs w:val="32"/>
          <w:highlight w:val="none"/>
        </w:rPr>
        <w:t>六、类似项目业绩表</w:t>
      </w:r>
      <w:bookmarkEnd w:id="21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344"/>
        <w:gridCol w:w="1419"/>
        <w:gridCol w:w="1826"/>
        <w:gridCol w:w="1254"/>
        <w:gridCol w:w="1170"/>
      </w:tblGrid>
      <w:tr w14:paraId="6468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05" w:type="pct"/>
            <w:vAlign w:val="center"/>
          </w:tcPr>
          <w:p w14:paraId="498AFD0C">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44" w:type="pct"/>
            <w:vAlign w:val="center"/>
          </w:tcPr>
          <w:p w14:paraId="32A58DA0">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工程名称</w:t>
            </w:r>
          </w:p>
        </w:tc>
        <w:tc>
          <w:tcPr>
            <w:tcW w:w="814" w:type="pct"/>
            <w:vAlign w:val="center"/>
          </w:tcPr>
          <w:p w14:paraId="5AA287FB">
            <w:pPr>
              <w:snapToGrid w:val="0"/>
              <w:spacing w:line="360" w:lineRule="auto"/>
              <w:jc w:val="center"/>
              <w:rPr>
                <w:rFonts w:ascii="宋体" w:hAnsi="宋体"/>
                <w:color w:val="auto"/>
                <w:sz w:val="24"/>
                <w:highlight w:val="none"/>
              </w:rPr>
            </w:pPr>
            <w:r>
              <w:rPr>
                <w:rFonts w:hint="eastAsia" w:ascii="宋体" w:hAnsi="宋体"/>
                <w:color w:val="auto"/>
                <w:sz w:val="24"/>
                <w:highlight w:val="none"/>
              </w:rPr>
              <w:t>建设单位</w:t>
            </w:r>
          </w:p>
        </w:tc>
        <w:tc>
          <w:tcPr>
            <w:tcW w:w="1047" w:type="pct"/>
            <w:vAlign w:val="center"/>
          </w:tcPr>
          <w:p w14:paraId="02EF7B10">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合同价（万元）</w:t>
            </w:r>
          </w:p>
        </w:tc>
        <w:tc>
          <w:tcPr>
            <w:tcW w:w="719" w:type="pct"/>
            <w:vAlign w:val="center"/>
          </w:tcPr>
          <w:p w14:paraId="3967D450">
            <w:pPr>
              <w:snapToGrid w:val="0"/>
              <w:spacing w:line="360" w:lineRule="auto"/>
              <w:jc w:val="center"/>
              <w:rPr>
                <w:rFonts w:ascii="宋体" w:hAnsi="宋体"/>
                <w:color w:val="auto"/>
                <w:sz w:val="24"/>
                <w:highlight w:val="none"/>
              </w:rPr>
            </w:pPr>
            <w:r>
              <w:rPr>
                <w:rFonts w:hint="eastAsia" w:ascii="宋体" w:hAnsi="宋体"/>
                <w:color w:val="auto"/>
                <w:sz w:val="24"/>
                <w:highlight w:val="none"/>
              </w:rPr>
              <w:t>起止时间</w:t>
            </w:r>
          </w:p>
        </w:tc>
        <w:tc>
          <w:tcPr>
            <w:tcW w:w="672" w:type="pct"/>
            <w:vAlign w:val="center"/>
          </w:tcPr>
          <w:p w14:paraId="5D5E9169">
            <w:pPr>
              <w:snapToGrid w:val="0"/>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654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05" w:type="pct"/>
            <w:vAlign w:val="center"/>
          </w:tcPr>
          <w:p w14:paraId="777D939B">
            <w:pPr>
              <w:spacing w:line="360" w:lineRule="auto"/>
              <w:jc w:val="center"/>
              <w:rPr>
                <w:rFonts w:ascii="宋体" w:hAnsi="宋体"/>
                <w:color w:val="auto"/>
                <w:sz w:val="24"/>
                <w:highlight w:val="none"/>
              </w:rPr>
            </w:pPr>
          </w:p>
        </w:tc>
        <w:tc>
          <w:tcPr>
            <w:tcW w:w="1344" w:type="pct"/>
            <w:vAlign w:val="center"/>
          </w:tcPr>
          <w:p w14:paraId="5C937B58">
            <w:pPr>
              <w:spacing w:line="360" w:lineRule="auto"/>
              <w:jc w:val="center"/>
              <w:rPr>
                <w:rFonts w:ascii="宋体" w:hAnsi="宋体"/>
                <w:color w:val="auto"/>
                <w:sz w:val="24"/>
                <w:highlight w:val="none"/>
              </w:rPr>
            </w:pPr>
          </w:p>
        </w:tc>
        <w:tc>
          <w:tcPr>
            <w:tcW w:w="814" w:type="pct"/>
            <w:vAlign w:val="center"/>
          </w:tcPr>
          <w:p w14:paraId="3343C785">
            <w:pPr>
              <w:spacing w:line="360" w:lineRule="auto"/>
              <w:jc w:val="center"/>
              <w:rPr>
                <w:rFonts w:ascii="宋体" w:hAnsi="宋体"/>
                <w:color w:val="auto"/>
                <w:sz w:val="24"/>
                <w:highlight w:val="none"/>
              </w:rPr>
            </w:pPr>
          </w:p>
        </w:tc>
        <w:tc>
          <w:tcPr>
            <w:tcW w:w="1047" w:type="pct"/>
            <w:vAlign w:val="center"/>
          </w:tcPr>
          <w:p w14:paraId="03B1BE7D">
            <w:pPr>
              <w:spacing w:line="360" w:lineRule="auto"/>
              <w:jc w:val="center"/>
              <w:rPr>
                <w:rFonts w:ascii="宋体" w:hAnsi="宋体"/>
                <w:color w:val="auto"/>
                <w:sz w:val="24"/>
                <w:highlight w:val="none"/>
              </w:rPr>
            </w:pPr>
          </w:p>
        </w:tc>
        <w:tc>
          <w:tcPr>
            <w:tcW w:w="719" w:type="pct"/>
            <w:vAlign w:val="center"/>
          </w:tcPr>
          <w:p w14:paraId="15DA7AFC">
            <w:pPr>
              <w:spacing w:line="360" w:lineRule="auto"/>
              <w:jc w:val="center"/>
              <w:rPr>
                <w:rFonts w:ascii="宋体" w:hAnsi="宋体"/>
                <w:color w:val="auto"/>
                <w:sz w:val="24"/>
                <w:highlight w:val="none"/>
              </w:rPr>
            </w:pPr>
          </w:p>
        </w:tc>
        <w:tc>
          <w:tcPr>
            <w:tcW w:w="672" w:type="pct"/>
            <w:vAlign w:val="center"/>
          </w:tcPr>
          <w:p w14:paraId="39F9959B">
            <w:pPr>
              <w:spacing w:line="360" w:lineRule="auto"/>
              <w:jc w:val="center"/>
              <w:rPr>
                <w:rFonts w:ascii="宋体" w:hAnsi="宋体"/>
                <w:color w:val="auto"/>
                <w:sz w:val="24"/>
                <w:highlight w:val="none"/>
              </w:rPr>
            </w:pPr>
          </w:p>
        </w:tc>
      </w:tr>
      <w:tr w14:paraId="38A3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2E93AED3">
            <w:pPr>
              <w:spacing w:line="360" w:lineRule="auto"/>
              <w:jc w:val="center"/>
              <w:rPr>
                <w:rFonts w:ascii="宋体" w:hAnsi="宋体"/>
                <w:color w:val="auto"/>
                <w:sz w:val="24"/>
                <w:highlight w:val="none"/>
              </w:rPr>
            </w:pPr>
          </w:p>
        </w:tc>
        <w:tc>
          <w:tcPr>
            <w:tcW w:w="1344" w:type="pct"/>
            <w:vAlign w:val="center"/>
          </w:tcPr>
          <w:p w14:paraId="6F8E164C">
            <w:pPr>
              <w:spacing w:line="360" w:lineRule="auto"/>
              <w:jc w:val="center"/>
              <w:rPr>
                <w:rFonts w:ascii="宋体" w:hAnsi="宋体"/>
                <w:color w:val="auto"/>
                <w:sz w:val="24"/>
                <w:highlight w:val="none"/>
              </w:rPr>
            </w:pPr>
          </w:p>
        </w:tc>
        <w:tc>
          <w:tcPr>
            <w:tcW w:w="814" w:type="pct"/>
            <w:vAlign w:val="center"/>
          </w:tcPr>
          <w:p w14:paraId="23ACB30E">
            <w:pPr>
              <w:spacing w:line="360" w:lineRule="auto"/>
              <w:jc w:val="center"/>
              <w:rPr>
                <w:rFonts w:ascii="宋体" w:hAnsi="宋体"/>
                <w:color w:val="auto"/>
                <w:sz w:val="24"/>
                <w:highlight w:val="none"/>
              </w:rPr>
            </w:pPr>
          </w:p>
        </w:tc>
        <w:tc>
          <w:tcPr>
            <w:tcW w:w="1047" w:type="pct"/>
            <w:vAlign w:val="center"/>
          </w:tcPr>
          <w:p w14:paraId="2DADEA92">
            <w:pPr>
              <w:spacing w:line="360" w:lineRule="auto"/>
              <w:jc w:val="center"/>
              <w:rPr>
                <w:rFonts w:ascii="宋体" w:hAnsi="宋体"/>
                <w:color w:val="auto"/>
                <w:sz w:val="24"/>
                <w:highlight w:val="none"/>
              </w:rPr>
            </w:pPr>
          </w:p>
        </w:tc>
        <w:tc>
          <w:tcPr>
            <w:tcW w:w="719" w:type="pct"/>
            <w:vAlign w:val="center"/>
          </w:tcPr>
          <w:p w14:paraId="0B7F9A33">
            <w:pPr>
              <w:spacing w:line="360" w:lineRule="auto"/>
              <w:jc w:val="center"/>
              <w:rPr>
                <w:rFonts w:ascii="宋体" w:hAnsi="宋体"/>
                <w:color w:val="auto"/>
                <w:sz w:val="24"/>
                <w:highlight w:val="none"/>
              </w:rPr>
            </w:pPr>
          </w:p>
        </w:tc>
        <w:tc>
          <w:tcPr>
            <w:tcW w:w="672" w:type="pct"/>
            <w:vAlign w:val="center"/>
          </w:tcPr>
          <w:p w14:paraId="03B8FA75">
            <w:pPr>
              <w:spacing w:line="360" w:lineRule="auto"/>
              <w:jc w:val="center"/>
              <w:rPr>
                <w:rFonts w:ascii="宋体" w:hAnsi="宋体"/>
                <w:color w:val="auto"/>
                <w:sz w:val="24"/>
                <w:highlight w:val="none"/>
              </w:rPr>
            </w:pPr>
          </w:p>
        </w:tc>
      </w:tr>
      <w:tr w14:paraId="3329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ED656EF">
            <w:pPr>
              <w:spacing w:line="360" w:lineRule="auto"/>
              <w:jc w:val="center"/>
              <w:rPr>
                <w:rFonts w:ascii="宋体" w:hAnsi="宋体"/>
                <w:color w:val="auto"/>
                <w:sz w:val="24"/>
                <w:highlight w:val="none"/>
              </w:rPr>
            </w:pPr>
          </w:p>
        </w:tc>
        <w:tc>
          <w:tcPr>
            <w:tcW w:w="1344" w:type="pct"/>
            <w:vAlign w:val="center"/>
          </w:tcPr>
          <w:p w14:paraId="7F0C7BAE">
            <w:pPr>
              <w:spacing w:line="360" w:lineRule="auto"/>
              <w:jc w:val="center"/>
              <w:rPr>
                <w:rFonts w:ascii="宋体" w:hAnsi="宋体"/>
                <w:color w:val="auto"/>
                <w:sz w:val="24"/>
                <w:highlight w:val="none"/>
              </w:rPr>
            </w:pPr>
          </w:p>
        </w:tc>
        <w:tc>
          <w:tcPr>
            <w:tcW w:w="814" w:type="pct"/>
            <w:vAlign w:val="center"/>
          </w:tcPr>
          <w:p w14:paraId="48F7152E">
            <w:pPr>
              <w:spacing w:line="360" w:lineRule="auto"/>
              <w:jc w:val="center"/>
              <w:rPr>
                <w:rFonts w:ascii="宋体" w:hAnsi="宋体"/>
                <w:color w:val="auto"/>
                <w:sz w:val="24"/>
                <w:highlight w:val="none"/>
              </w:rPr>
            </w:pPr>
          </w:p>
        </w:tc>
        <w:tc>
          <w:tcPr>
            <w:tcW w:w="1047" w:type="pct"/>
            <w:vAlign w:val="center"/>
          </w:tcPr>
          <w:p w14:paraId="3DB1F327">
            <w:pPr>
              <w:spacing w:line="360" w:lineRule="auto"/>
              <w:jc w:val="center"/>
              <w:rPr>
                <w:rFonts w:ascii="宋体" w:hAnsi="宋体"/>
                <w:color w:val="auto"/>
                <w:sz w:val="24"/>
                <w:highlight w:val="none"/>
              </w:rPr>
            </w:pPr>
          </w:p>
        </w:tc>
        <w:tc>
          <w:tcPr>
            <w:tcW w:w="719" w:type="pct"/>
            <w:vAlign w:val="center"/>
          </w:tcPr>
          <w:p w14:paraId="3B2998B9">
            <w:pPr>
              <w:spacing w:line="360" w:lineRule="auto"/>
              <w:jc w:val="center"/>
              <w:rPr>
                <w:rFonts w:ascii="宋体" w:hAnsi="宋体"/>
                <w:color w:val="auto"/>
                <w:sz w:val="24"/>
                <w:highlight w:val="none"/>
              </w:rPr>
            </w:pPr>
          </w:p>
        </w:tc>
        <w:tc>
          <w:tcPr>
            <w:tcW w:w="672" w:type="pct"/>
            <w:vAlign w:val="center"/>
          </w:tcPr>
          <w:p w14:paraId="59139023">
            <w:pPr>
              <w:spacing w:line="360" w:lineRule="auto"/>
              <w:jc w:val="center"/>
              <w:rPr>
                <w:rFonts w:ascii="宋体" w:hAnsi="宋体"/>
                <w:color w:val="auto"/>
                <w:sz w:val="24"/>
                <w:highlight w:val="none"/>
              </w:rPr>
            </w:pPr>
          </w:p>
        </w:tc>
      </w:tr>
      <w:tr w14:paraId="197F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482C9B44">
            <w:pPr>
              <w:spacing w:line="360" w:lineRule="auto"/>
              <w:jc w:val="center"/>
              <w:rPr>
                <w:rFonts w:ascii="宋体" w:hAnsi="宋体"/>
                <w:color w:val="auto"/>
                <w:sz w:val="24"/>
                <w:highlight w:val="none"/>
              </w:rPr>
            </w:pPr>
          </w:p>
        </w:tc>
        <w:tc>
          <w:tcPr>
            <w:tcW w:w="1344" w:type="pct"/>
            <w:vAlign w:val="center"/>
          </w:tcPr>
          <w:p w14:paraId="1848AF59">
            <w:pPr>
              <w:spacing w:line="360" w:lineRule="auto"/>
              <w:jc w:val="center"/>
              <w:rPr>
                <w:rFonts w:ascii="宋体" w:hAnsi="宋体"/>
                <w:color w:val="auto"/>
                <w:sz w:val="24"/>
                <w:highlight w:val="none"/>
              </w:rPr>
            </w:pPr>
          </w:p>
        </w:tc>
        <w:tc>
          <w:tcPr>
            <w:tcW w:w="814" w:type="pct"/>
            <w:vAlign w:val="center"/>
          </w:tcPr>
          <w:p w14:paraId="71AB05EB">
            <w:pPr>
              <w:spacing w:line="360" w:lineRule="auto"/>
              <w:jc w:val="center"/>
              <w:rPr>
                <w:rFonts w:ascii="宋体" w:hAnsi="宋体"/>
                <w:color w:val="auto"/>
                <w:sz w:val="24"/>
                <w:highlight w:val="none"/>
              </w:rPr>
            </w:pPr>
          </w:p>
        </w:tc>
        <w:tc>
          <w:tcPr>
            <w:tcW w:w="1047" w:type="pct"/>
            <w:vAlign w:val="center"/>
          </w:tcPr>
          <w:p w14:paraId="499903B2">
            <w:pPr>
              <w:spacing w:line="360" w:lineRule="auto"/>
              <w:jc w:val="center"/>
              <w:rPr>
                <w:rFonts w:ascii="宋体" w:hAnsi="宋体"/>
                <w:color w:val="auto"/>
                <w:sz w:val="24"/>
                <w:highlight w:val="none"/>
              </w:rPr>
            </w:pPr>
          </w:p>
        </w:tc>
        <w:tc>
          <w:tcPr>
            <w:tcW w:w="719" w:type="pct"/>
            <w:vAlign w:val="center"/>
          </w:tcPr>
          <w:p w14:paraId="4BD41295">
            <w:pPr>
              <w:spacing w:line="360" w:lineRule="auto"/>
              <w:jc w:val="center"/>
              <w:rPr>
                <w:rFonts w:ascii="宋体" w:hAnsi="宋体"/>
                <w:color w:val="auto"/>
                <w:sz w:val="24"/>
                <w:highlight w:val="none"/>
              </w:rPr>
            </w:pPr>
          </w:p>
        </w:tc>
        <w:tc>
          <w:tcPr>
            <w:tcW w:w="672" w:type="pct"/>
            <w:vAlign w:val="center"/>
          </w:tcPr>
          <w:p w14:paraId="1F0190ED">
            <w:pPr>
              <w:spacing w:line="360" w:lineRule="auto"/>
              <w:jc w:val="center"/>
              <w:rPr>
                <w:rFonts w:ascii="宋体" w:hAnsi="宋体"/>
                <w:color w:val="auto"/>
                <w:sz w:val="24"/>
                <w:highlight w:val="none"/>
              </w:rPr>
            </w:pPr>
          </w:p>
        </w:tc>
      </w:tr>
      <w:tr w14:paraId="7CD1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5B3A5D">
            <w:pPr>
              <w:spacing w:line="360" w:lineRule="auto"/>
              <w:jc w:val="center"/>
              <w:rPr>
                <w:rFonts w:ascii="宋体" w:hAnsi="宋体"/>
                <w:color w:val="auto"/>
                <w:sz w:val="24"/>
                <w:highlight w:val="none"/>
              </w:rPr>
            </w:pPr>
          </w:p>
        </w:tc>
        <w:tc>
          <w:tcPr>
            <w:tcW w:w="1344" w:type="pct"/>
            <w:vAlign w:val="center"/>
          </w:tcPr>
          <w:p w14:paraId="7E9178FC">
            <w:pPr>
              <w:spacing w:line="360" w:lineRule="auto"/>
              <w:jc w:val="center"/>
              <w:rPr>
                <w:rFonts w:ascii="宋体" w:hAnsi="宋体"/>
                <w:color w:val="auto"/>
                <w:sz w:val="24"/>
                <w:highlight w:val="none"/>
              </w:rPr>
            </w:pPr>
          </w:p>
        </w:tc>
        <w:tc>
          <w:tcPr>
            <w:tcW w:w="814" w:type="pct"/>
            <w:vAlign w:val="center"/>
          </w:tcPr>
          <w:p w14:paraId="25AEA687">
            <w:pPr>
              <w:spacing w:line="360" w:lineRule="auto"/>
              <w:jc w:val="center"/>
              <w:rPr>
                <w:rFonts w:ascii="宋体" w:hAnsi="宋体"/>
                <w:color w:val="auto"/>
                <w:sz w:val="24"/>
                <w:highlight w:val="none"/>
              </w:rPr>
            </w:pPr>
          </w:p>
        </w:tc>
        <w:tc>
          <w:tcPr>
            <w:tcW w:w="1047" w:type="pct"/>
            <w:vAlign w:val="center"/>
          </w:tcPr>
          <w:p w14:paraId="761AE859">
            <w:pPr>
              <w:spacing w:line="360" w:lineRule="auto"/>
              <w:jc w:val="center"/>
              <w:rPr>
                <w:rFonts w:ascii="宋体" w:hAnsi="宋体"/>
                <w:color w:val="auto"/>
                <w:sz w:val="24"/>
                <w:highlight w:val="none"/>
              </w:rPr>
            </w:pPr>
          </w:p>
        </w:tc>
        <w:tc>
          <w:tcPr>
            <w:tcW w:w="719" w:type="pct"/>
            <w:vAlign w:val="center"/>
          </w:tcPr>
          <w:p w14:paraId="65E94163">
            <w:pPr>
              <w:spacing w:line="360" w:lineRule="auto"/>
              <w:jc w:val="center"/>
              <w:rPr>
                <w:rFonts w:ascii="宋体" w:hAnsi="宋体"/>
                <w:color w:val="auto"/>
                <w:sz w:val="24"/>
                <w:highlight w:val="none"/>
              </w:rPr>
            </w:pPr>
          </w:p>
        </w:tc>
        <w:tc>
          <w:tcPr>
            <w:tcW w:w="672" w:type="pct"/>
            <w:vAlign w:val="center"/>
          </w:tcPr>
          <w:p w14:paraId="3F95CD09">
            <w:pPr>
              <w:spacing w:line="360" w:lineRule="auto"/>
              <w:jc w:val="center"/>
              <w:rPr>
                <w:rFonts w:ascii="宋体" w:hAnsi="宋体"/>
                <w:color w:val="auto"/>
                <w:sz w:val="24"/>
                <w:highlight w:val="none"/>
              </w:rPr>
            </w:pPr>
          </w:p>
        </w:tc>
      </w:tr>
      <w:tr w14:paraId="6EB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6C95F9E">
            <w:pPr>
              <w:spacing w:line="360" w:lineRule="auto"/>
              <w:jc w:val="center"/>
              <w:rPr>
                <w:rFonts w:ascii="宋体" w:hAnsi="宋体"/>
                <w:color w:val="auto"/>
                <w:sz w:val="24"/>
                <w:highlight w:val="none"/>
              </w:rPr>
            </w:pPr>
          </w:p>
        </w:tc>
        <w:tc>
          <w:tcPr>
            <w:tcW w:w="1344" w:type="pct"/>
            <w:vAlign w:val="center"/>
          </w:tcPr>
          <w:p w14:paraId="6D957025">
            <w:pPr>
              <w:spacing w:line="360" w:lineRule="auto"/>
              <w:jc w:val="center"/>
              <w:rPr>
                <w:rFonts w:ascii="宋体" w:hAnsi="宋体"/>
                <w:color w:val="auto"/>
                <w:sz w:val="24"/>
                <w:highlight w:val="none"/>
              </w:rPr>
            </w:pPr>
          </w:p>
        </w:tc>
        <w:tc>
          <w:tcPr>
            <w:tcW w:w="814" w:type="pct"/>
            <w:vAlign w:val="center"/>
          </w:tcPr>
          <w:p w14:paraId="1E1E4547">
            <w:pPr>
              <w:spacing w:line="360" w:lineRule="auto"/>
              <w:jc w:val="center"/>
              <w:rPr>
                <w:rFonts w:ascii="宋体" w:hAnsi="宋体"/>
                <w:color w:val="auto"/>
                <w:sz w:val="24"/>
                <w:highlight w:val="none"/>
              </w:rPr>
            </w:pPr>
          </w:p>
        </w:tc>
        <w:tc>
          <w:tcPr>
            <w:tcW w:w="1047" w:type="pct"/>
            <w:vAlign w:val="center"/>
          </w:tcPr>
          <w:p w14:paraId="776643B7">
            <w:pPr>
              <w:spacing w:line="360" w:lineRule="auto"/>
              <w:jc w:val="center"/>
              <w:rPr>
                <w:rFonts w:ascii="宋体" w:hAnsi="宋体"/>
                <w:color w:val="auto"/>
                <w:sz w:val="24"/>
                <w:highlight w:val="none"/>
              </w:rPr>
            </w:pPr>
          </w:p>
        </w:tc>
        <w:tc>
          <w:tcPr>
            <w:tcW w:w="719" w:type="pct"/>
            <w:vAlign w:val="center"/>
          </w:tcPr>
          <w:p w14:paraId="664B7409">
            <w:pPr>
              <w:spacing w:line="360" w:lineRule="auto"/>
              <w:jc w:val="center"/>
              <w:rPr>
                <w:rFonts w:ascii="宋体" w:hAnsi="宋体"/>
                <w:color w:val="auto"/>
                <w:sz w:val="24"/>
                <w:highlight w:val="none"/>
              </w:rPr>
            </w:pPr>
          </w:p>
        </w:tc>
        <w:tc>
          <w:tcPr>
            <w:tcW w:w="672" w:type="pct"/>
            <w:vAlign w:val="center"/>
          </w:tcPr>
          <w:p w14:paraId="7DA57AE8">
            <w:pPr>
              <w:spacing w:line="360" w:lineRule="auto"/>
              <w:jc w:val="center"/>
              <w:rPr>
                <w:rFonts w:ascii="宋体" w:hAnsi="宋体"/>
                <w:color w:val="auto"/>
                <w:sz w:val="24"/>
                <w:highlight w:val="none"/>
              </w:rPr>
            </w:pPr>
          </w:p>
        </w:tc>
      </w:tr>
      <w:tr w14:paraId="68E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D65ADEB">
            <w:pPr>
              <w:spacing w:line="360" w:lineRule="auto"/>
              <w:jc w:val="center"/>
              <w:rPr>
                <w:rFonts w:ascii="宋体" w:hAnsi="宋体"/>
                <w:color w:val="auto"/>
                <w:sz w:val="24"/>
                <w:highlight w:val="none"/>
              </w:rPr>
            </w:pPr>
          </w:p>
        </w:tc>
        <w:tc>
          <w:tcPr>
            <w:tcW w:w="1344" w:type="pct"/>
            <w:vAlign w:val="center"/>
          </w:tcPr>
          <w:p w14:paraId="37540F48">
            <w:pPr>
              <w:spacing w:line="360" w:lineRule="auto"/>
              <w:jc w:val="center"/>
              <w:rPr>
                <w:rFonts w:ascii="宋体" w:hAnsi="宋体"/>
                <w:color w:val="auto"/>
                <w:sz w:val="24"/>
                <w:highlight w:val="none"/>
              </w:rPr>
            </w:pPr>
          </w:p>
        </w:tc>
        <w:tc>
          <w:tcPr>
            <w:tcW w:w="814" w:type="pct"/>
            <w:vAlign w:val="center"/>
          </w:tcPr>
          <w:p w14:paraId="6F16916F">
            <w:pPr>
              <w:spacing w:line="360" w:lineRule="auto"/>
              <w:jc w:val="center"/>
              <w:rPr>
                <w:rFonts w:ascii="宋体" w:hAnsi="宋体"/>
                <w:color w:val="auto"/>
                <w:sz w:val="24"/>
                <w:highlight w:val="none"/>
              </w:rPr>
            </w:pPr>
          </w:p>
        </w:tc>
        <w:tc>
          <w:tcPr>
            <w:tcW w:w="1047" w:type="pct"/>
            <w:vAlign w:val="center"/>
          </w:tcPr>
          <w:p w14:paraId="7B0C6608">
            <w:pPr>
              <w:spacing w:line="360" w:lineRule="auto"/>
              <w:jc w:val="center"/>
              <w:rPr>
                <w:rFonts w:ascii="宋体" w:hAnsi="宋体"/>
                <w:color w:val="auto"/>
                <w:sz w:val="24"/>
                <w:highlight w:val="none"/>
              </w:rPr>
            </w:pPr>
          </w:p>
        </w:tc>
        <w:tc>
          <w:tcPr>
            <w:tcW w:w="719" w:type="pct"/>
            <w:vAlign w:val="center"/>
          </w:tcPr>
          <w:p w14:paraId="690D7C82">
            <w:pPr>
              <w:spacing w:line="360" w:lineRule="auto"/>
              <w:jc w:val="center"/>
              <w:rPr>
                <w:rFonts w:ascii="宋体" w:hAnsi="宋体"/>
                <w:color w:val="auto"/>
                <w:sz w:val="24"/>
                <w:highlight w:val="none"/>
              </w:rPr>
            </w:pPr>
          </w:p>
        </w:tc>
        <w:tc>
          <w:tcPr>
            <w:tcW w:w="672" w:type="pct"/>
            <w:vAlign w:val="center"/>
          </w:tcPr>
          <w:p w14:paraId="2FB2FAC6">
            <w:pPr>
              <w:spacing w:line="360" w:lineRule="auto"/>
              <w:jc w:val="center"/>
              <w:rPr>
                <w:rFonts w:ascii="宋体" w:hAnsi="宋体"/>
                <w:color w:val="auto"/>
                <w:sz w:val="24"/>
                <w:highlight w:val="none"/>
              </w:rPr>
            </w:pPr>
          </w:p>
        </w:tc>
      </w:tr>
      <w:tr w14:paraId="4FE7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2DFDAA">
            <w:pPr>
              <w:spacing w:line="360" w:lineRule="auto"/>
              <w:jc w:val="center"/>
              <w:rPr>
                <w:rFonts w:ascii="宋体" w:hAnsi="宋体"/>
                <w:color w:val="auto"/>
                <w:sz w:val="24"/>
                <w:highlight w:val="none"/>
              </w:rPr>
            </w:pPr>
          </w:p>
        </w:tc>
        <w:tc>
          <w:tcPr>
            <w:tcW w:w="1344" w:type="pct"/>
            <w:vAlign w:val="center"/>
          </w:tcPr>
          <w:p w14:paraId="74E5157D">
            <w:pPr>
              <w:spacing w:line="360" w:lineRule="auto"/>
              <w:jc w:val="center"/>
              <w:rPr>
                <w:rFonts w:ascii="宋体" w:hAnsi="宋体"/>
                <w:color w:val="auto"/>
                <w:sz w:val="24"/>
                <w:highlight w:val="none"/>
              </w:rPr>
            </w:pPr>
          </w:p>
        </w:tc>
        <w:tc>
          <w:tcPr>
            <w:tcW w:w="814" w:type="pct"/>
            <w:vAlign w:val="center"/>
          </w:tcPr>
          <w:p w14:paraId="7EDE61EE">
            <w:pPr>
              <w:spacing w:line="360" w:lineRule="auto"/>
              <w:jc w:val="center"/>
              <w:rPr>
                <w:rFonts w:ascii="宋体" w:hAnsi="宋体"/>
                <w:color w:val="auto"/>
                <w:sz w:val="24"/>
                <w:highlight w:val="none"/>
              </w:rPr>
            </w:pPr>
          </w:p>
        </w:tc>
        <w:tc>
          <w:tcPr>
            <w:tcW w:w="1047" w:type="pct"/>
            <w:vAlign w:val="center"/>
          </w:tcPr>
          <w:p w14:paraId="449F5603">
            <w:pPr>
              <w:spacing w:line="360" w:lineRule="auto"/>
              <w:jc w:val="center"/>
              <w:rPr>
                <w:rFonts w:ascii="宋体" w:hAnsi="宋体"/>
                <w:color w:val="auto"/>
                <w:sz w:val="24"/>
                <w:highlight w:val="none"/>
              </w:rPr>
            </w:pPr>
          </w:p>
        </w:tc>
        <w:tc>
          <w:tcPr>
            <w:tcW w:w="719" w:type="pct"/>
            <w:vAlign w:val="center"/>
          </w:tcPr>
          <w:p w14:paraId="2B809DDF">
            <w:pPr>
              <w:spacing w:line="360" w:lineRule="auto"/>
              <w:jc w:val="center"/>
              <w:rPr>
                <w:rFonts w:ascii="宋体" w:hAnsi="宋体"/>
                <w:color w:val="auto"/>
                <w:sz w:val="24"/>
                <w:highlight w:val="none"/>
              </w:rPr>
            </w:pPr>
          </w:p>
        </w:tc>
        <w:tc>
          <w:tcPr>
            <w:tcW w:w="672" w:type="pct"/>
            <w:vAlign w:val="center"/>
          </w:tcPr>
          <w:p w14:paraId="22B43512">
            <w:pPr>
              <w:spacing w:line="360" w:lineRule="auto"/>
              <w:jc w:val="center"/>
              <w:rPr>
                <w:rFonts w:ascii="宋体" w:hAnsi="宋体"/>
                <w:color w:val="auto"/>
                <w:sz w:val="24"/>
                <w:highlight w:val="none"/>
              </w:rPr>
            </w:pPr>
          </w:p>
        </w:tc>
      </w:tr>
      <w:tr w14:paraId="78A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2013B11">
            <w:pPr>
              <w:spacing w:line="360" w:lineRule="auto"/>
              <w:jc w:val="center"/>
              <w:rPr>
                <w:rFonts w:ascii="宋体" w:hAnsi="宋体"/>
                <w:color w:val="auto"/>
                <w:sz w:val="24"/>
                <w:highlight w:val="none"/>
              </w:rPr>
            </w:pPr>
          </w:p>
        </w:tc>
        <w:tc>
          <w:tcPr>
            <w:tcW w:w="1344" w:type="pct"/>
            <w:vAlign w:val="center"/>
          </w:tcPr>
          <w:p w14:paraId="22C93588">
            <w:pPr>
              <w:spacing w:line="360" w:lineRule="auto"/>
              <w:jc w:val="center"/>
              <w:rPr>
                <w:rFonts w:ascii="宋体" w:hAnsi="宋体"/>
                <w:color w:val="auto"/>
                <w:sz w:val="24"/>
                <w:highlight w:val="none"/>
              </w:rPr>
            </w:pPr>
          </w:p>
        </w:tc>
        <w:tc>
          <w:tcPr>
            <w:tcW w:w="814" w:type="pct"/>
            <w:vAlign w:val="center"/>
          </w:tcPr>
          <w:p w14:paraId="479AFE1B">
            <w:pPr>
              <w:spacing w:line="360" w:lineRule="auto"/>
              <w:jc w:val="center"/>
              <w:rPr>
                <w:rFonts w:ascii="宋体" w:hAnsi="宋体"/>
                <w:color w:val="auto"/>
                <w:sz w:val="24"/>
                <w:highlight w:val="none"/>
              </w:rPr>
            </w:pPr>
          </w:p>
        </w:tc>
        <w:tc>
          <w:tcPr>
            <w:tcW w:w="1047" w:type="pct"/>
            <w:vAlign w:val="center"/>
          </w:tcPr>
          <w:p w14:paraId="1F1C4298">
            <w:pPr>
              <w:spacing w:line="360" w:lineRule="auto"/>
              <w:jc w:val="center"/>
              <w:rPr>
                <w:rFonts w:ascii="宋体" w:hAnsi="宋体"/>
                <w:color w:val="auto"/>
                <w:sz w:val="24"/>
                <w:highlight w:val="none"/>
              </w:rPr>
            </w:pPr>
          </w:p>
        </w:tc>
        <w:tc>
          <w:tcPr>
            <w:tcW w:w="719" w:type="pct"/>
            <w:vAlign w:val="center"/>
          </w:tcPr>
          <w:p w14:paraId="53B9513A">
            <w:pPr>
              <w:spacing w:line="360" w:lineRule="auto"/>
              <w:jc w:val="center"/>
              <w:rPr>
                <w:rFonts w:ascii="宋体" w:hAnsi="宋体"/>
                <w:color w:val="auto"/>
                <w:sz w:val="24"/>
                <w:highlight w:val="none"/>
              </w:rPr>
            </w:pPr>
          </w:p>
        </w:tc>
        <w:tc>
          <w:tcPr>
            <w:tcW w:w="672" w:type="pct"/>
            <w:vAlign w:val="center"/>
          </w:tcPr>
          <w:p w14:paraId="7815587F">
            <w:pPr>
              <w:spacing w:line="360" w:lineRule="auto"/>
              <w:jc w:val="center"/>
              <w:rPr>
                <w:rFonts w:ascii="宋体" w:hAnsi="宋体"/>
                <w:color w:val="auto"/>
                <w:sz w:val="24"/>
                <w:highlight w:val="none"/>
              </w:rPr>
            </w:pPr>
          </w:p>
        </w:tc>
      </w:tr>
    </w:tbl>
    <w:p w14:paraId="207C1CE7">
      <w:pPr>
        <w:spacing w:line="360" w:lineRule="auto"/>
        <w:rPr>
          <w:rFonts w:ascii="宋体" w:hAnsi="宋体" w:cs="宋体"/>
          <w:color w:val="auto"/>
          <w:szCs w:val="24"/>
          <w:highlight w:val="none"/>
        </w:rPr>
      </w:pPr>
    </w:p>
    <w:p w14:paraId="572593F3">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B2EB199">
      <w:pPr>
        <w:spacing w:line="360" w:lineRule="auto"/>
        <w:jc w:val="center"/>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5A3BC524">
      <w:pPr>
        <w:pStyle w:val="4"/>
        <w:spacing w:before="0" w:after="0" w:line="360" w:lineRule="auto"/>
        <w:ind w:firstLine="119"/>
        <w:jc w:val="center"/>
        <w:rPr>
          <w:rFonts w:ascii="宋体" w:hAnsi="宋体" w:cs="宋体"/>
          <w:b w:val="0"/>
          <w:bCs w:val="0"/>
          <w:color w:val="auto"/>
          <w:sz w:val="32"/>
          <w:highlight w:val="none"/>
        </w:rPr>
      </w:pPr>
      <w:r>
        <w:rPr>
          <w:rFonts w:hint="eastAsia" w:ascii="宋体" w:hAnsi="宋体" w:cs="宋体"/>
          <w:b w:val="0"/>
          <w:bCs w:val="0"/>
          <w:color w:val="auto"/>
          <w:highlight w:val="none"/>
        </w:rPr>
        <w:br w:type="page"/>
      </w:r>
      <w:bookmarkStart w:id="213" w:name="_Toc22808"/>
      <w:r>
        <w:rPr>
          <w:rFonts w:hint="eastAsia" w:ascii="宋体" w:hAnsi="宋体" w:eastAsia="宋体" w:cs="宋体"/>
          <w:color w:val="auto"/>
          <w:sz w:val="32"/>
          <w:highlight w:val="none"/>
        </w:rPr>
        <w:t>七、</w:t>
      </w:r>
      <w:bookmarkStart w:id="214" w:name="_Hlk171603198"/>
      <w:r>
        <w:rPr>
          <w:rFonts w:hint="eastAsia" w:ascii="宋体" w:hAnsi="宋体" w:eastAsia="宋体" w:cs="宋体"/>
          <w:color w:val="auto"/>
          <w:sz w:val="32"/>
          <w:highlight w:val="none"/>
        </w:rPr>
        <w:t>拟投入本项目的人员</w:t>
      </w:r>
      <w:bookmarkEnd w:id="214"/>
      <w:r>
        <w:rPr>
          <w:rFonts w:hint="eastAsia" w:ascii="宋体" w:hAnsi="宋体" w:eastAsia="宋体" w:cs="宋体"/>
          <w:color w:val="auto"/>
          <w:sz w:val="32"/>
          <w:highlight w:val="none"/>
        </w:rPr>
        <w:t>一览表</w:t>
      </w:r>
      <w:bookmarkEnd w:id="213"/>
    </w:p>
    <w:p w14:paraId="666D6878">
      <w:pPr>
        <w:spacing w:line="360" w:lineRule="auto"/>
        <w:jc w:val="left"/>
        <w:rPr>
          <w:rFonts w:ascii="宋体" w:hAnsi="宋体" w:cs="宋体"/>
          <w:color w:val="auto"/>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5C1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6F17554C">
            <w:pPr>
              <w:snapToGrid w:val="0"/>
              <w:spacing w:line="360" w:lineRule="auto"/>
              <w:jc w:val="center"/>
              <w:rPr>
                <w:rFonts w:ascii="宋体" w:hAnsi="宋体" w:cs="宋体"/>
                <w:color w:val="auto"/>
                <w:sz w:val="24"/>
                <w:highlight w:val="none"/>
              </w:rPr>
            </w:pPr>
            <w:bookmarkStart w:id="215" w:name="_Hlk171603204"/>
            <w:r>
              <w:rPr>
                <w:rFonts w:hint="eastAsia" w:ascii="宋体" w:hAnsi="宋体" w:cs="宋体"/>
                <w:color w:val="auto"/>
                <w:sz w:val="24"/>
                <w:highlight w:val="none"/>
              </w:rPr>
              <w:t>序号</w:t>
            </w:r>
          </w:p>
        </w:tc>
        <w:tc>
          <w:tcPr>
            <w:tcW w:w="939" w:type="dxa"/>
            <w:vAlign w:val="center"/>
          </w:tcPr>
          <w:p w14:paraId="4A155C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4" w:type="dxa"/>
            <w:vAlign w:val="center"/>
          </w:tcPr>
          <w:p w14:paraId="594076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484" w:type="dxa"/>
            <w:vAlign w:val="center"/>
          </w:tcPr>
          <w:p w14:paraId="63D96E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拟在本项目任职职位</w:t>
            </w:r>
          </w:p>
        </w:tc>
        <w:tc>
          <w:tcPr>
            <w:tcW w:w="1885" w:type="dxa"/>
            <w:vAlign w:val="center"/>
          </w:tcPr>
          <w:p w14:paraId="126995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bookmarkStart w:id="216" w:name="_Toc377719916"/>
            <w:bookmarkStart w:id="217" w:name="_Toc32483"/>
            <w:r>
              <w:rPr>
                <w:rFonts w:hint="eastAsia" w:ascii="宋体" w:hAnsi="宋体" w:cs="宋体"/>
                <w:color w:val="auto"/>
                <w:sz w:val="24"/>
                <w:highlight w:val="none"/>
              </w:rPr>
              <w:t>专</w:t>
            </w:r>
            <w:bookmarkStart w:id="218" w:name="_Toc23762"/>
            <w:bookmarkStart w:id="219" w:name="_Toc29731"/>
            <w:bookmarkStart w:id="220" w:name="_Toc12800"/>
            <w:bookmarkStart w:id="221" w:name="_Toc7316"/>
            <w:bookmarkStart w:id="222" w:name="_Toc24823"/>
            <w:bookmarkStart w:id="223" w:name="_Toc532367896"/>
            <w:bookmarkStart w:id="224" w:name="_Toc38224866"/>
            <w:bookmarkStart w:id="225" w:name="_Toc18456"/>
            <w:bookmarkStart w:id="226" w:name="_Toc17600"/>
            <w:bookmarkStart w:id="227" w:name="_Toc21254"/>
            <w:r>
              <w:rPr>
                <w:rFonts w:hint="eastAsia" w:ascii="宋体" w:hAnsi="宋体" w:cs="宋体"/>
                <w:color w:val="auto"/>
                <w:sz w:val="24"/>
                <w:highlight w:val="none"/>
              </w:rPr>
              <w:t>业</w:t>
            </w:r>
          </w:p>
          <w:bookmarkEnd w:id="216"/>
          <w:bookmarkEnd w:id="217"/>
          <w:bookmarkEnd w:id="218"/>
          <w:bookmarkEnd w:id="219"/>
          <w:bookmarkEnd w:id="220"/>
          <w:bookmarkEnd w:id="221"/>
          <w:bookmarkEnd w:id="222"/>
          <w:bookmarkEnd w:id="223"/>
        </w:tc>
        <w:tc>
          <w:tcPr>
            <w:tcW w:w="883" w:type="dxa"/>
            <w:vAlign w:val="center"/>
          </w:tcPr>
          <w:p w14:paraId="15C7A3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992" w:type="dxa"/>
            <w:vAlign w:val="center"/>
          </w:tcPr>
          <w:p w14:paraId="45F7FB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bookmarkEnd w:id="224"/>
            <w:bookmarkEnd w:id="225"/>
            <w:bookmarkEnd w:id="226"/>
            <w:bookmarkEnd w:id="227"/>
            <w:r>
              <w:rPr>
                <w:rFonts w:hint="eastAsia" w:ascii="宋体" w:hAnsi="宋体" w:cs="宋体"/>
                <w:color w:val="auto"/>
                <w:sz w:val="24"/>
                <w:highlight w:val="none"/>
              </w:rPr>
              <w:t>及专业</w:t>
            </w:r>
          </w:p>
        </w:tc>
        <w:tc>
          <w:tcPr>
            <w:tcW w:w="1276" w:type="dxa"/>
            <w:vAlign w:val="center"/>
          </w:tcPr>
          <w:p w14:paraId="571C31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从事检测工作年限</w:t>
            </w:r>
          </w:p>
        </w:tc>
        <w:bookmarkStart w:id="228" w:name="_Toc9140"/>
        <w:bookmarkStart w:id="229" w:name="_Toc38224867"/>
        <w:bookmarkStart w:id="230" w:name="_Toc31785"/>
        <w:bookmarkStart w:id="231" w:name="_Toc12738"/>
        <w:bookmarkStart w:id="232" w:name="_Toc13214"/>
        <w:bookmarkStart w:id="233" w:name="_Toc17488"/>
        <w:bookmarkStart w:id="234" w:name="_Toc25406"/>
        <w:bookmarkStart w:id="235" w:name="_Toc532367897"/>
        <w:bookmarkStart w:id="236" w:name="_Toc18694"/>
        <w:bookmarkStart w:id="237" w:name="_Toc29747"/>
        <w:bookmarkStart w:id="238" w:name="_Toc377719917"/>
      </w:tr>
      <w:tr w14:paraId="111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4399D95">
            <w:pPr>
              <w:spacing w:line="360" w:lineRule="auto"/>
              <w:jc w:val="center"/>
              <w:rPr>
                <w:rFonts w:ascii="宋体" w:hAnsi="宋体" w:cs="宋体"/>
                <w:color w:val="auto"/>
                <w:sz w:val="22"/>
                <w:highlight w:val="none"/>
              </w:rPr>
            </w:pPr>
          </w:p>
        </w:tc>
        <w:tc>
          <w:tcPr>
            <w:tcW w:w="939" w:type="dxa"/>
            <w:vAlign w:val="center"/>
          </w:tcPr>
          <w:p w14:paraId="1F592B49">
            <w:pPr>
              <w:spacing w:line="360" w:lineRule="auto"/>
              <w:jc w:val="center"/>
              <w:rPr>
                <w:rFonts w:ascii="宋体" w:hAnsi="宋体" w:cs="宋体"/>
                <w:color w:val="auto"/>
                <w:sz w:val="22"/>
                <w:highlight w:val="none"/>
              </w:rPr>
            </w:pPr>
          </w:p>
        </w:tc>
        <w:tc>
          <w:tcPr>
            <w:tcW w:w="904" w:type="dxa"/>
            <w:vAlign w:val="center"/>
          </w:tcPr>
          <w:p w14:paraId="111315A7">
            <w:pPr>
              <w:spacing w:line="360" w:lineRule="auto"/>
              <w:jc w:val="center"/>
              <w:rPr>
                <w:rFonts w:ascii="宋体" w:hAnsi="宋体" w:cs="宋体"/>
                <w:color w:val="auto"/>
                <w:sz w:val="22"/>
                <w:highlight w:val="none"/>
              </w:rPr>
            </w:pPr>
          </w:p>
        </w:tc>
        <w:tc>
          <w:tcPr>
            <w:tcW w:w="1484" w:type="dxa"/>
            <w:vAlign w:val="center"/>
          </w:tcPr>
          <w:p w14:paraId="7FF5356D">
            <w:pPr>
              <w:spacing w:line="360" w:lineRule="auto"/>
              <w:jc w:val="center"/>
              <w:rPr>
                <w:rFonts w:ascii="宋体" w:hAnsi="宋体" w:cs="宋体"/>
                <w:color w:val="auto"/>
                <w:sz w:val="22"/>
                <w:highlight w:val="none"/>
              </w:rPr>
            </w:pPr>
          </w:p>
        </w:tc>
        <w:tc>
          <w:tcPr>
            <w:tcW w:w="1885" w:type="dxa"/>
            <w:vAlign w:val="center"/>
          </w:tcPr>
          <w:p w14:paraId="312A4F70">
            <w:pPr>
              <w:spacing w:line="360" w:lineRule="auto"/>
              <w:jc w:val="center"/>
              <w:rPr>
                <w:rFonts w:ascii="宋体" w:hAnsi="宋体" w:cs="宋体"/>
                <w:color w:val="auto"/>
                <w:sz w:val="22"/>
                <w:highlight w:val="none"/>
              </w:rPr>
            </w:pPr>
          </w:p>
        </w:tc>
        <w:tc>
          <w:tcPr>
            <w:tcW w:w="883" w:type="dxa"/>
            <w:vAlign w:val="center"/>
          </w:tcPr>
          <w:p w14:paraId="503B2F75">
            <w:pPr>
              <w:spacing w:line="360" w:lineRule="auto"/>
              <w:jc w:val="center"/>
              <w:rPr>
                <w:rFonts w:ascii="宋体" w:hAnsi="宋体" w:cs="宋体"/>
                <w:color w:val="auto"/>
                <w:sz w:val="22"/>
                <w:highlight w:val="none"/>
              </w:rPr>
            </w:pPr>
          </w:p>
        </w:tc>
        <w:tc>
          <w:tcPr>
            <w:tcW w:w="992" w:type="dxa"/>
            <w:vAlign w:val="center"/>
          </w:tcPr>
          <w:p w14:paraId="1F900127">
            <w:pPr>
              <w:spacing w:line="360" w:lineRule="auto"/>
              <w:jc w:val="center"/>
              <w:rPr>
                <w:rFonts w:ascii="宋体" w:hAnsi="宋体" w:cs="宋体"/>
                <w:color w:val="auto"/>
                <w:sz w:val="22"/>
                <w:highlight w:val="none"/>
              </w:rPr>
            </w:pPr>
          </w:p>
        </w:tc>
        <w:tc>
          <w:tcPr>
            <w:tcW w:w="1276" w:type="dxa"/>
            <w:vAlign w:val="center"/>
          </w:tcPr>
          <w:p w14:paraId="7A6BDF69">
            <w:pPr>
              <w:spacing w:line="360" w:lineRule="auto"/>
              <w:jc w:val="center"/>
              <w:rPr>
                <w:rFonts w:ascii="宋体" w:hAnsi="宋体" w:cs="宋体"/>
                <w:color w:val="auto"/>
                <w:sz w:val="22"/>
                <w:highlight w:val="none"/>
              </w:rPr>
            </w:pPr>
          </w:p>
        </w:tc>
      </w:tr>
      <w:tr w14:paraId="2DF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835FB49">
            <w:pPr>
              <w:spacing w:line="360" w:lineRule="auto"/>
              <w:jc w:val="center"/>
              <w:rPr>
                <w:rFonts w:ascii="宋体" w:hAnsi="宋体" w:cs="宋体"/>
                <w:color w:val="auto"/>
                <w:sz w:val="22"/>
                <w:highlight w:val="none"/>
              </w:rPr>
            </w:pPr>
          </w:p>
        </w:tc>
        <w:tc>
          <w:tcPr>
            <w:tcW w:w="939" w:type="dxa"/>
            <w:vAlign w:val="center"/>
          </w:tcPr>
          <w:p w14:paraId="1BE524A9">
            <w:pPr>
              <w:spacing w:line="360" w:lineRule="auto"/>
              <w:jc w:val="center"/>
              <w:rPr>
                <w:rFonts w:ascii="宋体" w:hAnsi="宋体" w:cs="宋体"/>
                <w:color w:val="auto"/>
                <w:sz w:val="22"/>
                <w:highlight w:val="none"/>
              </w:rPr>
            </w:pPr>
          </w:p>
        </w:tc>
        <w:tc>
          <w:tcPr>
            <w:tcW w:w="904" w:type="dxa"/>
            <w:vAlign w:val="center"/>
          </w:tcPr>
          <w:p w14:paraId="2BFBB13D">
            <w:pPr>
              <w:spacing w:line="360" w:lineRule="auto"/>
              <w:jc w:val="center"/>
              <w:rPr>
                <w:rFonts w:ascii="宋体" w:hAnsi="宋体" w:cs="宋体"/>
                <w:color w:val="auto"/>
                <w:sz w:val="22"/>
                <w:highlight w:val="none"/>
              </w:rPr>
            </w:pPr>
          </w:p>
        </w:tc>
        <w:tc>
          <w:tcPr>
            <w:tcW w:w="1484" w:type="dxa"/>
            <w:vAlign w:val="center"/>
          </w:tcPr>
          <w:p w14:paraId="1CE72422">
            <w:pPr>
              <w:spacing w:line="360" w:lineRule="auto"/>
              <w:jc w:val="center"/>
              <w:rPr>
                <w:rFonts w:ascii="宋体" w:hAnsi="宋体" w:cs="宋体"/>
                <w:color w:val="auto"/>
                <w:sz w:val="22"/>
                <w:highlight w:val="none"/>
              </w:rPr>
            </w:pPr>
          </w:p>
          <w:bookmarkEnd w:id="228"/>
          <w:bookmarkEnd w:id="229"/>
          <w:bookmarkEnd w:id="230"/>
        </w:tc>
        <w:tc>
          <w:tcPr>
            <w:tcW w:w="1885" w:type="dxa"/>
            <w:vAlign w:val="center"/>
          </w:tcPr>
          <w:p w14:paraId="03082836">
            <w:pPr>
              <w:spacing w:line="360" w:lineRule="auto"/>
              <w:jc w:val="center"/>
              <w:rPr>
                <w:rFonts w:ascii="宋体" w:hAnsi="宋体" w:cs="宋体"/>
                <w:color w:val="auto"/>
                <w:sz w:val="22"/>
                <w:highlight w:val="none"/>
              </w:rPr>
            </w:pPr>
          </w:p>
          <w:bookmarkEnd w:id="231"/>
          <w:bookmarkEnd w:id="232"/>
          <w:bookmarkEnd w:id="233"/>
          <w:bookmarkEnd w:id="234"/>
          <w:bookmarkEnd w:id="235"/>
          <w:bookmarkEnd w:id="236"/>
          <w:bookmarkEnd w:id="237"/>
          <w:bookmarkEnd w:id="238"/>
        </w:tc>
        <w:tc>
          <w:tcPr>
            <w:tcW w:w="883" w:type="dxa"/>
            <w:vAlign w:val="center"/>
          </w:tcPr>
          <w:p w14:paraId="6EDF73F7">
            <w:pPr>
              <w:spacing w:line="360" w:lineRule="auto"/>
              <w:jc w:val="center"/>
              <w:rPr>
                <w:rFonts w:ascii="宋体" w:hAnsi="宋体" w:cs="宋体"/>
                <w:color w:val="auto"/>
                <w:sz w:val="22"/>
                <w:highlight w:val="none"/>
              </w:rPr>
            </w:pPr>
          </w:p>
        </w:tc>
        <w:tc>
          <w:tcPr>
            <w:tcW w:w="992" w:type="dxa"/>
            <w:vAlign w:val="center"/>
          </w:tcPr>
          <w:p w14:paraId="395F3E2F">
            <w:pPr>
              <w:spacing w:line="360" w:lineRule="auto"/>
              <w:jc w:val="center"/>
              <w:rPr>
                <w:rFonts w:ascii="宋体" w:hAnsi="宋体" w:cs="宋体"/>
                <w:color w:val="auto"/>
                <w:sz w:val="22"/>
                <w:highlight w:val="none"/>
              </w:rPr>
            </w:pPr>
          </w:p>
        </w:tc>
        <w:tc>
          <w:tcPr>
            <w:tcW w:w="1276" w:type="dxa"/>
            <w:vAlign w:val="center"/>
          </w:tcPr>
          <w:p w14:paraId="0B7D53B0">
            <w:pPr>
              <w:spacing w:line="360" w:lineRule="auto"/>
              <w:jc w:val="center"/>
              <w:rPr>
                <w:rFonts w:ascii="宋体" w:hAnsi="宋体" w:cs="宋体"/>
                <w:color w:val="auto"/>
                <w:sz w:val="22"/>
                <w:highlight w:val="none"/>
              </w:rPr>
            </w:pPr>
          </w:p>
        </w:tc>
      </w:tr>
      <w:tr w14:paraId="795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E84481C">
            <w:pPr>
              <w:spacing w:line="360" w:lineRule="auto"/>
              <w:jc w:val="center"/>
              <w:rPr>
                <w:rFonts w:ascii="宋体" w:hAnsi="宋体" w:cs="宋体"/>
                <w:color w:val="auto"/>
                <w:sz w:val="22"/>
                <w:highlight w:val="none"/>
              </w:rPr>
            </w:pPr>
          </w:p>
        </w:tc>
        <w:tc>
          <w:tcPr>
            <w:tcW w:w="939" w:type="dxa"/>
            <w:vAlign w:val="center"/>
          </w:tcPr>
          <w:p w14:paraId="6585C940">
            <w:pPr>
              <w:spacing w:line="360" w:lineRule="auto"/>
              <w:jc w:val="center"/>
              <w:rPr>
                <w:rFonts w:ascii="宋体" w:hAnsi="宋体" w:cs="宋体"/>
                <w:color w:val="auto"/>
                <w:sz w:val="22"/>
                <w:highlight w:val="none"/>
              </w:rPr>
            </w:pPr>
          </w:p>
        </w:tc>
        <w:tc>
          <w:tcPr>
            <w:tcW w:w="904" w:type="dxa"/>
            <w:vAlign w:val="center"/>
          </w:tcPr>
          <w:p w14:paraId="59753254">
            <w:pPr>
              <w:spacing w:line="360" w:lineRule="auto"/>
              <w:jc w:val="center"/>
              <w:rPr>
                <w:rFonts w:ascii="宋体" w:hAnsi="宋体" w:cs="宋体"/>
                <w:color w:val="auto"/>
                <w:sz w:val="22"/>
                <w:highlight w:val="none"/>
              </w:rPr>
            </w:pPr>
          </w:p>
        </w:tc>
        <w:tc>
          <w:tcPr>
            <w:tcW w:w="1484" w:type="dxa"/>
            <w:vAlign w:val="center"/>
          </w:tcPr>
          <w:p w14:paraId="2E7C2795">
            <w:pPr>
              <w:spacing w:line="360" w:lineRule="auto"/>
              <w:jc w:val="center"/>
              <w:rPr>
                <w:rFonts w:ascii="宋体" w:hAnsi="宋体" w:cs="宋体"/>
                <w:color w:val="auto"/>
                <w:sz w:val="22"/>
                <w:highlight w:val="none"/>
              </w:rPr>
            </w:pPr>
          </w:p>
        </w:tc>
        <w:tc>
          <w:tcPr>
            <w:tcW w:w="1885" w:type="dxa"/>
            <w:vAlign w:val="center"/>
          </w:tcPr>
          <w:p w14:paraId="35816DD6">
            <w:pPr>
              <w:spacing w:line="360" w:lineRule="auto"/>
              <w:jc w:val="center"/>
              <w:rPr>
                <w:rFonts w:ascii="宋体" w:hAnsi="宋体" w:cs="宋体"/>
                <w:color w:val="auto"/>
                <w:sz w:val="22"/>
                <w:highlight w:val="none"/>
              </w:rPr>
            </w:pPr>
          </w:p>
        </w:tc>
        <w:tc>
          <w:tcPr>
            <w:tcW w:w="883" w:type="dxa"/>
            <w:vAlign w:val="center"/>
          </w:tcPr>
          <w:p w14:paraId="45C7901D">
            <w:pPr>
              <w:spacing w:line="360" w:lineRule="auto"/>
              <w:jc w:val="center"/>
              <w:rPr>
                <w:rFonts w:ascii="宋体" w:hAnsi="宋体" w:cs="宋体"/>
                <w:color w:val="auto"/>
                <w:sz w:val="22"/>
                <w:highlight w:val="none"/>
              </w:rPr>
            </w:pPr>
          </w:p>
        </w:tc>
        <w:tc>
          <w:tcPr>
            <w:tcW w:w="992" w:type="dxa"/>
            <w:vAlign w:val="center"/>
          </w:tcPr>
          <w:p w14:paraId="0BB7BF9E">
            <w:pPr>
              <w:spacing w:line="360" w:lineRule="auto"/>
              <w:jc w:val="center"/>
              <w:rPr>
                <w:rFonts w:ascii="宋体" w:hAnsi="宋体" w:cs="宋体"/>
                <w:color w:val="auto"/>
                <w:sz w:val="22"/>
                <w:highlight w:val="none"/>
              </w:rPr>
            </w:pPr>
          </w:p>
        </w:tc>
        <w:tc>
          <w:tcPr>
            <w:tcW w:w="1276" w:type="dxa"/>
            <w:vAlign w:val="center"/>
          </w:tcPr>
          <w:p w14:paraId="0F3A6B76">
            <w:pPr>
              <w:spacing w:line="360" w:lineRule="auto"/>
              <w:jc w:val="center"/>
              <w:rPr>
                <w:rFonts w:ascii="宋体" w:hAnsi="宋体" w:cs="宋体"/>
                <w:color w:val="auto"/>
                <w:sz w:val="22"/>
                <w:highlight w:val="none"/>
              </w:rPr>
            </w:pPr>
          </w:p>
        </w:tc>
      </w:tr>
      <w:tr w14:paraId="31AF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E51927F">
            <w:pPr>
              <w:spacing w:line="360" w:lineRule="auto"/>
              <w:jc w:val="center"/>
              <w:rPr>
                <w:rFonts w:ascii="宋体" w:hAnsi="宋体" w:cs="宋体"/>
                <w:color w:val="auto"/>
                <w:sz w:val="22"/>
                <w:highlight w:val="none"/>
              </w:rPr>
            </w:pPr>
          </w:p>
        </w:tc>
        <w:tc>
          <w:tcPr>
            <w:tcW w:w="939" w:type="dxa"/>
            <w:vAlign w:val="center"/>
          </w:tcPr>
          <w:p w14:paraId="60EC0745">
            <w:pPr>
              <w:spacing w:line="360" w:lineRule="auto"/>
              <w:jc w:val="center"/>
              <w:rPr>
                <w:rFonts w:ascii="宋体" w:hAnsi="宋体" w:cs="宋体"/>
                <w:color w:val="auto"/>
                <w:sz w:val="22"/>
                <w:highlight w:val="none"/>
              </w:rPr>
            </w:pPr>
          </w:p>
        </w:tc>
        <w:tc>
          <w:tcPr>
            <w:tcW w:w="904" w:type="dxa"/>
            <w:vAlign w:val="center"/>
          </w:tcPr>
          <w:p w14:paraId="0A0DE6D0">
            <w:pPr>
              <w:spacing w:line="360" w:lineRule="auto"/>
              <w:jc w:val="center"/>
              <w:rPr>
                <w:rFonts w:ascii="宋体" w:hAnsi="宋体" w:cs="宋体"/>
                <w:color w:val="auto"/>
                <w:sz w:val="22"/>
                <w:highlight w:val="none"/>
              </w:rPr>
            </w:pPr>
          </w:p>
        </w:tc>
        <w:tc>
          <w:tcPr>
            <w:tcW w:w="1484" w:type="dxa"/>
            <w:vAlign w:val="center"/>
          </w:tcPr>
          <w:p w14:paraId="31CF74AA">
            <w:pPr>
              <w:spacing w:line="360" w:lineRule="auto"/>
              <w:jc w:val="center"/>
              <w:rPr>
                <w:rFonts w:ascii="宋体" w:hAnsi="宋体" w:cs="宋体"/>
                <w:color w:val="auto"/>
                <w:sz w:val="22"/>
                <w:highlight w:val="none"/>
              </w:rPr>
            </w:pPr>
          </w:p>
        </w:tc>
        <w:tc>
          <w:tcPr>
            <w:tcW w:w="1885" w:type="dxa"/>
            <w:vAlign w:val="center"/>
          </w:tcPr>
          <w:p w14:paraId="4AE9EF5A">
            <w:pPr>
              <w:spacing w:line="360" w:lineRule="auto"/>
              <w:jc w:val="center"/>
              <w:rPr>
                <w:rFonts w:ascii="宋体" w:hAnsi="宋体" w:cs="宋体"/>
                <w:color w:val="auto"/>
                <w:sz w:val="22"/>
                <w:highlight w:val="none"/>
              </w:rPr>
            </w:pPr>
          </w:p>
        </w:tc>
        <w:tc>
          <w:tcPr>
            <w:tcW w:w="883" w:type="dxa"/>
            <w:vAlign w:val="center"/>
          </w:tcPr>
          <w:p w14:paraId="0A38EA77">
            <w:pPr>
              <w:spacing w:line="360" w:lineRule="auto"/>
              <w:jc w:val="center"/>
              <w:rPr>
                <w:rFonts w:ascii="宋体" w:hAnsi="宋体" w:cs="宋体"/>
                <w:color w:val="auto"/>
                <w:sz w:val="22"/>
                <w:highlight w:val="none"/>
              </w:rPr>
            </w:pPr>
          </w:p>
        </w:tc>
        <w:tc>
          <w:tcPr>
            <w:tcW w:w="992" w:type="dxa"/>
            <w:vAlign w:val="center"/>
          </w:tcPr>
          <w:p w14:paraId="1F0988BC">
            <w:pPr>
              <w:spacing w:line="360" w:lineRule="auto"/>
              <w:jc w:val="center"/>
              <w:rPr>
                <w:rFonts w:ascii="宋体" w:hAnsi="宋体" w:cs="宋体"/>
                <w:color w:val="auto"/>
                <w:sz w:val="22"/>
                <w:highlight w:val="none"/>
              </w:rPr>
            </w:pPr>
          </w:p>
        </w:tc>
        <w:tc>
          <w:tcPr>
            <w:tcW w:w="1276" w:type="dxa"/>
            <w:vAlign w:val="center"/>
          </w:tcPr>
          <w:p w14:paraId="7AC0CCDA">
            <w:pPr>
              <w:spacing w:line="360" w:lineRule="auto"/>
              <w:jc w:val="center"/>
              <w:rPr>
                <w:rFonts w:ascii="宋体" w:hAnsi="宋体" w:cs="宋体"/>
                <w:color w:val="auto"/>
                <w:sz w:val="22"/>
                <w:highlight w:val="none"/>
              </w:rPr>
            </w:pPr>
          </w:p>
        </w:tc>
      </w:tr>
      <w:tr w14:paraId="1F8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65A2E40">
            <w:pPr>
              <w:spacing w:line="360" w:lineRule="auto"/>
              <w:jc w:val="center"/>
              <w:rPr>
                <w:rFonts w:ascii="宋体" w:hAnsi="宋体" w:cs="宋体"/>
                <w:color w:val="auto"/>
                <w:sz w:val="22"/>
                <w:highlight w:val="none"/>
              </w:rPr>
            </w:pPr>
          </w:p>
        </w:tc>
        <w:tc>
          <w:tcPr>
            <w:tcW w:w="939" w:type="dxa"/>
            <w:vAlign w:val="center"/>
          </w:tcPr>
          <w:p w14:paraId="249B8E9E">
            <w:pPr>
              <w:spacing w:line="360" w:lineRule="auto"/>
              <w:jc w:val="center"/>
              <w:rPr>
                <w:rFonts w:ascii="宋体" w:hAnsi="宋体" w:cs="宋体"/>
                <w:color w:val="auto"/>
                <w:sz w:val="22"/>
                <w:highlight w:val="none"/>
              </w:rPr>
            </w:pPr>
          </w:p>
        </w:tc>
        <w:tc>
          <w:tcPr>
            <w:tcW w:w="904" w:type="dxa"/>
            <w:vAlign w:val="center"/>
          </w:tcPr>
          <w:p w14:paraId="4A26B9EA">
            <w:pPr>
              <w:spacing w:line="360" w:lineRule="auto"/>
              <w:jc w:val="center"/>
              <w:rPr>
                <w:rFonts w:ascii="宋体" w:hAnsi="宋体" w:cs="宋体"/>
                <w:color w:val="auto"/>
                <w:sz w:val="22"/>
                <w:highlight w:val="none"/>
              </w:rPr>
            </w:pPr>
          </w:p>
        </w:tc>
        <w:tc>
          <w:tcPr>
            <w:tcW w:w="1484" w:type="dxa"/>
            <w:vAlign w:val="center"/>
          </w:tcPr>
          <w:p w14:paraId="78731F05">
            <w:pPr>
              <w:spacing w:line="360" w:lineRule="auto"/>
              <w:jc w:val="center"/>
              <w:rPr>
                <w:rFonts w:ascii="宋体" w:hAnsi="宋体" w:cs="宋体"/>
                <w:color w:val="auto"/>
                <w:sz w:val="22"/>
                <w:highlight w:val="none"/>
              </w:rPr>
            </w:pPr>
          </w:p>
        </w:tc>
        <w:tc>
          <w:tcPr>
            <w:tcW w:w="1885" w:type="dxa"/>
            <w:vAlign w:val="center"/>
          </w:tcPr>
          <w:p w14:paraId="478A1743">
            <w:pPr>
              <w:spacing w:line="360" w:lineRule="auto"/>
              <w:jc w:val="center"/>
              <w:rPr>
                <w:rFonts w:ascii="宋体" w:hAnsi="宋体" w:cs="宋体"/>
                <w:color w:val="auto"/>
                <w:sz w:val="22"/>
                <w:highlight w:val="none"/>
              </w:rPr>
            </w:pPr>
          </w:p>
        </w:tc>
        <w:tc>
          <w:tcPr>
            <w:tcW w:w="883" w:type="dxa"/>
            <w:vAlign w:val="center"/>
          </w:tcPr>
          <w:p w14:paraId="01B7FD6F">
            <w:pPr>
              <w:spacing w:line="360" w:lineRule="auto"/>
              <w:jc w:val="center"/>
              <w:rPr>
                <w:rFonts w:ascii="宋体" w:hAnsi="宋体" w:cs="宋体"/>
                <w:color w:val="auto"/>
                <w:sz w:val="22"/>
                <w:highlight w:val="none"/>
              </w:rPr>
            </w:pPr>
          </w:p>
        </w:tc>
        <w:tc>
          <w:tcPr>
            <w:tcW w:w="992" w:type="dxa"/>
            <w:vAlign w:val="center"/>
          </w:tcPr>
          <w:p w14:paraId="6B6F2B01">
            <w:pPr>
              <w:spacing w:line="360" w:lineRule="auto"/>
              <w:jc w:val="center"/>
              <w:rPr>
                <w:rFonts w:ascii="宋体" w:hAnsi="宋体" w:cs="宋体"/>
                <w:color w:val="auto"/>
                <w:sz w:val="22"/>
                <w:highlight w:val="none"/>
              </w:rPr>
            </w:pPr>
          </w:p>
        </w:tc>
        <w:tc>
          <w:tcPr>
            <w:tcW w:w="1276" w:type="dxa"/>
            <w:vAlign w:val="center"/>
          </w:tcPr>
          <w:p w14:paraId="69B36F9C">
            <w:pPr>
              <w:spacing w:line="360" w:lineRule="auto"/>
              <w:jc w:val="center"/>
              <w:rPr>
                <w:rFonts w:ascii="宋体" w:hAnsi="宋体" w:cs="宋体"/>
                <w:color w:val="auto"/>
                <w:sz w:val="22"/>
                <w:highlight w:val="none"/>
              </w:rPr>
            </w:pPr>
          </w:p>
        </w:tc>
      </w:tr>
      <w:tr w14:paraId="2DD4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7DC86BE">
            <w:pPr>
              <w:spacing w:line="360" w:lineRule="auto"/>
              <w:jc w:val="center"/>
              <w:rPr>
                <w:rFonts w:ascii="宋体" w:hAnsi="宋体" w:cs="宋体"/>
                <w:color w:val="auto"/>
                <w:sz w:val="22"/>
                <w:highlight w:val="none"/>
              </w:rPr>
            </w:pPr>
          </w:p>
        </w:tc>
        <w:tc>
          <w:tcPr>
            <w:tcW w:w="939" w:type="dxa"/>
            <w:vAlign w:val="center"/>
          </w:tcPr>
          <w:p w14:paraId="32DE6B79">
            <w:pPr>
              <w:spacing w:line="360" w:lineRule="auto"/>
              <w:jc w:val="center"/>
              <w:rPr>
                <w:rFonts w:ascii="宋体" w:hAnsi="宋体" w:cs="宋体"/>
                <w:color w:val="auto"/>
                <w:sz w:val="22"/>
                <w:highlight w:val="none"/>
              </w:rPr>
            </w:pPr>
          </w:p>
        </w:tc>
        <w:tc>
          <w:tcPr>
            <w:tcW w:w="904" w:type="dxa"/>
            <w:vAlign w:val="center"/>
          </w:tcPr>
          <w:p w14:paraId="27A731D5">
            <w:pPr>
              <w:spacing w:line="360" w:lineRule="auto"/>
              <w:jc w:val="center"/>
              <w:rPr>
                <w:rFonts w:ascii="宋体" w:hAnsi="宋体" w:cs="宋体"/>
                <w:color w:val="auto"/>
                <w:sz w:val="22"/>
                <w:highlight w:val="none"/>
              </w:rPr>
            </w:pPr>
          </w:p>
        </w:tc>
        <w:tc>
          <w:tcPr>
            <w:tcW w:w="1484" w:type="dxa"/>
            <w:vAlign w:val="center"/>
          </w:tcPr>
          <w:p w14:paraId="71BE37E7">
            <w:pPr>
              <w:spacing w:line="360" w:lineRule="auto"/>
              <w:jc w:val="center"/>
              <w:rPr>
                <w:rFonts w:ascii="宋体" w:hAnsi="宋体" w:cs="宋体"/>
                <w:color w:val="auto"/>
                <w:sz w:val="22"/>
                <w:highlight w:val="none"/>
              </w:rPr>
            </w:pPr>
          </w:p>
        </w:tc>
        <w:tc>
          <w:tcPr>
            <w:tcW w:w="1885" w:type="dxa"/>
            <w:vAlign w:val="center"/>
          </w:tcPr>
          <w:p w14:paraId="78C4EBC1">
            <w:pPr>
              <w:spacing w:line="360" w:lineRule="auto"/>
              <w:jc w:val="center"/>
              <w:rPr>
                <w:rFonts w:ascii="宋体" w:hAnsi="宋体" w:cs="宋体"/>
                <w:color w:val="auto"/>
                <w:sz w:val="22"/>
                <w:highlight w:val="none"/>
              </w:rPr>
            </w:pPr>
          </w:p>
        </w:tc>
        <w:tc>
          <w:tcPr>
            <w:tcW w:w="883" w:type="dxa"/>
            <w:vAlign w:val="center"/>
          </w:tcPr>
          <w:p w14:paraId="25ACBA57">
            <w:pPr>
              <w:spacing w:line="360" w:lineRule="auto"/>
              <w:jc w:val="center"/>
              <w:rPr>
                <w:rFonts w:ascii="宋体" w:hAnsi="宋体" w:cs="宋体"/>
                <w:color w:val="auto"/>
                <w:sz w:val="22"/>
                <w:highlight w:val="none"/>
              </w:rPr>
            </w:pPr>
          </w:p>
        </w:tc>
        <w:tc>
          <w:tcPr>
            <w:tcW w:w="992" w:type="dxa"/>
            <w:vAlign w:val="center"/>
          </w:tcPr>
          <w:p w14:paraId="7F234ED8">
            <w:pPr>
              <w:spacing w:line="360" w:lineRule="auto"/>
              <w:jc w:val="center"/>
              <w:rPr>
                <w:rFonts w:ascii="宋体" w:hAnsi="宋体" w:cs="宋体"/>
                <w:color w:val="auto"/>
                <w:sz w:val="22"/>
                <w:highlight w:val="none"/>
              </w:rPr>
            </w:pPr>
          </w:p>
        </w:tc>
        <w:tc>
          <w:tcPr>
            <w:tcW w:w="1276" w:type="dxa"/>
            <w:vAlign w:val="center"/>
          </w:tcPr>
          <w:p w14:paraId="6B6898D5">
            <w:pPr>
              <w:spacing w:line="360" w:lineRule="auto"/>
              <w:jc w:val="center"/>
              <w:rPr>
                <w:rFonts w:ascii="宋体" w:hAnsi="宋体" w:cs="宋体"/>
                <w:color w:val="auto"/>
                <w:sz w:val="22"/>
                <w:highlight w:val="none"/>
              </w:rPr>
            </w:pPr>
          </w:p>
        </w:tc>
      </w:tr>
      <w:tr w14:paraId="29B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25611D7">
            <w:pPr>
              <w:spacing w:line="360" w:lineRule="auto"/>
              <w:jc w:val="center"/>
              <w:rPr>
                <w:rFonts w:ascii="宋体" w:hAnsi="宋体" w:cs="宋体"/>
                <w:color w:val="auto"/>
                <w:sz w:val="22"/>
                <w:highlight w:val="none"/>
              </w:rPr>
            </w:pPr>
          </w:p>
        </w:tc>
        <w:tc>
          <w:tcPr>
            <w:tcW w:w="939" w:type="dxa"/>
            <w:vAlign w:val="center"/>
          </w:tcPr>
          <w:p w14:paraId="10C1AB3D">
            <w:pPr>
              <w:spacing w:line="360" w:lineRule="auto"/>
              <w:jc w:val="center"/>
              <w:rPr>
                <w:rFonts w:ascii="宋体" w:hAnsi="宋体" w:cs="宋体"/>
                <w:color w:val="auto"/>
                <w:sz w:val="22"/>
                <w:highlight w:val="none"/>
              </w:rPr>
            </w:pPr>
          </w:p>
        </w:tc>
        <w:tc>
          <w:tcPr>
            <w:tcW w:w="904" w:type="dxa"/>
            <w:vAlign w:val="center"/>
          </w:tcPr>
          <w:p w14:paraId="164FA161">
            <w:pPr>
              <w:spacing w:line="360" w:lineRule="auto"/>
              <w:jc w:val="center"/>
              <w:rPr>
                <w:rFonts w:ascii="宋体" w:hAnsi="宋体" w:cs="宋体"/>
                <w:color w:val="auto"/>
                <w:sz w:val="22"/>
                <w:highlight w:val="none"/>
              </w:rPr>
            </w:pPr>
          </w:p>
        </w:tc>
        <w:tc>
          <w:tcPr>
            <w:tcW w:w="1484" w:type="dxa"/>
            <w:vAlign w:val="center"/>
          </w:tcPr>
          <w:p w14:paraId="71AA7F40">
            <w:pPr>
              <w:spacing w:line="360" w:lineRule="auto"/>
              <w:jc w:val="center"/>
              <w:rPr>
                <w:rFonts w:ascii="宋体" w:hAnsi="宋体" w:cs="宋体"/>
                <w:color w:val="auto"/>
                <w:sz w:val="22"/>
                <w:highlight w:val="none"/>
              </w:rPr>
            </w:pPr>
          </w:p>
        </w:tc>
        <w:tc>
          <w:tcPr>
            <w:tcW w:w="1885" w:type="dxa"/>
            <w:vAlign w:val="center"/>
          </w:tcPr>
          <w:p w14:paraId="4718BD3A">
            <w:pPr>
              <w:spacing w:line="360" w:lineRule="auto"/>
              <w:jc w:val="center"/>
              <w:rPr>
                <w:rFonts w:ascii="宋体" w:hAnsi="宋体" w:cs="宋体"/>
                <w:color w:val="auto"/>
                <w:sz w:val="22"/>
                <w:highlight w:val="none"/>
              </w:rPr>
            </w:pPr>
          </w:p>
        </w:tc>
        <w:tc>
          <w:tcPr>
            <w:tcW w:w="883" w:type="dxa"/>
            <w:vAlign w:val="center"/>
          </w:tcPr>
          <w:p w14:paraId="5534B323">
            <w:pPr>
              <w:spacing w:line="360" w:lineRule="auto"/>
              <w:jc w:val="center"/>
              <w:rPr>
                <w:rFonts w:ascii="宋体" w:hAnsi="宋体" w:cs="宋体"/>
                <w:color w:val="auto"/>
                <w:sz w:val="22"/>
                <w:highlight w:val="none"/>
              </w:rPr>
            </w:pPr>
          </w:p>
        </w:tc>
        <w:tc>
          <w:tcPr>
            <w:tcW w:w="992" w:type="dxa"/>
            <w:vAlign w:val="center"/>
          </w:tcPr>
          <w:p w14:paraId="27FC499E">
            <w:pPr>
              <w:spacing w:line="360" w:lineRule="auto"/>
              <w:jc w:val="center"/>
              <w:rPr>
                <w:rFonts w:ascii="宋体" w:hAnsi="宋体" w:cs="宋体"/>
                <w:color w:val="auto"/>
                <w:sz w:val="22"/>
                <w:highlight w:val="none"/>
              </w:rPr>
            </w:pPr>
          </w:p>
        </w:tc>
        <w:tc>
          <w:tcPr>
            <w:tcW w:w="1276" w:type="dxa"/>
            <w:vAlign w:val="center"/>
          </w:tcPr>
          <w:p w14:paraId="6F68CD7A">
            <w:pPr>
              <w:spacing w:line="360" w:lineRule="auto"/>
              <w:jc w:val="center"/>
              <w:rPr>
                <w:rFonts w:ascii="宋体" w:hAnsi="宋体" w:cs="宋体"/>
                <w:color w:val="auto"/>
                <w:sz w:val="22"/>
                <w:highlight w:val="none"/>
              </w:rPr>
            </w:pPr>
          </w:p>
        </w:tc>
      </w:tr>
      <w:tr w14:paraId="053F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1734E07">
            <w:pPr>
              <w:spacing w:line="360" w:lineRule="auto"/>
              <w:jc w:val="center"/>
              <w:rPr>
                <w:rFonts w:ascii="宋体" w:hAnsi="宋体" w:cs="宋体"/>
                <w:color w:val="auto"/>
                <w:sz w:val="22"/>
                <w:highlight w:val="none"/>
              </w:rPr>
            </w:pPr>
          </w:p>
        </w:tc>
        <w:tc>
          <w:tcPr>
            <w:tcW w:w="939" w:type="dxa"/>
            <w:vAlign w:val="center"/>
          </w:tcPr>
          <w:p w14:paraId="41E01FD0">
            <w:pPr>
              <w:spacing w:line="360" w:lineRule="auto"/>
              <w:jc w:val="center"/>
              <w:rPr>
                <w:rFonts w:ascii="宋体" w:hAnsi="宋体" w:cs="宋体"/>
                <w:color w:val="auto"/>
                <w:sz w:val="22"/>
                <w:highlight w:val="none"/>
              </w:rPr>
            </w:pPr>
          </w:p>
        </w:tc>
        <w:tc>
          <w:tcPr>
            <w:tcW w:w="904" w:type="dxa"/>
            <w:vAlign w:val="center"/>
          </w:tcPr>
          <w:p w14:paraId="1894CAD8">
            <w:pPr>
              <w:spacing w:line="360" w:lineRule="auto"/>
              <w:jc w:val="center"/>
              <w:rPr>
                <w:rFonts w:ascii="宋体" w:hAnsi="宋体" w:cs="宋体"/>
                <w:color w:val="auto"/>
                <w:sz w:val="22"/>
                <w:highlight w:val="none"/>
              </w:rPr>
            </w:pPr>
          </w:p>
        </w:tc>
        <w:tc>
          <w:tcPr>
            <w:tcW w:w="1484" w:type="dxa"/>
            <w:vAlign w:val="center"/>
          </w:tcPr>
          <w:p w14:paraId="1B975A45">
            <w:pPr>
              <w:spacing w:line="360" w:lineRule="auto"/>
              <w:jc w:val="center"/>
              <w:rPr>
                <w:rFonts w:ascii="宋体" w:hAnsi="宋体" w:cs="宋体"/>
                <w:color w:val="auto"/>
                <w:sz w:val="22"/>
                <w:highlight w:val="none"/>
              </w:rPr>
            </w:pPr>
          </w:p>
        </w:tc>
        <w:tc>
          <w:tcPr>
            <w:tcW w:w="1885" w:type="dxa"/>
            <w:vAlign w:val="center"/>
          </w:tcPr>
          <w:p w14:paraId="5A5CD624">
            <w:pPr>
              <w:spacing w:line="360" w:lineRule="auto"/>
              <w:jc w:val="center"/>
              <w:rPr>
                <w:rFonts w:ascii="宋体" w:hAnsi="宋体" w:cs="宋体"/>
                <w:color w:val="auto"/>
                <w:sz w:val="22"/>
                <w:highlight w:val="none"/>
              </w:rPr>
            </w:pPr>
          </w:p>
        </w:tc>
        <w:tc>
          <w:tcPr>
            <w:tcW w:w="883" w:type="dxa"/>
            <w:vAlign w:val="center"/>
          </w:tcPr>
          <w:p w14:paraId="3D0E0CF7">
            <w:pPr>
              <w:spacing w:line="360" w:lineRule="auto"/>
              <w:jc w:val="center"/>
              <w:rPr>
                <w:rFonts w:ascii="宋体" w:hAnsi="宋体" w:cs="宋体"/>
                <w:color w:val="auto"/>
                <w:sz w:val="22"/>
                <w:highlight w:val="none"/>
              </w:rPr>
            </w:pPr>
          </w:p>
        </w:tc>
        <w:tc>
          <w:tcPr>
            <w:tcW w:w="992" w:type="dxa"/>
            <w:vAlign w:val="center"/>
          </w:tcPr>
          <w:p w14:paraId="7714A94B">
            <w:pPr>
              <w:spacing w:line="360" w:lineRule="auto"/>
              <w:jc w:val="center"/>
              <w:rPr>
                <w:rFonts w:ascii="宋体" w:hAnsi="宋体" w:cs="宋体"/>
                <w:color w:val="auto"/>
                <w:sz w:val="22"/>
                <w:highlight w:val="none"/>
              </w:rPr>
            </w:pPr>
          </w:p>
        </w:tc>
        <w:tc>
          <w:tcPr>
            <w:tcW w:w="1276" w:type="dxa"/>
            <w:vAlign w:val="center"/>
          </w:tcPr>
          <w:p w14:paraId="0CDBD860">
            <w:pPr>
              <w:spacing w:line="360" w:lineRule="auto"/>
              <w:jc w:val="center"/>
              <w:rPr>
                <w:rFonts w:ascii="宋体" w:hAnsi="宋体" w:cs="宋体"/>
                <w:color w:val="auto"/>
                <w:sz w:val="22"/>
                <w:highlight w:val="none"/>
              </w:rPr>
            </w:pPr>
          </w:p>
        </w:tc>
      </w:tr>
      <w:tr w14:paraId="49B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261A928">
            <w:pPr>
              <w:spacing w:line="360" w:lineRule="auto"/>
              <w:jc w:val="center"/>
              <w:rPr>
                <w:rFonts w:ascii="宋体" w:hAnsi="宋体" w:cs="宋体"/>
                <w:color w:val="auto"/>
                <w:sz w:val="22"/>
                <w:highlight w:val="none"/>
              </w:rPr>
            </w:pPr>
          </w:p>
        </w:tc>
        <w:tc>
          <w:tcPr>
            <w:tcW w:w="939" w:type="dxa"/>
            <w:vAlign w:val="center"/>
          </w:tcPr>
          <w:p w14:paraId="153483A0">
            <w:pPr>
              <w:spacing w:line="360" w:lineRule="auto"/>
              <w:jc w:val="center"/>
              <w:rPr>
                <w:rFonts w:ascii="宋体" w:hAnsi="宋体" w:cs="宋体"/>
                <w:color w:val="auto"/>
                <w:sz w:val="22"/>
                <w:highlight w:val="none"/>
              </w:rPr>
            </w:pPr>
          </w:p>
        </w:tc>
        <w:tc>
          <w:tcPr>
            <w:tcW w:w="904" w:type="dxa"/>
            <w:vAlign w:val="center"/>
          </w:tcPr>
          <w:p w14:paraId="0899794E">
            <w:pPr>
              <w:spacing w:line="360" w:lineRule="auto"/>
              <w:jc w:val="center"/>
              <w:rPr>
                <w:rFonts w:ascii="宋体" w:hAnsi="宋体" w:cs="宋体"/>
                <w:color w:val="auto"/>
                <w:sz w:val="22"/>
                <w:highlight w:val="none"/>
              </w:rPr>
            </w:pPr>
          </w:p>
        </w:tc>
        <w:tc>
          <w:tcPr>
            <w:tcW w:w="1484" w:type="dxa"/>
            <w:vAlign w:val="center"/>
          </w:tcPr>
          <w:p w14:paraId="6C81080D">
            <w:pPr>
              <w:spacing w:line="360" w:lineRule="auto"/>
              <w:jc w:val="center"/>
              <w:rPr>
                <w:rFonts w:ascii="宋体" w:hAnsi="宋体" w:cs="宋体"/>
                <w:color w:val="auto"/>
                <w:sz w:val="22"/>
                <w:highlight w:val="none"/>
              </w:rPr>
            </w:pPr>
          </w:p>
        </w:tc>
        <w:tc>
          <w:tcPr>
            <w:tcW w:w="1885" w:type="dxa"/>
            <w:vAlign w:val="center"/>
          </w:tcPr>
          <w:p w14:paraId="4714266E">
            <w:pPr>
              <w:spacing w:line="360" w:lineRule="auto"/>
              <w:jc w:val="center"/>
              <w:rPr>
                <w:rFonts w:ascii="宋体" w:hAnsi="宋体" w:cs="宋体"/>
                <w:color w:val="auto"/>
                <w:sz w:val="22"/>
                <w:highlight w:val="none"/>
              </w:rPr>
            </w:pPr>
          </w:p>
        </w:tc>
        <w:tc>
          <w:tcPr>
            <w:tcW w:w="883" w:type="dxa"/>
            <w:vAlign w:val="center"/>
          </w:tcPr>
          <w:p w14:paraId="66A5F7C1">
            <w:pPr>
              <w:spacing w:line="360" w:lineRule="auto"/>
              <w:jc w:val="center"/>
              <w:rPr>
                <w:rFonts w:ascii="宋体" w:hAnsi="宋体" w:cs="宋体"/>
                <w:color w:val="auto"/>
                <w:sz w:val="22"/>
                <w:highlight w:val="none"/>
              </w:rPr>
            </w:pPr>
          </w:p>
        </w:tc>
        <w:tc>
          <w:tcPr>
            <w:tcW w:w="992" w:type="dxa"/>
            <w:vAlign w:val="center"/>
          </w:tcPr>
          <w:p w14:paraId="59EC0B3B">
            <w:pPr>
              <w:spacing w:line="360" w:lineRule="auto"/>
              <w:jc w:val="center"/>
              <w:rPr>
                <w:rFonts w:ascii="宋体" w:hAnsi="宋体" w:cs="宋体"/>
                <w:color w:val="auto"/>
                <w:sz w:val="22"/>
                <w:highlight w:val="none"/>
              </w:rPr>
            </w:pPr>
          </w:p>
        </w:tc>
        <w:tc>
          <w:tcPr>
            <w:tcW w:w="1276" w:type="dxa"/>
            <w:vAlign w:val="center"/>
          </w:tcPr>
          <w:p w14:paraId="7E35184E">
            <w:pPr>
              <w:spacing w:line="360" w:lineRule="auto"/>
              <w:jc w:val="center"/>
              <w:rPr>
                <w:rFonts w:ascii="宋体" w:hAnsi="宋体" w:cs="宋体"/>
                <w:color w:val="auto"/>
                <w:sz w:val="22"/>
                <w:highlight w:val="none"/>
              </w:rPr>
            </w:pPr>
          </w:p>
        </w:tc>
      </w:tr>
      <w:tr w14:paraId="483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1A18A0E">
            <w:pPr>
              <w:spacing w:line="360" w:lineRule="auto"/>
              <w:jc w:val="center"/>
              <w:rPr>
                <w:rFonts w:ascii="宋体" w:hAnsi="宋体" w:cs="宋体"/>
                <w:color w:val="auto"/>
                <w:sz w:val="22"/>
                <w:highlight w:val="none"/>
              </w:rPr>
            </w:pPr>
          </w:p>
        </w:tc>
        <w:tc>
          <w:tcPr>
            <w:tcW w:w="939" w:type="dxa"/>
            <w:vAlign w:val="center"/>
          </w:tcPr>
          <w:p w14:paraId="4413E0BA">
            <w:pPr>
              <w:spacing w:line="360" w:lineRule="auto"/>
              <w:jc w:val="center"/>
              <w:rPr>
                <w:rFonts w:ascii="宋体" w:hAnsi="宋体" w:cs="宋体"/>
                <w:color w:val="auto"/>
                <w:sz w:val="22"/>
                <w:highlight w:val="none"/>
              </w:rPr>
            </w:pPr>
          </w:p>
        </w:tc>
        <w:tc>
          <w:tcPr>
            <w:tcW w:w="904" w:type="dxa"/>
            <w:vAlign w:val="center"/>
          </w:tcPr>
          <w:p w14:paraId="092FA323">
            <w:pPr>
              <w:spacing w:line="360" w:lineRule="auto"/>
              <w:jc w:val="center"/>
              <w:rPr>
                <w:rFonts w:ascii="宋体" w:hAnsi="宋体" w:cs="宋体"/>
                <w:color w:val="auto"/>
                <w:sz w:val="22"/>
                <w:highlight w:val="none"/>
              </w:rPr>
            </w:pPr>
          </w:p>
        </w:tc>
        <w:tc>
          <w:tcPr>
            <w:tcW w:w="1484" w:type="dxa"/>
            <w:vAlign w:val="center"/>
          </w:tcPr>
          <w:p w14:paraId="5F5128A6">
            <w:pPr>
              <w:spacing w:line="360" w:lineRule="auto"/>
              <w:jc w:val="center"/>
              <w:rPr>
                <w:rFonts w:ascii="宋体" w:hAnsi="宋体" w:cs="宋体"/>
                <w:color w:val="auto"/>
                <w:sz w:val="22"/>
                <w:highlight w:val="none"/>
              </w:rPr>
            </w:pPr>
          </w:p>
        </w:tc>
        <w:tc>
          <w:tcPr>
            <w:tcW w:w="1885" w:type="dxa"/>
            <w:vAlign w:val="center"/>
          </w:tcPr>
          <w:p w14:paraId="7E131D1F">
            <w:pPr>
              <w:spacing w:line="360" w:lineRule="auto"/>
              <w:jc w:val="center"/>
              <w:rPr>
                <w:rFonts w:ascii="宋体" w:hAnsi="宋体" w:cs="宋体"/>
                <w:color w:val="auto"/>
                <w:sz w:val="22"/>
                <w:highlight w:val="none"/>
              </w:rPr>
            </w:pPr>
          </w:p>
        </w:tc>
        <w:tc>
          <w:tcPr>
            <w:tcW w:w="883" w:type="dxa"/>
            <w:vAlign w:val="center"/>
          </w:tcPr>
          <w:p w14:paraId="12A467E2">
            <w:pPr>
              <w:spacing w:line="360" w:lineRule="auto"/>
              <w:jc w:val="center"/>
              <w:rPr>
                <w:rFonts w:ascii="宋体" w:hAnsi="宋体" w:cs="宋体"/>
                <w:color w:val="auto"/>
                <w:sz w:val="22"/>
                <w:highlight w:val="none"/>
              </w:rPr>
            </w:pPr>
          </w:p>
        </w:tc>
        <w:tc>
          <w:tcPr>
            <w:tcW w:w="992" w:type="dxa"/>
            <w:vAlign w:val="center"/>
          </w:tcPr>
          <w:p w14:paraId="6512EE0B">
            <w:pPr>
              <w:spacing w:line="360" w:lineRule="auto"/>
              <w:jc w:val="center"/>
              <w:rPr>
                <w:rFonts w:ascii="宋体" w:hAnsi="宋体" w:cs="宋体"/>
                <w:color w:val="auto"/>
                <w:sz w:val="22"/>
                <w:highlight w:val="none"/>
              </w:rPr>
            </w:pPr>
          </w:p>
        </w:tc>
        <w:tc>
          <w:tcPr>
            <w:tcW w:w="1276" w:type="dxa"/>
            <w:vAlign w:val="center"/>
          </w:tcPr>
          <w:p w14:paraId="5E409421">
            <w:pPr>
              <w:spacing w:line="360" w:lineRule="auto"/>
              <w:jc w:val="center"/>
              <w:rPr>
                <w:rFonts w:ascii="宋体" w:hAnsi="宋体" w:cs="宋体"/>
                <w:color w:val="auto"/>
                <w:sz w:val="22"/>
                <w:highlight w:val="none"/>
              </w:rPr>
            </w:pPr>
          </w:p>
        </w:tc>
      </w:tr>
      <w:tr w14:paraId="7DAB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52F1210">
            <w:pPr>
              <w:spacing w:line="360" w:lineRule="auto"/>
              <w:jc w:val="center"/>
              <w:rPr>
                <w:rFonts w:ascii="宋体" w:hAnsi="宋体" w:cs="宋体"/>
                <w:color w:val="auto"/>
                <w:sz w:val="22"/>
                <w:highlight w:val="none"/>
              </w:rPr>
            </w:pPr>
          </w:p>
        </w:tc>
        <w:tc>
          <w:tcPr>
            <w:tcW w:w="939" w:type="dxa"/>
            <w:vAlign w:val="center"/>
          </w:tcPr>
          <w:p w14:paraId="3507C5B3">
            <w:pPr>
              <w:spacing w:line="360" w:lineRule="auto"/>
              <w:jc w:val="center"/>
              <w:rPr>
                <w:rFonts w:ascii="宋体" w:hAnsi="宋体" w:cs="宋体"/>
                <w:color w:val="auto"/>
                <w:sz w:val="22"/>
                <w:highlight w:val="none"/>
              </w:rPr>
            </w:pPr>
          </w:p>
        </w:tc>
        <w:tc>
          <w:tcPr>
            <w:tcW w:w="904" w:type="dxa"/>
            <w:vAlign w:val="center"/>
          </w:tcPr>
          <w:p w14:paraId="4B44937B">
            <w:pPr>
              <w:spacing w:line="360" w:lineRule="auto"/>
              <w:jc w:val="center"/>
              <w:rPr>
                <w:rFonts w:ascii="宋体" w:hAnsi="宋体" w:cs="宋体"/>
                <w:color w:val="auto"/>
                <w:sz w:val="22"/>
                <w:highlight w:val="none"/>
              </w:rPr>
            </w:pPr>
          </w:p>
        </w:tc>
        <w:tc>
          <w:tcPr>
            <w:tcW w:w="1484" w:type="dxa"/>
            <w:vAlign w:val="center"/>
          </w:tcPr>
          <w:p w14:paraId="5661ABA5">
            <w:pPr>
              <w:spacing w:line="360" w:lineRule="auto"/>
              <w:jc w:val="center"/>
              <w:rPr>
                <w:rFonts w:ascii="宋体" w:hAnsi="宋体" w:cs="宋体"/>
                <w:color w:val="auto"/>
                <w:sz w:val="22"/>
                <w:highlight w:val="none"/>
              </w:rPr>
            </w:pPr>
          </w:p>
        </w:tc>
        <w:tc>
          <w:tcPr>
            <w:tcW w:w="1885" w:type="dxa"/>
            <w:vAlign w:val="center"/>
          </w:tcPr>
          <w:p w14:paraId="27D3A44D">
            <w:pPr>
              <w:spacing w:line="360" w:lineRule="auto"/>
              <w:jc w:val="center"/>
              <w:rPr>
                <w:rFonts w:ascii="宋体" w:hAnsi="宋体" w:cs="宋体"/>
                <w:color w:val="auto"/>
                <w:sz w:val="22"/>
                <w:highlight w:val="none"/>
              </w:rPr>
            </w:pPr>
          </w:p>
        </w:tc>
        <w:tc>
          <w:tcPr>
            <w:tcW w:w="883" w:type="dxa"/>
            <w:vAlign w:val="center"/>
          </w:tcPr>
          <w:p w14:paraId="6F3B70AE">
            <w:pPr>
              <w:spacing w:line="360" w:lineRule="auto"/>
              <w:jc w:val="center"/>
              <w:rPr>
                <w:rFonts w:ascii="宋体" w:hAnsi="宋体" w:cs="宋体"/>
                <w:color w:val="auto"/>
                <w:sz w:val="22"/>
                <w:highlight w:val="none"/>
              </w:rPr>
            </w:pPr>
          </w:p>
        </w:tc>
        <w:tc>
          <w:tcPr>
            <w:tcW w:w="992" w:type="dxa"/>
            <w:vAlign w:val="center"/>
          </w:tcPr>
          <w:p w14:paraId="68699EC2">
            <w:pPr>
              <w:spacing w:line="360" w:lineRule="auto"/>
              <w:jc w:val="center"/>
              <w:rPr>
                <w:rFonts w:ascii="宋体" w:hAnsi="宋体" w:cs="宋体"/>
                <w:color w:val="auto"/>
                <w:sz w:val="22"/>
                <w:highlight w:val="none"/>
              </w:rPr>
            </w:pPr>
          </w:p>
        </w:tc>
        <w:tc>
          <w:tcPr>
            <w:tcW w:w="1276" w:type="dxa"/>
            <w:vAlign w:val="center"/>
          </w:tcPr>
          <w:p w14:paraId="38FD3399">
            <w:pPr>
              <w:spacing w:line="360" w:lineRule="auto"/>
              <w:jc w:val="center"/>
              <w:rPr>
                <w:rFonts w:ascii="宋体" w:hAnsi="宋体" w:cs="宋体"/>
                <w:color w:val="auto"/>
                <w:sz w:val="22"/>
                <w:highlight w:val="none"/>
              </w:rPr>
            </w:pPr>
          </w:p>
        </w:tc>
      </w:tr>
      <w:tr w14:paraId="13D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B07566F">
            <w:pPr>
              <w:spacing w:line="360" w:lineRule="auto"/>
              <w:jc w:val="center"/>
              <w:rPr>
                <w:rFonts w:ascii="宋体" w:hAnsi="宋体" w:cs="宋体"/>
                <w:color w:val="auto"/>
                <w:sz w:val="22"/>
                <w:highlight w:val="none"/>
              </w:rPr>
            </w:pPr>
          </w:p>
        </w:tc>
        <w:tc>
          <w:tcPr>
            <w:tcW w:w="939" w:type="dxa"/>
            <w:vAlign w:val="center"/>
          </w:tcPr>
          <w:p w14:paraId="32B5CB30">
            <w:pPr>
              <w:spacing w:line="360" w:lineRule="auto"/>
              <w:jc w:val="center"/>
              <w:rPr>
                <w:rFonts w:ascii="宋体" w:hAnsi="宋体" w:cs="宋体"/>
                <w:color w:val="auto"/>
                <w:sz w:val="22"/>
                <w:highlight w:val="none"/>
              </w:rPr>
            </w:pPr>
          </w:p>
        </w:tc>
        <w:tc>
          <w:tcPr>
            <w:tcW w:w="904" w:type="dxa"/>
            <w:vAlign w:val="center"/>
          </w:tcPr>
          <w:p w14:paraId="25EA6261">
            <w:pPr>
              <w:spacing w:line="360" w:lineRule="auto"/>
              <w:jc w:val="center"/>
              <w:rPr>
                <w:rFonts w:ascii="宋体" w:hAnsi="宋体" w:cs="宋体"/>
                <w:color w:val="auto"/>
                <w:sz w:val="22"/>
                <w:highlight w:val="none"/>
              </w:rPr>
            </w:pPr>
          </w:p>
        </w:tc>
        <w:tc>
          <w:tcPr>
            <w:tcW w:w="1484" w:type="dxa"/>
            <w:vAlign w:val="center"/>
          </w:tcPr>
          <w:p w14:paraId="75BDCFA3">
            <w:pPr>
              <w:spacing w:line="360" w:lineRule="auto"/>
              <w:jc w:val="center"/>
              <w:rPr>
                <w:rFonts w:ascii="宋体" w:hAnsi="宋体" w:cs="宋体"/>
                <w:color w:val="auto"/>
                <w:sz w:val="22"/>
                <w:highlight w:val="none"/>
              </w:rPr>
            </w:pPr>
          </w:p>
        </w:tc>
        <w:tc>
          <w:tcPr>
            <w:tcW w:w="1885" w:type="dxa"/>
            <w:vAlign w:val="center"/>
          </w:tcPr>
          <w:p w14:paraId="3AAA5415">
            <w:pPr>
              <w:spacing w:line="360" w:lineRule="auto"/>
              <w:jc w:val="center"/>
              <w:rPr>
                <w:rFonts w:ascii="宋体" w:hAnsi="宋体" w:cs="宋体"/>
                <w:color w:val="auto"/>
                <w:sz w:val="22"/>
                <w:highlight w:val="none"/>
              </w:rPr>
            </w:pPr>
          </w:p>
        </w:tc>
        <w:tc>
          <w:tcPr>
            <w:tcW w:w="883" w:type="dxa"/>
            <w:vAlign w:val="center"/>
          </w:tcPr>
          <w:p w14:paraId="6B596580">
            <w:pPr>
              <w:spacing w:line="360" w:lineRule="auto"/>
              <w:jc w:val="center"/>
              <w:rPr>
                <w:rFonts w:ascii="宋体" w:hAnsi="宋体" w:cs="宋体"/>
                <w:color w:val="auto"/>
                <w:sz w:val="22"/>
                <w:highlight w:val="none"/>
              </w:rPr>
            </w:pPr>
          </w:p>
        </w:tc>
        <w:tc>
          <w:tcPr>
            <w:tcW w:w="992" w:type="dxa"/>
            <w:vAlign w:val="center"/>
          </w:tcPr>
          <w:p w14:paraId="172D87AD">
            <w:pPr>
              <w:spacing w:line="360" w:lineRule="auto"/>
              <w:jc w:val="center"/>
              <w:rPr>
                <w:rFonts w:ascii="宋体" w:hAnsi="宋体" w:cs="宋体"/>
                <w:color w:val="auto"/>
                <w:sz w:val="22"/>
                <w:highlight w:val="none"/>
              </w:rPr>
            </w:pPr>
          </w:p>
        </w:tc>
        <w:tc>
          <w:tcPr>
            <w:tcW w:w="1276" w:type="dxa"/>
            <w:vAlign w:val="center"/>
          </w:tcPr>
          <w:p w14:paraId="56422E30">
            <w:pPr>
              <w:spacing w:line="360" w:lineRule="auto"/>
              <w:jc w:val="center"/>
              <w:rPr>
                <w:rFonts w:ascii="宋体" w:hAnsi="宋体" w:cs="宋体"/>
                <w:color w:val="auto"/>
                <w:sz w:val="22"/>
                <w:highlight w:val="none"/>
              </w:rPr>
            </w:pPr>
          </w:p>
        </w:tc>
      </w:tr>
      <w:tr w14:paraId="1CD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F8E4AC3">
            <w:pPr>
              <w:spacing w:line="360" w:lineRule="auto"/>
              <w:jc w:val="center"/>
              <w:rPr>
                <w:rFonts w:ascii="宋体" w:hAnsi="宋体" w:cs="宋体"/>
                <w:color w:val="auto"/>
                <w:sz w:val="22"/>
                <w:highlight w:val="none"/>
              </w:rPr>
            </w:pPr>
          </w:p>
        </w:tc>
        <w:tc>
          <w:tcPr>
            <w:tcW w:w="939" w:type="dxa"/>
            <w:vAlign w:val="center"/>
          </w:tcPr>
          <w:p w14:paraId="7BA3D13A">
            <w:pPr>
              <w:spacing w:line="360" w:lineRule="auto"/>
              <w:jc w:val="center"/>
              <w:rPr>
                <w:rFonts w:ascii="宋体" w:hAnsi="宋体" w:cs="宋体"/>
                <w:color w:val="auto"/>
                <w:sz w:val="22"/>
                <w:highlight w:val="none"/>
              </w:rPr>
            </w:pPr>
          </w:p>
        </w:tc>
        <w:tc>
          <w:tcPr>
            <w:tcW w:w="904" w:type="dxa"/>
            <w:vAlign w:val="center"/>
          </w:tcPr>
          <w:p w14:paraId="5C9EC0C9">
            <w:pPr>
              <w:spacing w:line="360" w:lineRule="auto"/>
              <w:jc w:val="center"/>
              <w:rPr>
                <w:rFonts w:ascii="宋体" w:hAnsi="宋体" w:cs="宋体"/>
                <w:color w:val="auto"/>
                <w:sz w:val="22"/>
                <w:highlight w:val="none"/>
              </w:rPr>
            </w:pPr>
          </w:p>
        </w:tc>
        <w:tc>
          <w:tcPr>
            <w:tcW w:w="1484" w:type="dxa"/>
            <w:vAlign w:val="center"/>
          </w:tcPr>
          <w:p w14:paraId="5D73FB72">
            <w:pPr>
              <w:spacing w:line="360" w:lineRule="auto"/>
              <w:jc w:val="center"/>
              <w:rPr>
                <w:rFonts w:ascii="宋体" w:hAnsi="宋体" w:cs="宋体"/>
                <w:color w:val="auto"/>
                <w:sz w:val="22"/>
                <w:highlight w:val="none"/>
              </w:rPr>
            </w:pPr>
          </w:p>
        </w:tc>
        <w:tc>
          <w:tcPr>
            <w:tcW w:w="1885" w:type="dxa"/>
            <w:vAlign w:val="center"/>
          </w:tcPr>
          <w:p w14:paraId="2D358DBB">
            <w:pPr>
              <w:spacing w:line="360" w:lineRule="auto"/>
              <w:jc w:val="center"/>
              <w:rPr>
                <w:rFonts w:ascii="宋体" w:hAnsi="宋体" w:cs="宋体"/>
                <w:color w:val="auto"/>
                <w:sz w:val="22"/>
                <w:highlight w:val="none"/>
              </w:rPr>
            </w:pPr>
          </w:p>
        </w:tc>
        <w:tc>
          <w:tcPr>
            <w:tcW w:w="883" w:type="dxa"/>
            <w:vAlign w:val="center"/>
          </w:tcPr>
          <w:p w14:paraId="788D2A38">
            <w:pPr>
              <w:spacing w:line="360" w:lineRule="auto"/>
              <w:jc w:val="center"/>
              <w:rPr>
                <w:rFonts w:ascii="宋体" w:hAnsi="宋体" w:cs="宋体"/>
                <w:color w:val="auto"/>
                <w:sz w:val="22"/>
                <w:highlight w:val="none"/>
              </w:rPr>
            </w:pPr>
          </w:p>
        </w:tc>
        <w:tc>
          <w:tcPr>
            <w:tcW w:w="992" w:type="dxa"/>
            <w:vAlign w:val="center"/>
          </w:tcPr>
          <w:p w14:paraId="1FBBB539">
            <w:pPr>
              <w:spacing w:line="360" w:lineRule="auto"/>
              <w:jc w:val="center"/>
              <w:rPr>
                <w:rFonts w:ascii="宋体" w:hAnsi="宋体" w:cs="宋体"/>
                <w:color w:val="auto"/>
                <w:sz w:val="22"/>
                <w:highlight w:val="none"/>
              </w:rPr>
            </w:pPr>
          </w:p>
        </w:tc>
        <w:tc>
          <w:tcPr>
            <w:tcW w:w="1276" w:type="dxa"/>
            <w:vAlign w:val="center"/>
          </w:tcPr>
          <w:p w14:paraId="0869B65E">
            <w:pPr>
              <w:spacing w:line="360" w:lineRule="auto"/>
              <w:jc w:val="center"/>
              <w:rPr>
                <w:rFonts w:ascii="宋体" w:hAnsi="宋体" w:cs="宋体"/>
                <w:color w:val="auto"/>
                <w:sz w:val="22"/>
                <w:highlight w:val="none"/>
              </w:rPr>
            </w:pPr>
          </w:p>
        </w:tc>
      </w:tr>
      <w:bookmarkEnd w:id="215"/>
    </w:tbl>
    <w:p w14:paraId="4DB53465">
      <w:pPr>
        <w:spacing w:line="360" w:lineRule="auto"/>
        <w:ind w:firstLine="480" w:firstLineChars="200"/>
        <w:rPr>
          <w:rFonts w:ascii="宋体" w:hAnsi="宋体" w:cs="宋体"/>
          <w:color w:val="auto"/>
          <w:sz w:val="24"/>
          <w:highlight w:val="none"/>
        </w:rPr>
      </w:pPr>
    </w:p>
    <w:p w14:paraId="08F41F9B">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44FB95AF">
      <w:pPr>
        <w:spacing w:line="360" w:lineRule="auto"/>
        <w:jc w:val="left"/>
        <w:rPr>
          <w:rFonts w:ascii="宋体" w:hAnsi="宋体" w:cs="宋体"/>
          <w:color w:val="auto"/>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7185CB5B">
      <w:pPr>
        <w:spacing w:line="360" w:lineRule="auto"/>
        <w:jc w:val="left"/>
        <w:rPr>
          <w:rFonts w:ascii="宋体" w:hAnsi="宋体" w:cs="宋体"/>
          <w:color w:val="auto"/>
          <w:szCs w:val="24"/>
          <w:highlight w:val="none"/>
        </w:rPr>
      </w:pPr>
      <w:r>
        <w:rPr>
          <w:rFonts w:hint="eastAsia" w:ascii="宋体" w:hAnsi="宋体" w:cs="宋体"/>
          <w:color w:val="auto"/>
          <w:highlight w:val="none"/>
        </w:rPr>
        <w:br w:type="page"/>
      </w:r>
    </w:p>
    <w:p w14:paraId="02F4805F">
      <w:pPr>
        <w:pStyle w:val="4"/>
        <w:spacing w:before="0" w:after="0" w:line="360" w:lineRule="auto"/>
        <w:ind w:firstLine="119"/>
        <w:jc w:val="center"/>
        <w:rPr>
          <w:rFonts w:ascii="宋体" w:hAnsi="宋体" w:eastAsia="宋体" w:cs="宋体"/>
          <w:color w:val="auto"/>
          <w:sz w:val="32"/>
          <w:highlight w:val="none"/>
        </w:rPr>
      </w:pPr>
      <w:bookmarkStart w:id="239" w:name="_Toc9717"/>
      <w:r>
        <w:rPr>
          <w:rFonts w:hint="eastAsia" w:ascii="宋体" w:hAnsi="宋体" w:eastAsia="宋体" w:cs="宋体"/>
          <w:color w:val="auto"/>
          <w:sz w:val="32"/>
          <w:highlight w:val="none"/>
        </w:rPr>
        <w:t>八、拟投入本项目的人员简历表</w:t>
      </w:r>
      <w:bookmarkEnd w:id="239"/>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4FE2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367" w:type="dxa"/>
            <w:gridSpan w:val="2"/>
            <w:vAlign w:val="center"/>
          </w:tcPr>
          <w:p w14:paraId="216023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95" w:type="dxa"/>
            <w:vAlign w:val="center"/>
          </w:tcPr>
          <w:p w14:paraId="479A7D00">
            <w:pPr>
              <w:snapToGrid w:val="0"/>
              <w:spacing w:line="360" w:lineRule="auto"/>
              <w:jc w:val="center"/>
              <w:rPr>
                <w:rFonts w:ascii="宋体" w:hAnsi="宋体" w:cs="宋体"/>
                <w:color w:val="auto"/>
                <w:sz w:val="24"/>
                <w:highlight w:val="none"/>
              </w:rPr>
            </w:pPr>
          </w:p>
        </w:tc>
        <w:tc>
          <w:tcPr>
            <w:tcW w:w="1044" w:type="dxa"/>
            <w:gridSpan w:val="2"/>
            <w:vAlign w:val="center"/>
          </w:tcPr>
          <w:p w14:paraId="69E3CA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364" w:type="dxa"/>
            <w:gridSpan w:val="2"/>
            <w:vAlign w:val="center"/>
          </w:tcPr>
          <w:p w14:paraId="7A7C68DF">
            <w:pPr>
              <w:snapToGrid w:val="0"/>
              <w:spacing w:line="360" w:lineRule="auto"/>
              <w:jc w:val="center"/>
              <w:rPr>
                <w:rFonts w:ascii="宋体" w:hAnsi="宋体" w:cs="宋体"/>
                <w:color w:val="auto"/>
                <w:sz w:val="24"/>
                <w:highlight w:val="none"/>
              </w:rPr>
            </w:pPr>
          </w:p>
        </w:tc>
        <w:tc>
          <w:tcPr>
            <w:tcW w:w="1830" w:type="dxa"/>
            <w:gridSpan w:val="2"/>
            <w:vAlign w:val="center"/>
          </w:tcPr>
          <w:p w14:paraId="5AC850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27" w:type="dxa"/>
          </w:tcPr>
          <w:p w14:paraId="658D01A7">
            <w:pPr>
              <w:snapToGrid w:val="0"/>
              <w:spacing w:line="360" w:lineRule="auto"/>
              <w:jc w:val="center"/>
              <w:rPr>
                <w:rFonts w:ascii="宋体" w:hAnsi="宋体" w:cs="宋体"/>
                <w:color w:val="auto"/>
                <w:sz w:val="24"/>
                <w:highlight w:val="none"/>
              </w:rPr>
            </w:pPr>
          </w:p>
        </w:tc>
      </w:tr>
      <w:tr w14:paraId="423C3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367" w:type="dxa"/>
            <w:gridSpan w:val="2"/>
            <w:vAlign w:val="center"/>
          </w:tcPr>
          <w:p w14:paraId="285CC3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95" w:type="dxa"/>
            <w:vAlign w:val="center"/>
          </w:tcPr>
          <w:p w14:paraId="00FC5F03">
            <w:pPr>
              <w:snapToGrid w:val="0"/>
              <w:spacing w:line="360" w:lineRule="auto"/>
              <w:jc w:val="center"/>
              <w:rPr>
                <w:rFonts w:ascii="宋体" w:hAnsi="宋体" w:cs="宋体"/>
                <w:color w:val="auto"/>
                <w:sz w:val="24"/>
                <w:highlight w:val="none"/>
              </w:rPr>
            </w:pPr>
          </w:p>
        </w:tc>
        <w:tc>
          <w:tcPr>
            <w:tcW w:w="1044" w:type="dxa"/>
            <w:gridSpan w:val="2"/>
            <w:vAlign w:val="center"/>
          </w:tcPr>
          <w:p w14:paraId="48271F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364" w:type="dxa"/>
            <w:gridSpan w:val="2"/>
            <w:vAlign w:val="center"/>
          </w:tcPr>
          <w:p w14:paraId="301F122D">
            <w:pPr>
              <w:snapToGrid w:val="0"/>
              <w:spacing w:line="360" w:lineRule="auto"/>
              <w:jc w:val="center"/>
              <w:rPr>
                <w:rFonts w:ascii="宋体" w:hAnsi="宋体" w:cs="宋体"/>
                <w:color w:val="auto"/>
                <w:sz w:val="24"/>
                <w:highlight w:val="none"/>
              </w:rPr>
            </w:pPr>
          </w:p>
        </w:tc>
        <w:tc>
          <w:tcPr>
            <w:tcW w:w="1830" w:type="dxa"/>
            <w:gridSpan w:val="2"/>
            <w:vAlign w:val="center"/>
          </w:tcPr>
          <w:p w14:paraId="7CAED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在本项目担任职务</w:t>
            </w:r>
          </w:p>
        </w:tc>
        <w:tc>
          <w:tcPr>
            <w:tcW w:w="2027" w:type="dxa"/>
          </w:tcPr>
          <w:p w14:paraId="0CB3920A">
            <w:pPr>
              <w:snapToGrid w:val="0"/>
              <w:spacing w:line="360" w:lineRule="auto"/>
              <w:jc w:val="center"/>
              <w:rPr>
                <w:rFonts w:ascii="宋体" w:hAnsi="宋体" w:cs="宋体"/>
                <w:color w:val="auto"/>
                <w:sz w:val="24"/>
                <w:highlight w:val="none"/>
              </w:rPr>
            </w:pPr>
          </w:p>
        </w:tc>
      </w:tr>
      <w:tr w14:paraId="162AE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7" w:type="dxa"/>
            <w:gridSpan w:val="2"/>
            <w:vAlign w:val="center"/>
          </w:tcPr>
          <w:p w14:paraId="0AB270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3703" w:type="dxa"/>
            <w:gridSpan w:val="5"/>
            <w:vAlign w:val="center"/>
          </w:tcPr>
          <w:p w14:paraId="5B06B9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毕业于      学校 </w:t>
            </w:r>
            <w:bookmarkStart w:id="240" w:name="_Toc17534"/>
            <w:bookmarkStart w:id="241" w:name="_Toc11072"/>
            <w:bookmarkStart w:id="242" w:name="_Toc12140"/>
            <w:bookmarkStart w:id="243" w:name="_Toc27070"/>
            <w:bookmarkStart w:id="244" w:name="_Toc4156"/>
            <w:bookmarkStart w:id="245" w:name="_Toc16786"/>
            <w:r>
              <w:rPr>
                <w:rFonts w:hint="eastAsia" w:ascii="宋体" w:hAnsi="宋体" w:cs="宋体"/>
                <w:color w:val="auto"/>
                <w:sz w:val="24"/>
                <w:highlight w:val="none"/>
              </w:rPr>
              <w:t xml:space="preserve">    专业</w:t>
            </w:r>
          </w:p>
        </w:tc>
        <w:tc>
          <w:tcPr>
            <w:tcW w:w="1830" w:type="dxa"/>
            <w:gridSpan w:val="2"/>
            <w:vAlign w:val="center"/>
          </w:tcPr>
          <w:p w14:paraId="4876D96F">
            <w:pPr>
              <w:snapToGrid w:val="0"/>
              <w:spacing w:line="360" w:lineRule="auto"/>
              <w:jc w:val="center"/>
              <w:rPr>
                <w:rFonts w:ascii="宋体" w:hAnsi="宋体" w:cs="宋体"/>
                <w:color w:val="auto"/>
                <w:sz w:val="24"/>
                <w:highlight w:val="none"/>
              </w:rPr>
            </w:pPr>
            <w:r>
              <w:rPr>
                <w:rFonts w:hint="eastAsia" w:ascii="宋体" w:hAnsi="宋体" w:cs="宋体"/>
                <w:color w:val="auto"/>
                <w:position w:val="-30"/>
                <w:sz w:val="24"/>
                <w:highlight w:val="none"/>
              </w:rPr>
              <w:t>从事检测工作年限</w:t>
            </w:r>
          </w:p>
        </w:tc>
        <w:tc>
          <w:tcPr>
            <w:tcW w:w="2027" w:type="dxa"/>
          </w:tcPr>
          <w:p w14:paraId="0D1523D8">
            <w:pPr>
              <w:snapToGrid w:val="0"/>
              <w:spacing w:line="360" w:lineRule="auto"/>
              <w:jc w:val="center"/>
              <w:rPr>
                <w:rFonts w:ascii="宋体" w:hAnsi="宋体" w:cs="宋体"/>
                <w:color w:val="auto"/>
                <w:sz w:val="24"/>
                <w:highlight w:val="none"/>
              </w:rPr>
            </w:pPr>
          </w:p>
        </w:tc>
      </w:tr>
      <w:tr w14:paraId="6F791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7C02A8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执业资格证号或注册证号</w:t>
            </w:r>
          </w:p>
        </w:tc>
        <w:tc>
          <w:tcPr>
            <w:tcW w:w="5984" w:type="dxa"/>
            <w:gridSpan w:val="6"/>
          </w:tcPr>
          <w:p w14:paraId="67C7F442">
            <w:pPr>
              <w:snapToGrid w:val="0"/>
              <w:spacing w:line="360" w:lineRule="auto"/>
              <w:rPr>
                <w:rFonts w:ascii="宋体" w:hAnsi="宋体" w:cs="宋体"/>
                <w:color w:val="auto"/>
                <w:sz w:val="24"/>
                <w:highlight w:val="none"/>
              </w:rPr>
            </w:pPr>
          </w:p>
        </w:tc>
      </w:tr>
      <w:tr w14:paraId="64B46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52668E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检测员证或检测鉴定培训合格证（证书状态正常或有效）</w:t>
            </w:r>
          </w:p>
        </w:tc>
        <w:tc>
          <w:tcPr>
            <w:tcW w:w="5984" w:type="dxa"/>
            <w:gridSpan w:val="6"/>
          </w:tcPr>
          <w:p w14:paraId="3FF4F61D">
            <w:pPr>
              <w:snapToGrid w:val="0"/>
              <w:spacing w:line="360" w:lineRule="auto"/>
              <w:rPr>
                <w:rFonts w:ascii="宋体" w:hAnsi="宋体" w:cs="宋体"/>
                <w:color w:val="auto"/>
                <w:sz w:val="24"/>
                <w:highlight w:val="none"/>
              </w:rPr>
            </w:pPr>
          </w:p>
        </w:tc>
      </w:tr>
      <w:tr w14:paraId="41881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8927" w:type="dxa"/>
            <w:gridSpan w:val="10"/>
            <w:vAlign w:val="center"/>
          </w:tcPr>
          <w:p w14:paraId="5615B7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主要业绩经历</w:t>
            </w:r>
          </w:p>
        </w:tc>
      </w:tr>
      <w:tr w14:paraId="168BD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187" w:type="dxa"/>
            <w:vAlign w:val="center"/>
          </w:tcPr>
          <w:p w14:paraId="59FC81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时间</w:t>
            </w:r>
          </w:p>
        </w:tc>
        <w:tc>
          <w:tcPr>
            <w:tcW w:w="3476" w:type="dxa"/>
            <w:gridSpan w:val="5"/>
            <w:vAlign w:val="center"/>
          </w:tcPr>
          <w:p w14:paraId="1EAE8D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参加过的主要工作</w:t>
            </w:r>
          </w:p>
        </w:tc>
        <w:tc>
          <w:tcPr>
            <w:tcW w:w="1607" w:type="dxa"/>
            <w:gridSpan w:val="2"/>
            <w:vAlign w:val="center"/>
          </w:tcPr>
          <w:p w14:paraId="04F69C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担任何职</w:t>
            </w:r>
          </w:p>
        </w:tc>
        <w:tc>
          <w:tcPr>
            <w:tcW w:w="2657" w:type="dxa"/>
            <w:gridSpan w:val="2"/>
            <w:vAlign w:val="center"/>
          </w:tcPr>
          <w:p w14:paraId="2C1B33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获得的奖励情况</w:t>
            </w:r>
          </w:p>
        </w:tc>
      </w:tr>
      <w:tr w14:paraId="77962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108206A6">
            <w:pPr>
              <w:snapToGrid w:val="0"/>
              <w:spacing w:line="360" w:lineRule="auto"/>
              <w:rPr>
                <w:rFonts w:ascii="宋体" w:hAnsi="宋体" w:cs="宋体"/>
                <w:color w:val="auto"/>
                <w:sz w:val="24"/>
                <w:highlight w:val="none"/>
              </w:rPr>
            </w:pPr>
          </w:p>
        </w:tc>
        <w:tc>
          <w:tcPr>
            <w:tcW w:w="3476" w:type="dxa"/>
            <w:gridSpan w:val="5"/>
          </w:tcPr>
          <w:p w14:paraId="10EF6C80">
            <w:pPr>
              <w:snapToGrid w:val="0"/>
              <w:spacing w:line="360" w:lineRule="auto"/>
              <w:rPr>
                <w:rFonts w:ascii="宋体" w:hAnsi="宋体" w:cs="宋体"/>
                <w:color w:val="auto"/>
                <w:sz w:val="24"/>
                <w:highlight w:val="none"/>
              </w:rPr>
            </w:pPr>
          </w:p>
        </w:tc>
        <w:tc>
          <w:tcPr>
            <w:tcW w:w="1607" w:type="dxa"/>
            <w:gridSpan w:val="2"/>
          </w:tcPr>
          <w:p w14:paraId="0165A40B">
            <w:pPr>
              <w:snapToGrid w:val="0"/>
              <w:spacing w:line="360" w:lineRule="auto"/>
              <w:rPr>
                <w:rFonts w:ascii="宋体" w:hAnsi="宋体" w:cs="宋体"/>
                <w:color w:val="auto"/>
                <w:sz w:val="24"/>
                <w:highlight w:val="none"/>
              </w:rPr>
            </w:pPr>
          </w:p>
        </w:tc>
        <w:tc>
          <w:tcPr>
            <w:tcW w:w="2657" w:type="dxa"/>
            <w:gridSpan w:val="2"/>
          </w:tcPr>
          <w:p w14:paraId="11B68B07">
            <w:pPr>
              <w:snapToGrid w:val="0"/>
              <w:spacing w:line="360" w:lineRule="auto"/>
              <w:rPr>
                <w:rFonts w:ascii="宋体" w:hAnsi="宋体" w:cs="宋体"/>
                <w:color w:val="auto"/>
                <w:sz w:val="24"/>
                <w:highlight w:val="none"/>
              </w:rPr>
            </w:pPr>
          </w:p>
        </w:tc>
      </w:tr>
      <w:tr w14:paraId="75A8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F22574D">
            <w:pPr>
              <w:snapToGrid w:val="0"/>
              <w:spacing w:line="360" w:lineRule="auto"/>
              <w:rPr>
                <w:rFonts w:ascii="宋体" w:hAnsi="宋体" w:cs="宋体"/>
                <w:color w:val="auto"/>
                <w:sz w:val="24"/>
                <w:highlight w:val="none"/>
              </w:rPr>
            </w:pPr>
          </w:p>
        </w:tc>
        <w:tc>
          <w:tcPr>
            <w:tcW w:w="3476" w:type="dxa"/>
            <w:gridSpan w:val="5"/>
          </w:tcPr>
          <w:p w14:paraId="73EE9485">
            <w:pPr>
              <w:snapToGrid w:val="0"/>
              <w:spacing w:line="360" w:lineRule="auto"/>
              <w:rPr>
                <w:rFonts w:ascii="宋体" w:hAnsi="宋体" w:cs="宋体"/>
                <w:color w:val="auto"/>
                <w:sz w:val="24"/>
                <w:highlight w:val="none"/>
              </w:rPr>
            </w:pPr>
          </w:p>
        </w:tc>
        <w:tc>
          <w:tcPr>
            <w:tcW w:w="1607" w:type="dxa"/>
            <w:gridSpan w:val="2"/>
          </w:tcPr>
          <w:p w14:paraId="25CB48EF">
            <w:pPr>
              <w:snapToGrid w:val="0"/>
              <w:spacing w:line="360" w:lineRule="auto"/>
              <w:rPr>
                <w:rFonts w:ascii="宋体" w:hAnsi="宋体" w:cs="宋体"/>
                <w:color w:val="auto"/>
                <w:sz w:val="24"/>
                <w:highlight w:val="none"/>
              </w:rPr>
            </w:pPr>
          </w:p>
        </w:tc>
        <w:tc>
          <w:tcPr>
            <w:tcW w:w="2657" w:type="dxa"/>
            <w:gridSpan w:val="2"/>
          </w:tcPr>
          <w:p w14:paraId="7E817755">
            <w:pPr>
              <w:snapToGrid w:val="0"/>
              <w:spacing w:line="360" w:lineRule="auto"/>
              <w:rPr>
                <w:rFonts w:ascii="宋体" w:hAnsi="宋体" w:cs="宋体"/>
                <w:color w:val="auto"/>
                <w:sz w:val="24"/>
                <w:highlight w:val="none"/>
              </w:rPr>
            </w:pPr>
          </w:p>
        </w:tc>
      </w:tr>
      <w:tr w14:paraId="57FC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0D437CA9">
            <w:pPr>
              <w:snapToGrid w:val="0"/>
              <w:spacing w:line="360" w:lineRule="auto"/>
              <w:rPr>
                <w:rFonts w:ascii="宋体" w:hAnsi="宋体" w:cs="宋体"/>
                <w:color w:val="auto"/>
                <w:sz w:val="24"/>
                <w:highlight w:val="none"/>
              </w:rPr>
            </w:pPr>
          </w:p>
        </w:tc>
        <w:tc>
          <w:tcPr>
            <w:tcW w:w="3476" w:type="dxa"/>
            <w:gridSpan w:val="5"/>
          </w:tcPr>
          <w:p w14:paraId="1D3BD375">
            <w:pPr>
              <w:snapToGrid w:val="0"/>
              <w:spacing w:line="360" w:lineRule="auto"/>
              <w:rPr>
                <w:rFonts w:ascii="宋体" w:hAnsi="宋体" w:cs="宋体"/>
                <w:color w:val="auto"/>
                <w:sz w:val="24"/>
                <w:highlight w:val="none"/>
              </w:rPr>
            </w:pPr>
          </w:p>
        </w:tc>
        <w:tc>
          <w:tcPr>
            <w:tcW w:w="1607" w:type="dxa"/>
            <w:gridSpan w:val="2"/>
          </w:tcPr>
          <w:p w14:paraId="36C1A563">
            <w:pPr>
              <w:snapToGrid w:val="0"/>
              <w:spacing w:line="360" w:lineRule="auto"/>
              <w:rPr>
                <w:rFonts w:ascii="宋体" w:hAnsi="宋体" w:cs="宋体"/>
                <w:color w:val="auto"/>
                <w:sz w:val="24"/>
                <w:highlight w:val="none"/>
              </w:rPr>
            </w:pPr>
          </w:p>
        </w:tc>
        <w:tc>
          <w:tcPr>
            <w:tcW w:w="2657" w:type="dxa"/>
            <w:gridSpan w:val="2"/>
          </w:tcPr>
          <w:p w14:paraId="2F3547B4">
            <w:pPr>
              <w:snapToGrid w:val="0"/>
              <w:spacing w:line="360" w:lineRule="auto"/>
              <w:rPr>
                <w:rFonts w:ascii="宋体" w:hAnsi="宋体" w:cs="宋体"/>
                <w:color w:val="auto"/>
                <w:sz w:val="24"/>
                <w:highlight w:val="none"/>
              </w:rPr>
            </w:pPr>
          </w:p>
        </w:tc>
      </w:tr>
      <w:tr w14:paraId="6BA66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0233947">
            <w:pPr>
              <w:snapToGrid w:val="0"/>
              <w:spacing w:line="360" w:lineRule="auto"/>
              <w:rPr>
                <w:rFonts w:ascii="宋体" w:hAnsi="宋体" w:cs="宋体"/>
                <w:color w:val="auto"/>
                <w:sz w:val="24"/>
                <w:highlight w:val="none"/>
              </w:rPr>
            </w:pPr>
          </w:p>
        </w:tc>
        <w:tc>
          <w:tcPr>
            <w:tcW w:w="3476" w:type="dxa"/>
            <w:gridSpan w:val="5"/>
          </w:tcPr>
          <w:p w14:paraId="5CF83070">
            <w:pPr>
              <w:snapToGrid w:val="0"/>
              <w:spacing w:line="360" w:lineRule="auto"/>
              <w:rPr>
                <w:rFonts w:ascii="宋体" w:hAnsi="宋体" w:cs="宋体"/>
                <w:color w:val="auto"/>
                <w:sz w:val="24"/>
                <w:highlight w:val="none"/>
              </w:rPr>
            </w:pPr>
          </w:p>
        </w:tc>
        <w:tc>
          <w:tcPr>
            <w:tcW w:w="1607" w:type="dxa"/>
            <w:gridSpan w:val="2"/>
          </w:tcPr>
          <w:p w14:paraId="11B79B34">
            <w:pPr>
              <w:snapToGrid w:val="0"/>
              <w:spacing w:line="360" w:lineRule="auto"/>
              <w:rPr>
                <w:rFonts w:ascii="宋体" w:hAnsi="宋体" w:cs="宋体"/>
                <w:color w:val="auto"/>
                <w:sz w:val="24"/>
                <w:highlight w:val="none"/>
              </w:rPr>
            </w:pPr>
          </w:p>
        </w:tc>
        <w:tc>
          <w:tcPr>
            <w:tcW w:w="2657" w:type="dxa"/>
            <w:gridSpan w:val="2"/>
          </w:tcPr>
          <w:p w14:paraId="6E9D06A7">
            <w:pPr>
              <w:snapToGrid w:val="0"/>
              <w:spacing w:line="360" w:lineRule="auto"/>
              <w:rPr>
                <w:rFonts w:ascii="宋体" w:hAnsi="宋体" w:cs="宋体"/>
                <w:color w:val="auto"/>
                <w:sz w:val="24"/>
                <w:highlight w:val="none"/>
              </w:rPr>
            </w:pPr>
          </w:p>
        </w:tc>
      </w:tr>
      <w:tr w14:paraId="7348C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8E97A63">
            <w:pPr>
              <w:snapToGrid w:val="0"/>
              <w:spacing w:line="360" w:lineRule="auto"/>
              <w:rPr>
                <w:rFonts w:ascii="宋体" w:hAnsi="宋体" w:cs="宋体"/>
                <w:color w:val="auto"/>
                <w:sz w:val="24"/>
                <w:highlight w:val="none"/>
              </w:rPr>
            </w:pPr>
          </w:p>
        </w:tc>
        <w:tc>
          <w:tcPr>
            <w:tcW w:w="3476" w:type="dxa"/>
            <w:gridSpan w:val="5"/>
          </w:tcPr>
          <w:p w14:paraId="14D9B64B">
            <w:pPr>
              <w:snapToGrid w:val="0"/>
              <w:spacing w:line="360" w:lineRule="auto"/>
              <w:rPr>
                <w:rFonts w:ascii="宋体" w:hAnsi="宋体" w:cs="宋体"/>
                <w:color w:val="auto"/>
                <w:sz w:val="24"/>
                <w:highlight w:val="none"/>
              </w:rPr>
            </w:pPr>
          </w:p>
        </w:tc>
        <w:tc>
          <w:tcPr>
            <w:tcW w:w="1607" w:type="dxa"/>
            <w:gridSpan w:val="2"/>
          </w:tcPr>
          <w:p w14:paraId="56F3F9A9">
            <w:pPr>
              <w:snapToGrid w:val="0"/>
              <w:spacing w:line="360" w:lineRule="auto"/>
              <w:rPr>
                <w:rFonts w:ascii="宋体" w:hAnsi="宋体" w:cs="宋体"/>
                <w:color w:val="auto"/>
                <w:sz w:val="24"/>
                <w:highlight w:val="none"/>
              </w:rPr>
            </w:pPr>
          </w:p>
        </w:tc>
        <w:tc>
          <w:tcPr>
            <w:tcW w:w="2657" w:type="dxa"/>
            <w:gridSpan w:val="2"/>
          </w:tcPr>
          <w:p w14:paraId="17087630">
            <w:pPr>
              <w:snapToGrid w:val="0"/>
              <w:spacing w:line="360" w:lineRule="auto"/>
              <w:rPr>
                <w:rFonts w:ascii="宋体" w:hAnsi="宋体" w:cs="宋体"/>
                <w:color w:val="auto"/>
                <w:sz w:val="24"/>
                <w:highlight w:val="none"/>
              </w:rPr>
            </w:pPr>
          </w:p>
        </w:tc>
      </w:tr>
      <w:tr w14:paraId="08D7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DE49C66">
            <w:pPr>
              <w:snapToGrid w:val="0"/>
              <w:spacing w:line="360" w:lineRule="auto"/>
              <w:rPr>
                <w:rFonts w:ascii="宋体" w:hAnsi="宋体" w:cs="宋体"/>
                <w:color w:val="auto"/>
                <w:sz w:val="24"/>
                <w:highlight w:val="none"/>
              </w:rPr>
            </w:pPr>
          </w:p>
        </w:tc>
        <w:tc>
          <w:tcPr>
            <w:tcW w:w="3476" w:type="dxa"/>
            <w:gridSpan w:val="5"/>
          </w:tcPr>
          <w:p w14:paraId="17C24935">
            <w:pPr>
              <w:snapToGrid w:val="0"/>
              <w:spacing w:line="360" w:lineRule="auto"/>
              <w:rPr>
                <w:rFonts w:ascii="宋体" w:hAnsi="宋体" w:cs="宋体"/>
                <w:color w:val="auto"/>
                <w:sz w:val="24"/>
                <w:highlight w:val="none"/>
              </w:rPr>
            </w:pPr>
          </w:p>
        </w:tc>
        <w:tc>
          <w:tcPr>
            <w:tcW w:w="1607" w:type="dxa"/>
            <w:gridSpan w:val="2"/>
          </w:tcPr>
          <w:p w14:paraId="42950018">
            <w:pPr>
              <w:snapToGrid w:val="0"/>
              <w:spacing w:line="360" w:lineRule="auto"/>
              <w:rPr>
                <w:rFonts w:ascii="宋体" w:hAnsi="宋体" w:cs="宋体"/>
                <w:color w:val="auto"/>
                <w:sz w:val="24"/>
                <w:highlight w:val="none"/>
              </w:rPr>
            </w:pPr>
          </w:p>
        </w:tc>
        <w:tc>
          <w:tcPr>
            <w:tcW w:w="2657" w:type="dxa"/>
            <w:gridSpan w:val="2"/>
          </w:tcPr>
          <w:p w14:paraId="2A90AD6B">
            <w:pPr>
              <w:snapToGrid w:val="0"/>
              <w:spacing w:line="360" w:lineRule="auto"/>
              <w:rPr>
                <w:rFonts w:ascii="宋体" w:hAnsi="宋体" w:cs="宋体"/>
                <w:color w:val="auto"/>
                <w:sz w:val="24"/>
                <w:highlight w:val="none"/>
              </w:rPr>
            </w:pPr>
          </w:p>
        </w:tc>
      </w:tr>
      <w:tr w14:paraId="03421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0459857">
            <w:pPr>
              <w:snapToGrid w:val="0"/>
              <w:spacing w:line="360" w:lineRule="auto"/>
              <w:rPr>
                <w:rFonts w:ascii="宋体" w:hAnsi="宋体" w:cs="宋体"/>
                <w:color w:val="auto"/>
                <w:sz w:val="24"/>
                <w:highlight w:val="none"/>
              </w:rPr>
            </w:pPr>
          </w:p>
        </w:tc>
        <w:tc>
          <w:tcPr>
            <w:tcW w:w="3476" w:type="dxa"/>
            <w:gridSpan w:val="5"/>
          </w:tcPr>
          <w:p w14:paraId="0B19154B">
            <w:pPr>
              <w:snapToGrid w:val="0"/>
              <w:spacing w:line="360" w:lineRule="auto"/>
              <w:rPr>
                <w:rFonts w:ascii="宋体" w:hAnsi="宋体" w:cs="宋体"/>
                <w:color w:val="auto"/>
                <w:sz w:val="24"/>
                <w:highlight w:val="none"/>
              </w:rPr>
            </w:pPr>
          </w:p>
        </w:tc>
        <w:tc>
          <w:tcPr>
            <w:tcW w:w="1607" w:type="dxa"/>
            <w:gridSpan w:val="2"/>
          </w:tcPr>
          <w:p w14:paraId="41C2973C">
            <w:pPr>
              <w:snapToGrid w:val="0"/>
              <w:spacing w:line="360" w:lineRule="auto"/>
              <w:rPr>
                <w:rFonts w:ascii="宋体" w:hAnsi="宋体" w:cs="宋体"/>
                <w:color w:val="auto"/>
                <w:sz w:val="24"/>
                <w:highlight w:val="none"/>
              </w:rPr>
            </w:pPr>
          </w:p>
        </w:tc>
        <w:tc>
          <w:tcPr>
            <w:tcW w:w="2657" w:type="dxa"/>
            <w:gridSpan w:val="2"/>
          </w:tcPr>
          <w:p w14:paraId="229E2A9F">
            <w:pPr>
              <w:snapToGrid w:val="0"/>
              <w:spacing w:line="360" w:lineRule="auto"/>
              <w:rPr>
                <w:rFonts w:ascii="宋体" w:hAnsi="宋体" w:cs="宋体"/>
                <w:color w:val="auto"/>
                <w:sz w:val="24"/>
                <w:highlight w:val="none"/>
              </w:rPr>
            </w:pPr>
          </w:p>
        </w:tc>
      </w:tr>
      <w:tr w14:paraId="0CB2C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330333A">
            <w:pPr>
              <w:snapToGrid w:val="0"/>
              <w:spacing w:line="360" w:lineRule="auto"/>
              <w:rPr>
                <w:rFonts w:ascii="宋体" w:hAnsi="宋体" w:cs="宋体"/>
                <w:color w:val="auto"/>
                <w:sz w:val="24"/>
                <w:highlight w:val="none"/>
              </w:rPr>
            </w:pPr>
          </w:p>
        </w:tc>
        <w:tc>
          <w:tcPr>
            <w:tcW w:w="3476" w:type="dxa"/>
            <w:gridSpan w:val="5"/>
          </w:tcPr>
          <w:p w14:paraId="7E13579B">
            <w:pPr>
              <w:snapToGrid w:val="0"/>
              <w:spacing w:line="360" w:lineRule="auto"/>
              <w:rPr>
                <w:rFonts w:ascii="宋体" w:hAnsi="宋体" w:cs="宋体"/>
                <w:color w:val="auto"/>
                <w:sz w:val="24"/>
                <w:highlight w:val="none"/>
              </w:rPr>
            </w:pPr>
          </w:p>
        </w:tc>
        <w:tc>
          <w:tcPr>
            <w:tcW w:w="1607" w:type="dxa"/>
            <w:gridSpan w:val="2"/>
          </w:tcPr>
          <w:p w14:paraId="0E7AA817">
            <w:pPr>
              <w:snapToGrid w:val="0"/>
              <w:spacing w:line="360" w:lineRule="auto"/>
              <w:rPr>
                <w:rFonts w:ascii="宋体" w:hAnsi="宋体" w:cs="宋体"/>
                <w:color w:val="auto"/>
                <w:sz w:val="24"/>
                <w:highlight w:val="none"/>
              </w:rPr>
            </w:pPr>
          </w:p>
        </w:tc>
        <w:tc>
          <w:tcPr>
            <w:tcW w:w="2657" w:type="dxa"/>
            <w:gridSpan w:val="2"/>
          </w:tcPr>
          <w:p w14:paraId="2456AE69">
            <w:pPr>
              <w:snapToGrid w:val="0"/>
              <w:spacing w:line="360" w:lineRule="auto"/>
              <w:rPr>
                <w:rFonts w:ascii="宋体" w:hAnsi="宋体" w:cs="宋体"/>
                <w:color w:val="auto"/>
                <w:sz w:val="24"/>
                <w:highlight w:val="none"/>
              </w:rPr>
            </w:pPr>
          </w:p>
        </w:tc>
      </w:tr>
      <w:tr w14:paraId="3D076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6817DC2">
            <w:pPr>
              <w:snapToGrid w:val="0"/>
              <w:spacing w:line="360" w:lineRule="auto"/>
              <w:rPr>
                <w:rFonts w:ascii="宋体" w:hAnsi="宋体" w:cs="宋体"/>
                <w:color w:val="auto"/>
                <w:sz w:val="24"/>
                <w:highlight w:val="none"/>
              </w:rPr>
            </w:pPr>
          </w:p>
        </w:tc>
        <w:tc>
          <w:tcPr>
            <w:tcW w:w="3476" w:type="dxa"/>
            <w:gridSpan w:val="5"/>
          </w:tcPr>
          <w:p w14:paraId="2B07B028">
            <w:pPr>
              <w:snapToGrid w:val="0"/>
              <w:spacing w:line="360" w:lineRule="auto"/>
              <w:rPr>
                <w:rFonts w:ascii="宋体" w:hAnsi="宋体" w:cs="宋体"/>
                <w:color w:val="auto"/>
                <w:sz w:val="24"/>
                <w:highlight w:val="none"/>
              </w:rPr>
            </w:pPr>
          </w:p>
        </w:tc>
        <w:tc>
          <w:tcPr>
            <w:tcW w:w="1607" w:type="dxa"/>
            <w:gridSpan w:val="2"/>
          </w:tcPr>
          <w:p w14:paraId="38D50C8D">
            <w:pPr>
              <w:snapToGrid w:val="0"/>
              <w:spacing w:line="360" w:lineRule="auto"/>
              <w:rPr>
                <w:rFonts w:ascii="宋体" w:hAnsi="宋体" w:cs="宋体"/>
                <w:color w:val="auto"/>
                <w:sz w:val="24"/>
                <w:highlight w:val="none"/>
              </w:rPr>
            </w:pPr>
          </w:p>
        </w:tc>
        <w:tc>
          <w:tcPr>
            <w:tcW w:w="2657" w:type="dxa"/>
            <w:gridSpan w:val="2"/>
          </w:tcPr>
          <w:p w14:paraId="374BD679">
            <w:pPr>
              <w:snapToGrid w:val="0"/>
              <w:spacing w:line="360" w:lineRule="auto"/>
              <w:rPr>
                <w:rFonts w:ascii="宋体" w:hAnsi="宋体" w:cs="宋体"/>
                <w:color w:val="auto"/>
                <w:sz w:val="24"/>
                <w:highlight w:val="none"/>
              </w:rPr>
            </w:pPr>
          </w:p>
        </w:tc>
      </w:tr>
    </w:tbl>
    <w:p w14:paraId="0CB22031">
      <w:pPr>
        <w:widowControl/>
        <w:spacing w:line="360" w:lineRule="auto"/>
        <w:jc w:val="left"/>
        <w:rPr>
          <w:rFonts w:ascii="宋体" w:hAnsi="宋体" w:cs="宋体"/>
          <w:color w:val="auto"/>
          <w:sz w:val="24"/>
          <w:highlight w:val="none"/>
        </w:rPr>
      </w:pPr>
    </w:p>
    <w:p w14:paraId="561E5294">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7327BD7A">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1FB785F5">
      <w:pPr>
        <w:keepNext/>
        <w:keepLines/>
        <w:spacing w:line="360" w:lineRule="auto"/>
        <w:jc w:val="center"/>
        <w:outlineLvl w:val="1"/>
        <w:rPr>
          <w:rFonts w:ascii="宋体" w:hAnsi="宋体" w:cs="宋体"/>
          <w:color w:val="auto"/>
          <w:sz w:val="32"/>
          <w:highlight w:val="none"/>
        </w:rPr>
      </w:pPr>
      <w:r>
        <w:rPr>
          <w:rFonts w:hint="eastAsia" w:ascii="宋体" w:hAnsi="宋体" w:cs="宋体"/>
          <w:b/>
          <w:bCs/>
          <w:color w:val="auto"/>
          <w:sz w:val="40"/>
          <w:szCs w:val="32"/>
          <w:highlight w:val="none"/>
        </w:rPr>
        <w:br w:type="page"/>
      </w:r>
      <w:bookmarkEnd w:id="240"/>
      <w:bookmarkEnd w:id="241"/>
      <w:bookmarkEnd w:id="242"/>
      <w:bookmarkEnd w:id="243"/>
      <w:bookmarkEnd w:id="244"/>
      <w:bookmarkEnd w:id="245"/>
    </w:p>
    <w:p w14:paraId="16A7E59A">
      <w:pPr>
        <w:pStyle w:val="4"/>
        <w:spacing w:before="0" w:after="0" w:line="360" w:lineRule="auto"/>
        <w:jc w:val="center"/>
        <w:rPr>
          <w:rFonts w:ascii="宋体" w:hAnsi="宋体" w:eastAsia="宋体" w:cs="宋体"/>
          <w:color w:val="auto"/>
          <w:highlight w:val="none"/>
        </w:rPr>
      </w:pPr>
      <w:bookmarkStart w:id="246" w:name="_Toc6338"/>
      <w:r>
        <w:rPr>
          <w:rFonts w:hint="eastAsia" w:ascii="宋体" w:hAnsi="宋体" w:eastAsia="宋体" w:cs="宋体"/>
          <w:color w:val="auto"/>
          <w:sz w:val="32"/>
          <w:highlight w:val="none"/>
        </w:rPr>
        <w:t>九、拟投入本项目的主要仪器设备一览表</w:t>
      </w:r>
      <w:bookmarkEnd w:id="246"/>
    </w:p>
    <w:tbl>
      <w:tblPr>
        <w:tblStyle w:val="1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631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vMerge w:val="restart"/>
            <w:vAlign w:val="center"/>
          </w:tcPr>
          <w:p w14:paraId="4A215F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93" w:type="dxa"/>
            <w:vMerge w:val="restart"/>
            <w:vAlign w:val="center"/>
          </w:tcPr>
          <w:p w14:paraId="5CA9EF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900" w:type="dxa"/>
            <w:vMerge w:val="restart"/>
            <w:vAlign w:val="center"/>
          </w:tcPr>
          <w:p w14:paraId="5FA40A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w:t>
            </w:r>
          </w:p>
          <w:p w14:paraId="3111BF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数量基本要求</w:t>
            </w:r>
          </w:p>
        </w:tc>
        <w:tc>
          <w:tcPr>
            <w:tcW w:w="6314" w:type="dxa"/>
            <w:gridSpan w:val="5"/>
            <w:vAlign w:val="center"/>
          </w:tcPr>
          <w:p w14:paraId="2A7087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投标人填写</w:t>
            </w:r>
          </w:p>
        </w:tc>
      </w:tr>
      <w:tr w14:paraId="1E11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025ECE1E">
            <w:pPr>
              <w:spacing w:line="360" w:lineRule="auto"/>
              <w:jc w:val="center"/>
              <w:rPr>
                <w:rFonts w:ascii="宋体" w:hAnsi="宋体" w:cs="宋体"/>
                <w:color w:val="auto"/>
                <w:szCs w:val="21"/>
                <w:highlight w:val="none"/>
              </w:rPr>
            </w:pPr>
          </w:p>
        </w:tc>
        <w:tc>
          <w:tcPr>
            <w:tcW w:w="1793" w:type="dxa"/>
            <w:vMerge w:val="continue"/>
            <w:vAlign w:val="center"/>
          </w:tcPr>
          <w:p w14:paraId="3F15B940">
            <w:pPr>
              <w:spacing w:line="360" w:lineRule="auto"/>
              <w:jc w:val="center"/>
              <w:rPr>
                <w:rFonts w:ascii="宋体" w:hAnsi="宋体" w:cs="宋体"/>
                <w:color w:val="auto"/>
                <w:szCs w:val="21"/>
                <w:highlight w:val="none"/>
              </w:rPr>
            </w:pPr>
          </w:p>
        </w:tc>
        <w:tc>
          <w:tcPr>
            <w:tcW w:w="900" w:type="dxa"/>
            <w:vMerge w:val="continue"/>
            <w:vAlign w:val="center"/>
          </w:tcPr>
          <w:p w14:paraId="4D77FAD5">
            <w:pPr>
              <w:spacing w:line="360" w:lineRule="auto"/>
              <w:jc w:val="center"/>
              <w:rPr>
                <w:rFonts w:ascii="宋体" w:hAnsi="宋体" w:cs="宋体"/>
                <w:color w:val="auto"/>
                <w:szCs w:val="21"/>
                <w:highlight w:val="none"/>
              </w:rPr>
            </w:pPr>
          </w:p>
        </w:tc>
        <w:tc>
          <w:tcPr>
            <w:tcW w:w="992" w:type="dxa"/>
            <w:vAlign w:val="center"/>
          </w:tcPr>
          <w:p w14:paraId="132C3F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785" w:type="dxa"/>
            <w:vAlign w:val="center"/>
          </w:tcPr>
          <w:p w14:paraId="6F3734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检定/校准机构</w:t>
            </w:r>
          </w:p>
        </w:tc>
        <w:tc>
          <w:tcPr>
            <w:tcW w:w="1116" w:type="dxa"/>
            <w:vAlign w:val="center"/>
          </w:tcPr>
          <w:p w14:paraId="1A4251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有效期</w:t>
            </w:r>
          </w:p>
        </w:tc>
        <w:tc>
          <w:tcPr>
            <w:tcW w:w="1341" w:type="dxa"/>
            <w:vAlign w:val="center"/>
          </w:tcPr>
          <w:p w14:paraId="29259A22">
            <w:pPr>
              <w:spacing w:line="360" w:lineRule="auto"/>
              <w:jc w:val="center"/>
              <w:rPr>
                <w:rFonts w:ascii="宋体" w:hAnsi="宋体" w:cs="宋体"/>
                <w:color w:val="auto"/>
                <w:szCs w:val="21"/>
                <w:highlight w:val="none"/>
              </w:rPr>
            </w:pPr>
            <w:bookmarkStart w:id="247" w:name="_Toc532367899"/>
            <w:bookmarkStart w:id="248" w:name="_Toc30833"/>
            <w:bookmarkStart w:id="249" w:name="_Toc377719919"/>
            <w:bookmarkStart w:id="250" w:name="_Toc23148"/>
            <w:bookmarkStart w:id="251" w:name="_Toc31367"/>
            <w:bookmarkStart w:id="252" w:name="_Toc25992"/>
            <w:bookmarkStart w:id="253" w:name="_Toc76"/>
            <w:bookmarkStart w:id="254" w:name="_Toc168"/>
            <w:bookmarkStart w:id="255" w:name="_Toc13512"/>
            <w:bookmarkStart w:id="256" w:name="_Toc12595"/>
            <w:r>
              <w:rPr>
                <w:rFonts w:hint="eastAsia" w:ascii="宋体" w:hAnsi="宋体" w:cs="宋体"/>
                <w:color w:val="auto"/>
                <w:szCs w:val="21"/>
                <w:highlight w:val="none"/>
              </w:rPr>
              <w:t>检定/</w:t>
            </w:r>
            <w:bookmarkEnd w:id="247"/>
            <w:bookmarkEnd w:id="248"/>
            <w:bookmarkEnd w:id="249"/>
            <w:bookmarkEnd w:id="250"/>
            <w:bookmarkEnd w:id="251"/>
            <w:bookmarkEnd w:id="252"/>
            <w:bookmarkEnd w:id="253"/>
            <w:bookmarkEnd w:id="254"/>
            <w:r>
              <w:rPr>
                <w:rFonts w:hint="eastAsia" w:ascii="宋体" w:hAnsi="宋体" w:cs="宋体"/>
                <w:color w:val="auto"/>
                <w:szCs w:val="21"/>
                <w:highlight w:val="none"/>
              </w:rPr>
              <w:t>校准周期</w:t>
            </w:r>
          </w:p>
        </w:tc>
        <w:tc>
          <w:tcPr>
            <w:tcW w:w="1080" w:type="dxa"/>
            <w:vAlign w:val="center"/>
          </w:tcPr>
          <w:p w14:paraId="07F519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65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0158A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93" w:type="dxa"/>
            <w:vAlign w:val="center"/>
          </w:tcPr>
          <w:p w14:paraId="068377E6">
            <w:pPr>
              <w:spacing w:line="360" w:lineRule="auto"/>
              <w:jc w:val="center"/>
              <w:rPr>
                <w:rFonts w:ascii="宋体" w:hAnsi="宋体" w:cs="宋体"/>
                <w:color w:val="auto"/>
                <w:szCs w:val="21"/>
                <w:highlight w:val="none"/>
              </w:rPr>
            </w:pPr>
          </w:p>
        </w:tc>
        <w:tc>
          <w:tcPr>
            <w:tcW w:w="900" w:type="dxa"/>
            <w:vAlign w:val="center"/>
          </w:tcPr>
          <w:p w14:paraId="5F480935">
            <w:pPr>
              <w:spacing w:line="360" w:lineRule="auto"/>
              <w:jc w:val="center"/>
              <w:rPr>
                <w:rFonts w:ascii="宋体" w:hAnsi="宋体" w:cs="宋体"/>
                <w:color w:val="auto"/>
                <w:szCs w:val="21"/>
                <w:highlight w:val="none"/>
              </w:rPr>
            </w:pPr>
          </w:p>
        </w:tc>
        <w:tc>
          <w:tcPr>
            <w:tcW w:w="992" w:type="dxa"/>
            <w:vAlign w:val="center"/>
          </w:tcPr>
          <w:p w14:paraId="2C095DAB">
            <w:pPr>
              <w:spacing w:line="360" w:lineRule="auto"/>
              <w:jc w:val="center"/>
              <w:rPr>
                <w:rFonts w:ascii="宋体" w:hAnsi="宋体" w:cs="宋体"/>
                <w:color w:val="auto"/>
                <w:szCs w:val="21"/>
                <w:highlight w:val="none"/>
              </w:rPr>
            </w:pPr>
          </w:p>
        </w:tc>
        <w:tc>
          <w:tcPr>
            <w:tcW w:w="1785" w:type="dxa"/>
            <w:vAlign w:val="center"/>
          </w:tcPr>
          <w:p w14:paraId="3C93C55C">
            <w:pPr>
              <w:spacing w:line="360" w:lineRule="auto"/>
              <w:jc w:val="center"/>
              <w:rPr>
                <w:rFonts w:ascii="宋体" w:hAnsi="宋体" w:cs="宋体"/>
                <w:color w:val="auto"/>
                <w:szCs w:val="21"/>
                <w:highlight w:val="none"/>
              </w:rPr>
            </w:pPr>
          </w:p>
        </w:tc>
        <w:tc>
          <w:tcPr>
            <w:tcW w:w="1116" w:type="dxa"/>
            <w:vAlign w:val="center"/>
          </w:tcPr>
          <w:p w14:paraId="580001F4">
            <w:pPr>
              <w:spacing w:line="360" w:lineRule="auto"/>
              <w:jc w:val="center"/>
              <w:rPr>
                <w:rFonts w:ascii="宋体" w:hAnsi="宋体" w:cs="宋体"/>
                <w:color w:val="auto"/>
                <w:szCs w:val="21"/>
                <w:highlight w:val="none"/>
              </w:rPr>
            </w:pPr>
          </w:p>
        </w:tc>
        <w:tc>
          <w:tcPr>
            <w:tcW w:w="1341" w:type="dxa"/>
            <w:vAlign w:val="center"/>
          </w:tcPr>
          <w:p w14:paraId="084DE904">
            <w:pPr>
              <w:spacing w:line="360" w:lineRule="auto"/>
              <w:jc w:val="center"/>
              <w:rPr>
                <w:rFonts w:ascii="宋体" w:hAnsi="宋体" w:cs="宋体"/>
                <w:color w:val="auto"/>
                <w:szCs w:val="21"/>
                <w:highlight w:val="none"/>
              </w:rPr>
            </w:pPr>
          </w:p>
        </w:tc>
        <w:tc>
          <w:tcPr>
            <w:tcW w:w="1080" w:type="dxa"/>
            <w:vAlign w:val="center"/>
          </w:tcPr>
          <w:p w14:paraId="2FB20638">
            <w:pPr>
              <w:spacing w:line="360" w:lineRule="auto"/>
              <w:jc w:val="center"/>
              <w:rPr>
                <w:rFonts w:ascii="宋体" w:hAnsi="宋体" w:cs="宋体"/>
                <w:color w:val="auto"/>
                <w:szCs w:val="21"/>
                <w:highlight w:val="none"/>
              </w:rPr>
            </w:pPr>
          </w:p>
        </w:tc>
      </w:tr>
      <w:tr w14:paraId="174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D104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93" w:type="dxa"/>
            <w:vAlign w:val="center"/>
          </w:tcPr>
          <w:p w14:paraId="2CA23FD4">
            <w:pPr>
              <w:spacing w:line="360" w:lineRule="auto"/>
              <w:jc w:val="center"/>
              <w:rPr>
                <w:rFonts w:ascii="宋体" w:hAnsi="宋体" w:cs="宋体"/>
                <w:color w:val="auto"/>
                <w:szCs w:val="21"/>
                <w:highlight w:val="none"/>
              </w:rPr>
            </w:pPr>
          </w:p>
        </w:tc>
        <w:tc>
          <w:tcPr>
            <w:tcW w:w="900" w:type="dxa"/>
            <w:vAlign w:val="center"/>
          </w:tcPr>
          <w:p w14:paraId="3996B2DA">
            <w:pPr>
              <w:spacing w:line="360" w:lineRule="auto"/>
              <w:jc w:val="center"/>
              <w:rPr>
                <w:rFonts w:ascii="宋体" w:hAnsi="宋体" w:cs="宋体"/>
                <w:color w:val="auto"/>
                <w:szCs w:val="21"/>
                <w:highlight w:val="none"/>
              </w:rPr>
            </w:pPr>
          </w:p>
        </w:tc>
        <w:tc>
          <w:tcPr>
            <w:tcW w:w="992" w:type="dxa"/>
            <w:vAlign w:val="center"/>
          </w:tcPr>
          <w:p w14:paraId="3414F4EE">
            <w:pPr>
              <w:spacing w:line="360" w:lineRule="auto"/>
              <w:jc w:val="center"/>
              <w:rPr>
                <w:rFonts w:ascii="宋体" w:hAnsi="宋体" w:cs="宋体"/>
                <w:color w:val="auto"/>
                <w:szCs w:val="21"/>
                <w:highlight w:val="none"/>
              </w:rPr>
            </w:pPr>
          </w:p>
        </w:tc>
        <w:tc>
          <w:tcPr>
            <w:tcW w:w="1785" w:type="dxa"/>
            <w:vAlign w:val="center"/>
          </w:tcPr>
          <w:p w14:paraId="77F39252">
            <w:pPr>
              <w:spacing w:line="360" w:lineRule="auto"/>
              <w:jc w:val="center"/>
              <w:rPr>
                <w:rFonts w:ascii="宋体" w:hAnsi="宋体" w:cs="宋体"/>
                <w:color w:val="auto"/>
                <w:szCs w:val="21"/>
                <w:highlight w:val="none"/>
              </w:rPr>
            </w:pPr>
          </w:p>
        </w:tc>
        <w:tc>
          <w:tcPr>
            <w:tcW w:w="1116" w:type="dxa"/>
            <w:vAlign w:val="center"/>
          </w:tcPr>
          <w:p w14:paraId="218EC463">
            <w:pPr>
              <w:spacing w:line="360" w:lineRule="auto"/>
              <w:jc w:val="center"/>
              <w:rPr>
                <w:rFonts w:ascii="宋体" w:hAnsi="宋体" w:cs="宋体"/>
                <w:color w:val="auto"/>
                <w:szCs w:val="21"/>
                <w:highlight w:val="none"/>
              </w:rPr>
            </w:pPr>
          </w:p>
        </w:tc>
        <w:tc>
          <w:tcPr>
            <w:tcW w:w="1341" w:type="dxa"/>
            <w:vAlign w:val="center"/>
          </w:tcPr>
          <w:p w14:paraId="368D5840">
            <w:pPr>
              <w:spacing w:line="360" w:lineRule="auto"/>
              <w:jc w:val="center"/>
              <w:rPr>
                <w:rFonts w:ascii="宋体" w:hAnsi="宋体" w:cs="宋体"/>
                <w:color w:val="auto"/>
                <w:szCs w:val="21"/>
                <w:highlight w:val="none"/>
              </w:rPr>
            </w:pPr>
          </w:p>
        </w:tc>
        <w:tc>
          <w:tcPr>
            <w:tcW w:w="1080" w:type="dxa"/>
            <w:vAlign w:val="center"/>
          </w:tcPr>
          <w:p w14:paraId="48F46603">
            <w:pPr>
              <w:spacing w:line="360" w:lineRule="auto"/>
              <w:jc w:val="center"/>
              <w:rPr>
                <w:rFonts w:ascii="宋体" w:hAnsi="宋体" w:cs="宋体"/>
                <w:i/>
                <w:color w:val="auto"/>
                <w:szCs w:val="21"/>
                <w:highlight w:val="none"/>
              </w:rPr>
            </w:pPr>
          </w:p>
        </w:tc>
      </w:tr>
      <w:tr w14:paraId="544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DD644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93" w:type="dxa"/>
            <w:vAlign w:val="center"/>
          </w:tcPr>
          <w:p w14:paraId="40A03C8C">
            <w:pPr>
              <w:spacing w:line="360" w:lineRule="auto"/>
              <w:jc w:val="center"/>
              <w:rPr>
                <w:rFonts w:ascii="宋体" w:hAnsi="宋体" w:cs="宋体"/>
                <w:color w:val="auto"/>
                <w:szCs w:val="21"/>
                <w:highlight w:val="none"/>
              </w:rPr>
            </w:pPr>
          </w:p>
        </w:tc>
        <w:tc>
          <w:tcPr>
            <w:tcW w:w="900" w:type="dxa"/>
            <w:vAlign w:val="center"/>
          </w:tcPr>
          <w:p w14:paraId="42FB64E3">
            <w:pPr>
              <w:spacing w:line="360" w:lineRule="auto"/>
              <w:jc w:val="center"/>
              <w:rPr>
                <w:rFonts w:ascii="宋体" w:hAnsi="宋体" w:cs="宋体"/>
                <w:color w:val="auto"/>
                <w:szCs w:val="21"/>
                <w:highlight w:val="none"/>
              </w:rPr>
            </w:pPr>
          </w:p>
        </w:tc>
        <w:tc>
          <w:tcPr>
            <w:tcW w:w="992" w:type="dxa"/>
            <w:vAlign w:val="center"/>
          </w:tcPr>
          <w:p w14:paraId="08DDB941">
            <w:pPr>
              <w:spacing w:line="360" w:lineRule="auto"/>
              <w:jc w:val="center"/>
              <w:rPr>
                <w:rFonts w:ascii="宋体" w:hAnsi="宋体" w:cs="宋体"/>
                <w:color w:val="auto"/>
                <w:szCs w:val="21"/>
                <w:highlight w:val="none"/>
              </w:rPr>
            </w:pPr>
          </w:p>
        </w:tc>
        <w:tc>
          <w:tcPr>
            <w:tcW w:w="1785" w:type="dxa"/>
            <w:vAlign w:val="center"/>
          </w:tcPr>
          <w:p w14:paraId="3441BDF2">
            <w:pPr>
              <w:spacing w:line="360" w:lineRule="auto"/>
              <w:jc w:val="center"/>
              <w:rPr>
                <w:rFonts w:ascii="宋体" w:hAnsi="宋体" w:cs="宋体"/>
                <w:color w:val="auto"/>
                <w:szCs w:val="21"/>
                <w:highlight w:val="none"/>
              </w:rPr>
            </w:pPr>
          </w:p>
        </w:tc>
        <w:tc>
          <w:tcPr>
            <w:tcW w:w="1116" w:type="dxa"/>
            <w:vAlign w:val="center"/>
          </w:tcPr>
          <w:p w14:paraId="44F047E2">
            <w:pPr>
              <w:spacing w:line="360" w:lineRule="auto"/>
              <w:jc w:val="center"/>
              <w:rPr>
                <w:rFonts w:ascii="宋体" w:hAnsi="宋体" w:cs="宋体"/>
                <w:color w:val="auto"/>
                <w:szCs w:val="21"/>
                <w:highlight w:val="none"/>
              </w:rPr>
            </w:pPr>
          </w:p>
        </w:tc>
        <w:tc>
          <w:tcPr>
            <w:tcW w:w="1341" w:type="dxa"/>
            <w:vAlign w:val="center"/>
          </w:tcPr>
          <w:p w14:paraId="59B41EFB">
            <w:pPr>
              <w:spacing w:line="360" w:lineRule="auto"/>
              <w:jc w:val="center"/>
              <w:rPr>
                <w:rFonts w:ascii="宋体" w:hAnsi="宋体" w:cs="宋体"/>
                <w:color w:val="auto"/>
                <w:szCs w:val="21"/>
                <w:highlight w:val="none"/>
              </w:rPr>
            </w:pPr>
          </w:p>
        </w:tc>
        <w:tc>
          <w:tcPr>
            <w:tcW w:w="1080" w:type="dxa"/>
            <w:vAlign w:val="center"/>
          </w:tcPr>
          <w:p w14:paraId="5D169D5C">
            <w:pPr>
              <w:spacing w:line="360" w:lineRule="auto"/>
              <w:jc w:val="center"/>
              <w:rPr>
                <w:rFonts w:ascii="宋体" w:hAnsi="宋体" w:cs="宋体"/>
                <w:color w:val="auto"/>
                <w:szCs w:val="21"/>
                <w:highlight w:val="none"/>
              </w:rPr>
            </w:pPr>
          </w:p>
        </w:tc>
      </w:tr>
      <w:tr w14:paraId="7A8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A96F5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93" w:type="dxa"/>
            <w:vAlign w:val="center"/>
          </w:tcPr>
          <w:p w14:paraId="5315885F">
            <w:pPr>
              <w:spacing w:line="360" w:lineRule="auto"/>
              <w:jc w:val="center"/>
              <w:rPr>
                <w:rFonts w:ascii="宋体" w:hAnsi="宋体" w:cs="宋体"/>
                <w:color w:val="auto"/>
                <w:szCs w:val="21"/>
                <w:highlight w:val="none"/>
              </w:rPr>
            </w:pPr>
          </w:p>
        </w:tc>
        <w:tc>
          <w:tcPr>
            <w:tcW w:w="900" w:type="dxa"/>
            <w:vAlign w:val="center"/>
          </w:tcPr>
          <w:p w14:paraId="55B9004C">
            <w:pPr>
              <w:spacing w:line="360" w:lineRule="auto"/>
              <w:jc w:val="center"/>
              <w:rPr>
                <w:rFonts w:ascii="宋体" w:hAnsi="宋体" w:cs="宋体"/>
                <w:color w:val="auto"/>
                <w:szCs w:val="21"/>
                <w:highlight w:val="none"/>
              </w:rPr>
            </w:pPr>
          </w:p>
        </w:tc>
        <w:tc>
          <w:tcPr>
            <w:tcW w:w="992" w:type="dxa"/>
            <w:vAlign w:val="center"/>
          </w:tcPr>
          <w:p w14:paraId="2AB733D8">
            <w:pPr>
              <w:spacing w:line="360" w:lineRule="auto"/>
              <w:jc w:val="center"/>
              <w:rPr>
                <w:rFonts w:ascii="宋体" w:hAnsi="宋体" w:cs="宋体"/>
                <w:color w:val="auto"/>
                <w:szCs w:val="21"/>
                <w:highlight w:val="none"/>
              </w:rPr>
            </w:pPr>
          </w:p>
        </w:tc>
        <w:tc>
          <w:tcPr>
            <w:tcW w:w="1785" w:type="dxa"/>
            <w:vAlign w:val="center"/>
          </w:tcPr>
          <w:p w14:paraId="065BE00E">
            <w:pPr>
              <w:spacing w:line="360" w:lineRule="auto"/>
              <w:jc w:val="center"/>
              <w:rPr>
                <w:rFonts w:ascii="宋体" w:hAnsi="宋体" w:cs="宋体"/>
                <w:color w:val="auto"/>
                <w:szCs w:val="21"/>
                <w:highlight w:val="none"/>
              </w:rPr>
            </w:pPr>
          </w:p>
        </w:tc>
        <w:tc>
          <w:tcPr>
            <w:tcW w:w="1116" w:type="dxa"/>
            <w:vAlign w:val="center"/>
          </w:tcPr>
          <w:p w14:paraId="5790FA7C">
            <w:pPr>
              <w:spacing w:line="360" w:lineRule="auto"/>
              <w:jc w:val="center"/>
              <w:rPr>
                <w:rFonts w:ascii="宋体" w:hAnsi="宋体" w:cs="宋体"/>
                <w:color w:val="auto"/>
                <w:szCs w:val="21"/>
                <w:highlight w:val="none"/>
              </w:rPr>
            </w:pPr>
          </w:p>
        </w:tc>
        <w:tc>
          <w:tcPr>
            <w:tcW w:w="1341" w:type="dxa"/>
            <w:vAlign w:val="center"/>
          </w:tcPr>
          <w:p w14:paraId="4B6E4B65">
            <w:pPr>
              <w:spacing w:line="360" w:lineRule="auto"/>
              <w:jc w:val="center"/>
              <w:rPr>
                <w:rFonts w:ascii="宋体" w:hAnsi="宋体" w:cs="宋体"/>
                <w:color w:val="auto"/>
                <w:szCs w:val="21"/>
                <w:highlight w:val="none"/>
              </w:rPr>
            </w:pPr>
          </w:p>
        </w:tc>
        <w:tc>
          <w:tcPr>
            <w:tcW w:w="1080" w:type="dxa"/>
            <w:vAlign w:val="center"/>
          </w:tcPr>
          <w:p w14:paraId="41D1C93D">
            <w:pPr>
              <w:spacing w:line="360" w:lineRule="auto"/>
              <w:jc w:val="center"/>
              <w:rPr>
                <w:rFonts w:ascii="宋体" w:hAnsi="宋体" w:cs="宋体"/>
                <w:color w:val="auto"/>
                <w:szCs w:val="21"/>
                <w:highlight w:val="none"/>
              </w:rPr>
            </w:pPr>
          </w:p>
        </w:tc>
      </w:tr>
      <w:tr w14:paraId="43D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6EF15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93" w:type="dxa"/>
            <w:vAlign w:val="center"/>
          </w:tcPr>
          <w:p w14:paraId="09CCD616">
            <w:pPr>
              <w:spacing w:line="360" w:lineRule="auto"/>
              <w:jc w:val="center"/>
              <w:rPr>
                <w:rFonts w:ascii="宋体" w:hAnsi="宋体" w:cs="宋体"/>
                <w:color w:val="auto"/>
                <w:szCs w:val="21"/>
                <w:highlight w:val="none"/>
              </w:rPr>
            </w:pPr>
          </w:p>
        </w:tc>
        <w:tc>
          <w:tcPr>
            <w:tcW w:w="900" w:type="dxa"/>
            <w:vAlign w:val="center"/>
          </w:tcPr>
          <w:p w14:paraId="1895A700">
            <w:pPr>
              <w:spacing w:line="360" w:lineRule="auto"/>
              <w:jc w:val="center"/>
              <w:rPr>
                <w:rFonts w:ascii="宋体" w:hAnsi="宋体" w:cs="宋体"/>
                <w:color w:val="auto"/>
                <w:szCs w:val="21"/>
                <w:highlight w:val="none"/>
              </w:rPr>
            </w:pPr>
          </w:p>
        </w:tc>
        <w:tc>
          <w:tcPr>
            <w:tcW w:w="992" w:type="dxa"/>
            <w:vAlign w:val="center"/>
          </w:tcPr>
          <w:p w14:paraId="0825F014">
            <w:pPr>
              <w:spacing w:line="360" w:lineRule="auto"/>
              <w:jc w:val="center"/>
              <w:rPr>
                <w:rFonts w:ascii="宋体" w:hAnsi="宋体" w:cs="宋体"/>
                <w:color w:val="auto"/>
                <w:szCs w:val="21"/>
                <w:highlight w:val="none"/>
              </w:rPr>
            </w:pPr>
          </w:p>
        </w:tc>
        <w:tc>
          <w:tcPr>
            <w:tcW w:w="1785" w:type="dxa"/>
            <w:vAlign w:val="center"/>
          </w:tcPr>
          <w:p w14:paraId="0C58A140">
            <w:pPr>
              <w:spacing w:line="360" w:lineRule="auto"/>
              <w:jc w:val="center"/>
              <w:rPr>
                <w:rFonts w:ascii="宋体" w:hAnsi="宋体" w:cs="宋体"/>
                <w:color w:val="auto"/>
                <w:szCs w:val="21"/>
                <w:highlight w:val="none"/>
              </w:rPr>
            </w:pPr>
          </w:p>
        </w:tc>
        <w:tc>
          <w:tcPr>
            <w:tcW w:w="1116" w:type="dxa"/>
            <w:vAlign w:val="center"/>
          </w:tcPr>
          <w:p w14:paraId="0C63C6B8">
            <w:pPr>
              <w:spacing w:line="360" w:lineRule="auto"/>
              <w:jc w:val="center"/>
              <w:rPr>
                <w:rFonts w:ascii="宋体" w:hAnsi="宋体" w:cs="宋体"/>
                <w:color w:val="auto"/>
                <w:szCs w:val="21"/>
                <w:highlight w:val="none"/>
              </w:rPr>
            </w:pPr>
          </w:p>
        </w:tc>
        <w:tc>
          <w:tcPr>
            <w:tcW w:w="1341" w:type="dxa"/>
            <w:vAlign w:val="center"/>
          </w:tcPr>
          <w:p w14:paraId="318EC951">
            <w:pPr>
              <w:spacing w:line="360" w:lineRule="auto"/>
              <w:jc w:val="center"/>
              <w:rPr>
                <w:rFonts w:ascii="宋体" w:hAnsi="宋体" w:cs="宋体"/>
                <w:color w:val="auto"/>
                <w:szCs w:val="21"/>
                <w:highlight w:val="none"/>
              </w:rPr>
            </w:pPr>
          </w:p>
        </w:tc>
        <w:tc>
          <w:tcPr>
            <w:tcW w:w="1080" w:type="dxa"/>
            <w:vAlign w:val="center"/>
          </w:tcPr>
          <w:p w14:paraId="1B01F008">
            <w:pPr>
              <w:spacing w:line="360" w:lineRule="auto"/>
              <w:jc w:val="center"/>
              <w:rPr>
                <w:rFonts w:ascii="宋体" w:hAnsi="宋体" w:cs="宋体"/>
                <w:color w:val="auto"/>
                <w:szCs w:val="21"/>
                <w:highlight w:val="none"/>
              </w:rPr>
            </w:pPr>
          </w:p>
        </w:tc>
      </w:tr>
      <w:tr w14:paraId="1A9C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91B0C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793" w:type="dxa"/>
            <w:vAlign w:val="center"/>
          </w:tcPr>
          <w:p w14:paraId="0A1199DE">
            <w:pPr>
              <w:spacing w:line="360" w:lineRule="auto"/>
              <w:jc w:val="center"/>
              <w:rPr>
                <w:rFonts w:ascii="宋体" w:hAnsi="宋体" w:cs="宋体"/>
                <w:color w:val="auto"/>
                <w:szCs w:val="21"/>
                <w:highlight w:val="none"/>
              </w:rPr>
            </w:pPr>
          </w:p>
        </w:tc>
        <w:tc>
          <w:tcPr>
            <w:tcW w:w="900" w:type="dxa"/>
            <w:vAlign w:val="center"/>
          </w:tcPr>
          <w:p w14:paraId="41786237">
            <w:pPr>
              <w:spacing w:line="360" w:lineRule="auto"/>
              <w:jc w:val="center"/>
              <w:rPr>
                <w:rFonts w:ascii="宋体" w:hAnsi="宋体" w:cs="宋体"/>
                <w:color w:val="auto"/>
                <w:szCs w:val="21"/>
                <w:highlight w:val="none"/>
              </w:rPr>
            </w:pPr>
          </w:p>
        </w:tc>
        <w:tc>
          <w:tcPr>
            <w:tcW w:w="992" w:type="dxa"/>
            <w:vAlign w:val="center"/>
          </w:tcPr>
          <w:p w14:paraId="22EAA0DF">
            <w:pPr>
              <w:spacing w:line="360" w:lineRule="auto"/>
              <w:jc w:val="center"/>
              <w:rPr>
                <w:rFonts w:ascii="宋体" w:hAnsi="宋体" w:cs="宋体"/>
                <w:color w:val="auto"/>
                <w:szCs w:val="21"/>
                <w:highlight w:val="none"/>
              </w:rPr>
            </w:pPr>
          </w:p>
        </w:tc>
        <w:tc>
          <w:tcPr>
            <w:tcW w:w="1785" w:type="dxa"/>
            <w:vAlign w:val="center"/>
          </w:tcPr>
          <w:p w14:paraId="4BEB3384">
            <w:pPr>
              <w:spacing w:line="360" w:lineRule="auto"/>
              <w:jc w:val="center"/>
              <w:rPr>
                <w:rFonts w:ascii="宋体" w:hAnsi="宋体" w:cs="宋体"/>
                <w:color w:val="auto"/>
                <w:szCs w:val="21"/>
                <w:highlight w:val="none"/>
              </w:rPr>
            </w:pPr>
          </w:p>
        </w:tc>
        <w:tc>
          <w:tcPr>
            <w:tcW w:w="1116" w:type="dxa"/>
            <w:vAlign w:val="center"/>
          </w:tcPr>
          <w:p w14:paraId="1EF0CCBD">
            <w:pPr>
              <w:spacing w:line="360" w:lineRule="auto"/>
              <w:jc w:val="center"/>
              <w:rPr>
                <w:rFonts w:ascii="宋体" w:hAnsi="宋体" w:cs="宋体"/>
                <w:color w:val="auto"/>
                <w:szCs w:val="21"/>
                <w:highlight w:val="none"/>
              </w:rPr>
            </w:pPr>
          </w:p>
        </w:tc>
        <w:tc>
          <w:tcPr>
            <w:tcW w:w="1341" w:type="dxa"/>
            <w:vAlign w:val="center"/>
          </w:tcPr>
          <w:p w14:paraId="2BFC0A5A">
            <w:pPr>
              <w:spacing w:line="360" w:lineRule="auto"/>
              <w:jc w:val="center"/>
              <w:rPr>
                <w:rFonts w:ascii="宋体" w:hAnsi="宋体" w:cs="宋体"/>
                <w:color w:val="auto"/>
                <w:szCs w:val="21"/>
                <w:highlight w:val="none"/>
              </w:rPr>
            </w:pPr>
          </w:p>
        </w:tc>
        <w:tc>
          <w:tcPr>
            <w:tcW w:w="1080" w:type="dxa"/>
            <w:vAlign w:val="center"/>
          </w:tcPr>
          <w:p w14:paraId="3D622722">
            <w:pPr>
              <w:spacing w:line="360" w:lineRule="auto"/>
              <w:jc w:val="center"/>
              <w:rPr>
                <w:rFonts w:ascii="宋体" w:hAnsi="宋体" w:cs="宋体"/>
                <w:color w:val="auto"/>
                <w:szCs w:val="21"/>
                <w:highlight w:val="none"/>
              </w:rPr>
            </w:pPr>
          </w:p>
        </w:tc>
      </w:tr>
      <w:tr w14:paraId="351D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F444A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793" w:type="dxa"/>
            <w:vAlign w:val="center"/>
          </w:tcPr>
          <w:p w14:paraId="10921877">
            <w:pPr>
              <w:spacing w:line="360" w:lineRule="auto"/>
              <w:jc w:val="center"/>
              <w:rPr>
                <w:rFonts w:ascii="宋体" w:hAnsi="宋体" w:cs="宋体"/>
                <w:color w:val="auto"/>
                <w:szCs w:val="21"/>
                <w:highlight w:val="none"/>
              </w:rPr>
            </w:pPr>
          </w:p>
        </w:tc>
        <w:tc>
          <w:tcPr>
            <w:tcW w:w="900" w:type="dxa"/>
            <w:vAlign w:val="center"/>
          </w:tcPr>
          <w:p w14:paraId="1C52D7CA">
            <w:pPr>
              <w:spacing w:line="360" w:lineRule="auto"/>
              <w:jc w:val="center"/>
              <w:rPr>
                <w:rFonts w:ascii="宋体" w:hAnsi="宋体" w:cs="宋体"/>
                <w:color w:val="auto"/>
                <w:szCs w:val="21"/>
                <w:highlight w:val="none"/>
              </w:rPr>
            </w:pPr>
          </w:p>
        </w:tc>
        <w:tc>
          <w:tcPr>
            <w:tcW w:w="992" w:type="dxa"/>
            <w:vAlign w:val="center"/>
          </w:tcPr>
          <w:p w14:paraId="113B3691">
            <w:pPr>
              <w:spacing w:line="360" w:lineRule="auto"/>
              <w:jc w:val="center"/>
              <w:rPr>
                <w:rFonts w:ascii="宋体" w:hAnsi="宋体" w:cs="宋体"/>
                <w:color w:val="auto"/>
                <w:szCs w:val="21"/>
                <w:highlight w:val="none"/>
              </w:rPr>
            </w:pPr>
          </w:p>
        </w:tc>
        <w:tc>
          <w:tcPr>
            <w:tcW w:w="1785" w:type="dxa"/>
            <w:vAlign w:val="center"/>
          </w:tcPr>
          <w:p w14:paraId="278A4AAF">
            <w:pPr>
              <w:spacing w:line="360" w:lineRule="auto"/>
              <w:jc w:val="center"/>
              <w:rPr>
                <w:rFonts w:ascii="宋体" w:hAnsi="宋体" w:cs="宋体"/>
                <w:color w:val="auto"/>
                <w:szCs w:val="21"/>
                <w:highlight w:val="none"/>
              </w:rPr>
            </w:pPr>
          </w:p>
        </w:tc>
        <w:tc>
          <w:tcPr>
            <w:tcW w:w="1116" w:type="dxa"/>
            <w:vAlign w:val="center"/>
          </w:tcPr>
          <w:p w14:paraId="7F74CBE2">
            <w:pPr>
              <w:spacing w:line="360" w:lineRule="auto"/>
              <w:jc w:val="center"/>
              <w:rPr>
                <w:rFonts w:ascii="宋体" w:hAnsi="宋体" w:cs="宋体"/>
                <w:color w:val="auto"/>
                <w:szCs w:val="21"/>
                <w:highlight w:val="none"/>
              </w:rPr>
            </w:pPr>
          </w:p>
        </w:tc>
        <w:tc>
          <w:tcPr>
            <w:tcW w:w="1341" w:type="dxa"/>
            <w:vAlign w:val="center"/>
          </w:tcPr>
          <w:p w14:paraId="1B27251A">
            <w:pPr>
              <w:spacing w:line="360" w:lineRule="auto"/>
              <w:jc w:val="center"/>
              <w:rPr>
                <w:rFonts w:ascii="宋体" w:hAnsi="宋体" w:cs="宋体"/>
                <w:color w:val="auto"/>
                <w:szCs w:val="21"/>
                <w:highlight w:val="none"/>
              </w:rPr>
            </w:pPr>
          </w:p>
        </w:tc>
        <w:tc>
          <w:tcPr>
            <w:tcW w:w="1080" w:type="dxa"/>
            <w:vAlign w:val="center"/>
          </w:tcPr>
          <w:p w14:paraId="2FACE339">
            <w:pPr>
              <w:spacing w:line="360" w:lineRule="auto"/>
              <w:jc w:val="center"/>
              <w:rPr>
                <w:rFonts w:ascii="宋体" w:hAnsi="宋体" w:cs="宋体"/>
                <w:color w:val="auto"/>
                <w:szCs w:val="21"/>
                <w:highlight w:val="none"/>
              </w:rPr>
            </w:pPr>
          </w:p>
        </w:tc>
      </w:tr>
      <w:tr w14:paraId="4F7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97491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93" w:type="dxa"/>
            <w:vAlign w:val="center"/>
          </w:tcPr>
          <w:p w14:paraId="5A73DD58">
            <w:pPr>
              <w:spacing w:line="360" w:lineRule="auto"/>
              <w:jc w:val="center"/>
              <w:rPr>
                <w:rFonts w:ascii="宋体" w:hAnsi="宋体" w:cs="宋体"/>
                <w:color w:val="auto"/>
                <w:szCs w:val="21"/>
                <w:highlight w:val="none"/>
              </w:rPr>
            </w:pPr>
          </w:p>
        </w:tc>
        <w:tc>
          <w:tcPr>
            <w:tcW w:w="900" w:type="dxa"/>
            <w:vAlign w:val="center"/>
          </w:tcPr>
          <w:p w14:paraId="07DB6794">
            <w:pPr>
              <w:spacing w:line="360" w:lineRule="auto"/>
              <w:jc w:val="center"/>
              <w:rPr>
                <w:rFonts w:ascii="宋体" w:hAnsi="宋体" w:cs="宋体"/>
                <w:color w:val="auto"/>
                <w:szCs w:val="21"/>
                <w:highlight w:val="none"/>
              </w:rPr>
            </w:pPr>
          </w:p>
        </w:tc>
        <w:tc>
          <w:tcPr>
            <w:tcW w:w="992" w:type="dxa"/>
            <w:vAlign w:val="center"/>
          </w:tcPr>
          <w:p w14:paraId="7CE2D5AB">
            <w:pPr>
              <w:spacing w:line="360" w:lineRule="auto"/>
              <w:jc w:val="center"/>
              <w:rPr>
                <w:rFonts w:ascii="宋体" w:hAnsi="宋体" w:cs="宋体"/>
                <w:color w:val="auto"/>
                <w:szCs w:val="21"/>
                <w:highlight w:val="none"/>
              </w:rPr>
            </w:pPr>
          </w:p>
        </w:tc>
        <w:tc>
          <w:tcPr>
            <w:tcW w:w="1785" w:type="dxa"/>
            <w:vAlign w:val="center"/>
          </w:tcPr>
          <w:p w14:paraId="566F2B8B">
            <w:pPr>
              <w:spacing w:line="360" w:lineRule="auto"/>
              <w:jc w:val="center"/>
              <w:rPr>
                <w:rFonts w:ascii="宋体" w:hAnsi="宋体" w:cs="宋体"/>
                <w:color w:val="auto"/>
                <w:szCs w:val="21"/>
                <w:highlight w:val="none"/>
              </w:rPr>
            </w:pPr>
          </w:p>
        </w:tc>
        <w:tc>
          <w:tcPr>
            <w:tcW w:w="1116" w:type="dxa"/>
            <w:vAlign w:val="center"/>
          </w:tcPr>
          <w:p w14:paraId="42E9BF9D">
            <w:pPr>
              <w:spacing w:line="360" w:lineRule="auto"/>
              <w:jc w:val="center"/>
              <w:rPr>
                <w:rFonts w:ascii="宋体" w:hAnsi="宋体" w:cs="宋体"/>
                <w:color w:val="auto"/>
                <w:szCs w:val="21"/>
                <w:highlight w:val="none"/>
              </w:rPr>
            </w:pPr>
          </w:p>
        </w:tc>
        <w:tc>
          <w:tcPr>
            <w:tcW w:w="1341" w:type="dxa"/>
            <w:vAlign w:val="center"/>
          </w:tcPr>
          <w:p w14:paraId="0B454C6E">
            <w:pPr>
              <w:spacing w:line="360" w:lineRule="auto"/>
              <w:jc w:val="center"/>
              <w:rPr>
                <w:rFonts w:ascii="宋体" w:hAnsi="宋体" w:cs="宋体"/>
                <w:color w:val="auto"/>
                <w:szCs w:val="21"/>
                <w:highlight w:val="none"/>
              </w:rPr>
            </w:pPr>
          </w:p>
        </w:tc>
        <w:tc>
          <w:tcPr>
            <w:tcW w:w="1080" w:type="dxa"/>
            <w:vAlign w:val="center"/>
          </w:tcPr>
          <w:p w14:paraId="7ACEF6B5">
            <w:pPr>
              <w:spacing w:line="360" w:lineRule="auto"/>
              <w:jc w:val="center"/>
              <w:rPr>
                <w:rFonts w:ascii="宋体" w:hAnsi="宋体" w:cs="宋体"/>
                <w:color w:val="auto"/>
                <w:szCs w:val="21"/>
                <w:highlight w:val="none"/>
              </w:rPr>
            </w:pPr>
          </w:p>
        </w:tc>
      </w:tr>
      <w:tr w14:paraId="37A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04075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793" w:type="dxa"/>
            <w:vAlign w:val="center"/>
          </w:tcPr>
          <w:p w14:paraId="389C308C">
            <w:pPr>
              <w:spacing w:line="360" w:lineRule="auto"/>
              <w:jc w:val="center"/>
              <w:rPr>
                <w:rFonts w:ascii="宋体" w:hAnsi="宋体" w:cs="宋体"/>
                <w:color w:val="auto"/>
                <w:szCs w:val="21"/>
                <w:highlight w:val="none"/>
              </w:rPr>
            </w:pPr>
          </w:p>
        </w:tc>
        <w:tc>
          <w:tcPr>
            <w:tcW w:w="900" w:type="dxa"/>
            <w:vAlign w:val="center"/>
          </w:tcPr>
          <w:p w14:paraId="7E242403">
            <w:pPr>
              <w:spacing w:line="360" w:lineRule="auto"/>
              <w:jc w:val="center"/>
              <w:rPr>
                <w:rFonts w:ascii="宋体" w:hAnsi="宋体" w:cs="宋体"/>
                <w:color w:val="auto"/>
                <w:szCs w:val="21"/>
                <w:highlight w:val="none"/>
              </w:rPr>
            </w:pPr>
          </w:p>
        </w:tc>
        <w:tc>
          <w:tcPr>
            <w:tcW w:w="992" w:type="dxa"/>
            <w:vAlign w:val="center"/>
          </w:tcPr>
          <w:p w14:paraId="76C015E3">
            <w:pPr>
              <w:spacing w:line="360" w:lineRule="auto"/>
              <w:jc w:val="center"/>
              <w:rPr>
                <w:rFonts w:ascii="宋体" w:hAnsi="宋体" w:cs="宋体"/>
                <w:color w:val="auto"/>
                <w:szCs w:val="21"/>
                <w:highlight w:val="none"/>
              </w:rPr>
            </w:pPr>
          </w:p>
        </w:tc>
        <w:tc>
          <w:tcPr>
            <w:tcW w:w="1785" w:type="dxa"/>
            <w:vAlign w:val="center"/>
          </w:tcPr>
          <w:p w14:paraId="711AD64C">
            <w:pPr>
              <w:spacing w:line="360" w:lineRule="auto"/>
              <w:jc w:val="center"/>
              <w:rPr>
                <w:rFonts w:ascii="宋体" w:hAnsi="宋体" w:cs="宋体"/>
                <w:color w:val="auto"/>
                <w:szCs w:val="21"/>
                <w:highlight w:val="none"/>
              </w:rPr>
            </w:pPr>
          </w:p>
        </w:tc>
        <w:tc>
          <w:tcPr>
            <w:tcW w:w="1116" w:type="dxa"/>
            <w:vAlign w:val="center"/>
          </w:tcPr>
          <w:p w14:paraId="0A9F278D">
            <w:pPr>
              <w:spacing w:line="360" w:lineRule="auto"/>
              <w:jc w:val="center"/>
              <w:rPr>
                <w:rFonts w:ascii="宋体" w:hAnsi="宋体" w:cs="宋体"/>
                <w:color w:val="auto"/>
                <w:szCs w:val="21"/>
                <w:highlight w:val="none"/>
              </w:rPr>
            </w:pPr>
          </w:p>
        </w:tc>
        <w:tc>
          <w:tcPr>
            <w:tcW w:w="1341" w:type="dxa"/>
            <w:vAlign w:val="center"/>
          </w:tcPr>
          <w:p w14:paraId="684BCA51">
            <w:pPr>
              <w:spacing w:line="360" w:lineRule="auto"/>
              <w:jc w:val="center"/>
              <w:rPr>
                <w:rFonts w:ascii="宋体" w:hAnsi="宋体" w:cs="宋体"/>
                <w:color w:val="auto"/>
                <w:szCs w:val="21"/>
                <w:highlight w:val="none"/>
              </w:rPr>
            </w:pPr>
          </w:p>
        </w:tc>
        <w:tc>
          <w:tcPr>
            <w:tcW w:w="1080" w:type="dxa"/>
            <w:vAlign w:val="center"/>
          </w:tcPr>
          <w:p w14:paraId="68131757">
            <w:pPr>
              <w:spacing w:line="360" w:lineRule="auto"/>
              <w:jc w:val="center"/>
              <w:rPr>
                <w:rFonts w:ascii="宋体" w:hAnsi="宋体" w:cs="宋体"/>
                <w:color w:val="auto"/>
                <w:szCs w:val="21"/>
                <w:highlight w:val="none"/>
              </w:rPr>
            </w:pPr>
          </w:p>
        </w:tc>
      </w:tr>
      <w:tr w14:paraId="7960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17326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93" w:type="dxa"/>
            <w:vAlign w:val="center"/>
          </w:tcPr>
          <w:p w14:paraId="1F5B47CA">
            <w:pPr>
              <w:spacing w:line="360" w:lineRule="auto"/>
              <w:jc w:val="center"/>
              <w:rPr>
                <w:rFonts w:ascii="宋体" w:hAnsi="宋体" w:cs="宋体"/>
                <w:color w:val="auto"/>
                <w:szCs w:val="21"/>
                <w:highlight w:val="none"/>
              </w:rPr>
            </w:pPr>
          </w:p>
        </w:tc>
        <w:tc>
          <w:tcPr>
            <w:tcW w:w="900" w:type="dxa"/>
            <w:vAlign w:val="center"/>
          </w:tcPr>
          <w:p w14:paraId="4FAE4203">
            <w:pPr>
              <w:spacing w:line="360" w:lineRule="auto"/>
              <w:jc w:val="center"/>
              <w:rPr>
                <w:rFonts w:ascii="宋体" w:hAnsi="宋体" w:cs="宋体"/>
                <w:color w:val="auto"/>
                <w:szCs w:val="21"/>
                <w:highlight w:val="none"/>
              </w:rPr>
            </w:pPr>
          </w:p>
        </w:tc>
        <w:tc>
          <w:tcPr>
            <w:tcW w:w="992" w:type="dxa"/>
            <w:vAlign w:val="center"/>
          </w:tcPr>
          <w:p w14:paraId="1E65C01C">
            <w:pPr>
              <w:spacing w:line="360" w:lineRule="auto"/>
              <w:jc w:val="center"/>
              <w:rPr>
                <w:rFonts w:ascii="宋体" w:hAnsi="宋体" w:cs="宋体"/>
                <w:color w:val="auto"/>
                <w:szCs w:val="21"/>
                <w:highlight w:val="none"/>
              </w:rPr>
            </w:pPr>
          </w:p>
        </w:tc>
        <w:tc>
          <w:tcPr>
            <w:tcW w:w="1785" w:type="dxa"/>
            <w:vAlign w:val="center"/>
          </w:tcPr>
          <w:p w14:paraId="2DF1A412">
            <w:pPr>
              <w:spacing w:line="360" w:lineRule="auto"/>
              <w:jc w:val="center"/>
              <w:rPr>
                <w:rFonts w:ascii="宋体" w:hAnsi="宋体" w:cs="宋体"/>
                <w:color w:val="auto"/>
                <w:szCs w:val="21"/>
                <w:highlight w:val="none"/>
              </w:rPr>
            </w:pPr>
          </w:p>
        </w:tc>
        <w:tc>
          <w:tcPr>
            <w:tcW w:w="1116" w:type="dxa"/>
            <w:vAlign w:val="center"/>
          </w:tcPr>
          <w:p w14:paraId="20FD4D16">
            <w:pPr>
              <w:spacing w:line="360" w:lineRule="auto"/>
              <w:jc w:val="center"/>
              <w:rPr>
                <w:rFonts w:ascii="宋体" w:hAnsi="宋体" w:cs="宋体"/>
                <w:color w:val="auto"/>
                <w:szCs w:val="21"/>
                <w:highlight w:val="none"/>
              </w:rPr>
            </w:pPr>
          </w:p>
        </w:tc>
        <w:tc>
          <w:tcPr>
            <w:tcW w:w="1341" w:type="dxa"/>
            <w:vAlign w:val="center"/>
          </w:tcPr>
          <w:p w14:paraId="55A21F2B">
            <w:pPr>
              <w:spacing w:line="360" w:lineRule="auto"/>
              <w:jc w:val="center"/>
              <w:rPr>
                <w:rFonts w:ascii="宋体" w:hAnsi="宋体" w:cs="宋体"/>
                <w:color w:val="auto"/>
                <w:szCs w:val="21"/>
                <w:highlight w:val="none"/>
              </w:rPr>
            </w:pPr>
          </w:p>
        </w:tc>
        <w:tc>
          <w:tcPr>
            <w:tcW w:w="1080" w:type="dxa"/>
            <w:vAlign w:val="center"/>
          </w:tcPr>
          <w:p w14:paraId="16631A4D">
            <w:pPr>
              <w:spacing w:line="360" w:lineRule="auto"/>
              <w:jc w:val="center"/>
              <w:rPr>
                <w:rFonts w:ascii="宋体" w:hAnsi="宋体" w:cs="宋体"/>
                <w:color w:val="auto"/>
                <w:szCs w:val="21"/>
                <w:highlight w:val="none"/>
              </w:rPr>
            </w:pPr>
          </w:p>
        </w:tc>
      </w:tr>
    </w:tbl>
    <w:p w14:paraId="78DF4BD6">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EBB6FE7">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07AD020E">
      <w:pPr>
        <w:spacing w:line="360" w:lineRule="auto"/>
        <w:ind w:firstLine="565" w:firstLineChars="202"/>
        <w:jc w:val="left"/>
        <w:rPr>
          <w:rFonts w:ascii="宋体" w:hAnsi="宋体" w:cs="宋体"/>
          <w:color w:val="auto"/>
          <w:sz w:val="28"/>
          <w:szCs w:val="28"/>
          <w:highlight w:val="none"/>
        </w:rPr>
      </w:pPr>
    </w:p>
    <w:p w14:paraId="57F32712">
      <w:pPr>
        <w:spacing w:line="360" w:lineRule="auto"/>
        <w:ind w:firstLine="565" w:firstLineChars="202"/>
        <w:jc w:val="left"/>
        <w:rPr>
          <w:rFonts w:ascii="宋体" w:hAnsi="宋体" w:cs="宋体"/>
          <w:color w:val="auto"/>
          <w:sz w:val="28"/>
          <w:szCs w:val="28"/>
          <w:highlight w:val="none"/>
        </w:rPr>
      </w:pPr>
    </w:p>
    <w:p w14:paraId="1DA3B54D">
      <w:pPr>
        <w:keepNext/>
        <w:keepLines/>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57" w:name="_Toc24856"/>
      <w:r>
        <w:rPr>
          <w:rFonts w:hint="eastAsia" w:ascii="宋体" w:hAnsi="宋体" w:cs="宋体"/>
          <w:b/>
          <w:bCs/>
          <w:color w:val="auto"/>
          <w:sz w:val="32"/>
          <w:szCs w:val="32"/>
          <w:highlight w:val="none"/>
        </w:rPr>
        <w:t>十、检测技术方案</w:t>
      </w:r>
      <w:bookmarkEnd w:id="257"/>
    </w:p>
    <w:p w14:paraId="5A41616A">
      <w:pPr>
        <w:spacing w:line="360" w:lineRule="auto"/>
        <w:jc w:val="center"/>
        <w:rPr>
          <w:rFonts w:ascii="宋体" w:hAnsi="宋体" w:cs="宋体"/>
          <w:color w:val="auto"/>
          <w:highlight w:val="none"/>
        </w:rPr>
      </w:pPr>
      <w:r>
        <w:rPr>
          <w:rFonts w:hint="eastAsia" w:ascii="宋体" w:hAnsi="宋体" w:cs="宋体"/>
          <w:b/>
          <w:color w:val="auto"/>
          <w:sz w:val="28"/>
          <w:szCs w:val="28"/>
          <w:highlight w:val="none"/>
        </w:rPr>
        <w:t>（格式自定）</w:t>
      </w:r>
      <w:bookmarkEnd w:id="255"/>
      <w:bookmarkEnd w:id="256"/>
    </w:p>
    <w:p w14:paraId="5BB85B64">
      <w:pPr>
        <w:keepNext/>
        <w:keepLines/>
        <w:spacing w:line="360" w:lineRule="auto"/>
        <w:jc w:val="center"/>
        <w:outlineLvl w:val="1"/>
        <w:rPr>
          <w:rFonts w:ascii="宋体" w:hAnsi="宋体" w:cs="宋体"/>
          <w:b/>
          <w:bCs/>
          <w:color w:val="auto"/>
          <w:sz w:val="32"/>
          <w:highlight w:val="none"/>
        </w:rPr>
      </w:pPr>
      <w:r>
        <w:rPr>
          <w:rFonts w:hint="eastAsia" w:ascii="宋体" w:hAnsi="宋体" w:cs="宋体"/>
          <w:color w:val="auto"/>
          <w:highlight w:val="none"/>
        </w:rPr>
        <w:br w:type="page"/>
      </w:r>
      <w:bookmarkStart w:id="258" w:name="_Toc24338"/>
      <w:r>
        <w:rPr>
          <w:rFonts w:hint="eastAsia" w:ascii="宋体" w:hAnsi="宋体" w:cs="宋体"/>
          <w:b/>
          <w:bCs/>
          <w:color w:val="auto"/>
          <w:sz w:val="32"/>
          <w:szCs w:val="32"/>
          <w:highlight w:val="none"/>
        </w:rPr>
        <w:t>十一、投标人认为应该提供的其他资料</w:t>
      </w:r>
      <w:bookmarkEnd w:id="258"/>
    </w:p>
    <w:p w14:paraId="0518FD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投标人须知前附表规定的其他资料，投标人认为有必要提交的其他资料，格式自定。</w:t>
      </w:r>
    </w:p>
    <w:p w14:paraId="2C450930">
      <w:pPr>
        <w:rPr>
          <w:color w:val="auto"/>
          <w:highlight w:val="none"/>
        </w:rPr>
      </w:pPr>
    </w:p>
    <w:sectPr>
      <w:pgSz w:w="11905" w:h="16838"/>
      <w:pgMar w:top="1418" w:right="1701" w:bottom="1418"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8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1BAA2">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91BAA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C1AB">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2368A">
                          <w:pPr>
                            <w:pStyle w:val="12"/>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0C2368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16F9">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1382">
                          <w:pPr>
                            <w:pStyle w:val="12"/>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4CA1382">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EA92"/>
    <w:multiLevelType w:val="singleLevel"/>
    <w:tmpl w:val="E05BEA92"/>
    <w:lvl w:ilvl="0" w:tentative="0">
      <w:start w:val="6"/>
      <w:numFmt w:val="chineseCounting"/>
      <w:suff w:val="space"/>
      <w:lvlText w:val="第%1章"/>
      <w:lvlJc w:val="left"/>
      <w:rPr>
        <w:rFonts w:hint="eastAsia"/>
      </w:rPr>
    </w:lvl>
  </w:abstractNum>
  <w:abstractNum w:abstractNumId="1">
    <w:nsid w:val="E5FFC083"/>
    <w:multiLevelType w:val="singleLevel"/>
    <w:tmpl w:val="E5FFC08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429C3596"/>
    <w:rsid w:val="00102EC3"/>
    <w:rsid w:val="001C2E97"/>
    <w:rsid w:val="002C1E16"/>
    <w:rsid w:val="003336C0"/>
    <w:rsid w:val="003A125E"/>
    <w:rsid w:val="00466765"/>
    <w:rsid w:val="004C3812"/>
    <w:rsid w:val="004E4DD2"/>
    <w:rsid w:val="00574BB8"/>
    <w:rsid w:val="005E26F1"/>
    <w:rsid w:val="006B7EAD"/>
    <w:rsid w:val="007804F5"/>
    <w:rsid w:val="0079519A"/>
    <w:rsid w:val="007E377E"/>
    <w:rsid w:val="008A4022"/>
    <w:rsid w:val="008C7C79"/>
    <w:rsid w:val="008D37F2"/>
    <w:rsid w:val="00B278BD"/>
    <w:rsid w:val="00C12804"/>
    <w:rsid w:val="00CE77D0"/>
    <w:rsid w:val="00DB7A2C"/>
    <w:rsid w:val="00E56A1D"/>
    <w:rsid w:val="00E57F7C"/>
    <w:rsid w:val="00EC6CD2"/>
    <w:rsid w:val="00F52FD8"/>
    <w:rsid w:val="00F5401F"/>
    <w:rsid w:val="00FA6FDE"/>
    <w:rsid w:val="03083A13"/>
    <w:rsid w:val="09104908"/>
    <w:rsid w:val="0AB31712"/>
    <w:rsid w:val="0AE82A66"/>
    <w:rsid w:val="0D112022"/>
    <w:rsid w:val="0E4458F7"/>
    <w:rsid w:val="0F4F0B1B"/>
    <w:rsid w:val="0FFF1939"/>
    <w:rsid w:val="10475002"/>
    <w:rsid w:val="11036B00"/>
    <w:rsid w:val="19102702"/>
    <w:rsid w:val="1D4D5313"/>
    <w:rsid w:val="1FAA11BB"/>
    <w:rsid w:val="24E32A79"/>
    <w:rsid w:val="25D20ADD"/>
    <w:rsid w:val="272950BB"/>
    <w:rsid w:val="28041684"/>
    <w:rsid w:val="292C2460"/>
    <w:rsid w:val="2DDC00C1"/>
    <w:rsid w:val="32EB46F7"/>
    <w:rsid w:val="35AD3819"/>
    <w:rsid w:val="3BD82BA6"/>
    <w:rsid w:val="3CCA6C49"/>
    <w:rsid w:val="3EAD617A"/>
    <w:rsid w:val="3F127693"/>
    <w:rsid w:val="41C51A2C"/>
    <w:rsid w:val="42595F30"/>
    <w:rsid w:val="427470FB"/>
    <w:rsid w:val="429C3596"/>
    <w:rsid w:val="4496535B"/>
    <w:rsid w:val="46476EB4"/>
    <w:rsid w:val="498A7E65"/>
    <w:rsid w:val="4A331C29"/>
    <w:rsid w:val="4C3536FF"/>
    <w:rsid w:val="4FB70C06"/>
    <w:rsid w:val="51305B31"/>
    <w:rsid w:val="51A404F0"/>
    <w:rsid w:val="54907C78"/>
    <w:rsid w:val="558275C0"/>
    <w:rsid w:val="57360EF0"/>
    <w:rsid w:val="59AC5554"/>
    <w:rsid w:val="5E7C1D97"/>
    <w:rsid w:val="64BF279B"/>
    <w:rsid w:val="668E5C09"/>
    <w:rsid w:val="678D23C4"/>
    <w:rsid w:val="67BC1058"/>
    <w:rsid w:val="695550A3"/>
    <w:rsid w:val="6BE41585"/>
    <w:rsid w:val="6CC2700A"/>
    <w:rsid w:val="6EC628D6"/>
    <w:rsid w:val="75A1188D"/>
    <w:rsid w:val="7F4801C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line="578" w:lineRule="auto"/>
      <w:jc w:val="both"/>
      <w:outlineLvl w:val="0"/>
    </w:pPr>
    <w:rPr>
      <w:rFonts w:ascii="Calibri" w:hAnsi="Calibri" w:eastAsia="黑体" w:cs="Times New Roman"/>
      <w:b/>
      <w:bCs/>
      <w:kern w:val="44"/>
      <w:sz w:val="44"/>
      <w:szCs w:val="44"/>
      <w:lang w:val="en-US" w:eastAsia="zh-CN" w:bidi="ar-SA"/>
    </w:rPr>
  </w:style>
  <w:style w:type="paragraph" w:styleId="4">
    <w:name w:val="heading 2"/>
    <w:next w:val="1"/>
    <w:qFormat/>
    <w:uiPriority w:val="0"/>
    <w:pPr>
      <w:keepNext/>
      <w:keepLines/>
      <w:widowControl w:val="0"/>
      <w:spacing w:before="240" w:after="240" w:line="416" w:lineRule="auto"/>
      <w:jc w:val="both"/>
      <w:outlineLvl w:val="1"/>
    </w:pPr>
    <w:rPr>
      <w:rFonts w:ascii="Cambria" w:hAnsi="Cambria" w:eastAsia="仿宋" w:cs="Times New Roman"/>
      <w:b/>
      <w:bCs/>
      <w:sz w:val="40"/>
      <w:szCs w:val="32"/>
      <w:lang w:val="en-US" w:eastAsia="zh-CN" w:bidi="ar-SA"/>
    </w:rPr>
  </w:style>
  <w:style w:type="paragraph" w:styleId="5">
    <w:name w:val="heading 7"/>
    <w:next w:val="1"/>
    <w:qFormat/>
    <w:uiPriority w:val="0"/>
    <w:pPr>
      <w:keepNext/>
      <w:keepLines/>
      <w:widowControl w:val="0"/>
      <w:spacing w:before="240" w:after="64" w:line="317" w:lineRule="auto"/>
      <w:jc w:val="both"/>
      <w:outlineLvl w:val="6"/>
    </w:pPr>
    <w:rPr>
      <w:rFonts w:ascii="Times New Roman" w:hAnsi="Times New Roman" w:eastAsia="宋体" w:cs="Times New Roman"/>
      <w:b/>
      <w:sz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7">
    <w:name w:val="Body Text 3"/>
    <w:qFormat/>
    <w:uiPriority w:val="0"/>
    <w:pPr>
      <w:widowControl w:val="0"/>
      <w:jc w:val="both"/>
    </w:pPr>
    <w:rPr>
      <w:rFonts w:ascii="宋体" w:hAnsi="Calibri" w:eastAsia="宋体" w:cs="Times New Roman"/>
      <w:kern w:val="2"/>
      <w:sz w:val="24"/>
      <w:lang w:val="en-US" w:eastAsia="zh-CN" w:bidi="ar-SA"/>
    </w:rPr>
  </w:style>
  <w:style w:type="paragraph" w:styleId="8">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0"/>
    <w:unhideWhenUsed/>
    <w:qFormat/>
    <w:uiPriority w:val="0"/>
    <w:pPr>
      <w:widowControl w:val="0"/>
      <w:spacing w:after="120"/>
      <w:ind w:left="420" w:leftChars="200"/>
      <w:jc w:val="both"/>
    </w:pPr>
    <w:rPr>
      <w:rFonts w:ascii="Calibri" w:hAnsi="Calibri" w:eastAsia="宋体" w:cs="Times New Roman"/>
      <w:lang w:val="en-US" w:eastAsia="zh-CN" w:bidi="ar-SA"/>
    </w:rPr>
  </w:style>
  <w:style w:type="paragraph" w:styleId="10">
    <w:name w:val="envelope return"/>
    <w:qFormat/>
    <w:uiPriority w:val="0"/>
    <w:pPr>
      <w:widowControl w:val="0"/>
      <w:snapToGrid w:val="0"/>
      <w:jc w:val="both"/>
    </w:pPr>
    <w:rPr>
      <w:rFonts w:ascii="Arial" w:hAnsi="Arial" w:eastAsia="宋体" w:cs="Arial"/>
      <w:kern w:val="2"/>
      <w:sz w:val="21"/>
      <w:szCs w:val="22"/>
      <w:lang w:val="en-US" w:eastAsia="zh-CN" w:bidi="ar-SA"/>
    </w:rPr>
  </w:style>
  <w:style w:type="paragraph" w:styleId="11">
    <w:name w:val="Balloon Text"/>
    <w:basedOn w:val="1"/>
    <w:link w:val="21"/>
    <w:qFormat/>
    <w:uiPriority w:val="0"/>
    <w:rPr>
      <w:sz w:val="18"/>
      <w:szCs w:val="18"/>
    </w:rPr>
  </w:style>
  <w:style w:type="paragraph" w:styleId="12">
    <w:name w:val="footer"/>
    <w:unhideWhenUsed/>
    <w:qFormat/>
    <w:uiPriority w:val="99"/>
    <w:pPr>
      <w:widowControl w:val="0"/>
      <w:tabs>
        <w:tab w:val="center" w:pos="4153"/>
        <w:tab w:val="right" w:pos="8306"/>
      </w:tabs>
      <w:snapToGrid w:val="0"/>
    </w:pPr>
    <w:rPr>
      <w:rFonts w:ascii="Calibri" w:hAnsi="Calibri" w:eastAsia="宋体" w:cs="Times New Roman"/>
      <w:sz w:val="18"/>
      <w:szCs w:val="18"/>
      <w:lang w:val="en-US" w:eastAsia="zh-CN" w:bidi="ar-SA"/>
    </w:rPr>
  </w:style>
  <w:style w:type="paragraph" w:styleId="13">
    <w:name w:val="toc 1"/>
    <w:next w:val="1"/>
    <w:unhideWhenUsed/>
    <w:qFormat/>
    <w:uiPriority w:val="39"/>
    <w:pPr>
      <w:widowControl w:val="0"/>
      <w:spacing w:before="120" w:after="120"/>
    </w:pPr>
    <w:rPr>
      <w:rFonts w:ascii="Calibri" w:hAnsi="Calibri" w:eastAsia="宋体" w:cs="Times New Roman"/>
      <w:b/>
      <w:bCs/>
      <w:caps/>
      <w:kern w:val="2"/>
      <w:lang w:val="en-US" w:eastAsia="zh-CN" w:bidi="ar-SA"/>
    </w:rPr>
  </w:style>
  <w:style w:type="paragraph" w:styleId="14">
    <w:name w:val="toc 2"/>
    <w:next w:val="1"/>
    <w:unhideWhenUsed/>
    <w:qFormat/>
    <w:uiPriority w:val="39"/>
    <w:pPr>
      <w:widowControl w:val="0"/>
      <w:ind w:left="210"/>
    </w:pPr>
    <w:rPr>
      <w:rFonts w:ascii="Calibri" w:hAnsi="Calibri" w:eastAsia="宋体" w:cs="Times New Roman"/>
      <w:smallCaps/>
      <w:kern w:val="2"/>
      <w:lang w:val="en-US" w:eastAsia="zh-CN" w:bidi="ar-SA"/>
    </w:rPr>
  </w:style>
  <w:style w:type="paragraph" w:styleId="15">
    <w:name w:val="Body Text First Indent"/>
    <w:next w:val="16"/>
    <w:link w:val="22"/>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16">
    <w:name w:val="Body Text First Indent 2"/>
    <w:link w:val="23"/>
    <w:unhideWhenUsed/>
    <w:qFormat/>
    <w:uiPriority w:val="99"/>
    <w:pPr>
      <w:spacing w:after="120" w:line="256" w:lineRule="auto"/>
      <w:ind w:left="420" w:leftChars="200" w:firstLine="420" w:firstLineChars="200"/>
    </w:pPr>
    <w:rPr>
      <w:rFonts w:ascii="Calibri" w:hAnsi="Calibri" w:eastAsia="Calibri" w:cs="Times New Roman"/>
      <w:color w:val="000000"/>
      <w:sz w:val="22"/>
      <w:lang w:val="en-US" w:eastAsia="zh-CN" w:bidi="ar-SA"/>
    </w:rPr>
  </w:style>
  <w:style w:type="paragraph" w:customStyle="1" w:styleId="19">
    <w:name w:val="自定表格内容"/>
    <w:qFormat/>
    <w:uiPriority w:val="0"/>
    <w:pPr>
      <w:widowControl w:val="0"/>
      <w:spacing w:line="360" w:lineRule="auto"/>
    </w:pPr>
    <w:rPr>
      <w:rFonts w:ascii="Calibri" w:hAnsi="Calibri" w:eastAsia="宋体" w:cs="Times New Roman"/>
      <w:kern w:val="2"/>
      <w:sz w:val="21"/>
      <w:szCs w:val="24"/>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批注框文本 Char"/>
    <w:basedOn w:val="18"/>
    <w:link w:val="11"/>
    <w:qFormat/>
    <w:uiPriority w:val="0"/>
    <w:rPr>
      <w:rFonts w:ascii="Calibri" w:hAnsi="Calibri" w:eastAsia="宋体" w:cs="Times New Roman"/>
      <w:kern w:val="2"/>
      <w:sz w:val="18"/>
      <w:szCs w:val="18"/>
    </w:rPr>
  </w:style>
  <w:style w:type="character" w:customStyle="1" w:styleId="22">
    <w:name w:val="正文首行缩进 Char"/>
    <w:link w:val="15"/>
    <w:qFormat/>
    <w:uiPriority w:val="0"/>
    <w:rPr>
      <w:rFonts w:ascii="Times New Roman" w:hAnsi="Times New Roman" w:eastAsia="宋体" w:cs="Times New Roman"/>
      <w:kern w:val="2"/>
      <w:sz w:val="21"/>
      <w:szCs w:val="24"/>
    </w:rPr>
  </w:style>
  <w:style w:type="character" w:customStyle="1" w:styleId="23">
    <w:name w:val="正文首行缩进 2 Char"/>
    <w:basedOn w:val="18"/>
    <w:link w:val="16"/>
    <w:qFormat/>
    <w:uiPriority w:val="99"/>
    <w:rPr>
      <w:rFonts w:ascii="Calibri" w:hAnsi="Calibri" w:eastAsia="Calibri" w:cs="Times New Roman"/>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15261</Words>
  <Characters>16277</Characters>
  <Lines>198</Lines>
  <Paragraphs>56</Paragraphs>
  <TotalTime>11</TotalTime>
  <ScaleCrop>false</ScaleCrop>
  <LinksUpToDate>false</LinksUpToDate>
  <CharactersWithSpaces>16501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2025-02-05T06:50:00Z</dcterms:created>
  <dc:creator>Administrator</dc:creator>
  <cp:lastModifiedBy>.啦啦.</cp:lastModifiedBy>
  <cp:lastPrinted>2025-03-11T02:03:00Z</cp:lastPrinted>
  <dcterms:modified xsi:type="dcterms:W3CDTF">2025-04-28T09:04:51Z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D039F619E08D4592A50E49CD00CAE3A8_11</vt:lpwstr>
  </property>
  <property fmtid="{D5CDD505-2E9C-101B-9397-08002B2CF9AE}" pid="4" name="KSOTemplateDocerSaveRecord">
    <vt:lpwstr>eyJoZGlkIjoiYTMyMmViMDVkODY5YzU5Y2E4YmI2NTQwNDBmNDQ1OTEiLCJ1c2VySWQiOiI0NjIzOTYxNzYifQ==</vt:lpwstr>
  </property>
</Properties>
</file>