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3" w:beforeLines="100" w:line="500" w:lineRule="exact"/>
        <w:jc w:val="center"/>
        <w:outlineLvl w:val="9"/>
        <w:rPr>
          <w:rFonts w:hint="eastAsia"/>
          <w:b/>
          <w:bCs/>
          <w:color w:val="auto"/>
          <w:sz w:val="32"/>
          <w:szCs w:val="32"/>
          <w:highlight w:val="none"/>
          <w:u w:val="none"/>
          <w:lang w:bidi="ar"/>
        </w:rPr>
      </w:pPr>
      <w:bookmarkStart w:id="87" w:name="_GoBack"/>
      <w:bookmarkEnd w:id="87"/>
      <w:r>
        <w:rPr>
          <w:rFonts w:hint="eastAsia" w:ascii="仿宋" w:hAnsi="仿宋" w:eastAsia="仿宋" w:cs="Times New Roman"/>
          <w:b/>
          <w:bCs/>
          <w:color w:val="auto"/>
          <w:sz w:val="32"/>
          <w:szCs w:val="32"/>
          <w:highlight w:val="none"/>
          <w:u w:val="none"/>
          <w:lang w:bidi="ar"/>
        </w:rPr>
        <w:t>先进制造产业园A1地块</w:t>
      </w:r>
      <w:r>
        <w:rPr>
          <w:rFonts w:hint="eastAsia" w:cs="Times New Roman"/>
          <w:b/>
          <w:bCs/>
          <w:color w:val="auto"/>
          <w:sz w:val="32"/>
          <w:szCs w:val="32"/>
          <w:highlight w:val="none"/>
          <w:u w:val="none"/>
          <w:lang w:eastAsia="zh-CN" w:bidi="ar"/>
        </w:rPr>
        <w:t>—</w:t>
      </w:r>
      <w:r>
        <w:rPr>
          <w:rFonts w:hint="eastAsia" w:ascii="仿宋" w:hAnsi="仿宋" w:eastAsia="仿宋" w:cs="Times New Roman"/>
          <w:b/>
          <w:bCs/>
          <w:color w:val="auto"/>
          <w:sz w:val="32"/>
          <w:szCs w:val="32"/>
          <w:highlight w:val="none"/>
          <w:u w:val="none"/>
          <w:lang w:bidi="ar"/>
        </w:rPr>
        <w:t>分地块五</w:t>
      </w:r>
      <w:r>
        <w:rPr>
          <w:rFonts w:hint="eastAsia" w:cs="Times New Roman"/>
          <w:b/>
          <w:bCs/>
          <w:color w:val="auto"/>
          <w:sz w:val="32"/>
          <w:szCs w:val="32"/>
          <w:highlight w:val="none"/>
          <w:u w:val="none"/>
          <w:lang w:eastAsia="zh-CN" w:bidi="ar"/>
        </w:rPr>
        <w:t>、</w:t>
      </w:r>
      <w:r>
        <w:rPr>
          <w:rFonts w:hint="eastAsia" w:cs="Times New Roman"/>
          <w:b/>
          <w:bCs/>
          <w:color w:val="auto"/>
          <w:sz w:val="32"/>
          <w:szCs w:val="32"/>
          <w:highlight w:val="none"/>
          <w:u w:val="none"/>
          <w:lang w:val="en-US" w:eastAsia="zh-CN" w:bidi="ar"/>
        </w:rPr>
        <w:t>六</w:t>
      </w:r>
      <w:r>
        <w:rPr>
          <w:rFonts w:hint="eastAsia" w:ascii="仿宋" w:hAnsi="仿宋" w:eastAsia="仿宋" w:cs="Times New Roman"/>
          <w:b/>
          <w:bCs/>
          <w:color w:val="auto"/>
          <w:sz w:val="32"/>
          <w:szCs w:val="32"/>
          <w:highlight w:val="none"/>
          <w:u w:val="none"/>
          <w:lang w:bidi="ar"/>
        </w:rPr>
        <w:t>建设项目</w:t>
      </w:r>
      <w:r>
        <w:rPr>
          <w:rFonts w:hint="eastAsia" w:cs="Times New Roman"/>
          <w:b/>
          <w:bCs/>
          <w:color w:val="auto"/>
          <w:sz w:val="32"/>
          <w:szCs w:val="32"/>
          <w:highlight w:val="none"/>
          <w:u w:val="none"/>
          <w:lang w:val="en-US" w:eastAsia="zh-CN" w:bidi="ar"/>
        </w:rPr>
        <w:t>勘察</w:t>
      </w:r>
      <w:r>
        <w:rPr>
          <w:rFonts w:hint="eastAsia" w:ascii="仿宋" w:hAnsi="仿宋" w:eastAsia="仿宋" w:cs="Times New Roman"/>
          <w:b/>
          <w:bCs/>
          <w:color w:val="auto"/>
          <w:sz w:val="32"/>
          <w:szCs w:val="32"/>
          <w:highlight w:val="none"/>
          <w:u w:val="none"/>
          <w:lang w:bidi="ar"/>
        </w:rPr>
        <w:t>设计施工总承包</w:t>
      </w:r>
      <w:r>
        <w:rPr>
          <w:rFonts w:hint="eastAsia" w:ascii="仿宋" w:hAnsi="仿宋" w:eastAsia="仿宋" w:cs="Times New Roman"/>
          <w:b/>
          <w:bCs/>
          <w:color w:val="auto"/>
          <w:sz w:val="32"/>
          <w:szCs w:val="32"/>
          <w:highlight w:val="none"/>
          <w:u w:val="none"/>
          <w:lang w:val="en-US" w:eastAsia="zh-CN" w:bidi="ar"/>
        </w:rPr>
        <w:t>及</w:t>
      </w:r>
      <w:r>
        <w:rPr>
          <w:rFonts w:hint="eastAsia" w:ascii="仿宋" w:hAnsi="仿宋" w:eastAsia="仿宋" w:cs="Times New Roman"/>
          <w:b/>
          <w:bCs/>
          <w:color w:val="auto"/>
          <w:sz w:val="32"/>
          <w:szCs w:val="32"/>
          <w:highlight w:val="none"/>
          <w:u w:val="none"/>
          <w:lang w:bidi="ar"/>
        </w:rPr>
        <w:t>运营项目</w:t>
      </w:r>
      <w:bookmarkStart w:id="0" w:name="_Toc1822960336"/>
      <w:r>
        <w:rPr>
          <w:rFonts w:hint="eastAsia" w:cs="Times New Roman"/>
          <w:b/>
          <w:bCs/>
          <w:color w:val="auto"/>
          <w:sz w:val="32"/>
          <w:szCs w:val="32"/>
          <w:highlight w:val="none"/>
          <w:u w:val="none"/>
          <w:lang w:val="en-US" w:eastAsia="zh-CN" w:bidi="ar"/>
        </w:rPr>
        <w:t>之</w:t>
      </w:r>
      <w:r>
        <w:rPr>
          <w:rFonts w:hint="eastAsia"/>
          <w:b/>
          <w:bCs/>
          <w:color w:val="auto"/>
          <w:sz w:val="32"/>
          <w:szCs w:val="32"/>
          <w:highlight w:val="none"/>
          <w:u w:val="none"/>
          <w:lang w:bidi="ar"/>
        </w:rPr>
        <w:t>运营服务合同</w:t>
      </w:r>
      <w:bookmarkEnd w:id="0"/>
    </w:p>
    <w:p>
      <w:pPr>
        <w:spacing w:line="500" w:lineRule="exact"/>
        <w:jc w:val="both"/>
        <w:rPr>
          <w:rFonts w:hint="eastAsia"/>
          <w:color w:val="auto"/>
          <w:highlight w:val="none"/>
          <w:lang w:bidi="ar"/>
        </w:rPr>
      </w:pPr>
    </w:p>
    <w:p>
      <w:pPr>
        <w:spacing w:line="500" w:lineRule="exact"/>
        <w:jc w:val="both"/>
        <w:rPr>
          <w:rFonts w:hint="eastAsia"/>
          <w:color w:val="auto"/>
          <w:highlight w:val="none"/>
        </w:rPr>
      </w:pPr>
      <w:r>
        <w:rPr>
          <w:rFonts w:hint="eastAsia"/>
          <w:color w:val="auto"/>
          <w:highlight w:val="none"/>
          <w:lang w:bidi="ar"/>
        </w:rPr>
        <w:t>委托方（甲方）：广州花都城</w:t>
      </w:r>
      <w:r>
        <w:rPr>
          <w:rFonts w:hint="eastAsia"/>
          <w:color w:val="auto"/>
          <w:highlight w:val="none"/>
          <w:lang w:val="en-US" w:eastAsia="zh-CN" w:bidi="ar"/>
        </w:rPr>
        <w:t>弘</w:t>
      </w:r>
      <w:r>
        <w:rPr>
          <w:rFonts w:hint="eastAsia"/>
          <w:color w:val="auto"/>
          <w:highlight w:val="none"/>
          <w:lang w:bidi="ar"/>
        </w:rPr>
        <w:t>建设发展投资有限公司</w:t>
      </w:r>
      <w:r>
        <w:rPr>
          <w:color w:val="auto"/>
          <w:highlight w:val="none"/>
          <w:lang w:bidi="ar"/>
        </w:rPr>
        <w:t xml:space="preserve"> </w:t>
      </w:r>
    </w:p>
    <w:p>
      <w:pPr>
        <w:spacing w:line="500" w:lineRule="exact"/>
        <w:jc w:val="both"/>
        <w:rPr>
          <w:rFonts w:hint="eastAsia"/>
          <w:color w:val="auto"/>
          <w:highlight w:val="none"/>
        </w:rPr>
      </w:pPr>
      <w:r>
        <w:rPr>
          <w:rFonts w:hint="eastAsia"/>
          <w:color w:val="auto"/>
          <w:highlight w:val="none"/>
          <w:lang w:bidi="ar"/>
        </w:rPr>
        <w:t>统一社会信用代码：</w:t>
      </w:r>
    </w:p>
    <w:p>
      <w:pPr>
        <w:spacing w:line="500" w:lineRule="exact"/>
        <w:jc w:val="both"/>
        <w:rPr>
          <w:rFonts w:hint="eastAsia"/>
          <w:color w:val="auto"/>
          <w:highlight w:val="none"/>
          <w:lang w:bidi="ar"/>
        </w:rPr>
      </w:pPr>
      <w:r>
        <w:rPr>
          <w:rFonts w:hint="eastAsia"/>
          <w:color w:val="auto"/>
          <w:highlight w:val="none"/>
          <w:lang w:bidi="ar"/>
        </w:rPr>
        <w:t>法定代表人：</w:t>
      </w:r>
    </w:p>
    <w:p>
      <w:pPr>
        <w:spacing w:line="500" w:lineRule="exact"/>
        <w:jc w:val="both"/>
        <w:rPr>
          <w:rFonts w:hint="eastAsia"/>
          <w:color w:val="auto"/>
          <w:highlight w:val="none"/>
          <w:lang w:bidi="ar"/>
        </w:rPr>
      </w:pPr>
      <w:r>
        <w:rPr>
          <w:rFonts w:hint="eastAsia"/>
          <w:color w:val="auto"/>
          <w:highlight w:val="none"/>
          <w:lang w:bidi="ar"/>
        </w:rPr>
        <w:t>注册地址：</w:t>
      </w:r>
    </w:p>
    <w:p>
      <w:pPr>
        <w:spacing w:line="500" w:lineRule="exact"/>
        <w:jc w:val="both"/>
        <w:rPr>
          <w:color w:val="auto"/>
          <w:highlight w:val="none"/>
          <w:lang w:bidi="ar"/>
        </w:rPr>
      </w:pPr>
    </w:p>
    <w:p>
      <w:pPr>
        <w:spacing w:line="500" w:lineRule="exact"/>
        <w:jc w:val="both"/>
        <w:rPr>
          <w:rFonts w:hint="eastAsia"/>
          <w:color w:val="auto"/>
          <w:highlight w:val="none"/>
        </w:rPr>
      </w:pPr>
      <w:r>
        <w:rPr>
          <w:rFonts w:hint="eastAsia"/>
          <w:color w:val="auto"/>
          <w:highlight w:val="none"/>
          <w:lang w:bidi="ar"/>
        </w:rPr>
        <w:t>受托方（乙方）：</w:t>
      </w:r>
      <w:r>
        <w:rPr>
          <w:rFonts w:hint="eastAsia"/>
          <w:color w:val="auto"/>
          <w:highlight w:val="none"/>
          <w:lang w:val="en-US" w:eastAsia="zh-CN" w:bidi="ar"/>
        </w:rPr>
        <w:t xml:space="preserve"> </w:t>
      </w:r>
      <w:r>
        <w:rPr>
          <w:color w:val="auto"/>
          <w:highlight w:val="none"/>
          <w:lang w:bidi="ar"/>
        </w:rPr>
        <w:t xml:space="preserve">  </w:t>
      </w:r>
    </w:p>
    <w:p>
      <w:pPr>
        <w:spacing w:line="500" w:lineRule="exact"/>
        <w:jc w:val="both"/>
        <w:rPr>
          <w:rFonts w:hint="eastAsia"/>
          <w:color w:val="auto"/>
          <w:highlight w:val="none"/>
          <w:lang w:val="en-US" w:eastAsia="zh-CN" w:bidi="ar"/>
        </w:rPr>
      </w:pPr>
      <w:r>
        <w:rPr>
          <w:rFonts w:hint="eastAsia"/>
          <w:color w:val="auto"/>
          <w:highlight w:val="none"/>
          <w:lang w:bidi="ar"/>
        </w:rPr>
        <w:t>统一社会信用代码：</w:t>
      </w:r>
      <w:r>
        <w:rPr>
          <w:color w:val="auto"/>
          <w:highlight w:val="none"/>
          <w:lang w:bidi="ar"/>
        </w:rPr>
        <w:t xml:space="preserve"> </w:t>
      </w:r>
      <w:r>
        <w:rPr>
          <w:rFonts w:hint="eastAsia"/>
          <w:color w:val="auto"/>
          <w:highlight w:val="none"/>
          <w:lang w:val="en-US" w:eastAsia="zh-CN" w:bidi="ar"/>
        </w:rPr>
        <w:t xml:space="preserve"> </w:t>
      </w:r>
    </w:p>
    <w:p>
      <w:pPr>
        <w:spacing w:line="500" w:lineRule="exact"/>
        <w:jc w:val="both"/>
        <w:rPr>
          <w:rFonts w:hint="eastAsia"/>
          <w:color w:val="auto"/>
          <w:highlight w:val="none"/>
          <w:lang w:val="en-US" w:eastAsia="zh-CN" w:bidi="ar"/>
        </w:rPr>
      </w:pPr>
      <w:r>
        <w:rPr>
          <w:rFonts w:hint="eastAsia"/>
          <w:color w:val="auto"/>
          <w:highlight w:val="none"/>
          <w:lang w:bidi="ar"/>
        </w:rPr>
        <w:t>法定代表人：</w:t>
      </w:r>
      <w:r>
        <w:rPr>
          <w:color w:val="auto"/>
          <w:highlight w:val="none"/>
          <w:lang w:bidi="ar"/>
        </w:rPr>
        <w:t xml:space="preserve"> </w:t>
      </w:r>
      <w:r>
        <w:rPr>
          <w:rFonts w:hint="eastAsia"/>
          <w:color w:val="auto"/>
          <w:highlight w:val="none"/>
          <w:lang w:val="en-US" w:eastAsia="zh-CN" w:bidi="ar"/>
        </w:rPr>
        <w:t xml:space="preserve"> </w:t>
      </w:r>
    </w:p>
    <w:p>
      <w:pPr>
        <w:spacing w:line="500" w:lineRule="exact"/>
        <w:jc w:val="both"/>
        <w:rPr>
          <w:rFonts w:hint="eastAsia" w:eastAsia="仿宋"/>
          <w:color w:val="auto"/>
          <w:highlight w:val="none"/>
          <w:lang w:eastAsia="zh-CN" w:bidi="ar"/>
        </w:rPr>
      </w:pPr>
      <w:r>
        <w:rPr>
          <w:rFonts w:hint="eastAsia"/>
          <w:color w:val="auto"/>
          <w:highlight w:val="none"/>
          <w:lang w:bidi="ar"/>
        </w:rPr>
        <w:t>注册地址：</w:t>
      </w:r>
      <w:r>
        <w:rPr>
          <w:color w:val="auto"/>
          <w:highlight w:val="none"/>
          <w:lang w:bidi="ar"/>
        </w:rPr>
        <w:t xml:space="preserve"> </w:t>
      </w:r>
      <w:r>
        <w:rPr>
          <w:rFonts w:hint="eastAsia"/>
          <w:color w:val="auto"/>
          <w:highlight w:val="none"/>
          <w:lang w:val="en-US" w:eastAsia="zh-CN" w:bidi="ar"/>
        </w:rPr>
        <w:t xml:space="preserve"> </w:t>
      </w:r>
    </w:p>
    <w:p>
      <w:pPr>
        <w:spacing w:line="500" w:lineRule="exact"/>
        <w:jc w:val="both"/>
        <w:rPr>
          <w:rFonts w:hint="eastAsia"/>
          <w:color w:val="auto"/>
          <w:highlight w:val="none"/>
          <w:lang w:bidi="ar"/>
        </w:rPr>
      </w:pPr>
    </w:p>
    <w:p>
      <w:pPr>
        <w:spacing w:line="500" w:lineRule="exact"/>
        <w:jc w:val="both"/>
        <w:rPr>
          <w:color w:val="auto"/>
          <w:highlight w:val="none"/>
          <w:lang w:bidi="ar"/>
        </w:rPr>
      </w:pPr>
      <w:r>
        <w:rPr>
          <w:rFonts w:hint="eastAsia"/>
          <w:color w:val="auto"/>
          <w:highlight w:val="none"/>
          <w:lang w:bidi="ar"/>
        </w:rPr>
        <w:t>为了实现全生命周期产业园区运营理念，以终为始，实现纵向一体化管理。本项目采用</w:t>
      </w:r>
      <w:r>
        <w:rPr>
          <w:rFonts w:hint="eastAsia"/>
          <w:color w:val="auto"/>
          <w:highlight w:val="none"/>
          <w:lang w:val="en-US" w:eastAsia="zh-CN" w:bidi="ar"/>
        </w:rPr>
        <w:t>勘察、</w:t>
      </w:r>
      <w:r>
        <w:rPr>
          <w:rFonts w:hint="eastAsia"/>
          <w:color w:val="auto"/>
          <w:highlight w:val="none"/>
          <w:lang w:bidi="ar"/>
        </w:rPr>
        <w:t>设计、施工及</w:t>
      </w:r>
      <w:r>
        <w:rPr>
          <w:rFonts w:hint="eastAsia"/>
          <w:color w:val="auto"/>
          <w:highlight w:val="none"/>
          <w:lang w:val="en-US" w:eastAsia="zh-CN" w:bidi="ar"/>
        </w:rPr>
        <w:t>销售</w:t>
      </w:r>
      <w:r>
        <w:rPr>
          <w:rFonts w:hint="eastAsia"/>
          <w:color w:val="auto"/>
          <w:highlight w:val="none"/>
          <w:lang w:bidi="ar"/>
        </w:rPr>
        <w:t>运营一体化的总承包模式</w:t>
      </w:r>
      <w:r>
        <w:rPr>
          <w:color w:val="auto"/>
          <w:highlight w:val="none"/>
          <w:lang w:bidi="ar"/>
        </w:rPr>
        <w:t>，充分利用乙方的产业园运营管理的专业能力和产业资源优势，由乙方牵头</w:t>
      </w:r>
      <w:r>
        <w:rPr>
          <w:rFonts w:hint="eastAsia"/>
          <w:color w:val="auto"/>
          <w:highlight w:val="none"/>
          <w:lang w:val="en-US" w:eastAsia="zh-CN" w:bidi="ar"/>
        </w:rPr>
        <w:t>组织</w:t>
      </w:r>
      <w:r>
        <w:rPr>
          <w:rFonts w:hint="default"/>
          <w:color w:val="auto"/>
          <w:highlight w:val="none"/>
          <w:lang w:val="en-US" w:bidi="ar"/>
        </w:rPr>
        <w:t>实施</w:t>
      </w:r>
      <w:r>
        <w:rPr>
          <w:color w:val="auto"/>
          <w:highlight w:val="none"/>
          <w:lang w:bidi="ar"/>
        </w:rPr>
        <w:t>，以提高项目</w:t>
      </w:r>
      <w:r>
        <w:rPr>
          <w:rFonts w:hint="eastAsia"/>
          <w:color w:val="auto"/>
          <w:highlight w:val="none"/>
          <w:lang w:val="en-US" w:eastAsia="zh-CN" w:bidi="ar"/>
        </w:rPr>
        <w:t>招商</w:t>
      </w:r>
      <w:r>
        <w:rPr>
          <w:color w:val="auto"/>
          <w:highlight w:val="none"/>
          <w:lang w:bidi="ar"/>
        </w:rPr>
        <w:t>运营效率，保障项目品质化运营。因此，根据《中华人民共和国民法典》等相关法律法规，双方就</w:t>
      </w:r>
      <w:r>
        <w:rPr>
          <w:rFonts w:hint="default" w:ascii="仿宋" w:hAnsi="仿宋" w:eastAsia="仿宋" w:cs="Times New Roman"/>
          <w:b w:val="0"/>
          <w:bCs w:val="0"/>
          <w:color w:val="auto"/>
          <w:sz w:val="24"/>
          <w:szCs w:val="24"/>
          <w:highlight w:val="none"/>
          <w:u w:val="none"/>
          <w:lang w:bidi="ar"/>
        </w:rPr>
        <w:t>先进制造产业园A1地块分地块五</w:t>
      </w:r>
      <w:r>
        <w:rPr>
          <w:rFonts w:hint="eastAsia" w:cs="Times New Roman"/>
          <w:b w:val="0"/>
          <w:bCs w:val="0"/>
          <w:color w:val="auto"/>
          <w:sz w:val="24"/>
          <w:szCs w:val="24"/>
          <w:highlight w:val="none"/>
          <w:u w:val="none"/>
          <w:lang w:eastAsia="zh-CN" w:bidi="ar"/>
        </w:rPr>
        <w:t>、</w:t>
      </w:r>
      <w:r>
        <w:rPr>
          <w:rFonts w:hint="eastAsia" w:cs="Times New Roman"/>
          <w:b w:val="0"/>
          <w:bCs w:val="0"/>
          <w:color w:val="auto"/>
          <w:sz w:val="24"/>
          <w:szCs w:val="24"/>
          <w:highlight w:val="none"/>
          <w:u w:val="none"/>
          <w:lang w:val="en-US" w:eastAsia="zh-CN" w:bidi="ar"/>
        </w:rPr>
        <w:t>六</w:t>
      </w:r>
      <w:r>
        <w:rPr>
          <w:rFonts w:hint="default" w:cs="Times New Roman"/>
          <w:b w:val="0"/>
          <w:bCs w:val="0"/>
          <w:color w:val="auto"/>
          <w:sz w:val="24"/>
          <w:szCs w:val="24"/>
          <w:highlight w:val="none"/>
          <w:u w:val="none"/>
          <w:lang w:val="en-US" w:eastAsia="zh-CN" w:bidi="ar"/>
        </w:rPr>
        <w:t>项目</w:t>
      </w:r>
      <w:r>
        <w:rPr>
          <w:color w:val="auto"/>
          <w:highlight w:val="none"/>
          <w:lang w:bidi="ar"/>
        </w:rPr>
        <w:t>综合运营工作，包括项目定位、品牌服务、产业招商、政府对接、创新资源导入、项目运营管理、运营权转让费</w:t>
      </w:r>
      <w:r>
        <w:rPr>
          <w:rFonts w:hint="eastAsia"/>
          <w:color w:val="auto"/>
          <w:highlight w:val="none"/>
          <w:lang w:eastAsia="zh-CN" w:bidi="ar"/>
        </w:rPr>
        <w:t>、</w:t>
      </w:r>
      <w:r>
        <w:rPr>
          <w:rFonts w:hint="eastAsia"/>
          <w:color w:val="auto"/>
          <w:highlight w:val="none"/>
          <w:lang w:val="en-US" w:eastAsia="zh-CN" w:bidi="ar"/>
        </w:rPr>
        <w:t>项目销售代理、</w:t>
      </w:r>
      <w:r>
        <w:rPr>
          <w:color w:val="auto"/>
          <w:highlight w:val="none"/>
          <w:lang w:bidi="ar"/>
        </w:rPr>
        <w:t>合作收益等事宜，本着真诚合作、平等互利的原则，达成以下合同，以资共同遵守。</w:t>
      </w:r>
    </w:p>
    <w:p>
      <w:pPr>
        <w:numPr>
          <w:ilvl w:val="-1"/>
          <w:numId w:val="0"/>
        </w:numPr>
        <w:spacing w:line="500" w:lineRule="exact"/>
        <w:ind w:firstLine="0"/>
        <w:jc w:val="both"/>
        <w:rPr>
          <w:rFonts w:hint="default" w:ascii="仿宋" w:hAnsi="仿宋" w:eastAsia="仿宋" w:cs="Times New Roman"/>
          <w:color w:val="auto"/>
          <w:sz w:val="24"/>
          <w:szCs w:val="24"/>
          <w:highlight w:val="none"/>
          <w:lang w:val="en-US" w:eastAsia="zh-CN" w:bidi="ar"/>
        </w:rPr>
      </w:pPr>
    </w:p>
    <w:p>
      <w:pPr>
        <w:numPr>
          <w:ilvl w:val="0"/>
          <w:numId w:val="2"/>
        </w:numPr>
        <w:tabs>
          <w:tab w:val="left" w:pos="0"/>
        </w:tabs>
        <w:spacing w:before="157" w:beforeLines="50" w:line="500" w:lineRule="exact"/>
        <w:ind w:left="425" w:hanging="425" w:firstLineChars="0"/>
        <w:jc w:val="both"/>
        <w:outlineLvl w:val="0"/>
        <w:rPr>
          <w:rFonts w:hint="eastAsia"/>
          <w:b/>
          <w:bCs/>
          <w:color w:val="auto"/>
          <w:highlight w:val="none"/>
          <w:lang w:bidi="ar"/>
        </w:rPr>
      </w:pPr>
      <w:bookmarkStart w:id="1" w:name="_Toc1335886895"/>
      <w:bookmarkStart w:id="2" w:name="_Toc440921674"/>
      <w:bookmarkStart w:id="3" w:name="_Toc1009667674"/>
      <w:bookmarkStart w:id="4" w:name="_Toc2091933731"/>
      <w:bookmarkStart w:id="5" w:name="_Toc1400486394"/>
      <w:bookmarkStart w:id="6" w:name="_Toc484729390"/>
      <w:bookmarkStart w:id="7" w:name="_Toc2094003403"/>
      <w:bookmarkStart w:id="8" w:name="_Toc1381516353"/>
      <w:bookmarkStart w:id="9" w:name="_Toc1715372495"/>
      <w:bookmarkStart w:id="10" w:name="_Toc1194543203"/>
      <w:bookmarkStart w:id="11" w:name="_Toc803052337"/>
      <w:bookmarkStart w:id="12" w:name="_Toc241673121"/>
      <w:r>
        <w:rPr>
          <w:rFonts w:hint="eastAsia"/>
          <w:b/>
          <w:bCs/>
          <w:color w:val="auto"/>
          <w:highlight w:val="none"/>
          <w:lang w:val="en-US" w:eastAsia="zh-CN" w:bidi="ar"/>
        </w:rPr>
        <w:t>定义与释义</w:t>
      </w:r>
    </w:p>
    <w:p>
      <w:pPr>
        <w:numPr>
          <w:ilvl w:val="1"/>
          <w:numId w:val="2"/>
        </w:numPr>
        <w:tabs>
          <w:tab w:val="left" w:pos="0"/>
        </w:tabs>
        <w:spacing w:before="0" w:beforeLines="-2147483648" w:line="500" w:lineRule="exact"/>
        <w:ind w:left="0" w:firstLine="482" w:firstLineChars="200"/>
        <w:jc w:val="both"/>
        <w:outlineLvl w:val="9"/>
        <w:rPr>
          <w:rFonts w:hint="default"/>
          <w:b w:val="0"/>
          <w:bCs w:val="0"/>
          <w:color w:val="auto"/>
          <w:highlight w:val="none"/>
          <w:lang w:val="en-US" w:eastAsia="zh-CN" w:bidi="ar"/>
        </w:rPr>
      </w:pPr>
      <w:r>
        <w:rPr>
          <w:rFonts w:hint="default"/>
          <w:b/>
          <w:bCs/>
          <w:color w:val="auto"/>
          <w:highlight w:val="none"/>
          <w:lang w:val="en-US" w:eastAsia="zh-CN" w:bidi="ar"/>
        </w:rPr>
        <w:t>词语定义</w:t>
      </w:r>
      <w:r>
        <w:rPr>
          <w:rFonts w:hint="default"/>
          <w:b w:val="0"/>
          <w:bCs w:val="0"/>
          <w:color w:val="auto"/>
          <w:highlight w:val="none"/>
          <w:lang w:val="en-US" w:eastAsia="zh-CN" w:bidi="ar"/>
        </w:rPr>
        <w:t>。除本协议另有约定，以下词语在本协议中定义如下：</w:t>
      </w:r>
    </w:p>
    <w:p>
      <w:pPr>
        <w:numPr>
          <w:ilvl w:val="2"/>
          <w:numId w:val="2"/>
        </w:numPr>
        <w:spacing w:before="0" w:beforeLines="-2147483648" w:line="500" w:lineRule="exact"/>
        <w:ind w:left="0" w:firstLine="482" w:firstLineChars="200"/>
        <w:jc w:val="both"/>
        <w:outlineLvl w:val="9"/>
        <w:rPr>
          <w:rFonts w:hint="eastAsia"/>
          <w:b w:val="0"/>
          <w:bCs w:val="0"/>
          <w:color w:val="auto"/>
          <w:highlight w:val="none"/>
          <w:lang w:val="en-US" w:eastAsia="zh-CN" w:bidi="ar"/>
        </w:rPr>
      </w:pPr>
      <w:r>
        <w:rPr>
          <w:rFonts w:hint="eastAsia"/>
          <w:b/>
          <w:bCs/>
          <w:color w:val="auto"/>
          <w:highlight w:val="none"/>
          <w:lang w:val="en-US" w:eastAsia="zh-CN" w:bidi="ar"/>
        </w:rPr>
        <w:t>项目/本项目</w:t>
      </w:r>
      <w:r>
        <w:rPr>
          <w:rFonts w:hint="eastAsia"/>
          <w:b w:val="0"/>
          <w:bCs w:val="0"/>
          <w:color w:val="auto"/>
          <w:highlight w:val="none"/>
          <w:lang w:val="en-US" w:eastAsia="zh-CN" w:bidi="ar"/>
        </w:rPr>
        <w:t>，指本协议第2.1条、第2.2条约定的</w:t>
      </w:r>
      <w:r>
        <w:rPr>
          <w:rFonts w:hint="default" w:ascii="仿宋" w:hAnsi="仿宋" w:eastAsia="仿宋" w:cs="Times New Roman"/>
          <w:b w:val="0"/>
          <w:bCs w:val="0"/>
          <w:color w:val="auto"/>
          <w:sz w:val="24"/>
          <w:szCs w:val="24"/>
          <w:highlight w:val="none"/>
          <w:u w:val="none"/>
          <w:lang w:bidi="ar"/>
        </w:rPr>
        <w:t>先进制造产业园A1地块分地块五</w:t>
      </w:r>
      <w:r>
        <w:rPr>
          <w:rFonts w:hint="default" w:cs="Times New Roman"/>
          <w:b w:val="0"/>
          <w:bCs w:val="0"/>
          <w:color w:val="auto"/>
          <w:sz w:val="24"/>
          <w:szCs w:val="24"/>
          <w:highlight w:val="none"/>
          <w:u w:val="none"/>
          <w:lang w:eastAsia="zh-CN" w:bidi="ar"/>
        </w:rPr>
        <w:t>、</w:t>
      </w:r>
      <w:r>
        <w:rPr>
          <w:rFonts w:hint="default" w:cs="Times New Roman"/>
          <w:b w:val="0"/>
          <w:bCs w:val="0"/>
          <w:color w:val="auto"/>
          <w:sz w:val="24"/>
          <w:szCs w:val="24"/>
          <w:highlight w:val="none"/>
          <w:u w:val="none"/>
          <w:lang w:val="en-US" w:eastAsia="zh-CN" w:bidi="ar"/>
        </w:rPr>
        <w:t>六</w:t>
      </w:r>
      <w:r>
        <w:rPr>
          <w:rFonts w:hint="eastAsia" w:cs="Times New Roman"/>
          <w:b w:val="0"/>
          <w:bCs w:val="0"/>
          <w:color w:val="auto"/>
          <w:sz w:val="24"/>
          <w:szCs w:val="24"/>
          <w:highlight w:val="none"/>
          <w:u w:val="none"/>
          <w:lang w:val="en-US" w:eastAsia="zh-CN" w:bidi="ar"/>
        </w:rPr>
        <w:t>及后续拟建工程。</w:t>
      </w:r>
    </w:p>
    <w:p>
      <w:pPr>
        <w:numPr>
          <w:ilvl w:val="2"/>
          <w:numId w:val="2"/>
        </w:numPr>
        <w:spacing w:before="0" w:beforeLines="-2147483648" w:line="500" w:lineRule="exact"/>
        <w:ind w:left="0" w:firstLine="482" w:firstLineChars="200"/>
        <w:jc w:val="both"/>
        <w:outlineLvl w:val="9"/>
        <w:rPr>
          <w:rFonts w:hint="default"/>
          <w:b w:val="0"/>
          <w:bCs w:val="0"/>
          <w:color w:val="auto"/>
          <w:highlight w:val="none"/>
          <w:lang w:val="en-US" w:eastAsia="zh-CN" w:bidi="ar"/>
        </w:rPr>
      </w:pPr>
      <w:r>
        <w:rPr>
          <w:rFonts w:hint="eastAsia"/>
          <w:b/>
          <w:bCs/>
          <w:color w:val="auto"/>
          <w:highlight w:val="none"/>
          <w:lang w:val="en-US" w:eastAsia="zh-CN" w:bidi="ar"/>
        </w:rPr>
        <w:t>运营物业</w:t>
      </w:r>
      <w:r>
        <w:rPr>
          <w:rFonts w:hint="eastAsia"/>
          <w:b w:val="0"/>
          <w:bCs w:val="0"/>
          <w:color w:val="auto"/>
          <w:highlight w:val="none"/>
          <w:lang w:val="en-US" w:eastAsia="zh-CN" w:bidi="ar"/>
        </w:rPr>
        <w:t>，指</w:t>
      </w:r>
      <w:r>
        <w:rPr>
          <w:rFonts w:hint="default"/>
          <w:color w:val="auto"/>
          <w:highlight w:val="none"/>
          <w:u w:val="none"/>
          <w:lang w:val="en-US" w:eastAsia="zh-CN" w:bidi="ar"/>
        </w:rPr>
        <w:t>经甲方确定并最终移交给乙方运营管理的部分物业</w:t>
      </w:r>
      <w:r>
        <w:rPr>
          <w:rFonts w:hint="eastAsia"/>
          <w:color w:val="auto"/>
          <w:highlight w:val="none"/>
          <w:u w:val="none"/>
          <w:lang w:val="en-US" w:eastAsia="zh-CN" w:bidi="ar"/>
        </w:rPr>
        <w:t>，包括按性质依法不能销售的物业、</w:t>
      </w:r>
      <w:r>
        <w:rPr>
          <w:rFonts w:hint="default"/>
          <w:color w:val="auto"/>
          <w:highlight w:val="none"/>
          <w:u w:val="none"/>
          <w:lang w:val="en-US" w:eastAsia="zh-CN" w:bidi="ar"/>
        </w:rPr>
        <w:t>政府部门批复方案确定的不可销售</w:t>
      </w:r>
      <w:r>
        <w:rPr>
          <w:rFonts w:hint="eastAsia"/>
          <w:color w:val="auto"/>
          <w:highlight w:val="none"/>
          <w:u w:val="none"/>
          <w:lang w:val="en-US" w:eastAsia="zh-CN" w:bidi="ar"/>
        </w:rPr>
        <w:t>面积部分物业以及虽可对外销售但经甲方确定纳入运营范围的物业</w:t>
      </w:r>
      <w:r>
        <w:rPr>
          <w:rFonts w:hint="default"/>
          <w:color w:val="auto"/>
          <w:highlight w:val="none"/>
          <w:u w:val="none"/>
          <w:lang w:val="en-US" w:eastAsia="zh-CN" w:bidi="ar"/>
        </w:rPr>
        <w:t>。</w:t>
      </w:r>
    </w:p>
    <w:p>
      <w:pPr>
        <w:numPr>
          <w:ilvl w:val="2"/>
          <w:numId w:val="2"/>
        </w:numPr>
        <w:spacing w:before="0" w:beforeLines="-2147483648" w:line="500" w:lineRule="exact"/>
        <w:ind w:left="0" w:firstLine="482" w:firstLineChars="200"/>
        <w:jc w:val="both"/>
        <w:outlineLvl w:val="9"/>
        <w:rPr>
          <w:rFonts w:hint="default"/>
          <w:b w:val="0"/>
          <w:bCs w:val="0"/>
          <w:color w:val="auto"/>
          <w:highlight w:val="none"/>
          <w:lang w:val="en-US" w:eastAsia="zh-CN" w:bidi="ar"/>
        </w:rPr>
      </w:pPr>
      <w:r>
        <w:rPr>
          <w:rFonts w:hint="eastAsia"/>
          <w:b/>
          <w:bCs/>
          <w:color w:val="auto"/>
          <w:highlight w:val="none"/>
          <w:lang w:val="en-US" w:eastAsia="zh-CN" w:bidi="ar"/>
        </w:rPr>
        <w:t>销售物业</w:t>
      </w:r>
      <w:r>
        <w:rPr>
          <w:rFonts w:hint="eastAsia"/>
          <w:b w:val="0"/>
          <w:bCs w:val="0"/>
          <w:color w:val="auto"/>
          <w:highlight w:val="none"/>
          <w:lang w:val="en-US" w:eastAsia="zh-CN" w:bidi="ar"/>
        </w:rPr>
        <w:t>，指本项目中除运营物业外的其他物业。</w:t>
      </w:r>
    </w:p>
    <w:p>
      <w:pPr>
        <w:numPr>
          <w:ilvl w:val="2"/>
          <w:numId w:val="2"/>
        </w:numPr>
        <w:spacing w:line="500" w:lineRule="exact"/>
        <w:ind w:left="0" w:firstLine="482" w:firstLineChars="200"/>
        <w:jc w:val="both"/>
        <w:rPr>
          <w:rFonts w:hint="eastAsia"/>
          <w:color w:val="auto"/>
          <w:highlight w:val="none"/>
          <w:lang w:bidi="ar"/>
        </w:rPr>
      </w:pPr>
      <w:r>
        <w:rPr>
          <w:rFonts w:hint="eastAsia"/>
          <w:b/>
          <w:bCs/>
          <w:color w:val="auto"/>
          <w:highlight w:val="none"/>
          <w:lang w:val="en-US" w:eastAsia="zh-CN" w:bidi="ar"/>
        </w:rPr>
        <w:t>运营权</w:t>
      </w:r>
      <w:r>
        <w:rPr>
          <w:rFonts w:hint="eastAsia"/>
          <w:b w:val="0"/>
          <w:bCs w:val="0"/>
          <w:color w:val="auto"/>
          <w:highlight w:val="none"/>
          <w:lang w:val="en-US" w:eastAsia="zh-CN" w:bidi="ar"/>
        </w:rPr>
        <w:t>，</w:t>
      </w:r>
      <w:r>
        <w:rPr>
          <w:rFonts w:hint="eastAsia"/>
          <w:color w:val="auto"/>
          <w:highlight w:val="none"/>
          <w:lang w:bidi="ar"/>
        </w:rPr>
        <w:t>指</w:t>
      </w:r>
      <w:r>
        <w:rPr>
          <w:rFonts w:hint="eastAsia"/>
          <w:color w:val="auto"/>
          <w:highlight w:val="none"/>
          <w:lang w:val="en-US" w:eastAsia="zh-CN" w:bidi="ar"/>
        </w:rPr>
        <w:t>在承担本协议约定服务内容（具体权利范围以本合同第六、十七条约定为准）的前提下，对本项目物业（包括运营物业和销售物业）开展招商运营、租赁管理等并获取相应收益的权利，其中物业销售由甲方根据届时制定的销售方案开展。</w:t>
      </w:r>
    </w:p>
    <w:p>
      <w:pPr>
        <w:numPr>
          <w:ilvl w:val="2"/>
          <w:numId w:val="2"/>
        </w:numPr>
        <w:spacing w:line="500" w:lineRule="exact"/>
        <w:ind w:left="0" w:firstLine="482" w:firstLineChars="200"/>
        <w:jc w:val="both"/>
        <w:rPr>
          <w:rFonts w:hint="eastAsia"/>
          <w:color w:val="auto"/>
          <w:highlight w:val="none"/>
          <w:lang w:bidi="ar"/>
        </w:rPr>
      </w:pPr>
      <w:r>
        <w:rPr>
          <w:rFonts w:hint="eastAsia"/>
          <w:b/>
          <w:bCs/>
          <w:color w:val="auto"/>
          <w:highlight w:val="none"/>
          <w:lang w:val="en-US" w:eastAsia="zh-CN" w:bidi="ar"/>
        </w:rPr>
        <w:t>运营权转让费</w:t>
      </w:r>
      <w:r>
        <w:rPr>
          <w:rFonts w:hint="eastAsia"/>
          <w:color w:val="auto"/>
          <w:highlight w:val="none"/>
          <w:lang w:val="en-US" w:eastAsia="zh-CN" w:bidi="ar"/>
        </w:rPr>
        <w:t>，指乙方为获得运营权而</w:t>
      </w:r>
      <w:r>
        <w:rPr>
          <w:rFonts w:hint="eastAsia"/>
          <w:color w:val="auto"/>
          <w:highlight w:val="none"/>
          <w:lang w:bidi="ar"/>
        </w:rPr>
        <w:t>应当向甲方支付的</w:t>
      </w:r>
      <w:r>
        <w:rPr>
          <w:rFonts w:hint="eastAsia"/>
          <w:color w:val="auto"/>
          <w:highlight w:val="none"/>
          <w:lang w:val="en-US" w:eastAsia="zh-CN" w:bidi="ar"/>
        </w:rPr>
        <w:t>价款，以本协议第7.1条约定为准</w:t>
      </w:r>
      <w:r>
        <w:rPr>
          <w:rFonts w:hint="eastAsia"/>
          <w:color w:val="auto"/>
          <w:highlight w:val="none"/>
          <w:lang w:bidi="ar"/>
        </w:rPr>
        <w:t>。</w:t>
      </w:r>
    </w:p>
    <w:p>
      <w:pPr>
        <w:numPr>
          <w:ilvl w:val="2"/>
          <w:numId w:val="2"/>
        </w:numPr>
        <w:spacing w:line="500" w:lineRule="exact"/>
        <w:ind w:left="0" w:firstLine="482" w:firstLineChars="200"/>
        <w:jc w:val="both"/>
        <w:rPr>
          <w:rFonts w:hint="eastAsia"/>
          <w:color w:val="auto"/>
          <w:highlight w:val="none"/>
          <w:lang w:bidi="ar"/>
        </w:rPr>
      </w:pPr>
      <w:r>
        <w:rPr>
          <w:rFonts w:hint="eastAsia"/>
          <w:b/>
          <w:bCs/>
          <w:color w:val="auto"/>
          <w:highlight w:val="none"/>
          <w:lang w:val="en-US" w:eastAsia="zh-CN" w:bidi="ar"/>
        </w:rPr>
        <w:t>合作收益</w:t>
      </w:r>
      <w:r>
        <w:rPr>
          <w:rFonts w:hint="eastAsia"/>
          <w:color w:val="auto"/>
          <w:highlight w:val="none"/>
          <w:lang w:val="en-US" w:eastAsia="zh-CN" w:bidi="ar"/>
        </w:rPr>
        <w:t>，指基于本合同项下运营服务合作，乙方应当向甲方支付的收益款，具体计算、支付方式以本协议第7.3条约定为准。合作收益与运营权转让费共同构成乙方获得运营权的全部对价。</w:t>
      </w:r>
    </w:p>
    <w:p>
      <w:pPr>
        <w:numPr>
          <w:ilvl w:val="2"/>
          <w:numId w:val="2"/>
        </w:numPr>
        <w:spacing w:before="0" w:beforeLines="-2147483648" w:line="500" w:lineRule="exact"/>
        <w:ind w:left="0" w:firstLine="482" w:firstLineChars="200"/>
        <w:jc w:val="both"/>
        <w:outlineLvl w:val="9"/>
        <w:rPr>
          <w:rFonts w:hint="default"/>
          <w:b w:val="0"/>
          <w:bCs w:val="0"/>
          <w:color w:val="auto"/>
          <w:highlight w:val="none"/>
          <w:lang w:val="en-US" w:eastAsia="zh-CN" w:bidi="ar"/>
        </w:rPr>
      </w:pPr>
      <w:r>
        <w:rPr>
          <w:rFonts w:hint="eastAsia"/>
          <w:b/>
          <w:bCs/>
          <w:color w:val="auto"/>
          <w:highlight w:val="none"/>
          <w:lang w:val="en-US" w:eastAsia="zh-CN" w:bidi="ar"/>
        </w:rPr>
        <w:t>开工令</w:t>
      </w:r>
      <w:r>
        <w:rPr>
          <w:rFonts w:hint="eastAsia"/>
          <w:b w:val="0"/>
          <w:bCs w:val="0"/>
          <w:color w:val="auto"/>
          <w:highlight w:val="none"/>
          <w:lang w:val="en-US" w:eastAsia="zh-CN" w:bidi="ar"/>
        </w:rPr>
        <w:t>，指甲方与本项目总承包单位签署的《广州市建设工程总承包合同》项下约定的监理单位发出的书面开工令。如本项目分期开发存在多份开工令的，以第一份发出的书面开工令为准。</w:t>
      </w:r>
    </w:p>
    <w:p>
      <w:pPr>
        <w:numPr>
          <w:ilvl w:val="2"/>
          <w:numId w:val="2"/>
        </w:numPr>
        <w:spacing w:before="0" w:beforeLines="-2147483648" w:line="500" w:lineRule="exact"/>
        <w:ind w:left="0" w:firstLine="482" w:firstLineChars="200"/>
        <w:jc w:val="both"/>
        <w:outlineLvl w:val="9"/>
        <w:rPr>
          <w:rFonts w:hint="default"/>
          <w:b w:val="0"/>
          <w:bCs w:val="0"/>
          <w:color w:val="auto"/>
          <w:highlight w:val="none"/>
          <w:lang w:val="en-US" w:eastAsia="zh-CN" w:bidi="ar"/>
        </w:rPr>
      </w:pPr>
      <w:r>
        <w:rPr>
          <w:rFonts w:hint="eastAsia"/>
          <w:b/>
          <w:bCs/>
          <w:color w:val="auto"/>
          <w:highlight w:val="none"/>
          <w:lang w:val="en-US" w:eastAsia="zh-CN" w:bidi="ar"/>
        </w:rPr>
        <w:t>元</w:t>
      </w:r>
      <w:r>
        <w:rPr>
          <w:rFonts w:hint="eastAsia"/>
          <w:b w:val="0"/>
          <w:bCs w:val="0"/>
          <w:color w:val="auto"/>
          <w:highlight w:val="none"/>
          <w:lang w:val="en-US" w:eastAsia="zh-CN" w:bidi="ar"/>
        </w:rPr>
        <w:t>，指中华人民共和国法定流通货币人民币。</w:t>
      </w:r>
    </w:p>
    <w:p>
      <w:pPr>
        <w:numPr>
          <w:ilvl w:val="2"/>
          <w:numId w:val="2"/>
        </w:numPr>
        <w:spacing w:before="0" w:beforeLines="-2147483648" w:line="500" w:lineRule="exact"/>
        <w:ind w:left="0" w:firstLine="482" w:firstLineChars="200"/>
        <w:jc w:val="both"/>
        <w:outlineLvl w:val="9"/>
        <w:rPr>
          <w:rFonts w:hint="default"/>
          <w:b w:val="0"/>
          <w:bCs w:val="0"/>
          <w:color w:val="auto"/>
          <w:highlight w:val="none"/>
          <w:lang w:val="en-US" w:eastAsia="zh-CN" w:bidi="ar"/>
        </w:rPr>
      </w:pPr>
      <w:r>
        <w:rPr>
          <w:rFonts w:hint="default"/>
          <w:b/>
          <w:bCs/>
          <w:color w:val="auto"/>
          <w:highlight w:val="none"/>
          <w:lang w:val="en-US" w:eastAsia="zh-CN" w:bidi="ar"/>
        </w:rPr>
        <w:t>法律法规</w:t>
      </w:r>
      <w:r>
        <w:rPr>
          <w:rFonts w:hint="default"/>
          <w:b w:val="0"/>
          <w:bCs w:val="0"/>
          <w:color w:val="auto"/>
          <w:highlight w:val="none"/>
          <w:lang w:val="en-US" w:eastAsia="zh-CN" w:bidi="ar"/>
        </w:rPr>
        <w:t>，指现行有效并公布实施的</w:t>
      </w:r>
      <w:r>
        <w:rPr>
          <w:rFonts w:hint="eastAsia"/>
          <w:b w:val="0"/>
          <w:bCs w:val="0"/>
          <w:color w:val="auto"/>
          <w:highlight w:val="none"/>
          <w:lang w:val="en-US" w:eastAsia="zh-CN" w:bidi="ar"/>
        </w:rPr>
        <w:t>中华人民共和国</w:t>
      </w:r>
      <w:r>
        <w:rPr>
          <w:rFonts w:hint="default"/>
          <w:b w:val="0"/>
          <w:bCs w:val="0"/>
          <w:color w:val="auto"/>
          <w:highlight w:val="none"/>
          <w:lang w:val="en-US" w:eastAsia="zh-CN" w:bidi="ar"/>
        </w:rPr>
        <w:t>法律、行政法规、部门规章、规范性文件、监管政策，以及对该等法律法规或规则不时的修订和补充</w:t>
      </w:r>
      <w:r>
        <w:rPr>
          <w:rFonts w:hint="eastAsia"/>
          <w:b w:val="0"/>
          <w:bCs w:val="0"/>
          <w:color w:val="auto"/>
          <w:highlight w:val="none"/>
          <w:lang w:val="en-US" w:eastAsia="zh-CN" w:bidi="ar"/>
        </w:rPr>
        <w:t>。</w:t>
      </w:r>
    </w:p>
    <w:p>
      <w:pPr>
        <w:numPr>
          <w:ilvl w:val="1"/>
          <w:numId w:val="2"/>
        </w:numPr>
        <w:tabs>
          <w:tab w:val="left" w:pos="0"/>
        </w:tabs>
        <w:spacing w:before="0" w:beforeLines="-2147483648" w:line="500" w:lineRule="exact"/>
        <w:ind w:left="0" w:firstLine="482" w:firstLineChars="200"/>
        <w:jc w:val="both"/>
        <w:outlineLvl w:val="9"/>
        <w:rPr>
          <w:rFonts w:hint="default"/>
          <w:b w:val="0"/>
          <w:bCs w:val="0"/>
          <w:color w:val="auto"/>
          <w:highlight w:val="none"/>
          <w:lang w:val="en-US" w:eastAsia="zh-CN" w:bidi="ar"/>
        </w:rPr>
      </w:pPr>
      <w:r>
        <w:rPr>
          <w:rFonts w:hint="default"/>
          <w:b/>
          <w:bCs/>
          <w:color w:val="auto"/>
          <w:highlight w:val="none"/>
          <w:lang w:val="en-US" w:eastAsia="zh-CN" w:bidi="ar"/>
        </w:rPr>
        <w:t>解释原则</w:t>
      </w:r>
      <w:r>
        <w:rPr>
          <w:rFonts w:hint="default"/>
          <w:b w:val="0"/>
          <w:bCs w:val="0"/>
          <w:color w:val="auto"/>
          <w:highlight w:val="none"/>
          <w:lang w:val="en-US" w:eastAsia="zh-CN" w:bidi="ar"/>
        </w:rPr>
        <w:t>。本协议按如下解释原则解释：</w:t>
      </w:r>
    </w:p>
    <w:p>
      <w:pPr>
        <w:numPr>
          <w:ilvl w:val="2"/>
          <w:numId w:val="2"/>
        </w:numPr>
        <w:spacing w:before="0" w:beforeLines="-2147483648" w:line="500" w:lineRule="exact"/>
        <w:ind w:left="0" w:firstLine="480" w:firstLineChars="200"/>
        <w:jc w:val="both"/>
        <w:outlineLvl w:val="9"/>
        <w:rPr>
          <w:rFonts w:hint="default"/>
          <w:b w:val="0"/>
          <w:bCs w:val="0"/>
          <w:color w:val="auto"/>
          <w:highlight w:val="none"/>
          <w:lang w:val="en-US" w:eastAsia="zh-CN" w:bidi="ar"/>
        </w:rPr>
      </w:pPr>
      <w:r>
        <w:rPr>
          <w:rFonts w:hint="default"/>
          <w:b w:val="0"/>
          <w:bCs w:val="0"/>
          <w:color w:val="auto"/>
          <w:highlight w:val="none"/>
          <w:lang w:val="en-US" w:eastAsia="zh-CN" w:bidi="ar"/>
        </w:rPr>
        <w:t>本协议中所指的“条”“款”“项”“附录”时，除非本协议上下文另有说明，均指本协议中相应的内容。</w:t>
      </w:r>
    </w:p>
    <w:p>
      <w:pPr>
        <w:numPr>
          <w:ilvl w:val="2"/>
          <w:numId w:val="2"/>
        </w:numPr>
        <w:spacing w:before="0" w:beforeLines="-2147483648" w:line="500" w:lineRule="exact"/>
        <w:ind w:left="0" w:firstLine="480" w:firstLineChars="200"/>
        <w:jc w:val="both"/>
        <w:outlineLvl w:val="9"/>
        <w:rPr>
          <w:rFonts w:hint="default"/>
          <w:b w:val="0"/>
          <w:bCs w:val="0"/>
          <w:color w:val="auto"/>
          <w:highlight w:val="none"/>
          <w:lang w:val="en-US" w:eastAsia="zh-CN" w:bidi="ar"/>
        </w:rPr>
      </w:pPr>
      <w:r>
        <w:rPr>
          <w:rFonts w:hint="default"/>
          <w:b w:val="0"/>
          <w:bCs w:val="0"/>
          <w:color w:val="auto"/>
          <w:highlight w:val="none"/>
          <w:lang w:val="en-US" w:eastAsia="zh-CN" w:bidi="ar"/>
        </w:rPr>
        <w:t>本协议题目及标题仅为方便援引而设，不影响本协议的释义。</w:t>
      </w:r>
    </w:p>
    <w:p>
      <w:pPr>
        <w:numPr>
          <w:ilvl w:val="2"/>
          <w:numId w:val="2"/>
        </w:numPr>
        <w:spacing w:before="0" w:beforeLines="-2147483648" w:line="500" w:lineRule="exact"/>
        <w:ind w:left="0" w:firstLine="480" w:firstLineChars="200"/>
        <w:jc w:val="both"/>
        <w:outlineLvl w:val="9"/>
        <w:rPr>
          <w:rFonts w:hint="default"/>
          <w:b w:val="0"/>
          <w:bCs w:val="0"/>
          <w:color w:val="auto"/>
          <w:highlight w:val="none"/>
          <w:lang w:val="en-US" w:eastAsia="zh-CN" w:bidi="ar"/>
        </w:rPr>
      </w:pPr>
      <w:r>
        <w:rPr>
          <w:rFonts w:hint="default"/>
          <w:b w:val="0"/>
          <w:bCs w:val="0"/>
          <w:color w:val="auto"/>
          <w:highlight w:val="none"/>
          <w:lang w:val="en-US" w:eastAsia="zh-CN" w:bidi="ar"/>
        </w:rPr>
        <w:t>本协议中使用“包括”一词不具有限制性，视为“包括但不限于”；本协议中使用“以上”“不高于”“不低于”“（含）”均包含本数，“超过”“高于”“低于”不包含本数；本协议中使用“或者”一词，除非本协议上下文另有说明，并不意味着排他性。</w:t>
      </w:r>
    </w:p>
    <w:p>
      <w:pPr>
        <w:numPr>
          <w:ilvl w:val="2"/>
          <w:numId w:val="2"/>
        </w:numPr>
        <w:spacing w:before="0" w:beforeLines="-2147483648" w:line="500" w:lineRule="exact"/>
        <w:ind w:left="0" w:firstLine="480" w:firstLineChars="200"/>
        <w:jc w:val="both"/>
        <w:outlineLvl w:val="9"/>
        <w:rPr>
          <w:rFonts w:hint="default"/>
          <w:b w:val="0"/>
          <w:bCs w:val="0"/>
          <w:color w:val="auto"/>
          <w:highlight w:val="none"/>
          <w:lang w:val="en-US" w:eastAsia="zh-CN" w:bidi="ar"/>
        </w:rPr>
      </w:pPr>
      <w:r>
        <w:rPr>
          <w:rFonts w:hint="default"/>
          <w:b w:val="0"/>
          <w:bCs w:val="0"/>
          <w:color w:val="auto"/>
          <w:highlight w:val="none"/>
          <w:lang w:val="en-US" w:eastAsia="zh-CN" w:bidi="ar"/>
        </w:rPr>
        <w:t>本协议中使用“书面”“书面的”及类似术语是指印刷、打印或其他可视的复制方式（包括电子媒介）。</w:t>
      </w:r>
    </w:p>
    <w:p>
      <w:pPr>
        <w:numPr>
          <w:ilvl w:val="0"/>
          <w:numId w:val="2"/>
        </w:numPr>
        <w:tabs>
          <w:tab w:val="left" w:pos="0"/>
        </w:tabs>
        <w:spacing w:before="157" w:beforeLines="50" w:line="500" w:lineRule="exact"/>
        <w:ind w:left="425" w:hanging="425" w:firstLineChars="0"/>
        <w:jc w:val="both"/>
        <w:outlineLvl w:val="0"/>
        <w:rPr>
          <w:rFonts w:hint="eastAsia"/>
          <w:b/>
          <w:bCs/>
          <w:color w:val="auto"/>
          <w:highlight w:val="none"/>
          <w:lang w:bidi="ar"/>
        </w:rPr>
      </w:pPr>
      <w:r>
        <w:rPr>
          <w:rFonts w:hint="eastAsia"/>
          <w:b/>
          <w:bCs/>
          <w:color w:val="auto"/>
          <w:highlight w:val="none"/>
          <w:lang w:bidi="ar"/>
        </w:rPr>
        <w:t>项目情况</w:t>
      </w:r>
      <w:bookmarkEnd w:id="1"/>
      <w:bookmarkEnd w:id="2"/>
      <w:bookmarkEnd w:id="3"/>
      <w:bookmarkEnd w:id="4"/>
      <w:bookmarkEnd w:id="5"/>
      <w:bookmarkEnd w:id="6"/>
      <w:bookmarkEnd w:id="7"/>
      <w:bookmarkEnd w:id="8"/>
      <w:bookmarkEnd w:id="9"/>
      <w:bookmarkEnd w:id="10"/>
      <w:bookmarkEnd w:id="11"/>
      <w:bookmarkEnd w:id="12"/>
      <w:r>
        <w:rPr>
          <w:rFonts w:hint="eastAsia"/>
          <w:b/>
          <w:bCs/>
          <w:color w:val="auto"/>
          <w:highlight w:val="none"/>
          <w:lang w:bidi="ar"/>
        </w:rPr>
        <w:t xml:space="preserve"> </w:t>
      </w:r>
    </w:p>
    <w:p>
      <w:pPr>
        <w:keepNext w:val="0"/>
        <w:keepLines w:val="0"/>
        <w:widowControl/>
        <w:suppressLineNumbers w:val="0"/>
        <w:autoSpaceDE w:val="0"/>
        <w:autoSpaceDN/>
        <w:spacing w:before="0" w:beforeAutospacing="0" w:after="0" w:afterAutospacing="0" w:line="360" w:lineRule="auto"/>
        <w:ind w:left="0" w:right="0" w:firstLine="480" w:firstLineChars="200"/>
        <w:jc w:val="left"/>
        <w:rPr>
          <w:rFonts w:hint="eastAsia" w:ascii="仿宋" w:hAnsi="仿宋" w:eastAsia="仿宋" w:cs="仿宋"/>
          <w:color w:val="auto"/>
          <w:spacing w:val="-9"/>
          <w:sz w:val="24"/>
          <w:szCs w:val="24"/>
          <w:highlight w:val="none"/>
        </w:rPr>
      </w:pPr>
      <w:r>
        <w:rPr>
          <w:rFonts w:hint="default" w:cs="Times New Roman"/>
          <w:color w:val="auto"/>
          <w:highlight w:val="none"/>
          <w:lang w:val="en-US" w:eastAsia="zh-CN" w:bidi="ar"/>
        </w:rPr>
        <w:t>项目</w:t>
      </w:r>
      <w:r>
        <w:rPr>
          <w:rFonts w:cs="Times New Roman"/>
          <w:color w:val="auto"/>
          <w:highlight w:val="none"/>
          <w:lang w:bidi="ar"/>
        </w:rPr>
        <w:t>位置：</w:t>
      </w:r>
      <w:r>
        <w:rPr>
          <w:rFonts w:hint="default" w:ascii="仿宋" w:hAnsi="仿宋" w:eastAsia="仿宋" w:cs="Times New Roman"/>
          <w:color w:val="auto"/>
          <w:sz w:val="24"/>
          <w:szCs w:val="24"/>
          <w:highlight w:val="none"/>
          <w:u w:val="none"/>
          <w:lang w:bidi="ar"/>
        </w:rPr>
        <w:t>广州市花都区</w:t>
      </w:r>
      <w:r>
        <w:rPr>
          <w:rFonts w:hint="default" w:ascii="仿宋" w:hAnsi="仿宋" w:eastAsia="仿宋" w:cs="Times New Roman"/>
          <w:color w:val="auto"/>
          <w:sz w:val="24"/>
          <w:szCs w:val="24"/>
          <w:highlight w:val="none"/>
          <w:u w:val="none"/>
          <w:lang w:val="en-US" w:eastAsia="zh-CN" w:bidi="ar"/>
        </w:rPr>
        <w:t>沿江大道</w:t>
      </w:r>
      <w:r>
        <w:rPr>
          <w:rFonts w:hint="default" w:ascii="仿宋" w:hAnsi="仿宋" w:eastAsia="仿宋" w:cs="Times New Roman"/>
          <w:color w:val="auto"/>
          <w:sz w:val="24"/>
          <w:szCs w:val="24"/>
          <w:highlight w:val="none"/>
          <w:u w:val="none"/>
          <w:lang w:bidi="ar"/>
        </w:rPr>
        <w:t>以</w:t>
      </w:r>
      <w:r>
        <w:rPr>
          <w:rFonts w:hint="default" w:ascii="仿宋" w:hAnsi="仿宋" w:eastAsia="仿宋" w:cs="Times New Roman"/>
          <w:color w:val="auto"/>
          <w:sz w:val="24"/>
          <w:szCs w:val="24"/>
          <w:highlight w:val="none"/>
          <w:u w:val="none"/>
          <w:lang w:val="en-US" w:eastAsia="zh-CN" w:bidi="ar"/>
        </w:rPr>
        <w:t>北</w:t>
      </w:r>
      <w:r>
        <w:rPr>
          <w:rFonts w:hint="default" w:ascii="仿宋" w:hAnsi="仿宋" w:eastAsia="仿宋" w:cs="Times New Roman"/>
          <w:color w:val="auto"/>
          <w:sz w:val="24"/>
          <w:szCs w:val="24"/>
          <w:highlight w:val="none"/>
          <w:u w:val="none"/>
          <w:lang w:eastAsia="zh-CN" w:bidi="ar"/>
        </w:rPr>
        <w:t>、</w:t>
      </w:r>
      <w:r>
        <w:rPr>
          <w:rFonts w:hint="default" w:ascii="仿宋" w:hAnsi="仿宋" w:eastAsia="仿宋" w:cs="Times New Roman"/>
          <w:color w:val="auto"/>
          <w:sz w:val="24"/>
          <w:szCs w:val="24"/>
          <w:highlight w:val="none"/>
          <w:u w:val="none"/>
          <w:lang w:val="en-US" w:eastAsia="zh-CN" w:bidi="ar"/>
        </w:rPr>
        <w:t>合进</w:t>
      </w:r>
      <w:r>
        <w:rPr>
          <w:rFonts w:hint="default" w:ascii="仿宋" w:hAnsi="仿宋" w:eastAsia="仿宋" w:cs="Times New Roman"/>
          <w:color w:val="auto"/>
          <w:sz w:val="24"/>
          <w:szCs w:val="24"/>
          <w:highlight w:val="none"/>
          <w:u w:val="none"/>
          <w:lang w:bidi="ar"/>
        </w:rPr>
        <w:t>大道以</w:t>
      </w:r>
      <w:r>
        <w:rPr>
          <w:rFonts w:hint="default" w:ascii="仿宋" w:hAnsi="仿宋" w:eastAsia="仿宋" w:cs="Times New Roman"/>
          <w:color w:val="auto"/>
          <w:sz w:val="24"/>
          <w:szCs w:val="24"/>
          <w:highlight w:val="none"/>
          <w:u w:val="none"/>
          <w:lang w:val="en-US" w:eastAsia="zh-CN" w:bidi="ar"/>
        </w:rPr>
        <w:t>东</w:t>
      </w:r>
      <w:r>
        <w:rPr>
          <w:rFonts w:hint="default" w:cs="Times New Roman"/>
          <w:color w:val="auto"/>
          <w:sz w:val="24"/>
          <w:szCs w:val="24"/>
          <w:highlight w:val="none"/>
          <w:u w:val="none"/>
          <w:lang w:val="en-US" w:eastAsia="zh-CN" w:bidi="ar"/>
        </w:rPr>
        <w:t>；</w:t>
      </w:r>
      <w:r>
        <w:rPr>
          <w:rFonts w:hint="eastAsia" w:cs="仿宋"/>
          <w:color w:val="auto"/>
          <w:spacing w:val="-9"/>
          <w:kern w:val="0"/>
          <w:sz w:val="24"/>
          <w:szCs w:val="24"/>
          <w:highlight w:val="none"/>
          <w:lang w:val="en-US" w:eastAsia="zh-CN" w:bidi="ar"/>
        </w:rPr>
        <w:t>共2个地块，用地性质为一类工业用地M1，分别是：</w:t>
      </w:r>
      <w:r>
        <w:rPr>
          <w:rFonts w:hint="eastAsia" w:ascii="仿宋" w:hAnsi="仿宋" w:eastAsia="仿宋" w:cs="仿宋"/>
          <w:color w:val="auto"/>
          <w:spacing w:val="-9"/>
          <w:kern w:val="0"/>
          <w:sz w:val="24"/>
          <w:szCs w:val="24"/>
          <w:highlight w:val="none"/>
          <w:lang w:val="en-US" w:eastAsia="zh-CN" w:bidi="ar"/>
        </w:rPr>
        <w:t>地块五：总用地面积约为65460.54平方米（可建设用地面积58317.08平方米，绿地用地面积7143.46平方</w:t>
      </w:r>
      <w:r>
        <w:rPr>
          <w:rFonts w:hint="eastAsia" w:cs="仿宋"/>
          <w:color w:val="auto"/>
          <w:spacing w:val="-9"/>
          <w:kern w:val="0"/>
          <w:sz w:val="24"/>
          <w:szCs w:val="24"/>
          <w:highlight w:val="none"/>
          <w:lang w:val="en-US" w:eastAsia="zh-CN" w:bidi="ar"/>
        </w:rPr>
        <w:t>，总建筑面积162033.10㎡，物业类型包含A、C、D、E类厂房及宿舍楼，其中：地上建筑面积：158150.00㎡，地下建筑面积：3883.10㎡；计容建筑面积155650.00㎡，机动车停车位486个。</w:t>
      </w:r>
    </w:p>
    <w:p>
      <w:pPr>
        <w:keepNext w:val="0"/>
        <w:keepLines w:val="0"/>
        <w:widowControl/>
        <w:suppressLineNumbers w:val="0"/>
        <w:spacing w:before="0" w:beforeAutospacing="0" w:after="0" w:afterAutospacing="0"/>
        <w:ind w:left="0" w:right="0"/>
        <w:jc w:val="left"/>
        <w:rPr>
          <w:color w:val="auto"/>
          <w:highlight w:val="none"/>
        </w:rPr>
      </w:pPr>
      <w:r>
        <w:rPr>
          <w:rFonts w:hint="eastAsia" w:ascii="仿宋" w:hAnsi="仿宋" w:eastAsia="仿宋" w:cs="仿宋"/>
          <w:color w:val="auto"/>
          <w:spacing w:val="-9"/>
          <w:kern w:val="0"/>
          <w:sz w:val="24"/>
          <w:szCs w:val="24"/>
          <w:highlight w:val="none"/>
          <w:lang w:val="en-US" w:eastAsia="zh-CN" w:bidi="ar"/>
        </w:rPr>
        <w:t>地块六：总用地面积约为63248.64平方米（可建设用地面积58317.06平方米，绿地用地面积4931.58平方米）</w:t>
      </w:r>
      <w:r>
        <w:rPr>
          <w:rFonts w:hint="eastAsia" w:cs="仿宋"/>
          <w:color w:val="auto"/>
          <w:spacing w:val="-9"/>
          <w:kern w:val="0"/>
          <w:sz w:val="24"/>
          <w:szCs w:val="24"/>
          <w:highlight w:val="none"/>
          <w:lang w:val="en-US" w:eastAsia="zh-CN" w:bidi="ar"/>
        </w:rPr>
        <w:t>，总建筑面积155364.35㎡，物业类型包含B、C类厂房及宿舍楼，其中：地上建筑面积：151816.00㎡，地下建筑面积：3548.35㎡；计容建筑面积149816.00㎡，机动车停车位468个。</w:t>
      </w:r>
    </w:p>
    <w:p>
      <w:pPr>
        <w:numPr>
          <w:ilvl w:val="-1"/>
          <w:numId w:val="0"/>
        </w:numPr>
        <w:shd w:val="clear"/>
        <w:tabs>
          <w:tab w:val="left" w:pos="0"/>
        </w:tabs>
        <w:spacing w:line="500" w:lineRule="exact"/>
        <w:ind w:left="0" w:leftChars="0" w:firstLine="480" w:firstLineChars="200"/>
        <w:jc w:val="both"/>
        <w:rPr>
          <w:color w:val="auto"/>
          <w:highlight w:val="none"/>
          <w:lang w:bidi="ar"/>
        </w:rPr>
      </w:pPr>
      <w:r>
        <w:rPr>
          <w:rFonts w:hint="default"/>
          <w:color w:val="auto"/>
          <w:highlight w:val="none"/>
          <w:lang w:bidi="ar"/>
        </w:rPr>
        <w:t>（前述建筑面积均为</w:t>
      </w:r>
      <w:r>
        <w:rPr>
          <w:rFonts w:hint="default"/>
          <w:color w:val="auto"/>
          <w:highlight w:val="none"/>
          <w:lang w:val="en-US" w:eastAsia="zh-CN" w:bidi="ar"/>
        </w:rPr>
        <w:t>初步设计方案确定</w:t>
      </w:r>
      <w:r>
        <w:rPr>
          <w:rFonts w:hint="default"/>
          <w:color w:val="auto"/>
          <w:highlight w:val="none"/>
          <w:lang w:bidi="ar"/>
        </w:rPr>
        <w:t>的面积，最终面积以不动产权证证载面积为准）；物业用途为研发、生产、生活配套。</w:t>
      </w:r>
    </w:p>
    <w:p>
      <w:pPr>
        <w:numPr>
          <w:ilvl w:val="1"/>
          <w:numId w:val="2"/>
        </w:numPr>
        <w:shd w:val="clear"/>
        <w:tabs>
          <w:tab w:val="left" w:pos="0"/>
        </w:tabs>
        <w:spacing w:line="500" w:lineRule="exact"/>
        <w:ind w:left="0" w:firstLine="480" w:firstLineChars="200"/>
        <w:jc w:val="both"/>
        <w:outlineLvl w:val="9"/>
        <w:rPr>
          <w:color w:val="auto"/>
          <w:highlight w:val="none"/>
          <w:u w:val="none"/>
          <w:lang w:bidi="ar"/>
        </w:rPr>
      </w:pPr>
      <w:r>
        <w:rPr>
          <w:rFonts w:hint="default"/>
          <w:color w:val="auto"/>
          <w:highlight w:val="none"/>
          <w:u w:val="none"/>
          <w:lang w:bidi="ar"/>
        </w:rPr>
        <w:t>乙方通过公开招标方式中标并获得本项目</w:t>
      </w:r>
      <w:r>
        <w:rPr>
          <w:rFonts w:hint="default"/>
          <w:color w:val="auto"/>
          <w:highlight w:val="none"/>
          <w:u w:val="none"/>
          <w:lang w:val="en-US" w:eastAsia="zh-CN" w:bidi="ar"/>
        </w:rPr>
        <w:t>的</w:t>
      </w:r>
      <w:r>
        <w:rPr>
          <w:rFonts w:hint="default"/>
          <w:color w:val="auto"/>
          <w:highlight w:val="none"/>
          <w:u w:val="none"/>
          <w:lang w:bidi="ar"/>
        </w:rPr>
        <w:t>运营</w:t>
      </w:r>
      <w:r>
        <w:rPr>
          <w:rFonts w:hint="default"/>
          <w:color w:val="auto"/>
          <w:highlight w:val="none"/>
          <w:u w:val="none"/>
          <w:lang w:val="en-US" w:eastAsia="zh-CN" w:bidi="ar"/>
        </w:rPr>
        <w:t>权</w:t>
      </w:r>
      <w:r>
        <w:rPr>
          <w:rFonts w:hint="eastAsia"/>
          <w:color w:val="auto"/>
          <w:highlight w:val="none"/>
          <w:u w:val="none"/>
          <w:lang w:val="en-US" w:eastAsia="zh-CN" w:bidi="ar"/>
        </w:rPr>
        <w:t>，</w:t>
      </w:r>
      <w:r>
        <w:rPr>
          <w:rFonts w:hint="eastAsia"/>
          <w:color w:val="auto"/>
          <w:highlight w:val="none"/>
          <w:lang w:val="en-US" w:eastAsia="zh-CN" w:bidi="ar"/>
        </w:rPr>
        <w:t>并基于本项目运营获取相应收益</w:t>
      </w:r>
      <w:r>
        <w:rPr>
          <w:rFonts w:hint="eastAsia"/>
          <w:color w:val="auto"/>
          <w:highlight w:val="none"/>
          <w:u w:val="none"/>
          <w:lang w:eastAsia="zh-CN" w:bidi="ar"/>
        </w:rPr>
        <w:t>。</w:t>
      </w:r>
      <w:r>
        <w:rPr>
          <w:color w:val="auto"/>
          <w:highlight w:val="none"/>
          <w:u w:val="none"/>
          <w:lang w:bidi="ar"/>
        </w:rPr>
        <w:t xml:space="preserve"> </w:t>
      </w:r>
    </w:p>
    <w:p>
      <w:pPr>
        <w:numPr>
          <w:ilvl w:val="1"/>
          <w:numId w:val="2"/>
        </w:numPr>
        <w:tabs>
          <w:tab w:val="left" w:pos="0"/>
        </w:tabs>
        <w:spacing w:line="500" w:lineRule="exact"/>
        <w:ind w:left="0" w:firstLine="480" w:firstLineChars="200"/>
        <w:jc w:val="both"/>
        <w:outlineLvl w:val="9"/>
        <w:rPr>
          <w:rFonts w:hint="default"/>
          <w:color w:val="auto"/>
          <w:highlight w:val="none"/>
          <w:u w:val="none"/>
          <w:lang w:bidi="ar"/>
        </w:rPr>
      </w:pPr>
      <w:r>
        <w:rPr>
          <w:rFonts w:hint="default"/>
          <w:color w:val="auto"/>
          <w:highlight w:val="none"/>
          <w:u w:val="none"/>
          <w:lang w:val="en-US" w:eastAsia="zh-CN" w:bidi="ar"/>
        </w:rPr>
        <w:t>运营物业</w:t>
      </w:r>
      <w:r>
        <w:rPr>
          <w:rFonts w:hint="eastAsia"/>
          <w:color w:val="auto"/>
          <w:highlight w:val="none"/>
          <w:u w:val="none"/>
          <w:lang w:val="en-US" w:eastAsia="zh-CN" w:bidi="ar"/>
        </w:rPr>
        <w:t>的</w:t>
      </w:r>
      <w:r>
        <w:rPr>
          <w:rFonts w:hint="default"/>
          <w:color w:val="auto"/>
          <w:highlight w:val="none"/>
          <w:u w:val="none"/>
          <w:lang w:val="en-US" w:eastAsia="zh-CN" w:bidi="ar"/>
        </w:rPr>
        <w:t>面积暂定为15万平方米</w:t>
      </w:r>
      <w:r>
        <w:rPr>
          <w:rFonts w:hint="default"/>
          <w:color w:val="auto"/>
          <w:highlight w:val="none"/>
          <w:u w:val="none"/>
          <w:lang w:eastAsia="zh-CN" w:bidi="ar"/>
        </w:rPr>
        <w:t>，</w:t>
      </w:r>
      <w:r>
        <w:rPr>
          <w:rFonts w:hint="eastAsia"/>
          <w:color w:val="auto"/>
          <w:highlight w:val="none"/>
          <w:u w:val="none"/>
          <w:lang w:val="en-US" w:eastAsia="zh-CN" w:bidi="ar"/>
        </w:rPr>
        <w:t>原则上</w:t>
      </w:r>
      <w:r>
        <w:rPr>
          <w:rFonts w:hint="default"/>
          <w:color w:val="auto"/>
          <w:highlight w:val="none"/>
          <w:u w:val="none"/>
          <w:lang w:val="en-US" w:eastAsia="zh-CN" w:bidi="ar"/>
        </w:rPr>
        <w:t>不应低于本项目</w:t>
      </w:r>
      <w:r>
        <w:rPr>
          <w:rFonts w:hint="eastAsia"/>
          <w:color w:val="auto"/>
          <w:highlight w:val="none"/>
          <w:u w:val="none"/>
          <w:lang w:val="en-US" w:eastAsia="zh-CN" w:bidi="ar"/>
        </w:rPr>
        <w:t>不动产权证记载的</w:t>
      </w:r>
      <w:r>
        <w:rPr>
          <w:rFonts w:hint="default"/>
          <w:color w:val="auto"/>
          <w:highlight w:val="none"/>
          <w:u w:val="none"/>
          <w:lang w:val="en-US" w:eastAsia="zh-CN" w:bidi="ar"/>
        </w:rPr>
        <w:t>建筑面积</w:t>
      </w:r>
      <w:r>
        <w:rPr>
          <w:rFonts w:hint="eastAsia"/>
          <w:color w:val="auto"/>
          <w:highlight w:val="none"/>
          <w:u w:val="none"/>
          <w:lang w:val="en-US" w:eastAsia="zh-CN" w:bidi="ar"/>
        </w:rPr>
        <w:t>总和</w:t>
      </w:r>
      <w:r>
        <w:rPr>
          <w:rFonts w:hint="default"/>
          <w:color w:val="auto"/>
          <w:highlight w:val="none"/>
          <w:u w:val="none"/>
          <w:lang w:val="en-US" w:eastAsia="zh-CN" w:bidi="ar"/>
        </w:rPr>
        <w:t>的40%</w:t>
      </w:r>
      <w:r>
        <w:rPr>
          <w:rFonts w:hint="eastAsia"/>
          <w:color w:val="auto"/>
          <w:highlight w:val="none"/>
          <w:u w:val="none"/>
          <w:lang w:val="en-US" w:eastAsia="zh-CN" w:bidi="ar"/>
        </w:rPr>
        <w:t>，最终以甲方移交给乙方运营物业面积为准。</w:t>
      </w:r>
      <w:r>
        <w:rPr>
          <w:rFonts w:hint="default"/>
          <w:color w:val="auto"/>
          <w:highlight w:val="none"/>
          <w:u w:val="none"/>
          <w:lang w:val="en-US" w:eastAsia="zh-CN" w:bidi="ar"/>
        </w:rPr>
        <w:t>如乙方对甲方初步确定或后续调整的运营物业面积、</w:t>
      </w:r>
      <w:r>
        <w:rPr>
          <w:rFonts w:hint="default"/>
          <w:color w:val="auto"/>
          <w:highlight w:val="none"/>
          <w:u w:val="none"/>
          <w:lang w:bidi="ar"/>
        </w:rPr>
        <w:t>范围</w:t>
      </w:r>
      <w:r>
        <w:rPr>
          <w:rFonts w:hint="default"/>
          <w:color w:val="auto"/>
          <w:highlight w:val="none"/>
          <w:u w:val="none"/>
          <w:lang w:val="en-US" w:eastAsia="zh-CN" w:bidi="ar"/>
        </w:rPr>
        <w:t>或</w:t>
      </w:r>
      <w:r>
        <w:rPr>
          <w:rFonts w:hint="default"/>
          <w:color w:val="auto"/>
          <w:highlight w:val="none"/>
          <w:u w:val="none"/>
          <w:lang w:bidi="ar"/>
        </w:rPr>
        <w:t>位置</w:t>
      </w:r>
      <w:r>
        <w:rPr>
          <w:rFonts w:hint="default"/>
          <w:color w:val="auto"/>
          <w:highlight w:val="none"/>
          <w:u w:val="none"/>
          <w:lang w:val="en-US" w:eastAsia="zh-CN" w:bidi="ar"/>
        </w:rPr>
        <w:t>提出建议的，由甲乙双方友好协商，协商不成的，以甲方意见为准</w:t>
      </w:r>
      <w:r>
        <w:rPr>
          <w:rFonts w:hint="eastAsia"/>
          <w:color w:val="auto"/>
          <w:highlight w:val="none"/>
          <w:u w:val="none"/>
          <w:lang w:val="en-US" w:eastAsia="zh-CN" w:bidi="ar"/>
        </w:rPr>
        <w:t>。</w:t>
      </w:r>
    </w:p>
    <w:p>
      <w:pPr>
        <w:numPr>
          <w:ilvl w:val="1"/>
          <w:numId w:val="2"/>
        </w:numPr>
        <w:tabs>
          <w:tab w:val="left" w:pos="0"/>
        </w:tabs>
        <w:spacing w:line="500" w:lineRule="exact"/>
        <w:ind w:left="0" w:firstLine="480" w:firstLineChars="200"/>
        <w:jc w:val="both"/>
        <w:outlineLvl w:val="9"/>
        <w:rPr>
          <w:rFonts w:hint="default"/>
          <w:color w:val="auto"/>
          <w:highlight w:val="none"/>
          <w:u w:val="none"/>
          <w:lang w:bidi="ar"/>
        </w:rPr>
      </w:pPr>
      <w:r>
        <w:rPr>
          <w:rFonts w:hint="eastAsia"/>
          <w:color w:val="auto"/>
          <w:highlight w:val="none"/>
          <w:u w:val="none"/>
          <w:lang w:val="en-US" w:eastAsia="zh-CN" w:bidi="ar"/>
        </w:rPr>
        <w:t>本项目范围内的</w:t>
      </w:r>
      <w:r>
        <w:rPr>
          <w:rFonts w:hint="default"/>
          <w:color w:val="auto"/>
          <w:highlight w:val="none"/>
          <w:u w:val="none"/>
          <w:lang w:val="en-US" w:eastAsia="zh-CN" w:bidi="ar"/>
        </w:rPr>
        <w:t>物业</w:t>
      </w:r>
      <w:r>
        <w:rPr>
          <w:rFonts w:hint="eastAsia"/>
          <w:color w:val="auto"/>
          <w:highlight w:val="none"/>
          <w:u w:val="none"/>
          <w:lang w:val="en-US" w:eastAsia="zh-CN" w:bidi="ar"/>
        </w:rPr>
        <w:t>应当以栋为单位纳入销售范围，单栋厂房不得仅拆分部分楼层纳入销售范围，具体以双方</w:t>
      </w:r>
      <w:r>
        <w:rPr>
          <w:rFonts w:hint="default"/>
          <w:color w:val="auto"/>
          <w:highlight w:val="none"/>
          <w:u w:val="none"/>
          <w:lang w:val="en-US" w:eastAsia="zh-CN" w:bidi="ar"/>
        </w:rPr>
        <w:t>另行补充协议方式约定。</w:t>
      </w:r>
    </w:p>
    <w:p>
      <w:pPr>
        <w:numPr>
          <w:ilvl w:val="0"/>
          <w:numId w:val="2"/>
        </w:numPr>
        <w:tabs>
          <w:tab w:val="left" w:pos="0"/>
        </w:tabs>
        <w:spacing w:before="157" w:beforeLines="50" w:line="500" w:lineRule="exact"/>
        <w:ind w:left="425" w:hanging="425"/>
        <w:jc w:val="both"/>
        <w:outlineLvl w:val="0"/>
        <w:rPr>
          <w:rFonts w:hint="eastAsia" w:ascii="仿宋" w:hAnsi="仿宋" w:eastAsia="仿宋" w:cs="Times New Roman"/>
          <w:b/>
          <w:bCs/>
          <w:color w:val="auto"/>
          <w:highlight w:val="none"/>
          <w:lang w:bidi="ar"/>
        </w:rPr>
      </w:pPr>
      <w:r>
        <w:rPr>
          <w:rFonts w:hint="eastAsia" w:ascii="仿宋" w:hAnsi="仿宋" w:eastAsia="仿宋" w:cs="Times New Roman"/>
          <w:b/>
          <w:bCs/>
          <w:color w:val="auto"/>
          <w:highlight w:val="none"/>
          <w:lang w:bidi="ar"/>
        </w:rPr>
        <w:t xml:space="preserve">运营合作期限 </w:t>
      </w:r>
    </w:p>
    <w:p>
      <w:pPr>
        <w:numPr>
          <w:ilvl w:val="1"/>
          <w:numId w:val="2"/>
        </w:numPr>
        <w:tabs>
          <w:tab w:val="left" w:pos="0"/>
        </w:tabs>
        <w:spacing w:line="500" w:lineRule="exact"/>
        <w:ind w:left="0" w:firstLine="480" w:firstLineChars="200"/>
        <w:jc w:val="both"/>
        <w:rPr>
          <w:color w:val="auto"/>
          <w:highlight w:val="none"/>
          <w:lang w:bidi="ar"/>
        </w:rPr>
      </w:pPr>
      <w:r>
        <w:rPr>
          <w:color w:val="auto"/>
          <w:highlight w:val="none"/>
          <w:lang w:bidi="ar"/>
        </w:rPr>
        <w:t>运营合作期限为</w:t>
      </w:r>
      <w:r>
        <w:rPr>
          <w:rFonts w:hint="default"/>
          <w:color w:val="auto"/>
          <w:highlight w:val="none"/>
          <w:lang w:val="en-US" w:bidi="ar"/>
        </w:rPr>
        <w:t>23</w:t>
      </w:r>
      <w:r>
        <w:rPr>
          <w:color w:val="auto"/>
          <w:highlight w:val="none"/>
          <w:lang w:bidi="ar"/>
        </w:rPr>
        <w:t>年</w:t>
      </w:r>
      <w:r>
        <w:rPr>
          <w:rFonts w:hint="eastAsia"/>
          <w:color w:val="auto"/>
          <w:highlight w:val="none"/>
          <w:lang w:bidi="ar"/>
        </w:rPr>
        <w:t>（其中含培育期</w:t>
      </w:r>
      <w:r>
        <w:rPr>
          <w:color w:val="auto"/>
          <w:highlight w:val="none"/>
          <w:lang w:bidi="ar"/>
        </w:rPr>
        <w:t xml:space="preserve">3年和正式合作期限20年），自甲方向乙方移交物业并签署《交付确认书》之日起计算。 </w:t>
      </w:r>
    </w:p>
    <w:p>
      <w:pPr>
        <w:numPr>
          <w:ilvl w:val="1"/>
          <w:numId w:val="2"/>
        </w:numPr>
        <w:tabs>
          <w:tab w:val="left" w:pos="0"/>
        </w:tabs>
        <w:spacing w:line="500" w:lineRule="exact"/>
        <w:ind w:left="0" w:leftChars="0" w:firstLine="480" w:firstLineChars="200"/>
        <w:jc w:val="both"/>
        <w:rPr>
          <w:rFonts w:hint="eastAsia" w:eastAsia="仿宋"/>
          <w:color w:val="auto"/>
          <w:highlight w:val="none"/>
          <w:lang w:eastAsia="zh-CN" w:bidi="ar"/>
        </w:rPr>
      </w:pPr>
      <w:r>
        <w:rPr>
          <w:color w:val="auto"/>
          <w:highlight w:val="none"/>
          <w:lang w:bidi="ar"/>
        </w:rPr>
        <w:t>本项目分期交付运营，合作期限均为23年且</w:t>
      </w:r>
      <w:r>
        <w:rPr>
          <w:rFonts w:hint="eastAsia"/>
          <w:color w:val="auto"/>
          <w:highlight w:val="none"/>
          <w:lang w:bidi="ar"/>
        </w:rPr>
        <w:t>免支付收益期均为</w:t>
      </w:r>
      <w:r>
        <w:rPr>
          <w:color w:val="auto"/>
          <w:highlight w:val="none"/>
          <w:lang w:bidi="ar"/>
        </w:rPr>
        <w:t>6个月，合作期限均从</w:t>
      </w:r>
      <w:r>
        <w:rPr>
          <w:rFonts w:hint="default"/>
          <w:color w:val="auto"/>
          <w:highlight w:val="none"/>
          <w:lang w:val="en-US" w:bidi="ar"/>
        </w:rPr>
        <w:t>每</w:t>
      </w:r>
      <w:r>
        <w:rPr>
          <w:color w:val="auto"/>
          <w:highlight w:val="none"/>
          <w:lang w:bidi="ar"/>
        </w:rPr>
        <w:t>期物业实际交付之日起计算（合作期起始日期、合作面积均以《交付确认书》确认的时间、面积为准）。</w:t>
      </w:r>
    </w:p>
    <w:p>
      <w:pPr>
        <w:numPr>
          <w:ilvl w:val="1"/>
          <w:numId w:val="2"/>
        </w:numPr>
        <w:spacing w:line="500" w:lineRule="exact"/>
        <w:ind w:left="0" w:firstLine="480" w:firstLineChars="200"/>
        <w:jc w:val="both"/>
        <w:rPr>
          <w:rFonts w:hint="eastAsia"/>
          <w:color w:val="auto"/>
          <w:highlight w:val="none"/>
          <w:lang w:bidi="ar"/>
        </w:rPr>
      </w:pPr>
      <w:r>
        <w:rPr>
          <w:color w:val="auto"/>
          <w:highlight w:val="none"/>
          <w:lang w:bidi="ar"/>
        </w:rPr>
        <w:t>约定的合作期届满，甲方如继续</w:t>
      </w:r>
      <w:r>
        <w:rPr>
          <w:rFonts w:hint="eastAsia"/>
          <w:color w:val="auto"/>
          <w:highlight w:val="none"/>
          <w:lang w:bidi="ar"/>
        </w:rPr>
        <w:t>委托适格的主体提供运营服务的，将通过公开招标方式确定新的运营服务主体，乙方有意向继续为本项目提供运营服务的，可参与投标。</w:t>
      </w:r>
    </w:p>
    <w:p>
      <w:pPr>
        <w:numPr>
          <w:ilvl w:val="0"/>
          <w:numId w:val="2"/>
        </w:numPr>
        <w:tabs>
          <w:tab w:val="left" w:pos="0"/>
        </w:tabs>
        <w:spacing w:before="157" w:beforeLines="50" w:beforeAutospacing="0" w:after="0" w:afterAutospacing="0" w:line="500" w:lineRule="exact"/>
        <w:ind w:left="425" w:hanging="425" w:firstLineChars="0"/>
        <w:jc w:val="both"/>
        <w:outlineLvl w:val="0"/>
        <w:rPr>
          <w:rFonts w:hint="eastAsia" w:ascii="仿宋" w:hAnsi="仿宋" w:eastAsia="仿宋" w:cs="Times New Roman"/>
          <w:b/>
          <w:bCs/>
          <w:color w:val="auto"/>
          <w:highlight w:val="none"/>
          <w:lang w:val="en-US" w:eastAsia="zh-CN" w:bidi="ar"/>
        </w:rPr>
      </w:pPr>
      <w:r>
        <w:rPr>
          <w:rFonts w:hint="eastAsia" w:cs="Times New Roman"/>
          <w:b/>
          <w:bCs/>
          <w:color w:val="auto"/>
          <w:highlight w:val="none"/>
          <w:lang w:val="en-US" w:eastAsia="zh-CN" w:bidi="ar"/>
        </w:rPr>
        <w:t>履约保证金</w:t>
      </w:r>
    </w:p>
    <w:p>
      <w:pPr>
        <w:numPr>
          <w:ilvl w:val="1"/>
          <w:numId w:val="2"/>
        </w:numPr>
        <w:tabs>
          <w:tab w:val="left" w:pos="0"/>
        </w:tabs>
        <w:spacing w:line="500" w:lineRule="exact"/>
        <w:ind w:left="0" w:firstLine="480" w:firstLineChars="200"/>
        <w:jc w:val="both"/>
        <w:rPr>
          <w:rFonts w:hint="default" w:cs="Times New Roman"/>
          <w:color w:val="auto"/>
          <w:highlight w:val="none"/>
          <w:lang w:val="en-US" w:eastAsia="zh-CN" w:bidi="ar"/>
        </w:rPr>
      </w:pPr>
      <w:r>
        <w:rPr>
          <w:rFonts w:hint="default" w:cs="Times New Roman"/>
          <w:color w:val="auto"/>
          <w:highlight w:val="none"/>
          <w:lang w:val="en-US" w:eastAsia="zh-CN" w:bidi="ar"/>
        </w:rPr>
        <w:t>乙方应在本合同签订后的</w:t>
      </w:r>
      <w:r>
        <w:rPr>
          <w:rFonts w:hint="eastAsia" w:cs="Times New Roman"/>
          <w:color w:val="auto"/>
          <w:highlight w:val="none"/>
          <w:lang w:val="en-US" w:eastAsia="zh-CN" w:bidi="ar"/>
        </w:rPr>
        <w:t>15</w:t>
      </w:r>
      <w:r>
        <w:rPr>
          <w:rFonts w:hint="default" w:cs="Times New Roman"/>
          <w:color w:val="auto"/>
          <w:highlight w:val="none"/>
          <w:lang w:val="en-US" w:eastAsia="zh-CN" w:bidi="ar"/>
        </w:rPr>
        <w:t>日内，向甲方支付人民币</w:t>
      </w:r>
      <w:r>
        <w:rPr>
          <w:rFonts w:hint="eastAsia" w:cs="Times New Roman"/>
          <w:color w:val="auto"/>
          <w:highlight w:val="none"/>
          <w:lang w:val="en-US" w:eastAsia="zh-CN" w:bidi="ar"/>
        </w:rPr>
        <w:t>100万</w:t>
      </w:r>
      <w:r>
        <w:rPr>
          <w:rFonts w:hint="default" w:cs="Times New Roman"/>
          <w:color w:val="auto"/>
          <w:highlight w:val="none"/>
          <w:lang w:val="en-US" w:eastAsia="zh-CN" w:bidi="ar"/>
        </w:rPr>
        <w:t>元（大写：</w:t>
      </w:r>
      <w:r>
        <w:rPr>
          <w:rFonts w:hint="eastAsia" w:cs="Times New Roman"/>
          <w:color w:val="auto"/>
          <w:highlight w:val="none"/>
          <w:lang w:val="en-US" w:eastAsia="zh-CN" w:bidi="ar"/>
        </w:rPr>
        <w:t>壹佰万元整</w:t>
      </w:r>
      <w:r>
        <w:rPr>
          <w:rFonts w:hint="default" w:cs="Times New Roman"/>
          <w:color w:val="auto"/>
          <w:highlight w:val="none"/>
          <w:lang w:val="en-US" w:eastAsia="zh-CN" w:bidi="ar"/>
        </w:rPr>
        <w:t>）作为履约保证金。</w:t>
      </w:r>
    </w:p>
    <w:p>
      <w:pPr>
        <w:numPr>
          <w:ilvl w:val="1"/>
          <w:numId w:val="2"/>
        </w:numPr>
        <w:tabs>
          <w:tab w:val="left" w:pos="0"/>
        </w:tabs>
        <w:spacing w:line="500" w:lineRule="exact"/>
        <w:ind w:left="0" w:firstLine="480" w:firstLineChars="200"/>
        <w:jc w:val="both"/>
        <w:rPr>
          <w:rFonts w:hint="default" w:cs="Times New Roman"/>
          <w:color w:val="auto"/>
          <w:highlight w:val="none"/>
          <w:lang w:val="en-US" w:eastAsia="zh-CN" w:bidi="ar"/>
        </w:rPr>
      </w:pPr>
      <w:r>
        <w:rPr>
          <w:rFonts w:hint="default" w:cs="Times New Roman"/>
          <w:color w:val="auto"/>
          <w:highlight w:val="none"/>
          <w:lang w:val="en-US" w:eastAsia="zh-CN" w:bidi="ar"/>
        </w:rPr>
        <w:t>本履约保证金作为乙方履行本合同项下全部义务的担保，包括但不限于按时提供约定的服务、履行合同中的各项承诺以及承担因乙方原因导致的违约责任等。若乙方在合同履行过程中出现任何违反合同约定的行为，甲方有权从履约保证金中扣除相应的金额，用于弥补因乙方违约给甲方造成的损失，包括但不限于直接损失、间接损失、可得利益损失以及甲方为追究乙方违约责任而支付的合理费用（如律师费、诉讼费、差旅费等）。若在合同履行期间，履约保证金因甲方扣除而低于原缴纳金额的70% 时，乙方应在接到甲方通知后的</w:t>
      </w:r>
      <w:r>
        <w:rPr>
          <w:rFonts w:hint="eastAsia" w:cs="Times New Roman"/>
          <w:color w:val="auto"/>
          <w:highlight w:val="none"/>
          <w:lang w:val="en-US" w:eastAsia="zh-CN" w:bidi="ar"/>
        </w:rPr>
        <w:t>15</w:t>
      </w:r>
      <w:r>
        <w:rPr>
          <w:rFonts w:hint="default" w:cs="Times New Roman"/>
          <w:color w:val="auto"/>
          <w:highlight w:val="none"/>
          <w:lang w:val="en-US" w:eastAsia="zh-CN" w:bidi="ar"/>
        </w:rPr>
        <w:t>日内将履约保证金补足至原缴纳金额。</w:t>
      </w:r>
    </w:p>
    <w:p>
      <w:pPr>
        <w:numPr>
          <w:ilvl w:val="1"/>
          <w:numId w:val="2"/>
        </w:numPr>
        <w:tabs>
          <w:tab w:val="left" w:pos="0"/>
        </w:tabs>
        <w:spacing w:line="500" w:lineRule="exact"/>
        <w:ind w:left="0" w:firstLine="480" w:firstLineChars="200"/>
        <w:jc w:val="both"/>
        <w:rPr>
          <w:rFonts w:hint="default" w:cs="Times New Roman"/>
          <w:color w:val="auto"/>
          <w:highlight w:val="none"/>
          <w:lang w:val="en-US" w:eastAsia="zh-CN" w:bidi="ar"/>
        </w:rPr>
      </w:pPr>
      <w:r>
        <w:rPr>
          <w:rFonts w:hint="default" w:cs="Times New Roman"/>
          <w:color w:val="auto"/>
          <w:highlight w:val="none"/>
          <w:lang w:val="en-US" w:eastAsia="zh-CN" w:bidi="ar"/>
        </w:rPr>
        <w:t>在本协议项下合作运营期期限届满，乙方完全履行本合同项下所有义务并结清所有款项后，甲方应在</w:t>
      </w:r>
      <w:r>
        <w:rPr>
          <w:rFonts w:hint="eastAsia" w:cs="Times New Roman"/>
          <w:color w:val="auto"/>
          <w:highlight w:val="none"/>
          <w:lang w:val="en-US" w:eastAsia="zh-CN" w:bidi="ar"/>
        </w:rPr>
        <w:t>15</w:t>
      </w:r>
      <w:r>
        <w:rPr>
          <w:rFonts w:hint="default" w:cs="Times New Roman"/>
          <w:color w:val="auto"/>
          <w:highlight w:val="none"/>
          <w:lang w:val="en-US" w:eastAsia="zh-CN" w:bidi="ar"/>
        </w:rPr>
        <w:t>个工作日内将剩余履约保证金（如有）无息退还给乙方。</w:t>
      </w:r>
    </w:p>
    <w:p>
      <w:pPr>
        <w:numPr>
          <w:ilvl w:val="0"/>
          <w:numId w:val="2"/>
        </w:numPr>
        <w:tabs>
          <w:tab w:val="left" w:pos="0"/>
        </w:tabs>
        <w:spacing w:before="157" w:beforeLines="50" w:line="500" w:lineRule="exact"/>
        <w:ind w:left="425" w:hanging="425"/>
        <w:jc w:val="both"/>
        <w:outlineLvl w:val="0"/>
        <w:rPr>
          <w:rFonts w:hint="eastAsia" w:cs="Times New Roman"/>
          <w:b/>
          <w:bCs/>
          <w:color w:val="auto"/>
          <w:highlight w:val="none"/>
          <w:lang w:bidi="ar"/>
        </w:rPr>
      </w:pPr>
      <w:r>
        <w:rPr>
          <w:rFonts w:hint="eastAsia" w:cs="Times New Roman"/>
          <w:b/>
          <w:bCs/>
          <w:color w:val="auto"/>
          <w:highlight w:val="none"/>
          <w:lang w:bidi="ar"/>
        </w:rPr>
        <w:t>物业移交</w:t>
      </w:r>
    </w:p>
    <w:p>
      <w:pPr>
        <w:numPr>
          <w:ilvl w:val="1"/>
          <w:numId w:val="2"/>
        </w:numPr>
        <w:spacing w:line="500" w:lineRule="exact"/>
        <w:ind w:left="0" w:firstLine="480" w:firstLineChars="200"/>
        <w:jc w:val="both"/>
        <w:rPr>
          <w:rFonts w:hint="default" w:eastAsia="仿宋"/>
          <w:color w:val="auto"/>
          <w:highlight w:val="none"/>
          <w:lang w:val="en-US" w:eastAsia="zh-CN" w:bidi="ar"/>
        </w:rPr>
      </w:pPr>
      <w:r>
        <w:rPr>
          <w:color w:val="auto"/>
          <w:highlight w:val="none"/>
          <w:lang w:bidi="ar"/>
        </w:rPr>
        <w:t>因本项目物业采取分期开发方式，甲方在每期物业竣工验收后分期向乙方移交物业。</w:t>
      </w:r>
      <w:r>
        <w:rPr>
          <w:rFonts w:hint="eastAsia"/>
          <w:color w:val="auto"/>
          <w:highlight w:val="none"/>
          <w:lang w:val="en-US" w:eastAsia="zh-CN" w:bidi="ar"/>
        </w:rPr>
        <w:t>各期物业应当在当期物业完成竣工验收后的【30】日内签署</w:t>
      </w:r>
      <w:r>
        <w:rPr>
          <w:color w:val="auto"/>
          <w:highlight w:val="none"/>
          <w:lang w:bidi="ar"/>
        </w:rPr>
        <w:t>《交付确认书》《交付清单》（交付标准见附件《建筑物及附属设施设备交付标准》）</w:t>
      </w:r>
      <w:r>
        <w:rPr>
          <w:rFonts w:hint="eastAsia"/>
          <w:color w:val="auto"/>
          <w:highlight w:val="none"/>
          <w:lang w:val="en-US" w:eastAsia="zh-CN" w:bidi="ar"/>
        </w:rPr>
        <w:t>及完成交付。</w:t>
      </w:r>
      <w:r>
        <w:rPr>
          <w:color w:val="auto"/>
          <w:highlight w:val="none"/>
          <w:lang w:bidi="ar"/>
        </w:rPr>
        <w:t>运营合作期限起始时间按</w:t>
      </w:r>
      <w:r>
        <w:rPr>
          <w:rFonts w:hint="eastAsia"/>
          <w:color w:val="auto"/>
          <w:highlight w:val="none"/>
          <w:lang w:val="en-US" w:eastAsia="zh-CN" w:bidi="ar"/>
        </w:rPr>
        <w:t>各期物业</w:t>
      </w:r>
      <w:r>
        <w:rPr>
          <w:color w:val="auto"/>
          <w:highlight w:val="none"/>
          <w:lang w:bidi="ar"/>
        </w:rPr>
        <w:t>实际交付时间开始计算。当期物业交付时间</w:t>
      </w:r>
      <w:r>
        <w:rPr>
          <w:rFonts w:hint="eastAsia"/>
          <w:color w:val="auto"/>
          <w:highlight w:val="none"/>
          <w:lang w:val="en-US" w:eastAsia="zh-CN" w:bidi="ar"/>
        </w:rPr>
        <w:t>为当期物业</w:t>
      </w:r>
      <w:r>
        <w:rPr>
          <w:color w:val="auto"/>
          <w:highlight w:val="none"/>
          <w:lang w:bidi="ar"/>
        </w:rPr>
        <w:t>竣工验收</w:t>
      </w:r>
      <w:r>
        <w:rPr>
          <w:rFonts w:hint="eastAsia"/>
          <w:color w:val="auto"/>
          <w:highlight w:val="none"/>
          <w:lang w:val="en-US" w:eastAsia="zh-CN" w:bidi="ar"/>
        </w:rPr>
        <w:t>之日的第【30】日或实际签署</w:t>
      </w:r>
      <w:r>
        <w:rPr>
          <w:color w:val="auto"/>
          <w:highlight w:val="none"/>
          <w:lang w:bidi="ar"/>
        </w:rPr>
        <w:t>《交付确认书》及《交付清单》</w:t>
      </w:r>
      <w:r>
        <w:rPr>
          <w:rFonts w:hint="eastAsia"/>
          <w:color w:val="auto"/>
          <w:highlight w:val="none"/>
          <w:lang w:val="en-US" w:eastAsia="zh-CN" w:bidi="ar"/>
        </w:rPr>
        <w:t>之日，以孰早为准</w:t>
      </w:r>
      <w:r>
        <w:rPr>
          <w:color w:val="auto"/>
          <w:highlight w:val="none"/>
          <w:lang w:bidi="ar"/>
        </w:rPr>
        <w:t>。</w:t>
      </w:r>
    </w:p>
    <w:p>
      <w:pPr>
        <w:numPr>
          <w:ilvl w:val="-1"/>
          <w:numId w:val="0"/>
        </w:numPr>
        <w:spacing w:line="500" w:lineRule="exact"/>
        <w:ind w:left="0" w:leftChars="0" w:firstLine="480" w:firstLineChars="200"/>
        <w:jc w:val="both"/>
        <w:rPr>
          <w:rFonts w:hint="default"/>
          <w:color w:val="auto"/>
          <w:highlight w:val="none"/>
          <w:lang w:val="en-US" w:eastAsia="zh-CN" w:bidi="ar"/>
        </w:rPr>
      </w:pPr>
      <w:r>
        <w:rPr>
          <w:rFonts w:hint="eastAsia"/>
          <w:color w:val="auto"/>
          <w:highlight w:val="none"/>
          <w:lang w:val="en-US" w:eastAsia="zh-CN" w:bidi="ar"/>
        </w:rPr>
        <w:t>为免疑义，甲方原则上应按高层厂房（A、D、E类厂房）、多层厂房(B、C类厂房)、宿舍楼</w:t>
      </w:r>
      <w:r>
        <w:rPr>
          <w:rFonts w:hint="eastAsia"/>
          <w:color w:val="auto"/>
          <w:highlight w:val="none"/>
          <w:lang w:bidi="ar"/>
        </w:rPr>
        <w:t>（</w:t>
      </w:r>
      <w:r>
        <w:rPr>
          <w:rFonts w:hint="eastAsia"/>
          <w:color w:val="auto"/>
          <w:highlight w:val="none"/>
          <w:lang w:val="en-US" w:eastAsia="zh-CN" w:bidi="ar"/>
        </w:rPr>
        <w:t>包括不限于</w:t>
      </w:r>
      <w:r>
        <w:rPr>
          <w:rFonts w:hint="eastAsia"/>
          <w:color w:val="auto"/>
          <w:highlight w:val="none"/>
          <w:lang w:bidi="ar"/>
        </w:rPr>
        <w:t>活动室、</w:t>
      </w:r>
      <w:r>
        <w:rPr>
          <w:rFonts w:hint="default" w:ascii="仿宋" w:hAnsi="仿宋" w:eastAsia="仿宋" w:cs="Times New Roman"/>
          <w:color w:val="auto"/>
          <w:sz w:val="24"/>
          <w:highlight w:val="none"/>
          <w:lang w:val="en-US" w:eastAsia="zh-CN" w:bidi="ar"/>
        </w:rPr>
        <w:t>饭堂及</w:t>
      </w:r>
      <w:r>
        <w:rPr>
          <w:rFonts w:hint="eastAsia"/>
          <w:color w:val="auto"/>
          <w:highlight w:val="none"/>
          <w:lang w:bidi="ar"/>
        </w:rPr>
        <w:t>宿舍</w:t>
      </w:r>
      <w:r>
        <w:rPr>
          <w:rFonts w:hint="eastAsia"/>
          <w:color w:val="auto"/>
          <w:highlight w:val="none"/>
          <w:lang w:val="en-US" w:eastAsia="zh-CN" w:bidi="ar"/>
        </w:rPr>
        <w:t>等</w:t>
      </w:r>
      <w:r>
        <w:rPr>
          <w:rFonts w:hint="eastAsia"/>
          <w:color w:val="auto"/>
          <w:highlight w:val="none"/>
          <w:lang w:bidi="ar"/>
        </w:rPr>
        <w:t>）</w:t>
      </w:r>
      <w:r>
        <w:rPr>
          <w:rFonts w:hint="eastAsia"/>
          <w:color w:val="auto"/>
          <w:highlight w:val="none"/>
          <w:lang w:val="en-US" w:eastAsia="zh-CN" w:bidi="ar"/>
        </w:rPr>
        <w:t>等不同类型物业分期交付，同类型物业可在同一期一并交付，但不同地块的同类型物业可分别交付，具体以甲方实际交付物业为准。</w:t>
      </w:r>
    </w:p>
    <w:p>
      <w:pPr>
        <w:numPr>
          <w:ilvl w:val="1"/>
          <w:numId w:val="2"/>
        </w:numPr>
        <w:spacing w:line="500" w:lineRule="exact"/>
        <w:ind w:left="0" w:firstLine="480" w:firstLineChars="200"/>
        <w:jc w:val="both"/>
        <w:rPr>
          <w:rFonts w:hint="eastAsia"/>
          <w:color w:val="auto"/>
          <w:highlight w:val="none"/>
          <w:lang w:bidi="ar"/>
        </w:rPr>
      </w:pPr>
      <w:r>
        <w:rPr>
          <w:color w:val="auto"/>
          <w:highlight w:val="none"/>
          <w:lang w:bidi="ar"/>
        </w:rPr>
        <w:t>甲方在每期物业竣工验收之前的30日内告知乙方具体的竣工时间并提前通知乙方参与竣工验收。</w:t>
      </w:r>
      <w:r>
        <w:rPr>
          <w:rFonts w:hint="eastAsia"/>
          <w:color w:val="auto"/>
          <w:highlight w:val="none"/>
          <w:lang w:val="en-US" w:eastAsia="zh-CN" w:bidi="ar"/>
        </w:rPr>
        <w:t>乙方不按时参与竣工验收的，不影响甲乙双方后续交付物业。</w:t>
      </w:r>
      <w:r>
        <w:rPr>
          <w:color w:val="auto"/>
          <w:highlight w:val="none"/>
          <w:lang w:bidi="ar"/>
        </w:rPr>
        <w:t>每期物业竣工验收合格当日，甲方</w:t>
      </w:r>
      <w:r>
        <w:rPr>
          <w:rFonts w:hint="eastAsia"/>
          <w:color w:val="auto"/>
          <w:highlight w:val="none"/>
          <w:lang w:val="en-US" w:eastAsia="zh-CN" w:bidi="ar"/>
        </w:rPr>
        <w:t>即可</w:t>
      </w:r>
      <w:r>
        <w:rPr>
          <w:color w:val="auto"/>
          <w:highlight w:val="none"/>
          <w:lang w:bidi="ar"/>
        </w:rPr>
        <w:t>按交付标准向乙方移交当期物业。如乙方认为当期物业存在不符合交付标准之处，应</w:t>
      </w:r>
      <w:r>
        <w:rPr>
          <w:rFonts w:hint="eastAsia"/>
          <w:color w:val="auto"/>
          <w:highlight w:val="none"/>
          <w:lang w:val="en-US" w:eastAsia="zh-CN" w:bidi="ar"/>
        </w:rPr>
        <w:t>在甲方通知乙方参与竣工验收之日起10日内</w:t>
      </w:r>
      <w:r>
        <w:rPr>
          <w:color w:val="auto"/>
          <w:highlight w:val="none"/>
          <w:lang w:bidi="ar"/>
        </w:rPr>
        <w:t>向甲方</w:t>
      </w:r>
      <w:r>
        <w:rPr>
          <w:rFonts w:hint="eastAsia"/>
          <w:color w:val="auto"/>
          <w:highlight w:val="none"/>
          <w:lang w:val="en-US" w:eastAsia="zh-CN" w:bidi="ar"/>
        </w:rPr>
        <w:t>一次性</w:t>
      </w:r>
      <w:r>
        <w:rPr>
          <w:color w:val="auto"/>
          <w:highlight w:val="none"/>
          <w:lang w:bidi="ar"/>
        </w:rPr>
        <w:t>提出整改建议，由甲方要求施工单位进行整改</w:t>
      </w:r>
      <w:r>
        <w:rPr>
          <w:rFonts w:hint="eastAsia"/>
          <w:color w:val="auto"/>
          <w:highlight w:val="none"/>
          <w:lang w:eastAsia="zh-CN" w:bidi="ar"/>
        </w:rPr>
        <w:t>；</w:t>
      </w:r>
      <w:r>
        <w:rPr>
          <w:rFonts w:hint="eastAsia"/>
          <w:color w:val="auto"/>
          <w:highlight w:val="none"/>
          <w:lang w:val="en-US" w:eastAsia="zh-CN" w:bidi="ar"/>
        </w:rPr>
        <w:t>但如果乙方提出的整改建议不影响当期物业竣工验收的，甲方可先行完成竣工验收且甲乙双方应按约定完成交付</w:t>
      </w:r>
      <w:r>
        <w:rPr>
          <w:color w:val="auto"/>
          <w:highlight w:val="none"/>
          <w:lang w:bidi="ar"/>
        </w:rPr>
        <w:t>。乙方未</w:t>
      </w:r>
      <w:r>
        <w:rPr>
          <w:rFonts w:hint="eastAsia"/>
          <w:color w:val="auto"/>
          <w:highlight w:val="none"/>
          <w:lang w:val="en-US" w:eastAsia="zh-CN" w:bidi="ar"/>
        </w:rPr>
        <w:t>按时</w:t>
      </w:r>
      <w:r>
        <w:rPr>
          <w:color w:val="auto"/>
          <w:highlight w:val="none"/>
          <w:lang w:bidi="ar"/>
        </w:rPr>
        <w:t>提出</w:t>
      </w:r>
      <w:r>
        <w:rPr>
          <w:rFonts w:hint="eastAsia"/>
          <w:color w:val="auto"/>
          <w:highlight w:val="none"/>
          <w:lang w:val="en-US" w:eastAsia="zh-CN" w:bidi="ar"/>
        </w:rPr>
        <w:t>整改建议</w:t>
      </w:r>
      <w:r>
        <w:rPr>
          <w:color w:val="auto"/>
          <w:highlight w:val="none"/>
          <w:lang w:bidi="ar"/>
        </w:rPr>
        <w:t>的，视为乙方认可竣工验收时的当期物业符合合同约定交付标准</w:t>
      </w:r>
      <w:r>
        <w:rPr>
          <w:rFonts w:hint="eastAsia"/>
          <w:color w:val="auto"/>
          <w:highlight w:val="none"/>
          <w:lang w:eastAsia="zh-CN" w:bidi="ar"/>
        </w:rPr>
        <w:t>。</w:t>
      </w:r>
    </w:p>
    <w:p>
      <w:pPr>
        <w:numPr>
          <w:ilvl w:val="1"/>
          <w:numId w:val="2"/>
        </w:numPr>
        <w:spacing w:line="500" w:lineRule="exact"/>
        <w:ind w:left="0" w:firstLine="480" w:firstLineChars="200"/>
        <w:jc w:val="both"/>
        <w:rPr>
          <w:rFonts w:hint="eastAsia"/>
          <w:color w:val="auto"/>
          <w:highlight w:val="none"/>
          <w:lang w:bidi="ar"/>
        </w:rPr>
      </w:pPr>
      <w:r>
        <w:rPr>
          <w:color w:val="auto"/>
          <w:highlight w:val="none"/>
          <w:lang w:bidi="ar"/>
        </w:rPr>
        <w:t>《交付确认书》及《交付清单》签署后，视为乙方认可接收的物业符合合同约定交付标准和正常使用标准，移交物业的管理、维护等责任当即转移给乙方。</w:t>
      </w:r>
      <w:r>
        <w:rPr>
          <w:rFonts w:hint="eastAsia"/>
          <w:color w:val="auto"/>
          <w:highlight w:val="none"/>
          <w:lang w:val="en-US" w:eastAsia="zh-CN" w:bidi="ar"/>
        </w:rPr>
        <w:t>若乙方无正当理由未能按照甲方通知要求参与任一期物业的竣工验收或配合签署</w:t>
      </w:r>
      <w:r>
        <w:rPr>
          <w:color w:val="auto"/>
          <w:highlight w:val="none"/>
          <w:lang w:bidi="ar"/>
        </w:rPr>
        <w:t>《交付确认书》《交付清单》</w:t>
      </w:r>
      <w:r>
        <w:rPr>
          <w:rFonts w:hint="eastAsia"/>
          <w:color w:val="auto"/>
          <w:highlight w:val="none"/>
          <w:lang w:val="en-US" w:eastAsia="zh-CN" w:bidi="ar"/>
        </w:rPr>
        <w:t>的</w:t>
      </w:r>
      <w:r>
        <w:rPr>
          <w:rFonts w:hint="eastAsia"/>
          <w:color w:val="auto"/>
          <w:highlight w:val="none"/>
          <w:lang w:eastAsia="zh-CN" w:bidi="ar"/>
        </w:rPr>
        <w:t>，</w:t>
      </w:r>
      <w:r>
        <w:rPr>
          <w:rFonts w:hint="eastAsia"/>
          <w:color w:val="auto"/>
          <w:highlight w:val="none"/>
          <w:lang w:val="en-US" w:eastAsia="zh-CN" w:bidi="ar"/>
        </w:rPr>
        <w:t>当期物业自竣工验收之日满30日起视为已经完成交付。</w:t>
      </w:r>
    </w:p>
    <w:p>
      <w:pPr>
        <w:numPr>
          <w:ilvl w:val="0"/>
          <w:numId w:val="2"/>
        </w:numPr>
        <w:tabs>
          <w:tab w:val="left" w:pos="0"/>
        </w:tabs>
        <w:spacing w:before="157" w:beforeLines="50" w:line="500" w:lineRule="exact"/>
        <w:ind w:left="425" w:hanging="425"/>
        <w:jc w:val="both"/>
        <w:outlineLvl w:val="0"/>
        <w:rPr>
          <w:rFonts w:hint="eastAsia" w:cs="Times New Roman"/>
          <w:b/>
          <w:bCs/>
          <w:color w:val="auto"/>
          <w:highlight w:val="none"/>
          <w:lang w:bidi="ar"/>
        </w:rPr>
      </w:pPr>
      <w:r>
        <w:rPr>
          <w:rFonts w:hint="eastAsia" w:cs="Times New Roman"/>
          <w:b/>
          <w:bCs/>
          <w:color w:val="auto"/>
          <w:highlight w:val="none"/>
          <w:lang w:val="en-US" w:eastAsia="zh-CN" w:bidi="ar"/>
        </w:rPr>
        <w:t>乙方</w:t>
      </w:r>
      <w:r>
        <w:rPr>
          <w:rFonts w:hint="eastAsia" w:cs="Times New Roman"/>
          <w:b/>
          <w:bCs/>
          <w:color w:val="auto"/>
          <w:highlight w:val="none"/>
          <w:lang w:bidi="ar"/>
        </w:rPr>
        <w:t xml:space="preserve">运营服务内容 </w:t>
      </w:r>
    </w:p>
    <w:p>
      <w:pPr>
        <w:spacing w:line="500" w:lineRule="exact"/>
        <w:jc w:val="both"/>
        <w:rPr>
          <w:rFonts w:hint="eastAsia"/>
          <w:color w:val="auto"/>
          <w:highlight w:val="none"/>
          <w:lang w:bidi="ar"/>
        </w:rPr>
      </w:pPr>
      <w:bookmarkStart w:id="13" w:name="OLE_LINK12"/>
      <w:bookmarkStart w:id="14" w:name="OLE_LINK1"/>
      <w:r>
        <w:rPr>
          <w:rFonts w:hint="eastAsia"/>
          <w:color w:val="auto"/>
          <w:highlight w:val="none"/>
          <w:lang w:bidi="ar"/>
        </w:rPr>
        <w:t>该项目运营合作期限内整体的综合运营服务，服务内容涵盖项目定位、品牌服务、产业招商、政府对接、创新资源导入、项目运营管理等专项服务。乙方需针对每一个专项服务提出符合实际定位的运营管理服务方案并提供综合运营管理服务。</w:t>
      </w:r>
    </w:p>
    <w:bookmarkEnd w:id="13"/>
    <w:p>
      <w:pPr>
        <w:numPr>
          <w:ilvl w:val="1"/>
          <w:numId w:val="2"/>
        </w:numPr>
        <w:spacing w:line="500" w:lineRule="exact"/>
        <w:ind w:left="0" w:firstLine="482" w:firstLineChars="200"/>
        <w:jc w:val="both"/>
        <w:outlineLvl w:val="9"/>
        <w:rPr>
          <w:rFonts w:hint="eastAsia"/>
          <w:b/>
          <w:bCs/>
          <w:color w:val="auto"/>
          <w:highlight w:val="none"/>
          <w:lang w:bidi="ar"/>
        </w:rPr>
      </w:pPr>
      <w:r>
        <w:rPr>
          <w:b/>
          <w:bCs/>
          <w:color w:val="auto"/>
          <w:highlight w:val="none"/>
          <w:lang w:bidi="ar"/>
        </w:rPr>
        <w:t>组建运营团队</w:t>
      </w:r>
    </w:p>
    <w:p>
      <w:pPr>
        <w:spacing w:line="500" w:lineRule="exact"/>
        <w:jc w:val="both"/>
        <w:rPr>
          <w:rFonts w:hint="eastAsia"/>
          <w:color w:val="auto"/>
          <w:highlight w:val="none"/>
          <w:lang w:bidi="ar"/>
        </w:rPr>
      </w:pPr>
      <w:r>
        <w:rPr>
          <w:rFonts w:hint="eastAsia"/>
          <w:color w:val="auto"/>
          <w:highlight w:val="none"/>
          <w:lang w:bidi="ar"/>
        </w:rPr>
        <w:t>乙方在本合同签订之日起</w:t>
      </w:r>
      <w:r>
        <w:rPr>
          <w:color w:val="auto"/>
          <w:highlight w:val="none"/>
          <w:lang w:bidi="ar"/>
        </w:rPr>
        <w:t>15</w:t>
      </w:r>
      <w:r>
        <w:rPr>
          <w:rFonts w:hint="eastAsia"/>
          <w:color w:val="auto"/>
          <w:highlight w:val="none"/>
          <w:lang w:val="en-US" w:eastAsia="zh-CN" w:bidi="ar"/>
        </w:rPr>
        <w:t>个工作</w:t>
      </w:r>
      <w:r>
        <w:rPr>
          <w:color w:val="auto"/>
          <w:highlight w:val="none"/>
          <w:lang w:bidi="ar"/>
        </w:rPr>
        <w:t>日内，需在花都区组建适用于本项目运营需求的服务团队，并建立与综合运营管理服务相适应的经营管理机制。基本要求包括但不限于：</w:t>
      </w:r>
    </w:p>
    <w:p>
      <w:pPr>
        <w:numPr>
          <w:ilvl w:val="2"/>
          <w:numId w:val="2"/>
        </w:numPr>
        <w:spacing w:line="500" w:lineRule="exact"/>
        <w:ind w:left="0" w:firstLine="480" w:firstLineChars="200"/>
        <w:jc w:val="both"/>
        <w:rPr>
          <w:rFonts w:hint="eastAsia"/>
          <w:color w:val="auto"/>
          <w:highlight w:val="none"/>
          <w:lang w:bidi="ar"/>
        </w:rPr>
      </w:pPr>
      <w:r>
        <w:rPr>
          <w:color w:val="auto"/>
          <w:highlight w:val="none"/>
          <w:lang w:bidi="ar"/>
        </w:rPr>
        <w:t>建立体系完善、权责明确、监督到位的运营管理架构，建立从上到下、贯穿整个经营流程的层级管理体系。</w:t>
      </w:r>
    </w:p>
    <w:p>
      <w:pPr>
        <w:numPr>
          <w:ilvl w:val="2"/>
          <w:numId w:val="2"/>
        </w:numPr>
        <w:spacing w:line="500" w:lineRule="exact"/>
        <w:ind w:left="0" w:firstLine="480" w:firstLineChars="200"/>
        <w:jc w:val="both"/>
        <w:rPr>
          <w:rFonts w:hint="eastAsia"/>
          <w:color w:val="auto"/>
          <w:highlight w:val="none"/>
          <w:lang w:bidi="ar"/>
        </w:rPr>
      </w:pPr>
      <w:r>
        <w:rPr>
          <w:color w:val="auto"/>
          <w:highlight w:val="none"/>
          <w:lang w:bidi="ar"/>
        </w:rPr>
        <w:t>注重人才战略，注重员工综合素质，打造态度积极，工作专业，轻型的、精干的管理运营团队。</w:t>
      </w:r>
    </w:p>
    <w:p>
      <w:pPr>
        <w:numPr>
          <w:ilvl w:val="1"/>
          <w:numId w:val="2"/>
        </w:numPr>
        <w:spacing w:line="500" w:lineRule="exact"/>
        <w:ind w:left="0" w:firstLine="482" w:firstLineChars="200"/>
        <w:jc w:val="both"/>
        <w:outlineLvl w:val="9"/>
        <w:rPr>
          <w:rFonts w:hint="eastAsia"/>
          <w:b/>
          <w:bCs/>
          <w:color w:val="auto"/>
          <w:highlight w:val="none"/>
          <w:lang w:bidi="ar"/>
        </w:rPr>
      </w:pPr>
      <w:r>
        <w:rPr>
          <w:b/>
          <w:bCs/>
          <w:color w:val="auto"/>
          <w:highlight w:val="none"/>
          <w:lang w:bidi="ar"/>
        </w:rPr>
        <w:t>运营服务范围</w:t>
      </w:r>
    </w:p>
    <w:p>
      <w:pPr>
        <w:numPr>
          <w:ilvl w:val="2"/>
          <w:numId w:val="2"/>
        </w:numPr>
        <w:spacing w:line="500" w:lineRule="exact"/>
        <w:ind w:left="0" w:firstLine="480" w:firstLineChars="200"/>
        <w:jc w:val="both"/>
        <w:outlineLvl w:val="9"/>
        <w:rPr>
          <w:rFonts w:hint="eastAsia"/>
          <w:color w:val="auto"/>
          <w:highlight w:val="none"/>
          <w:lang w:bidi="ar"/>
        </w:rPr>
      </w:pPr>
      <w:r>
        <w:rPr>
          <w:color w:val="auto"/>
          <w:highlight w:val="none"/>
          <w:lang w:bidi="ar"/>
        </w:rPr>
        <w:t>项目定位</w:t>
      </w:r>
    </w:p>
    <w:p>
      <w:pPr>
        <w:spacing w:line="500" w:lineRule="exact"/>
        <w:jc w:val="both"/>
        <w:rPr>
          <w:rFonts w:hint="eastAsia"/>
          <w:color w:val="auto"/>
          <w:highlight w:val="none"/>
          <w:lang w:bidi="ar"/>
        </w:rPr>
      </w:pPr>
      <w:r>
        <w:rPr>
          <w:rFonts w:hint="eastAsia"/>
          <w:color w:val="auto"/>
          <w:highlight w:val="none"/>
          <w:lang w:bidi="ar"/>
        </w:rPr>
        <w:t>（</w:t>
      </w:r>
      <w:r>
        <w:rPr>
          <w:color w:val="auto"/>
          <w:highlight w:val="none"/>
          <w:lang w:bidi="ar"/>
        </w:rPr>
        <w:t>1）乙方在签订本合同之日起30日内，需提交合作期内产业、品牌推广、招商</w:t>
      </w:r>
      <w:r>
        <w:rPr>
          <w:rFonts w:hint="eastAsia"/>
          <w:color w:val="auto"/>
          <w:highlight w:val="none"/>
          <w:lang w:val="en-US" w:eastAsia="zh-CN" w:bidi="ar"/>
        </w:rPr>
        <w:t>销售</w:t>
      </w:r>
      <w:r>
        <w:rPr>
          <w:color w:val="auto"/>
          <w:highlight w:val="none"/>
          <w:lang w:bidi="ar"/>
        </w:rPr>
        <w:t>、运营四大类规划报告，并形成具体服务方案提交甲方；</w:t>
      </w:r>
    </w:p>
    <w:p>
      <w:pPr>
        <w:spacing w:line="500" w:lineRule="exact"/>
        <w:jc w:val="both"/>
        <w:rPr>
          <w:rFonts w:hint="eastAsia"/>
          <w:color w:val="auto"/>
          <w:highlight w:val="none"/>
          <w:lang w:bidi="ar"/>
        </w:rPr>
      </w:pPr>
      <w:r>
        <w:rPr>
          <w:rFonts w:hint="eastAsia"/>
          <w:color w:val="auto"/>
          <w:highlight w:val="none"/>
          <w:lang w:bidi="ar"/>
        </w:rPr>
        <w:t>（</w:t>
      </w:r>
      <w:r>
        <w:rPr>
          <w:color w:val="auto"/>
          <w:highlight w:val="none"/>
          <w:lang w:bidi="ar"/>
        </w:rPr>
        <w:t>2）</w:t>
      </w:r>
      <w:r>
        <w:rPr>
          <w:rFonts w:hint="eastAsia"/>
          <w:color w:val="auto"/>
          <w:highlight w:val="none"/>
          <w:lang w:val="en-US" w:eastAsia="zh-CN" w:bidi="ar"/>
        </w:rPr>
        <w:t>乙方</w:t>
      </w:r>
      <w:r>
        <w:rPr>
          <w:color w:val="auto"/>
          <w:highlight w:val="none"/>
          <w:lang w:bidi="ar"/>
        </w:rPr>
        <w:t>根据项目实际情况和需求，每年向甲方提交年度运营计划方案。</w:t>
      </w:r>
    </w:p>
    <w:p>
      <w:pPr>
        <w:numPr>
          <w:ilvl w:val="2"/>
          <w:numId w:val="2"/>
        </w:numPr>
        <w:spacing w:line="500" w:lineRule="exact"/>
        <w:ind w:left="0" w:firstLine="480" w:firstLineChars="200"/>
        <w:jc w:val="both"/>
        <w:outlineLvl w:val="2"/>
        <w:rPr>
          <w:rFonts w:hint="eastAsia"/>
          <w:color w:val="auto"/>
          <w:highlight w:val="none"/>
          <w:lang w:bidi="ar"/>
        </w:rPr>
      </w:pPr>
      <w:r>
        <w:rPr>
          <w:color w:val="auto"/>
          <w:highlight w:val="none"/>
          <w:lang w:bidi="ar"/>
        </w:rPr>
        <w:t>品牌服务</w:t>
      </w:r>
    </w:p>
    <w:p>
      <w:pPr>
        <w:spacing w:line="500" w:lineRule="exact"/>
        <w:jc w:val="both"/>
        <w:rPr>
          <w:rFonts w:hint="eastAsia"/>
          <w:color w:val="auto"/>
          <w:highlight w:val="none"/>
          <w:lang w:bidi="ar"/>
        </w:rPr>
      </w:pPr>
      <w:r>
        <w:rPr>
          <w:rFonts w:hint="eastAsia"/>
          <w:color w:val="auto"/>
          <w:highlight w:val="none"/>
          <w:lang w:bidi="ar"/>
        </w:rPr>
        <w:t>（</w:t>
      </w:r>
      <w:r>
        <w:rPr>
          <w:color w:val="auto"/>
          <w:highlight w:val="none"/>
          <w:lang w:bidi="ar"/>
        </w:rPr>
        <w:t>1）</w:t>
      </w:r>
      <w:r>
        <w:rPr>
          <w:rFonts w:hint="eastAsia"/>
          <w:color w:val="auto"/>
          <w:highlight w:val="none"/>
          <w:lang w:val="en-US" w:eastAsia="zh-CN" w:bidi="ar"/>
        </w:rPr>
        <w:t>乙方</w:t>
      </w:r>
      <w:r>
        <w:rPr>
          <w:color w:val="auto"/>
          <w:highlight w:val="none"/>
          <w:lang w:bidi="ar"/>
        </w:rPr>
        <w:t>制定本项目品牌视觉定位、推广创意设计、自媒体及网络推广方案。</w:t>
      </w:r>
    </w:p>
    <w:p>
      <w:pPr>
        <w:spacing w:line="500" w:lineRule="exact"/>
        <w:jc w:val="both"/>
        <w:rPr>
          <w:rFonts w:hint="eastAsia"/>
          <w:color w:val="auto"/>
          <w:highlight w:val="none"/>
          <w:lang w:bidi="ar"/>
        </w:rPr>
      </w:pPr>
      <w:r>
        <w:rPr>
          <w:rFonts w:hint="eastAsia"/>
          <w:color w:val="auto"/>
          <w:highlight w:val="none"/>
          <w:lang w:bidi="ar"/>
        </w:rPr>
        <w:t>（</w:t>
      </w:r>
      <w:r>
        <w:rPr>
          <w:color w:val="auto"/>
          <w:highlight w:val="none"/>
          <w:lang w:bidi="ar"/>
        </w:rPr>
        <w:t>2）</w:t>
      </w:r>
      <w:r>
        <w:rPr>
          <w:rFonts w:hint="eastAsia"/>
          <w:color w:val="auto"/>
          <w:highlight w:val="none"/>
          <w:lang w:val="en-US" w:eastAsia="zh-CN" w:bidi="ar"/>
        </w:rPr>
        <w:t>乙方</w:t>
      </w:r>
      <w:r>
        <w:rPr>
          <w:color w:val="auto"/>
          <w:highlight w:val="none"/>
          <w:lang w:bidi="ar"/>
        </w:rPr>
        <w:t>根据项目实际情况和需求，每年制定具体的招商推广规划、宣传推广策略、营销企划及广告平面设计的方案。</w:t>
      </w:r>
    </w:p>
    <w:p>
      <w:pPr>
        <w:spacing w:line="500" w:lineRule="exact"/>
        <w:jc w:val="both"/>
        <w:rPr>
          <w:rFonts w:hint="eastAsia"/>
          <w:color w:val="auto"/>
          <w:highlight w:val="none"/>
          <w:lang w:bidi="ar"/>
        </w:rPr>
      </w:pPr>
      <w:r>
        <w:rPr>
          <w:rFonts w:hint="eastAsia"/>
          <w:color w:val="auto"/>
          <w:highlight w:val="none"/>
          <w:lang w:bidi="ar"/>
        </w:rPr>
        <w:t>（</w:t>
      </w:r>
      <w:r>
        <w:rPr>
          <w:color w:val="auto"/>
          <w:highlight w:val="none"/>
          <w:lang w:bidi="ar"/>
        </w:rPr>
        <w:t>3）</w:t>
      </w:r>
      <w:r>
        <w:rPr>
          <w:rFonts w:hint="eastAsia"/>
          <w:color w:val="auto"/>
          <w:highlight w:val="none"/>
          <w:lang w:val="en-US" w:eastAsia="zh-CN" w:bidi="ar"/>
        </w:rPr>
        <w:t>乙方</w:t>
      </w:r>
      <w:r>
        <w:rPr>
          <w:color w:val="auto"/>
          <w:highlight w:val="none"/>
          <w:lang w:bidi="ar"/>
        </w:rPr>
        <w:t>根据年度计划，开展相关招商活动方案</w:t>
      </w:r>
      <w:r>
        <w:rPr>
          <w:rFonts w:hint="eastAsia"/>
          <w:color w:val="auto"/>
          <w:highlight w:val="none"/>
          <w:lang w:eastAsia="zh-CN" w:bidi="ar"/>
        </w:rPr>
        <w:t>，</w:t>
      </w:r>
      <w:r>
        <w:rPr>
          <w:color w:val="auto"/>
          <w:highlight w:val="none"/>
          <w:lang w:bidi="ar"/>
        </w:rPr>
        <w:t>通过宣传推广等，打造高品质</w:t>
      </w:r>
      <w:r>
        <w:rPr>
          <w:rFonts w:hint="eastAsia"/>
          <w:color w:val="auto"/>
          <w:highlight w:val="none"/>
          <w:lang w:bidi="ar"/>
        </w:rPr>
        <w:t>科创空间内涵，充分树立项目的品牌形象。</w:t>
      </w:r>
    </w:p>
    <w:p>
      <w:pPr>
        <w:spacing w:line="500" w:lineRule="exact"/>
        <w:jc w:val="both"/>
        <w:rPr>
          <w:rFonts w:hint="default" w:eastAsia="仿宋"/>
          <w:color w:val="auto"/>
          <w:highlight w:val="none"/>
          <w:lang w:val="en-US" w:eastAsia="zh-CN" w:bidi="ar"/>
        </w:rPr>
      </w:pPr>
      <w:r>
        <w:rPr>
          <w:rFonts w:hint="eastAsia"/>
          <w:color w:val="auto"/>
          <w:highlight w:val="none"/>
          <w:lang w:eastAsia="zh-CN" w:bidi="ar"/>
        </w:rPr>
        <w:t>（</w:t>
      </w:r>
      <w:r>
        <w:rPr>
          <w:rFonts w:hint="eastAsia"/>
          <w:color w:val="auto"/>
          <w:highlight w:val="none"/>
          <w:lang w:val="en-US" w:eastAsia="zh-CN" w:bidi="ar"/>
        </w:rPr>
        <w:t>4</w:t>
      </w:r>
      <w:r>
        <w:rPr>
          <w:rFonts w:hint="eastAsia"/>
          <w:color w:val="auto"/>
          <w:highlight w:val="none"/>
          <w:lang w:eastAsia="zh-CN" w:bidi="ar"/>
        </w:rPr>
        <w:t>）</w:t>
      </w:r>
      <w:r>
        <w:rPr>
          <w:rFonts w:hint="eastAsia"/>
          <w:color w:val="auto"/>
          <w:highlight w:val="none"/>
          <w:lang w:val="en-US" w:eastAsia="zh-CN" w:bidi="ar"/>
        </w:rPr>
        <w:t>乙方同意甲方以其公司名称关键字号为本项目命名，具体以甲方核定为准。</w:t>
      </w:r>
    </w:p>
    <w:p>
      <w:pPr>
        <w:numPr>
          <w:ilvl w:val="2"/>
          <w:numId w:val="2"/>
        </w:numPr>
        <w:spacing w:line="500" w:lineRule="exact"/>
        <w:ind w:left="0" w:firstLine="480" w:firstLineChars="200"/>
        <w:jc w:val="both"/>
        <w:outlineLvl w:val="2"/>
        <w:rPr>
          <w:rFonts w:hint="eastAsia"/>
          <w:color w:val="auto"/>
          <w:highlight w:val="none"/>
          <w:lang w:bidi="ar"/>
        </w:rPr>
      </w:pPr>
      <w:r>
        <w:rPr>
          <w:color w:val="auto"/>
          <w:highlight w:val="none"/>
          <w:lang w:bidi="ar"/>
        </w:rPr>
        <w:t>项目前置招商</w:t>
      </w:r>
    </w:p>
    <w:p>
      <w:pPr>
        <w:spacing w:line="500" w:lineRule="exact"/>
        <w:jc w:val="both"/>
        <w:rPr>
          <w:rFonts w:hint="eastAsia"/>
          <w:color w:val="auto"/>
          <w:highlight w:val="none"/>
          <w:lang w:bidi="ar"/>
        </w:rPr>
      </w:pPr>
      <w:r>
        <w:rPr>
          <w:rFonts w:hint="eastAsia"/>
          <w:color w:val="auto"/>
          <w:highlight w:val="none"/>
          <w:lang w:bidi="ar"/>
        </w:rPr>
        <w:t>（</w:t>
      </w:r>
      <w:r>
        <w:rPr>
          <w:color w:val="auto"/>
          <w:highlight w:val="none"/>
          <w:lang w:bidi="ar"/>
        </w:rPr>
        <w:t>1）</w:t>
      </w:r>
      <w:r>
        <w:rPr>
          <w:rFonts w:hint="eastAsia"/>
          <w:color w:val="auto"/>
          <w:highlight w:val="none"/>
          <w:lang w:val="en-US" w:eastAsia="zh-CN" w:bidi="ar"/>
        </w:rPr>
        <w:t>乙方</w:t>
      </w:r>
      <w:r>
        <w:rPr>
          <w:color w:val="auto"/>
          <w:highlight w:val="none"/>
          <w:lang w:bidi="ar"/>
        </w:rPr>
        <w:t>根据项目施工及交付进度，针对不同空间制定招商策划、招商政策、招商计划书的相关方案。</w:t>
      </w:r>
    </w:p>
    <w:p>
      <w:pPr>
        <w:spacing w:line="500" w:lineRule="exact"/>
        <w:jc w:val="both"/>
        <w:rPr>
          <w:rFonts w:hint="eastAsia"/>
          <w:color w:val="auto"/>
          <w:highlight w:val="none"/>
          <w:lang w:bidi="ar"/>
        </w:rPr>
      </w:pPr>
      <w:r>
        <w:rPr>
          <w:rFonts w:hint="eastAsia"/>
          <w:color w:val="auto"/>
          <w:highlight w:val="none"/>
          <w:lang w:bidi="ar"/>
        </w:rPr>
        <w:t>（</w:t>
      </w:r>
      <w:r>
        <w:rPr>
          <w:color w:val="auto"/>
          <w:highlight w:val="none"/>
          <w:lang w:bidi="ar"/>
        </w:rPr>
        <w:t>2）</w:t>
      </w:r>
      <w:r>
        <w:rPr>
          <w:rFonts w:hint="eastAsia"/>
          <w:color w:val="auto"/>
          <w:highlight w:val="none"/>
          <w:lang w:val="en-US" w:eastAsia="zh-CN" w:bidi="ar"/>
        </w:rPr>
        <w:t>乙方</w:t>
      </w:r>
      <w:r>
        <w:rPr>
          <w:color w:val="auto"/>
          <w:highlight w:val="none"/>
          <w:lang w:bidi="ar"/>
        </w:rPr>
        <w:t>负责园区总体对外招商工作，根据与甲方共同商定</w:t>
      </w:r>
      <w:r>
        <w:rPr>
          <w:rFonts w:hint="eastAsia"/>
          <w:color w:val="auto"/>
          <w:highlight w:val="none"/>
          <w:lang w:val="en-US" w:eastAsia="zh-CN" w:bidi="ar"/>
        </w:rPr>
        <w:t>且符合本合同约定要求</w:t>
      </w:r>
      <w:r>
        <w:rPr>
          <w:color w:val="auto"/>
          <w:highlight w:val="none"/>
          <w:lang w:bidi="ar"/>
        </w:rPr>
        <w:t>的招商标准，搜寻潜在客户、对接来访人员、进行客户寻访与商务合作洽谈。</w:t>
      </w:r>
    </w:p>
    <w:p>
      <w:pPr>
        <w:spacing w:line="500" w:lineRule="exact"/>
        <w:jc w:val="both"/>
        <w:rPr>
          <w:rFonts w:hint="eastAsia"/>
          <w:color w:val="auto"/>
          <w:highlight w:val="none"/>
          <w:lang w:bidi="ar"/>
        </w:rPr>
      </w:pPr>
      <w:r>
        <w:rPr>
          <w:rFonts w:hint="eastAsia"/>
          <w:color w:val="auto"/>
          <w:highlight w:val="none"/>
          <w:lang w:bidi="ar"/>
        </w:rPr>
        <w:t>（</w:t>
      </w:r>
      <w:r>
        <w:rPr>
          <w:color w:val="auto"/>
          <w:highlight w:val="none"/>
          <w:lang w:bidi="ar"/>
        </w:rPr>
        <w:t>3）</w:t>
      </w:r>
      <w:r>
        <w:rPr>
          <w:rFonts w:hint="eastAsia"/>
          <w:color w:val="auto"/>
          <w:highlight w:val="none"/>
          <w:lang w:val="en-US" w:eastAsia="zh-CN" w:bidi="ar"/>
        </w:rPr>
        <w:t>乙方</w:t>
      </w:r>
      <w:r>
        <w:rPr>
          <w:color w:val="auto"/>
          <w:highlight w:val="none"/>
          <w:lang w:bidi="ar"/>
        </w:rPr>
        <w:t>结合项目实际，为客户提供预订、备案、签约、注册等一体化专职服务保障方案。</w:t>
      </w:r>
    </w:p>
    <w:p>
      <w:pPr>
        <w:numPr>
          <w:ilvl w:val="2"/>
          <w:numId w:val="2"/>
        </w:numPr>
        <w:spacing w:line="500" w:lineRule="exact"/>
        <w:ind w:left="0" w:firstLine="480" w:firstLineChars="200"/>
        <w:jc w:val="both"/>
        <w:outlineLvl w:val="2"/>
        <w:rPr>
          <w:rFonts w:hint="eastAsia"/>
          <w:color w:val="auto"/>
          <w:highlight w:val="none"/>
          <w:lang w:bidi="ar"/>
        </w:rPr>
      </w:pPr>
      <w:r>
        <w:rPr>
          <w:color w:val="auto"/>
          <w:highlight w:val="none"/>
          <w:lang w:bidi="ar"/>
        </w:rPr>
        <w:t>政府对接</w:t>
      </w:r>
    </w:p>
    <w:p>
      <w:pPr>
        <w:spacing w:line="500" w:lineRule="exact"/>
        <w:jc w:val="both"/>
        <w:rPr>
          <w:rFonts w:hint="default" w:eastAsia="仿宋"/>
          <w:color w:val="auto"/>
          <w:highlight w:val="none"/>
          <w:lang w:val="en-US" w:eastAsia="zh-CN" w:bidi="ar"/>
        </w:rPr>
      </w:pPr>
      <w:r>
        <w:rPr>
          <w:rFonts w:hint="eastAsia"/>
          <w:color w:val="auto"/>
          <w:highlight w:val="none"/>
          <w:lang w:bidi="ar"/>
        </w:rPr>
        <w:t>根据甲方</w:t>
      </w:r>
      <w:r>
        <w:rPr>
          <w:rFonts w:hint="default"/>
          <w:color w:val="auto"/>
          <w:highlight w:val="none"/>
          <w:lang w:val="en-US" w:eastAsia="zh-CN" w:bidi="ar"/>
        </w:rPr>
        <w:t>另行出具的书面</w:t>
      </w:r>
      <w:r>
        <w:rPr>
          <w:rFonts w:hint="eastAsia"/>
          <w:color w:val="auto"/>
          <w:highlight w:val="none"/>
          <w:lang w:bidi="ar"/>
        </w:rPr>
        <w:t>授权，乙方行使与政府相关职能部门对接职责，包括手续办理、产业资源对接、项目认定、行业会议、政府组织的招商会、沙龙等。</w:t>
      </w:r>
      <w:r>
        <w:rPr>
          <w:rFonts w:hint="eastAsia"/>
          <w:color w:val="auto"/>
          <w:highlight w:val="none"/>
          <w:lang w:val="en-US" w:eastAsia="zh-CN" w:bidi="ar"/>
        </w:rPr>
        <w:t>如需甲方协助的，甲方积极予以协助。</w:t>
      </w:r>
    </w:p>
    <w:p>
      <w:pPr>
        <w:numPr>
          <w:ilvl w:val="2"/>
          <w:numId w:val="2"/>
        </w:numPr>
        <w:spacing w:line="500" w:lineRule="exact"/>
        <w:ind w:left="0" w:firstLine="480" w:firstLineChars="200"/>
        <w:jc w:val="both"/>
        <w:outlineLvl w:val="2"/>
        <w:rPr>
          <w:rFonts w:hint="eastAsia" w:eastAsia="仿宋"/>
          <w:color w:val="auto"/>
          <w:highlight w:val="none"/>
          <w:lang w:val="en-US" w:eastAsia="zh-CN" w:bidi="ar"/>
        </w:rPr>
      </w:pPr>
      <w:r>
        <w:rPr>
          <w:rFonts w:hint="default"/>
          <w:color w:val="auto"/>
          <w:highlight w:val="none"/>
          <w:lang w:bidi="ar"/>
        </w:rPr>
        <w:t>产业资源导入</w:t>
      </w:r>
    </w:p>
    <w:p>
      <w:pPr>
        <w:spacing w:line="500" w:lineRule="exact"/>
        <w:jc w:val="both"/>
        <w:rPr>
          <w:rFonts w:hint="default" w:eastAsia="仿宋"/>
          <w:color w:val="auto"/>
          <w:highlight w:val="none"/>
          <w:lang w:val="en-US" w:eastAsia="zh-CN" w:bidi="ar"/>
        </w:rPr>
      </w:pPr>
      <w:r>
        <w:rPr>
          <w:rFonts w:hint="eastAsia"/>
          <w:color w:val="auto"/>
          <w:highlight w:val="none"/>
          <w:lang w:bidi="ar"/>
        </w:rPr>
        <w:t>（1）根据项目规划，应导入符合本项目监管协议的产业准入类型的企业并满足项目整体投资强度、产值税收要求（定义：监管协议是</w:t>
      </w:r>
      <w:r>
        <w:rPr>
          <w:rFonts w:hint="eastAsia"/>
          <w:color w:val="auto"/>
          <w:highlight w:val="none"/>
          <w:lang w:val="en-US" w:eastAsia="zh-CN" w:bidi="ar"/>
        </w:rPr>
        <w:t>指</w:t>
      </w:r>
      <w:r>
        <w:rPr>
          <w:rFonts w:hint="eastAsia"/>
          <w:color w:val="auto"/>
          <w:highlight w:val="none"/>
          <w:lang w:bidi="ar"/>
        </w:rPr>
        <w:t>甲方与</w:t>
      </w:r>
      <w:bookmarkStart w:id="15" w:name="OLE_LINK2"/>
      <w:r>
        <w:rPr>
          <w:rFonts w:hint="eastAsia"/>
          <w:color w:val="auto"/>
          <w:highlight w:val="none"/>
          <w:lang w:bidi="ar"/>
        </w:rPr>
        <w:t>广州花都</w:t>
      </w:r>
      <w:r>
        <w:rPr>
          <w:rFonts w:hint="eastAsia"/>
          <w:color w:val="auto"/>
          <w:highlight w:val="none"/>
          <w:lang w:val="en-US" w:eastAsia="zh-CN" w:bidi="ar"/>
        </w:rPr>
        <w:t>经济开发区管理委员会</w:t>
      </w:r>
      <w:r>
        <w:rPr>
          <w:rFonts w:hint="eastAsia"/>
          <w:color w:val="auto"/>
          <w:highlight w:val="none"/>
          <w:lang w:bidi="ar"/>
        </w:rPr>
        <w:t>签订的投入产出监管协议</w:t>
      </w:r>
      <w:bookmarkEnd w:id="15"/>
      <w:r>
        <w:rPr>
          <w:rFonts w:hint="eastAsia"/>
          <w:color w:val="auto"/>
          <w:highlight w:val="none"/>
          <w:lang w:eastAsia="zh-CN" w:bidi="ar"/>
        </w:rPr>
        <w:t>，</w:t>
      </w:r>
      <w:r>
        <w:rPr>
          <w:rFonts w:hint="eastAsia"/>
          <w:color w:val="auto"/>
          <w:highlight w:val="none"/>
          <w:lang w:val="en-US" w:eastAsia="zh-CN" w:bidi="ar"/>
        </w:rPr>
        <w:t>详见附件</w:t>
      </w:r>
      <w:r>
        <w:rPr>
          <w:rFonts w:hint="eastAsia"/>
          <w:color w:val="auto"/>
          <w:highlight w:val="none"/>
          <w:lang w:bidi="ar"/>
        </w:rPr>
        <w:t>）</w:t>
      </w:r>
      <w:r>
        <w:rPr>
          <w:rFonts w:hint="eastAsia"/>
          <w:color w:val="auto"/>
          <w:highlight w:val="none"/>
          <w:lang w:eastAsia="zh-CN" w:bidi="ar"/>
        </w:rPr>
        <w:t>。</w:t>
      </w:r>
      <w:r>
        <w:rPr>
          <w:rFonts w:hint="eastAsia"/>
          <w:color w:val="auto"/>
          <w:highlight w:val="none"/>
          <w:lang w:val="en-US" w:eastAsia="zh-CN" w:bidi="ar"/>
        </w:rPr>
        <w:t>为免疑义，如后续甲方与政府部门重新约定或签订投入产出监管协议导致相关要求调整的，则本条第（2）（3）（4）项应以甲方与政府部门重新签订的监管协议约定为准，甲乙双方应签署补充协议予以确定，但不论补充协议是否签署，均不影响本协议适用调整后监管协议的相关约定</w:t>
      </w:r>
      <w:r>
        <w:rPr>
          <w:rFonts w:hint="eastAsia"/>
          <w:color w:val="auto"/>
          <w:highlight w:val="none"/>
          <w:lang w:bidi="ar"/>
        </w:rPr>
        <w:t>。</w:t>
      </w:r>
    </w:p>
    <w:p>
      <w:pPr>
        <w:spacing w:line="500" w:lineRule="exact"/>
        <w:jc w:val="both"/>
        <w:rPr>
          <w:rFonts w:hint="eastAsia"/>
          <w:color w:val="auto"/>
          <w:highlight w:val="none"/>
          <w:lang w:bidi="ar"/>
        </w:rPr>
      </w:pPr>
      <w:r>
        <w:rPr>
          <w:rFonts w:hint="eastAsia"/>
          <w:color w:val="auto"/>
          <w:highlight w:val="none"/>
          <w:lang w:bidi="ar"/>
        </w:rPr>
        <w:t>（2）本项目产业准入类型为</w:t>
      </w:r>
      <w:bookmarkStart w:id="16" w:name="OLE_LINK4"/>
      <w:r>
        <w:rPr>
          <w:rFonts w:hint="eastAsia" w:ascii="仿宋" w:hAnsi="仿宋" w:eastAsia="仿宋" w:cs="Times New Roman"/>
          <w:color w:val="auto"/>
          <w:sz w:val="24"/>
          <w:highlight w:val="none"/>
          <w:u w:val="none"/>
          <w:lang w:bidi="ar"/>
        </w:rPr>
        <w:t>通用设备制造业或专用设备制造业或汽车制造业或仪器仪表制造业或计算机、通信和其他电子设备制造业</w:t>
      </w:r>
      <w:r>
        <w:rPr>
          <w:rFonts w:hint="eastAsia"/>
          <w:color w:val="auto"/>
          <w:highlight w:val="none"/>
          <w:lang w:bidi="ar"/>
        </w:rPr>
        <w:t>等</w:t>
      </w:r>
      <w:bookmarkEnd w:id="16"/>
      <w:r>
        <w:rPr>
          <w:rFonts w:hint="eastAsia"/>
          <w:color w:val="auto"/>
          <w:highlight w:val="none"/>
          <w:lang w:bidi="ar"/>
        </w:rPr>
        <w:t>。准入企业须甲方确认后方能进驻生产。</w:t>
      </w:r>
    </w:p>
    <w:p>
      <w:pPr>
        <w:spacing w:line="500" w:lineRule="exact"/>
        <w:ind w:firstLine="480" w:firstLineChars="200"/>
        <w:jc w:val="both"/>
        <w:rPr>
          <w:rFonts w:hint="eastAsia"/>
          <w:color w:val="auto"/>
          <w:highlight w:val="none"/>
          <w:lang w:bidi="ar"/>
        </w:rPr>
      </w:pPr>
      <w:r>
        <w:rPr>
          <w:rFonts w:hint="eastAsia"/>
          <w:color w:val="auto"/>
          <w:highlight w:val="none"/>
          <w:lang w:bidi="ar"/>
        </w:rPr>
        <w:t>（3）</w:t>
      </w:r>
      <w:bookmarkStart w:id="17" w:name="OLE_LINK5"/>
      <w:bookmarkStart w:id="18" w:name="OLE_LINK3"/>
      <w:r>
        <w:rPr>
          <w:rFonts w:hint="eastAsia"/>
          <w:color w:val="auto"/>
          <w:highlight w:val="none"/>
          <w:lang w:bidi="ar"/>
        </w:rPr>
        <w:t>本项目自整体竣工验收之日的次年起</w:t>
      </w:r>
      <w:r>
        <w:rPr>
          <w:rFonts w:hint="eastAsia"/>
          <w:color w:val="auto"/>
          <w:highlight w:val="none"/>
          <w:lang w:eastAsia="zh-CN" w:bidi="ar"/>
        </w:rPr>
        <w:t>，</w:t>
      </w:r>
      <w:r>
        <w:rPr>
          <w:rFonts w:hint="eastAsia"/>
          <w:color w:val="auto"/>
          <w:highlight w:val="none"/>
          <w:lang w:bidi="ar"/>
        </w:rPr>
        <w:t>在本项目地块上盖建筑物内登记注册的企业产值不低于</w:t>
      </w:r>
      <w:r>
        <w:rPr>
          <w:rFonts w:hint="eastAsia"/>
          <w:color w:val="auto"/>
          <w:highlight w:val="none"/>
          <w:lang w:val="en-US" w:eastAsia="zh-CN" w:bidi="ar"/>
        </w:rPr>
        <w:t>405</w:t>
      </w:r>
      <w:r>
        <w:rPr>
          <w:rFonts w:hint="eastAsia"/>
          <w:color w:val="auto"/>
          <w:highlight w:val="none"/>
          <w:lang w:bidi="ar"/>
        </w:rPr>
        <w:t>万元/亩</w:t>
      </w:r>
      <w:r>
        <w:rPr>
          <w:rFonts w:hint="eastAsia"/>
          <w:color w:val="auto"/>
          <w:highlight w:val="none"/>
          <w:lang w:eastAsia="zh-CN" w:bidi="ar"/>
        </w:rPr>
        <w:t>；</w:t>
      </w:r>
      <w:r>
        <w:rPr>
          <w:rFonts w:hint="eastAsia" w:ascii="仿宋" w:hAnsi="仿宋" w:eastAsia="仿宋" w:cs="Times New Roman"/>
          <w:bCs w:val="0"/>
          <w:color w:val="auto"/>
          <w:sz w:val="24"/>
          <w:szCs w:val="24"/>
          <w:highlight w:val="none"/>
          <w:lang w:bidi="ar"/>
        </w:rPr>
        <w:t>投产第3年</w:t>
      </w:r>
      <w:r>
        <w:rPr>
          <w:rFonts w:hint="eastAsia" w:ascii="仿宋" w:hAnsi="仿宋" w:eastAsia="仿宋" w:cs="Times New Roman"/>
          <w:bCs w:val="0"/>
          <w:color w:val="auto"/>
          <w:sz w:val="24"/>
          <w:szCs w:val="24"/>
          <w:highlight w:val="none"/>
          <w:lang w:eastAsia="zh-CN" w:bidi="ar"/>
        </w:rPr>
        <w:t>，</w:t>
      </w:r>
      <w:r>
        <w:rPr>
          <w:rFonts w:hint="eastAsia" w:ascii="仿宋" w:hAnsi="仿宋" w:eastAsia="仿宋" w:cs="Times New Roman"/>
          <w:bCs w:val="0"/>
          <w:color w:val="auto"/>
          <w:sz w:val="24"/>
          <w:szCs w:val="24"/>
          <w:highlight w:val="none"/>
          <w:lang w:bidi="ar"/>
        </w:rPr>
        <w:t>年产值不低于</w:t>
      </w:r>
      <w:r>
        <w:rPr>
          <w:rFonts w:hint="eastAsia" w:ascii="仿宋" w:hAnsi="仿宋" w:eastAsia="仿宋" w:cs="Times New Roman"/>
          <w:bCs w:val="0"/>
          <w:color w:val="auto"/>
          <w:sz w:val="24"/>
          <w:szCs w:val="24"/>
          <w:highlight w:val="none"/>
          <w:lang w:val="en-US" w:eastAsia="zh-CN" w:bidi="ar"/>
        </w:rPr>
        <w:t>1350</w:t>
      </w:r>
      <w:r>
        <w:rPr>
          <w:rFonts w:hint="eastAsia" w:ascii="仿宋" w:hAnsi="仿宋" w:eastAsia="仿宋" w:cs="Times New Roman"/>
          <w:bCs w:val="0"/>
          <w:color w:val="auto"/>
          <w:sz w:val="24"/>
          <w:szCs w:val="24"/>
          <w:highlight w:val="none"/>
          <w:lang w:bidi="ar"/>
        </w:rPr>
        <w:t>万元</w:t>
      </w:r>
      <w:r>
        <w:rPr>
          <w:rFonts w:hint="eastAsia"/>
          <w:color w:val="auto"/>
          <w:highlight w:val="none"/>
          <w:lang w:bidi="ar"/>
        </w:rPr>
        <w:t>/亩</w:t>
      </w:r>
      <w:r>
        <w:rPr>
          <w:rFonts w:hint="eastAsia" w:ascii="仿宋" w:hAnsi="仿宋" w:eastAsia="仿宋" w:cs="Times New Roman"/>
          <w:bCs w:val="0"/>
          <w:color w:val="auto"/>
          <w:sz w:val="24"/>
          <w:szCs w:val="24"/>
          <w:highlight w:val="none"/>
          <w:lang w:eastAsia="zh-CN" w:bidi="ar"/>
        </w:rPr>
        <w:t>；</w:t>
      </w:r>
      <w:r>
        <w:rPr>
          <w:rFonts w:hint="eastAsia" w:ascii="仿宋" w:hAnsi="仿宋" w:eastAsia="仿宋" w:cs="Times New Roman"/>
          <w:bCs w:val="0"/>
          <w:color w:val="auto"/>
          <w:sz w:val="24"/>
          <w:szCs w:val="24"/>
          <w:highlight w:val="none"/>
          <w:lang w:bidi="ar"/>
        </w:rPr>
        <w:t>投产第3年之后，年产值不得连续3年低于</w:t>
      </w:r>
      <w:r>
        <w:rPr>
          <w:rFonts w:hint="eastAsia" w:ascii="仿宋" w:hAnsi="仿宋" w:eastAsia="仿宋" w:cs="Times New Roman"/>
          <w:bCs w:val="0"/>
          <w:color w:val="auto"/>
          <w:sz w:val="24"/>
          <w:szCs w:val="24"/>
          <w:highlight w:val="none"/>
          <w:lang w:val="en-US" w:eastAsia="zh-CN" w:bidi="ar"/>
        </w:rPr>
        <w:t>1350</w:t>
      </w:r>
      <w:r>
        <w:rPr>
          <w:rFonts w:hint="eastAsia" w:ascii="仿宋" w:hAnsi="仿宋" w:eastAsia="仿宋" w:cs="Times New Roman"/>
          <w:bCs w:val="0"/>
          <w:color w:val="auto"/>
          <w:sz w:val="24"/>
          <w:szCs w:val="24"/>
          <w:highlight w:val="none"/>
          <w:lang w:bidi="ar"/>
        </w:rPr>
        <w:t>万元</w:t>
      </w:r>
      <w:r>
        <w:rPr>
          <w:rFonts w:hint="eastAsia"/>
          <w:color w:val="auto"/>
          <w:highlight w:val="none"/>
          <w:lang w:bidi="ar"/>
        </w:rPr>
        <w:t>/亩</w:t>
      </w:r>
      <w:r>
        <w:rPr>
          <w:rFonts w:hint="eastAsia" w:ascii="仿宋" w:hAnsi="仿宋" w:eastAsia="仿宋" w:cs="Times New Roman"/>
          <w:bCs w:val="0"/>
          <w:color w:val="auto"/>
          <w:sz w:val="24"/>
          <w:szCs w:val="24"/>
          <w:highlight w:val="none"/>
          <w:lang w:bidi="ar"/>
        </w:rPr>
        <w:t>；投产第3年之后10年内，平均年产值不低于</w:t>
      </w:r>
      <w:r>
        <w:rPr>
          <w:rFonts w:hint="eastAsia" w:ascii="仿宋" w:hAnsi="仿宋" w:eastAsia="仿宋" w:cs="Times New Roman"/>
          <w:bCs w:val="0"/>
          <w:color w:val="auto"/>
          <w:sz w:val="24"/>
          <w:szCs w:val="24"/>
          <w:highlight w:val="none"/>
          <w:lang w:val="en-US" w:eastAsia="zh-CN" w:bidi="ar"/>
        </w:rPr>
        <w:t>1350</w:t>
      </w:r>
      <w:r>
        <w:rPr>
          <w:rFonts w:hint="eastAsia" w:ascii="仿宋" w:hAnsi="仿宋" w:eastAsia="仿宋" w:cs="Times New Roman"/>
          <w:bCs w:val="0"/>
          <w:color w:val="auto"/>
          <w:sz w:val="24"/>
          <w:szCs w:val="24"/>
          <w:highlight w:val="none"/>
          <w:lang w:bidi="ar"/>
        </w:rPr>
        <w:t>万元</w:t>
      </w:r>
      <w:r>
        <w:rPr>
          <w:rFonts w:hint="eastAsia"/>
          <w:color w:val="auto"/>
          <w:highlight w:val="none"/>
          <w:lang w:bidi="ar"/>
        </w:rPr>
        <w:t>/亩</w:t>
      </w:r>
      <w:bookmarkEnd w:id="17"/>
      <w:r>
        <w:rPr>
          <w:rFonts w:hint="eastAsia"/>
          <w:color w:val="auto"/>
          <w:highlight w:val="none"/>
          <w:lang w:val="en-US" w:eastAsia="zh-CN" w:bidi="ar"/>
        </w:rPr>
        <w:t>。</w:t>
      </w:r>
      <w:bookmarkEnd w:id="18"/>
    </w:p>
    <w:p>
      <w:pPr>
        <w:spacing w:line="500" w:lineRule="exact"/>
        <w:jc w:val="both"/>
        <w:rPr>
          <w:rFonts w:hint="eastAsia"/>
          <w:color w:val="auto"/>
          <w:highlight w:val="none"/>
          <w:lang w:bidi="ar"/>
        </w:rPr>
      </w:pPr>
      <w:r>
        <w:rPr>
          <w:rFonts w:hint="eastAsia"/>
          <w:color w:val="auto"/>
          <w:highlight w:val="none"/>
          <w:lang w:bidi="ar"/>
        </w:rPr>
        <w:t>（4）</w:t>
      </w:r>
      <w:bookmarkStart w:id="19" w:name="OLE_LINK6"/>
      <w:r>
        <w:rPr>
          <w:rFonts w:hint="eastAsia"/>
          <w:color w:val="auto"/>
          <w:highlight w:val="none"/>
          <w:lang w:bidi="ar"/>
        </w:rPr>
        <w:t>本项目自整体竣工验收之日次年起，年纳税不低于</w:t>
      </w:r>
      <w:r>
        <w:rPr>
          <w:rFonts w:hint="eastAsia"/>
          <w:color w:val="auto"/>
          <w:highlight w:val="none"/>
          <w:lang w:val="en-US" w:eastAsia="zh-CN" w:bidi="ar"/>
        </w:rPr>
        <w:t>25</w:t>
      </w:r>
      <w:r>
        <w:rPr>
          <w:rFonts w:hint="eastAsia"/>
          <w:color w:val="auto"/>
          <w:highlight w:val="none"/>
          <w:lang w:bidi="ar"/>
        </w:rPr>
        <w:t>万元/亩；投产第3年，年纳税额不低于</w:t>
      </w:r>
      <w:r>
        <w:rPr>
          <w:rFonts w:hint="eastAsia"/>
          <w:color w:val="auto"/>
          <w:highlight w:val="none"/>
          <w:lang w:val="en-US" w:eastAsia="zh-CN" w:bidi="ar"/>
        </w:rPr>
        <w:t>80</w:t>
      </w:r>
      <w:r>
        <w:rPr>
          <w:rFonts w:hint="eastAsia"/>
          <w:color w:val="auto"/>
          <w:highlight w:val="none"/>
          <w:lang w:bidi="ar"/>
        </w:rPr>
        <w:t>万元/亩；投产第3年后，年纳税额不得连续3年低于</w:t>
      </w:r>
      <w:r>
        <w:rPr>
          <w:rFonts w:hint="eastAsia"/>
          <w:color w:val="auto"/>
          <w:highlight w:val="none"/>
          <w:lang w:val="en-US" w:eastAsia="zh-CN" w:bidi="ar"/>
        </w:rPr>
        <w:t>80</w:t>
      </w:r>
      <w:r>
        <w:rPr>
          <w:rFonts w:hint="eastAsia"/>
          <w:color w:val="auto"/>
          <w:highlight w:val="none"/>
          <w:lang w:bidi="ar"/>
        </w:rPr>
        <w:t>万元/亩；投产第3年之后10年内，平均年纳税额不低于</w:t>
      </w:r>
      <w:r>
        <w:rPr>
          <w:rFonts w:hint="eastAsia"/>
          <w:color w:val="auto"/>
          <w:highlight w:val="none"/>
          <w:lang w:val="en-US" w:eastAsia="zh-CN" w:bidi="ar"/>
        </w:rPr>
        <w:t>80</w:t>
      </w:r>
      <w:r>
        <w:rPr>
          <w:rFonts w:hint="eastAsia"/>
          <w:color w:val="auto"/>
          <w:highlight w:val="none"/>
          <w:lang w:bidi="ar"/>
        </w:rPr>
        <w:t>万元/亩</w:t>
      </w:r>
      <w:bookmarkEnd w:id="19"/>
      <w:r>
        <w:rPr>
          <w:rFonts w:hint="eastAsia"/>
          <w:color w:val="auto"/>
          <w:highlight w:val="none"/>
          <w:lang w:bidi="ar"/>
        </w:rPr>
        <w:t>。</w:t>
      </w:r>
    </w:p>
    <w:p>
      <w:pPr>
        <w:spacing w:line="500" w:lineRule="exact"/>
        <w:jc w:val="both"/>
        <w:rPr>
          <w:rFonts w:hint="eastAsia" w:eastAsia="仿宋"/>
          <w:color w:val="auto"/>
          <w:highlight w:val="none"/>
          <w:lang w:eastAsia="zh-CN" w:bidi="ar"/>
        </w:rPr>
      </w:pPr>
      <w:r>
        <w:rPr>
          <w:rFonts w:hint="eastAsia"/>
          <w:color w:val="auto"/>
          <w:highlight w:val="none"/>
          <w:lang w:bidi="ar"/>
        </w:rPr>
        <w:t>（5）</w:t>
      </w:r>
      <w:bookmarkStart w:id="20" w:name="OLE_LINK7"/>
      <w:r>
        <w:rPr>
          <w:rFonts w:hint="eastAsia"/>
          <w:color w:val="auto"/>
          <w:highlight w:val="none"/>
          <w:lang w:bidi="ar"/>
        </w:rPr>
        <w:t>本项目自整体竣工验收之日起，1年内导入专精特新企业</w:t>
      </w:r>
      <w:r>
        <w:rPr>
          <w:rFonts w:hint="eastAsia"/>
          <w:color w:val="auto"/>
          <w:highlight w:val="none"/>
          <w:lang w:eastAsia="zh-CN" w:bidi="ar"/>
        </w:rPr>
        <w:t>（</w:t>
      </w:r>
      <w:r>
        <w:rPr>
          <w:rFonts w:hint="eastAsia"/>
          <w:color w:val="auto"/>
          <w:highlight w:val="none"/>
          <w:lang w:val="en-US" w:eastAsia="zh-CN" w:bidi="ar"/>
        </w:rPr>
        <w:t>含高新技术企业</w:t>
      </w:r>
      <w:r>
        <w:rPr>
          <w:rFonts w:hint="eastAsia"/>
          <w:color w:val="auto"/>
          <w:highlight w:val="none"/>
          <w:lang w:eastAsia="zh-CN" w:bidi="ar"/>
        </w:rPr>
        <w:t>）</w:t>
      </w:r>
      <w:r>
        <w:rPr>
          <w:rFonts w:hint="eastAsia"/>
          <w:color w:val="auto"/>
          <w:highlight w:val="none"/>
          <w:lang w:bidi="ar"/>
        </w:rPr>
        <w:t>不少于</w:t>
      </w:r>
      <w:r>
        <w:rPr>
          <w:rFonts w:hint="eastAsia"/>
          <w:color w:val="auto"/>
          <w:highlight w:val="none"/>
          <w:lang w:val="en-US" w:eastAsia="zh-CN" w:bidi="ar"/>
        </w:rPr>
        <w:t>5</w:t>
      </w:r>
      <w:r>
        <w:rPr>
          <w:rFonts w:hint="eastAsia"/>
          <w:color w:val="auto"/>
          <w:highlight w:val="none"/>
          <w:lang w:bidi="ar"/>
        </w:rPr>
        <w:t>家</w:t>
      </w:r>
      <w:r>
        <w:rPr>
          <w:rFonts w:hint="eastAsia"/>
          <w:color w:val="auto"/>
          <w:highlight w:val="none"/>
          <w:lang w:val="en-US" w:eastAsia="zh-CN" w:bidi="ar"/>
        </w:rPr>
        <w:t>或引入该类企业使用面积不小于5万㎡，2年内导入专精特新企业</w:t>
      </w:r>
      <w:r>
        <w:rPr>
          <w:rFonts w:hint="eastAsia"/>
          <w:color w:val="auto"/>
          <w:highlight w:val="none"/>
          <w:lang w:eastAsia="zh-CN" w:bidi="ar"/>
        </w:rPr>
        <w:t>（</w:t>
      </w:r>
      <w:r>
        <w:rPr>
          <w:rFonts w:hint="eastAsia"/>
          <w:color w:val="auto"/>
          <w:highlight w:val="none"/>
          <w:lang w:val="en-US" w:eastAsia="zh-CN" w:bidi="ar"/>
        </w:rPr>
        <w:t>含高新技术企业</w:t>
      </w:r>
      <w:r>
        <w:rPr>
          <w:rFonts w:hint="eastAsia"/>
          <w:color w:val="auto"/>
          <w:highlight w:val="none"/>
          <w:lang w:eastAsia="zh-CN" w:bidi="ar"/>
        </w:rPr>
        <w:t>）</w:t>
      </w:r>
      <w:r>
        <w:rPr>
          <w:rFonts w:hint="eastAsia"/>
          <w:color w:val="auto"/>
          <w:highlight w:val="none"/>
          <w:lang w:val="en-US" w:eastAsia="zh-CN" w:bidi="ar"/>
        </w:rPr>
        <w:t>不少于10家或引入该类企业使用面积不小于10万㎡</w:t>
      </w:r>
      <w:bookmarkEnd w:id="20"/>
      <w:r>
        <w:rPr>
          <w:rFonts w:hint="eastAsia"/>
          <w:color w:val="auto"/>
          <w:highlight w:val="none"/>
          <w:lang w:bidi="ar"/>
        </w:rPr>
        <w:t>。</w:t>
      </w:r>
    </w:p>
    <w:p>
      <w:pPr>
        <w:spacing w:line="500" w:lineRule="exact"/>
        <w:jc w:val="both"/>
        <w:rPr>
          <w:rFonts w:hint="default" w:eastAsia="仿宋"/>
          <w:color w:val="auto"/>
          <w:highlight w:val="none"/>
          <w:lang w:val="en-US" w:eastAsia="zh-CN" w:bidi="ar"/>
        </w:rPr>
      </w:pPr>
      <w:r>
        <w:rPr>
          <w:rFonts w:hint="eastAsia"/>
          <w:color w:val="auto"/>
          <w:highlight w:val="none"/>
          <w:lang w:eastAsia="zh-CN" w:bidi="ar"/>
        </w:rPr>
        <w:t>（</w:t>
      </w:r>
      <w:r>
        <w:rPr>
          <w:rFonts w:hint="eastAsia"/>
          <w:color w:val="auto"/>
          <w:highlight w:val="none"/>
          <w:lang w:val="en-US" w:eastAsia="zh-CN" w:bidi="ar"/>
        </w:rPr>
        <w:t>6</w:t>
      </w:r>
      <w:r>
        <w:rPr>
          <w:rFonts w:hint="eastAsia"/>
          <w:color w:val="auto"/>
          <w:highlight w:val="none"/>
          <w:lang w:eastAsia="zh-CN" w:bidi="ar"/>
        </w:rPr>
        <w:t>）</w:t>
      </w:r>
      <w:bookmarkStart w:id="21" w:name="OLE_LINK8"/>
      <w:r>
        <w:rPr>
          <w:rFonts w:hint="eastAsia"/>
          <w:color w:val="auto"/>
          <w:highlight w:val="none"/>
          <w:lang w:bidi="ar"/>
        </w:rPr>
        <w:t>本项目自整体竣工验收之日起</w:t>
      </w:r>
      <w:r>
        <w:rPr>
          <w:rFonts w:hint="eastAsia"/>
          <w:color w:val="auto"/>
          <w:highlight w:val="none"/>
          <w:lang w:eastAsia="zh-CN" w:bidi="ar"/>
        </w:rPr>
        <w:t>，</w:t>
      </w:r>
      <w:r>
        <w:rPr>
          <w:rFonts w:hint="eastAsia"/>
          <w:color w:val="auto"/>
          <w:highlight w:val="none"/>
          <w:lang w:val="en-US" w:eastAsia="zh-CN" w:bidi="ar"/>
        </w:rPr>
        <w:t>1年内完成搭建或引入产业研究院或成果转化中心等产业平台</w:t>
      </w:r>
      <w:bookmarkEnd w:id="21"/>
      <w:r>
        <w:rPr>
          <w:rFonts w:hint="eastAsia"/>
          <w:color w:val="auto"/>
          <w:highlight w:val="none"/>
          <w:lang w:val="en-US" w:eastAsia="zh-CN" w:bidi="ar"/>
        </w:rPr>
        <w:t>。</w:t>
      </w:r>
    </w:p>
    <w:p>
      <w:pPr>
        <w:numPr>
          <w:ilvl w:val="2"/>
          <w:numId w:val="2"/>
        </w:numPr>
        <w:spacing w:line="500" w:lineRule="exact"/>
        <w:ind w:left="0" w:firstLine="480" w:firstLineChars="200"/>
        <w:jc w:val="both"/>
        <w:outlineLvl w:val="2"/>
        <w:rPr>
          <w:rFonts w:hint="eastAsia"/>
          <w:color w:val="auto"/>
          <w:highlight w:val="none"/>
          <w:lang w:bidi="ar"/>
        </w:rPr>
      </w:pPr>
      <w:r>
        <w:rPr>
          <w:color w:val="auto"/>
          <w:highlight w:val="none"/>
          <w:lang w:bidi="ar"/>
        </w:rPr>
        <w:t>建设期内设计、施工协调管理</w:t>
      </w:r>
    </w:p>
    <w:p>
      <w:pPr>
        <w:spacing w:line="500" w:lineRule="exact"/>
        <w:jc w:val="both"/>
        <w:rPr>
          <w:rFonts w:hint="eastAsia"/>
          <w:color w:val="auto"/>
          <w:highlight w:val="none"/>
          <w:lang w:bidi="ar"/>
        </w:rPr>
      </w:pPr>
      <w:r>
        <w:rPr>
          <w:rFonts w:hint="eastAsia"/>
          <w:color w:val="auto"/>
          <w:highlight w:val="none"/>
          <w:lang w:bidi="ar"/>
        </w:rPr>
        <w:t>在建设期内跟进、了解工程建设各环节，对设计、施工过程中的质量、进度、安全、成本、档案归档等环节做好把控，</w:t>
      </w:r>
      <w:bookmarkStart w:id="22" w:name="OLE_LINK9"/>
      <w:r>
        <w:rPr>
          <w:rFonts w:hint="eastAsia"/>
          <w:color w:val="auto"/>
          <w:highlight w:val="none"/>
          <w:lang w:bidi="ar"/>
        </w:rPr>
        <w:t>协助甲方保障项目顺利交付。乙方在合法合规的前提下可对甲方提出合理建议</w:t>
      </w:r>
      <w:bookmarkEnd w:id="22"/>
      <w:r>
        <w:rPr>
          <w:rFonts w:hint="eastAsia"/>
          <w:color w:val="auto"/>
          <w:highlight w:val="none"/>
          <w:lang w:bidi="ar"/>
        </w:rPr>
        <w:t>。</w:t>
      </w:r>
    </w:p>
    <w:p>
      <w:pPr>
        <w:numPr>
          <w:ilvl w:val="2"/>
          <w:numId w:val="2"/>
        </w:numPr>
        <w:spacing w:line="500" w:lineRule="exact"/>
        <w:ind w:left="0" w:firstLine="480" w:firstLineChars="200"/>
        <w:jc w:val="both"/>
        <w:outlineLvl w:val="2"/>
        <w:rPr>
          <w:rFonts w:hint="eastAsia"/>
          <w:color w:val="auto"/>
          <w:highlight w:val="none"/>
          <w:lang w:bidi="ar"/>
        </w:rPr>
      </w:pPr>
      <w:r>
        <w:rPr>
          <w:color w:val="auto"/>
          <w:highlight w:val="none"/>
          <w:lang w:bidi="ar"/>
        </w:rPr>
        <w:t>物业管理</w:t>
      </w:r>
    </w:p>
    <w:p>
      <w:pPr>
        <w:spacing w:line="500" w:lineRule="exact"/>
        <w:ind w:firstLine="480" w:firstLineChars="200"/>
        <w:jc w:val="both"/>
        <w:rPr>
          <w:rFonts w:hint="eastAsia"/>
          <w:color w:val="auto"/>
          <w:highlight w:val="none"/>
          <w:lang w:eastAsia="zh-CN" w:bidi="ar"/>
        </w:rPr>
      </w:pPr>
      <w:r>
        <w:rPr>
          <w:rFonts w:hint="eastAsia"/>
          <w:color w:val="auto"/>
          <w:highlight w:val="none"/>
          <w:lang w:bidi="ar"/>
        </w:rPr>
        <w:t>在合作期限内</w:t>
      </w:r>
      <w:r>
        <w:rPr>
          <w:rFonts w:hint="eastAsia"/>
          <w:color w:val="auto"/>
          <w:highlight w:val="none"/>
          <w:lang w:val="en-US" w:eastAsia="zh-CN" w:bidi="ar"/>
        </w:rPr>
        <w:t>可</w:t>
      </w:r>
      <w:r>
        <w:rPr>
          <w:rFonts w:hint="eastAsia"/>
          <w:color w:val="auto"/>
          <w:highlight w:val="none"/>
          <w:lang w:bidi="ar"/>
        </w:rPr>
        <w:t>由乙方自行或委托第三方专业公司对园区内的全部建（构）筑物及公共区域和设施设备进行管理，确保其符合正常使用要求，相应的物业管理费用由乙方自行承担</w:t>
      </w:r>
      <w:r>
        <w:rPr>
          <w:rFonts w:hint="eastAsia"/>
          <w:color w:val="auto"/>
          <w:highlight w:val="none"/>
          <w:lang w:eastAsia="zh-CN" w:bidi="ar"/>
        </w:rPr>
        <w:t>，</w:t>
      </w:r>
      <w:r>
        <w:rPr>
          <w:rFonts w:hint="eastAsia"/>
          <w:color w:val="auto"/>
          <w:highlight w:val="none"/>
          <w:lang w:val="en-US" w:eastAsia="zh-CN" w:bidi="ar"/>
        </w:rPr>
        <w:t>甲方无须就本项目尚未出售或者已出售但尚未交付的销售物业以及运营物业承担物业管理费</w:t>
      </w:r>
      <w:r>
        <w:rPr>
          <w:rFonts w:hint="eastAsia"/>
          <w:color w:val="auto"/>
          <w:highlight w:val="none"/>
          <w:lang w:bidi="ar"/>
        </w:rPr>
        <w:t>。</w:t>
      </w:r>
      <w:bookmarkStart w:id="23" w:name="OLE_LINK10"/>
      <w:r>
        <w:rPr>
          <w:rFonts w:hint="eastAsia"/>
          <w:color w:val="auto"/>
          <w:highlight w:val="none"/>
          <w:lang w:bidi="ar"/>
        </w:rPr>
        <w:t>如销售物业的</w:t>
      </w:r>
      <w:r>
        <w:rPr>
          <w:rFonts w:hint="eastAsia"/>
          <w:color w:val="auto"/>
          <w:highlight w:val="none"/>
          <w:lang w:val="en-US" w:eastAsia="zh-CN" w:bidi="ar"/>
        </w:rPr>
        <w:t>购置</w:t>
      </w:r>
      <w:r>
        <w:rPr>
          <w:rFonts w:hint="eastAsia"/>
          <w:color w:val="auto"/>
          <w:highlight w:val="none"/>
          <w:lang w:bidi="ar"/>
        </w:rPr>
        <w:t>业主在运营期内与乙方或其委托的第三方专业公司解除物业服务合同的，不视为甲方违约</w:t>
      </w:r>
      <w:r>
        <w:rPr>
          <w:rFonts w:hint="eastAsia"/>
          <w:color w:val="auto"/>
          <w:highlight w:val="none"/>
          <w:lang w:eastAsia="zh-CN" w:bidi="ar"/>
        </w:rPr>
        <w:t>。</w:t>
      </w:r>
      <w:r>
        <w:rPr>
          <w:rFonts w:hint="eastAsia"/>
          <w:color w:val="auto"/>
          <w:highlight w:val="none"/>
          <w:lang w:val="en-US" w:eastAsia="zh-CN" w:bidi="ar"/>
        </w:rPr>
        <w:t>若根据相关法律法规、甲方上级管理部门或物业管理主管部门要求，本项目的物业服务须由甲方通过公开招标方式选聘物业服务企业的，若乙方未能中标本项目物业管理服务，不视为甲方违约，且不予退还已收取的运营权转让费和合作收益</w:t>
      </w:r>
      <w:bookmarkEnd w:id="23"/>
      <w:r>
        <w:rPr>
          <w:rFonts w:hint="eastAsia"/>
          <w:color w:val="auto"/>
          <w:highlight w:val="none"/>
          <w:lang w:val="en-US" w:eastAsia="zh-CN" w:bidi="ar"/>
        </w:rPr>
        <w:t>。</w:t>
      </w:r>
    </w:p>
    <w:p>
      <w:pPr>
        <w:spacing w:line="500" w:lineRule="exact"/>
        <w:ind w:firstLine="480" w:firstLineChars="200"/>
        <w:jc w:val="both"/>
        <w:rPr>
          <w:rFonts w:hint="eastAsia"/>
          <w:color w:val="auto"/>
          <w:highlight w:val="none"/>
          <w:lang w:bidi="ar"/>
        </w:rPr>
      </w:pPr>
      <w:bookmarkStart w:id="24" w:name="OLE_LINK11"/>
      <w:r>
        <w:rPr>
          <w:color w:val="auto"/>
          <w:highlight w:val="none"/>
          <w:lang w:bidi="ar"/>
        </w:rPr>
        <w:t>本合同约定的合作期届满，</w:t>
      </w:r>
      <w:r>
        <w:rPr>
          <w:rFonts w:hint="default"/>
          <w:color w:val="auto"/>
          <w:highlight w:val="none"/>
          <w:lang w:val="en-US" w:eastAsia="zh-CN" w:bidi="ar"/>
        </w:rPr>
        <w:t>乙方应将本项目物业管理范围内的物业管理交回给甲方。</w:t>
      </w:r>
      <w:r>
        <w:rPr>
          <w:color w:val="auto"/>
          <w:highlight w:val="none"/>
          <w:lang w:bidi="ar"/>
        </w:rPr>
        <w:t>甲方如继续</w:t>
      </w:r>
      <w:r>
        <w:rPr>
          <w:rFonts w:hint="eastAsia"/>
          <w:color w:val="auto"/>
          <w:highlight w:val="none"/>
          <w:lang w:bidi="ar"/>
        </w:rPr>
        <w:t>委托适格的主体提供</w:t>
      </w:r>
      <w:r>
        <w:rPr>
          <w:rFonts w:hint="default"/>
          <w:color w:val="auto"/>
          <w:highlight w:val="none"/>
          <w:lang w:val="en-US" w:eastAsia="zh-CN" w:bidi="ar"/>
        </w:rPr>
        <w:t>物业管理</w:t>
      </w:r>
      <w:r>
        <w:rPr>
          <w:rFonts w:hint="eastAsia"/>
          <w:color w:val="auto"/>
          <w:highlight w:val="none"/>
          <w:lang w:bidi="ar"/>
        </w:rPr>
        <w:t>服务的，将通过公开招标方式确定新的</w:t>
      </w:r>
      <w:r>
        <w:rPr>
          <w:rFonts w:hint="default"/>
          <w:color w:val="auto"/>
          <w:highlight w:val="none"/>
          <w:lang w:val="en-US" w:eastAsia="zh-CN" w:bidi="ar"/>
        </w:rPr>
        <w:t>物业管理</w:t>
      </w:r>
      <w:r>
        <w:rPr>
          <w:rFonts w:hint="eastAsia"/>
          <w:color w:val="auto"/>
          <w:highlight w:val="none"/>
          <w:lang w:bidi="ar"/>
        </w:rPr>
        <w:t>主体，乙方有意向继续为本项目提供</w:t>
      </w:r>
      <w:r>
        <w:rPr>
          <w:rFonts w:hint="default"/>
          <w:color w:val="auto"/>
          <w:highlight w:val="none"/>
          <w:lang w:val="en-US" w:eastAsia="zh-CN" w:bidi="ar"/>
        </w:rPr>
        <w:t>物业管理</w:t>
      </w:r>
      <w:r>
        <w:rPr>
          <w:rFonts w:hint="eastAsia"/>
          <w:color w:val="auto"/>
          <w:highlight w:val="none"/>
          <w:lang w:bidi="ar"/>
        </w:rPr>
        <w:t>的，可参与投标。</w:t>
      </w:r>
    </w:p>
    <w:bookmarkEnd w:id="24"/>
    <w:p>
      <w:pPr>
        <w:numPr>
          <w:ilvl w:val="2"/>
          <w:numId w:val="2"/>
        </w:numPr>
        <w:spacing w:line="500" w:lineRule="exact"/>
        <w:ind w:left="0" w:firstLine="480" w:firstLineChars="200"/>
        <w:jc w:val="both"/>
        <w:outlineLvl w:val="2"/>
        <w:rPr>
          <w:rFonts w:hint="eastAsia"/>
          <w:color w:val="auto"/>
          <w:highlight w:val="none"/>
          <w:lang w:bidi="ar"/>
        </w:rPr>
      </w:pPr>
      <w:r>
        <w:rPr>
          <w:color w:val="auto"/>
          <w:highlight w:val="none"/>
          <w:lang w:bidi="ar"/>
        </w:rPr>
        <w:t>综合管理</w:t>
      </w:r>
    </w:p>
    <w:p>
      <w:pPr>
        <w:spacing w:line="500" w:lineRule="exact"/>
        <w:jc w:val="both"/>
        <w:rPr>
          <w:rFonts w:hint="eastAsia"/>
          <w:color w:val="auto"/>
          <w:highlight w:val="none"/>
          <w:lang w:bidi="ar"/>
        </w:rPr>
      </w:pPr>
      <w:r>
        <w:rPr>
          <w:rFonts w:hint="eastAsia"/>
          <w:color w:val="auto"/>
          <w:highlight w:val="none"/>
          <w:lang w:bidi="ar"/>
        </w:rPr>
        <w:t>（</w:t>
      </w:r>
      <w:r>
        <w:rPr>
          <w:color w:val="auto"/>
          <w:highlight w:val="none"/>
          <w:lang w:bidi="ar"/>
        </w:rPr>
        <w:t>1）负责园区的综合运营管理，建立并落实日常管理、储备客户资料库、企业进出评审、安全</w:t>
      </w:r>
      <w:r>
        <w:rPr>
          <w:rFonts w:hint="default"/>
          <w:color w:val="auto"/>
          <w:highlight w:val="none"/>
          <w:lang w:val="en-US" w:eastAsia="zh-CN" w:bidi="ar"/>
        </w:rPr>
        <w:t>生产</w:t>
      </w:r>
      <w:r>
        <w:rPr>
          <w:color w:val="auto"/>
          <w:highlight w:val="none"/>
          <w:lang w:bidi="ar"/>
        </w:rPr>
        <w:t>管理、财务管理等各项管理制度；做好园区发展资料、入驻企业资料、开展活动资料、考察视察资料等台账。</w:t>
      </w:r>
    </w:p>
    <w:p>
      <w:pPr>
        <w:spacing w:line="500" w:lineRule="exact"/>
        <w:jc w:val="both"/>
        <w:rPr>
          <w:rFonts w:hint="eastAsia"/>
          <w:color w:val="auto"/>
          <w:highlight w:val="none"/>
          <w:lang w:bidi="ar"/>
        </w:rPr>
      </w:pPr>
      <w:r>
        <w:rPr>
          <w:rFonts w:hint="eastAsia"/>
          <w:color w:val="auto"/>
          <w:highlight w:val="none"/>
          <w:lang w:bidi="ar"/>
        </w:rPr>
        <w:t>（</w:t>
      </w:r>
      <w:r>
        <w:rPr>
          <w:color w:val="auto"/>
          <w:highlight w:val="none"/>
          <w:lang w:bidi="ar"/>
        </w:rPr>
        <w:t>2）负责园区企业服务。运营期内帮助企业协调物业、用电、装修等问题；为入园企业做好园区政策宣传解释工作；协助入园企业办理企业经营性证件；协助入园企业对接政务资源平台等工作。</w:t>
      </w:r>
    </w:p>
    <w:p>
      <w:pPr>
        <w:spacing w:line="500" w:lineRule="exact"/>
        <w:jc w:val="both"/>
        <w:rPr>
          <w:rFonts w:hint="eastAsia"/>
          <w:color w:val="auto"/>
          <w:highlight w:val="none"/>
          <w:lang w:bidi="ar"/>
        </w:rPr>
      </w:pPr>
      <w:r>
        <w:rPr>
          <w:rFonts w:hint="eastAsia"/>
          <w:color w:val="auto"/>
          <w:highlight w:val="none"/>
          <w:lang w:bidi="ar"/>
        </w:rPr>
        <w:t>（</w:t>
      </w:r>
      <w:r>
        <w:rPr>
          <w:color w:val="auto"/>
          <w:highlight w:val="none"/>
          <w:lang w:bidi="ar"/>
        </w:rPr>
        <w:t>3）做好统计工作，服从甲方的管理监督，并及时上报相关材料数据。</w:t>
      </w:r>
      <w:bookmarkEnd w:id="14"/>
    </w:p>
    <w:p>
      <w:pPr>
        <w:numPr>
          <w:ilvl w:val="0"/>
          <w:numId w:val="2"/>
        </w:numPr>
        <w:tabs>
          <w:tab w:val="left" w:pos="0"/>
        </w:tabs>
        <w:spacing w:before="157" w:beforeLines="50" w:line="500" w:lineRule="exact"/>
        <w:ind w:left="425" w:hanging="425"/>
        <w:jc w:val="both"/>
        <w:outlineLvl w:val="0"/>
        <w:rPr>
          <w:rFonts w:hint="eastAsia" w:cs="Times New Roman"/>
          <w:b/>
          <w:bCs/>
          <w:color w:val="auto"/>
          <w:highlight w:val="none"/>
          <w:lang w:bidi="ar"/>
        </w:rPr>
      </w:pPr>
      <w:r>
        <w:rPr>
          <w:rFonts w:hint="eastAsia" w:cs="Times New Roman"/>
          <w:b/>
          <w:bCs/>
          <w:color w:val="auto"/>
          <w:highlight w:val="none"/>
          <w:lang w:bidi="ar"/>
        </w:rPr>
        <w:t>运营权转让费、合作收益及计算方式</w:t>
      </w:r>
    </w:p>
    <w:p>
      <w:pPr>
        <w:spacing w:line="500" w:lineRule="exact"/>
        <w:jc w:val="both"/>
        <w:rPr>
          <w:rFonts w:hint="eastAsia"/>
          <w:color w:val="auto"/>
          <w:highlight w:val="none"/>
          <w:lang w:bidi="ar"/>
        </w:rPr>
      </w:pPr>
      <w:r>
        <w:rPr>
          <w:rFonts w:hint="eastAsia"/>
          <w:color w:val="auto"/>
          <w:highlight w:val="none"/>
          <w:lang w:bidi="ar"/>
        </w:rPr>
        <w:t>乙方通过公开平台中标并获得本项目运营权后，须向甲方支付如下费用：</w:t>
      </w:r>
    </w:p>
    <w:p>
      <w:pPr>
        <w:numPr>
          <w:ilvl w:val="1"/>
          <w:numId w:val="2"/>
        </w:numPr>
        <w:spacing w:line="500" w:lineRule="exact"/>
        <w:ind w:left="0" w:firstLine="482" w:firstLineChars="200"/>
        <w:jc w:val="both"/>
        <w:outlineLvl w:val="1"/>
        <w:rPr>
          <w:rFonts w:hint="eastAsia"/>
          <w:b/>
          <w:bCs/>
          <w:color w:val="auto"/>
          <w:highlight w:val="none"/>
          <w:lang w:bidi="ar"/>
        </w:rPr>
      </w:pPr>
      <w:r>
        <w:rPr>
          <w:b/>
          <w:bCs/>
          <w:color w:val="auto"/>
          <w:highlight w:val="none"/>
          <w:lang w:bidi="ar"/>
        </w:rPr>
        <w:t>运营权转让费</w:t>
      </w:r>
    </w:p>
    <w:p>
      <w:pPr>
        <w:numPr>
          <w:ilvl w:val="2"/>
          <w:numId w:val="2"/>
        </w:numPr>
        <w:spacing w:line="500" w:lineRule="exact"/>
        <w:ind w:left="0" w:firstLine="480" w:firstLineChars="200"/>
        <w:jc w:val="both"/>
        <w:rPr>
          <w:rFonts w:hint="eastAsia"/>
          <w:color w:val="auto"/>
          <w:highlight w:val="none"/>
          <w:lang w:bidi="ar"/>
        </w:rPr>
      </w:pPr>
      <w:r>
        <w:rPr>
          <w:rFonts w:hint="eastAsia"/>
          <w:color w:val="auto"/>
          <w:highlight w:val="none"/>
          <w:lang w:bidi="ar"/>
        </w:rPr>
        <w:t>运营权转让费</w:t>
      </w:r>
      <w:r>
        <w:rPr>
          <w:rFonts w:hint="eastAsia"/>
          <w:color w:val="auto"/>
          <w:highlight w:val="none"/>
          <w:lang w:val="en-US" w:eastAsia="zh-CN" w:bidi="ar"/>
        </w:rPr>
        <w:t>金额</w:t>
      </w:r>
    </w:p>
    <w:p>
      <w:pPr>
        <w:numPr>
          <w:ilvl w:val="-1"/>
          <w:numId w:val="0"/>
        </w:numPr>
        <w:spacing w:line="500" w:lineRule="exact"/>
        <w:ind w:left="0" w:leftChars="0" w:firstLine="480" w:firstLineChars="200"/>
        <w:jc w:val="both"/>
        <w:rPr>
          <w:rFonts w:hint="eastAsia"/>
          <w:color w:val="auto"/>
          <w:highlight w:val="none"/>
          <w:lang w:bidi="ar"/>
        </w:rPr>
      </w:pPr>
      <w:r>
        <w:rPr>
          <w:rFonts w:hint="eastAsia"/>
          <w:color w:val="auto"/>
          <w:highlight w:val="none"/>
          <w:lang w:bidi="ar"/>
        </w:rPr>
        <w:t>乙方应</w:t>
      </w:r>
      <w:r>
        <w:rPr>
          <w:rFonts w:hint="default"/>
          <w:color w:val="auto"/>
          <w:highlight w:val="none"/>
          <w:lang w:val="en-US" w:eastAsia="zh-CN" w:bidi="ar"/>
        </w:rPr>
        <w:t>向</w:t>
      </w:r>
      <w:r>
        <w:rPr>
          <w:rFonts w:hint="eastAsia"/>
          <w:color w:val="auto"/>
          <w:highlight w:val="none"/>
          <w:lang w:bidi="ar"/>
        </w:rPr>
        <w:t>甲方</w:t>
      </w:r>
      <w:r>
        <w:rPr>
          <w:rFonts w:hint="default"/>
          <w:color w:val="auto"/>
          <w:highlight w:val="none"/>
          <w:lang w:val="en-US" w:eastAsia="zh-CN" w:bidi="ar"/>
        </w:rPr>
        <w:t>支付</w:t>
      </w:r>
      <w:r>
        <w:rPr>
          <w:rFonts w:hint="eastAsia"/>
          <w:color w:val="auto"/>
          <w:highlight w:val="none"/>
          <w:lang w:bidi="ar"/>
        </w:rPr>
        <w:t>本项目的运营权</w:t>
      </w:r>
      <w:r>
        <w:rPr>
          <w:rFonts w:hint="default"/>
          <w:color w:val="auto"/>
          <w:highlight w:val="none"/>
          <w:lang w:val="en-US" w:eastAsia="zh-CN" w:bidi="ar"/>
        </w:rPr>
        <w:t>转让费，</w:t>
      </w:r>
      <w:r>
        <w:rPr>
          <w:rFonts w:hint="eastAsia"/>
          <w:color w:val="auto"/>
          <w:highlight w:val="none"/>
          <w:lang w:val="en-US" w:eastAsia="zh-CN" w:bidi="ar"/>
        </w:rPr>
        <w:t>暂定</w:t>
      </w:r>
      <w:r>
        <w:rPr>
          <w:rFonts w:hint="default"/>
          <w:color w:val="auto"/>
          <w:highlight w:val="none"/>
          <w:lang w:val="en-US" w:eastAsia="zh-CN" w:bidi="ar"/>
        </w:rPr>
        <w:t>合计</w:t>
      </w:r>
      <w:r>
        <w:rPr>
          <w:rFonts w:hint="eastAsia"/>
          <w:color w:val="auto"/>
          <w:highlight w:val="none"/>
          <w:lang w:bidi="ar"/>
        </w:rPr>
        <w:t>人民币</w:t>
      </w:r>
      <w:r>
        <w:rPr>
          <w:rFonts w:hint="eastAsia"/>
          <w:color w:val="auto"/>
          <w:highlight w:val="none"/>
          <w:u w:val="single"/>
          <w:lang w:val="en-US" w:eastAsia="zh-CN" w:bidi="ar"/>
        </w:rPr>
        <w:t xml:space="preserve"> 5100</w:t>
      </w:r>
      <w:r>
        <w:rPr>
          <w:rFonts w:hint="default"/>
          <w:color w:val="auto"/>
          <w:highlight w:val="none"/>
          <w:u w:val="none"/>
          <w:lang w:val="en-US" w:eastAsia="zh-CN" w:bidi="ar"/>
        </w:rPr>
        <w:t xml:space="preserve"> </w:t>
      </w:r>
      <w:r>
        <w:rPr>
          <w:rFonts w:hint="eastAsia"/>
          <w:color w:val="auto"/>
          <w:highlight w:val="none"/>
          <w:lang w:bidi="ar"/>
        </w:rPr>
        <w:t>万元（大写：</w:t>
      </w:r>
      <w:r>
        <w:rPr>
          <w:rFonts w:hint="default"/>
          <w:color w:val="auto"/>
          <w:highlight w:val="none"/>
          <w:u w:val="none"/>
          <w:lang w:val="en-US" w:eastAsia="zh-CN" w:bidi="ar"/>
        </w:rPr>
        <w:t xml:space="preserve"> </w:t>
      </w:r>
      <w:r>
        <w:rPr>
          <w:rFonts w:hint="eastAsia"/>
          <w:color w:val="auto"/>
          <w:highlight w:val="none"/>
          <w:u w:val="none"/>
          <w:lang w:val="en-US" w:eastAsia="zh-CN" w:bidi="ar"/>
        </w:rPr>
        <w:t>伍仟壹佰</w:t>
      </w:r>
      <w:r>
        <w:rPr>
          <w:rFonts w:hint="eastAsia"/>
          <w:color w:val="auto"/>
          <w:highlight w:val="none"/>
          <w:lang w:bidi="ar"/>
        </w:rPr>
        <w:t>万元整）。</w:t>
      </w:r>
    </w:p>
    <w:p>
      <w:pPr>
        <w:spacing w:line="500" w:lineRule="exact"/>
        <w:ind w:firstLine="480" w:firstLineChars="200"/>
        <w:jc w:val="both"/>
        <w:rPr>
          <w:rFonts w:hint="default"/>
          <w:color w:val="auto"/>
          <w:highlight w:val="none"/>
          <w:lang w:val="en-US" w:eastAsia="zh-CN" w:bidi="ar"/>
        </w:rPr>
      </w:pPr>
      <w:r>
        <w:rPr>
          <w:rFonts w:hint="eastAsia"/>
          <w:color w:val="auto"/>
          <w:highlight w:val="none"/>
          <w:lang w:val="en-US" w:eastAsia="zh-CN" w:bidi="ar"/>
        </w:rPr>
        <w:t>为免歧义，因甲方运营物业面积、范围暂未最终确定，前述5100万元运营权转让费对应的运营物业面积暂按15万㎡计算，若后续运营物业面积发生变化，运营权转让费对应调整。双方同意，最终运营权转让费金额=暂定运营权转让费金额5100万元*（最终运营物业面积/15万㎡）。仅就计算运营权转让费而言，双方同意前述“最终运营物业面积”以甲方实际交付乙方运营的物业对应《建筑工程规划许可证》的证载建筑面积计算。</w:t>
      </w:r>
    </w:p>
    <w:p>
      <w:pPr>
        <w:numPr>
          <w:ilvl w:val="2"/>
          <w:numId w:val="2"/>
        </w:numPr>
        <w:spacing w:line="500" w:lineRule="exact"/>
        <w:ind w:left="0" w:firstLine="480" w:firstLineChars="200"/>
        <w:jc w:val="both"/>
        <w:outlineLvl w:val="2"/>
        <w:rPr>
          <w:rFonts w:hint="eastAsia"/>
          <w:color w:val="auto"/>
          <w:highlight w:val="none"/>
          <w:lang w:bidi="ar"/>
        </w:rPr>
      </w:pPr>
      <w:r>
        <w:rPr>
          <w:rFonts w:hint="eastAsia"/>
          <w:color w:val="auto"/>
          <w:highlight w:val="none"/>
          <w:lang w:bidi="ar"/>
        </w:rPr>
        <w:t>运营权转让费具体支付方式为：</w:t>
      </w:r>
    </w:p>
    <w:p>
      <w:pPr>
        <w:numPr>
          <w:ilvl w:val="-1"/>
          <w:numId w:val="0"/>
        </w:numPr>
        <w:spacing w:line="500" w:lineRule="exact"/>
        <w:ind w:firstLine="480" w:firstLineChars="200"/>
        <w:jc w:val="both"/>
        <w:rPr>
          <w:rFonts w:hint="eastAsia" w:eastAsia="仿宋"/>
          <w:color w:val="auto"/>
          <w:highlight w:val="none"/>
          <w:lang w:val="en-US" w:eastAsia="zh-CN" w:bidi="ar"/>
        </w:rPr>
      </w:pPr>
      <w:r>
        <w:rPr>
          <w:rFonts w:hint="eastAsia"/>
          <w:color w:val="auto"/>
          <w:highlight w:val="none"/>
          <w:lang w:val="en-US" w:eastAsia="zh-CN" w:bidi="ar"/>
        </w:rPr>
        <w:t>（1）</w:t>
      </w:r>
      <w:r>
        <w:rPr>
          <w:rFonts w:hint="default"/>
          <w:color w:val="auto"/>
          <w:highlight w:val="none"/>
          <w:lang w:val="en-US" w:eastAsia="zh-CN" w:bidi="ar"/>
        </w:rPr>
        <w:t>本</w:t>
      </w:r>
      <w:r>
        <w:rPr>
          <w:rFonts w:hint="default"/>
          <w:color w:val="auto"/>
          <w:highlight w:val="none"/>
          <w:lang w:bidi="ar"/>
        </w:rPr>
        <w:t>合同</w:t>
      </w:r>
      <w:r>
        <w:rPr>
          <w:rFonts w:hint="default"/>
          <w:color w:val="auto"/>
          <w:highlight w:val="none"/>
          <w:lang w:val="en-US" w:eastAsia="zh-CN" w:bidi="ar"/>
        </w:rPr>
        <w:t>签订</w:t>
      </w:r>
      <w:r>
        <w:rPr>
          <w:rFonts w:hint="eastAsia"/>
          <w:color w:val="auto"/>
          <w:highlight w:val="none"/>
          <w:lang w:val="en-US" w:eastAsia="zh-CN" w:bidi="ar"/>
        </w:rPr>
        <w:t>生效且本项目正式开工之日（以项目监理单位出具的书面开工令时间为准）</w:t>
      </w:r>
      <w:r>
        <w:rPr>
          <w:rFonts w:hint="default"/>
          <w:color w:val="auto"/>
          <w:highlight w:val="none"/>
          <w:lang w:val="en-US" w:eastAsia="zh-CN" w:bidi="ar"/>
        </w:rPr>
        <w:t>起</w:t>
      </w:r>
      <w:r>
        <w:rPr>
          <w:rFonts w:hint="eastAsia"/>
          <w:color w:val="auto"/>
          <w:highlight w:val="none"/>
          <w:lang w:val="en-US" w:eastAsia="zh-CN" w:bidi="ar"/>
        </w:rPr>
        <w:t>30</w:t>
      </w:r>
      <w:r>
        <w:rPr>
          <w:rFonts w:hint="default"/>
          <w:color w:val="auto"/>
          <w:highlight w:val="none"/>
          <w:lang w:val="en-US" w:eastAsia="zh-CN" w:bidi="ar"/>
        </w:rPr>
        <w:t>日内，</w:t>
      </w:r>
      <w:r>
        <w:rPr>
          <w:rFonts w:hint="eastAsia"/>
          <w:color w:val="auto"/>
          <w:highlight w:val="none"/>
          <w:lang w:val="en-US" w:eastAsia="zh-CN" w:bidi="ar"/>
        </w:rPr>
        <w:t>乙方应向甲方</w:t>
      </w:r>
      <w:r>
        <w:rPr>
          <w:rFonts w:hint="default"/>
          <w:color w:val="auto"/>
          <w:highlight w:val="none"/>
          <w:lang w:bidi="ar"/>
        </w:rPr>
        <w:t>支付</w:t>
      </w:r>
      <w:r>
        <w:rPr>
          <w:rFonts w:hint="eastAsia"/>
          <w:color w:val="auto"/>
          <w:highlight w:val="none"/>
          <w:lang w:bidi="ar"/>
        </w:rPr>
        <w:t>运营权转让费</w:t>
      </w:r>
      <w:r>
        <w:rPr>
          <w:rFonts w:hint="default"/>
          <w:color w:val="auto"/>
          <w:highlight w:val="none"/>
          <w:lang w:bidi="ar"/>
        </w:rPr>
        <w:t>500万元</w:t>
      </w:r>
      <w:r>
        <w:rPr>
          <w:color w:val="auto"/>
          <w:highlight w:val="none"/>
          <w:lang w:bidi="ar"/>
        </w:rPr>
        <w:t>（大写：人民币</w:t>
      </w:r>
      <w:r>
        <w:rPr>
          <w:rFonts w:hint="default"/>
          <w:color w:val="auto"/>
          <w:highlight w:val="none"/>
          <w:lang w:val="en-US" w:eastAsia="zh-CN" w:bidi="ar"/>
        </w:rPr>
        <w:t>伍</w:t>
      </w:r>
      <w:r>
        <w:rPr>
          <w:color w:val="auto"/>
          <w:highlight w:val="none"/>
          <w:lang w:bidi="ar"/>
        </w:rPr>
        <w:t>佰万元整)</w:t>
      </w:r>
      <w:r>
        <w:rPr>
          <w:rFonts w:hint="default"/>
          <w:color w:val="auto"/>
          <w:highlight w:val="none"/>
          <w:lang w:eastAsia="zh-CN" w:bidi="ar"/>
        </w:rPr>
        <w:t>；</w:t>
      </w:r>
    </w:p>
    <w:p>
      <w:pPr>
        <w:numPr>
          <w:ilvl w:val="-1"/>
          <w:numId w:val="0"/>
        </w:numPr>
        <w:spacing w:line="500" w:lineRule="exact"/>
        <w:ind w:firstLine="480" w:firstLineChars="200"/>
        <w:jc w:val="both"/>
        <w:rPr>
          <w:rFonts w:hint="eastAsia"/>
          <w:color w:val="auto"/>
          <w:highlight w:val="none"/>
          <w:lang w:eastAsia="zh-CN" w:bidi="ar"/>
        </w:rPr>
      </w:pPr>
      <w:r>
        <w:rPr>
          <w:rFonts w:hint="eastAsia"/>
          <w:color w:val="auto"/>
          <w:highlight w:val="none"/>
          <w:lang w:eastAsia="zh-CN" w:bidi="ar"/>
        </w:rPr>
        <w:t>（</w:t>
      </w:r>
      <w:r>
        <w:rPr>
          <w:rFonts w:hint="eastAsia"/>
          <w:color w:val="auto"/>
          <w:highlight w:val="none"/>
          <w:lang w:val="en-US" w:eastAsia="zh-CN" w:bidi="ar"/>
        </w:rPr>
        <w:t>2</w:t>
      </w:r>
      <w:r>
        <w:rPr>
          <w:rFonts w:hint="eastAsia"/>
          <w:color w:val="auto"/>
          <w:highlight w:val="none"/>
          <w:lang w:eastAsia="zh-CN" w:bidi="ar"/>
        </w:rPr>
        <w:t>）</w:t>
      </w:r>
      <w:r>
        <w:rPr>
          <w:rFonts w:hint="default"/>
          <w:color w:val="auto"/>
          <w:highlight w:val="none"/>
          <w:lang w:bidi="ar"/>
        </w:rPr>
        <w:t>剩余</w:t>
      </w:r>
      <w:r>
        <w:rPr>
          <w:rFonts w:hint="default"/>
          <w:color w:val="auto"/>
          <w:highlight w:val="none"/>
          <w:lang w:val="en-US" w:eastAsia="zh-CN" w:bidi="ar"/>
        </w:rPr>
        <w:t>运营权转让费</w:t>
      </w:r>
      <w:r>
        <w:rPr>
          <w:rFonts w:hint="default"/>
          <w:color w:val="auto"/>
          <w:highlight w:val="none"/>
          <w:lang w:eastAsia="zh-CN" w:bidi="ar"/>
        </w:rPr>
        <w:t>，</w:t>
      </w:r>
      <w:r>
        <w:rPr>
          <w:rFonts w:hint="eastAsia"/>
          <w:color w:val="auto"/>
          <w:highlight w:val="none"/>
        </w:rPr>
        <w:t>由甲方在</w:t>
      </w:r>
      <w:r>
        <w:rPr>
          <w:rFonts w:hint="eastAsia"/>
          <w:color w:val="auto"/>
          <w:highlight w:val="none"/>
          <w:lang w:val="en-US" w:eastAsia="zh-CN"/>
        </w:rPr>
        <w:t>每次</w:t>
      </w:r>
      <w:r>
        <w:rPr>
          <w:rFonts w:hint="eastAsia"/>
          <w:color w:val="auto"/>
          <w:highlight w:val="none"/>
        </w:rPr>
        <w:t>收到与本项目建设活动相关</w:t>
      </w:r>
      <w:r>
        <w:rPr>
          <w:color w:val="auto"/>
          <w:highlight w:val="none"/>
        </w:rPr>
        <w:t>的</w:t>
      </w:r>
      <w:r>
        <w:rPr>
          <w:rFonts w:hint="eastAsia"/>
          <w:color w:val="auto"/>
          <w:highlight w:val="none"/>
          <w:lang w:val="en-US" w:eastAsia="zh-CN"/>
        </w:rPr>
        <w:t>请款</w:t>
      </w:r>
      <w:bookmarkStart w:id="25" w:name="_Hlk171180605"/>
      <w:r>
        <w:rPr>
          <w:rFonts w:hint="eastAsia"/>
          <w:color w:val="auto"/>
          <w:highlight w:val="none"/>
          <w:lang w:val="en-US" w:eastAsia="zh-CN"/>
        </w:rPr>
        <w:t>书</w:t>
      </w:r>
      <w:r>
        <w:rPr>
          <w:rFonts w:hint="eastAsia"/>
          <w:color w:val="auto"/>
          <w:highlight w:val="none"/>
        </w:rPr>
        <w:t>（包括但不限于勘察、设计、</w:t>
      </w:r>
      <w:r>
        <w:rPr>
          <w:rFonts w:hint="eastAsia"/>
          <w:color w:val="auto"/>
          <w:highlight w:val="none"/>
          <w:lang w:val="en-US" w:eastAsia="zh-CN"/>
        </w:rPr>
        <w:t>监理、</w:t>
      </w:r>
      <w:r>
        <w:rPr>
          <w:rFonts w:hint="eastAsia"/>
          <w:color w:val="auto"/>
          <w:highlight w:val="none"/>
        </w:rPr>
        <w:t>施工</w:t>
      </w:r>
      <w:r>
        <w:rPr>
          <w:rFonts w:hint="eastAsia"/>
          <w:color w:val="auto"/>
          <w:highlight w:val="none"/>
          <w:lang w:eastAsia="zh-CN"/>
        </w:rPr>
        <w:t>、</w:t>
      </w:r>
      <w:r>
        <w:rPr>
          <w:rFonts w:hint="eastAsia"/>
          <w:color w:val="auto"/>
          <w:highlight w:val="none"/>
          <w:lang w:val="en-US" w:eastAsia="zh-CN"/>
        </w:rPr>
        <w:t>咨询、检测等</w:t>
      </w:r>
      <w:r>
        <w:rPr>
          <w:rFonts w:hint="eastAsia"/>
          <w:color w:val="auto"/>
          <w:highlight w:val="none"/>
        </w:rPr>
        <w:t>单位</w:t>
      </w:r>
      <w:r>
        <w:rPr>
          <w:rFonts w:hint="eastAsia"/>
          <w:color w:val="auto"/>
          <w:highlight w:val="none"/>
          <w:lang w:val="en-US" w:eastAsia="zh-CN"/>
        </w:rPr>
        <w:t>的请款</w:t>
      </w:r>
      <w:r>
        <w:rPr>
          <w:rFonts w:hint="eastAsia"/>
          <w:color w:val="auto"/>
          <w:highlight w:val="none"/>
        </w:rPr>
        <w:t>申请）</w:t>
      </w:r>
      <w:bookmarkEnd w:id="25"/>
      <w:r>
        <w:rPr>
          <w:rFonts w:hint="eastAsia"/>
          <w:color w:val="auto"/>
          <w:highlight w:val="none"/>
          <w:lang w:val="en-US" w:eastAsia="zh-CN"/>
        </w:rPr>
        <w:t>并经甲方确认该请款金额</w:t>
      </w:r>
      <w:r>
        <w:rPr>
          <w:rFonts w:hint="eastAsia"/>
          <w:color w:val="auto"/>
          <w:highlight w:val="none"/>
        </w:rPr>
        <w:t>后，</w:t>
      </w:r>
      <w:r>
        <w:rPr>
          <w:rFonts w:hint="eastAsia"/>
          <w:color w:val="auto"/>
          <w:highlight w:val="none"/>
          <w:lang w:val="en-US" w:eastAsia="zh-CN"/>
        </w:rPr>
        <w:t>向乙方发出书面付款通知，乙方应在每次收到甲方付款通知后【15】个工作日内，按照付款通知所载金额（即经甲方确认后的请款金额的7.5%）向甲方完成支付</w:t>
      </w:r>
      <w:r>
        <w:rPr>
          <w:rFonts w:hint="eastAsia"/>
          <w:color w:val="auto"/>
          <w:highlight w:val="none"/>
        </w:rPr>
        <w:t>。</w:t>
      </w:r>
    </w:p>
    <w:p>
      <w:pPr>
        <w:numPr>
          <w:ilvl w:val="-1"/>
          <w:numId w:val="0"/>
        </w:numPr>
        <w:spacing w:line="500" w:lineRule="exact"/>
        <w:ind w:firstLine="480" w:firstLineChars="200"/>
        <w:jc w:val="both"/>
        <w:rPr>
          <w:rFonts w:hint="default"/>
          <w:color w:val="auto"/>
          <w:highlight w:val="none"/>
          <w:lang w:val="en-US" w:eastAsia="zh-CN" w:bidi="ar"/>
        </w:rPr>
      </w:pPr>
      <w:r>
        <w:rPr>
          <w:rFonts w:hint="eastAsia"/>
          <w:color w:val="auto"/>
          <w:highlight w:val="none"/>
          <w:lang w:eastAsia="zh-CN" w:bidi="ar"/>
        </w:rPr>
        <w:t>（</w:t>
      </w:r>
      <w:r>
        <w:rPr>
          <w:rFonts w:hint="eastAsia"/>
          <w:color w:val="auto"/>
          <w:highlight w:val="none"/>
          <w:lang w:val="en-US" w:eastAsia="zh-CN" w:bidi="ar"/>
        </w:rPr>
        <w:t>3</w:t>
      </w:r>
      <w:r>
        <w:rPr>
          <w:rFonts w:hint="eastAsia"/>
          <w:color w:val="auto"/>
          <w:highlight w:val="none"/>
          <w:lang w:eastAsia="zh-CN" w:bidi="ar"/>
        </w:rPr>
        <w:t>）</w:t>
      </w:r>
      <w:r>
        <w:rPr>
          <w:rFonts w:hint="default"/>
          <w:color w:val="auto"/>
          <w:highlight w:val="none"/>
          <w:lang w:val="en-US" w:eastAsia="zh-CN" w:bidi="ar"/>
        </w:rPr>
        <w:t>本项目全部物业竣工验收之日前，乙方应向甲方付至全部运营权转让费的90%</w:t>
      </w:r>
      <w:r>
        <w:rPr>
          <w:rFonts w:hint="eastAsia"/>
          <w:color w:val="auto"/>
          <w:highlight w:val="none"/>
          <w:lang w:val="en-US" w:eastAsia="zh-CN" w:bidi="ar"/>
        </w:rPr>
        <w:t>，即4590万元。</w:t>
      </w:r>
    </w:p>
    <w:p>
      <w:pPr>
        <w:numPr>
          <w:ilvl w:val="-1"/>
          <w:numId w:val="0"/>
        </w:numPr>
        <w:spacing w:line="500" w:lineRule="exact"/>
        <w:ind w:firstLine="480" w:firstLineChars="200"/>
        <w:jc w:val="both"/>
        <w:rPr>
          <w:rFonts w:hint="default"/>
          <w:color w:val="auto"/>
          <w:highlight w:val="none"/>
          <w:lang w:bidi="ar"/>
        </w:rPr>
      </w:pPr>
      <w:r>
        <w:rPr>
          <w:rFonts w:hint="eastAsia"/>
          <w:color w:val="auto"/>
          <w:highlight w:val="none"/>
          <w:lang w:val="en-US" w:eastAsia="zh-CN" w:bidi="ar"/>
        </w:rPr>
        <w:t>（4）</w:t>
      </w:r>
      <w:r>
        <w:rPr>
          <w:rFonts w:hint="default"/>
          <w:color w:val="auto"/>
          <w:highlight w:val="none"/>
          <w:lang w:val="en-US" w:eastAsia="zh-CN" w:bidi="ar"/>
        </w:rPr>
        <w:t>本项目</w:t>
      </w:r>
      <w:r>
        <w:rPr>
          <w:rFonts w:hint="eastAsia"/>
          <w:color w:val="auto"/>
          <w:highlight w:val="none"/>
          <w:lang w:val="en-US" w:eastAsia="zh-CN" w:bidi="ar"/>
        </w:rPr>
        <w:t>整体竣工验收后30</w:t>
      </w:r>
      <w:r>
        <w:rPr>
          <w:rFonts w:hint="default"/>
          <w:color w:val="auto"/>
          <w:highlight w:val="none"/>
          <w:lang w:val="en-US" w:eastAsia="zh-CN" w:bidi="ar"/>
        </w:rPr>
        <w:t>日内，</w:t>
      </w:r>
      <w:r>
        <w:rPr>
          <w:rFonts w:hint="eastAsia"/>
          <w:color w:val="auto"/>
          <w:highlight w:val="none"/>
          <w:lang w:val="en-US" w:eastAsia="zh-CN" w:bidi="ar"/>
        </w:rPr>
        <w:t>由甲乙双方按本协议7.1.1条约定确定最终运营权转让费金额，并由</w:t>
      </w:r>
      <w:r>
        <w:rPr>
          <w:rFonts w:hint="default"/>
          <w:color w:val="auto"/>
          <w:highlight w:val="none"/>
          <w:lang w:val="en-US" w:eastAsia="zh-CN" w:bidi="ar"/>
        </w:rPr>
        <w:t>乙方</w:t>
      </w:r>
      <w:r>
        <w:rPr>
          <w:rFonts w:hint="eastAsia"/>
          <w:color w:val="auto"/>
          <w:highlight w:val="none"/>
          <w:lang w:val="en-US" w:eastAsia="zh-CN" w:bidi="ar"/>
        </w:rPr>
        <w:t>向甲方</w:t>
      </w:r>
      <w:r>
        <w:rPr>
          <w:rFonts w:hint="default"/>
          <w:color w:val="auto"/>
          <w:highlight w:val="none"/>
          <w:lang w:val="en-US" w:eastAsia="zh-CN" w:bidi="ar"/>
        </w:rPr>
        <w:t>付清全部运营权转让费。</w:t>
      </w:r>
    </w:p>
    <w:p>
      <w:pPr>
        <w:numPr>
          <w:ilvl w:val="-1"/>
          <w:numId w:val="0"/>
        </w:numPr>
        <w:spacing w:line="500" w:lineRule="exact"/>
        <w:ind w:firstLine="480" w:firstLineChars="200"/>
        <w:jc w:val="both"/>
        <w:rPr>
          <w:rFonts w:hint="default"/>
          <w:color w:val="auto"/>
          <w:highlight w:val="none"/>
          <w:lang w:val="en-US" w:eastAsia="zh-CN" w:bidi="ar"/>
        </w:rPr>
      </w:pPr>
      <w:r>
        <w:rPr>
          <w:color w:val="auto"/>
          <w:highlight w:val="none"/>
          <w:lang w:bidi="ar"/>
        </w:rPr>
        <w:t>如本合同因乙方原因导致解除或提前终止的，乙方</w:t>
      </w:r>
      <w:r>
        <w:rPr>
          <w:rFonts w:hint="eastAsia"/>
          <w:color w:val="auto"/>
          <w:highlight w:val="none"/>
          <w:lang w:val="en-US" w:eastAsia="zh-CN" w:bidi="ar"/>
        </w:rPr>
        <w:t>无</w:t>
      </w:r>
      <w:r>
        <w:rPr>
          <w:rFonts w:hint="eastAsia"/>
          <w:color w:val="auto"/>
          <w:highlight w:val="none"/>
          <w:lang w:bidi="ar"/>
        </w:rPr>
        <w:t>权要求甲方退还已支付的运营权转让费</w:t>
      </w:r>
      <w:r>
        <w:rPr>
          <w:rFonts w:hint="eastAsia"/>
          <w:color w:val="auto"/>
          <w:highlight w:val="none"/>
          <w:lang w:eastAsia="zh-CN" w:bidi="ar"/>
        </w:rPr>
        <w:t>，</w:t>
      </w:r>
      <w:r>
        <w:rPr>
          <w:rFonts w:hint="eastAsia"/>
          <w:color w:val="auto"/>
          <w:highlight w:val="none"/>
          <w:lang w:val="en-US" w:eastAsia="zh-CN" w:bidi="ar"/>
        </w:rPr>
        <w:t>乙方尚未支付完毕全部运营权转让费的，甲方还有权要求乙方继续支付剩余未付运营权转让费作为违约金；为免疑义，剩余未付运营权转让费=以已交付运营物业对应《建筑工程规划许可证》的证载建筑面积按本协议第7.1.1条计算的运营权转让费金额和5100万元的孰高者-乙方已付的运营权转让费金额。</w:t>
      </w:r>
    </w:p>
    <w:p>
      <w:pPr>
        <w:numPr>
          <w:ilvl w:val="2"/>
          <w:numId w:val="2"/>
        </w:numPr>
        <w:spacing w:line="500" w:lineRule="exact"/>
        <w:ind w:left="0" w:firstLine="480" w:firstLineChars="200"/>
        <w:jc w:val="both"/>
        <w:outlineLvl w:val="2"/>
        <w:rPr>
          <w:rFonts w:hint="eastAsia"/>
          <w:color w:val="auto"/>
          <w:highlight w:val="none"/>
          <w:lang w:bidi="ar"/>
        </w:rPr>
      </w:pPr>
      <w:r>
        <w:rPr>
          <w:rFonts w:hint="default"/>
          <w:color w:val="auto"/>
          <w:highlight w:val="none"/>
          <w:lang w:bidi="ar"/>
        </w:rPr>
        <w:t>运营权</w:t>
      </w:r>
      <w:r>
        <w:rPr>
          <w:rFonts w:hint="eastAsia"/>
          <w:color w:val="auto"/>
          <w:highlight w:val="none"/>
          <w:lang w:bidi="ar"/>
        </w:rPr>
        <w:t>转让费</w:t>
      </w:r>
      <w:r>
        <w:rPr>
          <w:rFonts w:hint="default"/>
          <w:color w:val="auto"/>
          <w:highlight w:val="none"/>
          <w:lang w:val="en-US" w:eastAsia="zh-CN" w:bidi="ar"/>
        </w:rPr>
        <w:t>开票约定</w:t>
      </w:r>
      <w:r>
        <w:rPr>
          <w:rFonts w:hint="eastAsia"/>
          <w:color w:val="auto"/>
          <w:highlight w:val="none"/>
          <w:lang w:bidi="ar"/>
        </w:rPr>
        <w:t>为：</w:t>
      </w:r>
    </w:p>
    <w:p>
      <w:pPr>
        <w:numPr>
          <w:ilvl w:val="-1"/>
          <w:numId w:val="0"/>
        </w:numPr>
        <w:spacing w:line="500" w:lineRule="exact"/>
        <w:ind w:firstLine="480" w:firstLineChars="200"/>
        <w:jc w:val="both"/>
        <w:rPr>
          <w:rFonts w:hint="default" w:eastAsia="仿宋"/>
          <w:color w:val="auto"/>
          <w:highlight w:val="none"/>
          <w:lang w:val="en-US" w:eastAsia="zh-CN" w:bidi="ar"/>
        </w:rPr>
      </w:pPr>
      <w:r>
        <w:rPr>
          <w:color w:val="auto"/>
          <w:highlight w:val="none"/>
          <w:lang w:bidi="ar"/>
        </w:rPr>
        <w:t>乙方所支付的运营权转让费为含税价</w:t>
      </w:r>
      <w:r>
        <w:rPr>
          <w:rFonts w:hint="default"/>
          <w:color w:val="auto"/>
          <w:highlight w:val="none"/>
          <w:lang w:val="en-US" w:eastAsia="zh-CN" w:bidi="ar"/>
        </w:rPr>
        <w:t>，甲方</w:t>
      </w:r>
      <w:r>
        <w:rPr>
          <w:rFonts w:hint="eastAsia"/>
          <w:color w:val="auto"/>
          <w:highlight w:val="none"/>
          <w:lang w:val="en-US" w:eastAsia="zh-CN" w:bidi="ar"/>
        </w:rPr>
        <w:t>在收到</w:t>
      </w:r>
      <w:r>
        <w:rPr>
          <w:rFonts w:hint="default"/>
          <w:color w:val="auto"/>
          <w:highlight w:val="none"/>
          <w:lang w:bidi="ar"/>
        </w:rPr>
        <w:t>运营</w:t>
      </w:r>
      <w:r>
        <w:rPr>
          <w:rFonts w:hint="default"/>
          <w:color w:val="auto"/>
          <w:highlight w:val="none"/>
          <w:lang w:val="en-US" w:eastAsia="zh-CN" w:bidi="ar"/>
        </w:rPr>
        <w:t>转让费</w:t>
      </w:r>
      <w:r>
        <w:rPr>
          <w:rFonts w:hint="eastAsia"/>
          <w:color w:val="auto"/>
          <w:highlight w:val="none"/>
          <w:lang w:val="en-US" w:eastAsia="zh-CN" w:bidi="ar"/>
        </w:rPr>
        <w:t>后7个工作日内</w:t>
      </w:r>
      <w:r>
        <w:rPr>
          <w:rFonts w:hint="default"/>
          <w:color w:val="auto"/>
          <w:highlight w:val="none"/>
          <w:lang w:val="en-US" w:eastAsia="zh-CN" w:bidi="ar"/>
        </w:rPr>
        <w:t>向乙方</w:t>
      </w:r>
      <w:r>
        <w:rPr>
          <w:color w:val="auto"/>
          <w:highlight w:val="none"/>
          <w:lang w:bidi="ar"/>
        </w:rPr>
        <w:t>开具</w:t>
      </w:r>
      <w:r>
        <w:rPr>
          <w:rFonts w:hint="eastAsia"/>
          <w:color w:val="auto"/>
          <w:highlight w:val="none"/>
          <w:lang w:val="en-US" w:eastAsia="zh-CN" w:bidi="ar"/>
        </w:rPr>
        <w:t>等额</w:t>
      </w:r>
      <w:r>
        <w:rPr>
          <w:color w:val="auto"/>
          <w:highlight w:val="none"/>
          <w:lang w:bidi="ar"/>
        </w:rPr>
        <w:t>合法有效的增值税专用发票</w:t>
      </w:r>
      <w:r>
        <w:rPr>
          <w:rFonts w:hint="default"/>
          <w:color w:val="auto"/>
          <w:highlight w:val="none"/>
          <w:lang w:bidi="ar"/>
        </w:rPr>
        <w:t>。</w:t>
      </w:r>
    </w:p>
    <w:p>
      <w:pPr>
        <w:numPr>
          <w:ilvl w:val="1"/>
          <w:numId w:val="2"/>
        </w:numPr>
        <w:spacing w:line="500" w:lineRule="exact"/>
        <w:ind w:left="0" w:firstLine="482" w:firstLineChars="200"/>
        <w:jc w:val="both"/>
        <w:outlineLvl w:val="1"/>
        <w:rPr>
          <w:rFonts w:hint="eastAsia"/>
          <w:b/>
          <w:bCs/>
          <w:color w:val="auto"/>
          <w:highlight w:val="none"/>
          <w:lang w:bidi="ar"/>
        </w:rPr>
      </w:pPr>
      <w:r>
        <w:rPr>
          <w:b/>
          <w:bCs/>
          <w:color w:val="auto"/>
          <w:highlight w:val="none"/>
          <w:lang w:bidi="ar"/>
        </w:rPr>
        <w:t>合作收益</w:t>
      </w:r>
    </w:p>
    <w:p>
      <w:pPr>
        <w:spacing w:line="500" w:lineRule="exact"/>
        <w:jc w:val="both"/>
        <w:rPr>
          <w:rFonts w:hint="eastAsia"/>
          <w:color w:val="auto"/>
          <w:highlight w:val="none"/>
          <w:lang w:bidi="ar"/>
        </w:rPr>
      </w:pPr>
      <w:r>
        <w:rPr>
          <w:rFonts w:hint="eastAsia"/>
          <w:color w:val="auto"/>
          <w:highlight w:val="none"/>
          <w:lang w:bidi="ar"/>
        </w:rPr>
        <w:t>项目合作期限内，由乙方负责</w:t>
      </w:r>
      <w:r>
        <w:rPr>
          <w:rFonts w:hint="eastAsia"/>
          <w:color w:val="auto"/>
          <w:highlight w:val="none"/>
          <w:lang w:val="en-US" w:eastAsia="zh-CN" w:bidi="ar"/>
        </w:rPr>
        <w:t>运营物业</w:t>
      </w:r>
      <w:r>
        <w:rPr>
          <w:rFonts w:hint="eastAsia"/>
          <w:color w:val="auto"/>
          <w:highlight w:val="none"/>
          <w:lang w:bidi="ar"/>
        </w:rPr>
        <w:t>对外进行招商运营，并获取相应收入。乙方向甲方支付合同约定的合作收益，非因甲方原因导致合同终止或不能履行情形之外，乙方已经支付的运营</w:t>
      </w:r>
      <w:r>
        <w:rPr>
          <w:rFonts w:hint="default"/>
          <w:color w:val="auto"/>
          <w:highlight w:val="none"/>
          <w:lang w:val="en-US" w:eastAsia="zh-CN" w:bidi="ar"/>
        </w:rPr>
        <w:t>合作</w:t>
      </w:r>
      <w:r>
        <w:rPr>
          <w:rFonts w:hint="eastAsia"/>
          <w:color w:val="auto"/>
          <w:highlight w:val="none"/>
          <w:lang w:bidi="ar"/>
        </w:rPr>
        <w:t>收益不得要求退还。</w:t>
      </w:r>
    </w:p>
    <w:p>
      <w:pPr>
        <w:numPr>
          <w:ilvl w:val="1"/>
          <w:numId w:val="2"/>
        </w:numPr>
        <w:spacing w:line="500" w:lineRule="exact"/>
        <w:ind w:left="0" w:firstLine="482" w:firstLineChars="200"/>
        <w:jc w:val="both"/>
        <w:outlineLvl w:val="1"/>
        <w:rPr>
          <w:rFonts w:hint="eastAsia"/>
          <w:b/>
          <w:bCs/>
          <w:color w:val="auto"/>
          <w:highlight w:val="none"/>
          <w:lang w:bidi="ar"/>
        </w:rPr>
      </w:pPr>
      <w:r>
        <w:rPr>
          <w:b/>
          <w:bCs/>
          <w:color w:val="auto"/>
          <w:highlight w:val="none"/>
          <w:lang w:bidi="ar"/>
        </w:rPr>
        <w:t>合作收益计算方式</w:t>
      </w:r>
    </w:p>
    <w:p>
      <w:pPr>
        <w:numPr>
          <w:ilvl w:val="2"/>
          <w:numId w:val="2"/>
        </w:numPr>
        <w:spacing w:line="500" w:lineRule="exact"/>
        <w:ind w:left="0" w:firstLine="480" w:firstLineChars="200"/>
        <w:jc w:val="both"/>
        <w:rPr>
          <w:color w:val="auto"/>
          <w:highlight w:val="none"/>
          <w:lang w:bidi="ar"/>
        </w:rPr>
      </w:pPr>
      <w:r>
        <w:rPr>
          <w:color w:val="auto"/>
          <w:highlight w:val="none"/>
          <w:lang w:bidi="ar"/>
        </w:rPr>
        <w:t>运营合作期共23年（其中含培育期3年和正式合作期限20年），合作收益自甲方向乙方移交物业并签署《交付确认书》之日起计算和支付。</w:t>
      </w:r>
    </w:p>
    <w:p>
      <w:pPr>
        <w:numPr>
          <w:ilvl w:val="2"/>
          <w:numId w:val="2"/>
        </w:numPr>
        <w:spacing w:line="500" w:lineRule="exact"/>
        <w:ind w:left="0" w:firstLine="480" w:firstLineChars="200"/>
        <w:jc w:val="both"/>
        <w:outlineLvl w:val="2"/>
        <w:rPr>
          <w:rFonts w:hint="eastAsia"/>
          <w:color w:val="auto"/>
          <w:highlight w:val="none"/>
          <w:lang w:bidi="ar"/>
        </w:rPr>
      </w:pPr>
      <w:r>
        <w:rPr>
          <w:color w:val="auto"/>
          <w:highlight w:val="none"/>
          <w:lang w:bidi="ar"/>
        </w:rPr>
        <w:t>运营合作期合作收益计算公式：</w:t>
      </w:r>
    </w:p>
    <w:p>
      <w:pPr>
        <w:numPr>
          <w:ilvl w:val="3"/>
          <w:numId w:val="2"/>
        </w:numPr>
        <w:spacing w:line="500" w:lineRule="exact"/>
        <w:ind w:left="960" w:leftChars="200" w:hanging="480" w:hangingChars="200"/>
        <w:jc w:val="both"/>
        <w:rPr>
          <w:rFonts w:hint="eastAsia"/>
          <w:color w:val="auto"/>
          <w:highlight w:val="none"/>
          <w:lang w:bidi="ar"/>
        </w:rPr>
      </w:pPr>
      <w:r>
        <w:rPr>
          <w:color w:val="auto"/>
          <w:highlight w:val="none"/>
          <w:lang w:bidi="ar"/>
        </w:rPr>
        <w:t>乙方年度应付</w:t>
      </w:r>
      <w:r>
        <w:rPr>
          <w:rFonts w:hint="default"/>
          <w:color w:val="auto"/>
          <w:highlight w:val="none"/>
          <w:lang w:val="en-US" w:bidi="ar"/>
        </w:rPr>
        <w:t>厂房及配套物业</w:t>
      </w:r>
      <w:r>
        <w:rPr>
          <w:rFonts w:hint="eastAsia"/>
          <w:color w:val="auto"/>
          <w:highlight w:val="none"/>
          <w:lang w:val="en-US" w:eastAsia="zh-CN" w:bidi="ar"/>
        </w:rPr>
        <w:t>（运营物业）</w:t>
      </w:r>
      <w:r>
        <w:rPr>
          <w:color w:val="auto"/>
          <w:highlight w:val="none"/>
          <w:lang w:bidi="ar"/>
        </w:rPr>
        <w:t>合作收益金额=当年应付合作收益单价</w:t>
      </w:r>
      <w:r>
        <w:rPr>
          <w:rFonts w:hint="eastAsia"/>
          <w:color w:val="auto"/>
          <w:highlight w:val="none"/>
          <w:lang w:bidi="ar"/>
        </w:rPr>
        <w:t>×</w:t>
      </w:r>
      <w:r>
        <w:rPr>
          <w:color w:val="auto"/>
          <w:highlight w:val="none"/>
          <w:lang w:bidi="ar"/>
        </w:rPr>
        <w:t>12个月</w:t>
      </w:r>
      <w:r>
        <w:rPr>
          <w:rFonts w:hint="eastAsia"/>
          <w:color w:val="auto"/>
          <w:highlight w:val="none"/>
          <w:lang w:bidi="ar"/>
        </w:rPr>
        <w:t>×</w:t>
      </w:r>
      <w:r>
        <w:rPr>
          <w:rFonts w:hint="default"/>
          <w:color w:val="auto"/>
          <w:highlight w:val="none"/>
          <w:lang w:eastAsia="zh-CN" w:bidi="ar"/>
        </w:rPr>
        <w:t>面积</w:t>
      </w:r>
      <w:r>
        <w:rPr>
          <w:color w:val="auto"/>
          <w:highlight w:val="none"/>
          <w:lang w:bidi="ar"/>
        </w:rPr>
        <w:t>。其中</w:t>
      </w:r>
      <w:r>
        <w:rPr>
          <w:rFonts w:hint="eastAsia"/>
          <w:color w:val="auto"/>
          <w:highlight w:val="none"/>
          <w:lang w:val="en-US" w:eastAsia="zh-CN" w:bidi="ar"/>
        </w:rPr>
        <w:t>A、D、E</w:t>
      </w:r>
      <w:r>
        <w:rPr>
          <w:color w:val="auto"/>
          <w:highlight w:val="none"/>
          <w:lang w:bidi="ar"/>
        </w:rPr>
        <w:t>厂房物业</w:t>
      </w:r>
      <w:r>
        <w:rPr>
          <w:rFonts w:hint="eastAsia"/>
          <w:color w:val="auto"/>
          <w:highlight w:val="none"/>
          <w:lang w:bidi="ar"/>
        </w:rPr>
        <w:t>起始应付合作收益单价为</w:t>
      </w:r>
      <w:r>
        <w:rPr>
          <w:rFonts w:hint="eastAsia"/>
          <w:color w:val="auto"/>
          <w:highlight w:val="none"/>
          <w:u w:val="none"/>
          <w:lang w:val="en-US" w:eastAsia="zh-CN" w:bidi="ar"/>
        </w:rPr>
        <w:t>xxx</w:t>
      </w:r>
      <w:r>
        <w:rPr>
          <w:color w:val="auto"/>
          <w:highlight w:val="none"/>
          <w:u w:val="none"/>
          <w:lang w:bidi="ar"/>
        </w:rPr>
        <w:t xml:space="preserve"> </w:t>
      </w:r>
      <w:r>
        <w:rPr>
          <w:rFonts w:hint="eastAsia"/>
          <w:color w:val="auto"/>
          <w:highlight w:val="none"/>
          <w:lang w:bidi="ar"/>
        </w:rPr>
        <w:t>元</w:t>
      </w:r>
      <w:r>
        <w:rPr>
          <w:color w:val="auto"/>
          <w:highlight w:val="none"/>
          <w:lang w:bidi="ar"/>
        </w:rPr>
        <w:t>/</w:t>
      </w:r>
      <w:r>
        <w:rPr>
          <w:rFonts w:hint="default" w:ascii="仿宋" w:hAnsi="仿宋" w:cs="Times New Roman"/>
          <w:color w:val="auto"/>
          <w:highlight w:val="none"/>
          <w:lang w:bidi="ar"/>
        </w:rPr>
        <w:t>平方米</w:t>
      </w:r>
      <w:r>
        <w:rPr>
          <w:color w:val="auto"/>
          <w:highlight w:val="none"/>
          <w:lang w:bidi="ar"/>
        </w:rPr>
        <w:t>/月</w:t>
      </w:r>
      <w:r>
        <w:rPr>
          <w:rFonts w:hint="eastAsia"/>
          <w:color w:val="auto"/>
          <w:highlight w:val="none"/>
          <w:lang w:eastAsia="zh-CN" w:bidi="ar"/>
        </w:rPr>
        <w:t>，</w:t>
      </w:r>
      <w:r>
        <w:rPr>
          <w:rFonts w:hint="eastAsia"/>
          <w:color w:val="auto"/>
          <w:highlight w:val="none"/>
          <w:lang w:val="en-US" w:eastAsia="zh-CN" w:bidi="ar"/>
        </w:rPr>
        <w:t>B、C</w:t>
      </w:r>
      <w:r>
        <w:rPr>
          <w:color w:val="auto"/>
          <w:highlight w:val="none"/>
          <w:lang w:bidi="ar"/>
        </w:rPr>
        <w:t>厂房物业</w:t>
      </w:r>
      <w:r>
        <w:rPr>
          <w:rFonts w:hint="eastAsia"/>
          <w:color w:val="auto"/>
          <w:highlight w:val="none"/>
          <w:lang w:bidi="ar"/>
        </w:rPr>
        <w:t>起始应付合作收益单价为</w:t>
      </w:r>
      <w:r>
        <w:rPr>
          <w:rFonts w:hint="eastAsia"/>
          <w:color w:val="auto"/>
          <w:highlight w:val="none"/>
          <w:u w:val="none"/>
          <w:lang w:val="en-US" w:eastAsia="zh-CN" w:bidi="ar"/>
        </w:rPr>
        <w:t>xxx</w:t>
      </w:r>
      <w:r>
        <w:rPr>
          <w:rFonts w:hint="eastAsia"/>
          <w:color w:val="auto"/>
          <w:highlight w:val="none"/>
          <w:lang w:bidi="ar"/>
        </w:rPr>
        <w:t>元</w:t>
      </w:r>
      <w:r>
        <w:rPr>
          <w:color w:val="auto"/>
          <w:highlight w:val="none"/>
          <w:lang w:bidi="ar"/>
        </w:rPr>
        <w:t>/</w:t>
      </w:r>
      <w:r>
        <w:rPr>
          <w:rFonts w:hint="default" w:ascii="仿宋" w:hAnsi="仿宋" w:cs="Times New Roman"/>
          <w:color w:val="auto"/>
          <w:highlight w:val="none"/>
          <w:lang w:bidi="ar"/>
        </w:rPr>
        <w:t>平方米</w:t>
      </w:r>
      <w:r>
        <w:rPr>
          <w:color w:val="auto"/>
          <w:highlight w:val="none"/>
          <w:lang w:bidi="ar"/>
        </w:rPr>
        <w:t>/月，</w:t>
      </w:r>
      <w:r>
        <w:rPr>
          <w:rFonts w:hint="eastAsia"/>
          <w:color w:val="auto"/>
          <w:highlight w:val="none"/>
          <w:lang w:val="en-US" w:eastAsia="zh-CN" w:bidi="ar"/>
        </w:rPr>
        <w:t>宿舍楼</w:t>
      </w:r>
      <w:r>
        <w:rPr>
          <w:rFonts w:hint="eastAsia"/>
          <w:color w:val="auto"/>
          <w:highlight w:val="none"/>
          <w:lang w:bidi="ar"/>
        </w:rPr>
        <w:t>（</w:t>
      </w:r>
      <w:r>
        <w:rPr>
          <w:rFonts w:hint="eastAsia"/>
          <w:color w:val="auto"/>
          <w:highlight w:val="none"/>
          <w:lang w:val="en-US" w:eastAsia="zh-CN" w:bidi="ar"/>
        </w:rPr>
        <w:t>包括不限于</w:t>
      </w:r>
      <w:r>
        <w:rPr>
          <w:rFonts w:hint="eastAsia"/>
          <w:color w:val="auto"/>
          <w:highlight w:val="none"/>
          <w:lang w:bidi="ar"/>
        </w:rPr>
        <w:t>活动室、</w:t>
      </w:r>
      <w:r>
        <w:rPr>
          <w:rFonts w:hint="default" w:ascii="仿宋" w:hAnsi="仿宋" w:eastAsia="仿宋" w:cs="Times New Roman"/>
          <w:color w:val="auto"/>
          <w:sz w:val="24"/>
          <w:highlight w:val="none"/>
          <w:lang w:val="en-US" w:eastAsia="zh-CN" w:bidi="ar"/>
        </w:rPr>
        <w:t>饭堂及</w:t>
      </w:r>
      <w:r>
        <w:rPr>
          <w:rFonts w:hint="eastAsia"/>
          <w:color w:val="auto"/>
          <w:highlight w:val="none"/>
          <w:lang w:bidi="ar"/>
        </w:rPr>
        <w:t>宿舍</w:t>
      </w:r>
      <w:r>
        <w:rPr>
          <w:rFonts w:hint="eastAsia"/>
          <w:color w:val="auto"/>
          <w:highlight w:val="none"/>
          <w:lang w:val="en-US" w:eastAsia="zh-CN" w:bidi="ar"/>
        </w:rPr>
        <w:t>等</w:t>
      </w:r>
      <w:r>
        <w:rPr>
          <w:rFonts w:hint="eastAsia"/>
          <w:color w:val="auto"/>
          <w:highlight w:val="none"/>
          <w:lang w:bidi="ar"/>
        </w:rPr>
        <w:t>）</w:t>
      </w:r>
      <w:r>
        <w:rPr>
          <w:color w:val="auto"/>
          <w:highlight w:val="none"/>
          <w:lang w:bidi="ar"/>
        </w:rPr>
        <w:t>起始应付合作收益单价为</w:t>
      </w:r>
      <w:r>
        <w:rPr>
          <w:rFonts w:hint="default"/>
          <w:color w:val="auto"/>
          <w:highlight w:val="none"/>
          <w:u w:val="none"/>
          <w:lang w:val="en-US" w:eastAsia="zh-CN" w:bidi="ar"/>
        </w:rPr>
        <w:t xml:space="preserve"> </w:t>
      </w:r>
      <w:r>
        <w:rPr>
          <w:rFonts w:hint="eastAsia"/>
          <w:color w:val="auto"/>
          <w:highlight w:val="none"/>
          <w:u w:val="none"/>
          <w:lang w:val="en-US" w:eastAsia="zh-CN" w:bidi="ar"/>
        </w:rPr>
        <w:t>xxx</w:t>
      </w:r>
      <w:r>
        <w:rPr>
          <w:color w:val="auto"/>
          <w:highlight w:val="none"/>
          <w:u w:val="none"/>
          <w:lang w:bidi="ar"/>
        </w:rPr>
        <w:t xml:space="preserve"> </w:t>
      </w:r>
      <w:r>
        <w:rPr>
          <w:rFonts w:hint="eastAsia"/>
          <w:color w:val="auto"/>
          <w:highlight w:val="none"/>
          <w:lang w:bidi="ar"/>
        </w:rPr>
        <w:t>元</w:t>
      </w:r>
      <w:r>
        <w:rPr>
          <w:color w:val="auto"/>
          <w:highlight w:val="none"/>
          <w:lang w:bidi="ar"/>
        </w:rPr>
        <w:t>/</w:t>
      </w:r>
      <w:r>
        <w:rPr>
          <w:rFonts w:hint="eastAsia"/>
          <w:color w:val="auto"/>
          <w:highlight w:val="none"/>
          <w:lang w:bidi="ar"/>
        </w:rPr>
        <w:t>平方米</w:t>
      </w:r>
      <w:r>
        <w:rPr>
          <w:color w:val="auto"/>
          <w:highlight w:val="none"/>
          <w:lang w:bidi="ar"/>
        </w:rPr>
        <w:t>/月</w:t>
      </w:r>
      <w:r>
        <w:rPr>
          <w:rFonts w:hint="eastAsia"/>
          <w:color w:val="auto"/>
          <w:highlight w:val="none"/>
          <w:lang w:bidi="ar"/>
        </w:rPr>
        <w:t>，</w:t>
      </w:r>
      <w:r>
        <w:rPr>
          <w:color w:val="auto"/>
          <w:highlight w:val="none"/>
          <w:lang w:bidi="ar"/>
        </w:rPr>
        <w:t>最终物业</w:t>
      </w:r>
      <w:r>
        <w:rPr>
          <w:rFonts w:hint="eastAsia"/>
          <w:color w:val="auto"/>
          <w:highlight w:val="none"/>
          <w:lang w:val="en-US" w:eastAsia="zh-CN" w:bidi="ar"/>
        </w:rPr>
        <w:t>类型</w:t>
      </w:r>
      <w:r>
        <w:rPr>
          <w:color w:val="auto"/>
          <w:highlight w:val="none"/>
          <w:lang w:bidi="ar"/>
        </w:rPr>
        <w:t>和面积以不动产权证载为准，</w:t>
      </w:r>
      <w:r>
        <w:rPr>
          <w:rFonts w:hint="eastAsia"/>
          <w:color w:val="auto"/>
          <w:highlight w:val="none"/>
          <w:lang w:bidi="ar"/>
        </w:rPr>
        <w:t>厂房及</w:t>
      </w:r>
      <w:r>
        <w:rPr>
          <w:rFonts w:hint="eastAsia"/>
          <w:color w:val="auto"/>
          <w:highlight w:val="none"/>
          <w:lang w:val="en-US" w:eastAsia="zh-CN" w:bidi="ar"/>
        </w:rPr>
        <w:t>宿舍楼（运营物业）</w:t>
      </w:r>
      <w:r>
        <w:rPr>
          <w:rFonts w:hint="eastAsia"/>
          <w:color w:val="auto"/>
          <w:highlight w:val="none"/>
          <w:lang w:bidi="ar"/>
        </w:rPr>
        <w:t>合作收益单价</w:t>
      </w:r>
      <w:r>
        <w:rPr>
          <w:color w:val="auto"/>
          <w:highlight w:val="none"/>
          <w:lang w:bidi="ar"/>
        </w:rPr>
        <w:t>每3年递增8%</w:t>
      </w:r>
      <w:r>
        <w:rPr>
          <w:rFonts w:hint="eastAsia"/>
          <w:color w:val="auto"/>
          <w:highlight w:val="none"/>
          <w:lang w:eastAsia="zh-CN"/>
        </w:rPr>
        <w:t>，</w:t>
      </w:r>
      <w:r>
        <w:rPr>
          <w:rFonts w:hint="eastAsia"/>
          <w:color w:val="auto"/>
          <w:highlight w:val="none"/>
          <w:lang w:val="en-US" w:eastAsia="zh-CN"/>
        </w:rPr>
        <w:t>自各期物业交付之日起开始计算递增区间</w:t>
      </w:r>
      <w:r>
        <w:rPr>
          <w:color w:val="auto"/>
          <w:highlight w:val="none"/>
          <w:lang w:bidi="ar"/>
        </w:rPr>
        <w:t>。</w:t>
      </w:r>
    </w:p>
    <w:p>
      <w:pPr>
        <w:numPr>
          <w:ilvl w:val="3"/>
          <w:numId w:val="2"/>
        </w:numPr>
        <w:spacing w:line="500" w:lineRule="exact"/>
        <w:ind w:left="960" w:leftChars="200" w:hanging="480" w:hangingChars="200"/>
        <w:jc w:val="both"/>
        <w:rPr>
          <w:color w:val="auto"/>
          <w:highlight w:val="none"/>
          <w:lang w:bidi="ar"/>
        </w:rPr>
      </w:pPr>
      <w:r>
        <w:rPr>
          <w:color w:val="auto"/>
          <w:highlight w:val="none"/>
          <w:lang w:bidi="ar"/>
        </w:rPr>
        <w:t>乙方年度应付</w:t>
      </w:r>
      <w:r>
        <w:rPr>
          <w:rFonts w:hint="eastAsia"/>
          <w:color w:val="auto"/>
          <w:highlight w:val="none"/>
          <w:lang w:bidi="ar"/>
        </w:rPr>
        <w:t>车位</w:t>
      </w:r>
      <w:r>
        <w:rPr>
          <w:color w:val="auto"/>
          <w:highlight w:val="none"/>
          <w:lang w:bidi="ar"/>
        </w:rPr>
        <w:t>合作收益金额=合作收益单价</w:t>
      </w:r>
      <w:r>
        <w:rPr>
          <w:rFonts w:hint="eastAsia"/>
          <w:color w:val="auto"/>
          <w:highlight w:val="none"/>
          <w:lang w:bidi="ar"/>
        </w:rPr>
        <w:t>×</w:t>
      </w:r>
      <w:r>
        <w:rPr>
          <w:color w:val="auto"/>
          <w:highlight w:val="none"/>
          <w:lang w:bidi="ar"/>
        </w:rPr>
        <w:t>12个月</w:t>
      </w:r>
      <w:r>
        <w:rPr>
          <w:rFonts w:hint="eastAsia"/>
          <w:color w:val="auto"/>
          <w:highlight w:val="none"/>
          <w:lang w:bidi="ar"/>
        </w:rPr>
        <w:t>×机动车位数量</w:t>
      </w:r>
      <w:r>
        <w:rPr>
          <w:color w:val="auto"/>
          <w:highlight w:val="none"/>
          <w:lang w:bidi="ar"/>
        </w:rPr>
        <w:t>，机动车位应付合作收益单价为</w:t>
      </w:r>
      <w:r>
        <w:rPr>
          <w:color w:val="auto"/>
          <w:highlight w:val="none"/>
          <w:u w:val="none"/>
          <w:lang w:bidi="ar"/>
        </w:rPr>
        <w:t xml:space="preserve"> </w:t>
      </w:r>
      <w:r>
        <w:rPr>
          <w:rFonts w:hint="eastAsia"/>
          <w:color w:val="auto"/>
          <w:highlight w:val="none"/>
          <w:u w:val="none"/>
          <w:lang w:val="en-US" w:eastAsia="zh-CN" w:bidi="ar"/>
        </w:rPr>
        <w:t>xxx</w:t>
      </w:r>
      <w:r>
        <w:rPr>
          <w:rFonts w:hint="eastAsia"/>
          <w:color w:val="auto"/>
          <w:highlight w:val="none"/>
          <w:lang w:bidi="ar"/>
        </w:rPr>
        <w:t>元</w:t>
      </w:r>
      <w:r>
        <w:rPr>
          <w:color w:val="auto"/>
          <w:highlight w:val="none"/>
          <w:lang w:bidi="ar"/>
        </w:rPr>
        <w:t>/</w:t>
      </w:r>
      <w:r>
        <w:rPr>
          <w:rFonts w:hint="eastAsia"/>
          <w:color w:val="auto"/>
          <w:highlight w:val="none"/>
          <w:lang w:bidi="ar"/>
        </w:rPr>
        <w:t>个</w:t>
      </w:r>
      <w:r>
        <w:rPr>
          <w:color w:val="auto"/>
          <w:highlight w:val="none"/>
          <w:lang w:bidi="ar"/>
        </w:rPr>
        <w:t>/月，车位</w:t>
      </w:r>
      <w:r>
        <w:rPr>
          <w:rFonts w:hint="eastAsia"/>
          <w:color w:val="auto"/>
          <w:highlight w:val="none"/>
          <w:lang w:val="en-US" w:eastAsia="zh-CN" w:bidi="ar"/>
        </w:rPr>
        <w:t>的合作</w:t>
      </w:r>
      <w:r>
        <w:rPr>
          <w:color w:val="auto"/>
          <w:highlight w:val="none"/>
          <w:lang w:bidi="ar"/>
        </w:rPr>
        <w:t>收益</w:t>
      </w:r>
      <w:r>
        <w:rPr>
          <w:rFonts w:hint="eastAsia"/>
          <w:color w:val="auto"/>
          <w:highlight w:val="none"/>
          <w:lang w:val="en-US" w:eastAsia="zh-CN" w:bidi="ar"/>
        </w:rPr>
        <w:t>单价每5年递增5%，</w:t>
      </w:r>
      <w:r>
        <w:rPr>
          <w:rFonts w:hint="eastAsia"/>
          <w:color w:val="auto"/>
          <w:highlight w:val="none"/>
          <w:lang w:val="en-US" w:eastAsia="zh-CN"/>
        </w:rPr>
        <w:t>自各期物业交付之日起开始计算递增区间</w:t>
      </w:r>
      <w:r>
        <w:rPr>
          <w:color w:val="auto"/>
          <w:highlight w:val="none"/>
          <w:lang w:bidi="ar"/>
        </w:rPr>
        <w:t>。</w:t>
      </w:r>
    </w:p>
    <w:p>
      <w:pPr>
        <w:numPr>
          <w:ilvl w:val="3"/>
          <w:numId w:val="2"/>
        </w:numPr>
        <w:spacing w:line="500" w:lineRule="exact"/>
        <w:ind w:left="960" w:leftChars="200" w:hanging="480" w:hangingChars="200"/>
        <w:jc w:val="both"/>
        <w:outlineLvl w:val="9"/>
        <w:rPr>
          <w:rFonts w:hint="default"/>
          <w:color w:val="auto"/>
          <w:highlight w:val="none"/>
          <w:lang w:bidi="ar"/>
        </w:rPr>
      </w:pPr>
      <w:r>
        <w:rPr>
          <w:color w:val="auto"/>
          <w:highlight w:val="none"/>
          <w:lang w:bidi="ar"/>
        </w:rPr>
        <w:t>乙方不得以物业（含车位）出租率不足100%为由，要求甲方减少前述合作收益。</w:t>
      </w:r>
    </w:p>
    <w:p>
      <w:pPr>
        <w:numPr>
          <w:ilvl w:val="2"/>
          <w:numId w:val="2"/>
        </w:numPr>
        <w:spacing w:line="500" w:lineRule="exact"/>
        <w:ind w:left="0" w:firstLine="480" w:firstLineChars="200"/>
        <w:jc w:val="both"/>
        <w:outlineLvl w:val="9"/>
        <w:rPr>
          <w:rFonts w:hint="default"/>
          <w:color w:val="auto"/>
          <w:highlight w:val="none"/>
          <w:lang w:bidi="ar"/>
        </w:rPr>
      </w:pPr>
      <w:r>
        <w:rPr>
          <w:rFonts w:hint="default"/>
          <w:color w:val="auto"/>
          <w:highlight w:val="none"/>
          <w:lang w:eastAsia="zh-CN" w:bidi="ar"/>
        </w:rPr>
        <w:t>面积</w:t>
      </w:r>
      <w:r>
        <w:rPr>
          <w:color w:val="auto"/>
          <w:highlight w:val="none"/>
          <w:lang w:bidi="ar"/>
        </w:rPr>
        <w:t>：在不动产权证暂未办理之前，</w:t>
      </w:r>
      <w:r>
        <w:rPr>
          <w:rFonts w:hint="eastAsia"/>
          <w:color w:val="auto"/>
          <w:highlight w:val="none"/>
          <w:lang w:val="en-US" w:eastAsia="zh-CN" w:bidi="ar"/>
        </w:rPr>
        <w:t>甲方实际交付乙方运营的物业建筑面积按《建筑工程规划许可证》对应的面积（以下简称“暂定计费面积”）为准，用于计算合作收益</w:t>
      </w:r>
      <w:r>
        <w:rPr>
          <w:rFonts w:hint="default"/>
          <w:color w:val="auto"/>
          <w:highlight w:val="none"/>
          <w:lang w:bidi="ar"/>
        </w:rPr>
        <w:t>。不动产权证办理完毕后，</w:t>
      </w:r>
      <w:r>
        <w:rPr>
          <w:rFonts w:hint="default"/>
          <w:color w:val="auto"/>
          <w:highlight w:val="none"/>
          <w:lang w:val="en-US" w:eastAsia="zh-CN" w:bidi="ar"/>
        </w:rPr>
        <w:t>自产权证出具日，</w:t>
      </w:r>
      <w:r>
        <w:rPr>
          <w:rFonts w:hint="default"/>
          <w:color w:val="auto"/>
          <w:highlight w:val="none"/>
          <w:lang w:bidi="ar"/>
        </w:rPr>
        <w:t>按</w:t>
      </w:r>
      <w:r>
        <w:rPr>
          <w:rFonts w:hint="eastAsia"/>
          <w:color w:val="auto"/>
          <w:highlight w:val="none"/>
          <w:lang w:val="en-US" w:eastAsia="zh-CN" w:bidi="ar"/>
        </w:rPr>
        <w:t>甲方实际交付的运营物业</w:t>
      </w:r>
      <w:r>
        <w:rPr>
          <w:rFonts w:hint="default"/>
          <w:color w:val="auto"/>
          <w:highlight w:val="none"/>
          <w:lang w:bidi="ar"/>
        </w:rPr>
        <w:t>不动产权证证载建筑面积计算乙方应付合作收益。对于乙方已按照</w:t>
      </w:r>
      <w:r>
        <w:rPr>
          <w:rFonts w:hint="eastAsia"/>
          <w:color w:val="auto"/>
          <w:highlight w:val="none"/>
          <w:lang w:val="en-US" w:eastAsia="zh-CN" w:bidi="ar"/>
        </w:rPr>
        <w:t>暂定计费面积</w:t>
      </w:r>
      <w:r>
        <w:rPr>
          <w:rFonts w:hint="default"/>
          <w:color w:val="auto"/>
          <w:highlight w:val="none"/>
          <w:lang w:bidi="ar"/>
        </w:rPr>
        <w:t>计算的应付合作收益，如</w:t>
      </w:r>
      <w:r>
        <w:rPr>
          <w:rFonts w:hint="eastAsia"/>
          <w:color w:val="auto"/>
          <w:highlight w:val="none"/>
          <w:lang w:val="en-US" w:eastAsia="zh-CN" w:bidi="ar"/>
        </w:rPr>
        <w:t>暂定计费面积</w:t>
      </w:r>
      <w:r>
        <w:rPr>
          <w:rFonts w:hint="default"/>
          <w:color w:val="auto"/>
          <w:highlight w:val="none"/>
          <w:lang w:bidi="ar"/>
        </w:rPr>
        <w:t>与不动产权证证载建筑面积误差不超过</w:t>
      </w:r>
      <w:r>
        <w:rPr>
          <w:rFonts w:hint="default" w:ascii="仿宋" w:hAnsi="仿宋" w:eastAsia="仿宋" w:cs="Times New Roman"/>
          <w:color w:val="auto"/>
          <w:highlight w:val="none"/>
          <w:lang w:bidi="ar"/>
        </w:rPr>
        <w:t>±</w:t>
      </w:r>
      <w:r>
        <w:rPr>
          <w:color w:val="auto"/>
          <w:highlight w:val="none"/>
          <w:lang w:bidi="ar"/>
        </w:rPr>
        <w:t>2%，则双方无需重新计算之前应付的合作收益；如前述误差超过</w:t>
      </w:r>
      <w:r>
        <w:rPr>
          <w:rFonts w:hint="default" w:ascii="仿宋" w:hAnsi="仿宋" w:eastAsia="仿宋" w:cs="Times New Roman"/>
          <w:color w:val="auto"/>
          <w:highlight w:val="none"/>
          <w:lang w:bidi="ar"/>
        </w:rPr>
        <w:t>±</w:t>
      </w:r>
      <w:r>
        <w:rPr>
          <w:color w:val="auto"/>
          <w:highlight w:val="none"/>
          <w:lang w:bidi="ar"/>
        </w:rPr>
        <w:t>2%的，双方按照不动产权证</w:t>
      </w:r>
      <w:r>
        <w:rPr>
          <w:rFonts w:hint="default"/>
          <w:color w:val="auto"/>
          <w:highlight w:val="none"/>
          <w:lang w:bidi="ar"/>
        </w:rPr>
        <w:t>证载建筑面积重新计算之前应付的合作收益，已付合作收益差额部分由双方多退少补。</w:t>
      </w:r>
    </w:p>
    <w:p>
      <w:pPr>
        <w:numPr>
          <w:ilvl w:val="2"/>
          <w:numId w:val="2"/>
        </w:numPr>
        <w:spacing w:line="500" w:lineRule="exact"/>
        <w:ind w:left="0" w:firstLine="480" w:firstLineChars="200"/>
        <w:jc w:val="both"/>
        <w:outlineLvl w:val="9"/>
        <w:rPr>
          <w:rFonts w:hint="default"/>
          <w:color w:val="auto"/>
          <w:highlight w:val="none"/>
          <w:lang w:bidi="ar"/>
        </w:rPr>
      </w:pPr>
      <w:r>
        <w:rPr>
          <w:color w:val="auto"/>
          <w:highlight w:val="none"/>
          <w:lang w:bidi="ar"/>
        </w:rPr>
        <w:t>车位数量：</w:t>
      </w:r>
      <w:r>
        <w:rPr>
          <w:rFonts w:hint="default"/>
          <w:color w:val="auto"/>
          <w:highlight w:val="none"/>
          <w:lang w:bidi="ar"/>
        </w:rPr>
        <w:t>按</w:t>
      </w:r>
      <w:r>
        <w:rPr>
          <w:color w:val="auto"/>
          <w:highlight w:val="none"/>
          <w:lang w:bidi="ar"/>
        </w:rPr>
        <w:t>项目</w:t>
      </w:r>
      <w:r>
        <w:rPr>
          <w:rFonts w:hint="eastAsia"/>
          <w:color w:val="auto"/>
          <w:highlight w:val="none"/>
          <w:lang w:val="en-US" w:eastAsia="zh-CN" w:bidi="ar"/>
        </w:rPr>
        <w:t>《建筑工程规划许可证》载明</w:t>
      </w:r>
      <w:r>
        <w:rPr>
          <w:rFonts w:hint="default"/>
          <w:color w:val="auto"/>
          <w:highlight w:val="none"/>
          <w:lang w:bidi="ar"/>
        </w:rPr>
        <w:t>的机动车位数量计算</w:t>
      </w:r>
      <w:r>
        <w:rPr>
          <w:rFonts w:hint="eastAsia"/>
          <w:color w:val="auto"/>
          <w:highlight w:val="none"/>
          <w:lang w:val="en-US" w:eastAsia="zh-CN" w:bidi="ar"/>
        </w:rPr>
        <w:t>，暂定为954个，最终按甲方实际移交乙方运营的车位数量为准</w:t>
      </w:r>
      <w:r>
        <w:rPr>
          <w:rFonts w:hint="default"/>
          <w:color w:val="auto"/>
          <w:highlight w:val="none"/>
          <w:lang w:bidi="ar"/>
        </w:rPr>
        <w:t>。</w:t>
      </w:r>
    </w:p>
    <w:p>
      <w:pPr>
        <w:numPr>
          <w:ilvl w:val="2"/>
          <w:numId w:val="2"/>
        </w:numPr>
        <w:spacing w:line="500" w:lineRule="exact"/>
        <w:ind w:left="0" w:firstLine="480" w:firstLineChars="200"/>
        <w:jc w:val="both"/>
        <w:outlineLvl w:val="9"/>
        <w:rPr>
          <w:rFonts w:hint="default"/>
          <w:color w:val="auto"/>
          <w:highlight w:val="none"/>
          <w:lang w:bidi="ar"/>
        </w:rPr>
      </w:pPr>
      <w:r>
        <w:rPr>
          <w:rFonts w:hint="default"/>
          <w:color w:val="auto"/>
          <w:highlight w:val="none"/>
          <w:lang w:bidi="ar"/>
        </w:rPr>
        <w:t>免支付合作收益期分摊：甲方给予乙方运营培育期</w:t>
      </w:r>
      <w:r>
        <w:rPr>
          <w:color w:val="auto"/>
          <w:highlight w:val="none"/>
          <w:lang w:bidi="ar"/>
        </w:rPr>
        <w:t>6个月的</w:t>
      </w:r>
      <w:r>
        <w:rPr>
          <w:rFonts w:hint="default"/>
          <w:color w:val="auto"/>
          <w:highlight w:val="none"/>
          <w:lang w:bidi="ar"/>
        </w:rPr>
        <w:t>免支付合作收益期，前述</w:t>
      </w:r>
      <w:r>
        <w:rPr>
          <w:color w:val="auto"/>
          <w:highlight w:val="none"/>
          <w:lang w:bidi="ar"/>
        </w:rPr>
        <w:t>6个月</w:t>
      </w:r>
      <w:r>
        <w:rPr>
          <w:rFonts w:hint="default"/>
          <w:color w:val="auto"/>
          <w:highlight w:val="none"/>
          <w:lang w:bidi="ar"/>
        </w:rPr>
        <w:t>免支付合作收益期分摊至三年运营培育期执行，即运营培育期每年的</w:t>
      </w:r>
      <w:r>
        <w:rPr>
          <w:rFonts w:hint="default"/>
          <w:color w:val="auto"/>
          <w:highlight w:val="none"/>
          <w:lang w:val="en-US" w:bidi="ar"/>
        </w:rPr>
        <w:t>第</w:t>
      </w:r>
      <w:r>
        <w:rPr>
          <w:rFonts w:hint="default"/>
          <w:color w:val="auto"/>
          <w:highlight w:val="none"/>
          <w:lang w:bidi="ar"/>
        </w:rPr>
        <w:t>一、二月乙方无需支付甲方合作收益。</w:t>
      </w:r>
    </w:p>
    <w:p>
      <w:pPr>
        <w:numPr>
          <w:ilvl w:val="2"/>
          <w:numId w:val="2"/>
        </w:numPr>
        <w:spacing w:line="500" w:lineRule="exact"/>
        <w:ind w:left="0" w:firstLine="480" w:firstLineChars="200"/>
        <w:jc w:val="both"/>
        <w:outlineLvl w:val="2"/>
        <w:rPr>
          <w:rFonts w:hint="default"/>
          <w:color w:val="auto"/>
          <w:highlight w:val="none"/>
          <w:lang w:bidi="ar"/>
        </w:rPr>
      </w:pPr>
      <w:r>
        <w:rPr>
          <w:color w:val="auto"/>
          <w:highlight w:val="none"/>
          <w:lang w:bidi="ar"/>
        </w:rPr>
        <w:t>合作收益支付</w:t>
      </w:r>
      <w:r>
        <w:rPr>
          <w:rFonts w:hint="default"/>
          <w:color w:val="auto"/>
          <w:highlight w:val="none"/>
          <w:lang w:val="en-US" w:eastAsia="zh-CN" w:bidi="ar"/>
        </w:rPr>
        <w:t>及开票</w:t>
      </w:r>
      <w:r>
        <w:rPr>
          <w:color w:val="auto"/>
          <w:highlight w:val="none"/>
          <w:lang w:bidi="ar"/>
        </w:rPr>
        <w:t>要求：</w:t>
      </w:r>
    </w:p>
    <w:p>
      <w:pPr>
        <w:spacing w:line="500" w:lineRule="exact"/>
        <w:ind w:leftChars="0" w:firstLine="480" w:firstLineChars="200"/>
        <w:jc w:val="both"/>
        <w:outlineLvl w:val="9"/>
        <w:rPr>
          <w:color w:val="auto"/>
          <w:highlight w:val="none"/>
          <w:lang w:bidi="ar"/>
        </w:rPr>
      </w:pPr>
      <w:r>
        <w:rPr>
          <w:rFonts w:hint="default"/>
          <w:color w:val="auto"/>
          <w:highlight w:val="none"/>
          <w:lang w:bidi="ar"/>
        </w:rPr>
        <w:t>按月支付，</w:t>
      </w:r>
      <w:r>
        <w:rPr>
          <w:rFonts w:hint="eastAsia"/>
          <w:color w:val="auto"/>
          <w:highlight w:val="none"/>
          <w:lang w:val="en-US" w:eastAsia="zh-CN" w:bidi="ar"/>
        </w:rPr>
        <w:t>各期物业首月合作收益应当自当期物业交付后【5】日内支付当个自然月的合作收益，后续</w:t>
      </w:r>
      <w:r>
        <w:rPr>
          <w:rFonts w:hint="default"/>
          <w:color w:val="auto"/>
          <w:highlight w:val="none"/>
          <w:lang w:bidi="ar"/>
        </w:rPr>
        <w:t>乙方应每月</w:t>
      </w:r>
      <w:r>
        <w:rPr>
          <w:color w:val="auto"/>
          <w:highlight w:val="none"/>
          <w:lang w:bidi="ar"/>
        </w:rPr>
        <w:t>5号前一次性向甲方支付当月应付合作收益。</w:t>
      </w:r>
      <w:r>
        <w:rPr>
          <w:rFonts w:hint="eastAsia"/>
          <w:color w:val="auto"/>
          <w:highlight w:val="none"/>
          <w:lang w:val="en-US" w:eastAsia="zh-CN" w:bidi="ar"/>
        </w:rPr>
        <w:t>若首期、末期实际合作未满一个月的，按照实际天数计算合作收益。</w:t>
      </w:r>
      <w:r>
        <w:rPr>
          <w:color w:val="auto"/>
          <w:highlight w:val="none"/>
          <w:lang w:bidi="ar"/>
        </w:rPr>
        <w:t>关于合作收益支付另有约定的事项，</w:t>
      </w:r>
      <w:r>
        <w:rPr>
          <w:rFonts w:hint="default"/>
          <w:color w:val="auto"/>
          <w:highlight w:val="none"/>
          <w:lang w:val="en-US" w:eastAsia="zh-CN" w:bidi="ar"/>
        </w:rPr>
        <w:t>可由双方协商一致后签订补充协议进行约定</w:t>
      </w:r>
      <w:r>
        <w:rPr>
          <w:color w:val="auto"/>
          <w:highlight w:val="none"/>
          <w:lang w:bidi="ar"/>
        </w:rPr>
        <w:t>。</w:t>
      </w:r>
    </w:p>
    <w:p>
      <w:pPr>
        <w:spacing w:line="500" w:lineRule="exact"/>
        <w:ind w:leftChars="0" w:firstLine="480" w:firstLineChars="200"/>
        <w:jc w:val="both"/>
        <w:outlineLvl w:val="9"/>
        <w:rPr>
          <w:rFonts w:hint="eastAsia" w:eastAsia="仿宋"/>
          <w:strike/>
          <w:color w:val="auto"/>
          <w:highlight w:val="none"/>
          <w:lang w:eastAsia="zh-CN" w:bidi="ar"/>
        </w:rPr>
      </w:pPr>
      <w:r>
        <w:rPr>
          <w:color w:val="auto"/>
          <w:highlight w:val="none"/>
          <w:lang w:bidi="ar"/>
        </w:rPr>
        <w:t>乙方所支付的合作收益均为含税价，甲方在收取每笔</w:t>
      </w:r>
      <w:r>
        <w:rPr>
          <w:rFonts w:hint="default"/>
          <w:color w:val="auto"/>
          <w:highlight w:val="none"/>
          <w:lang w:val="en-US" w:eastAsia="zh-CN" w:bidi="ar"/>
        </w:rPr>
        <w:t>合作收益</w:t>
      </w:r>
      <w:r>
        <w:rPr>
          <w:color w:val="auto"/>
          <w:highlight w:val="none"/>
          <w:lang w:bidi="ar"/>
        </w:rPr>
        <w:t>后</w:t>
      </w:r>
      <w:r>
        <w:rPr>
          <w:rFonts w:hint="eastAsia"/>
          <w:color w:val="auto"/>
          <w:highlight w:val="none"/>
          <w:lang w:val="en-US" w:eastAsia="zh-CN" w:bidi="ar"/>
        </w:rPr>
        <w:t>7</w:t>
      </w:r>
      <w:r>
        <w:rPr>
          <w:color w:val="auto"/>
          <w:highlight w:val="none"/>
          <w:lang w:bidi="ar"/>
        </w:rPr>
        <w:t>个工作日内按照实际收取金额向乙方开具合法有效的增值税专用发票。</w:t>
      </w:r>
    </w:p>
    <w:p>
      <w:pPr>
        <w:numPr>
          <w:ilvl w:val="1"/>
          <w:numId w:val="2"/>
        </w:numPr>
        <w:spacing w:line="500" w:lineRule="exact"/>
        <w:ind w:left="0" w:firstLine="480" w:firstLineChars="200"/>
        <w:jc w:val="both"/>
        <w:outlineLvl w:val="9"/>
        <w:rPr>
          <w:rFonts w:hint="eastAsia"/>
          <w:color w:val="auto"/>
          <w:highlight w:val="none"/>
        </w:rPr>
      </w:pPr>
      <w:r>
        <w:rPr>
          <w:rFonts w:hint="default"/>
          <w:color w:val="auto"/>
          <w:highlight w:val="none"/>
          <w:lang w:bidi="ar"/>
        </w:rPr>
        <w:t>合同履行过程中，经乙方申请且经甲方同意的，双方可以</w:t>
      </w:r>
      <w:r>
        <w:rPr>
          <w:rFonts w:hint="eastAsia"/>
          <w:color w:val="auto"/>
          <w:highlight w:val="none"/>
          <w:lang w:val="en-US" w:eastAsia="zh-CN" w:bidi="ar"/>
        </w:rPr>
        <w:t>在确保</w:t>
      </w:r>
      <w:r>
        <w:rPr>
          <w:color w:val="auto"/>
          <w:highlight w:val="none"/>
          <w:lang w:bidi="ar"/>
        </w:rPr>
        <w:t>甲方于本项目的预期收益不降低</w:t>
      </w:r>
      <w:r>
        <w:rPr>
          <w:rFonts w:hint="eastAsia"/>
          <w:color w:val="auto"/>
          <w:highlight w:val="none"/>
          <w:lang w:val="en-US" w:eastAsia="zh-CN" w:bidi="ar"/>
        </w:rPr>
        <w:t>的基础上</w:t>
      </w:r>
      <w:r>
        <w:rPr>
          <w:rFonts w:hint="default"/>
          <w:color w:val="auto"/>
          <w:highlight w:val="none"/>
          <w:lang w:bidi="ar"/>
        </w:rPr>
        <w:t>就变更运营权转让费金额的事宜进行协商</w:t>
      </w:r>
      <w:r>
        <w:rPr>
          <w:color w:val="auto"/>
          <w:highlight w:val="none"/>
          <w:lang w:bidi="ar"/>
        </w:rPr>
        <w:t>。</w:t>
      </w:r>
    </w:p>
    <w:p>
      <w:pPr>
        <w:numPr>
          <w:ilvl w:val="1"/>
          <w:numId w:val="2"/>
        </w:numPr>
        <w:spacing w:line="500" w:lineRule="exact"/>
        <w:ind w:left="0" w:firstLine="480" w:firstLineChars="200"/>
        <w:jc w:val="both"/>
        <w:outlineLvl w:val="9"/>
        <w:rPr>
          <w:rFonts w:hint="eastAsia"/>
          <w:color w:val="auto"/>
          <w:highlight w:val="none"/>
        </w:rPr>
      </w:pPr>
      <w:r>
        <w:rPr>
          <w:rFonts w:hint="eastAsia" w:cs="Times New Roman"/>
          <w:color w:val="auto"/>
          <w:highlight w:val="none"/>
          <w:lang w:val="en-US" w:eastAsia="zh-CN" w:bidi="ar"/>
        </w:rPr>
        <w:t>本协议项下的款项（包括但不限于运营权转让费、合作收益、履约保证金等）均应当支付至甲方指定的收款银行账号，甲方</w:t>
      </w:r>
      <w:r>
        <w:rPr>
          <w:rFonts w:hint="eastAsia" w:ascii="仿宋" w:hAnsi="仿宋" w:cs="Times New Roman"/>
          <w:color w:val="auto"/>
          <w:highlight w:val="none"/>
          <w:lang w:bidi="ar"/>
        </w:rPr>
        <w:t>未授权任何员工、第三方收款；付款方未向指定账号付款导致损失的，</w:t>
      </w:r>
      <w:r>
        <w:rPr>
          <w:rFonts w:hint="eastAsia" w:cs="Times New Roman"/>
          <w:color w:val="auto"/>
          <w:highlight w:val="none"/>
          <w:lang w:val="en-US" w:eastAsia="zh-CN" w:bidi="ar"/>
        </w:rPr>
        <w:t>相对</w:t>
      </w:r>
      <w:r>
        <w:rPr>
          <w:rFonts w:hint="eastAsia" w:ascii="仿宋" w:hAnsi="仿宋" w:cs="Times New Roman"/>
          <w:color w:val="auto"/>
          <w:highlight w:val="none"/>
          <w:lang w:bidi="ar"/>
        </w:rPr>
        <w:t>方不承担任何责任。</w:t>
      </w:r>
    </w:p>
    <w:p>
      <w:pPr>
        <w:numPr>
          <w:ilvl w:val="0"/>
          <w:numId w:val="2"/>
        </w:numPr>
        <w:tabs>
          <w:tab w:val="left" w:pos="0"/>
        </w:tabs>
        <w:spacing w:before="157" w:beforeLines="50" w:line="500" w:lineRule="exact"/>
        <w:ind w:left="425" w:hanging="425"/>
        <w:jc w:val="both"/>
        <w:outlineLvl w:val="0"/>
        <w:rPr>
          <w:rFonts w:hint="eastAsia" w:cs="Times New Roman"/>
          <w:b/>
          <w:bCs/>
          <w:color w:val="auto"/>
          <w:highlight w:val="none"/>
          <w:lang w:bidi="ar"/>
        </w:rPr>
      </w:pPr>
      <w:r>
        <w:rPr>
          <w:rFonts w:hint="eastAsia" w:cs="Times New Roman"/>
          <w:b/>
          <w:bCs/>
          <w:color w:val="auto"/>
          <w:highlight w:val="none"/>
          <w:lang w:val="en-US" w:eastAsia="zh-CN" w:bidi="ar"/>
        </w:rPr>
        <w:t>双方</w:t>
      </w:r>
      <w:r>
        <w:rPr>
          <w:rFonts w:hint="eastAsia" w:cs="Times New Roman"/>
          <w:b/>
          <w:bCs/>
          <w:color w:val="auto"/>
          <w:highlight w:val="none"/>
          <w:lang w:bidi="ar"/>
        </w:rPr>
        <w:t xml:space="preserve">权利义务 </w:t>
      </w:r>
    </w:p>
    <w:p>
      <w:pPr>
        <w:numPr>
          <w:ilvl w:val="1"/>
          <w:numId w:val="2"/>
        </w:numPr>
        <w:spacing w:line="500" w:lineRule="exact"/>
        <w:ind w:left="0" w:firstLine="482" w:firstLineChars="200"/>
        <w:jc w:val="both"/>
        <w:outlineLvl w:val="9"/>
        <w:rPr>
          <w:rFonts w:hint="default"/>
          <w:b/>
          <w:bCs/>
          <w:color w:val="auto"/>
          <w:highlight w:val="none"/>
          <w:lang w:bidi="ar"/>
        </w:rPr>
      </w:pPr>
      <w:r>
        <w:rPr>
          <w:rFonts w:hint="eastAsia"/>
          <w:b/>
          <w:bCs/>
          <w:color w:val="auto"/>
          <w:highlight w:val="none"/>
          <w:lang w:bidi="ar"/>
        </w:rPr>
        <w:t>甲方权利义务</w:t>
      </w:r>
      <w:r>
        <w:rPr>
          <w:b/>
          <w:bCs/>
          <w:color w:val="auto"/>
          <w:highlight w:val="none"/>
          <w:lang w:bidi="ar"/>
        </w:rPr>
        <w:t xml:space="preserve"> </w:t>
      </w:r>
    </w:p>
    <w:p>
      <w:pPr>
        <w:numPr>
          <w:ilvl w:val="2"/>
          <w:numId w:val="2"/>
        </w:numPr>
        <w:spacing w:line="500" w:lineRule="exact"/>
        <w:ind w:left="0" w:firstLine="480" w:firstLineChars="200"/>
        <w:jc w:val="both"/>
        <w:outlineLvl w:val="9"/>
        <w:rPr>
          <w:rFonts w:hint="default"/>
          <w:color w:val="auto"/>
          <w:highlight w:val="none"/>
          <w:lang w:bidi="ar"/>
        </w:rPr>
      </w:pPr>
      <w:r>
        <w:rPr>
          <w:rFonts w:hint="eastAsia"/>
          <w:color w:val="auto"/>
          <w:highlight w:val="none"/>
          <w:lang w:bidi="ar"/>
        </w:rPr>
        <w:t>甲方应按乙方合理要求及时向乙方提供本项目相关招商运营、租赁服务所需的全部资料。甲方不能提供的部分，乙方应当自行收集。乙方如需要从本项目所在地政府部门和相关企业取得策划及招商工作所需资料时，甲方应积极协助乙方进行联系与沟通。</w:t>
      </w:r>
      <w:r>
        <w:rPr>
          <w:color w:val="auto"/>
          <w:highlight w:val="none"/>
          <w:lang w:bidi="ar"/>
        </w:rPr>
        <w:t xml:space="preserve"> </w:t>
      </w:r>
    </w:p>
    <w:p>
      <w:pPr>
        <w:numPr>
          <w:ilvl w:val="2"/>
          <w:numId w:val="2"/>
        </w:numPr>
        <w:spacing w:line="500" w:lineRule="exact"/>
        <w:ind w:left="0" w:firstLine="480" w:firstLineChars="200"/>
        <w:jc w:val="both"/>
        <w:outlineLvl w:val="9"/>
        <w:rPr>
          <w:rFonts w:hint="default"/>
          <w:color w:val="auto"/>
          <w:highlight w:val="none"/>
          <w:lang w:bidi="ar"/>
        </w:rPr>
      </w:pPr>
      <w:r>
        <w:rPr>
          <w:rFonts w:hint="eastAsia"/>
          <w:color w:val="auto"/>
          <w:highlight w:val="none"/>
          <w:lang w:bidi="ar"/>
        </w:rPr>
        <w:t>在项目招商前，甲方需与乙方明确项目发展产业、招商目标，制定招商政策。招商政策制定后，由甲方和乙方共同书面确认。</w:t>
      </w:r>
    </w:p>
    <w:p>
      <w:pPr>
        <w:numPr>
          <w:ilvl w:val="2"/>
          <w:numId w:val="2"/>
        </w:numPr>
        <w:spacing w:line="500" w:lineRule="exact"/>
        <w:ind w:left="0" w:firstLine="480" w:firstLineChars="200"/>
        <w:jc w:val="both"/>
        <w:outlineLvl w:val="9"/>
        <w:rPr>
          <w:rFonts w:hint="default"/>
          <w:color w:val="auto"/>
          <w:highlight w:val="none"/>
          <w:lang w:bidi="ar"/>
        </w:rPr>
      </w:pPr>
      <w:r>
        <w:rPr>
          <w:rFonts w:hint="eastAsia"/>
          <w:color w:val="auto"/>
          <w:highlight w:val="none"/>
          <w:lang w:bidi="ar"/>
        </w:rPr>
        <w:t>甲方有权每</w:t>
      </w:r>
      <w:r>
        <w:rPr>
          <w:rFonts w:hint="eastAsia"/>
          <w:color w:val="auto"/>
          <w:highlight w:val="none"/>
          <w:lang w:val="en-US" w:eastAsia="zh-CN" w:bidi="ar"/>
        </w:rPr>
        <w:t>半年一</w:t>
      </w:r>
      <w:r>
        <w:rPr>
          <w:rFonts w:hint="eastAsia"/>
          <w:color w:val="auto"/>
          <w:highlight w:val="none"/>
          <w:lang w:bidi="ar"/>
        </w:rPr>
        <w:t>次对乙方履行本合同义务的情况</w:t>
      </w:r>
      <w:r>
        <w:rPr>
          <w:rFonts w:hint="eastAsia"/>
          <w:color w:val="auto"/>
          <w:highlight w:val="none"/>
          <w:lang w:eastAsia="zh-CN" w:bidi="ar"/>
        </w:rPr>
        <w:t>（</w:t>
      </w:r>
      <w:r>
        <w:rPr>
          <w:rFonts w:hint="eastAsia"/>
          <w:color w:val="auto"/>
          <w:highlight w:val="none"/>
          <w:lang w:val="en-US" w:eastAsia="zh-CN" w:bidi="ar"/>
        </w:rPr>
        <w:t>包括不限于产业责任、收益支付、招商事宜等本合同约定事项）</w:t>
      </w:r>
      <w:r>
        <w:rPr>
          <w:rFonts w:hint="eastAsia"/>
          <w:color w:val="auto"/>
          <w:highlight w:val="none"/>
          <w:lang w:bidi="ar"/>
        </w:rPr>
        <w:t>开展检查和监督，乙方应予以配合;但如甲方上级主管部门要求对本合同义务履行情况进行检查的不受前述次数限制。如甲方或甲方上级主管部门发现乙方存在履行合同义务不符合约定的情况，甲方有权要求乙方在合理期限内做出整改，乙方拒不整改</w:t>
      </w:r>
      <w:r>
        <w:rPr>
          <w:rFonts w:hint="eastAsia"/>
          <w:color w:val="auto"/>
          <w:highlight w:val="none"/>
          <w:lang w:val="en-US" w:eastAsia="zh-CN" w:bidi="ar"/>
        </w:rPr>
        <w:t>给甲方造成严重损失的，甲方有权要求乙方承担由此造成的全部直接经济损失；</w:t>
      </w:r>
      <w:r>
        <w:rPr>
          <w:rFonts w:hint="eastAsia"/>
          <w:color w:val="auto"/>
          <w:highlight w:val="none"/>
          <w:lang w:bidi="ar"/>
        </w:rPr>
        <w:t>超过</w:t>
      </w:r>
      <w:r>
        <w:rPr>
          <w:rFonts w:hint="eastAsia"/>
          <w:color w:val="auto"/>
          <w:highlight w:val="none"/>
          <w:lang w:val="en-US" w:eastAsia="zh-CN" w:bidi="ar"/>
        </w:rPr>
        <w:t>甲方要求的合理整改期限</w:t>
      </w:r>
      <w:r>
        <w:rPr>
          <w:color w:val="auto"/>
          <w:highlight w:val="none"/>
          <w:lang w:bidi="ar"/>
        </w:rPr>
        <w:t>60日</w:t>
      </w:r>
      <w:r>
        <w:rPr>
          <w:rFonts w:hint="eastAsia"/>
          <w:color w:val="auto"/>
          <w:highlight w:val="none"/>
          <w:lang w:val="en-US" w:eastAsia="zh-CN" w:bidi="ar"/>
        </w:rPr>
        <w:t>仍未整改</w:t>
      </w:r>
      <w:r>
        <w:rPr>
          <w:color w:val="auto"/>
          <w:highlight w:val="none"/>
          <w:lang w:bidi="ar"/>
        </w:rPr>
        <w:t xml:space="preserve">的，甲方有权终止本合同。 </w:t>
      </w:r>
    </w:p>
    <w:p>
      <w:pPr>
        <w:numPr>
          <w:ilvl w:val="2"/>
          <w:numId w:val="2"/>
        </w:numPr>
        <w:spacing w:line="500" w:lineRule="exact"/>
        <w:ind w:left="0" w:firstLine="480" w:firstLineChars="200"/>
        <w:jc w:val="both"/>
        <w:outlineLvl w:val="9"/>
        <w:rPr>
          <w:rFonts w:hint="eastAsia"/>
          <w:color w:val="auto"/>
          <w:highlight w:val="none"/>
          <w:lang w:bidi="ar"/>
        </w:rPr>
      </w:pPr>
      <w:r>
        <w:rPr>
          <w:rFonts w:hint="eastAsia"/>
          <w:color w:val="auto"/>
          <w:highlight w:val="none"/>
          <w:lang w:bidi="ar"/>
        </w:rPr>
        <w:t>甲方在合作过程中应保守所知的乙方的所有商业秘密，不得向任何第三方透露。</w:t>
      </w:r>
      <w:r>
        <w:rPr>
          <w:color w:val="auto"/>
          <w:highlight w:val="none"/>
          <w:lang w:bidi="ar"/>
        </w:rPr>
        <w:t xml:space="preserve"> </w:t>
      </w:r>
    </w:p>
    <w:p>
      <w:pPr>
        <w:numPr>
          <w:ilvl w:val="2"/>
          <w:numId w:val="2"/>
        </w:numPr>
        <w:spacing w:line="500" w:lineRule="exact"/>
        <w:ind w:left="0" w:firstLine="480" w:firstLineChars="200"/>
        <w:jc w:val="both"/>
        <w:outlineLvl w:val="9"/>
        <w:rPr>
          <w:rFonts w:hint="default"/>
          <w:strike w:val="0"/>
          <w:color w:val="auto"/>
          <w:highlight w:val="none"/>
          <w:lang w:bidi="ar"/>
        </w:rPr>
      </w:pPr>
      <w:r>
        <w:rPr>
          <w:rFonts w:hint="default"/>
          <w:color w:val="auto"/>
          <w:highlight w:val="none"/>
          <w:lang w:bidi="ar"/>
        </w:rPr>
        <w:t>如因</w:t>
      </w:r>
      <w:r>
        <w:rPr>
          <w:rFonts w:hint="eastAsia"/>
          <w:color w:val="auto"/>
          <w:highlight w:val="none"/>
          <w:lang w:bidi="ar"/>
        </w:rPr>
        <w:t>本项目全部建（构）筑物的主体结构质量问题</w:t>
      </w:r>
      <w:r>
        <w:rPr>
          <w:rFonts w:hint="default"/>
          <w:color w:val="auto"/>
          <w:highlight w:val="none"/>
          <w:lang w:bidi="ar"/>
        </w:rPr>
        <w:t>，严重影响乙方及乙方客户正常经营的，甲方应当在接到乙方通知后的合理期限内完成修复</w:t>
      </w:r>
      <w:r>
        <w:rPr>
          <w:rFonts w:hint="eastAsia"/>
          <w:color w:val="auto"/>
          <w:highlight w:val="none"/>
          <w:lang w:eastAsia="zh-CN" w:bidi="ar"/>
        </w:rPr>
        <w:t>；</w:t>
      </w:r>
      <w:r>
        <w:rPr>
          <w:rFonts w:hint="eastAsia"/>
          <w:color w:val="auto"/>
          <w:highlight w:val="none"/>
          <w:lang w:val="en-US" w:eastAsia="zh-CN" w:bidi="ar"/>
        </w:rPr>
        <w:t>但因乙方或乙方客户经营中非正常使用导致损坏的除外</w:t>
      </w:r>
      <w:r>
        <w:rPr>
          <w:rFonts w:hint="default"/>
          <w:color w:val="auto"/>
          <w:highlight w:val="none"/>
          <w:lang w:bidi="ar"/>
        </w:rPr>
        <w:t>。</w:t>
      </w:r>
    </w:p>
    <w:p>
      <w:pPr>
        <w:numPr>
          <w:ilvl w:val="1"/>
          <w:numId w:val="2"/>
        </w:numPr>
        <w:spacing w:line="500" w:lineRule="exact"/>
        <w:ind w:left="0" w:firstLine="482" w:firstLineChars="200"/>
        <w:jc w:val="both"/>
        <w:outlineLvl w:val="9"/>
        <w:rPr>
          <w:rFonts w:hint="default"/>
          <w:b/>
          <w:bCs/>
          <w:color w:val="auto"/>
          <w:highlight w:val="none"/>
          <w:lang w:bidi="ar"/>
        </w:rPr>
      </w:pPr>
      <w:r>
        <w:rPr>
          <w:rFonts w:hint="eastAsia"/>
          <w:b/>
          <w:bCs/>
          <w:color w:val="auto"/>
          <w:highlight w:val="none"/>
          <w:lang w:bidi="ar"/>
        </w:rPr>
        <w:t>乙方权利义务</w:t>
      </w:r>
      <w:r>
        <w:rPr>
          <w:b/>
          <w:bCs/>
          <w:color w:val="auto"/>
          <w:highlight w:val="none"/>
          <w:lang w:bidi="ar"/>
        </w:rPr>
        <w:t xml:space="preserve"> </w:t>
      </w:r>
    </w:p>
    <w:p>
      <w:pPr>
        <w:numPr>
          <w:ilvl w:val="2"/>
          <w:numId w:val="2"/>
        </w:numPr>
        <w:spacing w:line="500" w:lineRule="exact"/>
        <w:ind w:left="0" w:firstLine="444" w:firstLineChars="200"/>
        <w:jc w:val="both"/>
        <w:outlineLvl w:val="9"/>
        <w:rPr>
          <w:rFonts w:hint="default"/>
          <w:color w:val="auto"/>
          <w:highlight w:val="none"/>
          <w:lang w:bidi="ar"/>
        </w:rPr>
      </w:pPr>
      <w:r>
        <w:rPr>
          <w:rFonts w:hint="eastAsia" w:cs="Times New Roman"/>
          <w:color w:val="auto"/>
          <w:spacing w:val="-9"/>
          <w:highlight w:val="none"/>
          <w:lang w:val="en-US" w:eastAsia="zh-CN"/>
        </w:rPr>
        <w:t>乙方</w:t>
      </w:r>
      <w:r>
        <w:rPr>
          <w:rFonts w:cs="Times New Roman"/>
          <w:color w:val="auto"/>
          <w:spacing w:val="-9"/>
          <w:highlight w:val="none"/>
        </w:rPr>
        <w:t>声明并保证</w:t>
      </w:r>
      <w:r>
        <w:rPr>
          <w:rFonts w:hint="eastAsia" w:cs="Times New Roman"/>
          <w:color w:val="auto"/>
          <w:spacing w:val="-9"/>
          <w:highlight w:val="none"/>
        </w:rPr>
        <w:t>，</w:t>
      </w:r>
      <w:r>
        <w:rPr>
          <w:rFonts w:cs="Times New Roman"/>
          <w:color w:val="auto"/>
          <w:spacing w:val="-9"/>
          <w:highlight w:val="none"/>
        </w:rPr>
        <w:t>其在本协议签订时有完全的民事行为能力并经正当授权以签订本协议及履行其在本协议中明示承诺的义务</w:t>
      </w:r>
      <w:r>
        <w:rPr>
          <w:rFonts w:hint="eastAsia" w:cs="Times New Roman"/>
          <w:color w:val="auto"/>
          <w:spacing w:val="-9"/>
          <w:highlight w:val="none"/>
        </w:rPr>
        <w:t>，</w:t>
      </w:r>
      <w:r>
        <w:rPr>
          <w:rFonts w:hint="eastAsia"/>
          <w:color w:val="auto"/>
          <w:highlight w:val="none"/>
        </w:rPr>
        <w:t>本协议构成对其合法的、具有约束的义务</w:t>
      </w:r>
      <w:r>
        <w:rPr>
          <w:rFonts w:hint="eastAsia" w:cs="Times New Roman"/>
          <w:color w:val="auto"/>
          <w:spacing w:val="-9"/>
          <w:highlight w:val="none"/>
        </w:rPr>
        <w:t>；</w:t>
      </w:r>
      <w:r>
        <w:rPr>
          <w:rFonts w:hint="eastAsia" w:cs="Times New Roman"/>
          <w:color w:val="auto"/>
          <w:spacing w:val="-9"/>
          <w:highlight w:val="none"/>
          <w:lang w:val="en-US" w:eastAsia="zh-CN"/>
        </w:rPr>
        <w:t>乙方已</w:t>
      </w:r>
      <w:r>
        <w:rPr>
          <w:rFonts w:cs="Times New Roman"/>
          <w:color w:val="auto"/>
          <w:spacing w:val="-9"/>
          <w:highlight w:val="none"/>
        </w:rPr>
        <w:t>采取了所有必要的公司行为和获得了所有必要的许可以授权对本协议的签订和履行</w:t>
      </w:r>
      <w:r>
        <w:rPr>
          <w:rFonts w:hint="eastAsia" w:cs="Times New Roman"/>
          <w:color w:val="auto"/>
          <w:spacing w:val="-9"/>
          <w:highlight w:val="none"/>
          <w:lang w:eastAsia="zh-CN"/>
        </w:rPr>
        <w:t>。</w:t>
      </w:r>
    </w:p>
    <w:p>
      <w:pPr>
        <w:numPr>
          <w:ilvl w:val="2"/>
          <w:numId w:val="2"/>
        </w:numPr>
        <w:spacing w:line="500" w:lineRule="exact"/>
        <w:ind w:left="0" w:firstLine="480" w:firstLineChars="200"/>
        <w:jc w:val="both"/>
        <w:outlineLvl w:val="9"/>
        <w:rPr>
          <w:rFonts w:hint="default"/>
          <w:color w:val="auto"/>
          <w:highlight w:val="none"/>
          <w:lang w:bidi="ar"/>
        </w:rPr>
      </w:pPr>
      <w:r>
        <w:rPr>
          <w:rFonts w:hint="eastAsia"/>
          <w:color w:val="auto"/>
          <w:highlight w:val="none"/>
          <w:lang w:bidi="ar"/>
        </w:rPr>
        <w:t>乙方应严格按合同约定，遵守相关法律法规及甲方的具体要求，积极完成运营服务工作，配合甲方做好其他各项相关工作。</w:t>
      </w:r>
      <w:r>
        <w:rPr>
          <w:color w:val="auto"/>
          <w:highlight w:val="none"/>
          <w:lang w:bidi="ar"/>
        </w:rPr>
        <w:t xml:space="preserve"> </w:t>
      </w:r>
    </w:p>
    <w:p>
      <w:pPr>
        <w:numPr>
          <w:ilvl w:val="2"/>
          <w:numId w:val="2"/>
        </w:numPr>
        <w:spacing w:line="500" w:lineRule="exact"/>
        <w:ind w:left="0" w:firstLine="480" w:firstLineChars="200"/>
        <w:jc w:val="both"/>
        <w:outlineLvl w:val="9"/>
        <w:rPr>
          <w:rFonts w:hint="eastAsia"/>
          <w:color w:val="auto"/>
          <w:highlight w:val="none"/>
          <w:lang w:bidi="ar"/>
        </w:rPr>
      </w:pPr>
      <w:r>
        <w:rPr>
          <w:rFonts w:hint="eastAsia"/>
          <w:color w:val="auto"/>
          <w:highlight w:val="none"/>
          <w:lang w:bidi="ar"/>
        </w:rPr>
        <w:t>依据本合同的约定，按时足额向甲方支付运营权转让费和合作收益。</w:t>
      </w:r>
    </w:p>
    <w:p>
      <w:pPr>
        <w:numPr>
          <w:ilvl w:val="2"/>
          <w:numId w:val="2"/>
        </w:numPr>
        <w:spacing w:line="500" w:lineRule="exact"/>
        <w:ind w:left="0" w:firstLine="480" w:firstLineChars="200"/>
        <w:jc w:val="both"/>
        <w:outlineLvl w:val="9"/>
        <w:rPr>
          <w:rFonts w:hint="eastAsia"/>
          <w:color w:val="auto"/>
          <w:highlight w:val="none"/>
          <w:lang w:bidi="ar"/>
        </w:rPr>
      </w:pPr>
      <w:r>
        <w:rPr>
          <w:rFonts w:hint="eastAsia"/>
          <w:color w:val="auto"/>
          <w:highlight w:val="none"/>
          <w:lang w:bidi="ar"/>
        </w:rPr>
        <w:t>乙方有权利用项目</w:t>
      </w:r>
      <w:r>
        <w:rPr>
          <w:rFonts w:hint="eastAsia"/>
          <w:color w:val="auto"/>
          <w:highlight w:val="none"/>
          <w:lang w:val="en-US" w:eastAsia="zh-CN" w:bidi="ar"/>
        </w:rPr>
        <w:t>运营服务</w:t>
      </w:r>
      <w:r>
        <w:rPr>
          <w:rFonts w:hint="eastAsia"/>
          <w:color w:val="auto"/>
          <w:highlight w:val="none"/>
          <w:lang w:bidi="ar"/>
        </w:rPr>
        <w:t>范围内的建（构）筑物及公共区域对外进行招商和出租，并获取相应收入。乙方如开展厂房或人才公寓租赁之外的其他经营活动，须事先征得甲方书面同意，且不得违反国家法律法规或政策规定，不得损害甲方、入园企业或社会公共利益。</w:t>
      </w:r>
    </w:p>
    <w:p>
      <w:pPr>
        <w:numPr>
          <w:ilvl w:val="2"/>
          <w:numId w:val="2"/>
        </w:numPr>
        <w:spacing w:line="500" w:lineRule="exact"/>
        <w:ind w:left="0" w:firstLine="480" w:firstLineChars="200"/>
        <w:jc w:val="both"/>
        <w:outlineLvl w:val="9"/>
        <w:rPr>
          <w:rFonts w:hint="eastAsia"/>
          <w:color w:val="auto"/>
          <w:highlight w:val="none"/>
          <w:lang w:bidi="ar"/>
        </w:rPr>
      </w:pPr>
      <w:r>
        <w:rPr>
          <w:rFonts w:hint="eastAsia"/>
          <w:color w:val="auto"/>
          <w:highlight w:val="none"/>
          <w:lang w:bidi="ar"/>
        </w:rPr>
        <w:t>乙方应当按照确认的招商政策开展招商活动，确保入园企业符合本项目产业准入类型和招商政策，并应在与入园企业签订合同前将入园企业资料及拟签订的合同等提交甲方，引入本项目的企业及与企业签订的相关合同应接受甲方的监督和审查，经甲方或相关部门审核通过后方可进入生产</w:t>
      </w:r>
      <w:r>
        <w:rPr>
          <w:rFonts w:hint="eastAsia"/>
          <w:color w:val="auto"/>
          <w:highlight w:val="none"/>
          <w:lang w:eastAsia="zh-CN" w:bidi="ar"/>
        </w:rPr>
        <w:t>。</w:t>
      </w:r>
      <w:r>
        <w:rPr>
          <w:rFonts w:hint="eastAsia"/>
          <w:color w:val="auto"/>
          <w:highlight w:val="none"/>
          <w:lang w:val="en-US" w:eastAsia="zh-CN" w:bidi="ar"/>
        </w:rPr>
        <w:t>乙方与入驻企业签订的相关合同应自签订之日起10日内提交甲方备案</w:t>
      </w:r>
      <w:r>
        <w:rPr>
          <w:rFonts w:hint="eastAsia"/>
          <w:color w:val="auto"/>
          <w:highlight w:val="none"/>
          <w:lang w:bidi="ar"/>
        </w:rPr>
        <w:t>。</w:t>
      </w:r>
    </w:p>
    <w:p>
      <w:pPr>
        <w:numPr>
          <w:ilvl w:val="2"/>
          <w:numId w:val="2"/>
        </w:numPr>
        <w:spacing w:line="500" w:lineRule="exact"/>
        <w:ind w:left="0" w:firstLine="480" w:firstLineChars="200"/>
        <w:jc w:val="both"/>
        <w:outlineLvl w:val="9"/>
        <w:rPr>
          <w:rFonts w:hint="eastAsia"/>
          <w:color w:val="auto"/>
          <w:highlight w:val="none"/>
          <w:lang w:bidi="ar"/>
        </w:rPr>
      </w:pPr>
      <w:r>
        <w:rPr>
          <w:rFonts w:hint="eastAsia"/>
          <w:color w:val="auto"/>
          <w:highlight w:val="none"/>
          <w:lang w:bidi="ar"/>
        </w:rPr>
        <w:t>未经甲方</w:t>
      </w:r>
      <w:r>
        <w:rPr>
          <w:rFonts w:hint="default"/>
          <w:color w:val="auto"/>
          <w:highlight w:val="none"/>
          <w:lang w:val="en-US" w:eastAsia="zh-CN" w:bidi="ar"/>
        </w:rPr>
        <w:t>书面</w:t>
      </w:r>
      <w:r>
        <w:rPr>
          <w:rFonts w:hint="eastAsia"/>
          <w:color w:val="auto"/>
          <w:highlight w:val="none"/>
          <w:lang w:bidi="ar"/>
        </w:rPr>
        <w:t>同意，乙方不得一次性收取承租第三方</w:t>
      </w:r>
      <w:r>
        <w:rPr>
          <w:color w:val="auto"/>
          <w:highlight w:val="none"/>
          <w:lang w:bidi="ar"/>
        </w:rPr>
        <w:t>3年或（含）以上的租金（含等额保证金或以其他名义收取的款项），同时租期不得超过</w:t>
      </w:r>
      <w:r>
        <w:rPr>
          <w:rFonts w:hint="eastAsia"/>
          <w:color w:val="auto"/>
          <w:highlight w:val="none"/>
          <w:lang w:val="en-US" w:eastAsia="zh-CN" w:bidi="ar"/>
        </w:rPr>
        <w:t>本</w:t>
      </w:r>
      <w:r>
        <w:rPr>
          <w:color w:val="auto"/>
          <w:highlight w:val="none"/>
          <w:lang w:bidi="ar"/>
        </w:rPr>
        <w:t>合同剩余的运营合作期限。</w:t>
      </w:r>
    </w:p>
    <w:p>
      <w:pPr>
        <w:numPr>
          <w:ilvl w:val="2"/>
          <w:numId w:val="2"/>
        </w:numPr>
        <w:spacing w:line="500" w:lineRule="exact"/>
        <w:ind w:left="0" w:firstLine="480" w:firstLineChars="200"/>
        <w:jc w:val="both"/>
        <w:outlineLvl w:val="9"/>
        <w:rPr>
          <w:rFonts w:hint="eastAsia"/>
          <w:color w:val="auto"/>
          <w:highlight w:val="none"/>
          <w:lang w:bidi="ar"/>
        </w:rPr>
      </w:pPr>
      <w:r>
        <w:rPr>
          <w:rFonts w:hint="eastAsia"/>
          <w:color w:val="auto"/>
          <w:highlight w:val="none"/>
          <w:lang w:bidi="ar"/>
        </w:rPr>
        <w:t>乙方应当在合作期限内对本项目范围内的全部建（构）筑物及公共区域和设施设备开展管理、维护、维修和更换等工作，确保全部建（构）筑物及公共区域和设施设备符合正常使用要求，乙方开展前述工作所产生的费用均由乙方自行承担。</w:t>
      </w:r>
    </w:p>
    <w:p>
      <w:pPr>
        <w:numPr>
          <w:ilvl w:val="2"/>
          <w:numId w:val="2"/>
        </w:numPr>
        <w:spacing w:line="500" w:lineRule="exact"/>
        <w:ind w:left="0" w:firstLine="480" w:firstLineChars="200"/>
        <w:jc w:val="both"/>
        <w:outlineLvl w:val="9"/>
        <w:rPr>
          <w:rFonts w:hint="eastAsia"/>
          <w:color w:val="auto"/>
          <w:highlight w:val="none"/>
          <w:lang w:bidi="ar"/>
        </w:rPr>
      </w:pPr>
      <w:r>
        <w:rPr>
          <w:rFonts w:hint="eastAsia"/>
          <w:color w:val="auto"/>
          <w:highlight w:val="none"/>
          <w:lang w:bidi="ar"/>
        </w:rPr>
        <w:t>乙方在合作期限内不得在未经甲方或相关部门批准情况下对本项目范围内的全部建（构）筑物及公共区域进行加建、改建或改造，也应当确保入园企业不从事前述行为。乙方在合作期限内征得甲方同意的情况下，有权根据项目经营需要对本项目范围内的全部建（构）筑物及公共区域进行必要的装修装饰。若因装修装饰需要申请报批报建手续的，甲方应积极协助乙方申报，或配合以产权人名义进行申报。乙方开展装饰装修、加建、改建或改造所产生的一切费用由乙方自行承担。</w:t>
      </w:r>
    </w:p>
    <w:p>
      <w:pPr>
        <w:numPr>
          <w:ilvl w:val="2"/>
          <w:numId w:val="2"/>
        </w:numPr>
        <w:spacing w:line="500" w:lineRule="exact"/>
        <w:ind w:left="0" w:firstLine="480" w:firstLineChars="200"/>
        <w:jc w:val="both"/>
        <w:rPr>
          <w:rFonts w:hint="eastAsia"/>
          <w:color w:val="auto"/>
          <w:highlight w:val="none"/>
        </w:rPr>
      </w:pPr>
      <w:r>
        <w:rPr>
          <w:rFonts w:hint="eastAsia"/>
          <w:color w:val="auto"/>
          <w:highlight w:val="none"/>
          <w:lang w:bidi="ar"/>
        </w:rPr>
        <w:t>乙方应组成专业项目团队进行本次工作，保证该团队具有足够的专业能力，并与甲方密切联系，加强沟通。</w:t>
      </w:r>
      <w:r>
        <w:rPr>
          <w:color w:val="auto"/>
          <w:highlight w:val="none"/>
          <w:lang w:bidi="ar"/>
        </w:rPr>
        <w:t xml:space="preserve"> </w:t>
      </w:r>
    </w:p>
    <w:p>
      <w:pPr>
        <w:numPr>
          <w:ilvl w:val="2"/>
          <w:numId w:val="2"/>
        </w:numPr>
        <w:spacing w:line="500" w:lineRule="exact"/>
        <w:ind w:left="0" w:firstLine="480" w:firstLineChars="200"/>
        <w:jc w:val="both"/>
        <w:rPr>
          <w:rFonts w:hint="eastAsia"/>
          <w:color w:val="auto"/>
          <w:highlight w:val="none"/>
        </w:rPr>
      </w:pPr>
      <w:r>
        <w:rPr>
          <w:rFonts w:hint="eastAsia"/>
          <w:color w:val="auto"/>
          <w:highlight w:val="none"/>
          <w:lang w:bidi="ar"/>
        </w:rPr>
        <w:t>乙方应及时对本项目服务的进展、存在的相关问题向甲方进行汇报，并接受甲方对乙方履行本合同情况的检查和监督。</w:t>
      </w:r>
      <w:r>
        <w:rPr>
          <w:color w:val="auto"/>
          <w:highlight w:val="none"/>
          <w:lang w:bidi="ar"/>
        </w:rPr>
        <w:t xml:space="preserve"> </w:t>
      </w:r>
    </w:p>
    <w:p>
      <w:pPr>
        <w:numPr>
          <w:ilvl w:val="2"/>
          <w:numId w:val="2"/>
        </w:numPr>
        <w:spacing w:line="500" w:lineRule="exact"/>
        <w:ind w:left="0" w:firstLine="480" w:firstLineChars="200"/>
        <w:jc w:val="both"/>
        <w:rPr>
          <w:rFonts w:hint="eastAsia"/>
          <w:color w:val="auto"/>
          <w:highlight w:val="none"/>
          <w:lang w:bidi="ar"/>
        </w:rPr>
      </w:pPr>
      <w:r>
        <w:rPr>
          <w:rFonts w:hint="eastAsia"/>
          <w:color w:val="auto"/>
          <w:highlight w:val="none"/>
          <w:lang w:bidi="ar"/>
        </w:rPr>
        <w:t>乙方应严格按合同规定的计划开展工作，乙方所受的委托权仅限于完成本项目服务所必须的相关活动，不得以甲方名义从事其它未经授权、与本项目无关的民事经济行为。</w:t>
      </w:r>
    </w:p>
    <w:p>
      <w:pPr>
        <w:numPr>
          <w:ilvl w:val="2"/>
          <w:numId w:val="2"/>
        </w:numPr>
        <w:spacing w:line="500" w:lineRule="exact"/>
        <w:ind w:left="0" w:firstLine="480" w:firstLineChars="200"/>
        <w:jc w:val="both"/>
        <w:rPr>
          <w:rFonts w:hint="eastAsia"/>
          <w:color w:val="auto"/>
          <w:highlight w:val="none"/>
        </w:rPr>
      </w:pPr>
      <w:r>
        <w:rPr>
          <w:rFonts w:hint="eastAsia"/>
          <w:color w:val="auto"/>
          <w:highlight w:val="none"/>
          <w:lang w:val="en-US" w:eastAsia="zh-CN" w:bidi="ar"/>
        </w:rPr>
        <w:t>乙方</w:t>
      </w:r>
      <w:r>
        <w:rPr>
          <w:rFonts w:hint="eastAsia"/>
          <w:color w:val="auto"/>
          <w:highlight w:val="none"/>
          <w:lang w:bidi="ar"/>
        </w:rPr>
        <w:t>自合作期限起始之日</w:t>
      </w:r>
      <w:r>
        <w:rPr>
          <w:rFonts w:hint="eastAsia"/>
          <w:color w:val="auto"/>
          <w:highlight w:val="none"/>
          <w:lang w:val="en-US" w:eastAsia="zh-CN" w:bidi="ar"/>
        </w:rPr>
        <w:t>起负责购买与本项目运营相关的保险，保险费用由乙方承担，具体包括：</w:t>
      </w:r>
    </w:p>
    <w:p>
      <w:pPr>
        <w:numPr>
          <w:ilvl w:val="0"/>
          <w:numId w:val="3"/>
        </w:numPr>
        <w:spacing w:line="500" w:lineRule="exact"/>
        <w:ind w:left="905" w:leftChars="200" w:hanging="425" w:firstLineChars="0"/>
        <w:jc w:val="both"/>
        <w:rPr>
          <w:rFonts w:hint="eastAsia"/>
          <w:color w:val="auto"/>
          <w:highlight w:val="none"/>
          <w:lang w:val="en-US" w:eastAsia="zh-CN" w:bidi="ar"/>
        </w:rPr>
      </w:pPr>
      <w:r>
        <w:rPr>
          <w:rFonts w:hint="eastAsia"/>
          <w:color w:val="auto"/>
          <w:highlight w:val="none"/>
          <w:lang w:val="en-US" w:eastAsia="zh-CN" w:bidi="ar"/>
        </w:rPr>
        <w:t>业务中断保险：保障乙方及乙方客户在因保险责任内的事件（包括但不限于建/构筑物及相关设施设备损坏、</w:t>
      </w:r>
      <w:r>
        <w:rPr>
          <w:rFonts w:hint="eastAsia"/>
          <w:color w:val="auto"/>
          <w:highlight w:val="none"/>
          <w:lang w:bidi="ar"/>
        </w:rPr>
        <w:t>自然灾害、</w:t>
      </w:r>
      <w:r>
        <w:rPr>
          <w:rFonts w:hint="eastAsia"/>
          <w:color w:val="auto"/>
          <w:highlight w:val="none"/>
          <w:lang w:val="en-US" w:eastAsia="zh-CN" w:bidi="ar"/>
        </w:rPr>
        <w:t>流行疾病、社会事件等）导致业务中断的经营损失；</w:t>
      </w:r>
    </w:p>
    <w:p>
      <w:pPr>
        <w:numPr>
          <w:ilvl w:val="0"/>
          <w:numId w:val="3"/>
        </w:numPr>
        <w:spacing w:line="500" w:lineRule="exact"/>
        <w:ind w:left="905" w:leftChars="200" w:hanging="425" w:firstLineChars="0"/>
        <w:jc w:val="both"/>
        <w:rPr>
          <w:rFonts w:hint="eastAsia"/>
          <w:color w:val="auto"/>
          <w:highlight w:val="none"/>
        </w:rPr>
      </w:pPr>
      <w:r>
        <w:rPr>
          <w:rFonts w:hint="eastAsia"/>
          <w:color w:val="auto"/>
          <w:highlight w:val="none"/>
          <w:lang w:val="en-US" w:eastAsia="zh-CN" w:bidi="ar"/>
        </w:rPr>
        <w:t>公众责任保险：保障乙方及乙方客户因业务活动可能造成第三方人身和财产损失所应承担的赔偿责任；</w:t>
      </w:r>
    </w:p>
    <w:p>
      <w:pPr>
        <w:numPr>
          <w:ilvl w:val="0"/>
          <w:numId w:val="3"/>
        </w:numPr>
        <w:spacing w:line="500" w:lineRule="exact"/>
        <w:ind w:left="905" w:leftChars="200" w:hanging="425" w:firstLineChars="0"/>
        <w:jc w:val="both"/>
        <w:rPr>
          <w:rFonts w:hint="eastAsia"/>
          <w:color w:val="auto"/>
          <w:highlight w:val="none"/>
        </w:rPr>
      </w:pPr>
      <w:r>
        <w:rPr>
          <w:rFonts w:hint="eastAsia"/>
          <w:color w:val="auto"/>
          <w:highlight w:val="none"/>
          <w:lang w:val="en-US" w:eastAsia="zh-CN" w:bidi="ar"/>
        </w:rPr>
        <w:t>机器损坏保险：保障本项目各种机器设施设备（本项目承租方、购房业主所有机器设备除外）在运行过程中因与其特性相关的人为的、意外的或物理原因造成突然发生的、不可预见的损失；</w:t>
      </w:r>
    </w:p>
    <w:p>
      <w:pPr>
        <w:numPr>
          <w:ilvl w:val="0"/>
          <w:numId w:val="3"/>
        </w:numPr>
        <w:spacing w:line="500" w:lineRule="exact"/>
        <w:ind w:left="905" w:leftChars="200" w:hanging="425" w:firstLineChars="0"/>
        <w:jc w:val="both"/>
        <w:rPr>
          <w:rFonts w:hint="eastAsia"/>
          <w:color w:val="auto"/>
          <w:highlight w:val="none"/>
        </w:rPr>
      </w:pPr>
      <w:r>
        <w:rPr>
          <w:rFonts w:hint="eastAsia"/>
          <w:color w:val="auto"/>
          <w:highlight w:val="none"/>
          <w:lang w:val="en-US" w:eastAsia="zh-CN" w:bidi="ar"/>
        </w:rPr>
        <w:t>安全生产责任保险：保障乙方及乙方客户对本项目生产安全事故造成的人身伤亡、财产损失等所应承担的赔偿责任；</w:t>
      </w:r>
    </w:p>
    <w:p>
      <w:pPr>
        <w:numPr>
          <w:ilvl w:val="-1"/>
          <w:numId w:val="0"/>
        </w:numPr>
        <w:spacing w:line="500" w:lineRule="exact"/>
        <w:ind w:left="0" w:leftChars="0" w:firstLine="480" w:firstLineChars="200"/>
        <w:jc w:val="both"/>
        <w:rPr>
          <w:rFonts w:hint="eastAsia"/>
          <w:color w:val="auto"/>
          <w:highlight w:val="none"/>
        </w:rPr>
      </w:pPr>
      <w:r>
        <w:rPr>
          <w:rFonts w:hint="eastAsia"/>
          <w:color w:val="auto"/>
          <w:highlight w:val="none"/>
          <w:lang w:val="en-US" w:eastAsia="zh-CN" w:bidi="ar"/>
        </w:rPr>
        <w:t>乙方购买前述保险后应当及时将</w:t>
      </w:r>
      <w:r>
        <w:rPr>
          <w:rFonts w:hint="eastAsia"/>
          <w:color w:val="auto"/>
          <w:highlight w:val="none"/>
          <w:lang w:bidi="ar"/>
        </w:rPr>
        <w:t>保险合同给甲方备案</w:t>
      </w:r>
      <w:r>
        <w:rPr>
          <w:rFonts w:hint="eastAsia"/>
          <w:color w:val="auto"/>
          <w:highlight w:val="none"/>
          <w:lang w:eastAsia="zh-CN" w:bidi="ar"/>
        </w:rPr>
        <w:t>，</w:t>
      </w:r>
      <w:r>
        <w:rPr>
          <w:rFonts w:hint="eastAsia"/>
          <w:color w:val="auto"/>
          <w:highlight w:val="none"/>
          <w:lang w:bidi="ar"/>
        </w:rPr>
        <w:t>如乙方未购买前述约定保险的，由此造成的经济损失，由乙方承担全部赔偿责任。</w:t>
      </w:r>
      <w:r>
        <w:rPr>
          <w:rFonts w:hint="eastAsia"/>
          <w:color w:val="auto"/>
          <w:highlight w:val="none"/>
          <w:lang w:val="en-US" w:eastAsia="zh-CN" w:bidi="ar"/>
        </w:rPr>
        <w:t>甲方负责购买运营物业建（构）筑物及产权归属甲方的相关固定资产的财产一切险。</w:t>
      </w:r>
    </w:p>
    <w:p>
      <w:pPr>
        <w:numPr>
          <w:ilvl w:val="2"/>
          <w:numId w:val="2"/>
        </w:numPr>
        <w:spacing w:line="500" w:lineRule="exact"/>
        <w:ind w:left="0" w:firstLine="480" w:firstLineChars="200"/>
        <w:jc w:val="both"/>
        <w:rPr>
          <w:rFonts w:hint="eastAsia"/>
          <w:color w:val="auto"/>
          <w:highlight w:val="none"/>
        </w:rPr>
      </w:pPr>
      <w:r>
        <w:rPr>
          <w:rFonts w:hint="eastAsia"/>
          <w:color w:val="auto"/>
          <w:highlight w:val="none"/>
        </w:rPr>
        <w:t>本项目范围内的全部建（构）筑物和设施设备因本合同约定的不可抗力事件或其他非甲方原因造成损坏、损毁的，</w:t>
      </w:r>
      <w:r>
        <w:rPr>
          <w:rFonts w:hint="eastAsia"/>
          <w:color w:val="auto"/>
          <w:highlight w:val="none"/>
          <w:lang w:val="en-US" w:eastAsia="zh-CN"/>
        </w:rPr>
        <w:t>由乙方承担。乙方可</w:t>
      </w:r>
      <w:r>
        <w:rPr>
          <w:rFonts w:hint="eastAsia"/>
          <w:color w:val="auto"/>
          <w:highlight w:val="none"/>
        </w:rPr>
        <w:t>以</w:t>
      </w:r>
      <w:r>
        <w:rPr>
          <w:rFonts w:hint="eastAsia"/>
          <w:color w:val="auto"/>
          <w:highlight w:val="none"/>
          <w:lang w:val="en-US" w:eastAsia="zh-CN"/>
        </w:rPr>
        <w:t>自行或使用</w:t>
      </w:r>
      <w:r>
        <w:rPr>
          <w:rFonts w:hint="eastAsia"/>
          <w:color w:val="auto"/>
          <w:highlight w:val="none"/>
        </w:rPr>
        <w:t>保险赔付款项或第三方赔偿款进行重建、维修及更换。</w:t>
      </w:r>
    </w:p>
    <w:p>
      <w:pPr>
        <w:numPr>
          <w:ilvl w:val="2"/>
          <w:numId w:val="2"/>
        </w:numPr>
        <w:spacing w:line="500" w:lineRule="exact"/>
        <w:ind w:left="0" w:firstLine="480" w:firstLineChars="200"/>
        <w:jc w:val="both"/>
        <w:rPr>
          <w:rFonts w:hint="eastAsia"/>
          <w:color w:val="auto"/>
          <w:highlight w:val="none"/>
        </w:rPr>
      </w:pPr>
      <w:r>
        <w:rPr>
          <w:rFonts w:hint="eastAsia"/>
          <w:color w:val="auto"/>
          <w:highlight w:val="none"/>
          <w:lang w:val="en-US" w:eastAsia="zh-CN"/>
        </w:rPr>
        <w:t>乙方负责人为安全生产责任人。</w:t>
      </w:r>
      <w:r>
        <w:rPr>
          <w:rFonts w:hint="eastAsia"/>
          <w:color w:val="auto"/>
          <w:highlight w:val="none"/>
        </w:rPr>
        <w:t>如因乙方或乙方客户未落实安全管理规定或法律法规规定要求，引发火灾、安全生产事故、造成人员伤亡、未经许可擅自装修施工、超载使用、堆放易燃易爆品及危险物品等情形的，则乙方或乙方客户各自承担相应责任。</w:t>
      </w:r>
    </w:p>
    <w:p>
      <w:pPr>
        <w:numPr>
          <w:ilvl w:val="2"/>
          <w:numId w:val="2"/>
        </w:numPr>
        <w:spacing w:line="500" w:lineRule="exact"/>
        <w:ind w:left="0" w:firstLine="480" w:firstLineChars="200"/>
        <w:jc w:val="both"/>
        <w:rPr>
          <w:rFonts w:hint="default" w:eastAsia="仿宋"/>
          <w:color w:val="auto"/>
          <w:highlight w:val="none"/>
          <w:lang w:val="en-US" w:eastAsia="zh-CN"/>
        </w:rPr>
      </w:pPr>
      <w:r>
        <w:rPr>
          <w:rFonts w:hint="eastAsia"/>
          <w:color w:val="auto"/>
          <w:highlight w:val="none"/>
          <w:lang w:val="en-US" w:eastAsia="zh-CN"/>
        </w:rPr>
        <w:t>未经甲方事先书面同意，乙方不得将本项目的全部或部分运营服务内容以任何形式转包给任何第三方，否则甲方有权单方选择解除本合同，并要求乙方承担因此给甲方造成的一切损失以及为追究乙方责任而支出的合理费用（如律师费、诉讼费、差旅费等），且乙方已支付的运营权转让费及合作收益不予退还。</w:t>
      </w:r>
    </w:p>
    <w:p>
      <w:pPr>
        <w:numPr>
          <w:ilvl w:val="0"/>
          <w:numId w:val="2"/>
        </w:numPr>
        <w:tabs>
          <w:tab w:val="left" w:pos="0"/>
        </w:tabs>
        <w:spacing w:before="157" w:beforeLines="50" w:line="500" w:lineRule="exact"/>
        <w:ind w:left="425" w:hanging="425"/>
        <w:jc w:val="both"/>
        <w:outlineLvl w:val="0"/>
        <w:rPr>
          <w:rFonts w:hint="eastAsia" w:cs="仿宋"/>
          <w:b/>
          <w:bCs/>
          <w:color w:val="auto"/>
          <w:highlight w:val="none"/>
          <w:lang w:bidi="ar"/>
        </w:rPr>
      </w:pPr>
      <w:r>
        <w:rPr>
          <w:rFonts w:hint="eastAsia" w:cs="仿宋"/>
          <w:b/>
          <w:bCs/>
          <w:color w:val="auto"/>
          <w:highlight w:val="none"/>
          <w:lang w:val="en-US" w:eastAsia="zh-CN" w:bidi="ar"/>
        </w:rPr>
        <w:t>合同解除及</w:t>
      </w:r>
      <w:r>
        <w:rPr>
          <w:rFonts w:hint="eastAsia" w:cs="仿宋"/>
          <w:b/>
          <w:bCs/>
          <w:color w:val="auto"/>
          <w:highlight w:val="none"/>
          <w:lang w:bidi="ar"/>
        </w:rPr>
        <w:t xml:space="preserve">违约责任 </w:t>
      </w:r>
    </w:p>
    <w:p>
      <w:pPr>
        <w:numPr>
          <w:ilvl w:val="1"/>
          <w:numId w:val="2"/>
        </w:numPr>
        <w:spacing w:line="500" w:lineRule="exact"/>
        <w:ind w:left="0" w:firstLine="480" w:firstLineChars="200"/>
        <w:jc w:val="both"/>
        <w:outlineLvl w:val="9"/>
        <w:rPr>
          <w:rFonts w:hint="eastAsia"/>
          <w:color w:val="auto"/>
          <w:highlight w:val="none"/>
          <w:lang w:bidi="ar"/>
        </w:rPr>
      </w:pPr>
      <w:r>
        <w:rPr>
          <w:rFonts w:hint="eastAsia"/>
          <w:color w:val="auto"/>
          <w:highlight w:val="none"/>
          <w:lang w:bidi="ar"/>
        </w:rPr>
        <w:t>无论因何种原因导致运营约定终止或解除，乙方均应在合同部分解</w:t>
      </w:r>
      <w:r>
        <w:rPr>
          <w:rFonts w:hint="default"/>
          <w:color w:val="auto"/>
          <w:highlight w:val="none"/>
          <w:lang w:bidi="ar"/>
        </w:rPr>
        <w:t>除之日起5个工作日内将与本项目相关的全部资料（包括但不限于客户资料、营销策划资料等）移交甲方。</w:t>
      </w:r>
      <w:r>
        <w:rPr>
          <w:rFonts w:hint="eastAsia"/>
          <w:color w:val="auto"/>
          <w:highlight w:val="none"/>
          <w:lang w:bidi="ar"/>
        </w:rPr>
        <w:t>如因乙方原因导致提前解除，乙方应积极配合新进场人员的工作并配合过渡。</w:t>
      </w:r>
    </w:p>
    <w:p>
      <w:pPr>
        <w:numPr>
          <w:ilvl w:val="1"/>
          <w:numId w:val="2"/>
        </w:numPr>
        <w:spacing w:line="500" w:lineRule="exact"/>
        <w:ind w:left="0" w:firstLine="480" w:firstLineChars="200"/>
        <w:jc w:val="both"/>
        <w:outlineLvl w:val="9"/>
        <w:rPr>
          <w:rFonts w:hint="eastAsia"/>
          <w:color w:val="auto"/>
          <w:highlight w:val="none"/>
          <w:lang w:bidi="ar"/>
        </w:rPr>
      </w:pPr>
      <w:r>
        <w:rPr>
          <w:rFonts w:hint="eastAsia"/>
          <w:color w:val="auto"/>
          <w:highlight w:val="none"/>
          <w:lang w:val="en-US" w:eastAsia="zh-CN" w:bidi="ar"/>
        </w:rPr>
        <w:t>若乙方在当期物业完成竣工验收后的【30】日内拒不签署</w:t>
      </w:r>
      <w:r>
        <w:rPr>
          <w:rFonts w:hint="eastAsia"/>
          <w:color w:val="auto"/>
          <w:highlight w:val="none"/>
          <w:lang w:bidi="ar"/>
        </w:rPr>
        <w:t>《交付确认书》及《交付清</w:t>
      </w:r>
      <w:r>
        <w:rPr>
          <w:color w:val="auto"/>
          <w:highlight w:val="none"/>
          <w:lang w:bidi="ar"/>
        </w:rPr>
        <w:t>单》</w:t>
      </w:r>
      <w:r>
        <w:rPr>
          <w:rFonts w:hint="eastAsia"/>
          <w:color w:val="auto"/>
          <w:highlight w:val="none"/>
          <w:lang w:val="en-US" w:eastAsia="zh-CN" w:bidi="ar"/>
        </w:rPr>
        <w:t>或拒不接收物业的，视为乙方违约，乙方应在该【30】日届满后的次日开始计算支付合作收益。</w:t>
      </w:r>
    </w:p>
    <w:p>
      <w:pPr>
        <w:numPr>
          <w:ilvl w:val="1"/>
          <w:numId w:val="2"/>
        </w:numPr>
        <w:spacing w:line="500" w:lineRule="exact"/>
        <w:ind w:left="0" w:firstLine="480" w:firstLineChars="200"/>
        <w:jc w:val="both"/>
        <w:rPr>
          <w:rFonts w:hint="eastAsia"/>
          <w:color w:val="auto"/>
          <w:highlight w:val="none"/>
          <w:lang w:bidi="ar"/>
        </w:rPr>
      </w:pPr>
      <w:r>
        <w:rPr>
          <w:color w:val="auto"/>
          <w:highlight w:val="none"/>
          <w:lang w:bidi="ar"/>
        </w:rPr>
        <w:t>除政府征收、征用</w:t>
      </w:r>
      <w:r>
        <w:rPr>
          <w:rFonts w:hint="eastAsia"/>
          <w:color w:val="auto"/>
          <w:highlight w:val="none"/>
          <w:lang w:eastAsia="zh-CN" w:bidi="ar"/>
        </w:rPr>
        <w:t>，</w:t>
      </w:r>
      <w:r>
        <w:rPr>
          <w:color w:val="auto"/>
          <w:highlight w:val="none"/>
          <w:lang w:bidi="ar"/>
        </w:rPr>
        <w:t>本合同约定的不可抗力及甲方有权依法依约解除合同情形外，如甲方单方提前终止本合同的，乙方有权单方面解除合同，并要求甲方赔偿乙方因此产生的所有实际直接经济损失</w:t>
      </w:r>
      <w:r>
        <w:rPr>
          <w:rFonts w:hint="eastAsia"/>
          <w:color w:val="auto"/>
          <w:highlight w:val="none"/>
          <w:lang w:bidi="ar"/>
        </w:rPr>
        <w:t>。但甲方已收取的合作收益不予退还。</w:t>
      </w:r>
    </w:p>
    <w:p>
      <w:pPr>
        <w:numPr>
          <w:ilvl w:val="1"/>
          <w:numId w:val="2"/>
        </w:numPr>
        <w:spacing w:line="500" w:lineRule="exact"/>
        <w:ind w:left="0" w:firstLine="480" w:firstLineChars="200"/>
        <w:jc w:val="both"/>
        <w:rPr>
          <w:rFonts w:hint="eastAsia"/>
          <w:color w:val="auto"/>
          <w:highlight w:val="none"/>
        </w:rPr>
      </w:pPr>
      <w:r>
        <w:rPr>
          <w:color w:val="auto"/>
          <w:highlight w:val="none"/>
          <w:lang w:bidi="ar"/>
        </w:rPr>
        <w:t>在合作期限内，乙方或乙方客户在合法合</w:t>
      </w:r>
      <w:r>
        <w:rPr>
          <w:rFonts w:hint="eastAsia"/>
          <w:color w:val="auto"/>
          <w:highlight w:val="none"/>
          <w:lang w:bidi="ar"/>
        </w:rPr>
        <w:t>规经营的情况下，因甲方原因（如主体结构质量问题、物业设置抵押权或其他限制性权利原因、物业所有权变动等）导致乙方或乙方客户无法利用部分物业正常开展经营活动的，乙方有权书面要求甲方进行整改，恢复物业正常使用，同时甲方应相应免除根据无法经营区域面积及对应无法经营天数计算所得的合作收益。若在乙方发出书面通知</w:t>
      </w:r>
      <w:r>
        <w:rPr>
          <w:color w:val="auto"/>
          <w:highlight w:val="none"/>
          <w:lang w:bidi="ar"/>
        </w:rPr>
        <w:t>180日内甲方仍未整改至部分物业正常开展经营活动，则乙方有权要求甲方</w:t>
      </w:r>
      <w:r>
        <w:rPr>
          <w:rFonts w:hint="eastAsia"/>
          <w:color w:val="auto"/>
          <w:highlight w:val="none"/>
          <w:lang w:bidi="ar"/>
        </w:rPr>
        <w:t>返还无法经营区域面积及对应无法经营天数计算所得的运营权转让费且需承担乙方及客户直接经济损失。</w:t>
      </w:r>
    </w:p>
    <w:p>
      <w:pPr>
        <w:numPr>
          <w:ilvl w:val="1"/>
          <w:numId w:val="2"/>
        </w:numPr>
        <w:spacing w:line="500" w:lineRule="exact"/>
        <w:ind w:left="0" w:firstLine="480" w:firstLineChars="200"/>
        <w:jc w:val="both"/>
        <w:rPr>
          <w:rFonts w:hint="eastAsia"/>
          <w:color w:val="auto"/>
          <w:highlight w:val="none"/>
        </w:rPr>
      </w:pPr>
      <w:r>
        <w:rPr>
          <w:color w:val="auto"/>
          <w:highlight w:val="none"/>
        </w:rPr>
        <w:t>在合作期限内，乙方或乙方客户在合法合</w:t>
      </w:r>
      <w:r>
        <w:rPr>
          <w:rFonts w:hint="eastAsia"/>
          <w:color w:val="auto"/>
          <w:highlight w:val="none"/>
        </w:rPr>
        <w:t>规经营的情况下，因甲方原因（如主体结构质量问题、物业设置抵押权或其他限制性权利原因、物业所有权变动等）导致乙方无法利用本项目全部物业正常开展经营活动的，乙方有权书面要求甲方进行整改，恢复物业正常使用，同时甲方应当免除本项目全部物业对应无法经营天数计算所得的合作收益。甲方收到乙方通知后超过</w:t>
      </w:r>
      <w:r>
        <w:rPr>
          <w:color w:val="auto"/>
          <w:highlight w:val="none"/>
        </w:rPr>
        <w:t>180日仍未能整改完毕恢复物业正常使用的，乙方有权解除本合同，并要求甲方赔偿乙方及乙方客户因此产生的所有实际直接经济损失。</w:t>
      </w:r>
    </w:p>
    <w:p>
      <w:pPr>
        <w:numPr>
          <w:ilvl w:val="1"/>
          <w:numId w:val="2"/>
        </w:numPr>
        <w:spacing w:line="500" w:lineRule="exact"/>
        <w:ind w:left="0" w:firstLine="480" w:firstLineChars="200"/>
        <w:jc w:val="both"/>
        <w:rPr>
          <w:rFonts w:hint="eastAsia"/>
          <w:color w:val="auto"/>
          <w:highlight w:val="none"/>
        </w:rPr>
      </w:pPr>
      <w:r>
        <w:rPr>
          <w:color w:val="auto"/>
          <w:highlight w:val="none"/>
          <w:lang w:bidi="ar"/>
        </w:rPr>
        <w:t>如乙方未按期支付甲方运营权转让费</w:t>
      </w:r>
      <w:r>
        <w:rPr>
          <w:rFonts w:hint="eastAsia"/>
          <w:color w:val="auto"/>
          <w:highlight w:val="none"/>
          <w:lang w:val="en-US" w:eastAsia="zh-CN" w:bidi="ar"/>
        </w:rPr>
        <w:t>或</w:t>
      </w:r>
      <w:r>
        <w:rPr>
          <w:color w:val="auto"/>
          <w:highlight w:val="none"/>
          <w:lang w:bidi="ar"/>
        </w:rPr>
        <w:t>合作收益</w:t>
      </w:r>
      <w:r>
        <w:rPr>
          <w:rFonts w:hint="eastAsia"/>
          <w:color w:val="auto"/>
          <w:highlight w:val="none"/>
          <w:lang w:val="en-US" w:eastAsia="zh-CN" w:bidi="ar"/>
        </w:rPr>
        <w:t>或履约保证金</w:t>
      </w:r>
      <w:r>
        <w:rPr>
          <w:color w:val="auto"/>
          <w:highlight w:val="none"/>
          <w:lang w:bidi="ar"/>
        </w:rPr>
        <w:t>的，乙方同意按欠付</w:t>
      </w:r>
      <w:r>
        <w:rPr>
          <w:rFonts w:hint="eastAsia"/>
          <w:color w:val="auto"/>
          <w:highlight w:val="none"/>
          <w:lang w:bidi="ar"/>
        </w:rPr>
        <w:t>金额的</w:t>
      </w:r>
      <w:r>
        <w:rPr>
          <w:color w:val="auto"/>
          <w:highlight w:val="none"/>
          <w:lang w:bidi="ar"/>
        </w:rPr>
        <w:t>0.2‰/日</w:t>
      </w:r>
      <w:r>
        <w:rPr>
          <w:rFonts w:hint="eastAsia"/>
          <w:color w:val="auto"/>
          <w:highlight w:val="none"/>
          <w:lang w:bidi="ar"/>
        </w:rPr>
        <w:t>的标准向甲方支付违约金，逾期超过</w:t>
      </w:r>
      <w:r>
        <w:rPr>
          <w:color w:val="auto"/>
          <w:highlight w:val="none"/>
          <w:lang w:bidi="ar"/>
        </w:rPr>
        <w:t>60日或逾期支付金额累计达到</w:t>
      </w:r>
      <w:r>
        <w:rPr>
          <w:rFonts w:hint="eastAsia"/>
          <w:color w:val="auto"/>
          <w:highlight w:val="none"/>
          <w:lang w:val="en-US" w:eastAsia="zh-CN" w:bidi="ar"/>
        </w:rPr>
        <w:t>5</w:t>
      </w:r>
      <w:r>
        <w:rPr>
          <w:color w:val="auto"/>
          <w:highlight w:val="none"/>
          <w:lang w:bidi="ar"/>
        </w:rPr>
        <w:t>00万元，甲方有权解除本合同，且不予退还乙方已支付的运营权转让费和合作收益</w:t>
      </w:r>
      <w:r>
        <w:rPr>
          <w:rFonts w:hint="eastAsia"/>
          <w:color w:val="auto"/>
          <w:highlight w:val="none"/>
          <w:lang w:bidi="ar"/>
        </w:rPr>
        <w:t>，</w:t>
      </w:r>
      <w:r>
        <w:rPr>
          <w:color w:val="auto"/>
          <w:highlight w:val="none"/>
          <w:lang w:bidi="ar"/>
        </w:rPr>
        <w:t>并要求乙方</w:t>
      </w:r>
      <w:r>
        <w:rPr>
          <w:rFonts w:hint="eastAsia"/>
          <w:color w:val="auto"/>
          <w:highlight w:val="none"/>
          <w:lang w:val="en-US" w:eastAsia="zh-CN" w:bidi="ar"/>
        </w:rPr>
        <w:t>一次性</w:t>
      </w:r>
      <w:r>
        <w:rPr>
          <w:color w:val="auto"/>
          <w:highlight w:val="none"/>
          <w:lang w:bidi="ar"/>
        </w:rPr>
        <w:t>支付剩余未付的运营权转让费</w:t>
      </w:r>
      <w:r>
        <w:rPr>
          <w:rFonts w:hint="eastAsia"/>
          <w:color w:val="auto"/>
          <w:highlight w:val="none"/>
          <w:lang w:val="en-US" w:eastAsia="zh-CN" w:bidi="ar"/>
        </w:rPr>
        <w:t>及欠付的合作收益</w:t>
      </w:r>
      <w:r>
        <w:rPr>
          <w:color w:val="auto"/>
          <w:highlight w:val="none"/>
          <w:lang w:bidi="ar"/>
        </w:rPr>
        <w:t>。</w:t>
      </w:r>
    </w:p>
    <w:p>
      <w:pPr>
        <w:numPr>
          <w:ilvl w:val="1"/>
          <w:numId w:val="2"/>
        </w:numPr>
        <w:spacing w:line="500" w:lineRule="exact"/>
        <w:ind w:left="0" w:firstLine="480" w:firstLineChars="200"/>
        <w:jc w:val="both"/>
        <w:outlineLvl w:val="9"/>
        <w:rPr>
          <w:rFonts w:hint="eastAsia"/>
          <w:color w:val="auto"/>
          <w:highlight w:val="none"/>
          <w:lang w:bidi="ar"/>
        </w:rPr>
      </w:pPr>
      <w:r>
        <w:rPr>
          <w:color w:val="auto"/>
          <w:highlight w:val="none"/>
          <w:lang w:bidi="ar"/>
        </w:rPr>
        <w:t>如乙方未达到本合同约定的产业资源导入要求，乙方同意按以下条款支付甲方违约金：</w:t>
      </w:r>
    </w:p>
    <w:p>
      <w:pPr>
        <w:numPr>
          <w:ilvl w:val="-1"/>
          <w:numId w:val="0"/>
        </w:numPr>
        <w:spacing w:line="500" w:lineRule="exact"/>
        <w:ind w:left="0" w:firstLine="480" w:firstLineChars="200"/>
        <w:jc w:val="both"/>
        <w:outlineLvl w:val="9"/>
        <w:rPr>
          <w:rFonts w:hint="eastAsia"/>
          <w:color w:val="auto"/>
          <w:highlight w:val="none"/>
          <w:lang w:bidi="ar"/>
        </w:rPr>
      </w:pPr>
      <w:r>
        <w:rPr>
          <w:rFonts w:hint="eastAsia"/>
          <w:color w:val="auto"/>
          <w:highlight w:val="none"/>
          <w:lang w:bidi="ar"/>
        </w:rPr>
        <w:t>（</w:t>
      </w:r>
      <w:r>
        <w:rPr>
          <w:color w:val="auto"/>
          <w:highlight w:val="none"/>
          <w:lang w:bidi="ar"/>
        </w:rPr>
        <w:t>1）引入</w:t>
      </w:r>
      <w:r>
        <w:rPr>
          <w:rFonts w:hint="eastAsia"/>
          <w:color w:val="auto"/>
          <w:highlight w:val="none"/>
          <w:lang w:bidi="ar"/>
        </w:rPr>
        <w:t>专精特新</w:t>
      </w:r>
      <w:r>
        <w:rPr>
          <w:rFonts w:hint="eastAsia"/>
          <w:color w:val="auto"/>
          <w:highlight w:val="none"/>
          <w:lang w:eastAsia="zh-CN" w:bidi="ar"/>
        </w:rPr>
        <w:t>（</w:t>
      </w:r>
      <w:r>
        <w:rPr>
          <w:rFonts w:hint="eastAsia"/>
          <w:color w:val="auto"/>
          <w:highlight w:val="none"/>
          <w:lang w:val="en-US" w:eastAsia="zh-CN" w:bidi="ar"/>
        </w:rPr>
        <w:t>含</w:t>
      </w:r>
      <w:r>
        <w:rPr>
          <w:rFonts w:hint="eastAsia"/>
          <w:color w:val="auto"/>
          <w:highlight w:val="none"/>
          <w:lang w:bidi="ar"/>
        </w:rPr>
        <w:t>高新技术</w:t>
      </w:r>
      <w:r>
        <w:rPr>
          <w:color w:val="auto"/>
          <w:highlight w:val="none"/>
          <w:lang w:bidi="ar"/>
        </w:rPr>
        <w:t>企业</w:t>
      </w:r>
      <w:r>
        <w:rPr>
          <w:rFonts w:hint="eastAsia"/>
          <w:color w:val="auto"/>
          <w:highlight w:val="none"/>
          <w:lang w:eastAsia="zh-CN" w:bidi="ar"/>
        </w:rPr>
        <w:t>）</w:t>
      </w:r>
      <w:r>
        <w:rPr>
          <w:color w:val="auto"/>
          <w:highlight w:val="none"/>
          <w:lang w:bidi="ar"/>
        </w:rPr>
        <w:t>数量</w:t>
      </w:r>
      <w:r>
        <w:rPr>
          <w:rFonts w:hint="eastAsia"/>
          <w:color w:val="auto"/>
          <w:highlight w:val="none"/>
          <w:lang w:val="en-US" w:eastAsia="zh-CN" w:bidi="ar"/>
        </w:rPr>
        <w:t>或该类企业使用面积</w:t>
      </w:r>
      <w:r>
        <w:rPr>
          <w:color w:val="auto"/>
          <w:highlight w:val="none"/>
          <w:lang w:bidi="ar"/>
        </w:rPr>
        <w:t>少于要求标准：每少一家</w:t>
      </w:r>
      <w:r>
        <w:rPr>
          <w:rFonts w:hint="eastAsia"/>
          <w:color w:val="auto"/>
          <w:highlight w:val="none"/>
          <w:lang w:val="en-US" w:eastAsia="zh-CN" w:bidi="ar"/>
        </w:rPr>
        <w:t>或每少1万㎡</w:t>
      </w:r>
      <w:r>
        <w:rPr>
          <w:color w:val="auto"/>
          <w:highlight w:val="none"/>
          <w:lang w:bidi="ar"/>
        </w:rPr>
        <w:t>，承担10万元违约金</w:t>
      </w:r>
      <w:r>
        <w:rPr>
          <w:rFonts w:hint="eastAsia"/>
          <w:color w:val="auto"/>
          <w:highlight w:val="none"/>
          <w:lang w:eastAsia="zh-CN" w:bidi="ar"/>
        </w:rPr>
        <w:t>，</w:t>
      </w:r>
      <w:r>
        <w:rPr>
          <w:rFonts w:hint="eastAsia"/>
          <w:color w:val="auto"/>
          <w:highlight w:val="none"/>
          <w:lang w:val="en-US" w:eastAsia="zh-CN" w:bidi="ar"/>
        </w:rPr>
        <w:t>若以面积差计算违约金，不足1万㎡部分按照比例计算违约金；如数量和面积均未达到要求，违约金以按两种方式计算的孰高为准；但</w:t>
      </w:r>
      <w:r>
        <w:rPr>
          <w:color w:val="auto"/>
          <w:highlight w:val="none"/>
          <w:lang w:bidi="ar"/>
        </w:rPr>
        <w:t>引入</w:t>
      </w:r>
      <w:r>
        <w:rPr>
          <w:rFonts w:hint="eastAsia"/>
          <w:color w:val="auto"/>
          <w:highlight w:val="none"/>
          <w:lang w:bidi="ar"/>
        </w:rPr>
        <w:t>专精特新</w:t>
      </w:r>
      <w:r>
        <w:rPr>
          <w:rFonts w:hint="eastAsia"/>
          <w:color w:val="auto"/>
          <w:highlight w:val="none"/>
          <w:lang w:eastAsia="zh-CN" w:bidi="ar"/>
        </w:rPr>
        <w:t>（</w:t>
      </w:r>
      <w:r>
        <w:rPr>
          <w:rFonts w:hint="eastAsia"/>
          <w:color w:val="auto"/>
          <w:highlight w:val="none"/>
          <w:lang w:val="en-US" w:eastAsia="zh-CN" w:bidi="ar"/>
        </w:rPr>
        <w:t>含</w:t>
      </w:r>
      <w:r>
        <w:rPr>
          <w:rFonts w:hint="eastAsia"/>
          <w:color w:val="auto"/>
          <w:highlight w:val="none"/>
          <w:lang w:bidi="ar"/>
        </w:rPr>
        <w:t>高新技术</w:t>
      </w:r>
      <w:r>
        <w:rPr>
          <w:color w:val="auto"/>
          <w:highlight w:val="none"/>
          <w:lang w:bidi="ar"/>
        </w:rPr>
        <w:t>企业</w:t>
      </w:r>
      <w:r>
        <w:rPr>
          <w:rFonts w:hint="eastAsia"/>
          <w:color w:val="auto"/>
          <w:highlight w:val="none"/>
          <w:lang w:eastAsia="zh-CN" w:bidi="ar"/>
        </w:rPr>
        <w:t>）</w:t>
      </w:r>
      <w:r>
        <w:rPr>
          <w:color w:val="auto"/>
          <w:highlight w:val="none"/>
          <w:lang w:bidi="ar"/>
        </w:rPr>
        <w:t>数量</w:t>
      </w:r>
      <w:r>
        <w:rPr>
          <w:rFonts w:hint="eastAsia"/>
          <w:color w:val="auto"/>
          <w:highlight w:val="none"/>
          <w:lang w:val="en-US" w:eastAsia="zh-CN" w:bidi="ar"/>
        </w:rPr>
        <w:t>或该类企业使用面积任一项符合要求的，即无需承担违约责任</w:t>
      </w:r>
      <w:r>
        <w:rPr>
          <w:color w:val="auto"/>
          <w:highlight w:val="none"/>
          <w:lang w:bidi="ar"/>
        </w:rPr>
        <w:t>。</w:t>
      </w:r>
    </w:p>
    <w:p>
      <w:pPr>
        <w:numPr>
          <w:ilvl w:val="-1"/>
          <w:numId w:val="0"/>
        </w:numPr>
        <w:spacing w:line="500" w:lineRule="exact"/>
        <w:ind w:left="0" w:firstLine="480" w:firstLineChars="200"/>
        <w:jc w:val="both"/>
        <w:outlineLvl w:val="9"/>
        <w:rPr>
          <w:color w:val="auto"/>
          <w:highlight w:val="none"/>
          <w:lang w:bidi="ar"/>
        </w:rPr>
      </w:pPr>
      <w:r>
        <w:rPr>
          <w:rFonts w:hint="eastAsia"/>
          <w:color w:val="auto"/>
          <w:highlight w:val="none"/>
          <w:lang w:bidi="ar"/>
        </w:rPr>
        <w:t>（</w:t>
      </w:r>
      <w:r>
        <w:rPr>
          <w:color w:val="auto"/>
          <w:highlight w:val="none"/>
          <w:lang w:bidi="ar"/>
        </w:rPr>
        <w:t>2）年纳税额少于要求标准：</w:t>
      </w:r>
      <w:r>
        <w:rPr>
          <w:rFonts w:hint="eastAsia"/>
          <w:color w:val="auto"/>
          <w:highlight w:val="none"/>
          <w:lang w:val="en-US" w:eastAsia="zh-CN" w:bidi="ar"/>
        </w:rPr>
        <w:t>按年纳税额的差额承担违约金</w:t>
      </w:r>
      <w:r>
        <w:rPr>
          <w:color w:val="auto"/>
          <w:highlight w:val="none"/>
          <w:lang w:bidi="ar"/>
        </w:rPr>
        <w:t>。</w:t>
      </w:r>
    </w:p>
    <w:p>
      <w:pPr>
        <w:numPr>
          <w:ilvl w:val="-1"/>
          <w:numId w:val="0"/>
        </w:numPr>
        <w:spacing w:line="500" w:lineRule="exact"/>
        <w:ind w:left="0" w:firstLine="480" w:firstLineChars="200"/>
        <w:jc w:val="both"/>
        <w:outlineLvl w:val="9"/>
        <w:rPr>
          <w:rFonts w:hint="default"/>
          <w:color w:val="auto"/>
          <w:highlight w:val="none"/>
          <w:lang w:val="en-US" w:eastAsia="zh-CN" w:bidi="ar"/>
        </w:rPr>
      </w:pPr>
      <w:r>
        <w:rPr>
          <w:rFonts w:hint="eastAsia"/>
          <w:color w:val="auto"/>
          <w:highlight w:val="none"/>
          <w:lang w:eastAsia="zh-CN" w:bidi="ar"/>
        </w:rPr>
        <w:t>（</w:t>
      </w:r>
      <w:r>
        <w:rPr>
          <w:rFonts w:hint="eastAsia"/>
          <w:color w:val="auto"/>
          <w:highlight w:val="none"/>
          <w:lang w:val="en-US" w:eastAsia="zh-CN" w:bidi="ar"/>
        </w:rPr>
        <w:t>3</w:t>
      </w:r>
      <w:r>
        <w:rPr>
          <w:rFonts w:hint="eastAsia"/>
          <w:color w:val="auto"/>
          <w:highlight w:val="none"/>
          <w:lang w:eastAsia="zh-CN" w:bidi="ar"/>
        </w:rPr>
        <w:t>）</w:t>
      </w:r>
      <w:r>
        <w:rPr>
          <w:rFonts w:hint="eastAsia"/>
          <w:color w:val="auto"/>
          <w:highlight w:val="none"/>
          <w:lang w:val="en-US" w:eastAsia="zh-CN" w:bidi="ar"/>
        </w:rPr>
        <w:t>年产值未达到要求标准：以年产值差额基数，按照百分之一标准承担违约金。</w:t>
      </w:r>
    </w:p>
    <w:p>
      <w:pPr>
        <w:numPr>
          <w:ilvl w:val="-1"/>
          <w:numId w:val="0"/>
        </w:numPr>
        <w:spacing w:line="500" w:lineRule="exact"/>
        <w:ind w:left="0" w:firstLine="480" w:firstLineChars="200"/>
        <w:jc w:val="both"/>
        <w:outlineLvl w:val="9"/>
        <w:rPr>
          <w:color w:val="auto"/>
          <w:highlight w:val="none"/>
          <w:lang w:bidi="ar"/>
        </w:rPr>
      </w:pPr>
      <w:r>
        <w:rPr>
          <w:rFonts w:hint="eastAsia"/>
          <w:color w:val="auto"/>
          <w:highlight w:val="none"/>
          <w:lang w:bidi="ar"/>
        </w:rPr>
        <w:t>（</w:t>
      </w:r>
      <w:r>
        <w:rPr>
          <w:rFonts w:hint="eastAsia"/>
          <w:color w:val="auto"/>
          <w:highlight w:val="none"/>
          <w:lang w:val="en-US" w:eastAsia="zh-CN" w:bidi="ar"/>
        </w:rPr>
        <w:t>4</w:t>
      </w:r>
      <w:r>
        <w:rPr>
          <w:color w:val="auto"/>
          <w:highlight w:val="none"/>
          <w:lang w:bidi="ar"/>
        </w:rPr>
        <w:t>）导致甲方或甲方关联公司承担</w:t>
      </w:r>
      <w:r>
        <w:rPr>
          <w:rFonts w:hint="eastAsia"/>
          <w:color w:val="auto"/>
          <w:highlight w:val="none"/>
          <w:lang w:val="en-US" w:eastAsia="zh-CN" w:bidi="ar"/>
        </w:rPr>
        <w:t>本项目签订的</w:t>
      </w:r>
      <w:r>
        <w:rPr>
          <w:color w:val="auto"/>
          <w:highlight w:val="none"/>
          <w:lang w:bidi="ar"/>
        </w:rPr>
        <w:t>《监管协议》违约责任的，赔偿甲方或甲方关联公司的全部损失。</w:t>
      </w:r>
    </w:p>
    <w:p>
      <w:pPr>
        <w:numPr>
          <w:ilvl w:val="1"/>
          <w:numId w:val="2"/>
        </w:numPr>
        <w:spacing w:line="500" w:lineRule="exact"/>
        <w:ind w:left="0" w:firstLine="480" w:firstLineChars="200"/>
        <w:jc w:val="both"/>
        <w:rPr>
          <w:rFonts w:hint="eastAsia"/>
          <w:color w:val="auto"/>
          <w:highlight w:val="none"/>
          <w:lang w:bidi="ar"/>
        </w:rPr>
      </w:pPr>
      <w:r>
        <w:rPr>
          <w:color w:val="auto"/>
          <w:highlight w:val="none"/>
          <w:lang w:bidi="ar"/>
        </w:rPr>
        <w:t>如乙方未能开展本项目范围内的</w:t>
      </w:r>
      <w:r>
        <w:rPr>
          <w:rFonts w:hint="eastAsia"/>
          <w:color w:val="auto"/>
          <w:highlight w:val="none"/>
          <w:lang w:val="en-US" w:eastAsia="zh-CN" w:bidi="ar"/>
        </w:rPr>
        <w:t>运营物业部分</w:t>
      </w:r>
      <w:r>
        <w:rPr>
          <w:color w:val="auto"/>
          <w:highlight w:val="none"/>
          <w:lang w:bidi="ar"/>
        </w:rPr>
        <w:t>建（构）筑物</w:t>
      </w:r>
      <w:r>
        <w:rPr>
          <w:rFonts w:hint="eastAsia"/>
          <w:color w:val="auto"/>
          <w:highlight w:val="none"/>
          <w:lang w:eastAsia="zh-CN" w:bidi="ar"/>
        </w:rPr>
        <w:t>，</w:t>
      </w:r>
      <w:r>
        <w:rPr>
          <w:rFonts w:hint="eastAsia"/>
          <w:color w:val="auto"/>
          <w:highlight w:val="none"/>
          <w:lang w:val="en-US" w:eastAsia="zh-CN" w:bidi="ar"/>
        </w:rPr>
        <w:t>以</w:t>
      </w:r>
      <w:r>
        <w:rPr>
          <w:color w:val="auto"/>
          <w:highlight w:val="none"/>
          <w:lang w:bidi="ar"/>
        </w:rPr>
        <w:t>及</w:t>
      </w:r>
      <w:r>
        <w:rPr>
          <w:rFonts w:hint="eastAsia"/>
          <w:color w:val="auto"/>
          <w:highlight w:val="none"/>
          <w:lang w:val="en-US" w:eastAsia="zh-CN" w:bidi="ar"/>
        </w:rPr>
        <w:t>全部</w:t>
      </w:r>
      <w:r>
        <w:rPr>
          <w:color w:val="auto"/>
          <w:highlight w:val="none"/>
          <w:lang w:bidi="ar"/>
        </w:rPr>
        <w:t>公共区域和设施设备开展管理、维护、维修和更换等工作，未能确保</w:t>
      </w:r>
      <w:r>
        <w:rPr>
          <w:rFonts w:hint="eastAsia"/>
          <w:color w:val="auto"/>
          <w:highlight w:val="none"/>
          <w:lang w:val="en-US" w:eastAsia="zh-CN" w:bidi="ar"/>
        </w:rPr>
        <w:t>运营物业部分</w:t>
      </w:r>
      <w:r>
        <w:rPr>
          <w:color w:val="auto"/>
          <w:highlight w:val="none"/>
          <w:lang w:bidi="ar"/>
        </w:rPr>
        <w:t>建（构）筑物及</w:t>
      </w:r>
      <w:r>
        <w:rPr>
          <w:rFonts w:hint="eastAsia"/>
          <w:color w:val="auto"/>
          <w:highlight w:val="none"/>
          <w:lang w:val="en-US" w:eastAsia="zh-CN" w:bidi="ar"/>
        </w:rPr>
        <w:t>全部</w:t>
      </w:r>
      <w:r>
        <w:rPr>
          <w:color w:val="auto"/>
          <w:highlight w:val="none"/>
          <w:lang w:bidi="ar"/>
        </w:rPr>
        <w:t>公共区域和设施设备符合正常使用要求，经甲方要求</w:t>
      </w:r>
      <w:r>
        <w:rPr>
          <w:rFonts w:hint="eastAsia"/>
          <w:color w:val="auto"/>
          <w:highlight w:val="none"/>
          <w:lang w:val="en-US" w:eastAsia="zh-CN" w:bidi="ar"/>
        </w:rPr>
        <w:t>在合理期限内未</w:t>
      </w:r>
      <w:r>
        <w:rPr>
          <w:color w:val="auto"/>
          <w:highlight w:val="none"/>
          <w:lang w:bidi="ar"/>
        </w:rPr>
        <w:t>整改</w:t>
      </w:r>
      <w:r>
        <w:rPr>
          <w:rFonts w:hint="eastAsia"/>
          <w:color w:val="auto"/>
          <w:highlight w:val="none"/>
          <w:lang w:val="en-US" w:eastAsia="zh-CN" w:bidi="ar"/>
        </w:rPr>
        <w:t>完毕</w:t>
      </w:r>
      <w:r>
        <w:rPr>
          <w:color w:val="auto"/>
          <w:highlight w:val="none"/>
          <w:lang w:bidi="ar"/>
        </w:rPr>
        <w:t>的，甲方有权自行聘请第三方进行维护、维修和更换，并有权要求乙方承担全部费用。</w:t>
      </w:r>
    </w:p>
    <w:p>
      <w:pPr>
        <w:numPr>
          <w:ilvl w:val="1"/>
          <w:numId w:val="2"/>
        </w:numPr>
        <w:spacing w:line="500" w:lineRule="exact"/>
        <w:ind w:left="0" w:firstLine="480" w:firstLineChars="200"/>
        <w:jc w:val="both"/>
        <w:outlineLvl w:val="9"/>
        <w:rPr>
          <w:rFonts w:hint="eastAsia" w:cs="仿宋"/>
          <w:b w:val="0"/>
          <w:bCs w:val="0"/>
          <w:color w:val="auto"/>
          <w:highlight w:val="none"/>
          <w:lang w:bidi="ar"/>
        </w:rPr>
      </w:pPr>
      <w:r>
        <w:rPr>
          <w:b w:val="0"/>
          <w:bCs w:val="0"/>
          <w:color w:val="auto"/>
          <w:highlight w:val="none"/>
          <w:lang w:bidi="ar"/>
        </w:rPr>
        <w:t>因乙方行为或原因导致甲方承担民事责任或行政处罚的，乙方应全额赔偿甲方损失，并承担每次10万元的违约金。</w:t>
      </w:r>
    </w:p>
    <w:p>
      <w:pPr>
        <w:numPr>
          <w:ilvl w:val="1"/>
          <w:numId w:val="2"/>
        </w:numPr>
        <w:spacing w:line="500" w:lineRule="exact"/>
        <w:ind w:left="0" w:firstLine="480" w:firstLineChars="200"/>
        <w:jc w:val="both"/>
        <w:outlineLvl w:val="9"/>
        <w:rPr>
          <w:rFonts w:hint="default" w:cs="Times New Roman"/>
          <w:b w:val="0"/>
          <w:bCs w:val="0"/>
          <w:color w:val="auto"/>
          <w:highlight w:val="none"/>
          <w:lang w:bidi="ar"/>
        </w:rPr>
      </w:pPr>
      <w:r>
        <w:rPr>
          <w:rFonts w:hint="default" w:cs="Times New Roman"/>
          <w:color w:val="auto"/>
          <w:spacing w:val="0"/>
          <w:highlight w:val="none"/>
          <w:lang w:bidi="ar"/>
        </w:rPr>
        <w:t>若任何一方（</w:t>
      </w:r>
      <w:r>
        <w:rPr>
          <w:rFonts w:hint="default" w:cs="Times New Roman"/>
          <w:b w:val="0"/>
          <w:bCs w:val="0"/>
          <w:color w:val="auto"/>
          <w:spacing w:val="0"/>
          <w:highlight w:val="none"/>
          <w:lang w:bidi="ar"/>
        </w:rPr>
        <w:t>下称“违约方”）实质性地违反本协议项下任何一项约定，或实质性地未履行或迟延履行本协议项下的任何一项义务，即构成本协议项下的违约，</w:t>
      </w:r>
      <w:r>
        <w:rPr>
          <w:rFonts w:hint="default" w:cs="Times New Roman"/>
          <w:b w:val="0"/>
          <w:bCs w:val="0"/>
          <w:color w:val="auto"/>
          <w:spacing w:val="0"/>
          <w:highlight w:val="none"/>
          <w:lang w:val="en-US" w:eastAsia="zh-CN" w:bidi="ar"/>
        </w:rPr>
        <w:t>守约方</w:t>
      </w:r>
      <w:r>
        <w:rPr>
          <w:rFonts w:hint="default" w:cs="Times New Roman"/>
          <w:b w:val="0"/>
          <w:bCs w:val="0"/>
          <w:color w:val="auto"/>
          <w:spacing w:val="0"/>
          <w:highlight w:val="none"/>
          <w:lang w:bidi="ar"/>
        </w:rPr>
        <w:t>有权要求违约方在合理期限内补正或采取补救措施。除本协议另有约定，若违约方在</w:t>
      </w:r>
      <w:r>
        <w:rPr>
          <w:rFonts w:hint="default" w:cs="Times New Roman"/>
          <w:color w:val="auto"/>
          <w:spacing w:val="0"/>
          <w:highlight w:val="none"/>
          <w:lang w:bidi="ar"/>
        </w:rPr>
        <w:t>合理期限内或在守约方补正或补救通知送达后15日内仍未补正或补救的，则守约方有权要求违约方承担本协议中约定的违约责任，若本协议中未对违约责任明确约定的，则守约方有权要求违约方强制履行应负义务并赔偿守约方基于违约方违约行为所导致的全部实际损失以及任何守约方可获得的法律救济</w:t>
      </w:r>
      <w:r>
        <w:rPr>
          <w:rFonts w:hint="default" w:cs="Times New Roman"/>
          <w:color w:val="auto"/>
          <w:spacing w:val="0"/>
          <w:highlight w:val="none"/>
          <w:lang w:eastAsia="zh-CN" w:bidi="ar"/>
        </w:rPr>
        <w:t>。</w:t>
      </w:r>
      <w:r>
        <w:rPr>
          <w:rFonts w:hint="default" w:cs="Times New Roman"/>
          <w:color w:val="auto"/>
          <w:spacing w:val="0"/>
          <w:highlight w:val="none"/>
          <w:lang w:val="en-US" w:eastAsia="zh-CN" w:bidi="ar"/>
        </w:rPr>
        <w:t>该等损失包括但不限于</w:t>
      </w:r>
      <w:r>
        <w:rPr>
          <w:rFonts w:hint="default" w:cs="Times New Roman"/>
          <w:color w:val="auto"/>
          <w:spacing w:val="0"/>
          <w:highlight w:val="none"/>
          <w:lang w:bidi="ar"/>
        </w:rPr>
        <w:t>对守约方所造成的实际损失、守约方因违约方违约行为已支付给第三方的赔偿费用/违约金/罚款、调查取证费用/公证费、诉讼费用、仲裁费用、保全申请费、保全担保费、律师费用以及因此而支付的其他合理费用</w:t>
      </w:r>
      <w:r>
        <w:rPr>
          <w:rFonts w:hint="default" w:cs="Times New Roman"/>
          <w:color w:val="auto"/>
          <w:spacing w:val="0"/>
          <w:highlight w:val="none"/>
          <w:lang w:eastAsia="zh-CN" w:bidi="ar"/>
        </w:rPr>
        <w:t>。</w:t>
      </w:r>
    </w:p>
    <w:p>
      <w:pPr>
        <w:numPr>
          <w:ilvl w:val="1"/>
          <w:numId w:val="2"/>
        </w:numPr>
        <w:spacing w:line="500" w:lineRule="exact"/>
        <w:ind w:left="0" w:firstLine="480" w:firstLineChars="200"/>
        <w:jc w:val="both"/>
        <w:outlineLvl w:val="9"/>
        <w:rPr>
          <w:rFonts w:hint="default" w:cs="Times New Roman"/>
          <w:b w:val="0"/>
          <w:bCs w:val="0"/>
          <w:color w:val="auto"/>
          <w:highlight w:val="none"/>
          <w:lang w:bidi="ar"/>
        </w:rPr>
      </w:pPr>
      <w:r>
        <w:rPr>
          <w:rFonts w:hint="eastAsia"/>
          <w:color w:val="auto"/>
          <w:highlight w:val="none"/>
          <w:lang w:val="en-US" w:eastAsia="zh-CN" w:bidi="ar"/>
        </w:rPr>
        <w:t>双方同意，本协议项下</w:t>
      </w:r>
      <w:r>
        <w:rPr>
          <w:rFonts w:hint="eastAsia"/>
          <w:color w:val="auto"/>
          <w:highlight w:val="none"/>
          <w:lang w:eastAsia="zh-CN" w:bidi="ar"/>
        </w:rPr>
        <w:t>运营合作期限若与法律</w:t>
      </w:r>
      <w:r>
        <w:rPr>
          <w:rFonts w:hint="eastAsia"/>
          <w:color w:val="auto"/>
          <w:highlight w:val="none"/>
          <w:lang w:val="en-US" w:eastAsia="zh-CN" w:bidi="ar"/>
        </w:rPr>
        <w:t>规定</w:t>
      </w:r>
      <w:r>
        <w:rPr>
          <w:rFonts w:hint="eastAsia"/>
          <w:color w:val="auto"/>
          <w:highlight w:val="none"/>
          <w:lang w:eastAsia="zh-CN" w:bidi="ar"/>
        </w:rPr>
        <w:t>不一致的，以法律</w:t>
      </w:r>
      <w:r>
        <w:rPr>
          <w:rFonts w:hint="eastAsia"/>
          <w:color w:val="auto"/>
          <w:highlight w:val="none"/>
          <w:lang w:val="en-US" w:eastAsia="zh-CN" w:bidi="ar"/>
        </w:rPr>
        <w:t>规定</w:t>
      </w:r>
      <w:r>
        <w:rPr>
          <w:rFonts w:hint="eastAsia"/>
          <w:color w:val="auto"/>
          <w:highlight w:val="none"/>
          <w:lang w:eastAsia="zh-CN" w:bidi="ar"/>
        </w:rPr>
        <w:t>为准，</w:t>
      </w:r>
      <w:r>
        <w:rPr>
          <w:rFonts w:hint="eastAsia"/>
          <w:color w:val="auto"/>
          <w:highlight w:val="none"/>
          <w:lang w:val="en-US" w:eastAsia="zh-CN" w:bidi="ar"/>
        </w:rPr>
        <w:t>不视为甲方违约。</w:t>
      </w:r>
    </w:p>
    <w:p>
      <w:pPr>
        <w:numPr>
          <w:ilvl w:val="0"/>
          <w:numId w:val="2"/>
        </w:numPr>
        <w:tabs>
          <w:tab w:val="left" w:pos="0"/>
        </w:tabs>
        <w:spacing w:before="157" w:beforeLines="50" w:line="500" w:lineRule="exact"/>
        <w:ind w:left="425" w:hanging="425"/>
        <w:jc w:val="both"/>
        <w:outlineLvl w:val="0"/>
        <w:rPr>
          <w:rFonts w:hint="eastAsia" w:cs="仿宋"/>
          <w:b/>
          <w:bCs/>
          <w:color w:val="auto"/>
          <w:highlight w:val="none"/>
          <w:lang w:bidi="ar"/>
        </w:rPr>
      </w:pPr>
      <w:r>
        <w:rPr>
          <w:rFonts w:hint="eastAsia" w:cs="仿宋"/>
          <w:b/>
          <w:bCs/>
          <w:color w:val="auto"/>
          <w:highlight w:val="none"/>
          <w:lang w:bidi="ar"/>
        </w:rPr>
        <w:t>物业征收征用</w:t>
      </w:r>
    </w:p>
    <w:p>
      <w:pPr>
        <w:spacing w:line="500" w:lineRule="exact"/>
        <w:jc w:val="both"/>
        <w:rPr>
          <w:rFonts w:hint="eastAsia"/>
          <w:color w:val="auto"/>
          <w:highlight w:val="none"/>
          <w:lang w:bidi="ar"/>
        </w:rPr>
      </w:pPr>
      <w:r>
        <w:rPr>
          <w:rFonts w:hint="eastAsia"/>
          <w:color w:val="auto"/>
          <w:highlight w:val="none"/>
          <w:lang w:bidi="ar"/>
        </w:rPr>
        <w:t>合作期限内，政府为公共利益需要依法征收本合同项下用地及地上开发建成的物业，则本合同应在该等征收、征用的生效日期或项目运营因该等征收、征用停止之日终止。</w:t>
      </w:r>
      <w:r>
        <w:rPr>
          <w:rFonts w:hint="eastAsia"/>
          <w:color w:val="auto"/>
          <w:highlight w:val="none"/>
          <w:lang w:val="en-US" w:eastAsia="zh-CN" w:bidi="ar"/>
        </w:rPr>
        <w:t>因</w:t>
      </w:r>
      <w:r>
        <w:rPr>
          <w:rFonts w:hint="eastAsia"/>
          <w:color w:val="auto"/>
          <w:highlight w:val="none"/>
          <w:lang w:bidi="ar"/>
        </w:rPr>
        <w:t>征收、征用</w:t>
      </w:r>
      <w:r>
        <w:rPr>
          <w:rFonts w:hint="eastAsia"/>
          <w:color w:val="auto"/>
          <w:highlight w:val="none"/>
          <w:lang w:val="en-US" w:eastAsia="zh-CN" w:bidi="ar"/>
        </w:rPr>
        <w:t>获得的补偿款由甲方享有，但</w:t>
      </w:r>
      <w:r>
        <w:rPr>
          <w:rFonts w:hint="eastAsia"/>
          <w:color w:val="auto"/>
          <w:highlight w:val="none"/>
          <w:lang w:bidi="ar"/>
        </w:rPr>
        <w:t>甲方所获得的</w:t>
      </w:r>
      <w:r>
        <w:rPr>
          <w:rFonts w:hint="eastAsia"/>
          <w:color w:val="auto"/>
          <w:highlight w:val="none"/>
        </w:rPr>
        <w:t>可移动的附属设施、企业停业损失补偿款、搬迁补助费、搬迁时限奖、员工遣散费</w:t>
      </w:r>
      <w:r>
        <w:rPr>
          <w:rFonts w:hint="eastAsia"/>
          <w:color w:val="auto"/>
          <w:highlight w:val="none"/>
          <w:lang w:bidi="ar"/>
        </w:rPr>
        <w:t>归属乙方所有并由乙方根据相关法律法规或政策规定支付给相应权利主体，由甲方收到相关补偿款后</w:t>
      </w:r>
      <w:r>
        <w:rPr>
          <w:rFonts w:hint="eastAsia"/>
          <w:color w:val="auto"/>
          <w:highlight w:val="none"/>
          <w:lang w:val="en-US" w:eastAsia="zh-CN" w:bidi="ar"/>
        </w:rPr>
        <w:t>之日起【30】个工作日内</w:t>
      </w:r>
      <w:r>
        <w:rPr>
          <w:rFonts w:hint="eastAsia"/>
          <w:color w:val="auto"/>
          <w:highlight w:val="none"/>
          <w:lang w:bidi="ar"/>
        </w:rPr>
        <w:t>转付乙方。同时，乙方有权要求甲方退还乙方已支付的剩余未履行合作期限对应的经营权转让费。除此之外，乙方因此造成的损失、损害、成本、花费和索赔无权要求甲方承担责任。</w:t>
      </w:r>
    </w:p>
    <w:p>
      <w:pPr>
        <w:numPr>
          <w:ilvl w:val="0"/>
          <w:numId w:val="2"/>
        </w:numPr>
        <w:tabs>
          <w:tab w:val="left" w:pos="0"/>
        </w:tabs>
        <w:spacing w:before="157" w:beforeLines="50" w:line="500" w:lineRule="exact"/>
        <w:ind w:left="425" w:hanging="425"/>
        <w:jc w:val="both"/>
        <w:outlineLvl w:val="0"/>
        <w:rPr>
          <w:rFonts w:hint="eastAsia" w:cs="仿宋"/>
          <w:b/>
          <w:bCs/>
          <w:color w:val="auto"/>
          <w:highlight w:val="none"/>
          <w:lang w:bidi="ar"/>
        </w:rPr>
      </w:pPr>
      <w:r>
        <w:rPr>
          <w:rFonts w:hint="eastAsia" w:cs="仿宋"/>
          <w:b/>
          <w:bCs/>
          <w:color w:val="auto"/>
          <w:highlight w:val="none"/>
          <w:lang w:bidi="ar"/>
        </w:rPr>
        <w:t>物业返还</w:t>
      </w:r>
    </w:p>
    <w:p>
      <w:pPr>
        <w:spacing w:line="500" w:lineRule="exact"/>
        <w:ind w:firstLine="480" w:firstLineChars="200"/>
        <w:jc w:val="both"/>
        <w:rPr>
          <w:rFonts w:hint="eastAsia"/>
          <w:color w:val="auto"/>
          <w:highlight w:val="none"/>
          <w:lang w:bidi="ar"/>
        </w:rPr>
      </w:pPr>
      <w:r>
        <w:rPr>
          <w:rFonts w:hint="eastAsia"/>
          <w:color w:val="auto"/>
          <w:highlight w:val="none"/>
          <w:lang w:bidi="ar"/>
        </w:rPr>
        <w:t>本合同合作期限到期或合同依法解除后，乙方应将本项目范围内的</w:t>
      </w:r>
      <w:r>
        <w:rPr>
          <w:rFonts w:hint="eastAsia"/>
          <w:color w:val="auto"/>
          <w:highlight w:val="none"/>
          <w:lang w:val="en-US" w:eastAsia="zh-CN" w:bidi="ar"/>
        </w:rPr>
        <w:t>运营物业</w:t>
      </w:r>
      <w:r>
        <w:rPr>
          <w:rFonts w:hint="eastAsia"/>
          <w:color w:val="auto"/>
          <w:highlight w:val="none"/>
          <w:lang w:bidi="ar"/>
        </w:rPr>
        <w:t>建（构）筑物及</w:t>
      </w:r>
      <w:r>
        <w:rPr>
          <w:rFonts w:hint="eastAsia"/>
          <w:color w:val="auto"/>
          <w:highlight w:val="none"/>
          <w:lang w:val="en-US" w:eastAsia="zh-CN" w:bidi="ar"/>
        </w:rPr>
        <w:t>全部</w:t>
      </w:r>
      <w:r>
        <w:rPr>
          <w:rFonts w:hint="eastAsia"/>
          <w:color w:val="auto"/>
          <w:highlight w:val="none"/>
          <w:lang w:bidi="ar"/>
        </w:rPr>
        <w:t>公共区域和设施设备整体返还给甲方，建（构）筑物的返还以无损害主体结构、外立面及其他一切附属设施设备为准；否则，甲方有权要求乙方修复或赔偿（正常损耗除外及自然老化除外）。甲方</w:t>
      </w:r>
      <w:r>
        <w:rPr>
          <w:color w:val="auto"/>
          <w:highlight w:val="none"/>
          <w:lang w:bidi="ar"/>
        </w:rPr>
        <w:t>交付时的所有</w:t>
      </w:r>
      <w:r>
        <w:rPr>
          <w:rFonts w:hint="eastAsia"/>
          <w:color w:val="auto"/>
          <w:highlight w:val="none"/>
          <w:lang w:bidi="ar"/>
        </w:rPr>
        <w:t>设施</w:t>
      </w:r>
      <w:r>
        <w:rPr>
          <w:color w:val="auto"/>
          <w:highlight w:val="none"/>
          <w:lang w:bidi="ar"/>
        </w:rPr>
        <w:t>设备，</w:t>
      </w:r>
      <w:r>
        <w:rPr>
          <w:rFonts w:hint="eastAsia"/>
          <w:color w:val="auto"/>
          <w:highlight w:val="none"/>
          <w:lang w:bidi="ar"/>
        </w:rPr>
        <w:t>乙方</w:t>
      </w:r>
      <w:r>
        <w:rPr>
          <w:color w:val="auto"/>
          <w:highlight w:val="none"/>
          <w:lang w:bidi="ar"/>
        </w:rPr>
        <w:t>经营期间所投资的固定装修物和固定设施设备【</w:t>
      </w:r>
      <w:r>
        <w:rPr>
          <w:rFonts w:hint="eastAsia"/>
          <w:color w:val="auto"/>
          <w:highlight w:val="none"/>
          <w:lang w:bidi="ar"/>
        </w:rPr>
        <w:t>包括但不限于给排水系统、消防设施、排污设备、电梯、水电管线、中央空调、监控系统（设备）、车辆管理系统（设备及标识）、门窗、间墙、灯饰等】无偿归甲方所有，其他可搬离且搬离行为对建（构）筑物及不可搬离的固定装修物和设施设备不造成损害的非固定设施、设备乙方可以自行搬走。</w:t>
      </w:r>
    </w:p>
    <w:p>
      <w:pPr>
        <w:numPr>
          <w:ilvl w:val="0"/>
          <w:numId w:val="2"/>
        </w:numPr>
        <w:tabs>
          <w:tab w:val="left" w:pos="0"/>
        </w:tabs>
        <w:spacing w:before="157" w:beforeLines="50" w:line="500" w:lineRule="exact"/>
        <w:ind w:left="425" w:hanging="425"/>
        <w:jc w:val="both"/>
        <w:outlineLvl w:val="0"/>
        <w:rPr>
          <w:rFonts w:hint="eastAsia" w:cs="仿宋"/>
          <w:b/>
          <w:bCs/>
          <w:color w:val="auto"/>
          <w:highlight w:val="none"/>
          <w:lang w:bidi="ar"/>
        </w:rPr>
      </w:pPr>
      <w:r>
        <w:rPr>
          <w:rFonts w:hint="eastAsia" w:cs="仿宋"/>
          <w:b/>
          <w:bCs/>
          <w:color w:val="auto"/>
          <w:highlight w:val="none"/>
          <w:lang w:val="en-US" w:eastAsia="zh-CN" w:bidi="ar"/>
        </w:rPr>
        <w:t>通知与送达</w:t>
      </w:r>
    </w:p>
    <w:p>
      <w:pPr>
        <w:numPr>
          <w:ilvl w:val="1"/>
          <w:numId w:val="2"/>
        </w:numPr>
        <w:spacing w:line="500" w:lineRule="exact"/>
        <w:ind w:left="0" w:firstLine="480" w:firstLineChars="200"/>
        <w:jc w:val="both"/>
        <w:rPr>
          <w:rFonts w:hint="eastAsia"/>
          <w:color w:val="auto"/>
          <w:highlight w:val="none"/>
          <w:lang w:bidi="ar"/>
        </w:rPr>
      </w:pPr>
      <w:r>
        <w:rPr>
          <w:rFonts w:hint="eastAsia"/>
          <w:color w:val="auto"/>
          <w:highlight w:val="none"/>
          <w:lang w:bidi="ar"/>
        </w:rPr>
        <w:t>本协议要求的或根据本协议做出的任何通知、确认、请求、要求、诉讼（仲裁）等法律文书或其他通信往来应按照</w:t>
      </w:r>
      <w:r>
        <w:rPr>
          <w:rFonts w:hint="eastAsia"/>
          <w:color w:val="auto"/>
          <w:highlight w:val="none"/>
          <w:lang w:val="en-US" w:eastAsia="zh-CN" w:bidi="ar"/>
        </w:rPr>
        <w:t>下列</w:t>
      </w:r>
      <w:r>
        <w:rPr>
          <w:rFonts w:hint="eastAsia"/>
          <w:color w:val="auto"/>
          <w:highlight w:val="none"/>
          <w:lang w:bidi="ar"/>
        </w:rPr>
        <w:t>的地址、电话、电子邮箱等联系方式以书面形式送达有关一方，</w:t>
      </w:r>
      <w:r>
        <w:rPr>
          <w:rFonts w:hint="eastAsia"/>
          <w:color w:val="auto"/>
          <w:highlight w:val="none"/>
          <w:lang w:val="en-US" w:eastAsia="zh-CN" w:bidi="ar"/>
        </w:rPr>
        <w:t>下列</w:t>
      </w:r>
      <w:r>
        <w:rPr>
          <w:rFonts w:hint="eastAsia"/>
          <w:color w:val="auto"/>
          <w:highlight w:val="none"/>
          <w:lang w:bidi="ar"/>
        </w:rPr>
        <w:t>的地址、电话、电子邮箱等联系方式同时作为有效司法送达地址。</w:t>
      </w:r>
    </w:p>
    <w:p>
      <w:pPr>
        <w:numPr>
          <w:ilvl w:val="-1"/>
          <w:numId w:val="0"/>
        </w:numPr>
        <w:spacing w:line="500" w:lineRule="exact"/>
        <w:ind w:left="480" w:leftChars="200" w:firstLine="0" w:firstLineChars="0"/>
        <w:jc w:val="both"/>
        <w:rPr>
          <w:rFonts w:hint="default"/>
          <w:color w:val="auto"/>
          <w:highlight w:val="none"/>
          <w:lang w:val="en-US" w:eastAsia="zh-CN" w:bidi="ar"/>
        </w:rPr>
      </w:pPr>
      <w:r>
        <w:rPr>
          <w:rFonts w:hint="eastAsia"/>
          <w:color w:val="auto"/>
          <w:highlight w:val="none"/>
          <w:lang w:val="en-US" w:eastAsia="zh-CN" w:bidi="ar"/>
        </w:rPr>
        <w:t>（1）甲方送达方式</w:t>
      </w:r>
    </w:p>
    <w:p>
      <w:pPr>
        <w:numPr>
          <w:ilvl w:val="-1"/>
          <w:numId w:val="0"/>
        </w:numPr>
        <w:spacing w:line="500" w:lineRule="exact"/>
        <w:ind w:left="480" w:leftChars="200" w:firstLine="0" w:firstLineChars="0"/>
        <w:jc w:val="both"/>
        <w:rPr>
          <w:rFonts w:hint="eastAsia"/>
          <w:color w:val="auto"/>
          <w:highlight w:val="none"/>
          <w:lang w:val="en-US" w:eastAsia="zh-CN" w:bidi="ar"/>
        </w:rPr>
      </w:pPr>
      <w:r>
        <w:rPr>
          <w:rFonts w:hint="eastAsia"/>
          <w:color w:val="auto"/>
          <w:highlight w:val="none"/>
          <w:lang w:val="en-US" w:eastAsia="zh-CN" w:bidi="ar"/>
        </w:rPr>
        <w:t>联系人：</w:t>
      </w:r>
    </w:p>
    <w:p>
      <w:pPr>
        <w:numPr>
          <w:ilvl w:val="-1"/>
          <w:numId w:val="0"/>
        </w:numPr>
        <w:spacing w:line="500" w:lineRule="exact"/>
        <w:ind w:left="480" w:leftChars="200" w:firstLine="0" w:firstLineChars="0"/>
        <w:jc w:val="both"/>
        <w:rPr>
          <w:rFonts w:hint="eastAsia"/>
          <w:color w:val="auto"/>
          <w:highlight w:val="none"/>
          <w:lang w:val="en-US" w:eastAsia="zh-CN" w:bidi="ar"/>
        </w:rPr>
      </w:pPr>
      <w:r>
        <w:rPr>
          <w:rFonts w:hint="eastAsia"/>
          <w:color w:val="auto"/>
          <w:highlight w:val="none"/>
          <w:lang w:val="en-US" w:eastAsia="zh-CN" w:bidi="ar"/>
        </w:rPr>
        <w:t>联系地址：</w:t>
      </w:r>
    </w:p>
    <w:p>
      <w:pPr>
        <w:numPr>
          <w:ilvl w:val="-1"/>
          <w:numId w:val="0"/>
        </w:numPr>
        <w:spacing w:line="500" w:lineRule="exact"/>
        <w:ind w:left="480" w:leftChars="200" w:firstLine="0" w:firstLineChars="0"/>
        <w:jc w:val="both"/>
        <w:rPr>
          <w:rFonts w:hint="eastAsia"/>
          <w:color w:val="auto"/>
          <w:highlight w:val="none"/>
          <w:lang w:val="en-US" w:eastAsia="zh-CN" w:bidi="ar"/>
        </w:rPr>
      </w:pPr>
      <w:r>
        <w:rPr>
          <w:rFonts w:hint="eastAsia"/>
          <w:color w:val="auto"/>
          <w:highlight w:val="none"/>
          <w:lang w:val="en-US" w:eastAsia="zh-CN" w:bidi="ar"/>
        </w:rPr>
        <w:t>联系电话：</w:t>
      </w:r>
    </w:p>
    <w:p>
      <w:pPr>
        <w:numPr>
          <w:ilvl w:val="-1"/>
          <w:numId w:val="0"/>
        </w:numPr>
        <w:spacing w:line="500" w:lineRule="exact"/>
        <w:ind w:left="480" w:leftChars="200" w:firstLine="0" w:firstLineChars="0"/>
        <w:jc w:val="both"/>
        <w:rPr>
          <w:rFonts w:hint="default"/>
          <w:color w:val="auto"/>
          <w:highlight w:val="none"/>
          <w:lang w:val="en-US" w:eastAsia="zh-CN" w:bidi="ar"/>
        </w:rPr>
      </w:pPr>
      <w:r>
        <w:rPr>
          <w:rFonts w:hint="eastAsia"/>
          <w:color w:val="auto"/>
          <w:highlight w:val="none"/>
          <w:lang w:val="en-US" w:eastAsia="zh-CN" w:bidi="ar"/>
        </w:rPr>
        <w:t>电子邮箱：</w:t>
      </w:r>
    </w:p>
    <w:p>
      <w:pPr>
        <w:numPr>
          <w:ilvl w:val="-1"/>
          <w:numId w:val="0"/>
        </w:numPr>
        <w:spacing w:line="500" w:lineRule="exact"/>
        <w:ind w:left="480" w:leftChars="200" w:firstLine="0" w:firstLineChars="0"/>
        <w:jc w:val="both"/>
        <w:rPr>
          <w:rFonts w:hint="default"/>
          <w:color w:val="auto"/>
          <w:highlight w:val="none"/>
          <w:lang w:val="en-US" w:eastAsia="zh-CN" w:bidi="ar"/>
        </w:rPr>
      </w:pPr>
      <w:r>
        <w:rPr>
          <w:rFonts w:hint="eastAsia"/>
          <w:color w:val="auto"/>
          <w:highlight w:val="none"/>
          <w:lang w:val="en-US" w:eastAsia="zh-CN" w:bidi="ar"/>
        </w:rPr>
        <w:t>（2）乙方送达方式</w:t>
      </w:r>
    </w:p>
    <w:p>
      <w:pPr>
        <w:numPr>
          <w:ilvl w:val="-1"/>
          <w:numId w:val="0"/>
        </w:numPr>
        <w:spacing w:line="500" w:lineRule="exact"/>
        <w:ind w:left="480" w:leftChars="200" w:firstLine="0" w:firstLineChars="0"/>
        <w:jc w:val="both"/>
        <w:rPr>
          <w:rFonts w:hint="eastAsia"/>
          <w:color w:val="auto"/>
          <w:highlight w:val="none"/>
          <w:lang w:val="en-US" w:eastAsia="zh-CN" w:bidi="ar"/>
        </w:rPr>
      </w:pPr>
      <w:r>
        <w:rPr>
          <w:rFonts w:hint="eastAsia"/>
          <w:color w:val="auto"/>
          <w:highlight w:val="none"/>
          <w:lang w:val="en-US" w:eastAsia="zh-CN" w:bidi="ar"/>
        </w:rPr>
        <w:t>联系人：</w:t>
      </w:r>
    </w:p>
    <w:p>
      <w:pPr>
        <w:numPr>
          <w:ilvl w:val="-1"/>
          <w:numId w:val="0"/>
        </w:numPr>
        <w:spacing w:line="500" w:lineRule="exact"/>
        <w:ind w:left="480" w:leftChars="200" w:firstLine="0" w:firstLineChars="0"/>
        <w:jc w:val="both"/>
        <w:rPr>
          <w:rFonts w:hint="eastAsia"/>
          <w:color w:val="auto"/>
          <w:highlight w:val="none"/>
          <w:lang w:val="en-US" w:eastAsia="zh-CN" w:bidi="ar"/>
        </w:rPr>
      </w:pPr>
      <w:r>
        <w:rPr>
          <w:rFonts w:hint="eastAsia"/>
          <w:color w:val="auto"/>
          <w:highlight w:val="none"/>
          <w:lang w:val="en-US" w:eastAsia="zh-CN" w:bidi="ar"/>
        </w:rPr>
        <w:t>联系地址：</w:t>
      </w:r>
    </w:p>
    <w:p>
      <w:pPr>
        <w:numPr>
          <w:ilvl w:val="-1"/>
          <w:numId w:val="0"/>
        </w:numPr>
        <w:spacing w:line="500" w:lineRule="exact"/>
        <w:ind w:left="480" w:leftChars="200" w:firstLine="0" w:firstLineChars="0"/>
        <w:jc w:val="both"/>
        <w:rPr>
          <w:rFonts w:hint="eastAsia"/>
          <w:color w:val="auto"/>
          <w:highlight w:val="none"/>
          <w:lang w:val="en-US" w:eastAsia="zh-CN" w:bidi="ar"/>
        </w:rPr>
      </w:pPr>
      <w:r>
        <w:rPr>
          <w:rFonts w:hint="eastAsia"/>
          <w:color w:val="auto"/>
          <w:highlight w:val="none"/>
          <w:lang w:val="en-US" w:eastAsia="zh-CN" w:bidi="ar"/>
        </w:rPr>
        <w:t>联系电话：</w:t>
      </w:r>
    </w:p>
    <w:p>
      <w:pPr>
        <w:numPr>
          <w:ilvl w:val="-1"/>
          <w:numId w:val="0"/>
        </w:numPr>
        <w:spacing w:line="500" w:lineRule="exact"/>
        <w:ind w:left="480" w:leftChars="200" w:firstLine="0" w:firstLineChars="0"/>
        <w:jc w:val="both"/>
        <w:rPr>
          <w:rFonts w:hint="default"/>
          <w:color w:val="auto"/>
          <w:highlight w:val="none"/>
          <w:lang w:val="en-US" w:eastAsia="zh-CN" w:bidi="ar"/>
        </w:rPr>
      </w:pPr>
      <w:r>
        <w:rPr>
          <w:rFonts w:hint="eastAsia"/>
          <w:color w:val="auto"/>
          <w:highlight w:val="none"/>
          <w:lang w:val="en-US" w:eastAsia="zh-CN" w:bidi="ar"/>
        </w:rPr>
        <w:t>电子邮箱：</w:t>
      </w:r>
    </w:p>
    <w:p>
      <w:pPr>
        <w:numPr>
          <w:ilvl w:val="1"/>
          <w:numId w:val="2"/>
        </w:numPr>
        <w:spacing w:line="500" w:lineRule="exact"/>
        <w:ind w:left="0" w:firstLine="480" w:firstLineChars="200"/>
        <w:jc w:val="both"/>
        <w:rPr>
          <w:rFonts w:hint="eastAsia"/>
          <w:color w:val="auto"/>
          <w:highlight w:val="none"/>
          <w:lang w:bidi="ar"/>
        </w:rPr>
      </w:pPr>
      <w:r>
        <w:rPr>
          <w:rFonts w:hint="eastAsia"/>
          <w:color w:val="auto"/>
          <w:highlight w:val="none"/>
          <w:lang w:bidi="ar"/>
        </w:rPr>
        <w:t>本协议项下任何一方给予其他各方的任何通知、确认、请求、要求、诉讼（仲裁）等法律文书或其他通信往来，以电传、电话、传真、电子邮件方式发送的，一经发出且发送方并无获悉无法送达即视为已送达；以邮政信函方式发送的，于投寄之日起第三日即视为已送达；以派人专程当面送递的，一经签收即视为送达，被送达方拒收的，送达人可采取拍照、录像方式记录送达过程，并将文书留置，亦视为送达。</w:t>
      </w:r>
    </w:p>
    <w:p>
      <w:pPr>
        <w:numPr>
          <w:ilvl w:val="1"/>
          <w:numId w:val="2"/>
        </w:numPr>
        <w:spacing w:line="500" w:lineRule="exact"/>
        <w:ind w:left="0" w:firstLine="480" w:firstLineChars="200"/>
        <w:jc w:val="both"/>
        <w:rPr>
          <w:rFonts w:hint="eastAsia"/>
          <w:color w:val="auto"/>
          <w:highlight w:val="none"/>
          <w:lang w:bidi="ar"/>
        </w:rPr>
      </w:pPr>
      <w:r>
        <w:rPr>
          <w:rFonts w:hint="eastAsia"/>
          <w:color w:val="auto"/>
          <w:highlight w:val="none"/>
          <w:lang w:bidi="ar"/>
        </w:rPr>
        <w:t>本协议项下任何一方提供的地址、电话、电子邮箱等联系方式发生变更的，应在变更后5日内通知其他各方；否则其他各方按原联系方式发出的通知或其他文书，即使变更方没有收到，仍视为送达。</w:t>
      </w:r>
    </w:p>
    <w:p>
      <w:pPr>
        <w:numPr>
          <w:ilvl w:val="0"/>
          <w:numId w:val="2"/>
        </w:numPr>
        <w:tabs>
          <w:tab w:val="left" w:pos="0"/>
        </w:tabs>
        <w:spacing w:before="157" w:beforeLines="50" w:beforeAutospacing="0" w:after="0" w:afterAutospacing="0" w:line="500" w:lineRule="exact"/>
        <w:ind w:left="425" w:hanging="425" w:firstLineChars="0"/>
        <w:jc w:val="both"/>
        <w:outlineLvl w:val="0"/>
        <w:rPr>
          <w:rFonts w:hint="eastAsia" w:ascii="仿宋" w:hAnsi="仿宋" w:cs="仿宋"/>
          <w:b/>
          <w:bCs/>
          <w:color w:val="auto"/>
          <w:highlight w:val="none"/>
          <w:lang w:bidi="ar"/>
        </w:rPr>
      </w:pPr>
      <w:bookmarkStart w:id="26" w:name="_Toc317808814"/>
      <w:bookmarkStart w:id="27" w:name="_Toc658169926"/>
      <w:bookmarkStart w:id="28" w:name="_Toc1780267642"/>
      <w:bookmarkStart w:id="29" w:name="_Toc1533736992"/>
      <w:bookmarkStart w:id="30" w:name="_Toc1887513975"/>
      <w:bookmarkStart w:id="31" w:name="_Toc2035831891"/>
      <w:bookmarkStart w:id="32" w:name="_Toc784037209"/>
      <w:bookmarkStart w:id="33" w:name="_Toc1197979195"/>
      <w:bookmarkStart w:id="34" w:name="_Toc278327523"/>
      <w:bookmarkStart w:id="35" w:name="_Toc1345521010"/>
      <w:bookmarkStart w:id="36" w:name="_Toc1440259514"/>
      <w:bookmarkStart w:id="37" w:name="_Toc1383429715"/>
      <w:r>
        <w:rPr>
          <w:rFonts w:hint="eastAsia" w:ascii="仿宋" w:hAnsi="仿宋" w:cs="仿宋"/>
          <w:b/>
          <w:bCs/>
          <w:color w:val="auto"/>
          <w:highlight w:val="none"/>
          <w:lang w:bidi="ar"/>
        </w:rPr>
        <w:t>知识产权</w:t>
      </w:r>
      <w:bookmarkEnd w:id="26"/>
      <w:bookmarkEnd w:id="27"/>
      <w:bookmarkEnd w:id="28"/>
      <w:bookmarkEnd w:id="29"/>
      <w:bookmarkEnd w:id="30"/>
      <w:bookmarkEnd w:id="31"/>
      <w:bookmarkEnd w:id="32"/>
      <w:bookmarkEnd w:id="33"/>
      <w:bookmarkEnd w:id="34"/>
      <w:bookmarkEnd w:id="35"/>
      <w:bookmarkEnd w:id="36"/>
      <w:bookmarkEnd w:id="37"/>
    </w:p>
    <w:p>
      <w:pPr>
        <w:numPr>
          <w:ilvl w:val="1"/>
          <w:numId w:val="2"/>
        </w:numPr>
        <w:spacing w:before="0" w:beforeAutospacing="0" w:after="0" w:afterAutospacing="0" w:line="500" w:lineRule="exact"/>
        <w:ind w:left="0" w:firstLine="480" w:firstLineChars="200"/>
        <w:jc w:val="both"/>
        <w:rPr>
          <w:rFonts w:ascii="仿宋" w:hAnsi="仿宋" w:cs="Times New Roman"/>
          <w:color w:val="auto"/>
          <w:highlight w:val="none"/>
          <w:lang w:bidi="ar"/>
        </w:rPr>
      </w:pPr>
      <w:r>
        <w:rPr>
          <w:rFonts w:ascii="仿宋" w:hAnsi="仿宋" w:cs="Times New Roman"/>
          <w:color w:val="auto"/>
          <w:highlight w:val="none"/>
          <w:lang w:bidi="ar"/>
        </w:rPr>
        <w:t>乙方服务</w:t>
      </w:r>
      <w:r>
        <w:rPr>
          <w:rFonts w:hint="eastAsia" w:cs="Times New Roman"/>
          <w:color w:val="auto"/>
          <w:highlight w:val="none"/>
          <w:lang w:val="en-US" w:eastAsia="zh-CN" w:bidi="ar"/>
        </w:rPr>
        <w:t>过程中</w:t>
      </w:r>
      <w:r>
        <w:rPr>
          <w:rFonts w:ascii="仿宋" w:hAnsi="仿宋" w:cs="Times New Roman"/>
          <w:color w:val="auto"/>
          <w:highlight w:val="none"/>
          <w:lang w:bidi="ar"/>
        </w:rPr>
        <w:t>向甲方提供的一切报告、营销、策划、创意、设计方案等工作成果，一经由甲方审核、确认并采用，其使用权、著作权（除著作人身权外）、载体所有权等权利均归甲方所有，甲方有权用于广告发布、对外宣传以及再转让等。</w:t>
      </w:r>
    </w:p>
    <w:p>
      <w:pPr>
        <w:numPr>
          <w:ilvl w:val="-1"/>
          <w:numId w:val="0"/>
        </w:numPr>
        <w:spacing w:before="0" w:beforeAutospacing="0" w:after="0" w:afterAutospacing="0" w:line="500" w:lineRule="exact"/>
        <w:ind w:left="0" w:leftChars="0" w:firstLine="480" w:firstLineChars="200"/>
        <w:jc w:val="both"/>
        <w:rPr>
          <w:rFonts w:ascii="仿宋" w:hAnsi="仿宋" w:cs="Times New Roman"/>
          <w:color w:val="auto"/>
          <w:highlight w:val="none"/>
          <w:lang w:bidi="ar"/>
        </w:rPr>
      </w:pPr>
      <w:r>
        <w:rPr>
          <w:rFonts w:ascii="仿宋" w:hAnsi="仿宋" w:cs="Times New Roman"/>
          <w:color w:val="auto"/>
          <w:highlight w:val="none"/>
          <w:lang w:bidi="ar"/>
        </w:rPr>
        <w:t>有关项目</w:t>
      </w:r>
      <w:r>
        <w:rPr>
          <w:rFonts w:hint="eastAsia" w:cs="Times New Roman"/>
          <w:color w:val="auto"/>
          <w:highlight w:val="none"/>
          <w:lang w:val="en-US" w:eastAsia="zh-CN" w:bidi="ar"/>
        </w:rPr>
        <w:t>运营、</w:t>
      </w:r>
      <w:r>
        <w:rPr>
          <w:rFonts w:ascii="仿宋" w:hAnsi="仿宋" w:cs="Times New Roman"/>
          <w:color w:val="auto"/>
          <w:highlight w:val="none"/>
          <w:lang w:bidi="ar"/>
        </w:rPr>
        <w:t>招商或其他招商工具的设计、制作，如甲方以图书的形式正式出版发行，则版权归甲方所有。</w:t>
      </w:r>
    </w:p>
    <w:p>
      <w:pPr>
        <w:numPr>
          <w:ilvl w:val="1"/>
          <w:numId w:val="2"/>
        </w:numPr>
        <w:spacing w:before="0" w:beforeAutospacing="0" w:after="0" w:afterAutospacing="0" w:line="500" w:lineRule="exact"/>
        <w:ind w:left="0" w:firstLine="480" w:firstLineChars="200"/>
        <w:jc w:val="both"/>
        <w:rPr>
          <w:rFonts w:ascii="仿宋" w:hAnsi="仿宋" w:cs="Times New Roman"/>
          <w:color w:val="auto"/>
          <w:highlight w:val="none"/>
          <w:lang w:bidi="ar"/>
        </w:rPr>
      </w:pPr>
      <w:r>
        <w:rPr>
          <w:rFonts w:ascii="仿宋" w:hAnsi="仿宋" w:cs="Times New Roman"/>
          <w:color w:val="auto"/>
          <w:highlight w:val="none"/>
          <w:lang w:bidi="ar"/>
        </w:rPr>
        <w:t>未经甲方同意，乙方不得将上述相关资料用于与履行本合同无关的任何用途，不得提供给第三方。</w:t>
      </w:r>
    </w:p>
    <w:p>
      <w:pPr>
        <w:numPr>
          <w:ilvl w:val="1"/>
          <w:numId w:val="2"/>
        </w:numPr>
        <w:spacing w:before="0" w:beforeAutospacing="0" w:after="0" w:afterAutospacing="0" w:line="500" w:lineRule="exact"/>
        <w:ind w:left="0" w:firstLine="480" w:firstLineChars="200"/>
        <w:jc w:val="both"/>
        <w:rPr>
          <w:rFonts w:ascii="仿宋" w:hAnsi="仿宋" w:cs="Times New Roman"/>
          <w:color w:val="auto"/>
          <w:highlight w:val="none"/>
          <w:lang w:bidi="ar"/>
        </w:rPr>
      </w:pPr>
      <w:r>
        <w:rPr>
          <w:rFonts w:ascii="仿宋" w:hAnsi="仿宋" w:cs="Times New Roman"/>
          <w:color w:val="auto"/>
          <w:highlight w:val="none"/>
          <w:lang w:bidi="ar"/>
        </w:rPr>
        <w:t>乙方须保证向甲方提供的</w:t>
      </w:r>
      <w:r>
        <w:rPr>
          <w:rFonts w:hint="eastAsia" w:cs="Times New Roman"/>
          <w:color w:val="auto"/>
          <w:highlight w:val="none"/>
          <w:lang w:val="en-US" w:eastAsia="zh-CN" w:bidi="ar"/>
        </w:rPr>
        <w:t>运营、</w:t>
      </w:r>
      <w:r>
        <w:rPr>
          <w:rFonts w:ascii="仿宋" w:hAnsi="仿宋" w:cs="Times New Roman"/>
          <w:color w:val="auto"/>
          <w:highlight w:val="none"/>
          <w:lang w:bidi="ar"/>
        </w:rPr>
        <w:t>营销、策划、创意、设计、方案等服务和作品的内容，包括所使用的图片、标志、用语、音乐、肖像、数据、表现形式等均合法取得，保证有权使用并可用于甲方项目的使用和广告发布，乙方不得侵犯他人的著作权、版权、肖像权等权利。</w:t>
      </w:r>
    </w:p>
    <w:p>
      <w:pPr>
        <w:numPr>
          <w:ilvl w:val="1"/>
          <w:numId w:val="2"/>
        </w:numPr>
        <w:spacing w:before="0" w:beforeAutospacing="0" w:after="0" w:afterAutospacing="0" w:line="500" w:lineRule="exact"/>
        <w:ind w:left="0" w:firstLine="480" w:firstLineChars="200"/>
        <w:jc w:val="both"/>
        <w:rPr>
          <w:rFonts w:ascii="仿宋" w:hAnsi="仿宋" w:cs="Times New Roman"/>
          <w:color w:val="auto"/>
          <w:highlight w:val="none"/>
          <w:lang w:bidi="ar"/>
        </w:rPr>
      </w:pPr>
      <w:r>
        <w:rPr>
          <w:rFonts w:ascii="仿宋" w:hAnsi="仿宋" w:cs="Times New Roman"/>
          <w:color w:val="auto"/>
          <w:highlight w:val="none"/>
          <w:lang w:bidi="ar"/>
        </w:rPr>
        <w:t>甲方提供给乙方参考的有关项目的所有资料以及销售客户资料的所有权归甲方所有，除为本合同目的而使用之外，乙方不得复制、使用及提供给第三方。</w:t>
      </w:r>
    </w:p>
    <w:p>
      <w:pPr>
        <w:numPr>
          <w:ilvl w:val="1"/>
          <w:numId w:val="2"/>
        </w:numPr>
        <w:spacing w:line="500" w:lineRule="exact"/>
        <w:ind w:left="0" w:firstLine="480" w:firstLineChars="200"/>
        <w:jc w:val="both"/>
        <w:rPr>
          <w:color w:val="auto"/>
          <w:highlight w:val="none"/>
          <w:lang w:bidi="ar"/>
        </w:rPr>
      </w:pPr>
      <w:r>
        <w:rPr>
          <w:rFonts w:ascii="仿宋" w:hAnsi="仿宋" w:cs="Times New Roman"/>
          <w:color w:val="auto"/>
          <w:highlight w:val="none"/>
          <w:lang w:bidi="ar"/>
        </w:rPr>
        <w:t>双方保证向对方提供的各项资料文件真实合法，不存在侵权行为。如因侵权导致对方损失的，应当予以赔偿。</w:t>
      </w:r>
      <w:r>
        <w:rPr>
          <w:color w:val="auto"/>
          <w:highlight w:val="none"/>
          <w:lang w:bidi="ar"/>
        </w:rPr>
        <w:t xml:space="preserve"> </w:t>
      </w:r>
    </w:p>
    <w:p>
      <w:pPr>
        <w:numPr>
          <w:ilvl w:val="0"/>
          <w:numId w:val="2"/>
        </w:numPr>
        <w:tabs>
          <w:tab w:val="left" w:pos="0"/>
        </w:tabs>
        <w:spacing w:before="157" w:beforeLines="50" w:line="500" w:lineRule="exact"/>
        <w:ind w:left="425" w:hanging="425"/>
        <w:jc w:val="both"/>
        <w:outlineLvl w:val="0"/>
        <w:rPr>
          <w:rFonts w:hint="eastAsia" w:ascii="仿宋" w:hAnsi="仿宋" w:cs="仿宋"/>
          <w:b/>
          <w:bCs/>
          <w:color w:val="auto"/>
          <w:highlight w:val="none"/>
          <w:lang w:bidi="ar"/>
        </w:rPr>
      </w:pPr>
      <w:bookmarkStart w:id="38" w:name="_Toc818944341"/>
      <w:bookmarkStart w:id="39" w:name="_Toc353713671"/>
      <w:bookmarkStart w:id="40" w:name="_Toc1168812160"/>
      <w:bookmarkStart w:id="41" w:name="_Toc5982814"/>
      <w:bookmarkStart w:id="42" w:name="_Toc620906809"/>
      <w:bookmarkStart w:id="43" w:name="_Toc68605443"/>
      <w:bookmarkStart w:id="44" w:name="_Toc173680585"/>
      <w:bookmarkStart w:id="45" w:name="_Toc631295895"/>
      <w:bookmarkStart w:id="46" w:name="_Toc1271409603"/>
      <w:bookmarkStart w:id="47" w:name="_Toc1777139740"/>
      <w:bookmarkStart w:id="48" w:name="_Toc497773936"/>
      <w:bookmarkStart w:id="49" w:name="_Toc369644386"/>
      <w:r>
        <w:rPr>
          <w:rFonts w:hint="eastAsia" w:ascii="仿宋" w:hAnsi="仿宋" w:cs="仿宋"/>
          <w:b/>
          <w:bCs/>
          <w:color w:val="auto"/>
          <w:highlight w:val="none"/>
          <w:lang w:bidi="ar"/>
        </w:rPr>
        <w:t>保密</w:t>
      </w:r>
      <w:bookmarkEnd w:id="38"/>
      <w:bookmarkEnd w:id="39"/>
      <w:bookmarkEnd w:id="40"/>
      <w:bookmarkEnd w:id="41"/>
      <w:bookmarkEnd w:id="42"/>
      <w:bookmarkEnd w:id="43"/>
      <w:bookmarkEnd w:id="44"/>
      <w:bookmarkEnd w:id="45"/>
      <w:bookmarkEnd w:id="46"/>
      <w:bookmarkEnd w:id="47"/>
      <w:bookmarkEnd w:id="48"/>
      <w:bookmarkEnd w:id="49"/>
    </w:p>
    <w:p>
      <w:pPr>
        <w:numPr>
          <w:ilvl w:val="1"/>
          <w:numId w:val="2"/>
        </w:numPr>
        <w:spacing w:line="500" w:lineRule="exact"/>
        <w:ind w:left="0" w:firstLine="480" w:firstLineChars="200"/>
        <w:jc w:val="both"/>
        <w:rPr>
          <w:rFonts w:hint="eastAsia" w:ascii="仿宋" w:hAnsi="仿宋" w:cs="Times New Roman"/>
          <w:color w:val="auto"/>
          <w:highlight w:val="none"/>
          <w:lang w:bidi="ar"/>
        </w:rPr>
      </w:pPr>
      <w:r>
        <w:rPr>
          <w:rFonts w:hint="default"/>
          <w:color w:val="auto"/>
          <w:highlight w:val="none"/>
          <w:lang w:bidi="ar"/>
        </w:rPr>
        <w:t>乙方</w:t>
      </w:r>
      <w:r>
        <w:rPr>
          <w:rFonts w:hint="eastAsia"/>
          <w:color w:val="auto"/>
          <w:highlight w:val="none"/>
          <w:lang w:bidi="ar"/>
        </w:rPr>
        <w:t>保证</w:t>
      </w:r>
      <w:r>
        <w:rPr>
          <w:rFonts w:hint="default"/>
          <w:color w:val="auto"/>
          <w:highlight w:val="none"/>
          <w:lang w:bidi="ar"/>
        </w:rPr>
        <w:t>遵守</w:t>
      </w:r>
      <w:r>
        <w:rPr>
          <w:rFonts w:hint="eastAsia"/>
          <w:color w:val="auto"/>
          <w:highlight w:val="none"/>
          <w:lang w:bidi="ar"/>
        </w:rPr>
        <w:t>商业道德，对甲方提供的有关审批文件、资料、报告、图纸等材料仅作自用，对该材料及甲方商业性资料负有绝对保密之义务，不得以任何形式提供、泄露、披露、发表、转让给第三方。</w:t>
      </w:r>
    </w:p>
    <w:p>
      <w:pPr>
        <w:numPr>
          <w:ilvl w:val="1"/>
          <w:numId w:val="2"/>
        </w:numPr>
        <w:spacing w:line="500" w:lineRule="exact"/>
        <w:ind w:left="0" w:firstLine="480" w:firstLineChars="200"/>
        <w:jc w:val="both"/>
        <w:rPr>
          <w:rFonts w:hint="eastAsia" w:ascii="仿宋" w:hAnsi="仿宋" w:cs="Times New Roman"/>
          <w:color w:val="auto"/>
          <w:highlight w:val="none"/>
          <w:lang w:bidi="ar"/>
        </w:rPr>
      </w:pPr>
      <w:r>
        <w:rPr>
          <w:rFonts w:hint="eastAsia" w:ascii="仿宋" w:hAnsi="仿宋" w:cs="Times New Roman"/>
          <w:color w:val="auto"/>
          <w:highlight w:val="none"/>
          <w:lang w:bidi="ar"/>
        </w:rPr>
        <w:t>合同各方保证对在讨论、签订、履行本合同过程中所获悉的属于其他方的且无法自公开渠道获取的保密信息予以保密。未经该信息的披露方同意，信息接收方不得向任何第三方泄露该信息的全部或部分内容。</w:t>
      </w:r>
    </w:p>
    <w:p>
      <w:pPr>
        <w:spacing w:line="500" w:lineRule="exact"/>
        <w:ind w:firstLine="480" w:firstLineChars="200"/>
        <w:jc w:val="both"/>
        <w:rPr>
          <w:rFonts w:hint="eastAsia" w:ascii="仿宋" w:hAnsi="仿宋" w:cs="Times New Roman"/>
          <w:color w:val="auto"/>
          <w:highlight w:val="none"/>
          <w:lang w:bidi="ar"/>
        </w:rPr>
      </w:pPr>
      <w:r>
        <w:rPr>
          <w:rFonts w:hint="eastAsia" w:ascii="仿宋" w:hAnsi="仿宋" w:cs="Times New Roman"/>
          <w:color w:val="auto"/>
          <w:highlight w:val="none"/>
          <w:lang w:bidi="ar"/>
        </w:rPr>
        <w:t>上述保密义务，在本合同终止或解除之后仍需履行。</w:t>
      </w:r>
    </w:p>
    <w:p>
      <w:pPr>
        <w:spacing w:line="500" w:lineRule="exact"/>
        <w:ind w:firstLine="480" w:firstLineChars="200"/>
        <w:jc w:val="both"/>
        <w:rPr>
          <w:rFonts w:ascii="宋体" w:hAnsi="宋体" w:cs="宋体"/>
          <w:color w:val="auto"/>
          <w:highlight w:val="none"/>
        </w:rPr>
      </w:pPr>
      <w:r>
        <w:rPr>
          <w:rFonts w:hint="eastAsia" w:ascii="仿宋" w:hAnsi="仿宋" w:cs="Times New Roman"/>
          <w:color w:val="auto"/>
          <w:highlight w:val="none"/>
          <w:lang w:bidi="ar"/>
        </w:rPr>
        <w:t>保密信息是指信息披露方向信息接收方在本合同签订之前或之后披露的任何非公开</w:t>
      </w:r>
      <w:r>
        <w:rPr>
          <w:rFonts w:ascii="宋体" w:hAnsi="宋体" w:cs="宋体"/>
          <w:color w:val="auto"/>
          <w:highlight w:val="none"/>
        </w:rPr>
        <w:t>的信息，不论书面、口头或其他形式，包括但不限于作品、技术及经营的相关信息。作品相关信息包括艺术作品原作、照片、草稿、参数；技术信息包括技术、设计、图样、译文、图标、模型、制程、计数法、软件程序、软件来源文件、有关研究与实验工作的记录或成果等；经营信息包括营运信息、投标文件、财务/业务数据、人事数据、采购资料、客户资料或销售数据等。</w:t>
      </w:r>
    </w:p>
    <w:p>
      <w:pPr>
        <w:numPr>
          <w:ilvl w:val="0"/>
          <w:numId w:val="2"/>
        </w:numPr>
        <w:tabs>
          <w:tab w:val="left" w:pos="0"/>
        </w:tabs>
        <w:spacing w:before="157" w:beforeLines="50" w:line="500" w:lineRule="exact"/>
        <w:ind w:left="425" w:hanging="425"/>
        <w:jc w:val="both"/>
        <w:outlineLvl w:val="0"/>
        <w:rPr>
          <w:rFonts w:hint="eastAsia" w:cs="仿宋"/>
          <w:b/>
          <w:bCs/>
          <w:color w:val="auto"/>
          <w:highlight w:val="none"/>
          <w:lang w:bidi="ar"/>
        </w:rPr>
      </w:pPr>
      <w:bookmarkStart w:id="50" w:name="_Toc774845564"/>
      <w:bookmarkStart w:id="51" w:name="_Toc1768907136"/>
      <w:bookmarkStart w:id="52" w:name="_Toc641864365"/>
      <w:bookmarkStart w:id="53" w:name="_Toc1486403400"/>
      <w:bookmarkStart w:id="54" w:name="_Toc2135266992"/>
      <w:bookmarkStart w:id="55" w:name="_Toc2000445709"/>
      <w:bookmarkStart w:id="56" w:name="_Toc1637737287"/>
      <w:bookmarkStart w:id="57" w:name="_Toc1193054011"/>
      <w:bookmarkStart w:id="58" w:name="_Toc1974266768"/>
      <w:bookmarkStart w:id="59" w:name="_Toc2090488378"/>
      <w:bookmarkStart w:id="60" w:name="_Toc5585818"/>
      <w:bookmarkStart w:id="61" w:name="_Toc1185047704"/>
      <w:r>
        <w:rPr>
          <w:rFonts w:hint="eastAsia" w:cs="仿宋"/>
          <w:b/>
          <w:bCs/>
          <w:color w:val="auto"/>
          <w:highlight w:val="none"/>
          <w:lang w:bidi="ar"/>
        </w:rPr>
        <w:t>争议处理</w:t>
      </w:r>
      <w:bookmarkEnd w:id="50"/>
      <w:bookmarkEnd w:id="51"/>
      <w:bookmarkEnd w:id="52"/>
      <w:bookmarkEnd w:id="53"/>
      <w:bookmarkEnd w:id="54"/>
      <w:bookmarkEnd w:id="55"/>
      <w:bookmarkEnd w:id="56"/>
      <w:bookmarkEnd w:id="57"/>
      <w:bookmarkEnd w:id="58"/>
      <w:bookmarkEnd w:id="59"/>
      <w:bookmarkEnd w:id="60"/>
      <w:bookmarkEnd w:id="61"/>
      <w:r>
        <w:rPr>
          <w:rFonts w:hint="eastAsia" w:cs="仿宋"/>
          <w:b/>
          <w:bCs/>
          <w:color w:val="auto"/>
          <w:highlight w:val="none"/>
          <w:lang w:bidi="ar"/>
        </w:rPr>
        <w:t xml:space="preserve"> </w:t>
      </w:r>
    </w:p>
    <w:p>
      <w:pPr>
        <w:spacing w:line="500" w:lineRule="exact"/>
        <w:jc w:val="both"/>
        <w:rPr>
          <w:rFonts w:hint="eastAsia"/>
          <w:color w:val="auto"/>
          <w:highlight w:val="none"/>
        </w:rPr>
      </w:pPr>
      <w:r>
        <w:rPr>
          <w:rFonts w:hint="eastAsia"/>
          <w:color w:val="auto"/>
          <w:highlight w:val="none"/>
          <w:lang w:bidi="ar"/>
        </w:rPr>
        <w:t xml:space="preserve">甲乙双方在解释或履行本合同时如发生争议，应本着互谅原则，友好协商解决，协商不成时可向项目所在地的人民法院起诉。 </w:t>
      </w:r>
    </w:p>
    <w:p>
      <w:pPr>
        <w:numPr>
          <w:ilvl w:val="0"/>
          <w:numId w:val="2"/>
        </w:numPr>
        <w:tabs>
          <w:tab w:val="left" w:pos="0"/>
        </w:tabs>
        <w:spacing w:before="157" w:beforeLines="50" w:line="500" w:lineRule="exact"/>
        <w:ind w:left="425" w:hanging="425"/>
        <w:jc w:val="both"/>
        <w:outlineLvl w:val="0"/>
        <w:rPr>
          <w:rFonts w:hint="eastAsia" w:cs="仿宋"/>
          <w:b/>
          <w:bCs/>
          <w:color w:val="auto"/>
          <w:highlight w:val="none"/>
          <w:lang w:bidi="ar"/>
        </w:rPr>
      </w:pPr>
      <w:bookmarkStart w:id="62" w:name="_Toc1004023674"/>
      <w:bookmarkStart w:id="63" w:name="_Toc304678249"/>
      <w:bookmarkStart w:id="64" w:name="_Toc1539046305"/>
      <w:bookmarkStart w:id="65" w:name="_Toc1333418850"/>
      <w:bookmarkStart w:id="66" w:name="_Toc488558740"/>
      <w:bookmarkStart w:id="67" w:name="_Toc2005704126"/>
      <w:bookmarkStart w:id="68" w:name="_Toc487053731"/>
      <w:bookmarkStart w:id="69" w:name="_Toc1152679010"/>
      <w:bookmarkStart w:id="70" w:name="_Toc833109527"/>
      <w:bookmarkStart w:id="71" w:name="_Toc731739979"/>
      <w:bookmarkStart w:id="72" w:name="_Toc603950838"/>
      <w:bookmarkStart w:id="73" w:name="_Toc258625684"/>
      <w:r>
        <w:rPr>
          <w:rFonts w:hint="eastAsia" w:cs="仿宋"/>
          <w:b/>
          <w:bCs/>
          <w:color w:val="auto"/>
          <w:highlight w:val="none"/>
          <w:lang w:bidi="ar"/>
        </w:rPr>
        <w:t>不可抗力</w:t>
      </w:r>
      <w:bookmarkEnd w:id="62"/>
      <w:bookmarkEnd w:id="63"/>
      <w:bookmarkEnd w:id="64"/>
      <w:bookmarkEnd w:id="65"/>
      <w:bookmarkEnd w:id="66"/>
      <w:bookmarkEnd w:id="67"/>
      <w:bookmarkEnd w:id="68"/>
      <w:bookmarkEnd w:id="69"/>
      <w:bookmarkEnd w:id="70"/>
      <w:bookmarkEnd w:id="71"/>
      <w:bookmarkEnd w:id="72"/>
      <w:bookmarkEnd w:id="73"/>
      <w:r>
        <w:rPr>
          <w:rFonts w:hint="eastAsia" w:cs="仿宋"/>
          <w:b/>
          <w:bCs/>
          <w:color w:val="auto"/>
          <w:highlight w:val="none"/>
          <w:lang w:bidi="ar"/>
        </w:rPr>
        <w:t xml:space="preserve"> </w:t>
      </w:r>
    </w:p>
    <w:p>
      <w:pPr>
        <w:spacing w:line="500" w:lineRule="exact"/>
        <w:ind w:firstLine="480" w:firstLineChars="200"/>
        <w:jc w:val="both"/>
        <w:rPr>
          <w:rFonts w:hint="eastAsia"/>
          <w:color w:val="auto"/>
          <w:highlight w:val="none"/>
          <w:lang w:bidi="ar"/>
        </w:rPr>
      </w:pPr>
      <w:r>
        <w:rPr>
          <w:rFonts w:hint="eastAsia"/>
          <w:color w:val="auto"/>
          <w:highlight w:val="none"/>
          <w:lang w:bidi="ar"/>
        </w:rPr>
        <w:t xml:space="preserve">因地震、台风、水灾、战争等不可抗力因素造成的合同不能履行或不能按合同履行，甲乙双方协商解决。当发生社会异常事件时（主要指偶发性事件阻碍合同的履行，如战争、动乱、突发性流行病、恐怖活动等），致使一方迟延履行或不能履行合同，部分或全部免除违约责任（任何一方迟延履行期间发生的异常事件，不具有免责效力）并自事件结束之日起 90 日内乙方向甲方提供证明。 </w:t>
      </w:r>
    </w:p>
    <w:p>
      <w:pPr>
        <w:numPr>
          <w:ilvl w:val="0"/>
          <w:numId w:val="2"/>
        </w:numPr>
        <w:tabs>
          <w:tab w:val="left" w:pos="0"/>
        </w:tabs>
        <w:spacing w:before="157" w:beforeLines="50" w:line="500" w:lineRule="exact"/>
        <w:ind w:left="425" w:hanging="425"/>
        <w:jc w:val="both"/>
        <w:outlineLvl w:val="0"/>
        <w:rPr>
          <w:rFonts w:hint="eastAsia" w:cs="仿宋"/>
          <w:b/>
          <w:bCs/>
          <w:color w:val="auto"/>
          <w:highlight w:val="none"/>
          <w:lang w:bidi="ar"/>
        </w:rPr>
      </w:pPr>
      <w:bookmarkStart w:id="74" w:name="_Toc1846874439"/>
      <w:r>
        <w:rPr>
          <w:rFonts w:hint="eastAsia" w:cs="仿宋"/>
          <w:b/>
          <w:bCs/>
          <w:color w:val="auto"/>
          <w:highlight w:val="none"/>
          <w:lang w:val="en-US" w:eastAsia="zh-CN" w:bidi="ar"/>
        </w:rPr>
        <w:t>销售代理服务特殊约定</w:t>
      </w:r>
      <w:bookmarkEnd w:id="74"/>
      <w:r>
        <w:rPr>
          <w:rFonts w:hint="eastAsia" w:cs="仿宋"/>
          <w:b/>
          <w:bCs/>
          <w:color w:val="auto"/>
          <w:highlight w:val="none"/>
          <w:lang w:bidi="ar"/>
        </w:rPr>
        <w:t xml:space="preserve"> </w:t>
      </w:r>
    </w:p>
    <w:p>
      <w:pPr>
        <w:numPr>
          <w:ilvl w:val="-1"/>
          <w:numId w:val="0"/>
        </w:numPr>
        <w:adjustRightInd/>
        <w:snapToGrid/>
        <w:spacing w:line="500" w:lineRule="exact"/>
        <w:ind w:left="0" w:leftChars="0" w:firstLine="480" w:firstLineChars="200"/>
        <w:jc w:val="both"/>
        <w:rPr>
          <w:rFonts w:hint="eastAsia" w:cs="Times New Roman"/>
          <w:color w:val="auto"/>
          <w:highlight w:val="none"/>
          <w:lang w:val="en-US" w:eastAsia="zh-CN" w:bidi="ar"/>
        </w:rPr>
      </w:pPr>
      <w:r>
        <w:rPr>
          <w:rFonts w:hint="eastAsia" w:cs="Times New Roman"/>
          <w:color w:val="auto"/>
          <w:highlight w:val="none"/>
          <w:lang w:val="en-US" w:eastAsia="zh-CN" w:bidi="ar"/>
        </w:rPr>
        <w:t>甲方负责项目方案设计、招商定位、租售物业划分及销售定价、销售佣金制定等，经双方协商一致，乙方可向甲方提供销售代理服务，可配合协助甲方开展项目方案设计、招商定位、租售物业划分及销售定价，但乙方所拥有的本项目销售代理权为非独家代理权，甲方有权视项目推进情况引进多家销售代理方共同负责本项目销售。具体以甲方最终审定的销售方案执行。</w:t>
      </w:r>
    </w:p>
    <w:p>
      <w:pPr>
        <w:numPr>
          <w:ilvl w:val="-1"/>
          <w:numId w:val="0"/>
        </w:numPr>
        <w:adjustRightInd/>
        <w:snapToGrid/>
        <w:spacing w:line="500" w:lineRule="exact"/>
        <w:ind w:left="0" w:leftChars="0" w:firstLine="480" w:firstLineChars="200"/>
        <w:jc w:val="both"/>
        <w:rPr>
          <w:rFonts w:hint="default" w:cs="Times New Roman"/>
          <w:color w:val="auto"/>
          <w:highlight w:val="none"/>
          <w:lang w:val="en-US" w:eastAsia="zh-CN" w:bidi="ar"/>
        </w:rPr>
      </w:pPr>
      <w:r>
        <w:rPr>
          <w:rFonts w:hint="eastAsia" w:cs="Times New Roman"/>
          <w:color w:val="auto"/>
          <w:highlight w:val="none"/>
          <w:lang w:val="en-US" w:eastAsia="zh-CN" w:bidi="ar"/>
        </w:rPr>
        <w:t>若根据相关法律法规、甲方上级管理部门要求，本项目后续销售代理服务须通过招标程序选聘代理商（或承销商）的，乙方未能中标本项目非独家销售代理，不视为甲方违约,且不予退还已收取的运营权转让费和合作收益。</w:t>
      </w:r>
    </w:p>
    <w:p>
      <w:pPr>
        <w:numPr>
          <w:ilvl w:val="0"/>
          <w:numId w:val="2"/>
        </w:numPr>
        <w:tabs>
          <w:tab w:val="left" w:pos="0"/>
        </w:tabs>
        <w:spacing w:before="157" w:beforeLines="50" w:line="500" w:lineRule="exact"/>
        <w:ind w:left="425" w:hanging="425"/>
        <w:jc w:val="both"/>
        <w:outlineLvl w:val="0"/>
        <w:rPr>
          <w:rFonts w:hint="eastAsia" w:cs="仿宋"/>
          <w:b/>
          <w:bCs/>
          <w:color w:val="auto"/>
          <w:highlight w:val="none"/>
          <w:lang w:bidi="ar"/>
        </w:rPr>
      </w:pPr>
      <w:bookmarkStart w:id="75" w:name="_Toc214969460"/>
      <w:bookmarkStart w:id="76" w:name="_Toc310720020"/>
      <w:bookmarkStart w:id="77" w:name="_Toc1778755505"/>
      <w:bookmarkStart w:id="78" w:name="_Toc1862464331"/>
      <w:bookmarkStart w:id="79" w:name="_Toc1594018544"/>
      <w:bookmarkStart w:id="80" w:name="_Toc626141483"/>
      <w:bookmarkStart w:id="81" w:name="_Toc1126316495"/>
      <w:bookmarkStart w:id="82" w:name="_Toc1851878200"/>
      <w:bookmarkStart w:id="83" w:name="_Toc690062535"/>
      <w:bookmarkStart w:id="84" w:name="_Toc818438723"/>
      <w:bookmarkStart w:id="85" w:name="_Toc1376760699"/>
      <w:bookmarkStart w:id="86" w:name="_Toc478441849"/>
      <w:r>
        <w:rPr>
          <w:rFonts w:hint="eastAsia" w:cs="仿宋"/>
          <w:b/>
          <w:bCs/>
          <w:color w:val="auto"/>
          <w:highlight w:val="none"/>
          <w:lang w:bidi="ar"/>
        </w:rPr>
        <w:t>合同事项</w:t>
      </w:r>
      <w:bookmarkEnd w:id="75"/>
      <w:bookmarkEnd w:id="76"/>
      <w:bookmarkEnd w:id="77"/>
      <w:bookmarkEnd w:id="78"/>
      <w:bookmarkEnd w:id="79"/>
      <w:bookmarkEnd w:id="80"/>
      <w:bookmarkEnd w:id="81"/>
      <w:bookmarkEnd w:id="82"/>
      <w:bookmarkEnd w:id="83"/>
      <w:bookmarkEnd w:id="84"/>
      <w:bookmarkEnd w:id="85"/>
      <w:bookmarkEnd w:id="86"/>
      <w:r>
        <w:rPr>
          <w:rFonts w:hint="eastAsia" w:cs="仿宋"/>
          <w:b/>
          <w:bCs/>
          <w:color w:val="auto"/>
          <w:highlight w:val="none"/>
          <w:lang w:bidi="ar"/>
        </w:rPr>
        <w:t xml:space="preserve"> </w:t>
      </w:r>
    </w:p>
    <w:p>
      <w:pPr>
        <w:numPr>
          <w:ilvl w:val="1"/>
          <w:numId w:val="2"/>
        </w:numPr>
        <w:spacing w:line="500" w:lineRule="exact"/>
        <w:ind w:left="0" w:firstLine="480" w:firstLineChars="200"/>
        <w:jc w:val="both"/>
        <w:rPr>
          <w:rFonts w:hint="eastAsia"/>
          <w:color w:val="auto"/>
          <w:highlight w:val="none"/>
        </w:rPr>
      </w:pPr>
      <w:r>
        <w:rPr>
          <w:rFonts w:hint="eastAsia"/>
          <w:color w:val="auto"/>
          <w:highlight w:val="none"/>
          <w:lang w:bidi="ar"/>
        </w:rPr>
        <w:t xml:space="preserve">本合同经甲乙双方签字盖章之日生效，本合同附件作为本合同的一部分，具有同等法律效力。 </w:t>
      </w:r>
    </w:p>
    <w:p>
      <w:pPr>
        <w:numPr>
          <w:ilvl w:val="1"/>
          <w:numId w:val="2"/>
        </w:numPr>
        <w:spacing w:line="500" w:lineRule="exact"/>
        <w:ind w:left="0" w:firstLine="480" w:firstLineChars="200"/>
        <w:jc w:val="both"/>
        <w:rPr>
          <w:rFonts w:hint="eastAsia"/>
          <w:color w:val="auto"/>
          <w:highlight w:val="none"/>
        </w:rPr>
      </w:pPr>
      <w:r>
        <w:rPr>
          <w:rFonts w:hint="eastAsia"/>
          <w:color w:val="auto"/>
          <w:highlight w:val="none"/>
          <w:lang w:bidi="ar"/>
        </w:rPr>
        <w:t>合同签订后，一方单方面提出变更合同内容，须另一方书面同意方可生效。</w:t>
      </w:r>
    </w:p>
    <w:p>
      <w:pPr>
        <w:numPr>
          <w:ilvl w:val="1"/>
          <w:numId w:val="2"/>
        </w:numPr>
        <w:spacing w:line="500" w:lineRule="exact"/>
        <w:ind w:left="0" w:firstLine="480" w:firstLineChars="200"/>
        <w:jc w:val="both"/>
        <w:outlineLvl w:val="9"/>
        <w:rPr>
          <w:rFonts w:hint="eastAsia"/>
          <w:color w:val="auto"/>
          <w:highlight w:val="none"/>
        </w:rPr>
      </w:pPr>
      <w:r>
        <w:rPr>
          <w:rFonts w:hint="eastAsia"/>
          <w:color w:val="auto"/>
          <w:highlight w:val="none"/>
          <w:lang w:bidi="ar"/>
        </w:rPr>
        <w:t>本合同一式捌份，甲乙双方各执肆份并具有同等法律责任。</w:t>
      </w:r>
    </w:p>
    <w:p>
      <w:pPr>
        <w:numPr>
          <w:ilvl w:val="1"/>
          <w:numId w:val="2"/>
        </w:numPr>
        <w:spacing w:line="500" w:lineRule="exact"/>
        <w:ind w:left="0" w:firstLine="480" w:firstLineChars="200"/>
        <w:jc w:val="both"/>
        <w:rPr>
          <w:rFonts w:hint="eastAsia"/>
          <w:color w:val="auto"/>
          <w:highlight w:val="none"/>
          <w:lang w:bidi="ar"/>
        </w:rPr>
      </w:pPr>
      <w:r>
        <w:rPr>
          <w:rFonts w:hint="eastAsia"/>
          <w:color w:val="auto"/>
          <w:highlight w:val="none"/>
          <w:lang w:bidi="ar"/>
        </w:rPr>
        <w:t>本合同未尽事宜，双方可另行协商签订补充协议，并与本合同具有同等法律效力。补充协议如与本合同不一致的，则以补充协议为准。</w:t>
      </w:r>
    </w:p>
    <w:p>
      <w:pPr>
        <w:spacing w:line="500" w:lineRule="exact"/>
        <w:jc w:val="both"/>
        <w:rPr>
          <w:color w:val="auto"/>
          <w:highlight w:val="none"/>
          <w:lang w:bidi="ar"/>
        </w:rPr>
      </w:pPr>
    </w:p>
    <w:p>
      <w:pPr>
        <w:ind w:firstLine="480" w:firstLineChars="200"/>
        <w:rPr>
          <w:rFonts w:hint="eastAsia" w:ascii="仿宋" w:hAnsi="仿宋" w:cs="Times New Roman"/>
          <w:color w:val="auto"/>
          <w:highlight w:val="none"/>
          <w:lang w:bidi="ar"/>
        </w:rPr>
      </w:pPr>
      <w:r>
        <w:rPr>
          <w:rFonts w:hint="eastAsia"/>
          <w:color w:val="auto"/>
          <w:highlight w:val="none"/>
          <w:lang w:bidi="ar"/>
        </w:rPr>
        <w:t>附件</w:t>
      </w:r>
      <w:r>
        <w:rPr>
          <w:rFonts w:hint="eastAsia"/>
          <w:color w:val="auto"/>
          <w:highlight w:val="none"/>
          <w:lang w:eastAsia="zh-CN" w:bidi="ar"/>
        </w:rPr>
        <w:t>（</w:t>
      </w:r>
      <w:r>
        <w:rPr>
          <w:rFonts w:hint="eastAsia"/>
          <w:color w:val="auto"/>
          <w:highlight w:val="none"/>
          <w:lang w:val="en-US" w:eastAsia="zh-CN" w:bidi="ar"/>
        </w:rPr>
        <w:t>另册</w:t>
      </w:r>
      <w:r>
        <w:rPr>
          <w:rFonts w:hint="eastAsia"/>
          <w:color w:val="auto"/>
          <w:highlight w:val="none"/>
          <w:lang w:eastAsia="zh-CN" w:bidi="ar"/>
        </w:rPr>
        <w:t>）</w:t>
      </w:r>
      <w:r>
        <w:rPr>
          <w:rFonts w:hint="eastAsia"/>
          <w:color w:val="auto"/>
          <w:highlight w:val="none"/>
          <w:lang w:bidi="ar"/>
        </w:rPr>
        <w:t>：《建筑物及附属设施设备交付标准》</w:t>
      </w:r>
    </w:p>
    <w:p>
      <w:pPr>
        <w:spacing w:line="500" w:lineRule="exact"/>
        <w:jc w:val="left"/>
        <w:rPr>
          <w:rFonts w:hint="eastAsia"/>
          <w:color w:val="auto"/>
          <w:highlight w:val="none"/>
          <w:lang w:bidi="ar"/>
        </w:rPr>
      </w:pPr>
      <w:r>
        <w:rPr>
          <w:rFonts w:hint="eastAsia"/>
          <w:color w:val="auto"/>
          <w:highlight w:val="none"/>
          <w:lang w:bidi="ar"/>
        </w:rPr>
        <w:t>（以下无正文）</w:t>
      </w:r>
    </w:p>
    <w:p>
      <w:pPr>
        <w:rPr>
          <w:rFonts w:hint="eastAsia"/>
          <w:color w:val="auto"/>
          <w:highlight w:val="none"/>
          <w:lang w:eastAsia="zh-CN" w:bidi="ar"/>
        </w:rPr>
      </w:pPr>
      <w:r>
        <w:rPr>
          <w:rFonts w:hint="eastAsia"/>
          <w:color w:val="auto"/>
          <w:highlight w:val="none"/>
          <w:lang w:eastAsia="zh-CN" w:bidi="ar"/>
        </w:rPr>
        <w:br w:type="page"/>
      </w:r>
    </w:p>
    <w:p>
      <w:pPr>
        <w:pStyle w:val="9"/>
        <w:numPr>
          <w:ilvl w:val="0"/>
          <w:numId w:val="0"/>
        </w:numPr>
        <w:spacing w:after="0" w:afterAutospacing="0" w:line="240" w:lineRule="auto"/>
        <w:ind w:firstLine="0" w:firstLineChars="0"/>
        <w:jc w:val="center"/>
        <w:rPr>
          <w:rFonts w:hint="eastAsia" w:eastAsia="仿宋"/>
          <w:color w:val="auto"/>
          <w:highlight w:val="none"/>
          <w:lang w:eastAsia="zh-CN" w:bidi="ar"/>
        </w:rPr>
      </w:pPr>
      <w:r>
        <w:rPr>
          <w:rFonts w:hint="eastAsia"/>
          <w:color w:val="auto"/>
          <w:highlight w:val="none"/>
          <w:lang w:eastAsia="zh-CN" w:bidi="ar"/>
        </w:rPr>
        <w:t>（</w:t>
      </w:r>
      <w:r>
        <w:rPr>
          <w:rFonts w:hint="eastAsia"/>
          <w:color w:val="auto"/>
          <w:highlight w:val="none"/>
          <w:lang w:val="en-US" w:eastAsia="zh-CN" w:bidi="ar"/>
        </w:rPr>
        <w:t>本页无正文，为《先进制造产业园A1地块分地块五、六建设项目勘察设计施工总承包及运营项目之运营服务合同》的签署页</w:t>
      </w:r>
      <w:r>
        <w:rPr>
          <w:rFonts w:hint="eastAsia"/>
          <w:color w:val="auto"/>
          <w:highlight w:val="none"/>
          <w:lang w:eastAsia="zh-CN" w:bidi="ar"/>
        </w:rPr>
        <w:t>）</w:t>
      </w:r>
    </w:p>
    <w:p>
      <w:pPr>
        <w:pStyle w:val="9"/>
        <w:numPr>
          <w:ilvl w:val="0"/>
          <w:numId w:val="0"/>
        </w:numPr>
        <w:spacing w:after="0" w:afterAutospacing="0" w:line="240" w:lineRule="auto"/>
        <w:ind w:firstLine="0" w:firstLineChars="0"/>
        <w:jc w:val="both"/>
        <w:rPr>
          <w:rFonts w:hint="eastAsia"/>
          <w:color w:val="auto"/>
          <w:highlight w:val="none"/>
          <w:lang w:bidi="ar"/>
        </w:rPr>
      </w:pPr>
    </w:p>
    <w:p>
      <w:pPr>
        <w:pStyle w:val="9"/>
        <w:numPr>
          <w:ilvl w:val="0"/>
          <w:numId w:val="0"/>
        </w:numPr>
        <w:spacing w:after="0" w:afterAutospacing="0" w:line="240" w:lineRule="auto"/>
        <w:ind w:firstLine="480" w:firstLineChars="200"/>
        <w:jc w:val="both"/>
        <w:rPr>
          <w:rFonts w:hint="eastAsia"/>
          <w:color w:val="auto"/>
          <w:highlight w:val="none"/>
          <w:lang w:bidi="ar"/>
        </w:rPr>
      </w:pPr>
      <w:r>
        <w:rPr>
          <w:rFonts w:hint="eastAsia"/>
          <w:color w:val="auto"/>
          <w:highlight w:val="none"/>
          <w:lang w:bidi="ar"/>
        </w:rPr>
        <w:t>甲方：</w:t>
      </w:r>
    </w:p>
    <w:p>
      <w:pPr>
        <w:pStyle w:val="9"/>
        <w:numPr>
          <w:ilvl w:val="0"/>
          <w:numId w:val="0"/>
        </w:numPr>
        <w:spacing w:after="0" w:afterAutospacing="0" w:line="240" w:lineRule="auto"/>
        <w:ind w:firstLine="480" w:firstLineChars="200"/>
        <w:jc w:val="both"/>
        <w:rPr>
          <w:rFonts w:hint="eastAsia"/>
          <w:color w:val="auto"/>
          <w:highlight w:val="none"/>
          <w:lang w:bidi="ar"/>
        </w:rPr>
      </w:pPr>
      <w:r>
        <w:rPr>
          <w:rFonts w:hint="eastAsia"/>
          <w:color w:val="auto"/>
          <w:highlight w:val="none"/>
          <w:lang w:bidi="ar"/>
        </w:rPr>
        <w:t>法定代表人或授权代表（签字）</w:t>
      </w:r>
    </w:p>
    <w:p>
      <w:pPr>
        <w:pStyle w:val="9"/>
        <w:numPr>
          <w:ilvl w:val="0"/>
          <w:numId w:val="0"/>
        </w:numPr>
        <w:spacing w:after="0" w:afterAutospacing="0" w:line="240" w:lineRule="auto"/>
        <w:ind w:firstLine="480" w:firstLineChars="200"/>
        <w:jc w:val="both"/>
        <w:rPr>
          <w:rFonts w:hint="eastAsia"/>
          <w:b w:val="0"/>
          <w:bCs w:val="0"/>
          <w:color w:val="auto"/>
          <w:highlight w:val="none"/>
          <w:lang w:bidi="ar"/>
        </w:rPr>
      </w:pPr>
      <w:r>
        <w:rPr>
          <w:rFonts w:hint="eastAsia"/>
          <w:b w:val="0"/>
          <w:bCs w:val="0"/>
          <w:color w:val="auto"/>
          <w:highlight w:val="none"/>
          <w:lang w:bidi="ar"/>
        </w:rPr>
        <w:t xml:space="preserve"> </w:t>
      </w:r>
    </w:p>
    <w:p>
      <w:pPr>
        <w:pStyle w:val="9"/>
        <w:numPr>
          <w:ilvl w:val="0"/>
          <w:numId w:val="0"/>
        </w:numPr>
        <w:spacing w:after="0" w:afterAutospacing="0" w:line="240" w:lineRule="auto"/>
        <w:ind w:firstLine="480" w:firstLineChars="200"/>
        <w:jc w:val="both"/>
        <w:rPr>
          <w:rFonts w:hint="eastAsia"/>
          <w:b w:val="0"/>
          <w:bCs w:val="0"/>
          <w:color w:val="auto"/>
          <w:highlight w:val="none"/>
          <w:lang w:bidi="ar"/>
        </w:rPr>
      </w:pPr>
    </w:p>
    <w:p>
      <w:pPr>
        <w:pStyle w:val="9"/>
        <w:numPr>
          <w:ilvl w:val="0"/>
          <w:numId w:val="0"/>
        </w:numPr>
        <w:spacing w:after="0" w:afterAutospacing="0" w:line="240" w:lineRule="auto"/>
        <w:ind w:firstLine="480" w:firstLineChars="200"/>
        <w:jc w:val="both"/>
        <w:rPr>
          <w:rFonts w:hint="eastAsia"/>
          <w:color w:val="auto"/>
          <w:highlight w:val="none"/>
          <w:lang w:bidi="ar"/>
        </w:rPr>
      </w:pPr>
      <w:r>
        <w:rPr>
          <w:rFonts w:hint="eastAsia"/>
          <w:color w:val="auto"/>
          <w:highlight w:val="none"/>
          <w:lang w:bidi="ar"/>
        </w:rPr>
        <w:t xml:space="preserve">乙方： </w:t>
      </w:r>
    </w:p>
    <w:p>
      <w:pPr>
        <w:pStyle w:val="9"/>
        <w:numPr>
          <w:ilvl w:val="0"/>
          <w:numId w:val="0"/>
        </w:numPr>
        <w:spacing w:before="0" w:beforeAutospacing="0" w:after="0" w:afterAutospacing="0" w:line="500" w:lineRule="exact"/>
        <w:ind w:firstLine="480" w:firstLineChars="200"/>
        <w:jc w:val="both"/>
        <w:rPr>
          <w:rFonts w:hint="eastAsia"/>
          <w:color w:val="auto"/>
          <w:highlight w:val="none"/>
          <w:u w:val="none"/>
          <w:lang w:bidi="ar"/>
        </w:rPr>
      </w:pPr>
      <w:r>
        <w:rPr>
          <w:rFonts w:hint="eastAsia"/>
          <w:color w:val="auto"/>
          <w:highlight w:val="none"/>
          <w:lang w:bidi="ar"/>
        </w:rPr>
        <w:t>法定代</w:t>
      </w:r>
      <w:r>
        <w:rPr>
          <w:rFonts w:hint="eastAsia"/>
          <w:color w:val="auto"/>
          <w:highlight w:val="none"/>
          <w:u w:val="none"/>
          <w:lang w:bidi="ar"/>
        </w:rPr>
        <w:t>表人或授权代表（签字）：</w:t>
      </w:r>
    </w:p>
    <w:p>
      <w:pPr>
        <w:pStyle w:val="9"/>
        <w:numPr>
          <w:ilvl w:val="0"/>
          <w:numId w:val="0"/>
        </w:numPr>
        <w:spacing w:before="0" w:beforeAutospacing="0" w:after="0" w:afterAutospacing="0" w:line="500" w:lineRule="exact"/>
        <w:ind w:firstLine="480" w:firstLineChars="200"/>
        <w:jc w:val="both"/>
        <w:rPr>
          <w:rFonts w:hint="eastAsia"/>
          <w:color w:val="auto"/>
          <w:highlight w:val="none"/>
          <w:u w:val="none"/>
          <w:lang w:bidi="ar"/>
        </w:rPr>
      </w:pPr>
    </w:p>
    <w:p>
      <w:pPr>
        <w:pStyle w:val="9"/>
        <w:numPr>
          <w:ilvl w:val="0"/>
          <w:numId w:val="0"/>
        </w:numPr>
        <w:spacing w:before="0" w:beforeAutospacing="0" w:after="0" w:afterAutospacing="0" w:line="500" w:lineRule="exact"/>
        <w:ind w:firstLine="480" w:firstLineChars="200"/>
        <w:jc w:val="center"/>
        <w:rPr>
          <w:rFonts w:hint="eastAsia"/>
          <w:color w:val="auto"/>
          <w:highlight w:val="none"/>
          <w:u w:val="none"/>
          <w:lang w:bidi="ar"/>
        </w:rPr>
      </w:pPr>
    </w:p>
    <w:p>
      <w:pPr>
        <w:pStyle w:val="9"/>
        <w:numPr>
          <w:ilvl w:val="0"/>
          <w:numId w:val="0"/>
        </w:numPr>
        <w:spacing w:before="0" w:beforeAutospacing="0" w:after="0" w:afterAutospacing="0" w:line="500" w:lineRule="exact"/>
        <w:ind w:firstLine="480" w:firstLineChars="200"/>
        <w:jc w:val="center"/>
        <w:rPr>
          <w:rFonts w:hint="eastAsia"/>
          <w:color w:val="auto"/>
          <w:highlight w:val="none"/>
          <w:u w:val="none"/>
          <w:lang w:bidi="ar"/>
        </w:rPr>
      </w:pPr>
    </w:p>
    <w:p>
      <w:pPr>
        <w:pStyle w:val="9"/>
        <w:numPr>
          <w:ilvl w:val="0"/>
          <w:numId w:val="0"/>
        </w:numPr>
        <w:wordWrap w:val="0"/>
        <w:spacing w:before="0" w:beforeAutospacing="0" w:after="0" w:afterAutospacing="0" w:line="500" w:lineRule="exact"/>
        <w:ind w:firstLine="480" w:firstLineChars="200"/>
        <w:jc w:val="right"/>
        <w:rPr>
          <w:rFonts w:hint="default" w:eastAsia="仿宋"/>
          <w:color w:val="auto"/>
          <w:highlight w:val="none"/>
          <w:u w:val="none"/>
          <w:lang w:val="en-US" w:eastAsia="zh-CN" w:bidi="ar"/>
        </w:rPr>
      </w:pPr>
      <w:r>
        <w:rPr>
          <w:rFonts w:hint="eastAsia"/>
          <w:color w:val="auto"/>
          <w:highlight w:val="none"/>
          <w:u w:val="none"/>
          <w:lang w:bidi="ar"/>
        </w:rPr>
        <w:t>签订</w:t>
      </w:r>
      <w:r>
        <w:rPr>
          <w:rFonts w:hint="eastAsia"/>
          <w:color w:val="auto"/>
          <w:highlight w:val="none"/>
          <w:u w:val="none"/>
          <w:lang w:val="en-US" w:eastAsia="zh-CN" w:bidi="ar"/>
        </w:rPr>
        <w:t>地点</w:t>
      </w:r>
      <w:r>
        <w:rPr>
          <w:rFonts w:hint="eastAsia"/>
          <w:color w:val="auto"/>
          <w:highlight w:val="none"/>
          <w:u w:val="none"/>
          <w:lang w:eastAsia="zh-CN" w:bidi="ar"/>
        </w:rPr>
        <w:t>：</w:t>
      </w:r>
      <w:r>
        <w:rPr>
          <w:rFonts w:hint="eastAsia"/>
          <w:color w:val="auto"/>
          <w:highlight w:val="none"/>
          <w:u w:val="none"/>
          <w:lang w:val="en-US" w:eastAsia="zh-CN" w:bidi="ar"/>
        </w:rPr>
        <w:t xml:space="preserve">               </w:t>
      </w:r>
    </w:p>
    <w:p>
      <w:pPr>
        <w:pStyle w:val="9"/>
        <w:numPr>
          <w:ilvl w:val="0"/>
          <w:numId w:val="0"/>
        </w:numPr>
        <w:spacing w:line="500" w:lineRule="exact"/>
        <w:ind w:firstLine="5280" w:firstLineChars="2200"/>
        <w:jc w:val="both"/>
        <w:rPr>
          <w:rFonts w:hint="eastAsia"/>
          <w:color w:val="auto"/>
          <w:highlight w:val="none"/>
          <w:u w:val="none"/>
          <w:lang w:bidi="ar"/>
        </w:rPr>
      </w:pPr>
      <w:r>
        <w:rPr>
          <w:rFonts w:hint="eastAsia"/>
          <w:color w:val="auto"/>
          <w:highlight w:val="none"/>
          <w:u w:val="none"/>
          <w:lang w:bidi="ar"/>
        </w:rPr>
        <w:t>签订日期：</w:t>
      </w:r>
      <w:r>
        <w:rPr>
          <w:rFonts w:hint="eastAsia"/>
          <w:color w:val="auto"/>
          <w:highlight w:val="none"/>
          <w:u w:val="none"/>
          <w:lang w:val="en-US" w:eastAsia="zh-CN" w:bidi="ar"/>
        </w:rPr>
        <w:t>2025</w:t>
      </w:r>
      <w:r>
        <w:rPr>
          <w:rFonts w:hint="eastAsia"/>
          <w:color w:val="auto"/>
          <w:highlight w:val="none"/>
          <w:u w:val="none"/>
          <w:lang w:bidi="ar"/>
        </w:rPr>
        <w:t>年</w:t>
      </w:r>
      <w:r>
        <w:rPr>
          <w:rFonts w:hint="eastAsia"/>
          <w:color w:val="auto"/>
          <w:highlight w:val="none"/>
          <w:u w:val="none"/>
          <w:lang w:val="en-US" w:eastAsia="zh-CN" w:bidi="ar"/>
        </w:rPr>
        <w:t xml:space="preserve">  </w:t>
      </w:r>
      <w:r>
        <w:rPr>
          <w:rFonts w:hint="eastAsia"/>
          <w:color w:val="auto"/>
          <w:highlight w:val="none"/>
          <w:u w:val="none"/>
          <w:lang w:bidi="ar"/>
        </w:rPr>
        <w:t xml:space="preserve"> 月</w:t>
      </w:r>
      <w:r>
        <w:rPr>
          <w:rFonts w:hint="eastAsia"/>
          <w:color w:val="auto"/>
          <w:highlight w:val="none"/>
          <w:u w:val="none"/>
          <w:lang w:val="en-US" w:eastAsia="zh-CN" w:bidi="ar"/>
        </w:rPr>
        <w:t xml:space="preserve">  </w:t>
      </w:r>
      <w:r>
        <w:rPr>
          <w:rFonts w:hint="eastAsia"/>
          <w:color w:val="auto"/>
          <w:highlight w:val="none"/>
          <w:u w:val="none"/>
          <w:lang w:bidi="ar"/>
        </w:rPr>
        <w:t xml:space="preserve"> 日</w:t>
      </w:r>
    </w:p>
    <w:sectPr>
      <w:footerReference r:id="rId6" w:type="default"/>
      <w:headerReference r:id="rId5" w:type="even"/>
      <w:footerReference r:id="rId7"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pingfang sc">
    <w:altName w:val="宋体"/>
    <w:panose1 w:val="020B0400000000000000"/>
    <w:charset w:val="86"/>
    <w:family w:val="auto"/>
    <w:pitch w:val="default"/>
    <w:sig w:usb0="00000000" w:usb1="00000000" w:usb2="00000017" w:usb3="00000000" w:csb0="00040001" w:csb1="00000000"/>
  </w:font>
  <w:font w:name="Helvetica Neue">
    <w:altName w:val="Times New Roman"/>
    <w:panose1 w:val="02000503000000020004"/>
    <w:charset w:val="00"/>
    <w:family w:val="auto"/>
    <w:pitch w:val="default"/>
    <w:sig w:usb0="00000000" w:usb1="00000000" w:usb2="00000010" w:usb3="00000000" w:csb0="00000000" w:csb1="00000000"/>
  </w:font>
  <w:font w:name="Times New Roman Bold">
    <w:altName w:val="Times New Roman"/>
    <w:panose1 w:val="02020603050405020304"/>
    <w:charset w:val="00"/>
    <w:family w:val="auto"/>
    <w:pitch w:val="default"/>
    <w:sig w:usb0="00000000" w:usb1="00000000"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0734175"/>
    </w:sdtPr>
    <w:sdtContent>
      <w:p>
        <w:pPr>
          <w:pStyle w:val="5"/>
          <w:rPr>
            <w:rFonts w:hint="eastAsia"/>
          </w:rPr>
        </w:pPr>
        <w:r>
          <w:fldChar w:fldCharType="begin"/>
        </w:r>
        <w:r>
          <w:instrText xml:space="preserve">PAGE   \* MERGEFORMAT</w:instrText>
        </w:r>
        <w:r>
          <w:fldChar w:fldCharType="separate"/>
        </w:r>
        <w:r>
          <w:rPr>
            <w:lang w:val="zh-CN"/>
          </w:rPr>
          <w:t>2</w:t>
        </w:r>
        <w:r>
          <w:fldChar w:fldCharType="end"/>
        </w:r>
      </w:p>
    </w:sdtContent>
  </w:sdt>
  <w:p>
    <w:pP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7796C6"/>
    <w:multiLevelType w:val="singleLevel"/>
    <w:tmpl w:val="D77796C6"/>
    <w:lvl w:ilvl="0" w:tentative="0">
      <w:start w:val="1"/>
      <w:numFmt w:val="decimal"/>
      <w:lvlText w:val="(%1)"/>
      <w:lvlJc w:val="left"/>
      <w:pPr>
        <w:ind w:left="425" w:hanging="425"/>
      </w:pPr>
      <w:rPr>
        <w:rFonts w:hint="default"/>
      </w:rPr>
    </w:lvl>
  </w:abstractNum>
  <w:abstractNum w:abstractNumId="1">
    <w:nsid w:val="0C1A6254"/>
    <w:multiLevelType w:val="multilevel"/>
    <w:tmpl w:val="0C1A6254"/>
    <w:lvl w:ilvl="0" w:tentative="0">
      <w:start w:val="1"/>
      <w:numFmt w:val="chineseCountingThousand"/>
      <w:suff w:val="space"/>
      <w:lvlText w:val="第%1章"/>
      <w:lvlJc w:val="left"/>
      <w:pPr>
        <w:ind w:left="1530" w:hanging="1530"/>
      </w:pPr>
      <w:rPr>
        <w:rFonts w:hint="default"/>
        <w:lang w:val="en-US"/>
      </w:rPr>
    </w:lvl>
    <w:lvl w:ilvl="1" w:tentative="0">
      <w:start w:val="1"/>
      <w:numFmt w:val="chineseCountingThousand"/>
      <w:pStyle w:val="32"/>
      <w:suff w:val="space"/>
      <w:lvlText w:val="第%2节"/>
      <w:lvlJc w:val="left"/>
      <w:pPr>
        <w:ind w:left="1500" w:hanging="1080"/>
      </w:pPr>
      <w:rPr>
        <w:rFonts w:hint="default"/>
      </w:rPr>
    </w:lvl>
    <w:lvl w:ilvl="2" w:tentative="0">
      <w:start w:val="1"/>
      <w:numFmt w:val="decimal"/>
      <w:pStyle w:val="31"/>
      <w:suff w:val="space"/>
      <w:lvlText w:val="%3"/>
      <w:lvlJc w:val="left"/>
      <w:pPr>
        <w:ind w:left="1560" w:hanging="720"/>
      </w:pPr>
      <w:rPr>
        <w:rFonts w:hint="default"/>
      </w:rPr>
    </w:lvl>
    <w:lvl w:ilvl="3" w:tentative="0">
      <w:start w:val="1"/>
      <w:numFmt w:val="decimal"/>
      <w:pStyle w:val="30"/>
      <w:suff w:val="space"/>
      <w:lvlText w:val="%3.%4"/>
      <w:lvlJc w:val="left"/>
      <w:pPr>
        <w:ind w:left="1680" w:hanging="420"/>
      </w:pPr>
      <w:rPr>
        <w:rFonts w:hint="eastAsia"/>
      </w:rPr>
    </w:lvl>
    <w:lvl w:ilvl="4" w:tentative="0">
      <w:start w:val="1"/>
      <w:numFmt w:val="decimal"/>
      <w:suff w:val="space"/>
      <w:lvlText w:val="%3.%4.%5"/>
      <w:lvlJc w:val="left"/>
      <w:pPr>
        <w:ind w:left="2400" w:hanging="720"/>
      </w:pPr>
      <w:rPr>
        <w:rFonts w:hint="default"/>
      </w:rPr>
    </w:lvl>
    <w:lvl w:ilvl="5" w:tentative="0">
      <w:start w:val="1"/>
      <w:numFmt w:val="decimal"/>
      <w:suff w:val="space"/>
      <w:lvlText w:val="%3.%4.%5.%6"/>
      <w:lvlJc w:val="left"/>
      <w:pPr>
        <w:ind w:left="2460" w:hanging="360"/>
      </w:pPr>
      <w:rPr>
        <w:rFonts w:hint="default"/>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2">
    <w:nsid w:val="13FFF35F"/>
    <w:multiLevelType w:val="multilevel"/>
    <w:tmpl w:val="13FFF35F"/>
    <w:lvl w:ilvl="0" w:tentative="0">
      <w:start w:val="1"/>
      <w:numFmt w:val="chineseCounting"/>
      <w:lvlText w:val="第%1条"/>
      <w:lvlJc w:val="left"/>
      <w:pPr>
        <w:ind w:left="425" w:hanging="425"/>
      </w:pPr>
      <w:rPr>
        <w:rFonts w:hint="eastAsia" w:ascii="Times New Roman Bold" w:hAnsi="Times New Roman Bold"/>
        <w:b/>
      </w:rPr>
    </w:lvl>
    <w:lvl w:ilvl="1" w:tentative="0">
      <w:start w:val="1"/>
      <w:numFmt w:val="decimal"/>
      <w:isLgl/>
      <w:lvlText w:val="%1.%2."/>
      <w:lvlJc w:val="left"/>
      <w:pPr>
        <w:ind w:left="567" w:hanging="567"/>
      </w:pPr>
      <w:rPr>
        <w:rFonts w:hint="default"/>
        <w:highlight w:val="none"/>
      </w:rPr>
    </w:lvl>
    <w:lvl w:ilvl="2" w:tentative="0">
      <w:start w:val="1"/>
      <w:numFmt w:val="decimal"/>
      <w:isLgl/>
      <w:lvlText w:val="%1.%2.%3."/>
      <w:lvlJc w:val="left"/>
      <w:pPr>
        <w:ind w:left="709" w:hanging="709"/>
      </w:pPr>
      <w:rPr>
        <w:rFonts w:hint="eastAsia"/>
      </w:rPr>
    </w:lvl>
    <w:lvl w:ilvl="3" w:tentative="0">
      <w:start w:val="1"/>
      <w:numFmt w:val="decimal"/>
      <w:isLgl/>
      <w:lvlText w:val="%1.%2.%3.%4."/>
      <w:lvlJc w:val="left"/>
      <w:pPr>
        <w:ind w:left="850" w:hanging="850"/>
      </w:pPr>
      <w:rPr>
        <w:rFonts w:hint="eastAsia"/>
      </w:rPr>
    </w:lvl>
    <w:lvl w:ilvl="4" w:tentative="0">
      <w:start w:val="1"/>
      <w:numFmt w:val="decimal"/>
      <w:isLgl/>
      <w:lvlText w:val="%1.%2.%3.%4.%5."/>
      <w:lvlJc w:val="left"/>
      <w:pPr>
        <w:ind w:left="991" w:hanging="991"/>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5" w:hanging="1275"/>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8" w:hanging="1558"/>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trackRevisions w:val="1"/>
  <w:documentProtection w:enforcement="0"/>
  <w:defaultTabStop w:val="24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5ODdjYzlhMjFlNjM5Y2VkOGQxZDNhYjlhMDhkZjYifQ=="/>
  </w:docVars>
  <w:rsids>
    <w:rsidRoot w:val="00AF2934"/>
    <w:rsid w:val="0001167B"/>
    <w:rsid w:val="00015AA5"/>
    <w:rsid w:val="000362AA"/>
    <w:rsid w:val="0003711D"/>
    <w:rsid w:val="0004087E"/>
    <w:rsid w:val="00041EEA"/>
    <w:rsid w:val="00045509"/>
    <w:rsid w:val="0005232D"/>
    <w:rsid w:val="00056C4C"/>
    <w:rsid w:val="00071CB8"/>
    <w:rsid w:val="00092A76"/>
    <w:rsid w:val="00094C34"/>
    <w:rsid w:val="000A5136"/>
    <w:rsid w:val="000B5CD9"/>
    <w:rsid w:val="000D1B06"/>
    <w:rsid w:val="000D2583"/>
    <w:rsid w:val="000D425A"/>
    <w:rsid w:val="000E020A"/>
    <w:rsid w:val="000E5ECE"/>
    <w:rsid w:val="000F376E"/>
    <w:rsid w:val="000F3EFD"/>
    <w:rsid w:val="000F59FF"/>
    <w:rsid w:val="00100ADA"/>
    <w:rsid w:val="00111328"/>
    <w:rsid w:val="00114B4F"/>
    <w:rsid w:val="00123038"/>
    <w:rsid w:val="00140E07"/>
    <w:rsid w:val="0014141A"/>
    <w:rsid w:val="0016353B"/>
    <w:rsid w:val="001737C7"/>
    <w:rsid w:val="001847EF"/>
    <w:rsid w:val="001868C9"/>
    <w:rsid w:val="00187B7A"/>
    <w:rsid w:val="00192235"/>
    <w:rsid w:val="00196C3C"/>
    <w:rsid w:val="00197A18"/>
    <w:rsid w:val="001A5969"/>
    <w:rsid w:val="001C4128"/>
    <w:rsid w:val="001E3135"/>
    <w:rsid w:val="001F21D4"/>
    <w:rsid w:val="001F4AA7"/>
    <w:rsid w:val="001F5A33"/>
    <w:rsid w:val="001F5D2F"/>
    <w:rsid w:val="001F617D"/>
    <w:rsid w:val="00207226"/>
    <w:rsid w:val="00221738"/>
    <w:rsid w:val="00230EC9"/>
    <w:rsid w:val="002330ED"/>
    <w:rsid w:val="002407D6"/>
    <w:rsid w:val="002710F9"/>
    <w:rsid w:val="002932A6"/>
    <w:rsid w:val="002974D8"/>
    <w:rsid w:val="002976A7"/>
    <w:rsid w:val="002A00F9"/>
    <w:rsid w:val="002B03E2"/>
    <w:rsid w:val="002B58DF"/>
    <w:rsid w:val="002B6315"/>
    <w:rsid w:val="002B6B8D"/>
    <w:rsid w:val="002C3FF5"/>
    <w:rsid w:val="002C5A4A"/>
    <w:rsid w:val="00301DC0"/>
    <w:rsid w:val="003112A9"/>
    <w:rsid w:val="003210C1"/>
    <w:rsid w:val="00323204"/>
    <w:rsid w:val="0034255E"/>
    <w:rsid w:val="00347488"/>
    <w:rsid w:val="00356394"/>
    <w:rsid w:val="00360944"/>
    <w:rsid w:val="00375957"/>
    <w:rsid w:val="00380A0E"/>
    <w:rsid w:val="003873DE"/>
    <w:rsid w:val="003C484E"/>
    <w:rsid w:val="003E78B2"/>
    <w:rsid w:val="003F6F12"/>
    <w:rsid w:val="00423C6D"/>
    <w:rsid w:val="00451F20"/>
    <w:rsid w:val="004619DB"/>
    <w:rsid w:val="0046220E"/>
    <w:rsid w:val="0046246D"/>
    <w:rsid w:val="0046372F"/>
    <w:rsid w:val="0048273B"/>
    <w:rsid w:val="004857A4"/>
    <w:rsid w:val="0048609D"/>
    <w:rsid w:val="00491CA6"/>
    <w:rsid w:val="004A6E6C"/>
    <w:rsid w:val="004A7CD0"/>
    <w:rsid w:val="004B3C14"/>
    <w:rsid w:val="004C144A"/>
    <w:rsid w:val="004C6C0E"/>
    <w:rsid w:val="00512E1C"/>
    <w:rsid w:val="00530B6D"/>
    <w:rsid w:val="005406D5"/>
    <w:rsid w:val="005459FF"/>
    <w:rsid w:val="00553B7A"/>
    <w:rsid w:val="00567DC5"/>
    <w:rsid w:val="00583B47"/>
    <w:rsid w:val="00587F46"/>
    <w:rsid w:val="0059521E"/>
    <w:rsid w:val="00597143"/>
    <w:rsid w:val="005B2FF7"/>
    <w:rsid w:val="005C41C9"/>
    <w:rsid w:val="005C6F63"/>
    <w:rsid w:val="005D6E0F"/>
    <w:rsid w:val="005D7875"/>
    <w:rsid w:val="005E3FCB"/>
    <w:rsid w:val="005E5570"/>
    <w:rsid w:val="006057DA"/>
    <w:rsid w:val="00611BEA"/>
    <w:rsid w:val="00620071"/>
    <w:rsid w:val="00623A9C"/>
    <w:rsid w:val="00640E35"/>
    <w:rsid w:val="006510F6"/>
    <w:rsid w:val="00657589"/>
    <w:rsid w:val="00665C01"/>
    <w:rsid w:val="00675D8B"/>
    <w:rsid w:val="00690551"/>
    <w:rsid w:val="00690BC8"/>
    <w:rsid w:val="00692C67"/>
    <w:rsid w:val="006973EA"/>
    <w:rsid w:val="006A7A56"/>
    <w:rsid w:val="006B0323"/>
    <w:rsid w:val="006B0B99"/>
    <w:rsid w:val="006B20B6"/>
    <w:rsid w:val="006B22B7"/>
    <w:rsid w:val="006B3C39"/>
    <w:rsid w:val="006D6C50"/>
    <w:rsid w:val="006E2111"/>
    <w:rsid w:val="006E3ABB"/>
    <w:rsid w:val="006F1EB6"/>
    <w:rsid w:val="0070528B"/>
    <w:rsid w:val="0070711A"/>
    <w:rsid w:val="007121D2"/>
    <w:rsid w:val="00741788"/>
    <w:rsid w:val="00761593"/>
    <w:rsid w:val="0078287F"/>
    <w:rsid w:val="00785ED0"/>
    <w:rsid w:val="00787CA1"/>
    <w:rsid w:val="00795438"/>
    <w:rsid w:val="007A7048"/>
    <w:rsid w:val="007C210A"/>
    <w:rsid w:val="007C51AF"/>
    <w:rsid w:val="007D7DC4"/>
    <w:rsid w:val="007E289A"/>
    <w:rsid w:val="007F047A"/>
    <w:rsid w:val="00800321"/>
    <w:rsid w:val="00806D95"/>
    <w:rsid w:val="00812E05"/>
    <w:rsid w:val="00824712"/>
    <w:rsid w:val="00851EC8"/>
    <w:rsid w:val="00857539"/>
    <w:rsid w:val="00871C6C"/>
    <w:rsid w:val="00890C15"/>
    <w:rsid w:val="008B0284"/>
    <w:rsid w:val="008C7382"/>
    <w:rsid w:val="008D71C5"/>
    <w:rsid w:val="008E08CD"/>
    <w:rsid w:val="008E4D46"/>
    <w:rsid w:val="008F2AA6"/>
    <w:rsid w:val="008F7862"/>
    <w:rsid w:val="0091695F"/>
    <w:rsid w:val="009172EA"/>
    <w:rsid w:val="00925D91"/>
    <w:rsid w:val="00935C8F"/>
    <w:rsid w:val="00940AE5"/>
    <w:rsid w:val="0095143E"/>
    <w:rsid w:val="00962C83"/>
    <w:rsid w:val="00972DA5"/>
    <w:rsid w:val="00980C07"/>
    <w:rsid w:val="00983181"/>
    <w:rsid w:val="009879D8"/>
    <w:rsid w:val="00990E7D"/>
    <w:rsid w:val="009A3D96"/>
    <w:rsid w:val="009B6F13"/>
    <w:rsid w:val="009C3967"/>
    <w:rsid w:val="009C786A"/>
    <w:rsid w:val="009D34DA"/>
    <w:rsid w:val="00A0031D"/>
    <w:rsid w:val="00A0348E"/>
    <w:rsid w:val="00A0744B"/>
    <w:rsid w:val="00A17CF5"/>
    <w:rsid w:val="00A41B82"/>
    <w:rsid w:val="00A5360C"/>
    <w:rsid w:val="00A81364"/>
    <w:rsid w:val="00A81A73"/>
    <w:rsid w:val="00A874A2"/>
    <w:rsid w:val="00A93D22"/>
    <w:rsid w:val="00AA1858"/>
    <w:rsid w:val="00AA4809"/>
    <w:rsid w:val="00AB1474"/>
    <w:rsid w:val="00AC0264"/>
    <w:rsid w:val="00AC1FC3"/>
    <w:rsid w:val="00AD0215"/>
    <w:rsid w:val="00AE1AEA"/>
    <w:rsid w:val="00AE7897"/>
    <w:rsid w:val="00AF2934"/>
    <w:rsid w:val="00AF7B2E"/>
    <w:rsid w:val="00B22555"/>
    <w:rsid w:val="00B2656B"/>
    <w:rsid w:val="00B3373B"/>
    <w:rsid w:val="00B56A4D"/>
    <w:rsid w:val="00B62811"/>
    <w:rsid w:val="00B65F5A"/>
    <w:rsid w:val="00B75E63"/>
    <w:rsid w:val="00B80D40"/>
    <w:rsid w:val="00BA2320"/>
    <w:rsid w:val="00BA6D1C"/>
    <w:rsid w:val="00BB7108"/>
    <w:rsid w:val="00BC273A"/>
    <w:rsid w:val="00BC2EC6"/>
    <w:rsid w:val="00BC4104"/>
    <w:rsid w:val="00BC7FD7"/>
    <w:rsid w:val="00BD382D"/>
    <w:rsid w:val="00C0013E"/>
    <w:rsid w:val="00C059C9"/>
    <w:rsid w:val="00C11BE7"/>
    <w:rsid w:val="00C23F9D"/>
    <w:rsid w:val="00C24696"/>
    <w:rsid w:val="00C33372"/>
    <w:rsid w:val="00C4425A"/>
    <w:rsid w:val="00C467ED"/>
    <w:rsid w:val="00C54075"/>
    <w:rsid w:val="00C5611C"/>
    <w:rsid w:val="00C56C5E"/>
    <w:rsid w:val="00C92779"/>
    <w:rsid w:val="00CA2FB2"/>
    <w:rsid w:val="00CB5A9F"/>
    <w:rsid w:val="00CC2ED6"/>
    <w:rsid w:val="00CF4740"/>
    <w:rsid w:val="00D05ABC"/>
    <w:rsid w:val="00D06AF1"/>
    <w:rsid w:val="00D15327"/>
    <w:rsid w:val="00D473FE"/>
    <w:rsid w:val="00D6298C"/>
    <w:rsid w:val="00D82816"/>
    <w:rsid w:val="00D83448"/>
    <w:rsid w:val="00D94771"/>
    <w:rsid w:val="00DB4479"/>
    <w:rsid w:val="00DB7A1C"/>
    <w:rsid w:val="00DE53D8"/>
    <w:rsid w:val="00DF2EEA"/>
    <w:rsid w:val="00DF7AD5"/>
    <w:rsid w:val="00E204EC"/>
    <w:rsid w:val="00E40186"/>
    <w:rsid w:val="00E41CBB"/>
    <w:rsid w:val="00E43E74"/>
    <w:rsid w:val="00E5026A"/>
    <w:rsid w:val="00E6361D"/>
    <w:rsid w:val="00E84FDE"/>
    <w:rsid w:val="00E87182"/>
    <w:rsid w:val="00E924D4"/>
    <w:rsid w:val="00E966AB"/>
    <w:rsid w:val="00EB6369"/>
    <w:rsid w:val="00EB6F13"/>
    <w:rsid w:val="00EE6374"/>
    <w:rsid w:val="00EF0B1A"/>
    <w:rsid w:val="00EF47FC"/>
    <w:rsid w:val="00F015B7"/>
    <w:rsid w:val="00F0210A"/>
    <w:rsid w:val="00F16976"/>
    <w:rsid w:val="00F31EFD"/>
    <w:rsid w:val="00F56217"/>
    <w:rsid w:val="00F63211"/>
    <w:rsid w:val="00F73F67"/>
    <w:rsid w:val="00F86AA3"/>
    <w:rsid w:val="00F86E7A"/>
    <w:rsid w:val="00F966BC"/>
    <w:rsid w:val="00FC3B9E"/>
    <w:rsid w:val="00FD356B"/>
    <w:rsid w:val="00FE531A"/>
    <w:rsid w:val="00FE6771"/>
    <w:rsid w:val="022D6DF3"/>
    <w:rsid w:val="03DA19BA"/>
    <w:rsid w:val="05638002"/>
    <w:rsid w:val="05B992ED"/>
    <w:rsid w:val="05FC4FBD"/>
    <w:rsid w:val="06634B4A"/>
    <w:rsid w:val="07051E94"/>
    <w:rsid w:val="077AD921"/>
    <w:rsid w:val="07DD266E"/>
    <w:rsid w:val="07FD0A9A"/>
    <w:rsid w:val="09C7BEEE"/>
    <w:rsid w:val="0B210386"/>
    <w:rsid w:val="0B9E7D1D"/>
    <w:rsid w:val="0BDB608A"/>
    <w:rsid w:val="0BED6598"/>
    <w:rsid w:val="0BF6FD00"/>
    <w:rsid w:val="0BF7487D"/>
    <w:rsid w:val="0BFF72D5"/>
    <w:rsid w:val="0BFFE16E"/>
    <w:rsid w:val="0C5D3CD8"/>
    <w:rsid w:val="0CDFD363"/>
    <w:rsid w:val="0CE67D21"/>
    <w:rsid w:val="0CF9144A"/>
    <w:rsid w:val="0D7F3CD6"/>
    <w:rsid w:val="0DCD93FA"/>
    <w:rsid w:val="0DF7B5B7"/>
    <w:rsid w:val="0DFAD0F3"/>
    <w:rsid w:val="0DFFC3F5"/>
    <w:rsid w:val="0E5743A1"/>
    <w:rsid w:val="0E577AB5"/>
    <w:rsid w:val="0E7FD774"/>
    <w:rsid w:val="0EE7AEA2"/>
    <w:rsid w:val="0EF3F69E"/>
    <w:rsid w:val="0EFC3CF9"/>
    <w:rsid w:val="0F0F5E68"/>
    <w:rsid w:val="0F0F8DCB"/>
    <w:rsid w:val="0F2FB3EB"/>
    <w:rsid w:val="0F2FBA49"/>
    <w:rsid w:val="0F662BE6"/>
    <w:rsid w:val="0F768830"/>
    <w:rsid w:val="0F7E3F8C"/>
    <w:rsid w:val="0F97D141"/>
    <w:rsid w:val="0FA3129D"/>
    <w:rsid w:val="0FAB6015"/>
    <w:rsid w:val="0FB93A6E"/>
    <w:rsid w:val="0FBDBE2F"/>
    <w:rsid w:val="0FBE27F0"/>
    <w:rsid w:val="0FCF1945"/>
    <w:rsid w:val="0FD77486"/>
    <w:rsid w:val="0FEF2CEF"/>
    <w:rsid w:val="0FF059E2"/>
    <w:rsid w:val="0FFD5F04"/>
    <w:rsid w:val="0FFE33C2"/>
    <w:rsid w:val="0FFE8CE1"/>
    <w:rsid w:val="0FFFAEBD"/>
    <w:rsid w:val="105023C1"/>
    <w:rsid w:val="10BE4C49"/>
    <w:rsid w:val="10F42FCC"/>
    <w:rsid w:val="10FF1F4D"/>
    <w:rsid w:val="11AD1188"/>
    <w:rsid w:val="12F8944C"/>
    <w:rsid w:val="131D10D5"/>
    <w:rsid w:val="136B2768"/>
    <w:rsid w:val="13773307"/>
    <w:rsid w:val="13F78BB1"/>
    <w:rsid w:val="14BE1C6B"/>
    <w:rsid w:val="14EE8811"/>
    <w:rsid w:val="14FF941D"/>
    <w:rsid w:val="1555F04C"/>
    <w:rsid w:val="155F7720"/>
    <w:rsid w:val="1562A56B"/>
    <w:rsid w:val="157C124F"/>
    <w:rsid w:val="15AFBA49"/>
    <w:rsid w:val="15EB502E"/>
    <w:rsid w:val="15EFDEE7"/>
    <w:rsid w:val="15F72CF7"/>
    <w:rsid w:val="15F9B628"/>
    <w:rsid w:val="15FE7463"/>
    <w:rsid w:val="167F0614"/>
    <w:rsid w:val="16B4F501"/>
    <w:rsid w:val="16C975B2"/>
    <w:rsid w:val="16FDB634"/>
    <w:rsid w:val="17186FC4"/>
    <w:rsid w:val="177C37B4"/>
    <w:rsid w:val="177DDD5D"/>
    <w:rsid w:val="177E3BA2"/>
    <w:rsid w:val="179D96B0"/>
    <w:rsid w:val="17BE364D"/>
    <w:rsid w:val="17CF7962"/>
    <w:rsid w:val="17DF6315"/>
    <w:rsid w:val="17DFA51D"/>
    <w:rsid w:val="17E022A2"/>
    <w:rsid w:val="17E47985"/>
    <w:rsid w:val="17EC5C52"/>
    <w:rsid w:val="17EE991C"/>
    <w:rsid w:val="17FBCFC7"/>
    <w:rsid w:val="17FF25B3"/>
    <w:rsid w:val="17FF7A48"/>
    <w:rsid w:val="18597F6E"/>
    <w:rsid w:val="18913451"/>
    <w:rsid w:val="18DFE94E"/>
    <w:rsid w:val="18FDA08F"/>
    <w:rsid w:val="199E093B"/>
    <w:rsid w:val="19AF09A8"/>
    <w:rsid w:val="19BDFF9B"/>
    <w:rsid w:val="19BF6F7F"/>
    <w:rsid w:val="19FCDB99"/>
    <w:rsid w:val="19FFDE43"/>
    <w:rsid w:val="1A86800A"/>
    <w:rsid w:val="1AE38E19"/>
    <w:rsid w:val="1AE723C0"/>
    <w:rsid w:val="1B27473D"/>
    <w:rsid w:val="1B3ED66F"/>
    <w:rsid w:val="1B4F0914"/>
    <w:rsid w:val="1B6ACF04"/>
    <w:rsid w:val="1B779BD6"/>
    <w:rsid w:val="1B7BF6A2"/>
    <w:rsid w:val="1BBB0EAB"/>
    <w:rsid w:val="1BBB4A97"/>
    <w:rsid w:val="1BBB606F"/>
    <w:rsid w:val="1BDC42B7"/>
    <w:rsid w:val="1BDFB6F7"/>
    <w:rsid w:val="1BEB078E"/>
    <w:rsid w:val="1BEE6654"/>
    <w:rsid w:val="1BEF86A2"/>
    <w:rsid w:val="1BEFBE2F"/>
    <w:rsid w:val="1BEFD05F"/>
    <w:rsid w:val="1BF5D99E"/>
    <w:rsid w:val="1BF738C5"/>
    <w:rsid w:val="1BFF841F"/>
    <w:rsid w:val="1C3F9B42"/>
    <w:rsid w:val="1C7F9F82"/>
    <w:rsid w:val="1CBB44E5"/>
    <w:rsid w:val="1CD6EB9F"/>
    <w:rsid w:val="1CE83979"/>
    <w:rsid w:val="1CEE1ACB"/>
    <w:rsid w:val="1CF3CFCB"/>
    <w:rsid w:val="1CFDCD86"/>
    <w:rsid w:val="1D1C2605"/>
    <w:rsid w:val="1D3516E5"/>
    <w:rsid w:val="1D399584"/>
    <w:rsid w:val="1D3B6ADA"/>
    <w:rsid w:val="1D3F2750"/>
    <w:rsid w:val="1D5251C8"/>
    <w:rsid w:val="1D6F2F19"/>
    <w:rsid w:val="1D974DED"/>
    <w:rsid w:val="1DBA513F"/>
    <w:rsid w:val="1DCF172F"/>
    <w:rsid w:val="1DDFD5C3"/>
    <w:rsid w:val="1DEFC33A"/>
    <w:rsid w:val="1DFAF654"/>
    <w:rsid w:val="1DFE3980"/>
    <w:rsid w:val="1DFE82EB"/>
    <w:rsid w:val="1DFF161A"/>
    <w:rsid w:val="1DFF19ED"/>
    <w:rsid w:val="1EDB065A"/>
    <w:rsid w:val="1EEFA907"/>
    <w:rsid w:val="1EF68ACB"/>
    <w:rsid w:val="1EFB0411"/>
    <w:rsid w:val="1EFB3C36"/>
    <w:rsid w:val="1EFBC0A7"/>
    <w:rsid w:val="1EFF297E"/>
    <w:rsid w:val="1EFF2DE5"/>
    <w:rsid w:val="1EFFFC41"/>
    <w:rsid w:val="1F0798AF"/>
    <w:rsid w:val="1F1B7AC1"/>
    <w:rsid w:val="1F3F2A64"/>
    <w:rsid w:val="1F46E31B"/>
    <w:rsid w:val="1F54CF81"/>
    <w:rsid w:val="1F6D345A"/>
    <w:rsid w:val="1F6DB8A0"/>
    <w:rsid w:val="1F7CB09D"/>
    <w:rsid w:val="1F7F574F"/>
    <w:rsid w:val="1F7FC5E8"/>
    <w:rsid w:val="1F941D66"/>
    <w:rsid w:val="1FAF7C0C"/>
    <w:rsid w:val="1FB64B5A"/>
    <w:rsid w:val="1FB7315E"/>
    <w:rsid w:val="1FBBE839"/>
    <w:rsid w:val="1FBD4294"/>
    <w:rsid w:val="1FE7A146"/>
    <w:rsid w:val="1FEF14C7"/>
    <w:rsid w:val="1FEF2CC4"/>
    <w:rsid w:val="1FEF9167"/>
    <w:rsid w:val="1FF72F6B"/>
    <w:rsid w:val="1FF7E264"/>
    <w:rsid w:val="1FF7FCAE"/>
    <w:rsid w:val="1FFAC79D"/>
    <w:rsid w:val="1FFACB1A"/>
    <w:rsid w:val="1FFBD112"/>
    <w:rsid w:val="1FFE3907"/>
    <w:rsid w:val="1FFE4F6B"/>
    <w:rsid w:val="1FFECF56"/>
    <w:rsid w:val="1FFF6E20"/>
    <w:rsid w:val="1FFF74B5"/>
    <w:rsid w:val="1FFF9731"/>
    <w:rsid w:val="208C3F0C"/>
    <w:rsid w:val="21CE12CC"/>
    <w:rsid w:val="222C3171"/>
    <w:rsid w:val="226F1481"/>
    <w:rsid w:val="2277BDA7"/>
    <w:rsid w:val="22F3C13F"/>
    <w:rsid w:val="232CAE60"/>
    <w:rsid w:val="236A48CF"/>
    <w:rsid w:val="236A6126"/>
    <w:rsid w:val="236D6DA0"/>
    <w:rsid w:val="23F387F2"/>
    <w:rsid w:val="23FBEEA3"/>
    <w:rsid w:val="242B1FAB"/>
    <w:rsid w:val="247EEFC7"/>
    <w:rsid w:val="24997A50"/>
    <w:rsid w:val="24BA8058"/>
    <w:rsid w:val="24BF0E0B"/>
    <w:rsid w:val="24F56BF3"/>
    <w:rsid w:val="257E50DE"/>
    <w:rsid w:val="259C9C09"/>
    <w:rsid w:val="25DFA179"/>
    <w:rsid w:val="25EF47CA"/>
    <w:rsid w:val="25EF6F06"/>
    <w:rsid w:val="25FB93B4"/>
    <w:rsid w:val="25FDDADA"/>
    <w:rsid w:val="267B2DE1"/>
    <w:rsid w:val="26D20962"/>
    <w:rsid w:val="26E710DD"/>
    <w:rsid w:val="26FE3032"/>
    <w:rsid w:val="27386C39"/>
    <w:rsid w:val="276E45B0"/>
    <w:rsid w:val="2777BE14"/>
    <w:rsid w:val="277F6CF8"/>
    <w:rsid w:val="278DC1C0"/>
    <w:rsid w:val="279EF41F"/>
    <w:rsid w:val="279F54A5"/>
    <w:rsid w:val="27BF3C90"/>
    <w:rsid w:val="27D21825"/>
    <w:rsid w:val="27EF813E"/>
    <w:rsid w:val="27EF9B94"/>
    <w:rsid w:val="27EFAF6D"/>
    <w:rsid w:val="27F35512"/>
    <w:rsid w:val="27FB1E9A"/>
    <w:rsid w:val="27FD32F3"/>
    <w:rsid w:val="27FD71DC"/>
    <w:rsid w:val="27FE86BE"/>
    <w:rsid w:val="27FEC91F"/>
    <w:rsid w:val="27FF4386"/>
    <w:rsid w:val="28D60F6A"/>
    <w:rsid w:val="29071430"/>
    <w:rsid w:val="2953CD40"/>
    <w:rsid w:val="297C6DFE"/>
    <w:rsid w:val="29AB0DA5"/>
    <w:rsid w:val="29FB1461"/>
    <w:rsid w:val="29FF50C6"/>
    <w:rsid w:val="2AA72B86"/>
    <w:rsid w:val="2AE7BD2E"/>
    <w:rsid w:val="2AFF5DEF"/>
    <w:rsid w:val="2B0F7128"/>
    <w:rsid w:val="2B1EA802"/>
    <w:rsid w:val="2B59D063"/>
    <w:rsid w:val="2B5F3491"/>
    <w:rsid w:val="2B636CF8"/>
    <w:rsid w:val="2B775003"/>
    <w:rsid w:val="2B7CA339"/>
    <w:rsid w:val="2B7FCA86"/>
    <w:rsid w:val="2BCEA15A"/>
    <w:rsid w:val="2BD57A15"/>
    <w:rsid w:val="2BDB4213"/>
    <w:rsid w:val="2BEDEE0F"/>
    <w:rsid w:val="2BEFA5CC"/>
    <w:rsid w:val="2BF6D32C"/>
    <w:rsid w:val="2BF7BD4D"/>
    <w:rsid w:val="2BFD49EF"/>
    <w:rsid w:val="2BFF52D5"/>
    <w:rsid w:val="2C1D185F"/>
    <w:rsid w:val="2C1E02A7"/>
    <w:rsid w:val="2CD78ACF"/>
    <w:rsid w:val="2CEF126A"/>
    <w:rsid w:val="2CF7F4E6"/>
    <w:rsid w:val="2CFC0EF3"/>
    <w:rsid w:val="2CFE04F3"/>
    <w:rsid w:val="2D336A65"/>
    <w:rsid w:val="2D66B402"/>
    <w:rsid w:val="2D7E6D4A"/>
    <w:rsid w:val="2D7F0AA6"/>
    <w:rsid w:val="2DA85042"/>
    <w:rsid w:val="2DAAEF95"/>
    <w:rsid w:val="2DB657BC"/>
    <w:rsid w:val="2DB7D40B"/>
    <w:rsid w:val="2DBF1ED4"/>
    <w:rsid w:val="2DEE2EF2"/>
    <w:rsid w:val="2DF58A1B"/>
    <w:rsid w:val="2DF6CDAD"/>
    <w:rsid w:val="2DFBD60D"/>
    <w:rsid w:val="2DFD1B96"/>
    <w:rsid w:val="2DFD7C53"/>
    <w:rsid w:val="2E620EB2"/>
    <w:rsid w:val="2E704536"/>
    <w:rsid w:val="2E7DABA6"/>
    <w:rsid w:val="2ECF76FE"/>
    <w:rsid w:val="2ECFB4F0"/>
    <w:rsid w:val="2ED7CBAE"/>
    <w:rsid w:val="2ED900B4"/>
    <w:rsid w:val="2EE656DE"/>
    <w:rsid w:val="2EEEDE7E"/>
    <w:rsid w:val="2EEF59EA"/>
    <w:rsid w:val="2EF96025"/>
    <w:rsid w:val="2EFFF08A"/>
    <w:rsid w:val="2F293B43"/>
    <w:rsid w:val="2F2A722E"/>
    <w:rsid w:val="2F3C2A45"/>
    <w:rsid w:val="2F3C3957"/>
    <w:rsid w:val="2F3D48CF"/>
    <w:rsid w:val="2F3F1528"/>
    <w:rsid w:val="2F569FF7"/>
    <w:rsid w:val="2F6B7BCE"/>
    <w:rsid w:val="2F6FE80B"/>
    <w:rsid w:val="2F77363E"/>
    <w:rsid w:val="2F7798F1"/>
    <w:rsid w:val="2F78B52B"/>
    <w:rsid w:val="2F7EF067"/>
    <w:rsid w:val="2F7F43B1"/>
    <w:rsid w:val="2F7F9412"/>
    <w:rsid w:val="2F7FCF1B"/>
    <w:rsid w:val="2F8FA378"/>
    <w:rsid w:val="2F9C0EE6"/>
    <w:rsid w:val="2FA6613A"/>
    <w:rsid w:val="2FAB7115"/>
    <w:rsid w:val="2FDB0203"/>
    <w:rsid w:val="2FDB0F0D"/>
    <w:rsid w:val="2FDB1181"/>
    <w:rsid w:val="2FDE89BE"/>
    <w:rsid w:val="2FDF5235"/>
    <w:rsid w:val="2FDFCE8F"/>
    <w:rsid w:val="2FE6CF6D"/>
    <w:rsid w:val="2FEF8B63"/>
    <w:rsid w:val="2FF12523"/>
    <w:rsid w:val="2FF784A4"/>
    <w:rsid w:val="2FF85B7C"/>
    <w:rsid w:val="2FF90482"/>
    <w:rsid w:val="2FFCB48F"/>
    <w:rsid w:val="2FFD2A03"/>
    <w:rsid w:val="2FFDD0DC"/>
    <w:rsid w:val="2FFF06DF"/>
    <w:rsid w:val="2FFF192E"/>
    <w:rsid w:val="2FFF2F6B"/>
    <w:rsid w:val="2FFF7E1B"/>
    <w:rsid w:val="2FFF83E8"/>
    <w:rsid w:val="2FFFAD6E"/>
    <w:rsid w:val="2FFFCD11"/>
    <w:rsid w:val="309B0AB9"/>
    <w:rsid w:val="30CFAB54"/>
    <w:rsid w:val="313FD184"/>
    <w:rsid w:val="313FE1F3"/>
    <w:rsid w:val="317A5D73"/>
    <w:rsid w:val="31AF026C"/>
    <w:rsid w:val="31EB7721"/>
    <w:rsid w:val="31F7CCFA"/>
    <w:rsid w:val="31FB61E5"/>
    <w:rsid w:val="323D3923"/>
    <w:rsid w:val="329DDB9D"/>
    <w:rsid w:val="32B7FE1D"/>
    <w:rsid w:val="32D77DDC"/>
    <w:rsid w:val="32FB3A8D"/>
    <w:rsid w:val="333FB9DC"/>
    <w:rsid w:val="336DF74E"/>
    <w:rsid w:val="337AB25D"/>
    <w:rsid w:val="337F8171"/>
    <w:rsid w:val="33A504D4"/>
    <w:rsid w:val="33B914AB"/>
    <w:rsid w:val="33BE6DDE"/>
    <w:rsid w:val="33CF91C1"/>
    <w:rsid w:val="33DF8E86"/>
    <w:rsid w:val="33EEFDCF"/>
    <w:rsid w:val="33F21BEC"/>
    <w:rsid w:val="33F62672"/>
    <w:rsid w:val="33F7AD0D"/>
    <w:rsid w:val="33FE2B2F"/>
    <w:rsid w:val="33FE5332"/>
    <w:rsid w:val="33FF4672"/>
    <w:rsid w:val="33FF5E8B"/>
    <w:rsid w:val="33FFDC0E"/>
    <w:rsid w:val="348C67A2"/>
    <w:rsid w:val="34BFDD98"/>
    <w:rsid w:val="34DF1B09"/>
    <w:rsid w:val="353B8562"/>
    <w:rsid w:val="35434D9B"/>
    <w:rsid w:val="356FC568"/>
    <w:rsid w:val="3578B8CF"/>
    <w:rsid w:val="35B60633"/>
    <w:rsid w:val="35BE3724"/>
    <w:rsid w:val="35BFB386"/>
    <w:rsid w:val="35D918A2"/>
    <w:rsid w:val="35D972D5"/>
    <w:rsid w:val="35EDCED5"/>
    <w:rsid w:val="35EEE115"/>
    <w:rsid w:val="35EEF054"/>
    <w:rsid w:val="35F38E7A"/>
    <w:rsid w:val="35FB7D54"/>
    <w:rsid w:val="35FB9E10"/>
    <w:rsid w:val="35FF4320"/>
    <w:rsid w:val="35FF4497"/>
    <w:rsid w:val="35FF44E9"/>
    <w:rsid w:val="35FFB33F"/>
    <w:rsid w:val="363A2311"/>
    <w:rsid w:val="366397F0"/>
    <w:rsid w:val="366F7AA5"/>
    <w:rsid w:val="367B9242"/>
    <w:rsid w:val="36895F56"/>
    <w:rsid w:val="36BF9249"/>
    <w:rsid w:val="36C4EE8C"/>
    <w:rsid w:val="36CB1286"/>
    <w:rsid w:val="36EAC9A3"/>
    <w:rsid w:val="36F29AF4"/>
    <w:rsid w:val="36F82353"/>
    <w:rsid w:val="36FBAB6F"/>
    <w:rsid w:val="36FF5AF3"/>
    <w:rsid w:val="36FFB319"/>
    <w:rsid w:val="36FFE900"/>
    <w:rsid w:val="370C6086"/>
    <w:rsid w:val="3733CA57"/>
    <w:rsid w:val="37364883"/>
    <w:rsid w:val="37399E42"/>
    <w:rsid w:val="373D0643"/>
    <w:rsid w:val="375F1D85"/>
    <w:rsid w:val="37622647"/>
    <w:rsid w:val="376E7251"/>
    <w:rsid w:val="37744256"/>
    <w:rsid w:val="377DC1BC"/>
    <w:rsid w:val="377F7D5C"/>
    <w:rsid w:val="377F8194"/>
    <w:rsid w:val="378EF771"/>
    <w:rsid w:val="379D2E43"/>
    <w:rsid w:val="37A3CA72"/>
    <w:rsid w:val="37B5E231"/>
    <w:rsid w:val="37B798BF"/>
    <w:rsid w:val="37B87E17"/>
    <w:rsid w:val="37BD8083"/>
    <w:rsid w:val="37BF23AD"/>
    <w:rsid w:val="37BFA5CC"/>
    <w:rsid w:val="37BFD461"/>
    <w:rsid w:val="37CD4208"/>
    <w:rsid w:val="37CFBF7F"/>
    <w:rsid w:val="37DF2EFA"/>
    <w:rsid w:val="37E1FDF2"/>
    <w:rsid w:val="37E7C52D"/>
    <w:rsid w:val="37E9570D"/>
    <w:rsid w:val="37EC7339"/>
    <w:rsid w:val="37EF1A89"/>
    <w:rsid w:val="37EF6BCC"/>
    <w:rsid w:val="37EF836F"/>
    <w:rsid w:val="37F1D3B9"/>
    <w:rsid w:val="37F3E189"/>
    <w:rsid w:val="37F3E29B"/>
    <w:rsid w:val="37F71C51"/>
    <w:rsid w:val="37F757D0"/>
    <w:rsid w:val="37FB79C0"/>
    <w:rsid w:val="37FBAF6D"/>
    <w:rsid w:val="37FBF886"/>
    <w:rsid w:val="37FD185B"/>
    <w:rsid w:val="37FE6D4E"/>
    <w:rsid w:val="37FE7822"/>
    <w:rsid w:val="37FEF964"/>
    <w:rsid w:val="37FF2797"/>
    <w:rsid w:val="37FF2C9A"/>
    <w:rsid w:val="37FF6996"/>
    <w:rsid w:val="37FFCA3B"/>
    <w:rsid w:val="385BC87B"/>
    <w:rsid w:val="387BC715"/>
    <w:rsid w:val="38D6766D"/>
    <w:rsid w:val="38EBCEBE"/>
    <w:rsid w:val="38ECBADD"/>
    <w:rsid w:val="38FD5DD8"/>
    <w:rsid w:val="38FDF3B5"/>
    <w:rsid w:val="391797B2"/>
    <w:rsid w:val="39738678"/>
    <w:rsid w:val="3977EB26"/>
    <w:rsid w:val="397FD7F1"/>
    <w:rsid w:val="399C6BA8"/>
    <w:rsid w:val="399FD256"/>
    <w:rsid w:val="39A92D27"/>
    <w:rsid w:val="39AD1F1F"/>
    <w:rsid w:val="39CF0901"/>
    <w:rsid w:val="39CFA114"/>
    <w:rsid w:val="39DF7FC4"/>
    <w:rsid w:val="39DFD87E"/>
    <w:rsid w:val="39E7E8BA"/>
    <w:rsid w:val="39EBC16E"/>
    <w:rsid w:val="39F1C88E"/>
    <w:rsid w:val="39F5C120"/>
    <w:rsid w:val="39F7E7C8"/>
    <w:rsid w:val="3A2F06F6"/>
    <w:rsid w:val="3A3B75C6"/>
    <w:rsid w:val="3A3F58B6"/>
    <w:rsid w:val="3A4F7E98"/>
    <w:rsid w:val="3A77259C"/>
    <w:rsid w:val="3A77AA04"/>
    <w:rsid w:val="3A7F3C4E"/>
    <w:rsid w:val="3A7FB20B"/>
    <w:rsid w:val="3ABAE221"/>
    <w:rsid w:val="3AD53447"/>
    <w:rsid w:val="3ADFE0EA"/>
    <w:rsid w:val="3AFB54DF"/>
    <w:rsid w:val="3AFD93C0"/>
    <w:rsid w:val="3B0542D7"/>
    <w:rsid w:val="3B27F6C9"/>
    <w:rsid w:val="3B2FB04F"/>
    <w:rsid w:val="3B5AFF2A"/>
    <w:rsid w:val="3B5D1916"/>
    <w:rsid w:val="3B6BF75A"/>
    <w:rsid w:val="3B6E156F"/>
    <w:rsid w:val="3B6FA733"/>
    <w:rsid w:val="3B777AD1"/>
    <w:rsid w:val="3B77FE40"/>
    <w:rsid w:val="3B7BCB58"/>
    <w:rsid w:val="3B7D188E"/>
    <w:rsid w:val="3B7D2556"/>
    <w:rsid w:val="3B7D2D78"/>
    <w:rsid w:val="3B7F1C6C"/>
    <w:rsid w:val="3B7F7F95"/>
    <w:rsid w:val="3B7F9DA2"/>
    <w:rsid w:val="3B9783D5"/>
    <w:rsid w:val="3B9A6291"/>
    <w:rsid w:val="3B9DEF47"/>
    <w:rsid w:val="3BA78DFE"/>
    <w:rsid w:val="3BA85A09"/>
    <w:rsid w:val="3BAF72B2"/>
    <w:rsid w:val="3BB11CFC"/>
    <w:rsid w:val="3BB73303"/>
    <w:rsid w:val="3BBDFF9F"/>
    <w:rsid w:val="3BD6A6AF"/>
    <w:rsid w:val="3BDDDE01"/>
    <w:rsid w:val="3BDF1C1B"/>
    <w:rsid w:val="3BE36AC7"/>
    <w:rsid w:val="3BE73C4A"/>
    <w:rsid w:val="3BE7BEC4"/>
    <w:rsid w:val="3BECE308"/>
    <w:rsid w:val="3BEEF8D0"/>
    <w:rsid w:val="3BF49D93"/>
    <w:rsid w:val="3BF6F622"/>
    <w:rsid w:val="3BFBD69E"/>
    <w:rsid w:val="3BFCA4DF"/>
    <w:rsid w:val="3BFCBB04"/>
    <w:rsid w:val="3BFD4902"/>
    <w:rsid w:val="3BFD5829"/>
    <w:rsid w:val="3BFEF941"/>
    <w:rsid w:val="3BFF0D22"/>
    <w:rsid w:val="3BFF16B6"/>
    <w:rsid w:val="3BFF318D"/>
    <w:rsid w:val="3C2E3D3C"/>
    <w:rsid w:val="3C2FD155"/>
    <w:rsid w:val="3C3F6B15"/>
    <w:rsid w:val="3C4FFD56"/>
    <w:rsid w:val="3C5B6F03"/>
    <w:rsid w:val="3C670229"/>
    <w:rsid w:val="3C76FA52"/>
    <w:rsid w:val="3C7B461D"/>
    <w:rsid w:val="3C7E6DAB"/>
    <w:rsid w:val="3C7FBDD9"/>
    <w:rsid w:val="3CAA9E8C"/>
    <w:rsid w:val="3CAB8035"/>
    <w:rsid w:val="3CCF8840"/>
    <w:rsid w:val="3CD7AAE3"/>
    <w:rsid w:val="3CDFA6CA"/>
    <w:rsid w:val="3CEAB1BA"/>
    <w:rsid w:val="3CEFF74E"/>
    <w:rsid w:val="3CFBBAF1"/>
    <w:rsid w:val="3CFC7A96"/>
    <w:rsid w:val="3CFDB0AD"/>
    <w:rsid w:val="3CFF2213"/>
    <w:rsid w:val="3CFF6987"/>
    <w:rsid w:val="3D47DB72"/>
    <w:rsid w:val="3D75E4F7"/>
    <w:rsid w:val="3D7ADF3D"/>
    <w:rsid w:val="3D7F05BA"/>
    <w:rsid w:val="3D9E3CBB"/>
    <w:rsid w:val="3D9F2D2A"/>
    <w:rsid w:val="3DA739C7"/>
    <w:rsid w:val="3DAB8DBF"/>
    <w:rsid w:val="3DAF0A63"/>
    <w:rsid w:val="3DB7F73E"/>
    <w:rsid w:val="3DBF1E48"/>
    <w:rsid w:val="3DCF722E"/>
    <w:rsid w:val="3DD43D15"/>
    <w:rsid w:val="3DD56BCC"/>
    <w:rsid w:val="3DD6A8C5"/>
    <w:rsid w:val="3DDAE037"/>
    <w:rsid w:val="3DDB4957"/>
    <w:rsid w:val="3DDE0513"/>
    <w:rsid w:val="3DDF1DA8"/>
    <w:rsid w:val="3DDF87DE"/>
    <w:rsid w:val="3DDFB7A3"/>
    <w:rsid w:val="3DDFCE60"/>
    <w:rsid w:val="3DDFDABB"/>
    <w:rsid w:val="3DDFDC63"/>
    <w:rsid w:val="3DEB75AB"/>
    <w:rsid w:val="3DEF470A"/>
    <w:rsid w:val="3DEF8B1D"/>
    <w:rsid w:val="3DF2FF41"/>
    <w:rsid w:val="3DF5D233"/>
    <w:rsid w:val="3DF64940"/>
    <w:rsid w:val="3DF7B85E"/>
    <w:rsid w:val="3DF7DF8B"/>
    <w:rsid w:val="3DF8978B"/>
    <w:rsid w:val="3DF93AEF"/>
    <w:rsid w:val="3DFA0065"/>
    <w:rsid w:val="3DFD6AAB"/>
    <w:rsid w:val="3DFDB210"/>
    <w:rsid w:val="3DFEA221"/>
    <w:rsid w:val="3DFFF2CB"/>
    <w:rsid w:val="3E344AE5"/>
    <w:rsid w:val="3E3737A1"/>
    <w:rsid w:val="3E3F894D"/>
    <w:rsid w:val="3E672A58"/>
    <w:rsid w:val="3E690B42"/>
    <w:rsid w:val="3E75194D"/>
    <w:rsid w:val="3E771A37"/>
    <w:rsid w:val="3E7B7666"/>
    <w:rsid w:val="3E7F3D8D"/>
    <w:rsid w:val="3E7FD9CD"/>
    <w:rsid w:val="3E7FF7C3"/>
    <w:rsid w:val="3E8F051B"/>
    <w:rsid w:val="3E9B24C2"/>
    <w:rsid w:val="3EAEC346"/>
    <w:rsid w:val="3EBFC225"/>
    <w:rsid w:val="3EBFCDE7"/>
    <w:rsid w:val="3ED7B8AC"/>
    <w:rsid w:val="3EDFCD57"/>
    <w:rsid w:val="3EDFDFD9"/>
    <w:rsid w:val="3EDFFA5E"/>
    <w:rsid w:val="3EEA2493"/>
    <w:rsid w:val="3EEF6B09"/>
    <w:rsid w:val="3EEFCACC"/>
    <w:rsid w:val="3EF0F87E"/>
    <w:rsid w:val="3EF7EFB8"/>
    <w:rsid w:val="3EF92AE5"/>
    <w:rsid w:val="3EFB431D"/>
    <w:rsid w:val="3EFE0AAA"/>
    <w:rsid w:val="3EFE2DFD"/>
    <w:rsid w:val="3EFEB79B"/>
    <w:rsid w:val="3EFED025"/>
    <w:rsid w:val="3EFF0712"/>
    <w:rsid w:val="3EFF0A45"/>
    <w:rsid w:val="3EFF14AC"/>
    <w:rsid w:val="3EFF6D08"/>
    <w:rsid w:val="3EFF8BE0"/>
    <w:rsid w:val="3EFFAD43"/>
    <w:rsid w:val="3F094589"/>
    <w:rsid w:val="3F0B6D65"/>
    <w:rsid w:val="3F1F49AE"/>
    <w:rsid w:val="3F2F81ED"/>
    <w:rsid w:val="3F376974"/>
    <w:rsid w:val="3F3F16D9"/>
    <w:rsid w:val="3F3FDAD6"/>
    <w:rsid w:val="3F495EF1"/>
    <w:rsid w:val="3F5E101A"/>
    <w:rsid w:val="3F5E585C"/>
    <w:rsid w:val="3F5F681C"/>
    <w:rsid w:val="3F5FE3AB"/>
    <w:rsid w:val="3F6EC4EF"/>
    <w:rsid w:val="3F6F8A23"/>
    <w:rsid w:val="3F6FD543"/>
    <w:rsid w:val="3F75CBB6"/>
    <w:rsid w:val="3F76FA5D"/>
    <w:rsid w:val="3F779320"/>
    <w:rsid w:val="3F7A7186"/>
    <w:rsid w:val="3F7A7FB0"/>
    <w:rsid w:val="3F7B4B15"/>
    <w:rsid w:val="3F7B87EA"/>
    <w:rsid w:val="3F7D0E1F"/>
    <w:rsid w:val="3F7D124C"/>
    <w:rsid w:val="3F7D8FB6"/>
    <w:rsid w:val="3F7DC287"/>
    <w:rsid w:val="3F7F3215"/>
    <w:rsid w:val="3F7F7F1C"/>
    <w:rsid w:val="3F7FB770"/>
    <w:rsid w:val="3F7FBC53"/>
    <w:rsid w:val="3F94129C"/>
    <w:rsid w:val="3F954044"/>
    <w:rsid w:val="3F97F8B9"/>
    <w:rsid w:val="3F9840FF"/>
    <w:rsid w:val="3F9DA387"/>
    <w:rsid w:val="3F9E72D2"/>
    <w:rsid w:val="3F9F2E52"/>
    <w:rsid w:val="3FA9D367"/>
    <w:rsid w:val="3FAB5CC3"/>
    <w:rsid w:val="3FACC4B0"/>
    <w:rsid w:val="3FAECC61"/>
    <w:rsid w:val="3FAF4EE3"/>
    <w:rsid w:val="3FB61E6F"/>
    <w:rsid w:val="3FB710D1"/>
    <w:rsid w:val="3FB76F87"/>
    <w:rsid w:val="3FB7FD2B"/>
    <w:rsid w:val="3FBB5E49"/>
    <w:rsid w:val="3FBB5E5D"/>
    <w:rsid w:val="3FBBA60B"/>
    <w:rsid w:val="3FBD9005"/>
    <w:rsid w:val="3FBE61C6"/>
    <w:rsid w:val="3FBF2F05"/>
    <w:rsid w:val="3FBF2FC9"/>
    <w:rsid w:val="3FBFA443"/>
    <w:rsid w:val="3FBFCB70"/>
    <w:rsid w:val="3FBFE2C6"/>
    <w:rsid w:val="3FC7DAB7"/>
    <w:rsid w:val="3FCDCADB"/>
    <w:rsid w:val="3FCF00C3"/>
    <w:rsid w:val="3FCF934B"/>
    <w:rsid w:val="3FCFE9B0"/>
    <w:rsid w:val="3FD23481"/>
    <w:rsid w:val="3FD74FFF"/>
    <w:rsid w:val="3FD7CB1E"/>
    <w:rsid w:val="3FDB0E8C"/>
    <w:rsid w:val="3FDD37A0"/>
    <w:rsid w:val="3FDD7F28"/>
    <w:rsid w:val="3FDDF811"/>
    <w:rsid w:val="3FDE178C"/>
    <w:rsid w:val="3FDEA8C9"/>
    <w:rsid w:val="3FDEAF0F"/>
    <w:rsid w:val="3FDF1D8D"/>
    <w:rsid w:val="3FE2A026"/>
    <w:rsid w:val="3FE6924D"/>
    <w:rsid w:val="3FE6CD63"/>
    <w:rsid w:val="3FE6CD6F"/>
    <w:rsid w:val="3FE71ADF"/>
    <w:rsid w:val="3FE7A5D4"/>
    <w:rsid w:val="3FE7D37B"/>
    <w:rsid w:val="3FE92330"/>
    <w:rsid w:val="3FEB3988"/>
    <w:rsid w:val="3FEBDAB6"/>
    <w:rsid w:val="3FECC352"/>
    <w:rsid w:val="3FED0D93"/>
    <w:rsid w:val="3FED186F"/>
    <w:rsid w:val="3FEDE33B"/>
    <w:rsid w:val="3FEF18B1"/>
    <w:rsid w:val="3FEF46E4"/>
    <w:rsid w:val="3FEF6AC3"/>
    <w:rsid w:val="3FEFB030"/>
    <w:rsid w:val="3FF0995B"/>
    <w:rsid w:val="3FF24A41"/>
    <w:rsid w:val="3FF3AE67"/>
    <w:rsid w:val="3FF3B0DB"/>
    <w:rsid w:val="3FF43959"/>
    <w:rsid w:val="3FF678E9"/>
    <w:rsid w:val="3FF7B35B"/>
    <w:rsid w:val="3FF93292"/>
    <w:rsid w:val="3FF95B55"/>
    <w:rsid w:val="3FFAB0F3"/>
    <w:rsid w:val="3FFBAFF1"/>
    <w:rsid w:val="3FFC4183"/>
    <w:rsid w:val="3FFCCCFA"/>
    <w:rsid w:val="3FFD127A"/>
    <w:rsid w:val="3FFD3EE1"/>
    <w:rsid w:val="3FFD522D"/>
    <w:rsid w:val="3FFD60A5"/>
    <w:rsid w:val="3FFDA723"/>
    <w:rsid w:val="3FFDB25E"/>
    <w:rsid w:val="3FFDC2F8"/>
    <w:rsid w:val="3FFDD8DF"/>
    <w:rsid w:val="3FFDF21C"/>
    <w:rsid w:val="3FFE26FB"/>
    <w:rsid w:val="3FFEA38B"/>
    <w:rsid w:val="3FFF0FD7"/>
    <w:rsid w:val="3FFF1BC1"/>
    <w:rsid w:val="3FFF31B4"/>
    <w:rsid w:val="3FFF42FE"/>
    <w:rsid w:val="3FFF4305"/>
    <w:rsid w:val="3FFF881C"/>
    <w:rsid w:val="3FFF8926"/>
    <w:rsid w:val="3FFF8974"/>
    <w:rsid w:val="3FFF899F"/>
    <w:rsid w:val="3FFF9B46"/>
    <w:rsid w:val="3FFFA022"/>
    <w:rsid w:val="3FFFACEE"/>
    <w:rsid w:val="3FFFAF2B"/>
    <w:rsid w:val="3FFFB9C0"/>
    <w:rsid w:val="3FFFBCC9"/>
    <w:rsid w:val="3FFFE415"/>
    <w:rsid w:val="3FFFEEAF"/>
    <w:rsid w:val="408B05BF"/>
    <w:rsid w:val="41C50FD2"/>
    <w:rsid w:val="41D00C05"/>
    <w:rsid w:val="41EFD4CE"/>
    <w:rsid w:val="42FFD324"/>
    <w:rsid w:val="431412A4"/>
    <w:rsid w:val="43774D2B"/>
    <w:rsid w:val="43EF48A1"/>
    <w:rsid w:val="43F4D325"/>
    <w:rsid w:val="43FF1848"/>
    <w:rsid w:val="442ECC08"/>
    <w:rsid w:val="446FD18C"/>
    <w:rsid w:val="447D22E2"/>
    <w:rsid w:val="44E6F28A"/>
    <w:rsid w:val="454D57FD"/>
    <w:rsid w:val="459BC9C3"/>
    <w:rsid w:val="45FDECA1"/>
    <w:rsid w:val="46756745"/>
    <w:rsid w:val="468D32F0"/>
    <w:rsid w:val="469E77A7"/>
    <w:rsid w:val="46BF47DE"/>
    <w:rsid w:val="46E371D8"/>
    <w:rsid w:val="46FFC0D5"/>
    <w:rsid w:val="473ED19F"/>
    <w:rsid w:val="473F96DC"/>
    <w:rsid w:val="477944B3"/>
    <w:rsid w:val="477D7FB5"/>
    <w:rsid w:val="47B9D84A"/>
    <w:rsid w:val="47BCFC88"/>
    <w:rsid w:val="47BD6A26"/>
    <w:rsid w:val="47BF385C"/>
    <w:rsid w:val="47C8FACB"/>
    <w:rsid w:val="47CEED77"/>
    <w:rsid w:val="47DFF387"/>
    <w:rsid w:val="47E3C9C3"/>
    <w:rsid w:val="47ED41E5"/>
    <w:rsid w:val="47F6D1F0"/>
    <w:rsid w:val="47FBB5B4"/>
    <w:rsid w:val="47FDEF4B"/>
    <w:rsid w:val="47FFCB0F"/>
    <w:rsid w:val="49676432"/>
    <w:rsid w:val="4978C0AB"/>
    <w:rsid w:val="499DF521"/>
    <w:rsid w:val="4AD3AF10"/>
    <w:rsid w:val="4ADBA671"/>
    <w:rsid w:val="4AEF7934"/>
    <w:rsid w:val="4AF59AD9"/>
    <w:rsid w:val="4AFF30D1"/>
    <w:rsid w:val="4B73A414"/>
    <w:rsid w:val="4B76688E"/>
    <w:rsid w:val="4B770F4C"/>
    <w:rsid w:val="4BBF010E"/>
    <w:rsid w:val="4BDEC698"/>
    <w:rsid w:val="4BE59619"/>
    <w:rsid w:val="4BF31D71"/>
    <w:rsid w:val="4BF9E2E5"/>
    <w:rsid w:val="4BFA0B22"/>
    <w:rsid w:val="4BFBAA8A"/>
    <w:rsid w:val="4BFBB629"/>
    <w:rsid w:val="4BFF11A4"/>
    <w:rsid w:val="4C585B42"/>
    <w:rsid w:val="4C75FAC6"/>
    <w:rsid w:val="4CFD6AAC"/>
    <w:rsid w:val="4CFE6C6F"/>
    <w:rsid w:val="4D1D3CA9"/>
    <w:rsid w:val="4D4B6AEC"/>
    <w:rsid w:val="4D57B84F"/>
    <w:rsid w:val="4D7733E6"/>
    <w:rsid w:val="4D7D51F2"/>
    <w:rsid w:val="4D7F4853"/>
    <w:rsid w:val="4D7FF98E"/>
    <w:rsid w:val="4DB7DD71"/>
    <w:rsid w:val="4DCB0116"/>
    <w:rsid w:val="4DD6DB08"/>
    <w:rsid w:val="4DDF0B68"/>
    <w:rsid w:val="4DEA1DDE"/>
    <w:rsid w:val="4DFE1A6A"/>
    <w:rsid w:val="4DFF80B1"/>
    <w:rsid w:val="4E3FB3FF"/>
    <w:rsid w:val="4E3FD5F7"/>
    <w:rsid w:val="4E642919"/>
    <w:rsid w:val="4E732C9E"/>
    <w:rsid w:val="4EB07761"/>
    <w:rsid w:val="4ED389B7"/>
    <w:rsid w:val="4EDBF73B"/>
    <w:rsid w:val="4EDD1935"/>
    <w:rsid w:val="4EDF16EC"/>
    <w:rsid w:val="4EE91F64"/>
    <w:rsid w:val="4EF3E052"/>
    <w:rsid w:val="4EF4E1D3"/>
    <w:rsid w:val="4EF73D6F"/>
    <w:rsid w:val="4F2F94BA"/>
    <w:rsid w:val="4F377B42"/>
    <w:rsid w:val="4F3F2A17"/>
    <w:rsid w:val="4F3F7542"/>
    <w:rsid w:val="4F4BCBE0"/>
    <w:rsid w:val="4F5D6EFB"/>
    <w:rsid w:val="4F5F6552"/>
    <w:rsid w:val="4F704D5F"/>
    <w:rsid w:val="4F76AF6D"/>
    <w:rsid w:val="4F7E2CE3"/>
    <w:rsid w:val="4F7F219B"/>
    <w:rsid w:val="4F7FB96B"/>
    <w:rsid w:val="4F9FEE52"/>
    <w:rsid w:val="4FB515DF"/>
    <w:rsid w:val="4FBB6D3B"/>
    <w:rsid w:val="4FBB73AC"/>
    <w:rsid w:val="4FBE169E"/>
    <w:rsid w:val="4FBE80AD"/>
    <w:rsid w:val="4FBF04EF"/>
    <w:rsid w:val="4FBF2BF2"/>
    <w:rsid w:val="4FC7D51F"/>
    <w:rsid w:val="4FCDE486"/>
    <w:rsid w:val="4FCF1D00"/>
    <w:rsid w:val="4FD50B62"/>
    <w:rsid w:val="4FDD162A"/>
    <w:rsid w:val="4FDEDF63"/>
    <w:rsid w:val="4FDF09B5"/>
    <w:rsid w:val="4FEE8515"/>
    <w:rsid w:val="4FEFCC7D"/>
    <w:rsid w:val="4FEFE82D"/>
    <w:rsid w:val="4FF393C0"/>
    <w:rsid w:val="4FF5AF5A"/>
    <w:rsid w:val="4FF73BDD"/>
    <w:rsid w:val="4FF9F60B"/>
    <w:rsid w:val="4FFAB7BE"/>
    <w:rsid w:val="4FFB0F62"/>
    <w:rsid w:val="4FFB4A17"/>
    <w:rsid w:val="4FFED57E"/>
    <w:rsid w:val="4FFEFA59"/>
    <w:rsid w:val="4FFF1E22"/>
    <w:rsid w:val="4FFF458D"/>
    <w:rsid w:val="4FFF4BE6"/>
    <w:rsid w:val="4FFFB79E"/>
    <w:rsid w:val="4FFFF315"/>
    <w:rsid w:val="508D3159"/>
    <w:rsid w:val="50DDD7B7"/>
    <w:rsid w:val="51BC84A7"/>
    <w:rsid w:val="51F57246"/>
    <w:rsid w:val="51FF92AA"/>
    <w:rsid w:val="52F589C6"/>
    <w:rsid w:val="52F5D809"/>
    <w:rsid w:val="52FD9C7B"/>
    <w:rsid w:val="52FDE6D3"/>
    <w:rsid w:val="52FF6595"/>
    <w:rsid w:val="52FFA8F3"/>
    <w:rsid w:val="52FFDCA3"/>
    <w:rsid w:val="5341605C"/>
    <w:rsid w:val="5357E665"/>
    <w:rsid w:val="535EF73F"/>
    <w:rsid w:val="535F9F96"/>
    <w:rsid w:val="5378377E"/>
    <w:rsid w:val="537ECC59"/>
    <w:rsid w:val="53A7B6FB"/>
    <w:rsid w:val="53BF8779"/>
    <w:rsid w:val="53DB16C2"/>
    <w:rsid w:val="53DB199C"/>
    <w:rsid w:val="53DE096B"/>
    <w:rsid w:val="53DF96AD"/>
    <w:rsid w:val="53E10619"/>
    <w:rsid w:val="53ED731B"/>
    <w:rsid w:val="53EE2E6A"/>
    <w:rsid w:val="53F2EF01"/>
    <w:rsid w:val="53F5DB4B"/>
    <w:rsid w:val="53FD0223"/>
    <w:rsid w:val="53FD5FB7"/>
    <w:rsid w:val="53FF3C2F"/>
    <w:rsid w:val="53FF63D1"/>
    <w:rsid w:val="54BC6CBF"/>
    <w:rsid w:val="54C7DC3D"/>
    <w:rsid w:val="54F68EF3"/>
    <w:rsid w:val="557DFE28"/>
    <w:rsid w:val="557F3C22"/>
    <w:rsid w:val="55A3B644"/>
    <w:rsid w:val="55D3F60B"/>
    <w:rsid w:val="55DD6886"/>
    <w:rsid w:val="55DF1ED5"/>
    <w:rsid w:val="55E4E62C"/>
    <w:rsid w:val="55E8347F"/>
    <w:rsid w:val="55E9DFBA"/>
    <w:rsid w:val="55EF489D"/>
    <w:rsid w:val="55F739A0"/>
    <w:rsid w:val="55F743A6"/>
    <w:rsid w:val="55F9B220"/>
    <w:rsid w:val="55FB3F5D"/>
    <w:rsid w:val="55FB53B8"/>
    <w:rsid w:val="565BC4A1"/>
    <w:rsid w:val="567BD37F"/>
    <w:rsid w:val="569F88E7"/>
    <w:rsid w:val="56ACF5A0"/>
    <w:rsid w:val="56B64A7D"/>
    <w:rsid w:val="56BFA1C4"/>
    <w:rsid w:val="56DD7B98"/>
    <w:rsid w:val="56EE7454"/>
    <w:rsid w:val="56F462D8"/>
    <w:rsid w:val="56F5F185"/>
    <w:rsid w:val="56FD0314"/>
    <w:rsid w:val="56FD1377"/>
    <w:rsid w:val="56FE2E7A"/>
    <w:rsid w:val="56FF3E5D"/>
    <w:rsid w:val="56FF8EC8"/>
    <w:rsid w:val="572FB81B"/>
    <w:rsid w:val="573E6BEF"/>
    <w:rsid w:val="57474E08"/>
    <w:rsid w:val="57491A27"/>
    <w:rsid w:val="57597A26"/>
    <w:rsid w:val="57630F3F"/>
    <w:rsid w:val="5763B7BE"/>
    <w:rsid w:val="576AC6C7"/>
    <w:rsid w:val="5774597C"/>
    <w:rsid w:val="577C3661"/>
    <w:rsid w:val="577F2F99"/>
    <w:rsid w:val="577FFAEA"/>
    <w:rsid w:val="579F6833"/>
    <w:rsid w:val="579F79D0"/>
    <w:rsid w:val="57B56AF6"/>
    <w:rsid w:val="57BDD9F7"/>
    <w:rsid w:val="57BE8665"/>
    <w:rsid w:val="57BE950C"/>
    <w:rsid w:val="57BED625"/>
    <w:rsid w:val="57DB6606"/>
    <w:rsid w:val="57DD0676"/>
    <w:rsid w:val="57DE749D"/>
    <w:rsid w:val="57EF10D2"/>
    <w:rsid w:val="57F4BCF8"/>
    <w:rsid w:val="57F77402"/>
    <w:rsid w:val="57FC1BA5"/>
    <w:rsid w:val="57FC36F9"/>
    <w:rsid w:val="57FD0657"/>
    <w:rsid w:val="57FD1281"/>
    <w:rsid w:val="57FD2EF9"/>
    <w:rsid w:val="57FF3027"/>
    <w:rsid w:val="57FF3E25"/>
    <w:rsid w:val="57FF5E4A"/>
    <w:rsid w:val="57FFB9EB"/>
    <w:rsid w:val="57FFD1AF"/>
    <w:rsid w:val="57FFD3EC"/>
    <w:rsid w:val="57FFD5C8"/>
    <w:rsid w:val="587E3457"/>
    <w:rsid w:val="587E915C"/>
    <w:rsid w:val="5895240C"/>
    <w:rsid w:val="58EDF3B2"/>
    <w:rsid w:val="58FB4F2D"/>
    <w:rsid w:val="5926CCCB"/>
    <w:rsid w:val="592FC1A5"/>
    <w:rsid w:val="5948994C"/>
    <w:rsid w:val="597F77F4"/>
    <w:rsid w:val="59B6E0C2"/>
    <w:rsid w:val="59BCABA6"/>
    <w:rsid w:val="59BD658E"/>
    <w:rsid w:val="59BDFE02"/>
    <w:rsid w:val="59BF0A51"/>
    <w:rsid w:val="59BFB93D"/>
    <w:rsid w:val="59BFD044"/>
    <w:rsid w:val="59CACC66"/>
    <w:rsid w:val="59EABDAE"/>
    <w:rsid w:val="59F72629"/>
    <w:rsid w:val="59FD8FD6"/>
    <w:rsid w:val="59FF6E21"/>
    <w:rsid w:val="59FFD739"/>
    <w:rsid w:val="5A7DC6A0"/>
    <w:rsid w:val="5AAE69F1"/>
    <w:rsid w:val="5ABEFF23"/>
    <w:rsid w:val="5ABF2337"/>
    <w:rsid w:val="5ABFA3D5"/>
    <w:rsid w:val="5ADDC65E"/>
    <w:rsid w:val="5AE37274"/>
    <w:rsid w:val="5AF5BAC9"/>
    <w:rsid w:val="5AF95FE7"/>
    <w:rsid w:val="5AFBF06C"/>
    <w:rsid w:val="5AFF6693"/>
    <w:rsid w:val="5AFFA554"/>
    <w:rsid w:val="5AFFB8DB"/>
    <w:rsid w:val="5B1FD1AB"/>
    <w:rsid w:val="5B3B3B38"/>
    <w:rsid w:val="5B4A39E5"/>
    <w:rsid w:val="5B764F2A"/>
    <w:rsid w:val="5B76B208"/>
    <w:rsid w:val="5B776F59"/>
    <w:rsid w:val="5B77EE8F"/>
    <w:rsid w:val="5B79E11D"/>
    <w:rsid w:val="5B7AB9E7"/>
    <w:rsid w:val="5B7C7628"/>
    <w:rsid w:val="5B7EF745"/>
    <w:rsid w:val="5B7EF7FA"/>
    <w:rsid w:val="5B7FEEA0"/>
    <w:rsid w:val="5B873D7A"/>
    <w:rsid w:val="5B8A3115"/>
    <w:rsid w:val="5B8F5E32"/>
    <w:rsid w:val="5B9B32BC"/>
    <w:rsid w:val="5B9F193E"/>
    <w:rsid w:val="5BB3184B"/>
    <w:rsid w:val="5BB41F51"/>
    <w:rsid w:val="5BB5590B"/>
    <w:rsid w:val="5BB6213C"/>
    <w:rsid w:val="5BBA9A26"/>
    <w:rsid w:val="5BBD0BE1"/>
    <w:rsid w:val="5BBD7FA1"/>
    <w:rsid w:val="5BC7AE1D"/>
    <w:rsid w:val="5BCD01C4"/>
    <w:rsid w:val="5BCD2B5A"/>
    <w:rsid w:val="5BD994AE"/>
    <w:rsid w:val="5BDFBA78"/>
    <w:rsid w:val="5BEB6EE0"/>
    <w:rsid w:val="5BEF049E"/>
    <w:rsid w:val="5BEFA1AB"/>
    <w:rsid w:val="5BF377D0"/>
    <w:rsid w:val="5BF3B7E5"/>
    <w:rsid w:val="5BF74ACB"/>
    <w:rsid w:val="5BFA481B"/>
    <w:rsid w:val="5BFB0900"/>
    <w:rsid w:val="5BFB36CF"/>
    <w:rsid w:val="5BFC969D"/>
    <w:rsid w:val="5BFD1742"/>
    <w:rsid w:val="5BFD2D0F"/>
    <w:rsid w:val="5BFDA94A"/>
    <w:rsid w:val="5BFDD5D4"/>
    <w:rsid w:val="5BFE3AF7"/>
    <w:rsid w:val="5BFEA413"/>
    <w:rsid w:val="5BFF242A"/>
    <w:rsid w:val="5BFFC7A5"/>
    <w:rsid w:val="5C0F7680"/>
    <w:rsid w:val="5C12CE59"/>
    <w:rsid w:val="5C5E430A"/>
    <w:rsid w:val="5C65EBB7"/>
    <w:rsid w:val="5C6E6700"/>
    <w:rsid w:val="5CB70FF6"/>
    <w:rsid w:val="5CBF70CB"/>
    <w:rsid w:val="5CDFC036"/>
    <w:rsid w:val="5CEB0AED"/>
    <w:rsid w:val="5CF56CBE"/>
    <w:rsid w:val="5CF7E52E"/>
    <w:rsid w:val="5CFAEFB8"/>
    <w:rsid w:val="5CFBD74A"/>
    <w:rsid w:val="5D2F8977"/>
    <w:rsid w:val="5D3ED160"/>
    <w:rsid w:val="5D3F411A"/>
    <w:rsid w:val="5D3F5586"/>
    <w:rsid w:val="5D3F7192"/>
    <w:rsid w:val="5D4F2D80"/>
    <w:rsid w:val="5D59DBA8"/>
    <w:rsid w:val="5D6E2FF3"/>
    <w:rsid w:val="5D7202C3"/>
    <w:rsid w:val="5D7E364E"/>
    <w:rsid w:val="5D7F03C8"/>
    <w:rsid w:val="5D7F0874"/>
    <w:rsid w:val="5D7FFCF0"/>
    <w:rsid w:val="5D8F3B38"/>
    <w:rsid w:val="5D8FFC58"/>
    <w:rsid w:val="5D9F52F7"/>
    <w:rsid w:val="5DBFAACB"/>
    <w:rsid w:val="5DDB021B"/>
    <w:rsid w:val="5DDB04E5"/>
    <w:rsid w:val="5DDD2009"/>
    <w:rsid w:val="5DDF1C6C"/>
    <w:rsid w:val="5DDFF680"/>
    <w:rsid w:val="5DE628B0"/>
    <w:rsid w:val="5DE73652"/>
    <w:rsid w:val="5DEEA0F9"/>
    <w:rsid w:val="5DEF001B"/>
    <w:rsid w:val="5DEF0B14"/>
    <w:rsid w:val="5DEFAF55"/>
    <w:rsid w:val="5DF35574"/>
    <w:rsid w:val="5DF3991D"/>
    <w:rsid w:val="5DF607FF"/>
    <w:rsid w:val="5DF88840"/>
    <w:rsid w:val="5DF971DB"/>
    <w:rsid w:val="5DF98BB9"/>
    <w:rsid w:val="5DF9E3C7"/>
    <w:rsid w:val="5DFACB03"/>
    <w:rsid w:val="5DFB0242"/>
    <w:rsid w:val="5DFB46DD"/>
    <w:rsid w:val="5DFBA346"/>
    <w:rsid w:val="5DFBD602"/>
    <w:rsid w:val="5DFCAC90"/>
    <w:rsid w:val="5DFD8688"/>
    <w:rsid w:val="5DFDB12A"/>
    <w:rsid w:val="5DFE2275"/>
    <w:rsid w:val="5DFEDD69"/>
    <w:rsid w:val="5DFF02EE"/>
    <w:rsid w:val="5DFF24B6"/>
    <w:rsid w:val="5DFF2FB2"/>
    <w:rsid w:val="5DFF3211"/>
    <w:rsid w:val="5DFF6A3F"/>
    <w:rsid w:val="5DFFCB0F"/>
    <w:rsid w:val="5E035B26"/>
    <w:rsid w:val="5E1B61F2"/>
    <w:rsid w:val="5E31AFB0"/>
    <w:rsid w:val="5E374E15"/>
    <w:rsid w:val="5E6F8CCE"/>
    <w:rsid w:val="5E6F95B3"/>
    <w:rsid w:val="5E6FC78D"/>
    <w:rsid w:val="5E7E3078"/>
    <w:rsid w:val="5E7F1218"/>
    <w:rsid w:val="5E7FD158"/>
    <w:rsid w:val="5E974AA0"/>
    <w:rsid w:val="5EA52138"/>
    <w:rsid w:val="5EA98550"/>
    <w:rsid w:val="5EAB30C5"/>
    <w:rsid w:val="5EB49027"/>
    <w:rsid w:val="5EBD5610"/>
    <w:rsid w:val="5EBDC93B"/>
    <w:rsid w:val="5ECB4A6C"/>
    <w:rsid w:val="5ECD7512"/>
    <w:rsid w:val="5ECE7120"/>
    <w:rsid w:val="5ECEACE5"/>
    <w:rsid w:val="5ECED6A5"/>
    <w:rsid w:val="5ED3ED97"/>
    <w:rsid w:val="5EDD3BFF"/>
    <w:rsid w:val="5EDD811C"/>
    <w:rsid w:val="5EDE3FBF"/>
    <w:rsid w:val="5EDF228D"/>
    <w:rsid w:val="5EDFA8D8"/>
    <w:rsid w:val="5EE5D9D8"/>
    <w:rsid w:val="5EE6E43F"/>
    <w:rsid w:val="5EEB8EC5"/>
    <w:rsid w:val="5EEEB469"/>
    <w:rsid w:val="5EF31CAB"/>
    <w:rsid w:val="5EF380D1"/>
    <w:rsid w:val="5EF575A0"/>
    <w:rsid w:val="5EF767BF"/>
    <w:rsid w:val="5EFA44DE"/>
    <w:rsid w:val="5EFB299A"/>
    <w:rsid w:val="5EFCF309"/>
    <w:rsid w:val="5EFDF4C6"/>
    <w:rsid w:val="5EFF04F4"/>
    <w:rsid w:val="5EFF1772"/>
    <w:rsid w:val="5EFF4363"/>
    <w:rsid w:val="5EFF706A"/>
    <w:rsid w:val="5EFF75A6"/>
    <w:rsid w:val="5EFFC40D"/>
    <w:rsid w:val="5F1CC92E"/>
    <w:rsid w:val="5F1D6D1C"/>
    <w:rsid w:val="5F1E4645"/>
    <w:rsid w:val="5F259A3A"/>
    <w:rsid w:val="5F334C3D"/>
    <w:rsid w:val="5F33B421"/>
    <w:rsid w:val="5F3BA58F"/>
    <w:rsid w:val="5F3D8484"/>
    <w:rsid w:val="5F3E6830"/>
    <w:rsid w:val="5F3F2B17"/>
    <w:rsid w:val="5F3FF13B"/>
    <w:rsid w:val="5F54CAFB"/>
    <w:rsid w:val="5F55EA0E"/>
    <w:rsid w:val="5F57B6B9"/>
    <w:rsid w:val="5F5F967E"/>
    <w:rsid w:val="5F5FE791"/>
    <w:rsid w:val="5F6DD054"/>
    <w:rsid w:val="5F6E41BD"/>
    <w:rsid w:val="5F732D83"/>
    <w:rsid w:val="5F740FEE"/>
    <w:rsid w:val="5F7601C0"/>
    <w:rsid w:val="5F76A469"/>
    <w:rsid w:val="5F7762C8"/>
    <w:rsid w:val="5F777634"/>
    <w:rsid w:val="5F77C79E"/>
    <w:rsid w:val="5F77D9A5"/>
    <w:rsid w:val="5F77F929"/>
    <w:rsid w:val="5F77FD0F"/>
    <w:rsid w:val="5F79A146"/>
    <w:rsid w:val="5F7AEFD4"/>
    <w:rsid w:val="5F7C0C15"/>
    <w:rsid w:val="5F7D411B"/>
    <w:rsid w:val="5F7EA878"/>
    <w:rsid w:val="5F7F2FB2"/>
    <w:rsid w:val="5F7F5626"/>
    <w:rsid w:val="5F7F78F2"/>
    <w:rsid w:val="5F7F8C5C"/>
    <w:rsid w:val="5F7F9B99"/>
    <w:rsid w:val="5F7FB122"/>
    <w:rsid w:val="5F7FBC09"/>
    <w:rsid w:val="5F7FC984"/>
    <w:rsid w:val="5F94FF59"/>
    <w:rsid w:val="5F9520B9"/>
    <w:rsid w:val="5F97859A"/>
    <w:rsid w:val="5F9F2551"/>
    <w:rsid w:val="5F9F42AF"/>
    <w:rsid w:val="5F9FD031"/>
    <w:rsid w:val="5F9FD752"/>
    <w:rsid w:val="5F9FE605"/>
    <w:rsid w:val="5FA637EB"/>
    <w:rsid w:val="5FA7583A"/>
    <w:rsid w:val="5FAF4F3D"/>
    <w:rsid w:val="5FB3B4C2"/>
    <w:rsid w:val="5FB47930"/>
    <w:rsid w:val="5FB54653"/>
    <w:rsid w:val="5FB726A1"/>
    <w:rsid w:val="5FB73F8D"/>
    <w:rsid w:val="5FB7808E"/>
    <w:rsid w:val="5FB79C08"/>
    <w:rsid w:val="5FB928CF"/>
    <w:rsid w:val="5FBC0647"/>
    <w:rsid w:val="5FBCD557"/>
    <w:rsid w:val="5FBD5689"/>
    <w:rsid w:val="5FBE97C2"/>
    <w:rsid w:val="5FBF7CBC"/>
    <w:rsid w:val="5FBF90B8"/>
    <w:rsid w:val="5FBFBE40"/>
    <w:rsid w:val="5FBFDDA0"/>
    <w:rsid w:val="5FCD5479"/>
    <w:rsid w:val="5FCF5C4B"/>
    <w:rsid w:val="5FCF92D9"/>
    <w:rsid w:val="5FD6EB94"/>
    <w:rsid w:val="5FD71A71"/>
    <w:rsid w:val="5FD74091"/>
    <w:rsid w:val="5FD7A33A"/>
    <w:rsid w:val="5FDBC519"/>
    <w:rsid w:val="5FDD503E"/>
    <w:rsid w:val="5FDD618C"/>
    <w:rsid w:val="5FDD85F0"/>
    <w:rsid w:val="5FDDE93A"/>
    <w:rsid w:val="5FDE59C4"/>
    <w:rsid w:val="5FDF0A8A"/>
    <w:rsid w:val="5FDF12B4"/>
    <w:rsid w:val="5FDF2A17"/>
    <w:rsid w:val="5FDF7898"/>
    <w:rsid w:val="5FDF8214"/>
    <w:rsid w:val="5FDFACE2"/>
    <w:rsid w:val="5FDFCC99"/>
    <w:rsid w:val="5FDFD06F"/>
    <w:rsid w:val="5FE3433F"/>
    <w:rsid w:val="5FE38F3A"/>
    <w:rsid w:val="5FE43698"/>
    <w:rsid w:val="5FE55105"/>
    <w:rsid w:val="5FE7BCD1"/>
    <w:rsid w:val="5FE8879D"/>
    <w:rsid w:val="5FE8A6C9"/>
    <w:rsid w:val="5FE90C9E"/>
    <w:rsid w:val="5FEB46AA"/>
    <w:rsid w:val="5FEB667B"/>
    <w:rsid w:val="5FEB9BF1"/>
    <w:rsid w:val="5FEBF7F1"/>
    <w:rsid w:val="5FEDAFB4"/>
    <w:rsid w:val="5FEE2E42"/>
    <w:rsid w:val="5FEF3665"/>
    <w:rsid w:val="5FEF6C74"/>
    <w:rsid w:val="5FEF839B"/>
    <w:rsid w:val="5FEF9CB9"/>
    <w:rsid w:val="5FEFA971"/>
    <w:rsid w:val="5FEFB173"/>
    <w:rsid w:val="5FEFDE8E"/>
    <w:rsid w:val="5FEFEA7F"/>
    <w:rsid w:val="5FF50D78"/>
    <w:rsid w:val="5FF54025"/>
    <w:rsid w:val="5FF5B358"/>
    <w:rsid w:val="5FF73E96"/>
    <w:rsid w:val="5FF74471"/>
    <w:rsid w:val="5FF77FD3"/>
    <w:rsid w:val="5FF7F552"/>
    <w:rsid w:val="5FF85551"/>
    <w:rsid w:val="5FFB4CD1"/>
    <w:rsid w:val="5FFBCC3B"/>
    <w:rsid w:val="5FFBD3C1"/>
    <w:rsid w:val="5FFBE630"/>
    <w:rsid w:val="5FFBECFD"/>
    <w:rsid w:val="5FFCE659"/>
    <w:rsid w:val="5FFD31D0"/>
    <w:rsid w:val="5FFD81F1"/>
    <w:rsid w:val="5FFEBF0A"/>
    <w:rsid w:val="5FFF360E"/>
    <w:rsid w:val="5FFF3864"/>
    <w:rsid w:val="5FFF4E67"/>
    <w:rsid w:val="5FFF73CC"/>
    <w:rsid w:val="5FFF99C7"/>
    <w:rsid w:val="5FFFA5E4"/>
    <w:rsid w:val="5FFFAA2C"/>
    <w:rsid w:val="5FFFADFA"/>
    <w:rsid w:val="5FFFBE9D"/>
    <w:rsid w:val="5FFFBF9B"/>
    <w:rsid w:val="5FFFC752"/>
    <w:rsid w:val="5FFFEBBB"/>
    <w:rsid w:val="603B1074"/>
    <w:rsid w:val="60F1C21E"/>
    <w:rsid w:val="611FCBF4"/>
    <w:rsid w:val="61872D8B"/>
    <w:rsid w:val="618B4DE1"/>
    <w:rsid w:val="61B5566E"/>
    <w:rsid w:val="61BF2ECA"/>
    <w:rsid w:val="61EE10AE"/>
    <w:rsid w:val="624F9D3E"/>
    <w:rsid w:val="627048CC"/>
    <w:rsid w:val="62AF6585"/>
    <w:rsid w:val="62B8920C"/>
    <w:rsid w:val="62E27BF4"/>
    <w:rsid w:val="62F7C105"/>
    <w:rsid w:val="62FEC541"/>
    <w:rsid w:val="635D2480"/>
    <w:rsid w:val="636C4915"/>
    <w:rsid w:val="637D1573"/>
    <w:rsid w:val="637F3ED4"/>
    <w:rsid w:val="63B78074"/>
    <w:rsid w:val="63BFB74E"/>
    <w:rsid w:val="63D94538"/>
    <w:rsid w:val="63DF3792"/>
    <w:rsid w:val="63E57011"/>
    <w:rsid w:val="63EF3C69"/>
    <w:rsid w:val="63F5B915"/>
    <w:rsid w:val="63FF23D3"/>
    <w:rsid w:val="644F04DB"/>
    <w:rsid w:val="645E23E4"/>
    <w:rsid w:val="646B6244"/>
    <w:rsid w:val="649F5FC8"/>
    <w:rsid w:val="64BF891E"/>
    <w:rsid w:val="64C8245F"/>
    <w:rsid w:val="64FB43D1"/>
    <w:rsid w:val="64FE1123"/>
    <w:rsid w:val="64FFA090"/>
    <w:rsid w:val="6537C9D6"/>
    <w:rsid w:val="653E4141"/>
    <w:rsid w:val="654F61E3"/>
    <w:rsid w:val="655E644E"/>
    <w:rsid w:val="657B4895"/>
    <w:rsid w:val="657C7F10"/>
    <w:rsid w:val="657F4404"/>
    <w:rsid w:val="659FB233"/>
    <w:rsid w:val="65AFB3EF"/>
    <w:rsid w:val="65B56AB6"/>
    <w:rsid w:val="65BD86BB"/>
    <w:rsid w:val="65D0C2E8"/>
    <w:rsid w:val="65EE812B"/>
    <w:rsid w:val="65F79CC0"/>
    <w:rsid w:val="65FAE694"/>
    <w:rsid w:val="65FDCF66"/>
    <w:rsid w:val="65FE830F"/>
    <w:rsid w:val="65FFEDB2"/>
    <w:rsid w:val="66631051"/>
    <w:rsid w:val="66742A98"/>
    <w:rsid w:val="66771171"/>
    <w:rsid w:val="667AC12C"/>
    <w:rsid w:val="667B3404"/>
    <w:rsid w:val="66936DB4"/>
    <w:rsid w:val="66AEB683"/>
    <w:rsid w:val="66C45ED5"/>
    <w:rsid w:val="66CE07C4"/>
    <w:rsid w:val="66D344BD"/>
    <w:rsid w:val="66DB8420"/>
    <w:rsid w:val="66DDBA0F"/>
    <w:rsid w:val="66DF4117"/>
    <w:rsid w:val="66E75CE6"/>
    <w:rsid w:val="66FBE5C9"/>
    <w:rsid w:val="66FC89D6"/>
    <w:rsid w:val="66FD3124"/>
    <w:rsid w:val="66FE38B2"/>
    <w:rsid w:val="66FEDBE4"/>
    <w:rsid w:val="66FF53A4"/>
    <w:rsid w:val="66FF78EC"/>
    <w:rsid w:val="66FFD2F1"/>
    <w:rsid w:val="67363A11"/>
    <w:rsid w:val="675FC4D0"/>
    <w:rsid w:val="675FE864"/>
    <w:rsid w:val="676FD29D"/>
    <w:rsid w:val="677BD3A2"/>
    <w:rsid w:val="677D8BFC"/>
    <w:rsid w:val="67931F6C"/>
    <w:rsid w:val="679EAFF5"/>
    <w:rsid w:val="67AE134E"/>
    <w:rsid w:val="67B29FEB"/>
    <w:rsid w:val="67B695D6"/>
    <w:rsid w:val="67BF0E28"/>
    <w:rsid w:val="67BF3BEC"/>
    <w:rsid w:val="67D31994"/>
    <w:rsid w:val="67DC7431"/>
    <w:rsid w:val="67DEB7E0"/>
    <w:rsid w:val="67DF751A"/>
    <w:rsid w:val="67DFDF78"/>
    <w:rsid w:val="67E64E0D"/>
    <w:rsid w:val="67F73988"/>
    <w:rsid w:val="67F795FD"/>
    <w:rsid w:val="67F7968D"/>
    <w:rsid w:val="67FBDE67"/>
    <w:rsid w:val="67FBE52E"/>
    <w:rsid w:val="67FD5A87"/>
    <w:rsid w:val="67FD7D96"/>
    <w:rsid w:val="67FE4F97"/>
    <w:rsid w:val="68B3045B"/>
    <w:rsid w:val="68B5EB37"/>
    <w:rsid w:val="68F6059A"/>
    <w:rsid w:val="68F726A6"/>
    <w:rsid w:val="693F197E"/>
    <w:rsid w:val="693FD2A3"/>
    <w:rsid w:val="69DF92B4"/>
    <w:rsid w:val="69E6DD14"/>
    <w:rsid w:val="69EBB085"/>
    <w:rsid w:val="69FD01FF"/>
    <w:rsid w:val="69FD737E"/>
    <w:rsid w:val="69FE45A5"/>
    <w:rsid w:val="69FFA74A"/>
    <w:rsid w:val="6A6B0206"/>
    <w:rsid w:val="6A7E6BAD"/>
    <w:rsid w:val="6A7ECB74"/>
    <w:rsid w:val="6A7F29B2"/>
    <w:rsid w:val="6AB423F6"/>
    <w:rsid w:val="6AB7079E"/>
    <w:rsid w:val="6AD76AC4"/>
    <w:rsid w:val="6ADF0B55"/>
    <w:rsid w:val="6ADFDDD6"/>
    <w:rsid w:val="6AEC2021"/>
    <w:rsid w:val="6AFC70A1"/>
    <w:rsid w:val="6AFD7ABA"/>
    <w:rsid w:val="6AFF0379"/>
    <w:rsid w:val="6AFFA0F5"/>
    <w:rsid w:val="6B1B6C3D"/>
    <w:rsid w:val="6B33A052"/>
    <w:rsid w:val="6B4124A9"/>
    <w:rsid w:val="6B4F4151"/>
    <w:rsid w:val="6B594595"/>
    <w:rsid w:val="6B5B43C5"/>
    <w:rsid w:val="6B768374"/>
    <w:rsid w:val="6B7F29F6"/>
    <w:rsid w:val="6BA3EE14"/>
    <w:rsid w:val="6BA89589"/>
    <w:rsid w:val="6BAFEF1D"/>
    <w:rsid w:val="6BB71AD4"/>
    <w:rsid w:val="6BBED7BA"/>
    <w:rsid w:val="6BD74073"/>
    <w:rsid w:val="6BD9953D"/>
    <w:rsid w:val="6BDB041E"/>
    <w:rsid w:val="6BE22885"/>
    <w:rsid w:val="6BEBC7B1"/>
    <w:rsid w:val="6BEF3D01"/>
    <w:rsid w:val="6BF6E6E6"/>
    <w:rsid w:val="6BF76F77"/>
    <w:rsid w:val="6BF77F23"/>
    <w:rsid w:val="6BF9CBAF"/>
    <w:rsid w:val="6BFB08F8"/>
    <w:rsid w:val="6BFB1843"/>
    <w:rsid w:val="6BFB8A8A"/>
    <w:rsid w:val="6BFBDE5E"/>
    <w:rsid w:val="6BFBF523"/>
    <w:rsid w:val="6BFD1724"/>
    <w:rsid w:val="6BFD1E77"/>
    <w:rsid w:val="6BFD3853"/>
    <w:rsid w:val="6BFDA553"/>
    <w:rsid w:val="6BFDB32D"/>
    <w:rsid w:val="6BFE1501"/>
    <w:rsid w:val="6BFE33FA"/>
    <w:rsid w:val="6BFF08BF"/>
    <w:rsid w:val="6BFF1C10"/>
    <w:rsid w:val="6BFF34B4"/>
    <w:rsid w:val="6BFF3789"/>
    <w:rsid w:val="6BFF4099"/>
    <w:rsid w:val="6BFF4DE6"/>
    <w:rsid w:val="6BFF7B35"/>
    <w:rsid w:val="6BFF9E3F"/>
    <w:rsid w:val="6BFFB551"/>
    <w:rsid w:val="6BFFF534"/>
    <w:rsid w:val="6C17AC3B"/>
    <w:rsid w:val="6C2E0B3A"/>
    <w:rsid w:val="6C37AA43"/>
    <w:rsid w:val="6C6FD973"/>
    <w:rsid w:val="6C7D17A0"/>
    <w:rsid w:val="6C8BBEC0"/>
    <w:rsid w:val="6CAC4C6B"/>
    <w:rsid w:val="6CADD025"/>
    <w:rsid w:val="6CBFE5FF"/>
    <w:rsid w:val="6CDB70D3"/>
    <w:rsid w:val="6CDBD0C5"/>
    <w:rsid w:val="6CDF222F"/>
    <w:rsid w:val="6CEFC6F2"/>
    <w:rsid w:val="6CF1DC17"/>
    <w:rsid w:val="6CF68088"/>
    <w:rsid w:val="6CFB6B52"/>
    <w:rsid w:val="6CFBDAA4"/>
    <w:rsid w:val="6CFE32A6"/>
    <w:rsid w:val="6CFFF2B9"/>
    <w:rsid w:val="6D1885BD"/>
    <w:rsid w:val="6D1FA1CC"/>
    <w:rsid w:val="6D36C89B"/>
    <w:rsid w:val="6D3A93C4"/>
    <w:rsid w:val="6D3F3E46"/>
    <w:rsid w:val="6D5BC7C5"/>
    <w:rsid w:val="6D5ED66B"/>
    <w:rsid w:val="6D67CA92"/>
    <w:rsid w:val="6D6B7B58"/>
    <w:rsid w:val="6D6EA008"/>
    <w:rsid w:val="6D7F41F9"/>
    <w:rsid w:val="6D7F5792"/>
    <w:rsid w:val="6D7F981B"/>
    <w:rsid w:val="6D95D3E5"/>
    <w:rsid w:val="6DA77DB2"/>
    <w:rsid w:val="6DAD4C59"/>
    <w:rsid w:val="6DAF8727"/>
    <w:rsid w:val="6DB3BB57"/>
    <w:rsid w:val="6DB6E35E"/>
    <w:rsid w:val="6DB7AA05"/>
    <w:rsid w:val="6DBA2C53"/>
    <w:rsid w:val="6DBCEC01"/>
    <w:rsid w:val="6DBE0C0D"/>
    <w:rsid w:val="6DBE62EB"/>
    <w:rsid w:val="6DC90CEB"/>
    <w:rsid w:val="6DCE3859"/>
    <w:rsid w:val="6DDFE010"/>
    <w:rsid w:val="6DEEDBF3"/>
    <w:rsid w:val="6DF6D19A"/>
    <w:rsid w:val="6DFA9A50"/>
    <w:rsid w:val="6DFBDC70"/>
    <w:rsid w:val="6DFD4B8E"/>
    <w:rsid w:val="6DFE0CFF"/>
    <w:rsid w:val="6DFE38D2"/>
    <w:rsid w:val="6DFE48A8"/>
    <w:rsid w:val="6DFE9119"/>
    <w:rsid w:val="6DFEAB4C"/>
    <w:rsid w:val="6DFF4559"/>
    <w:rsid w:val="6DFF7593"/>
    <w:rsid w:val="6DFFC335"/>
    <w:rsid w:val="6DFFFD11"/>
    <w:rsid w:val="6E593966"/>
    <w:rsid w:val="6E5D5DF4"/>
    <w:rsid w:val="6E64BA1E"/>
    <w:rsid w:val="6E6BBAF5"/>
    <w:rsid w:val="6E774AB7"/>
    <w:rsid w:val="6E7B6F59"/>
    <w:rsid w:val="6E7F0337"/>
    <w:rsid w:val="6E7F09B7"/>
    <w:rsid w:val="6E7FE4AA"/>
    <w:rsid w:val="6E9747A0"/>
    <w:rsid w:val="6E998DE3"/>
    <w:rsid w:val="6E9D03C7"/>
    <w:rsid w:val="6EA5BE5E"/>
    <w:rsid w:val="6EAE2329"/>
    <w:rsid w:val="6EB3A21E"/>
    <w:rsid w:val="6EB787D0"/>
    <w:rsid w:val="6EB78916"/>
    <w:rsid w:val="6EB7FF25"/>
    <w:rsid w:val="6EBC24E0"/>
    <w:rsid w:val="6ED65832"/>
    <w:rsid w:val="6ED75DC5"/>
    <w:rsid w:val="6EDF2B38"/>
    <w:rsid w:val="6EDFB9EC"/>
    <w:rsid w:val="6EE34C48"/>
    <w:rsid w:val="6EED9AE9"/>
    <w:rsid w:val="6EEE748A"/>
    <w:rsid w:val="6EEFFE34"/>
    <w:rsid w:val="6EF3B601"/>
    <w:rsid w:val="6EF5CC9F"/>
    <w:rsid w:val="6EF7D30E"/>
    <w:rsid w:val="6EF8F9CA"/>
    <w:rsid w:val="6EFB9FC0"/>
    <w:rsid w:val="6EFBCF57"/>
    <w:rsid w:val="6EFCC580"/>
    <w:rsid w:val="6EFD0467"/>
    <w:rsid w:val="6EFDB8E7"/>
    <w:rsid w:val="6EFDC65D"/>
    <w:rsid w:val="6EFDE8BE"/>
    <w:rsid w:val="6EFEE5BE"/>
    <w:rsid w:val="6EFF5B98"/>
    <w:rsid w:val="6EFF9A31"/>
    <w:rsid w:val="6EFFEEA2"/>
    <w:rsid w:val="6EFFF58A"/>
    <w:rsid w:val="6F1BA7F6"/>
    <w:rsid w:val="6F1EB581"/>
    <w:rsid w:val="6F2D96E7"/>
    <w:rsid w:val="6F2F2236"/>
    <w:rsid w:val="6F33FEC5"/>
    <w:rsid w:val="6F362C41"/>
    <w:rsid w:val="6F3D81A7"/>
    <w:rsid w:val="6F3F93C4"/>
    <w:rsid w:val="6F3FE36E"/>
    <w:rsid w:val="6F56F16A"/>
    <w:rsid w:val="6F57213E"/>
    <w:rsid w:val="6F57AE8F"/>
    <w:rsid w:val="6F69953E"/>
    <w:rsid w:val="6F6BBBC7"/>
    <w:rsid w:val="6F6F1D2B"/>
    <w:rsid w:val="6F6F3680"/>
    <w:rsid w:val="6F6FF8E4"/>
    <w:rsid w:val="6F7702E5"/>
    <w:rsid w:val="6F7731A0"/>
    <w:rsid w:val="6F774EA9"/>
    <w:rsid w:val="6F77B520"/>
    <w:rsid w:val="6F7810DE"/>
    <w:rsid w:val="6F79EBB7"/>
    <w:rsid w:val="6F7B0053"/>
    <w:rsid w:val="6F7B2DBA"/>
    <w:rsid w:val="6F7B9611"/>
    <w:rsid w:val="6F7BCE0B"/>
    <w:rsid w:val="6F7D1DB7"/>
    <w:rsid w:val="6F7D8AEA"/>
    <w:rsid w:val="6F7E5E51"/>
    <w:rsid w:val="6F7F31CF"/>
    <w:rsid w:val="6F7F9DB2"/>
    <w:rsid w:val="6F7FA2D1"/>
    <w:rsid w:val="6F9B0BF5"/>
    <w:rsid w:val="6F9CF537"/>
    <w:rsid w:val="6F9FEC13"/>
    <w:rsid w:val="6FA93C41"/>
    <w:rsid w:val="6FAFDB02"/>
    <w:rsid w:val="6FAFF720"/>
    <w:rsid w:val="6FB5ADE3"/>
    <w:rsid w:val="6FB710A7"/>
    <w:rsid w:val="6FB7CBD2"/>
    <w:rsid w:val="6FB7F589"/>
    <w:rsid w:val="6FBB50B2"/>
    <w:rsid w:val="6FBB7B6C"/>
    <w:rsid w:val="6FBC5744"/>
    <w:rsid w:val="6FBC832A"/>
    <w:rsid w:val="6FBCC8E9"/>
    <w:rsid w:val="6FBD1EFF"/>
    <w:rsid w:val="6FBDC821"/>
    <w:rsid w:val="6FBE2009"/>
    <w:rsid w:val="6FBE9633"/>
    <w:rsid w:val="6FBF3999"/>
    <w:rsid w:val="6FBF7A3D"/>
    <w:rsid w:val="6FBF7ECF"/>
    <w:rsid w:val="6FBFBE09"/>
    <w:rsid w:val="6FBFCD7B"/>
    <w:rsid w:val="6FC6A766"/>
    <w:rsid w:val="6FC84FD4"/>
    <w:rsid w:val="6FCADA0C"/>
    <w:rsid w:val="6FCB747A"/>
    <w:rsid w:val="6FCCD392"/>
    <w:rsid w:val="6FCEF857"/>
    <w:rsid w:val="6FCF3B48"/>
    <w:rsid w:val="6FCF8DC0"/>
    <w:rsid w:val="6FCFA67F"/>
    <w:rsid w:val="6FD463F8"/>
    <w:rsid w:val="6FD4A00E"/>
    <w:rsid w:val="6FD8A816"/>
    <w:rsid w:val="6FD9D305"/>
    <w:rsid w:val="6FDAD879"/>
    <w:rsid w:val="6FDB3A7F"/>
    <w:rsid w:val="6FDC7E5E"/>
    <w:rsid w:val="6FDDD034"/>
    <w:rsid w:val="6FDF4D22"/>
    <w:rsid w:val="6FDF5CBB"/>
    <w:rsid w:val="6FDFA67D"/>
    <w:rsid w:val="6FE3D2CB"/>
    <w:rsid w:val="6FE55CA9"/>
    <w:rsid w:val="6FE7B620"/>
    <w:rsid w:val="6FE7C5BE"/>
    <w:rsid w:val="6FE8EB3D"/>
    <w:rsid w:val="6FE9BD7B"/>
    <w:rsid w:val="6FEA8876"/>
    <w:rsid w:val="6FEBEAEF"/>
    <w:rsid w:val="6FEC1A4A"/>
    <w:rsid w:val="6FEE9615"/>
    <w:rsid w:val="6FEF1C14"/>
    <w:rsid w:val="6FEF6B8E"/>
    <w:rsid w:val="6FEF9BC8"/>
    <w:rsid w:val="6FEF9FB0"/>
    <w:rsid w:val="6FEFA46E"/>
    <w:rsid w:val="6FF218F3"/>
    <w:rsid w:val="6FF225AB"/>
    <w:rsid w:val="6FF32B98"/>
    <w:rsid w:val="6FF396EC"/>
    <w:rsid w:val="6FF45297"/>
    <w:rsid w:val="6FF5163A"/>
    <w:rsid w:val="6FF52496"/>
    <w:rsid w:val="6FF63AA2"/>
    <w:rsid w:val="6FF6E7D8"/>
    <w:rsid w:val="6FF7A64E"/>
    <w:rsid w:val="6FF97F15"/>
    <w:rsid w:val="6FFB0FB8"/>
    <w:rsid w:val="6FFB1FCB"/>
    <w:rsid w:val="6FFB5569"/>
    <w:rsid w:val="6FFB5FA9"/>
    <w:rsid w:val="6FFB641F"/>
    <w:rsid w:val="6FFB8230"/>
    <w:rsid w:val="6FFBA467"/>
    <w:rsid w:val="6FFBFBF0"/>
    <w:rsid w:val="6FFD7EC7"/>
    <w:rsid w:val="6FFD91BA"/>
    <w:rsid w:val="6FFDA558"/>
    <w:rsid w:val="6FFDE223"/>
    <w:rsid w:val="6FFE27B3"/>
    <w:rsid w:val="6FFE54D7"/>
    <w:rsid w:val="6FFE7DAB"/>
    <w:rsid w:val="6FFF14BF"/>
    <w:rsid w:val="6FFF76C0"/>
    <w:rsid w:val="6FFF7979"/>
    <w:rsid w:val="6FFF89F5"/>
    <w:rsid w:val="6FFF9346"/>
    <w:rsid w:val="6FFFB285"/>
    <w:rsid w:val="6FFFCA8D"/>
    <w:rsid w:val="6FFFCEF5"/>
    <w:rsid w:val="6FFFD528"/>
    <w:rsid w:val="6FFFDF83"/>
    <w:rsid w:val="70402C21"/>
    <w:rsid w:val="707B248E"/>
    <w:rsid w:val="70831107"/>
    <w:rsid w:val="70AD30E0"/>
    <w:rsid w:val="70EFDA89"/>
    <w:rsid w:val="70F9F18D"/>
    <w:rsid w:val="716F4376"/>
    <w:rsid w:val="7197895C"/>
    <w:rsid w:val="71B56D08"/>
    <w:rsid w:val="71DF0B72"/>
    <w:rsid w:val="71F414E6"/>
    <w:rsid w:val="71FA37F6"/>
    <w:rsid w:val="71FB5BE6"/>
    <w:rsid w:val="71FCFE33"/>
    <w:rsid w:val="71FDB8A0"/>
    <w:rsid w:val="71FF4953"/>
    <w:rsid w:val="7229698B"/>
    <w:rsid w:val="722B1ADF"/>
    <w:rsid w:val="72376949"/>
    <w:rsid w:val="723D62B3"/>
    <w:rsid w:val="725D27B1"/>
    <w:rsid w:val="725F7B5E"/>
    <w:rsid w:val="725F86A2"/>
    <w:rsid w:val="72BF1965"/>
    <w:rsid w:val="72BF45A9"/>
    <w:rsid w:val="72D38F3B"/>
    <w:rsid w:val="72D54C9E"/>
    <w:rsid w:val="72DC4285"/>
    <w:rsid w:val="72DF6393"/>
    <w:rsid w:val="72E72F83"/>
    <w:rsid w:val="72F54087"/>
    <w:rsid w:val="72F7E013"/>
    <w:rsid w:val="72FC364D"/>
    <w:rsid w:val="72FFDD5E"/>
    <w:rsid w:val="733BCF91"/>
    <w:rsid w:val="733F3EED"/>
    <w:rsid w:val="734F6224"/>
    <w:rsid w:val="7352075C"/>
    <w:rsid w:val="73651B7B"/>
    <w:rsid w:val="73724E48"/>
    <w:rsid w:val="7373CDC5"/>
    <w:rsid w:val="7373F7BC"/>
    <w:rsid w:val="737BAB6C"/>
    <w:rsid w:val="737F8535"/>
    <w:rsid w:val="737FF8D1"/>
    <w:rsid w:val="738F313C"/>
    <w:rsid w:val="73AF08E9"/>
    <w:rsid w:val="73BB2804"/>
    <w:rsid w:val="73BC8031"/>
    <w:rsid w:val="73C51E21"/>
    <w:rsid w:val="73CED1ED"/>
    <w:rsid w:val="73CF466A"/>
    <w:rsid w:val="73CFE7F8"/>
    <w:rsid w:val="73D51BF6"/>
    <w:rsid w:val="73D5B8AB"/>
    <w:rsid w:val="73DA9381"/>
    <w:rsid w:val="73DF6F86"/>
    <w:rsid w:val="73EB60F8"/>
    <w:rsid w:val="73EE67A8"/>
    <w:rsid w:val="73EE853C"/>
    <w:rsid w:val="73EEE231"/>
    <w:rsid w:val="73F37FA4"/>
    <w:rsid w:val="73F56A49"/>
    <w:rsid w:val="73F74EC4"/>
    <w:rsid w:val="73F78515"/>
    <w:rsid w:val="73F79E94"/>
    <w:rsid w:val="73FC79EF"/>
    <w:rsid w:val="73FDFDD4"/>
    <w:rsid w:val="73FE189B"/>
    <w:rsid w:val="73FE3FB3"/>
    <w:rsid w:val="73FF7B71"/>
    <w:rsid w:val="73FFCCB4"/>
    <w:rsid w:val="73FFE75C"/>
    <w:rsid w:val="73FFFE58"/>
    <w:rsid w:val="741D81D3"/>
    <w:rsid w:val="747DFCD9"/>
    <w:rsid w:val="748F0A61"/>
    <w:rsid w:val="749F4AF2"/>
    <w:rsid w:val="74CB7219"/>
    <w:rsid w:val="74D31A39"/>
    <w:rsid w:val="74D581D6"/>
    <w:rsid w:val="74D830FE"/>
    <w:rsid w:val="74DF0011"/>
    <w:rsid w:val="74ECFEB4"/>
    <w:rsid w:val="74F75F11"/>
    <w:rsid w:val="74FB869C"/>
    <w:rsid w:val="74FF0556"/>
    <w:rsid w:val="74FF1851"/>
    <w:rsid w:val="74FF68C5"/>
    <w:rsid w:val="75358FEE"/>
    <w:rsid w:val="753E71FB"/>
    <w:rsid w:val="755ED3B1"/>
    <w:rsid w:val="757F30DD"/>
    <w:rsid w:val="759B3E8F"/>
    <w:rsid w:val="759B888A"/>
    <w:rsid w:val="75A5AAD8"/>
    <w:rsid w:val="75BBAE0A"/>
    <w:rsid w:val="75BF2D97"/>
    <w:rsid w:val="75C71268"/>
    <w:rsid w:val="75D7522D"/>
    <w:rsid w:val="75E77300"/>
    <w:rsid w:val="75F727A2"/>
    <w:rsid w:val="75F7FEA2"/>
    <w:rsid w:val="75FC8ED0"/>
    <w:rsid w:val="75FD5EA4"/>
    <w:rsid w:val="75FDE880"/>
    <w:rsid w:val="75FF9254"/>
    <w:rsid w:val="76030102"/>
    <w:rsid w:val="763B9589"/>
    <w:rsid w:val="765B3F7A"/>
    <w:rsid w:val="765FC134"/>
    <w:rsid w:val="766E01F0"/>
    <w:rsid w:val="766E3F88"/>
    <w:rsid w:val="7675A61F"/>
    <w:rsid w:val="7677E097"/>
    <w:rsid w:val="76795F7A"/>
    <w:rsid w:val="767FBE05"/>
    <w:rsid w:val="769BF8C9"/>
    <w:rsid w:val="769D8ED5"/>
    <w:rsid w:val="76A7C553"/>
    <w:rsid w:val="76B30E81"/>
    <w:rsid w:val="76B726B9"/>
    <w:rsid w:val="76BDBB18"/>
    <w:rsid w:val="76BF2DDE"/>
    <w:rsid w:val="76D792CB"/>
    <w:rsid w:val="76D8E502"/>
    <w:rsid w:val="76D9BBA5"/>
    <w:rsid w:val="76DF998E"/>
    <w:rsid w:val="76DFA964"/>
    <w:rsid w:val="76E35203"/>
    <w:rsid w:val="76EF3887"/>
    <w:rsid w:val="76EF6CB9"/>
    <w:rsid w:val="76EFB63F"/>
    <w:rsid w:val="76F6A1FE"/>
    <w:rsid w:val="76F71592"/>
    <w:rsid w:val="76F7D19A"/>
    <w:rsid w:val="76F8C4B3"/>
    <w:rsid w:val="76FB0C48"/>
    <w:rsid w:val="76FBD4B4"/>
    <w:rsid w:val="76FDD3D0"/>
    <w:rsid w:val="76FFA599"/>
    <w:rsid w:val="76FFB631"/>
    <w:rsid w:val="76FFC645"/>
    <w:rsid w:val="771F3486"/>
    <w:rsid w:val="7726844B"/>
    <w:rsid w:val="7733674A"/>
    <w:rsid w:val="7734102E"/>
    <w:rsid w:val="773CBBAF"/>
    <w:rsid w:val="773FB011"/>
    <w:rsid w:val="7759DDFA"/>
    <w:rsid w:val="775BC8B3"/>
    <w:rsid w:val="7767ACF2"/>
    <w:rsid w:val="776EBBEE"/>
    <w:rsid w:val="77754D2E"/>
    <w:rsid w:val="777D1094"/>
    <w:rsid w:val="777E4B6E"/>
    <w:rsid w:val="777F4B86"/>
    <w:rsid w:val="777F78B7"/>
    <w:rsid w:val="777F7CDB"/>
    <w:rsid w:val="777FBE33"/>
    <w:rsid w:val="777FE640"/>
    <w:rsid w:val="77859AB3"/>
    <w:rsid w:val="778FAC9B"/>
    <w:rsid w:val="779769C5"/>
    <w:rsid w:val="77996815"/>
    <w:rsid w:val="779D08F1"/>
    <w:rsid w:val="779D91B8"/>
    <w:rsid w:val="779FDC4D"/>
    <w:rsid w:val="77A6A064"/>
    <w:rsid w:val="77AB7DD5"/>
    <w:rsid w:val="77AC2A64"/>
    <w:rsid w:val="77ADCA47"/>
    <w:rsid w:val="77AF644A"/>
    <w:rsid w:val="77AF9583"/>
    <w:rsid w:val="77B3BFE0"/>
    <w:rsid w:val="77B9C924"/>
    <w:rsid w:val="77B9DC73"/>
    <w:rsid w:val="77BBBCF1"/>
    <w:rsid w:val="77BD39F9"/>
    <w:rsid w:val="77BD739D"/>
    <w:rsid w:val="77BEE3B8"/>
    <w:rsid w:val="77BF703E"/>
    <w:rsid w:val="77BFE920"/>
    <w:rsid w:val="77BFF9ED"/>
    <w:rsid w:val="77C52ACE"/>
    <w:rsid w:val="77C6A971"/>
    <w:rsid w:val="77CD4E43"/>
    <w:rsid w:val="77CF8E87"/>
    <w:rsid w:val="77CFC8F4"/>
    <w:rsid w:val="77D5FD5D"/>
    <w:rsid w:val="77D74E10"/>
    <w:rsid w:val="77D76AB0"/>
    <w:rsid w:val="77D9F024"/>
    <w:rsid w:val="77DA0DCD"/>
    <w:rsid w:val="77DB5A1A"/>
    <w:rsid w:val="77DB78AC"/>
    <w:rsid w:val="77DD355C"/>
    <w:rsid w:val="77DD6DDF"/>
    <w:rsid w:val="77DF0C4A"/>
    <w:rsid w:val="77DF12AD"/>
    <w:rsid w:val="77DFE9C4"/>
    <w:rsid w:val="77E3A409"/>
    <w:rsid w:val="77E65CEA"/>
    <w:rsid w:val="77EA9FD1"/>
    <w:rsid w:val="77EBFB44"/>
    <w:rsid w:val="77EDB3CF"/>
    <w:rsid w:val="77EE9AE0"/>
    <w:rsid w:val="77EEE8F6"/>
    <w:rsid w:val="77EF7057"/>
    <w:rsid w:val="77F35E33"/>
    <w:rsid w:val="77F393F6"/>
    <w:rsid w:val="77F3B150"/>
    <w:rsid w:val="77F436DA"/>
    <w:rsid w:val="77F46F32"/>
    <w:rsid w:val="77F4D4C2"/>
    <w:rsid w:val="77F522BB"/>
    <w:rsid w:val="77F66272"/>
    <w:rsid w:val="77F6C13F"/>
    <w:rsid w:val="77F72163"/>
    <w:rsid w:val="77F73F09"/>
    <w:rsid w:val="77F796B1"/>
    <w:rsid w:val="77F7E22B"/>
    <w:rsid w:val="77F900F9"/>
    <w:rsid w:val="77F91540"/>
    <w:rsid w:val="77F9AEFD"/>
    <w:rsid w:val="77FB237A"/>
    <w:rsid w:val="77FB99A5"/>
    <w:rsid w:val="77FCA388"/>
    <w:rsid w:val="77FCD44D"/>
    <w:rsid w:val="77FD10AB"/>
    <w:rsid w:val="77FD66F4"/>
    <w:rsid w:val="77FDD808"/>
    <w:rsid w:val="77FDDA03"/>
    <w:rsid w:val="77FDE0CA"/>
    <w:rsid w:val="77FF339B"/>
    <w:rsid w:val="77FF4B7E"/>
    <w:rsid w:val="77FF5AAD"/>
    <w:rsid w:val="77FF7C09"/>
    <w:rsid w:val="77FF95B4"/>
    <w:rsid w:val="77FF9CA6"/>
    <w:rsid w:val="77FFA5F4"/>
    <w:rsid w:val="77FFB484"/>
    <w:rsid w:val="77FFCD12"/>
    <w:rsid w:val="77FFF5F7"/>
    <w:rsid w:val="77FFF8D4"/>
    <w:rsid w:val="7814FA47"/>
    <w:rsid w:val="783F8DCB"/>
    <w:rsid w:val="7865E14B"/>
    <w:rsid w:val="789F7DD5"/>
    <w:rsid w:val="78BA3710"/>
    <w:rsid w:val="78BFA88E"/>
    <w:rsid w:val="78D7DD2B"/>
    <w:rsid w:val="78DE83EC"/>
    <w:rsid w:val="78DF0E8D"/>
    <w:rsid w:val="78DF64B8"/>
    <w:rsid w:val="78E56EC5"/>
    <w:rsid w:val="78FB8B07"/>
    <w:rsid w:val="78FF7728"/>
    <w:rsid w:val="78FF8C3E"/>
    <w:rsid w:val="7933CE4A"/>
    <w:rsid w:val="793F1FF6"/>
    <w:rsid w:val="795CC199"/>
    <w:rsid w:val="795FEFAF"/>
    <w:rsid w:val="79699261"/>
    <w:rsid w:val="797B3007"/>
    <w:rsid w:val="797F2920"/>
    <w:rsid w:val="797F3F70"/>
    <w:rsid w:val="797F563B"/>
    <w:rsid w:val="797FF1F4"/>
    <w:rsid w:val="799F861F"/>
    <w:rsid w:val="799FD8DF"/>
    <w:rsid w:val="799FF25F"/>
    <w:rsid w:val="79A7D40C"/>
    <w:rsid w:val="79A92732"/>
    <w:rsid w:val="79AAC41C"/>
    <w:rsid w:val="79BF7F76"/>
    <w:rsid w:val="79D50BB2"/>
    <w:rsid w:val="79D74987"/>
    <w:rsid w:val="79DB711D"/>
    <w:rsid w:val="79DC0C0E"/>
    <w:rsid w:val="79DDE03A"/>
    <w:rsid w:val="79DEDF6D"/>
    <w:rsid w:val="79DEECF7"/>
    <w:rsid w:val="79DEF2C8"/>
    <w:rsid w:val="79DF8FD7"/>
    <w:rsid w:val="79E60AC0"/>
    <w:rsid w:val="79E78C9B"/>
    <w:rsid w:val="79EDB2CA"/>
    <w:rsid w:val="79EF30CB"/>
    <w:rsid w:val="79EFB10E"/>
    <w:rsid w:val="79F15BB3"/>
    <w:rsid w:val="79F37CA9"/>
    <w:rsid w:val="79F7F0C9"/>
    <w:rsid w:val="79F95724"/>
    <w:rsid w:val="79FA8956"/>
    <w:rsid w:val="79FA9793"/>
    <w:rsid w:val="79FB2E28"/>
    <w:rsid w:val="79FDFD05"/>
    <w:rsid w:val="79FF26A6"/>
    <w:rsid w:val="79FF4EF2"/>
    <w:rsid w:val="79FF5709"/>
    <w:rsid w:val="79FF972D"/>
    <w:rsid w:val="79FFBDF5"/>
    <w:rsid w:val="7A03C3AF"/>
    <w:rsid w:val="7A163CE4"/>
    <w:rsid w:val="7A1E5610"/>
    <w:rsid w:val="7A34B9B2"/>
    <w:rsid w:val="7A3F0788"/>
    <w:rsid w:val="7A3F39FD"/>
    <w:rsid w:val="7A3F9D13"/>
    <w:rsid w:val="7A5FC559"/>
    <w:rsid w:val="7A7F19AC"/>
    <w:rsid w:val="7A8FFDF1"/>
    <w:rsid w:val="7A9BD49C"/>
    <w:rsid w:val="7A9FB99E"/>
    <w:rsid w:val="7AA74320"/>
    <w:rsid w:val="7AAF2392"/>
    <w:rsid w:val="7AB48701"/>
    <w:rsid w:val="7AB7376E"/>
    <w:rsid w:val="7ABA268E"/>
    <w:rsid w:val="7ABBAC8C"/>
    <w:rsid w:val="7ABF8B30"/>
    <w:rsid w:val="7ABFA9C3"/>
    <w:rsid w:val="7AD97EAB"/>
    <w:rsid w:val="7ADFC9DE"/>
    <w:rsid w:val="7ADFD025"/>
    <w:rsid w:val="7AEC1D47"/>
    <w:rsid w:val="7AEEEE85"/>
    <w:rsid w:val="7AF37712"/>
    <w:rsid w:val="7AF54B5A"/>
    <w:rsid w:val="7AF70E87"/>
    <w:rsid w:val="7AFD15FB"/>
    <w:rsid w:val="7AFF182A"/>
    <w:rsid w:val="7AFF211A"/>
    <w:rsid w:val="7AFF26B6"/>
    <w:rsid w:val="7AFF4E76"/>
    <w:rsid w:val="7AFF5A91"/>
    <w:rsid w:val="7AFF6BB6"/>
    <w:rsid w:val="7AFF90B9"/>
    <w:rsid w:val="7AFFD477"/>
    <w:rsid w:val="7AFFEC6F"/>
    <w:rsid w:val="7B165DE0"/>
    <w:rsid w:val="7B1DDA5C"/>
    <w:rsid w:val="7B2DB291"/>
    <w:rsid w:val="7B37B982"/>
    <w:rsid w:val="7B3F52A7"/>
    <w:rsid w:val="7B3FAEF5"/>
    <w:rsid w:val="7B53E95E"/>
    <w:rsid w:val="7B592356"/>
    <w:rsid w:val="7B5AB696"/>
    <w:rsid w:val="7B5FAFC0"/>
    <w:rsid w:val="7B5FBCBC"/>
    <w:rsid w:val="7B6774C4"/>
    <w:rsid w:val="7B6E5E3A"/>
    <w:rsid w:val="7B6ED0D3"/>
    <w:rsid w:val="7B6F3C99"/>
    <w:rsid w:val="7B6F8FBA"/>
    <w:rsid w:val="7B72BA4D"/>
    <w:rsid w:val="7B74926D"/>
    <w:rsid w:val="7B767450"/>
    <w:rsid w:val="7B7791A1"/>
    <w:rsid w:val="7B7B2145"/>
    <w:rsid w:val="7B7BEEEA"/>
    <w:rsid w:val="7B7C048F"/>
    <w:rsid w:val="7B7D7F4B"/>
    <w:rsid w:val="7B7DC1B5"/>
    <w:rsid w:val="7B7E3551"/>
    <w:rsid w:val="7B7EBFB9"/>
    <w:rsid w:val="7B7ECFB4"/>
    <w:rsid w:val="7B7F0EC4"/>
    <w:rsid w:val="7B7F52BA"/>
    <w:rsid w:val="7B7F728C"/>
    <w:rsid w:val="7B7F9934"/>
    <w:rsid w:val="7B7FB9D9"/>
    <w:rsid w:val="7B854934"/>
    <w:rsid w:val="7B8FBB67"/>
    <w:rsid w:val="7B969C25"/>
    <w:rsid w:val="7B9D4D04"/>
    <w:rsid w:val="7B9D5A48"/>
    <w:rsid w:val="7B9F98DE"/>
    <w:rsid w:val="7BA996C7"/>
    <w:rsid w:val="7BAD5CD3"/>
    <w:rsid w:val="7BAE7491"/>
    <w:rsid w:val="7BAF0D2A"/>
    <w:rsid w:val="7BAF6589"/>
    <w:rsid w:val="7BB7FB58"/>
    <w:rsid w:val="7BB9BC82"/>
    <w:rsid w:val="7BBAA01B"/>
    <w:rsid w:val="7BBB7901"/>
    <w:rsid w:val="7BBBA7AC"/>
    <w:rsid w:val="7BBC06E0"/>
    <w:rsid w:val="7BBE15B9"/>
    <w:rsid w:val="7BBF0FAA"/>
    <w:rsid w:val="7BBF9E42"/>
    <w:rsid w:val="7BBFDA4D"/>
    <w:rsid w:val="7BBFF164"/>
    <w:rsid w:val="7BC4C341"/>
    <w:rsid w:val="7BC577BD"/>
    <w:rsid w:val="7BC61A5A"/>
    <w:rsid w:val="7BC9B514"/>
    <w:rsid w:val="7BCBAC27"/>
    <w:rsid w:val="7BCF239E"/>
    <w:rsid w:val="7BD13D09"/>
    <w:rsid w:val="7BD1469D"/>
    <w:rsid w:val="7BD217B5"/>
    <w:rsid w:val="7BD471A2"/>
    <w:rsid w:val="7BD9358F"/>
    <w:rsid w:val="7BDA8743"/>
    <w:rsid w:val="7BDBAD5B"/>
    <w:rsid w:val="7BDD1C78"/>
    <w:rsid w:val="7BDEDEB9"/>
    <w:rsid w:val="7BDEF95B"/>
    <w:rsid w:val="7BDF5072"/>
    <w:rsid w:val="7BDF57A1"/>
    <w:rsid w:val="7BE3FC92"/>
    <w:rsid w:val="7BE5BB8A"/>
    <w:rsid w:val="7BE672DE"/>
    <w:rsid w:val="7BE7F0BA"/>
    <w:rsid w:val="7BE9B964"/>
    <w:rsid w:val="7BEB1B8D"/>
    <w:rsid w:val="7BEE5F2C"/>
    <w:rsid w:val="7BEEC6C3"/>
    <w:rsid w:val="7BEF2FFE"/>
    <w:rsid w:val="7BEFCB87"/>
    <w:rsid w:val="7BF146DC"/>
    <w:rsid w:val="7BF3DA52"/>
    <w:rsid w:val="7BF3F202"/>
    <w:rsid w:val="7BF66403"/>
    <w:rsid w:val="7BF7312C"/>
    <w:rsid w:val="7BF7A0B9"/>
    <w:rsid w:val="7BF7F6B2"/>
    <w:rsid w:val="7BF9C515"/>
    <w:rsid w:val="7BFA3766"/>
    <w:rsid w:val="7BFA774B"/>
    <w:rsid w:val="7BFB3444"/>
    <w:rsid w:val="7BFCB1F5"/>
    <w:rsid w:val="7BFD0356"/>
    <w:rsid w:val="7BFD6DD7"/>
    <w:rsid w:val="7BFDB5C2"/>
    <w:rsid w:val="7BFDC6FD"/>
    <w:rsid w:val="7BFE4758"/>
    <w:rsid w:val="7BFE6099"/>
    <w:rsid w:val="7BFE80E1"/>
    <w:rsid w:val="7BFEA120"/>
    <w:rsid w:val="7BFEC9AC"/>
    <w:rsid w:val="7BFED100"/>
    <w:rsid w:val="7BFEDE31"/>
    <w:rsid w:val="7BFEEE9F"/>
    <w:rsid w:val="7BFF1854"/>
    <w:rsid w:val="7BFF4ED1"/>
    <w:rsid w:val="7BFF58D2"/>
    <w:rsid w:val="7BFF5919"/>
    <w:rsid w:val="7BFF6311"/>
    <w:rsid w:val="7BFF8639"/>
    <w:rsid w:val="7BFF9CA9"/>
    <w:rsid w:val="7BFF9FB8"/>
    <w:rsid w:val="7BFFC522"/>
    <w:rsid w:val="7BFFEA68"/>
    <w:rsid w:val="7BFFEF77"/>
    <w:rsid w:val="7BFFF88E"/>
    <w:rsid w:val="7BFFFBFB"/>
    <w:rsid w:val="7BFFFC32"/>
    <w:rsid w:val="7C3D4497"/>
    <w:rsid w:val="7C4C2C72"/>
    <w:rsid w:val="7C540886"/>
    <w:rsid w:val="7C594340"/>
    <w:rsid w:val="7C5A5611"/>
    <w:rsid w:val="7C5D2A9C"/>
    <w:rsid w:val="7C5D5CB4"/>
    <w:rsid w:val="7C634882"/>
    <w:rsid w:val="7C68566C"/>
    <w:rsid w:val="7C6B9AE6"/>
    <w:rsid w:val="7C6F1E44"/>
    <w:rsid w:val="7C7E2C6B"/>
    <w:rsid w:val="7C7F8D15"/>
    <w:rsid w:val="7C8F59E7"/>
    <w:rsid w:val="7C94E6C0"/>
    <w:rsid w:val="7CB41EA6"/>
    <w:rsid w:val="7CB8871C"/>
    <w:rsid w:val="7CBAC5E1"/>
    <w:rsid w:val="7CBBCC26"/>
    <w:rsid w:val="7CBDD030"/>
    <w:rsid w:val="7CBE4F0A"/>
    <w:rsid w:val="7CDB8DBC"/>
    <w:rsid w:val="7CDDD950"/>
    <w:rsid w:val="7CDF01D4"/>
    <w:rsid w:val="7CDFB197"/>
    <w:rsid w:val="7CDFD83B"/>
    <w:rsid w:val="7CE53BA7"/>
    <w:rsid w:val="7CE7024D"/>
    <w:rsid w:val="7CE918F8"/>
    <w:rsid w:val="7CEB8D01"/>
    <w:rsid w:val="7CEEC90C"/>
    <w:rsid w:val="7CEF0610"/>
    <w:rsid w:val="7CEF2A02"/>
    <w:rsid w:val="7CEFF45D"/>
    <w:rsid w:val="7CF70E23"/>
    <w:rsid w:val="7CF77BE5"/>
    <w:rsid w:val="7CFB4D1B"/>
    <w:rsid w:val="7CFE1348"/>
    <w:rsid w:val="7CFE6722"/>
    <w:rsid w:val="7CFF2CEF"/>
    <w:rsid w:val="7CFF5353"/>
    <w:rsid w:val="7CFFA97D"/>
    <w:rsid w:val="7CFFB6A9"/>
    <w:rsid w:val="7CFFC67C"/>
    <w:rsid w:val="7D1ABCD5"/>
    <w:rsid w:val="7D24AE2D"/>
    <w:rsid w:val="7D2637E8"/>
    <w:rsid w:val="7D2C223F"/>
    <w:rsid w:val="7D2FE213"/>
    <w:rsid w:val="7D323DDF"/>
    <w:rsid w:val="7D375400"/>
    <w:rsid w:val="7D3E403D"/>
    <w:rsid w:val="7D3ED006"/>
    <w:rsid w:val="7D3FFBAA"/>
    <w:rsid w:val="7D4F517E"/>
    <w:rsid w:val="7D4FA895"/>
    <w:rsid w:val="7D582C05"/>
    <w:rsid w:val="7D5DB668"/>
    <w:rsid w:val="7D5FB411"/>
    <w:rsid w:val="7D6F0C9A"/>
    <w:rsid w:val="7D6F5666"/>
    <w:rsid w:val="7D6F8727"/>
    <w:rsid w:val="7D7393B1"/>
    <w:rsid w:val="7D73E52B"/>
    <w:rsid w:val="7D7B28DF"/>
    <w:rsid w:val="7D7DB0A9"/>
    <w:rsid w:val="7D7E8835"/>
    <w:rsid w:val="7D7EE0FD"/>
    <w:rsid w:val="7D7F188B"/>
    <w:rsid w:val="7D7F3E2E"/>
    <w:rsid w:val="7D7FBE21"/>
    <w:rsid w:val="7D7FDB37"/>
    <w:rsid w:val="7D99512B"/>
    <w:rsid w:val="7D9D6F36"/>
    <w:rsid w:val="7D9FD171"/>
    <w:rsid w:val="7DA27AD2"/>
    <w:rsid w:val="7DA589F1"/>
    <w:rsid w:val="7DA7E29C"/>
    <w:rsid w:val="7DAD0D0B"/>
    <w:rsid w:val="7DAD5088"/>
    <w:rsid w:val="7DAF1F5A"/>
    <w:rsid w:val="7DB10976"/>
    <w:rsid w:val="7DB3D932"/>
    <w:rsid w:val="7DB7A60C"/>
    <w:rsid w:val="7DBAB473"/>
    <w:rsid w:val="7DBF68B1"/>
    <w:rsid w:val="7DBF7361"/>
    <w:rsid w:val="7DBF760F"/>
    <w:rsid w:val="7DBF8BD8"/>
    <w:rsid w:val="7DBF8BFB"/>
    <w:rsid w:val="7DBFD61C"/>
    <w:rsid w:val="7DC5E0F6"/>
    <w:rsid w:val="7DC90154"/>
    <w:rsid w:val="7DCB2E7D"/>
    <w:rsid w:val="7DCB43A2"/>
    <w:rsid w:val="7DCBD4B7"/>
    <w:rsid w:val="7DCDBE05"/>
    <w:rsid w:val="7DCF901D"/>
    <w:rsid w:val="7DD71142"/>
    <w:rsid w:val="7DD97324"/>
    <w:rsid w:val="7DD98A75"/>
    <w:rsid w:val="7DDADC96"/>
    <w:rsid w:val="7DDB27AD"/>
    <w:rsid w:val="7DDBE827"/>
    <w:rsid w:val="7DDF37D7"/>
    <w:rsid w:val="7DDF47CE"/>
    <w:rsid w:val="7DDF6790"/>
    <w:rsid w:val="7DDFC3BA"/>
    <w:rsid w:val="7DDFF81D"/>
    <w:rsid w:val="7DE19792"/>
    <w:rsid w:val="7DE23420"/>
    <w:rsid w:val="7DE78774"/>
    <w:rsid w:val="7DED8264"/>
    <w:rsid w:val="7DEF03A0"/>
    <w:rsid w:val="7DEF2639"/>
    <w:rsid w:val="7DEF8B29"/>
    <w:rsid w:val="7DEF8CAE"/>
    <w:rsid w:val="7DEFB7B6"/>
    <w:rsid w:val="7DEFD469"/>
    <w:rsid w:val="7DF11BA7"/>
    <w:rsid w:val="7DF2C283"/>
    <w:rsid w:val="7DF43E98"/>
    <w:rsid w:val="7DF570C8"/>
    <w:rsid w:val="7DF73913"/>
    <w:rsid w:val="7DF7DBC5"/>
    <w:rsid w:val="7DF7E513"/>
    <w:rsid w:val="7DF936BB"/>
    <w:rsid w:val="7DFA07BC"/>
    <w:rsid w:val="7DFA28B7"/>
    <w:rsid w:val="7DFA6766"/>
    <w:rsid w:val="7DFA6D83"/>
    <w:rsid w:val="7DFBA6B4"/>
    <w:rsid w:val="7DFC7909"/>
    <w:rsid w:val="7DFCFC8E"/>
    <w:rsid w:val="7DFD5503"/>
    <w:rsid w:val="7DFE04D9"/>
    <w:rsid w:val="7DFE151C"/>
    <w:rsid w:val="7DFE6906"/>
    <w:rsid w:val="7DFF151D"/>
    <w:rsid w:val="7DFF21C6"/>
    <w:rsid w:val="7DFF4664"/>
    <w:rsid w:val="7DFF4D59"/>
    <w:rsid w:val="7DFF5952"/>
    <w:rsid w:val="7DFF6903"/>
    <w:rsid w:val="7DFF8755"/>
    <w:rsid w:val="7DFF87D8"/>
    <w:rsid w:val="7DFF8BBC"/>
    <w:rsid w:val="7DFF8ED4"/>
    <w:rsid w:val="7DFFB581"/>
    <w:rsid w:val="7DFFD756"/>
    <w:rsid w:val="7DFFF567"/>
    <w:rsid w:val="7DFFFC88"/>
    <w:rsid w:val="7E1D0B16"/>
    <w:rsid w:val="7E1F99DC"/>
    <w:rsid w:val="7E2BAFCF"/>
    <w:rsid w:val="7E2BCF7E"/>
    <w:rsid w:val="7E2EEB6C"/>
    <w:rsid w:val="7E328831"/>
    <w:rsid w:val="7E360559"/>
    <w:rsid w:val="7E379976"/>
    <w:rsid w:val="7E3DD8CF"/>
    <w:rsid w:val="7E3F72E2"/>
    <w:rsid w:val="7E3FB6FF"/>
    <w:rsid w:val="7E4BB905"/>
    <w:rsid w:val="7E560A42"/>
    <w:rsid w:val="7E572BA4"/>
    <w:rsid w:val="7E5C1235"/>
    <w:rsid w:val="7E5F7894"/>
    <w:rsid w:val="7E5FBEA1"/>
    <w:rsid w:val="7E6F81A0"/>
    <w:rsid w:val="7E7513BB"/>
    <w:rsid w:val="7E773273"/>
    <w:rsid w:val="7E77634D"/>
    <w:rsid w:val="7E77D23B"/>
    <w:rsid w:val="7E7B7701"/>
    <w:rsid w:val="7E7ED171"/>
    <w:rsid w:val="7E7F5AF0"/>
    <w:rsid w:val="7E7F60D4"/>
    <w:rsid w:val="7E7F626B"/>
    <w:rsid w:val="7E7F7CE0"/>
    <w:rsid w:val="7E7FD5C8"/>
    <w:rsid w:val="7E7FEC2F"/>
    <w:rsid w:val="7E87ED97"/>
    <w:rsid w:val="7E8F1DE3"/>
    <w:rsid w:val="7E91C511"/>
    <w:rsid w:val="7E97A262"/>
    <w:rsid w:val="7E9B8209"/>
    <w:rsid w:val="7E9DFACF"/>
    <w:rsid w:val="7E9F4D2B"/>
    <w:rsid w:val="7EA759B4"/>
    <w:rsid w:val="7EA79E17"/>
    <w:rsid w:val="7EA993A1"/>
    <w:rsid w:val="7EAE7C79"/>
    <w:rsid w:val="7EAF2A8E"/>
    <w:rsid w:val="7EAF3E84"/>
    <w:rsid w:val="7EAF6B47"/>
    <w:rsid w:val="7EB6049F"/>
    <w:rsid w:val="7EB75314"/>
    <w:rsid w:val="7EBBC933"/>
    <w:rsid w:val="7EBD2329"/>
    <w:rsid w:val="7EBF3730"/>
    <w:rsid w:val="7EBFE854"/>
    <w:rsid w:val="7EC7C097"/>
    <w:rsid w:val="7ECB73D7"/>
    <w:rsid w:val="7ECF834D"/>
    <w:rsid w:val="7ECF8798"/>
    <w:rsid w:val="7ED567A4"/>
    <w:rsid w:val="7ED82FB9"/>
    <w:rsid w:val="7ED89311"/>
    <w:rsid w:val="7EDB022A"/>
    <w:rsid w:val="7EDB26FE"/>
    <w:rsid w:val="7EDBAEBE"/>
    <w:rsid w:val="7EDC68FE"/>
    <w:rsid w:val="7EDDF247"/>
    <w:rsid w:val="7EDEDE54"/>
    <w:rsid w:val="7EDF166D"/>
    <w:rsid w:val="7EDF185F"/>
    <w:rsid w:val="7EDF7F35"/>
    <w:rsid w:val="7EDFAB97"/>
    <w:rsid w:val="7EDFCE65"/>
    <w:rsid w:val="7EE38C2D"/>
    <w:rsid w:val="7EE52E4E"/>
    <w:rsid w:val="7EE6B327"/>
    <w:rsid w:val="7EE7A62B"/>
    <w:rsid w:val="7EEE45B8"/>
    <w:rsid w:val="7EEF06F7"/>
    <w:rsid w:val="7EEF1DE3"/>
    <w:rsid w:val="7EEF2513"/>
    <w:rsid w:val="7EEFB624"/>
    <w:rsid w:val="7EF2E69B"/>
    <w:rsid w:val="7EF70AEC"/>
    <w:rsid w:val="7EF76A88"/>
    <w:rsid w:val="7EF821A1"/>
    <w:rsid w:val="7EF83152"/>
    <w:rsid w:val="7EF96FB2"/>
    <w:rsid w:val="7EF9F8F4"/>
    <w:rsid w:val="7EFA0AE5"/>
    <w:rsid w:val="7EFAA040"/>
    <w:rsid w:val="7EFB3404"/>
    <w:rsid w:val="7EFB55EA"/>
    <w:rsid w:val="7EFB909A"/>
    <w:rsid w:val="7EFCA046"/>
    <w:rsid w:val="7EFCA75F"/>
    <w:rsid w:val="7EFD4399"/>
    <w:rsid w:val="7EFD53DB"/>
    <w:rsid w:val="7EFD65F4"/>
    <w:rsid w:val="7EFE3878"/>
    <w:rsid w:val="7EFE3936"/>
    <w:rsid w:val="7EFE9F39"/>
    <w:rsid w:val="7EFEB10E"/>
    <w:rsid w:val="7EFF0DC6"/>
    <w:rsid w:val="7EFF15D8"/>
    <w:rsid w:val="7EFF1612"/>
    <w:rsid w:val="7EFF23FB"/>
    <w:rsid w:val="7EFF293B"/>
    <w:rsid w:val="7EFF3DEC"/>
    <w:rsid w:val="7EFF41BB"/>
    <w:rsid w:val="7EFF7444"/>
    <w:rsid w:val="7EFF91DD"/>
    <w:rsid w:val="7EFF998A"/>
    <w:rsid w:val="7EFF99F8"/>
    <w:rsid w:val="7EFFBEFE"/>
    <w:rsid w:val="7EFFD85A"/>
    <w:rsid w:val="7EFFD941"/>
    <w:rsid w:val="7EFFE242"/>
    <w:rsid w:val="7EFFF2BC"/>
    <w:rsid w:val="7F16BCAD"/>
    <w:rsid w:val="7F17C688"/>
    <w:rsid w:val="7F1F885C"/>
    <w:rsid w:val="7F1FBF92"/>
    <w:rsid w:val="7F2FB59D"/>
    <w:rsid w:val="7F319E72"/>
    <w:rsid w:val="7F32F33A"/>
    <w:rsid w:val="7F33A083"/>
    <w:rsid w:val="7F3427B5"/>
    <w:rsid w:val="7F34E78A"/>
    <w:rsid w:val="7F37D6B5"/>
    <w:rsid w:val="7F39F32A"/>
    <w:rsid w:val="7F3A44DA"/>
    <w:rsid w:val="7F3AC1B8"/>
    <w:rsid w:val="7F3B309B"/>
    <w:rsid w:val="7F3BCD8F"/>
    <w:rsid w:val="7F3BF801"/>
    <w:rsid w:val="7F3D1E45"/>
    <w:rsid w:val="7F3D2339"/>
    <w:rsid w:val="7F3D2948"/>
    <w:rsid w:val="7F3D887A"/>
    <w:rsid w:val="7F3DADBF"/>
    <w:rsid w:val="7F3E65EB"/>
    <w:rsid w:val="7F3EEE85"/>
    <w:rsid w:val="7F3F0141"/>
    <w:rsid w:val="7F3F1488"/>
    <w:rsid w:val="7F3F3D41"/>
    <w:rsid w:val="7F3F87B1"/>
    <w:rsid w:val="7F3F9CFA"/>
    <w:rsid w:val="7F3FAF59"/>
    <w:rsid w:val="7F3FC576"/>
    <w:rsid w:val="7F459957"/>
    <w:rsid w:val="7F463FDB"/>
    <w:rsid w:val="7F4CA0A7"/>
    <w:rsid w:val="7F4D7405"/>
    <w:rsid w:val="7F4F6264"/>
    <w:rsid w:val="7F558031"/>
    <w:rsid w:val="7F5709C0"/>
    <w:rsid w:val="7F5773B0"/>
    <w:rsid w:val="7F58536A"/>
    <w:rsid w:val="7F598FDB"/>
    <w:rsid w:val="7F5AB0E8"/>
    <w:rsid w:val="7F5B84DB"/>
    <w:rsid w:val="7F5B9930"/>
    <w:rsid w:val="7F5C3312"/>
    <w:rsid w:val="7F5CDA3B"/>
    <w:rsid w:val="7F5D3F27"/>
    <w:rsid w:val="7F5EB3D9"/>
    <w:rsid w:val="7F5F722F"/>
    <w:rsid w:val="7F5FC6B3"/>
    <w:rsid w:val="7F5FE808"/>
    <w:rsid w:val="7F60FC3D"/>
    <w:rsid w:val="7F649BE7"/>
    <w:rsid w:val="7F656218"/>
    <w:rsid w:val="7F6621B9"/>
    <w:rsid w:val="7F6814C3"/>
    <w:rsid w:val="7F6C298B"/>
    <w:rsid w:val="7F6D29FC"/>
    <w:rsid w:val="7F6D42EF"/>
    <w:rsid w:val="7F6D70E3"/>
    <w:rsid w:val="7F6DB7F5"/>
    <w:rsid w:val="7F6DE6EA"/>
    <w:rsid w:val="7F6F1B20"/>
    <w:rsid w:val="7F6F2298"/>
    <w:rsid w:val="7F6F41E2"/>
    <w:rsid w:val="7F72ECEF"/>
    <w:rsid w:val="7F734F2E"/>
    <w:rsid w:val="7F73D392"/>
    <w:rsid w:val="7F73F766"/>
    <w:rsid w:val="7F75C4B5"/>
    <w:rsid w:val="7F7665EC"/>
    <w:rsid w:val="7F769290"/>
    <w:rsid w:val="7F775618"/>
    <w:rsid w:val="7F777081"/>
    <w:rsid w:val="7F779CE0"/>
    <w:rsid w:val="7F77AD18"/>
    <w:rsid w:val="7F77C254"/>
    <w:rsid w:val="7F77F253"/>
    <w:rsid w:val="7F787E8D"/>
    <w:rsid w:val="7F7A5678"/>
    <w:rsid w:val="7F7B054E"/>
    <w:rsid w:val="7F7BCCF7"/>
    <w:rsid w:val="7F7BEF5E"/>
    <w:rsid w:val="7F7CB88D"/>
    <w:rsid w:val="7F7D8256"/>
    <w:rsid w:val="7F7D828E"/>
    <w:rsid w:val="7F7DA033"/>
    <w:rsid w:val="7F7DD92A"/>
    <w:rsid w:val="7F7E1737"/>
    <w:rsid w:val="7F7E5264"/>
    <w:rsid w:val="7F7E9493"/>
    <w:rsid w:val="7F7EA5AA"/>
    <w:rsid w:val="7F7EE0F5"/>
    <w:rsid w:val="7F7EFC2E"/>
    <w:rsid w:val="7F7F1161"/>
    <w:rsid w:val="7F7F1705"/>
    <w:rsid w:val="7F7F600A"/>
    <w:rsid w:val="7F7F6D05"/>
    <w:rsid w:val="7F7F7644"/>
    <w:rsid w:val="7F7F77DC"/>
    <w:rsid w:val="7F7F831B"/>
    <w:rsid w:val="7F7FA570"/>
    <w:rsid w:val="7F7FB89D"/>
    <w:rsid w:val="7F7FC205"/>
    <w:rsid w:val="7F7FC339"/>
    <w:rsid w:val="7F811A37"/>
    <w:rsid w:val="7F8BF2C1"/>
    <w:rsid w:val="7F8E3961"/>
    <w:rsid w:val="7F94667E"/>
    <w:rsid w:val="7F95A4DB"/>
    <w:rsid w:val="7F95D10A"/>
    <w:rsid w:val="7F96B546"/>
    <w:rsid w:val="7F970011"/>
    <w:rsid w:val="7F9705BA"/>
    <w:rsid w:val="7F9714D2"/>
    <w:rsid w:val="7F971788"/>
    <w:rsid w:val="7F99E605"/>
    <w:rsid w:val="7F9A98F6"/>
    <w:rsid w:val="7F9D8021"/>
    <w:rsid w:val="7F9DB0D5"/>
    <w:rsid w:val="7F9E346F"/>
    <w:rsid w:val="7F9E77A9"/>
    <w:rsid w:val="7F9F02E6"/>
    <w:rsid w:val="7F9F455E"/>
    <w:rsid w:val="7F9F45C0"/>
    <w:rsid w:val="7F9F7523"/>
    <w:rsid w:val="7F9FA300"/>
    <w:rsid w:val="7F9FACBB"/>
    <w:rsid w:val="7F9FC45F"/>
    <w:rsid w:val="7FA069BE"/>
    <w:rsid w:val="7FA31A73"/>
    <w:rsid w:val="7FA3616D"/>
    <w:rsid w:val="7FA36D71"/>
    <w:rsid w:val="7FA50D8B"/>
    <w:rsid w:val="7FA78B02"/>
    <w:rsid w:val="7FA7AE59"/>
    <w:rsid w:val="7FAB2A78"/>
    <w:rsid w:val="7FAB81AC"/>
    <w:rsid w:val="7FABEB13"/>
    <w:rsid w:val="7FAD14B4"/>
    <w:rsid w:val="7FADDFED"/>
    <w:rsid w:val="7FAF4C58"/>
    <w:rsid w:val="7FAFABD1"/>
    <w:rsid w:val="7FAFAF07"/>
    <w:rsid w:val="7FB31064"/>
    <w:rsid w:val="7FB32163"/>
    <w:rsid w:val="7FB40CB1"/>
    <w:rsid w:val="7FB57F66"/>
    <w:rsid w:val="7FB59929"/>
    <w:rsid w:val="7FB72205"/>
    <w:rsid w:val="7FB729D0"/>
    <w:rsid w:val="7FB743F7"/>
    <w:rsid w:val="7FB74D6C"/>
    <w:rsid w:val="7FB75844"/>
    <w:rsid w:val="7FB79640"/>
    <w:rsid w:val="7FB9FF79"/>
    <w:rsid w:val="7FBAD12F"/>
    <w:rsid w:val="7FBAD400"/>
    <w:rsid w:val="7FBB1B49"/>
    <w:rsid w:val="7FBB425D"/>
    <w:rsid w:val="7FBB7B84"/>
    <w:rsid w:val="7FBBCDFC"/>
    <w:rsid w:val="7FBBF37C"/>
    <w:rsid w:val="7FBC7C48"/>
    <w:rsid w:val="7FBD76DE"/>
    <w:rsid w:val="7FBD801A"/>
    <w:rsid w:val="7FBD8BC4"/>
    <w:rsid w:val="7FBDAA10"/>
    <w:rsid w:val="7FBE14F5"/>
    <w:rsid w:val="7FBE36ED"/>
    <w:rsid w:val="7FBEC94B"/>
    <w:rsid w:val="7FBF007A"/>
    <w:rsid w:val="7FBF0FB9"/>
    <w:rsid w:val="7FBF1582"/>
    <w:rsid w:val="7FBF1E28"/>
    <w:rsid w:val="7FBF23D3"/>
    <w:rsid w:val="7FBF3ECA"/>
    <w:rsid w:val="7FBF3EE4"/>
    <w:rsid w:val="7FBF46F4"/>
    <w:rsid w:val="7FBF6BF3"/>
    <w:rsid w:val="7FBF7C00"/>
    <w:rsid w:val="7FBF8E9D"/>
    <w:rsid w:val="7FBF98BE"/>
    <w:rsid w:val="7FBFAA95"/>
    <w:rsid w:val="7FBFADA1"/>
    <w:rsid w:val="7FBFB6CD"/>
    <w:rsid w:val="7FBFE649"/>
    <w:rsid w:val="7FBFE908"/>
    <w:rsid w:val="7FBFF572"/>
    <w:rsid w:val="7FBFFA72"/>
    <w:rsid w:val="7FC72F18"/>
    <w:rsid w:val="7FC73DC8"/>
    <w:rsid w:val="7FC7401D"/>
    <w:rsid w:val="7FC7B94F"/>
    <w:rsid w:val="7FCD9A5F"/>
    <w:rsid w:val="7FCE07DA"/>
    <w:rsid w:val="7FCE6A2A"/>
    <w:rsid w:val="7FCF0F43"/>
    <w:rsid w:val="7FD11291"/>
    <w:rsid w:val="7FD3108C"/>
    <w:rsid w:val="7FD38BD1"/>
    <w:rsid w:val="7FD6700F"/>
    <w:rsid w:val="7FD71882"/>
    <w:rsid w:val="7FD71ADC"/>
    <w:rsid w:val="7FD7923B"/>
    <w:rsid w:val="7FD7A4FE"/>
    <w:rsid w:val="7FD7BAB7"/>
    <w:rsid w:val="7FD7E508"/>
    <w:rsid w:val="7FD81B38"/>
    <w:rsid w:val="7FD97B5E"/>
    <w:rsid w:val="7FD9ACDB"/>
    <w:rsid w:val="7FD9CAC7"/>
    <w:rsid w:val="7FDA3C03"/>
    <w:rsid w:val="7FDB9488"/>
    <w:rsid w:val="7FDD0C18"/>
    <w:rsid w:val="7FDD108B"/>
    <w:rsid w:val="7FDD66EC"/>
    <w:rsid w:val="7FDDCF3F"/>
    <w:rsid w:val="7FDDF2A6"/>
    <w:rsid w:val="7FDE35C1"/>
    <w:rsid w:val="7FDE3E5D"/>
    <w:rsid w:val="7FDEA3F1"/>
    <w:rsid w:val="7FDEEEB2"/>
    <w:rsid w:val="7FDF15AD"/>
    <w:rsid w:val="7FDF16F8"/>
    <w:rsid w:val="7FDF2975"/>
    <w:rsid w:val="7FDF3A42"/>
    <w:rsid w:val="7FDF4A08"/>
    <w:rsid w:val="7FDF4FC6"/>
    <w:rsid w:val="7FDF561E"/>
    <w:rsid w:val="7FDF6D66"/>
    <w:rsid w:val="7FDF78A0"/>
    <w:rsid w:val="7FDF7FFB"/>
    <w:rsid w:val="7FDFA26E"/>
    <w:rsid w:val="7FDFB475"/>
    <w:rsid w:val="7FDFCB9F"/>
    <w:rsid w:val="7FDFDCE5"/>
    <w:rsid w:val="7FDFDD10"/>
    <w:rsid w:val="7FDFE3A9"/>
    <w:rsid w:val="7FDFF1E9"/>
    <w:rsid w:val="7FE1511D"/>
    <w:rsid w:val="7FE2ADA1"/>
    <w:rsid w:val="7FE450F5"/>
    <w:rsid w:val="7FE4546A"/>
    <w:rsid w:val="7FE52AAB"/>
    <w:rsid w:val="7FE542B0"/>
    <w:rsid w:val="7FE70DA7"/>
    <w:rsid w:val="7FE71360"/>
    <w:rsid w:val="7FE781D3"/>
    <w:rsid w:val="7FE79847"/>
    <w:rsid w:val="7FE7ABE4"/>
    <w:rsid w:val="7FE901C5"/>
    <w:rsid w:val="7FE9204F"/>
    <w:rsid w:val="7FEB93B1"/>
    <w:rsid w:val="7FEBAB45"/>
    <w:rsid w:val="7FEBEE13"/>
    <w:rsid w:val="7FEBEF0D"/>
    <w:rsid w:val="7FEC1C64"/>
    <w:rsid w:val="7FEC8434"/>
    <w:rsid w:val="7FECAC8D"/>
    <w:rsid w:val="7FED0523"/>
    <w:rsid w:val="7FED1277"/>
    <w:rsid w:val="7FED4483"/>
    <w:rsid w:val="7FED6599"/>
    <w:rsid w:val="7FED700B"/>
    <w:rsid w:val="7FEDAE12"/>
    <w:rsid w:val="7FEDCD9A"/>
    <w:rsid w:val="7FEE249B"/>
    <w:rsid w:val="7FEEC50B"/>
    <w:rsid w:val="7FEEEBD3"/>
    <w:rsid w:val="7FEEEC9D"/>
    <w:rsid w:val="7FEEF877"/>
    <w:rsid w:val="7FEF0294"/>
    <w:rsid w:val="7FEF03B7"/>
    <w:rsid w:val="7FEF1821"/>
    <w:rsid w:val="7FEF1F5A"/>
    <w:rsid w:val="7FEF3E88"/>
    <w:rsid w:val="7FEF5BCF"/>
    <w:rsid w:val="7FEF6CDA"/>
    <w:rsid w:val="7FEF8D01"/>
    <w:rsid w:val="7FEFB3EC"/>
    <w:rsid w:val="7FEFC4DA"/>
    <w:rsid w:val="7FEFF42F"/>
    <w:rsid w:val="7FF102E2"/>
    <w:rsid w:val="7FF16500"/>
    <w:rsid w:val="7FF1F704"/>
    <w:rsid w:val="7FF2F3B7"/>
    <w:rsid w:val="7FF31923"/>
    <w:rsid w:val="7FF3A22D"/>
    <w:rsid w:val="7FF3FD33"/>
    <w:rsid w:val="7FF44CAB"/>
    <w:rsid w:val="7FF45A5F"/>
    <w:rsid w:val="7FF4634D"/>
    <w:rsid w:val="7FF53999"/>
    <w:rsid w:val="7FF5536C"/>
    <w:rsid w:val="7FF65A9E"/>
    <w:rsid w:val="7FF66D53"/>
    <w:rsid w:val="7FF6E50C"/>
    <w:rsid w:val="7FF70448"/>
    <w:rsid w:val="7FF724A9"/>
    <w:rsid w:val="7FF74A70"/>
    <w:rsid w:val="7FF7600F"/>
    <w:rsid w:val="7FF78AF6"/>
    <w:rsid w:val="7FF7B40B"/>
    <w:rsid w:val="7FF7C483"/>
    <w:rsid w:val="7FF7D760"/>
    <w:rsid w:val="7FF7F0ED"/>
    <w:rsid w:val="7FF92490"/>
    <w:rsid w:val="7FF93949"/>
    <w:rsid w:val="7FF94D46"/>
    <w:rsid w:val="7FF98FA2"/>
    <w:rsid w:val="7FFA215D"/>
    <w:rsid w:val="7FFA35F3"/>
    <w:rsid w:val="7FFA7BF0"/>
    <w:rsid w:val="7FFABF32"/>
    <w:rsid w:val="7FFB0AD6"/>
    <w:rsid w:val="7FFBAE97"/>
    <w:rsid w:val="7FFBB268"/>
    <w:rsid w:val="7FFBC31E"/>
    <w:rsid w:val="7FFBC8C2"/>
    <w:rsid w:val="7FFBD2AD"/>
    <w:rsid w:val="7FFBE089"/>
    <w:rsid w:val="7FFBE385"/>
    <w:rsid w:val="7FFBE5A4"/>
    <w:rsid w:val="7FFBF6FD"/>
    <w:rsid w:val="7FFBFBA8"/>
    <w:rsid w:val="7FFC00BC"/>
    <w:rsid w:val="7FFC61AF"/>
    <w:rsid w:val="7FFC62CC"/>
    <w:rsid w:val="7FFC6469"/>
    <w:rsid w:val="7FFD0111"/>
    <w:rsid w:val="7FFD0CB5"/>
    <w:rsid w:val="7FFD77A6"/>
    <w:rsid w:val="7FFD77DD"/>
    <w:rsid w:val="7FFD89C6"/>
    <w:rsid w:val="7FFD96BD"/>
    <w:rsid w:val="7FFD9861"/>
    <w:rsid w:val="7FFDA2BD"/>
    <w:rsid w:val="7FFDAF22"/>
    <w:rsid w:val="7FFDBC6E"/>
    <w:rsid w:val="7FFDD8FB"/>
    <w:rsid w:val="7FFDE06D"/>
    <w:rsid w:val="7FFDE35E"/>
    <w:rsid w:val="7FFE2063"/>
    <w:rsid w:val="7FFE24FD"/>
    <w:rsid w:val="7FFE54D9"/>
    <w:rsid w:val="7FFE5B33"/>
    <w:rsid w:val="7FFE94E5"/>
    <w:rsid w:val="7FFEA35D"/>
    <w:rsid w:val="7FFEA566"/>
    <w:rsid w:val="7FFED5FF"/>
    <w:rsid w:val="7FFEDD1F"/>
    <w:rsid w:val="7FFF02AC"/>
    <w:rsid w:val="7FFF04C6"/>
    <w:rsid w:val="7FFF0CFA"/>
    <w:rsid w:val="7FFF1374"/>
    <w:rsid w:val="7FFF1387"/>
    <w:rsid w:val="7FFF1956"/>
    <w:rsid w:val="7FFF1E1D"/>
    <w:rsid w:val="7FFF1EBA"/>
    <w:rsid w:val="7FFF2FF0"/>
    <w:rsid w:val="7FFF3068"/>
    <w:rsid w:val="7FFF4044"/>
    <w:rsid w:val="7FFF411F"/>
    <w:rsid w:val="7FFF436C"/>
    <w:rsid w:val="7FFF4D8D"/>
    <w:rsid w:val="7FFF4EC7"/>
    <w:rsid w:val="7FFF6F65"/>
    <w:rsid w:val="7FFF76C7"/>
    <w:rsid w:val="7FFF7AE1"/>
    <w:rsid w:val="7FFF7D36"/>
    <w:rsid w:val="7FFF8AAC"/>
    <w:rsid w:val="7FFF9CCD"/>
    <w:rsid w:val="7FFFA63A"/>
    <w:rsid w:val="7FFFABF8"/>
    <w:rsid w:val="7FFFADD8"/>
    <w:rsid w:val="7FFFB40E"/>
    <w:rsid w:val="7FFFB6B1"/>
    <w:rsid w:val="7FFFB7D3"/>
    <w:rsid w:val="7FFFBC06"/>
    <w:rsid w:val="7FFFC44F"/>
    <w:rsid w:val="7FFFCA6A"/>
    <w:rsid w:val="7FFFCA7B"/>
    <w:rsid w:val="7FFFCABC"/>
    <w:rsid w:val="7FFFD6D0"/>
    <w:rsid w:val="7FFFD828"/>
    <w:rsid w:val="7FFFDEB8"/>
    <w:rsid w:val="7FFFE3FF"/>
    <w:rsid w:val="7FFFE516"/>
    <w:rsid w:val="7FFFE611"/>
    <w:rsid w:val="7FFFE8E8"/>
    <w:rsid w:val="7FFFED0F"/>
    <w:rsid w:val="7FFFEEDB"/>
    <w:rsid w:val="7FFFF06B"/>
    <w:rsid w:val="7FFFF4DF"/>
    <w:rsid w:val="7FFFFAF9"/>
    <w:rsid w:val="82F72C07"/>
    <w:rsid w:val="831E9BB1"/>
    <w:rsid w:val="855EB7D3"/>
    <w:rsid w:val="865E2F84"/>
    <w:rsid w:val="86A7DCEA"/>
    <w:rsid w:val="86C73091"/>
    <w:rsid w:val="86FB56B5"/>
    <w:rsid w:val="877B96B6"/>
    <w:rsid w:val="877FAF11"/>
    <w:rsid w:val="87D7699C"/>
    <w:rsid w:val="87F3B7FE"/>
    <w:rsid w:val="87FBCDC6"/>
    <w:rsid w:val="87FF991E"/>
    <w:rsid w:val="8879B592"/>
    <w:rsid w:val="894F0077"/>
    <w:rsid w:val="89AD24C7"/>
    <w:rsid w:val="8A7EB9F9"/>
    <w:rsid w:val="8B7FC82F"/>
    <w:rsid w:val="8BD6CEFA"/>
    <w:rsid w:val="8BFF6C56"/>
    <w:rsid w:val="8D5A107D"/>
    <w:rsid w:val="8D77B90B"/>
    <w:rsid w:val="8D7F7547"/>
    <w:rsid w:val="8D8D3E2B"/>
    <w:rsid w:val="8D975E18"/>
    <w:rsid w:val="8DF755F2"/>
    <w:rsid w:val="8E5F647E"/>
    <w:rsid w:val="8E7F6A5F"/>
    <w:rsid w:val="8EFCC2E6"/>
    <w:rsid w:val="8F5FBCF9"/>
    <w:rsid w:val="8F6734D5"/>
    <w:rsid w:val="8F7D7ECC"/>
    <w:rsid w:val="8FBF3982"/>
    <w:rsid w:val="8FBF6061"/>
    <w:rsid w:val="8FCB5F06"/>
    <w:rsid w:val="8FDFDB41"/>
    <w:rsid w:val="8FEFA2AB"/>
    <w:rsid w:val="8FEFBCD2"/>
    <w:rsid w:val="8FFB8796"/>
    <w:rsid w:val="8FFBD1E3"/>
    <w:rsid w:val="8FFD323E"/>
    <w:rsid w:val="8FFDF352"/>
    <w:rsid w:val="8FFFF60C"/>
    <w:rsid w:val="93591115"/>
    <w:rsid w:val="93EA9EFF"/>
    <w:rsid w:val="93F341B4"/>
    <w:rsid w:val="93FB29ED"/>
    <w:rsid w:val="93FF1B90"/>
    <w:rsid w:val="949FD5AE"/>
    <w:rsid w:val="95FB116F"/>
    <w:rsid w:val="966F334F"/>
    <w:rsid w:val="967EE654"/>
    <w:rsid w:val="96AAE8E7"/>
    <w:rsid w:val="96B6BD01"/>
    <w:rsid w:val="96DE2655"/>
    <w:rsid w:val="96DF59E8"/>
    <w:rsid w:val="974784AD"/>
    <w:rsid w:val="974FD8F4"/>
    <w:rsid w:val="97776E2A"/>
    <w:rsid w:val="977FEAB3"/>
    <w:rsid w:val="97D382C2"/>
    <w:rsid w:val="97DFF2AA"/>
    <w:rsid w:val="97E06B74"/>
    <w:rsid w:val="97EF6AA9"/>
    <w:rsid w:val="97FF9A9C"/>
    <w:rsid w:val="97FFECFC"/>
    <w:rsid w:val="98BFC45C"/>
    <w:rsid w:val="98ED5AF1"/>
    <w:rsid w:val="99370CC2"/>
    <w:rsid w:val="9973F796"/>
    <w:rsid w:val="99BA181B"/>
    <w:rsid w:val="99CB4DEB"/>
    <w:rsid w:val="99F5A542"/>
    <w:rsid w:val="9AF34535"/>
    <w:rsid w:val="9AF7A94F"/>
    <w:rsid w:val="9AFB5CF4"/>
    <w:rsid w:val="9AFB8EF9"/>
    <w:rsid w:val="9AFCEB01"/>
    <w:rsid w:val="9AFDCB3B"/>
    <w:rsid w:val="9AFFB6F9"/>
    <w:rsid w:val="9B0F1F34"/>
    <w:rsid w:val="9B165B43"/>
    <w:rsid w:val="9B77A8E2"/>
    <w:rsid w:val="9BA79198"/>
    <w:rsid w:val="9BA96715"/>
    <w:rsid w:val="9BAA4E1A"/>
    <w:rsid w:val="9BED3BEE"/>
    <w:rsid w:val="9BF8F2BE"/>
    <w:rsid w:val="9BFB45E0"/>
    <w:rsid w:val="9BFC623D"/>
    <w:rsid w:val="9CBD3EA8"/>
    <w:rsid w:val="9CBF695E"/>
    <w:rsid w:val="9CCF17F4"/>
    <w:rsid w:val="9CD76A40"/>
    <w:rsid w:val="9CFA67FB"/>
    <w:rsid w:val="9CFF2A89"/>
    <w:rsid w:val="9D366CAC"/>
    <w:rsid w:val="9D3F4B5C"/>
    <w:rsid w:val="9D4F5C02"/>
    <w:rsid w:val="9D5E7A4E"/>
    <w:rsid w:val="9D5F93D1"/>
    <w:rsid w:val="9D7029F1"/>
    <w:rsid w:val="9D7388D2"/>
    <w:rsid w:val="9D7638CB"/>
    <w:rsid w:val="9D9B0B40"/>
    <w:rsid w:val="9D9DFBF5"/>
    <w:rsid w:val="9DB97916"/>
    <w:rsid w:val="9DBF3D49"/>
    <w:rsid w:val="9DC6601F"/>
    <w:rsid w:val="9DDD3934"/>
    <w:rsid w:val="9DDDACFF"/>
    <w:rsid w:val="9DE99785"/>
    <w:rsid w:val="9DEB6D40"/>
    <w:rsid w:val="9DF7EADA"/>
    <w:rsid w:val="9DFE791A"/>
    <w:rsid w:val="9DFF9538"/>
    <w:rsid w:val="9E272093"/>
    <w:rsid w:val="9E3B851E"/>
    <w:rsid w:val="9E3FA81B"/>
    <w:rsid w:val="9E778C4B"/>
    <w:rsid w:val="9E7E77FD"/>
    <w:rsid w:val="9E7E81E0"/>
    <w:rsid w:val="9EB3EDB3"/>
    <w:rsid w:val="9EBF950D"/>
    <w:rsid w:val="9ECF9C74"/>
    <w:rsid w:val="9EDC542A"/>
    <w:rsid w:val="9EDEBB0A"/>
    <w:rsid w:val="9EDF0F78"/>
    <w:rsid w:val="9EF3DC08"/>
    <w:rsid w:val="9EF59C7C"/>
    <w:rsid w:val="9EF657F1"/>
    <w:rsid w:val="9EFE6E2A"/>
    <w:rsid w:val="9EFE9FE9"/>
    <w:rsid w:val="9EFF2CD6"/>
    <w:rsid w:val="9EFF4C65"/>
    <w:rsid w:val="9EFF9BBD"/>
    <w:rsid w:val="9F5D52E6"/>
    <w:rsid w:val="9F5DEDC3"/>
    <w:rsid w:val="9F5FDC90"/>
    <w:rsid w:val="9F6F1BB7"/>
    <w:rsid w:val="9F7394C3"/>
    <w:rsid w:val="9F761F72"/>
    <w:rsid w:val="9F7F153E"/>
    <w:rsid w:val="9F9DFF8D"/>
    <w:rsid w:val="9F9FD33A"/>
    <w:rsid w:val="9F9FE824"/>
    <w:rsid w:val="9FB7D568"/>
    <w:rsid w:val="9FBF85D2"/>
    <w:rsid w:val="9FBFA823"/>
    <w:rsid w:val="9FCFC6C8"/>
    <w:rsid w:val="9FCFD6AF"/>
    <w:rsid w:val="9FD63C6B"/>
    <w:rsid w:val="9FDD6FB4"/>
    <w:rsid w:val="9FE649D6"/>
    <w:rsid w:val="9FEB2674"/>
    <w:rsid w:val="9FED2674"/>
    <w:rsid w:val="9FEDA46F"/>
    <w:rsid w:val="9FEE1F2C"/>
    <w:rsid w:val="9FF0F1D4"/>
    <w:rsid w:val="9FF4B71C"/>
    <w:rsid w:val="9FF68318"/>
    <w:rsid w:val="9FF7409F"/>
    <w:rsid w:val="9FF99B8E"/>
    <w:rsid w:val="9FFB7CBA"/>
    <w:rsid w:val="9FFBFFBC"/>
    <w:rsid w:val="9FFD3223"/>
    <w:rsid w:val="9FFD5818"/>
    <w:rsid w:val="9FFDC967"/>
    <w:rsid w:val="9FFDEBC4"/>
    <w:rsid w:val="9FFEB550"/>
    <w:rsid w:val="9FFF5038"/>
    <w:rsid w:val="A0F1276A"/>
    <w:rsid w:val="A199AFBD"/>
    <w:rsid w:val="A1E7CF35"/>
    <w:rsid w:val="A1F365DD"/>
    <w:rsid w:val="A2F9A836"/>
    <w:rsid w:val="A37617AE"/>
    <w:rsid w:val="A3B5CFD1"/>
    <w:rsid w:val="A3CF6C1C"/>
    <w:rsid w:val="A3F14172"/>
    <w:rsid w:val="A3FA556A"/>
    <w:rsid w:val="A554B234"/>
    <w:rsid w:val="A5D5F989"/>
    <w:rsid w:val="A5EBF2E9"/>
    <w:rsid w:val="A5EF3865"/>
    <w:rsid w:val="A5F77B5B"/>
    <w:rsid w:val="A654F3F2"/>
    <w:rsid w:val="A6925021"/>
    <w:rsid w:val="A6ADB277"/>
    <w:rsid w:val="A6DFEACA"/>
    <w:rsid w:val="A6FA65CD"/>
    <w:rsid w:val="A6FA8454"/>
    <w:rsid w:val="A76A276E"/>
    <w:rsid w:val="A76F7358"/>
    <w:rsid w:val="A76FCD65"/>
    <w:rsid w:val="A77E8E9C"/>
    <w:rsid w:val="A7B63A2E"/>
    <w:rsid w:val="A7FE4C71"/>
    <w:rsid w:val="A7FEBCDE"/>
    <w:rsid w:val="A7FF1588"/>
    <w:rsid w:val="A7FF97BB"/>
    <w:rsid w:val="A8FD9645"/>
    <w:rsid w:val="A93AA686"/>
    <w:rsid w:val="A9A6B5B1"/>
    <w:rsid w:val="A9BF252C"/>
    <w:rsid w:val="A9D70838"/>
    <w:rsid w:val="A9D77A88"/>
    <w:rsid w:val="AA7742D1"/>
    <w:rsid w:val="AAEB814C"/>
    <w:rsid w:val="AAFB2607"/>
    <w:rsid w:val="AAFFB181"/>
    <w:rsid w:val="AB577CCD"/>
    <w:rsid w:val="AB5E59FB"/>
    <w:rsid w:val="AB699FB7"/>
    <w:rsid w:val="AB705EF7"/>
    <w:rsid w:val="ABAFD5E8"/>
    <w:rsid w:val="ABBF3856"/>
    <w:rsid w:val="ABCCD4F3"/>
    <w:rsid w:val="ABDF0068"/>
    <w:rsid w:val="ABE27CBE"/>
    <w:rsid w:val="ABE741C4"/>
    <w:rsid w:val="ABF7EEB1"/>
    <w:rsid w:val="ABFBDC62"/>
    <w:rsid w:val="ABFF908F"/>
    <w:rsid w:val="AC8F6388"/>
    <w:rsid w:val="ACEF0983"/>
    <w:rsid w:val="AD72384E"/>
    <w:rsid w:val="AD7EFD39"/>
    <w:rsid w:val="AD7FAA78"/>
    <w:rsid w:val="AD7FF8E9"/>
    <w:rsid w:val="ADEBFC99"/>
    <w:rsid w:val="ADF0744E"/>
    <w:rsid w:val="ADF9F2E9"/>
    <w:rsid w:val="ADFB713A"/>
    <w:rsid w:val="ADFB73B1"/>
    <w:rsid w:val="ADFC80D7"/>
    <w:rsid w:val="ADFD4E4D"/>
    <w:rsid w:val="ADFE9D95"/>
    <w:rsid w:val="ADFF24D3"/>
    <w:rsid w:val="ADFFFE88"/>
    <w:rsid w:val="AE3F97A8"/>
    <w:rsid w:val="AE5E0FED"/>
    <w:rsid w:val="AE61F140"/>
    <w:rsid w:val="AE6D89DF"/>
    <w:rsid w:val="AE7BBE16"/>
    <w:rsid w:val="AEBDB525"/>
    <w:rsid w:val="AEC36379"/>
    <w:rsid w:val="AECF424C"/>
    <w:rsid w:val="AED6A930"/>
    <w:rsid w:val="AEE2633A"/>
    <w:rsid w:val="AEEF2137"/>
    <w:rsid w:val="AF1835FD"/>
    <w:rsid w:val="AF2DD2AE"/>
    <w:rsid w:val="AF2DEAFD"/>
    <w:rsid w:val="AF3F57F9"/>
    <w:rsid w:val="AF52BF75"/>
    <w:rsid w:val="AF6F18C6"/>
    <w:rsid w:val="AF738BDE"/>
    <w:rsid w:val="AF77A999"/>
    <w:rsid w:val="AF7A8DB2"/>
    <w:rsid w:val="AF7B23C2"/>
    <w:rsid w:val="AF7C1C67"/>
    <w:rsid w:val="AF7F6297"/>
    <w:rsid w:val="AF8FA93C"/>
    <w:rsid w:val="AF938346"/>
    <w:rsid w:val="AF95DD44"/>
    <w:rsid w:val="AF9633C8"/>
    <w:rsid w:val="AFAE65D1"/>
    <w:rsid w:val="AFB5C116"/>
    <w:rsid w:val="AFBCDEF8"/>
    <w:rsid w:val="AFC7D95A"/>
    <w:rsid w:val="AFCB4147"/>
    <w:rsid w:val="AFCEFE97"/>
    <w:rsid w:val="AFCFD709"/>
    <w:rsid w:val="AFD5D424"/>
    <w:rsid w:val="AFDD8C05"/>
    <w:rsid w:val="AFDFCAFD"/>
    <w:rsid w:val="AFE7F385"/>
    <w:rsid w:val="AFE9A536"/>
    <w:rsid w:val="AFEF1F76"/>
    <w:rsid w:val="AFEF67E4"/>
    <w:rsid w:val="AFEF7339"/>
    <w:rsid w:val="AFEFA43D"/>
    <w:rsid w:val="AFEFC921"/>
    <w:rsid w:val="AFEFF757"/>
    <w:rsid w:val="AFF29AB8"/>
    <w:rsid w:val="AFF2E837"/>
    <w:rsid w:val="AFF74120"/>
    <w:rsid w:val="AFF9BEA2"/>
    <w:rsid w:val="AFFA1C95"/>
    <w:rsid w:val="AFFB90E8"/>
    <w:rsid w:val="AFFC461B"/>
    <w:rsid w:val="AFFCEA07"/>
    <w:rsid w:val="AFFD93C9"/>
    <w:rsid w:val="AFFF1890"/>
    <w:rsid w:val="AFFF6D96"/>
    <w:rsid w:val="AFFF9C49"/>
    <w:rsid w:val="AFFFFA7F"/>
    <w:rsid w:val="B17379D1"/>
    <w:rsid w:val="B197197A"/>
    <w:rsid w:val="B19EF02B"/>
    <w:rsid w:val="B1DD267C"/>
    <w:rsid w:val="B1DE84C9"/>
    <w:rsid w:val="B1EE59F8"/>
    <w:rsid w:val="B1FF8888"/>
    <w:rsid w:val="B23BD521"/>
    <w:rsid w:val="B296517F"/>
    <w:rsid w:val="B2BF1884"/>
    <w:rsid w:val="B2FDAA29"/>
    <w:rsid w:val="B2FF5350"/>
    <w:rsid w:val="B2FFC1BA"/>
    <w:rsid w:val="B307CCFF"/>
    <w:rsid w:val="B36FFFA9"/>
    <w:rsid w:val="B39C7CA3"/>
    <w:rsid w:val="B39F24D3"/>
    <w:rsid w:val="B3CC1412"/>
    <w:rsid w:val="B3E499AF"/>
    <w:rsid w:val="B44D7824"/>
    <w:rsid w:val="B46E3395"/>
    <w:rsid w:val="B472C9D8"/>
    <w:rsid w:val="B4FFB28A"/>
    <w:rsid w:val="B56EAB7D"/>
    <w:rsid w:val="B57DB6AF"/>
    <w:rsid w:val="B57F7CCD"/>
    <w:rsid w:val="B57F8F9D"/>
    <w:rsid w:val="B5B76F75"/>
    <w:rsid w:val="B5BA6186"/>
    <w:rsid w:val="B5C24EED"/>
    <w:rsid w:val="B5D5BE93"/>
    <w:rsid w:val="B5D6BA47"/>
    <w:rsid w:val="B5DEA31C"/>
    <w:rsid w:val="B5DF45CD"/>
    <w:rsid w:val="B5E9AC6F"/>
    <w:rsid w:val="B5EBEDAF"/>
    <w:rsid w:val="B5EF7082"/>
    <w:rsid w:val="B5F55EC8"/>
    <w:rsid w:val="B5FE0A85"/>
    <w:rsid w:val="B5FE0B1D"/>
    <w:rsid w:val="B5FF0152"/>
    <w:rsid w:val="B65FAEDB"/>
    <w:rsid w:val="B6BBA93C"/>
    <w:rsid w:val="B6DF2C94"/>
    <w:rsid w:val="B6DF3B4E"/>
    <w:rsid w:val="B6DFA487"/>
    <w:rsid w:val="B6E68B69"/>
    <w:rsid w:val="B6F9E82C"/>
    <w:rsid w:val="B7159EFC"/>
    <w:rsid w:val="B716A4C1"/>
    <w:rsid w:val="B72B67C8"/>
    <w:rsid w:val="B73DCB14"/>
    <w:rsid w:val="B75B3881"/>
    <w:rsid w:val="B75DD73F"/>
    <w:rsid w:val="B75F1AE5"/>
    <w:rsid w:val="B76DE2D3"/>
    <w:rsid w:val="B76FA5EE"/>
    <w:rsid w:val="B777043E"/>
    <w:rsid w:val="B77EE5EA"/>
    <w:rsid w:val="B79E3F44"/>
    <w:rsid w:val="B79F59F0"/>
    <w:rsid w:val="B7A3B6E2"/>
    <w:rsid w:val="B7AE13C0"/>
    <w:rsid w:val="B7AF3AF1"/>
    <w:rsid w:val="B7AF6492"/>
    <w:rsid w:val="B7B72926"/>
    <w:rsid w:val="B7BA0D95"/>
    <w:rsid w:val="B7BAF578"/>
    <w:rsid w:val="B7BF57D9"/>
    <w:rsid w:val="B7C7C571"/>
    <w:rsid w:val="B7CB95B9"/>
    <w:rsid w:val="B7DBF2BE"/>
    <w:rsid w:val="B7DDD8B2"/>
    <w:rsid w:val="B7DEB2A5"/>
    <w:rsid w:val="B7DFBFE2"/>
    <w:rsid w:val="B7E705B4"/>
    <w:rsid w:val="B7E7767B"/>
    <w:rsid w:val="B7EF007B"/>
    <w:rsid w:val="B7EF5ADE"/>
    <w:rsid w:val="B7EF60E6"/>
    <w:rsid w:val="B7F7044E"/>
    <w:rsid w:val="B7F74A5B"/>
    <w:rsid w:val="B7F787F8"/>
    <w:rsid w:val="B7F91F15"/>
    <w:rsid w:val="B7FD683D"/>
    <w:rsid w:val="B7FE6394"/>
    <w:rsid w:val="B7FF0631"/>
    <w:rsid w:val="B7FF498C"/>
    <w:rsid w:val="B7FFB812"/>
    <w:rsid w:val="B7FFC183"/>
    <w:rsid w:val="B8BB181F"/>
    <w:rsid w:val="B8DB1395"/>
    <w:rsid w:val="B8F92916"/>
    <w:rsid w:val="B93F8C2C"/>
    <w:rsid w:val="B94FF5AA"/>
    <w:rsid w:val="B99F1027"/>
    <w:rsid w:val="B9BE02E3"/>
    <w:rsid w:val="B9BF4DF3"/>
    <w:rsid w:val="B9D0DA43"/>
    <w:rsid w:val="B9D3112D"/>
    <w:rsid w:val="B9DBDE4D"/>
    <w:rsid w:val="B9F93C1D"/>
    <w:rsid w:val="B9FEBDA1"/>
    <w:rsid w:val="B9FF106D"/>
    <w:rsid w:val="B9FF97B8"/>
    <w:rsid w:val="BA2FA347"/>
    <w:rsid w:val="BA3EC575"/>
    <w:rsid w:val="BA5A737B"/>
    <w:rsid w:val="BA7A122E"/>
    <w:rsid w:val="BAB32F46"/>
    <w:rsid w:val="BAB7A865"/>
    <w:rsid w:val="BAB86317"/>
    <w:rsid w:val="BAD79EE4"/>
    <w:rsid w:val="BAED6F4B"/>
    <w:rsid w:val="BAF91440"/>
    <w:rsid w:val="BAFD30EB"/>
    <w:rsid w:val="BAFEAECB"/>
    <w:rsid w:val="BAFF1A50"/>
    <w:rsid w:val="BAFF7F9F"/>
    <w:rsid w:val="BAFFA36E"/>
    <w:rsid w:val="BB1D887C"/>
    <w:rsid w:val="BB374CF2"/>
    <w:rsid w:val="BB37E616"/>
    <w:rsid w:val="BB4F8787"/>
    <w:rsid w:val="BB5F5180"/>
    <w:rsid w:val="BB62BAB4"/>
    <w:rsid w:val="BB6D03EC"/>
    <w:rsid w:val="BB6FC139"/>
    <w:rsid w:val="BB793196"/>
    <w:rsid w:val="BB7C80A4"/>
    <w:rsid w:val="BB7D8D2D"/>
    <w:rsid w:val="BB7F1173"/>
    <w:rsid w:val="BB8E5556"/>
    <w:rsid w:val="BB9651AA"/>
    <w:rsid w:val="BB97E461"/>
    <w:rsid w:val="BBAE65D5"/>
    <w:rsid w:val="BBAFD61B"/>
    <w:rsid w:val="BBB94F23"/>
    <w:rsid w:val="BBB9C81B"/>
    <w:rsid w:val="BBBB3532"/>
    <w:rsid w:val="BBBEEE15"/>
    <w:rsid w:val="BBBF7257"/>
    <w:rsid w:val="BBC66124"/>
    <w:rsid w:val="BBCE85D6"/>
    <w:rsid w:val="BBD36F71"/>
    <w:rsid w:val="BBDF24EE"/>
    <w:rsid w:val="BBDF26ED"/>
    <w:rsid w:val="BBDF4D8E"/>
    <w:rsid w:val="BBDF9EFC"/>
    <w:rsid w:val="BBDFE16C"/>
    <w:rsid w:val="BBE82479"/>
    <w:rsid w:val="BBF38301"/>
    <w:rsid w:val="BBF50400"/>
    <w:rsid w:val="BBF70303"/>
    <w:rsid w:val="BBFA6182"/>
    <w:rsid w:val="BBFB93D5"/>
    <w:rsid w:val="BBFDD2FC"/>
    <w:rsid w:val="BBFDE2D3"/>
    <w:rsid w:val="BBFE0785"/>
    <w:rsid w:val="BBFE1023"/>
    <w:rsid w:val="BBFF250E"/>
    <w:rsid w:val="BBFF5579"/>
    <w:rsid w:val="BBFF83F2"/>
    <w:rsid w:val="BC2E4B83"/>
    <w:rsid w:val="BC3B01A4"/>
    <w:rsid w:val="BC3F67A5"/>
    <w:rsid w:val="BC5CC8A8"/>
    <w:rsid w:val="BC6E9F94"/>
    <w:rsid w:val="BC7FD9C3"/>
    <w:rsid w:val="BCAFE302"/>
    <w:rsid w:val="BCB95358"/>
    <w:rsid w:val="BCBB675B"/>
    <w:rsid w:val="BCBEC902"/>
    <w:rsid w:val="BCBF6F14"/>
    <w:rsid w:val="BCBF74BF"/>
    <w:rsid w:val="BCDBAA1A"/>
    <w:rsid w:val="BCEF9263"/>
    <w:rsid w:val="BCFB7F26"/>
    <w:rsid w:val="BCFCE591"/>
    <w:rsid w:val="BCFF03C2"/>
    <w:rsid w:val="BCFFC0D4"/>
    <w:rsid w:val="BCFFD2E5"/>
    <w:rsid w:val="BD0D291F"/>
    <w:rsid w:val="BD17367E"/>
    <w:rsid w:val="BD3B74D2"/>
    <w:rsid w:val="BD3FBD82"/>
    <w:rsid w:val="BD4D3565"/>
    <w:rsid w:val="BD5FCD4D"/>
    <w:rsid w:val="BD71A542"/>
    <w:rsid w:val="BD770BBD"/>
    <w:rsid w:val="BD7B58A0"/>
    <w:rsid w:val="BD7D08BC"/>
    <w:rsid w:val="BD7E303F"/>
    <w:rsid w:val="BD7F5BEB"/>
    <w:rsid w:val="BD7F73E1"/>
    <w:rsid w:val="BD7F9596"/>
    <w:rsid w:val="BD7F9F46"/>
    <w:rsid w:val="BD7FEF39"/>
    <w:rsid w:val="BD8D21A4"/>
    <w:rsid w:val="BD9FBFB0"/>
    <w:rsid w:val="BD9FCE34"/>
    <w:rsid w:val="BDA9AC8E"/>
    <w:rsid w:val="BDAF4FCF"/>
    <w:rsid w:val="BDBB72E3"/>
    <w:rsid w:val="BDBBD115"/>
    <w:rsid w:val="BDBD5F29"/>
    <w:rsid w:val="BDBFB049"/>
    <w:rsid w:val="BDC9A30D"/>
    <w:rsid w:val="BDCB6004"/>
    <w:rsid w:val="BDD0C44D"/>
    <w:rsid w:val="BDD63615"/>
    <w:rsid w:val="BDD7225F"/>
    <w:rsid w:val="BDD9B179"/>
    <w:rsid w:val="BDDDADA6"/>
    <w:rsid w:val="BDDE83B4"/>
    <w:rsid w:val="BDDFE769"/>
    <w:rsid w:val="BDE734DD"/>
    <w:rsid w:val="BDEF7769"/>
    <w:rsid w:val="BDF30530"/>
    <w:rsid w:val="BDF422E4"/>
    <w:rsid w:val="BDF5062D"/>
    <w:rsid w:val="BDF70693"/>
    <w:rsid w:val="BDF70922"/>
    <w:rsid w:val="BDF7D21E"/>
    <w:rsid w:val="BDF8476E"/>
    <w:rsid w:val="BDF8B41C"/>
    <w:rsid w:val="BDFF1167"/>
    <w:rsid w:val="BDFF1F53"/>
    <w:rsid w:val="BDFF40C2"/>
    <w:rsid w:val="BDFFECC9"/>
    <w:rsid w:val="BE1BABEE"/>
    <w:rsid w:val="BE3BBE58"/>
    <w:rsid w:val="BE3FA0DF"/>
    <w:rsid w:val="BE5EE5BC"/>
    <w:rsid w:val="BE64E13A"/>
    <w:rsid w:val="BE770ECD"/>
    <w:rsid w:val="BE7DE3B2"/>
    <w:rsid w:val="BE7FCA88"/>
    <w:rsid w:val="BE94EDB3"/>
    <w:rsid w:val="BE9D35F2"/>
    <w:rsid w:val="BEA37442"/>
    <w:rsid w:val="BEAE8448"/>
    <w:rsid w:val="BEAF0341"/>
    <w:rsid w:val="BEB504F9"/>
    <w:rsid w:val="BEBAA65B"/>
    <w:rsid w:val="BEBB1399"/>
    <w:rsid w:val="BEC9E4C2"/>
    <w:rsid w:val="BEDB16A9"/>
    <w:rsid w:val="BEDD1F9D"/>
    <w:rsid w:val="BEDE736C"/>
    <w:rsid w:val="BEDF8251"/>
    <w:rsid w:val="BEDF846F"/>
    <w:rsid w:val="BEDF8715"/>
    <w:rsid w:val="BEE365C6"/>
    <w:rsid w:val="BEE66BB3"/>
    <w:rsid w:val="BEEBA972"/>
    <w:rsid w:val="BEEBE866"/>
    <w:rsid w:val="BEEFCD5D"/>
    <w:rsid w:val="BEF32E48"/>
    <w:rsid w:val="BEF429AF"/>
    <w:rsid w:val="BEF5CFF0"/>
    <w:rsid w:val="BEFB9935"/>
    <w:rsid w:val="BEFC5D27"/>
    <w:rsid w:val="BEFD8A58"/>
    <w:rsid w:val="BEFF45AE"/>
    <w:rsid w:val="BEFF55B8"/>
    <w:rsid w:val="BEFF66DA"/>
    <w:rsid w:val="BF0C414F"/>
    <w:rsid w:val="BF118AB2"/>
    <w:rsid w:val="BF1BA898"/>
    <w:rsid w:val="BF270316"/>
    <w:rsid w:val="BF294B39"/>
    <w:rsid w:val="BF2D12A7"/>
    <w:rsid w:val="BF361356"/>
    <w:rsid w:val="BF3B9A3F"/>
    <w:rsid w:val="BF4F2C4A"/>
    <w:rsid w:val="BF5773B2"/>
    <w:rsid w:val="BF59BBC9"/>
    <w:rsid w:val="BF5E8A68"/>
    <w:rsid w:val="BF6299E9"/>
    <w:rsid w:val="BF6722CC"/>
    <w:rsid w:val="BF6765AE"/>
    <w:rsid w:val="BF6D55CF"/>
    <w:rsid w:val="BF6F2CC2"/>
    <w:rsid w:val="BF6FC05F"/>
    <w:rsid w:val="BF6FD539"/>
    <w:rsid w:val="BF75131C"/>
    <w:rsid w:val="BF752C90"/>
    <w:rsid w:val="BF7701BB"/>
    <w:rsid w:val="BF776FEE"/>
    <w:rsid w:val="BF7A7ABF"/>
    <w:rsid w:val="BF7B378B"/>
    <w:rsid w:val="BF7E4110"/>
    <w:rsid w:val="BF7F3367"/>
    <w:rsid w:val="BF7FD8F4"/>
    <w:rsid w:val="BF937EC0"/>
    <w:rsid w:val="BF9D89A1"/>
    <w:rsid w:val="BF9F4DE4"/>
    <w:rsid w:val="BF9FA297"/>
    <w:rsid w:val="BF9FB3D2"/>
    <w:rsid w:val="BFA76356"/>
    <w:rsid w:val="BFB4066C"/>
    <w:rsid w:val="BFB767C5"/>
    <w:rsid w:val="BFBD1910"/>
    <w:rsid w:val="BFBF9907"/>
    <w:rsid w:val="BFC6F5D9"/>
    <w:rsid w:val="BFCE416E"/>
    <w:rsid w:val="BFCE7446"/>
    <w:rsid w:val="BFD52BC9"/>
    <w:rsid w:val="BFD65DC2"/>
    <w:rsid w:val="BFD9FFA9"/>
    <w:rsid w:val="BFDF146C"/>
    <w:rsid w:val="BFDFF3F6"/>
    <w:rsid w:val="BFE5A59C"/>
    <w:rsid w:val="BFE9D48E"/>
    <w:rsid w:val="BFEBB1DF"/>
    <w:rsid w:val="BFEBEED4"/>
    <w:rsid w:val="BFECB410"/>
    <w:rsid w:val="BFED8081"/>
    <w:rsid w:val="BFEE4705"/>
    <w:rsid w:val="BFEECB08"/>
    <w:rsid w:val="BFEEF6B7"/>
    <w:rsid w:val="BFEF00E1"/>
    <w:rsid w:val="BFEF2B11"/>
    <w:rsid w:val="BFEF7BBC"/>
    <w:rsid w:val="BFEF80B3"/>
    <w:rsid w:val="BFEFA89C"/>
    <w:rsid w:val="BFEFC9A9"/>
    <w:rsid w:val="BFF3006C"/>
    <w:rsid w:val="BFF3102B"/>
    <w:rsid w:val="BFF506E5"/>
    <w:rsid w:val="BFF702EB"/>
    <w:rsid w:val="BFF72BB1"/>
    <w:rsid w:val="BFF73AE5"/>
    <w:rsid w:val="BFF73CA9"/>
    <w:rsid w:val="BFF7E6F8"/>
    <w:rsid w:val="BFF7F80F"/>
    <w:rsid w:val="BFF93203"/>
    <w:rsid w:val="BFF93353"/>
    <w:rsid w:val="BFF9AAAE"/>
    <w:rsid w:val="BFFAB8AE"/>
    <w:rsid w:val="BFFB2C42"/>
    <w:rsid w:val="BFFB7243"/>
    <w:rsid w:val="BFFB9051"/>
    <w:rsid w:val="BFFC79F4"/>
    <w:rsid w:val="BFFD2756"/>
    <w:rsid w:val="BFFD5A3E"/>
    <w:rsid w:val="BFFDAFB9"/>
    <w:rsid w:val="BFFDDCEA"/>
    <w:rsid w:val="BFFE59C5"/>
    <w:rsid w:val="BFFE915D"/>
    <w:rsid w:val="BFFF0136"/>
    <w:rsid w:val="BFFF1B0B"/>
    <w:rsid w:val="BFFF1C4B"/>
    <w:rsid w:val="BFFF293D"/>
    <w:rsid w:val="BFFF2EDD"/>
    <w:rsid w:val="BFFF303C"/>
    <w:rsid w:val="BFFF30D8"/>
    <w:rsid w:val="BFFF58C0"/>
    <w:rsid w:val="BFFF599E"/>
    <w:rsid w:val="BFFF5F02"/>
    <w:rsid w:val="BFFF67E0"/>
    <w:rsid w:val="BFFF9781"/>
    <w:rsid w:val="BFFFAC2C"/>
    <w:rsid w:val="BFFFCB71"/>
    <w:rsid w:val="C0ABEC1A"/>
    <w:rsid w:val="C0FF14F4"/>
    <w:rsid w:val="C23FF167"/>
    <w:rsid w:val="C34DB24F"/>
    <w:rsid w:val="C376060F"/>
    <w:rsid w:val="C3FF3EF3"/>
    <w:rsid w:val="C3FFB4BB"/>
    <w:rsid w:val="C4FB192F"/>
    <w:rsid w:val="C57F23ED"/>
    <w:rsid w:val="C59BDB17"/>
    <w:rsid w:val="C5DF1D5D"/>
    <w:rsid w:val="C5F64401"/>
    <w:rsid w:val="C65B3A55"/>
    <w:rsid w:val="C73122BC"/>
    <w:rsid w:val="C75F83DE"/>
    <w:rsid w:val="C76EEBA8"/>
    <w:rsid w:val="C775B44A"/>
    <w:rsid w:val="C77FAAE8"/>
    <w:rsid w:val="C7BA042A"/>
    <w:rsid w:val="C7BD85EA"/>
    <w:rsid w:val="C7BF5D81"/>
    <w:rsid w:val="C7CF5373"/>
    <w:rsid w:val="C7DB2A4A"/>
    <w:rsid w:val="C7DB78FA"/>
    <w:rsid w:val="C7ECEAFA"/>
    <w:rsid w:val="C7F3BC4D"/>
    <w:rsid w:val="C7FC307E"/>
    <w:rsid w:val="C7FDEEFA"/>
    <w:rsid w:val="C7FF2E3C"/>
    <w:rsid w:val="C7FF90E1"/>
    <w:rsid w:val="C7FFE9D4"/>
    <w:rsid w:val="C87DB908"/>
    <w:rsid w:val="C8FD16C7"/>
    <w:rsid w:val="C95F43DE"/>
    <w:rsid w:val="C96AB2A1"/>
    <w:rsid w:val="C9B231D8"/>
    <w:rsid w:val="C9B905EC"/>
    <w:rsid w:val="C9B966FA"/>
    <w:rsid w:val="C9DD488F"/>
    <w:rsid w:val="C9DEC4C9"/>
    <w:rsid w:val="C9EA4C91"/>
    <w:rsid w:val="C9ED97FE"/>
    <w:rsid w:val="C9EFEA26"/>
    <w:rsid w:val="C9F2D4E4"/>
    <w:rsid w:val="C9F7FCF7"/>
    <w:rsid w:val="C9FED51E"/>
    <w:rsid w:val="CA7FF871"/>
    <w:rsid w:val="CABB14AD"/>
    <w:rsid w:val="CAC8AD54"/>
    <w:rsid w:val="CAF07EA2"/>
    <w:rsid w:val="CB0E6EDA"/>
    <w:rsid w:val="CB1FDB42"/>
    <w:rsid w:val="CB6EE830"/>
    <w:rsid w:val="CB79A9DB"/>
    <w:rsid w:val="CB9F1AED"/>
    <w:rsid w:val="CBBF2A4F"/>
    <w:rsid w:val="CBBFCEF7"/>
    <w:rsid w:val="CBCBB143"/>
    <w:rsid w:val="CBD7ADC9"/>
    <w:rsid w:val="CBE7086A"/>
    <w:rsid w:val="CBE718B0"/>
    <w:rsid w:val="CBE958C0"/>
    <w:rsid w:val="CBEFA6C1"/>
    <w:rsid w:val="CBF6093E"/>
    <w:rsid w:val="CBF9D0F6"/>
    <w:rsid w:val="CBFD7227"/>
    <w:rsid w:val="CBFE204C"/>
    <w:rsid w:val="CBFE5F0B"/>
    <w:rsid w:val="CBFF506F"/>
    <w:rsid w:val="CBFF6402"/>
    <w:rsid w:val="CC7E86C0"/>
    <w:rsid w:val="CC87BC97"/>
    <w:rsid w:val="CC8B6DF0"/>
    <w:rsid w:val="CCDF5BEF"/>
    <w:rsid w:val="CCEE8600"/>
    <w:rsid w:val="CCFDCBDF"/>
    <w:rsid w:val="CCFFE3A5"/>
    <w:rsid w:val="CD7EE2BC"/>
    <w:rsid w:val="CD7FC3A6"/>
    <w:rsid w:val="CDBFFAC9"/>
    <w:rsid w:val="CDDFAD50"/>
    <w:rsid w:val="CDE1AB84"/>
    <w:rsid w:val="CDED5704"/>
    <w:rsid w:val="CDEE7AED"/>
    <w:rsid w:val="CDEF1A48"/>
    <w:rsid w:val="CDF75B19"/>
    <w:rsid w:val="CDFB9DBF"/>
    <w:rsid w:val="CDFDF00B"/>
    <w:rsid w:val="CDFEBE5D"/>
    <w:rsid w:val="CDFF8E04"/>
    <w:rsid w:val="CE5E6D3D"/>
    <w:rsid w:val="CE6ACE72"/>
    <w:rsid w:val="CE6E30CB"/>
    <w:rsid w:val="CE70C473"/>
    <w:rsid w:val="CE71FB8F"/>
    <w:rsid w:val="CE75C625"/>
    <w:rsid w:val="CE7B92B5"/>
    <w:rsid w:val="CE7BAF77"/>
    <w:rsid w:val="CEB76CA9"/>
    <w:rsid w:val="CEB7E572"/>
    <w:rsid w:val="CEBBED51"/>
    <w:rsid w:val="CEBDC161"/>
    <w:rsid w:val="CECF99F8"/>
    <w:rsid w:val="CEDF7263"/>
    <w:rsid w:val="CEE7A9EC"/>
    <w:rsid w:val="CEEB14CD"/>
    <w:rsid w:val="CEF4066B"/>
    <w:rsid w:val="CEFD9724"/>
    <w:rsid w:val="CEFF7AB0"/>
    <w:rsid w:val="CF28FE1B"/>
    <w:rsid w:val="CF2F058A"/>
    <w:rsid w:val="CF393FF0"/>
    <w:rsid w:val="CF57C1E4"/>
    <w:rsid w:val="CF673E46"/>
    <w:rsid w:val="CF6F14AE"/>
    <w:rsid w:val="CF750506"/>
    <w:rsid w:val="CF7D5815"/>
    <w:rsid w:val="CF7E5CB1"/>
    <w:rsid w:val="CF7EC09E"/>
    <w:rsid w:val="CF7F7D0F"/>
    <w:rsid w:val="CF7FB11B"/>
    <w:rsid w:val="CF9FC7CA"/>
    <w:rsid w:val="CFAF345D"/>
    <w:rsid w:val="CFB3680A"/>
    <w:rsid w:val="CFB4E10F"/>
    <w:rsid w:val="CFB4F6DB"/>
    <w:rsid w:val="CFB7D896"/>
    <w:rsid w:val="CFBF2900"/>
    <w:rsid w:val="CFBFA6AD"/>
    <w:rsid w:val="CFD322C0"/>
    <w:rsid w:val="CFD5C5AF"/>
    <w:rsid w:val="CFD7FA45"/>
    <w:rsid w:val="CFDAF80E"/>
    <w:rsid w:val="CFDB0DB0"/>
    <w:rsid w:val="CFDB200F"/>
    <w:rsid w:val="CFDD05D4"/>
    <w:rsid w:val="CFE988FC"/>
    <w:rsid w:val="CFEDE6D4"/>
    <w:rsid w:val="CFEEFCBF"/>
    <w:rsid w:val="CFEFEB33"/>
    <w:rsid w:val="CFEFEDE9"/>
    <w:rsid w:val="CFF1481E"/>
    <w:rsid w:val="CFF35D14"/>
    <w:rsid w:val="CFF669C4"/>
    <w:rsid w:val="CFF7803A"/>
    <w:rsid w:val="CFFC8FC1"/>
    <w:rsid w:val="CFFCEB10"/>
    <w:rsid w:val="CFFD666E"/>
    <w:rsid w:val="CFFD8734"/>
    <w:rsid w:val="CFFDB8C2"/>
    <w:rsid w:val="CFFF50F0"/>
    <w:rsid w:val="CFFF5A1B"/>
    <w:rsid w:val="CFFFEA85"/>
    <w:rsid w:val="D06B8A45"/>
    <w:rsid w:val="D14E83D7"/>
    <w:rsid w:val="D1BEA01D"/>
    <w:rsid w:val="D1F67626"/>
    <w:rsid w:val="D33BA2E6"/>
    <w:rsid w:val="D37F56E7"/>
    <w:rsid w:val="D3A213A1"/>
    <w:rsid w:val="D3CF8992"/>
    <w:rsid w:val="D3EF9587"/>
    <w:rsid w:val="D3EF9936"/>
    <w:rsid w:val="D3F127FB"/>
    <w:rsid w:val="D3F3EC3D"/>
    <w:rsid w:val="D3F9A057"/>
    <w:rsid w:val="D3FAA954"/>
    <w:rsid w:val="D3FDB941"/>
    <w:rsid w:val="D3FF27B3"/>
    <w:rsid w:val="D3FF3184"/>
    <w:rsid w:val="D3FF9EB2"/>
    <w:rsid w:val="D3FFDEED"/>
    <w:rsid w:val="D3FFFCEF"/>
    <w:rsid w:val="D4286909"/>
    <w:rsid w:val="D4346CE3"/>
    <w:rsid w:val="D43B4042"/>
    <w:rsid w:val="D4E7F7F0"/>
    <w:rsid w:val="D4EEA549"/>
    <w:rsid w:val="D4F92CBB"/>
    <w:rsid w:val="D4FB03FC"/>
    <w:rsid w:val="D4FD8C96"/>
    <w:rsid w:val="D4FF6327"/>
    <w:rsid w:val="D57FF5E6"/>
    <w:rsid w:val="D5AE7334"/>
    <w:rsid w:val="D5B91807"/>
    <w:rsid w:val="D5BA32F2"/>
    <w:rsid w:val="D5CE27C3"/>
    <w:rsid w:val="D5D7F7A2"/>
    <w:rsid w:val="D5EE8897"/>
    <w:rsid w:val="D5FD2B26"/>
    <w:rsid w:val="D5FE6FB5"/>
    <w:rsid w:val="D5FECCB2"/>
    <w:rsid w:val="D5FF3F7E"/>
    <w:rsid w:val="D5FF5598"/>
    <w:rsid w:val="D63B3611"/>
    <w:rsid w:val="D6577256"/>
    <w:rsid w:val="D66F0895"/>
    <w:rsid w:val="D671E9A7"/>
    <w:rsid w:val="D6AF07AB"/>
    <w:rsid w:val="D6BB7E06"/>
    <w:rsid w:val="D6BED608"/>
    <w:rsid w:val="D6BEE89C"/>
    <w:rsid w:val="D6DE629A"/>
    <w:rsid w:val="D6DF1347"/>
    <w:rsid w:val="D6ED92DB"/>
    <w:rsid w:val="D6F7B554"/>
    <w:rsid w:val="D6FF181F"/>
    <w:rsid w:val="D71FD3B7"/>
    <w:rsid w:val="D73FAC6F"/>
    <w:rsid w:val="D7432E19"/>
    <w:rsid w:val="D75ACECC"/>
    <w:rsid w:val="D75DDFE6"/>
    <w:rsid w:val="D75F9D4A"/>
    <w:rsid w:val="D7776522"/>
    <w:rsid w:val="D77DCAF5"/>
    <w:rsid w:val="D77E382C"/>
    <w:rsid w:val="D77F5C64"/>
    <w:rsid w:val="D77FC29D"/>
    <w:rsid w:val="D79EA270"/>
    <w:rsid w:val="D79FC4AA"/>
    <w:rsid w:val="D7AD37F5"/>
    <w:rsid w:val="D7AD5D45"/>
    <w:rsid w:val="D7AFE72F"/>
    <w:rsid w:val="D7B04B4D"/>
    <w:rsid w:val="D7B1CF9B"/>
    <w:rsid w:val="D7B5E053"/>
    <w:rsid w:val="D7B68458"/>
    <w:rsid w:val="D7BC0AAF"/>
    <w:rsid w:val="D7BF07AB"/>
    <w:rsid w:val="D7CCB59E"/>
    <w:rsid w:val="D7D61AFF"/>
    <w:rsid w:val="D7D79D19"/>
    <w:rsid w:val="D7D7BAF3"/>
    <w:rsid w:val="D7D90AB8"/>
    <w:rsid w:val="D7DA9136"/>
    <w:rsid w:val="D7DE774A"/>
    <w:rsid w:val="D7DF165F"/>
    <w:rsid w:val="D7E52F3F"/>
    <w:rsid w:val="D7E6A086"/>
    <w:rsid w:val="D7ED888F"/>
    <w:rsid w:val="D7EDCA7F"/>
    <w:rsid w:val="D7EE22F8"/>
    <w:rsid w:val="D7F31011"/>
    <w:rsid w:val="D7F375A9"/>
    <w:rsid w:val="D7F37680"/>
    <w:rsid w:val="D7F5F42C"/>
    <w:rsid w:val="D7F717A9"/>
    <w:rsid w:val="D7F7C723"/>
    <w:rsid w:val="D7F8549C"/>
    <w:rsid w:val="D7F97E87"/>
    <w:rsid w:val="D7FB4035"/>
    <w:rsid w:val="D7FD3B6E"/>
    <w:rsid w:val="D7FD5CD8"/>
    <w:rsid w:val="D7FDA837"/>
    <w:rsid w:val="D7FF027A"/>
    <w:rsid w:val="D7FF268C"/>
    <w:rsid w:val="D7FF4130"/>
    <w:rsid w:val="D7FF7EE3"/>
    <w:rsid w:val="D7FFE552"/>
    <w:rsid w:val="D838401A"/>
    <w:rsid w:val="D8BE665A"/>
    <w:rsid w:val="D8C397DB"/>
    <w:rsid w:val="D8D63F93"/>
    <w:rsid w:val="D8F145FC"/>
    <w:rsid w:val="D8FF5B04"/>
    <w:rsid w:val="D93E36D1"/>
    <w:rsid w:val="D957B2EB"/>
    <w:rsid w:val="D957E527"/>
    <w:rsid w:val="D971A046"/>
    <w:rsid w:val="D9775150"/>
    <w:rsid w:val="D97774D9"/>
    <w:rsid w:val="D97A6FBC"/>
    <w:rsid w:val="D97B11A2"/>
    <w:rsid w:val="D97DDA2D"/>
    <w:rsid w:val="D98F068C"/>
    <w:rsid w:val="D99E41BF"/>
    <w:rsid w:val="D9A99273"/>
    <w:rsid w:val="D9BF35C2"/>
    <w:rsid w:val="D9F3B5FC"/>
    <w:rsid w:val="D9FBB050"/>
    <w:rsid w:val="D9FDA90D"/>
    <w:rsid w:val="DA27D134"/>
    <w:rsid w:val="DA7B27A0"/>
    <w:rsid w:val="DA7FD678"/>
    <w:rsid w:val="DAAFF561"/>
    <w:rsid w:val="DACDBF80"/>
    <w:rsid w:val="DADF29BE"/>
    <w:rsid w:val="DAF35427"/>
    <w:rsid w:val="DAF366DF"/>
    <w:rsid w:val="DAF3CA60"/>
    <w:rsid w:val="DAF9A8DB"/>
    <w:rsid w:val="DAFB31C1"/>
    <w:rsid w:val="DAFD0D82"/>
    <w:rsid w:val="DAFE5D46"/>
    <w:rsid w:val="DAFF0A18"/>
    <w:rsid w:val="DAFF201F"/>
    <w:rsid w:val="DAFF628F"/>
    <w:rsid w:val="DAFFA000"/>
    <w:rsid w:val="DB362092"/>
    <w:rsid w:val="DB3EE668"/>
    <w:rsid w:val="DB57EFED"/>
    <w:rsid w:val="DB5BBC6E"/>
    <w:rsid w:val="DB5E6F92"/>
    <w:rsid w:val="DB6A6055"/>
    <w:rsid w:val="DB6FC6EB"/>
    <w:rsid w:val="DB7B39C0"/>
    <w:rsid w:val="DB7B88D6"/>
    <w:rsid w:val="DB7BD78D"/>
    <w:rsid w:val="DB7F4339"/>
    <w:rsid w:val="DB9FE45E"/>
    <w:rsid w:val="DBAD1D02"/>
    <w:rsid w:val="DBAE2185"/>
    <w:rsid w:val="DBB49FB6"/>
    <w:rsid w:val="DBB526B2"/>
    <w:rsid w:val="DBBA11D9"/>
    <w:rsid w:val="DBBABF2B"/>
    <w:rsid w:val="DBBE0EAA"/>
    <w:rsid w:val="DBBF6BD5"/>
    <w:rsid w:val="DBBF9351"/>
    <w:rsid w:val="DBC7D308"/>
    <w:rsid w:val="DBCB0B48"/>
    <w:rsid w:val="DBCDB9CF"/>
    <w:rsid w:val="DBCFBF7C"/>
    <w:rsid w:val="DBD31ADD"/>
    <w:rsid w:val="DBDD1455"/>
    <w:rsid w:val="DBDDA83B"/>
    <w:rsid w:val="DBE76E4A"/>
    <w:rsid w:val="DBE96C57"/>
    <w:rsid w:val="DBEDC49E"/>
    <w:rsid w:val="DBEDFE89"/>
    <w:rsid w:val="DBF83222"/>
    <w:rsid w:val="DBF9E80C"/>
    <w:rsid w:val="DBFE2105"/>
    <w:rsid w:val="DBFF2664"/>
    <w:rsid w:val="DBFFC54F"/>
    <w:rsid w:val="DBFFD7E4"/>
    <w:rsid w:val="DBFFFFD4"/>
    <w:rsid w:val="DC5F9B29"/>
    <w:rsid w:val="DC6A3C8B"/>
    <w:rsid w:val="DC6ACBD8"/>
    <w:rsid w:val="DC6F0BDB"/>
    <w:rsid w:val="DC7BC2B8"/>
    <w:rsid w:val="DC8A8D16"/>
    <w:rsid w:val="DCABE533"/>
    <w:rsid w:val="DCBE113D"/>
    <w:rsid w:val="DCE3DAB0"/>
    <w:rsid w:val="DCEF3A35"/>
    <w:rsid w:val="DCEFADA6"/>
    <w:rsid w:val="DCF469F6"/>
    <w:rsid w:val="DCFB6FE7"/>
    <w:rsid w:val="DCFBD711"/>
    <w:rsid w:val="DCFDCBB5"/>
    <w:rsid w:val="DD3E4855"/>
    <w:rsid w:val="DD3E7B33"/>
    <w:rsid w:val="DD3F10B4"/>
    <w:rsid w:val="DD4FD3FA"/>
    <w:rsid w:val="DD4FDD95"/>
    <w:rsid w:val="DD5C5886"/>
    <w:rsid w:val="DD5FB93E"/>
    <w:rsid w:val="DD6B54F9"/>
    <w:rsid w:val="DD7F4D19"/>
    <w:rsid w:val="DD8FEBA2"/>
    <w:rsid w:val="DDA2765F"/>
    <w:rsid w:val="DDAFED2F"/>
    <w:rsid w:val="DDBBCF49"/>
    <w:rsid w:val="DDBE3F50"/>
    <w:rsid w:val="DDDB47D7"/>
    <w:rsid w:val="DDDB64D8"/>
    <w:rsid w:val="DDDC428A"/>
    <w:rsid w:val="DDE596B7"/>
    <w:rsid w:val="DDE852CE"/>
    <w:rsid w:val="DDEE5D2A"/>
    <w:rsid w:val="DDEE9600"/>
    <w:rsid w:val="DDEF9E15"/>
    <w:rsid w:val="DDF1A2EE"/>
    <w:rsid w:val="DDF3BB68"/>
    <w:rsid w:val="DDF742FB"/>
    <w:rsid w:val="DDF75347"/>
    <w:rsid w:val="DDF78DE0"/>
    <w:rsid w:val="DDFB4849"/>
    <w:rsid w:val="DDFBB15F"/>
    <w:rsid w:val="DDFBDEE2"/>
    <w:rsid w:val="DDFCF864"/>
    <w:rsid w:val="DDFD40B7"/>
    <w:rsid w:val="DDFD5F84"/>
    <w:rsid w:val="DDFDE963"/>
    <w:rsid w:val="DDFE63B0"/>
    <w:rsid w:val="DDFEEBCB"/>
    <w:rsid w:val="DDFF1ADC"/>
    <w:rsid w:val="DDFF5C6B"/>
    <w:rsid w:val="DDFF6689"/>
    <w:rsid w:val="DE1E63DA"/>
    <w:rsid w:val="DE2F1F02"/>
    <w:rsid w:val="DE566E5A"/>
    <w:rsid w:val="DE568EA7"/>
    <w:rsid w:val="DE5FFE62"/>
    <w:rsid w:val="DE6F7F31"/>
    <w:rsid w:val="DE7592D3"/>
    <w:rsid w:val="DE75D3C6"/>
    <w:rsid w:val="DE7BC4AB"/>
    <w:rsid w:val="DE7E237C"/>
    <w:rsid w:val="DE7EC276"/>
    <w:rsid w:val="DE7F60C3"/>
    <w:rsid w:val="DE9795D1"/>
    <w:rsid w:val="DE97FE6D"/>
    <w:rsid w:val="DEB71BB8"/>
    <w:rsid w:val="DEBD68EA"/>
    <w:rsid w:val="DEBD842C"/>
    <w:rsid w:val="DEBE508B"/>
    <w:rsid w:val="DEBFA48B"/>
    <w:rsid w:val="DEC7DC1B"/>
    <w:rsid w:val="DECF86D8"/>
    <w:rsid w:val="DEDB16A8"/>
    <w:rsid w:val="DEE138FE"/>
    <w:rsid w:val="DEE97D42"/>
    <w:rsid w:val="DEEDA2B4"/>
    <w:rsid w:val="DEEE1B71"/>
    <w:rsid w:val="DEEEDDC5"/>
    <w:rsid w:val="DEEFC197"/>
    <w:rsid w:val="DEF165C2"/>
    <w:rsid w:val="DEF35FAB"/>
    <w:rsid w:val="DEF786C8"/>
    <w:rsid w:val="DEF966F3"/>
    <w:rsid w:val="DEFBC85F"/>
    <w:rsid w:val="DEFC53AE"/>
    <w:rsid w:val="DEFCACBD"/>
    <w:rsid w:val="DEFD3BBC"/>
    <w:rsid w:val="DEFE1652"/>
    <w:rsid w:val="DEFE763A"/>
    <w:rsid w:val="DEFEA135"/>
    <w:rsid w:val="DEFF2E80"/>
    <w:rsid w:val="DEFF4D20"/>
    <w:rsid w:val="DEFF7D66"/>
    <w:rsid w:val="DF049110"/>
    <w:rsid w:val="DF0BC66F"/>
    <w:rsid w:val="DF1F2130"/>
    <w:rsid w:val="DF233562"/>
    <w:rsid w:val="DF3288F6"/>
    <w:rsid w:val="DF3B9267"/>
    <w:rsid w:val="DF3E09BA"/>
    <w:rsid w:val="DF3F2DC4"/>
    <w:rsid w:val="DF4BFDA2"/>
    <w:rsid w:val="DF4F5B82"/>
    <w:rsid w:val="DF525B15"/>
    <w:rsid w:val="DF592A57"/>
    <w:rsid w:val="DF5E217A"/>
    <w:rsid w:val="DF69A65B"/>
    <w:rsid w:val="DF6B6C95"/>
    <w:rsid w:val="DF6E82A6"/>
    <w:rsid w:val="DF6F7209"/>
    <w:rsid w:val="DF73069F"/>
    <w:rsid w:val="DF76111E"/>
    <w:rsid w:val="DF763BC0"/>
    <w:rsid w:val="DF77C06F"/>
    <w:rsid w:val="DF7832CF"/>
    <w:rsid w:val="DF7A7577"/>
    <w:rsid w:val="DF7BC40F"/>
    <w:rsid w:val="DF7D1629"/>
    <w:rsid w:val="DF7DB2CD"/>
    <w:rsid w:val="DF7E16B1"/>
    <w:rsid w:val="DF7EFF34"/>
    <w:rsid w:val="DF7F2665"/>
    <w:rsid w:val="DF7F3620"/>
    <w:rsid w:val="DF7F472F"/>
    <w:rsid w:val="DF7F96D6"/>
    <w:rsid w:val="DF7F9B39"/>
    <w:rsid w:val="DF7F9D05"/>
    <w:rsid w:val="DF7FCECF"/>
    <w:rsid w:val="DF8FDF14"/>
    <w:rsid w:val="DF9DB675"/>
    <w:rsid w:val="DF9F757B"/>
    <w:rsid w:val="DF9F8473"/>
    <w:rsid w:val="DFAA14DD"/>
    <w:rsid w:val="DFAE8A0A"/>
    <w:rsid w:val="DFAEE1FD"/>
    <w:rsid w:val="DFAF3866"/>
    <w:rsid w:val="DFAF8CF3"/>
    <w:rsid w:val="DFAFDCDA"/>
    <w:rsid w:val="DFB10EE3"/>
    <w:rsid w:val="DFB5EFCA"/>
    <w:rsid w:val="DFB6E74D"/>
    <w:rsid w:val="DFB75AAF"/>
    <w:rsid w:val="DFB7B1E3"/>
    <w:rsid w:val="DFBF2202"/>
    <w:rsid w:val="DFBF8B27"/>
    <w:rsid w:val="DFBFEAE6"/>
    <w:rsid w:val="DFCB2DAC"/>
    <w:rsid w:val="DFCF2276"/>
    <w:rsid w:val="DFCFA589"/>
    <w:rsid w:val="DFD5197B"/>
    <w:rsid w:val="DFD52A23"/>
    <w:rsid w:val="DFD6C4CD"/>
    <w:rsid w:val="DFD6ED3B"/>
    <w:rsid w:val="DFD942F8"/>
    <w:rsid w:val="DFDB3F7F"/>
    <w:rsid w:val="DFDC2B93"/>
    <w:rsid w:val="DFDCBE1E"/>
    <w:rsid w:val="DFDE12BF"/>
    <w:rsid w:val="DFDE18DB"/>
    <w:rsid w:val="DFDE21BC"/>
    <w:rsid w:val="DFDF5F67"/>
    <w:rsid w:val="DFDF87D5"/>
    <w:rsid w:val="DFDFA836"/>
    <w:rsid w:val="DFDFB94D"/>
    <w:rsid w:val="DFDFBF78"/>
    <w:rsid w:val="DFE1B5D9"/>
    <w:rsid w:val="DFE5F3B8"/>
    <w:rsid w:val="DFE76D57"/>
    <w:rsid w:val="DFE95DE9"/>
    <w:rsid w:val="DFEB7586"/>
    <w:rsid w:val="DFEFCC1E"/>
    <w:rsid w:val="DFEFE4CB"/>
    <w:rsid w:val="DFEFE6F1"/>
    <w:rsid w:val="DFF16E56"/>
    <w:rsid w:val="DFF2348B"/>
    <w:rsid w:val="DFF3D01E"/>
    <w:rsid w:val="DFF51246"/>
    <w:rsid w:val="DFF5B277"/>
    <w:rsid w:val="DFF68CF7"/>
    <w:rsid w:val="DFF6A2C6"/>
    <w:rsid w:val="DFF704A3"/>
    <w:rsid w:val="DFF70A14"/>
    <w:rsid w:val="DFF7360E"/>
    <w:rsid w:val="DFF74F84"/>
    <w:rsid w:val="DFF75FBE"/>
    <w:rsid w:val="DFF7918D"/>
    <w:rsid w:val="DFF7FEE2"/>
    <w:rsid w:val="DFF8DAB9"/>
    <w:rsid w:val="DFF9A6E8"/>
    <w:rsid w:val="DFF9C72B"/>
    <w:rsid w:val="DFFA9F49"/>
    <w:rsid w:val="DFFB03BD"/>
    <w:rsid w:val="DFFB1BB0"/>
    <w:rsid w:val="DFFB1E01"/>
    <w:rsid w:val="DFFB742B"/>
    <w:rsid w:val="DFFBA65F"/>
    <w:rsid w:val="DFFBFE13"/>
    <w:rsid w:val="DFFC7F06"/>
    <w:rsid w:val="DFFD17AD"/>
    <w:rsid w:val="DFFD398B"/>
    <w:rsid w:val="DFFD5C8B"/>
    <w:rsid w:val="DFFD6C14"/>
    <w:rsid w:val="DFFD73F3"/>
    <w:rsid w:val="DFFD77C6"/>
    <w:rsid w:val="DFFD8B9C"/>
    <w:rsid w:val="DFFDB76F"/>
    <w:rsid w:val="DFFDF6C0"/>
    <w:rsid w:val="DFFE63F9"/>
    <w:rsid w:val="DFFE9061"/>
    <w:rsid w:val="DFFE9137"/>
    <w:rsid w:val="DFFED17D"/>
    <w:rsid w:val="DFFEE416"/>
    <w:rsid w:val="DFFF0307"/>
    <w:rsid w:val="DFFF1D93"/>
    <w:rsid w:val="DFFF1E7D"/>
    <w:rsid w:val="DFFF23BF"/>
    <w:rsid w:val="DFFF428F"/>
    <w:rsid w:val="DFFF864F"/>
    <w:rsid w:val="DFFFA658"/>
    <w:rsid w:val="DFFFABE7"/>
    <w:rsid w:val="DFFFB212"/>
    <w:rsid w:val="DFFFC021"/>
    <w:rsid w:val="DFFFDE83"/>
    <w:rsid w:val="DFFFF9DB"/>
    <w:rsid w:val="E015FAE4"/>
    <w:rsid w:val="E0E5D66E"/>
    <w:rsid w:val="E0FF8B9C"/>
    <w:rsid w:val="E135DFE2"/>
    <w:rsid w:val="E1B39BB9"/>
    <w:rsid w:val="E1BECB4F"/>
    <w:rsid w:val="E1DD8324"/>
    <w:rsid w:val="E25204BB"/>
    <w:rsid w:val="E26FC60E"/>
    <w:rsid w:val="E279B3C9"/>
    <w:rsid w:val="E2971F47"/>
    <w:rsid w:val="E2AF7987"/>
    <w:rsid w:val="E2BE2494"/>
    <w:rsid w:val="E2CBA2EA"/>
    <w:rsid w:val="E2D763F9"/>
    <w:rsid w:val="E2EF9A24"/>
    <w:rsid w:val="E2FDF293"/>
    <w:rsid w:val="E2FFF028"/>
    <w:rsid w:val="E312AB4F"/>
    <w:rsid w:val="E33F5030"/>
    <w:rsid w:val="E35A524E"/>
    <w:rsid w:val="E384BF65"/>
    <w:rsid w:val="E39FA0DE"/>
    <w:rsid w:val="E3BB1001"/>
    <w:rsid w:val="E3BB5A3F"/>
    <w:rsid w:val="E3BF21ED"/>
    <w:rsid w:val="E3CE8CAD"/>
    <w:rsid w:val="E3DFF897"/>
    <w:rsid w:val="E3EA9DA9"/>
    <w:rsid w:val="E3EDB31A"/>
    <w:rsid w:val="E3EF528A"/>
    <w:rsid w:val="E3EFC201"/>
    <w:rsid w:val="E3F386D0"/>
    <w:rsid w:val="E3F7569F"/>
    <w:rsid w:val="E3F79912"/>
    <w:rsid w:val="E3FDB6ED"/>
    <w:rsid w:val="E3FDC1F8"/>
    <w:rsid w:val="E4A9EBBC"/>
    <w:rsid w:val="E52F713F"/>
    <w:rsid w:val="E55E1FAA"/>
    <w:rsid w:val="E55FB308"/>
    <w:rsid w:val="E5719BDF"/>
    <w:rsid w:val="E57B19EC"/>
    <w:rsid w:val="E57FED6C"/>
    <w:rsid w:val="E5DFC6BE"/>
    <w:rsid w:val="E5F689C1"/>
    <w:rsid w:val="E5FC143D"/>
    <w:rsid w:val="E5FE03BE"/>
    <w:rsid w:val="E5FF69D4"/>
    <w:rsid w:val="E5FFD803"/>
    <w:rsid w:val="E627AA55"/>
    <w:rsid w:val="E62B767F"/>
    <w:rsid w:val="E630AB34"/>
    <w:rsid w:val="E65EB278"/>
    <w:rsid w:val="E667AB5B"/>
    <w:rsid w:val="E66FB2FF"/>
    <w:rsid w:val="E67F0165"/>
    <w:rsid w:val="E69F67D7"/>
    <w:rsid w:val="E6B871CA"/>
    <w:rsid w:val="E6F3A063"/>
    <w:rsid w:val="E6F7C3D4"/>
    <w:rsid w:val="E6FF2558"/>
    <w:rsid w:val="E6FF843C"/>
    <w:rsid w:val="E6FF8A19"/>
    <w:rsid w:val="E6FFFE2E"/>
    <w:rsid w:val="E72FF03B"/>
    <w:rsid w:val="E7377AAC"/>
    <w:rsid w:val="E73E3A2F"/>
    <w:rsid w:val="E73F5C45"/>
    <w:rsid w:val="E74DA85E"/>
    <w:rsid w:val="E7729388"/>
    <w:rsid w:val="E7747BCB"/>
    <w:rsid w:val="E77A486F"/>
    <w:rsid w:val="E77F593C"/>
    <w:rsid w:val="E77F7887"/>
    <w:rsid w:val="E77FDE75"/>
    <w:rsid w:val="E787695A"/>
    <w:rsid w:val="E797B9AE"/>
    <w:rsid w:val="E7AF0B82"/>
    <w:rsid w:val="E7B9C382"/>
    <w:rsid w:val="E7BDBED4"/>
    <w:rsid w:val="E7BE7ECC"/>
    <w:rsid w:val="E7CF0A82"/>
    <w:rsid w:val="E7D2BBCD"/>
    <w:rsid w:val="E7D6799F"/>
    <w:rsid w:val="E7DB8B60"/>
    <w:rsid w:val="E7DCFECA"/>
    <w:rsid w:val="E7DE070D"/>
    <w:rsid w:val="E7DFFA41"/>
    <w:rsid w:val="E7E74278"/>
    <w:rsid w:val="E7EA2058"/>
    <w:rsid w:val="E7EAC54E"/>
    <w:rsid w:val="E7F0FBF4"/>
    <w:rsid w:val="E7F4874D"/>
    <w:rsid w:val="E7F57FC7"/>
    <w:rsid w:val="E7F5A902"/>
    <w:rsid w:val="E7F5BB6B"/>
    <w:rsid w:val="E7F64ECA"/>
    <w:rsid w:val="E7F692C4"/>
    <w:rsid w:val="E7F73759"/>
    <w:rsid w:val="E7F73FB2"/>
    <w:rsid w:val="E7FB5281"/>
    <w:rsid w:val="E7FEB88F"/>
    <w:rsid w:val="E7FF2D18"/>
    <w:rsid w:val="E7FF3446"/>
    <w:rsid w:val="E7FF7197"/>
    <w:rsid w:val="E7FF8470"/>
    <w:rsid w:val="E7FFBDAA"/>
    <w:rsid w:val="E84551E1"/>
    <w:rsid w:val="E8D7DC1C"/>
    <w:rsid w:val="E8F6A5CB"/>
    <w:rsid w:val="E8FE79F0"/>
    <w:rsid w:val="E8FF6B17"/>
    <w:rsid w:val="E8FF79CE"/>
    <w:rsid w:val="E93DB7D7"/>
    <w:rsid w:val="E97F08E8"/>
    <w:rsid w:val="E9BC0885"/>
    <w:rsid w:val="E9CED87C"/>
    <w:rsid w:val="E9F71BD2"/>
    <w:rsid w:val="E9FA0C79"/>
    <w:rsid w:val="E9FF1925"/>
    <w:rsid w:val="E9FFADB3"/>
    <w:rsid w:val="E9FFC717"/>
    <w:rsid w:val="EA4F651E"/>
    <w:rsid w:val="EA5F2CE9"/>
    <w:rsid w:val="EA7BCBAD"/>
    <w:rsid w:val="EAB82719"/>
    <w:rsid w:val="EABE985F"/>
    <w:rsid w:val="EABF775A"/>
    <w:rsid w:val="EAD7AEC8"/>
    <w:rsid w:val="EAEC03C5"/>
    <w:rsid w:val="EAED1018"/>
    <w:rsid w:val="EAED9C00"/>
    <w:rsid w:val="EAEF01B2"/>
    <w:rsid w:val="EAF328FC"/>
    <w:rsid w:val="EAF3BE07"/>
    <w:rsid w:val="EAFA6FEB"/>
    <w:rsid w:val="EAFB0BB4"/>
    <w:rsid w:val="EAFBFBEE"/>
    <w:rsid w:val="EAFC0FB7"/>
    <w:rsid w:val="EAFC68D1"/>
    <w:rsid w:val="EAFCD98D"/>
    <w:rsid w:val="EB3934C2"/>
    <w:rsid w:val="EB3ED8F1"/>
    <w:rsid w:val="EB4919D4"/>
    <w:rsid w:val="EB4FF5C5"/>
    <w:rsid w:val="EB6F5FE9"/>
    <w:rsid w:val="EB73ECAF"/>
    <w:rsid w:val="EB7DBF4A"/>
    <w:rsid w:val="EB7F8FC9"/>
    <w:rsid w:val="EB8D0240"/>
    <w:rsid w:val="EBADE45C"/>
    <w:rsid w:val="EBB88711"/>
    <w:rsid w:val="EBBB54E6"/>
    <w:rsid w:val="EBBE4B88"/>
    <w:rsid w:val="EBBEF19D"/>
    <w:rsid w:val="EBD4991F"/>
    <w:rsid w:val="EBD7C272"/>
    <w:rsid w:val="EBDFA16C"/>
    <w:rsid w:val="EBDFD3B2"/>
    <w:rsid w:val="EBDFE4F1"/>
    <w:rsid w:val="EBED4F86"/>
    <w:rsid w:val="EBED947A"/>
    <w:rsid w:val="EBEDE9AB"/>
    <w:rsid w:val="EBEF3486"/>
    <w:rsid w:val="EBEFB9F5"/>
    <w:rsid w:val="EBF6861C"/>
    <w:rsid w:val="EBF70659"/>
    <w:rsid w:val="EBF9E619"/>
    <w:rsid w:val="EBFA1833"/>
    <w:rsid w:val="EBFB6C27"/>
    <w:rsid w:val="EBFB6DBE"/>
    <w:rsid w:val="EBFC0C48"/>
    <w:rsid w:val="EBFD3578"/>
    <w:rsid w:val="EBFD5FB7"/>
    <w:rsid w:val="EBFDD191"/>
    <w:rsid w:val="EBFE305F"/>
    <w:rsid w:val="EBFE3C6E"/>
    <w:rsid w:val="EBFE4CCF"/>
    <w:rsid w:val="EBFF5D4B"/>
    <w:rsid w:val="EBFF9EED"/>
    <w:rsid w:val="EC3FF7F8"/>
    <w:rsid w:val="EC5CBF3A"/>
    <w:rsid w:val="EC6ECD7F"/>
    <w:rsid w:val="EC775442"/>
    <w:rsid w:val="EC875072"/>
    <w:rsid w:val="EC87A344"/>
    <w:rsid w:val="ECBED221"/>
    <w:rsid w:val="ECE2559C"/>
    <w:rsid w:val="ECED1BC8"/>
    <w:rsid w:val="ECF356FB"/>
    <w:rsid w:val="ECF62AE0"/>
    <w:rsid w:val="ECF62D1D"/>
    <w:rsid w:val="ECF9248E"/>
    <w:rsid w:val="ECFA9D4F"/>
    <w:rsid w:val="ECFE238C"/>
    <w:rsid w:val="ECFF1859"/>
    <w:rsid w:val="ECFF4DAE"/>
    <w:rsid w:val="ECFF8E32"/>
    <w:rsid w:val="ECFFA4E4"/>
    <w:rsid w:val="ED3F8937"/>
    <w:rsid w:val="ED530C8F"/>
    <w:rsid w:val="ED72AE5D"/>
    <w:rsid w:val="ED75DE3E"/>
    <w:rsid w:val="ED7AF245"/>
    <w:rsid w:val="ED7E0EF7"/>
    <w:rsid w:val="ED9D21B1"/>
    <w:rsid w:val="ED9D9209"/>
    <w:rsid w:val="ED9F5AFE"/>
    <w:rsid w:val="EDB7712A"/>
    <w:rsid w:val="EDBEB2BC"/>
    <w:rsid w:val="EDBF04B6"/>
    <w:rsid w:val="EDBF45F3"/>
    <w:rsid w:val="EDCB34A2"/>
    <w:rsid w:val="EDCD1A50"/>
    <w:rsid w:val="EDD399DD"/>
    <w:rsid w:val="EDD3EE9A"/>
    <w:rsid w:val="EDD4B6E6"/>
    <w:rsid w:val="EDDB0520"/>
    <w:rsid w:val="EDDB71AB"/>
    <w:rsid w:val="EDDCC629"/>
    <w:rsid w:val="EDDD568F"/>
    <w:rsid w:val="EDDF3E9D"/>
    <w:rsid w:val="EDDF4AC8"/>
    <w:rsid w:val="EDE498F4"/>
    <w:rsid w:val="EDE552E7"/>
    <w:rsid w:val="EDEA65CE"/>
    <w:rsid w:val="EDED2CE3"/>
    <w:rsid w:val="EDEDE0F7"/>
    <w:rsid w:val="EDEF2952"/>
    <w:rsid w:val="EDF2EDC0"/>
    <w:rsid w:val="EDF36F86"/>
    <w:rsid w:val="EDF737A7"/>
    <w:rsid w:val="EDF7C704"/>
    <w:rsid w:val="EDFA10DC"/>
    <w:rsid w:val="EDFB13C4"/>
    <w:rsid w:val="EDFB31CD"/>
    <w:rsid w:val="EDFC31CC"/>
    <w:rsid w:val="EDFD4B17"/>
    <w:rsid w:val="EDFD6DBA"/>
    <w:rsid w:val="EDFDA6B0"/>
    <w:rsid w:val="EDFE4E7B"/>
    <w:rsid w:val="EDFF98B8"/>
    <w:rsid w:val="EDFFD83D"/>
    <w:rsid w:val="EDFFF074"/>
    <w:rsid w:val="EE3FC50F"/>
    <w:rsid w:val="EE5A7016"/>
    <w:rsid w:val="EE5F369A"/>
    <w:rsid w:val="EE5FAD65"/>
    <w:rsid w:val="EE6F0090"/>
    <w:rsid w:val="EE7F2CF6"/>
    <w:rsid w:val="EE7FAFCC"/>
    <w:rsid w:val="EE7FB433"/>
    <w:rsid w:val="EE8D63E5"/>
    <w:rsid w:val="EE972F2B"/>
    <w:rsid w:val="EE99573B"/>
    <w:rsid w:val="EE9FF6A7"/>
    <w:rsid w:val="EEBB22AE"/>
    <w:rsid w:val="EEBD97C6"/>
    <w:rsid w:val="EEBD9826"/>
    <w:rsid w:val="EEBE5386"/>
    <w:rsid w:val="EEBF2E77"/>
    <w:rsid w:val="EEBFE640"/>
    <w:rsid w:val="EEBFFE51"/>
    <w:rsid w:val="EED413D0"/>
    <w:rsid w:val="EEDBA16F"/>
    <w:rsid w:val="EEE3AB01"/>
    <w:rsid w:val="EEE3D8C9"/>
    <w:rsid w:val="EEE63F70"/>
    <w:rsid w:val="EEEBC7C7"/>
    <w:rsid w:val="EEEF1AED"/>
    <w:rsid w:val="EEEF99C9"/>
    <w:rsid w:val="EEEFFF4C"/>
    <w:rsid w:val="EEF1C716"/>
    <w:rsid w:val="EEF76911"/>
    <w:rsid w:val="EEF7FE81"/>
    <w:rsid w:val="EEFAAEE3"/>
    <w:rsid w:val="EEFAFA59"/>
    <w:rsid w:val="EEFB0726"/>
    <w:rsid w:val="EEFB395C"/>
    <w:rsid w:val="EEFB57D9"/>
    <w:rsid w:val="EEFB6812"/>
    <w:rsid w:val="EEFBD269"/>
    <w:rsid w:val="EEFCFFF0"/>
    <w:rsid w:val="EEFE21CC"/>
    <w:rsid w:val="EEFE73BA"/>
    <w:rsid w:val="EEFF1D3C"/>
    <w:rsid w:val="EF0E14D5"/>
    <w:rsid w:val="EF0F48E0"/>
    <w:rsid w:val="EF1FAD0E"/>
    <w:rsid w:val="EF3210C7"/>
    <w:rsid w:val="EF340DAC"/>
    <w:rsid w:val="EF37691C"/>
    <w:rsid w:val="EF3F2B97"/>
    <w:rsid w:val="EF3F70C0"/>
    <w:rsid w:val="EF56CB3C"/>
    <w:rsid w:val="EF5A51FD"/>
    <w:rsid w:val="EF5C10D4"/>
    <w:rsid w:val="EF5D8923"/>
    <w:rsid w:val="EF6BD50F"/>
    <w:rsid w:val="EF6BE5D0"/>
    <w:rsid w:val="EF6DDAF0"/>
    <w:rsid w:val="EF6FE25F"/>
    <w:rsid w:val="EF767BD4"/>
    <w:rsid w:val="EF779D8A"/>
    <w:rsid w:val="EF7B2505"/>
    <w:rsid w:val="EF7B8166"/>
    <w:rsid w:val="EF7CC2B4"/>
    <w:rsid w:val="EF7E05AA"/>
    <w:rsid w:val="EF7E6E55"/>
    <w:rsid w:val="EF7F1C33"/>
    <w:rsid w:val="EF7F21DF"/>
    <w:rsid w:val="EF7F223C"/>
    <w:rsid w:val="EF7F4568"/>
    <w:rsid w:val="EF7F8CA1"/>
    <w:rsid w:val="EF7FA739"/>
    <w:rsid w:val="EF8179A6"/>
    <w:rsid w:val="EF8F0299"/>
    <w:rsid w:val="EF97ADD9"/>
    <w:rsid w:val="EF9B89FB"/>
    <w:rsid w:val="EFA25E96"/>
    <w:rsid w:val="EFA9C024"/>
    <w:rsid w:val="EFAB04F6"/>
    <w:rsid w:val="EFAB3ABF"/>
    <w:rsid w:val="EFAB4947"/>
    <w:rsid w:val="EFAB874F"/>
    <w:rsid w:val="EFAF0195"/>
    <w:rsid w:val="EFAFBE3C"/>
    <w:rsid w:val="EFB5060A"/>
    <w:rsid w:val="EFB7BD99"/>
    <w:rsid w:val="EFB7E4A8"/>
    <w:rsid w:val="EFBD3FCA"/>
    <w:rsid w:val="EFBD6F02"/>
    <w:rsid w:val="EFBDEFCA"/>
    <w:rsid w:val="EFBEA010"/>
    <w:rsid w:val="EFBF6246"/>
    <w:rsid w:val="EFBF847F"/>
    <w:rsid w:val="EFBF9253"/>
    <w:rsid w:val="EFBFD14E"/>
    <w:rsid w:val="EFBFD3A0"/>
    <w:rsid w:val="EFBFF4F3"/>
    <w:rsid w:val="EFC5D012"/>
    <w:rsid w:val="EFC6CFBA"/>
    <w:rsid w:val="EFC7E3D8"/>
    <w:rsid w:val="EFC99D05"/>
    <w:rsid w:val="EFCBF67D"/>
    <w:rsid w:val="EFCF7BEB"/>
    <w:rsid w:val="EFCFDCBC"/>
    <w:rsid w:val="EFD2EFB7"/>
    <w:rsid w:val="EFD728EC"/>
    <w:rsid w:val="EFDB4BF4"/>
    <w:rsid w:val="EFDBC0B5"/>
    <w:rsid w:val="EFDBCCD9"/>
    <w:rsid w:val="EFDCABA5"/>
    <w:rsid w:val="EFDD1FBA"/>
    <w:rsid w:val="EFDDF090"/>
    <w:rsid w:val="EFDE58D7"/>
    <w:rsid w:val="EFDE5A9C"/>
    <w:rsid w:val="EFDF79D6"/>
    <w:rsid w:val="EFDF90B7"/>
    <w:rsid w:val="EFDFA455"/>
    <w:rsid w:val="EFDFB32B"/>
    <w:rsid w:val="EFE24A92"/>
    <w:rsid w:val="EFE7286F"/>
    <w:rsid w:val="EFE87B5F"/>
    <w:rsid w:val="EFE9AD74"/>
    <w:rsid w:val="EFED24E7"/>
    <w:rsid w:val="EFEDA2B8"/>
    <w:rsid w:val="EFEE1784"/>
    <w:rsid w:val="EFEEC8A5"/>
    <w:rsid w:val="EFEEECA7"/>
    <w:rsid w:val="EFEF0445"/>
    <w:rsid w:val="EFEF0E58"/>
    <w:rsid w:val="EFEF1302"/>
    <w:rsid w:val="EFEF3331"/>
    <w:rsid w:val="EFEF5BE4"/>
    <w:rsid w:val="EFEFA11E"/>
    <w:rsid w:val="EFEFE221"/>
    <w:rsid w:val="EFF35164"/>
    <w:rsid w:val="EFF37D74"/>
    <w:rsid w:val="EFF3CA0C"/>
    <w:rsid w:val="EFF3D0F8"/>
    <w:rsid w:val="EFF42D9A"/>
    <w:rsid w:val="EFF5F740"/>
    <w:rsid w:val="EFF60EF0"/>
    <w:rsid w:val="EFF75259"/>
    <w:rsid w:val="EFF75DD6"/>
    <w:rsid w:val="EFF767E5"/>
    <w:rsid w:val="EFF76957"/>
    <w:rsid w:val="EFF7FF43"/>
    <w:rsid w:val="EFFB125E"/>
    <w:rsid w:val="EFFB2DD3"/>
    <w:rsid w:val="EFFB43BE"/>
    <w:rsid w:val="EFFBB5E1"/>
    <w:rsid w:val="EFFD55EB"/>
    <w:rsid w:val="EFFD5E29"/>
    <w:rsid w:val="EFFDF58F"/>
    <w:rsid w:val="EFFE06AF"/>
    <w:rsid w:val="EFFE2613"/>
    <w:rsid w:val="EFFE60CF"/>
    <w:rsid w:val="EFFE9B55"/>
    <w:rsid w:val="EFFEE281"/>
    <w:rsid w:val="EFFF0117"/>
    <w:rsid w:val="EFFF0AA4"/>
    <w:rsid w:val="EFFF1610"/>
    <w:rsid w:val="EFFF1777"/>
    <w:rsid w:val="EFFF5C48"/>
    <w:rsid w:val="EFFF8491"/>
    <w:rsid w:val="EFFF9F39"/>
    <w:rsid w:val="EFFFAC50"/>
    <w:rsid w:val="EFFFBA95"/>
    <w:rsid w:val="EFFFCADE"/>
    <w:rsid w:val="EFFFD7D1"/>
    <w:rsid w:val="EFFFEB7E"/>
    <w:rsid w:val="F0273BC8"/>
    <w:rsid w:val="F07F0D33"/>
    <w:rsid w:val="F0DEB2F8"/>
    <w:rsid w:val="F0DFA389"/>
    <w:rsid w:val="F0DFD966"/>
    <w:rsid w:val="F0F5C8D0"/>
    <w:rsid w:val="F0FFB80E"/>
    <w:rsid w:val="F13FE035"/>
    <w:rsid w:val="F1BF6D8A"/>
    <w:rsid w:val="F1BF9371"/>
    <w:rsid w:val="F1C4C686"/>
    <w:rsid w:val="F1CF1906"/>
    <w:rsid w:val="F1CFAD16"/>
    <w:rsid w:val="F1D538A4"/>
    <w:rsid w:val="F1D6A9F8"/>
    <w:rsid w:val="F1DF2AF3"/>
    <w:rsid w:val="F1F824EB"/>
    <w:rsid w:val="F1FAB035"/>
    <w:rsid w:val="F1FB2B0B"/>
    <w:rsid w:val="F1FF71DB"/>
    <w:rsid w:val="F22F96A2"/>
    <w:rsid w:val="F25BCC01"/>
    <w:rsid w:val="F26B19B9"/>
    <w:rsid w:val="F27FE674"/>
    <w:rsid w:val="F29B087E"/>
    <w:rsid w:val="F2AB7C51"/>
    <w:rsid w:val="F2BB60C7"/>
    <w:rsid w:val="F2BF50A5"/>
    <w:rsid w:val="F2BF5BA0"/>
    <w:rsid w:val="F2DB1314"/>
    <w:rsid w:val="F2F765FF"/>
    <w:rsid w:val="F2FB683E"/>
    <w:rsid w:val="F2FFAD2F"/>
    <w:rsid w:val="F3355C78"/>
    <w:rsid w:val="F34FB371"/>
    <w:rsid w:val="F35F2D1C"/>
    <w:rsid w:val="F36058CB"/>
    <w:rsid w:val="F37DA005"/>
    <w:rsid w:val="F37F2FE7"/>
    <w:rsid w:val="F37F8246"/>
    <w:rsid w:val="F393A826"/>
    <w:rsid w:val="F39B184F"/>
    <w:rsid w:val="F39DB101"/>
    <w:rsid w:val="F3AF991A"/>
    <w:rsid w:val="F3B7C992"/>
    <w:rsid w:val="F3BBC660"/>
    <w:rsid w:val="F3BF8222"/>
    <w:rsid w:val="F3BFF9EF"/>
    <w:rsid w:val="F3C49EE4"/>
    <w:rsid w:val="F3D03673"/>
    <w:rsid w:val="F3D42A57"/>
    <w:rsid w:val="F3D55AAC"/>
    <w:rsid w:val="F3D89521"/>
    <w:rsid w:val="F3DD596C"/>
    <w:rsid w:val="F3DE7AC2"/>
    <w:rsid w:val="F3DF9932"/>
    <w:rsid w:val="F3ED41CC"/>
    <w:rsid w:val="F3ED439C"/>
    <w:rsid w:val="F3F580FD"/>
    <w:rsid w:val="F3FAED5B"/>
    <w:rsid w:val="F3FB4D4B"/>
    <w:rsid w:val="F3FB5AF2"/>
    <w:rsid w:val="F3FCDAF3"/>
    <w:rsid w:val="F3FE2786"/>
    <w:rsid w:val="F3FE8A50"/>
    <w:rsid w:val="F3FF6EDA"/>
    <w:rsid w:val="F3FF8672"/>
    <w:rsid w:val="F4380408"/>
    <w:rsid w:val="F43FC12B"/>
    <w:rsid w:val="F47F6E9C"/>
    <w:rsid w:val="F4B1C44A"/>
    <w:rsid w:val="F4DFAC9B"/>
    <w:rsid w:val="F4DFF75C"/>
    <w:rsid w:val="F4F95837"/>
    <w:rsid w:val="F4FF5D22"/>
    <w:rsid w:val="F4FF6DE0"/>
    <w:rsid w:val="F52F95C5"/>
    <w:rsid w:val="F53ED0E1"/>
    <w:rsid w:val="F56D6CB8"/>
    <w:rsid w:val="F56FDB56"/>
    <w:rsid w:val="F573C982"/>
    <w:rsid w:val="F577AC9E"/>
    <w:rsid w:val="F57B8EB3"/>
    <w:rsid w:val="F57D74E2"/>
    <w:rsid w:val="F57FCDFD"/>
    <w:rsid w:val="F58F43B6"/>
    <w:rsid w:val="F59440BF"/>
    <w:rsid w:val="F59F1888"/>
    <w:rsid w:val="F5AE4036"/>
    <w:rsid w:val="F5AEF254"/>
    <w:rsid w:val="F5BB79D9"/>
    <w:rsid w:val="F5BEF792"/>
    <w:rsid w:val="F5BF439C"/>
    <w:rsid w:val="F5CC6A5B"/>
    <w:rsid w:val="F5DD506C"/>
    <w:rsid w:val="F5DF4B97"/>
    <w:rsid w:val="F5DFF46E"/>
    <w:rsid w:val="F5E75E19"/>
    <w:rsid w:val="F5EABED2"/>
    <w:rsid w:val="F5EDA43E"/>
    <w:rsid w:val="F5EF5902"/>
    <w:rsid w:val="F5EF61FF"/>
    <w:rsid w:val="F5F20F75"/>
    <w:rsid w:val="F5F2A0E7"/>
    <w:rsid w:val="F5F31CA5"/>
    <w:rsid w:val="F5F57587"/>
    <w:rsid w:val="F5F8A90E"/>
    <w:rsid w:val="F5F95B8D"/>
    <w:rsid w:val="F5FB0917"/>
    <w:rsid w:val="F5FB33B6"/>
    <w:rsid w:val="F5FB8DAB"/>
    <w:rsid w:val="F5FCC8D3"/>
    <w:rsid w:val="F5FD1BDA"/>
    <w:rsid w:val="F5FD975F"/>
    <w:rsid w:val="F5FF2CE7"/>
    <w:rsid w:val="F5FF320D"/>
    <w:rsid w:val="F5FF596E"/>
    <w:rsid w:val="F5FF73BA"/>
    <w:rsid w:val="F5FF9E19"/>
    <w:rsid w:val="F62FE0C8"/>
    <w:rsid w:val="F64F8459"/>
    <w:rsid w:val="F6567EA1"/>
    <w:rsid w:val="F65DF3D0"/>
    <w:rsid w:val="F67F136E"/>
    <w:rsid w:val="F67F272F"/>
    <w:rsid w:val="F68F9D1C"/>
    <w:rsid w:val="F6AA301C"/>
    <w:rsid w:val="F6AC6DB1"/>
    <w:rsid w:val="F6AFA8B0"/>
    <w:rsid w:val="F6B3D858"/>
    <w:rsid w:val="F6BBCA27"/>
    <w:rsid w:val="F6BD74B3"/>
    <w:rsid w:val="F6BF3E0B"/>
    <w:rsid w:val="F6CE3982"/>
    <w:rsid w:val="F6DB6014"/>
    <w:rsid w:val="F6DDA69D"/>
    <w:rsid w:val="F6DEB226"/>
    <w:rsid w:val="F6DF3334"/>
    <w:rsid w:val="F6DF3426"/>
    <w:rsid w:val="F6DF78AD"/>
    <w:rsid w:val="F6EB4303"/>
    <w:rsid w:val="F6EF2AB8"/>
    <w:rsid w:val="F6EF8D02"/>
    <w:rsid w:val="F6EF999A"/>
    <w:rsid w:val="F6EFA7FF"/>
    <w:rsid w:val="F6F511B8"/>
    <w:rsid w:val="F6F62FE5"/>
    <w:rsid w:val="F6F7099E"/>
    <w:rsid w:val="F6F73F2D"/>
    <w:rsid w:val="F6F82CEE"/>
    <w:rsid w:val="F6FAC4BE"/>
    <w:rsid w:val="F6FBEACB"/>
    <w:rsid w:val="F6FD5445"/>
    <w:rsid w:val="F6FF1719"/>
    <w:rsid w:val="F6FF1F3D"/>
    <w:rsid w:val="F6FF1FB0"/>
    <w:rsid w:val="F6FF7B56"/>
    <w:rsid w:val="F6FFA653"/>
    <w:rsid w:val="F6FFC6CD"/>
    <w:rsid w:val="F6FFC8D8"/>
    <w:rsid w:val="F7108F7F"/>
    <w:rsid w:val="F71F0C70"/>
    <w:rsid w:val="F72C90B3"/>
    <w:rsid w:val="F73365F5"/>
    <w:rsid w:val="F73787F5"/>
    <w:rsid w:val="F74F3177"/>
    <w:rsid w:val="F74F92A1"/>
    <w:rsid w:val="F75D0436"/>
    <w:rsid w:val="F75F49AC"/>
    <w:rsid w:val="F75F4F0B"/>
    <w:rsid w:val="F76E675B"/>
    <w:rsid w:val="F76F25E3"/>
    <w:rsid w:val="F76FAC74"/>
    <w:rsid w:val="F775F7F8"/>
    <w:rsid w:val="F77C25F4"/>
    <w:rsid w:val="F77E1CDF"/>
    <w:rsid w:val="F77F0F80"/>
    <w:rsid w:val="F77F3B18"/>
    <w:rsid w:val="F77F9CBA"/>
    <w:rsid w:val="F78A6861"/>
    <w:rsid w:val="F78E03F5"/>
    <w:rsid w:val="F797634B"/>
    <w:rsid w:val="F79B410D"/>
    <w:rsid w:val="F79B6F3B"/>
    <w:rsid w:val="F79F602B"/>
    <w:rsid w:val="F79F6AA6"/>
    <w:rsid w:val="F79FA56C"/>
    <w:rsid w:val="F7A73A0B"/>
    <w:rsid w:val="F7A93344"/>
    <w:rsid w:val="F7AAFD32"/>
    <w:rsid w:val="F7B32B6C"/>
    <w:rsid w:val="F7B78D71"/>
    <w:rsid w:val="F7B7CC48"/>
    <w:rsid w:val="F7B9294E"/>
    <w:rsid w:val="F7BA005F"/>
    <w:rsid w:val="F7BB5037"/>
    <w:rsid w:val="F7BC4D3B"/>
    <w:rsid w:val="F7BC83C4"/>
    <w:rsid w:val="F7BCDF0B"/>
    <w:rsid w:val="F7BECF29"/>
    <w:rsid w:val="F7BF0987"/>
    <w:rsid w:val="F7BF2B5C"/>
    <w:rsid w:val="F7BF2C9F"/>
    <w:rsid w:val="F7BF611D"/>
    <w:rsid w:val="F7BFFEC4"/>
    <w:rsid w:val="F7C3C234"/>
    <w:rsid w:val="F7C65312"/>
    <w:rsid w:val="F7CF56B6"/>
    <w:rsid w:val="F7D12109"/>
    <w:rsid w:val="F7D17193"/>
    <w:rsid w:val="F7D48207"/>
    <w:rsid w:val="F7D5F046"/>
    <w:rsid w:val="F7D640BF"/>
    <w:rsid w:val="F7D75F2D"/>
    <w:rsid w:val="F7D7A9B2"/>
    <w:rsid w:val="F7D8E779"/>
    <w:rsid w:val="F7DAE820"/>
    <w:rsid w:val="F7DD498B"/>
    <w:rsid w:val="F7DD7376"/>
    <w:rsid w:val="F7DE0418"/>
    <w:rsid w:val="F7DE05B5"/>
    <w:rsid w:val="F7DE503D"/>
    <w:rsid w:val="F7DE6D51"/>
    <w:rsid w:val="F7DF6E17"/>
    <w:rsid w:val="F7DF8FCB"/>
    <w:rsid w:val="F7DF99CA"/>
    <w:rsid w:val="F7DFACDF"/>
    <w:rsid w:val="F7DFEE15"/>
    <w:rsid w:val="F7E3E746"/>
    <w:rsid w:val="F7E7E139"/>
    <w:rsid w:val="F7EAABBC"/>
    <w:rsid w:val="F7EB5B31"/>
    <w:rsid w:val="F7EB67DD"/>
    <w:rsid w:val="F7EC85E6"/>
    <w:rsid w:val="F7ED275A"/>
    <w:rsid w:val="F7EDB436"/>
    <w:rsid w:val="F7EDEE38"/>
    <w:rsid w:val="F7EF95B9"/>
    <w:rsid w:val="F7EFD085"/>
    <w:rsid w:val="F7EFE2AC"/>
    <w:rsid w:val="F7EFF0A9"/>
    <w:rsid w:val="F7F25819"/>
    <w:rsid w:val="F7F4A37D"/>
    <w:rsid w:val="F7F51AA3"/>
    <w:rsid w:val="F7F5A729"/>
    <w:rsid w:val="F7F605AA"/>
    <w:rsid w:val="F7F70830"/>
    <w:rsid w:val="F7F786EA"/>
    <w:rsid w:val="F7F78F02"/>
    <w:rsid w:val="F7F797FE"/>
    <w:rsid w:val="F7F7E835"/>
    <w:rsid w:val="F7F7F0BF"/>
    <w:rsid w:val="F7F86A77"/>
    <w:rsid w:val="F7F9A8B8"/>
    <w:rsid w:val="F7F9EFE0"/>
    <w:rsid w:val="F7FA332C"/>
    <w:rsid w:val="F7FA65DA"/>
    <w:rsid w:val="F7FA7D4A"/>
    <w:rsid w:val="F7FB2346"/>
    <w:rsid w:val="F7FB4633"/>
    <w:rsid w:val="F7FB4D9A"/>
    <w:rsid w:val="F7FB6F81"/>
    <w:rsid w:val="F7FB74BF"/>
    <w:rsid w:val="F7FB7A6E"/>
    <w:rsid w:val="F7FB9E9F"/>
    <w:rsid w:val="F7FBE589"/>
    <w:rsid w:val="F7FBE906"/>
    <w:rsid w:val="F7FBF9EF"/>
    <w:rsid w:val="F7FCB74F"/>
    <w:rsid w:val="F7FD222D"/>
    <w:rsid w:val="F7FD708B"/>
    <w:rsid w:val="F7FDA87E"/>
    <w:rsid w:val="F7FDB343"/>
    <w:rsid w:val="F7FE34D6"/>
    <w:rsid w:val="F7FE8624"/>
    <w:rsid w:val="F7FEB90F"/>
    <w:rsid w:val="F7FECE31"/>
    <w:rsid w:val="F7FED4BC"/>
    <w:rsid w:val="F7FEE1C3"/>
    <w:rsid w:val="F7FF371E"/>
    <w:rsid w:val="F7FF4CF7"/>
    <w:rsid w:val="F7FF4DD1"/>
    <w:rsid w:val="F7FF6154"/>
    <w:rsid w:val="F7FF7B3F"/>
    <w:rsid w:val="F7FF7E81"/>
    <w:rsid w:val="F7FF9FFD"/>
    <w:rsid w:val="F7FFA59C"/>
    <w:rsid w:val="F7FFA5D2"/>
    <w:rsid w:val="F7FFB8F3"/>
    <w:rsid w:val="F7FFBA14"/>
    <w:rsid w:val="F7FFC343"/>
    <w:rsid w:val="F7FFE32A"/>
    <w:rsid w:val="F7FFEE2C"/>
    <w:rsid w:val="F853EE44"/>
    <w:rsid w:val="F86C05AA"/>
    <w:rsid w:val="F87F4596"/>
    <w:rsid w:val="F8AB1713"/>
    <w:rsid w:val="F8B7F6DB"/>
    <w:rsid w:val="F8BFAD74"/>
    <w:rsid w:val="F8DB8BE3"/>
    <w:rsid w:val="F8DDBC05"/>
    <w:rsid w:val="F8EF41F0"/>
    <w:rsid w:val="F8EF8F76"/>
    <w:rsid w:val="F8F5D6B4"/>
    <w:rsid w:val="F8F77272"/>
    <w:rsid w:val="F8FA9166"/>
    <w:rsid w:val="F8FB2E3E"/>
    <w:rsid w:val="F8FBD277"/>
    <w:rsid w:val="F8FF491B"/>
    <w:rsid w:val="F8FFBD05"/>
    <w:rsid w:val="F91F3A3B"/>
    <w:rsid w:val="F95983D4"/>
    <w:rsid w:val="F95FC01C"/>
    <w:rsid w:val="F967881A"/>
    <w:rsid w:val="F96D8B3E"/>
    <w:rsid w:val="F977A28B"/>
    <w:rsid w:val="F97C08EC"/>
    <w:rsid w:val="F97C0A1C"/>
    <w:rsid w:val="F97F8602"/>
    <w:rsid w:val="F97FC9D8"/>
    <w:rsid w:val="F99F5B3E"/>
    <w:rsid w:val="F9AE4A33"/>
    <w:rsid w:val="F9B3009D"/>
    <w:rsid w:val="F9BA533C"/>
    <w:rsid w:val="F9BD3FF8"/>
    <w:rsid w:val="F9BE7FB7"/>
    <w:rsid w:val="F9BEAD3A"/>
    <w:rsid w:val="F9DA7BE1"/>
    <w:rsid w:val="F9DB1C02"/>
    <w:rsid w:val="F9DD7AEA"/>
    <w:rsid w:val="F9DF1A0D"/>
    <w:rsid w:val="F9DFBD47"/>
    <w:rsid w:val="F9EB83EF"/>
    <w:rsid w:val="F9F35737"/>
    <w:rsid w:val="F9F4B51E"/>
    <w:rsid w:val="F9F5DEDD"/>
    <w:rsid w:val="F9F6FC82"/>
    <w:rsid w:val="F9F74C7D"/>
    <w:rsid w:val="F9F85827"/>
    <w:rsid w:val="F9F94FCB"/>
    <w:rsid w:val="F9FABDB1"/>
    <w:rsid w:val="F9FDD1B9"/>
    <w:rsid w:val="F9FE1C0A"/>
    <w:rsid w:val="F9FEE1D2"/>
    <w:rsid w:val="F9FF02E7"/>
    <w:rsid w:val="F9FF1277"/>
    <w:rsid w:val="F9FF1F10"/>
    <w:rsid w:val="F9FF2724"/>
    <w:rsid w:val="F9FF5CA7"/>
    <w:rsid w:val="F9FF8449"/>
    <w:rsid w:val="F9FF8C34"/>
    <w:rsid w:val="F9FF8F5A"/>
    <w:rsid w:val="F9FF90DA"/>
    <w:rsid w:val="F9FF96F8"/>
    <w:rsid w:val="F9FFC256"/>
    <w:rsid w:val="F9FFC83C"/>
    <w:rsid w:val="FA1F4A83"/>
    <w:rsid w:val="FA365F41"/>
    <w:rsid w:val="FA42F24A"/>
    <w:rsid w:val="FA663180"/>
    <w:rsid w:val="FA773B30"/>
    <w:rsid w:val="FA798164"/>
    <w:rsid w:val="FA7F63B7"/>
    <w:rsid w:val="FA7F8DA5"/>
    <w:rsid w:val="FAB721F5"/>
    <w:rsid w:val="FABDFFDC"/>
    <w:rsid w:val="FABF23C9"/>
    <w:rsid w:val="FABF5458"/>
    <w:rsid w:val="FABF6F11"/>
    <w:rsid w:val="FABF8287"/>
    <w:rsid w:val="FABF9090"/>
    <w:rsid w:val="FAC72FBA"/>
    <w:rsid w:val="FACD1044"/>
    <w:rsid w:val="FAD3E99A"/>
    <w:rsid w:val="FADC6F6F"/>
    <w:rsid w:val="FADD5B14"/>
    <w:rsid w:val="FADF2A25"/>
    <w:rsid w:val="FADFCE69"/>
    <w:rsid w:val="FADFD89B"/>
    <w:rsid w:val="FAE75E2F"/>
    <w:rsid w:val="FAEEAB57"/>
    <w:rsid w:val="FAEEED3B"/>
    <w:rsid w:val="FAF4FA9F"/>
    <w:rsid w:val="FAF792D5"/>
    <w:rsid w:val="FAF94927"/>
    <w:rsid w:val="FAFB7FE0"/>
    <w:rsid w:val="FAFD08B6"/>
    <w:rsid w:val="FAFD78EC"/>
    <w:rsid w:val="FAFE20F0"/>
    <w:rsid w:val="FAFEEC38"/>
    <w:rsid w:val="FAFFEF1F"/>
    <w:rsid w:val="FAFFFB0F"/>
    <w:rsid w:val="FB0D837E"/>
    <w:rsid w:val="FB28D0FD"/>
    <w:rsid w:val="FB2947B1"/>
    <w:rsid w:val="FB29B1E4"/>
    <w:rsid w:val="FB379855"/>
    <w:rsid w:val="FB39EE82"/>
    <w:rsid w:val="FB3BA24E"/>
    <w:rsid w:val="FB3E11B1"/>
    <w:rsid w:val="FB3F7DED"/>
    <w:rsid w:val="FB4A293D"/>
    <w:rsid w:val="FB5A2DE0"/>
    <w:rsid w:val="FB5B16A4"/>
    <w:rsid w:val="FB5EA20C"/>
    <w:rsid w:val="FB5F681B"/>
    <w:rsid w:val="FB6BDDD9"/>
    <w:rsid w:val="FB6F4D31"/>
    <w:rsid w:val="FB736864"/>
    <w:rsid w:val="FB73BE06"/>
    <w:rsid w:val="FB748DF1"/>
    <w:rsid w:val="FB75BF05"/>
    <w:rsid w:val="FB764387"/>
    <w:rsid w:val="FB770D63"/>
    <w:rsid w:val="FB7A2C5D"/>
    <w:rsid w:val="FB7B3712"/>
    <w:rsid w:val="FB7D648A"/>
    <w:rsid w:val="FB7D9ED0"/>
    <w:rsid w:val="FB7E7540"/>
    <w:rsid w:val="FB7E762D"/>
    <w:rsid w:val="FB7F6BBF"/>
    <w:rsid w:val="FB7F7034"/>
    <w:rsid w:val="FB7F9AF6"/>
    <w:rsid w:val="FB7FE563"/>
    <w:rsid w:val="FB83B6A0"/>
    <w:rsid w:val="FB8E309D"/>
    <w:rsid w:val="FB97340B"/>
    <w:rsid w:val="FB9D94DF"/>
    <w:rsid w:val="FB9F0403"/>
    <w:rsid w:val="FB9F9092"/>
    <w:rsid w:val="FB9FC75A"/>
    <w:rsid w:val="FBA76BEA"/>
    <w:rsid w:val="FBAF91BC"/>
    <w:rsid w:val="FBAFD1E4"/>
    <w:rsid w:val="FBAFE2E3"/>
    <w:rsid w:val="FBB5CF57"/>
    <w:rsid w:val="FBBB1643"/>
    <w:rsid w:val="FBBB64D4"/>
    <w:rsid w:val="FBBB9055"/>
    <w:rsid w:val="FBBCE17D"/>
    <w:rsid w:val="FBBD68B9"/>
    <w:rsid w:val="FBBDBCB0"/>
    <w:rsid w:val="FBBE2CD3"/>
    <w:rsid w:val="FBBE3AA2"/>
    <w:rsid w:val="FBBF0F5D"/>
    <w:rsid w:val="FBBF858D"/>
    <w:rsid w:val="FBBFAEED"/>
    <w:rsid w:val="FBBFB62A"/>
    <w:rsid w:val="FBBFB8AD"/>
    <w:rsid w:val="FBBFE0EC"/>
    <w:rsid w:val="FBC76B84"/>
    <w:rsid w:val="FBC7BFF3"/>
    <w:rsid w:val="FBCD3524"/>
    <w:rsid w:val="FBCF5B8C"/>
    <w:rsid w:val="FBD391FA"/>
    <w:rsid w:val="FBD5E828"/>
    <w:rsid w:val="FBD74DA2"/>
    <w:rsid w:val="FBDB4D58"/>
    <w:rsid w:val="FBDBD78B"/>
    <w:rsid w:val="FBDBF8BB"/>
    <w:rsid w:val="FBDC43D5"/>
    <w:rsid w:val="FBDD38FF"/>
    <w:rsid w:val="FBDE2DA9"/>
    <w:rsid w:val="FBDF8CEF"/>
    <w:rsid w:val="FBDFB507"/>
    <w:rsid w:val="FBE0DF3C"/>
    <w:rsid w:val="FBE15104"/>
    <w:rsid w:val="FBE59FA4"/>
    <w:rsid w:val="FBE72E26"/>
    <w:rsid w:val="FBE7876C"/>
    <w:rsid w:val="FBE7E75D"/>
    <w:rsid w:val="FBE88115"/>
    <w:rsid w:val="FBEAA357"/>
    <w:rsid w:val="FBEB1F3D"/>
    <w:rsid w:val="FBEB3C16"/>
    <w:rsid w:val="FBEB3CFB"/>
    <w:rsid w:val="FBEB66C7"/>
    <w:rsid w:val="FBEB9040"/>
    <w:rsid w:val="FBED3CB4"/>
    <w:rsid w:val="FBEECD2F"/>
    <w:rsid w:val="FBEF1FF0"/>
    <w:rsid w:val="FBEF9364"/>
    <w:rsid w:val="FBEFA01F"/>
    <w:rsid w:val="FBEFB981"/>
    <w:rsid w:val="FBF3084B"/>
    <w:rsid w:val="FBF33EBF"/>
    <w:rsid w:val="FBF358AC"/>
    <w:rsid w:val="FBF3F3E2"/>
    <w:rsid w:val="FBF65548"/>
    <w:rsid w:val="FBF7060F"/>
    <w:rsid w:val="FBF767FE"/>
    <w:rsid w:val="FBF78E98"/>
    <w:rsid w:val="FBF9586E"/>
    <w:rsid w:val="FBF9816E"/>
    <w:rsid w:val="FBFB0248"/>
    <w:rsid w:val="FBFB1461"/>
    <w:rsid w:val="FBFB1B07"/>
    <w:rsid w:val="FBFB1B56"/>
    <w:rsid w:val="FBFBE6E8"/>
    <w:rsid w:val="FBFC01F5"/>
    <w:rsid w:val="FBFC7112"/>
    <w:rsid w:val="FBFD0B9E"/>
    <w:rsid w:val="FBFE6A3F"/>
    <w:rsid w:val="FBFEAD07"/>
    <w:rsid w:val="FBFEB495"/>
    <w:rsid w:val="FBFEDF2B"/>
    <w:rsid w:val="FBFEF391"/>
    <w:rsid w:val="FBFEF95B"/>
    <w:rsid w:val="FBFF666D"/>
    <w:rsid w:val="FBFF6F8E"/>
    <w:rsid w:val="FBFF8F99"/>
    <w:rsid w:val="FBFF98D1"/>
    <w:rsid w:val="FBFF9DAB"/>
    <w:rsid w:val="FBFFBFC7"/>
    <w:rsid w:val="FBFFE83C"/>
    <w:rsid w:val="FBFFECAB"/>
    <w:rsid w:val="FBFFF084"/>
    <w:rsid w:val="FBFFF1DF"/>
    <w:rsid w:val="FBFFFC38"/>
    <w:rsid w:val="FC2C41CF"/>
    <w:rsid w:val="FC3080C2"/>
    <w:rsid w:val="FC391C7D"/>
    <w:rsid w:val="FC3F01D6"/>
    <w:rsid w:val="FC576DE0"/>
    <w:rsid w:val="FC58FE2B"/>
    <w:rsid w:val="FC6C3871"/>
    <w:rsid w:val="FC6FA6F4"/>
    <w:rsid w:val="FC7F1801"/>
    <w:rsid w:val="FC7FC857"/>
    <w:rsid w:val="FC933477"/>
    <w:rsid w:val="FC9405B8"/>
    <w:rsid w:val="FCA508D0"/>
    <w:rsid w:val="FCBB896D"/>
    <w:rsid w:val="FCBF7DC3"/>
    <w:rsid w:val="FCCB80AD"/>
    <w:rsid w:val="FCCB8C20"/>
    <w:rsid w:val="FCCC15F8"/>
    <w:rsid w:val="FCCC4C42"/>
    <w:rsid w:val="FCD35F1B"/>
    <w:rsid w:val="FCDFB7AD"/>
    <w:rsid w:val="FCE560A1"/>
    <w:rsid w:val="FCE71D04"/>
    <w:rsid w:val="FCED86E3"/>
    <w:rsid w:val="FCEE107D"/>
    <w:rsid w:val="FCEE70E8"/>
    <w:rsid w:val="FCEE80AF"/>
    <w:rsid w:val="FCF37214"/>
    <w:rsid w:val="FCF4B2A3"/>
    <w:rsid w:val="FCF5191C"/>
    <w:rsid w:val="FCF72C4A"/>
    <w:rsid w:val="FCFA8E2A"/>
    <w:rsid w:val="FCFC545E"/>
    <w:rsid w:val="FCFD4087"/>
    <w:rsid w:val="FCFE16D0"/>
    <w:rsid w:val="FCFE26C6"/>
    <w:rsid w:val="FCFE94EE"/>
    <w:rsid w:val="FCFEB2D8"/>
    <w:rsid w:val="FCFF5F63"/>
    <w:rsid w:val="FCFF6901"/>
    <w:rsid w:val="FCFF7534"/>
    <w:rsid w:val="FCFFEDC0"/>
    <w:rsid w:val="FD0ED4D4"/>
    <w:rsid w:val="FD11573F"/>
    <w:rsid w:val="FD26E5B9"/>
    <w:rsid w:val="FD389D95"/>
    <w:rsid w:val="FD3EC26A"/>
    <w:rsid w:val="FD3F6BA3"/>
    <w:rsid w:val="FD463D55"/>
    <w:rsid w:val="FD562EC9"/>
    <w:rsid w:val="FD597980"/>
    <w:rsid w:val="FD59CA5C"/>
    <w:rsid w:val="FD5C0D82"/>
    <w:rsid w:val="FD671581"/>
    <w:rsid w:val="FD6AA392"/>
    <w:rsid w:val="FD6B5087"/>
    <w:rsid w:val="FD6B8571"/>
    <w:rsid w:val="FD6D49A1"/>
    <w:rsid w:val="FD6DC97F"/>
    <w:rsid w:val="FD6DD0FC"/>
    <w:rsid w:val="FD6DFF2B"/>
    <w:rsid w:val="FD6EE1ED"/>
    <w:rsid w:val="FD6FD618"/>
    <w:rsid w:val="FD74877B"/>
    <w:rsid w:val="FD783977"/>
    <w:rsid w:val="FD7B0893"/>
    <w:rsid w:val="FD7BBD2C"/>
    <w:rsid w:val="FD7BBE17"/>
    <w:rsid w:val="FD7DE3E9"/>
    <w:rsid w:val="FD7E1066"/>
    <w:rsid w:val="FD7F7519"/>
    <w:rsid w:val="FD7FA5AC"/>
    <w:rsid w:val="FD7FA5DF"/>
    <w:rsid w:val="FD7FA9D1"/>
    <w:rsid w:val="FD8F0F41"/>
    <w:rsid w:val="FD963A8C"/>
    <w:rsid w:val="FD9B25E7"/>
    <w:rsid w:val="FD9C78AA"/>
    <w:rsid w:val="FD9D3591"/>
    <w:rsid w:val="FD9F10A5"/>
    <w:rsid w:val="FD9F9FC0"/>
    <w:rsid w:val="FD9FF624"/>
    <w:rsid w:val="FDAB42C1"/>
    <w:rsid w:val="FDADC68B"/>
    <w:rsid w:val="FDAF0F2A"/>
    <w:rsid w:val="FDAF30E0"/>
    <w:rsid w:val="FDAFAB38"/>
    <w:rsid w:val="FDB6A340"/>
    <w:rsid w:val="FDB6C3C0"/>
    <w:rsid w:val="FDB850FB"/>
    <w:rsid w:val="FDBBBC84"/>
    <w:rsid w:val="FDBBCB96"/>
    <w:rsid w:val="FDBDD888"/>
    <w:rsid w:val="FDBE350C"/>
    <w:rsid w:val="FDBE8564"/>
    <w:rsid w:val="FDBEA6A9"/>
    <w:rsid w:val="FDBF3CD4"/>
    <w:rsid w:val="FDBF4725"/>
    <w:rsid w:val="FDBF5CD1"/>
    <w:rsid w:val="FDBF9162"/>
    <w:rsid w:val="FDBFA5BB"/>
    <w:rsid w:val="FDBFBECD"/>
    <w:rsid w:val="FDC73D58"/>
    <w:rsid w:val="FDC7E1BB"/>
    <w:rsid w:val="FDCE52B3"/>
    <w:rsid w:val="FDCF8A13"/>
    <w:rsid w:val="FDCFA3F2"/>
    <w:rsid w:val="FDCFB8BD"/>
    <w:rsid w:val="FDCFE7E5"/>
    <w:rsid w:val="FDD1A67D"/>
    <w:rsid w:val="FDD2DEB7"/>
    <w:rsid w:val="FDD3818E"/>
    <w:rsid w:val="FDD4237F"/>
    <w:rsid w:val="FDD6D04A"/>
    <w:rsid w:val="FDDB21F6"/>
    <w:rsid w:val="FDDC3D69"/>
    <w:rsid w:val="FDDC51E9"/>
    <w:rsid w:val="FDDC5591"/>
    <w:rsid w:val="FDDC84D9"/>
    <w:rsid w:val="FDDDE696"/>
    <w:rsid w:val="FDDE44D4"/>
    <w:rsid w:val="FDDE51EE"/>
    <w:rsid w:val="FDDFB756"/>
    <w:rsid w:val="FDDFDEC6"/>
    <w:rsid w:val="FDE0B758"/>
    <w:rsid w:val="FDE2AA61"/>
    <w:rsid w:val="FDE777AC"/>
    <w:rsid w:val="FDE7B1CC"/>
    <w:rsid w:val="FDE7BF47"/>
    <w:rsid w:val="FDE7CAB3"/>
    <w:rsid w:val="FDE7D842"/>
    <w:rsid w:val="FDEAAB65"/>
    <w:rsid w:val="FDEBCEBB"/>
    <w:rsid w:val="FDEBE626"/>
    <w:rsid w:val="FDEE5504"/>
    <w:rsid w:val="FDEE9CF0"/>
    <w:rsid w:val="FDEFD869"/>
    <w:rsid w:val="FDF1D748"/>
    <w:rsid w:val="FDF3B071"/>
    <w:rsid w:val="FDF5E530"/>
    <w:rsid w:val="FDF64359"/>
    <w:rsid w:val="FDF6DD87"/>
    <w:rsid w:val="FDF7104F"/>
    <w:rsid w:val="FDF72966"/>
    <w:rsid w:val="FDF74055"/>
    <w:rsid w:val="FDF7A075"/>
    <w:rsid w:val="FDF7DB75"/>
    <w:rsid w:val="FDF9286E"/>
    <w:rsid w:val="FDF9931A"/>
    <w:rsid w:val="FDF9F990"/>
    <w:rsid w:val="FDFB11C5"/>
    <w:rsid w:val="FDFB9B8B"/>
    <w:rsid w:val="FDFBADC6"/>
    <w:rsid w:val="FDFC8580"/>
    <w:rsid w:val="FDFCB593"/>
    <w:rsid w:val="FDFD054C"/>
    <w:rsid w:val="FDFE208F"/>
    <w:rsid w:val="FDFE4E7B"/>
    <w:rsid w:val="FDFE72EC"/>
    <w:rsid w:val="FDFE98BE"/>
    <w:rsid w:val="FDFED074"/>
    <w:rsid w:val="FDFF3939"/>
    <w:rsid w:val="FDFF3AF0"/>
    <w:rsid w:val="FDFF4E31"/>
    <w:rsid w:val="FDFF5FF7"/>
    <w:rsid w:val="FDFF69C4"/>
    <w:rsid w:val="FDFF8BAC"/>
    <w:rsid w:val="FDFFAFE8"/>
    <w:rsid w:val="FDFFB34E"/>
    <w:rsid w:val="FDFFC7D9"/>
    <w:rsid w:val="FDFFCF61"/>
    <w:rsid w:val="FDFFF02F"/>
    <w:rsid w:val="FE13D799"/>
    <w:rsid w:val="FE1FD96C"/>
    <w:rsid w:val="FE2CACA2"/>
    <w:rsid w:val="FE351C8E"/>
    <w:rsid w:val="FE3B217D"/>
    <w:rsid w:val="FE3F6694"/>
    <w:rsid w:val="FE49FB9C"/>
    <w:rsid w:val="FE4DA131"/>
    <w:rsid w:val="FE4E04DB"/>
    <w:rsid w:val="FE596D8F"/>
    <w:rsid w:val="FE5B3F15"/>
    <w:rsid w:val="FE5FC9D4"/>
    <w:rsid w:val="FE5FCE62"/>
    <w:rsid w:val="FE67E0DF"/>
    <w:rsid w:val="FE67FB13"/>
    <w:rsid w:val="FE6BFAE9"/>
    <w:rsid w:val="FE6DBEF4"/>
    <w:rsid w:val="FE6E29A6"/>
    <w:rsid w:val="FE6F9574"/>
    <w:rsid w:val="FE778740"/>
    <w:rsid w:val="FE7A00FF"/>
    <w:rsid w:val="FE7A3921"/>
    <w:rsid w:val="FE7D310B"/>
    <w:rsid w:val="FE7DB5EF"/>
    <w:rsid w:val="FE7DECCA"/>
    <w:rsid w:val="FE7E8A3D"/>
    <w:rsid w:val="FE7EB743"/>
    <w:rsid w:val="FE7F808A"/>
    <w:rsid w:val="FE7F9DDE"/>
    <w:rsid w:val="FE7FB235"/>
    <w:rsid w:val="FE7FDB80"/>
    <w:rsid w:val="FE7FEF88"/>
    <w:rsid w:val="FE7FF1AD"/>
    <w:rsid w:val="FE873416"/>
    <w:rsid w:val="FE8B4B83"/>
    <w:rsid w:val="FE8B80C8"/>
    <w:rsid w:val="FE954465"/>
    <w:rsid w:val="FE9D993A"/>
    <w:rsid w:val="FE9F6486"/>
    <w:rsid w:val="FE9FDA41"/>
    <w:rsid w:val="FEA1A200"/>
    <w:rsid w:val="FEAB6D54"/>
    <w:rsid w:val="FEABCAB0"/>
    <w:rsid w:val="FEAF97CC"/>
    <w:rsid w:val="FEB52BB5"/>
    <w:rsid w:val="FEB78A64"/>
    <w:rsid w:val="FEBA7EB1"/>
    <w:rsid w:val="FEBC0942"/>
    <w:rsid w:val="FEBC9311"/>
    <w:rsid w:val="FEBCE853"/>
    <w:rsid w:val="FEBF0BD3"/>
    <w:rsid w:val="FEBF2531"/>
    <w:rsid w:val="FEBF428F"/>
    <w:rsid w:val="FEBF626D"/>
    <w:rsid w:val="FEBFCCF1"/>
    <w:rsid w:val="FEBFDB88"/>
    <w:rsid w:val="FEC542DD"/>
    <w:rsid w:val="FEC6EE6A"/>
    <w:rsid w:val="FECE6E71"/>
    <w:rsid w:val="FED30A67"/>
    <w:rsid w:val="FEDBCA9B"/>
    <w:rsid w:val="FEDBD91B"/>
    <w:rsid w:val="FEDCD420"/>
    <w:rsid w:val="FEDD30E0"/>
    <w:rsid w:val="FEDD97BD"/>
    <w:rsid w:val="FEDE25D5"/>
    <w:rsid w:val="FEDF0E1C"/>
    <w:rsid w:val="FEDF10BD"/>
    <w:rsid w:val="FEDF4938"/>
    <w:rsid w:val="FEDF8C35"/>
    <w:rsid w:val="FEDF99E6"/>
    <w:rsid w:val="FEDFC8A0"/>
    <w:rsid w:val="FEE00DA4"/>
    <w:rsid w:val="FEE5511B"/>
    <w:rsid w:val="FEE67446"/>
    <w:rsid w:val="FEE6C62A"/>
    <w:rsid w:val="FEE701F3"/>
    <w:rsid w:val="FEED2ECA"/>
    <w:rsid w:val="FEED6646"/>
    <w:rsid w:val="FEEDC769"/>
    <w:rsid w:val="FEEE994D"/>
    <w:rsid w:val="FEEF5954"/>
    <w:rsid w:val="FEEF9954"/>
    <w:rsid w:val="FEEFF1EF"/>
    <w:rsid w:val="FEF0A2A7"/>
    <w:rsid w:val="FEF16A2D"/>
    <w:rsid w:val="FEF1E2A1"/>
    <w:rsid w:val="FEF5448A"/>
    <w:rsid w:val="FEF5BCE1"/>
    <w:rsid w:val="FEF60D5F"/>
    <w:rsid w:val="FEF6651E"/>
    <w:rsid w:val="FEF7445F"/>
    <w:rsid w:val="FEF74719"/>
    <w:rsid w:val="FEF7BCA8"/>
    <w:rsid w:val="FEF9A664"/>
    <w:rsid w:val="FEF9F040"/>
    <w:rsid w:val="FEFA9E92"/>
    <w:rsid w:val="FEFB53A7"/>
    <w:rsid w:val="FEFB819E"/>
    <w:rsid w:val="FEFBBDC8"/>
    <w:rsid w:val="FEFC03AA"/>
    <w:rsid w:val="FEFD1890"/>
    <w:rsid w:val="FEFD7828"/>
    <w:rsid w:val="FEFD90DA"/>
    <w:rsid w:val="FEFDB7EC"/>
    <w:rsid w:val="FEFDC993"/>
    <w:rsid w:val="FEFDCF49"/>
    <w:rsid w:val="FEFDE0A1"/>
    <w:rsid w:val="FEFE27BB"/>
    <w:rsid w:val="FEFE7E12"/>
    <w:rsid w:val="FEFEC4B3"/>
    <w:rsid w:val="FEFECA2E"/>
    <w:rsid w:val="FEFECADB"/>
    <w:rsid w:val="FEFF02BB"/>
    <w:rsid w:val="FEFF0AAD"/>
    <w:rsid w:val="FEFF0CCE"/>
    <w:rsid w:val="FEFF18E2"/>
    <w:rsid w:val="FEFF31DA"/>
    <w:rsid w:val="FEFF41DE"/>
    <w:rsid w:val="FEFF474F"/>
    <w:rsid w:val="FEFF51EE"/>
    <w:rsid w:val="FEFF53A6"/>
    <w:rsid w:val="FEFF8E1C"/>
    <w:rsid w:val="FEFF9254"/>
    <w:rsid w:val="FEFF9FCA"/>
    <w:rsid w:val="FEFFB36C"/>
    <w:rsid w:val="FEFFBC53"/>
    <w:rsid w:val="FEFFC8A1"/>
    <w:rsid w:val="FEFFE5FA"/>
    <w:rsid w:val="FEFFEE12"/>
    <w:rsid w:val="FF03EE77"/>
    <w:rsid w:val="FF0C8BBB"/>
    <w:rsid w:val="FF137D20"/>
    <w:rsid w:val="FF16BA54"/>
    <w:rsid w:val="FF17D25D"/>
    <w:rsid w:val="FF1D90D5"/>
    <w:rsid w:val="FF1E7B21"/>
    <w:rsid w:val="FF1F3A03"/>
    <w:rsid w:val="FF1FD147"/>
    <w:rsid w:val="FF21C43D"/>
    <w:rsid w:val="FF26E7FE"/>
    <w:rsid w:val="FF26F4BE"/>
    <w:rsid w:val="FF273E2F"/>
    <w:rsid w:val="FF2AE899"/>
    <w:rsid w:val="FF2F3218"/>
    <w:rsid w:val="FF313954"/>
    <w:rsid w:val="FF35EE02"/>
    <w:rsid w:val="FF36DB8B"/>
    <w:rsid w:val="FF36DD7B"/>
    <w:rsid w:val="FF36DF72"/>
    <w:rsid w:val="FF370E93"/>
    <w:rsid w:val="FF373AA6"/>
    <w:rsid w:val="FF39F440"/>
    <w:rsid w:val="FF3B0D82"/>
    <w:rsid w:val="FF3D4C1C"/>
    <w:rsid w:val="FF3D85A7"/>
    <w:rsid w:val="FF3DBFE2"/>
    <w:rsid w:val="FF3F143E"/>
    <w:rsid w:val="FF3F148A"/>
    <w:rsid w:val="FF3F287E"/>
    <w:rsid w:val="FF3F3FEC"/>
    <w:rsid w:val="FF3F6609"/>
    <w:rsid w:val="FF4B92BA"/>
    <w:rsid w:val="FF4FF921"/>
    <w:rsid w:val="FF572DFB"/>
    <w:rsid w:val="FF57D7C7"/>
    <w:rsid w:val="FF57E736"/>
    <w:rsid w:val="FF5E1AFD"/>
    <w:rsid w:val="FF5E4E50"/>
    <w:rsid w:val="FF5EC214"/>
    <w:rsid w:val="FF5ECE7B"/>
    <w:rsid w:val="FF5F360E"/>
    <w:rsid w:val="FF5F70A7"/>
    <w:rsid w:val="FF5FC8A9"/>
    <w:rsid w:val="FF5FF5B4"/>
    <w:rsid w:val="FF64EB5E"/>
    <w:rsid w:val="FF650ED4"/>
    <w:rsid w:val="FF67136B"/>
    <w:rsid w:val="FF67355B"/>
    <w:rsid w:val="FF67EFD2"/>
    <w:rsid w:val="FF683445"/>
    <w:rsid w:val="FF6A4CBE"/>
    <w:rsid w:val="FF6AE8D8"/>
    <w:rsid w:val="FF6B3214"/>
    <w:rsid w:val="FF6BDA7B"/>
    <w:rsid w:val="FF6D5D84"/>
    <w:rsid w:val="FF6F382B"/>
    <w:rsid w:val="FF72512D"/>
    <w:rsid w:val="FF726C8C"/>
    <w:rsid w:val="FF7276E9"/>
    <w:rsid w:val="FF738B6D"/>
    <w:rsid w:val="FF73DCBF"/>
    <w:rsid w:val="FF73DFFE"/>
    <w:rsid w:val="FF758E5E"/>
    <w:rsid w:val="FF765E7A"/>
    <w:rsid w:val="FF76A145"/>
    <w:rsid w:val="FF776101"/>
    <w:rsid w:val="FF7783B1"/>
    <w:rsid w:val="FF7882B7"/>
    <w:rsid w:val="FF78D66E"/>
    <w:rsid w:val="FF796116"/>
    <w:rsid w:val="FF7A9048"/>
    <w:rsid w:val="FF7A973F"/>
    <w:rsid w:val="FF7B582F"/>
    <w:rsid w:val="FF7B7843"/>
    <w:rsid w:val="FF7C003C"/>
    <w:rsid w:val="FF7C19B1"/>
    <w:rsid w:val="FF7CA451"/>
    <w:rsid w:val="FF7CCDCB"/>
    <w:rsid w:val="FF7CDD93"/>
    <w:rsid w:val="FF7D0F17"/>
    <w:rsid w:val="FF7D512E"/>
    <w:rsid w:val="FF7D6CD7"/>
    <w:rsid w:val="FF7DAE04"/>
    <w:rsid w:val="FF7E0BDB"/>
    <w:rsid w:val="FF7E1030"/>
    <w:rsid w:val="FF7EEB96"/>
    <w:rsid w:val="FF7F0F22"/>
    <w:rsid w:val="FF7F1324"/>
    <w:rsid w:val="FF7F31CA"/>
    <w:rsid w:val="FF7F3490"/>
    <w:rsid w:val="FF7F48ED"/>
    <w:rsid w:val="FF7F656D"/>
    <w:rsid w:val="FF7FAD0F"/>
    <w:rsid w:val="FF7FB49C"/>
    <w:rsid w:val="FF7FC65F"/>
    <w:rsid w:val="FF7FD9CB"/>
    <w:rsid w:val="FF7FDA5F"/>
    <w:rsid w:val="FF8F1C72"/>
    <w:rsid w:val="FF8F1C7E"/>
    <w:rsid w:val="FF8F40A4"/>
    <w:rsid w:val="FF8FFE36"/>
    <w:rsid w:val="FF9507C0"/>
    <w:rsid w:val="FF95120E"/>
    <w:rsid w:val="FF952313"/>
    <w:rsid w:val="FF97707E"/>
    <w:rsid w:val="FF979B31"/>
    <w:rsid w:val="FF9805AC"/>
    <w:rsid w:val="FF9985C7"/>
    <w:rsid w:val="FF9CDDD5"/>
    <w:rsid w:val="FF9E2730"/>
    <w:rsid w:val="FF9E2E70"/>
    <w:rsid w:val="FF9E4AE4"/>
    <w:rsid w:val="FF9E4FDF"/>
    <w:rsid w:val="FF9E578B"/>
    <w:rsid w:val="FF9E6734"/>
    <w:rsid w:val="FF9E82AE"/>
    <w:rsid w:val="FF9E8C6F"/>
    <w:rsid w:val="FF9EAC4C"/>
    <w:rsid w:val="FF9EFB18"/>
    <w:rsid w:val="FF9F0AA5"/>
    <w:rsid w:val="FF9F346D"/>
    <w:rsid w:val="FF9F3648"/>
    <w:rsid w:val="FF9FB59A"/>
    <w:rsid w:val="FF9FEE20"/>
    <w:rsid w:val="FFA53B85"/>
    <w:rsid w:val="FFA75AF5"/>
    <w:rsid w:val="FFABD529"/>
    <w:rsid w:val="FFAD4884"/>
    <w:rsid w:val="FFADAA21"/>
    <w:rsid w:val="FFADFB00"/>
    <w:rsid w:val="FFAEA685"/>
    <w:rsid w:val="FFAF020C"/>
    <w:rsid w:val="FFAF2A95"/>
    <w:rsid w:val="FFAFB079"/>
    <w:rsid w:val="FFAFE329"/>
    <w:rsid w:val="FFB13FBE"/>
    <w:rsid w:val="FFB2C785"/>
    <w:rsid w:val="FFB4ECE6"/>
    <w:rsid w:val="FFB636CD"/>
    <w:rsid w:val="FFB683BB"/>
    <w:rsid w:val="FFB7A6B0"/>
    <w:rsid w:val="FFB964AA"/>
    <w:rsid w:val="FFBB3E96"/>
    <w:rsid w:val="FFBB4F28"/>
    <w:rsid w:val="FFBBFE56"/>
    <w:rsid w:val="FFBD2C81"/>
    <w:rsid w:val="FFBD5FD9"/>
    <w:rsid w:val="FFBD9730"/>
    <w:rsid w:val="FFBDE626"/>
    <w:rsid w:val="FFBE5289"/>
    <w:rsid w:val="FFBF09CB"/>
    <w:rsid w:val="FFBF1562"/>
    <w:rsid w:val="FFBF1EA4"/>
    <w:rsid w:val="FFBF6466"/>
    <w:rsid w:val="FFBF7B54"/>
    <w:rsid w:val="FFBF82BA"/>
    <w:rsid w:val="FFBF8EA1"/>
    <w:rsid w:val="FFBF9423"/>
    <w:rsid w:val="FFBF950A"/>
    <w:rsid w:val="FFBFA033"/>
    <w:rsid w:val="FFBFA8A0"/>
    <w:rsid w:val="FFBFBFC8"/>
    <w:rsid w:val="FFBFEFF8"/>
    <w:rsid w:val="FFBFFC6B"/>
    <w:rsid w:val="FFBFFF8E"/>
    <w:rsid w:val="FFC329DF"/>
    <w:rsid w:val="FFC7967F"/>
    <w:rsid w:val="FFC9B505"/>
    <w:rsid w:val="FFCAA58D"/>
    <w:rsid w:val="FFCBFD41"/>
    <w:rsid w:val="FFCD4E3D"/>
    <w:rsid w:val="FFCF00C1"/>
    <w:rsid w:val="FFCF0F81"/>
    <w:rsid w:val="FFCF14BE"/>
    <w:rsid w:val="FFCF151A"/>
    <w:rsid w:val="FFCF3852"/>
    <w:rsid w:val="FFCF9AA1"/>
    <w:rsid w:val="FFD3DCA3"/>
    <w:rsid w:val="FFD3EF29"/>
    <w:rsid w:val="FFD43FFC"/>
    <w:rsid w:val="FFD518AB"/>
    <w:rsid w:val="FFD5DD5F"/>
    <w:rsid w:val="FFD658FB"/>
    <w:rsid w:val="FFD78EBB"/>
    <w:rsid w:val="FFD79ED0"/>
    <w:rsid w:val="FFD8DC89"/>
    <w:rsid w:val="FFD914A2"/>
    <w:rsid w:val="FFD95045"/>
    <w:rsid w:val="FFD95DFD"/>
    <w:rsid w:val="FFDAEA98"/>
    <w:rsid w:val="FFDB5CB1"/>
    <w:rsid w:val="FFDB7351"/>
    <w:rsid w:val="FFDD0926"/>
    <w:rsid w:val="FFDD2117"/>
    <w:rsid w:val="FFDD644F"/>
    <w:rsid w:val="FFDD7833"/>
    <w:rsid w:val="FFDDBAC9"/>
    <w:rsid w:val="FFDE6D78"/>
    <w:rsid w:val="FFDEE895"/>
    <w:rsid w:val="FFDF135F"/>
    <w:rsid w:val="FFDF23D7"/>
    <w:rsid w:val="FFDF302C"/>
    <w:rsid w:val="FFDF5C84"/>
    <w:rsid w:val="FFDFA0B7"/>
    <w:rsid w:val="FFDFCDD9"/>
    <w:rsid w:val="FFDFEEF8"/>
    <w:rsid w:val="FFE1EA59"/>
    <w:rsid w:val="FFE2EDC6"/>
    <w:rsid w:val="FFE352E4"/>
    <w:rsid w:val="FFE393C6"/>
    <w:rsid w:val="FFE49224"/>
    <w:rsid w:val="FFE576DA"/>
    <w:rsid w:val="FFE57A6E"/>
    <w:rsid w:val="FFE639B2"/>
    <w:rsid w:val="FFE69D94"/>
    <w:rsid w:val="FFE71310"/>
    <w:rsid w:val="FFE7B2BE"/>
    <w:rsid w:val="FFE7B5C2"/>
    <w:rsid w:val="FFE7DB9B"/>
    <w:rsid w:val="FFE9716E"/>
    <w:rsid w:val="FFEA2990"/>
    <w:rsid w:val="FFEA5CCA"/>
    <w:rsid w:val="FFEA618B"/>
    <w:rsid w:val="FFEAC599"/>
    <w:rsid w:val="FFEAC5A1"/>
    <w:rsid w:val="FFEB5311"/>
    <w:rsid w:val="FFEB872A"/>
    <w:rsid w:val="FFEB9979"/>
    <w:rsid w:val="FFEBCF40"/>
    <w:rsid w:val="FFECC30C"/>
    <w:rsid w:val="FFED09B7"/>
    <w:rsid w:val="FFED19CD"/>
    <w:rsid w:val="FFED38C0"/>
    <w:rsid w:val="FFEDDE80"/>
    <w:rsid w:val="FFEDE118"/>
    <w:rsid w:val="FFEDFA51"/>
    <w:rsid w:val="FFEDFACE"/>
    <w:rsid w:val="FFEE1E8D"/>
    <w:rsid w:val="FFEE453A"/>
    <w:rsid w:val="FFEE89BC"/>
    <w:rsid w:val="FFEEB3B3"/>
    <w:rsid w:val="FFEECB63"/>
    <w:rsid w:val="FFEEF2EC"/>
    <w:rsid w:val="FFEF13A2"/>
    <w:rsid w:val="FFEF2F79"/>
    <w:rsid w:val="FFEF3A00"/>
    <w:rsid w:val="FFEF628C"/>
    <w:rsid w:val="FFEF7A38"/>
    <w:rsid w:val="FFEF7B5B"/>
    <w:rsid w:val="FFEF8D13"/>
    <w:rsid w:val="FFEFA11B"/>
    <w:rsid w:val="FFEFA43E"/>
    <w:rsid w:val="FFEFA566"/>
    <w:rsid w:val="FFEFB35E"/>
    <w:rsid w:val="FFEFB3E1"/>
    <w:rsid w:val="FFEFC21C"/>
    <w:rsid w:val="FFEFD05A"/>
    <w:rsid w:val="FFEFD6D4"/>
    <w:rsid w:val="FFEFE227"/>
    <w:rsid w:val="FFEFF1B9"/>
    <w:rsid w:val="FFEFF915"/>
    <w:rsid w:val="FFF21667"/>
    <w:rsid w:val="FFF27250"/>
    <w:rsid w:val="FFF319A1"/>
    <w:rsid w:val="FFF34758"/>
    <w:rsid w:val="FFF397EB"/>
    <w:rsid w:val="FFF3AD4E"/>
    <w:rsid w:val="FFF42C0C"/>
    <w:rsid w:val="FFF47592"/>
    <w:rsid w:val="FFF52AC8"/>
    <w:rsid w:val="FFF5AE09"/>
    <w:rsid w:val="FFF616B9"/>
    <w:rsid w:val="FFF61F5C"/>
    <w:rsid w:val="FFF663FA"/>
    <w:rsid w:val="FFF684E8"/>
    <w:rsid w:val="FFF6DC86"/>
    <w:rsid w:val="FFF70031"/>
    <w:rsid w:val="FFF702A2"/>
    <w:rsid w:val="FFF712C7"/>
    <w:rsid w:val="FFF71B2E"/>
    <w:rsid w:val="FFF744E0"/>
    <w:rsid w:val="FFF746F9"/>
    <w:rsid w:val="FFF7827D"/>
    <w:rsid w:val="FFF7ACE8"/>
    <w:rsid w:val="FFF7C889"/>
    <w:rsid w:val="FFF7D6B4"/>
    <w:rsid w:val="FFF7FFA9"/>
    <w:rsid w:val="FFF8A9E7"/>
    <w:rsid w:val="FFF95EAA"/>
    <w:rsid w:val="FFF98F4C"/>
    <w:rsid w:val="FFF9F71D"/>
    <w:rsid w:val="FFFA0636"/>
    <w:rsid w:val="FFFA11DD"/>
    <w:rsid w:val="FFFA4BB1"/>
    <w:rsid w:val="FFFA71A4"/>
    <w:rsid w:val="FFFACAD6"/>
    <w:rsid w:val="FFFB0B19"/>
    <w:rsid w:val="FFFB1EA1"/>
    <w:rsid w:val="FFFB3D52"/>
    <w:rsid w:val="FFFB449E"/>
    <w:rsid w:val="FFFB6AD9"/>
    <w:rsid w:val="FFFB7B89"/>
    <w:rsid w:val="FFFB8B5A"/>
    <w:rsid w:val="FFFBBD85"/>
    <w:rsid w:val="FFFBD93F"/>
    <w:rsid w:val="FFFBEEEC"/>
    <w:rsid w:val="FFFBFF19"/>
    <w:rsid w:val="FFFC24D0"/>
    <w:rsid w:val="FFFC2E86"/>
    <w:rsid w:val="FFFC3C5F"/>
    <w:rsid w:val="FFFC3F95"/>
    <w:rsid w:val="FFFC6864"/>
    <w:rsid w:val="FFFC7669"/>
    <w:rsid w:val="FFFC9202"/>
    <w:rsid w:val="FFFCE4EA"/>
    <w:rsid w:val="FFFCE965"/>
    <w:rsid w:val="FFFD02B4"/>
    <w:rsid w:val="FFFD0669"/>
    <w:rsid w:val="FFFD0C49"/>
    <w:rsid w:val="FFFD324D"/>
    <w:rsid w:val="FFFD736D"/>
    <w:rsid w:val="FFFD852A"/>
    <w:rsid w:val="FFFD908E"/>
    <w:rsid w:val="FFFDA8FD"/>
    <w:rsid w:val="FFFDC13E"/>
    <w:rsid w:val="FFFDC732"/>
    <w:rsid w:val="FFFDDAE8"/>
    <w:rsid w:val="FFFDF75C"/>
    <w:rsid w:val="FFFDFAAA"/>
    <w:rsid w:val="FFFE1ABE"/>
    <w:rsid w:val="FFFE3DB3"/>
    <w:rsid w:val="FFFE4A47"/>
    <w:rsid w:val="FFFE52A0"/>
    <w:rsid w:val="FFFE696E"/>
    <w:rsid w:val="FFFE9032"/>
    <w:rsid w:val="FFFEAF39"/>
    <w:rsid w:val="FFFEDFA5"/>
    <w:rsid w:val="FFFEE4C9"/>
    <w:rsid w:val="FFFEF923"/>
    <w:rsid w:val="FFFF06E5"/>
    <w:rsid w:val="FFFF139E"/>
    <w:rsid w:val="FFFF155A"/>
    <w:rsid w:val="FFFF1CAA"/>
    <w:rsid w:val="FFFF2769"/>
    <w:rsid w:val="FFFF2857"/>
    <w:rsid w:val="FFFF2A40"/>
    <w:rsid w:val="FFFF306F"/>
    <w:rsid w:val="FFFF3993"/>
    <w:rsid w:val="FFFF4532"/>
    <w:rsid w:val="FFFF5F55"/>
    <w:rsid w:val="FFFF6249"/>
    <w:rsid w:val="FFFF6AF7"/>
    <w:rsid w:val="FFFF6E23"/>
    <w:rsid w:val="FFFF7299"/>
    <w:rsid w:val="FFFF729C"/>
    <w:rsid w:val="FFFF73DE"/>
    <w:rsid w:val="FFFF7AA9"/>
    <w:rsid w:val="FFFF8314"/>
    <w:rsid w:val="FFFF84D1"/>
    <w:rsid w:val="FFFF8C5C"/>
    <w:rsid w:val="FFFF8E5E"/>
    <w:rsid w:val="FFFF920D"/>
    <w:rsid w:val="FFFF9EE1"/>
    <w:rsid w:val="FFFF9F97"/>
    <w:rsid w:val="FFFFA0D4"/>
    <w:rsid w:val="FFFFA6B0"/>
    <w:rsid w:val="FFFFAD37"/>
    <w:rsid w:val="FFFFB76B"/>
    <w:rsid w:val="FFFFC0B1"/>
    <w:rsid w:val="FFFFC1BF"/>
    <w:rsid w:val="FFFFC4D6"/>
    <w:rsid w:val="FFFFCB62"/>
    <w:rsid w:val="FFFFD0A4"/>
    <w:rsid w:val="FFFFD7D9"/>
    <w:rsid w:val="FFFFE41F"/>
    <w:rsid w:val="FFFFE65C"/>
    <w:rsid w:val="FFFFEDDE"/>
    <w:rsid w:val="FFFFF242"/>
    <w:rsid w:val="FFFFF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420"/>
    </w:pPr>
    <w:rPr>
      <w:rFonts w:ascii="仿宋" w:hAnsi="仿宋" w:eastAsia="仿宋" w:cs="Times New Roman"/>
      <w:sz w:val="24"/>
      <w:szCs w:val="24"/>
      <w:lang w:val="en-US" w:eastAsia="zh-CN" w:bidi="ar-SA"/>
    </w:rPr>
  </w:style>
  <w:style w:type="paragraph" w:styleId="2">
    <w:name w:val="heading 3"/>
    <w:basedOn w:val="1"/>
    <w:next w:val="1"/>
    <w:qFormat/>
    <w:uiPriority w:val="9"/>
    <w:pPr>
      <w:keepLines/>
      <w:spacing w:before="280" w:beforeAutospacing="0" w:after="280" w:afterAutospacing="0"/>
      <w:outlineLvl w:val="1"/>
    </w:pPr>
    <w:rPr>
      <w:b/>
      <w:color w:val="000000"/>
      <w:sz w:val="28"/>
    </w:rPr>
  </w:style>
  <w:style w:type="paragraph" w:styleId="3">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7"/>
    <w:qFormat/>
    <w:uiPriority w:val="0"/>
  </w:style>
  <w:style w:type="paragraph" w:styleId="5">
    <w:name w:val="footer"/>
    <w:basedOn w:val="1"/>
    <w:link w:val="16"/>
    <w:unhideWhenUsed/>
    <w:qFormat/>
    <w:uiPriority w:val="99"/>
    <w:pPr>
      <w:widowControl w:val="0"/>
      <w:tabs>
        <w:tab w:val="center" w:pos="4153"/>
        <w:tab w:val="right" w:pos="8306"/>
      </w:tabs>
      <w:snapToGrid w:val="0"/>
      <w:jc w:val="center"/>
    </w:pPr>
    <w:rPr>
      <w:sz w:val="18"/>
      <w:szCs w:val="18"/>
      <w14:ligatures w14:val="standardContextual"/>
    </w:rPr>
  </w:style>
  <w:style w:type="paragraph" w:styleId="6">
    <w:name w:val="header"/>
    <w:basedOn w:val="1"/>
    <w:link w:val="15"/>
    <w:unhideWhenUsed/>
    <w:qFormat/>
    <w:uiPriority w:val="99"/>
    <w:pPr>
      <w:widowControl w:val="0"/>
      <w:tabs>
        <w:tab w:val="center" w:pos="4153"/>
        <w:tab w:val="right" w:pos="8306"/>
      </w:tabs>
      <w:snapToGrid w:val="0"/>
      <w:jc w:val="center"/>
    </w:pPr>
    <w:rPr>
      <w:sz w:val="18"/>
      <w:szCs w:val="18"/>
      <w14:ligatures w14:val="standardContextual"/>
    </w:rPr>
  </w:style>
  <w:style w:type="paragraph" w:styleId="7">
    <w:name w:val="toc 1"/>
    <w:basedOn w:val="1"/>
    <w:next w:val="1"/>
    <w:semiHidden/>
    <w:unhideWhenUsed/>
    <w:qFormat/>
    <w:uiPriority w:val="39"/>
  </w:style>
  <w:style w:type="paragraph" w:styleId="8">
    <w:name w:val="toc 2"/>
    <w:basedOn w:val="1"/>
    <w:next w:val="1"/>
    <w:semiHidden/>
    <w:unhideWhenUsed/>
    <w:qFormat/>
    <w:uiPriority w:val="39"/>
    <w:pPr>
      <w:ind w:left="420" w:leftChars="200"/>
    </w:pPr>
  </w:style>
  <w:style w:type="paragraph" w:styleId="9">
    <w:name w:val="Normal (Web)"/>
    <w:basedOn w:val="1"/>
    <w:qFormat/>
    <w:uiPriority w:val="99"/>
    <w:pPr>
      <w:spacing w:before="100" w:beforeAutospacing="1" w:after="100" w:afterAutospacing="1"/>
    </w:pPr>
    <w:rPr>
      <w:sz w:val="24"/>
    </w:rPr>
  </w:style>
  <w:style w:type="paragraph" w:styleId="10">
    <w:name w:val="annotation subject"/>
    <w:basedOn w:val="4"/>
    <w:next w:val="4"/>
    <w:link w:val="20"/>
    <w:semiHidden/>
    <w:unhideWhenUsed/>
    <w:qFormat/>
    <w:uiPriority w:val="99"/>
    <w:rPr>
      <w:b/>
      <w:bCs/>
    </w:rPr>
  </w:style>
  <w:style w:type="character" w:styleId="13">
    <w:name w:val="Strong"/>
    <w:basedOn w:val="12"/>
    <w:qFormat/>
    <w:uiPriority w:val="22"/>
    <w:rPr>
      <w:b/>
    </w:rPr>
  </w:style>
  <w:style w:type="character" w:styleId="14">
    <w:name w:val="annotation reference"/>
    <w:basedOn w:val="12"/>
    <w:qFormat/>
    <w:uiPriority w:val="0"/>
    <w:rPr>
      <w:sz w:val="21"/>
      <w:szCs w:val="21"/>
    </w:rPr>
  </w:style>
  <w:style w:type="character" w:customStyle="1" w:styleId="15">
    <w:name w:val="页眉 字符"/>
    <w:basedOn w:val="12"/>
    <w:link w:val="6"/>
    <w:qFormat/>
    <w:uiPriority w:val="99"/>
    <w:rPr>
      <w:sz w:val="18"/>
      <w:szCs w:val="18"/>
    </w:rPr>
  </w:style>
  <w:style w:type="character" w:customStyle="1" w:styleId="16">
    <w:name w:val="页脚 字符"/>
    <w:basedOn w:val="12"/>
    <w:link w:val="5"/>
    <w:qFormat/>
    <w:uiPriority w:val="99"/>
    <w:rPr>
      <w:rFonts w:ascii="仿宋" w:hAnsi="仿宋" w:eastAsia="仿宋" w:cs="Times New Roman"/>
      <w:sz w:val="18"/>
      <w:szCs w:val="18"/>
      <w14:ligatures w14:val="standardContextual"/>
    </w:rPr>
  </w:style>
  <w:style w:type="character" w:customStyle="1" w:styleId="17">
    <w:name w:val="批注文字 字符"/>
    <w:basedOn w:val="12"/>
    <w:link w:val="4"/>
    <w:qFormat/>
    <w:uiPriority w:val="0"/>
    <w:rPr>
      <w:rFonts w:ascii="仿宋" w:hAnsi="仿宋" w:eastAsia="仿宋" w:cs="Times New Roman"/>
      <w:sz w:val="24"/>
      <w:szCs w:val="24"/>
    </w:rPr>
  </w:style>
  <w:style w:type="paragraph" w:customStyle="1" w:styleId="18">
    <w:name w:val="修订1"/>
    <w:hidden/>
    <w:unhideWhenUsed/>
    <w:qFormat/>
    <w:uiPriority w:val="99"/>
    <w:rPr>
      <w:rFonts w:ascii="仿宋" w:hAnsi="仿宋" w:eastAsia="仿宋" w:cs="Times New Roman"/>
      <w:sz w:val="24"/>
      <w:szCs w:val="24"/>
      <w:lang w:val="en-US" w:eastAsia="zh-CN" w:bidi="ar-SA"/>
    </w:rPr>
  </w:style>
  <w:style w:type="paragraph" w:styleId="19">
    <w:name w:val="List Paragraph"/>
    <w:basedOn w:val="1"/>
    <w:unhideWhenUsed/>
    <w:qFormat/>
    <w:uiPriority w:val="99"/>
  </w:style>
  <w:style w:type="character" w:customStyle="1" w:styleId="20">
    <w:name w:val="批注主题 字符"/>
    <w:basedOn w:val="17"/>
    <w:link w:val="10"/>
    <w:semiHidden/>
    <w:qFormat/>
    <w:uiPriority w:val="99"/>
    <w:rPr>
      <w:rFonts w:ascii="仿宋" w:hAnsi="仿宋" w:eastAsia="仿宋" w:cs="Times New Roman"/>
      <w:b/>
      <w:bCs/>
      <w:sz w:val="24"/>
      <w:szCs w:val="24"/>
    </w:rPr>
  </w:style>
  <w:style w:type="paragraph" w:customStyle="1" w:styleId="21">
    <w:name w:val="修订2"/>
    <w:hidden/>
    <w:unhideWhenUsed/>
    <w:qFormat/>
    <w:uiPriority w:val="99"/>
    <w:rPr>
      <w:rFonts w:ascii="仿宋" w:hAnsi="仿宋" w:eastAsia="仿宋" w:cs="Times New Roman"/>
      <w:sz w:val="24"/>
      <w:szCs w:val="24"/>
      <w:lang w:val="en-US" w:eastAsia="zh-CN" w:bidi="ar-SA"/>
    </w:rPr>
  </w:style>
  <w:style w:type="paragraph" w:customStyle="1" w:styleId="22">
    <w:name w:val="修订3"/>
    <w:hidden/>
    <w:unhideWhenUsed/>
    <w:qFormat/>
    <w:uiPriority w:val="99"/>
    <w:rPr>
      <w:rFonts w:ascii="仿宋" w:hAnsi="仿宋" w:eastAsia="仿宋" w:cs="Times New Roman"/>
      <w:sz w:val="24"/>
      <w:szCs w:val="24"/>
      <w:lang w:val="en-US" w:eastAsia="zh-CN" w:bidi="ar-SA"/>
    </w:rPr>
  </w:style>
  <w:style w:type="paragraph" w:customStyle="1" w:styleId="23">
    <w:name w:val="修订4"/>
    <w:hidden/>
    <w:unhideWhenUsed/>
    <w:qFormat/>
    <w:uiPriority w:val="99"/>
    <w:rPr>
      <w:rFonts w:ascii="仿宋" w:hAnsi="仿宋" w:eastAsia="仿宋" w:cs="Times New Roman"/>
      <w:sz w:val="24"/>
      <w:szCs w:val="24"/>
      <w:lang w:val="en-US" w:eastAsia="zh-CN" w:bidi="ar-SA"/>
    </w:rPr>
  </w:style>
  <w:style w:type="paragraph" w:customStyle="1" w:styleId="24">
    <w:name w:val="修订5"/>
    <w:hidden/>
    <w:unhideWhenUsed/>
    <w:qFormat/>
    <w:uiPriority w:val="99"/>
    <w:rPr>
      <w:rFonts w:ascii="仿宋" w:hAnsi="仿宋" w:eastAsia="仿宋" w:cs="Times New Roman"/>
      <w:sz w:val="24"/>
      <w:szCs w:val="24"/>
      <w:lang w:val="en-US" w:eastAsia="zh-CN" w:bidi="ar-SA"/>
    </w:rPr>
  </w:style>
  <w:style w:type="paragraph" w:customStyle="1" w:styleId="25">
    <w:name w:val="Revision"/>
    <w:hidden/>
    <w:unhideWhenUsed/>
    <w:qFormat/>
    <w:uiPriority w:val="99"/>
    <w:rPr>
      <w:rFonts w:ascii="仿宋" w:hAnsi="仿宋" w:eastAsia="仿宋" w:cs="Times New Roman"/>
      <w:sz w:val="24"/>
      <w:szCs w:val="24"/>
      <w:lang w:val="en-US" w:eastAsia="zh-CN" w:bidi="ar-SA"/>
    </w:rPr>
  </w:style>
  <w:style w:type="paragraph" w:customStyle="1" w:styleId="26">
    <w:name w:val="p2"/>
    <w:basedOn w:val="1"/>
    <w:qFormat/>
    <w:uiPriority w:val="0"/>
    <w:pPr>
      <w:spacing w:before="0" w:beforeAutospacing="0" w:after="0" w:afterAutospacing="0"/>
      <w:ind w:left="0" w:right="0"/>
      <w:jc w:val="both"/>
    </w:pPr>
    <w:rPr>
      <w:rFonts w:ascii="pingfang sc" w:hAnsi="pingfang sc" w:eastAsia="pingfang sc" w:cs="pingfang sc"/>
      <w:kern w:val="0"/>
      <w:sz w:val="26"/>
      <w:szCs w:val="26"/>
      <w:lang w:val="en-US" w:eastAsia="zh-CN" w:bidi="ar"/>
    </w:rPr>
  </w:style>
  <w:style w:type="paragraph" w:customStyle="1" w:styleId="27">
    <w:name w:val="p1"/>
    <w:basedOn w:val="1"/>
    <w:qFormat/>
    <w:uiPriority w:val="0"/>
    <w:pPr>
      <w:spacing w:before="0" w:beforeAutospacing="0" w:after="0" w:afterAutospacing="0"/>
      <w:ind w:left="0" w:right="0"/>
      <w:jc w:val="both"/>
    </w:pPr>
    <w:rPr>
      <w:rFonts w:ascii="Helvetica Neue" w:hAnsi="Helvetica Neue" w:eastAsia="Helvetica Neue" w:cs="Helvetica Neue"/>
      <w:kern w:val="0"/>
      <w:sz w:val="26"/>
      <w:szCs w:val="26"/>
      <w:lang w:val="en-US" w:eastAsia="zh-CN" w:bidi="ar"/>
    </w:rPr>
  </w:style>
  <w:style w:type="character" w:customStyle="1" w:styleId="28">
    <w:name w:val="s1"/>
    <w:basedOn w:val="12"/>
    <w:qFormat/>
    <w:uiPriority w:val="0"/>
    <w:rPr>
      <w:rFonts w:ascii="Helvetica Neue" w:hAnsi="Helvetica Neue" w:eastAsia="Helvetica Neue" w:cs="Helvetica Neue"/>
      <w:sz w:val="26"/>
      <w:szCs w:val="26"/>
    </w:rPr>
  </w:style>
  <w:style w:type="paragraph" w:customStyle="1" w:styleId="29">
    <w:name w:val="p3"/>
    <w:basedOn w:val="1"/>
    <w:qFormat/>
    <w:uiPriority w:val="0"/>
    <w:pPr>
      <w:spacing w:before="0" w:beforeAutospacing="0" w:after="0" w:afterAutospacing="0"/>
      <w:ind w:left="0" w:right="0"/>
      <w:jc w:val="left"/>
    </w:pPr>
    <w:rPr>
      <w:rFonts w:ascii="Helvetica Neue" w:hAnsi="Helvetica Neue" w:eastAsia="Helvetica Neue" w:cs="Helvetica Neue"/>
      <w:kern w:val="0"/>
      <w:sz w:val="26"/>
      <w:szCs w:val="26"/>
      <w:lang w:val="en-US" w:eastAsia="zh-CN" w:bidi="ar"/>
    </w:rPr>
  </w:style>
  <w:style w:type="paragraph" w:customStyle="1" w:styleId="30">
    <w:name w:val="附录二级条标题 Char"/>
    <w:basedOn w:val="31"/>
    <w:next w:val="1"/>
    <w:qFormat/>
    <w:uiPriority w:val="0"/>
    <w:pPr>
      <w:numPr>
        <w:ilvl w:val="3"/>
      </w:numPr>
      <w:outlineLvl w:val="3"/>
    </w:pPr>
  </w:style>
  <w:style w:type="paragraph" w:customStyle="1" w:styleId="31">
    <w:name w:val="附录一级条标题 Char"/>
    <w:basedOn w:val="32"/>
    <w:next w:val="1"/>
    <w:qFormat/>
    <w:uiPriority w:val="0"/>
    <w:pPr>
      <w:numPr>
        <w:ilvl w:val="2"/>
      </w:numPr>
      <w:autoSpaceDN w:val="0"/>
      <w:spacing w:beforeLines="0" w:afterLines="0"/>
      <w:outlineLvl w:val="2"/>
    </w:pPr>
  </w:style>
  <w:style w:type="paragraph" w:customStyle="1" w:styleId="32">
    <w:name w:val="附录章标题 Char"/>
    <w:next w:val="1"/>
    <w:qFormat/>
    <w:uiPriority w:val="0"/>
    <w:pPr>
      <w:numPr>
        <w:ilvl w:val="1"/>
        <w:numId w:val="1"/>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14953</Words>
  <Characters>15217</Characters>
  <Lines>69</Lines>
  <Paragraphs>19</Paragraphs>
  <TotalTime>252</TotalTime>
  <ScaleCrop>false</ScaleCrop>
  <LinksUpToDate>false</LinksUpToDate>
  <CharactersWithSpaces>15288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2024-09-12T11:39:00Z</dcterms:created>
  <dc:creator>guoyun lan</dc:creator>
  <cp:lastModifiedBy>W</cp:lastModifiedBy>
  <cp:lastPrinted>2024-09-20T15:07:00Z</cp:lastPrinted>
  <dcterms:modified xsi:type="dcterms:W3CDTF">2025-04-28T05:03:04Z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29729474617447EDB7CC11E249C95688_13</vt:lpwstr>
  </property>
  <property fmtid="{D5CDD505-2E9C-101B-9397-08002B2CF9AE}" pid="4" name="KSOTemplateDocerSaveRecord">
    <vt:lpwstr>eyJoZGlkIjoiMTI2YmIyNjg2MTlkYmY1MjBhZGM1YjRjZmY2NDUzMjYiLCJ1c2VySWQiOiIzNTIxMTk2NzIifQ==</vt:lpwstr>
  </property>
</Properties>
</file>