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 w:hAnsi="仿宋" w:eastAsia="仿宋" w:cs="仿宋"/>
          <w:color w:val="auto"/>
          <w:highlight w:val="none"/>
          <w:lang w:eastAsia="zh-CN"/>
        </w:rPr>
      </w:pPr>
      <w:bookmarkStart w:id="0" w:name="_Toc17184"/>
    </w:p>
    <w:p>
      <w:pPr>
        <w:rPr>
          <w:rFonts w:ascii="宋体" w:hAnsi="宋体" w:eastAsia="仿宋" w:cs="仿宋_GB2312"/>
          <w:color w:val="auto"/>
          <w:sz w:val="32"/>
          <w:szCs w:val="32"/>
          <w:highlight w:val="none"/>
          <w:lang w:eastAsia="zh-CN"/>
        </w:rPr>
      </w:pPr>
      <w:r>
        <w:rPr>
          <w:rFonts w:ascii="仿宋" w:hAnsi="仿宋" w:eastAsia="仿宋" w:cs="仿宋"/>
          <w:color w:val="auto"/>
          <w:highlight w:val="none"/>
          <w:lang w:eastAsia="zh-CN"/>
        </w:rPr>
        <w:t>SF-202</w:t>
      </w:r>
      <w:r>
        <w:rPr>
          <w:rFonts w:hint="eastAsia" w:ascii="仿宋" w:hAnsi="仿宋" w:eastAsia="仿宋" w:cs="仿宋"/>
          <w:color w:val="auto"/>
          <w:highlight w:val="none"/>
          <w:lang w:eastAsia="zh"/>
        </w:rPr>
        <w:t>2</w:t>
      </w:r>
      <w:r>
        <w:rPr>
          <w:rFonts w:ascii="仿宋" w:hAnsi="仿宋" w:eastAsia="仿宋" w:cs="仿宋"/>
          <w:color w:val="auto"/>
          <w:highlight w:val="none"/>
          <w:lang w:eastAsia="zh-CN"/>
        </w:rPr>
        <w:t>-</w:t>
      </w:r>
      <w:bookmarkEnd w:id="0"/>
      <w:r>
        <w:rPr>
          <w:rFonts w:hint="eastAsia" w:ascii="仿宋" w:hAnsi="仿宋" w:eastAsia="仿宋" w:cs="仿宋"/>
          <w:color w:val="auto"/>
          <w:highlight w:val="none"/>
          <w:lang w:eastAsia="zh-CN"/>
        </w:rPr>
        <w:t>0210</w:t>
      </w:r>
    </w:p>
    <w:p>
      <w:pPr>
        <w:pStyle w:val="137"/>
        <w:spacing w:line="640" w:lineRule="exact"/>
        <w:ind w:firstLine="5985" w:firstLineChars="1995"/>
        <w:rPr>
          <w:rFonts w:ascii="华文中宋" w:hAnsi="华文中宋" w:eastAsia="华文中宋" w:cs="华文中宋"/>
          <w:color w:val="auto"/>
          <w:sz w:val="32"/>
          <w:szCs w:val="32"/>
          <w:highlight w:val="none"/>
          <w:u w:val="single"/>
        </w:rPr>
      </w:pPr>
      <w:r>
        <w:rPr>
          <w:rFonts w:ascii="宋体"/>
          <w:color w:val="auto"/>
          <w:sz w:val="30"/>
          <w:szCs w:val="30"/>
          <w:highlight w:val="none"/>
        </w:rPr>
        <w:tab/>
      </w:r>
      <w:r>
        <w:rPr>
          <w:rFonts w:hint="eastAsia" w:ascii="华文中宋" w:hAnsi="华文中宋" w:eastAsia="华文中宋" w:cs="华文中宋"/>
          <w:color w:val="auto"/>
          <w:sz w:val="32"/>
          <w:szCs w:val="32"/>
          <w:highlight w:val="none"/>
        </w:rPr>
        <w:t>项目编码：</w:t>
      </w:r>
      <w:r>
        <w:rPr>
          <w:rFonts w:ascii="华文中宋" w:hAnsi="华文中宋" w:eastAsia="华文中宋" w:cs="华文中宋"/>
          <w:color w:val="auto"/>
          <w:sz w:val="32"/>
          <w:szCs w:val="32"/>
          <w:highlight w:val="none"/>
          <w:u w:val="single"/>
        </w:rPr>
        <w:t xml:space="preserve">             </w:t>
      </w:r>
    </w:p>
    <w:p>
      <w:pPr>
        <w:pStyle w:val="137"/>
        <w:spacing w:line="640" w:lineRule="exact"/>
        <w:ind w:firstLine="5920" w:firstLineChars="1850"/>
        <w:rPr>
          <w:rFonts w:ascii="华文中宋" w:hAnsi="华文中宋" w:eastAsia="华文中宋"/>
          <w:color w:val="auto"/>
          <w:sz w:val="32"/>
          <w:szCs w:val="32"/>
          <w:highlight w:val="none"/>
        </w:rPr>
      </w:pPr>
      <w:r>
        <w:rPr>
          <w:rFonts w:hint="eastAsia" w:ascii="华文中宋" w:hAnsi="华文中宋" w:eastAsia="华文中宋" w:cs="华文中宋"/>
          <w:color w:val="auto"/>
          <w:sz w:val="32"/>
          <w:szCs w:val="32"/>
          <w:highlight w:val="none"/>
        </w:rPr>
        <w:t>工程编码：</w:t>
      </w:r>
      <w:r>
        <w:rPr>
          <w:rFonts w:ascii="华文中宋" w:hAnsi="华文中宋" w:eastAsia="华文中宋" w:cs="华文中宋"/>
          <w:color w:val="auto"/>
          <w:sz w:val="32"/>
          <w:szCs w:val="32"/>
          <w:highlight w:val="none"/>
          <w:u w:val="single"/>
        </w:rPr>
        <w:t xml:space="preserve">             </w:t>
      </w:r>
    </w:p>
    <w:p>
      <w:pPr>
        <w:pStyle w:val="137"/>
        <w:spacing w:line="640" w:lineRule="exact"/>
        <w:ind w:firstLine="6080" w:firstLineChars="1900"/>
        <w:rPr>
          <w:rFonts w:ascii="华文中宋" w:hAnsi="华文中宋" w:eastAsia="华文中宋"/>
          <w:color w:val="auto"/>
          <w:sz w:val="32"/>
          <w:szCs w:val="32"/>
          <w:highlight w:val="none"/>
        </w:rPr>
      </w:pPr>
      <w:r>
        <w:rPr>
          <w:rFonts w:hint="eastAsia" w:ascii="华文中宋" w:hAnsi="华文中宋" w:eastAsia="华文中宋" w:cs="华文中宋"/>
          <w:color w:val="auto"/>
          <w:sz w:val="32"/>
          <w:szCs w:val="32"/>
          <w:highlight w:val="none"/>
        </w:rPr>
        <w:t>合同编号：</w:t>
      </w:r>
      <w:r>
        <w:rPr>
          <w:rFonts w:hint="eastAsia" w:ascii="华文中宋" w:hAnsi="华文中宋" w:eastAsia="华文中宋" w:cs="华文中宋"/>
          <w:color w:val="auto"/>
          <w:sz w:val="32"/>
          <w:szCs w:val="32"/>
          <w:highlight w:val="none"/>
          <w:u w:val="single"/>
        </w:rPr>
        <w:t xml:space="preserve">           </w:t>
      </w:r>
    </w:p>
    <w:p>
      <w:pPr>
        <w:tabs>
          <w:tab w:val="left" w:pos="3900"/>
          <w:tab w:val="right" w:pos="10245"/>
        </w:tabs>
        <w:wordWrap w:val="0"/>
        <w:spacing w:line="360" w:lineRule="auto"/>
        <w:rPr>
          <w:rFonts w:ascii="宋体"/>
          <w:color w:val="auto"/>
          <w:sz w:val="32"/>
          <w:szCs w:val="32"/>
          <w:highlight w:val="none"/>
          <w:u w:val="single"/>
          <w:lang w:eastAsia="zh-CN"/>
        </w:rPr>
      </w:pPr>
    </w:p>
    <w:p>
      <w:pPr>
        <w:spacing w:line="360" w:lineRule="auto"/>
        <w:jc w:val="right"/>
        <w:rPr>
          <w:rFonts w:ascii="宋体"/>
          <w:color w:val="auto"/>
          <w:sz w:val="32"/>
          <w:szCs w:val="32"/>
          <w:highlight w:val="none"/>
          <w:u w:val="single"/>
          <w:lang w:eastAsia="zh-CN"/>
        </w:rPr>
      </w:pPr>
    </w:p>
    <w:p>
      <w:pPr>
        <w:spacing w:line="360" w:lineRule="auto"/>
        <w:jc w:val="center"/>
        <w:rPr>
          <w:rFonts w:ascii="宋体" w:hAnsi="宋体" w:cs="宋体"/>
          <w:b/>
          <w:bCs/>
          <w:color w:val="auto"/>
          <w:spacing w:val="-40"/>
          <w:sz w:val="52"/>
          <w:szCs w:val="52"/>
          <w:highlight w:val="none"/>
          <w:lang w:eastAsia="zh-CN"/>
        </w:rPr>
      </w:pPr>
      <w:r>
        <w:rPr>
          <w:rFonts w:hint="eastAsia" w:ascii="宋体" w:hAnsi="宋体" w:cs="宋体"/>
          <w:b/>
          <w:bCs/>
          <w:color w:val="auto"/>
          <w:spacing w:val="-40"/>
          <w:sz w:val="52"/>
          <w:szCs w:val="52"/>
          <w:highlight w:val="none"/>
          <w:lang w:eastAsia="zh-CN"/>
        </w:rPr>
        <w:t>广州市建设工程总承包合同</w:t>
      </w:r>
    </w:p>
    <w:p>
      <w:pPr>
        <w:tabs>
          <w:tab w:val="left" w:pos="1380"/>
        </w:tabs>
        <w:spacing w:line="360" w:lineRule="auto"/>
        <w:rPr>
          <w:rFonts w:ascii="宋体"/>
          <w:color w:val="auto"/>
          <w:sz w:val="32"/>
          <w:szCs w:val="32"/>
          <w:highlight w:val="none"/>
          <w:lang w:eastAsia="zh-CN"/>
        </w:rPr>
      </w:pPr>
    </w:p>
    <w:p>
      <w:pPr>
        <w:rPr>
          <w:color w:val="auto"/>
          <w:highlight w:val="none"/>
          <w:lang w:eastAsia="zh-CN"/>
        </w:rPr>
      </w:pPr>
    </w:p>
    <w:p>
      <w:pPr>
        <w:rPr>
          <w:color w:val="auto"/>
          <w:highlight w:val="none"/>
          <w:lang w:eastAsia="zh-CN"/>
        </w:rPr>
      </w:pPr>
    </w:p>
    <w:p>
      <w:pPr>
        <w:rPr>
          <w:color w:val="auto"/>
          <w:highlight w:val="none"/>
          <w:lang w:eastAsia="zh-CN"/>
        </w:rPr>
      </w:pPr>
    </w:p>
    <w:p>
      <w:pPr>
        <w:rPr>
          <w:color w:val="auto"/>
          <w:highlight w:val="none"/>
          <w:lang w:eastAsia="zh-CN"/>
        </w:rPr>
      </w:pPr>
    </w:p>
    <w:p>
      <w:pPr>
        <w:spacing w:line="560" w:lineRule="exact"/>
        <w:ind w:left="1600" w:hanging="1600" w:hangingChars="500"/>
        <w:rPr>
          <w:rFonts w:ascii="宋体" w:hAnsi="宋体" w:cs="仿宋"/>
          <w:color w:val="auto"/>
          <w:sz w:val="32"/>
          <w:szCs w:val="32"/>
          <w:highlight w:val="none"/>
          <w:u w:val="single"/>
          <w:lang w:eastAsia="zh-CN"/>
        </w:rPr>
      </w:pPr>
      <w:r>
        <w:rPr>
          <w:rFonts w:hint="eastAsia" w:ascii="宋体" w:hAnsi="宋体" w:cs="仿宋"/>
          <w:color w:val="auto"/>
          <w:sz w:val="32"/>
          <w:szCs w:val="32"/>
          <w:highlight w:val="none"/>
          <w:lang w:eastAsia="zh-CN"/>
        </w:rPr>
        <w:t>工程名称：</w:t>
      </w:r>
      <w:r>
        <w:rPr>
          <w:rFonts w:hint="eastAsia" w:ascii="宋体" w:hAnsi="宋体" w:cs="仿宋"/>
          <w:color w:val="auto"/>
          <w:sz w:val="32"/>
          <w:szCs w:val="32"/>
          <w:highlight w:val="none"/>
          <w:u w:val="single"/>
          <w:lang w:eastAsia="zh"/>
        </w:rPr>
        <w:t>先进制造产业园A1地块分地块五、六建设项目</w:t>
      </w:r>
      <w:r>
        <w:rPr>
          <w:rFonts w:hint="eastAsia" w:ascii="宋体" w:hAnsi="宋体" w:cs="仿宋"/>
          <w:color w:val="auto"/>
          <w:sz w:val="32"/>
          <w:szCs w:val="32"/>
          <w:highlight w:val="none"/>
          <w:u w:val="single"/>
          <w:lang w:eastAsia="zh-CN"/>
        </w:rPr>
        <w:t xml:space="preserve">勘察设计施工总承包及运营项目 </w:t>
      </w:r>
    </w:p>
    <w:p>
      <w:pPr>
        <w:rPr>
          <w:color w:val="auto"/>
          <w:highlight w:val="none"/>
          <w:lang w:eastAsia="zh-CN"/>
        </w:rPr>
      </w:pPr>
    </w:p>
    <w:p>
      <w:pPr>
        <w:spacing w:line="560" w:lineRule="exact"/>
        <w:ind w:left="1600" w:hanging="1600" w:hangingChars="500"/>
        <w:rPr>
          <w:rFonts w:ascii="宋体" w:hAnsi="宋体" w:cs="仿宋"/>
          <w:color w:val="auto"/>
          <w:sz w:val="32"/>
          <w:szCs w:val="32"/>
          <w:highlight w:val="none"/>
          <w:u w:val="single"/>
          <w:lang w:eastAsia="zh-CN"/>
        </w:rPr>
      </w:pPr>
      <w:r>
        <w:rPr>
          <w:rFonts w:hint="eastAsia" w:ascii="宋体" w:hAnsi="宋体" w:cs="仿宋"/>
          <w:color w:val="auto"/>
          <w:sz w:val="32"/>
          <w:szCs w:val="32"/>
          <w:highlight w:val="none"/>
          <w:lang w:eastAsia="zh-CN"/>
        </w:rPr>
        <w:t>工程地点：</w:t>
      </w:r>
      <w:r>
        <w:rPr>
          <w:rFonts w:hint="eastAsia" w:ascii="宋体" w:hAnsi="宋体" w:cs="仿宋"/>
          <w:color w:val="auto"/>
          <w:sz w:val="32"/>
          <w:szCs w:val="32"/>
          <w:highlight w:val="none"/>
          <w:u w:val="single"/>
          <w:lang w:eastAsia="zh-CN"/>
        </w:rPr>
        <w:t>广州市花都区炭步镇沿江大道以北、合进大道以东</w:t>
      </w:r>
    </w:p>
    <w:p>
      <w:pPr>
        <w:spacing w:before="240" w:beforeLines="100" w:after="120" w:afterLines="50"/>
        <w:rPr>
          <w:rFonts w:ascii="宋体" w:hAnsi="宋体" w:cs="仿宋"/>
          <w:color w:val="auto"/>
          <w:sz w:val="32"/>
          <w:szCs w:val="32"/>
          <w:highlight w:val="none"/>
          <w:lang w:eastAsia="zh-CN"/>
        </w:rPr>
      </w:pPr>
      <w:r>
        <w:rPr>
          <w:rFonts w:hint="eastAsia" w:ascii="宋体" w:hAnsi="宋体" w:cs="仿宋"/>
          <w:color w:val="auto"/>
          <w:sz w:val="32"/>
          <w:szCs w:val="32"/>
          <w:highlight w:val="none"/>
          <w:lang w:eastAsia="zh-CN"/>
        </w:rPr>
        <w:t>发</w:t>
      </w:r>
      <w:r>
        <w:rPr>
          <w:rFonts w:ascii="宋体" w:hAnsi="宋体" w:cs="仿宋"/>
          <w:color w:val="auto"/>
          <w:sz w:val="32"/>
          <w:szCs w:val="32"/>
          <w:highlight w:val="none"/>
          <w:lang w:eastAsia="zh-CN"/>
        </w:rPr>
        <w:t xml:space="preserve"> </w:t>
      </w:r>
      <w:r>
        <w:rPr>
          <w:rFonts w:hint="eastAsia" w:ascii="宋体" w:hAnsi="宋体" w:cs="仿宋"/>
          <w:color w:val="auto"/>
          <w:sz w:val="32"/>
          <w:szCs w:val="32"/>
          <w:highlight w:val="none"/>
          <w:lang w:eastAsia="zh-CN"/>
        </w:rPr>
        <w:t>包</w:t>
      </w:r>
      <w:r>
        <w:rPr>
          <w:rFonts w:ascii="宋体" w:hAnsi="宋体" w:cs="仿宋"/>
          <w:color w:val="auto"/>
          <w:sz w:val="32"/>
          <w:szCs w:val="32"/>
          <w:highlight w:val="none"/>
          <w:lang w:eastAsia="zh-CN"/>
        </w:rPr>
        <w:t xml:space="preserve"> </w:t>
      </w:r>
      <w:r>
        <w:rPr>
          <w:rFonts w:hint="eastAsia" w:ascii="宋体" w:hAnsi="宋体" w:cs="仿宋"/>
          <w:color w:val="auto"/>
          <w:sz w:val="32"/>
          <w:szCs w:val="32"/>
          <w:highlight w:val="none"/>
          <w:lang w:eastAsia="zh-CN"/>
        </w:rPr>
        <w:t>人：</w:t>
      </w:r>
      <w:r>
        <w:rPr>
          <w:rFonts w:hint="eastAsia" w:ascii="宋体" w:hAnsi="宋体" w:cs="仿宋"/>
          <w:color w:val="auto"/>
          <w:sz w:val="32"/>
          <w:szCs w:val="32"/>
          <w:highlight w:val="none"/>
          <w:u w:val="single"/>
          <w:lang w:eastAsia="zh-CN"/>
        </w:rPr>
        <w:t>广州花都城弘建设发展投资有限公司</w:t>
      </w:r>
    </w:p>
    <w:p>
      <w:pPr>
        <w:spacing w:before="240" w:beforeLines="100" w:after="120" w:afterLines="50"/>
        <w:rPr>
          <w:rFonts w:ascii="宋体" w:hAnsi="宋体" w:cs="仿宋"/>
          <w:color w:val="auto"/>
          <w:sz w:val="32"/>
          <w:szCs w:val="32"/>
          <w:highlight w:val="none"/>
          <w:lang w:eastAsia="zh-CN"/>
        </w:rPr>
      </w:pPr>
      <w:r>
        <w:rPr>
          <w:rFonts w:hint="eastAsia" w:ascii="宋体" w:hAnsi="宋体" w:cs="仿宋"/>
          <w:color w:val="auto"/>
          <w:sz w:val="32"/>
          <w:szCs w:val="32"/>
          <w:highlight w:val="none"/>
          <w:lang w:eastAsia="zh-CN"/>
        </w:rPr>
        <w:t>承</w:t>
      </w:r>
      <w:r>
        <w:rPr>
          <w:rFonts w:ascii="宋体" w:hAnsi="宋体" w:cs="仿宋"/>
          <w:color w:val="auto"/>
          <w:sz w:val="32"/>
          <w:szCs w:val="32"/>
          <w:highlight w:val="none"/>
          <w:lang w:eastAsia="zh-CN"/>
        </w:rPr>
        <w:t xml:space="preserve"> </w:t>
      </w:r>
      <w:r>
        <w:rPr>
          <w:rFonts w:hint="eastAsia" w:ascii="宋体" w:hAnsi="宋体" w:cs="仿宋"/>
          <w:color w:val="auto"/>
          <w:sz w:val="32"/>
          <w:szCs w:val="32"/>
          <w:highlight w:val="none"/>
          <w:lang w:eastAsia="zh-CN"/>
        </w:rPr>
        <w:t>包</w:t>
      </w:r>
      <w:r>
        <w:rPr>
          <w:rFonts w:ascii="宋体" w:hAnsi="宋体" w:cs="仿宋"/>
          <w:color w:val="auto"/>
          <w:sz w:val="32"/>
          <w:szCs w:val="32"/>
          <w:highlight w:val="none"/>
          <w:lang w:eastAsia="zh-CN"/>
        </w:rPr>
        <w:t xml:space="preserve"> </w:t>
      </w:r>
      <w:r>
        <w:rPr>
          <w:rFonts w:hint="eastAsia" w:ascii="宋体" w:hAnsi="宋体" w:cs="仿宋"/>
          <w:color w:val="auto"/>
          <w:sz w:val="32"/>
          <w:szCs w:val="32"/>
          <w:highlight w:val="none"/>
          <w:lang w:eastAsia="zh-CN"/>
        </w:rPr>
        <w:t>人：</w:t>
      </w:r>
      <w:r>
        <w:rPr>
          <w:rFonts w:hint="eastAsia" w:ascii="宋体" w:hAnsi="宋体" w:cs="仿宋"/>
          <w:color w:val="auto"/>
          <w:sz w:val="32"/>
          <w:szCs w:val="32"/>
          <w:highlight w:val="none"/>
          <w:u w:val="single"/>
          <w:lang w:eastAsia="zh-CN"/>
        </w:rPr>
        <w:t xml:space="preserve">                                </w:t>
      </w:r>
    </w:p>
    <w:p>
      <w:pPr>
        <w:spacing w:before="240" w:beforeLines="100" w:after="120" w:afterLines="50"/>
        <w:rPr>
          <w:rFonts w:ascii="宋体" w:hAnsi="宋体" w:cs="仿宋"/>
          <w:color w:val="auto"/>
          <w:sz w:val="32"/>
          <w:szCs w:val="32"/>
          <w:highlight w:val="none"/>
          <w:lang w:eastAsia="zh-CN"/>
        </w:rPr>
      </w:pPr>
      <w:r>
        <w:rPr>
          <w:rFonts w:hint="eastAsia" w:ascii="宋体" w:hAnsi="宋体" w:cs="仿宋"/>
          <w:color w:val="auto"/>
          <w:sz w:val="32"/>
          <w:szCs w:val="32"/>
          <w:highlight w:val="none"/>
          <w:lang w:eastAsia="zh-CN"/>
        </w:rPr>
        <w:t>签订日期：</w:t>
      </w:r>
      <w:r>
        <w:rPr>
          <w:rFonts w:hint="eastAsia" w:ascii="宋体" w:hAnsi="宋体" w:cs="仿宋"/>
          <w:color w:val="auto"/>
          <w:sz w:val="32"/>
          <w:szCs w:val="32"/>
          <w:highlight w:val="none"/>
          <w:u w:val="single"/>
          <w:lang w:eastAsia="zh-CN"/>
        </w:rPr>
        <w:t xml:space="preserve">    年    月    日</w:t>
      </w:r>
    </w:p>
    <w:p>
      <w:pPr>
        <w:spacing w:line="360" w:lineRule="auto"/>
        <w:ind w:left="809" w:leftChars="337" w:firstLine="900" w:firstLineChars="300"/>
        <w:jc w:val="both"/>
        <w:rPr>
          <w:rFonts w:ascii="宋体"/>
          <w:color w:val="auto"/>
          <w:sz w:val="30"/>
          <w:szCs w:val="30"/>
          <w:highlight w:val="none"/>
          <w:u w:val="single"/>
          <w:lang w:eastAsia="zh-CN"/>
        </w:rPr>
      </w:pPr>
    </w:p>
    <w:p>
      <w:pPr>
        <w:spacing w:line="240" w:lineRule="atLeast"/>
        <w:jc w:val="center"/>
        <w:rPr>
          <w:rFonts w:ascii="宋体"/>
          <w:b/>
          <w:bCs/>
          <w:color w:val="auto"/>
          <w:spacing w:val="50"/>
          <w:sz w:val="32"/>
          <w:szCs w:val="32"/>
          <w:highlight w:val="none"/>
          <w:lang w:eastAsia="zh-CN"/>
        </w:rPr>
      </w:pPr>
      <w:r>
        <w:rPr>
          <w:rFonts w:hint="eastAsia" w:ascii="宋体" w:hAnsi="宋体" w:cs="宋体"/>
          <w:b/>
          <w:bCs/>
          <w:color w:val="auto"/>
          <w:spacing w:val="50"/>
          <w:sz w:val="32"/>
          <w:szCs w:val="32"/>
          <w:highlight w:val="none"/>
          <w:lang w:eastAsia="zh-CN"/>
        </w:rPr>
        <w:t>广州市住房和城乡建设局</w:t>
      </w:r>
    </w:p>
    <w:p>
      <w:pPr>
        <w:spacing w:line="240" w:lineRule="atLeast"/>
        <w:jc w:val="center"/>
        <w:rPr>
          <w:rFonts w:ascii="宋体"/>
          <w:b/>
          <w:bCs/>
          <w:color w:val="auto"/>
          <w:spacing w:val="20"/>
          <w:sz w:val="32"/>
          <w:szCs w:val="32"/>
          <w:highlight w:val="none"/>
          <w:lang w:eastAsia="zh-CN"/>
        </w:rPr>
      </w:pPr>
      <w:r>
        <w:rPr>
          <w:rFonts w:ascii="宋体" w:hAnsi="宋体" w:cs="宋体"/>
          <w:b/>
          <w:bCs/>
          <w:color w:val="auto"/>
          <w:spacing w:val="20"/>
          <w:sz w:val="32"/>
          <w:szCs w:val="32"/>
          <w:highlight w:val="none"/>
          <w:lang w:eastAsia="zh-CN"/>
        </w:rPr>
        <w:t xml:space="preserve">                            </w:t>
      </w:r>
      <w:r>
        <w:rPr>
          <w:rFonts w:hint="eastAsia" w:ascii="宋体" w:hAnsi="宋体" w:cs="宋体"/>
          <w:b/>
          <w:bCs/>
          <w:color w:val="auto"/>
          <w:spacing w:val="20"/>
          <w:sz w:val="32"/>
          <w:szCs w:val="32"/>
          <w:highlight w:val="none"/>
          <w:lang w:eastAsia="zh-CN"/>
        </w:rPr>
        <w:t>制定</w:t>
      </w:r>
    </w:p>
    <w:p>
      <w:pPr>
        <w:spacing w:line="240" w:lineRule="atLeast"/>
        <w:ind w:firstLine="1869" w:firstLineChars="400"/>
        <w:rPr>
          <w:rFonts w:ascii="宋体"/>
          <w:b/>
          <w:bCs/>
          <w:color w:val="auto"/>
          <w:spacing w:val="73"/>
          <w:sz w:val="32"/>
          <w:szCs w:val="32"/>
          <w:highlight w:val="none"/>
          <w:lang w:eastAsia="zh-CN"/>
        </w:rPr>
      </w:pPr>
      <w:r>
        <w:rPr>
          <w:rFonts w:hint="eastAsia" w:ascii="宋体" w:hAnsi="宋体" w:cs="宋体"/>
          <w:b/>
          <w:bCs/>
          <w:color w:val="auto"/>
          <w:spacing w:val="73"/>
          <w:sz w:val="32"/>
          <w:szCs w:val="32"/>
          <w:highlight w:val="none"/>
          <w:lang w:eastAsia="zh-CN"/>
        </w:rPr>
        <w:t>广州市市场监督管理局</w:t>
      </w:r>
    </w:p>
    <w:p>
      <w:pPr>
        <w:spacing w:line="240" w:lineRule="atLeast"/>
        <w:jc w:val="center"/>
        <w:rPr>
          <w:rFonts w:ascii="宋体"/>
          <w:b/>
          <w:bCs/>
          <w:color w:val="auto"/>
          <w:spacing w:val="20"/>
          <w:sz w:val="32"/>
          <w:szCs w:val="32"/>
          <w:highlight w:val="none"/>
          <w:lang w:eastAsia="zh-CN"/>
        </w:rPr>
      </w:pPr>
    </w:p>
    <w:p>
      <w:pPr>
        <w:spacing w:line="360" w:lineRule="auto"/>
        <w:rPr>
          <w:rFonts w:ascii="宋体"/>
          <w:b/>
          <w:bCs/>
          <w:color w:val="auto"/>
          <w:spacing w:val="80"/>
          <w:sz w:val="36"/>
          <w:szCs w:val="36"/>
          <w:highlight w:val="none"/>
          <w:lang w:eastAsia="zh-CN"/>
        </w:rPr>
        <w:sectPr>
          <w:headerReference r:id="rId3" w:type="default"/>
          <w:footerReference r:id="rId4" w:type="default"/>
          <w:endnotePr>
            <w:numFmt w:val="decimal"/>
          </w:endnotePr>
          <w:pgSz w:w="11905" w:h="16838"/>
          <w:pgMar w:top="850" w:right="1701" w:bottom="1108" w:left="1701" w:header="0" w:footer="0" w:gutter="0"/>
          <w:pgNumType w:start="1"/>
          <w:cols w:space="720" w:num="1"/>
        </w:sectPr>
      </w:pPr>
    </w:p>
    <w:sdt>
      <w:sdtPr>
        <w:rPr>
          <w:rFonts w:ascii="宋体" w:hAnsi="宋体"/>
          <w:color w:val="auto"/>
          <w:sz w:val="21"/>
          <w:highlight w:val="none"/>
        </w:rPr>
        <w:id w:val="147475218"/>
        <w15:color w:val="DBDBDB"/>
        <w:docPartObj>
          <w:docPartGallery w:val="Table of Contents"/>
          <w:docPartUnique/>
        </w:docPartObj>
      </w:sdtPr>
      <w:sdtEndPr>
        <w:rPr>
          <w:rFonts w:ascii="Times New Roman" w:hAnsi="Times New Roman"/>
          <w:color w:val="auto"/>
          <w:sz w:val="24"/>
          <w:highlight w:val="none"/>
          <w:lang w:eastAsia="zh-CN"/>
        </w:rPr>
      </w:sdtEndPr>
      <w:sdtContent>
        <w:p>
          <w:pPr>
            <w:jc w:val="center"/>
            <w:rPr>
              <w:rFonts w:cs="宋体"/>
              <w:b/>
              <w:color w:val="auto"/>
              <w:highlight w:val="none"/>
              <w:lang w:eastAsia="zh-CN"/>
            </w:rPr>
          </w:pPr>
          <w:r>
            <w:rPr>
              <w:rFonts w:hint="eastAsia" w:cs="宋体"/>
              <w:b/>
              <w:color w:val="auto"/>
              <w:highlight w:val="none"/>
              <w:lang w:eastAsia="zh-CN"/>
            </w:rPr>
            <w:t>目   录</w:t>
          </w:r>
        </w:p>
        <w:p>
          <w:pPr>
            <w:pStyle w:val="29"/>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TOC \o "1-3" \h \u </w:instrText>
          </w:r>
          <w:r>
            <w:rPr>
              <w:color w:val="auto"/>
              <w:highlight w:val="none"/>
              <w:lang w:eastAsia="zh-CN"/>
            </w:rPr>
            <w:fldChar w:fldCharType="separate"/>
          </w:r>
          <w:r>
            <w:rPr>
              <w:color w:val="auto"/>
              <w:highlight w:val="none"/>
              <w:lang w:eastAsia="zh-CN"/>
            </w:rPr>
            <w:fldChar w:fldCharType="begin"/>
          </w:r>
          <w:r>
            <w:rPr>
              <w:color w:val="auto"/>
              <w:highlight w:val="none"/>
              <w:lang w:eastAsia="zh-CN"/>
            </w:rPr>
            <w:instrText xml:space="preserve"> HYPERLINK \l _Toc18996 </w:instrText>
          </w:r>
          <w:r>
            <w:rPr>
              <w:color w:val="auto"/>
              <w:highlight w:val="none"/>
              <w:lang w:eastAsia="zh-CN"/>
            </w:rPr>
            <w:fldChar w:fldCharType="separate"/>
          </w:r>
          <w:r>
            <w:rPr>
              <w:rFonts w:hint="eastAsia" w:ascii="宋体" w:hAnsi="宋体" w:cs="宋体"/>
              <w:bCs/>
              <w:color w:val="auto"/>
              <w:szCs w:val="36"/>
              <w:highlight w:val="none"/>
              <w:lang w:eastAsia="zh-CN"/>
            </w:rPr>
            <w:t>第一部分</w:t>
          </w:r>
          <w:r>
            <w:rPr>
              <w:rFonts w:ascii="宋体" w:hAnsi="宋体" w:cs="宋体"/>
              <w:bCs/>
              <w:color w:val="auto"/>
              <w:szCs w:val="36"/>
              <w:highlight w:val="none"/>
              <w:lang w:eastAsia="zh-CN"/>
            </w:rPr>
            <w:t xml:space="preserve">  </w:t>
          </w:r>
          <w:r>
            <w:rPr>
              <w:rFonts w:hint="eastAsia" w:ascii="宋体" w:hAnsi="宋体" w:cs="宋体"/>
              <w:bCs/>
              <w:color w:val="auto"/>
              <w:szCs w:val="36"/>
              <w:highlight w:val="none"/>
              <w:lang w:eastAsia="zh-CN"/>
            </w:rPr>
            <w:t>协</w:t>
          </w:r>
          <w:r>
            <w:rPr>
              <w:rFonts w:ascii="宋体" w:hAnsi="宋体" w:cs="宋体"/>
              <w:bCs/>
              <w:color w:val="auto"/>
              <w:szCs w:val="36"/>
              <w:highlight w:val="none"/>
              <w:lang w:eastAsia="zh-CN"/>
            </w:rPr>
            <w:t xml:space="preserve">  </w:t>
          </w:r>
          <w:r>
            <w:rPr>
              <w:rFonts w:hint="eastAsia" w:ascii="宋体" w:hAnsi="宋体" w:cs="宋体"/>
              <w:bCs/>
              <w:color w:val="auto"/>
              <w:szCs w:val="36"/>
              <w:highlight w:val="none"/>
              <w:lang w:eastAsia="zh-CN"/>
            </w:rPr>
            <w:t>议</w:t>
          </w:r>
          <w:r>
            <w:rPr>
              <w:rFonts w:ascii="宋体" w:hAnsi="宋体" w:cs="宋体"/>
              <w:bCs/>
              <w:color w:val="auto"/>
              <w:szCs w:val="36"/>
              <w:highlight w:val="none"/>
              <w:lang w:eastAsia="zh-CN"/>
            </w:rPr>
            <w:t xml:space="preserve">  </w:t>
          </w:r>
          <w:r>
            <w:rPr>
              <w:rFonts w:hint="eastAsia" w:ascii="宋体" w:hAnsi="宋体" w:cs="宋体"/>
              <w:bCs/>
              <w:color w:val="auto"/>
              <w:szCs w:val="36"/>
              <w:highlight w:val="none"/>
              <w:lang w:eastAsia="zh-CN"/>
            </w:rPr>
            <w:t>书</w:t>
          </w:r>
          <w:r>
            <w:rPr>
              <w:color w:val="auto"/>
              <w:highlight w:val="none"/>
            </w:rPr>
            <w:tab/>
          </w:r>
          <w:r>
            <w:rPr>
              <w:color w:val="auto"/>
              <w:highlight w:val="none"/>
            </w:rPr>
            <w:fldChar w:fldCharType="begin"/>
          </w:r>
          <w:r>
            <w:rPr>
              <w:color w:val="auto"/>
              <w:highlight w:val="none"/>
            </w:rPr>
            <w:instrText xml:space="preserve"> PAGEREF _Toc18996 \h </w:instrText>
          </w:r>
          <w:r>
            <w:rPr>
              <w:color w:val="auto"/>
              <w:highlight w:val="none"/>
            </w:rPr>
            <w:fldChar w:fldCharType="separate"/>
          </w:r>
          <w:r>
            <w:rPr>
              <w:color w:val="auto"/>
              <w:highlight w:val="none"/>
            </w:rPr>
            <w:t>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_Toc3172 </w:instrText>
          </w:r>
          <w:r>
            <w:rPr>
              <w:color w:val="auto"/>
              <w:highlight w:val="none"/>
              <w:lang w:eastAsia="zh-CN"/>
            </w:rPr>
            <w:fldChar w:fldCharType="separate"/>
          </w:r>
          <w:r>
            <w:rPr>
              <w:rFonts w:hint="eastAsia" w:ascii="仿宋" w:hAnsi="仿宋" w:eastAsia="仿宋" w:cs="仿宋"/>
              <w:bCs/>
              <w:color w:val="auto"/>
              <w:highlight w:val="none"/>
              <w:lang w:eastAsia="zh-CN"/>
            </w:rPr>
            <w:t>一、工程概况</w:t>
          </w:r>
          <w:r>
            <w:rPr>
              <w:color w:val="auto"/>
              <w:highlight w:val="none"/>
            </w:rPr>
            <w:tab/>
          </w:r>
          <w:r>
            <w:rPr>
              <w:color w:val="auto"/>
              <w:highlight w:val="none"/>
            </w:rPr>
            <w:fldChar w:fldCharType="begin"/>
          </w:r>
          <w:r>
            <w:rPr>
              <w:color w:val="auto"/>
              <w:highlight w:val="none"/>
            </w:rPr>
            <w:instrText xml:space="preserve"> PAGEREF _Toc3172 \h </w:instrText>
          </w:r>
          <w:r>
            <w:rPr>
              <w:color w:val="auto"/>
              <w:highlight w:val="none"/>
            </w:rPr>
            <w:fldChar w:fldCharType="separate"/>
          </w:r>
          <w:r>
            <w:rPr>
              <w:color w:val="auto"/>
              <w:highlight w:val="none"/>
            </w:rPr>
            <w:t>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_Toc5743 </w:instrText>
          </w:r>
          <w:r>
            <w:rPr>
              <w:color w:val="auto"/>
              <w:highlight w:val="none"/>
              <w:lang w:eastAsia="zh-CN"/>
            </w:rPr>
            <w:fldChar w:fldCharType="separate"/>
          </w:r>
          <w:r>
            <w:rPr>
              <w:rFonts w:hint="eastAsia" w:ascii="仿宋" w:hAnsi="仿宋" w:eastAsia="仿宋" w:cs="仿宋"/>
              <w:bCs/>
              <w:color w:val="auto"/>
              <w:highlight w:val="none"/>
              <w:lang w:eastAsia="zh-CN"/>
            </w:rPr>
            <w:t>二、总承包范围与</w:t>
          </w:r>
          <w:r>
            <w:rPr>
              <w:rFonts w:ascii="仿宋" w:hAnsi="仿宋" w:eastAsia="仿宋" w:cs="仿宋"/>
              <w:bCs/>
              <w:color w:val="auto"/>
              <w:highlight w:val="none"/>
              <w:lang w:eastAsia="zh-CN"/>
            </w:rPr>
            <w:t>工程内容</w:t>
          </w:r>
          <w:r>
            <w:rPr>
              <w:color w:val="auto"/>
              <w:highlight w:val="none"/>
            </w:rPr>
            <w:tab/>
          </w:r>
          <w:r>
            <w:rPr>
              <w:color w:val="auto"/>
              <w:highlight w:val="none"/>
            </w:rPr>
            <w:fldChar w:fldCharType="begin"/>
          </w:r>
          <w:r>
            <w:rPr>
              <w:color w:val="auto"/>
              <w:highlight w:val="none"/>
            </w:rPr>
            <w:instrText xml:space="preserve"> PAGEREF _Toc5743 \h </w:instrText>
          </w:r>
          <w:r>
            <w:rPr>
              <w:color w:val="auto"/>
              <w:highlight w:val="none"/>
            </w:rPr>
            <w:fldChar w:fldCharType="separate"/>
          </w:r>
          <w:r>
            <w:rPr>
              <w:color w:val="auto"/>
              <w:highlight w:val="none"/>
            </w:rPr>
            <w:t>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_Toc14955 </w:instrText>
          </w:r>
          <w:r>
            <w:rPr>
              <w:color w:val="auto"/>
              <w:highlight w:val="none"/>
              <w:lang w:eastAsia="zh-CN"/>
            </w:rPr>
            <w:fldChar w:fldCharType="separate"/>
          </w:r>
          <w:r>
            <w:rPr>
              <w:rFonts w:hint="eastAsia" w:ascii="仿宋" w:hAnsi="仿宋" w:eastAsia="仿宋" w:cs="仿宋"/>
              <w:bCs/>
              <w:color w:val="auto"/>
              <w:highlight w:val="none"/>
              <w:lang w:eastAsia="zh-CN"/>
            </w:rPr>
            <w:t>★三、质量标准和要求</w:t>
          </w:r>
          <w:r>
            <w:rPr>
              <w:color w:val="auto"/>
              <w:highlight w:val="none"/>
            </w:rPr>
            <w:tab/>
          </w:r>
          <w:r>
            <w:rPr>
              <w:color w:val="auto"/>
              <w:highlight w:val="none"/>
            </w:rPr>
            <w:fldChar w:fldCharType="begin"/>
          </w:r>
          <w:r>
            <w:rPr>
              <w:color w:val="auto"/>
              <w:highlight w:val="none"/>
            </w:rPr>
            <w:instrText xml:space="preserve"> PAGEREF _Toc14955 \h </w:instrText>
          </w:r>
          <w:r>
            <w:rPr>
              <w:color w:val="auto"/>
              <w:highlight w:val="none"/>
            </w:rPr>
            <w:fldChar w:fldCharType="separate"/>
          </w:r>
          <w:r>
            <w:rPr>
              <w:color w:val="auto"/>
              <w:highlight w:val="none"/>
            </w:rPr>
            <w:t>9</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_Toc11348 </w:instrText>
          </w:r>
          <w:r>
            <w:rPr>
              <w:color w:val="auto"/>
              <w:highlight w:val="none"/>
              <w:lang w:eastAsia="zh-CN"/>
            </w:rPr>
            <w:fldChar w:fldCharType="separate"/>
          </w:r>
          <w:r>
            <w:rPr>
              <w:rFonts w:hint="eastAsia" w:ascii="仿宋" w:hAnsi="仿宋" w:eastAsia="仿宋" w:cs="仿宋"/>
              <w:bCs/>
              <w:color w:val="auto"/>
              <w:highlight w:val="none"/>
              <w:lang w:eastAsia="zh-CN"/>
            </w:rPr>
            <w:t>四、创优目标</w:t>
          </w:r>
          <w:r>
            <w:rPr>
              <w:color w:val="auto"/>
              <w:highlight w:val="none"/>
            </w:rPr>
            <w:tab/>
          </w:r>
          <w:r>
            <w:rPr>
              <w:color w:val="auto"/>
              <w:highlight w:val="none"/>
            </w:rPr>
            <w:fldChar w:fldCharType="begin"/>
          </w:r>
          <w:r>
            <w:rPr>
              <w:color w:val="auto"/>
              <w:highlight w:val="none"/>
            </w:rPr>
            <w:instrText xml:space="preserve"> PAGEREF _Toc11348 \h </w:instrText>
          </w:r>
          <w:r>
            <w:rPr>
              <w:color w:val="auto"/>
              <w:highlight w:val="none"/>
            </w:rPr>
            <w:fldChar w:fldCharType="separate"/>
          </w:r>
          <w:r>
            <w:rPr>
              <w:color w:val="auto"/>
              <w:highlight w:val="none"/>
            </w:rPr>
            <w:t>10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_Toc4206 </w:instrText>
          </w:r>
          <w:r>
            <w:rPr>
              <w:color w:val="auto"/>
              <w:highlight w:val="none"/>
              <w:lang w:eastAsia="zh-CN"/>
            </w:rPr>
            <w:fldChar w:fldCharType="separate"/>
          </w:r>
          <w:r>
            <w:rPr>
              <w:rFonts w:hint="eastAsia" w:ascii="仿宋" w:hAnsi="仿宋" w:eastAsia="仿宋" w:cs="仿宋"/>
              <w:bCs/>
              <w:color w:val="auto"/>
              <w:highlight w:val="none"/>
              <w:lang w:eastAsia="zh-CN"/>
            </w:rPr>
            <w:t>五、创文明工地目标</w:t>
          </w:r>
          <w:r>
            <w:rPr>
              <w:color w:val="auto"/>
              <w:highlight w:val="none"/>
            </w:rPr>
            <w:tab/>
          </w:r>
          <w:r>
            <w:rPr>
              <w:color w:val="auto"/>
              <w:highlight w:val="none"/>
            </w:rPr>
            <w:fldChar w:fldCharType="begin"/>
          </w:r>
          <w:r>
            <w:rPr>
              <w:color w:val="auto"/>
              <w:highlight w:val="none"/>
            </w:rPr>
            <w:instrText xml:space="preserve"> PAGEREF _Toc4206 \h </w:instrText>
          </w:r>
          <w:r>
            <w:rPr>
              <w:color w:val="auto"/>
              <w:highlight w:val="none"/>
            </w:rPr>
            <w:fldChar w:fldCharType="separate"/>
          </w:r>
          <w:r>
            <w:rPr>
              <w:color w:val="auto"/>
              <w:highlight w:val="none"/>
            </w:rPr>
            <w:t>10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_Toc31823 </w:instrText>
          </w:r>
          <w:r>
            <w:rPr>
              <w:color w:val="auto"/>
              <w:highlight w:val="none"/>
              <w:lang w:eastAsia="zh-CN"/>
            </w:rPr>
            <w:fldChar w:fldCharType="separate"/>
          </w:r>
          <w:r>
            <w:rPr>
              <w:rFonts w:hint="eastAsia" w:ascii="仿宋" w:hAnsi="仿宋" w:eastAsia="仿宋" w:cs="仿宋"/>
              <w:bCs/>
              <w:color w:val="auto"/>
              <w:highlight w:val="none"/>
              <w:lang w:eastAsia="zh-CN"/>
            </w:rPr>
            <w:t>六、职业健康安全管理目标和环境管理目标</w:t>
          </w:r>
          <w:r>
            <w:rPr>
              <w:color w:val="auto"/>
              <w:highlight w:val="none"/>
            </w:rPr>
            <w:tab/>
          </w:r>
          <w:r>
            <w:rPr>
              <w:color w:val="auto"/>
              <w:highlight w:val="none"/>
            </w:rPr>
            <w:fldChar w:fldCharType="begin"/>
          </w:r>
          <w:r>
            <w:rPr>
              <w:color w:val="auto"/>
              <w:highlight w:val="none"/>
            </w:rPr>
            <w:instrText xml:space="preserve"> PAGEREF _Toc31823 \h </w:instrText>
          </w:r>
          <w:r>
            <w:rPr>
              <w:color w:val="auto"/>
              <w:highlight w:val="none"/>
            </w:rPr>
            <w:fldChar w:fldCharType="separate"/>
          </w:r>
          <w:r>
            <w:rPr>
              <w:color w:val="auto"/>
              <w:highlight w:val="none"/>
            </w:rPr>
            <w:t>10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_Toc24334 </w:instrText>
          </w:r>
          <w:r>
            <w:rPr>
              <w:color w:val="auto"/>
              <w:highlight w:val="none"/>
              <w:lang w:eastAsia="zh-CN"/>
            </w:rPr>
            <w:fldChar w:fldCharType="separate"/>
          </w:r>
          <w:r>
            <w:rPr>
              <w:rFonts w:hint="eastAsia" w:ascii="仿宋" w:hAnsi="仿宋" w:eastAsia="仿宋" w:cs="仿宋"/>
              <w:bCs/>
              <w:color w:val="auto"/>
              <w:highlight w:val="none"/>
              <w:lang w:eastAsia="zh-CN"/>
            </w:rPr>
            <w:t>七、合同工期</w:t>
          </w:r>
          <w:r>
            <w:rPr>
              <w:color w:val="auto"/>
              <w:highlight w:val="none"/>
            </w:rPr>
            <w:tab/>
          </w:r>
          <w:r>
            <w:rPr>
              <w:color w:val="auto"/>
              <w:highlight w:val="none"/>
            </w:rPr>
            <w:fldChar w:fldCharType="begin"/>
          </w:r>
          <w:r>
            <w:rPr>
              <w:color w:val="auto"/>
              <w:highlight w:val="none"/>
            </w:rPr>
            <w:instrText xml:space="preserve"> PAGEREF _Toc24334 \h </w:instrText>
          </w:r>
          <w:r>
            <w:rPr>
              <w:color w:val="auto"/>
              <w:highlight w:val="none"/>
            </w:rPr>
            <w:fldChar w:fldCharType="separate"/>
          </w:r>
          <w:r>
            <w:rPr>
              <w:color w:val="auto"/>
              <w:highlight w:val="none"/>
            </w:rPr>
            <w:t>10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_Toc14040 </w:instrText>
          </w:r>
          <w:r>
            <w:rPr>
              <w:color w:val="auto"/>
              <w:highlight w:val="none"/>
              <w:lang w:eastAsia="zh-CN"/>
            </w:rPr>
            <w:fldChar w:fldCharType="separate"/>
          </w:r>
          <w:r>
            <w:rPr>
              <w:rFonts w:hint="eastAsia" w:ascii="仿宋" w:hAnsi="仿宋" w:eastAsia="仿宋" w:cs="仿宋"/>
              <w:bCs/>
              <w:color w:val="auto"/>
              <w:highlight w:val="none"/>
              <w:lang w:eastAsia="zh-CN"/>
            </w:rPr>
            <w:t>八、签约合同价与合同价格形式</w:t>
          </w:r>
          <w:r>
            <w:rPr>
              <w:color w:val="auto"/>
              <w:highlight w:val="none"/>
            </w:rPr>
            <w:tab/>
          </w:r>
          <w:r>
            <w:rPr>
              <w:color w:val="auto"/>
              <w:highlight w:val="none"/>
            </w:rPr>
            <w:fldChar w:fldCharType="begin"/>
          </w:r>
          <w:r>
            <w:rPr>
              <w:color w:val="auto"/>
              <w:highlight w:val="none"/>
            </w:rPr>
            <w:instrText xml:space="preserve"> PAGEREF _Toc14040 \h </w:instrText>
          </w:r>
          <w:r>
            <w:rPr>
              <w:color w:val="auto"/>
              <w:highlight w:val="none"/>
            </w:rPr>
            <w:fldChar w:fldCharType="separate"/>
          </w:r>
          <w:r>
            <w:rPr>
              <w:color w:val="auto"/>
              <w:highlight w:val="none"/>
            </w:rPr>
            <w:t>12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_Toc5592 </w:instrText>
          </w:r>
          <w:r>
            <w:rPr>
              <w:color w:val="auto"/>
              <w:highlight w:val="none"/>
              <w:lang w:eastAsia="zh-CN"/>
            </w:rPr>
            <w:fldChar w:fldCharType="separate"/>
          </w:r>
          <w:r>
            <w:rPr>
              <w:rFonts w:hint="eastAsia" w:ascii="仿宋" w:hAnsi="仿宋" w:eastAsia="仿宋" w:cs="仿宋"/>
              <w:bCs/>
              <w:color w:val="auto"/>
              <w:highlight w:val="none"/>
              <w:lang w:eastAsia="zh-CN"/>
            </w:rPr>
            <w:t>★九、工人工资支付分账、建筑安装工程费支付专户</w:t>
          </w:r>
          <w:r>
            <w:rPr>
              <w:color w:val="auto"/>
              <w:highlight w:val="none"/>
            </w:rPr>
            <w:tab/>
          </w:r>
          <w:r>
            <w:rPr>
              <w:color w:val="auto"/>
              <w:highlight w:val="none"/>
            </w:rPr>
            <w:fldChar w:fldCharType="begin"/>
          </w:r>
          <w:r>
            <w:rPr>
              <w:color w:val="auto"/>
              <w:highlight w:val="none"/>
            </w:rPr>
            <w:instrText xml:space="preserve"> PAGEREF _Toc5592 \h </w:instrText>
          </w:r>
          <w:r>
            <w:rPr>
              <w:color w:val="auto"/>
              <w:highlight w:val="none"/>
            </w:rPr>
            <w:fldChar w:fldCharType="separate"/>
          </w:r>
          <w:r>
            <w:rPr>
              <w:color w:val="auto"/>
              <w:highlight w:val="none"/>
            </w:rPr>
            <w:t>13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_Toc21109 </w:instrText>
          </w:r>
          <w:r>
            <w:rPr>
              <w:color w:val="auto"/>
              <w:highlight w:val="none"/>
              <w:lang w:eastAsia="zh-CN"/>
            </w:rPr>
            <w:fldChar w:fldCharType="separate"/>
          </w:r>
          <w:r>
            <w:rPr>
              <w:rFonts w:hint="eastAsia" w:ascii="仿宋" w:hAnsi="仿宋" w:eastAsia="仿宋" w:cs="仿宋"/>
              <w:bCs/>
              <w:color w:val="auto"/>
              <w:highlight w:val="none"/>
              <w:lang w:eastAsia="zh-CN"/>
            </w:rPr>
            <w:t>十、组成合同的文件</w:t>
          </w:r>
          <w:r>
            <w:rPr>
              <w:color w:val="auto"/>
              <w:highlight w:val="none"/>
            </w:rPr>
            <w:tab/>
          </w:r>
          <w:r>
            <w:rPr>
              <w:color w:val="auto"/>
              <w:highlight w:val="none"/>
            </w:rPr>
            <w:fldChar w:fldCharType="begin"/>
          </w:r>
          <w:r>
            <w:rPr>
              <w:color w:val="auto"/>
              <w:highlight w:val="none"/>
            </w:rPr>
            <w:instrText xml:space="preserve"> PAGEREF _Toc21109 \h </w:instrText>
          </w:r>
          <w:r>
            <w:rPr>
              <w:color w:val="auto"/>
              <w:highlight w:val="none"/>
            </w:rPr>
            <w:fldChar w:fldCharType="separate"/>
          </w:r>
          <w:r>
            <w:rPr>
              <w:color w:val="auto"/>
              <w:highlight w:val="none"/>
            </w:rPr>
            <w:t>14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_Toc10675 </w:instrText>
          </w:r>
          <w:r>
            <w:rPr>
              <w:color w:val="auto"/>
              <w:highlight w:val="none"/>
              <w:lang w:eastAsia="zh-CN"/>
            </w:rPr>
            <w:fldChar w:fldCharType="separate"/>
          </w:r>
          <w:r>
            <w:rPr>
              <w:rFonts w:hint="eastAsia" w:ascii="仿宋" w:hAnsi="仿宋" w:eastAsia="仿宋" w:cs="仿宋"/>
              <w:bCs/>
              <w:color w:val="auto"/>
              <w:highlight w:val="none"/>
              <w:lang w:eastAsia="zh-CN"/>
            </w:rPr>
            <w:t>十一、词语含义</w:t>
          </w:r>
          <w:r>
            <w:rPr>
              <w:color w:val="auto"/>
              <w:highlight w:val="none"/>
            </w:rPr>
            <w:tab/>
          </w:r>
          <w:r>
            <w:rPr>
              <w:color w:val="auto"/>
              <w:highlight w:val="none"/>
            </w:rPr>
            <w:fldChar w:fldCharType="begin"/>
          </w:r>
          <w:r>
            <w:rPr>
              <w:color w:val="auto"/>
              <w:highlight w:val="none"/>
            </w:rPr>
            <w:instrText xml:space="preserve"> PAGEREF _Toc10675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_Toc28391 </w:instrText>
          </w:r>
          <w:r>
            <w:rPr>
              <w:color w:val="auto"/>
              <w:highlight w:val="none"/>
              <w:lang w:eastAsia="zh-CN"/>
            </w:rPr>
            <w:fldChar w:fldCharType="separate"/>
          </w:r>
          <w:r>
            <w:rPr>
              <w:rFonts w:hint="eastAsia" w:ascii="仿宋" w:hAnsi="仿宋" w:eastAsia="仿宋" w:cs="仿宋"/>
              <w:bCs/>
              <w:color w:val="auto"/>
              <w:highlight w:val="none"/>
              <w:lang w:eastAsia="zh-CN"/>
            </w:rPr>
            <w:t>十二、承诺</w:t>
          </w:r>
          <w:r>
            <w:rPr>
              <w:color w:val="auto"/>
              <w:highlight w:val="none"/>
            </w:rPr>
            <w:tab/>
          </w:r>
          <w:r>
            <w:rPr>
              <w:color w:val="auto"/>
              <w:highlight w:val="none"/>
            </w:rPr>
            <w:fldChar w:fldCharType="begin"/>
          </w:r>
          <w:r>
            <w:rPr>
              <w:color w:val="auto"/>
              <w:highlight w:val="none"/>
            </w:rPr>
            <w:instrText xml:space="preserve"> PAGEREF _Toc28391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_Toc10232 </w:instrText>
          </w:r>
          <w:r>
            <w:rPr>
              <w:color w:val="auto"/>
              <w:highlight w:val="none"/>
              <w:lang w:eastAsia="zh-CN"/>
            </w:rPr>
            <w:fldChar w:fldCharType="separate"/>
          </w:r>
          <w:r>
            <w:rPr>
              <w:rFonts w:hint="eastAsia" w:ascii="仿宋" w:hAnsi="仿宋" w:eastAsia="仿宋" w:cs="仿宋"/>
              <w:bCs/>
              <w:color w:val="auto"/>
              <w:highlight w:val="none"/>
              <w:lang w:eastAsia="zh-CN"/>
            </w:rPr>
            <w:t>十三、联合复测</w:t>
          </w:r>
          <w:r>
            <w:rPr>
              <w:color w:val="auto"/>
              <w:highlight w:val="none"/>
            </w:rPr>
            <w:tab/>
          </w:r>
          <w:r>
            <w:rPr>
              <w:color w:val="auto"/>
              <w:highlight w:val="none"/>
            </w:rPr>
            <w:fldChar w:fldCharType="begin"/>
          </w:r>
          <w:r>
            <w:rPr>
              <w:color w:val="auto"/>
              <w:highlight w:val="none"/>
            </w:rPr>
            <w:instrText xml:space="preserve"> PAGEREF _Toc10232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_Toc26221 </w:instrText>
          </w:r>
          <w:r>
            <w:rPr>
              <w:color w:val="auto"/>
              <w:highlight w:val="none"/>
              <w:lang w:eastAsia="zh-CN"/>
            </w:rPr>
            <w:fldChar w:fldCharType="separate"/>
          </w:r>
          <w:r>
            <w:rPr>
              <w:rFonts w:hint="eastAsia" w:ascii="仿宋" w:hAnsi="仿宋" w:eastAsia="仿宋" w:cs="仿宋"/>
              <w:bCs/>
              <w:color w:val="auto"/>
              <w:highlight w:val="none"/>
              <w:lang w:eastAsia="zh-CN"/>
            </w:rPr>
            <w:t>十四、合同生效</w:t>
          </w:r>
          <w:r>
            <w:rPr>
              <w:color w:val="auto"/>
              <w:highlight w:val="none"/>
            </w:rPr>
            <w:tab/>
          </w:r>
          <w:r>
            <w:rPr>
              <w:color w:val="auto"/>
              <w:highlight w:val="none"/>
            </w:rPr>
            <w:fldChar w:fldCharType="begin"/>
          </w:r>
          <w:r>
            <w:rPr>
              <w:color w:val="auto"/>
              <w:highlight w:val="none"/>
            </w:rPr>
            <w:instrText xml:space="preserve"> PAGEREF _Toc26221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_Toc8963 </w:instrText>
          </w:r>
          <w:r>
            <w:rPr>
              <w:color w:val="auto"/>
              <w:highlight w:val="none"/>
              <w:lang w:eastAsia="zh-CN"/>
            </w:rPr>
            <w:fldChar w:fldCharType="separate"/>
          </w:r>
          <w:r>
            <w:rPr>
              <w:rFonts w:hint="eastAsia" w:ascii="仿宋" w:hAnsi="仿宋" w:eastAsia="仿宋" w:cs="仿宋"/>
              <w:bCs/>
              <w:color w:val="auto"/>
              <w:highlight w:val="none"/>
              <w:lang w:eastAsia="zh-CN"/>
            </w:rPr>
            <w:t>十五、合同份数</w:t>
          </w:r>
          <w:r>
            <w:rPr>
              <w:color w:val="auto"/>
              <w:highlight w:val="none"/>
            </w:rPr>
            <w:tab/>
          </w:r>
          <w:r>
            <w:rPr>
              <w:color w:val="auto"/>
              <w:highlight w:val="none"/>
            </w:rPr>
            <w:fldChar w:fldCharType="begin"/>
          </w:r>
          <w:r>
            <w:rPr>
              <w:color w:val="auto"/>
              <w:highlight w:val="none"/>
            </w:rPr>
            <w:instrText xml:space="preserve"> PAGEREF _Toc8963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lang w:eastAsia="zh-CN"/>
            </w:rPr>
            <w:fldChar w:fldCharType="end"/>
          </w:r>
        </w:p>
        <w:p>
          <w:pPr>
            <w:pStyle w:val="29"/>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_Toc9870 </w:instrText>
          </w:r>
          <w:r>
            <w:rPr>
              <w:color w:val="auto"/>
              <w:highlight w:val="none"/>
              <w:lang w:eastAsia="zh-CN"/>
            </w:rPr>
            <w:fldChar w:fldCharType="separate"/>
          </w:r>
          <w:r>
            <w:rPr>
              <w:rFonts w:hint="eastAsia" w:ascii="宋体" w:hAnsi="宋体" w:cs="宋体"/>
              <w:bCs/>
              <w:color w:val="auto"/>
              <w:szCs w:val="36"/>
              <w:highlight w:val="none"/>
              <w:lang w:eastAsia="zh-CN"/>
            </w:rPr>
            <w:t>第二部分</w:t>
          </w:r>
          <w:r>
            <w:rPr>
              <w:rFonts w:ascii="宋体" w:hAnsi="宋体" w:cs="宋体"/>
              <w:bCs/>
              <w:color w:val="auto"/>
              <w:szCs w:val="36"/>
              <w:highlight w:val="none"/>
              <w:lang w:eastAsia="zh-CN"/>
            </w:rPr>
            <w:t xml:space="preserve">  </w:t>
          </w:r>
          <w:r>
            <w:rPr>
              <w:rFonts w:hint="eastAsia" w:ascii="宋体" w:hAnsi="宋体" w:cs="宋体"/>
              <w:bCs/>
              <w:color w:val="auto"/>
              <w:szCs w:val="36"/>
              <w:highlight w:val="none"/>
              <w:lang w:eastAsia="zh-CN"/>
            </w:rPr>
            <w:t>通用条款</w:t>
          </w:r>
          <w:r>
            <w:rPr>
              <w:color w:val="auto"/>
              <w:highlight w:val="none"/>
            </w:rPr>
            <w:tab/>
          </w:r>
          <w:r>
            <w:rPr>
              <w:color w:val="auto"/>
              <w:highlight w:val="none"/>
            </w:rPr>
            <w:fldChar w:fldCharType="begin"/>
          </w:r>
          <w:r>
            <w:rPr>
              <w:color w:val="auto"/>
              <w:highlight w:val="none"/>
            </w:rPr>
            <w:instrText xml:space="preserve"> PAGEREF _Toc9870 \h </w:instrText>
          </w:r>
          <w:r>
            <w:rPr>
              <w:color w:val="auto"/>
              <w:highlight w:val="none"/>
            </w:rPr>
            <w:fldChar w:fldCharType="separate"/>
          </w:r>
          <w:r>
            <w:rPr>
              <w:color w:val="auto"/>
              <w:highlight w:val="none"/>
            </w:rPr>
            <w:t>17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_Toc19576 </w:instrText>
          </w:r>
          <w:r>
            <w:rPr>
              <w:color w:val="auto"/>
              <w:highlight w:val="none"/>
              <w:lang w:eastAsia="zh-CN"/>
            </w:rPr>
            <w:fldChar w:fldCharType="separate"/>
          </w:r>
          <w:r>
            <w:rPr>
              <w:rFonts w:hint="eastAsia" w:hAnsi="宋体"/>
              <w:bCs/>
              <w:color w:val="auto"/>
              <w:szCs w:val="32"/>
              <w:highlight w:val="none"/>
              <w:lang w:eastAsia="zh-CN"/>
            </w:rPr>
            <w:t>一、总</w:t>
          </w:r>
          <w:r>
            <w:rPr>
              <w:rFonts w:hAnsi="宋体"/>
              <w:bCs/>
              <w:color w:val="auto"/>
              <w:szCs w:val="32"/>
              <w:highlight w:val="none"/>
              <w:lang w:eastAsia="zh-CN"/>
            </w:rPr>
            <w:t xml:space="preserve">  </w:t>
          </w:r>
          <w:r>
            <w:rPr>
              <w:rFonts w:hint="eastAsia" w:hAnsi="宋体"/>
              <w:bCs/>
              <w:color w:val="auto"/>
              <w:szCs w:val="32"/>
              <w:highlight w:val="none"/>
              <w:lang w:eastAsia="zh-CN"/>
            </w:rPr>
            <w:t>则</w:t>
          </w:r>
          <w:r>
            <w:rPr>
              <w:color w:val="auto"/>
              <w:highlight w:val="none"/>
            </w:rPr>
            <w:tab/>
          </w:r>
          <w:r>
            <w:rPr>
              <w:color w:val="auto"/>
              <w:highlight w:val="none"/>
            </w:rPr>
            <w:fldChar w:fldCharType="begin"/>
          </w:r>
          <w:r>
            <w:rPr>
              <w:color w:val="auto"/>
              <w:highlight w:val="none"/>
            </w:rPr>
            <w:instrText xml:space="preserve"> PAGEREF _Toc19576 \h </w:instrText>
          </w:r>
          <w:r>
            <w:rPr>
              <w:color w:val="auto"/>
              <w:highlight w:val="none"/>
            </w:rPr>
            <w:fldChar w:fldCharType="separate"/>
          </w:r>
          <w:r>
            <w:rPr>
              <w:color w:val="auto"/>
              <w:highlight w:val="none"/>
            </w:rPr>
            <w:t>17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_Toc29641 </w:instrText>
          </w:r>
          <w:r>
            <w:rPr>
              <w:color w:val="auto"/>
              <w:highlight w:val="none"/>
              <w:lang w:eastAsia="zh-CN"/>
            </w:rPr>
            <w:fldChar w:fldCharType="separate"/>
          </w:r>
          <w:r>
            <w:rPr>
              <w:rFonts w:ascii="仿宋" w:hAnsi="仿宋" w:eastAsia="仿宋" w:cs="仿宋"/>
              <w:bCs/>
              <w:color w:val="auto"/>
              <w:szCs w:val="24"/>
              <w:highlight w:val="none"/>
              <w:lang w:eastAsia="zh-CN"/>
            </w:rPr>
            <w:t xml:space="preserve">1 </w:t>
          </w:r>
          <w:r>
            <w:rPr>
              <w:rFonts w:hint="eastAsia" w:ascii="仿宋" w:hAnsi="仿宋" w:eastAsia="仿宋" w:cs="仿宋"/>
              <w:bCs/>
              <w:color w:val="auto"/>
              <w:szCs w:val="24"/>
              <w:highlight w:val="none"/>
              <w:lang w:eastAsia="zh-CN"/>
            </w:rPr>
            <w:t>定义</w:t>
          </w:r>
          <w:r>
            <w:rPr>
              <w:color w:val="auto"/>
              <w:highlight w:val="none"/>
            </w:rPr>
            <w:tab/>
          </w:r>
          <w:r>
            <w:rPr>
              <w:color w:val="auto"/>
              <w:highlight w:val="none"/>
            </w:rPr>
            <w:fldChar w:fldCharType="begin"/>
          </w:r>
          <w:r>
            <w:rPr>
              <w:color w:val="auto"/>
              <w:highlight w:val="none"/>
            </w:rPr>
            <w:instrText xml:space="preserve"> PAGEREF _Toc29641 \h </w:instrText>
          </w:r>
          <w:r>
            <w:rPr>
              <w:color w:val="auto"/>
              <w:highlight w:val="none"/>
            </w:rPr>
            <w:fldChar w:fldCharType="separate"/>
          </w:r>
          <w:r>
            <w:rPr>
              <w:color w:val="auto"/>
              <w:highlight w:val="none"/>
            </w:rPr>
            <w:t>17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_Toc29337 </w:instrText>
          </w:r>
          <w:r>
            <w:rPr>
              <w:color w:val="auto"/>
              <w:highlight w:val="none"/>
              <w:lang w:eastAsia="zh-CN"/>
            </w:rPr>
            <w:fldChar w:fldCharType="separate"/>
          </w:r>
          <w:r>
            <w:rPr>
              <w:rFonts w:ascii="仿宋" w:hAnsi="仿宋" w:eastAsia="仿宋" w:cs="仿宋"/>
              <w:bCs w:val="0"/>
              <w:color w:val="auto"/>
              <w:szCs w:val="24"/>
              <w:highlight w:val="none"/>
              <w:lang w:eastAsia="zh-CN"/>
            </w:rPr>
            <w:t xml:space="preserve">2 </w:t>
          </w:r>
          <w:r>
            <w:rPr>
              <w:rFonts w:hint="eastAsia" w:ascii="仿宋" w:hAnsi="仿宋" w:eastAsia="仿宋" w:cs="仿宋"/>
              <w:bCs w:val="0"/>
              <w:color w:val="auto"/>
              <w:szCs w:val="24"/>
              <w:highlight w:val="none"/>
              <w:lang w:eastAsia="zh-CN"/>
            </w:rPr>
            <w:t>合同文件及解释</w:t>
          </w:r>
          <w:r>
            <w:rPr>
              <w:color w:val="auto"/>
              <w:highlight w:val="none"/>
            </w:rPr>
            <w:tab/>
          </w:r>
          <w:r>
            <w:rPr>
              <w:color w:val="auto"/>
              <w:highlight w:val="none"/>
            </w:rPr>
            <w:fldChar w:fldCharType="begin"/>
          </w:r>
          <w:r>
            <w:rPr>
              <w:color w:val="auto"/>
              <w:highlight w:val="none"/>
            </w:rPr>
            <w:instrText xml:space="preserve"> PAGEREF _Toc29337 \h </w:instrText>
          </w:r>
          <w:r>
            <w:rPr>
              <w:color w:val="auto"/>
              <w:highlight w:val="none"/>
            </w:rPr>
            <w:fldChar w:fldCharType="separate"/>
          </w:r>
          <w:r>
            <w:rPr>
              <w:color w:val="auto"/>
              <w:highlight w:val="none"/>
            </w:rPr>
            <w:t>27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_Toc6162 </w:instrText>
          </w:r>
          <w:r>
            <w:rPr>
              <w:color w:val="auto"/>
              <w:highlight w:val="none"/>
              <w:lang w:eastAsia="zh-CN"/>
            </w:rPr>
            <w:fldChar w:fldCharType="separate"/>
          </w:r>
          <w:r>
            <w:rPr>
              <w:rFonts w:ascii="仿宋" w:hAnsi="仿宋" w:eastAsia="仿宋" w:cs="仿宋"/>
              <w:bCs w:val="0"/>
              <w:color w:val="auto"/>
              <w:szCs w:val="24"/>
              <w:highlight w:val="none"/>
              <w:lang w:eastAsia="zh-CN"/>
            </w:rPr>
            <w:t xml:space="preserve">3 </w:t>
          </w:r>
          <w:r>
            <w:rPr>
              <w:rFonts w:hint="eastAsia" w:ascii="仿宋" w:hAnsi="仿宋" w:eastAsia="仿宋" w:cs="仿宋"/>
              <w:bCs w:val="0"/>
              <w:color w:val="auto"/>
              <w:szCs w:val="24"/>
              <w:highlight w:val="none"/>
              <w:lang w:eastAsia="zh-CN"/>
            </w:rPr>
            <w:t>阅读、理解与接受</w:t>
          </w:r>
          <w:r>
            <w:rPr>
              <w:color w:val="auto"/>
              <w:highlight w:val="none"/>
            </w:rPr>
            <w:tab/>
          </w:r>
          <w:r>
            <w:rPr>
              <w:color w:val="auto"/>
              <w:highlight w:val="none"/>
            </w:rPr>
            <w:fldChar w:fldCharType="begin"/>
          </w:r>
          <w:r>
            <w:rPr>
              <w:color w:val="auto"/>
              <w:highlight w:val="none"/>
            </w:rPr>
            <w:instrText xml:space="preserve"> PAGEREF _Toc6162 \h </w:instrText>
          </w:r>
          <w:r>
            <w:rPr>
              <w:color w:val="auto"/>
              <w:highlight w:val="none"/>
            </w:rPr>
            <w:fldChar w:fldCharType="separate"/>
          </w:r>
          <w:r>
            <w:rPr>
              <w:color w:val="auto"/>
              <w:highlight w:val="none"/>
            </w:rPr>
            <w:t>28</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_Toc14869 </w:instrText>
          </w:r>
          <w:r>
            <w:rPr>
              <w:color w:val="auto"/>
              <w:highlight w:val="none"/>
              <w:lang w:eastAsia="zh-CN"/>
            </w:rPr>
            <w:fldChar w:fldCharType="separate"/>
          </w:r>
          <w:r>
            <w:rPr>
              <w:rFonts w:ascii="仿宋" w:hAnsi="仿宋" w:eastAsia="仿宋" w:cs="仿宋"/>
              <w:bCs w:val="0"/>
              <w:color w:val="auto"/>
              <w:szCs w:val="24"/>
              <w:highlight w:val="none"/>
              <w:lang w:eastAsia="zh-CN"/>
            </w:rPr>
            <w:t xml:space="preserve">4 </w:t>
          </w:r>
          <w:r>
            <w:rPr>
              <w:rFonts w:hint="eastAsia" w:ascii="仿宋" w:hAnsi="仿宋" w:eastAsia="仿宋" w:cs="仿宋"/>
              <w:bCs w:val="0"/>
              <w:color w:val="auto"/>
              <w:szCs w:val="24"/>
              <w:highlight w:val="none"/>
              <w:lang w:eastAsia="zh-CN"/>
            </w:rPr>
            <w:t>语言及适用的法律、标准与规范</w:t>
          </w:r>
          <w:r>
            <w:rPr>
              <w:color w:val="auto"/>
              <w:highlight w:val="none"/>
            </w:rPr>
            <w:tab/>
          </w:r>
          <w:r>
            <w:rPr>
              <w:color w:val="auto"/>
              <w:highlight w:val="none"/>
            </w:rPr>
            <w:fldChar w:fldCharType="begin"/>
          </w:r>
          <w:r>
            <w:rPr>
              <w:color w:val="auto"/>
              <w:highlight w:val="none"/>
            </w:rPr>
            <w:instrText xml:space="preserve"> PAGEREF _Toc14869 \h </w:instrText>
          </w:r>
          <w:r>
            <w:rPr>
              <w:color w:val="auto"/>
              <w:highlight w:val="none"/>
            </w:rPr>
            <w:fldChar w:fldCharType="separate"/>
          </w:r>
          <w:r>
            <w:rPr>
              <w:color w:val="auto"/>
              <w:highlight w:val="none"/>
            </w:rPr>
            <w:t>28</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_Toc27934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 发包人要求</w:t>
          </w:r>
          <w:r>
            <w:rPr>
              <w:color w:val="auto"/>
              <w:highlight w:val="none"/>
            </w:rPr>
            <w:tab/>
          </w:r>
          <w:r>
            <w:rPr>
              <w:color w:val="auto"/>
              <w:highlight w:val="none"/>
            </w:rPr>
            <w:fldChar w:fldCharType="begin"/>
          </w:r>
          <w:r>
            <w:rPr>
              <w:color w:val="auto"/>
              <w:highlight w:val="none"/>
            </w:rPr>
            <w:instrText xml:space="preserve"> PAGEREF _Toc27934 \h </w:instrText>
          </w:r>
          <w:r>
            <w:rPr>
              <w:color w:val="auto"/>
              <w:highlight w:val="none"/>
            </w:rPr>
            <w:fldChar w:fldCharType="separate"/>
          </w:r>
          <w:r>
            <w:rPr>
              <w:color w:val="auto"/>
              <w:highlight w:val="none"/>
            </w:rPr>
            <w:t>29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_Toc19333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 项目基础资料</w:t>
          </w:r>
          <w:r>
            <w:rPr>
              <w:color w:val="auto"/>
              <w:highlight w:val="none"/>
            </w:rPr>
            <w:tab/>
          </w:r>
          <w:r>
            <w:rPr>
              <w:color w:val="auto"/>
              <w:highlight w:val="none"/>
            </w:rPr>
            <w:fldChar w:fldCharType="begin"/>
          </w:r>
          <w:r>
            <w:rPr>
              <w:color w:val="auto"/>
              <w:highlight w:val="none"/>
            </w:rPr>
            <w:instrText xml:space="preserve"> PAGEREF _Toc19333 \h </w:instrText>
          </w:r>
          <w:r>
            <w:rPr>
              <w:color w:val="auto"/>
              <w:highlight w:val="none"/>
            </w:rPr>
            <w:fldChar w:fldCharType="separate"/>
          </w:r>
          <w:r>
            <w:rPr>
              <w:color w:val="auto"/>
              <w:highlight w:val="none"/>
            </w:rPr>
            <w:t>32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_Toc23610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 勘察报告、设计文件、建筑信息模型（BIM）</w:t>
          </w:r>
          <w:r>
            <w:rPr>
              <w:color w:val="auto"/>
              <w:highlight w:val="none"/>
            </w:rPr>
            <w:tab/>
          </w:r>
          <w:r>
            <w:rPr>
              <w:color w:val="auto"/>
              <w:highlight w:val="none"/>
            </w:rPr>
            <w:fldChar w:fldCharType="begin"/>
          </w:r>
          <w:r>
            <w:rPr>
              <w:color w:val="auto"/>
              <w:highlight w:val="none"/>
            </w:rPr>
            <w:instrText xml:space="preserve"> PAGEREF _Toc23610 \h </w:instrText>
          </w:r>
          <w:r>
            <w:rPr>
              <w:color w:val="auto"/>
              <w:highlight w:val="none"/>
            </w:rPr>
            <w:fldChar w:fldCharType="separate"/>
          </w:r>
          <w:r>
            <w:rPr>
              <w:color w:val="auto"/>
              <w:highlight w:val="none"/>
            </w:rPr>
            <w:t>33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_Toc12045 </w:instrText>
          </w:r>
          <w:r>
            <w:rPr>
              <w:color w:val="auto"/>
              <w:highlight w:val="none"/>
              <w:lang w:eastAsia="zh-CN"/>
            </w:rPr>
            <w:fldChar w:fldCharType="separate"/>
          </w:r>
          <w:r>
            <w:rPr>
              <w:rFonts w:hint="eastAsia" w:ascii="仿宋" w:hAnsi="仿宋" w:eastAsia="仿宋" w:cs="仿宋"/>
              <w:bCs w:val="0"/>
              <w:color w:val="auto"/>
              <w:szCs w:val="24"/>
              <w:highlight w:val="none"/>
            </w:rPr>
            <w:t>8 合同价格的控制原则</w:t>
          </w:r>
          <w:r>
            <w:rPr>
              <w:color w:val="auto"/>
              <w:highlight w:val="none"/>
            </w:rPr>
            <w:tab/>
          </w:r>
          <w:r>
            <w:rPr>
              <w:color w:val="auto"/>
              <w:highlight w:val="none"/>
            </w:rPr>
            <w:fldChar w:fldCharType="begin"/>
          </w:r>
          <w:r>
            <w:rPr>
              <w:color w:val="auto"/>
              <w:highlight w:val="none"/>
            </w:rPr>
            <w:instrText xml:space="preserve"> PAGEREF _Toc12045 \h </w:instrText>
          </w:r>
          <w:r>
            <w:rPr>
              <w:color w:val="auto"/>
              <w:highlight w:val="none"/>
            </w:rPr>
            <w:fldChar w:fldCharType="separate"/>
          </w:r>
          <w:r>
            <w:rPr>
              <w:color w:val="auto"/>
              <w:highlight w:val="none"/>
            </w:rPr>
            <w:t>36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_Toc19890 </w:instrText>
          </w:r>
          <w:r>
            <w:rPr>
              <w:color w:val="auto"/>
              <w:highlight w:val="none"/>
              <w:lang w:eastAsia="zh-CN"/>
            </w:rPr>
            <w:fldChar w:fldCharType="separate"/>
          </w:r>
          <w:r>
            <w:rPr>
              <w:rFonts w:hint="eastAsia" w:ascii="仿宋" w:hAnsi="仿宋" w:eastAsia="仿宋" w:cs="仿宋"/>
              <w:color w:val="auto"/>
              <w:szCs w:val="24"/>
              <w:highlight w:val="none"/>
              <w:lang w:eastAsia="zh-CN"/>
            </w:rPr>
            <w:t>9</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通讯联络</w:t>
          </w:r>
          <w:r>
            <w:rPr>
              <w:color w:val="auto"/>
              <w:highlight w:val="none"/>
            </w:rPr>
            <w:tab/>
          </w:r>
          <w:r>
            <w:rPr>
              <w:color w:val="auto"/>
              <w:highlight w:val="none"/>
            </w:rPr>
            <w:fldChar w:fldCharType="begin"/>
          </w:r>
          <w:r>
            <w:rPr>
              <w:color w:val="auto"/>
              <w:highlight w:val="none"/>
            </w:rPr>
            <w:instrText xml:space="preserve"> PAGEREF _Toc19890 \h </w:instrText>
          </w:r>
          <w:r>
            <w:rPr>
              <w:color w:val="auto"/>
              <w:highlight w:val="none"/>
            </w:rPr>
            <w:fldChar w:fldCharType="separate"/>
          </w:r>
          <w:r>
            <w:rPr>
              <w:color w:val="auto"/>
              <w:highlight w:val="none"/>
            </w:rPr>
            <w:t>39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_Toc31384 </w:instrText>
          </w:r>
          <w:r>
            <w:rPr>
              <w:color w:val="auto"/>
              <w:highlight w:val="none"/>
              <w:lang w:eastAsia="zh-CN"/>
            </w:rPr>
            <w:fldChar w:fldCharType="separate"/>
          </w:r>
          <w:r>
            <w:rPr>
              <w:rFonts w:hint="eastAsia" w:ascii="仿宋" w:hAnsi="仿宋" w:eastAsia="仿宋" w:cs="仿宋"/>
              <w:color w:val="auto"/>
              <w:szCs w:val="24"/>
              <w:highlight w:val="none"/>
              <w:lang w:eastAsia="zh-CN"/>
            </w:rPr>
            <w:t>10</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分包</w:t>
          </w:r>
          <w:r>
            <w:rPr>
              <w:color w:val="auto"/>
              <w:highlight w:val="none"/>
            </w:rPr>
            <w:tab/>
          </w:r>
          <w:r>
            <w:rPr>
              <w:color w:val="auto"/>
              <w:highlight w:val="none"/>
            </w:rPr>
            <w:fldChar w:fldCharType="begin"/>
          </w:r>
          <w:r>
            <w:rPr>
              <w:color w:val="auto"/>
              <w:highlight w:val="none"/>
            </w:rPr>
            <w:instrText xml:space="preserve"> PAGEREF _Toc31384 \h </w:instrText>
          </w:r>
          <w:r>
            <w:rPr>
              <w:color w:val="auto"/>
              <w:highlight w:val="none"/>
            </w:rPr>
            <w:fldChar w:fldCharType="separate"/>
          </w:r>
          <w:r>
            <w:rPr>
              <w:color w:val="auto"/>
              <w:highlight w:val="none"/>
            </w:rPr>
            <w:t>40</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_Toc11987 </w:instrText>
          </w:r>
          <w:r>
            <w:rPr>
              <w:color w:val="auto"/>
              <w:highlight w:val="none"/>
              <w:lang w:eastAsia="zh-CN"/>
            </w:rPr>
            <w:fldChar w:fldCharType="separate"/>
          </w:r>
          <w:r>
            <w:rPr>
              <w:rFonts w:hint="eastAsia" w:ascii="仿宋" w:hAnsi="仿宋" w:eastAsia="仿宋" w:cs="仿宋"/>
              <w:color w:val="auto"/>
              <w:szCs w:val="24"/>
              <w:highlight w:val="none"/>
              <w:lang w:eastAsia="zh-CN"/>
            </w:rPr>
            <w:t>11</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现场查勘</w:t>
          </w:r>
          <w:r>
            <w:rPr>
              <w:color w:val="auto"/>
              <w:highlight w:val="none"/>
            </w:rPr>
            <w:tab/>
          </w:r>
          <w:r>
            <w:rPr>
              <w:color w:val="auto"/>
              <w:highlight w:val="none"/>
            </w:rPr>
            <w:fldChar w:fldCharType="begin"/>
          </w:r>
          <w:r>
            <w:rPr>
              <w:color w:val="auto"/>
              <w:highlight w:val="none"/>
            </w:rPr>
            <w:instrText xml:space="preserve"> PAGEREF _Toc11987 \h </w:instrText>
          </w:r>
          <w:r>
            <w:rPr>
              <w:color w:val="auto"/>
              <w:highlight w:val="none"/>
            </w:rPr>
            <w:fldChar w:fldCharType="separate"/>
          </w:r>
          <w:r>
            <w:rPr>
              <w:color w:val="auto"/>
              <w:highlight w:val="none"/>
            </w:rPr>
            <w:t>42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_Toc8461 </w:instrText>
          </w:r>
          <w:r>
            <w:rPr>
              <w:color w:val="auto"/>
              <w:highlight w:val="none"/>
              <w:lang w:eastAsia="zh-CN"/>
            </w:rPr>
            <w:fldChar w:fldCharType="separate"/>
          </w:r>
          <w:r>
            <w:rPr>
              <w:rFonts w:hint="eastAsia" w:ascii="仿宋" w:hAnsi="仿宋" w:eastAsia="仿宋" w:cs="仿宋"/>
              <w:color w:val="auto"/>
              <w:szCs w:val="24"/>
              <w:highlight w:val="none"/>
              <w:lang w:eastAsia="zh-CN"/>
            </w:rPr>
            <w:t>12</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招标错失的修正</w:t>
          </w:r>
          <w:r>
            <w:rPr>
              <w:color w:val="auto"/>
              <w:highlight w:val="none"/>
            </w:rPr>
            <w:tab/>
          </w:r>
          <w:r>
            <w:rPr>
              <w:color w:val="auto"/>
              <w:highlight w:val="none"/>
            </w:rPr>
            <w:fldChar w:fldCharType="begin"/>
          </w:r>
          <w:r>
            <w:rPr>
              <w:color w:val="auto"/>
              <w:highlight w:val="none"/>
            </w:rPr>
            <w:instrText xml:space="preserve"> PAGEREF _Toc8461 \h </w:instrText>
          </w:r>
          <w:r>
            <w:rPr>
              <w:color w:val="auto"/>
              <w:highlight w:val="none"/>
            </w:rPr>
            <w:fldChar w:fldCharType="separate"/>
          </w:r>
          <w:r>
            <w:rPr>
              <w:color w:val="auto"/>
              <w:highlight w:val="none"/>
            </w:rPr>
            <w:t>43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_Toc7822 </w:instrText>
          </w:r>
          <w:r>
            <w:rPr>
              <w:color w:val="auto"/>
              <w:highlight w:val="none"/>
              <w:lang w:eastAsia="zh-CN"/>
            </w:rPr>
            <w:fldChar w:fldCharType="separate"/>
          </w:r>
          <w:r>
            <w:rPr>
              <w:rFonts w:ascii="仿宋" w:hAnsi="仿宋" w:eastAsia="仿宋" w:cs="仿宋"/>
              <w:color w:val="auto"/>
              <w:szCs w:val="24"/>
              <w:highlight w:val="none"/>
              <w:lang w:eastAsia="zh-CN"/>
            </w:rPr>
            <w:t>1</w:t>
          </w:r>
          <w:r>
            <w:rPr>
              <w:rFonts w:hint="eastAsia" w:ascii="仿宋" w:hAnsi="仿宋" w:eastAsia="仿宋" w:cs="仿宋"/>
              <w:color w:val="auto"/>
              <w:szCs w:val="24"/>
              <w:highlight w:val="none"/>
              <w:lang w:eastAsia="zh-CN"/>
            </w:rPr>
            <w:t>3</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投标文件的完备性</w:t>
          </w:r>
          <w:r>
            <w:rPr>
              <w:color w:val="auto"/>
              <w:highlight w:val="none"/>
            </w:rPr>
            <w:tab/>
          </w:r>
          <w:r>
            <w:rPr>
              <w:color w:val="auto"/>
              <w:highlight w:val="none"/>
            </w:rPr>
            <w:fldChar w:fldCharType="begin"/>
          </w:r>
          <w:r>
            <w:rPr>
              <w:color w:val="auto"/>
              <w:highlight w:val="none"/>
            </w:rPr>
            <w:instrText xml:space="preserve"> PAGEREF _Toc7822 \h </w:instrText>
          </w:r>
          <w:r>
            <w:rPr>
              <w:color w:val="auto"/>
              <w:highlight w:val="none"/>
            </w:rPr>
            <w:fldChar w:fldCharType="separate"/>
          </w:r>
          <w:r>
            <w:rPr>
              <w:color w:val="auto"/>
              <w:highlight w:val="none"/>
            </w:rPr>
            <w:t>43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_Toc21701 </w:instrText>
          </w:r>
          <w:r>
            <w:rPr>
              <w:color w:val="auto"/>
              <w:highlight w:val="none"/>
              <w:lang w:eastAsia="zh-CN"/>
            </w:rPr>
            <w:fldChar w:fldCharType="separate"/>
          </w:r>
          <w:r>
            <w:rPr>
              <w:rFonts w:ascii="仿宋" w:hAnsi="仿宋" w:eastAsia="仿宋" w:cs="仿宋"/>
              <w:bCs w:val="0"/>
              <w:color w:val="auto"/>
              <w:szCs w:val="24"/>
              <w:highlight w:val="none"/>
              <w:lang w:eastAsia="zh-CN"/>
            </w:rPr>
            <w:t>1</w:t>
          </w:r>
          <w:r>
            <w:rPr>
              <w:rFonts w:hint="eastAsia" w:ascii="仿宋" w:hAnsi="仿宋" w:eastAsia="仿宋" w:cs="仿宋"/>
              <w:bCs w:val="0"/>
              <w:color w:val="auto"/>
              <w:szCs w:val="24"/>
              <w:highlight w:val="none"/>
              <w:lang w:eastAsia="zh-CN"/>
            </w:rPr>
            <w:t>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文物和地下障碍物</w:t>
          </w:r>
          <w:r>
            <w:rPr>
              <w:color w:val="auto"/>
              <w:highlight w:val="none"/>
            </w:rPr>
            <w:tab/>
          </w:r>
          <w:r>
            <w:rPr>
              <w:color w:val="auto"/>
              <w:highlight w:val="none"/>
            </w:rPr>
            <w:fldChar w:fldCharType="begin"/>
          </w:r>
          <w:r>
            <w:rPr>
              <w:color w:val="auto"/>
              <w:highlight w:val="none"/>
            </w:rPr>
            <w:instrText xml:space="preserve"> PAGEREF _Toc21701 \h </w:instrText>
          </w:r>
          <w:r>
            <w:rPr>
              <w:color w:val="auto"/>
              <w:highlight w:val="none"/>
            </w:rPr>
            <w:fldChar w:fldCharType="separate"/>
          </w:r>
          <w:r>
            <w:rPr>
              <w:color w:val="auto"/>
              <w:highlight w:val="none"/>
            </w:rPr>
            <w:t>44</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_Toc24008 </w:instrText>
          </w:r>
          <w:r>
            <w:rPr>
              <w:color w:val="auto"/>
              <w:highlight w:val="none"/>
              <w:lang w:eastAsia="zh-CN"/>
            </w:rPr>
            <w:fldChar w:fldCharType="separate"/>
          </w:r>
          <w:r>
            <w:rPr>
              <w:rFonts w:ascii="仿宋" w:hAnsi="仿宋" w:eastAsia="仿宋" w:cs="仿宋"/>
              <w:bCs w:val="0"/>
              <w:color w:val="auto"/>
              <w:szCs w:val="24"/>
              <w:highlight w:val="none"/>
              <w:lang w:eastAsia="zh-CN"/>
            </w:rPr>
            <w:t>1</w:t>
          </w:r>
          <w:r>
            <w:rPr>
              <w:rFonts w:hint="eastAsia" w:ascii="仿宋" w:hAnsi="仿宋" w:eastAsia="仿宋" w:cs="仿宋"/>
              <w:bCs w:val="0"/>
              <w:color w:val="auto"/>
              <w:szCs w:val="24"/>
              <w:highlight w:val="none"/>
              <w:lang w:eastAsia="zh-CN"/>
            </w:rPr>
            <w:t>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事故处理</w:t>
          </w:r>
          <w:r>
            <w:rPr>
              <w:color w:val="auto"/>
              <w:highlight w:val="none"/>
            </w:rPr>
            <w:tab/>
          </w:r>
          <w:r>
            <w:rPr>
              <w:color w:val="auto"/>
              <w:highlight w:val="none"/>
            </w:rPr>
            <w:fldChar w:fldCharType="begin"/>
          </w:r>
          <w:r>
            <w:rPr>
              <w:color w:val="auto"/>
              <w:highlight w:val="none"/>
            </w:rPr>
            <w:instrText xml:space="preserve"> PAGEREF _Toc24008 \h </w:instrText>
          </w:r>
          <w:r>
            <w:rPr>
              <w:color w:val="auto"/>
              <w:highlight w:val="none"/>
            </w:rPr>
            <w:fldChar w:fldCharType="separate"/>
          </w:r>
          <w:r>
            <w:rPr>
              <w:color w:val="auto"/>
              <w:highlight w:val="none"/>
            </w:rPr>
            <w:t>45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_Toc5352 </w:instrText>
          </w:r>
          <w:r>
            <w:rPr>
              <w:color w:val="auto"/>
              <w:highlight w:val="none"/>
              <w:lang w:eastAsia="zh-CN"/>
            </w:rPr>
            <w:fldChar w:fldCharType="separate"/>
          </w:r>
          <w:r>
            <w:rPr>
              <w:rFonts w:ascii="仿宋" w:hAnsi="仿宋" w:eastAsia="仿宋" w:cs="仿宋"/>
              <w:bCs w:val="0"/>
              <w:color w:val="auto"/>
              <w:szCs w:val="24"/>
              <w:highlight w:val="none"/>
              <w:lang w:eastAsia="zh-CN"/>
            </w:rPr>
            <w:t>1</w:t>
          </w:r>
          <w:r>
            <w:rPr>
              <w:rFonts w:hint="eastAsia" w:ascii="仿宋" w:hAnsi="仿宋" w:eastAsia="仿宋" w:cs="仿宋"/>
              <w:bCs w:val="0"/>
              <w:color w:val="auto"/>
              <w:szCs w:val="24"/>
              <w:highlight w:val="none"/>
              <w:lang w:eastAsia="zh-CN"/>
            </w:rPr>
            <w:t>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交通运输</w:t>
          </w:r>
          <w:r>
            <w:rPr>
              <w:color w:val="auto"/>
              <w:highlight w:val="none"/>
            </w:rPr>
            <w:tab/>
          </w:r>
          <w:r>
            <w:rPr>
              <w:color w:val="auto"/>
              <w:highlight w:val="none"/>
            </w:rPr>
            <w:fldChar w:fldCharType="begin"/>
          </w:r>
          <w:r>
            <w:rPr>
              <w:color w:val="auto"/>
              <w:highlight w:val="none"/>
            </w:rPr>
            <w:instrText xml:space="preserve"> PAGEREF _Toc5352 \h </w:instrText>
          </w:r>
          <w:r>
            <w:rPr>
              <w:color w:val="auto"/>
              <w:highlight w:val="none"/>
            </w:rPr>
            <w:fldChar w:fldCharType="separate"/>
          </w:r>
          <w:r>
            <w:rPr>
              <w:color w:val="auto"/>
              <w:highlight w:val="none"/>
            </w:rPr>
            <w:t>45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_Toc3734 </w:instrText>
          </w:r>
          <w:r>
            <w:rPr>
              <w:color w:val="auto"/>
              <w:highlight w:val="none"/>
              <w:lang w:eastAsia="zh-CN"/>
            </w:rPr>
            <w:fldChar w:fldCharType="separate"/>
          </w:r>
          <w:r>
            <w:rPr>
              <w:rFonts w:ascii="仿宋" w:hAnsi="仿宋" w:eastAsia="仿宋" w:cs="仿宋"/>
              <w:bCs w:val="0"/>
              <w:color w:val="auto"/>
              <w:szCs w:val="24"/>
              <w:highlight w:val="none"/>
              <w:lang w:eastAsia="zh-CN"/>
            </w:rPr>
            <w:t>1</w:t>
          </w:r>
          <w:r>
            <w:rPr>
              <w:rFonts w:hint="eastAsia" w:ascii="仿宋" w:hAnsi="仿宋" w:eastAsia="仿宋" w:cs="仿宋"/>
              <w:bCs w:val="0"/>
              <w:color w:val="auto"/>
              <w:szCs w:val="24"/>
              <w:highlight w:val="none"/>
              <w:lang w:eastAsia="zh-CN"/>
            </w:rPr>
            <w:t>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专项批准事项的签认</w:t>
          </w:r>
          <w:r>
            <w:rPr>
              <w:color w:val="auto"/>
              <w:highlight w:val="none"/>
            </w:rPr>
            <w:tab/>
          </w:r>
          <w:r>
            <w:rPr>
              <w:color w:val="auto"/>
              <w:highlight w:val="none"/>
            </w:rPr>
            <w:fldChar w:fldCharType="begin"/>
          </w:r>
          <w:r>
            <w:rPr>
              <w:color w:val="auto"/>
              <w:highlight w:val="none"/>
            </w:rPr>
            <w:instrText xml:space="preserve"> PAGEREF _Toc3734 \h </w:instrText>
          </w:r>
          <w:r>
            <w:rPr>
              <w:color w:val="auto"/>
              <w:highlight w:val="none"/>
            </w:rPr>
            <w:fldChar w:fldCharType="separate"/>
          </w:r>
          <w:r>
            <w:rPr>
              <w:color w:val="auto"/>
              <w:highlight w:val="none"/>
            </w:rPr>
            <w:t>46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_Toc12605 </w:instrText>
          </w:r>
          <w:r>
            <w:rPr>
              <w:color w:val="auto"/>
              <w:highlight w:val="none"/>
              <w:lang w:eastAsia="zh-CN"/>
            </w:rPr>
            <w:fldChar w:fldCharType="separate"/>
          </w:r>
          <w:r>
            <w:rPr>
              <w:rFonts w:ascii="仿宋" w:hAnsi="仿宋" w:eastAsia="仿宋" w:cs="仿宋"/>
              <w:bCs w:val="0"/>
              <w:color w:val="auto"/>
              <w:szCs w:val="24"/>
              <w:highlight w:val="none"/>
              <w:lang w:eastAsia="zh-CN"/>
            </w:rPr>
            <w:t>1</w:t>
          </w:r>
          <w:r>
            <w:rPr>
              <w:rFonts w:hint="eastAsia" w:ascii="仿宋" w:hAnsi="仿宋" w:eastAsia="仿宋" w:cs="仿宋"/>
              <w:bCs w:val="0"/>
              <w:color w:val="auto"/>
              <w:szCs w:val="24"/>
              <w:highlight w:val="none"/>
              <w:lang w:eastAsia="zh-CN"/>
            </w:rPr>
            <w:t>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专利技术和知识产权</w:t>
          </w:r>
          <w:r>
            <w:rPr>
              <w:color w:val="auto"/>
              <w:highlight w:val="none"/>
            </w:rPr>
            <w:tab/>
          </w:r>
          <w:r>
            <w:rPr>
              <w:color w:val="auto"/>
              <w:highlight w:val="none"/>
            </w:rPr>
            <w:fldChar w:fldCharType="begin"/>
          </w:r>
          <w:r>
            <w:rPr>
              <w:color w:val="auto"/>
              <w:highlight w:val="none"/>
            </w:rPr>
            <w:instrText xml:space="preserve"> PAGEREF _Toc12605 \h </w:instrText>
          </w:r>
          <w:r>
            <w:rPr>
              <w:color w:val="auto"/>
              <w:highlight w:val="none"/>
            </w:rPr>
            <w:fldChar w:fldCharType="separate"/>
          </w:r>
          <w:r>
            <w:rPr>
              <w:color w:val="auto"/>
              <w:highlight w:val="none"/>
            </w:rPr>
            <w:t>47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_Toc25623 </w:instrText>
          </w:r>
          <w:r>
            <w:rPr>
              <w:color w:val="auto"/>
              <w:highlight w:val="none"/>
              <w:lang w:eastAsia="zh-CN"/>
            </w:rPr>
            <w:fldChar w:fldCharType="separate"/>
          </w:r>
          <w:r>
            <w:rPr>
              <w:rFonts w:ascii="仿宋" w:hAnsi="仿宋" w:eastAsia="仿宋" w:cs="仿宋"/>
              <w:bCs w:val="0"/>
              <w:color w:val="auto"/>
              <w:szCs w:val="24"/>
              <w:highlight w:val="none"/>
              <w:lang w:eastAsia="zh-CN"/>
            </w:rPr>
            <w:t>1</w:t>
          </w:r>
          <w:r>
            <w:rPr>
              <w:rFonts w:hint="eastAsia" w:ascii="仿宋" w:hAnsi="仿宋" w:eastAsia="仿宋" w:cs="仿宋"/>
              <w:bCs w:val="0"/>
              <w:color w:val="auto"/>
              <w:szCs w:val="24"/>
              <w:highlight w:val="none"/>
              <w:lang w:eastAsia="zh-CN"/>
            </w:rPr>
            <w:t>9</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 xml:space="preserve"> 联合体</w:t>
          </w:r>
          <w:r>
            <w:rPr>
              <w:color w:val="auto"/>
              <w:highlight w:val="none"/>
            </w:rPr>
            <w:tab/>
          </w:r>
          <w:r>
            <w:rPr>
              <w:color w:val="auto"/>
              <w:highlight w:val="none"/>
            </w:rPr>
            <w:fldChar w:fldCharType="begin"/>
          </w:r>
          <w:r>
            <w:rPr>
              <w:color w:val="auto"/>
              <w:highlight w:val="none"/>
            </w:rPr>
            <w:instrText xml:space="preserve"> PAGEREF _Toc25623 \h </w:instrText>
          </w:r>
          <w:r>
            <w:rPr>
              <w:color w:val="auto"/>
              <w:highlight w:val="none"/>
            </w:rPr>
            <w:fldChar w:fldCharType="separate"/>
          </w:r>
          <w:r>
            <w:rPr>
              <w:color w:val="auto"/>
              <w:highlight w:val="none"/>
            </w:rPr>
            <w:t>48</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_Toc9797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保障</w:t>
          </w:r>
          <w:r>
            <w:rPr>
              <w:color w:val="auto"/>
              <w:highlight w:val="none"/>
            </w:rPr>
            <w:tab/>
          </w:r>
          <w:r>
            <w:rPr>
              <w:color w:val="auto"/>
              <w:highlight w:val="none"/>
            </w:rPr>
            <w:fldChar w:fldCharType="begin"/>
          </w:r>
          <w:r>
            <w:rPr>
              <w:color w:val="auto"/>
              <w:highlight w:val="none"/>
            </w:rPr>
            <w:instrText xml:space="preserve"> PAGEREF _Toc9797 \h </w:instrText>
          </w:r>
          <w:r>
            <w:rPr>
              <w:color w:val="auto"/>
              <w:highlight w:val="none"/>
            </w:rPr>
            <w:fldChar w:fldCharType="separate"/>
          </w:r>
          <w:r>
            <w:rPr>
              <w:color w:val="auto"/>
              <w:highlight w:val="none"/>
            </w:rPr>
            <w:t>51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_Toc3574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财产</w:t>
          </w:r>
          <w:r>
            <w:rPr>
              <w:color w:val="auto"/>
              <w:highlight w:val="none"/>
            </w:rPr>
            <w:tab/>
          </w:r>
          <w:r>
            <w:rPr>
              <w:color w:val="auto"/>
              <w:highlight w:val="none"/>
            </w:rPr>
            <w:fldChar w:fldCharType="begin"/>
          </w:r>
          <w:r>
            <w:rPr>
              <w:color w:val="auto"/>
              <w:highlight w:val="none"/>
            </w:rPr>
            <w:instrText xml:space="preserve"> PAGEREF _Toc3574 \h </w:instrText>
          </w:r>
          <w:r>
            <w:rPr>
              <w:color w:val="auto"/>
              <w:highlight w:val="none"/>
            </w:rPr>
            <w:fldChar w:fldCharType="separate"/>
          </w:r>
          <w:r>
            <w:rPr>
              <w:color w:val="auto"/>
              <w:highlight w:val="none"/>
            </w:rPr>
            <w:t>52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_Toc20711 </w:instrText>
          </w:r>
          <w:r>
            <w:rPr>
              <w:color w:val="auto"/>
              <w:highlight w:val="none"/>
              <w:lang w:eastAsia="zh-CN"/>
            </w:rPr>
            <w:fldChar w:fldCharType="separate"/>
          </w:r>
          <w:r>
            <w:rPr>
              <w:rFonts w:hint="eastAsia" w:ascii="仿宋" w:hAnsi="仿宋" w:eastAsia="仿宋" w:cs="仿宋"/>
              <w:bCs/>
              <w:color w:val="auto"/>
              <w:highlight w:val="none"/>
              <w:lang w:eastAsia="zh-CN"/>
            </w:rPr>
            <w:t>二、合同主体</w:t>
          </w:r>
          <w:r>
            <w:rPr>
              <w:color w:val="auto"/>
              <w:highlight w:val="none"/>
            </w:rPr>
            <w:tab/>
          </w:r>
          <w:r>
            <w:rPr>
              <w:color w:val="auto"/>
              <w:highlight w:val="none"/>
            </w:rPr>
            <w:fldChar w:fldCharType="begin"/>
          </w:r>
          <w:r>
            <w:rPr>
              <w:color w:val="auto"/>
              <w:highlight w:val="none"/>
            </w:rPr>
            <w:instrText xml:space="preserve"> PAGEREF _Toc20711 \h </w:instrText>
          </w:r>
          <w:r>
            <w:rPr>
              <w:color w:val="auto"/>
              <w:highlight w:val="none"/>
            </w:rPr>
            <w:fldChar w:fldCharType="separate"/>
          </w:r>
          <w:r>
            <w:rPr>
              <w:color w:val="auto"/>
              <w:highlight w:val="none"/>
            </w:rPr>
            <w:t>52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_Toc19448 </w:instrText>
          </w:r>
          <w:r>
            <w:rPr>
              <w:color w:val="auto"/>
              <w:highlight w:val="none"/>
              <w:lang w:eastAsia="zh-CN"/>
            </w:rPr>
            <w:fldChar w:fldCharType="separate"/>
          </w:r>
          <w:r>
            <w:rPr>
              <w:rFonts w:hint="eastAsia" w:ascii="仿宋" w:hAnsi="仿宋" w:eastAsia="仿宋" w:cs="仿宋"/>
              <w:color w:val="auto"/>
              <w:szCs w:val="24"/>
              <w:highlight w:val="none"/>
              <w:lang w:eastAsia="zh-CN"/>
            </w:rPr>
            <w:t>22</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发包人</w:t>
          </w:r>
          <w:r>
            <w:rPr>
              <w:color w:val="auto"/>
              <w:highlight w:val="none"/>
            </w:rPr>
            <w:tab/>
          </w:r>
          <w:r>
            <w:rPr>
              <w:color w:val="auto"/>
              <w:highlight w:val="none"/>
            </w:rPr>
            <w:fldChar w:fldCharType="begin"/>
          </w:r>
          <w:r>
            <w:rPr>
              <w:color w:val="auto"/>
              <w:highlight w:val="none"/>
            </w:rPr>
            <w:instrText xml:space="preserve"> PAGEREF _Toc19448 \h </w:instrText>
          </w:r>
          <w:r>
            <w:rPr>
              <w:color w:val="auto"/>
              <w:highlight w:val="none"/>
            </w:rPr>
            <w:fldChar w:fldCharType="separate"/>
          </w:r>
          <w:r>
            <w:rPr>
              <w:color w:val="auto"/>
              <w:highlight w:val="none"/>
            </w:rPr>
            <w:t>52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_Toc14662 </w:instrText>
          </w:r>
          <w:r>
            <w:rPr>
              <w:color w:val="auto"/>
              <w:highlight w:val="none"/>
              <w:lang w:eastAsia="zh-CN"/>
            </w:rPr>
            <w:fldChar w:fldCharType="separate"/>
          </w:r>
          <w:r>
            <w:rPr>
              <w:rFonts w:ascii="仿宋" w:hAnsi="仿宋" w:eastAsia="仿宋" w:cs="仿宋"/>
              <w:color w:val="auto"/>
              <w:szCs w:val="24"/>
              <w:highlight w:val="none"/>
              <w:lang w:eastAsia="zh-CN"/>
            </w:rPr>
            <w:t>2</w:t>
          </w:r>
          <w:r>
            <w:rPr>
              <w:rFonts w:hint="eastAsia" w:ascii="仿宋" w:hAnsi="仿宋" w:eastAsia="仿宋" w:cs="仿宋"/>
              <w:color w:val="auto"/>
              <w:szCs w:val="24"/>
              <w:highlight w:val="none"/>
              <w:lang w:eastAsia="zh-CN"/>
            </w:rPr>
            <w:t>3</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承包人</w:t>
          </w:r>
          <w:r>
            <w:rPr>
              <w:color w:val="auto"/>
              <w:highlight w:val="none"/>
            </w:rPr>
            <w:tab/>
          </w:r>
          <w:r>
            <w:rPr>
              <w:color w:val="auto"/>
              <w:highlight w:val="none"/>
            </w:rPr>
            <w:fldChar w:fldCharType="begin"/>
          </w:r>
          <w:r>
            <w:rPr>
              <w:color w:val="auto"/>
              <w:highlight w:val="none"/>
            </w:rPr>
            <w:instrText xml:space="preserve"> PAGEREF _Toc14662 \h </w:instrText>
          </w:r>
          <w:r>
            <w:rPr>
              <w:color w:val="auto"/>
              <w:highlight w:val="none"/>
            </w:rPr>
            <w:fldChar w:fldCharType="separate"/>
          </w:r>
          <w:r>
            <w:rPr>
              <w:color w:val="auto"/>
              <w:highlight w:val="none"/>
            </w:rPr>
            <w:t>54</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_Toc5959 </w:instrText>
          </w:r>
          <w:r>
            <w:rPr>
              <w:color w:val="auto"/>
              <w:highlight w:val="none"/>
              <w:lang w:eastAsia="zh-CN"/>
            </w:rPr>
            <w:fldChar w:fldCharType="separate"/>
          </w:r>
          <w:r>
            <w:rPr>
              <w:rFonts w:ascii="仿宋" w:hAnsi="仿宋" w:eastAsia="仿宋" w:cs="仿宋"/>
              <w:bCs w:val="0"/>
              <w:color w:val="auto"/>
              <w:szCs w:val="24"/>
              <w:highlight w:val="none"/>
              <w:lang w:eastAsia="zh-CN"/>
            </w:rPr>
            <w:t>2</w:t>
          </w:r>
          <w:r>
            <w:rPr>
              <w:rFonts w:hint="eastAsia" w:ascii="仿宋" w:hAnsi="仿宋" w:eastAsia="仿宋" w:cs="仿宋"/>
              <w:bCs w:val="0"/>
              <w:color w:val="auto"/>
              <w:szCs w:val="24"/>
              <w:highlight w:val="none"/>
              <w:lang w:eastAsia="zh-CN"/>
            </w:rPr>
            <w:t>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现场管理人员任命和更换</w:t>
          </w:r>
          <w:r>
            <w:rPr>
              <w:color w:val="auto"/>
              <w:highlight w:val="none"/>
            </w:rPr>
            <w:tab/>
          </w:r>
          <w:r>
            <w:rPr>
              <w:color w:val="auto"/>
              <w:highlight w:val="none"/>
            </w:rPr>
            <w:fldChar w:fldCharType="begin"/>
          </w:r>
          <w:r>
            <w:rPr>
              <w:color w:val="auto"/>
              <w:highlight w:val="none"/>
            </w:rPr>
            <w:instrText xml:space="preserve"> PAGEREF _Toc5959 \h </w:instrText>
          </w:r>
          <w:r>
            <w:rPr>
              <w:color w:val="auto"/>
              <w:highlight w:val="none"/>
            </w:rPr>
            <w:fldChar w:fldCharType="separate"/>
          </w:r>
          <w:r>
            <w:rPr>
              <w:color w:val="auto"/>
              <w:highlight w:val="none"/>
            </w:rPr>
            <w:t>57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_Toc1844 </w:instrText>
          </w:r>
          <w:r>
            <w:rPr>
              <w:color w:val="auto"/>
              <w:highlight w:val="none"/>
              <w:lang w:eastAsia="zh-CN"/>
            </w:rPr>
            <w:fldChar w:fldCharType="separate"/>
          </w:r>
          <w:r>
            <w:rPr>
              <w:rFonts w:ascii="仿宋" w:hAnsi="仿宋" w:eastAsia="仿宋" w:cs="仿宋"/>
              <w:color w:val="auto"/>
              <w:szCs w:val="24"/>
              <w:highlight w:val="none"/>
              <w:lang w:eastAsia="zh-CN"/>
            </w:rPr>
            <w:t>2</w:t>
          </w:r>
          <w:r>
            <w:rPr>
              <w:rFonts w:hint="eastAsia" w:ascii="仿宋" w:hAnsi="仿宋" w:eastAsia="仿宋" w:cs="仿宋"/>
              <w:color w:val="auto"/>
              <w:szCs w:val="24"/>
              <w:highlight w:val="none"/>
              <w:lang w:eastAsia="zh-CN"/>
            </w:rPr>
            <w:t>5</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发包人代表</w:t>
          </w:r>
          <w:r>
            <w:rPr>
              <w:color w:val="auto"/>
              <w:highlight w:val="none"/>
            </w:rPr>
            <w:tab/>
          </w:r>
          <w:r>
            <w:rPr>
              <w:color w:val="auto"/>
              <w:highlight w:val="none"/>
            </w:rPr>
            <w:fldChar w:fldCharType="begin"/>
          </w:r>
          <w:r>
            <w:rPr>
              <w:color w:val="auto"/>
              <w:highlight w:val="none"/>
            </w:rPr>
            <w:instrText xml:space="preserve"> PAGEREF _Toc1844 \h </w:instrText>
          </w:r>
          <w:r>
            <w:rPr>
              <w:color w:val="auto"/>
              <w:highlight w:val="none"/>
            </w:rPr>
            <w:fldChar w:fldCharType="separate"/>
          </w:r>
          <w:r>
            <w:rPr>
              <w:color w:val="auto"/>
              <w:highlight w:val="none"/>
            </w:rPr>
            <w:t>58</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_Toc26256 </w:instrText>
          </w:r>
          <w:r>
            <w:rPr>
              <w:color w:val="auto"/>
              <w:highlight w:val="none"/>
              <w:lang w:eastAsia="zh-CN"/>
            </w:rPr>
            <w:fldChar w:fldCharType="separate"/>
          </w:r>
          <w:r>
            <w:rPr>
              <w:rFonts w:ascii="仿宋" w:hAnsi="仿宋" w:eastAsia="仿宋" w:cs="仿宋"/>
              <w:color w:val="auto"/>
              <w:szCs w:val="24"/>
              <w:highlight w:val="none"/>
              <w:lang w:eastAsia="zh-CN"/>
            </w:rPr>
            <w:t>2</w:t>
          </w:r>
          <w:r>
            <w:rPr>
              <w:rFonts w:hint="eastAsia" w:ascii="仿宋" w:hAnsi="仿宋" w:eastAsia="仿宋" w:cs="仿宋"/>
              <w:color w:val="auto"/>
              <w:szCs w:val="24"/>
              <w:highlight w:val="none"/>
              <w:lang w:eastAsia="zh-CN"/>
            </w:rPr>
            <w:t>6</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设计顾问人</w:t>
          </w:r>
          <w:r>
            <w:rPr>
              <w:color w:val="auto"/>
              <w:highlight w:val="none"/>
            </w:rPr>
            <w:tab/>
          </w:r>
          <w:r>
            <w:rPr>
              <w:color w:val="auto"/>
              <w:highlight w:val="none"/>
            </w:rPr>
            <w:fldChar w:fldCharType="begin"/>
          </w:r>
          <w:r>
            <w:rPr>
              <w:color w:val="auto"/>
              <w:highlight w:val="none"/>
            </w:rPr>
            <w:instrText xml:space="preserve"> PAGEREF _Toc26256 \h </w:instrText>
          </w:r>
          <w:r>
            <w:rPr>
              <w:color w:val="auto"/>
              <w:highlight w:val="none"/>
            </w:rPr>
            <w:fldChar w:fldCharType="separate"/>
          </w:r>
          <w:r>
            <w:rPr>
              <w:color w:val="auto"/>
              <w:highlight w:val="none"/>
            </w:rPr>
            <w:t>59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_Toc23644 </w:instrText>
          </w:r>
          <w:r>
            <w:rPr>
              <w:color w:val="auto"/>
              <w:highlight w:val="none"/>
              <w:lang w:eastAsia="zh-CN"/>
            </w:rPr>
            <w:fldChar w:fldCharType="separate"/>
          </w:r>
          <w:r>
            <w:rPr>
              <w:rFonts w:ascii="仿宋" w:hAnsi="仿宋" w:eastAsia="仿宋" w:cs="仿宋"/>
              <w:bCs w:val="0"/>
              <w:color w:val="auto"/>
              <w:szCs w:val="24"/>
              <w:highlight w:val="none"/>
              <w:lang w:eastAsia="zh-CN"/>
            </w:rPr>
            <w:t>2</w:t>
          </w:r>
          <w:r>
            <w:rPr>
              <w:rFonts w:hint="eastAsia" w:ascii="仿宋" w:hAnsi="仿宋" w:eastAsia="仿宋" w:cs="仿宋"/>
              <w:bCs w:val="0"/>
              <w:color w:val="auto"/>
              <w:szCs w:val="24"/>
              <w:highlight w:val="none"/>
              <w:lang w:eastAsia="zh-CN"/>
            </w:rPr>
            <w:t>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监理人</w:t>
          </w:r>
          <w:r>
            <w:rPr>
              <w:color w:val="auto"/>
              <w:highlight w:val="none"/>
            </w:rPr>
            <w:tab/>
          </w:r>
          <w:r>
            <w:rPr>
              <w:color w:val="auto"/>
              <w:highlight w:val="none"/>
            </w:rPr>
            <w:fldChar w:fldCharType="begin"/>
          </w:r>
          <w:r>
            <w:rPr>
              <w:color w:val="auto"/>
              <w:highlight w:val="none"/>
            </w:rPr>
            <w:instrText xml:space="preserve"> PAGEREF _Toc23644 \h </w:instrText>
          </w:r>
          <w:r>
            <w:rPr>
              <w:color w:val="auto"/>
              <w:highlight w:val="none"/>
            </w:rPr>
            <w:fldChar w:fldCharType="separate"/>
          </w:r>
          <w:r>
            <w:rPr>
              <w:color w:val="auto"/>
              <w:highlight w:val="none"/>
            </w:rPr>
            <w:t>61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_Toc13113 </w:instrText>
          </w:r>
          <w:r>
            <w:rPr>
              <w:color w:val="auto"/>
              <w:highlight w:val="none"/>
              <w:lang w:eastAsia="zh-CN"/>
            </w:rPr>
            <w:fldChar w:fldCharType="separate"/>
          </w:r>
          <w:r>
            <w:rPr>
              <w:rFonts w:ascii="仿宋" w:hAnsi="仿宋" w:eastAsia="仿宋" w:cs="仿宋"/>
              <w:color w:val="auto"/>
              <w:szCs w:val="24"/>
              <w:highlight w:val="none"/>
              <w:lang w:eastAsia="zh-CN"/>
            </w:rPr>
            <w:t>2</w:t>
          </w:r>
          <w:r>
            <w:rPr>
              <w:rFonts w:hint="eastAsia" w:ascii="仿宋" w:hAnsi="仿宋" w:eastAsia="仿宋" w:cs="仿宋"/>
              <w:color w:val="auto"/>
              <w:szCs w:val="24"/>
              <w:highlight w:val="none"/>
              <w:lang w:eastAsia="zh-CN"/>
            </w:rPr>
            <w:t>8</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造价咨询人</w:t>
          </w:r>
          <w:r>
            <w:rPr>
              <w:color w:val="auto"/>
              <w:highlight w:val="none"/>
            </w:rPr>
            <w:tab/>
          </w:r>
          <w:r>
            <w:rPr>
              <w:color w:val="auto"/>
              <w:highlight w:val="none"/>
            </w:rPr>
            <w:fldChar w:fldCharType="begin"/>
          </w:r>
          <w:r>
            <w:rPr>
              <w:color w:val="auto"/>
              <w:highlight w:val="none"/>
            </w:rPr>
            <w:instrText xml:space="preserve"> PAGEREF _Toc13113 \h </w:instrText>
          </w:r>
          <w:r>
            <w:rPr>
              <w:color w:val="auto"/>
              <w:highlight w:val="none"/>
            </w:rPr>
            <w:fldChar w:fldCharType="separate"/>
          </w:r>
          <w:r>
            <w:rPr>
              <w:color w:val="auto"/>
              <w:highlight w:val="none"/>
            </w:rPr>
            <w:t>63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_Toc30963 </w:instrText>
          </w:r>
          <w:r>
            <w:rPr>
              <w:color w:val="auto"/>
              <w:highlight w:val="none"/>
              <w:lang w:eastAsia="zh-CN"/>
            </w:rPr>
            <w:fldChar w:fldCharType="separate"/>
          </w:r>
          <w:r>
            <w:rPr>
              <w:rFonts w:ascii="仿宋" w:hAnsi="仿宋" w:eastAsia="仿宋" w:cs="仿宋"/>
              <w:color w:val="auto"/>
              <w:szCs w:val="24"/>
              <w:highlight w:val="none"/>
              <w:lang w:eastAsia="zh-CN"/>
            </w:rPr>
            <w:t>2</w:t>
          </w:r>
          <w:r>
            <w:rPr>
              <w:rFonts w:hint="eastAsia" w:ascii="仿宋" w:hAnsi="仿宋" w:eastAsia="仿宋" w:cs="仿宋"/>
              <w:color w:val="auto"/>
              <w:szCs w:val="24"/>
              <w:highlight w:val="none"/>
              <w:lang w:eastAsia="zh-CN"/>
            </w:rPr>
            <w:t>9</w:t>
          </w:r>
          <w:r>
            <w:rPr>
              <w:rFonts w:ascii="仿宋" w:hAnsi="仿宋" w:eastAsia="仿宋" w:cs="仿宋"/>
              <w:color w:val="auto"/>
              <w:szCs w:val="24"/>
              <w:highlight w:val="none"/>
              <w:lang w:eastAsia="zh-CN"/>
            </w:rPr>
            <w:t xml:space="preserve">  </w:t>
          </w:r>
          <w:r>
            <w:rPr>
              <w:rFonts w:hint="eastAsia" w:ascii="仿宋" w:hAnsi="仿宋" w:eastAsia="仿宋" w:cs="仿宋"/>
              <w:color w:val="auto"/>
              <w:szCs w:val="24"/>
              <w:highlight w:val="none"/>
              <w:lang w:eastAsia="zh-CN"/>
            </w:rPr>
            <w:t>承包人代表及其专业负责人</w:t>
          </w:r>
          <w:r>
            <w:rPr>
              <w:color w:val="auto"/>
              <w:highlight w:val="none"/>
            </w:rPr>
            <w:tab/>
          </w:r>
          <w:r>
            <w:rPr>
              <w:color w:val="auto"/>
              <w:highlight w:val="none"/>
            </w:rPr>
            <w:fldChar w:fldCharType="begin"/>
          </w:r>
          <w:r>
            <w:rPr>
              <w:color w:val="auto"/>
              <w:highlight w:val="none"/>
            </w:rPr>
            <w:instrText xml:space="preserve"> PAGEREF _Toc30963 \h </w:instrText>
          </w:r>
          <w:r>
            <w:rPr>
              <w:color w:val="auto"/>
              <w:highlight w:val="none"/>
            </w:rPr>
            <w:fldChar w:fldCharType="separate"/>
          </w:r>
          <w:r>
            <w:rPr>
              <w:color w:val="auto"/>
              <w:highlight w:val="none"/>
            </w:rPr>
            <w:t>64</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_Toc261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指定分包人</w:t>
          </w:r>
          <w:r>
            <w:rPr>
              <w:color w:val="auto"/>
              <w:highlight w:val="none"/>
            </w:rPr>
            <w:tab/>
          </w:r>
          <w:r>
            <w:rPr>
              <w:color w:val="auto"/>
              <w:highlight w:val="none"/>
            </w:rPr>
            <w:fldChar w:fldCharType="begin"/>
          </w:r>
          <w:r>
            <w:rPr>
              <w:color w:val="auto"/>
              <w:highlight w:val="none"/>
            </w:rPr>
            <w:instrText xml:space="preserve"> PAGEREF _Toc261 \h </w:instrText>
          </w:r>
          <w:r>
            <w:rPr>
              <w:color w:val="auto"/>
              <w:highlight w:val="none"/>
            </w:rPr>
            <w:fldChar w:fldCharType="separate"/>
          </w:r>
          <w:r>
            <w:rPr>
              <w:color w:val="auto"/>
              <w:highlight w:val="none"/>
            </w:rPr>
            <w:t>65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_Toc29825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 xml:space="preserve"> 承包人劳务</w:t>
          </w:r>
          <w:r>
            <w:rPr>
              <w:color w:val="auto"/>
              <w:highlight w:val="none"/>
            </w:rPr>
            <w:tab/>
          </w:r>
          <w:r>
            <w:rPr>
              <w:color w:val="auto"/>
              <w:highlight w:val="none"/>
            </w:rPr>
            <w:fldChar w:fldCharType="begin"/>
          </w:r>
          <w:r>
            <w:rPr>
              <w:color w:val="auto"/>
              <w:highlight w:val="none"/>
            </w:rPr>
            <w:instrText xml:space="preserve"> PAGEREF _Toc29825 \h </w:instrText>
          </w:r>
          <w:r>
            <w:rPr>
              <w:color w:val="auto"/>
              <w:highlight w:val="none"/>
            </w:rPr>
            <w:fldChar w:fldCharType="separate"/>
          </w:r>
          <w:r>
            <w:rPr>
              <w:color w:val="auto"/>
              <w:highlight w:val="none"/>
            </w:rPr>
            <w:t>66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_Toc28836 </w:instrText>
          </w:r>
          <w:r>
            <w:rPr>
              <w:color w:val="auto"/>
              <w:highlight w:val="none"/>
              <w:lang w:eastAsia="zh-CN"/>
            </w:rPr>
            <w:fldChar w:fldCharType="separate"/>
          </w:r>
          <w:r>
            <w:rPr>
              <w:rFonts w:hint="eastAsia" w:ascii="仿宋" w:hAnsi="仿宋" w:eastAsia="仿宋" w:cs="仿宋"/>
              <w:bCs/>
              <w:color w:val="auto"/>
              <w:szCs w:val="24"/>
              <w:highlight w:val="none"/>
              <w:lang w:eastAsia="zh-CN"/>
            </w:rPr>
            <w:t>三、担保、保险与风险</w:t>
          </w:r>
          <w:r>
            <w:rPr>
              <w:color w:val="auto"/>
              <w:highlight w:val="none"/>
            </w:rPr>
            <w:tab/>
          </w:r>
          <w:r>
            <w:rPr>
              <w:color w:val="auto"/>
              <w:highlight w:val="none"/>
            </w:rPr>
            <w:fldChar w:fldCharType="begin"/>
          </w:r>
          <w:r>
            <w:rPr>
              <w:color w:val="auto"/>
              <w:highlight w:val="none"/>
            </w:rPr>
            <w:instrText xml:space="preserve"> PAGEREF _Toc28836 \h </w:instrText>
          </w:r>
          <w:r>
            <w:rPr>
              <w:color w:val="auto"/>
              <w:highlight w:val="none"/>
            </w:rPr>
            <w:fldChar w:fldCharType="separate"/>
          </w:r>
          <w:r>
            <w:rPr>
              <w:color w:val="auto"/>
              <w:highlight w:val="none"/>
            </w:rPr>
            <w:t>67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_Toc19300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工程担保</w:t>
          </w:r>
          <w:r>
            <w:rPr>
              <w:color w:val="auto"/>
              <w:highlight w:val="none"/>
            </w:rPr>
            <w:tab/>
          </w:r>
          <w:r>
            <w:rPr>
              <w:color w:val="auto"/>
              <w:highlight w:val="none"/>
            </w:rPr>
            <w:fldChar w:fldCharType="begin"/>
          </w:r>
          <w:r>
            <w:rPr>
              <w:color w:val="auto"/>
              <w:highlight w:val="none"/>
            </w:rPr>
            <w:instrText xml:space="preserve"> PAGEREF _Toc19300 \h </w:instrText>
          </w:r>
          <w:r>
            <w:rPr>
              <w:color w:val="auto"/>
              <w:highlight w:val="none"/>
            </w:rPr>
            <w:fldChar w:fldCharType="separate"/>
          </w:r>
          <w:r>
            <w:rPr>
              <w:color w:val="auto"/>
              <w:highlight w:val="none"/>
            </w:rPr>
            <w:t>67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_Toc5340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发包人风险</w:t>
          </w:r>
          <w:r>
            <w:rPr>
              <w:color w:val="auto"/>
              <w:highlight w:val="none"/>
            </w:rPr>
            <w:tab/>
          </w:r>
          <w:r>
            <w:rPr>
              <w:color w:val="auto"/>
              <w:highlight w:val="none"/>
            </w:rPr>
            <w:fldChar w:fldCharType="begin"/>
          </w:r>
          <w:r>
            <w:rPr>
              <w:color w:val="auto"/>
              <w:highlight w:val="none"/>
            </w:rPr>
            <w:instrText xml:space="preserve"> PAGEREF _Toc5340 \h </w:instrText>
          </w:r>
          <w:r>
            <w:rPr>
              <w:color w:val="auto"/>
              <w:highlight w:val="none"/>
            </w:rPr>
            <w:fldChar w:fldCharType="separate"/>
          </w:r>
          <w:r>
            <w:rPr>
              <w:color w:val="auto"/>
              <w:highlight w:val="none"/>
            </w:rPr>
            <w:t>69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_Toc5564 </w:instrText>
          </w:r>
          <w:r>
            <w:rPr>
              <w:color w:val="auto"/>
              <w:highlight w:val="none"/>
              <w:lang w:eastAsia="zh-CN"/>
            </w:rPr>
            <w:fldChar w:fldCharType="separate"/>
          </w:r>
          <w:r>
            <w:rPr>
              <w:rFonts w:ascii="仿宋" w:hAnsi="仿宋" w:eastAsia="仿宋" w:cs="仿宋"/>
              <w:bCs w:val="0"/>
              <w:color w:val="auto"/>
              <w:szCs w:val="24"/>
              <w:highlight w:val="none"/>
            </w:rPr>
            <w:t>3</w:t>
          </w:r>
          <w:r>
            <w:rPr>
              <w:rFonts w:hint="eastAsia" w:ascii="仿宋" w:hAnsi="仿宋" w:eastAsia="仿宋" w:cs="仿宋"/>
              <w:bCs w:val="0"/>
              <w:color w:val="auto"/>
              <w:szCs w:val="24"/>
              <w:highlight w:val="none"/>
            </w:rPr>
            <w:t>4</w:t>
          </w:r>
          <w:r>
            <w:rPr>
              <w:rFonts w:ascii="仿宋" w:hAnsi="仿宋" w:eastAsia="仿宋" w:cs="仿宋"/>
              <w:bCs w:val="0"/>
              <w:color w:val="auto"/>
              <w:szCs w:val="24"/>
              <w:highlight w:val="none"/>
            </w:rPr>
            <w:t xml:space="preserve">  </w:t>
          </w:r>
          <w:r>
            <w:rPr>
              <w:rFonts w:hint="eastAsia" w:ascii="仿宋" w:hAnsi="仿宋" w:eastAsia="仿宋" w:cs="仿宋"/>
              <w:bCs w:val="0"/>
              <w:color w:val="auto"/>
              <w:szCs w:val="24"/>
              <w:highlight w:val="none"/>
            </w:rPr>
            <w:t>承包人风险</w:t>
          </w:r>
          <w:r>
            <w:rPr>
              <w:color w:val="auto"/>
              <w:highlight w:val="none"/>
            </w:rPr>
            <w:tab/>
          </w:r>
          <w:r>
            <w:rPr>
              <w:color w:val="auto"/>
              <w:highlight w:val="none"/>
            </w:rPr>
            <w:fldChar w:fldCharType="begin"/>
          </w:r>
          <w:r>
            <w:rPr>
              <w:color w:val="auto"/>
              <w:highlight w:val="none"/>
            </w:rPr>
            <w:instrText xml:space="preserve"> PAGEREF _Toc5564 \h </w:instrText>
          </w:r>
          <w:r>
            <w:rPr>
              <w:color w:val="auto"/>
              <w:highlight w:val="none"/>
            </w:rPr>
            <w:fldChar w:fldCharType="separate"/>
          </w:r>
          <w:r>
            <w:rPr>
              <w:color w:val="auto"/>
              <w:highlight w:val="none"/>
            </w:rPr>
            <w:t>69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_Toc31730 </w:instrText>
          </w:r>
          <w:r>
            <w:rPr>
              <w:color w:val="auto"/>
              <w:highlight w:val="none"/>
              <w:lang w:eastAsia="zh-CN"/>
            </w:rPr>
            <w:fldChar w:fldCharType="separate"/>
          </w:r>
          <w:r>
            <w:rPr>
              <w:rFonts w:ascii="仿宋" w:hAnsi="仿宋" w:eastAsia="仿宋" w:cs="仿宋"/>
              <w:bCs w:val="0"/>
              <w:color w:val="auto"/>
              <w:szCs w:val="24"/>
              <w:highlight w:val="none"/>
              <w:lang w:eastAsia="zh-CN"/>
            </w:rPr>
            <w:t>3</w:t>
          </w:r>
          <w:r>
            <w:rPr>
              <w:rFonts w:hint="eastAsia" w:ascii="仿宋" w:hAnsi="仿宋" w:eastAsia="仿宋" w:cs="仿宋"/>
              <w:bCs w:val="0"/>
              <w:color w:val="auto"/>
              <w:szCs w:val="24"/>
              <w:highlight w:val="none"/>
              <w:lang w:eastAsia="zh-CN"/>
            </w:rPr>
            <w:t>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不可抗力</w:t>
          </w:r>
          <w:r>
            <w:rPr>
              <w:color w:val="auto"/>
              <w:highlight w:val="none"/>
            </w:rPr>
            <w:tab/>
          </w:r>
          <w:r>
            <w:rPr>
              <w:color w:val="auto"/>
              <w:highlight w:val="none"/>
            </w:rPr>
            <w:fldChar w:fldCharType="begin"/>
          </w:r>
          <w:r>
            <w:rPr>
              <w:color w:val="auto"/>
              <w:highlight w:val="none"/>
            </w:rPr>
            <w:instrText xml:space="preserve"> PAGEREF _Toc31730 \h </w:instrText>
          </w:r>
          <w:r>
            <w:rPr>
              <w:color w:val="auto"/>
              <w:highlight w:val="none"/>
            </w:rPr>
            <w:fldChar w:fldCharType="separate"/>
          </w:r>
          <w:r>
            <w:rPr>
              <w:color w:val="auto"/>
              <w:highlight w:val="none"/>
            </w:rPr>
            <w:t>70</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_Toc19645 </w:instrText>
          </w:r>
          <w:r>
            <w:rPr>
              <w:color w:val="auto"/>
              <w:highlight w:val="none"/>
              <w:lang w:eastAsia="zh-CN"/>
            </w:rPr>
            <w:fldChar w:fldCharType="separate"/>
          </w:r>
          <w:r>
            <w:rPr>
              <w:rFonts w:ascii="仿宋" w:hAnsi="仿宋" w:eastAsia="仿宋" w:cs="仿宋"/>
              <w:bCs w:val="0"/>
              <w:color w:val="auto"/>
              <w:szCs w:val="24"/>
              <w:highlight w:val="none"/>
              <w:lang w:eastAsia="zh-CN"/>
            </w:rPr>
            <w:t>3</w:t>
          </w:r>
          <w:r>
            <w:rPr>
              <w:rFonts w:hint="eastAsia" w:ascii="仿宋" w:hAnsi="仿宋" w:eastAsia="仿宋" w:cs="仿宋"/>
              <w:bCs w:val="0"/>
              <w:color w:val="auto"/>
              <w:szCs w:val="24"/>
              <w:highlight w:val="none"/>
              <w:lang w:eastAsia="zh-CN"/>
            </w:rPr>
            <w:t>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保险</w:t>
          </w:r>
          <w:r>
            <w:rPr>
              <w:color w:val="auto"/>
              <w:highlight w:val="none"/>
            </w:rPr>
            <w:tab/>
          </w:r>
          <w:r>
            <w:rPr>
              <w:color w:val="auto"/>
              <w:highlight w:val="none"/>
            </w:rPr>
            <w:fldChar w:fldCharType="begin"/>
          </w:r>
          <w:r>
            <w:rPr>
              <w:color w:val="auto"/>
              <w:highlight w:val="none"/>
            </w:rPr>
            <w:instrText xml:space="preserve"> PAGEREF _Toc19645 \h </w:instrText>
          </w:r>
          <w:r>
            <w:rPr>
              <w:color w:val="auto"/>
              <w:highlight w:val="none"/>
            </w:rPr>
            <w:fldChar w:fldCharType="separate"/>
          </w:r>
          <w:r>
            <w:rPr>
              <w:color w:val="auto"/>
              <w:highlight w:val="none"/>
            </w:rPr>
            <w:t>71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_Toc22087 </w:instrText>
          </w:r>
          <w:r>
            <w:rPr>
              <w:color w:val="auto"/>
              <w:highlight w:val="none"/>
              <w:lang w:eastAsia="zh-CN"/>
            </w:rPr>
            <w:fldChar w:fldCharType="separate"/>
          </w:r>
          <w:r>
            <w:rPr>
              <w:rFonts w:hint="eastAsia" w:ascii="仿宋" w:hAnsi="仿宋" w:eastAsia="仿宋" w:cs="仿宋"/>
              <w:bCs/>
              <w:color w:val="auto"/>
              <w:highlight w:val="none"/>
              <w:lang w:eastAsia="zh-CN"/>
            </w:rPr>
            <w:t>四、勘察、设计与BIM技术应用</w:t>
          </w:r>
          <w:r>
            <w:rPr>
              <w:color w:val="auto"/>
              <w:highlight w:val="none"/>
            </w:rPr>
            <w:tab/>
          </w:r>
          <w:r>
            <w:rPr>
              <w:color w:val="auto"/>
              <w:highlight w:val="none"/>
            </w:rPr>
            <w:fldChar w:fldCharType="begin"/>
          </w:r>
          <w:r>
            <w:rPr>
              <w:color w:val="auto"/>
              <w:highlight w:val="none"/>
            </w:rPr>
            <w:instrText xml:space="preserve"> PAGEREF _Toc22087 \h </w:instrText>
          </w:r>
          <w:r>
            <w:rPr>
              <w:color w:val="auto"/>
              <w:highlight w:val="none"/>
            </w:rPr>
            <w:fldChar w:fldCharType="separate"/>
          </w:r>
          <w:r>
            <w:rPr>
              <w:color w:val="auto"/>
              <w:highlight w:val="none"/>
            </w:rPr>
            <w:t>73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_Toc29523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37  工程勘察</w:t>
          </w:r>
          <w:r>
            <w:rPr>
              <w:color w:val="auto"/>
              <w:highlight w:val="none"/>
            </w:rPr>
            <w:tab/>
          </w:r>
          <w:r>
            <w:rPr>
              <w:color w:val="auto"/>
              <w:highlight w:val="none"/>
            </w:rPr>
            <w:fldChar w:fldCharType="begin"/>
          </w:r>
          <w:r>
            <w:rPr>
              <w:color w:val="auto"/>
              <w:highlight w:val="none"/>
            </w:rPr>
            <w:instrText xml:space="preserve"> PAGEREF _Toc29523 \h </w:instrText>
          </w:r>
          <w:r>
            <w:rPr>
              <w:color w:val="auto"/>
              <w:highlight w:val="none"/>
            </w:rPr>
            <w:fldChar w:fldCharType="separate"/>
          </w:r>
          <w:r>
            <w:rPr>
              <w:color w:val="auto"/>
              <w:highlight w:val="none"/>
            </w:rPr>
            <w:t>73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_Toc9954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38  工程设计</w:t>
          </w:r>
          <w:r>
            <w:rPr>
              <w:color w:val="auto"/>
              <w:highlight w:val="none"/>
            </w:rPr>
            <w:tab/>
          </w:r>
          <w:r>
            <w:rPr>
              <w:color w:val="auto"/>
              <w:highlight w:val="none"/>
            </w:rPr>
            <w:fldChar w:fldCharType="begin"/>
          </w:r>
          <w:r>
            <w:rPr>
              <w:color w:val="auto"/>
              <w:highlight w:val="none"/>
            </w:rPr>
            <w:instrText xml:space="preserve"> PAGEREF _Toc9954 \h </w:instrText>
          </w:r>
          <w:r>
            <w:rPr>
              <w:color w:val="auto"/>
              <w:highlight w:val="none"/>
            </w:rPr>
            <w:fldChar w:fldCharType="separate"/>
          </w:r>
          <w:r>
            <w:rPr>
              <w:color w:val="auto"/>
              <w:highlight w:val="none"/>
            </w:rPr>
            <w:t>75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_Toc1298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39  BIM技术应用</w:t>
          </w:r>
          <w:r>
            <w:rPr>
              <w:color w:val="auto"/>
              <w:highlight w:val="none"/>
            </w:rPr>
            <w:tab/>
          </w:r>
          <w:r>
            <w:rPr>
              <w:color w:val="auto"/>
              <w:highlight w:val="none"/>
            </w:rPr>
            <w:fldChar w:fldCharType="begin"/>
          </w:r>
          <w:r>
            <w:rPr>
              <w:color w:val="auto"/>
              <w:highlight w:val="none"/>
            </w:rPr>
            <w:instrText xml:space="preserve"> PAGEREF _Toc1298 \h </w:instrText>
          </w:r>
          <w:r>
            <w:rPr>
              <w:color w:val="auto"/>
              <w:highlight w:val="none"/>
            </w:rPr>
            <w:fldChar w:fldCharType="separate"/>
          </w:r>
          <w:r>
            <w:rPr>
              <w:color w:val="auto"/>
              <w:highlight w:val="none"/>
            </w:rPr>
            <w:t>79</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_Toc29983 </w:instrText>
          </w:r>
          <w:r>
            <w:rPr>
              <w:color w:val="auto"/>
              <w:highlight w:val="none"/>
              <w:lang w:eastAsia="zh-CN"/>
            </w:rPr>
            <w:fldChar w:fldCharType="separate"/>
          </w:r>
          <w:r>
            <w:rPr>
              <w:rFonts w:hint="eastAsia" w:ascii="仿宋" w:hAnsi="仿宋" w:eastAsia="仿宋" w:cs="仿宋"/>
              <w:bCs/>
              <w:color w:val="auto"/>
              <w:szCs w:val="24"/>
              <w:highlight w:val="none"/>
              <w:lang w:eastAsia="zh-CN"/>
            </w:rPr>
            <w:t>五、工</w:t>
          </w:r>
          <w:r>
            <w:rPr>
              <w:rFonts w:ascii="仿宋" w:hAnsi="仿宋" w:eastAsia="仿宋" w:cs="仿宋"/>
              <w:bCs/>
              <w:color w:val="auto"/>
              <w:szCs w:val="24"/>
              <w:highlight w:val="none"/>
              <w:lang w:eastAsia="zh-CN"/>
            </w:rPr>
            <w:t xml:space="preserve">  </w:t>
          </w:r>
          <w:r>
            <w:rPr>
              <w:rFonts w:hint="eastAsia" w:ascii="仿宋" w:hAnsi="仿宋" w:eastAsia="仿宋" w:cs="仿宋"/>
              <w:bCs/>
              <w:color w:val="auto"/>
              <w:szCs w:val="24"/>
              <w:highlight w:val="none"/>
              <w:lang w:eastAsia="zh-CN"/>
            </w:rPr>
            <w:t>期</w:t>
          </w:r>
          <w:r>
            <w:rPr>
              <w:color w:val="auto"/>
              <w:highlight w:val="none"/>
            </w:rPr>
            <w:tab/>
          </w:r>
          <w:r>
            <w:rPr>
              <w:color w:val="auto"/>
              <w:highlight w:val="none"/>
            </w:rPr>
            <w:fldChar w:fldCharType="begin"/>
          </w:r>
          <w:r>
            <w:rPr>
              <w:color w:val="auto"/>
              <w:highlight w:val="none"/>
            </w:rPr>
            <w:instrText xml:space="preserve"> PAGEREF _Toc29983 \h </w:instrText>
          </w:r>
          <w:r>
            <w:rPr>
              <w:color w:val="auto"/>
              <w:highlight w:val="none"/>
            </w:rPr>
            <w:fldChar w:fldCharType="separate"/>
          </w:r>
          <w:r>
            <w:rPr>
              <w:color w:val="auto"/>
              <w:highlight w:val="none"/>
            </w:rPr>
            <w:t>81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_Toc25998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40</w:t>
          </w:r>
          <w:r>
            <w:rPr>
              <w:rFonts w:ascii="仿宋" w:hAnsi="仿宋" w:eastAsia="仿宋" w:cs="仿宋"/>
              <w:bCs w:val="0"/>
              <w:color w:val="auto"/>
              <w:szCs w:val="24"/>
              <w:highlight w:val="none"/>
              <w:lang w:eastAsia="zh-CN"/>
            </w:rPr>
            <w:t xml:space="preserve">  </w:t>
          </w:r>
          <w:r>
            <w:rPr>
              <w:rFonts w:hint="eastAsia" w:ascii="仿宋" w:hAnsi="仿宋" w:eastAsia="仿宋" w:cs="仿宋"/>
              <w:color w:val="auto"/>
              <w:szCs w:val="24"/>
              <w:highlight w:val="none"/>
              <w:lang w:eastAsia="zh-CN"/>
            </w:rPr>
            <w:t>进度计划和报告</w:t>
          </w:r>
          <w:r>
            <w:rPr>
              <w:color w:val="auto"/>
              <w:highlight w:val="none"/>
            </w:rPr>
            <w:tab/>
          </w:r>
          <w:r>
            <w:rPr>
              <w:color w:val="auto"/>
              <w:highlight w:val="none"/>
            </w:rPr>
            <w:fldChar w:fldCharType="begin"/>
          </w:r>
          <w:r>
            <w:rPr>
              <w:color w:val="auto"/>
              <w:highlight w:val="none"/>
            </w:rPr>
            <w:instrText xml:space="preserve"> PAGEREF _Toc25998 \h </w:instrText>
          </w:r>
          <w:r>
            <w:rPr>
              <w:color w:val="auto"/>
              <w:highlight w:val="none"/>
            </w:rPr>
            <w:fldChar w:fldCharType="separate"/>
          </w:r>
          <w:r>
            <w:rPr>
              <w:color w:val="auto"/>
              <w:highlight w:val="none"/>
            </w:rPr>
            <w:t>81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_Toc28969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开始工作或开工</w:t>
          </w:r>
          <w:r>
            <w:rPr>
              <w:color w:val="auto"/>
              <w:highlight w:val="none"/>
            </w:rPr>
            <w:tab/>
          </w:r>
          <w:r>
            <w:rPr>
              <w:color w:val="auto"/>
              <w:highlight w:val="none"/>
            </w:rPr>
            <w:fldChar w:fldCharType="begin"/>
          </w:r>
          <w:r>
            <w:rPr>
              <w:color w:val="auto"/>
              <w:highlight w:val="none"/>
            </w:rPr>
            <w:instrText xml:space="preserve"> PAGEREF _Toc28969 \h </w:instrText>
          </w:r>
          <w:r>
            <w:rPr>
              <w:color w:val="auto"/>
              <w:highlight w:val="none"/>
            </w:rPr>
            <w:fldChar w:fldCharType="separate"/>
          </w:r>
          <w:r>
            <w:rPr>
              <w:color w:val="auto"/>
              <w:highlight w:val="none"/>
            </w:rPr>
            <w:t>83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_Toc7057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暂停工作、暂停施工和复工</w:t>
          </w:r>
          <w:r>
            <w:rPr>
              <w:color w:val="auto"/>
              <w:highlight w:val="none"/>
            </w:rPr>
            <w:tab/>
          </w:r>
          <w:r>
            <w:rPr>
              <w:color w:val="auto"/>
              <w:highlight w:val="none"/>
            </w:rPr>
            <w:fldChar w:fldCharType="begin"/>
          </w:r>
          <w:r>
            <w:rPr>
              <w:color w:val="auto"/>
              <w:highlight w:val="none"/>
            </w:rPr>
            <w:instrText xml:space="preserve"> PAGEREF _Toc7057 \h </w:instrText>
          </w:r>
          <w:r>
            <w:rPr>
              <w:color w:val="auto"/>
              <w:highlight w:val="none"/>
            </w:rPr>
            <w:fldChar w:fldCharType="separate"/>
          </w:r>
          <w:r>
            <w:rPr>
              <w:color w:val="auto"/>
              <w:highlight w:val="none"/>
            </w:rPr>
            <w:t>84</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_Toc18659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工期和工期延误</w:t>
          </w:r>
          <w:r>
            <w:rPr>
              <w:color w:val="auto"/>
              <w:highlight w:val="none"/>
            </w:rPr>
            <w:tab/>
          </w:r>
          <w:r>
            <w:rPr>
              <w:color w:val="auto"/>
              <w:highlight w:val="none"/>
            </w:rPr>
            <w:fldChar w:fldCharType="begin"/>
          </w:r>
          <w:r>
            <w:rPr>
              <w:color w:val="auto"/>
              <w:highlight w:val="none"/>
            </w:rPr>
            <w:instrText xml:space="preserve"> PAGEREF _Toc18659 \h </w:instrText>
          </w:r>
          <w:r>
            <w:rPr>
              <w:color w:val="auto"/>
              <w:highlight w:val="none"/>
            </w:rPr>
            <w:fldChar w:fldCharType="separate"/>
          </w:r>
          <w:r>
            <w:rPr>
              <w:color w:val="auto"/>
              <w:highlight w:val="none"/>
            </w:rPr>
            <w:t>86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_Toc16062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加快进度</w:t>
          </w:r>
          <w:r>
            <w:rPr>
              <w:color w:val="auto"/>
              <w:highlight w:val="none"/>
            </w:rPr>
            <w:tab/>
          </w:r>
          <w:r>
            <w:rPr>
              <w:color w:val="auto"/>
              <w:highlight w:val="none"/>
            </w:rPr>
            <w:fldChar w:fldCharType="begin"/>
          </w:r>
          <w:r>
            <w:rPr>
              <w:color w:val="auto"/>
              <w:highlight w:val="none"/>
            </w:rPr>
            <w:instrText xml:space="preserve"> PAGEREF _Toc16062 \h </w:instrText>
          </w:r>
          <w:r>
            <w:rPr>
              <w:color w:val="auto"/>
              <w:highlight w:val="none"/>
            </w:rPr>
            <w:fldChar w:fldCharType="separate"/>
          </w:r>
          <w:r>
            <w:rPr>
              <w:color w:val="auto"/>
              <w:highlight w:val="none"/>
            </w:rPr>
            <w:t>89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_Toc6503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竣工日期</w:t>
          </w:r>
          <w:r>
            <w:rPr>
              <w:color w:val="auto"/>
              <w:highlight w:val="none"/>
            </w:rPr>
            <w:tab/>
          </w:r>
          <w:r>
            <w:rPr>
              <w:color w:val="auto"/>
              <w:highlight w:val="none"/>
            </w:rPr>
            <w:fldChar w:fldCharType="begin"/>
          </w:r>
          <w:r>
            <w:rPr>
              <w:color w:val="auto"/>
              <w:highlight w:val="none"/>
            </w:rPr>
            <w:instrText xml:space="preserve"> PAGEREF _Toc6503 \h </w:instrText>
          </w:r>
          <w:r>
            <w:rPr>
              <w:color w:val="auto"/>
              <w:highlight w:val="none"/>
            </w:rPr>
            <w:fldChar w:fldCharType="separate"/>
          </w:r>
          <w:r>
            <w:rPr>
              <w:color w:val="auto"/>
              <w:highlight w:val="none"/>
            </w:rPr>
            <w:t>90</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_Toc29612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提前竣工</w:t>
          </w:r>
          <w:r>
            <w:rPr>
              <w:color w:val="auto"/>
              <w:highlight w:val="none"/>
            </w:rPr>
            <w:tab/>
          </w:r>
          <w:r>
            <w:rPr>
              <w:color w:val="auto"/>
              <w:highlight w:val="none"/>
            </w:rPr>
            <w:fldChar w:fldCharType="begin"/>
          </w:r>
          <w:r>
            <w:rPr>
              <w:color w:val="auto"/>
              <w:highlight w:val="none"/>
            </w:rPr>
            <w:instrText xml:space="preserve"> PAGEREF _Toc29612 \h </w:instrText>
          </w:r>
          <w:r>
            <w:rPr>
              <w:color w:val="auto"/>
              <w:highlight w:val="none"/>
            </w:rPr>
            <w:fldChar w:fldCharType="separate"/>
          </w:r>
          <w:r>
            <w:rPr>
              <w:color w:val="auto"/>
              <w:highlight w:val="none"/>
            </w:rPr>
            <w:t>91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_Toc2383 </w:instrText>
          </w:r>
          <w:r>
            <w:rPr>
              <w:color w:val="auto"/>
              <w:highlight w:val="none"/>
              <w:lang w:eastAsia="zh-CN"/>
            </w:rPr>
            <w:fldChar w:fldCharType="separate"/>
          </w:r>
          <w:r>
            <w:rPr>
              <w:rFonts w:ascii="仿宋" w:hAnsi="仿宋" w:eastAsia="仿宋" w:cs="仿宋"/>
              <w:bCs w:val="0"/>
              <w:color w:val="auto"/>
              <w:szCs w:val="24"/>
              <w:highlight w:val="none"/>
              <w:lang w:eastAsia="zh-CN"/>
            </w:rPr>
            <w:t>4</w:t>
          </w:r>
          <w:r>
            <w:rPr>
              <w:rFonts w:hint="eastAsia" w:ascii="仿宋" w:hAnsi="仿宋" w:eastAsia="仿宋" w:cs="仿宋"/>
              <w:bCs w:val="0"/>
              <w:color w:val="auto"/>
              <w:szCs w:val="24"/>
              <w:highlight w:val="none"/>
              <w:lang w:eastAsia="zh-CN"/>
            </w:rPr>
            <w:t>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误期赔偿</w:t>
          </w:r>
          <w:r>
            <w:rPr>
              <w:color w:val="auto"/>
              <w:highlight w:val="none"/>
            </w:rPr>
            <w:tab/>
          </w:r>
          <w:r>
            <w:rPr>
              <w:color w:val="auto"/>
              <w:highlight w:val="none"/>
            </w:rPr>
            <w:fldChar w:fldCharType="begin"/>
          </w:r>
          <w:r>
            <w:rPr>
              <w:color w:val="auto"/>
              <w:highlight w:val="none"/>
            </w:rPr>
            <w:instrText xml:space="preserve"> PAGEREF _Toc2383 \h </w:instrText>
          </w:r>
          <w:r>
            <w:rPr>
              <w:color w:val="auto"/>
              <w:highlight w:val="none"/>
            </w:rPr>
            <w:fldChar w:fldCharType="separate"/>
          </w:r>
          <w:r>
            <w:rPr>
              <w:color w:val="auto"/>
              <w:highlight w:val="none"/>
            </w:rPr>
            <w:t>91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_Toc29054 </w:instrText>
          </w:r>
          <w:r>
            <w:rPr>
              <w:color w:val="auto"/>
              <w:highlight w:val="none"/>
              <w:lang w:eastAsia="zh-CN"/>
            </w:rPr>
            <w:fldChar w:fldCharType="separate"/>
          </w:r>
          <w:r>
            <w:rPr>
              <w:rFonts w:hint="eastAsia" w:ascii="仿宋" w:hAnsi="仿宋" w:eastAsia="仿宋" w:cs="仿宋"/>
              <w:bCs/>
              <w:color w:val="auto"/>
              <w:szCs w:val="24"/>
              <w:highlight w:val="none"/>
              <w:lang w:eastAsia="zh-CN"/>
            </w:rPr>
            <w:t>六、质量与安全</w:t>
          </w:r>
          <w:r>
            <w:rPr>
              <w:color w:val="auto"/>
              <w:highlight w:val="none"/>
            </w:rPr>
            <w:tab/>
          </w:r>
          <w:r>
            <w:rPr>
              <w:color w:val="auto"/>
              <w:highlight w:val="none"/>
            </w:rPr>
            <w:fldChar w:fldCharType="begin"/>
          </w:r>
          <w:r>
            <w:rPr>
              <w:color w:val="auto"/>
              <w:highlight w:val="none"/>
            </w:rPr>
            <w:instrText xml:space="preserve"> PAGEREF _Toc29054 \h </w:instrText>
          </w:r>
          <w:r>
            <w:rPr>
              <w:color w:val="auto"/>
              <w:highlight w:val="none"/>
            </w:rPr>
            <w:fldChar w:fldCharType="separate"/>
          </w:r>
          <w:r>
            <w:rPr>
              <w:color w:val="auto"/>
              <w:highlight w:val="none"/>
            </w:rPr>
            <w:t>92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_Toc14938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w:t>
          </w:r>
          <w:r>
            <w:rPr>
              <w:rFonts w:ascii="仿宋" w:hAnsi="仿宋" w:eastAsia="仿宋" w:cs="仿宋"/>
              <w:bCs w:val="0"/>
              <w:color w:val="auto"/>
              <w:szCs w:val="24"/>
              <w:highlight w:val="none"/>
              <w:lang w:eastAsia="zh-CN"/>
            </w:rPr>
            <w:t>4</w:t>
          </w:r>
          <w:r>
            <w:rPr>
              <w:rFonts w:hint="eastAsia" w:ascii="仿宋" w:hAnsi="仿宋" w:eastAsia="仿宋" w:cs="仿宋"/>
              <w:bCs w:val="0"/>
              <w:color w:val="auto"/>
              <w:szCs w:val="24"/>
              <w:highlight w:val="none"/>
              <w:lang w:eastAsia="zh-CN"/>
            </w:rPr>
            <w:t>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质量与安全管理</w:t>
          </w:r>
          <w:r>
            <w:rPr>
              <w:color w:val="auto"/>
              <w:highlight w:val="none"/>
            </w:rPr>
            <w:tab/>
          </w:r>
          <w:r>
            <w:rPr>
              <w:color w:val="auto"/>
              <w:highlight w:val="none"/>
            </w:rPr>
            <w:fldChar w:fldCharType="begin"/>
          </w:r>
          <w:r>
            <w:rPr>
              <w:color w:val="auto"/>
              <w:highlight w:val="none"/>
            </w:rPr>
            <w:instrText xml:space="preserve"> PAGEREF _Toc14938 \h </w:instrText>
          </w:r>
          <w:r>
            <w:rPr>
              <w:color w:val="auto"/>
              <w:highlight w:val="none"/>
            </w:rPr>
            <w:fldChar w:fldCharType="separate"/>
          </w:r>
          <w:r>
            <w:rPr>
              <w:color w:val="auto"/>
              <w:highlight w:val="none"/>
            </w:rPr>
            <w:t>92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_Toc9595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★49</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质量标准</w:t>
          </w:r>
          <w:r>
            <w:rPr>
              <w:color w:val="auto"/>
              <w:highlight w:val="none"/>
            </w:rPr>
            <w:tab/>
          </w:r>
          <w:r>
            <w:rPr>
              <w:color w:val="auto"/>
              <w:highlight w:val="none"/>
            </w:rPr>
            <w:fldChar w:fldCharType="begin"/>
          </w:r>
          <w:r>
            <w:rPr>
              <w:color w:val="auto"/>
              <w:highlight w:val="none"/>
            </w:rPr>
            <w:instrText xml:space="preserve"> PAGEREF _Toc9595 \h </w:instrText>
          </w:r>
          <w:r>
            <w:rPr>
              <w:color w:val="auto"/>
              <w:highlight w:val="none"/>
            </w:rPr>
            <w:fldChar w:fldCharType="separate"/>
          </w:r>
          <w:r>
            <w:rPr>
              <w:color w:val="auto"/>
              <w:highlight w:val="none"/>
            </w:rPr>
            <w:t>93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_Toc30000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工程质量创优</w:t>
          </w:r>
          <w:r>
            <w:rPr>
              <w:color w:val="auto"/>
              <w:highlight w:val="none"/>
            </w:rPr>
            <w:tab/>
          </w:r>
          <w:r>
            <w:rPr>
              <w:color w:val="auto"/>
              <w:highlight w:val="none"/>
            </w:rPr>
            <w:fldChar w:fldCharType="begin"/>
          </w:r>
          <w:r>
            <w:rPr>
              <w:color w:val="auto"/>
              <w:highlight w:val="none"/>
            </w:rPr>
            <w:instrText xml:space="preserve"> PAGEREF _Toc30000 \h </w:instrText>
          </w:r>
          <w:r>
            <w:rPr>
              <w:color w:val="auto"/>
              <w:highlight w:val="none"/>
            </w:rPr>
            <w:fldChar w:fldCharType="separate"/>
          </w:r>
          <w:r>
            <w:rPr>
              <w:color w:val="auto"/>
              <w:highlight w:val="none"/>
            </w:rPr>
            <w:t>95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_Toc27705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工程的照管</w:t>
          </w:r>
          <w:r>
            <w:rPr>
              <w:color w:val="auto"/>
              <w:highlight w:val="none"/>
            </w:rPr>
            <w:tab/>
          </w:r>
          <w:r>
            <w:rPr>
              <w:color w:val="auto"/>
              <w:highlight w:val="none"/>
            </w:rPr>
            <w:fldChar w:fldCharType="begin"/>
          </w:r>
          <w:r>
            <w:rPr>
              <w:color w:val="auto"/>
              <w:highlight w:val="none"/>
            </w:rPr>
            <w:instrText xml:space="preserve"> PAGEREF _Toc27705 \h </w:instrText>
          </w:r>
          <w:r>
            <w:rPr>
              <w:color w:val="auto"/>
              <w:highlight w:val="none"/>
            </w:rPr>
            <w:fldChar w:fldCharType="separate"/>
          </w:r>
          <w:r>
            <w:rPr>
              <w:color w:val="auto"/>
              <w:highlight w:val="none"/>
            </w:rPr>
            <w:t>95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_Toc18513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绿色施工安全防护</w:t>
          </w:r>
          <w:r>
            <w:rPr>
              <w:color w:val="auto"/>
              <w:highlight w:val="none"/>
            </w:rPr>
            <w:tab/>
          </w:r>
          <w:r>
            <w:rPr>
              <w:color w:val="auto"/>
              <w:highlight w:val="none"/>
            </w:rPr>
            <w:fldChar w:fldCharType="begin"/>
          </w:r>
          <w:r>
            <w:rPr>
              <w:color w:val="auto"/>
              <w:highlight w:val="none"/>
            </w:rPr>
            <w:instrText xml:space="preserve"> PAGEREF _Toc18513 \h </w:instrText>
          </w:r>
          <w:r>
            <w:rPr>
              <w:color w:val="auto"/>
              <w:highlight w:val="none"/>
            </w:rPr>
            <w:fldChar w:fldCharType="separate"/>
          </w:r>
          <w:r>
            <w:rPr>
              <w:color w:val="auto"/>
              <w:highlight w:val="none"/>
            </w:rPr>
            <w:t>96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_Toc21851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测量放线</w:t>
          </w:r>
          <w:r>
            <w:rPr>
              <w:color w:val="auto"/>
              <w:highlight w:val="none"/>
            </w:rPr>
            <w:tab/>
          </w:r>
          <w:r>
            <w:rPr>
              <w:color w:val="auto"/>
              <w:highlight w:val="none"/>
            </w:rPr>
            <w:fldChar w:fldCharType="begin"/>
          </w:r>
          <w:r>
            <w:rPr>
              <w:color w:val="auto"/>
              <w:highlight w:val="none"/>
            </w:rPr>
            <w:instrText xml:space="preserve"> PAGEREF _Toc21851 \h </w:instrText>
          </w:r>
          <w:r>
            <w:rPr>
              <w:color w:val="auto"/>
              <w:highlight w:val="none"/>
            </w:rPr>
            <w:fldChar w:fldCharType="separate"/>
          </w:r>
          <w:r>
            <w:rPr>
              <w:color w:val="auto"/>
              <w:highlight w:val="none"/>
            </w:rPr>
            <w:t>99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_Toc23414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钻孔与勘探性开挖</w:t>
          </w:r>
          <w:r>
            <w:rPr>
              <w:color w:val="auto"/>
              <w:highlight w:val="none"/>
            </w:rPr>
            <w:tab/>
          </w:r>
          <w:r>
            <w:rPr>
              <w:color w:val="auto"/>
              <w:highlight w:val="none"/>
            </w:rPr>
            <w:fldChar w:fldCharType="begin"/>
          </w:r>
          <w:r>
            <w:rPr>
              <w:color w:val="auto"/>
              <w:highlight w:val="none"/>
            </w:rPr>
            <w:instrText xml:space="preserve"> PAGEREF _Toc23414 \h </w:instrText>
          </w:r>
          <w:r>
            <w:rPr>
              <w:color w:val="auto"/>
              <w:highlight w:val="none"/>
            </w:rPr>
            <w:fldChar w:fldCharType="separate"/>
          </w:r>
          <w:r>
            <w:rPr>
              <w:color w:val="auto"/>
              <w:highlight w:val="none"/>
            </w:rPr>
            <w:t>100</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_Toc19949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发包人供应工程材料和工程设备</w:t>
          </w:r>
          <w:r>
            <w:rPr>
              <w:color w:val="auto"/>
              <w:highlight w:val="none"/>
            </w:rPr>
            <w:tab/>
          </w:r>
          <w:r>
            <w:rPr>
              <w:color w:val="auto"/>
              <w:highlight w:val="none"/>
            </w:rPr>
            <w:fldChar w:fldCharType="begin"/>
          </w:r>
          <w:r>
            <w:rPr>
              <w:color w:val="auto"/>
              <w:highlight w:val="none"/>
            </w:rPr>
            <w:instrText xml:space="preserve"> PAGEREF _Toc19949 \h </w:instrText>
          </w:r>
          <w:r>
            <w:rPr>
              <w:color w:val="auto"/>
              <w:highlight w:val="none"/>
            </w:rPr>
            <w:fldChar w:fldCharType="separate"/>
          </w:r>
          <w:r>
            <w:rPr>
              <w:color w:val="auto"/>
              <w:highlight w:val="none"/>
            </w:rPr>
            <w:t>101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_Toc740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承包人购置设备及工器具、采购工程材料和工程设备</w:t>
          </w:r>
          <w:r>
            <w:rPr>
              <w:color w:val="auto"/>
              <w:highlight w:val="none"/>
            </w:rPr>
            <w:tab/>
          </w:r>
          <w:r>
            <w:rPr>
              <w:color w:val="auto"/>
              <w:highlight w:val="none"/>
            </w:rPr>
            <w:fldChar w:fldCharType="begin"/>
          </w:r>
          <w:r>
            <w:rPr>
              <w:color w:val="auto"/>
              <w:highlight w:val="none"/>
            </w:rPr>
            <w:instrText xml:space="preserve"> PAGEREF _Toc740 \h </w:instrText>
          </w:r>
          <w:r>
            <w:rPr>
              <w:color w:val="auto"/>
              <w:highlight w:val="none"/>
            </w:rPr>
            <w:fldChar w:fldCharType="separate"/>
          </w:r>
          <w:r>
            <w:rPr>
              <w:color w:val="auto"/>
              <w:highlight w:val="none"/>
            </w:rPr>
            <w:t>103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_Toc11996 </w:instrText>
          </w:r>
          <w:r>
            <w:rPr>
              <w:color w:val="auto"/>
              <w:highlight w:val="none"/>
              <w:lang w:eastAsia="zh-CN"/>
            </w:rPr>
            <w:fldChar w:fldCharType="separate"/>
          </w:r>
          <w:r>
            <w:rPr>
              <w:rFonts w:ascii="仿宋" w:hAnsi="仿宋" w:eastAsia="仿宋" w:cs="仿宋"/>
              <w:bCs w:val="0"/>
              <w:color w:val="auto"/>
              <w:szCs w:val="24"/>
              <w:highlight w:val="none"/>
              <w:lang w:eastAsia="zh-CN"/>
            </w:rPr>
            <w:t>5</w:t>
          </w:r>
          <w:r>
            <w:rPr>
              <w:rFonts w:hint="eastAsia" w:ascii="仿宋" w:hAnsi="仿宋" w:eastAsia="仿宋" w:cs="仿宋"/>
              <w:bCs w:val="0"/>
              <w:color w:val="auto"/>
              <w:szCs w:val="24"/>
              <w:highlight w:val="none"/>
              <w:lang w:eastAsia="zh-CN"/>
            </w:rPr>
            <w:t>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设备及工器具的验收、工程材料和工程设备的检验试验</w:t>
          </w:r>
          <w:r>
            <w:rPr>
              <w:color w:val="auto"/>
              <w:highlight w:val="none"/>
            </w:rPr>
            <w:tab/>
          </w:r>
          <w:r>
            <w:rPr>
              <w:color w:val="auto"/>
              <w:highlight w:val="none"/>
            </w:rPr>
            <w:fldChar w:fldCharType="begin"/>
          </w:r>
          <w:r>
            <w:rPr>
              <w:color w:val="auto"/>
              <w:highlight w:val="none"/>
            </w:rPr>
            <w:instrText xml:space="preserve"> PAGEREF _Toc11996 \h </w:instrText>
          </w:r>
          <w:r>
            <w:rPr>
              <w:color w:val="auto"/>
              <w:highlight w:val="none"/>
            </w:rPr>
            <w:fldChar w:fldCharType="separate"/>
          </w:r>
          <w:r>
            <w:rPr>
              <w:color w:val="auto"/>
              <w:highlight w:val="none"/>
            </w:rPr>
            <w:t>104</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_Toc14987 </w:instrText>
          </w:r>
          <w:r>
            <w:rPr>
              <w:color w:val="auto"/>
              <w:highlight w:val="none"/>
              <w:lang w:eastAsia="zh-CN"/>
            </w:rPr>
            <w:fldChar w:fldCharType="separate"/>
          </w:r>
          <w:r>
            <w:rPr>
              <w:rFonts w:ascii="仿宋" w:hAnsi="仿宋" w:eastAsia="仿宋" w:cs="仿宋"/>
              <w:bCs w:val="0"/>
              <w:color w:val="auto"/>
              <w:szCs w:val="24"/>
              <w:highlight w:val="none"/>
              <w:lang w:eastAsia="zh-CN"/>
            </w:rPr>
            <w:t>5</w:t>
          </w:r>
          <w:r>
            <w:rPr>
              <w:rFonts w:hint="eastAsia" w:ascii="仿宋" w:hAnsi="仿宋" w:eastAsia="仿宋" w:cs="仿宋"/>
              <w:bCs w:val="0"/>
              <w:color w:val="auto"/>
              <w:szCs w:val="24"/>
              <w:highlight w:val="none"/>
              <w:lang w:eastAsia="zh-CN"/>
            </w:rPr>
            <w:t>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施工设备和临时设施</w:t>
          </w:r>
          <w:r>
            <w:rPr>
              <w:color w:val="auto"/>
              <w:highlight w:val="none"/>
            </w:rPr>
            <w:tab/>
          </w:r>
          <w:r>
            <w:rPr>
              <w:color w:val="auto"/>
              <w:highlight w:val="none"/>
            </w:rPr>
            <w:fldChar w:fldCharType="begin"/>
          </w:r>
          <w:r>
            <w:rPr>
              <w:color w:val="auto"/>
              <w:highlight w:val="none"/>
            </w:rPr>
            <w:instrText xml:space="preserve"> PAGEREF _Toc14987 \h </w:instrText>
          </w:r>
          <w:r>
            <w:rPr>
              <w:color w:val="auto"/>
              <w:highlight w:val="none"/>
            </w:rPr>
            <w:fldChar w:fldCharType="separate"/>
          </w:r>
          <w:r>
            <w:rPr>
              <w:color w:val="auto"/>
              <w:highlight w:val="none"/>
            </w:rPr>
            <w:t>106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_Toc22574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★59</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工程质量检查</w:t>
          </w:r>
          <w:r>
            <w:rPr>
              <w:color w:val="auto"/>
              <w:highlight w:val="none"/>
            </w:rPr>
            <w:tab/>
          </w:r>
          <w:r>
            <w:rPr>
              <w:color w:val="auto"/>
              <w:highlight w:val="none"/>
            </w:rPr>
            <w:fldChar w:fldCharType="begin"/>
          </w:r>
          <w:r>
            <w:rPr>
              <w:color w:val="auto"/>
              <w:highlight w:val="none"/>
            </w:rPr>
            <w:instrText xml:space="preserve"> PAGEREF _Toc22574 \h </w:instrText>
          </w:r>
          <w:r>
            <w:rPr>
              <w:color w:val="auto"/>
              <w:highlight w:val="none"/>
            </w:rPr>
            <w:fldChar w:fldCharType="separate"/>
          </w:r>
          <w:r>
            <w:rPr>
              <w:color w:val="auto"/>
              <w:highlight w:val="none"/>
            </w:rPr>
            <w:t>107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_Toc1754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隐蔽工程和中间验收</w:t>
          </w:r>
          <w:r>
            <w:rPr>
              <w:color w:val="auto"/>
              <w:highlight w:val="none"/>
            </w:rPr>
            <w:tab/>
          </w:r>
          <w:r>
            <w:rPr>
              <w:color w:val="auto"/>
              <w:highlight w:val="none"/>
            </w:rPr>
            <w:fldChar w:fldCharType="begin"/>
          </w:r>
          <w:r>
            <w:rPr>
              <w:color w:val="auto"/>
              <w:highlight w:val="none"/>
            </w:rPr>
            <w:instrText xml:space="preserve"> PAGEREF _Toc1754 \h </w:instrText>
          </w:r>
          <w:r>
            <w:rPr>
              <w:color w:val="auto"/>
              <w:highlight w:val="none"/>
            </w:rPr>
            <w:fldChar w:fldCharType="separate"/>
          </w:r>
          <w:r>
            <w:rPr>
              <w:color w:val="auto"/>
              <w:highlight w:val="none"/>
            </w:rPr>
            <w:t>108</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_Toc27107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重新验收和额外检查检验</w:t>
          </w:r>
          <w:r>
            <w:rPr>
              <w:color w:val="auto"/>
              <w:highlight w:val="none"/>
            </w:rPr>
            <w:tab/>
          </w:r>
          <w:r>
            <w:rPr>
              <w:color w:val="auto"/>
              <w:highlight w:val="none"/>
            </w:rPr>
            <w:fldChar w:fldCharType="begin"/>
          </w:r>
          <w:r>
            <w:rPr>
              <w:color w:val="auto"/>
              <w:highlight w:val="none"/>
            </w:rPr>
            <w:instrText xml:space="preserve"> PAGEREF _Toc27107 \h </w:instrText>
          </w:r>
          <w:r>
            <w:rPr>
              <w:color w:val="auto"/>
              <w:highlight w:val="none"/>
            </w:rPr>
            <w:fldChar w:fldCharType="separate"/>
          </w:r>
          <w:r>
            <w:rPr>
              <w:color w:val="auto"/>
              <w:highlight w:val="none"/>
            </w:rPr>
            <w:t>109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_Toc17005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工程试车</w:t>
          </w:r>
          <w:r>
            <w:rPr>
              <w:color w:val="auto"/>
              <w:highlight w:val="none"/>
            </w:rPr>
            <w:tab/>
          </w:r>
          <w:r>
            <w:rPr>
              <w:color w:val="auto"/>
              <w:highlight w:val="none"/>
            </w:rPr>
            <w:fldChar w:fldCharType="begin"/>
          </w:r>
          <w:r>
            <w:rPr>
              <w:color w:val="auto"/>
              <w:highlight w:val="none"/>
            </w:rPr>
            <w:instrText xml:space="preserve"> PAGEREF _Toc17005 \h </w:instrText>
          </w:r>
          <w:r>
            <w:rPr>
              <w:color w:val="auto"/>
              <w:highlight w:val="none"/>
            </w:rPr>
            <w:fldChar w:fldCharType="separate"/>
          </w:r>
          <w:r>
            <w:rPr>
              <w:color w:val="auto"/>
              <w:highlight w:val="none"/>
            </w:rPr>
            <w:t>109</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_Toc11404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工程变更</w:t>
          </w:r>
          <w:r>
            <w:rPr>
              <w:color w:val="auto"/>
              <w:highlight w:val="none"/>
            </w:rPr>
            <w:tab/>
          </w:r>
          <w:r>
            <w:rPr>
              <w:color w:val="auto"/>
              <w:highlight w:val="none"/>
            </w:rPr>
            <w:fldChar w:fldCharType="begin"/>
          </w:r>
          <w:r>
            <w:rPr>
              <w:color w:val="auto"/>
              <w:highlight w:val="none"/>
            </w:rPr>
            <w:instrText xml:space="preserve"> PAGEREF _Toc11404 \h </w:instrText>
          </w:r>
          <w:r>
            <w:rPr>
              <w:color w:val="auto"/>
              <w:highlight w:val="none"/>
            </w:rPr>
            <w:fldChar w:fldCharType="separate"/>
          </w:r>
          <w:r>
            <w:rPr>
              <w:color w:val="auto"/>
              <w:highlight w:val="none"/>
            </w:rPr>
            <w:t>111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_Toc26857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竣工验收条件</w:t>
          </w:r>
          <w:r>
            <w:rPr>
              <w:color w:val="auto"/>
              <w:highlight w:val="none"/>
            </w:rPr>
            <w:tab/>
          </w:r>
          <w:r>
            <w:rPr>
              <w:color w:val="auto"/>
              <w:highlight w:val="none"/>
            </w:rPr>
            <w:fldChar w:fldCharType="begin"/>
          </w:r>
          <w:r>
            <w:rPr>
              <w:color w:val="auto"/>
              <w:highlight w:val="none"/>
            </w:rPr>
            <w:instrText xml:space="preserve"> PAGEREF _Toc26857 \h </w:instrText>
          </w:r>
          <w:r>
            <w:rPr>
              <w:color w:val="auto"/>
              <w:highlight w:val="none"/>
            </w:rPr>
            <w:fldChar w:fldCharType="separate"/>
          </w:r>
          <w:r>
            <w:rPr>
              <w:color w:val="auto"/>
              <w:highlight w:val="none"/>
            </w:rPr>
            <w:t>113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_Toc469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竣工验收</w:t>
          </w:r>
          <w:r>
            <w:rPr>
              <w:color w:val="auto"/>
              <w:highlight w:val="none"/>
            </w:rPr>
            <w:tab/>
          </w:r>
          <w:r>
            <w:rPr>
              <w:color w:val="auto"/>
              <w:highlight w:val="none"/>
            </w:rPr>
            <w:fldChar w:fldCharType="begin"/>
          </w:r>
          <w:r>
            <w:rPr>
              <w:color w:val="auto"/>
              <w:highlight w:val="none"/>
            </w:rPr>
            <w:instrText xml:space="preserve"> PAGEREF _Toc469 \h </w:instrText>
          </w:r>
          <w:r>
            <w:rPr>
              <w:color w:val="auto"/>
              <w:highlight w:val="none"/>
            </w:rPr>
            <w:fldChar w:fldCharType="separate"/>
          </w:r>
          <w:r>
            <w:rPr>
              <w:color w:val="auto"/>
              <w:highlight w:val="none"/>
            </w:rPr>
            <w:t>114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_Toc21114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缺陷责任与质量保修</w:t>
          </w:r>
          <w:r>
            <w:rPr>
              <w:color w:val="auto"/>
              <w:highlight w:val="none"/>
            </w:rPr>
            <w:tab/>
          </w:r>
          <w:r>
            <w:rPr>
              <w:color w:val="auto"/>
              <w:highlight w:val="none"/>
            </w:rPr>
            <w:fldChar w:fldCharType="begin"/>
          </w:r>
          <w:r>
            <w:rPr>
              <w:color w:val="auto"/>
              <w:highlight w:val="none"/>
            </w:rPr>
            <w:instrText xml:space="preserve"> PAGEREF _Toc21114 \h </w:instrText>
          </w:r>
          <w:r>
            <w:rPr>
              <w:color w:val="auto"/>
              <w:highlight w:val="none"/>
            </w:rPr>
            <w:fldChar w:fldCharType="separate"/>
          </w:r>
          <w:r>
            <w:rPr>
              <w:color w:val="auto"/>
              <w:highlight w:val="none"/>
            </w:rPr>
            <w:t>117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_Toc15873 </w:instrText>
          </w:r>
          <w:r>
            <w:rPr>
              <w:color w:val="auto"/>
              <w:highlight w:val="none"/>
              <w:lang w:eastAsia="zh-CN"/>
            </w:rPr>
            <w:fldChar w:fldCharType="separate"/>
          </w:r>
          <w:r>
            <w:rPr>
              <w:rFonts w:hint="eastAsia" w:ascii="仿宋" w:hAnsi="仿宋" w:eastAsia="仿宋" w:cs="仿宋"/>
              <w:bCs/>
              <w:color w:val="auto"/>
              <w:highlight w:val="none"/>
              <w:lang w:eastAsia="zh-CN"/>
            </w:rPr>
            <w:t>七、合同价格</w:t>
          </w:r>
          <w:r>
            <w:rPr>
              <w:color w:val="auto"/>
              <w:highlight w:val="none"/>
            </w:rPr>
            <w:tab/>
          </w:r>
          <w:r>
            <w:rPr>
              <w:color w:val="auto"/>
              <w:highlight w:val="none"/>
            </w:rPr>
            <w:fldChar w:fldCharType="begin"/>
          </w:r>
          <w:r>
            <w:rPr>
              <w:color w:val="auto"/>
              <w:highlight w:val="none"/>
            </w:rPr>
            <w:instrText xml:space="preserve"> PAGEREF _Toc15873 \h </w:instrText>
          </w:r>
          <w:r>
            <w:rPr>
              <w:color w:val="auto"/>
              <w:highlight w:val="none"/>
            </w:rPr>
            <w:fldChar w:fldCharType="separate"/>
          </w:r>
          <w:r>
            <w:rPr>
              <w:color w:val="auto"/>
              <w:highlight w:val="none"/>
            </w:rPr>
            <w:t>119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_Toc5111 </w:instrText>
          </w:r>
          <w:r>
            <w:rPr>
              <w:color w:val="auto"/>
              <w:highlight w:val="none"/>
              <w:lang w:eastAsia="zh-CN"/>
            </w:rPr>
            <w:fldChar w:fldCharType="separate"/>
          </w:r>
          <w:r>
            <w:rPr>
              <w:rFonts w:ascii="仿宋" w:hAnsi="仿宋" w:eastAsia="仿宋" w:cs="仿宋"/>
              <w:bCs w:val="0"/>
              <w:color w:val="auto"/>
              <w:szCs w:val="24"/>
              <w:highlight w:val="none"/>
              <w:lang w:eastAsia="zh-CN"/>
            </w:rPr>
            <w:t>6</w:t>
          </w:r>
          <w:r>
            <w:rPr>
              <w:rFonts w:hint="eastAsia" w:ascii="仿宋" w:hAnsi="仿宋" w:eastAsia="仿宋" w:cs="仿宋"/>
              <w:bCs w:val="0"/>
              <w:color w:val="auto"/>
              <w:szCs w:val="24"/>
              <w:highlight w:val="none"/>
              <w:lang w:eastAsia="zh-CN"/>
            </w:rPr>
            <w:t>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资金计划和安排</w:t>
          </w:r>
          <w:r>
            <w:rPr>
              <w:color w:val="auto"/>
              <w:highlight w:val="none"/>
            </w:rPr>
            <w:tab/>
          </w:r>
          <w:r>
            <w:rPr>
              <w:color w:val="auto"/>
              <w:highlight w:val="none"/>
            </w:rPr>
            <w:fldChar w:fldCharType="begin"/>
          </w:r>
          <w:r>
            <w:rPr>
              <w:color w:val="auto"/>
              <w:highlight w:val="none"/>
            </w:rPr>
            <w:instrText xml:space="preserve"> PAGEREF _Toc5111 \h </w:instrText>
          </w:r>
          <w:r>
            <w:rPr>
              <w:color w:val="auto"/>
              <w:highlight w:val="none"/>
            </w:rPr>
            <w:fldChar w:fldCharType="separate"/>
          </w:r>
          <w:r>
            <w:rPr>
              <w:color w:val="auto"/>
              <w:highlight w:val="none"/>
            </w:rPr>
            <w:t>119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_Toc30121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联合体牵头人项目管理费</w:t>
          </w:r>
          <w:r>
            <w:rPr>
              <w:color w:val="auto"/>
              <w:highlight w:val="none"/>
            </w:rPr>
            <w:tab/>
          </w:r>
          <w:r>
            <w:rPr>
              <w:color w:val="auto"/>
              <w:highlight w:val="none"/>
            </w:rPr>
            <w:fldChar w:fldCharType="begin"/>
          </w:r>
          <w:r>
            <w:rPr>
              <w:color w:val="auto"/>
              <w:highlight w:val="none"/>
            </w:rPr>
            <w:instrText xml:space="preserve"> PAGEREF _Toc30121 \h </w:instrText>
          </w:r>
          <w:r>
            <w:rPr>
              <w:color w:val="auto"/>
              <w:highlight w:val="none"/>
            </w:rPr>
            <w:fldChar w:fldCharType="separate"/>
          </w:r>
          <w:r>
            <w:rPr>
              <w:color w:val="auto"/>
              <w:highlight w:val="none"/>
            </w:rPr>
            <w:t>119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_Toc24136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★69</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合同价格的约定与调整</w:t>
          </w:r>
          <w:r>
            <w:rPr>
              <w:color w:val="auto"/>
              <w:highlight w:val="none"/>
            </w:rPr>
            <w:tab/>
          </w:r>
          <w:r>
            <w:rPr>
              <w:color w:val="auto"/>
              <w:highlight w:val="none"/>
            </w:rPr>
            <w:fldChar w:fldCharType="begin"/>
          </w:r>
          <w:r>
            <w:rPr>
              <w:color w:val="auto"/>
              <w:highlight w:val="none"/>
            </w:rPr>
            <w:instrText xml:space="preserve"> PAGEREF _Toc24136 \h </w:instrText>
          </w:r>
          <w:r>
            <w:rPr>
              <w:color w:val="auto"/>
              <w:highlight w:val="none"/>
            </w:rPr>
            <w:fldChar w:fldCharType="separate"/>
          </w:r>
          <w:r>
            <w:rPr>
              <w:color w:val="auto"/>
              <w:highlight w:val="none"/>
            </w:rPr>
            <w:t>120</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_Toc4601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合同价格调整程序</w:t>
          </w:r>
          <w:r>
            <w:rPr>
              <w:color w:val="auto"/>
              <w:highlight w:val="none"/>
            </w:rPr>
            <w:tab/>
          </w:r>
          <w:r>
            <w:rPr>
              <w:color w:val="auto"/>
              <w:highlight w:val="none"/>
            </w:rPr>
            <w:fldChar w:fldCharType="begin"/>
          </w:r>
          <w:r>
            <w:rPr>
              <w:color w:val="auto"/>
              <w:highlight w:val="none"/>
            </w:rPr>
            <w:instrText xml:space="preserve"> PAGEREF _Toc4601 \h </w:instrText>
          </w:r>
          <w:r>
            <w:rPr>
              <w:color w:val="auto"/>
              <w:highlight w:val="none"/>
            </w:rPr>
            <w:fldChar w:fldCharType="separate"/>
          </w:r>
          <w:r>
            <w:rPr>
              <w:color w:val="auto"/>
              <w:highlight w:val="none"/>
            </w:rPr>
            <w:t>122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_Toc10796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工作量或工程量</w:t>
          </w:r>
          <w:r>
            <w:rPr>
              <w:color w:val="auto"/>
              <w:highlight w:val="none"/>
            </w:rPr>
            <w:tab/>
          </w:r>
          <w:r>
            <w:rPr>
              <w:color w:val="auto"/>
              <w:highlight w:val="none"/>
            </w:rPr>
            <w:fldChar w:fldCharType="begin"/>
          </w:r>
          <w:r>
            <w:rPr>
              <w:color w:val="auto"/>
              <w:highlight w:val="none"/>
            </w:rPr>
            <w:instrText xml:space="preserve"> PAGEREF _Toc10796 \h </w:instrText>
          </w:r>
          <w:r>
            <w:rPr>
              <w:color w:val="auto"/>
              <w:highlight w:val="none"/>
            </w:rPr>
            <w:fldChar w:fldCharType="separate"/>
          </w:r>
          <w:r>
            <w:rPr>
              <w:color w:val="auto"/>
              <w:highlight w:val="none"/>
            </w:rPr>
            <w:t>122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_Toc5106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计量和计价</w:t>
          </w:r>
          <w:r>
            <w:rPr>
              <w:color w:val="auto"/>
              <w:highlight w:val="none"/>
            </w:rPr>
            <w:tab/>
          </w:r>
          <w:r>
            <w:rPr>
              <w:color w:val="auto"/>
              <w:highlight w:val="none"/>
            </w:rPr>
            <w:fldChar w:fldCharType="begin"/>
          </w:r>
          <w:r>
            <w:rPr>
              <w:color w:val="auto"/>
              <w:highlight w:val="none"/>
            </w:rPr>
            <w:instrText xml:space="preserve"> PAGEREF _Toc5106 \h </w:instrText>
          </w:r>
          <w:r>
            <w:rPr>
              <w:color w:val="auto"/>
              <w:highlight w:val="none"/>
            </w:rPr>
            <w:fldChar w:fldCharType="separate"/>
          </w:r>
          <w:r>
            <w:rPr>
              <w:color w:val="auto"/>
              <w:highlight w:val="none"/>
            </w:rPr>
            <w:t>123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_Toc26293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暂列金额</w:t>
          </w:r>
          <w:r>
            <w:rPr>
              <w:color w:val="auto"/>
              <w:highlight w:val="none"/>
            </w:rPr>
            <w:tab/>
          </w:r>
          <w:r>
            <w:rPr>
              <w:color w:val="auto"/>
              <w:highlight w:val="none"/>
            </w:rPr>
            <w:fldChar w:fldCharType="begin"/>
          </w:r>
          <w:r>
            <w:rPr>
              <w:color w:val="auto"/>
              <w:highlight w:val="none"/>
            </w:rPr>
            <w:instrText xml:space="preserve"> PAGEREF _Toc26293 \h </w:instrText>
          </w:r>
          <w:r>
            <w:rPr>
              <w:color w:val="auto"/>
              <w:highlight w:val="none"/>
            </w:rPr>
            <w:fldChar w:fldCharType="separate"/>
          </w:r>
          <w:r>
            <w:rPr>
              <w:color w:val="auto"/>
              <w:highlight w:val="none"/>
            </w:rPr>
            <w:t>126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_Toc6165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计日工</w:t>
          </w:r>
          <w:r>
            <w:rPr>
              <w:color w:val="auto"/>
              <w:highlight w:val="none"/>
            </w:rPr>
            <w:tab/>
          </w:r>
          <w:r>
            <w:rPr>
              <w:color w:val="auto"/>
              <w:highlight w:val="none"/>
            </w:rPr>
            <w:fldChar w:fldCharType="begin"/>
          </w:r>
          <w:r>
            <w:rPr>
              <w:color w:val="auto"/>
              <w:highlight w:val="none"/>
            </w:rPr>
            <w:instrText xml:space="preserve"> PAGEREF _Toc6165 \h </w:instrText>
          </w:r>
          <w:r>
            <w:rPr>
              <w:color w:val="auto"/>
              <w:highlight w:val="none"/>
            </w:rPr>
            <w:fldChar w:fldCharType="separate"/>
          </w:r>
          <w:r>
            <w:rPr>
              <w:color w:val="auto"/>
              <w:highlight w:val="none"/>
            </w:rPr>
            <w:t>126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_Toc24862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暂估价</w:t>
          </w:r>
          <w:r>
            <w:rPr>
              <w:color w:val="auto"/>
              <w:highlight w:val="none"/>
            </w:rPr>
            <w:tab/>
          </w:r>
          <w:r>
            <w:rPr>
              <w:color w:val="auto"/>
              <w:highlight w:val="none"/>
            </w:rPr>
            <w:fldChar w:fldCharType="begin"/>
          </w:r>
          <w:r>
            <w:rPr>
              <w:color w:val="auto"/>
              <w:highlight w:val="none"/>
            </w:rPr>
            <w:instrText xml:space="preserve"> PAGEREF _Toc24862 \h </w:instrText>
          </w:r>
          <w:r>
            <w:rPr>
              <w:color w:val="auto"/>
              <w:highlight w:val="none"/>
            </w:rPr>
            <w:fldChar w:fldCharType="separate"/>
          </w:r>
          <w:r>
            <w:rPr>
              <w:color w:val="auto"/>
              <w:highlight w:val="none"/>
            </w:rPr>
            <w:t>127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_Toc23801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提前竣工奖与误期赔偿费</w:t>
          </w:r>
          <w:r>
            <w:rPr>
              <w:color w:val="auto"/>
              <w:highlight w:val="none"/>
            </w:rPr>
            <w:tab/>
          </w:r>
          <w:r>
            <w:rPr>
              <w:color w:val="auto"/>
              <w:highlight w:val="none"/>
            </w:rPr>
            <w:fldChar w:fldCharType="begin"/>
          </w:r>
          <w:r>
            <w:rPr>
              <w:color w:val="auto"/>
              <w:highlight w:val="none"/>
            </w:rPr>
            <w:instrText xml:space="preserve"> PAGEREF _Toc23801 \h </w:instrText>
          </w:r>
          <w:r>
            <w:rPr>
              <w:color w:val="auto"/>
              <w:highlight w:val="none"/>
            </w:rPr>
            <w:fldChar w:fldCharType="separate"/>
          </w:r>
          <w:r>
            <w:rPr>
              <w:color w:val="auto"/>
              <w:highlight w:val="none"/>
            </w:rPr>
            <w:t>127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_Toc22838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优质优价费用</w:t>
          </w:r>
          <w:r>
            <w:rPr>
              <w:color w:val="auto"/>
              <w:highlight w:val="none"/>
            </w:rPr>
            <w:tab/>
          </w:r>
          <w:r>
            <w:rPr>
              <w:color w:val="auto"/>
              <w:highlight w:val="none"/>
            </w:rPr>
            <w:fldChar w:fldCharType="begin"/>
          </w:r>
          <w:r>
            <w:rPr>
              <w:color w:val="auto"/>
              <w:highlight w:val="none"/>
            </w:rPr>
            <w:instrText xml:space="preserve"> PAGEREF _Toc22838 \h </w:instrText>
          </w:r>
          <w:r>
            <w:rPr>
              <w:color w:val="auto"/>
              <w:highlight w:val="none"/>
            </w:rPr>
            <w:fldChar w:fldCharType="separate"/>
          </w:r>
          <w:r>
            <w:rPr>
              <w:color w:val="auto"/>
              <w:highlight w:val="none"/>
            </w:rPr>
            <w:t>128</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_Toc30466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后继法律变化引起的价格调整</w:t>
          </w:r>
          <w:r>
            <w:rPr>
              <w:color w:val="auto"/>
              <w:highlight w:val="none"/>
            </w:rPr>
            <w:tab/>
          </w:r>
          <w:r>
            <w:rPr>
              <w:color w:val="auto"/>
              <w:highlight w:val="none"/>
            </w:rPr>
            <w:fldChar w:fldCharType="begin"/>
          </w:r>
          <w:r>
            <w:rPr>
              <w:color w:val="auto"/>
              <w:highlight w:val="none"/>
            </w:rPr>
            <w:instrText xml:space="preserve"> PAGEREF _Toc30466 \h </w:instrText>
          </w:r>
          <w:r>
            <w:rPr>
              <w:color w:val="auto"/>
              <w:highlight w:val="none"/>
            </w:rPr>
            <w:fldChar w:fldCharType="separate"/>
          </w:r>
          <w:r>
            <w:rPr>
              <w:color w:val="auto"/>
              <w:highlight w:val="none"/>
            </w:rPr>
            <w:t>129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_Toc75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★79</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 xml:space="preserve"> 可调价变更定价</w:t>
          </w:r>
          <w:r>
            <w:rPr>
              <w:color w:val="auto"/>
              <w:highlight w:val="none"/>
            </w:rPr>
            <w:tab/>
          </w:r>
          <w:r>
            <w:rPr>
              <w:color w:val="auto"/>
              <w:highlight w:val="none"/>
            </w:rPr>
            <w:fldChar w:fldCharType="begin"/>
          </w:r>
          <w:r>
            <w:rPr>
              <w:color w:val="auto"/>
              <w:highlight w:val="none"/>
            </w:rPr>
            <w:instrText xml:space="preserve"> PAGEREF _Toc75 \h </w:instrText>
          </w:r>
          <w:r>
            <w:rPr>
              <w:color w:val="auto"/>
              <w:highlight w:val="none"/>
            </w:rPr>
            <w:fldChar w:fldCharType="separate"/>
          </w:r>
          <w:r>
            <w:rPr>
              <w:color w:val="auto"/>
              <w:highlight w:val="none"/>
            </w:rPr>
            <w:t>129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_Toc11735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费用索赔</w:t>
          </w:r>
          <w:r>
            <w:rPr>
              <w:color w:val="auto"/>
              <w:highlight w:val="none"/>
            </w:rPr>
            <w:tab/>
          </w:r>
          <w:r>
            <w:rPr>
              <w:color w:val="auto"/>
              <w:highlight w:val="none"/>
            </w:rPr>
            <w:fldChar w:fldCharType="begin"/>
          </w:r>
          <w:r>
            <w:rPr>
              <w:color w:val="auto"/>
              <w:highlight w:val="none"/>
            </w:rPr>
            <w:instrText xml:space="preserve"> PAGEREF _Toc11735 \h </w:instrText>
          </w:r>
          <w:r>
            <w:rPr>
              <w:color w:val="auto"/>
              <w:highlight w:val="none"/>
            </w:rPr>
            <w:fldChar w:fldCharType="separate"/>
          </w:r>
          <w:r>
            <w:rPr>
              <w:color w:val="auto"/>
              <w:highlight w:val="none"/>
            </w:rPr>
            <w:t>131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_Toc13485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现场签证价格的确定</w:t>
          </w:r>
          <w:r>
            <w:rPr>
              <w:color w:val="auto"/>
              <w:highlight w:val="none"/>
            </w:rPr>
            <w:tab/>
          </w:r>
          <w:r>
            <w:rPr>
              <w:color w:val="auto"/>
              <w:highlight w:val="none"/>
            </w:rPr>
            <w:fldChar w:fldCharType="begin"/>
          </w:r>
          <w:r>
            <w:rPr>
              <w:color w:val="auto"/>
              <w:highlight w:val="none"/>
            </w:rPr>
            <w:instrText xml:space="preserve"> PAGEREF _Toc13485 \h </w:instrText>
          </w:r>
          <w:r>
            <w:rPr>
              <w:color w:val="auto"/>
              <w:highlight w:val="none"/>
            </w:rPr>
            <w:fldChar w:fldCharType="separate"/>
          </w:r>
          <w:r>
            <w:rPr>
              <w:color w:val="auto"/>
              <w:highlight w:val="none"/>
            </w:rPr>
            <w:t>132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_Toc28332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物价涨落的价格调整</w:t>
          </w:r>
          <w:r>
            <w:rPr>
              <w:color w:val="auto"/>
              <w:highlight w:val="none"/>
            </w:rPr>
            <w:tab/>
          </w:r>
          <w:r>
            <w:rPr>
              <w:color w:val="auto"/>
              <w:highlight w:val="none"/>
            </w:rPr>
            <w:fldChar w:fldCharType="begin"/>
          </w:r>
          <w:r>
            <w:rPr>
              <w:color w:val="auto"/>
              <w:highlight w:val="none"/>
            </w:rPr>
            <w:instrText xml:space="preserve"> PAGEREF _Toc28332 \h </w:instrText>
          </w:r>
          <w:r>
            <w:rPr>
              <w:color w:val="auto"/>
              <w:highlight w:val="none"/>
            </w:rPr>
            <w:fldChar w:fldCharType="separate"/>
          </w:r>
          <w:r>
            <w:rPr>
              <w:color w:val="auto"/>
              <w:highlight w:val="none"/>
            </w:rPr>
            <w:t>133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_Toc7772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支付事项</w:t>
          </w:r>
          <w:r>
            <w:rPr>
              <w:color w:val="auto"/>
              <w:highlight w:val="none"/>
            </w:rPr>
            <w:tab/>
          </w:r>
          <w:r>
            <w:rPr>
              <w:color w:val="auto"/>
              <w:highlight w:val="none"/>
            </w:rPr>
            <w:fldChar w:fldCharType="begin"/>
          </w:r>
          <w:r>
            <w:rPr>
              <w:color w:val="auto"/>
              <w:highlight w:val="none"/>
            </w:rPr>
            <w:instrText xml:space="preserve"> PAGEREF _Toc7772 \h </w:instrText>
          </w:r>
          <w:r>
            <w:rPr>
              <w:color w:val="auto"/>
              <w:highlight w:val="none"/>
            </w:rPr>
            <w:fldChar w:fldCharType="separate"/>
          </w:r>
          <w:r>
            <w:rPr>
              <w:color w:val="auto"/>
              <w:highlight w:val="none"/>
            </w:rPr>
            <w:t>135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_Toc23217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预付款</w:t>
          </w:r>
          <w:r>
            <w:rPr>
              <w:color w:val="auto"/>
              <w:highlight w:val="none"/>
            </w:rPr>
            <w:tab/>
          </w:r>
          <w:r>
            <w:rPr>
              <w:color w:val="auto"/>
              <w:highlight w:val="none"/>
            </w:rPr>
            <w:fldChar w:fldCharType="begin"/>
          </w:r>
          <w:r>
            <w:rPr>
              <w:color w:val="auto"/>
              <w:highlight w:val="none"/>
            </w:rPr>
            <w:instrText xml:space="preserve"> PAGEREF _Toc23217 \h </w:instrText>
          </w:r>
          <w:r>
            <w:rPr>
              <w:color w:val="auto"/>
              <w:highlight w:val="none"/>
            </w:rPr>
            <w:fldChar w:fldCharType="separate"/>
          </w:r>
          <w:r>
            <w:rPr>
              <w:color w:val="auto"/>
              <w:highlight w:val="none"/>
            </w:rPr>
            <w:t>136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_Toc22067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绿色施工安全防护费</w:t>
          </w:r>
          <w:r>
            <w:rPr>
              <w:color w:val="auto"/>
              <w:highlight w:val="none"/>
            </w:rPr>
            <w:tab/>
          </w:r>
          <w:r>
            <w:rPr>
              <w:color w:val="auto"/>
              <w:highlight w:val="none"/>
            </w:rPr>
            <w:fldChar w:fldCharType="begin"/>
          </w:r>
          <w:r>
            <w:rPr>
              <w:color w:val="auto"/>
              <w:highlight w:val="none"/>
            </w:rPr>
            <w:instrText xml:space="preserve"> PAGEREF _Toc22067 \h </w:instrText>
          </w:r>
          <w:r>
            <w:rPr>
              <w:color w:val="auto"/>
              <w:highlight w:val="none"/>
            </w:rPr>
            <w:fldChar w:fldCharType="separate"/>
          </w:r>
          <w:r>
            <w:rPr>
              <w:color w:val="auto"/>
              <w:highlight w:val="none"/>
            </w:rPr>
            <w:t>137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_Toc23067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进度款</w:t>
          </w:r>
          <w:r>
            <w:rPr>
              <w:color w:val="auto"/>
              <w:highlight w:val="none"/>
            </w:rPr>
            <w:tab/>
          </w:r>
          <w:r>
            <w:rPr>
              <w:color w:val="auto"/>
              <w:highlight w:val="none"/>
            </w:rPr>
            <w:fldChar w:fldCharType="begin"/>
          </w:r>
          <w:r>
            <w:rPr>
              <w:color w:val="auto"/>
              <w:highlight w:val="none"/>
            </w:rPr>
            <w:instrText xml:space="preserve"> PAGEREF _Toc23067 \h </w:instrText>
          </w:r>
          <w:r>
            <w:rPr>
              <w:color w:val="auto"/>
              <w:highlight w:val="none"/>
            </w:rPr>
            <w:fldChar w:fldCharType="separate"/>
          </w:r>
          <w:r>
            <w:rPr>
              <w:color w:val="auto"/>
              <w:highlight w:val="none"/>
            </w:rPr>
            <w:t>139</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_Toc4940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w:t>
          </w:r>
          <w:r>
            <w:rPr>
              <w:rFonts w:ascii="仿宋" w:hAnsi="仿宋" w:eastAsia="仿宋" w:cs="仿宋"/>
              <w:bCs w:val="0"/>
              <w:color w:val="auto"/>
              <w:szCs w:val="24"/>
              <w:highlight w:val="none"/>
              <w:lang w:eastAsia="zh-CN"/>
            </w:rPr>
            <w:t>8</w:t>
          </w:r>
          <w:r>
            <w:rPr>
              <w:rFonts w:hint="eastAsia" w:ascii="仿宋" w:hAnsi="仿宋" w:eastAsia="仿宋" w:cs="仿宋"/>
              <w:bCs w:val="0"/>
              <w:color w:val="auto"/>
              <w:szCs w:val="24"/>
              <w:highlight w:val="none"/>
              <w:lang w:eastAsia="zh-CN"/>
            </w:rPr>
            <w:t>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竣工结算</w:t>
          </w:r>
          <w:r>
            <w:rPr>
              <w:color w:val="auto"/>
              <w:highlight w:val="none"/>
            </w:rPr>
            <w:tab/>
          </w:r>
          <w:r>
            <w:rPr>
              <w:color w:val="auto"/>
              <w:highlight w:val="none"/>
            </w:rPr>
            <w:fldChar w:fldCharType="begin"/>
          </w:r>
          <w:r>
            <w:rPr>
              <w:color w:val="auto"/>
              <w:highlight w:val="none"/>
            </w:rPr>
            <w:instrText xml:space="preserve"> PAGEREF _Toc4940 \h </w:instrText>
          </w:r>
          <w:r>
            <w:rPr>
              <w:color w:val="auto"/>
              <w:highlight w:val="none"/>
            </w:rPr>
            <w:fldChar w:fldCharType="separate"/>
          </w:r>
          <w:r>
            <w:rPr>
              <w:color w:val="auto"/>
              <w:highlight w:val="none"/>
            </w:rPr>
            <w:t>140</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_Toc30906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w:t>
          </w:r>
          <w:r>
            <w:rPr>
              <w:rFonts w:ascii="仿宋" w:hAnsi="仿宋" w:eastAsia="仿宋" w:cs="仿宋"/>
              <w:bCs w:val="0"/>
              <w:color w:val="auto"/>
              <w:szCs w:val="24"/>
              <w:highlight w:val="none"/>
              <w:lang w:eastAsia="zh-CN"/>
            </w:rPr>
            <w:t>8</w:t>
          </w:r>
          <w:r>
            <w:rPr>
              <w:rFonts w:hint="eastAsia" w:ascii="仿宋" w:hAnsi="仿宋" w:eastAsia="仿宋" w:cs="仿宋"/>
              <w:bCs w:val="0"/>
              <w:color w:val="auto"/>
              <w:szCs w:val="24"/>
              <w:highlight w:val="none"/>
              <w:lang w:eastAsia="zh-CN"/>
            </w:rPr>
            <w:t>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结算款</w:t>
          </w:r>
          <w:r>
            <w:rPr>
              <w:color w:val="auto"/>
              <w:highlight w:val="none"/>
            </w:rPr>
            <w:tab/>
          </w:r>
          <w:r>
            <w:rPr>
              <w:color w:val="auto"/>
              <w:highlight w:val="none"/>
            </w:rPr>
            <w:fldChar w:fldCharType="begin"/>
          </w:r>
          <w:r>
            <w:rPr>
              <w:color w:val="auto"/>
              <w:highlight w:val="none"/>
            </w:rPr>
            <w:instrText xml:space="preserve"> PAGEREF _Toc30906 \h </w:instrText>
          </w:r>
          <w:r>
            <w:rPr>
              <w:color w:val="auto"/>
              <w:highlight w:val="none"/>
            </w:rPr>
            <w:fldChar w:fldCharType="separate"/>
          </w:r>
          <w:r>
            <w:rPr>
              <w:color w:val="auto"/>
              <w:highlight w:val="none"/>
            </w:rPr>
            <w:t>142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_Toc13255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★89</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质量保证金</w:t>
          </w:r>
          <w:r>
            <w:rPr>
              <w:color w:val="auto"/>
              <w:highlight w:val="none"/>
            </w:rPr>
            <w:tab/>
          </w:r>
          <w:r>
            <w:rPr>
              <w:color w:val="auto"/>
              <w:highlight w:val="none"/>
            </w:rPr>
            <w:fldChar w:fldCharType="begin"/>
          </w:r>
          <w:r>
            <w:rPr>
              <w:color w:val="auto"/>
              <w:highlight w:val="none"/>
            </w:rPr>
            <w:instrText xml:space="preserve"> PAGEREF _Toc13255 \h </w:instrText>
          </w:r>
          <w:r>
            <w:rPr>
              <w:color w:val="auto"/>
              <w:highlight w:val="none"/>
            </w:rPr>
            <w:fldChar w:fldCharType="separate"/>
          </w:r>
          <w:r>
            <w:rPr>
              <w:color w:val="auto"/>
              <w:highlight w:val="none"/>
            </w:rPr>
            <w:t>144</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_Toc11715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最终清算款</w:t>
          </w:r>
          <w:r>
            <w:rPr>
              <w:color w:val="auto"/>
              <w:highlight w:val="none"/>
            </w:rPr>
            <w:tab/>
          </w:r>
          <w:r>
            <w:rPr>
              <w:color w:val="auto"/>
              <w:highlight w:val="none"/>
            </w:rPr>
            <w:fldChar w:fldCharType="begin"/>
          </w:r>
          <w:r>
            <w:rPr>
              <w:color w:val="auto"/>
              <w:highlight w:val="none"/>
            </w:rPr>
            <w:instrText xml:space="preserve"> PAGEREF _Toc11715 \h </w:instrText>
          </w:r>
          <w:r>
            <w:rPr>
              <w:color w:val="auto"/>
              <w:highlight w:val="none"/>
            </w:rPr>
            <w:fldChar w:fldCharType="separate"/>
          </w:r>
          <w:r>
            <w:rPr>
              <w:color w:val="auto"/>
              <w:highlight w:val="none"/>
            </w:rPr>
            <w:t>145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_Toc22740 </w:instrText>
          </w:r>
          <w:r>
            <w:rPr>
              <w:color w:val="auto"/>
              <w:highlight w:val="none"/>
              <w:lang w:eastAsia="zh-CN"/>
            </w:rPr>
            <w:fldChar w:fldCharType="separate"/>
          </w:r>
          <w:r>
            <w:rPr>
              <w:rFonts w:hint="eastAsia" w:ascii="仿宋" w:hAnsi="仿宋" w:eastAsia="仿宋" w:cs="仿宋"/>
              <w:bCs/>
              <w:color w:val="auto"/>
              <w:szCs w:val="24"/>
              <w:highlight w:val="none"/>
              <w:lang w:eastAsia="zh-CN"/>
            </w:rPr>
            <w:t>八、合同争议、解除与终止</w:t>
          </w:r>
          <w:r>
            <w:rPr>
              <w:color w:val="auto"/>
              <w:highlight w:val="none"/>
            </w:rPr>
            <w:tab/>
          </w:r>
          <w:r>
            <w:rPr>
              <w:color w:val="auto"/>
              <w:highlight w:val="none"/>
            </w:rPr>
            <w:fldChar w:fldCharType="begin"/>
          </w:r>
          <w:r>
            <w:rPr>
              <w:color w:val="auto"/>
              <w:highlight w:val="none"/>
            </w:rPr>
            <w:instrText xml:space="preserve"> PAGEREF _Toc22740 \h </w:instrText>
          </w:r>
          <w:r>
            <w:rPr>
              <w:color w:val="auto"/>
              <w:highlight w:val="none"/>
            </w:rPr>
            <w:fldChar w:fldCharType="separate"/>
          </w:r>
          <w:r>
            <w:rPr>
              <w:color w:val="auto"/>
              <w:highlight w:val="none"/>
            </w:rPr>
            <w:t>146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_Toc32067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合同争议</w:t>
          </w:r>
          <w:r>
            <w:rPr>
              <w:color w:val="auto"/>
              <w:highlight w:val="none"/>
            </w:rPr>
            <w:tab/>
          </w:r>
          <w:r>
            <w:rPr>
              <w:color w:val="auto"/>
              <w:highlight w:val="none"/>
            </w:rPr>
            <w:fldChar w:fldCharType="begin"/>
          </w:r>
          <w:r>
            <w:rPr>
              <w:color w:val="auto"/>
              <w:highlight w:val="none"/>
            </w:rPr>
            <w:instrText xml:space="preserve"> PAGEREF _Toc32067 \h </w:instrText>
          </w:r>
          <w:r>
            <w:rPr>
              <w:color w:val="auto"/>
              <w:highlight w:val="none"/>
            </w:rPr>
            <w:fldChar w:fldCharType="separate"/>
          </w:r>
          <w:r>
            <w:rPr>
              <w:color w:val="auto"/>
              <w:highlight w:val="none"/>
            </w:rPr>
            <w:t>146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_Toc3326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合同解除</w:t>
          </w:r>
          <w:r>
            <w:rPr>
              <w:color w:val="auto"/>
              <w:highlight w:val="none"/>
            </w:rPr>
            <w:tab/>
          </w:r>
          <w:r>
            <w:rPr>
              <w:color w:val="auto"/>
              <w:highlight w:val="none"/>
            </w:rPr>
            <w:fldChar w:fldCharType="begin"/>
          </w:r>
          <w:r>
            <w:rPr>
              <w:color w:val="auto"/>
              <w:highlight w:val="none"/>
            </w:rPr>
            <w:instrText xml:space="preserve"> PAGEREF _Toc3326 \h </w:instrText>
          </w:r>
          <w:r>
            <w:rPr>
              <w:color w:val="auto"/>
              <w:highlight w:val="none"/>
            </w:rPr>
            <w:fldChar w:fldCharType="separate"/>
          </w:r>
          <w:r>
            <w:rPr>
              <w:color w:val="auto"/>
              <w:highlight w:val="none"/>
            </w:rPr>
            <w:t>147</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_Toc23783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合同解除的支付</w:t>
          </w:r>
          <w:r>
            <w:rPr>
              <w:color w:val="auto"/>
              <w:highlight w:val="none"/>
            </w:rPr>
            <w:tab/>
          </w:r>
          <w:r>
            <w:rPr>
              <w:color w:val="auto"/>
              <w:highlight w:val="none"/>
            </w:rPr>
            <w:fldChar w:fldCharType="begin"/>
          </w:r>
          <w:r>
            <w:rPr>
              <w:color w:val="auto"/>
              <w:highlight w:val="none"/>
            </w:rPr>
            <w:instrText xml:space="preserve"> PAGEREF _Toc23783 \h </w:instrText>
          </w:r>
          <w:r>
            <w:rPr>
              <w:color w:val="auto"/>
              <w:highlight w:val="none"/>
            </w:rPr>
            <w:fldChar w:fldCharType="separate"/>
          </w:r>
          <w:r>
            <w:rPr>
              <w:color w:val="auto"/>
              <w:highlight w:val="none"/>
            </w:rPr>
            <w:t>150</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_Toc850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合同终止</w:t>
          </w:r>
          <w:r>
            <w:rPr>
              <w:color w:val="auto"/>
              <w:highlight w:val="none"/>
            </w:rPr>
            <w:tab/>
          </w:r>
          <w:r>
            <w:rPr>
              <w:color w:val="auto"/>
              <w:highlight w:val="none"/>
            </w:rPr>
            <w:fldChar w:fldCharType="begin"/>
          </w:r>
          <w:r>
            <w:rPr>
              <w:color w:val="auto"/>
              <w:highlight w:val="none"/>
            </w:rPr>
            <w:instrText xml:space="preserve"> PAGEREF _Toc850 \h </w:instrText>
          </w:r>
          <w:r>
            <w:rPr>
              <w:color w:val="auto"/>
              <w:highlight w:val="none"/>
            </w:rPr>
            <w:fldChar w:fldCharType="separate"/>
          </w:r>
          <w:r>
            <w:rPr>
              <w:color w:val="auto"/>
              <w:highlight w:val="none"/>
            </w:rPr>
            <w:t>151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_Toc5253 </w:instrText>
          </w:r>
          <w:r>
            <w:rPr>
              <w:color w:val="auto"/>
              <w:highlight w:val="none"/>
              <w:lang w:eastAsia="zh-CN"/>
            </w:rPr>
            <w:fldChar w:fldCharType="separate"/>
          </w:r>
          <w:r>
            <w:rPr>
              <w:rFonts w:hint="eastAsia" w:ascii="仿宋" w:hAnsi="仿宋" w:eastAsia="仿宋" w:cs="仿宋"/>
              <w:bCs/>
              <w:color w:val="auto"/>
              <w:szCs w:val="24"/>
              <w:highlight w:val="none"/>
              <w:lang w:eastAsia="zh-CN"/>
            </w:rPr>
            <w:t>九、违约</w:t>
          </w:r>
          <w:r>
            <w:rPr>
              <w:color w:val="auto"/>
              <w:highlight w:val="none"/>
            </w:rPr>
            <w:tab/>
          </w:r>
          <w:r>
            <w:rPr>
              <w:color w:val="auto"/>
              <w:highlight w:val="none"/>
            </w:rPr>
            <w:fldChar w:fldCharType="begin"/>
          </w:r>
          <w:r>
            <w:rPr>
              <w:color w:val="auto"/>
              <w:highlight w:val="none"/>
            </w:rPr>
            <w:instrText xml:space="preserve"> PAGEREF _Toc5253 \h </w:instrText>
          </w:r>
          <w:r>
            <w:rPr>
              <w:color w:val="auto"/>
              <w:highlight w:val="none"/>
            </w:rPr>
            <w:fldChar w:fldCharType="separate"/>
          </w:r>
          <w:r>
            <w:rPr>
              <w:color w:val="auto"/>
              <w:highlight w:val="none"/>
            </w:rPr>
            <w:t>151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_Toc11381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承包人违约</w:t>
          </w:r>
          <w:r>
            <w:rPr>
              <w:color w:val="auto"/>
              <w:highlight w:val="none"/>
            </w:rPr>
            <w:tab/>
          </w:r>
          <w:r>
            <w:rPr>
              <w:color w:val="auto"/>
              <w:highlight w:val="none"/>
            </w:rPr>
            <w:fldChar w:fldCharType="begin"/>
          </w:r>
          <w:r>
            <w:rPr>
              <w:color w:val="auto"/>
              <w:highlight w:val="none"/>
            </w:rPr>
            <w:instrText xml:space="preserve"> PAGEREF _Toc11381 \h </w:instrText>
          </w:r>
          <w:r>
            <w:rPr>
              <w:color w:val="auto"/>
              <w:highlight w:val="none"/>
            </w:rPr>
            <w:fldChar w:fldCharType="separate"/>
          </w:r>
          <w:r>
            <w:rPr>
              <w:color w:val="auto"/>
              <w:highlight w:val="none"/>
            </w:rPr>
            <w:t>151</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_Toc4730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 xml:space="preserve"> 发包人违约</w:t>
          </w:r>
          <w:r>
            <w:rPr>
              <w:color w:val="auto"/>
              <w:highlight w:val="none"/>
            </w:rPr>
            <w:tab/>
          </w:r>
          <w:r>
            <w:rPr>
              <w:color w:val="auto"/>
              <w:highlight w:val="none"/>
            </w:rPr>
            <w:fldChar w:fldCharType="begin"/>
          </w:r>
          <w:r>
            <w:rPr>
              <w:color w:val="auto"/>
              <w:highlight w:val="none"/>
            </w:rPr>
            <w:instrText xml:space="preserve"> PAGEREF _Toc4730 \h </w:instrText>
          </w:r>
          <w:r>
            <w:rPr>
              <w:color w:val="auto"/>
              <w:highlight w:val="none"/>
            </w:rPr>
            <w:fldChar w:fldCharType="separate"/>
          </w:r>
          <w:r>
            <w:rPr>
              <w:color w:val="auto"/>
              <w:highlight w:val="none"/>
            </w:rPr>
            <w:t>152</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_Toc26015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w:t>
          </w:r>
          <w:r>
            <w:rPr>
              <w:rFonts w:ascii="仿宋" w:hAnsi="仿宋" w:eastAsia="仿宋" w:cs="仿宋"/>
              <w:bCs w:val="0"/>
              <w:color w:val="auto"/>
              <w:szCs w:val="24"/>
              <w:highlight w:val="none"/>
              <w:lang w:eastAsia="zh-CN"/>
            </w:rPr>
            <w:t>9</w:t>
          </w:r>
          <w:r>
            <w:rPr>
              <w:rFonts w:hint="eastAsia" w:ascii="仿宋" w:hAnsi="仿宋" w:eastAsia="仿宋" w:cs="仿宋"/>
              <w:bCs w:val="0"/>
              <w:color w:val="auto"/>
              <w:szCs w:val="24"/>
              <w:highlight w:val="none"/>
              <w:lang w:eastAsia="zh-CN"/>
            </w:rPr>
            <w:t>7</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第三方违约与除外责任</w:t>
          </w:r>
          <w:r>
            <w:rPr>
              <w:color w:val="auto"/>
              <w:highlight w:val="none"/>
            </w:rPr>
            <w:tab/>
          </w:r>
          <w:r>
            <w:rPr>
              <w:color w:val="auto"/>
              <w:highlight w:val="none"/>
            </w:rPr>
            <w:fldChar w:fldCharType="begin"/>
          </w:r>
          <w:r>
            <w:rPr>
              <w:color w:val="auto"/>
              <w:highlight w:val="none"/>
            </w:rPr>
            <w:instrText xml:space="preserve"> PAGEREF _Toc26015 \h </w:instrText>
          </w:r>
          <w:r>
            <w:rPr>
              <w:color w:val="auto"/>
              <w:highlight w:val="none"/>
            </w:rPr>
            <w:fldChar w:fldCharType="separate"/>
          </w:r>
          <w:r>
            <w:rPr>
              <w:color w:val="auto"/>
              <w:highlight w:val="none"/>
            </w:rPr>
            <w:t>153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_Toc28802 </w:instrText>
          </w:r>
          <w:r>
            <w:rPr>
              <w:color w:val="auto"/>
              <w:highlight w:val="none"/>
              <w:lang w:eastAsia="zh-CN"/>
            </w:rPr>
            <w:fldChar w:fldCharType="separate"/>
          </w:r>
          <w:r>
            <w:rPr>
              <w:rFonts w:hint="eastAsia" w:ascii="仿宋" w:hAnsi="仿宋" w:eastAsia="仿宋" w:cs="仿宋"/>
              <w:bCs/>
              <w:color w:val="auto"/>
              <w:szCs w:val="24"/>
              <w:highlight w:val="none"/>
              <w:lang w:eastAsia="zh-CN"/>
            </w:rPr>
            <w:t>十、其</w:t>
          </w:r>
          <w:r>
            <w:rPr>
              <w:rFonts w:ascii="仿宋" w:hAnsi="仿宋" w:eastAsia="仿宋" w:cs="仿宋"/>
              <w:bCs/>
              <w:color w:val="auto"/>
              <w:szCs w:val="24"/>
              <w:highlight w:val="none"/>
              <w:lang w:eastAsia="zh-CN"/>
            </w:rPr>
            <w:t xml:space="preserve">  </w:t>
          </w:r>
          <w:r>
            <w:rPr>
              <w:rFonts w:hint="eastAsia" w:ascii="仿宋" w:hAnsi="仿宋" w:eastAsia="仿宋" w:cs="仿宋"/>
              <w:bCs/>
              <w:color w:val="auto"/>
              <w:szCs w:val="24"/>
              <w:highlight w:val="none"/>
              <w:lang w:eastAsia="zh-CN"/>
            </w:rPr>
            <w:t>他</w:t>
          </w:r>
          <w:r>
            <w:rPr>
              <w:color w:val="auto"/>
              <w:highlight w:val="none"/>
            </w:rPr>
            <w:tab/>
          </w:r>
          <w:r>
            <w:rPr>
              <w:color w:val="auto"/>
              <w:highlight w:val="none"/>
            </w:rPr>
            <w:fldChar w:fldCharType="begin"/>
          </w:r>
          <w:r>
            <w:rPr>
              <w:color w:val="auto"/>
              <w:highlight w:val="none"/>
            </w:rPr>
            <w:instrText xml:space="preserve"> PAGEREF _Toc28802 \h </w:instrText>
          </w:r>
          <w:r>
            <w:rPr>
              <w:color w:val="auto"/>
              <w:highlight w:val="none"/>
            </w:rPr>
            <w:fldChar w:fldCharType="separate"/>
          </w:r>
          <w:r>
            <w:rPr>
              <w:color w:val="auto"/>
              <w:highlight w:val="none"/>
            </w:rPr>
            <w:t>153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_Toc18192 </w:instrText>
          </w:r>
          <w:r>
            <w:rPr>
              <w:color w:val="auto"/>
              <w:highlight w:val="none"/>
              <w:lang w:eastAsia="zh-CN"/>
            </w:rPr>
            <w:fldChar w:fldCharType="separate"/>
          </w:r>
          <w:r>
            <w:rPr>
              <w:rFonts w:ascii="仿宋" w:hAnsi="仿宋" w:eastAsia="仿宋" w:cs="仿宋"/>
              <w:bCs w:val="0"/>
              <w:color w:val="auto"/>
              <w:szCs w:val="24"/>
              <w:highlight w:val="none"/>
              <w:lang w:eastAsia="zh-CN"/>
            </w:rPr>
            <w:t>9</w:t>
          </w:r>
          <w:r>
            <w:rPr>
              <w:rFonts w:hint="eastAsia" w:ascii="仿宋" w:hAnsi="仿宋" w:eastAsia="仿宋" w:cs="仿宋"/>
              <w:bCs w:val="0"/>
              <w:color w:val="auto"/>
              <w:szCs w:val="24"/>
              <w:highlight w:val="none"/>
              <w:lang w:eastAsia="zh-CN"/>
            </w:rPr>
            <w:t>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缴纳税费</w:t>
          </w:r>
          <w:r>
            <w:rPr>
              <w:color w:val="auto"/>
              <w:highlight w:val="none"/>
            </w:rPr>
            <w:tab/>
          </w:r>
          <w:r>
            <w:rPr>
              <w:color w:val="auto"/>
              <w:highlight w:val="none"/>
            </w:rPr>
            <w:fldChar w:fldCharType="begin"/>
          </w:r>
          <w:r>
            <w:rPr>
              <w:color w:val="auto"/>
              <w:highlight w:val="none"/>
            </w:rPr>
            <w:instrText xml:space="preserve"> PAGEREF _Toc18192 \h </w:instrText>
          </w:r>
          <w:r>
            <w:rPr>
              <w:color w:val="auto"/>
              <w:highlight w:val="none"/>
            </w:rPr>
            <w:fldChar w:fldCharType="separate"/>
          </w:r>
          <w:r>
            <w:rPr>
              <w:color w:val="auto"/>
              <w:highlight w:val="none"/>
            </w:rPr>
            <w:t>153</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_Toc4404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99</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保密要求</w:t>
          </w:r>
          <w:r>
            <w:rPr>
              <w:color w:val="auto"/>
              <w:highlight w:val="none"/>
            </w:rPr>
            <w:tab/>
          </w:r>
          <w:r>
            <w:rPr>
              <w:color w:val="auto"/>
              <w:highlight w:val="none"/>
            </w:rPr>
            <w:fldChar w:fldCharType="begin"/>
          </w:r>
          <w:r>
            <w:rPr>
              <w:color w:val="auto"/>
              <w:highlight w:val="none"/>
            </w:rPr>
            <w:instrText xml:space="preserve"> PAGEREF _Toc4404 \h </w:instrText>
          </w:r>
          <w:r>
            <w:rPr>
              <w:color w:val="auto"/>
              <w:highlight w:val="none"/>
            </w:rPr>
            <w:fldChar w:fldCharType="separate"/>
          </w:r>
          <w:r>
            <w:rPr>
              <w:color w:val="auto"/>
              <w:highlight w:val="none"/>
            </w:rPr>
            <w:t>154</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_Toc28431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100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 xml:space="preserve"> 廉政建设</w:t>
          </w:r>
          <w:r>
            <w:rPr>
              <w:color w:val="auto"/>
              <w:highlight w:val="none"/>
            </w:rPr>
            <w:tab/>
          </w:r>
          <w:r>
            <w:rPr>
              <w:color w:val="auto"/>
              <w:highlight w:val="none"/>
            </w:rPr>
            <w:fldChar w:fldCharType="begin"/>
          </w:r>
          <w:r>
            <w:rPr>
              <w:color w:val="auto"/>
              <w:highlight w:val="none"/>
            </w:rPr>
            <w:instrText xml:space="preserve"> PAGEREF _Toc28431 \h </w:instrText>
          </w:r>
          <w:r>
            <w:rPr>
              <w:color w:val="auto"/>
              <w:highlight w:val="none"/>
            </w:rPr>
            <w:fldChar w:fldCharType="separate"/>
          </w:r>
          <w:r>
            <w:rPr>
              <w:color w:val="auto"/>
              <w:highlight w:val="none"/>
            </w:rPr>
            <w:t>155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_Toc28569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101</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禁止转让</w:t>
          </w:r>
          <w:r>
            <w:rPr>
              <w:color w:val="auto"/>
              <w:highlight w:val="none"/>
            </w:rPr>
            <w:tab/>
          </w:r>
          <w:r>
            <w:rPr>
              <w:color w:val="auto"/>
              <w:highlight w:val="none"/>
            </w:rPr>
            <w:fldChar w:fldCharType="begin"/>
          </w:r>
          <w:r>
            <w:rPr>
              <w:color w:val="auto"/>
              <w:highlight w:val="none"/>
            </w:rPr>
            <w:instrText xml:space="preserve"> PAGEREF _Toc28569 \h </w:instrText>
          </w:r>
          <w:r>
            <w:rPr>
              <w:color w:val="auto"/>
              <w:highlight w:val="none"/>
            </w:rPr>
            <w:fldChar w:fldCharType="separate"/>
          </w:r>
          <w:r>
            <w:rPr>
              <w:color w:val="auto"/>
              <w:highlight w:val="none"/>
            </w:rPr>
            <w:t>155</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_Toc29401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102</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合同份数</w:t>
          </w:r>
          <w:r>
            <w:rPr>
              <w:color w:val="auto"/>
              <w:highlight w:val="none"/>
            </w:rPr>
            <w:tab/>
          </w:r>
          <w:r>
            <w:rPr>
              <w:color w:val="auto"/>
              <w:highlight w:val="none"/>
            </w:rPr>
            <w:fldChar w:fldCharType="begin"/>
          </w:r>
          <w:r>
            <w:rPr>
              <w:color w:val="auto"/>
              <w:highlight w:val="none"/>
            </w:rPr>
            <w:instrText xml:space="preserve"> PAGEREF _Toc29401 \h </w:instrText>
          </w:r>
          <w:r>
            <w:rPr>
              <w:color w:val="auto"/>
              <w:highlight w:val="none"/>
            </w:rPr>
            <w:fldChar w:fldCharType="separate"/>
          </w:r>
          <w:r>
            <w:rPr>
              <w:color w:val="auto"/>
              <w:highlight w:val="none"/>
            </w:rPr>
            <w:t>156</w:t>
          </w:r>
          <w:r>
            <w:rPr>
              <w:color w:val="auto"/>
              <w:highlight w:val="none"/>
            </w:rPr>
            <w:fldChar w:fldCharType="end"/>
          </w:r>
          <w:r>
            <w:rPr>
              <w:color w:val="auto"/>
              <w:highlight w:val="none"/>
              <w:lang w:eastAsia="zh-CN"/>
            </w:rPr>
            <w:fldChar w:fldCharType="end"/>
          </w:r>
        </w:p>
        <w:p>
          <w:pPr>
            <w:pStyle w:val="21"/>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_Toc8431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103</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合同管理</w:t>
          </w:r>
          <w:r>
            <w:rPr>
              <w:color w:val="auto"/>
              <w:highlight w:val="none"/>
            </w:rPr>
            <w:tab/>
          </w:r>
          <w:r>
            <w:rPr>
              <w:color w:val="auto"/>
              <w:highlight w:val="none"/>
            </w:rPr>
            <w:fldChar w:fldCharType="begin"/>
          </w:r>
          <w:r>
            <w:rPr>
              <w:color w:val="auto"/>
              <w:highlight w:val="none"/>
            </w:rPr>
            <w:instrText xml:space="preserve"> PAGEREF _Toc8431 \h </w:instrText>
          </w:r>
          <w:r>
            <w:rPr>
              <w:color w:val="auto"/>
              <w:highlight w:val="none"/>
            </w:rPr>
            <w:fldChar w:fldCharType="separate"/>
          </w:r>
          <w:r>
            <w:rPr>
              <w:color w:val="auto"/>
              <w:highlight w:val="none"/>
            </w:rPr>
            <w:t>156</w:t>
          </w:r>
          <w:r>
            <w:rPr>
              <w:color w:val="auto"/>
              <w:highlight w:val="none"/>
            </w:rPr>
            <w:fldChar w:fldCharType="end"/>
          </w:r>
          <w:r>
            <w:rPr>
              <w:color w:val="auto"/>
              <w:highlight w:val="none"/>
              <w:lang w:eastAsia="zh-CN"/>
            </w:rPr>
            <w:fldChar w:fldCharType="end"/>
          </w:r>
        </w:p>
        <w:p>
          <w:pPr>
            <w:pStyle w:val="29"/>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_Toc23522 </w:instrText>
          </w:r>
          <w:r>
            <w:rPr>
              <w:color w:val="auto"/>
              <w:highlight w:val="none"/>
              <w:lang w:eastAsia="zh-CN"/>
            </w:rPr>
            <w:fldChar w:fldCharType="separate"/>
          </w:r>
          <w:r>
            <w:rPr>
              <w:rFonts w:hint="eastAsia" w:hAnsi="宋体"/>
              <w:bCs w:val="0"/>
              <w:color w:val="auto"/>
              <w:szCs w:val="36"/>
              <w:highlight w:val="none"/>
              <w:lang w:eastAsia="zh-CN"/>
            </w:rPr>
            <w:t>第三部分  专用条款</w:t>
          </w:r>
          <w:r>
            <w:rPr>
              <w:color w:val="auto"/>
              <w:highlight w:val="none"/>
            </w:rPr>
            <w:tab/>
          </w:r>
          <w:r>
            <w:rPr>
              <w:color w:val="auto"/>
              <w:highlight w:val="none"/>
            </w:rPr>
            <w:fldChar w:fldCharType="begin"/>
          </w:r>
          <w:r>
            <w:rPr>
              <w:color w:val="auto"/>
              <w:highlight w:val="none"/>
            </w:rPr>
            <w:instrText xml:space="preserve"> PAGEREF _Toc23522 \h </w:instrText>
          </w:r>
          <w:r>
            <w:rPr>
              <w:color w:val="auto"/>
              <w:highlight w:val="none"/>
            </w:rPr>
            <w:fldChar w:fldCharType="separate"/>
          </w:r>
          <w:r>
            <w:rPr>
              <w:color w:val="auto"/>
              <w:highlight w:val="none"/>
            </w:rPr>
            <w:t>157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_Toc21846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  定义</w:t>
          </w:r>
          <w:r>
            <w:rPr>
              <w:color w:val="auto"/>
              <w:highlight w:val="none"/>
            </w:rPr>
            <w:tab/>
          </w:r>
          <w:r>
            <w:rPr>
              <w:color w:val="auto"/>
              <w:highlight w:val="none"/>
            </w:rPr>
            <w:fldChar w:fldCharType="begin"/>
          </w:r>
          <w:r>
            <w:rPr>
              <w:color w:val="auto"/>
              <w:highlight w:val="none"/>
            </w:rPr>
            <w:instrText xml:space="preserve"> PAGEREF _Toc21846 \h </w:instrText>
          </w:r>
          <w:r>
            <w:rPr>
              <w:color w:val="auto"/>
              <w:highlight w:val="none"/>
            </w:rPr>
            <w:fldChar w:fldCharType="separate"/>
          </w:r>
          <w:r>
            <w:rPr>
              <w:color w:val="auto"/>
              <w:highlight w:val="none"/>
            </w:rPr>
            <w:t>157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_Toc15423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  合同文件及解释</w:t>
          </w:r>
          <w:r>
            <w:rPr>
              <w:color w:val="auto"/>
              <w:highlight w:val="none"/>
            </w:rPr>
            <w:tab/>
          </w:r>
          <w:r>
            <w:rPr>
              <w:color w:val="auto"/>
              <w:highlight w:val="none"/>
            </w:rPr>
            <w:fldChar w:fldCharType="begin"/>
          </w:r>
          <w:r>
            <w:rPr>
              <w:color w:val="auto"/>
              <w:highlight w:val="none"/>
            </w:rPr>
            <w:instrText xml:space="preserve"> PAGEREF _Toc15423 \h </w:instrText>
          </w:r>
          <w:r>
            <w:rPr>
              <w:color w:val="auto"/>
              <w:highlight w:val="none"/>
            </w:rPr>
            <w:fldChar w:fldCharType="separate"/>
          </w:r>
          <w:r>
            <w:rPr>
              <w:color w:val="auto"/>
              <w:highlight w:val="none"/>
            </w:rPr>
            <w:t>157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_Toc22312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  语言及适用的法律、标准与规范</w:t>
          </w:r>
          <w:r>
            <w:rPr>
              <w:color w:val="auto"/>
              <w:highlight w:val="none"/>
            </w:rPr>
            <w:tab/>
          </w:r>
          <w:r>
            <w:rPr>
              <w:color w:val="auto"/>
              <w:highlight w:val="none"/>
            </w:rPr>
            <w:fldChar w:fldCharType="begin"/>
          </w:r>
          <w:r>
            <w:rPr>
              <w:color w:val="auto"/>
              <w:highlight w:val="none"/>
            </w:rPr>
            <w:instrText xml:space="preserve"> PAGEREF _Toc22312 \h </w:instrText>
          </w:r>
          <w:r>
            <w:rPr>
              <w:color w:val="auto"/>
              <w:highlight w:val="none"/>
            </w:rPr>
            <w:fldChar w:fldCharType="separate"/>
          </w:r>
          <w:r>
            <w:rPr>
              <w:color w:val="auto"/>
              <w:highlight w:val="none"/>
            </w:rPr>
            <w:t>158</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_Toc31534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  发包人要求</w:t>
          </w:r>
          <w:r>
            <w:rPr>
              <w:color w:val="auto"/>
              <w:highlight w:val="none"/>
            </w:rPr>
            <w:tab/>
          </w:r>
          <w:r>
            <w:rPr>
              <w:color w:val="auto"/>
              <w:highlight w:val="none"/>
            </w:rPr>
            <w:fldChar w:fldCharType="begin"/>
          </w:r>
          <w:r>
            <w:rPr>
              <w:color w:val="auto"/>
              <w:highlight w:val="none"/>
            </w:rPr>
            <w:instrText xml:space="preserve"> PAGEREF _Toc31534 \h </w:instrText>
          </w:r>
          <w:r>
            <w:rPr>
              <w:color w:val="auto"/>
              <w:highlight w:val="none"/>
            </w:rPr>
            <w:fldChar w:fldCharType="separate"/>
          </w:r>
          <w:r>
            <w:rPr>
              <w:color w:val="auto"/>
              <w:highlight w:val="none"/>
            </w:rPr>
            <w:t>158</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_Toc17867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  项目基础资料的提供</w:t>
          </w:r>
          <w:r>
            <w:rPr>
              <w:color w:val="auto"/>
              <w:highlight w:val="none"/>
            </w:rPr>
            <w:tab/>
          </w:r>
          <w:r>
            <w:rPr>
              <w:color w:val="auto"/>
              <w:highlight w:val="none"/>
            </w:rPr>
            <w:fldChar w:fldCharType="begin"/>
          </w:r>
          <w:r>
            <w:rPr>
              <w:color w:val="auto"/>
              <w:highlight w:val="none"/>
            </w:rPr>
            <w:instrText xml:space="preserve"> PAGEREF _Toc17867 \h </w:instrText>
          </w:r>
          <w:r>
            <w:rPr>
              <w:color w:val="auto"/>
              <w:highlight w:val="none"/>
            </w:rPr>
            <w:fldChar w:fldCharType="separate"/>
          </w:r>
          <w:r>
            <w:rPr>
              <w:color w:val="auto"/>
              <w:highlight w:val="none"/>
            </w:rPr>
            <w:t>159</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_Toc28722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  勘察报告、设计文件、建筑信息模型（BIM）</w:t>
          </w:r>
          <w:r>
            <w:rPr>
              <w:color w:val="auto"/>
              <w:highlight w:val="none"/>
            </w:rPr>
            <w:tab/>
          </w:r>
          <w:r>
            <w:rPr>
              <w:color w:val="auto"/>
              <w:highlight w:val="none"/>
            </w:rPr>
            <w:fldChar w:fldCharType="begin"/>
          </w:r>
          <w:r>
            <w:rPr>
              <w:color w:val="auto"/>
              <w:highlight w:val="none"/>
            </w:rPr>
            <w:instrText xml:space="preserve"> PAGEREF _Toc28722 \h </w:instrText>
          </w:r>
          <w:r>
            <w:rPr>
              <w:color w:val="auto"/>
              <w:highlight w:val="none"/>
            </w:rPr>
            <w:fldChar w:fldCharType="separate"/>
          </w:r>
          <w:r>
            <w:rPr>
              <w:color w:val="auto"/>
              <w:highlight w:val="none"/>
            </w:rPr>
            <w:t>159</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_Toc1164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  合同价格的控制原则</w:t>
          </w:r>
          <w:r>
            <w:rPr>
              <w:color w:val="auto"/>
              <w:highlight w:val="none"/>
            </w:rPr>
            <w:tab/>
          </w:r>
          <w:r>
            <w:rPr>
              <w:color w:val="auto"/>
              <w:highlight w:val="none"/>
            </w:rPr>
            <w:fldChar w:fldCharType="begin"/>
          </w:r>
          <w:r>
            <w:rPr>
              <w:color w:val="auto"/>
              <w:highlight w:val="none"/>
            </w:rPr>
            <w:instrText xml:space="preserve"> PAGEREF _Toc1164 \h </w:instrText>
          </w:r>
          <w:r>
            <w:rPr>
              <w:color w:val="auto"/>
              <w:highlight w:val="none"/>
            </w:rPr>
            <w:fldChar w:fldCharType="separate"/>
          </w:r>
          <w:r>
            <w:rPr>
              <w:color w:val="auto"/>
              <w:highlight w:val="none"/>
            </w:rPr>
            <w:t>161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_Toc5242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  通信联络</w:t>
          </w:r>
          <w:r>
            <w:rPr>
              <w:color w:val="auto"/>
              <w:highlight w:val="none"/>
            </w:rPr>
            <w:tab/>
          </w:r>
          <w:r>
            <w:rPr>
              <w:color w:val="auto"/>
              <w:highlight w:val="none"/>
            </w:rPr>
            <w:fldChar w:fldCharType="begin"/>
          </w:r>
          <w:r>
            <w:rPr>
              <w:color w:val="auto"/>
              <w:highlight w:val="none"/>
            </w:rPr>
            <w:instrText xml:space="preserve"> PAGEREF _Toc5242 \h </w:instrText>
          </w:r>
          <w:r>
            <w:rPr>
              <w:color w:val="auto"/>
              <w:highlight w:val="none"/>
            </w:rPr>
            <w:fldChar w:fldCharType="separate"/>
          </w:r>
          <w:r>
            <w:rPr>
              <w:color w:val="auto"/>
              <w:highlight w:val="none"/>
            </w:rPr>
            <w:t>163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_Toc24050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10.  分包</w:t>
          </w:r>
          <w:r>
            <w:rPr>
              <w:color w:val="auto"/>
              <w:highlight w:val="none"/>
            </w:rPr>
            <w:tab/>
          </w:r>
          <w:r>
            <w:rPr>
              <w:color w:val="auto"/>
              <w:highlight w:val="none"/>
            </w:rPr>
            <w:fldChar w:fldCharType="begin"/>
          </w:r>
          <w:r>
            <w:rPr>
              <w:color w:val="auto"/>
              <w:highlight w:val="none"/>
            </w:rPr>
            <w:instrText xml:space="preserve"> PAGEREF _Toc24050 \h </w:instrText>
          </w:r>
          <w:r>
            <w:rPr>
              <w:color w:val="auto"/>
              <w:highlight w:val="none"/>
            </w:rPr>
            <w:fldChar w:fldCharType="separate"/>
          </w:r>
          <w:r>
            <w:rPr>
              <w:color w:val="auto"/>
              <w:highlight w:val="none"/>
            </w:rPr>
            <w:t>163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_Toc13623 </w:instrText>
          </w:r>
          <w:r>
            <w:rPr>
              <w:color w:val="auto"/>
              <w:highlight w:val="none"/>
              <w:lang w:eastAsia="zh-CN"/>
            </w:rPr>
            <w:fldChar w:fldCharType="separate"/>
          </w:r>
          <w:r>
            <w:rPr>
              <w:rFonts w:ascii="仿宋" w:hAnsi="仿宋" w:eastAsia="仿宋" w:cs="仿宋"/>
              <w:bCs w:val="0"/>
              <w:color w:val="auto"/>
              <w:szCs w:val="24"/>
              <w:highlight w:val="none"/>
              <w:lang w:eastAsia="zh-CN"/>
            </w:rPr>
            <w:t>1</w:t>
          </w:r>
          <w:r>
            <w:rPr>
              <w:rFonts w:hint="eastAsia" w:ascii="仿宋" w:hAnsi="仿宋" w:eastAsia="仿宋" w:cs="仿宋"/>
              <w:bCs w:val="0"/>
              <w:color w:val="auto"/>
              <w:szCs w:val="24"/>
              <w:highlight w:val="none"/>
              <w:lang w:eastAsia="zh-CN"/>
            </w:rPr>
            <w:t>4</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文物和地下障碍物</w:t>
          </w:r>
          <w:r>
            <w:rPr>
              <w:color w:val="auto"/>
              <w:highlight w:val="none"/>
            </w:rPr>
            <w:tab/>
          </w:r>
          <w:r>
            <w:rPr>
              <w:color w:val="auto"/>
              <w:highlight w:val="none"/>
            </w:rPr>
            <w:fldChar w:fldCharType="begin"/>
          </w:r>
          <w:r>
            <w:rPr>
              <w:color w:val="auto"/>
              <w:highlight w:val="none"/>
            </w:rPr>
            <w:instrText xml:space="preserve"> PAGEREF _Toc13623 \h </w:instrText>
          </w:r>
          <w:r>
            <w:rPr>
              <w:color w:val="auto"/>
              <w:highlight w:val="none"/>
            </w:rPr>
            <w:fldChar w:fldCharType="separate"/>
          </w:r>
          <w:r>
            <w:rPr>
              <w:color w:val="auto"/>
              <w:highlight w:val="none"/>
            </w:rPr>
            <w:t>164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_Toc30225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16.  交通运输</w:t>
          </w:r>
          <w:r>
            <w:rPr>
              <w:color w:val="auto"/>
              <w:highlight w:val="none"/>
            </w:rPr>
            <w:tab/>
          </w:r>
          <w:r>
            <w:rPr>
              <w:color w:val="auto"/>
              <w:highlight w:val="none"/>
            </w:rPr>
            <w:fldChar w:fldCharType="begin"/>
          </w:r>
          <w:r>
            <w:rPr>
              <w:color w:val="auto"/>
              <w:highlight w:val="none"/>
            </w:rPr>
            <w:instrText xml:space="preserve"> PAGEREF _Toc30225 \h </w:instrText>
          </w:r>
          <w:r>
            <w:rPr>
              <w:color w:val="auto"/>
              <w:highlight w:val="none"/>
            </w:rPr>
            <w:fldChar w:fldCharType="separate"/>
          </w:r>
          <w:r>
            <w:rPr>
              <w:color w:val="auto"/>
              <w:highlight w:val="none"/>
            </w:rPr>
            <w:t>164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_Toc31349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17.  专项批准事项的签认</w:t>
          </w:r>
          <w:r>
            <w:rPr>
              <w:color w:val="auto"/>
              <w:highlight w:val="none"/>
            </w:rPr>
            <w:tab/>
          </w:r>
          <w:r>
            <w:rPr>
              <w:color w:val="auto"/>
              <w:highlight w:val="none"/>
            </w:rPr>
            <w:fldChar w:fldCharType="begin"/>
          </w:r>
          <w:r>
            <w:rPr>
              <w:color w:val="auto"/>
              <w:highlight w:val="none"/>
            </w:rPr>
            <w:instrText xml:space="preserve"> PAGEREF _Toc31349 \h </w:instrText>
          </w:r>
          <w:r>
            <w:rPr>
              <w:color w:val="auto"/>
              <w:highlight w:val="none"/>
            </w:rPr>
            <w:fldChar w:fldCharType="separate"/>
          </w:r>
          <w:r>
            <w:rPr>
              <w:color w:val="auto"/>
              <w:highlight w:val="none"/>
            </w:rPr>
            <w:t>165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_Toc1955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18.  专利技术和知识产权</w:t>
          </w:r>
          <w:r>
            <w:rPr>
              <w:color w:val="auto"/>
              <w:highlight w:val="none"/>
            </w:rPr>
            <w:tab/>
          </w:r>
          <w:r>
            <w:rPr>
              <w:color w:val="auto"/>
              <w:highlight w:val="none"/>
            </w:rPr>
            <w:fldChar w:fldCharType="begin"/>
          </w:r>
          <w:r>
            <w:rPr>
              <w:color w:val="auto"/>
              <w:highlight w:val="none"/>
            </w:rPr>
            <w:instrText xml:space="preserve"> PAGEREF _Toc1955 \h </w:instrText>
          </w:r>
          <w:r>
            <w:rPr>
              <w:color w:val="auto"/>
              <w:highlight w:val="none"/>
            </w:rPr>
            <w:fldChar w:fldCharType="separate"/>
          </w:r>
          <w:r>
            <w:rPr>
              <w:color w:val="auto"/>
              <w:highlight w:val="none"/>
            </w:rPr>
            <w:t>165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_Toc890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19.  联合的责任</w:t>
          </w:r>
          <w:r>
            <w:rPr>
              <w:color w:val="auto"/>
              <w:highlight w:val="none"/>
            </w:rPr>
            <w:tab/>
          </w:r>
          <w:r>
            <w:rPr>
              <w:color w:val="auto"/>
              <w:highlight w:val="none"/>
            </w:rPr>
            <w:fldChar w:fldCharType="begin"/>
          </w:r>
          <w:r>
            <w:rPr>
              <w:color w:val="auto"/>
              <w:highlight w:val="none"/>
            </w:rPr>
            <w:instrText xml:space="preserve"> PAGEREF _Toc890 \h </w:instrText>
          </w:r>
          <w:r>
            <w:rPr>
              <w:color w:val="auto"/>
              <w:highlight w:val="none"/>
            </w:rPr>
            <w:fldChar w:fldCharType="separate"/>
          </w:r>
          <w:r>
            <w:rPr>
              <w:color w:val="auto"/>
              <w:highlight w:val="none"/>
            </w:rPr>
            <w:t>165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_Toc30659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22.  发包人</w:t>
          </w:r>
          <w:r>
            <w:rPr>
              <w:color w:val="auto"/>
              <w:highlight w:val="none"/>
            </w:rPr>
            <w:tab/>
          </w:r>
          <w:r>
            <w:rPr>
              <w:color w:val="auto"/>
              <w:highlight w:val="none"/>
            </w:rPr>
            <w:fldChar w:fldCharType="begin"/>
          </w:r>
          <w:r>
            <w:rPr>
              <w:color w:val="auto"/>
              <w:highlight w:val="none"/>
            </w:rPr>
            <w:instrText xml:space="preserve"> PAGEREF _Toc30659 \h </w:instrText>
          </w:r>
          <w:r>
            <w:rPr>
              <w:color w:val="auto"/>
              <w:highlight w:val="none"/>
            </w:rPr>
            <w:fldChar w:fldCharType="separate"/>
          </w:r>
          <w:r>
            <w:rPr>
              <w:color w:val="auto"/>
              <w:highlight w:val="none"/>
            </w:rPr>
            <w:t>165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_Toc19240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23.  承包人</w:t>
          </w:r>
          <w:r>
            <w:rPr>
              <w:color w:val="auto"/>
              <w:highlight w:val="none"/>
            </w:rPr>
            <w:tab/>
          </w:r>
          <w:r>
            <w:rPr>
              <w:color w:val="auto"/>
              <w:highlight w:val="none"/>
            </w:rPr>
            <w:fldChar w:fldCharType="begin"/>
          </w:r>
          <w:r>
            <w:rPr>
              <w:color w:val="auto"/>
              <w:highlight w:val="none"/>
            </w:rPr>
            <w:instrText xml:space="preserve"> PAGEREF _Toc19240 \h </w:instrText>
          </w:r>
          <w:r>
            <w:rPr>
              <w:color w:val="auto"/>
              <w:highlight w:val="none"/>
            </w:rPr>
            <w:fldChar w:fldCharType="separate"/>
          </w:r>
          <w:r>
            <w:rPr>
              <w:color w:val="auto"/>
              <w:highlight w:val="none"/>
            </w:rPr>
            <w:t>167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_Toc22750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24.  现场管理人员任命和更换</w:t>
          </w:r>
          <w:r>
            <w:rPr>
              <w:color w:val="auto"/>
              <w:highlight w:val="none"/>
            </w:rPr>
            <w:tab/>
          </w:r>
          <w:r>
            <w:rPr>
              <w:color w:val="auto"/>
              <w:highlight w:val="none"/>
            </w:rPr>
            <w:fldChar w:fldCharType="begin"/>
          </w:r>
          <w:r>
            <w:rPr>
              <w:color w:val="auto"/>
              <w:highlight w:val="none"/>
            </w:rPr>
            <w:instrText xml:space="preserve"> PAGEREF _Toc22750 \h </w:instrText>
          </w:r>
          <w:r>
            <w:rPr>
              <w:color w:val="auto"/>
              <w:highlight w:val="none"/>
            </w:rPr>
            <w:fldChar w:fldCharType="separate"/>
          </w:r>
          <w:r>
            <w:rPr>
              <w:color w:val="auto"/>
              <w:highlight w:val="none"/>
            </w:rPr>
            <w:t>168</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_Toc14269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25.  发包人代表</w:t>
          </w:r>
          <w:r>
            <w:rPr>
              <w:color w:val="auto"/>
              <w:highlight w:val="none"/>
            </w:rPr>
            <w:tab/>
          </w:r>
          <w:r>
            <w:rPr>
              <w:color w:val="auto"/>
              <w:highlight w:val="none"/>
            </w:rPr>
            <w:fldChar w:fldCharType="begin"/>
          </w:r>
          <w:r>
            <w:rPr>
              <w:color w:val="auto"/>
              <w:highlight w:val="none"/>
            </w:rPr>
            <w:instrText xml:space="preserve"> PAGEREF _Toc14269 \h </w:instrText>
          </w:r>
          <w:r>
            <w:rPr>
              <w:color w:val="auto"/>
              <w:highlight w:val="none"/>
            </w:rPr>
            <w:fldChar w:fldCharType="separate"/>
          </w:r>
          <w:r>
            <w:rPr>
              <w:color w:val="auto"/>
              <w:highlight w:val="none"/>
            </w:rPr>
            <w:t>170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_Toc25606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26.  设计顾问人</w:t>
          </w:r>
          <w:r>
            <w:rPr>
              <w:rFonts w:hint="eastAsia" w:ascii="仿宋" w:hAnsi="仿宋" w:eastAsia="仿宋" w:cs="仿宋"/>
              <w:bCs w:val="0"/>
              <w:i w:val="0"/>
              <w:iCs w:val="0"/>
              <w:color w:val="auto"/>
              <w:szCs w:val="24"/>
              <w:highlight w:val="none"/>
              <w:lang w:eastAsia="zh-CN" w:bidi="en-US"/>
            </w:rPr>
            <w:t>（本条不适用）</w:t>
          </w:r>
          <w:r>
            <w:rPr>
              <w:color w:val="auto"/>
              <w:highlight w:val="none"/>
            </w:rPr>
            <w:tab/>
          </w:r>
          <w:r>
            <w:rPr>
              <w:color w:val="auto"/>
              <w:highlight w:val="none"/>
            </w:rPr>
            <w:fldChar w:fldCharType="begin"/>
          </w:r>
          <w:r>
            <w:rPr>
              <w:color w:val="auto"/>
              <w:highlight w:val="none"/>
            </w:rPr>
            <w:instrText xml:space="preserve"> PAGEREF _Toc25606 \h </w:instrText>
          </w:r>
          <w:r>
            <w:rPr>
              <w:color w:val="auto"/>
              <w:highlight w:val="none"/>
            </w:rPr>
            <w:fldChar w:fldCharType="separate"/>
          </w:r>
          <w:r>
            <w:rPr>
              <w:color w:val="auto"/>
              <w:highlight w:val="none"/>
            </w:rPr>
            <w:t>170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_Toc8620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27.  监理人</w:t>
          </w:r>
          <w:r>
            <w:rPr>
              <w:rFonts w:hint="eastAsia" w:ascii="仿宋" w:hAnsi="仿宋" w:eastAsia="仿宋" w:cs="仿宋"/>
              <w:bCs w:val="0"/>
              <w:i w:val="0"/>
              <w:iCs w:val="0"/>
              <w:color w:val="auto"/>
              <w:szCs w:val="24"/>
              <w:highlight w:val="none"/>
              <w:lang w:eastAsia="zh-CN" w:bidi="en-US"/>
            </w:rPr>
            <w:t>（另行告知）</w:t>
          </w:r>
          <w:r>
            <w:rPr>
              <w:color w:val="auto"/>
              <w:highlight w:val="none"/>
            </w:rPr>
            <w:tab/>
          </w:r>
          <w:r>
            <w:rPr>
              <w:color w:val="auto"/>
              <w:highlight w:val="none"/>
            </w:rPr>
            <w:fldChar w:fldCharType="begin"/>
          </w:r>
          <w:r>
            <w:rPr>
              <w:color w:val="auto"/>
              <w:highlight w:val="none"/>
            </w:rPr>
            <w:instrText xml:space="preserve"> PAGEREF _Toc8620 \h </w:instrText>
          </w:r>
          <w:r>
            <w:rPr>
              <w:color w:val="auto"/>
              <w:highlight w:val="none"/>
            </w:rPr>
            <w:fldChar w:fldCharType="separate"/>
          </w:r>
          <w:r>
            <w:rPr>
              <w:color w:val="auto"/>
              <w:highlight w:val="none"/>
            </w:rPr>
            <w:t>171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_Toc2476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28.  造价咨询人</w:t>
          </w:r>
          <w:r>
            <w:rPr>
              <w:rFonts w:hint="eastAsia" w:ascii="仿宋" w:hAnsi="仿宋" w:eastAsia="仿宋" w:cs="仿宋"/>
              <w:bCs w:val="0"/>
              <w:i w:val="0"/>
              <w:iCs w:val="0"/>
              <w:color w:val="auto"/>
              <w:szCs w:val="24"/>
              <w:highlight w:val="none"/>
              <w:lang w:eastAsia="zh-CN" w:bidi="en-US"/>
            </w:rPr>
            <w:t>（另行告知）</w:t>
          </w:r>
          <w:r>
            <w:rPr>
              <w:color w:val="auto"/>
              <w:highlight w:val="none"/>
            </w:rPr>
            <w:tab/>
          </w:r>
          <w:r>
            <w:rPr>
              <w:color w:val="auto"/>
              <w:highlight w:val="none"/>
            </w:rPr>
            <w:fldChar w:fldCharType="begin"/>
          </w:r>
          <w:r>
            <w:rPr>
              <w:color w:val="auto"/>
              <w:highlight w:val="none"/>
            </w:rPr>
            <w:instrText xml:space="preserve"> PAGEREF _Toc2476 \h </w:instrText>
          </w:r>
          <w:r>
            <w:rPr>
              <w:color w:val="auto"/>
              <w:highlight w:val="none"/>
            </w:rPr>
            <w:fldChar w:fldCharType="separate"/>
          </w:r>
          <w:r>
            <w:rPr>
              <w:color w:val="auto"/>
              <w:highlight w:val="none"/>
            </w:rPr>
            <w:t>171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_Toc30085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29.  承包人代表及其专业负责人</w:t>
          </w:r>
          <w:r>
            <w:rPr>
              <w:color w:val="auto"/>
              <w:highlight w:val="none"/>
            </w:rPr>
            <w:tab/>
          </w:r>
          <w:r>
            <w:rPr>
              <w:color w:val="auto"/>
              <w:highlight w:val="none"/>
            </w:rPr>
            <w:fldChar w:fldCharType="begin"/>
          </w:r>
          <w:r>
            <w:rPr>
              <w:color w:val="auto"/>
              <w:highlight w:val="none"/>
            </w:rPr>
            <w:instrText xml:space="preserve"> PAGEREF _Toc30085 \h </w:instrText>
          </w:r>
          <w:r>
            <w:rPr>
              <w:color w:val="auto"/>
              <w:highlight w:val="none"/>
            </w:rPr>
            <w:fldChar w:fldCharType="separate"/>
          </w:r>
          <w:r>
            <w:rPr>
              <w:color w:val="auto"/>
              <w:highlight w:val="none"/>
            </w:rPr>
            <w:t>171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_Toc29275 </w:instrText>
          </w:r>
          <w:r>
            <w:rPr>
              <w:color w:val="auto"/>
              <w:highlight w:val="none"/>
              <w:lang w:eastAsia="zh-CN"/>
            </w:rPr>
            <w:fldChar w:fldCharType="separate"/>
          </w:r>
          <w:r>
            <w:rPr>
              <w:rFonts w:hint="eastAsia" w:ascii="仿宋" w:hAnsi="仿宋" w:eastAsia="仿宋" w:cs="仿宋"/>
              <w:bCs w:val="0"/>
              <w:color w:val="auto"/>
              <w:szCs w:val="24"/>
              <w:highlight w:val="none"/>
            </w:rPr>
            <w:t>30.  指定分包人</w:t>
          </w:r>
          <w:r>
            <w:rPr>
              <w:color w:val="auto"/>
              <w:highlight w:val="none"/>
            </w:rPr>
            <w:tab/>
          </w:r>
          <w:r>
            <w:rPr>
              <w:color w:val="auto"/>
              <w:highlight w:val="none"/>
            </w:rPr>
            <w:fldChar w:fldCharType="begin"/>
          </w:r>
          <w:r>
            <w:rPr>
              <w:color w:val="auto"/>
              <w:highlight w:val="none"/>
            </w:rPr>
            <w:instrText xml:space="preserve"> PAGEREF _Toc29275 \h </w:instrText>
          </w:r>
          <w:r>
            <w:rPr>
              <w:color w:val="auto"/>
              <w:highlight w:val="none"/>
            </w:rPr>
            <w:fldChar w:fldCharType="separate"/>
          </w:r>
          <w:r>
            <w:rPr>
              <w:color w:val="auto"/>
              <w:highlight w:val="none"/>
            </w:rPr>
            <w:t>172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_Toc30438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32.  工程担保</w:t>
          </w:r>
          <w:r>
            <w:rPr>
              <w:color w:val="auto"/>
              <w:highlight w:val="none"/>
            </w:rPr>
            <w:tab/>
          </w:r>
          <w:r>
            <w:rPr>
              <w:color w:val="auto"/>
              <w:highlight w:val="none"/>
            </w:rPr>
            <w:fldChar w:fldCharType="begin"/>
          </w:r>
          <w:r>
            <w:rPr>
              <w:color w:val="auto"/>
              <w:highlight w:val="none"/>
            </w:rPr>
            <w:instrText xml:space="preserve"> PAGEREF _Toc30438 \h </w:instrText>
          </w:r>
          <w:r>
            <w:rPr>
              <w:color w:val="auto"/>
              <w:highlight w:val="none"/>
            </w:rPr>
            <w:fldChar w:fldCharType="separate"/>
          </w:r>
          <w:r>
            <w:rPr>
              <w:color w:val="auto"/>
              <w:highlight w:val="none"/>
            </w:rPr>
            <w:t>172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_Toc913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33.发包人风险</w:t>
          </w:r>
          <w:r>
            <w:rPr>
              <w:color w:val="auto"/>
              <w:highlight w:val="none"/>
            </w:rPr>
            <w:tab/>
          </w:r>
          <w:r>
            <w:rPr>
              <w:color w:val="auto"/>
              <w:highlight w:val="none"/>
            </w:rPr>
            <w:fldChar w:fldCharType="begin"/>
          </w:r>
          <w:r>
            <w:rPr>
              <w:color w:val="auto"/>
              <w:highlight w:val="none"/>
            </w:rPr>
            <w:instrText xml:space="preserve"> PAGEREF _Toc913 \h </w:instrText>
          </w:r>
          <w:r>
            <w:rPr>
              <w:color w:val="auto"/>
              <w:highlight w:val="none"/>
            </w:rPr>
            <w:fldChar w:fldCharType="separate"/>
          </w:r>
          <w:r>
            <w:rPr>
              <w:color w:val="auto"/>
              <w:highlight w:val="none"/>
            </w:rPr>
            <w:t>174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_Toc11357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35.  不可抗力</w:t>
          </w:r>
          <w:r>
            <w:rPr>
              <w:color w:val="auto"/>
              <w:highlight w:val="none"/>
            </w:rPr>
            <w:tab/>
          </w:r>
          <w:r>
            <w:rPr>
              <w:color w:val="auto"/>
              <w:highlight w:val="none"/>
            </w:rPr>
            <w:fldChar w:fldCharType="begin"/>
          </w:r>
          <w:r>
            <w:rPr>
              <w:color w:val="auto"/>
              <w:highlight w:val="none"/>
            </w:rPr>
            <w:instrText xml:space="preserve"> PAGEREF _Toc11357 \h </w:instrText>
          </w:r>
          <w:r>
            <w:rPr>
              <w:color w:val="auto"/>
              <w:highlight w:val="none"/>
            </w:rPr>
            <w:fldChar w:fldCharType="separate"/>
          </w:r>
          <w:r>
            <w:rPr>
              <w:color w:val="auto"/>
              <w:highlight w:val="none"/>
            </w:rPr>
            <w:t>174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_Toc11394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36.  保险</w:t>
          </w:r>
          <w:r>
            <w:rPr>
              <w:color w:val="auto"/>
              <w:highlight w:val="none"/>
            </w:rPr>
            <w:tab/>
          </w:r>
          <w:r>
            <w:rPr>
              <w:color w:val="auto"/>
              <w:highlight w:val="none"/>
            </w:rPr>
            <w:fldChar w:fldCharType="begin"/>
          </w:r>
          <w:r>
            <w:rPr>
              <w:color w:val="auto"/>
              <w:highlight w:val="none"/>
            </w:rPr>
            <w:instrText xml:space="preserve"> PAGEREF _Toc11394 \h </w:instrText>
          </w:r>
          <w:r>
            <w:rPr>
              <w:color w:val="auto"/>
              <w:highlight w:val="none"/>
            </w:rPr>
            <w:fldChar w:fldCharType="separate"/>
          </w:r>
          <w:r>
            <w:rPr>
              <w:color w:val="auto"/>
              <w:highlight w:val="none"/>
            </w:rPr>
            <w:t>174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_Toc18344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37.  工程勘察（本条不适用）</w:t>
          </w:r>
          <w:r>
            <w:rPr>
              <w:color w:val="auto"/>
              <w:highlight w:val="none"/>
            </w:rPr>
            <w:tab/>
          </w:r>
          <w:r>
            <w:rPr>
              <w:color w:val="auto"/>
              <w:highlight w:val="none"/>
            </w:rPr>
            <w:fldChar w:fldCharType="begin"/>
          </w:r>
          <w:r>
            <w:rPr>
              <w:color w:val="auto"/>
              <w:highlight w:val="none"/>
            </w:rPr>
            <w:instrText xml:space="preserve"> PAGEREF _Toc18344 \h </w:instrText>
          </w:r>
          <w:r>
            <w:rPr>
              <w:color w:val="auto"/>
              <w:highlight w:val="none"/>
            </w:rPr>
            <w:fldChar w:fldCharType="separate"/>
          </w:r>
          <w:r>
            <w:rPr>
              <w:color w:val="auto"/>
              <w:highlight w:val="none"/>
            </w:rPr>
            <w:t>174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_Toc16870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38.  工程设计</w:t>
          </w:r>
          <w:r>
            <w:rPr>
              <w:color w:val="auto"/>
              <w:highlight w:val="none"/>
            </w:rPr>
            <w:tab/>
          </w:r>
          <w:r>
            <w:rPr>
              <w:color w:val="auto"/>
              <w:highlight w:val="none"/>
            </w:rPr>
            <w:fldChar w:fldCharType="begin"/>
          </w:r>
          <w:r>
            <w:rPr>
              <w:color w:val="auto"/>
              <w:highlight w:val="none"/>
            </w:rPr>
            <w:instrText xml:space="preserve"> PAGEREF _Toc16870 \h </w:instrText>
          </w:r>
          <w:r>
            <w:rPr>
              <w:color w:val="auto"/>
              <w:highlight w:val="none"/>
            </w:rPr>
            <w:fldChar w:fldCharType="separate"/>
          </w:r>
          <w:r>
            <w:rPr>
              <w:color w:val="auto"/>
              <w:highlight w:val="none"/>
            </w:rPr>
            <w:t>175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_Toc21704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39.  BIM技术应用（本条不适用）</w:t>
          </w:r>
          <w:r>
            <w:rPr>
              <w:color w:val="auto"/>
              <w:highlight w:val="none"/>
            </w:rPr>
            <w:tab/>
          </w:r>
          <w:r>
            <w:rPr>
              <w:color w:val="auto"/>
              <w:highlight w:val="none"/>
            </w:rPr>
            <w:fldChar w:fldCharType="begin"/>
          </w:r>
          <w:r>
            <w:rPr>
              <w:color w:val="auto"/>
              <w:highlight w:val="none"/>
            </w:rPr>
            <w:instrText xml:space="preserve"> PAGEREF _Toc21704 \h </w:instrText>
          </w:r>
          <w:r>
            <w:rPr>
              <w:color w:val="auto"/>
              <w:highlight w:val="none"/>
            </w:rPr>
            <w:fldChar w:fldCharType="separate"/>
          </w:r>
          <w:r>
            <w:rPr>
              <w:color w:val="auto"/>
              <w:highlight w:val="none"/>
            </w:rPr>
            <w:t>181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_Toc10559 </w:instrText>
          </w:r>
          <w:r>
            <w:rPr>
              <w:color w:val="auto"/>
              <w:highlight w:val="none"/>
              <w:lang w:eastAsia="zh-CN"/>
            </w:rPr>
            <w:fldChar w:fldCharType="separate"/>
          </w:r>
          <w:r>
            <w:rPr>
              <w:rFonts w:ascii="仿宋" w:hAnsi="仿宋" w:eastAsia="仿宋" w:cs="仿宋"/>
              <w:bCs w:val="0"/>
              <w:color w:val="auto"/>
              <w:szCs w:val="24"/>
              <w:highlight w:val="none"/>
              <w:lang w:eastAsia="zh-CN"/>
            </w:rPr>
            <w:t xml:space="preserve">40. </w:t>
          </w:r>
          <w:r>
            <w:rPr>
              <w:rFonts w:hint="eastAsia" w:ascii="仿宋" w:hAnsi="仿宋" w:eastAsia="仿宋" w:cs="仿宋"/>
              <w:bCs w:val="0"/>
              <w:color w:val="auto"/>
              <w:szCs w:val="24"/>
              <w:highlight w:val="none"/>
              <w:lang w:eastAsia="zh-CN"/>
            </w:rPr>
            <w:t>进度计划和报告</w:t>
          </w:r>
          <w:r>
            <w:rPr>
              <w:color w:val="auto"/>
              <w:highlight w:val="none"/>
            </w:rPr>
            <w:tab/>
          </w:r>
          <w:r>
            <w:rPr>
              <w:color w:val="auto"/>
              <w:highlight w:val="none"/>
            </w:rPr>
            <w:fldChar w:fldCharType="begin"/>
          </w:r>
          <w:r>
            <w:rPr>
              <w:color w:val="auto"/>
              <w:highlight w:val="none"/>
            </w:rPr>
            <w:instrText xml:space="preserve"> PAGEREF _Toc10559 \h </w:instrText>
          </w:r>
          <w:r>
            <w:rPr>
              <w:color w:val="auto"/>
              <w:highlight w:val="none"/>
            </w:rPr>
            <w:fldChar w:fldCharType="separate"/>
          </w:r>
          <w:r>
            <w:rPr>
              <w:color w:val="auto"/>
              <w:highlight w:val="none"/>
            </w:rPr>
            <w:t>182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_Toc3765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41.  开始工作或开工</w:t>
          </w:r>
          <w:r>
            <w:rPr>
              <w:color w:val="auto"/>
              <w:highlight w:val="none"/>
            </w:rPr>
            <w:tab/>
          </w:r>
          <w:r>
            <w:rPr>
              <w:color w:val="auto"/>
              <w:highlight w:val="none"/>
            </w:rPr>
            <w:fldChar w:fldCharType="begin"/>
          </w:r>
          <w:r>
            <w:rPr>
              <w:color w:val="auto"/>
              <w:highlight w:val="none"/>
            </w:rPr>
            <w:instrText xml:space="preserve"> PAGEREF _Toc3765 \h </w:instrText>
          </w:r>
          <w:r>
            <w:rPr>
              <w:color w:val="auto"/>
              <w:highlight w:val="none"/>
            </w:rPr>
            <w:fldChar w:fldCharType="separate"/>
          </w:r>
          <w:r>
            <w:rPr>
              <w:color w:val="auto"/>
              <w:highlight w:val="none"/>
            </w:rPr>
            <w:t>183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_Toc28349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42.  暂停工作、暂停施工和复工</w:t>
          </w:r>
          <w:r>
            <w:rPr>
              <w:color w:val="auto"/>
              <w:highlight w:val="none"/>
            </w:rPr>
            <w:tab/>
          </w:r>
          <w:r>
            <w:rPr>
              <w:color w:val="auto"/>
              <w:highlight w:val="none"/>
            </w:rPr>
            <w:fldChar w:fldCharType="begin"/>
          </w:r>
          <w:r>
            <w:rPr>
              <w:color w:val="auto"/>
              <w:highlight w:val="none"/>
            </w:rPr>
            <w:instrText xml:space="preserve"> PAGEREF _Toc28349 \h </w:instrText>
          </w:r>
          <w:r>
            <w:rPr>
              <w:color w:val="auto"/>
              <w:highlight w:val="none"/>
            </w:rPr>
            <w:fldChar w:fldCharType="separate"/>
          </w:r>
          <w:r>
            <w:rPr>
              <w:color w:val="auto"/>
              <w:highlight w:val="none"/>
            </w:rPr>
            <w:t>184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_Toc511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43.  工期和工期延误</w:t>
          </w:r>
          <w:r>
            <w:rPr>
              <w:color w:val="auto"/>
              <w:highlight w:val="none"/>
            </w:rPr>
            <w:tab/>
          </w:r>
          <w:r>
            <w:rPr>
              <w:color w:val="auto"/>
              <w:highlight w:val="none"/>
            </w:rPr>
            <w:fldChar w:fldCharType="begin"/>
          </w:r>
          <w:r>
            <w:rPr>
              <w:color w:val="auto"/>
              <w:highlight w:val="none"/>
            </w:rPr>
            <w:instrText xml:space="preserve"> PAGEREF _Toc511 \h </w:instrText>
          </w:r>
          <w:r>
            <w:rPr>
              <w:color w:val="auto"/>
              <w:highlight w:val="none"/>
            </w:rPr>
            <w:fldChar w:fldCharType="separate"/>
          </w:r>
          <w:r>
            <w:rPr>
              <w:color w:val="auto"/>
              <w:highlight w:val="none"/>
            </w:rPr>
            <w:t>184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_Toc29652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45.  竣工日期</w:t>
          </w:r>
          <w:r>
            <w:rPr>
              <w:color w:val="auto"/>
              <w:highlight w:val="none"/>
            </w:rPr>
            <w:tab/>
          </w:r>
          <w:r>
            <w:rPr>
              <w:color w:val="auto"/>
              <w:highlight w:val="none"/>
            </w:rPr>
            <w:fldChar w:fldCharType="begin"/>
          </w:r>
          <w:r>
            <w:rPr>
              <w:color w:val="auto"/>
              <w:highlight w:val="none"/>
            </w:rPr>
            <w:instrText xml:space="preserve"> PAGEREF _Toc29652 \h </w:instrText>
          </w:r>
          <w:r>
            <w:rPr>
              <w:color w:val="auto"/>
              <w:highlight w:val="none"/>
            </w:rPr>
            <w:fldChar w:fldCharType="separate"/>
          </w:r>
          <w:r>
            <w:rPr>
              <w:color w:val="auto"/>
              <w:highlight w:val="none"/>
            </w:rPr>
            <w:t>186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_Toc12280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★49.  质量标准</w:t>
          </w:r>
          <w:r>
            <w:rPr>
              <w:color w:val="auto"/>
              <w:highlight w:val="none"/>
            </w:rPr>
            <w:tab/>
          </w:r>
          <w:r>
            <w:rPr>
              <w:color w:val="auto"/>
              <w:highlight w:val="none"/>
            </w:rPr>
            <w:fldChar w:fldCharType="begin"/>
          </w:r>
          <w:r>
            <w:rPr>
              <w:color w:val="auto"/>
              <w:highlight w:val="none"/>
            </w:rPr>
            <w:instrText xml:space="preserve"> PAGEREF _Toc12280 \h </w:instrText>
          </w:r>
          <w:r>
            <w:rPr>
              <w:color w:val="auto"/>
              <w:highlight w:val="none"/>
            </w:rPr>
            <w:fldChar w:fldCharType="separate"/>
          </w:r>
          <w:r>
            <w:rPr>
              <w:color w:val="auto"/>
              <w:highlight w:val="none"/>
            </w:rPr>
            <w:t>186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_Toc18776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 xml:space="preserve">★50.  </w:t>
          </w:r>
          <w:r>
            <w:rPr>
              <w:rFonts w:hint="eastAsia" w:ascii="仿宋" w:hAnsi="仿宋" w:eastAsia="仿宋" w:cs="仿宋"/>
              <w:bCs w:val="0"/>
              <w:i w:val="0"/>
              <w:iCs w:val="0"/>
              <w:color w:val="auto"/>
              <w:szCs w:val="24"/>
              <w:highlight w:val="none"/>
              <w:lang w:eastAsia="zh-CN"/>
            </w:rPr>
            <w:t>工程质量创优</w:t>
          </w:r>
          <w:r>
            <w:rPr>
              <w:color w:val="auto"/>
              <w:highlight w:val="none"/>
            </w:rPr>
            <w:tab/>
          </w:r>
          <w:r>
            <w:rPr>
              <w:color w:val="auto"/>
              <w:highlight w:val="none"/>
            </w:rPr>
            <w:fldChar w:fldCharType="begin"/>
          </w:r>
          <w:r>
            <w:rPr>
              <w:color w:val="auto"/>
              <w:highlight w:val="none"/>
            </w:rPr>
            <w:instrText xml:space="preserve"> PAGEREF _Toc18776 \h </w:instrText>
          </w:r>
          <w:r>
            <w:rPr>
              <w:color w:val="auto"/>
              <w:highlight w:val="none"/>
            </w:rPr>
            <w:fldChar w:fldCharType="separate"/>
          </w:r>
          <w:r>
            <w:rPr>
              <w:color w:val="auto"/>
              <w:highlight w:val="none"/>
            </w:rPr>
            <w:t>187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_Toc19391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★52.  绿色施工安全防护</w:t>
          </w:r>
          <w:r>
            <w:rPr>
              <w:color w:val="auto"/>
              <w:highlight w:val="none"/>
            </w:rPr>
            <w:tab/>
          </w:r>
          <w:r>
            <w:rPr>
              <w:color w:val="auto"/>
              <w:highlight w:val="none"/>
            </w:rPr>
            <w:fldChar w:fldCharType="begin"/>
          </w:r>
          <w:r>
            <w:rPr>
              <w:color w:val="auto"/>
              <w:highlight w:val="none"/>
            </w:rPr>
            <w:instrText xml:space="preserve"> PAGEREF _Toc19391 \h </w:instrText>
          </w:r>
          <w:r>
            <w:rPr>
              <w:color w:val="auto"/>
              <w:highlight w:val="none"/>
            </w:rPr>
            <w:fldChar w:fldCharType="separate"/>
          </w:r>
          <w:r>
            <w:rPr>
              <w:color w:val="auto"/>
              <w:highlight w:val="none"/>
            </w:rPr>
            <w:t>187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_Toc28962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53.  测量放线</w:t>
          </w:r>
          <w:r>
            <w:rPr>
              <w:color w:val="auto"/>
              <w:highlight w:val="none"/>
            </w:rPr>
            <w:tab/>
          </w:r>
          <w:r>
            <w:rPr>
              <w:color w:val="auto"/>
              <w:highlight w:val="none"/>
            </w:rPr>
            <w:fldChar w:fldCharType="begin"/>
          </w:r>
          <w:r>
            <w:rPr>
              <w:color w:val="auto"/>
              <w:highlight w:val="none"/>
            </w:rPr>
            <w:instrText xml:space="preserve"> PAGEREF _Toc28962 \h </w:instrText>
          </w:r>
          <w:r>
            <w:rPr>
              <w:color w:val="auto"/>
              <w:highlight w:val="none"/>
            </w:rPr>
            <w:fldChar w:fldCharType="separate"/>
          </w:r>
          <w:r>
            <w:rPr>
              <w:color w:val="auto"/>
              <w:highlight w:val="none"/>
            </w:rPr>
            <w:t>190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_Toc29347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55.  发包人供应工程材料和工程设备</w:t>
          </w:r>
          <w:r>
            <w:rPr>
              <w:color w:val="auto"/>
              <w:highlight w:val="none"/>
            </w:rPr>
            <w:tab/>
          </w:r>
          <w:r>
            <w:rPr>
              <w:color w:val="auto"/>
              <w:highlight w:val="none"/>
            </w:rPr>
            <w:fldChar w:fldCharType="begin"/>
          </w:r>
          <w:r>
            <w:rPr>
              <w:color w:val="auto"/>
              <w:highlight w:val="none"/>
            </w:rPr>
            <w:instrText xml:space="preserve"> PAGEREF _Toc29347 \h </w:instrText>
          </w:r>
          <w:r>
            <w:rPr>
              <w:color w:val="auto"/>
              <w:highlight w:val="none"/>
            </w:rPr>
            <w:fldChar w:fldCharType="separate"/>
          </w:r>
          <w:r>
            <w:rPr>
              <w:color w:val="auto"/>
              <w:highlight w:val="none"/>
            </w:rPr>
            <w:t>191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_Toc29392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56.  承包人购置设备及工器具、采购工程材料和工程设备</w:t>
          </w:r>
          <w:r>
            <w:rPr>
              <w:color w:val="auto"/>
              <w:highlight w:val="none"/>
            </w:rPr>
            <w:tab/>
          </w:r>
          <w:r>
            <w:rPr>
              <w:color w:val="auto"/>
              <w:highlight w:val="none"/>
            </w:rPr>
            <w:fldChar w:fldCharType="begin"/>
          </w:r>
          <w:r>
            <w:rPr>
              <w:color w:val="auto"/>
              <w:highlight w:val="none"/>
            </w:rPr>
            <w:instrText xml:space="preserve"> PAGEREF _Toc29392 \h </w:instrText>
          </w:r>
          <w:r>
            <w:rPr>
              <w:color w:val="auto"/>
              <w:highlight w:val="none"/>
            </w:rPr>
            <w:fldChar w:fldCharType="separate"/>
          </w:r>
          <w:r>
            <w:rPr>
              <w:color w:val="auto"/>
              <w:highlight w:val="none"/>
            </w:rPr>
            <w:t>191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_Toc5930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57.  设备及工器具的验收、工程材料和工程设备的检验试验</w:t>
          </w:r>
          <w:r>
            <w:rPr>
              <w:color w:val="auto"/>
              <w:highlight w:val="none"/>
            </w:rPr>
            <w:tab/>
          </w:r>
          <w:r>
            <w:rPr>
              <w:color w:val="auto"/>
              <w:highlight w:val="none"/>
            </w:rPr>
            <w:fldChar w:fldCharType="begin"/>
          </w:r>
          <w:r>
            <w:rPr>
              <w:color w:val="auto"/>
              <w:highlight w:val="none"/>
            </w:rPr>
            <w:instrText xml:space="preserve"> PAGEREF _Toc5930 \h </w:instrText>
          </w:r>
          <w:r>
            <w:rPr>
              <w:color w:val="auto"/>
              <w:highlight w:val="none"/>
            </w:rPr>
            <w:fldChar w:fldCharType="separate"/>
          </w:r>
          <w:r>
            <w:rPr>
              <w:color w:val="auto"/>
              <w:highlight w:val="none"/>
            </w:rPr>
            <w:t>192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_Toc25260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58.  施工设备和临时设施</w:t>
          </w:r>
          <w:r>
            <w:rPr>
              <w:color w:val="auto"/>
              <w:highlight w:val="none"/>
            </w:rPr>
            <w:tab/>
          </w:r>
          <w:r>
            <w:rPr>
              <w:color w:val="auto"/>
              <w:highlight w:val="none"/>
            </w:rPr>
            <w:fldChar w:fldCharType="begin"/>
          </w:r>
          <w:r>
            <w:rPr>
              <w:color w:val="auto"/>
              <w:highlight w:val="none"/>
            </w:rPr>
            <w:instrText xml:space="preserve"> PAGEREF _Toc25260 \h </w:instrText>
          </w:r>
          <w:r>
            <w:rPr>
              <w:color w:val="auto"/>
              <w:highlight w:val="none"/>
            </w:rPr>
            <w:fldChar w:fldCharType="separate"/>
          </w:r>
          <w:r>
            <w:rPr>
              <w:color w:val="auto"/>
              <w:highlight w:val="none"/>
            </w:rPr>
            <w:t>193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_Toc8421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★60.  隐蔽工程和中间验收</w:t>
          </w:r>
          <w:r>
            <w:rPr>
              <w:color w:val="auto"/>
              <w:highlight w:val="none"/>
            </w:rPr>
            <w:tab/>
          </w:r>
          <w:r>
            <w:rPr>
              <w:color w:val="auto"/>
              <w:highlight w:val="none"/>
            </w:rPr>
            <w:fldChar w:fldCharType="begin"/>
          </w:r>
          <w:r>
            <w:rPr>
              <w:color w:val="auto"/>
              <w:highlight w:val="none"/>
            </w:rPr>
            <w:instrText xml:space="preserve"> PAGEREF _Toc8421 \h </w:instrText>
          </w:r>
          <w:r>
            <w:rPr>
              <w:color w:val="auto"/>
              <w:highlight w:val="none"/>
            </w:rPr>
            <w:fldChar w:fldCharType="separate"/>
          </w:r>
          <w:r>
            <w:rPr>
              <w:color w:val="auto"/>
              <w:highlight w:val="none"/>
            </w:rPr>
            <w:t>193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_Toc13373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62. 工程试车</w:t>
          </w:r>
          <w:r>
            <w:rPr>
              <w:color w:val="auto"/>
              <w:highlight w:val="none"/>
            </w:rPr>
            <w:tab/>
          </w:r>
          <w:r>
            <w:rPr>
              <w:color w:val="auto"/>
              <w:highlight w:val="none"/>
            </w:rPr>
            <w:fldChar w:fldCharType="begin"/>
          </w:r>
          <w:r>
            <w:rPr>
              <w:color w:val="auto"/>
              <w:highlight w:val="none"/>
            </w:rPr>
            <w:instrText xml:space="preserve"> PAGEREF _Toc13373 \h </w:instrText>
          </w:r>
          <w:r>
            <w:rPr>
              <w:color w:val="auto"/>
              <w:highlight w:val="none"/>
            </w:rPr>
            <w:fldChar w:fldCharType="separate"/>
          </w:r>
          <w:r>
            <w:rPr>
              <w:color w:val="auto"/>
              <w:highlight w:val="none"/>
            </w:rPr>
            <w:t>194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_Toc24107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★63. 工程变更</w:t>
          </w:r>
          <w:r>
            <w:rPr>
              <w:color w:val="auto"/>
              <w:highlight w:val="none"/>
            </w:rPr>
            <w:tab/>
          </w:r>
          <w:r>
            <w:rPr>
              <w:color w:val="auto"/>
              <w:highlight w:val="none"/>
            </w:rPr>
            <w:fldChar w:fldCharType="begin"/>
          </w:r>
          <w:r>
            <w:rPr>
              <w:color w:val="auto"/>
              <w:highlight w:val="none"/>
            </w:rPr>
            <w:instrText xml:space="preserve"> PAGEREF _Toc24107 \h </w:instrText>
          </w:r>
          <w:r>
            <w:rPr>
              <w:color w:val="auto"/>
              <w:highlight w:val="none"/>
            </w:rPr>
            <w:fldChar w:fldCharType="separate"/>
          </w:r>
          <w:r>
            <w:rPr>
              <w:color w:val="auto"/>
              <w:highlight w:val="none"/>
            </w:rPr>
            <w:t>194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_Toc16427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64. 竣工验收条件</w:t>
          </w:r>
          <w:r>
            <w:rPr>
              <w:color w:val="auto"/>
              <w:highlight w:val="none"/>
            </w:rPr>
            <w:tab/>
          </w:r>
          <w:r>
            <w:rPr>
              <w:color w:val="auto"/>
              <w:highlight w:val="none"/>
            </w:rPr>
            <w:fldChar w:fldCharType="begin"/>
          </w:r>
          <w:r>
            <w:rPr>
              <w:color w:val="auto"/>
              <w:highlight w:val="none"/>
            </w:rPr>
            <w:instrText xml:space="preserve"> PAGEREF _Toc16427 \h </w:instrText>
          </w:r>
          <w:r>
            <w:rPr>
              <w:color w:val="auto"/>
              <w:highlight w:val="none"/>
            </w:rPr>
            <w:fldChar w:fldCharType="separate"/>
          </w:r>
          <w:r>
            <w:rPr>
              <w:color w:val="auto"/>
              <w:highlight w:val="none"/>
            </w:rPr>
            <w:t>194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_Toc29632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★65. 竣工验收</w:t>
          </w:r>
          <w:r>
            <w:rPr>
              <w:color w:val="auto"/>
              <w:highlight w:val="none"/>
            </w:rPr>
            <w:tab/>
          </w:r>
          <w:r>
            <w:rPr>
              <w:color w:val="auto"/>
              <w:highlight w:val="none"/>
            </w:rPr>
            <w:fldChar w:fldCharType="begin"/>
          </w:r>
          <w:r>
            <w:rPr>
              <w:color w:val="auto"/>
              <w:highlight w:val="none"/>
            </w:rPr>
            <w:instrText xml:space="preserve"> PAGEREF _Toc29632 \h </w:instrText>
          </w:r>
          <w:r>
            <w:rPr>
              <w:color w:val="auto"/>
              <w:highlight w:val="none"/>
            </w:rPr>
            <w:fldChar w:fldCharType="separate"/>
          </w:r>
          <w:r>
            <w:rPr>
              <w:color w:val="auto"/>
              <w:highlight w:val="none"/>
            </w:rPr>
            <w:t>194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_Toc8565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66.  缺陷责任与质量保修</w:t>
          </w:r>
          <w:r>
            <w:rPr>
              <w:color w:val="auto"/>
              <w:highlight w:val="none"/>
            </w:rPr>
            <w:tab/>
          </w:r>
          <w:r>
            <w:rPr>
              <w:color w:val="auto"/>
              <w:highlight w:val="none"/>
            </w:rPr>
            <w:fldChar w:fldCharType="begin"/>
          </w:r>
          <w:r>
            <w:rPr>
              <w:color w:val="auto"/>
              <w:highlight w:val="none"/>
            </w:rPr>
            <w:instrText xml:space="preserve"> PAGEREF _Toc8565 \h </w:instrText>
          </w:r>
          <w:r>
            <w:rPr>
              <w:color w:val="auto"/>
              <w:highlight w:val="none"/>
            </w:rPr>
            <w:fldChar w:fldCharType="separate"/>
          </w:r>
          <w:r>
            <w:rPr>
              <w:color w:val="auto"/>
              <w:highlight w:val="none"/>
            </w:rPr>
            <w:t>195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_Toc32615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68.</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联合体牵头人项目管理费</w:t>
          </w:r>
          <w:r>
            <w:rPr>
              <w:color w:val="auto"/>
              <w:highlight w:val="none"/>
            </w:rPr>
            <w:tab/>
          </w:r>
          <w:r>
            <w:rPr>
              <w:color w:val="auto"/>
              <w:highlight w:val="none"/>
            </w:rPr>
            <w:fldChar w:fldCharType="begin"/>
          </w:r>
          <w:r>
            <w:rPr>
              <w:color w:val="auto"/>
              <w:highlight w:val="none"/>
            </w:rPr>
            <w:instrText xml:space="preserve"> PAGEREF _Toc32615 \h </w:instrText>
          </w:r>
          <w:r>
            <w:rPr>
              <w:color w:val="auto"/>
              <w:highlight w:val="none"/>
            </w:rPr>
            <w:fldChar w:fldCharType="separate"/>
          </w:r>
          <w:r>
            <w:rPr>
              <w:color w:val="auto"/>
              <w:highlight w:val="none"/>
            </w:rPr>
            <w:t>195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_Toc12050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★69. 合同价格的约定与调整</w:t>
          </w:r>
          <w:r>
            <w:rPr>
              <w:color w:val="auto"/>
              <w:highlight w:val="none"/>
            </w:rPr>
            <w:tab/>
          </w:r>
          <w:r>
            <w:rPr>
              <w:color w:val="auto"/>
              <w:highlight w:val="none"/>
            </w:rPr>
            <w:fldChar w:fldCharType="begin"/>
          </w:r>
          <w:r>
            <w:rPr>
              <w:color w:val="auto"/>
              <w:highlight w:val="none"/>
            </w:rPr>
            <w:instrText xml:space="preserve"> PAGEREF _Toc12050 \h </w:instrText>
          </w:r>
          <w:r>
            <w:rPr>
              <w:color w:val="auto"/>
              <w:highlight w:val="none"/>
            </w:rPr>
            <w:fldChar w:fldCharType="separate"/>
          </w:r>
          <w:r>
            <w:rPr>
              <w:color w:val="auto"/>
              <w:highlight w:val="none"/>
            </w:rPr>
            <w:t>196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_Toc1919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★70</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合同价格调整程序</w:t>
          </w:r>
          <w:r>
            <w:rPr>
              <w:color w:val="auto"/>
              <w:highlight w:val="none"/>
            </w:rPr>
            <w:tab/>
          </w:r>
          <w:r>
            <w:rPr>
              <w:color w:val="auto"/>
              <w:highlight w:val="none"/>
            </w:rPr>
            <w:fldChar w:fldCharType="begin"/>
          </w:r>
          <w:r>
            <w:rPr>
              <w:color w:val="auto"/>
              <w:highlight w:val="none"/>
            </w:rPr>
            <w:instrText xml:space="preserve"> PAGEREF _Toc1919 \h </w:instrText>
          </w:r>
          <w:r>
            <w:rPr>
              <w:color w:val="auto"/>
              <w:highlight w:val="none"/>
            </w:rPr>
            <w:fldChar w:fldCharType="separate"/>
          </w:r>
          <w:r>
            <w:rPr>
              <w:color w:val="auto"/>
              <w:highlight w:val="none"/>
            </w:rPr>
            <w:t>196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_Toc15387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★71. 工作量或工程量</w:t>
          </w:r>
          <w:r>
            <w:rPr>
              <w:color w:val="auto"/>
              <w:highlight w:val="none"/>
            </w:rPr>
            <w:tab/>
          </w:r>
          <w:r>
            <w:rPr>
              <w:color w:val="auto"/>
              <w:highlight w:val="none"/>
            </w:rPr>
            <w:fldChar w:fldCharType="begin"/>
          </w:r>
          <w:r>
            <w:rPr>
              <w:color w:val="auto"/>
              <w:highlight w:val="none"/>
            </w:rPr>
            <w:instrText xml:space="preserve"> PAGEREF _Toc15387 \h </w:instrText>
          </w:r>
          <w:r>
            <w:rPr>
              <w:color w:val="auto"/>
              <w:highlight w:val="none"/>
            </w:rPr>
            <w:fldChar w:fldCharType="separate"/>
          </w:r>
          <w:r>
            <w:rPr>
              <w:color w:val="auto"/>
              <w:highlight w:val="none"/>
            </w:rPr>
            <w:t>197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_Toc18447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★72. 计量和计价</w:t>
          </w:r>
          <w:r>
            <w:rPr>
              <w:color w:val="auto"/>
              <w:highlight w:val="none"/>
            </w:rPr>
            <w:tab/>
          </w:r>
          <w:r>
            <w:rPr>
              <w:color w:val="auto"/>
              <w:highlight w:val="none"/>
            </w:rPr>
            <w:fldChar w:fldCharType="begin"/>
          </w:r>
          <w:r>
            <w:rPr>
              <w:color w:val="auto"/>
              <w:highlight w:val="none"/>
            </w:rPr>
            <w:instrText xml:space="preserve"> PAGEREF _Toc18447 \h </w:instrText>
          </w:r>
          <w:r>
            <w:rPr>
              <w:color w:val="auto"/>
              <w:highlight w:val="none"/>
            </w:rPr>
            <w:fldChar w:fldCharType="separate"/>
          </w:r>
          <w:r>
            <w:rPr>
              <w:color w:val="auto"/>
              <w:highlight w:val="none"/>
            </w:rPr>
            <w:t>197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_Toc15495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★73.  暂列金额</w:t>
          </w:r>
          <w:r>
            <w:rPr>
              <w:color w:val="auto"/>
              <w:highlight w:val="none"/>
            </w:rPr>
            <w:tab/>
          </w:r>
          <w:r>
            <w:rPr>
              <w:color w:val="auto"/>
              <w:highlight w:val="none"/>
            </w:rPr>
            <w:fldChar w:fldCharType="begin"/>
          </w:r>
          <w:r>
            <w:rPr>
              <w:color w:val="auto"/>
              <w:highlight w:val="none"/>
            </w:rPr>
            <w:instrText xml:space="preserve"> PAGEREF _Toc15495 \h </w:instrText>
          </w:r>
          <w:r>
            <w:rPr>
              <w:color w:val="auto"/>
              <w:highlight w:val="none"/>
            </w:rPr>
            <w:fldChar w:fldCharType="separate"/>
          </w:r>
          <w:r>
            <w:rPr>
              <w:color w:val="auto"/>
              <w:highlight w:val="none"/>
            </w:rPr>
            <w:t>204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_Toc5398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★75.  暂估价</w:t>
          </w:r>
          <w:r>
            <w:rPr>
              <w:color w:val="auto"/>
              <w:highlight w:val="none"/>
            </w:rPr>
            <w:tab/>
          </w:r>
          <w:r>
            <w:rPr>
              <w:color w:val="auto"/>
              <w:highlight w:val="none"/>
            </w:rPr>
            <w:fldChar w:fldCharType="begin"/>
          </w:r>
          <w:r>
            <w:rPr>
              <w:color w:val="auto"/>
              <w:highlight w:val="none"/>
            </w:rPr>
            <w:instrText xml:space="preserve"> PAGEREF _Toc5398 \h </w:instrText>
          </w:r>
          <w:r>
            <w:rPr>
              <w:color w:val="auto"/>
              <w:highlight w:val="none"/>
            </w:rPr>
            <w:fldChar w:fldCharType="separate"/>
          </w:r>
          <w:r>
            <w:rPr>
              <w:color w:val="auto"/>
              <w:highlight w:val="none"/>
            </w:rPr>
            <w:t>204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_Toc11444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★76.  提前竣工奖与误期赔偿费</w:t>
          </w:r>
          <w:r>
            <w:rPr>
              <w:color w:val="auto"/>
              <w:highlight w:val="none"/>
            </w:rPr>
            <w:tab/>
          </w:r>
          <w:r>
            <w:rPr>
              <w:color w:val="auto"/>
              <w:highlight w:val="none"/>
            </w:rPr>
            <w:fldChar w:fldCharType="begin"/>
          </w:r>
          <w:r>
            <w:rPr>
              <w:color w:val="auto"/>
              <w:highlight w:val="none"/>
            </w:rPr>
            <w:instrText xml:space="preserve"> PAGEREF _Toc11444 \h </w:instrText>
          </w:r>
          <w:r>
            <w:rPr>
              <w:color w:val="auto"/>
              <w:highlight w:val="none"/>
            </w:rPr>
            <w:fldChar w:fldCharType="separate"/>
          </w:r>
          <w:r>
            <w:rPr>
              <w:color w:val="auto"/>
              <w:highlight w:val="none"/>
            </w:rPr>
            <w:t>204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_Toc30824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★77.  优质优价费用</w:t>
          </w:r>
          <w:r>
            <w:rPr>
              <w:color w:val="auto"/>
              <w:highlight w:val="none"/>
            </w:rPr>
            <w:tab/>
          </w:r>
          <w:r>
            <w:rPr>
              <w:color w:val="auto"/>
              <w:highlight w:val="none"/>
            </w:rPr>
            <w:fldChar w:fldCharType="begin"/>
          </w:r>
          <w:r>
            <w:rPr>
              <w:color w:val="auto"/>
              <w:highlight w:val="none"/>
            </w:rPr>
            <w:instrText xml:space="preserve"> PAGEREF _Toc30824 \h </w:instrText>
          </w:r>
          <w:r>
            <w:rPr>
              <w:color w:val="auto"/>
              <w:highlight w:val="none"/>
            </w:rPr>
            <w:fldChar w:fldCharType="separate"/>
          </w:r>
          <w:r>
            <w:rPr>
              <w:color w:val="auto"/>
              <w:highlight w:val="none"/>
            </w:rPr>
            <w:t>205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_Toc14927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79.  可调价变更定价</w:t>
          </w:r>
          <w:r>
            <w:rPr>
              <w:color w:val="auto"/>
              <w:highlight w:val="none"/>
            </w:rPr>
            <w:tab/>
          </w:r>
          <w:r>
            <w:rPr>
              <w:color w:val="auto"/>
              <w:highlight w:val="none"/>
            </w:rPr>
            <w:fldChar w:fldCharType="begin"/>
          </w:r>
          <w:r>
            <w:rPr>
              <w:color w:val="auto"/>
              <w:highlight w:val="none"/>
            </w:rPr>
            <w:instrText xml:space="preserve"> PAGEREF _Toc14927 \h </w:instrText>
          </w:r>
          <w:r>
            <w:rPr>
              <w:color w:val="auto"/>
              <w:highlight w:val="none"/>
            </w:rPr>
            <w:fldChar w:fldCharType="separate"/>
          </w:r>
          <w:r>
            <w:rPr>
              <w:color w:val="auto"/>
              <w:highlight w:val="none"/>
            </w:rPr>
            <w:t>206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_Toc24917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★81.  现场签证价格的确定</w:t>
          </w:r>
          <w:r>
            <w:rPr>
              <w:color w:val="auto"/>
              <w:highlight w:val="none"/>
            </w:rPr>
            <w:tab/>
          </w:r>
          <w:r>
            <w:rPr>
              <w:color w:val="auto"/>
              <w:highlight w:val="none"/>
            </w:rPr>
            <w:fldChar w:fldCharType="begin"/>
          </w:r>
          <w:r>
            <w:rPr>
              <w:color w:val="auto"/>
              <w:highlight w:val="none"/>
            </w:rPr>
            <w:instrText xml:space="preserve"> PAGEREF _Toc24917 \h </w:instrText>
          </w:r>
          <w:r>
            <w:rPr>
              <w:color w:val="auto"/>
              <w:highlight w:val="none"/>
            </w:rPr>
            <w:fldChar w:fldCharType="separate"/>
          </w:r>
          <w:r>
            <w:rPr>
              <w:color w:val="auto"/>
              <w:highlight w:val="none"/>
            </w:rPr>
            <w:t>206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_Toc4356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★82.  物价涨落的价格调整</w:t>
          </w:r>
          <w:r>
            <w:rPr>
              <w:color w:val="auto"/>
              <w:highlight w:val="none"/>
            </w:rPr>
            <w:tab/>
          </w:r>
          <w:r>
            <w:rPr>
              <w:color w:val="auto"/>
              <w:highlight w:val="none"/>
            </w:rPr>
            <w:fldChar w:fldCharType="begin"/>
          </w:r>
          <w:r>
            <w:rPr>
              <w:color w:val="auto"/>
              <w:highlight w:val="none"/>
            </w:rPr>
            <w:instrText xml:space="preserve"> PAGEREF _Toc4356 \h </w:instrText>
          </w:r>
          <w:r>
            <w:rPr>
              <w:color w:val="auto"/>
              <w:highlight w:val="none"/>
            </w:rPr>
            <w:fldChar w:fldCharType="separate"/>
          </w:r>
          <w:r>
            <w:rPr>
              <w:color w:val="auto"/>
              <w:highlight w:val="none"/>
            </w:rPr>
            <w:t>207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_Toc1603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★83. 支付事项</w:t>
          </w:r>
          <w:r>
            <w:rPr>
              <w:color w:val="auto"/>
              <w:highlight w:val="none"/>
            </w:rPr>
            <w:tab/>
          </w:r>
          <w:r>
            <w:rPr>
              <w:color w:val="auto"/>
              <w:highlight w:val="none"/>
            </w:rPr>
            <w:fldChar w:fldCharType="begin"/>
          </w:r>
          <w:r>
            <w:rPr>
              <w:color w:val="auto"/>
              <w:highlight w:val="none"/>
            </w:rPr>
            <w:instrText xml:space="preserve"> PAGEREF _Toc1603 \h </w:instrText>
          </w:r>
          <w:r>
            <w:rPr>
              <w:color w:val="auto"/>
              <w:highlight w:val="none"/>
            </w:rPr>
            <w:fldChar w:fldCharType="separate"/>
          </w:r>
          <w:r>
            <w:rPr>
              <w:color w:val="auto"/>
              <w:highlight w:val="none"/>
            </w:rPr>
            <w:t>208</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_Toc24210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★84.  预付款</w:t>
          </w:r>
          <w:r>
            <w:rPr>
              <w:color w:val="auto"/>
              <w:highlight w:val="none"/>
            </w:rPr>
            <w:tab/>
          </w:r>
          <w:r>
            <w:rPr>
              <w:color w:val="auto"/>
              <w:highlight w:val="none"/>
            </w:rPr>
            <w:fldChar w:fldCharType="begin"/>
          </w:r>
          <w:r>
            <w:rPr>
              <w:color w:val="auto"/>
              <w:highlight w:val="none"/>
            </w:rPr>
            <w:instrText xml:space="preserve"> PAGEREF _Toc24210 \h </w:instrText>
          </w:r>
          <w:r>
            <w:rPr>
              <w:color w:val="auto"/>
              <w:highlight w:val="none"/>
            </w:rPr>
            <w:fldChar w:fldCharType="separate"/>
          </w:r>
          <w:r>
            <w:rPr>
              <w:color w:val="auto"/>
              <w:highlight w:val="none"/>
            </w:rPr>
            <w:t>209</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_Toc7861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★85.  绿色施工安全防护费</w:t>
          </w:r>
          <w:r>
            <w:rPr>
              <w:color w:val="auto"/>
              <w:highlight w:val="none"/>
            </w:rPr>
            <w:tab/>
          </w:r>
          <w:r>
            <w:rPr>
              <w:color w:val="auto"/>
              <w:highlight w:val="none"/>
            </w:rPr>
            <w:fldChar w:fldCharType="begin"/>
          </w:r>
          <w:r>
            <w:rPr>
              <w:color w:val="auto"/>
              <w:highlight w:val="none"/>
            </w:rPr>
            <w:instrText xml:space="preserve"> PAGEREF _Toc7861 \h </w:instrText>
          </w:r>
          <w:r>
            <w:rPr>
              <w:color w:val="auto"/>
              <w:highlight w:val="none"/>
            </w:rPr>
            <w:fldChar w:fldCharType="separate"/>
          </w:r>
          <w:r>
            <w:rPr>
              <w:color w:val="auto"/>
              <w:highlight w:val="none"/>
            </w:rPr>
            <w:t>210</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_Toc28553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★86.  进度款</w:t>
          </w:r>
          <w:r>
            <w:rPr>
              <w:color w:val="auto"/>
              <w:highlight w:val="none"/>
            </w:rPr>
            <w:tab/>
          </w:r>
          <w:r>
            <w:rPr>
              <w:color w:val="auto"/>
              <w:highlight w:val="none"/>
            </w:rPr>
            <w:fldChar w:fldCharType="begin"/>
          </w:r>
          <w:r>
            <w:rPr>
              <w:color w:val="auto"/>
              <w:highlight w:val="none"/>
            </w:rPr>
            <w:instrText xml:space="preserve"> PAGEREF _Toc28553 \h </w:instrText>
          </w:r>
          <w:r>
            <w:rPr>
              <w:color w:val="auto"/>
              <w:highlight w:val="none"/>
            </w:rPr>
            <w:fldChar w:fldCharType="separate"/>
          </w:r>
          <w:r>
            <w:rPr>
              <w:color w:val="auto"/>
              <w:highlight w:val="none"/>
            </w:rPr>
            <w:t>211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_Toc17408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★87. 竣工结算</w:t>
          </w:r>
          <w:r>
            <w:rPr>
              <w:color w:val="auto"/>
              <w:highlight w:val="none"/>
            </w:rPr>
            <w:tab/>
          </w:r>
          <w:r>
            <w:rPr>
              <w:color w:val="auto"/>
              <w:highlight w:val="none"/>
            </w:rPr>
            <w:fldChar w:fldCharType="begin"/>
          </w:r>
          <w:r>
            <w:rPr>
              <w:color w:val="auto"/>
              <w:highlight w:val="none"/>
            </w:rPr>
            <w:instrText xml:space="preserve"> PAGEREF _Toc17408 \h </w:instrText>
          </w:r>
          <w:r>
            <w:rPr>
              <w:color w:val="auto"/>
              <w:highlight w:val="none"/>
            </w:rPr>
            <w:fldChar w:fldCharType="separate"/>
          </w:r>
          <w:r>
            <w:rPr>
              <w:color w:val="auto"/>
              <w:highlight w:val="none"/>
            </w:rPr>
            <w:t>217</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_Toc16819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★88.  结算款</w:t>
          </w:r>
          <w:r>
            <w:rPr>
              <w:color w:val="auto"/>
              <w:highlight w:val="none"/>
            </w:rPr>
            <w:tab/>
          </w:r>
          <w:r>
            <w:rPr>
              <w:color w:val="auto"/>
              <w:highlight w:val="none"/>
            </w:rPr>
            <w:fldChar w:fldCharType="begin"/>
          </w:r>
          <w:r>
            <w:rPr>
              <w:color w:val="auto"/>
              <w:highlight w:val="none"/>
            </w:rPr>
            <w:instrText xml:space="preserve"> PAGEREF _Toc16819 \h </w:instrText>
          </w:r>
          <w:r>
            <w:rPr>
              <w:color w:val="auto"/>
              <w:highlight w:val="none"/>
            </w:rPr>
            <w:fldChar w:fldCharType="separate"/>
          </w:r>
          <w:r>
            <w:rPr>
              <w:color w:val="auto"/>
              <w:highlight w:val="none"/>
            </w:rPr>
            <w:t>223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_Toc10118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★89.  质量保证金</w:t>
          </w:r>
          <w:r>
            <w:rPr>
              <w:color w:val="auto"/>
              <w:highlight w:val="none"/>
            </w:rPr>
            <w:tab/>
          </w:r>
          <w:r>
            <w:rPr>
              <w:color w:val="auto"/>
              <w:highlight w:val="none"/>
            </w:rPr>
            <w:fldChar w:fldCharType="begin"/>
          </w:r>
          <w:r>
            <w:rPr>
              <w:color w:val="auto"/>
              <w:highlight w:val="none"/>
            </w:rPr>
            <w:instrText xml:space="preserve"> PAGEREF _Toc10118 \h </w:instrText>
          </w:r>
          <w:r>
            <w:rPr>
              <w:color w:val="auto"/>
              <w:highlight w:val="none"/>
            </w:rPr>
            <w:fldChar w:fldCharType="separate"/>
          </w:r>
          <w:r>
            <w:rPr>
              <w:color w:val="auto"/>
              <w:highlight w:val="none"/>
            </w:rPr>
            <w:t>224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_Toc10421 </w:instrText>
          </w:r>
          <w:r>
            <w:rPr>
              <w:color w:val="auto"/>
              <w:highlight w:val="none"/>
              <w:lang w:eastAsia="zh-CN"/>
            </w:rPr>
            <w:fldChar w:fldCharType="separate"/>
          </w:r>
          <w:r>
            <w:rPr>
              <w:rFonts w:hint="eastAsia" w:ascii="仿宋" w:hAnsi="仿宋" w:eastAsia="仿宋" w:cs="仿宋"/>
              <w:color w:val="auto"/>
              <w:szCs w:val="24"/>
              <w:highlight w:val="none"/>
              <w:lang w:eastAsia="zh-CN"/>
            </w:rPr>
            <w:t>90.  最终清算款</w:t>
          </w:r>
          <w:r>
            <w:rPr>
              <w:color w:val="auto"/>
              <w:highlight w:val="none"/>
            </w:rPr>
            <w:tab/>
          </w:r>
          <w:r>
            <w:rPr>
              <w:color w:val="auto"/>
              <w:highlight w:val="none"/>
            </w:rPr>
            <w:fldChar w:fldCharType="begin"/>
          </w:r>
          <w:r>
            <w:rPr>
              <w:color w:val="auto"/>
              <w:highlight w:val="none"/>
            </w:rPr>
            <w:instrText xml:space="preserve"> PAGEREF _Toc10421 \h </w:instrText>
          </w:r>
          <w:r>
            <w:rPr>
              <w:color w:val="auto"/>
              <w:highlight w:val="none"/>
            </w:rPr>
            <w:fldChar w:fldCharType="separate"/>
          </w:r>
          <w:r>
            <w:rPr>
              <w:color w:val="auto"/>
              <w:highlight w:val="none"/>
            </w:rPr>
            <w:t>225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_Toc24287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91.  合同争议</w:t>
          </w:r>
          <w:r>
            <w:rPr>
              <w:color w:val="auto"/>
              <w:highlight w:val="none"/>
            </w:rPr>
            <w:tab/>
          </w:r>
          <w:r>
            <w:rPr>
              <w:color w:val="auto"/>
              <w:highlight w:val="none"/>
            </w:rPr>
            <w:fldChar w:fldCharType="begin"/>
          </w:r>
          <w:r>
            <w:rPr>
              <w:color w:val="auto"/>
              <w:highlight w:val="none"/>
            </w:rPr>
            <w:instrText xml:space="preserve"> PAGEREF _Toc24287 \h </w:instrText>
          </w:r>
          <w:r>
            <w:rPr>
              <w:color w:val="auto"/>
              <w:highlight w:val="none"/>
            </w:rPr>
            <w:fldChar w:fldCharType="separate"/>
          </w:r>
          <w:r>
            <w:rPr>
              <w:color w:val="auto"/>
              <w:highlight w:val="none"/>
            </w:rPr>
            <w:t>225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_Toc23087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92.  合同解除</w:t>
          </w:r>
          <w:r>
            <w:rPr>
              <w:color w:val="auto"/>
              <w:highlight w:val="none"/>
            </w:rPr>
            <w:tab/>
          </w:r>
          <w:r>
            <w:rPr>
              <w:color w:val="auto"/>
              <w:highlight w:val="none"/>
            </w:rPr>
            <w:fldChar w:fldCharType="begin"/>
          </w:r>
          <w:r>
            <w:rPr>
              <w:color w:val="auto"/>
              <w:highlight w:val="none"/>
            </w:rPr>
            <w:instrText xml:space="preserve"> PAGEREF _Toc23087 \h </w:instrText>
          </w:r>
          <w:r>
            <w:rPr>
              <w:color w:val="auto"/>
              <w:highlight w:val="none"/>
            </w:rPr>
            <w:fldChar w:fldCharType="separate"/>
          </w:r>
          <w:r>
            <w:rPr>
              <w:color w:val="auto"/>
              <w:highlight w:val="none"/>
            </w:rPr>
            <w:t>226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_Toc28166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★95</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承包人违约</w:t>
          </w:r>
          <w:r>
            <w:rPr>
              <w:color w:val="auto"/>
              <w:highlight w:val="none"/>
            </w:rPr>
            <w:tab/>
          </w:r>
          <w:r>
            <w:rPr>
              <w:color w:val="auto"/>
              <w:highlight w:val="none"/>
            </w:rPr>
            <w:fldChar w:fldCharType="begin"/>
          </w:r>
          <w:r>
            <w:rPr>
              <w:color w:val="auto"/>
              <w:highlight w:val="none"/>
            </w:rPr>
            <w:instrText xml:space="preserve"> PAGEREF _Toc28166 \h </w:instrText>
          </w:r>
          <w:r>
            <w:rPr>
              <w:color w:val="auto"/>
              <w:highlight w:val="none"/>
            </w:rPr>
            <w:fldChar w:fldCharType="separate"/>
          </w:r>
          <w:r>
            <w:rPr>
              <w:color w:val="auto"/>
              <w:highlight w:val="none"/>
            </w:rPr>
            <w:t>226</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_Toc26664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★96</w:t>
          </w:r>
          <w:r>
            <w:rPr>
              <w:rFonts w:ascii="仿宋" w:hAnsi="仿宋" w:eastAsia="仿宋" w:cs="仿宋"/>
              <w:bCs w:val="0"/>
              <w:color w:val="auto"/>
              <w:szCs w:val="24"/>
              <w:highlight w:val="none"/>
              <w:lang w:eastAsia="zh-CN"/>
            </w:rPr>
            <w:t xml:space="preserve">  </w:t>
          </w:r>
          <w:r>
            <w:rPr>
              <w:rFonts w:hint="eastAsia" w:ascii="仿宋" w:hAnsi="仿宋" w:eastAsia="仿宋" w:cs="仿宋"/>
              <w:bCs w:val="0"/>
              <w:color w:val="auto"/>
              <w:szCs w:val="24"/>
              <w:highlight w:val="none"/>
              <w:lang w:eastAsia="zh-CN"/>
            </w:rPr>
            <w:t>发包人违约</w:t>
          </w:r>
          <w:r>
            <w:rPr>
              <w:color w:val="auto"/>
              <w:highlight w:val="none"/>
            </w:rPr>
            <w:tab/>
          </w:r>
          <w:r>
            <w:rPr>
              <w:color w:val="auto"/>
              <w:highlight w:val="none"/>
            </w:rPr>
            <w:fldChar w:fldCharType="begin"/>
          </w:r>
          <w:r>
            <w:rPr>
              <w:color w:val="auto"/>
              <w:highlight w:val="none"/>
            </w:rPr>
            <w:instrText xml:space="preserve"> PAGEREF _Toc26664 \h </w:instrText>
          </w:r>
          <w:r>
            <w:rPr>
              <w:color w:val="auto"/>
              <w:highlight w:val="none"/>
            </w:rPr>
            <w:fldChar w:fldCharType="separate"/>
          </w:r>
          <w:r>
            <w:rPr>
              <w:color w:val="auto"/>
              <w:highlight w:val="none"/>
            </w:rPr>
            <w:t>241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_Toc16512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99.  保密要求</w:t>
          </w:r>
          <w:r>
            <w:rPr>
              <w:color w:val="auto"/>
              <w:highlight w:val="none"/>
            </w:rPr>
            <w:tab/>
          </w:r>
          <w:r>
            <w:rPr>
              <w:color w:val="auto"/>
              <w:highlight w:val="none"/>
            </w:rPr>
            <w:fldChar w:fldCharType="begin"/>
          </w:r>
          <w:r>
            <w:rPr>
              <w:color w:val="auto"/>
              <w:highlight w:val="none"/>
            </w:rPr>
            <w:instrText xml:space="preserve"> PAGEREF _Toc16512 \h </w:instrText>
          </w:r>
          <w:r>
            <w:rPr>
              <w:color w:val="auto"/>
              <w:highlight w:val="none"/>
            </w:rPr>
            <w:fldChar w:fldCharType="separate"/>
          </w:r>
          <w:r>
            <w:rPr>
              <w:color w:val="auto"/>
              <w:highlight w:val="none"/>
            </w:rPr>
            <w:t>241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_Toc977 </w:instrText>
          </w:r>
          <w:r>
            <w:rPr>
              <w:color w:val="auto"/>
              <w:highlight w:val="none"/>
              <w:lang w:eastAsia="zh-CN"/>
            </w:rPr>
            <w:fldChar w:fldCharType="separate"/>
          </w:r>
          <w:r>
            <w:rPr>
              <w:rFonts w:hint="eastAsia" w:ascii="仿宋" w:hAnsi="仿宋" w:eastAsia="仿宋" w:cs="仿宋"/>
              <w:bCs w:val="0"/>
              <w:color w:val="auto"/>
              <w:szCs w:val="24"/>
              <w:highlight w:val="none"/>
              <w:lang w:eastAsia="zh-CN"/>
            </w:rPr>
            <w:t>102.  合同份数</w:t>
          </w:r>
          <w:r>
            <w:rPr>
              <w:color w:val="auto"/>
              <w:highlight w:val="none"/>
            </w:rPr>
            <w:tab/>
          </w:r>
          <w:r>
            <w:rPr>
              <w:color w:val="auto"/>
              <w:highlight w:val="none"/>
            </w:rPr>
            <w:fldChar w:fldCharType="begin"/>
          </w:r>
          <w:r>
            <w:rPr>
              <w:color w:val="auto"/>
              <w:highlight w:val="none"/>
            </w:rPr>
            <w:instrText xml:space="preserve"> PAGEREF _Toc977 \h </w:instrText>
          </w:r>
          <w:r>
            <w:rPr>
              <w:color w:val="auto"/>
              <w:highlight w:val="none"/>
            </w:rPr>
            <w:fldChar w:fldCharType="separate"/>
          </w:r>
          <w:r>
            <w:rPr>
              <w:color w:val="auto"/>
              <w:highlight w:val="none"/>
            </w:rPr>
            <w:t>241</w:t>
          </w:r>
          <w:r>
            <w:rPr>
              <w:color w:val="auto"/>
              <w:highlight w:val="none"/>
            </w:rPr>
            <w:fldChar w:fldCharType="end"/>
          </w:r>
          <w:r>
            <w:rPr>
              <w:color w:val="auto"/>
              <w:highlight w:val="none"/>
              <w:lang w:eastAsia="zh-CN"/>
            </w:rPr>
            <w:fldChar w:fldCharType="end"/>
          </w:r>
        </w:p>
        <w:p>
          <w:pPr>
            <w:pStyle w:val="29"/>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_Toc14912 </w:instrText>
          </w:r>
          <w:r>
            <w:rPr>
              <w:color w:val="auto"/>
              <w:highlight w:val="none"/>
              <w:lang w:eastAsia="zh-CN"/>
            </w:rPr>
            <w:fldChar w:fldCharType="separate"/>
          </w:r>
          <w:r>
            <w:rPr>
              <w:rFonts w:hint="eastAsia" w:hAnsi="宋体"/>
              <w:bCs w:val="0"/>
              <w:color w:val="auto"/>
              <w:szCs w:val="36"/>
              <w:highlight w:val="none"/>
              <w:lang w:eastAsia="zh-CN"/>
            </w:rPr>
            <w:t>第四部分  附件与格式</w:t>
          </w:r>
          <w:r>
            <w:rPr>
              <w:color w:val="auto"/>
              <w:highlight w:val="none"/>
            </w:rPr>
            <w:tab/>
          </w:r>
          <w:r>
            <w:rPr>
              <w:color w:val="auto"/>
              <w:highlight w:val="none"/>
            </w:rPr>
            <w:fldChar w:fldCharType="begin"/>
          </w:r>
          <w:r>
            <w:rPr>
              <w:color w:val="auto"/>
              <w:highlight w:val="none"/>
            </w:rPr>
            <w:instrText xml:space="preserve"> PAGEREF _Toc14912 \h </w:instrText>
          </w:r>
          <w:r>
            <w:rPr>
              <w:color w:val="auto"/>
              <w:highlight w:val="none"/>
            </w:rPr>
            <w:fldChar w:fldCharType="separate"/>
          </w:r>
          <w:r>
            <w:rPr>
              <w:color w:val="auto"/>
              <w:highlight w:val="none"/>
            </w:rPr>
            <w:t>243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_Toc9602 </w:instrText>
          </w:r>
          <w:r>
            <w:rPr>
              <w:color w:val="auto"/>
              <w:highlight w:val="none"/>
              <w:lang w:eastAsia="zh-CN"/>
            </w:rPr>
            <w:fldChar w:fldCharType="separate"/>
          </w:r>
          <w:r>
            <w:rPr>
              <w:rFonts w:hint="eastAsia" w:ascii="仿宋" w:hAnsi="仿宋" w:eastAsia="仿宋" w:cs="仿宋"/>
              <w:bCs/>
              <w:color w:val="auto"/>
              <w:highlight w:val="none"/>
              <w:lang w:eastAsia="zh-CN"/>
            </w:rPr>
            <w:t>附件一：中标通知书</w:t>
          </w:r>
          <w:r>
            <w:rPr>
              <w:color w:val="auto"/>
              <w:highlight w:val="none"/>
            </w:rPr>
            <w:tab/>
          </w:r>
          <w:r>
            <w:rPr>
              <w:color w:val="auto"/>
              <w:highlight w:val="none"/>
            </w:rPr>
            <w:fldChar w:fldCharType="begin"/>
          </w:r>
          <w:r>
            <w:rPr>
              <w:color w:val="auto"/>
              <w:highlight w:val="none"/>
            </w:rPr>
            <w:instrText xml:space="preserve"> PAGEREF _Toc9602 \h </w:instrText>
          </w:r>
          <w:r>
            <w:rPr>
              <w:color w:val="auto"/>
              <w:highlight w:val="none"/>
            </w:rPr>
            <w:fldChar w:fldCharType="separate"/>
          </w:r>
          <w:r>
            <w:rPr>
              <w:color w:val="auto"/>
              <w:highlight w:val="none"/>
            </w:rPr>
            <w:t>243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_Toc18684 </w:instrText>
          </w:r>
          <w:r>
            <w:rPr>
              <w:color w:val="auto"/>
              <w:highlight w:val="none"/>
              <w:lang w:eastAsia="zh-CN"/>
            </w:rPr>
            <w:fldChar w:fldCharType="separate"/>
          </w:r>
          <w:r>
            <w:rPr>
              <w:rFonts w:hint="eastAsia" w:ascii="仿宋" w:hAnsi="仿宋" w:eastAsia="仿宋" w:cs="仿宋"/>
              <w:bCs/>
              <w:color w:val="auto"/>
              <w:highlight w:val="none"/>
              <w:lang w:eastAsia="zh-CN"/>
            </w:rPr>
            <w:t>附件二：联合体承包协议书（投标方需考虑满足填写合同的内容）</w:t>
          </w:r>
          <w:r>
            <w:rPr>
              <w:color w:val="auto"/>
              <w:highlight w:val="none"/>
            </w:rPr>
            <w:tab/>
          </w:r>
          <w:r>
            <w:rPr>
              <w:color w:val="auto"/>
              <w:highlight w:val="none"/>
            </w:rPr>
            <w:fldChar w:fldCharType="begin"/>
          </w:r>
          <w:r>
            <w:rPr>
              <w:color w:val="auto"/>
              <w:highlight w:val="none"/>
            </w:rPr>
            <w:instrText xml:space="preserve"> PAGEREF _Toc18684 \h </w:instrText>
          </w:r>
          <w:r>
            <w:rPr>
              <w:color w:val="auto"/>
              <w:highlight w:val="none"/>
            </w:rPr>
            <w:fldChar w:fldCharType="separate"/>
          </w:r>
          <w:r>
            <w:rPr>
              <w:color w:val="auto"/>
              <w:highlight w:val="none"/>
            </w:rPr>
            <w:t>244</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_Toc15353 </w:instrText>
          </w:r>
          <w:r>
            <w:rPr>
              <w:color w:val="auto"/>
              <w:highlight w:val="none"/>
              <w:lang w:eastAsia="zh-CN"/>
            </w:rPr>
            <w:fldChar w:fldCharType="separate"/>
          </w:r>
          <w:r>
            <w:rPr>
              <w:rFonts w:hint="eastAsia" w:ascii="仿宋" w:hAnsi="仿宋" w:eastAsia="仿宋" w:cs="仿宋"/>
              <w:bCs/>
              <w:color w:val="auto"/>
              <w:highlight w:val="none"/>
              <w:lang w:eastAsia="zh-CN"/>
            </w:rPr>
            <w:t>附件三：工程质量保修书</w:t>
          </w:r>
          <w:r>
            <w:rPr>
              <w:color w:val="auto"/>
              <w:highlight w:val="none"/>
            </w:rPr>
            <w:tab/>
          </w:r>
          <w:r>
            <w:rPr>
              <w:color w:val="auto"/>
              <w:highlight w:val="none"/>
            </w:rPr>
            <w:fldChar w:fldCharType="begin"/>
          </w:r>
          <w:r>
            <w:rPr>
              <w:color w:val="auto"/>
              <w:highlight w:val="none"/>
            </w:rPr>
            <w:instrText xml:space="preserve"> PAGEREF _Toc15353 \h </w:instrText>
          </w:r>
          <w:r>
            <w:rPr>
              <w:color w:val="auto"/>
              <w:highlight w:val="none"/>
            </w:rPr>
            <w:fldChar w:fldCharType="separate"/>
          </w:r>
          <w:r>
            <w:rPr>
              <w:color w:val="auto"/>
              <w:highlight w:val="none"/>
            </w:rPr>
            <w:t>245</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_Toc25393 </w:instrText>
          </w:r>
          <w:r>
            <w:rPr>
              <w:color w:val="auto"/>
              <w:highlight w:val="none"/>
              <w:lang w:eastAsia="zh-CN"/>
            </w:rPr>
            <w:fldChar w:fldCharType="separate"/>
          </w:r>
          <w:r>
            <w:rPr>
              <w:rFonts w:hint="eastAsia" w:ascii="仿宋" w:hAnsi="仿宋" w:eastAsia="仿宋" w:cs="仿宋"/>
              <w:bCs/>
              <w:color w:val="auto"/>
              <w:highlight w:val="none"/>
            </w:rPr>
            <w:t>附件四</w:t>
          </w:r>
          <w:r>
            <w:rPr>
              <w:rFonts w:hint="eastAsia" w:ascii="仿宋" w:hAnsi="仿宋" w:eastAsia="仿宋" w:cs="仿宋"/>
              <w:bCs/>
              <w:color w:val="auto"/>
              <w:highlight w:val="none"/>
              <w:lang w:eastAsia="zh-CN"/>
            </w:rPr>
            <w:t>：</w:t>
          </w:r>
          <w:r>
            <w:rPr>
              <w:rFonts w:hint="eastAsia" w:ascii="仿宋" w:hAnsi="仿宋" w:eastAsia="仿宋" w:cs="仿宋"/>
              <w:bCs/>
              <w:color w:val="auto"/>
              <w:highlight w:val="none"/>
            </w:rPr>
            <w:t>廉政合同</w:t>
          </w:r>
          <w:r>
            <w:rPr>
              <w:color w:val="auto"/>
              <w:highlight w:val="none"/>
            </w:rPr>
            <w:tab/>
          </w:r>
          <w:r>
            <w:rPr>
              <w:color w:val="auto"/>
              <w:highlight w:val="none"/>
            </w:rPr>
            <w:fldChar w:fldCharType="begin"/>
          </w:r>
          <w:r>
            <w:rPr>
              <w:color w:val="auto"/>
              <w:highlight w:val="none"/>
            </w:rPr>
            <w:instrText xml:space="preserve"> PAGEREF _Toc25393 \h </w:instrText>
          </w:r>
          <w:r>
            <w:rPr>
              <w:color w:val="auto"/>
              <w:highlight w:val="none"/>
            </w:rPr>
            <w:fldChar w:fldCharType="separate"/>
          </w:r>
          <w:r>
            <w:rPr>
              <w:color w:val="auto"/>
              <w:highlight w:val="none"/>
            </w:rPr>
            <w:t>248</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_Toc23477 </w:instrText>
          </w:r>
          <w:r>
            <w:rPr>
              <w:color w:val="auto"/>
              <w:highlight w:val="none"/>
              <w:lang w:eastAsia="zh-CN"/>
            </w:rPr>
            <w:fldChar w:fldCharType="separate"/>
          </w:r>
          <w:r>
            <w:rPr>
              <w:rFonts w:hint="eastAsia" w:ascii="仿宋" w:hAnsi="仿宋" w:eastAsia="仿宋" w:cs="仿宋"/>
              <w:bCs/>
              <w:color w:val="auto"/>
              <w:highlight w:val="none"/>
              <w:lang w:eastAsia="zh-CN"/>
            </w:rPr>
            <w:t>附件五：设计任务书、</w:t>
          </w:r>
          <w:r>
            <w:rPr>
              <w:rFonts w:hint="eastAsia" w:ascii="仿宋" w:hAnsi="仿宋" w:eastAsia="仿宋" w:cs="仿宋"/>
              <w:bCs/>
              <w:color w:val="auto"/>
              <w:highlight w:val="none"/>
              <w:lang w:val="en-US" w:eastAsia="zh-CN"/>
            </w:rPr>
            <w:t>勘察任务书</w:t>
          </w:r>
          <w:r>
            <w:rPr>
              <w:color w:val="auto"/>
              <w:highlight w:val="none"/>
            </w:rPr>
            <w:tab/>
          </w:r>
          <w:r>
            <w:rPr>
              <w:color w:val="auto"/>
              <w:highlight w:val="none"/>
            </w:rPr>
            <w:fldChar w:fldCharType="begin"/>
          </w:r>
          <w:r>
            <w:rPr>
              <w:color w:val="auto"/>
              <w:highlight w:val="none"/>
            </w:rPr>
            <w:instrText xml:space="preserve"> PAGEREF _Toc23477 \h </w:instrText>
          </w:r>
          <w:r>
            <w:rPr>
              <w:color w:val="auto"/>
              <w:highlight w:val="none"/>
            </w:rPr>
            <w:fldChar w:fldCharType="separate"/>
          </w:r>
          <w:r>
            <w:rPr>
              <w:color w:val="auto"/>
              <w:highlight w:val="none"/>
            </w:rPr>
            <w:t>251</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_Toc13144 </w:instrText>
          </w:r>
          <w:r>
            <w:rPr>
              <w:color w:val="auto"/>
              <w:highlight w:val="none"/>
              <w:lang w:eastAsia="zh-CN"/>
            </w:rPr>
            <w:fldChar w:fldCharType="separate"/>
          </w:r>
          <w:r>
            <w:rPr>
              <w:rFonts w:hint="eastAsia" w:ascii="仿宋" w:hAnsi="仿宋" w:eastAsia="仿宋" w:cs="仿宋"/>
              <w:bCs/>
              <w:color w:val="auto"/>
              <w:highlight w:val="none"/>
              <w:lang w:eastAsia="zh-CN"/>
            </w:rPr>
            <w:t>附件六：承包人派驻现场主要管理人员</w:t>
          </w:r>
          <w:r>
            <w:rPr>
              <w:color w:val="auto"/>
              <w:highlight w:val="none"/>
            </w:rPr>
            <w:tab/>
          </w:r>
          <w:r>
            <w:rPr>
              <w:color w:val="auto"/>
              <w:highlight w:val="none"/>
            </w:rPr>
            <w:fldChar w:fldCharType="begin"/>
          </w:r>
          <w:r>
            <w:rPr>
              <w:color w:val="auto"/>
              <w:highlight w:val="none"/>
            </w:rPr>
            <w:instrText xml:space="preserve"> PAGEREF _Toc13144 \h </w:instrText>
          </w:r>
          <w:r>
            <w:rPr>
              <w:color w:val="auto"/>
              <w:highlight w:val="none"/>
            </w:rPr>
            <w:fldChar w:fldCharType="separate"/>
          </w:r>
          <w:r>
            <w:rPr>
              <w:color w:val="auto"/>
              <w:highlight w:val="none"/>
            </w:rPr>
            <w:t>252</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_Toc24949 </w:instrText>
          </w:r>
          <w:r>
            <w:rPr>
              <w:color w:val="auto"/>
              <w:highlight w:val="none"/>
              <w:lang w:eastAsia="zh-CN"/>
            </w:rPr>
            <w:fldChar w:fldCharType="separate"/>
          </w:r>
          <w:r>
            <w:rPr>
              <w:rFonts w:hint="eastAsia" w:ascii="仿宋" w:hAnsi="仿宋" w:eastAsia="仿宋" w:cs="仿宋"/>
              <w:bCs/>
              <w:color w:val="auto"/>
              <w:highlight w:val="none"/>
              <w:lang w:eastAsia="zh-CN"/>
            </w:rPr>
            <w:t>附件七：《施工现场管理制度罚则》</w:t>
          </w:r>
          <w:r>
            <w:rPr>
              <w:color w:val="auto"/>
              <w:highlight w:val="none"/>
            </w:rPr>
            <w:tab/>
          </w:r>
          <w:r>
            <w:rPr>
              <w:color w:val="auto"/>
              <w:highlight w:val="none"/>
            </w:rPr>
            <w:fldChar w:fldCharType="begin"/>
          </w:r>
          <w:r>
            <w:rPr>
              <w:color w:val="auto"/>
              <w:highlight w:val="none"/>
            </w:rPr>
            <w:instrText xml:space="preserve"> PAGEREF _Toc24949 \h </w:instrText>
          </w:r>
          <w:r>
            <w:rPr>
              <w:color w:val="auto"/>
              <w:highlight w:val="none"/>
            </w:rPr>
            <w:fldChar w:fldCharType="separate"/>
          </w:r>
          <w:r>
            <w:rPr>
              <w:color w:val="auto"/>
              <w:highlight w:val="none"/>
            </w:rPr>
            <w:t>253</w:t>
          </w:r>
          <w:r>
            <w:rPr>
              <w:color w:val="auto"/>
              <w:highlight w:val="none"/>
            </w:rPr>
            <w:fldChar w:fldCharType="end"/>
          </w:r>
          <w:r>
            <w:rPr>
              <w:color w:val="auto"/>
              <w:highlight w:val="none"/>
              <w:lang w:eastAsia="zh-CN"/>
            </w:rPr>
            <w:fldChar w:fldCharType="end"/>
          </w:r>
        </w:p>
        <w:p>
          <w:pPr>
            <w:pStyle w:val="34"/>
            <w:tabs>
              <w:tab w:val="right" w:leader="dot" w:pos="8503"/>
            </w:tabs>
            <w:rPr>
              <w:color w:val="auto"/>
              <w:highlight w:val="none"/>
            </w:rPr>
          </w:pPr>
          <w:r>
            <w:rPr>
              <w:color w:val="auto"/>
              <w:highlight w:val="none"/>
              <w:lang w:eastAsia="zh-CN"/>
            </w:rPr>
            <w:fldChar w:fldCharType="begin"/>
          </w:r>
          <w:r>
            <w:rPr>
              <w:color w:val="auto"/>
              <w:highlight w:val="none"/>
              <w:lang w:eastAsia="zh-CN"/>
            </w:rPr>
            <w:instrText xml:space="preserve"> HYPERLINK \l _Toc926 </w:instrText>
          </w:r>
          <w:r>
            <w:rPr>
              <w:color w:val="auto"/>
              <w:highlight w:val="none"/>
              <w:lang w:eastAsia="zh-CN"/>
            </w:rPr>
            <w:fldChar w:fldCharType="separate"/>
          </w:r>
          <w:r>
            <w:rPr>
              <w:rFonts w:hint="eastAsia" w:ascii="仿宋" w:hAnsi="仿宋" w:eastAsia="仿宋" w:cs="仿宋"/>
              <w:bCs/>
              <w:color w:val="auto"/>
              <w:highlight w:val="none"/>
              <w:lang w:eastAsia="zh-CN"/>
            </w:rPr>
            <w:t>附件八：建筑物及附属设施设备交付标准</w:t>
          </w:r>
          <w:r>
            <w:rPr>
              <w:color w:val="auto"/>
              <w:highlight w:val="none"/>
            </w:rPr>
            <w:tab/>
          </w:r>
          <w:r>
            <w:rPr>
              <w:color w:val="auto"/>
              <w:highlight w:val="none"/>
            </w:rPr>
            <w:fldChar w:fldCharType="begin"/>
          </w:r>
          <w:r>
            <w:rPr>
              <w:color w:val="auto"/>
              <w:highlight w:val="none"/>
            </w:rPr>
            <w:instrText xml:space="preserve"> PAGEREF _Toc926 \h </w:instrText>
          </w:r>
          <w:r>
            <w:rPr>
              <w:color w:val="auto"/>
              <w:highlight w:val="none"/>
            </w:rPr>
            <w:fldChar w:fldCharType="separate"/>
          </w:r>
          <w:r>
            <w:rPr>
              <w:color w:val="auto"/>
              <w:highlight w:val="none"/>
            </w:rPr>
            <w:t>269</w:t>
          </w:r>
          <w:r>
            <w:rPr>
              <w:color w:val="auto"/>
              <w:highlight w:val="none"/>
            </w:rPr>
            <w:fldChar w:fldCharType="end"/>
          </w:r>
          <w:r>
            <w:rPr>
              <w:color w:val="auto"/>
              <w:highlight w:val="none"/>
              <w:lang w:eastAsia="zh-CN"/>
            </w:rPr>
            <w:fldChar w:fldCharType="end"/>
          </w:r>
        </w:p>
        <w:p>
          <w:pPr>
            <w:jc w:val="center"/>
            <w:rPr>
              <w:b/>
              <w:color w:val="auto"/>
              <w:highlight w:val="none"/>
              <w:lang w:eastAsia="zh-CN"/>
            </w:rPr>
          </w:pPr>
          <w:r>
            <w:rPr>
              <w:color w:val="auto"/>
              <w:highlight w:val="none"/>
              <w:lang w:eastAsia="zh-CN"/>
            </w:rPr>
            <w:fldChar w:fldCharType="end"/>
          </w:r>
        </w:p>
      </w:sdtContent>
    </w:sdt>
    <w:p>
      <w:pPr>
        <w:pStyle w:val="34"/>
        <w:tabs>
          <w:tab w:val="right" w:leader="dot" w:pos="10194"/>
        </w:tabs>
        <w:spacing w:line="360" w:lineRule="auto"/>
        <w:ind w:left="0"/>
        <w:rPr>
          <w:rStyle w:val="47"/>
          <w:rFonts w:ascii="仿宋" w:hAnsi="仿宋" w:eastAsia="仿宋" w:cs="宋体"/>
          <w:caps/>
          <w:color w:val="auto"/>
          <w:sz w:val="24"/>
          <w:szCs w:val="24"/>
          <w:highlight w:val="none"/>
        </w:rPr>
      </w:pPr>
    </w:p>
    <w:p>
      <w:pPr>
        <w:pStyle w:val="146"/>
        <w:spacing w:before="0" w:after="0" w:line="500" w:lineRule="exact"/>
        <w:jc w:val="center"/>
        <w:rPr>
          <w:rFonts w:ascii="仿宋" w:hAnsi="仿宋" w:eastAsia="仿宋" w:cs="仿宋"/>
          <w:color w:val="auto"/>
          <w:sz w:val="24"/>
          <w:szCs w:val="24"/>
          <w:highlight w:val="none"/>
          <w:lang w:val="zh-CN" w:eastAsia="zh-CN"/>
        </w:rPr>
        <w:sectPr>
          <w:footerReference r:id="rId5" w:type="default"/>
          <w:endnotePr>
            <w:numFmt w:val="decimal"/>
          </w:endnotePr>
          <w:pgSz w:w="11905" w:h="16838"/>
          <w:pgMar w:top="850" w:right="1701" w:bottom="850" w:left="1701" w:header="0" w:footer="210" w:gutter="0"/>
          <w:pgNumType w:start="1"/>
          <w:cols w:space="720" w:num="1"/>
          <w:docGrid w:linePitch="326" w:charSpace="0"/>
        </w:sectPr>
      </w:pPr>
      <w:bookmarkStart w:id="1" w:name="_Toc16018"/>
    </w:p>
    <w:bookmarkEnd w:id="1"/>
    <w:p>
      <w:pPr>
        <w:rPr>
          <w:rFonts w:ascii="宋体"/>
          <w:color w:val="auto"/>
          <w:sz w:val="36"/>
          <w:szCs w:val="36"/>
          <w:highlight w:val="none"/>
          <w:lang w:eastAsia="zh-CN"/>
        </w:rPr>
      </w:pPr>
    </w:p>
    <w:p>
      <w:pPr>
        <w:spacing w:line="360" w:lineRule="auto"/>
        <w:jc w:val="center"/>
        <w:outlineLvl w:val="0"/>
        <w:rPr>
          <w:rFonts w:ascii="宋体"/>
          <w:b/>
          <w:bCs/>
          <w:color w:val="auto"/>
          <w:sz w:val="36"/>
          <w:szCs w:val="36"/>
          <w:highlight w:val="none"/>
          <w:lang w:eastAsia="zh-CN"/>
        </w:rPr>
      </w:pPr>
      <w:bookmarkStart w:id="2" w:name="_Toc2254"/>
      <w:bookmarkStart w:id="3" w:name="_Toc5377"/>
      <w:bookmarkStart w:id="4" w:name="_Toc6234"/>
      <w:bookmarkStart w:id="5" w:name="_Toc6042"/>
      <w:bookmarkStart w:id="6" w:name="_Toc27844"/>
      <w:bookmarkStart w:id="7" w:name="_Toc7948"/>
      <w:bookmarkStart w:id="8" w:name="_Toc16092"/>
      <w:bookmarkStart w:id="9" w:name="_Toc18996"/>
      <w:r>
        <w:rPr>
          <w:rFonts w:hint="eastAsia" w:ascii="宋体" w:hAnsi="宋体" w:cs="宋体"/>
          <w:b/>
          <w:bCs/>
          <w:color w:val="auto"/>
          <w:sz w:val="36"/>
          <w:szCs w:val="36"/>
          <w:highlight w:val="none"/>
          <w:lang w:eastAsia="zh-CN"/>
        </w:rPr>
        <w:t>第一部分</w:t>
      </w:r>
      <w:r>
        <w:rPr>
          <w:rFonts w:ascii="宋体" w:hAnsi="宋体" w:cs="宋体"/>
          <w:b/>
          <w:bCs/>
          <w:color w:val="auto"/>
          <w:sz w:val="36"/>
          <w:szCs w:val="36"/>
          <w:highlight w:val="none"/>
          <w:lang w:eastAsia="zh-CN"/>
        </w:rPr>
        <w:t xml:space="preserve">  </w:t>
      </w:r>
      <w:r>
        <w:rPr>
          <w:rFonts w:hint="eastAsia" w:ascii="宋体" w:hAnsi="宋体" w:cs="宋体"/>
          <w:b/>
          <w:bCs/>
          <w:color w:val="auto"/>
          <w:sz w:val="36"/>
          <w:szCs w:val="36"/>
          <w:highlight w:val="none"/>
          <w:lang w:eastAsia="zh-CN"/>
        </w:rPr>
        <w:t>协</w:t>
      </w:r>
      <w:r>
        <w:rPr>
          <w:rFonts w:ascii="宋体" w:hAnsi="宋体" w:cs="宋体"/>
          <w:b/>
          <w:bCs/>
          <w:color w:val="auto"/>
          <w:sz w:val="36"/>
          <w:szCs w:val="36"/>
          <w:highlight w:val="none"/>
          <w:lang w:eastAsia="zh-CN"/>
        </w:rPr>
        <w:t xml:space="preserve">  </w:t>
      </w:r>
      <w:r>
        <w:rPr>
          <w:rFonts w:hint="eastAsia" w:ascii="宋体" w:hAnsi="宋体" w:cs="宋体"/>
          <w:b/>
          <w:bCs/>
          <w:color w:val="auto"/>
          <w:sz w:val="36"/>
          <w:szCs w:val="36"/>
          <w:highlight w:val="none"/>
          <w:lang w:eastAsia="zh-CN"/>
        </w:rPr>
        <w:t>议</w:t>
      </w:r>
      <w:r>
        <w:rPr>
          <w:rFonts w:ascii="宋体" w:hAnsi="宋体" w:cs="宋体"/>
          <w:b/>
          <w:bCs/>
          <w:color w:val="auto"/>
          <w:sz w:val="36"/>
          <w:szCs w:val="36"/>
          <w:highlight w:val="none"/>
          <w:lang w:eastAsia="zh-CN"/>
        </w:rPr>
        <w:t xml:space="preserve">  </w:t>
      </w:r>
      <w:r>
        <w:rPr>
          <w:rFonts w:hint="eastAsia" w:ascii="宋体" w:hAnsi="宋体" w:cs="宋体"/>
          <w:b/>
          <w:bCs/>
          <w:color w:val="auto"/>
          <w:sz w:val="36"/>
          <w:szCs w:val="36"/>
          <w:highlight w:val="none"/>
          <w:lang w:eastAsia="zh-CN"/>
        </w:rPr>
        <w:t>书</w:t>
      </w:r>
      <w:bookmarkEnd w:id="2"/>
      <w:bookmarkEnd w:id="3"/>
      <w:bookmarkEnd w:id="4"/>
      <w:bookmarkEnd w:id="5"/>
      <w:bookmarkEnd w:id="6"/>
      <w:bookmarkEnd w:id="7"/>
      <w:bookmarkEnd w:id="8"/>
      <w:bookmarkEnd w:id="9"/>
    </w:p>
    <w:p>
      <w:pPr>
        <w:spacing w:line="360" w:lineRule="auto"/>
        <w:jc w:val="center"/>
        <w:rPr>
          <w:rFonts w:ascii="宋体"/>
          <w:color w:val="auto"/>
          <w:sz w:val="36"/>
          <w:szCs w:val="36"/>
          <w:highlight w:val="none"/>
          <w:lang w:eastAsia="zh-CN"/>
        </w:rPr>
      </w:pPr>
    </w:p>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发包人</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（全称）</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广州花都城弘建设发展投资有限公司       </w:t>
      </w:r>
    </w:p>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承包人</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（全称）</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w:t>
      </w:r>
      <w:r>
        <w:rPr>
          <w:rFonts w:ascii="仿宋" w:hAnsi="仿宋" w:eastAsia="仿宋" w:cs="仿宋"/>
          <w:color w:val="auto"/>
          <w:highlight w:val="none"/>
          <w:u w:val="single"/>
          <w:lang w:eastAsia="zh-CN"/>
        </w:rPr>
        <w:t xml:space="preserve">      </w:t>
      </w:r>
    </w:p>
    <w:p>
      <w:pPr>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承包人（承包人为联合体时）：</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(牵头单位全称)</w:t>
      </w:r>
      <w:r>
        <w:rPr>
          <w:rFonts w:hint="eastAsia" w:ascii="仿宋" w:hAnsi="仿宋" w:eastAsia="仿宋" w:cs="仿宋"/>
          <w:color w:val="auto"/>
          <w:highlight w:val="none"/>
          <w:u w:val="single"/>
          <w:lang w:eastAsia="zh-CN"/>
        </w:rPr>
        <w:t xml:space="preserve"> </w:t>
      </w:r>
    </w:p>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(成员单位全称)</w:t>
      </w:r>
      <w:r>
        <w:rPr>
          <w:rFonts w:hint="eastAsia" w:ascii="仿宋" w:hAnsi="仿宋" w:eastAsia="仿宋" w:cs="仿宋"/>
          <w:color w:val="auto"/>
          <w:highlight w:val="none"/>
          <w:u w:val="single"/>
          <w:lang w:eastAsia="zh-CN"/>
        </w:rPr>
        <w:t xml:space="preserve">  </w:t>
      </w:r>
    </w:p>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(成员单位全称)</w:t>
      </w:r>
      <w:r>
        <w:rPr>
          <w:rFonts w:hint="eastAsia" w:ascii="仿宋" w:hAnsi="仿宋" w:eastAsia="仿宋" w:cs="仿宋"/>
          <w:color w:val="auto"/>
          <w:highlight w:val="none"/>
          <w:u w:val="single"/>
          <w:lang w:eastAsia="zh-CN"/>
        </w:rPr>
        <w:t xml:space="preserve">   </w:t>
      </w:r>
    </w:p>
    <w:p>
      <w:pPr>
        <w:spacing w:line="360" w:lineRule="auto"/>
        <w:ind w:left="480" w:leftChars="200"/>
        <w:rPr>
          <w:rFonts w:ascii="仿宋" w:hAnsi="仿宋" w:eastAsia="仿宋" w:cs="仿宋"/>
          <w:color w:val="auto"/>
          <w:highlight w:val="none"/>
          <w:u w:val="single"/>
          <w:lang w:eastAsia="zh-CN"/>
        </w:rPr>
      </w:pPr>
    </w:p>
    <w:p>
      <w:pPr>
        <w:spacing w:line="360" w:lineRule="auto"/>
        <w:ind w:left="480" w:leftChars="200" w:right="192" w:rightChars="8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依照《中华人民共和国民法典》、《中华人民共和国建筑法》及其他有关法律法规，遵循平等、自愿、公平和诚实信用的原则，发包人和承包人就</w:t>
      </w:r>
      <w:r>
        <w:rPr>
          <w:rFonts w:hint="eastAsia" w:ascii="仿宋" w:hAnsi="仿宋" w:eastAsia="仿宋" w:cs="仿宋"/>
          <w:color w:val="auto"/>
          <w:highlight w:val="none"/>
          <w:lang w:eastAsia="zh"/>
        </w:rPr>
        <w:t>先进制造产业园A1地块分地块五、六建设项目</w:t>
      </w:r>
      <w:r>
        <w:rPr>
          <w:rFonts w:hint="eastAsia" w:ascii="仿宋" w:hAnsi="仿宋" w:eastAsia="仿宋" w:cs="仿宋"/>
          <w:color w:val="auto"/>
          <w:highlight w:val="none"/>
          <w:lang w:eastAsia="zh-CN"/>
        </w:rPr>
        <w:t>勘察设计施工总承包及有关事项达成一致意见，订立本合同。</w:t>
      </w:r>
    </w:p>
    <w:p>
      <w:pPr>
        <w:spacing w:line="360" w:lineRule="auto"/>
        <w:ind w:left="480" w:leftChars="200"/>
        <w:rPr>
          <w:rFonts w:ascii="仿宋" w:hAnsi="仿宋" w:eastAsia="仿宋" w:cs="仿宋"/>
          <w:b/>
          <w:bCs/>
          <w:color w:val="auto"/>
          <w:highlight w:val="none"/>
          <w:lang w:eastAsia="zh-CN"/>
        </w:rPr>
      </w:pPr>
    </w:p>
    <w:p>
      <w:pPr>
        <w:spacing w:line="360" w:lineRule="auto"/>
        <w:ind w:left="480" w:leftChars="200"/>
        <w:outlineLvl w:val="1"/>
        <w:rPr>
          <w:rFonts w:ascii="仿宋" w:hAnsi="仿宋" w:eastAsia="仿宋" w:cs="仿宋"/>
          <w:b/>
          <w:bCs/>
          <w:color w:val="auto"/>
          <w:highlight w:val="none"/>
          <w:lang w:eastAsia="zh-CN"/>
        </w:rPr>
      </w:pPr>
      <w:bookmarkStart w:id="10" w:name="_Toc3172"/>
      <w:bookmarkStart w:id="11" w:name="_Toc26526"/>
      <w:bookmarkStart w:id="12" w:name="_Toc2639"/>
      <w:bookmarkStart w:id="13" w:name="_Toc18632"/>
      <w:bookmarkStart w:id="14" w:name="_Toc20693"/>
      <w:bookmarkStart w:id="15" w:name="_Toc29390"/>
      <w:bookmarkStart w:id="16" w:name="_Toc6823"/>
      <w:bookmarkStart w:id="17" w:name="_Toc27627"/>
      <w:bookmarkStart w:id="18" w:name="_Toc25303"/>
      <w:r>
        <w:rPr>
          <w:rFonts w:hint="eastAsia" w:ascii="仿宋" w:hAnsi="仿宋" w:eastAsia="仿宋" w:cs="仿宋"/>
          <w:b/>
          <w:bCs/>
          <w:color w:val="auto"/>
          <w:highlight w:val="none"/>
          <w:lang w:eastAsia="zh-CN"/>
        </w:rPr>
        <w:t>一、工程概况</w:t>
      </w:r>
      <w:bookmarkEnd w:id="10"/>
      <w:bookmarkEnd w:id="11"/>
      <w:bookmarkEnd w:id="12"/>
      <w:bookmarkEnd w:id="13"/>
      <w:bookmarkEnd w:id="14"/>
      <w:bookmarkEnd w:id="15"/>
      <w:bookmarkEnd w:id="16"/>
      <w:bookmarkEnd w:id="17"/>
      <w:bookmarkEnd w:id="18"/>
    </w:p>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立项批文编号：</w:t>
      </w:r>
      <w:r>
        <w:rPr>
          <w:rFonts w:hint="eastAsia" w:ascii="仿宋" w:hAnsi="仿宋" w:eastAsia="仿宋" w:cs="仿宋"/>
          <w:color w:val="auto"/>
          <w:highlight w:val="none"/>
          <w:u w:val="single"/>
          <w:lang w:eastAsia="zh-CN"/>
        </w:rPr>
        <w:t>2302-440114-04-01-713058、2302-440114-04-01-999672</w:t>
      </w:r>
    </w:p>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项目名称：</w:t>
      </w:r>
      <w:r>
        <w:rPr>
          <w:rFonts w:hint="eastAsia" w:ascii="仿宋" w:hAnsi="仿宋" w:eastAsia="仿宋" w:cs="仿宋"/>
          <w:color w:val="auto"/>
          <w:highlight w:val="none"/>
          <w:u w:val="single"/>
          <w:lang w:eastAsia="zh"/>
        </w:rPr>
        <w:t>先进制造产业园A1地块分地块五、六建设项目</w:t>
      </w:r>
      <w:r>
        <w:rPr>
          <w:rFonts w:hint="eastAsia" w:ascii="仿宋" w:hAnsi="仿宋" w:eastAsia="仿宋" w:cs="仿宋"/>
          <w:color w:val="auto"/>
          <w:highlight w:val="none"/>
          <w:u w:val="single"/>
          <w:lang w:eastAsia="zh-CN"/>
        </w:rPr>
        <w:t>勘察设计施工总承包及运营项目</w:t>
      </w:r>
    </w:p>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建设地点：</w:t>
      </w:r>
      <w:r>
        <w:rPr>
          <w:rFonts w:hint="eastAsia" w:ascii="仿宋" w:hAnsi="仿宋" w:eastAsia="仿宋" w:cs="仿宋"/>
          <w:color w:val="auto"/>
          <w:highlight w:val="none"/>
          <w:u w:val="single"/>
          <w:lang w:eastAsia="zh-CN"/>
        </w:rPr>
        <w:t>广州市花都区炭步镇沿江大道以北、合进大道以东。</w:t>
      </w:r>
    </w:p>
    <w:p>
      <w:pPr>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合同类型：□设计、采购、施工合同</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☑勘察、设计、施工合同</w:t>
      </w:r>
    </w:p>
    <w:p>
      <w:pPr>
        <w:spacing w:line="360" w:lineRule="auto"/>
        <w:ind w:left="480" w:leftChars="200"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□设计、施工合同</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□其它：</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 </w:t>
      </w:r>
      <w:r>
        <w:rPr>
          <w:rFonts w:ascii="仿宋" w:hAnsi="仿宋" w:eastAsia="仿宋" w:cs="仿宋"/>
          <w:color w:val="auto"/>
          <w:highlight w:val="none"/>
          <w:u w:val="single"/>
          <w:lang w:eastAsia="zh-CN"/>
        </w:rPr>
        <w:t xml:space="preserve">  </w:t>
      </w:r>
    </w:p>
    <w:p>
      <w:pPr>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合同签订阶段：</w:t>
      </w: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可行性研究批准立项或者备案后   </w:t>
      </w:r>
      <w:r>
        <w:rPr>
          <w:rFonts w:hint="eastAsia" w:ascii="仿宋" w:hAnsi="仿宋" w:eastAsia="仿宋" w:cs="仿宋"/>
          <w:color w:val="auto"/>
          <w:highlight w:val="none"/>
          <w:lang w:eastAsia="zh-CN"/>
        </w:rPr>
        <w:sym w:font="Wingdings 2" w:char="0052"/>
      </w:r>
      <w:r>
        <w:rPr>
          <w:rFonts w:hint="eastAsia" w:ascii="仿宋" w:hAnsi="仿宋" w:eastAsia="仿宋" w:cs="仿宋"/>
          <w:color w:val="auto"/>
          <w:highlight w:val="none"/>
          <w:lang w:eastAsia="zh-CN"/>
        </w:rPr>
        <w:t>初步设计批准后</w:t>
      </w:r>
    </w:p>
    <w:p>
      <w:pPr>
        <w:spacing w:line="360" w:lineRule="auto"/>
        <w:ind w:left="480" w:leftChars="200" w:firstLine="1680" w:firstLineChars="7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□其它阶段：</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 </w:t>
      </w:r>
      <w:r>
        <w:rPr>
          <w:rFonts w:ascii="仿宋" w:hAnsi="仿宋" w:eastAsia="仿宋" w:cs="仿宋"/>
          <w:color w:val="auto"/>
          <w:highlight w:val="none"/>
          <w:u w:val="single"/>
          <w:lang w:eastAsia="zh-CN"/>
        </w:rPr>
        <w:t xml:space="preserve">  </w:t>
      </w:r>
    </w:p>
    <w:p>
      <w:pPr>
        <w:autoSpaceDE/>
        <w:spacing w:line="360" w:lineRule="auto"/>
        <w:ind w:left="480" w:leftChars="200" w:firstLine="0" w:firstLineChars="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工程规模：</w:t>
      </w:r>
      <w:bookmarkStart w:id="19" w:name="_Hlk165212818"/>
      <w:r>
        <w:rPr>
          <w:rFonts w:hint="eastAsia" w:ascii="仿宋" w:hAnsi="仿宋" w:eastAsia="仿宋" w:cs="仿宋"/>
          <w:color w:val="auto"/>
          <w:highlight w:val="none"/>
          <w:lang w:val="en-US" w:eastAsia="zh-CN"/>
        </w:rPr>
        <w:t>本项目用地位于广州市花都区沿江大道以北、合进大道以东。共2个地块，分别是：地块五：总用地面积约为65460.54平方米（可建设用地面积58317.08平方米，绿地用地面积7143.46平方米），容积率为2.0-4.0，建筑密度≥30%，10%≤绿地率≤20%；地块六：总用地面积约为63248.64平方米（可建设用地面积58317.06平方米，绿地用地面积4931.58平方米），容积率为2.0-4.0，建筑密度≥30%，10%≤绿地率≤20%；</w:t>
      </w:r>
    </w:p>
    <w:p>
      <w:pPr>
        <w:keepNext w:val="0"/>
        <w:keepLines w:val="0"/>
        <w:widowControl w:val="0"/>
        <w:suppressLineNumbers w:val="0"/>
        <w:autoSpaceDE w:val="0"/>
        <w:autoSpaceDN w:val="0"/>
        <w:spacing w:before="0" w:beforeAutospacing="0" w:after="0" w:afterAutospacing="0" w:line="360" w:lineRule="auto"/>
        <w:ind w:left="480" w:leftChars="200" w:right="0" w:firstLine="0" w:firstLineChars="0"/>
        <w:jc w:val="left"/>
        <w:rPr>
          <w:rFonts w:hint="eastAsia" w:ascii="仿宋" w:hAnsi="仿宋" w:eastAsia="仿宋" w:cs="仿宋"/>
          <w:color w:val="auto"/>
          <w:highlight w:val="none"/>
          <w:lang w:eastAsia="zh-CN"/>
        </w:rPr>
      </w:pPr>
      <w:r>
        <w:rPr>
          <w:rFonts w:hint="eastAsia" w:ascii="仿宋" w:hAnsi="仿宋" w:eastAsia="仿宋" w:cs="仿宋"/>
          <w:color w:val="auto"/>
          <w:highlight w:val="none"/>
          <w:lang w:val="en-US" w:eastAsia="zh-CN"/>
        </w:rPr>
        <w:t>地块五：总用地面积约为65460.54平方米（可建设用地面积58317.08平方米，绿地用地面积7143.46平方米）。共建设24栋单体，地下室1处。包括：A-3型厂房1栋；C型厂房6栋；C-1型厂房6栋；C-2型厂房6栋；D型厂房1栋；D-1型厂房1栋；D-2型厂房1栋；E型厂房1栋；1#宿舍楼1栋，含地下车库及设备用房；总建筑面积162033.10㎡，其中：地上建筑面积：158150.00㎡，地下建筑面积：3883.10㎡；计容建筑面积155650.00㎡，建筑基底面积27846.00㎡，容积率</w:t>
      </w:r>
      <w:r>
        <w:rPr>
          <w:rFonts w:hint="eastAsia" w:ascii="仿宋" w:hAnsi="仿宋" w:eastAsia="仿宋" w:cs="仿宋"/>
          <w:color w:val="auto"/>
          <w:highlight w:val="none"/>
          <w:lang w:val="en-US" w:eastAsia="zh"/>
        </w:rPr>
        <w:t>2.67</w:t>
      </w:r>
      <w:r>
        <w:rPr>
          <w:rFonts w:hint="eastAsia" w:ascii="仿宋" w:hAnsi="仿宋" w:eastAsia="仿宋" w:cs="仿宋"/>
          <w:color w:val="auto"/>
          <w:highlight w:val="none"/>
          <w:lang w:val="en-US" w:eastAsia="zh-CN"/>
        </w:rPr>
        <w:t>，建筑密度47.75%，绿地率10.02%。机动车停车位</w:t>
      </w:r>
      <w:r>
        <w:rPr>
          <w:rFonts w:hint="eastAsia" w:ascii="仿宋" w:hAnsi="仿宋" w:eastAsia="仿宋" w:cs="仿宋"/>
          <w:color w:val="auto"/>
          <w:highlight w:val="none"/>
          <w:lang w:val="en-US" w:eastAsia="zh"/>
        </w:rPr>
        <w:t>486</w:t>
      </w:r>
      <w:r>
        <w:rPr>
          <w:rFonts w:hint="eastAsia" w:ascii="仿宋" w:hAnsi="仿宋" w:eastAsia="仿宋" w:cs="仿宋"/>
          <w:color w:val="auto"/>
          <w:highlight w:val="none"/>
          <w:lang w:val="en-US" w:eastAsia="zh-CN"/>
        </w:rPr>
        <w:t>个,非机动车停车位</w:t>
      </w:r>
      <w:r>
        <w:rPr>
          <w:rFonts w:hint="eastAsia" w:ascii="仿宋" w:hAnsi="仿宋" w:eastAsia="仿宋" w:cs="仿宋"/>
          <w:color w:val="auto"/>
          <w:highlight w:val="none"/>
          <w:lang w:val="en-US" w:eastAsia="zh"/>
        </w:rPr>
        <w:t>242</w:t>
      </w:r>
      <w:r>
        <w:rPr>
          <w:rFonts w:hint="eastAsia" w:ascii="仿宋" w:hAnsi="仿宋" w:eastAsia="仿宋" w:cs="仿宋"/>
          <w:color w:val="auto"/>
          <w:highlight w:val="none"/>
          <w:lang w:val="en-US" w:eastAsia="zh-CN"/>
        </w:rPr>
        <w:t>个。地块五，地下最多1层，地上最多19层、建筑最大跨度11.5米、</w:t>
      </w:r>
      <w:r>
        <w:rPr>
          <w:rFonts w:hint="eastAsia" w:ascii="仿宋" w:hAnsi="仿宋" w:eastAsia="仿宋" w:cs="仿宋"/>
          <w:color w:val="auto"/>
          <w:spacing w:val="0"/>
          <w:kern w:val="0"/>
          <w:sz w:val="24"/>
          <w:szCs w:val="24"/>
          <w:highlight w:val="none"/>
          <w:lang w:val="en-US" w:eastAsia="zh-CN" w:bidi="ar"/>
        </w:rPr>
        <w:t>最大单体面积约 2.0万㎡、最大单体建筑高度约为 67.15米</w:t>
      </w:r>
      <w:r>
        <w:rPr>
          <w:rFonts w:hint="default" w:ascii="仿宋" w:hAnsi="仿宋" w:eastAsia="仿宋" w:cs="仿宋"/>
          <w:color w:val="auto"/>
          <w:spacing w:val="-9"/>
          <w:kern w:val="0"/>
          <w:sz w:val="24"/>
          <w:szCs w:val="24"/>
          <w:highlight w:val="none"/>
          <w:lang w:val="en-US" w:eastAsia="zh-CN" w:bidi="ar"/>
        </w:rPr>
        <w:t>、</w:t>
      </w:r>
      <w:r>
        <w:rPr>
          <w:rFonts w:hint="eastAsia" w:ascii="仿宋" w:hAnsi="仿宋" w:eastAsia="仿宋" w:cs="仿宋"/>
          <w:color w:val="auto"/>
          <w:highlight w:val="none"/>
          <w:lang w:val="en-US" w:eastAsia="zh-CN"/>
        </w:rPr>
        <w:t>建筑结构设计安全等级为二级，地基基础设计等级拟定为乙级。</w:t>
      </w:r>
    </w:p>
    <w:p>
      <w:pPr>
        <w:widowControl w:val="0"/>
        <w:autoSpaceDE w:val="0"/>
        <w:autoSpaceDN w:val="0"/>
        <w:spacing w:line="360" w:lineRule="auto"/>
        <w:ind w:left="480" w:leftChars="200" w:firstLine="0" w:firstLineChars="0"/>
        <w:rPr>
          <w:rFonts w:hint="eastAsia" w:ascii="仿宋" w:hAnsi="仿宋" w:eastAsia="仿宋" w:cs="仿宋"/>
          <w:color w:val="auto"/>
          <w:highlight w:val="none"/>
          <w:lang w:eastAsia="zh-CN"/>
        </w:rPr>
      </w:pPr>
      <w:r>
        <w:rPr>
          <w:rFonts w:hint="eastAsia" w:ascii="仿宋" w:hAnsi="仿宋" w:eastAsia="仿宋" w:cs="仿宋"/>
          <w:color w:val="auto"/>
          <w:highlight w:val="none"/>
          <w:lang w:val="en-US" w:eastAsia="zh-CN"/>
        </w:rPr>
        <w:t>地块六：总用地面积约为63248.64平方米（可建设用地面积58317.06平方米，绿地用地面积4931.58平方米）。共建设17栋单体，地下室1处。包括：A-1型厂房1栋；A-2型厂房1栋；B-1型厂房1栋；C型厂房5栋；C-1型厂房5栋；C-2型厂房3栋；2#宿舍楼1栋，含地下车库及设备用房；总建筑面积155364.35㎡，其中：地上建筑面积：151816.00㎡，地下建筑面积：3548.35㎡；计容建筑面积149816.00㎡，建筑基底面积30967.00㎡，容积率2.57，建筑密度53.10%，绿地率10.06%。机动车停车位468个。非机动车停车位215个。</w:t>
      </w:r>
      <w:r>
        <w:rPr>
          <w:rFonts w:hint="eastAsia" w:ascii="仿宋" w:hAnsi="仿宋" w:eastAsia="仿宋" w:cs="仿宋"/>
          <w:color w:val="auto"/>
          <w:highlight w:val="none"/>
          <w:lang w:val="en-US" w:eastAsia="zh"/>
        </w:rPr>
        <w:t>地块六，</w:t>
      </w:r>
      <w:r>
        <w:rPr>
          <w:rFonts w:hint="eastAsia" w:ascii="仿宋" w:hAnsi="仿宋" w:eastAsia="仿宋" w:cs="仿宋"/>
          <w:color w:val="auto"/>
          <w:highlight w:val="none"/>
          <w:lang w:val="en-US" w:eastAsia="zh-CN"/>
        </w:rPr>
        <w:t>地下最多1层，地上最多19层、建筑最大跨度15米、最大单体面积约 3.7万㎡、最大单体建筑高度约为 67.15米、建筑结构设计安全等级为二级，地基基础设计等级拟定为乙级。</w:t>
      </w:r>
    </w:p>
    <w:p>
      <w:pPr>
        <w:autoSpaceDE/>
        <w:spacing w:line="360" w:lineRule="auto"/>
        <w:ind w:left="480" w:leftChars="200" w:firstLine="0" w:firstLineChars="0"/>
        <w:rPr>
          <w:color w:val="auto"/>
          <w:highlight w:val="none"/>
        </w:rPr>
      </w:pPr>
      <w:r>
        <w:rPr>
          <w:rFonts w:hint="eastAsia" w:ascii="仿宋" w:hAnsi="仿宋" w:eastAsia="仿宋" w:cs="仿宋"/>
          <w:color w:val="auto"/>
          <w:highlight w:val="none"/>
          <w:lang w:val="en-US" w:eastAsia="zh-CN"/>
        </w:rPr>
        <w:t>项目建设主要内容为：包括但不仅限于场地平整、地基基础、基坑支护、土方开挖和回填、主体结构、楼地面、门窗、屋面、装饰装修、机电给排水安装、消防、人防、通风、节能、绿建、智能化、建筑泛光、标识标牌、设备采购与安装等，及用地红线范围内的道路及其附属给水、排水、排污、海绵城市、路灯等市政配套、园林建筑及绿化、临时围蔽施工、临设搭设等相关配套工程等。（备注：以上建设内容和规模最终以建设管理部门和规划国土管理部门批复意见及建设单位需求为准。）</w:t>
      </w:r>
    </w:p>
    <w:p>
      <w:pPr>
        <w:autoSpaceDE w:val="0"/>
        <w:spacing w:line="360" w:lineRule="auto"/>
        <w:ind w:left="0" w:leftChars="0" w:firstLine="480" w:firstLineChars="200"/>
        <w:rPr>
          <w:rFonts w:hint="eastAsia" w:ascii="仿宋" w:hAnsi="仿宋" w:eastAsia="仿宋" w:cs="仿宋"/>
          <w:color w:val="auto"/>
          <w:highlight w:val="none"/>
          <w:lang w:eastAsia="zh-CN"/>
        </w:rPr>
      </w:pPr>
    </w:p>
    <w:bookmarkEnd w:id="19"/>
    <w:p>
      <w:pPr>
        <w:spacing w:line="360" w:lineRule="auto"/>
        <w:ind w:left="480" w:left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结构形式：</w:t>
      </w:r>
      <w:r>
        <w:rPr>
          <w:rFonts w:hint="eastAsia" w:ascii="仿宋" w:hAnsi="仿宋" w:eastAsia="仿宋" w:cs="仿宋"/>
          <w:color w:val="auto"/>
          <w:highlight w:val="none"/>
          <w:u w:val="single"/>
          <w:lang w:eastAsia="zh-CN"/>
        </w:rPr>
        <w:t>框架结构。</w:t>
      </w:r>
    </w:p>
    <w:p>
      <w:pPr>
        <w:spacing w:line="360" w:lineRule="auto"/>
        <w:ind w:left="480" w:leftChars="200"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☑本项目不含装配式建筑</w:t>
      </w:r>
    </w:p>
    <w:p>
      <w:pPr>
        <w:spacing w:line="360" w:lineRule="auto"/>
        <w:ind w:firstLine="1680" w:firstLineChars="7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□本项目含装配式建筑，各装配式单体工程名称：</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 </w:t>
      </w:r>
      <w:r>
        <w:rPr>
          <w:rFonts w:ascii="仿宋" w:hAnsi="仿宋" w:eastAsia="仿宋" w:cs="仿宋"/>
          <w:color w:val="auto"/>
          <w:highlight w:val="none"/>
          <w:u w:val="single"/>
          <w:lang w:eastAsia="zh-CN"/>
        </w:rPr>
        <w:t xml:space="preserve">  </w:t>
      </w:r>
    </w:p>
    <w:p>
      <w:pPr>
        <w:spacing w:line="360" w:lineRule="auto"/>
        <w:ind w:left="480" w:leftChars="200"/>
        <w:rPr>
          <w:rFonts w:ascii="仿宋" w:hAnsi="仿宋" w:eastAsia="仿宋" w:cs="仿宋"/>
          <w:color w:val="auto"/>
          <w:highlight w:val="none"/>
          <w:u w:val="single"/>
          <w:lang w:eastAsia="zh-CN"/>
        </w:rPr>
      </w:pP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各装配式单体工程装配率或评价等级：</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 </w:t>
      </w:r>
      <w:r>
        <w:rPr>
          <w:rFonts w:ascii="仿宋" w:hAnsi="仿宋" w:eastAsia="仿宋" w:cs="仿宋"/>
          <w:color w:val="auto"/>
          <w:highlight w:val="none"/>
          <w:u w:val="single"/>
          <w:lang w:eastAsia="zh-CN"/>
        </w:rPr>
        <w:t xml:space="preserve">  </w:t>
      </w:r>
    </w:p>
    <w:p>
      <w:pPr>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BIM技术应用：</w:t>
      </w:r>
      <w:r>
        <w:rPr>
          <w:rFonts w:hint="eastAsia" w:ascii="仿宋" w:hAnsi="仿宋" w:eastAsia="仿宋" w:cs="仿宋"/>
          <w:color w:val="auto"/>
          <w:highlight w:val="none"/>
          <w:lang w:eastAsia="zh-CN"/>
        </w:rPr>
        <w:sym w:font="Wingdings 2" w:char="0052"/>
      </w:r>
      <w:r>
        <w:rPr>
          <w:rFonts w:hint="eastAsia" w:ascii="仿宋" w:hAnsi="仿宋" w:eastAsia="仿宋" w:cs="仿宋"/>
          <w:color w:val="auto"/>
          <w:highlight w:val="none"/>
          <w:lang w:eastAsia="zh-CN"/>
        </w:rPr>
        <w:t>本项目不采用BIM技术应用</w:t>
      </w:r>
    </w:p>
    <w:p>
      <w:pPr>
        <w:spacing w:line="360" w:lineRule="auto"/>
        <w:ind w:firstLine="2160" w:firstLineChars="900"/>
        <w:rPr>
          <w:rFonts w:ascii="仿宋" w:hAnsi="仿宋" w:eastAsia="仿宋" w:cs="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本项目采用BIM技术应用：</w:t>
      </w:r>
    </w:p>
    <w:p>
      <w:pPr>
        <w:spacing w:line="360" w:lineRule="auto"/>
        <w:ind w:left="960" w:leftChars="400"/>
        <w:rPr>
          <w:rFonts w:ascii="仿宋" w:hAnsi="仿宋" w:eastAsia="仿宋" w:cs="仿宋"/>
          <w:color w:val="auto"/>
          <w:highlight w:val="none"/>
        </w:rPr>
      </w:pPr>
      <w:r>
        <w:rPr>
          <w:rFonts w:hint="eastAsia" w:ascii="仿宋" w:hAnsi="仿宋" w:eastAsia="仿宋" w:cs="仿宋"/>
          <w:color w:val="auto"/>
          <w:highlight w:val="none"/>
        </w:rPr>
        <w:t>1、选用平台：□</w:t>
      </w:r>
      <w:r>
        <w:rPr>
          <w:rFonts w:hint="eastAsia" w:ascii="宋体" w:hAnsi="宋体"/>
          <w:color w:val="auto"/>
          <w:highlight w:val="none"/>
        </w:rPr>
        <w:t xml:space="preserve">Revit  </w:t>
      </w:r>
      <w:r>
        <w:rPr>
          <w:rFonts w:hint="eastAsia" w:ascii="宋体" w:hAnsi="宋体" w:cs="仿宋"/>
          <w:color w:val="auto"/>
          <w:highlight w:val="none"/>
        </w:rPr>
        <w:t>□</w:t>
      </w:r>
      <w:r>
        <w:rPr>
          <w:rFonts w:ascii="宋体" w:hAnsi="宋体"/>
          <w:color w:val="auto"/>
          <w:highlight w:val="none"/>
        </w:rPr>
        <w:t>Navisworks</w:t>
      </w:r>
      <w:r>
        <w:rPr>
          <w:rFonts w:hint="eastAsia" w:ascii="宋体" w:hAnsi="宋体"/>
          <w:color w:val="auto"/>
          <w:highlight w:val="none"/>
        </w:rPr>
        <w:t xml:space="preserve">  </w:t>
      </w:r>
      <w:r>
        <w:rPr>
          <w:rFonts w:hint="eastAsia" w:ascii="宋体" w:hAnsi="宋体" w:cs="仿宋"/>
          <w:color w:val="auto"/>
          <w:highlight w:val="none"/>
        </w:rPr>
        <w:t>□</w:t>
      </w:r>
      <w:r>
        <w:rPr>
          <w:rFonts w:ascii="宋体" w:hAnsi="宋体"/>
          <w:color w:val="auto"/>
          <w:highlight w:val="none"/>
        </w:rPr>
        <w:t>Bentley Navigator</w:t>
      </w:r>
      <w:r>
        <w:rPr>
          <w:rFonts w:hint="eastAsia" w:ascii="宋体" w:hAnsi="宋体"/>
          <w:color w:val="auto"/>
          <w:highlight w:val="none"/>
        </w:rPr>
        <w:t xml:space="preserve">  </w:t>
      </w:r>
      <w:r>
        <w:rPr>
          <w:rFonts w:hint="eastAsia" w:ascii="宋体" w:hAnsi="宋体" w:cs="仿宋"/>
          <w:color w:val="auto"/>
          <w:highlight w:val="none"/>
        </w:rPr>
        <w:t>□</w:t>
      </w:r>
      <w:r>
        <w:rPr>
          <w:rFonts w:ascii="宋体" w:hAnsi="宋体"/>
          <w:color w:val="auto"/>
          <w:highlight w:val="none"/>
        </w:rPr>
        <w:t>Tekla Structures</w:t>
      </w:r>
      <w:r>
        <w:rPr>
          <w:rFonts w:hint="eastAsia" w:ascii="宋体" w:hAnsi="宋体"/>
          <w:color w:val="auto"/>
          <w:highlight w:val="none"/>
        </w:rPr>
        <w:t xml:space="preserve">  </w:t>
      </w:r>
      <w:r>
        <w:rPr>
          <w:rFonts w:hint="eastAsia" w:ascii="宋体" w:hAnsi="宋体" w:cs="仿宋"/>
          <w:color w:val="auto"/>
          <w:highlight w:val="none"/>
        </w:rPr>
        <w:t>□</w:t>
      </w:r>
      <w:r>
        <w:rPr>
          <w:rFonts w:ascii="宋体" w:hAnsi="宋体"/>
          <w:color w:val="auto"/>
          <w:highlight w:val="none"/>
        </w:rPr>
        <w:t>ArchiCAD</w:t>
      </w:r>
      <w:r>
        <w:rPr>
          <w:rFonts w:hint="eastAsia" w:ascii="宋体" w:hAnsi="宋体"/>
          <w:color w:val="auto"/>
          <w:highlight w:val="none"/>
        </w:rPr>
        <w:t xml:space="preserve">  </w:t>
      </w:r>
      <w:r>
        <w:rPr>
          <w:rFonts w:hint="eastAsia" w:ascii="宋体" w:hAnsi="宋体" w:cs="仿宋"/>
          <w:color w:val="auto"/>
          <w:highlight w:val="none"/>
        </w:rPr>
        <w:t>□</w:t>
      </w:r>
      <w:r>
        <w:rPr>
          <w:rFonts w:hint="eastAsia" w:ascii="宋体" w:hAnsi="宋体"/>
          <w:color w:val="auto"/>
          <w:highlight w:val="none"/>
        </w:rPr>
        <w:t xml:space="preserve">OpenPlant  </w:t>
      </w:r>
      <w:r>
        <w:rPr>
          <w:rFonts w:hint="eastAsia" w:ascii="宋体" w:hAnsi="宋体" w:cs="仿宋"/>
          <w:color w:val="auto"/>
          <w:highlight w:val="none"/>
        </w:rPr>
        <w:t>□</w:t>
      </w:r>
      <w:r>
        <w:rPr>
          <w:rFonts w:hint="eastAsia" w:ascii="仿宋" w:hAnsi="仿宋" w:eastAsia="仿宋" w:cs="仿宋"/>
          <w:color w:val="auto"/>
          <w:highlight w:val="none"/>
        </w:rPr>
        <w:t>Rebro  □其他：</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 </w:t>
      </w:r>
      <w:r>
        <w:rPr>
          <w:rFonts w:ascii="仿宋" w:hAnsi="仿宋" w:eastAsia="仿宋" w:cs="仿宋"/>
          <w:color w:val="auto"/>
          <w:highlight w:val="none"/>
          <w:u w:val="single"/>
          <w:lang w:eastAsia="zh-CN"/>
        </w:rPr>
        <w:t xml:space="preserve">  </w:t>
      </w:r>
    </w:p>
    <w:p>
      <w:pPr>
        <w:spacing w:line="360" w:lineRule="auto"/>
        <w:ind w:left="960" w:left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2、应用阶段：□设计施工运营三阶段应用  □设计与施工联合应用  </w:t>
      </w: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施工与运维联合应用  </w:t>
      </w: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其它</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w:t>
      </w:r>
      <w:r>
        <w:rPr>
          <w:rFonts w:ascii="仿宋" w:hAnsi="仿宋" w:eastAsia="仿宋" w:cs="仿宋"/>
          <w:color w:val="auto"/>
          <w:highlight w:val="none"/>
          <w:u w:val="single"/>
          <w:lang w:eastAsia="zh-CN"/>
        </w:rPr>
        <w:t xml:space="preserve">  </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资金来源：</w:t>
      </w:r>
      <w:r>
        <w:rPr>
          <w:rFonts w:hint="eastAsia" w:ascii="仿宋" w:hAnsi="仿宋" w:eastAsia="仿宋" w:cs="仿宋"/>
          <w:color w:val="auto"/>
          <w:highlight w:val="none"/>
          <w:u w:val="single"/>
          <w:lang w:eastAsia="zh-CN"/>
        </w:rPr>
        <w:t>企业自筹</w:t>
      </w:r>
    </w:p>
    <w:p>
      <w:pPr>
        <w:spacing w:line="360" w:lineRule="auto"/>
        <w:ind w:firstLine="48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其他：</w:t>
      </w:r>
      <w:r>
        <w:rPr>
          <w:rFonts w:hint="eastAsia" w:ascii="仿宋" w:hAnsi="仿宋" w:eastAsia="仿宋" w:cs="仿宋"/>
          <w:color w:val="auto"/>
          <w:highlight w:val="none"/>
          <w:u w:val="single"/>
          <w:lang w:eastAsia="zh-CN"/>
        </w:rPr>
        <w:t>无</w:t>
      </w:r>
    </w:p>
    <w:p>
      <w:pPr>
        <w:spacing w:line="360" w:lineRule="auto"/>
        <w:ind w:firstLine="480"/>
        <w:rPr>
          <w:rFonts w:ascii="仿宋" w:hAnsi="仿宋" w:eastAsia="仿宋"/>
          <w:color w:val="auto"/>
          <w:highlight w:val="none"/>
          <w:lang w:eastAsia="zh-CN"/>
        </w:rPr>
      </w:pPr>
    </w:p>
    <w:p>
      <w:pPr>
        <w:spacing w:line="360" w:lineRule="auto"/>
        <w:outlineLvl w:val="1"/>
        <w:rPr>
          <w:rFonts w:ascii="仿宋" w:hAnsi="仿宋" w:eastAsia="仿宋" w:cs="仿宋"/>
          <w:b/>
          <w:bCs/>
          <w:color w:val="auto"/>
          <w:highlight w:val="none"/>
          <w:lang w:eastAsia="zh-CN"/>
        </w:rPr>
      </w:pPr>
      <w:bookmarkStart w:id="20" w:name="_Toc31481"/>
      <w:bookmarkStart w:id="21" w:name="_Toc2894"/>
      <w:bookmarkStart w:id="22" w:name="_Toc6219"/>
      <w:bookmarkStart w:id="23" w:name="_Toc6311"/>
      <w:bookmarkStart w:id="24" w:name="_Toc23788"/>
      <w:bookmarkStart w:id="25" w:name="_Toc19242"/>
      <w:bookmarkStart w:id="26" w:name="_Toc15106"/>
      <w:bookmarkStart w:id="27" w:name="_Toc10817"/>
      <w:bookmarkStart w:id="28" w:name="_Toc5743"/>
      <w:r>
        <w:rPr>
          <w:rFonts w:hint="eastAsia" w:ascii="仿宋" w:hAnsi="仿宋" w:eastAsia="仿宋" w:cs="仿宋"/>
          <w:b/>
          <w:bCs/>
          <w:color w:val="auto"/>
          <w:highlight w:val="none"/>
          <w:lang w:eastAsia="zh-CN"/>
        </w:rPr>
        <w:t>二、总承包范围与</w:t>
      </w:r>
      <w:r>
        <w:rPr>
          <w:rFonts w:ascii="仿宋" w:hAnsi="仿宋" w:eastAsia="仿宋" w:cs="仿宋"/>
          <w:b/>
          <w:bCs/>
          <w:color w:val="auto"/>
          <w:highlight w:val="none"/>
          <w:lang w:eastAsia="zh-CN"/>
        </w:rPr>
        <w:t>工程内容</w:t>
      </w:r>
      <w:bookmarkEnd w:id="20"/>
      <w:bookmarkEnd w:id="21"/>
      <w:bookmarkEnd w:id="22"/>
      <w:bookmarkEnd w:id="23"/>
      <w:bookmarkEnd w:id="24"/>
      <w:bookmarkEnd w:id="25"/>
      <w:bookmarkEnd w:id="26"/>
      <w:bookmarkEnd w:id="27"/>
      <w:bookmarkEnd w:id="28"/>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1.总承包范围</w:t>
      </w:r>
      <w:r>
        <w:rPr>
          <w:rFonts w:ascii="仿宋" w:hAnsi="仿宋" w:eastAsia="仿宋" w:cs="仿宋"/>
          <w:color w:val="auto"/>
          <w:highlight w:val="none"/>
          <w:lang w:eastAsia="zh-CN"/>
        </w:rPr>
        <w:t>:</w:t>
      </w:r>
    </w:p>
    <w:p>
      <w:pPr>
        <w:keepNext w:val="0"/>
        <w:keepLines w:val="0"/>
        <w:widowControl w:val="0"/>
        <w:suppressLineNumbers w:val="0"/>
        <w:spacing w:before="0" w:beforeAutospacing="0" w:after="0" w:afterAutospacing="0"/>
        <w:ind w:left="0" w:right="0" w:firstLine="480" w:firstLineChars="200"/>
        <w:jc w:val="both"/>
        <w:rPr>
          <w:rFonts w:hint="default" w:ascii="仿宋" w:hAnsi="仿宋" w:eastAsia="仿宋" w:cs="仿宋"/>
          <w:color w:val="auto"/>
          <w:kern w:val="2"/>
          <w:sz w:val="24"/>
          <w:szCs w:val="24"/>
          <w:highlight w:val="none"/>
        </w:rPr>
      </w:pPr>
      <w:r>
        <w:rPr>
          <w:rFonts w:hint="eastAsia" w:ascii="仿宋" w:hAnsi="仿宋" w:eastAsia="仿宋" w:cs="仿宋"/>
          <w:color w:val="auto"/>
          <w:highlight w:val="none"/>
          <w:lang w:eastAsia="zh-CN"/>
        </w:rPr>
        <w:t>☑勘察</w:t>
      </w:r>
      <w:r>
        <w:rPr>
          <w:rFonts w:ascii="仿宋" w:hAnsi="仿宋" w:eastAsia="仿宋" w:cs="仿宋"/>
          <w:color w:val="auto"/>
          <w:highlight w:val="none"/>
          <w:lang w:eastAsia="zh-CN"/>
        </w:rPr>
        <w:t>:</w:t>
      </w:r>
      <w:r>
        <w:rPr>
          <w:rFonts w:hint="default" w:ascii="仿宋" w:hAnsi="仿宋" w:eastAsia="仿宋" w:cs="仿宋"/>
          <w:color w:val="auto"/>
          <w:kern w:val="2"/>
          <w:sz w:val="24"/>
          <w:szCs w:val="24"/>
          <w:highlight w:val="none"/>
          <w:lang w:val="en-US" w:eastAsia="zh-CN" w:bidi="ar"/>
        </w:rPr>
        <w:t>项目前期已完成初步勘察，勘察人完成详细勘察时需结合初步勘察结果，并按照招标文件及合同约定的范围和发包人批复的施工图纸，完成本项目建设红线图范围内、外所需的所有勘察工作，包括但限于详细勘察、超前钻、地形标高测量、地下管线探测、管波探测，按相关要求包工、包料、包安全文明、包水电，包通过建设等主管部门组织的勘察报告审查，包施工图设计、土建施工现场的勘察要求跟踪技术服务，包验收以及其他相关的技术支持和服务。包括但不限于：</w:t>
      </w:r>
    </w:p>
    <w:p>
      <w:pPr>
        <w:pStyle w:val="37"/>
        <w:keepNext w:val="0"/>
        <w:keepLines w:val="0"/>
        <w:widowControl w:val="0"/>
        <w:suppressLineNumbers w:val="0"/>
        <w:spacing w:before="0" w:beforeAutospacing="0" w:after="0" w:afterAutospacing="0"/>
        <w:ind w:left="0" w:right="0" w:firstLine="720" w:firstLineChars="30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w:t>
      </w:r>
      <w:r>
        <w:rPr>
          <w:rFonts w:hint="eastAsia" w:ascii="仿宋" w:hAnsi="仿宋" w:eastAsia="仿宋" w:cs="仿宋"/>
          <w:color w:val="auto"/>
          <w:kern w:val="2"/>
          <w:sz w:val="24"/>
          <w:szCs w:val="24"/>
          <w:highlight w:val="none"/>
          <w:lang w:val="en-US" w:eastAsia="zh" w:bidi="ar"/>
        </w:rPr>
        <w:t>1</w:t>
      </w:r>
      <w:r>
        <w:rPr>
          <w:rFonts w:hint="default" w:ascii="仿宋" w:hAnsi="仿宋" w:eastAsia="仿宋" w:cs="仿宋"/>
          <w:color w:val="auto"/>
          <w:kern w:val="2"/>
          <w:sz w:val="24"/>
          <w:szCs w:val="24"/>
          <w:highlight w:val="none"/>
          <w:lang w:val="en-US" w:eastAsia="zh-CN" w:bidi="ar"/>
        </w:rPr>
        <w:t>）岩土勘察</w:t>
      </w:r>
    </w:p>
    <w:p>
      <w:pPr>
        <w:keepNext w:val="0"/>
        <w:keepLines w:val="0"/>
        <w:widowControl w:val="0"/>
        <w:suppressLineNumbers w:val="0"/>
        <w:spacing w:before="0" w:beforeAutospacing="0" w:after="0" w:afterAutospacing="0"/>
        <w:ind w:left="0" w:right="0" w:firstLine="480" w:firstLineChars="20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1）查明并评价工程地质情况（包括查明暗藏的河道、沟浜、墓穴、孤石等），为地基基础（含基坑支护、边坡、挡土墙等）设计与施工、地基处理与加固、不良地质现象的防治工程等提供工程地质资料及建议。</w:t>
      </w:r>
    </w:p>
    <w:p>
      <w:pPr>
        <w:keepNext w:val="0"/>
        <w:keepLines w:val="0"/>
        <w:widowControl w:val="0"/>
        <w:suppressLineNumbers w:val="0"/>
        <w:spacing w:before="0" w:beforeAutospacing="0" w:after="0" w:afterAutospacing="0"/>
        <w:ind w:left="0" w:right="0" w:firstLine="480" w:firstLineChars="20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2）收集及购买资料、现场踏勘和测量、制定勘察纲要、钻探、详细勘察（包括岩土工程勘察）、超前钻、钻探、水文地质及地下综合管线勘察、根据项目设计工作需要开展必要的管线补充探测\实施勘察过程中发生的相关工作、勘察过程中发生的用材以及加工、勘察作业机具的进退场及现场搬运等服务等勘察工作。</w:t>
      </w:r>
    </w:p>
    <w:p>
      <w:pPr>
        <w:keepNext w:val="0"/>
        <w:keepLines w:val="0"/>
        <w:widowControl w:val="0"/>
        <w:suppressLineNumbers w:val="0"/>
        <w:spacing w:before="0" w:beforeAutospacing="0" w:after="0" w:afterAutospacing="0"/>
        <w:ind w:left="0" w:right="0" w:firstLine="480" w:firstLineChars="20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3）实施勘察过程中发生的相关工作（包括障碍物拆除、开挖等，）、勘察过程中发生的用材以及加工、勘察作业机具的进退场及现场搬运等服务，以及综合考虑不同自然条件下、不同作业内容、不同复杂程度及高温勘察等一切因素下的勘探作业的费用。</w:t>
      </w:r>
    </w:p>
    <w:p>
      <w:pPr>
        <w:keepNext w:val="0"/>
        <w:keepLines w:val="0"/>
        <w:widowControl w:val="0"/>
        <w:suppressLineNumbers w:val="0"/>
        <w:spacing w:before="0" w:beforeAutospacing="0" w:after="0" w:afterAutospacing="0"/>
        <w:ind w:left="0" w:right="0" w:firstLine="480" w:firstLineChars="20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4）现场勘察实际条件需勘察单位现场踏勘，承包人需充分考虑场地交通条件（含周边市政道路、桥隧等）、构筑物、植被、地形和水塘等对勘察工作的影响，发包人不提供三通一平条件。</w:t>
      </w:r>
    </w:p>
    <w:p>
      <w:pPr>
        <w:keepNext w:val="0"/>
        <w:keepLines w:val="0"/>
        <w:widowControl w:val="0"/>
        <w:suppressLineNumbers w:val="0"/>
        <w:spacing w:before="0" w:beforeAutospacing="0" w:after="0" w:afterAutospacing="0"/>
        <w:ind w:left="0" w:right="0" w:firstLine="480" w:firstLineChars="20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5）支护桩超前钻暂定为每隔三根一钻，工程桩暂定为每桩一钻，管波探测随超前钻进行，最终按施工图为准。</w:t>
      </w:r>
    </w:p>
    <w:p>
      <w:pPr>
        <w:keepNext w:val="0"/>
        <w:keepLines w:val="0"/>
        <w:widowControl w:val="0"/>
        <w:suppressLineNumbers w:val="0"/>
        <w:spacing w:before="0" w:beforeAutospacing="0" w:after="0" w:afterAutospacing="0"/>
        <w:ind w:left="0" w:right="0" w:firstLine="480" w:firstLineChars="20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w:t>
      </w:r>
      <w:r>
        <w:rPr>
          <w:rFonts w:hint="eastAsia" w:ascii="仿宋" w:hAnsi="仿宋" w:eastAsia="仿宋" w:cs="仿宋"/>
          <w:color w:val="auto"/>
          <w:kern w:val="2"/>
          <w:sz w:val="24"/>
          <w:szCs w:val="24"/>
          <w:highlight w:val="none"/>
          <w:lang w:val="en-US" w:eastAsia="zh" w:bidi="ar"/>
        </w:rPr>
        <w:t>2</w:t>
      </w:r>
      <w:r>
        <w:rPr>
          <w:rFonts w:hint="default" w:ascii="仿宋" w:hAnsi="仿宋" w:eastAsia="仿宋" w:cs="仿宋"/>
          <w:color w:val="auto"/>
          <w:kern w:val="2"/>
          <w:sz w:val="24"/>
          <w:szCs w:val="24"/>
          <w:highlight w:val="none"/>
          <w:lang w:val="en-US" w:eastAsia="zh-CN" w:bidi="ar"/>
        </w:rPr>
        <w:t>）地形标高测量、地下管线探测</w:t>
      </w:r>
    </w:p>
    <w:p>
      <w:pPr>
        <w:keepNext w:val="0"/>
        <w:keepLines w:val="0"/>
        <w:widowControl w:val="0"/>
        <w:suppressLineNumbers w:val="0"/>
        <w:spacing w:before="0" w:beforeAutospacing="0" w:after="0" w:afterAutospacing="0"/>
        <w:ind w:left="0" w:right="0" w:firstLine="600" w:firstLineChars="25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范围暂定用地红线范围内地形标高测量、地下管线探测。</w:t>
      </w:r>
    </w:p>
    <w:p>
      <w:pPr>
        <w:keepNext w:val="0"/>
        <w:keepLines w:val="0"/>
        <w:widowControl w:val="0"/>
        <w:suppressLineNumbers w:val="0"/>
        <w:spacing w:before="0" w:beforeAutospacing="0" w:after="0" w:afterAutospacing="0"/>
        <w:ind w:left="0" w:right="0" w:firstLine="600" w:firstLineChars="25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根据广州市城乡建设委员会《关于加强地下工程施工前地下管线探测工作的通知》（穗建质[2013]845号），对本项目用地红线往外扩10m范围内进行地下管线探测，探测工作包括查明探测范围内各专业管线走向、位置和标高等，作为设计和施工的基础数据。探测单位应当根据《城市地下管线探测技术规程》(CJJ61-2003)和探测合同开展工作，确保工作质量，出具的探测报告需加盖CMA章。</w:t>
      </w:r>
    </w:p>
    <w:p>
      <w:pPr>
        <w:keepNext w:val="0"/>
        <w:keepLines w:val="0"/>
        <w:widowControl w:val="0"/>
        <w:suppressLineNumbers w:val="0"/>
        <w:spacing w:before="0" w:beforeAutospacing="0" w:after="0" w:afterAutospacing="0"/>
        <w:ind w:left="0" w:right="0" w:firstLine="600" w:firstLineChars="250"/>
        <w:jc w:val="both"/>
        <w:rPr>
          <w:rFonts w:hint="default" w:ascii="仿宋" w:hAnsi="仿宋" w:eastAsia="仿宋" w:cs="仿宋"/>
          <w:color w:val="auto"/>
          <w:kern w:val="2"/>
          <w:sz w:val="24"/>
          <w:szCs w:val="24"/>
          <w:highlight w:val="none"/>
        </w:rPr>
      </w:pPr>
      <w:r>
        <w:rPr>
          <w:rFonts w:hint="default" w:ascii="仿宋" w:hAnsi="仿宋" w:eastAsia="仿宋" w:cs="仿宋"/>
          <w:color w:val="auto"/>
          <w:kern w:val="2"/>
          <w:sz w:val="24"/>
          <w:szCs w:val="24"/>
          <w:highlight w:val="none"/>
          <w:lang w:val="en-US" w:eastAsia="zh-CN" w:bidi="ar"/>
        </w:rPr>
        <w:t>（</w:t>
      </w:r>
      <w:r>
        <w:rPr>
          <w:rFonts w:hint="eastAsia" w:ascii="仿宋" w:hAnsi="仿宋" w:eastAsia="仿宋" w:cs="仿宋"/>
          <w:color w:val="auto"/>
          <w:kern w:val="2"/>
          <w:sz w:val="24"/>
          <w:szCs w:val="24"/>
          <w:highlight w:val="none"/>
          <w:lang w:val="en-US" w:eastAsia="zh" w:bidi="ar"/>
        </w:rPr>
        <w:t>3</w:t>
      </w:r>
      <w:r>
        <w:rPr>
          <w:rFonts w:hint="default" w:ascii="仿宋" w:hAnsi="仿宋" w:eastAsia="仿宋" w:cs="仿宋"/>
          <w:color w:val="auto"/>
          <w:kern w:val="2"/>
          <w:sz w:val="24"/>
          <w:szCs w:val="24"/>
          <w:highlight w:val="none"/>
          <w:lang w:val="en-US" w:eastAsia="zh-CN" w:bidi="ar"/>
        </w:rPr>
        <w:t>）管波探测</w:t>
      </w:r>
    </w:p>
    <w:p>
      <w:pPr>
        <w:keepNext w:val="0"/>
        <w:keepLines w:val="0"/>
        <w:widowControl w:val="0"/>
        <w:suppressLineNumbers w:val="0"/>
        <w:spacing w:before="0" w:beforeAutospacing="0" w:after="0" w:afterAutospacing="0"/>
        <w:ind w:left="0" w:right="0"/>
        <w:jc w:val="both"/>
        <w:rPr>
          <w:rFonts w:ascii="仿宋" w:hAnsi="仿宋" w:eastAsia="仿宋" w:cs="仿宋"/>
          <w:color w:val="auto"/>
          <w:highlight w:val="none"/>
        </w:rPr>
      </w:pPr>
      <w:r>
        <w:rPr>
          <w:rFonts w:hint="default" w:ascii="仿宋" w:hAnsi="仿宋" w:eastAsia="仿宋" w:cs="仿宋"/>
          <w:color w:val="auto"/>
          <w:kern w:val="2"/>
          <w:sz w:val="24"/>
          <w:szCs w:val="24"/>
          <w:highlight w:val="none"/>
          <w:lang w:val="en-US" w:eastAsia="zh-CN" w:bidi="ar"/>
        </w:rPr>
        <w:t>根据广东省标《岩溶地区建筑地基基础技术规范》（DBJ/T15-136-2018）第4.3.9条，对于荷载较大的工程桩或大直径嵌岩桩，宜采用一桩多孔或钻孔结合控制物探方法确定持力层性桩。对大于等于1.0m桩径的基础工程桩进行管波探测，以查明钻孔为中心、半径1.0m的桩位持力层完整性及岩溶、裂隙、软弱夹层发育情况，为桩基设计和施工提供地质依据，具体管波探测孔布置情况可参考表4.3.9及桩基平面图。</w:t>
      </w:r>
    </w:p>
    <w:p>
      <w:pPr>
        <w:widowControl w:val="0"/>
        <w:spacing w:line="240" w:lineRule="auto"/>
        <w:ind w:firstLine="600" w:firstLineChars="250"/>
        <w:jc w:val="both"/>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☑设计</w:t>
      </w:r>
      <w:r>
        <w:rPr>
          <w:rFonts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负责</w:t>
      </w:r>
      <w:r>
        <w:rPr>
          <w:rFonts w:hint="eastAsia" w:ascii="仿宋" w:hAnsi="仿宋" w:eastAsia="仿宋" w:cs="仿宋"/>
          <w:color w:val="auto"/>
          <w:highlight w:val="none"/>
          <w:u w:val="single"/>
          <w:lang w:eastAsia="zh"/>
        </w:rPr>
        <w:t>施工图设计至项目竣工的项目</w:t>
      </w:r>
      <w:r>
        <w:rPr>
          <w:rFonts w:hint="eastAsia" w:ascii="仿宋" w:hAnsi="仿宋" w:eastAsia="仿宋" w:cs="仿宋"/>
          <w:color w:val="auto"/>
          <w:highlight w:val="none"/>
          <w:u w:val="single"/>
          <w:lang w:eastAsia="zh-CN"/>
        </w:rPr>
        <w:t>全过程全专业设计、本项目施工范围内所有工程内容的设计，包括但不限于：负责项目的室内、室外管线综合规划设计、BIM设计（如有）、施工图设计、各专项专业设计、建筑节能新技术（</w:t>
      </w:r>
      <w:r>
        <w:rPr>
          <w:rFonts w:hint="eastAsia" w:ascii="仿宋" w:hAnsi="仿宋" w:eastAsia="仿宋" w:cs="仿宋"/>
          <w:color w:val="auto"/>
          <w:highlight w:val="none"/>
          <w:u w:val="single"/>
          <w:lang w:val="en-US" w:eastAsia="zh-CN"/>
        </w:rPr>
        <w:t>含光伏）</w:t>
      </w:r>
      <w:r>
        <w:rPr>
          <w:rFonts w:hint="eastAsia" w:ascii="仿宋" w:hAnsi="仿宋" w:eastAsia="仿宋" w:cs="仿宋"/>
          <w:color w:val="auto"/>
          <w:highlight w:val="none"/>
          <w:u w:val="single"/>
          <w:lang w:eastAsia="zh-CN"/>
        </w:rPr>
        <w:t>的应用及设计、建设用地红线内的临时道路等相关设计、</w:t>
      </w:r>
      <w:r>
        <w:rPr>
          <w:rFonts w:hint="eastAsia" w:ascii="仿宋_GB2312" w:hAnsi="仿宋_GB2312" w:eastAsia="仿宋_GB2312" w:cs="仿宋_GB2312"/>
          <w:color w:val="auto"/>
          <w:highlight w:val="none"/>
          <w:u w:val="single"/>
          <w:lang w:eastAsia="zh-CN"/>
        </w:rPr>
        <w:t>施工图预算（由施工方编制完成）、</w:t>
      </w:r>
      <w:r>
        <w:rPr>
          <w:rFonts w:hint="eastAsia" w:ascii="仿宋" w:hAnsi="仿宋" w:eastAsia="仿宋" w:cs="仿宋"/>
          <w:color w:val="auto"/>
          <w:highlight w:val="none"/>
          <w:u w:val="single"/>
          <w:lang w:eastAsia="zh-CN"/>
        </w:rPr>
        <w:t>全过程的技术把关及跟踪服务、施工过程中的方案优化及设计变更、现场技术指导、服务与监督、竣工图签审，具体以发包人下发的《设计任务书》为准。在施工图阶段提供各专业工程、分项工程技术要求和技术参数指标。</w:t>
      </w:r>
      <w:r>
        <w:rPr>
          <w:rFonts w:hint="eastAsia" w:ascii="仿宋" w:hAnsi="仿宋" w:eastAsia="仿宋" w:cs="仿宋"/>
          <w:color w:val="auto"/>
          <w:highlight w:val="none"/>
          <w:u w:val="single"/>
          <w:lang w:eastAsia="zh"/>
        </w:rPr>
        <w:t>负责施工图设计至竣工验收的相关专家评审及组织评审的相关费用含专家费、材料费、交通费等。</w:t>
      </w:r>
      <w:r>
        <w:rPr>
          <w:rFonts w:hint="eastAsia" w:ascii="仿宋" w:hAnsi="仿宋" w:eastAsia="仿宋" w:cs="仿宋"/>
          <w:color w:val="auto"/>
          <w:highlight w:val="none"/>
          <w:u w:val="single"/>
          <w:lang w:eastAsia="zh-CN"/>
        </w:rPr>
        <w:t>项目设计深度需达到住建部《建设工程设计文件编制深度规定（2016年版）》设计深度的有关规定。</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范围主要包括：</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（1）负责本项目用地红线范围内总平面规划设计、竖向规划设计、管线综合规划、管线综合设计、建筑布局、交通组织、景观绿化、场地分期建设规划等工作；</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包含负责规划用地红线范围内的所有建筑、结构（含钢结构、风洞试验）、装饰装修（含二次精裝修，装修范围包含宿舍楼，厂房公共区域及卫生间，最终交付使用的全部装修设计，详见建筑物及附属设施设备交付标准</w:t>
      </w:r>
      <w:r>
        <w:rPr>
          <w:rFonts w:hint="eastAsia"/>
          <w:color w:val="auto"/>
          <w:highlight w:val="none"/>
          <w:lang w:eastAsia="zh-CN"/>
        </w:rPr>
        <w:t>）</w:t>
      </w:r>
      <w:r>
        <w:rPr>
          <w:rFonts w:hint="eastAsia" w:ascii="仿宋" w:hAnsi="仿宋" w:eastAsia="仿宋" w:cs="仿宋"/>
          <w:color w:val="auto"/>
          <w:highlight w:val="none"/>
          <w:u w:val="single"/>
          <w:lang w:eastAsia="zh-CN"/>
        </w:rPr>
        <w:t>，标识系统、电气、燃气、给排水、强电（含红线外接驳）、弱电（含智能化等）、配电房、通风、空调、装配式（如有）、土方及基坑支护（含深基坑）、护坡、挡土墙、消防、管线综合规划设计、现有的管线迁改及保护方案、门窗幕墙（含深化设计）、信息管理网络化、门岗、围墙、人防、卫生、环保、水土保持（含监测设计）、安全、防水、建筑节能和绿色建筑、环境影响备案及验收、节能评估、泛光照明、市政给排水（含红线外接驳）、园林景观、室外广场、用地红线范围内道路（含红线外接驳）、交通（含评估）、地下车库、海绵城市等上述建筑工程所包含的所有相关专业的设计内容和保证建筑物正常使用及交付要求的其他专业工程设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配合项目所有报建报批工作，包括但不限于：项目的深基坑审查(如有)、施工图审查、挡土墙审查(如有)、永久用水、永久用电、临时/永久路口开设等各专项报批报建和验收工作，负责超限审查报批、勘测成果资料备案、提供相应阶段所需的报审图纸。承包人办理施工许可证的范围包含发包人及承包人直接发包单位的施工内容，纳入总分包管理，并综合施工及验收规划管理。</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（3）负责项目涉及的临时围墙、建设用地红线范围内临时道路、施工用水用电、临时排水、发包人的驻地办公场所设计（临时板房、景观绿化等）等所有临时设施的设计工作。</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（4）负责BIM技术在项目设计阶段的建立、报建、应用、验收；（如有）</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（5）为做好广告宣传物料、沙盘模型制作工作配合提供设计素材；负责方案阶段的三维动画、效果图设计及制作、特殊规格展示图纸等；负责配合项目展示需要提供各项专业设计服务。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w:t>
      </w:r>
      <w:r>
        <w:rPr>
          <w:rFonts w:hint="eastAsia" w:ascii="仿宋" w:hAnsi="仿宋" w:eastAsia="仿宋" w:cs="仿宋"/>
          <w:color w:val="auto"/>
          <w:highlight w:val="none"/>
          <w:lang w:eastAsia="zh"/>
        </w:rPr>
        <w:t>6</w:t>
      </w:r>
      <w:r>
        <w:rPr>
          <w:rFonts w:hint="eastAsia" w:ascii="仿宋" w:hAnsi="仿宋" w:eastAsia="仿宋" w:cs="仿宋"/>
          <w:color w:val="auto"/>
          <w:highlight w:val="none"/>
          <w:u w:val="single"/>
          <w:lang w:eastAsia="zh-CN"/>
        </w:rPr>
        <w:t>）负责设备、大宗材料采购时采购清单、技术参数等编制工作，还包括各阶段方案比选、技术选型比选的投资分析、施工阶段的设计变更造价变化分析等。</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eastAsia="zh"/>
        </w:rPr>
        <w:t>7</w:t>
      </w:r>
      <w:r>
        <w:rPr>
          <w:rFonts w:hint="eastAsia" w:ascii="仿宋" w:hAnsi="仿宋" w:eastAsia="仿宋" w:cs="仿宋"/>
          <w:color w:val="auto"/>
          <w:highlight w:val="none"/>
          <w:u w:val="single"/>
          <w:lang w:eastAsia="zh-CN"/>
        </w:rPr>
        <w:t>）承包人负责提供全过程设计服务及相关协调工作、负责根据建设要求配合组织各项专家评审，并承担相应评审费用和差旅费用。</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eastAsia="zh"/>
        </w:rPr>
        <w:t>8</w:t>
      </w:r>
      <w:r>
        <w:rPr>
          <w:rFonts w:hint="eastAsia" w:ascii="仿宋" w:hAnsi="仿宋" w:eastAsia="仿宋" w:cs="仿宋"/>
          <w:color w:val="auto"/>
          <w:highlight w:val="none"/>
          <w:u w:val="single"/>
          <w:lang w:eastAsia="zh-CN"/>
        </w:rPr>
        <w:t>）承包人除按合同规定的时间和要求向发包人提交设计成果文件外，还应承担工程施工过程直至竣工验收前的设计服务（包含设计变更）等工作，保证设计变更满足施工进度要求。</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eastAsia="zh"/>
        </w:rPr>
        <w:t>9</w:t>
      </w:r>
      <w:r>
        <w:rPr>
          <w:rFonts w:hint="eastAsia" w:ascii="仿宋" w:hAnsi="仿宋" w:eastAsia="仿宋" w:cs="仿宋"/>
          <w:color w:val="auto"/>
          <w:highlight w:val="none"/>
          <w:u w:val="single"/>
          <w:lang w:eastAsia="zh-CN"/>
        </w:rPr>
        <w:t>）在施工图设计过程中，若因为设备订货未确定而造成施工图设计困难时，经发包人书面同意，设计人可以合理地预先选定设备型号，以使施工图设计能够正常进行，并在设备订货完成后再补充修改有关的施工图纸，以符合选定的设备材料要求。</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w:t>
      </w:r>
      <w:r>
        <w:rPr>
          <w:rFonts w:hint="eastAsia" w:ascii="仿宋" w:hAnsi="仿宋" w:eastAsia="仿宋" w:cs="仿宋"/>
          <w:color w:val="auto"/>
          <w:highlight w:val="none"/>
          <w:u w:val="single"/>
          <w:lang w:eastAsia="zh"/>
        </w:rPr>
        <w:t>0</w:t>
      </w:r>
      <w:r>
        <w:rPr>
          <w:rFonts w:hint="eastAsia" w:ascii="仿宋" w:hAnsi="仿宋" w:eastAsia="仿宋" w:cs="仿宋"/>
          <w:color w:val="auto"/>
          <w:highlight w:val="none"/>
          <w:u w:val="single"/>
          <w:lang w:eastAsia="zh-CN"/>
        </w:rPr>
        <w:t>）承包人承担的人防工程设计必须满足国家及地方规范、法规及验收要求，并应确保人防各阶段设计通过相关政府部门审查，承包人应主导各阶段与政府部门沟通及报建的相关事宜，发包人作出配合。</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szCs w:val="22"/>
          <w:highlight w:val="none"/>
          <w:u w:val="single"/>
          <w:lang w:eastAsia="zh-CN"/>
        </w:rPr>
        <w:t>（1</w:t>
      </w:r>
      <w:r>
        <w:rPr>
          <w:rFonts w:hint="eastAsia" w:ascii="仿宋" w:hAnsi="仿宋" w:eastAsia="仿宋" w:cs="仿宋"/>
          <w:color w:val="auto"/>
          <w:szCs w:val="22"/>
          <w:highlight w:val="none"/>
          <w:u w:val="single"/>
          <w:lang w:eastAsia="zh"/>
        </w:rPr>
        <w:t>1</w:t>
      </w:r>
      <w:r>
        <w:rPr>
          <w:rFonts w:hint="eastAsia" w:ascii="仿宋" w:hAnsi="仿宋" w:eastAsia="仿宋" w:cs="仿宋"/>
          <w:color w:val="auto"/>
          <w:szCs w:val="22"/>
          <w:highlight w:val="none"/>
          <w:u w:val="single"/>
          <w:lang w:eastAsia="zh-CN"/>
        </w:rPr>
        <w:t>）负责绿色建筑预评价的申报、报告编制及相关报批程序办理（如有）</w:t>
      </w:r>
      <w:r>
        <w:rPr>
          <w:rFonts w:hint="eastAsia" w:ascii="仿宋" w:hAnsi="仿宋" w:eastAsia="仿宋" w:cs="仿宋"/>
          <w:color w:val="auto"/>
          <w:szCs w:val="22"/>
          <w:highlight w:val="none"/>
          <w:lang w:eastAsia="zh-CN"/>
        </w:rPr>
        <w:t>。</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w:t>
      </w:r>
      <w:r>
        <w:rPr>
          <w:rFonts w:hint="eastAsia" w:ascii="仿宋" w:hAnsi="仿宋" w:eastAsia="仿宋" w:cs="仿宋"/>
          <w:color w:val="auto"/>
          <w:highlight w:val="none"/>
          <w:u w:val="single"/>
          <w:lang w:eastAsia="zh"/>
        </w:rPr>
        <w:t>2</w:t>
      </w:r>
      <w:r>
        <w:rPr>
          <w:rFonts w:hint="eastAsia" w:ascii="仿宋" w:hAnsi="仿宋" w:eastAsia="仿宋" w:cs="仿宋"/>
          <w:color w:val="auto"/>
          <w:highlight w:val="none"/>
          <w:u w:val="single"/>
          <w:lang w:eastAsia="zh-CN"/>
        </w:rPr>
        <w:t>）派专人按照发包人图档管理办法要求开展图档资料核对、整理和建档工作（包含且不限于合同台账、变更台账、图纸台账、联系单台账、进度款支付台账）。相关工作包括且不限于设计各阶段（方案设计阶段、初步设计阶段、施工图设计阶段,不含行政审批时间）。</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w:t>
      </w:r>
      <w:r>
        <w:rPr>
          <w:rFonts w:hint="eastAsia" w:ascii="仿宋" w:hAnsi="仿宋" w:eastAsia="仿宋" w:cs="仿宋"/>
          <w:color w:val="auto"/>
          <w:highlight w:val="none"/>
          <w:u w:val="single"/>
          <w:lang w:eastAsia="zh"/>
        </w:rPr>
        <w:t>3</w:t>
      </w:r>
      <w:r>
        <w:rPr>
          <w:rFonts w:hint="eastAsia" w:ascii="仿宋" w:hAnsi="仿宋" w:eastAsia="仿宋" w:cs="仿宋"/>
          <w:color w:val="auto"/>
          <w:highlight w:val="none"/>
          <w:u w:val="single"/>
          <w:lang w:eastAsia="zh-CN"/>
        </w:rPr>
        <w:t>）重要提示和风险提示：</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施工图审查按广东省或项目所在地市现行管理制度执行。</w:t>
      </w:r>
    </w:p>
    <w:p>
      <w:pPr>
        <w:numPr>
          <w:ilvl w:val="255"/>
          <w:numId w:val="0"/>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w:t>
      </w:r>
      <w:r>
        <w:rPr>
          <w:rFonts w:hint="eastAsia" w:ascii="仿宋" w:hAnsi="仿宋" w:eastAsia="仿宋" w:cs="仿宋"/>
          <w:color w:val="auto"/>
          <w:highlight w:val="none"/>
          <w:u w:val="single"/>
          <w:lang w:eastAsia="zh"/>
        </w:rPr>
        <w:t>4</w:t>
      </w:r>
      <w:r>
        <w:rPr>
          <w:rFonts w:hint="eastAsia" w:ascii="仿宋" w:hAnsi="仿宋" w:eastAsia="仿宋" w:cs="仿宋"/>
          <w:color w:val="auto"/>
          <w:highlight w:val="none"/>
          <w:u w:val="single"/>
          <w:lang w:eastAsia="zh-CN"/>
        </w:rPr>
        <w:t>）竣工图纸签审。</w:t>
      </w:r>
    </w:p>
    <w:p>
      <w:pPr>
        <w:pStyle w:val="165"/>
        <w:spacing w:line="360" w:lineRule="auto"/>
        <w:ind w:firstLine="480"/>
        <w:rPr>
          <w:rFonts w:ascii="仿宋" w:hAnsi="仿宋" w:eastAsia="仿宋" w:cs="仿宋"/>
          <w:color w:val="auto"/>
          <w:szCs w:val="22"/>
          <w:highlight w:val="none"/>
          <w:u w:val="single"/>
          <w:lang w:eastAsia="zh-CN"/>
        </w:rPr>
      </w:pPr>
      <w:r>
        <w:rPr>
          <w:rFonts w:hint="eastAsia" w:ascii="仿宋" w:hAnsi="仿宋" w:eastAsia="仿宋" w:cs="仿宋"/>
          <w:color w:val="auto"/>
          <w:szCs w:val="22"/>
          <w:highlight w:val="none"/>
          <w:u w:val="single"/>
          <w:lang w:eastAsia="zh-CN"/>
        </w:rPr>
        <w:t>（1</w:t>
      </w:r>
      <w:r>
        <w:rPr>
          <w:rFonts w:hint="eastAsia" w:ascii="仿宋" w:hAnsi="仿宋" w:eastAsia="仿宋" w:cs="仿宋"/>
          <w:color w:val="auto"/>
          <w:szCs w:val="22"/>
          <w:highlight w:val="none"/>
          <w:u w:val="single"/>
          <w:lang w:eastAsia="zh"/>
        </w:rPr>
        <w:t>5</w:t>
      </w:r>
      <w:r>
        <w:rPr>
          <w:rFonts w:hint="eastAsia" w:ascii="仿宋" w:hAnsi="仿宋" w:eastAsia="仿宋" w:cs="仿宋"/>
          <w:color w:val="auto"/>
          <w:szCs w:val="22"/>
          <w:highlight w:val="none"/>
          <w:u w:val="single"/>
          <w:lang w:eastAsia="zh-CN"/>
        </w:rPr>
        <w:t>）负责本项目数字沙盘制作工作配合提供设计素材；负责方案阶段的三维动画、效果图设计及制作、特殊规格展示图纸等（如有）。</w:t>
      </w:r>
    </w:p>
    <w:p>
      <w:pPr>
        <w:pStyle w:val="165"/>
        <w:spacing w:line="360" w:lineRule="auto"/>
        <w:ind w:firstLine="480"/>
        <w:rPr>
          <w:rFonts w:ascii="仿宋" w:hAnsi="仿宋" w:eastAsia="仿宋" w:cs="仿宋"/>
          <w:color w:val="auto"/>
          <w:szCs w:val="22"/>
          <w:highlight w:val="none"/>
          <w:u w:val="single"/>
          <w:lang w:eastAsia="zh-CN"/>
        </w:rPr>
      </w:pPr>
      <w:r>
        <w:rPr>
          <w:rFonts w:hint="eastAsia" w:ascii="仿宋" w:hAnsi="仿宋" w:eastAsia="仿宋" w:cs="仿宋"/>
          <w:color w:val="auto"/>
          <w:szCs w:val="22"/>
          <w:highlight w:val="none"/>
          <w:u w:val="single"/>
          <w:lang w:eastAsia="zh-CN"/>
        </w:rPr>
        <w:t>（1</w:t>
      </w:r>
      <w:r>
        <w:rPr>
          <w:rFonts w:hint="eastAsia" w:ascii="仿宋" w:hAnsi="仿宋" w:eastAsia="仿宋" w:cs="仿宋"/>
          <w:color w:val="auto"/>
          <w:szCs w:val="22"/>
          <w:highlight w:val="none"/>
          <w:u w:val="single"/>
          <w:lang w:eastAsia="zh"/>
        </w:rPr>
        <w:t>6</w:t>
      </w:r>
      <w:r>
        <w:rPr>
          <w:rFonts w:hint="eastAsia" w:ascii="仿宋" w:hAnsi="仿宋" w:eastAsia="仿宋" w:cs="仿宋"/>
          <w:color w:val="auto"/>
          <w:szCs w:val="22"/>
          <w:highlight w:val="none"/>
          <w:u w:val="single"/>
          <w:lang w:eastAsia="zh-CN"/>
        </w:rPr>
        <w:t>）负责配合招商运营工作：负责配合项目展示需要提供各项专业设计服务。</w:t>
      </w:r>
    </w:p>
    <w:p>
      <w:pPr>
        <w:pStyle w:val="165"/>
        <w:spacing w:line="360" w:lineRule="auto"/>
        <w:ind w:firstLine="480"/>
        <w:rPr>
          <w:rFonts w:hint="eastAsia" w:ascii="仿宋" w:hAnsi="仿宋" w:eastAsia="仿宋" w:cs="仿宋"/>
          <w:color w:val="auto"/>
          <w:szCs w:val="22"/>
          <w:highlight w:val="none"/>
          <w:lang w:eastAsia="zh-CN"/>
        </w:rPr>
      </w:pPr>
      <w:r>
        <w:rPr>
          <w:rFonts w:hint="eastAsia" w:ascii="仿宋" w:hAnsi="仿宋" w:eastAsia="仿宋" w:cs="仿宋"/>
          <w:color w:val="auto"/>
          <w:szCs w:val="22"/>
          <w:highlight w:val="none"/>
          <w:u w:val="single"/>
          <w:lang w:eastAsia="zh-CN"/>
        </w:rPr>
        <w:t>（1</w:t>
      </w:r>
      <w:r>
        <w:rPr>
          <w:rFonts w:hint="eastAsia" w:ascii="仿宋" w:hAnsi="仿宋" w:eastAsia="仿宋" w:cs="仿宋"/>
          <w:color w:val="auto"/>
          <w:szCs w:val="22"/>
          <w:highlight w:val="none"/>
          <w:u w:val="single"/>
          <w:lang w:eastAsia="zh"/>
        </w:rPr>
        <w:t>7</w:t>
      </w:r>
      <w:r>
        <w:rPr>
          <w:rFonts w:hint="eastAsia" w:ascii="仿宋" w:hAnsi="仿宋" w:eastAsia="仿宋" w:cs="仿宋"/>
          <w:color w:val="auto"/>
          <w:szCs w:val="22"/>
          <w:highlight w:val="none"/>
          <w:u w:val="single"/>
          <w:lang w:eastAsia="zh-CN"/>
        </w:rPr>
        <w:t>）根据现场施工进展选派中级职称或以上设计人员驻场服务</w:t>
      </w:r>
      <w:r>
        <w:rPr>
          <w:rFonts w:hint="eastAsia" w:ascii="仿宋" w:hAnsi="仿宋" w:eastAsia="仿宋" w:cs="仿宋"/>
          <w:color w:val="auto"/>
          <w:szCs w:val="22"/>
          <w:highlight w:val="none"/>
          <w:lang w:eastAsia="zh-CN"/>
        </w:rPr>
        <w:t>。</w:t>
      </w:r>
    </w:p>
    <w:p>
      <w:pPr>
        <w:pStyle w:val="165"/>
        <w:spacing w:line="360" w:lineRule="auto"/>
        <w:ind w:firstLine="480"/>
        <w:rPr>
          <w:rFonts w:hint="eastAsia" w:ascii="仿宋" w:hAnsi="仿宋" w:eastAsia="仿宋" w:cs="仿宋"/>
          <w:color w:val="auto"/>
          <w:szCs w:val="22"/>
          <w:highlight w:val="none"/>
          <w:lang w:eastAsia="zh"/>
        </w:rPr>
      </w:pPr>
      <w:r>
        <w:rPr>
          <w:rFonts w:hint="eastAsia" w:ascii="仿宋" w:hAnsi="仿宋" w:eastAsia="仿宋" w:cs="仿宋"/>
          <w:color w:val="auto"/>
          <w:szCs w:val="22"/>
          <w:highlight w:val="none"/>
          <w:lang w:eastAsia="zh"/>
        </w:rPr>
        <w:t>（18）若因项目需求初步设计方案调整，设计单位应无条件配合完成相关施工图的深化设计。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□采购</w:t>
      </w:r>
      <w:r>
        <w:rPr>
          <w:rFonts w:ascii="仿宋" w:hAnsi="仿宋" w:eastAsia="仿宋" w:cs="仿宋"/>
          <w:color w:val="auto"/>
          <w:highlight w:val="none"/>
          <w:lang w:eastAsia="zh-CN"/>
        </w:rPr>
        <w:t>:</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w:t>
      </w:r>
      <w:r>
        <w:rPr>
          <w:rFonts w:ascii="仿宋" w:hAnsi="仿宋" w:eastAsia="仿宋" w:cs="仿宋"/>
          <w:color w:val="auto"/>
          <w:highlight w:val="none"/>
          <w:u w:val="single"/>
          <w:lang w:eastAsia="zh-CN"/>
        </w:rPr>
        <w:t xml:space="preserve">                            </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☑施工</w:t>
      </w:r>
      <w:r>
        <w:rPr>
          <w:rFonts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按照招标文件及合同约定的范围和发包人批复的施工图进行施工总承包，承包方式：包施工、包材料、包设备、包报建、包深化设计、包质量、包安全生产、包文明施工及疫情防护、包工期、包承包范围内工程验收通过、包移交、包结算、包资料整理和归档、包施工总承包管理和现场整体组织、包专业协调及配合、包保修、编制施工图预算、编制竣工图等。具体承包内容如下：</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土建与装饰工程：包括但不限于软基处理工程，土石方工程（含开挖、回填、换填、石方爆破、种植土回填等），并优先场地内土方平衡，如场内挖方少于填方，则优先从发包人指定的周边相邻地块，如周边相邻地块可转运土方量不足或土质不满足要求时再考虑外购土方（需经发包方书面确认），从周边相邻地块获取土石方涉及的清表、建设用地红线范围内临时道路及路口开设（含手续办理、施工、验收移交）、防扬尘、防水土流失、安全生产等措施费用由承包人自理，不再另计），地基与基础工程，主体结构工程，砌筑工程，混凝土及钢筋混凝土工程，门窗工程，屋面工程，防水工程，楼地面装饰工程（含散水、台阶、坡道等），墙、柱面装饰与隔断、幕墙工程，装饰装修工程（含二次精裝修，装修范围包含</w:t>
      </w:r>
      <w:r>
        <w:rPr>
          <w:rFonts w:ascii="仿宋" w:hAnsi="仿宋" w:eastAsia="仿宋" w:cs="仿宋"/>
          <w:color w:val="auto"/>
          <w:highlight w:val="none"/>
          <w:u w:val="single"/>
          <w:lang w:eastAsia="zh-CN"/>
        </w:rPr>
        <w:t>宿舍</w:t>
      </w:r>
      <w:r>
        <w:rPr>
          <w:rFonts w:hint="eastAsia" w:ascii="仿宋" w:hAnsi="仿宋" w:eastAsia="仿宋" w:cs="仿宋"/>
          <w:color w:val="auto"/>
          <w:highlight w:val="none"/>
          <w:u w:val="single"/>
          <w:lang w:eastAsia="zh-CN"/>
        </w:rPr>
        <w:t>楼、</w:t>
      </w:r>
      <w:r>
        <w:rPr>
          <w:rFonts w:hint="eastAsia" w:ascii="仿宋" w:hAnsi="仿宋" w:eastAsia="仿宋" w:cs="仿宋"/>
          <w:color w:val="auto"/>
          <w:highlight w:val="none"/>
          <w:u w:val="single"/>
          <w:lang w:val="en-US" w:eastAsia="zh-CN"/>
        </w:rPr>
        <w:t>光伏工程、</w:t>
      </w:r>
      <w:r>
        <w:rPr>
          <w:rFonts w:hint="eastAsia" w:ascii="仿宋" w:hAnsi="仿宋" w:eastAsia="仿宋" w:cs="仿宋"/>
          <w:color w:val="auto"/>
          <w:highlight w:val="none"/>
          <w:u w:val="single"/>
          <w:lang w:eastAsia="zh-CN"/>
        </w:rPr>
        <w:t>招商中心（如有）等最终交付使用的全部装修设计，详见建筑物及附属设施设备交付标准），绿化景观工程，竣工验收后绿化整改（如有），栏杆工程，脚手架工程，垂直运输及大型机械设备进出场及安拆等</w:t>
      </w:r>
      <w:r>
        <w:rPr>
          <w:rFonts w:hint="eastAsia" w:ascii="仿宋" w:hAnsi="仿宋" w:eastAsia="仿宋" w:cs="仿宋"/>
          <w:color w:val="auto"/>
          <w:highlight w:val="none"/>
          <w:u w:val="single"/>
          <w:lang w:eastAsia="zh"/>
        </w:rPr>
        <w:t>，不含地下室的土方开挖及基坑支护</w:t>
      </w:r>
      <w:r>
        <w:rPr>
          <w:rFonts w:hint="eastAsia" w:ascii="仿宋" w:hAnsi="仿宋" w:eastAsia="仿宋" w:cs="仿宋"/>
          <w:color w:val="auto"/>
          <w:highlight w:val="none"/>
          <w:u w:val="single"/>
          <w:lang w:eastAsia="zh-CN"/>
        </w:rPr>
        <w:t>。</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（2）钢结构工程深化设计及施工（如有）。</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3）安装工程：包括但不限于消防工程，电气工程，给排水工程，泛光照明工程，弱电工程（含智能化、网络等），通风空调设备采购与安装工程，电梯采购与安装工程，防雷工程，人防工程，防火门及防火卷帘，电动卷闸门，升降平台，充电桩工程（如有）等。</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（4）室外工程：包括但不限于室外道路（含建设用地红线范围内园区道路及路口接驳</w:t>
      </w:r>
      <w:r>
        <w:rPr>
          <w:rFonts w:hint="eastAsia" w:ascii="仿宋" w:hAnsi="仿宋" w:eastAsia="仿宋" w:cs="仿宋"/>
          <w:color w:val="auto"/>
          <w:highlight w:val="none"/>
          <w:u w:val="single"/>
          <w:lang w:eastAsia="zh"/>
        </w:rPr>
        <w:t>、临时施工道路</w:t>
      </w:r>
      <w:r>
        <w:rPr>
          <w:rFonts w:hint="eastAsia" w:ascii="仿宋" w:hAnsi="仿宋" w:eastAsia="仿宋" w:cs="仿宋"/>
          <w:color w:val="auto"/>
          <w:highlight w:val="none"/>
          <w:u w:val="single"/>
          <w:lang w:eastAsia="zh-CN"/>
        </w:rPr>
        <w:t>等）、围墙、活动广场、给排水、电气、绿化工程、建筑节能和绿色建筑、外水及外电工程（含红线外接驳）等。</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5）专业工程：包括但不限于供电、智能化、幕墙、电梯、空调通风、发电机房、厨房、抗震支架、综合管线、标识系统、地面处理、交通划线、防水工程、地坪漆、油烟风管、通信（固定电话及宽带，手机无线信号覆盖）等深化设计及施工。</w:t>
      </w:r>
    </w:p>
    <w:p>
      <w:pPr>
        <w:pStyle w:val="2"/>
        <w:rPr>
          <w:color w:val="auto"/>
          <w:highlight w:val="none"/>
          <w:lang w:eastAsia="zh-CN"/>
        </w:rPr>
      </w:pPr>
      <w:r>
        <w:rPr>
          <w:rFonts w:hint="eastAsia" w:ascii="仿宋" w:hAnsi="仿宋" w:eastAsia="仿宋" w:cs="仿宋"/>
          <w:color w:val="auto"/>
          <w:highlight w:val="none"/>
          <w:lang w:eastAsia="zh-CN"/>
        </w:rPr>
        <w:t xml:space="preserve">    </w:t>
      </w:r>
      <w:r>
        <w:rPr>
          <w:rFonts w:hint="eastAsia" w:ascii="仿宋" w:hAnsi="仿宋" w:eastAsia="仿宋" w:cs="仿宋"/>
          <w:color w:val="auto"/>
          <w:highlight w:val="none"/>
          <w:u w:val="single"/>
          <w:lang w:eastAsia="zh-CN"/>
        </w:rPr>
        <w:t>（6）</w:t>
      </w:r>
      <w:r>
        <w:rPr>
          <w:rFonts w:hint="eastAsia" w:ascii="仿宋" w:hAnsi="仿宋" w:eastAsia="仿宋" w:cs="仿宋"/>
          <w:color w:val="auto"/>
          <w:highlight w:val="none"/>
          <w:u w:val="single"/>
          <w:lang w:eastAsia="zh"/>
        </w:rPr>
        <w:t>分地块五、六</w:t>
      </w:r>
      <w:r>
        <w:rPr>
          <w:rFonts w:hint="eastAsia" w:ascii="仿宋" w:hAnsi="仿宋" w:eastAsia="仿宋" w:cs="仿宋"/>
          <w:color w:val="auto"/>
          <w:highlight w:val="none"/>
          <w:u w:val="single"/>
          <w:lang w:val="en-US" w:eastAsia="zh-CN"/>
        </w:rPr>
        <w:t>总用地红线内建设用地红线外的</w:t>
      </w:r>
      <w:r>
        <w:rPr>
          <w:rFonts w:hint="eastAsia" w:ascii="仿宋" w:hAnsi="仿宋" w:eastAsia="仿宋" w:cs="仿宋"/>
          <w:color w:val="auto"/>
          <w:highlight w:val="none"/>
          <w:u w:val="single"/>
          <w:lang w:eastAsia="zh-CN"/>
        </w:rPr>
        <w:t>道路、绿地、河涌（如有）建设工程。</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（7）发包人、监理人及项目有关单位的临时办公场所及设施。</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（8）建筑装修工程及交付使用的各项配套工程，水土保持（含监测及验收）及地质灾害防治。</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（9）分体空调供货安装工程、电梯工程（含客、货梯、消防梯、手扶梯等）。</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（10）完成本项目招标范围内工程施工图预算（含设计变更）等造价文件的编制工作及相关配合报审工作。该部分费用已包含在本合同价款中，不再另计。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11）负责竣工图编制，负责配合组织联合竣工验收及备案手续，包括消防验收、规划验收、环保验收、户内给水、人防、防雷验收等分部分项工程验收、各项专业验收、联合竣工验收及涉及施工单位的验收手续及证明，按要求整理工程竣工验收资料并移交办理《建设工程档案验收合格证》。该部分费用已包含在本合同价款中，不再另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12）负责本项目的施工总承包管理服务，对需要专业分包的专项工程，经发包人书面同意后与专业分包单位签订专业分包合同，并做好协调和管理工作。如发包人需要，同时须按国家、地方、行业规定以及发包人要求采取的工程措施、安全措施、文明措施、疫情管控措施对项目进行工程总承包管理；除本合同专用条款另有约定外，本项目所有的材料检验试验费由承包人自行承担</w:t>
      </w:r>
      <w:r>
        <w:rPr>
          <w:rFonts w:hint="eastAsia" w:ascii="仿宋" w:hAnsi="仿宋" w:eastAsia="仿宋" w:cs="仿宋"/>
          <w:color w:val="auto"/>
          <w:highlight w:val="none"/>
          <w:u w:val="single"/>
          <w:lang w:eastAsia="zh"/>
        </w:rPr>
        <w:t>，并配合</w:t>
      </w:r>
      <w:r>
        <w:rPr>
          <w:rFonts w:hint="eastAsia" w:ascii="仿宋" w:hAnsi="仿宋" w:eastAsia="仿宋" w:cs="仿宋"/>
          <w:color w:val="auto"/>
          <w:highlight w:val="none"/>
          <w:u w:val="single"/>
          <w:lang w:eastAsia="zh-CN"/>
        </w:rPr>
        <w:t>相关基坑监测、桩基检测、主体结构检测、主体沉降监测、消防检测、土壤氡浓度检测、白蚁防治等第三方检测、监测以及符合本项目验收的其他所有检测、监测类方案的编制。对由发包人另行发包的其他工程提供配合服务工作，包括但不限于造价咨询、监理的配合工作，并必须在总施工计划中预留合理的符合施工总工期及关键节点工期，并经发包人认可的相关工期。</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（13）负责协调施工过程中的相关职能部门及周边居民，包括且不限于：街道居委、公安派出所、交通部门、质安监、建管、城管等，该部分费用已包含在本合同价款中，不再另计。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（14）协助做好迎检、开工仪式等筹备工作，设置项目展示的相关临时设施，在总平面布置中预留开放通道及条件，如有需要，承包人需无条件配合发包方组织的“开放日”活动。</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15）施工前期的现场七通一平，包括本工程项目路、气、通讯等与现有市政基础设施的接驳，红线内场地平整及地上附着物清理、现有管线、名木古树、文物及坟墓的迁改（含保护及与相关单位协调、手续办理），该部分费用已包含在本合同价款中。</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（16）负责施工过程中所有材料及设备采购、安装、试验、验收、移交（注：发包人另有约定的除外）。</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（17）实行项目实施阶段全过程建设管理，做好项目设计、施工总协调工作及工程涉及的其它协调管理工作，该部分费用已包含在本合同价款中，不再另计。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18）承包人负责整个工程项目的备案验收通过，整理、汇总发包人单独发包的专业工程提交的竣工验收资料，为各专业分包单位提供竣工验收资料指导工作，确保顺利通过档案验收及竣工备案（该部分费用已包含在本合同价款中，不再另计）。</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（19）承包人须配合项目招商需要，负责內容包括但不限于用地红线内</w:t>
      </w:r>
      <w:r>
        <w:rPr>
          <w:rFonts w:hint="eastAsia" w:ascii="仿宋" w:hAnsi="仿宋" w:eastAsia="仿宋" w:cs="仿宋"/>
          <w:color w:val="auto"/>
          <w:highlight w:val="none"/>
          <w:u w:val="single"/>
          <w:lang w:val="en-US" w:eastAsia="zh-CN"/>
        </w:rPr>
        <w:t>的</w:t>
      </w:r>
      <w:r>
        <w:rPr>
          <w:rFonts w:hint="eastAsia" w:ascii="仿宋" w:hAnsi="仿宋" w:eastAsia="仿宋" w:cs="仿宋"/>
          <w:color w:val="auto"/>
          <w:highlight w:val="none"/>
          <w:u w:val="single"/>
          <w:lang w:eastAsia="zh-CN"/>
        </w:rPr>
        <w:t>招商中心（如有）精裝修施工、招商中心园林、招商中心围蔽、临时停车场、招商中心前临时展示园林及相关区域封闭、围护、防护措施、水电接驳等施工，招商中心开放期间水、电、通信等（均需设置独立于施工用的专线或专用泵）费用按实计取。为项目招商中心提供专属的弱电智能化设计及施工服务等，同时，为配合招商，招商中心多次调整围蔽也包含在本合同价款中。</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20）派专人按照发包人图档管理办法要求开展图档资料核对、整理和建档工作，相关工作包括且不限于：准备阶段（现有管线资料、国土/规划测绘资料等）、施工阶段（施工实施建设阶段、采购、安装、试验、运营调试阶段）、验收及交付阶段（竣工验收、资料编制归档移交、交付使用手续办理等，其中移交物业公司及发包人归档资料各1份，均要求为原件）。具体以发包人实际书面要求通知为准，该费用已包含在合同价中，不另外支付。</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21）承包人应积极协调处理施工场地周围地形关系问题和做好邻近建筑物、构筑物（包括文物保护建筑）、古树名木等的保护工作，如有则及时向有关单位报告。如项目涉及古树名木的，承包人应依法采取必要的避让保护措施或异地迁移措施。如发包方视项目需求须向红线外（50m范围内）放坡、回填、市政道路及景观改造提升、临时或永久占用等，承包人需无条件配合与土储、森林公安、路政、城管等相关单位进行沟通协调并办理相关手续。前述措施涉及费用已包含在合同价中。</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（22）承包人须负责精开荒保洁（达到交付业主标准，交付验收和正式交付前均需达到交付开荒保洁标准）。该费用已包含在合同价中。</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23）开工前，承包人应当投保安全生产责任保险，且该保险保障场所应包含本项目，具体费用已包含在本合同价款中，不再另计）。承包人未按规定购买安全生产责任保险，发包人可拒绝承包人一定时期内参与后续工程投标。承包人还应按相关单位要求购买工伤保险、工程一切险等保障安全施工所必须的险种，以及相关单位在项目施工期间新要求购买的其他保险。该费用已包含在合同价中，不另外支付。</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24）如招标文件要求承包人执行绿色施工、鼓励新能源应用的，承包人应按照规定选用节能、节水、节地、节材、绿色环保的材料、设备和器具。承包人应提供绿色施工组织设计或绿色施工专项方案，并明确节能措施，因地制宜利用新能源、可再生能源，优先使用国家、行业推荐的节能、高效、环保的施工设备和机具。本项目鼓励使用新能源建筑垃圾自卸车（渣土车）等新能源工程车和其他节能环保施工设备。该费用已包含在合同价中，不另外支付。</w:t>
      </w:r>
    </w:p>
    <w:p>
      <w:pPr>
        <w:spacing w:line="360" w:lineRule="auto"/>
        <w:ind w:firstLine="480" w:firstLineChars="200"/>
        <w:rPr>
          <w:rFonts w:hint="eastAsia"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(25)项目临时围墙施工，须满足广东省、广州市《建设工程安全文明施工规程 DB4401/T 210-2023》及花都区相关规范要求。满足相关要求并确保安全。该费用已包含在合同价中。</w:t>
      </w:r>
    </w:p>
    <w:p>
      <w:pPr>
        <w:spacing w:line="360" w:lineRule="auto"/>
        <w:ind w:firstLine="480" w:firstLineChars="200"/>
        <w:rPr>
          <w:rFonts w:hint="eastAsia"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（26）本次施工总承包范围不包括项目地下室范围内的场地平整、开挖、场内堆放</w:t>
      </w:r>
      <w:r>
        <w:rPr>
          <w:rFonts w:hint="eastAsia" w:ascii="仿宋" w:hAnsi="仿宋" w:eastAsia="仿宋" w:cs="仿宋"/>
          <w:color w:val="auto"/>
          <w:highlight w:val="none"/>
          <w:u w:val="single"/>
          <w:lang w:eastAsia="zh"/>
        </w:rPr>
        <w:t>、</w:t>
      </w:r>
      <w:r>
        <w:rPr>
          <w:rFonts w:hint="eastAsia" w:ascii="仿宋" w:hAnsi="仿宋" w:eastAsia="仿宋" w:cs="仿宋"/>
          <w:color w:val="auto"/>
          <w:highlight w:val="none"/>
          <w:u w:val="single"/>
          <w:lang w:eastAsia="zh-CN"/>
        </w:rPr>
        <w:t>护坡挂网喷锚、搅拌桩、排水沟、集水井砌筑等基坑开挖和基坑支护工程</w:t>
      </w:r>
      <w:r>
        <w:rPr>
          <w:rFonts w:hint="eastAsia" w:ascii="仿宋" w:hAnsi="仿宋" w:eastAsia="仿宋" w:cs="仿宋"/>
          <w:color w:val="auto"/>
          <w:highlight w:val="none"/>
          <w:u w:val="single"/>
          <w:lang w:eastAsia="zh"/>
        </w:rPr>
        <w:t>，但需包含土方外运及回填</w:t>
      </w:r>
      <w:r>
        <w:rPr>
          <w:rFonts w:hint="eastAsia" w:ascii="仿宋" w:hAnsi="仿宋" w:eastAsia="仿宋" w:cs="仿宋"/>
          <w:color w:val="auto"/>
          <w:highlight w:val="none"/>
          <w:u w:val="single"/>
          <w:lang w:eastAsia="zh-CN"/>
        </w:rPr>
        <w:t>。</w:t>
      </w:r>
    </w:p>
    <w:p>
      <w:pPr>
        <w:pStyle w:val="22"/>
        <w:rPr>
          <w:rFonts w:hint="eastAsia" w:ascii="仿宋" w:hAnsi="仿宋" w:eastAsia="仿宋" w:cs="仿宋"/>
          <w:color w:val="auto"/>
          <w:sz w:val="24"/>
          <w:szCs w:val="24"/>
          <w:highlight w:val="none"/>
          <w:u w:val="single"/>
          <w:lang w:eastAsia="zh" w:bidi="en-US"/>
        </w:rPr>
      </w:pPr>
      <w:r>
        <w:rPr>
          <w:rFonts w:hint="eastAsia" w:ascii="仿宋" w:hAnsi="仿宋" w:eastAsia="仿宋" w:cs="仿宋"/>
          <w:color w:val="auto"/>
          <w:sz w:val="24"/>
          <w:szCs w:val="24"/>
          <w:highlight w:val="none"/>
          <w:u w:val="single"/>
          <w:lang w:eastAsia="zh-CN" w:bidi="en-US"/>
        </w:rPr>
        <w:t xml:space="preserve">    （27）</w:t>
      </w:r>
      <w:r>
        <w:rPr>
          <w:rFonts w:hint="eastAsia" w:ascii="仿宋" w:hAnsi="仿宋" w:eastAsia="仿宋" w:cs="仿宋"/>
          <w:color w:val="auto"/>
          <w:sz w:val="24"/>
          <w:szCs w:val="24"/>
          <w:highlight w:val="none"/>
          <w:u w:val="single"/>
          <w:lang w:eastAsia="zh" w:bidi="en-US"/>
        </w:rPr>
        <w:t>若因项目需求变化导致初步设计方案调整的，施工单位应无条件配合按设计变更后施工图施工，费用按实结算，但整体费用需控制不超概算金额。</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☑其它:1）</w:t>
      </w:r>
      <w:r>
        <w:rPr>
          <w:rFonts w:hint="eastAsia" w:ascii="仿宋" w:hAnsi="仿宋" w:eastAsia="仿宋" w:cs="仿宋"/>
          <w:color w:val="auto"/>
          <w:highlight w:val="none"/>
          <w:lang w:eastAsia="zh-CN"/>
        </w:rPr>
        <w:t>以上全生命建设周期的施工内容，包报批报建、包施工、包验收、包移交，</w:t>
      </w:r>
      <w:r>
        <w:rPr>
          <w:rFonts w:ascii="仿宋" w:hAnsi="仿宋" w:eastAsia="仿宋" w:cs="仿宋"/>
          <w:color w:val="auto"/>
          <w:highlight w:val="none"/>
          <w:lang w:eastAsia="zh-CN"/>
        </w:rPr>
        <w:t>直至工程竣工验收，完成并配合相关部门结（决）算审计、工程保修等工作和协助办理施工报建阶段、竣工验收阶段的行政主管部门审批和竣工验收资料归档等工作。</w:t>
      </w:r>
      <w:r>
        <w:rPr>
          <w:rFonts w:hint="eastAsia" w:ascii="仿宋" w:hAnsi="仿宋" w:eastAsia="仿宋" w:cs="仿宋"/>
          <w:color w:val="auto"/>
          <w:highlight w:val="none"/>
          <w:lang w:eastAsia="zh-CN"/>
        </w:rPr>
        <w:t>该部分费用已包含在本合同价款中，不再另计；</w:t>
      </w:r>
      <w:r>
        <w:rPr>
          <w:rFonts w:hint="eastAsia" w:ascii="仿宋" w:hAnsi="仿宋" w:eastAsia="仿宋" w:cs="仿宋"/>
          <w:color w:val="auto"/>
          <w:highlight w:val="none"/>
          <w:u w:val="single"/>
          <w:lang w:eastAsia="zh-CN"/>
        </w:rPr>
        <w:t>2）负责属于承包人范围内的报批报建，包括但不限于：专业部门报建（规划、消防、人防、航空、地铁、城管、水务、供电局、燃气、供水、电信、城市轨道交通、公安等），负责项目的《建筑工程施工许可证》、深基坑审查(如有)、施工图审查、</w:t>
      </w:r>
      <w:r>
        <w:rPr>
          <w:rFonts w:hint="eastAsia" w:ascii="仿宋" w:hAnsi="仿宋" w:eastAsia="仿宋" w:cs="仿宋"/>
          <w:color w:val="auto"/>
          <w:highlight w:val="none"/>
          <w:u w:val="single"/>
          <w:lang w:eastAsia="zh"/>
        </w:rPr>
        <w:t>消防审查、</w:t>
      </w:r>
      <w:r>
        <w:rPr>
          <w:rFonts w:hint="eastAsia" w:ascii="仿宋" w:hAnsi="仿宋" w:eastAsia="仿宋" w:cs="仿宋"/>
          <w:color w:val="auto"/>
          <w:highlight w:val="none"/>
          <w:u w:val="single"/>
          <w:lang w:eastAsia="zh-CN"/>
        </w:rPr>
        <w:t>挡土墙审查(如有)、永久用水、永久用电、建设用地红线范围内临时/永久路口开设（包含项目红线至市政路路口连接段，以及红线外规划道路临时占用审批手续等）、地质灾害防治等各专项报批报建和验收工作，派出专人负责协助办理施工阶段各项行政部门开工前置手续直至领取施工许可证，包括但不限于施工建设工程质量监督登记、建设工程安全监督登记、按国家规定办理建设工程劳动保险金、施工合同备案手续、建筑废弃物排放证、临时/永久排污排水、施工许可手续，按发包人要求做好项目的相关报批报建工作、与相关权属单位及施工全过程的沟通协调，满足相关权属单位接收本工程的要求直至工程竣工验收、项目移交为止。凡工程中涉及到劳动、消防、环保、规划、节能、人防、防雷、质量安全、卫生防疫等有关部门检查及验收的项目，及时做好检查、验收准备工作。验收通过后，向发包人提交验收报告，办理竣工备案等。发包人根据工程实施情况，有权对本合同的实施范围和内容进行调整；3）除政府相关部门规定收取的报批报建费用由发包人支付外，其余由承包人自行承担，发包人不另外支付。</w:t>
      </w:r>
    </w:p>
    <w:p>
      <w:pPr>
        <w:spacing w:line="360" w:lineRule="auto"/>
        <w:ind w:firstLine="482" w:firstLineChars="200"/>
        <w:rPr>
          <w:rFonts w:ascii="仿宋" w:hAnsi="仿宋" w:eastAsia="仿宋" w:cs="仿宋"/>
          <w:color w:val="auto"/>
          <w:highlight w:val="none"/>
          <w:u w:val="single"/>
          <w:lang w:eastAsia="zh-CN"/>
        </w:rPr>
      </w:pPr>
      <w:r>
        <w:rPr>
          <w:b/>
          <w:bCs/>
          <w:color w:val="auto"/>
          <w:szCs w:val="21"/>
          <w:highlight w:val="none"/>
          <w:u w:val="single"/>
          <w:lang w:eastAsia="zh-CN"/>
        </w:rPr>
        <w:t>如本项目分期开发，承包</w:t>
      </w:r>
      <w:r>
        <w:rPr>
          <w:rFonts w:hint="eastAsia"/>
          <w:b/>
          <w:bCs/>
          <w:color w:val="auto"/>
          <w:szCs w:val="21"/>
          <w:highlight w:val="none"/>
          <w:u w:val="single"/>
          <w:lang w:eastAsia="zh-CN"/>
        </w:rPr>
        <w:t>人</w:t>
      </w:r>
      <w:r>
        <w:rPr>
          <w:b/>
          <w:bCs/>
          <w:color w:val="auto"/>
          <w:szCs w:val="21"/>
          <w:highlight w:val="none"/>
          <w:u w:val="single"/>
          <w:lang w:eastAsia="zh-CN"/>
        </w:rPr>
        <w:t>应根据实际分期及相关法规准备多套报建备案人员，此费用</w:t>
      </w:r>
      <w:r>
        <w:rPr>
          <w:rFonts w:hint="eastAsia"/>
          <w:b/>
          <w:bCs/>
          <w:color w:val="auto"/>
          <w:szCs w:val="21"/>
          <w:highlight w:val="none"/>
          <w:u w:val="single"/>
          <w:lang w:eastAsia="zh-CN"/>
        </w:rPr>
        <w:t>由承包人</w:t>
      </w:r>
      <w:r>
        <w:rPr>
          <w:b/>
          <w:bCs/>
          <w:color w:val="auto"/>
          <w:szCs w:val="21"/>
          <w:highlight w:val="none"/>
          <w:u w:val="single"/>
          <w:lang w:eastAsia="zh-CN"/>
        </w:rPr>
        <w:t>综合考虑，不予单独计费。如单标段开发面积与政府相关规定冲突，承包单位无条件予以配合并办理相关手续，此费用</w:t>
      </w:r>
      <w:r>
        <w:rPr>
          <w:rFonts w:hint="eastAsia"/>
          <w:b/>
          <w:bCs/>
          <w:color w:val="auto"/>
          <w:szCs w:val="21"/>
          <w:highlight w:val="none"/>
          <w:u w:val="single"/>
          <w:lang w:eastAsia="zh-CN"/>
        </w:rPr>
        <w:t>由承包人</w:t>
      </w:r>
      <w:r>
        <w:rPr>
          <w:b/>
          <w:bCs/>
          <w:color w:val="auto"/>
          <w:szCs w:val="21"/>
          <w:highlight w:val="none"/>
          <w:u w:val="single"/>
          <w:lang w:eastAsia="zh-CN"/>
        </w:rPr>
        <w:t>综合考虑，不予单独计费</w:t>
      </w:r>
      <w:r>
        <w:rPr>
          <w:rFonts w:hint="eastAsia" w:ascii="仿宋" w:hAnsi="仿宋" w:eastAsia="仿宋" w:cs="仿宋"/>
          <w:color w:val="auto"/>
          <w:highlight w:val="none"/>
          <w:u w:val="single"/>
          <w:lang w:eastAsia="zh-CN"/>
        </w:rPr>
        <w:t>。</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2.工程内容</w:t>
      </w:r>
      <w:r>
        <w:rPr>
          <w:rFonts w:ascii="仿宋" w:hAnsi="仿宋" w:eastAsia="仿宋" w:cs="仿宋"/>
          <w:color w:val="auto"/>
          <w:highlight w:val="none"/>
          <w:lang w:eastAsia="zh-CN"/>
        </w:rPr>
        <w:t>:</w:t>
      </w:r>
      <w:r>
        <w:rPr>
          <w:rFonts w:ascii="仿宋" w:hAnsi="仿宋" w:eastAsia="仿宋" w:cs="仿宋"/>
          <w:color w:val="auto"/>
          <w:highlight w:val="none"/>
          <w:u w:val="single"/>
          <w:lang w:eastAsia="zh-CN"/>
        </w:rPr>
        <w:t>详见《</w:t>
      </w:r>
      <w:r>
        <w:rPr>
          <w:rFonts w:hint="eastAsia" w:ascii="仿宋" w:hAnsi="仿宋" w:eastAsia="仿宋" w:cs="仿宋"/>
          <w:color w:val="auto"/>
          <w:highlight w:val="none"/>
          <w:u w:val="single"/>
          <w:lang w:val="en-US" w:eastAsia="zh-CN"/>
        </w:rPr>
        <w:t>勘察任务书、</w:t>
      </w:r>
      <w:r>
        <w:rPr>
          <w:rFonts w:hint="eastAsia" w:ascii="仿宋" w:hAnsi="仿宋" w:eastAsia="仿宋" w:cs="仿宋"/>
          <w:color w:val="auto"/>
          <w:highlight w:val="none"/>
          <w:u w:val="single"/>
          <w:lang w:eastAsia="zh-CN"/>
        </w:rPr>
        <w:t>设计任务</w:t>
      </w:r>
      <w:r>
        <w:rPr>
          <w:rFonts w:hint="eastAsia" w:ascii="仿宋" w:hAnsi="仿宋" w:eastAsia="仿宋"/>
          <w:color w:val="auto"/>
          <w:highlight w:val="none"/>
          <w:u w:val="single"/>
          <w:lang w:eastAsia="zh-CN"/>
        </w:rPr>
        <w:t>书》</w:t>
      </w:r>
    </w:p>
    <w:p>
      <w:pPr>
        <w:spacing w:line="360" w:lineRule="auto"/>
        <w:ind w:firstLine="523" w:firstLineChars="218"/>
        <w:rPr>
          <w:rFonts w:ascii="仿宋" w:hAnsi="仿宋" w:eastAsia="仿宋" w:cs="仿宋"/>
          <w:color w:val="auto"/>
          <w:highlight w:val="none"/>
          <w:u w:val="single"/>
          <w:lang w:eastAsia="zh-CN"/>
        </w:rPr>
      </w:pPr>
    </w:p>
    <w:p>
      <w:pPr>
        <w:spacing w:line="360" w:lineRule="auto"/>
        <w:outlineLvl w:val="1"/>
        <w:rPr>
          <w:rFonts w:ascii="仿宋" w:hAnsi="仿宋" w:eastAsia="仿宋" w:cs="仿宋"/>
          <w:b/>
          <w:bCs/>
          <w:color w:val="auto"/>
          <w:highlight w:val="none"/>
          <w:lang w:eastAsia="zh-CN"/>
        </w:rPr>
      </w:pPr>
      <w:bookmarkStart w:id="29" w:name="_Toc26367"/>
      <w:bookmarkStart w:id="30" w:name="_Toc26421"/>
      <w:bookmarkStart w:id="31" w:name="_Toc23482"/>
      <w:bookmarkStart w:id="32" w:name="_Toc14955"/>
      <w:bookmarkStart w:id="33" w:name="_Toc6289"/>
      <w:bookmarkStart w:id="34" w:name="_Toc2319"/>
      <w:bookmarkStart w:id="35" w:name="_Toc13223"/>
      <w:bookmarkStart w:id="36" w:name="_Toc16829"/>
      <w:bookmarkStart w:id="37" w:name="_Toc11827"/>
      <w:r>
        <w:rPr>
          <w:rFonts w:hint="eastAsia" w:ascii="仿宋" w:hAnsi="仿宋" w:eastAsia="仿宋" w:cs="仿宋"/>
          <w:b/>
          <w:bCs/>
          <w:color w:val="auto"/>
          <w:highlight w:val="none"/>
          <w:lang w:eastAsia="zh-CN"/>
        </w:rPr>
        <w:t>★三、质量标准和要求</w:t>
      </w:r>
      <w:bookmarkEnd w:id="29"/>
      <w:bookmarkEnd w:id="30"/>
      <w:bookmarkEnd w:id="31"/>
      <w:bookmarkEnd w:id="32"/>
      <w:bookmarkEnd w:id="33"/>
      <w:bookmarkEnd w:id="34"/>
      <w:bookmarkEnd w:id="35"/>
      <w:bookmarkEnd w:id="36"/>
      <w:bookmarkEnd w:id="37"/>
    </w:p>
    <w:p>
      <w:pPr>
        <w:kinsoku w:val="0"/>
        <w:wordWrap w:val="0"/>
        <w:spacing w:line="360" w:lineRule="auto"/>
        <w:ind w:left="480" w:left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w:t>
      </w:r>
      <w:r>
        <w:rPr>
          <w:rFonts w:hint="eastAsia" w:ascii="仿宋" w:hAnsi="仿宋" w:eastAsia="仿宋"/>
          <w:color w:val="auto"/>
          <w:highlight w:val="none"/>
          <w:lang w:eastAsia="zh-CN"/>
        </w:rPr>
        <w:t>勘察标准和</w:t>
      </w:r>
      <w:r>
        <w:rPr>
          <w:rFonts w:ascii="仿宋" w:hAnsi="仿宋" w:eastAsia="仿宋"/>
          <w:color w:val="auto"/>
          <w:highlight w:val="none"/>
          <w:lang w:eastAsia="zh-CN"/>
        </w:rPr>
        <w:t>要求</w:t>
      </w:r>
      <w:r>
        <w:rPr>
          <w:rFonts w:hint="eastAsia" w:ascii="仿宋" w:hAnsi="仿宋" w:eastAsia="仿宋"/>
          <w:color w:val="auto"/>
          <w:highlight w:val="none"/>
          <w:lang w:eastAsia="zh-CN"/>
        </w:rPr>
        <w:t>（勘察</w:t>
      </w:r>
      <w:r>
        <w:rPr>
          <w:rFonts w:ascii="仿宋" w:hAnsi="仿宋" w:eastAsia="仿宋"/>
          <w:color w:val="auto"/>
          <w:highlight w:val="none"/>
          <w:lang w:eastAsia="zh-CN"/>
        </w:rPr>
        <w:t>文件编制</w:t>
      </w:r>
      <w:r>
        <w:rPr>
          <w:rFonts w:hint="eastAsia" w:ascii="仿宋" w:hAnsi="仿宋" w:eastAsia="仿宋"/>
          <w:color w:val="auto"/>
          <w:highlight w:val="none"/>
          <w:lang w:eastAsia="zh-CN"/>
        </w:rPr>
        <w:t>及勘察目标</w:t>
      </w:r>
      <w:r>
        <w:rPr>
          <w:rFonts w:ascii="仿宋" w:hAnsi="仿宋" w:eastAsia="仿宋"/>
          <w:color w:val="auto"/>
          <w:highlight w:val="none"/>
          <w:lang w:eastAsia="zh-CN"/>
        </w:rPr>
        <w:t>）</w:t>
      </w:r>
      <w:r>
        <w:rPr>
          <w:rFonts w:hint="eastAsia" w:ascii="仿宋" w:hAnsi="仿宋" w:eastAsia="仿宋"/>
          <w:color w:val="auto"/>
          <w:highlight w:val="none"/>
          <w:lang w:eastAsia="zh-CN"/>
        </w:rPr>
        <w:t>：</w:t>
      </w:r>
      <w:r>
        <w:rPr>
          <w:rFonts w:hint="eastAsia" w:ascii="仿宋" w:hAnsi="仿宋" w:eastAsia="仿宋"/>
          <w:color w:val="auto"/>
          <w:highlight w:val="none"/>
          <w:u w:val="single"/>
          <w:lang w:eastAsia="zh-CN"/>
        </w:rPr>
        <w:t>执行国家现行的《岩土工程勘察规范》（GB50021—2001）及相关行业标准、本项目设计人提出的有关勘察技术要求。工程勘察内容包括但不限于：根据建设工程的要求，查明、分析、评价建设场地的地质地理环境特征和岩土工程条件，编制建设工程勘察报告等工作。</w:t>
      </w:r>
      <w:r>
        <w:rPr>
          <w:rFonts w:ascii="仿宋" w:hAnsi="仿宋" w:eastAsia="仿宋"/>
          <w:color w:val="auto"/>
          <w:highlight w:val="none"/>
          <w:u w:val="single"/>
          <w:lang w:eastAsia="zh-CN"/>
        </w:rPr>
        <w:t xml:space="preserve"> </w:t>
      </w:r>
    </w:p>
    <w:p>
      <w:pPr>
        <w:kinsoku w:val="0"/>
        <w:wordWrap w:val="0"/>
        <w:spacing w:line="360" w:lineRule="auto"/>
        <w:ind w:left="480" w:left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w:t>
      </w:r>
      <w:r>
        <w:rPr>
          <w:rFonts w:hint="eastAsia" w:ascii="仿宋" w:hAnsi="仿宋" w:eastAsia="仿宋"/>
          <w:color w:val="auto"/>
          <w:highlight w:val="none"/>
          <w:lang w:eastAsia="zh-CN"/>
        </w:rPr>
        <w:t>设计标准和</w:t>
      </w:r>
      <w:r>
        <w:rPr>
          <w:rFonts w:ascii="仿宋" w:hAnsi="仿宋" w:eastAsia="仿宋"/>
          <w:color w:val="auto"/>
          <w:highlight w:val="none"/>
          <w:lang w:eastAsia="zh-CN"/>
        </w:rPr>
        <w:t>要求</w:t>
      </w:r>
      <w:r>
        <w:rPr>
          <w:rFonts w:hint="eastAsia" w:ascii="仿宋" w:hAnsi="仿宋" w:eastAsia="仿宋"/>
          <w:color w:val="auto"/>
          <w:highlight w:val="none"/>
          <w:lang w:eastAsia="zh-CN"/>
        </w:rPr>
        <w:t>（设计</w:t>
      </w:r>
      <w:r>
        <w:rPr>
          <w:rFonts w:ascii="仿宋" w:hAnsi="仿宋" w:eastAsia="仿宋"/>
          <w:color w:val="auto"/>
          <w:highlight w:val="none"/>
          <w:lang w:eastAsia="zh-CN"/>
        </w:rPr>
        <w:t>文件编制</w:t>
      </w:r>
      <w:r>
        <w:rPr>
          <w:rFonts w:hint="eastAsia" w:ascii="仿宋" w:hAnsi="仿宋" w:eastAsia="仿宋"/>
          <w:color w:val="auto"/>
          <w:highlight w:val="none"/>
          <w:lang w:eastAsia="zh-CN"/>
        </w:rPr>
        <w:t>及</w:t>
      </w:r>
      <w:r>
        <w:rPr>
          <w:rFonts w:ascii="仿宋" w:hAnsi="仿宋" w:eastAsia="仿宋"/>
          <w:color w:val="auto"/>
          <w:highlight w:val="none"/>
          <w:lang w:eastAsia="zh-CN"/>
        </w:rPr>
        <w:t>限额设计</w:t>
      </w:r>
      <w:r>
        <w:rPr>
          <w:rFonts w:hint="eastAsia" w:ascii="仿宋" w:hAnsi="仿宋" w:eastAsia="仿宋"/>
          <w:color w:val="auto"/>
          <w:highlight w:val="none"/>
          <w:lang w:eastAsia="zh-CN"/>
        </w:rPr>
        <w:t>目标</w:t>
      </w:r>
      <w:r>
        <w:rPr>
          <w:rFonts w:ascii="仿宋" w:hAnsi="仿宋" w:eastAsia="仿宋"/>
          <w:color w:val="auto"/>
          <w:highlight w:val="none"/>
          <w:lang w:eastAsia="zh-CN"/>
        </w:rPr>
        <w:t>）</w:t>
      </w:r>
      <w:r>
        <w:rPr>
          <w:rFonts w:hint="eastAsia" w:ascii="仿宋" w:hAnsi="仿宋" w:eastAsia="仿宋"/>
          <w:color w:val="auto"/>
          <w:highlight w:val="none"/>
          <w:lang w:eastAsia="zh-CN"/>
        </w:rPr>
        <w:t>：</w:t>
      </w:r>
      <w:r>
        <w:rPr>
          <w:rFonts w:hint="eastAsia" w:ascii="仿宋" w:hAnsi="仿宋" w:eastAsia="仿宋"/>
          <w:color w:val="auto"/>
          <w:highlight w:val="none"/>
          <w:u w:val="single"/>
          <w:lang w:eastAsia="zh-CN"/>
        </w:rPr>
        <w:t>符合《工程勘察质量评定办法》、《民用建筑设计质量评定标准》、《建设工程勘察设计管理条例》、《建筑工程设计文件编制深度规范》及《建设工程质量管理条例》等国家及地方有关工程勘察设计管理法规、规章和行业相关规范技术标准等要求；符合本项目设计任务书的要求。</w:t>
      </w:r>
    </w:p>
    <w:p>
      <w:pPr>
        <w:kinsoku w:val="0"/>
        <w:wordWrap w:val="0"/>
        <w:spacing w:line="360" w:lineRule="auto"/>
        <w:ind w:left="480" w:left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□BIM技术应用</w:t>
      </w:r>
      <w:r>
        <w:rPr>
          <w:rFonts w:ascii="仿宋" w:hAnsi="仿宋" w:eastAsia="仿宋"/>
          <w:color w:val="auto"/>
          <w:highlight w:val="none"/>
          <w:lang w:eastAsia="zh-CN"/>
        </w:rPr>
        <w:t>要求</w:t>
      </w:r>
      <w:r>
        <w:rPr>
          <w:rFonts w:hint="eastAsia" w:ascii="仿宋" w:hAnsi="仿宋" w:eastAsia="仿宋"/>
          <w:color w:val="auto"/>
          <w:highlight w:val="none"/>
          <w:lang w:eastAsia="zh-CN"/>
        </w:rPr>
        <w:t>（建筑信息模型（BIM）、应用及协调管理目标</w:t>
      </w:r>
      <w:r>
        <w:rPr>
          <w:rFonts w:ascii="仿宋" w:hAnsi="仿宋" w:eastAsia="仿宋"/>
          <w:color w:val="auto"/>
          <w:highlight w:val="none"/>
          <w:lang w:eastAsia="zh-CN"/>
        </w:rPr>
        <w:t>）</w:t>
      </w:r>
      <w:r>
        <w:rPr>
          <w:rFonts w:hint="eastAsia" w:ascii="仿宋" w:hAnsi="仿宋" w:eastAsia="仿宋"/>
          <w:color w:val="auto"/>
          <w:highlight w:val="none"/>
          <w:lang w:eastAsia="zh-CN"/>
        </w:rPr>
        <w:t>：</w:t>
      </w:r>
      <w:r>
        <w:rPr>
          <w:rFonts w:hint="eastAsia" w:ascii="仿宋" w:hAnsi="仿宋" w:eastAsia="仿宋"/>
          <w:color w:val="auto"/>
          <w:highlight w:val="none"/>
          <w:u w:val="single"/>
          <w:lang w:eastAsia="zh-CN"/>
        </w:rPr>
        <w:t xml:space="preserve"> </w:t>
      </w:r>
      <w:r>
        <w:rPr>
          <w:rFonts w:ascii="仿宋" w:hAnsi="仿宋" w:eastAsia="仿宋"/>
          <w:color w:val="auto"/>
          <w:highlight w:val="none"/>
          <w:u w:val="single"/>
          <w:lang w:eastAsia="zh-CN"/>
        </w:rPr>
        <w:t xml:space="preserve"> </w:t>
      </w:r>
      <w:r>
        <w:rPr>
          <w:rFonts w:hint="eastAsia" w:ascii="仿宋" w:hAnsi="仿宋" w:eastAsia="仿宋"/>
          <w:color w:val="auto"/>
          <w:highlight w:val="none"/>
          <w:u w:val="single"/>
          <w:lang w:eastAsia="zh-CN"/>
        </w:rPr>
        <w:t>/</w:t>
      </w:r>
      <w:r>
        <w:rPr>
          <w:rFonts w:ascii="仿宋" w:hAnsi="仿宋" w:eastAsia="仿宋"/>
          <w:color w:val="auto"/>
          <w:highlight w:val="none"/>
          <w:u w:val="single"/>
          <w:lang w:eastAsia="zh-CN"/>
        </w:rPr>
        <w:t xml:space="preserve">  </w:t>
      </w:r>
    </w:p>
    <w:p>
      <w:pPr>
        <w:kinsoku w:val="0"/>
        <w:wordWrap w:val="0"/>
        <w:spacing w:line="360" w:lineRule="auto"/>
        <w:ind w:left="480" w:left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□设备及工器具购置</w:t>
      </w:r>
      <w:r>
        <w:rPr>
          <w:rFonts w:hint="eastAsia" w:ascii="仿宋" w:hAnsi="仿宋" w:eastAsia="仿宋"/>
          <w:color w:val="auto"/>
          <w:highlight w:val="none"/>
          <w:lang w:eastAsia="zh-CN"/>
        </w:rPr>
        <w:t>标准和</w:t>
      </w:r>
      <w:r>
        <w:rPr>
          <w:rFonts w:ascii="仿宋" w:hAnsi="仿宋" w:eastAsia="仿宋"/>
          <w:color w:val="auto"/>
          <w:highlight w:val="none"/>
          <w:lang w:eastAsia="zh-CN"/>
        </w:rPr>
        <w:t>要求</w:t>
      </w:r>
      <w:r>
        <w:rPr>
          <w:rFonts w:hint="eastAsia" w:ascii="仿宋" w:hAnsi="仿宋" w:eastAsia="仿宋"/>
          <w:color w:val="auto"/>
          <w:highlight w:val="none"/>
          <w:lang w:eastAsia="zh-CN"/>
        </w:rPr>
        <w:t>（性能、参数、品质、产能等管理目标</w:t>
      </w:r>
      <w:r>
        <w:rPr>
          <w:rFonts w:ascii="仿宋" w:hAnsi="仿宋" w:eastAsia="仿宋"/>
          <w:color w:val="auto"/>
          <w:highlight w:val="none"/>
          <w:lang w:eastAsia="zh-CN"/>
        </w:rPr>
        <w:t>）</w:t>
      </w:r>
      <w:r>
        <w:rPr>
          <w:rFonts w:hint="eastAsia" w:ascii="仿宋" w:hAnsi="仿宋" w:eastAsia="仿宋"/>
          <w:color w:val="auto"/>
          <w:highlight w:val="none"/>
          <w:lang w:eastAsia="zh-CN"/>
        </w:rPr>
        <w:t>：</w:t>
      </w:r>
      <w:r>
        <w:rPr>
          <w:rFonts w:hint="eastAsia" w:ascii="仿宋" w:hAnsi="仿宋" w:eastAsia="仿宋"/>
          <w:color w:val="auto"/>
          <w:highlight w:val="none"/>
          <w:u w:val="single"/>
          <w:lang w:eastAsia="zh-CN"/>
        </w:rPr>
        <w:t>/</w:t>
      </w:r>
    </w:p>
    <w:p>
      <w:pPr>
        <w:kinsoku w:val="0"/>
        <w:wordWrap w:val="0"/>
        <w:spacing w:line="360" w:lineRule="auto"/>
        <w:ind w:left="480" w:left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□装配式构件采购</w:t>
      </w:r>
      <w:r>
        <w:rPr>
          <w:rFonts w:hint="eastAsia" w:ascii="仿宋" w:hAnsi="仿宋" w:eastAsia="仿宋"/>
          <w:color w:val="auto"/>
          <w:highlight w:val="none"/>
          <w:lang w:eastAsia="zh-CN"/>
        </w:rPr>
        <w:t>标准和</w:t>
      </w:r>
      <w:r>
        <w:rPr>
          <w:rFonts w:ascii="仿宋" w:hAnsi="仿宋" w:eastAsia="仿宋"/>
          <w:color w:val="auto"/>
          <w:highlight w:val="none"/>
          <w:lang w:eastAsia="zh-CN"/>
        </w:rPr>
        <w:t>要求</w:t>
      </w:r>
      <w:r>
        <w:rPr>
          <w:rFonts w:hint="eastAsia" w:ascii="仿宋" w:hAnsi="仿宋" w:eastAsia="仿宋"/>
          <w:color w:val="auto"/>
          <w:highlight w:val="none"/>
          <w:lang w:eastAsia="zh-CN"/>
        </w:rPr>
        <w:t>（性能、参数、品质、产能等管理目标</w:t>
      </w:r>
      <w:r>
        <w:rPr>
          <w:rFonts w:ascii="仿宋" w:hAnsi="仿宋" w:eastAsia="仿宋"/>
          <w:color w:val="auto"/>
          <w:highlight w:val="none"/>
          <w:lang w:eastAsia="zh-CN"/>
        </w:rPr>
        <w:t>）</w:t>
      </w:r>
      <w:r>
        <w:rPr>
          <w:rFonts w:hint="eastAsia" w:ascii="仿宋" w:hAnsi="仿宋" w:eastAsia="仿宋"/>
          <w:color w:val="auto"/>
          <w:highlight w:val="none"/>
          <w:lang w:eastAsia="zh-CN"/>
        </w:rPr>
        <w:t>：</w:t>
      </w:r>
      <w:r>
        <w:rPr>
          <w:rFonts w:hint="eastAsia" w:ascii="仿宋" w:hAnsi="仿宋" w:eastAsia="仿宋"/>
          <w:color w:val="auto"/>
          <w:highlight w:val="none"/>
          <w:u w:val="single"/>
          <w:lang w:eastAsia="zh-CN"/>
        </w:rPr>
        <w:t xml:space="preserve"> /</w:t>
      </w:r>
      <w:r>
        <w:rPr>
          <w:rFonts w:ascii="仿宋" w:hAnsi="仿宋" w:eastAsia="仿宋"/>
          <w:color w:val="auto"/>
          <w:highlight w:val="none"/>
          <w:u w:val="single"/>
          <w:lang w:eastAsia="zh-CN"/>
        </w:rPr>
        <w:t xml:space="preserve"> </w:t>
      </w:r>
    </w:p>
    <w:p>
      <w:pPr>
        <w:kinsoku w:val="0"/>
        <w:wordWrap w:val="0"/>
        <w:spacing w:line="360" w:lineRule="auto"/>
        <w:ind w:left="480" w:left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w:t>
      </w:r>
      <w:r>
        <w:rPr>
          <w:rFonts w:hint="eastAsia" w:ascii="仿宋" w:hAnsi="仿宋" w:eastAsia="仿宋"/>
          <w:color w:val="auto"/>
          <w:highlight w:val="none"/>
          <w:lang w:eastAsia="zh-CN"/>
        </w:rPr>
        <w:t>工程质量标准和</w:t>
      </w:r>
      <w:r>
        <w:rPr>
          <w:rFonts w:ascii="仿宋" w:hAnsi="仿宋" w:eastAsia="仿宋"/>
          <w:color w:val="auto"/>
          <w:highlight w:val="none"/>
          <w:lang w:eastAsia="zh-CN"/>
        </w:rPr>
        <w:t>要求</w:t>
      </w:r>
      <w:r>
        <w:rPr>
          <w:rFonts w:hint="eastAsia" w:ascii="仿宋" w:hAnsi="仿宋" w:eastAsia="仿宋"/>
          <w:color w:val="auto"/>
          <w:highlight w:val="none"/>
          <w:lang w:eastAsia="zh-CN"/>
        </w:rPr>
        <w:t>（施工质量</w:t>
      </w:r>
      <w:r>
        <w:rPr>
          <w:rFonts w:ascii="仿宋" w:hAnsi="仿宋" w:eastAsia="仿宋"/>
          <w:color w:val="auto"/>
          <w:highlight w:val="none"/>
          <w:lang w:eastAsia="zh-CN"/>
        </w:rPr>
        <w:t>及项目成效</w:t>
      </w:r>
      <w:r>
        <w:rPr>
          <w:rFonts w:hint="eastAsia" w:ascii="仿宋" w:hAnsi="仿宋" w:eastAsia="仿宋"/>
          <w:color w:val="auto"/>
          <w:highlight w:val="none"/>
          <w:lang w:eastAsia="zh-CN"/>
        </w:rPr>
        <w:t>目标</w:t>
      </w:r>
      <w:r>
        <w:rPr>
          <w:rFonts w:ascii="仿宋" w:hAnsi="仿宋" w:eastAsia="仿宋"/>
          <w:color w:val="auto"/>
          <w:highlight w:val="none"/>
          <w:lang w:eastAsia="zh-CN"/>
        </w:rPr>
        <w:t>）</w:t>
      </w:r>
      <w:r>
        <w:rPr>
          <w:rFonts w:hint="eastAsia" w:ascii="仿宋" w:hAnsi="仿宋" w:eastAsia="仿宋"/>
          <w:color w:val="auto"/>
          <w:highlight w:val="none"/>
          <w:lang w:eastAsia="zh-CN"/>
        </w:rPr>
        <w:t>：</w:t>
      </w:r>
      <w:r>
        <w:rPr>
          <w:rFonts w:hint="eastAsia" w:ascii="仿宋" w:hAnsi="仿宋" w:eastAsia="仿宋"/>
          <w:color w:val="auto"/>
          <w:highlight w:val="none"/>
          <w:u w:val="single"/>
          <w:lang w:eastAsia="zh-CN"/>
        </w:rPr>
        <w:t>符合设计图纸要求和国家、省、市相关法律法规规定要求及行业颁发的工程质量合格标准，并满足发包人要求。</w:t>
      </w:r>
    </w:p>
    <w:p>
      <w:pPr>
        <w:kinsoku w:val="0"/>
        <w:wordWrap w:val="0"/>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□绿色建筑建设目标：□一星  □二星  □三星</w:t>
      </w:r>
    </w:p>
    <w:p>
      <w:pPr>
        <w:kinsoku w:val="0"/>
        <w:wordWrap w:val="0"/>
        <w:spacing w:line="360" w:lineRule="auto"/>
        <w:ind w:left="1984" w:leftChars="315" w:hanging="1228" w:hangingChars="512"/>
        <w:rPr>
          <w:rFonts w:ascii="仿宋" w:hAnsi="仿宋" w:eastAsia="仿宋" w:cs="仿宋"/>
          <w:color w:val="auto"/>
          <w:highlight w:val="none"/>
          <w:lang w:eastAsia="zh-CN"/>
        </w:rPr>
      </w:pPr>
      <w:r>
        <w:rPr>
          <w:rFonts w:hint="eastAsia" w:ascii="仿宋" w:hAnsi="仿宋" w:eastAsia="仿宋" w:cs="仿宋"/>
          <w:color w:val="auto"/>
          <w:highlight w:val="none"/>
          <w:lang w:eastAsia="zh-CN"/>
        </w:rPr>
        <w:t>评价标准：□《绿色建筑评价标准》(GB/T 50378-2019） □《广东省绿色建筑评价标准》（DBJ/T 15-83-2017）  □其它：</w:t>
      </w:r>
      <w:r>
        <w:rPr>
          <w:rFonts w:ascii="仿宋" w:hAnsi="仿宋" w:eastAsia="仿宋"/>
          <w:color w:val="auto"/>
          <w:highlight w:val="none"/>
          <w:u w:val="single"/>
          <w:lang w:eastAsia="zh-CN"/>
        </w:rPr>
        <w:t xml:space="preserve">   </w:t>
      </w:r>
      <w:r>
        <w:rPr>
          <w:rFonts w:hint="eastAsia" w:ascii="仿宋" w:hAnsi="仿宋" w:eastAsia="仿宋"/>
          <w:color w:val="auto"/>
          <w:highlight w:val="none"/>
          <w:u w:val="single"/>
          <w:lang w:eastAsia="zh-CN"/>
        </w:rPr>
        <w:t xml:space="preserve"> /    </w:t>
      </w:r>
    </w:p>
    <w:p>
      <w:pPr>
        <w:kinsoku w:val="0"/>
        <w:wordWrap w:val="0"/>
        <w:spacing w:line="360" w:lineRule="auto"/>
        <w:ind w:left="480" w:leftChars="200" w:firstLine="275" w:firstLineChars="114"/>
        <w:rPr>
          <w:rFonts w:ascii="仿宋" w:hAnsi="仿宋" w:eastAsia="仿宋" w:cs="仿宋"/>
          <w:b/>
          <w:bCs/>
          <w:color w:val="auto"/>
          <w:highlight w:val="none"/>
          <w:lang w:eastAsia="zh-CN"/>
        </w:rPr>
      </w:pPr>
    </w:p>
    <w:p>
      <w:pPr>
        <w:spacing w:line="360" w:lineRule="auto"/>
        <w:outlineLvl w:val="1"/>
        <w:rPr>
          <w:rFonts w:ascii="仿宋" w:hAnsi="仿宋" w:eastAsia="仿宋" w:cs="仿宋"/>
          <w:b/>
          <w:bCs/>
          <w:color w:val="auto"/>
          <w:highlight w:val="none"/>
          <w:lang w:eastAsia="zh-CN"/>
        </w:rPr>
      </w:pPr>
      <w:bookmarkStart w:id="38" w:name="_Toc11626"/>
      <w:bookmarkStart w:id="39" w:name="_Toc30254"/>
      <w:bookmarkStart w:id="40" w:name="_Toc11348"/>
      <w:bookmarkStart w:id="41" w:name="_Toc23885"/>
      <w:bookmarkStart w:id="42" w:name="_Toc11457"/>
      <w:bookmarkStart w:id="43" w:name="_Toc27680"/>
      <w:bookmarkStart w:id="44" w:name="_Toc8598"/>
      <w:bookmarkStart w:id="45" w:name="_Toc25327"/>
      <w:bookmarkStart w:id="46" w:name="_Toc32524"/>
      <w:r>
        <w:rPr>
          <w:rFonts w:hint="eastAsia" w:ascii="仿宋" w:hAnsi="仿宋" w:eastAsia="仿宋" w:cs="仿宋"/>
          <w:b/>
          <w:bCs/>
          <w:color w:val="auto"/>
          <w:highlight w:val="none"/>
          <w:lang w:eastAsia="zh-CN"/>
        </w:rPr>
        <w:t>四、创优目标</w:t>
      </w:r>
      <w:bookmarkEnd w:id="38"/>
      <w:bookmarkEnd w:id="39"/>
      <w:bookmarkEnd w:id="40"/>
      <w:bookmarkEnd w:id="41"/>
      <w:bookmarkEnd w:id="42"/>
      <w:bookmarkEnd w:id="43"/>
      <w:bookmarkEnd w:id="44"/>
      <w:bookmarkEnd w:id="45"/>
      <w:bookmarkEnd w:id="46"/>
    </w:p>
    <w:p>
      <w:pPr>
        <w:autoSpaceDE w:val="0"/>
        <w:autoSpaceDN w:val="0"/>
        <w:adjustRightIn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市级优秀勘察设计奖（□一等奖 □二等奖 □三等奖 □其它：</w:t>
      </w:r>
      <w:r>
        <w:rPr>
          <w:rFonts w:ascii="仿宋" w:hAnsi="仿宋" w:eastAsia="仿宋"/>
          <w:color w:val="auto"/>
          <w:highlight w:val="none"/>
          <w:u w:val="single"/>
          <w:lang w:eastAsia="zh-CN"/>
        </w:rPr>
        <w:t xml:space="preserve"> </w:t>
      </w:r>
      <w:r>
        <w:rPr>
          <w:rFonts w:hint="eastAsia" w:ascii="仿宋" w:hAnsi="仿宋" w:eastAsia="仿宋"/>
          <w:color w:val="auto"/>
          <w:highlight w:val="none"/>
          <w:u w:val="single"/>
          <w:lang w:eastAsia="zh-CN"/>
        </w:rPr>
        <w:t xml:space="preserve"> /  </w:t>
      </w:r>
      <w:r>
        <w:rPr>
          <w:rFonts w:hint="eastAsia" w:ascii="仿宋" w:hAnsi="仿宋" w:eastAsia="仿宋" w:cs="仿宋"/>
          <w:color w:val="auto"/>
          <w:highlight w:val="none"/>
          <w:lang w:eastAsia="zh-CN"/>
        </w:rPr>
        <w:t>）；</w:t>
      </w:r>
    </w:p>
    <w:p>
      <w:pPr>
        <w:autoSpaceDE w:val="0"/>
        <w:autoSpaceDN w:val="0"/>
        <w:adjustRightIn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省部级优秀勘察设计奖（□一等奖 □二等奖 □三等奖 □其它：</w:t>
      </w:r>
      <w:r>
        <w:rPr>
          <w:rFonts w:ascii="仿宋" w:hAnsi="仿宋" w:eastAsia="仿宋"/>
          <w:color w:val="auto"/>
          <w:highlight w:val="none"/>
          <w:u w:val="single"/>
          <w:lang w:eastAsia="zh-CN"/>
        </w:rPr>
        <w:t xml:space="preserve"> </w:t>
      </w:r>
      <w:r>
        <w:rPr>
          <w:rFonts w:hint="eastAsia" w:ascii="仿宋" w:hAnsi="仿宋" w:eastAsia="仿宋"/>
          <w:color w:val="auto"/>
          <w:highlight w:val="none"/>
          <w:u w:val="single"/>
          <w:lang w:eastAsia="zh-CN"/>
        </w:rPr>
        <w:t xml:space="preserve"> /  </w:t>
      </w:r>
      <w:r>
        <w:rPr>
          <w:rFonts w:hint="eastAsia" w:ascii="仿宋" w:hAnsi="仿宋" w:eastAsia="仿宋" w:cs="仿宋"/>
          <w:color w:val="auto"/>
          <w:highlight w:val="none"/>
          <w:lang w:eastAsia="zh-CN"/>
        </w:rPr>
        <w:t>）；</w:t>
      </w:r>
    </w:p>
    <w:p>
      <w:pPr>
        <w:autoSpaceDE w:val="0"/>
        <w:autoSpaceDN w:val="0"/>
        <w:adjustRightIn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国家级优秀勘察设计奖（□金奖 □银奖 □其它：</w:t>
      </w:r>
      <w:r>
        <w:rPr>
          <w:rFonts w:ascii="仿宋" w:hAnsi="仿宋" w:eastAsia="仿宋"/>
          <w:color w:val="auto"/>
          <w:highlight w:val="none"/>
          <w:u w:val="single"/>
          <w:lang w:eastAsia="zh-CN"/>
        </w:rPr>
        <w:t xml:space="preserve"> </w:t>
      </w:r>
      <w:r>
        <w:rPr>
          <w:rFonts w:hint="eastAsia" w:ascii="仿宋" w:hAnsi="仿宋" w:eastAsia="仿宋"/>
          <w:color w:val="auto"/>
          <w:highlight w:val="none"/>
          <w:u w:val="single"/>
          <w:lang w:eastAsia="zh-CN"/>
        </w:rPr>
        <w:t xml:space="preserve"> /  </w:t>
      </w:r>
      <w:r>
        <w:rPr>
          <w:rFonts w:hint="eastAsia" w:ascii="仿宋" w:hAnsi="仿宋" w:eastAsia="仿宋" w:cs="仿宋"/>
          <w:color w:val="auto"/>
          <w:highlight w:val="none"/>
          <w:lang w:eastAsia="zh-CN"/>
        </w:rPr>
        <w:t>）；</w:t>
      </w:r>
    </w:p>
    <w:p>
      <w:pPr>
        <w:autoSpaceDE w:val="0"/>
        <w:autoSpaceDN w:val="0"/>
        <w:adjustRightIn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市级工程优质奖；</w:t>
      </w:r>
    </w:p>
    <w:p>
      <w:pPr>
        <w:autoSpaceDE w:val="0"/>
        <w:autoSpaceDN w:val="0"/>
        <w:adjustRightIn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省级工程优质奖；</w:t>
      </w:r>
    </w:p>
    <w:p>
      <w:pPr>
        <w:pStyle w:val="16"/>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国家级工程优质奖；</w:t>
      </w:r>
    </w:p>
    <w:p>
      <w:pPr>
        <w:pStyle w:val="16"/>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精品工程；</w:t>
      </w:r>
    </w:p>
    <w:p>
      <w:pPr>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☑其它：</w:t>
      </w:r>
      <w:r>
        <w:rPr>
          <w:rFonts w:hint="eastAsia" w:ascii="仿宋" w:hAnsi="仿宋" w:eastAsia="仿宋"/>
          <w:color w:val="auto"/>
          <w:highlight w:val="none"/>
          <w:u w:val="single"/>
          <w:lang w:eastAsia="zh-CN"/>
        </w:rPr>
        <w:t>无</w:t>
      </w:r>
      <w:r>
        <w:rPr>
          <w:rFonts w:hint="eastAsia" w:ascii="仿宋" w:hAnsi="仿宋" w:eastAsia="仿宋" w:cs="仿宋"/>
          <w:bCs/>
          <w:color w:val="auto"/>
          <w:highlight w:val="none"/>
          <w:u w:val="single"/>
          <w:lang w:eastAsia="zh-CN"/>
        </w:rPr>
        <w:t>创优目标</w:t>
      </w:r>
    </w:p>
    <w:p>
      <w:pPr>
        <w:spacing w:line="360" w:lineRule="auto"/>
        <w:ind w:firstLine="480" w:firstLineChars="200"/>
        <w:rPr>
          <w:rFonts w:ascii="仿宋" w:hAnsi="仿宋" w:eastAsia="仿宋"/>
          <w:color w:val="auto"/>
          <w:highlight w:val="none"/>
          <w:u w:val="single"/>
          <w:lang w:eastAsia="zh-CN"/>
        </w:rPr>
      </w:pPr>
    </w:p>
    <w:p>
      <w:pPr>
        <w:spacing w:line="360" w:lineRule="auto"/>
        <w:outlineLvl w:val="1"/>
        <w:rPr>
          <w:rFonts w:ascii="仿宋" w:hAnsi="仿宋" w:eastAsia="仿宋" w:cs="仿宋"/>
          <w:b/>
          <w:bCs/>
          <w:color w:val="auto"/>
          <w:highlight w:val="none"/>
          <w:lang w:eastAsia="zh-CN"/>
        </w:rPr>
      </w:pPr>
      <w:bookmarkStart w:id="47" w:name="_Toc18733"/>
      <w:bookmarkStart w:id="48" w:name="_Toc22449"/>
      <w:bookmarkStart w:id="49" w:name="_Toc4206"/>
      <w:bookmarkStart w:id="50" w:name="_Toc30926"/>
      <w:bookmarkStart w:id="51" w:name="_Toc24680"/>
      <w:bookmarkStart w:id="52" w:name="_Toc13846"/>
      <w:bookmarkStart w:id="53" w:name="_Toc21620"/>
      <w:bookmarkStart w:id="54" w:name="_Toc11362"/>
      <w:bookmarkStart w:id="55" w:name="_Toc1291"/>
      <w:r>
        <w:rPr>
          <w:rFonts w:hint="eastAsia" w:ascii="仿宋" w:hAnsi="仿宋" w:eastAsia="仿宋" w:cs="仿宋"/>
          <w:b/>
          <w:bCs/>
          <w:color w:val="auto"/>
          <w:highlight w:val="none"/>
          <w:lang w:eastAsia="zh-CN"/>
        </w:rPr>
        <w:t>五、创文明工地目标</w:t>
      </w:r>
      <w:bookmarkEnd w:id="47"/>
      <w:bookmarkEnd w:id="48"/>
      <w:bookmarkEnd w:id="49"/>
      <w:bookmarkEnd w:id="50"/>
      <w:bookmarkEnd w:id="51"/>
      <w:bookmarkEnd w:id="52"/>
      <w:bookmarkEnd w:id="53"/>
      <w:bookmarkEnd w:id="54"/>
      <w:bookmarkEnd w:id="55"/>
    </w:p>
    <w:p>
      <w:pPr>
        <w:autoSpaceDE w:val="0"/>
        <w:autoSpaceDN w:val="0"/>
        <w:adjustRightIn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市级安全文明绿色施工样板工地；</w:t>
      </w:r>
    </w:p>
    <w:p>
      <w:pPr>
        <w:autoSpaceDE w:val="0"/>
        <w:autoSpaceDN w:val="0"/>
        <w:adjustRightIn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省级安全文明示范工地；</w:t>
      </w:r>
    </w:p>
    <w:p>
      <w:pPr>
        <w:autoSpaceDE w:val="0"/>
        <w:autoSpaceDN w:val="0"/>
        <w:adjustRightIn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国家级安全文明工地；</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广州市建筑业绿色施工示范工程；</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广东省建筑业绿色施工示范工程；</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全国建筑业绿色施工示范工程；</w:t>
      </w:r>
    </w:p>
    <w:p>
      <w:pPr>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其它：</w:t>
      </w:r>
      <w:r>
        <w:rPr>
          <w:rFonts w:ascii="仿宋" w:hAnsi="仿宋" w:eastAsia="仿宋"/>
          <w:color w:val="auto"/>
          <w:highlight w:val="none"/>
          <w:u w:val="single"/>
          <w:lang w:eastAsia="zh-CN"/>
        </w:rPr>
        <w:t>无</w:t>
      </w:r>
      <w:r>
        <w:rPr>
          <w:rFonts w:hint="eastAsia" w:ascii="仿宋" w:hAnsi="仿宋" w:eastAsia="仿宋"/>
          <w:color w:val="auto"/>
          <w:highlight w:val="none"/>
          <w:u w:val="single"/>
          <w:lang w:eastAsia="zh-CN"/>
        </w:rPr>
        <w:t>创文明工地目标</w:t>
      </w:r>
    </w:p>
    <w:p>
      <w:pPr>
        <w:spacing w:line="360" w:lineRule="auto"/>
        <w:ind w:firstLine="482"/>
        <w:rPr>
          <w:rFonts w:ascii="仿宋" w:hAnsi="仿宋" w:eastAsia="仿宋" w:cs="仿宋"/>
          <w:b/>
          <w:bCs/>
          <w:color w:val="auto"/>
          <w:highlight w:val="none"/>
          <w:lang w:eastAsia="zh-CN"/>
        </w:rPr>
      </w:pPr>
    </w:p>
    <w:p>
      <w:pPr>
        <w:spacing w:line="360" w:lineRule="auto"/>
        <w:outlineLvl w:val="1"/>
        <w:rPr>
          <w:rFonts w:ascii="仿宋" w:hAnsi="仿宋" w:eastAsia="仿宋" w:cs="仿宋"/>
          <w:b/>
          <w:bCs/>
          <w:color w:val="auto"/>
          <w:highlight w:val="none"/>
          <w:lang w:eastAsia="zh-CN"/>
        </w:rPr>
      </w:pPr>
      <w:bookmarkStart w:id="56" w:name="_Toc32258"/>
      <w:bookmarkStart w:id="57" w:name="_Toc9033"/>
      <w:bookmarkStart w:id="58" w:name="_Toc31823"/>
      <w:bookmarkStart w:id="59" w:name="_Toc29008"/>
      <w:bookmarkStart w:id="60" w:name="_Toc7291"/>
      <w:bookmarkStart w:id="61" w:name="_Toc16004"/>
      <w:bookmarkStart w:id="62" w:name="_Toc13600"/>
      <w:bookmarkStart w:id="63" w:name="_Toc22646"/>
      <w:bookmarkStart w:id="64" w:name="_Toc32735"/>
      <w:r>
        <w:rPr>
          <w:rFonts w:hint="eastAsia" w:ascii="仿宋" w:hAnsi="仿宋" w:eastAsia="仿宋" w:cs="仿宋"/>
          <w:b/>
          <w:bCs/>
          <w:color w:val="auto"/>
          <w:highlight w:val="none"/>
          <w:lang w:eastAsia="zh-CN"/>
        </w:rPr>
        <w:t>六、职业健康安全管理目标和环境管理目标</w:t>
      </w:r>
      <w:bookmarkEnd w:id="56"/>
      <w:bookmarkEnd w:id="57"/>
      <w:bookmarkEnd w:id="58"/>
      <w:bookmarkEnd w:id="59"/>
      <w:bookmarkEnd w:id="60"/>
      <w:bookmarkEnd w:id="61"/>
      <w:bookmarkEnd w:id="62"/>
      <w:bookmarkEnd w:id="63"/>
      <w:bookmarkEnd w:id="64"/>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1.职业健康安全管理目标：</w:t>
      </w:r>
      <w:r>
        <w:rPr>
          <w:rFonts w:hint="eastAsia" w:ascii="仿宋" w:hAnsi="仿宋" w:eastAsia="仿宋" w:cs="仿宋"/>
          <w:color w:val="auto"/>
          <w:highlight w:val="none"/>
          <w:u w:val="single"/>
          <w:lang w:eastAsia="zh-CN"/>
        </w:rPr>
        <w:t>杜绝死亡事故、杜绝火灾事故、杜绝重大机械事故。改善劳动条件，预防职业病，工地防尘、防毒、防噪音、通风、照明、取暖、降温、防辐射及防物理因素危害等，均符合国家和地方政府主管部门颁布的相关规定。</w:t>
      </w:r>
    </w:p>
    <w:p>
      <w:pPr>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2.环境管理目标：</w:t>
      </w:r>
      <w:r>
        <w:rPr>
          <w:rFonts w:hint="eastAsia" w:ascii="仿宋" w:hAnsi="仿宋" w:eastAsia="仿宋" w:cs="仿宋"/>
          <w:color w:val="auto"/>
          <w:highlight w:val="none"/>
          <w:u w:val="single"/>
          <w:lang w:eastAsia="zh-CN"/>
        </w:rPr>
        <w:t>严格执行专用条款52.1列的安全文明相关文件，杜绝环境破坏、环境污染和水体污染事故等。</w:t>
      </w:r>
    </w:p>
    <w:p>
      <w:pPr>
        <w:spacing w:line="360" w:lineRule="auto"/>
        <w:ind w:firstLine="482" w:firstLineChars="200"/>
        <w:rPr>
          <w:rFonts w:ascii="仿宋" w:hAnsi="仿宋" w:eastAsia="仿宋" w:cs="仿宋"/>
          <w:b/>
          <w:bCs/>
          <w:color w:val="auto"/>
          <w:highlight w:val="none"/>
          <w:lang w:eastAsia="zh-CN"/>
        </w:rPr>
      </w:pPr>
    </w:p>
    <w:p>
      <w:pPr>
        <w:spacing w:line="360" w:lineRule="auto"/>
        <w:outlineLvl w:val="1"/>
        <w:rPr>
          <w:rFonts w:ascii="仿宋" w:hAnsi="仿宋" w:eastAsia="仿宋" w:cs="仿宋"/>
          <w:b/>
          <w:bCs/>
          <w:color w:val="auto"/>
          <w:highlight w:val="none"/>
          <w:lang w:eastAsia="zh-CN"/>
        </w:rPr>
      </w:pPr>
      <w:bookmarkStart w:id="65" w:name="_Toc21808"/>
      <w:bookmarkStart w:id="66" w:name="_Toc923"/>
      <w:bookmarkStart w:id="67" w:name="_Toc24863"/>
      <w:bookmarkStart w:id="68" w:name="_Toc24334"/>
      <w:bookmarkStart w:id="69" w:name="_Toc32575"/>
      <w:bookmarkStart w:id="70" w:name="_Toc21458"/>
      <w:bookmarkStart w:id="71" w:name="_Toc9129"/>
      <w:bookmarkStart w:id="72" w:name="_Toc20112"/>
      <w:bookmarkStart w:id="73" w:name="_Toc5229"/>
      <w:r>
        <w:rPr>
          <w:rFonts w:hint="eastAsia" w:ascii="仿宋" w:hAnsi="仿宋" w:eastAsia="仿宋" w:cs="仿宋"/>
          <w:b/>
          <w:bCs/>
          <w:color w:val="auto"/>
          <w:highlight w:val="none"/>
          <w:lang w:eastAsia="zh-CN"/>
        </w:rPr>
        <w:t>七、合同工期</w:t>
      </w:r>
      <w:bookmarkEnd w:id="65"/>
      <w:bookmarkEnd w:id="66"/>
      <w:bookmarkEnd w:id="67"/>
      <w:bookmarkEnd w:id="68"/>
      <w:bookmarkEnd w:id="69"/>
      <w:bookmarkEnd w:id="70"/>
      <w:bookmarkEnd w:id="71"/>
      <w:bookmarkEnd w:id="72"/>
      <w:bookmarkEnd w:id="73"/>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合同工期总日历天数：</w:t>
      </w:r>
      <w:r>
        <w:rPr>
          <w:rFonts w:hint="eastAsia" w:ascii="仿宋" w:hAnsi="仿宋" w:eastAsia="仿宋" w:cs="仿宋"/>
          <w:color w:val="auto"/>
          <w:highlight w:val="none"/>
          <w:lang w:eastAsia="zh"/>
        </w:rPr>
        <w:t>639</w:t>
      </w:r>
      <w:r>
        <w:rPr>
          <w:rFonts w:hint="eastAsia" w:ascii="仿宋" w:hAnsi="仿宋" w:eastAsia="仿宋" w:cs="仿宋"/>
          <w:color w:val="auto"/>
          <w:highlight w:val="none"/>
          <w:lang w:eastAsia="zh-CN"/>
        </w:rPr>
        <w:t>日历天，暂定从合同签订之日开始，至</w:t>
      </w:r>
      <w:r>
        <w:rPr>
          <w:rFonts w:ascii="仿宋" w:hAnsi="仿宋" w:eastAsia="仿宋" w:cs="仿宋"/>
          <w:color w:val="auto"/>
          <w:highlight w:val="none"/>
          <w:u w:val="single"/>
          <w:lang w:eastAsia="zh-CN"/>
        </w:rPr>
        <w:t>202</w:t>
      </w:r>
      <w:r>
        <w:rPr>
          <w:rFonts w:hint="eastAsia" w:ascii="仿宋" w:hAnsi="仿宋" w:eastAsia="仿宋" w:cs="仿宋"/>
          <w:color w:val="auto"/>
          <w:highlight w:val="none"/>
          <w:u w:val="single"/>
          <w:lang w:eastAsia="zh"/>
        </w:rPr>
        <w:t>7</w:t>
      </w:r>
      <w:r>
        <w:rPr>
          <w:rFonts w:hint="eastAsia" w:ascii="仿宋" w:hAnsi="仿宋" w:eastAsia="仿宋" w:cs="仿宋"/>
          <w:color w:val="auto"/>
          <w:highlight w:val="none"/>
          <w:lang w:eastAsia="zh-CN"/>
        </w:rPr>
        <w:t>年</w:t>
      </w:r>
      <w:r>
        <w:rPr>
          <w:rFonts w:hint="eastAsia" w:ascii="仿宋" w:hAnsi="仿宋" w:eastAsia="仿宋" w:cs="仿宋"/>
          <w:color w:val="auto"/>
          <w:highlight w:val="none"/>
          <w:lang w:eastAsia="zh"/>
        </w:rPr>
        <w:t>2</w:t>
      </w:r>
      <w:r>
        <w:rPr>
          <w:rFonts w:ascii="仿宋" w:hAnsi="仿宋" w:eastAsia="仿宋" w:cs="仿宋"/>
          <w:color w:val="auto"/>
          <w:highlight w:val="none"/>
          <w:lang w:eastAsia="zh-CN"/>
        </w:rPr>
        <w:t>月</w:t>
      </w:r>
      <w:r>
        <w:rPr>
          <w:rFonts w:hint="eastAsia" w:ascii="仿宋" w:hAnsi="仿宋" w:eastAsia="仿宋" w:cs="仿宋"/>
          <w:color w:val="auto"/>
          <w:highlight w:val="none"/>
          <w:lang w:eastAsia="zh"/>
        </w:rPr>
        <w:t>28</w:t>
      </w:r>
      <w:r>
        <w:rPr>
          <w:rFonts w:ascii="仿宋" w:hAnsi="仿宋" w:eastAsia="仿宋" w:cs="仿宋"/>
          <w:color w:val="auto"/>
          <w:highlight w:val="none"/>
          <w:lang w:eastAsia="zh-CN"/>
        </w:rPr>
        <w:t>日</w:t>
      </w:r>
      <w:r>
        <w:rPr>
          <w:rFonts w:hint="eastAsia" w:ascii="仿宋" w:hAnsi="仿宋" w:eastAsia="仿宋" w:cs="仿宋"/>
          <w:color w:val="auto"/>
          <w:highlight w:val="none"/>
          <w:lang w:eastAsia="zh-CN"/>
        </w:rPr>
        <w:t>竣工完成，具体开工日期以在发包人的指示下由监理单位下达的书面《开工令》通知为准。合同工期总日历天数与勘察、设计、施工等各分项计划开竣工日期计算的工期天数不一致的，以合同工期总日历天数为准。总工期是指从开工至工程竣工验收并取得安全评价书、竣工资料档案移交证明、质量监督报告所用的总日历天数。如《开工令》注明的开工日期与合同中注明的开工日期不同，以《开工令》为准。</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要求按时完成，承包人不得延期。如经验收不合格，不能交付使用，不能视为竣工，承包人应负责返工直至合格为止。由此产生的一切费用均由承包人承担，如造成发包人经济损失的，承包人应赔偿发包人的全部经济损失。(合同总工期已计入晴、阴、雨、风、雾、20年一遇的洪水、十级以下台风及停电、停水等影响施工的时间)。</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若因当地政府未能及时解决工程征地、青苗清理、建筑物拆迁等而导致工程延期，则可根据实际顺延工期。</w:t>
      </w:r>
    </w:p>
    <w:p>
      <w:pPr>
        <w:spacing w:line="360" w:lineRule="auto"/>
        <w:ind w:left="480" w:leftChars="200"/>
        <w:rPr>
          <w:rFonts w:ascii="宋体" w:hAnsi="宋体"/>
          <w:color w:val="auto"/>
          <w:highlight w:val="none"/>
          <w:u w:val="single"/>
          <w:lang w:eastAsia="zh-CN"/>
        </w:rPr>
      </w:pPr>
      <w:r>
        <w:rPr>
          <w:rFonts w:hint="eastAsia" w:ascii="仿宋" w:hAnsi="仿宋" w:eastAsia="仿宋" w:cs="仿宋"/>
          <w:color w:val="auto"/>
          <w:highlight w:val="none"/>
          <w:lang w:eastAsia="zh-CN"/>
        </w:rPr>
        <w:t>☑勘察开始工作日期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绝对日期或相对日期</w:t>
      </w:r>
      <w:r>
        <w:rPr>
          <w:rFonts w:ascii="仿宋" w:hAnsi="仿宋" w:eastAsia="仿宋" w:cs="仿宋"/>
          <w:color w:val="auto"/>
          <w:highlight w:val="none"/>
          <w:lang w:eastAsia="zh-CN"/>
        </w:rPr>
        <w:t>)：</w:t>
      </w:r>
      <w:r>
        <w:rPr>
          <w:rFonts w:ascii="宋体" w:hAnsi="宋体"/>
          <w:color w:val="auto"/>
          <w:highlight w:val="none"/>
          <w:u w:val="single"/>
          <w:lang w:eastAsia="zh-CN"/>
        </w:rPr>
        <w:t xml:space="preserve">  </w:t>
      </w:r>
      <w:r>
        <w:rPr>
          <w:rFonts w:hint="eastAsia" w:ascii="仿宋" w:hAnsi="仿宋" w:eastAsia="仿宋" w:cs="仿宋"/>
          <w:color w:val="auto"/>
          <w:highlight w:val="none"/>
          <w:u w:val="none"/>
          <w:lang w:eastAsia="zh"/>
        </w:rPr>
        <w:t>以发包人现场指令为准</w:t>
      </w:r>
      <w:r>
        <w:rPr>
          <w:rFonts w:ascii="宋体" w:hAnsi="宋体"/>
          <w:color w:val="auto"/>
          <w:highlight w:val="none"/>
          <w:u w:val="single"/>
          <w:lang w:eastAsia="zh-CN"/>
        </w:rPr>
        <w:t xml:space="preserve">  </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eastAsia="zh"/>
        </w:rPr>
        <w:t>勘察工期：60个日历天</w:t>
      </w:r>
      <w:r>
        <w:rPr>
          <w:rFonts w:hint="eastAsia" w:ascii="仿宋" w:hAnsi="仿宋" w:eastAsia="仿宋" w:cs="仿宋"/>
          <w:color w:val="auto"/>
          <w:highlight w:val="none"/>
          <w:lang w:eastAsia="zh-CN"/>
        </w:rPr>
        <w:t>；</w:t>
      </w:r>
    </w:p>
    <w:p>
      <w:pPr>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☑设计开始工作日期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绝对日期或相对日期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eastAsia="zh"/>
        </w:rPr>
        <w:t>从合同签订或发包人书面通知之日起计算</w:t>
      </w:r>
      <w:r>
        <w:rPr>
          <w:rFonts w:hint="eastAsia" w:ascii="仿宋" w:hAnsi="仿宋" w:eastAsia="仿宋" w:cs="仿宋"/>
          <w:color w:val="auto"/>
          <w:highlight w:val="none"/>
          <w:u w:val="single"/>
          <w:lang w:eastAsia="zh"/>
        </w:rPr>
        <w:t>；设计工期：40个日历天</w:t>
      </w:r>
      <w:r>
        <w:rPr>
          <w:rFonts w:hint="eastAsia" w:ascii="仿宋" w:hAnsi="仿宋" w:eastAsia="仿宋" w:cs="仿宋"/>
          <w:color w:val="auto"/>
          <w:highlight w:val="none"/>
          <w:lang w:eastAsia="zh-CN"/>
        </w:rPr>
        <w:t>。</w:t>
      </w:r>
    </w:p>
    <w:p>
      <w:pPr>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□BIM技术应用开始工作日期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绝对日期或相对日期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w:t>
      </w:r>
      <w:r>
        <w:rPr>
          <w:rFonts w:ascii="宋体" w:hAnsi="宋体"/>
          <w:color w:val="auto"/>
          <w:highlight w:val="none"/>
          <w:u w:val="single"/>
          <w:lang w:eastAsia="zh-CN"/>
        </w:rPr>
        <w:t xml:space="preserve">   </w:t>
      </w:r>
      <w:r>
        <w:rPr>
          <w:rFonts w:hint="eastAsia" w:ascii="宋体" w:hAnsi="宋体"/>
          <w:color w:val="auto"/>
          <w:highlight w:val="none"/>
          <w:lang w:eastAsia="zh-CN"/>
        </w:rPr>
        <w:t>；</w:t>
      </w:r>
      <w:r>
        <w:rPr>
          <w:rFonts w:hint="eastAsia" w:ascii="仿宋" w:hAnsi="仿宋" w:eastAsia="仿宋" w:cs="仿宋"/>
          <w:color w:val="auto"/>
          <w:highlight w:val="none"/>
          <w:lang w:eastAsia="zh-CN"/>
        </w:rPr>
        <w:t>完成工作日期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绝对日期或相对日期</w:t>
      </w:r>
      <w:r>
        <w:rPr>
          <w:rFonts w:ascii="仿宋" w:hAnsi="仿宋" w:eastAsia="仿宋" w:cs="仿宋"/>
          <w:color w:val="auto"/>
          <w:highlight w:val="none"/>
          <w:lang w:eastAsia="zh-CN"/>
        </w:rPr>
        <w:t>)：</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w:t>
      </w:r>
      <w:r>
        <w:rPr>
          <w:rFonts w:ascii="宋体" w:hAnsi="宋体"/>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□设备及工器具购置开始工作日期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如果有，绝对日期或相对日期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w:t>
      </w:r>
      <w:r>
        <w:rPr>
          <w:rFonts w:ascii="宋体" w:hAnsi="宋体"/>
          <w:color w:val="auto"/>
          <w:highlight w:val="none"/>
          <w:u w:val="single"/>
          <w:lang w:eastAsia="zh-CN"/>
        </w:rPr>
        <w:t xml:space="preserve">   </w:t>
      </w:r>
      <w:r>
        <w:rPr>
          <w:rFonts w:hint="eastAsia" w:ascii="宋体" w:hAnsi="宋体"/>
          <w:color w:val="auto"/>
          <w:highlight w:val="none"/>
          <w:lang w:eastAsia="zh-CN"/>
        </w:rPr>
        <w:t>；</w:t>
      </w:r>
      <w:r>
        <w:rPr>
          <w:rFonts w:hint="eastAsia" w:ascii="仿宋" w:hAnsi="仿宋" w:eastAsia="仿宋" w:cs="仿宋"/>
          <w:color w:val="auto"/>
          <w:highlight w:val="none"/>
          <w:lang w:eastAsia="zh-CN"/>
        </w:rPr>
        <w:t>完成工作日期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绝对日期或相对日期</w:t>
      </w:r>
      <w:r>
        <w:rPr>
          <w:rFonts w:ascii="仿宋" w:hAnsi="仿宋" w:eastAsia="仿宋" w:cs="仿宋"/>
          <w:color w:val="auto"/>
          <w:highlight w:val="none"/>
          <w:lang w:eastAsia="zh-CN"/>
        </w:rPr>
        <w:t>)：</w:t>
      </w:r>
      <w:r>
        <w:rPr>
          <w:rFonts w:ascii="宋体" w:hAnsi="宋体"/>
          <w:color w:val="auto"/>
          <w:highlight w:val="none"/>
          <w:u w:val="single"/>
          <w:lang w:eastAsia="zh-CN"/>
        </w:rPr>
        <w:t xml:space="preserve">    </w:t>
      </w:r>
      <w:r>
        <w:rPr>
          <w:rFonts w:hint="eastAsia" w:ascii="宋体" w:hAnsi="宋体"/>
          <w:color w:val="auto"/>
          <w:highlight w:val="none"/>
          <w:u w:val="single"/>
          <w:lang w:eastAsia="zh-CN"/>
        </w:rPr>
        <w:t>/</w:t>
      </w:r>
      <w:r>
        <w:rPr>
          <w:rFonts w:ascii="宋体" w:hAnsi="宋体"/>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left="480" w:leftChars="200"/>
        <w:rPr>
          <w:rFonts w:ascii="宋体" w:hAnsi="宋体"/>
          <w:color w:val="auto"/>
          <w:highlight w:val="none"/>
          <w:lang w:eastAsia="zh-CN"/>
        </w:rPr>
      </w:pPr>
      <w:r>
        <w:rPr>
          <w:rFonts w:hint="eastAsia" w:ascii="仿宋" w:hAnsi="仿宋" w:eastAsia="仿宋" w:cs="仿宋"/>
          <w:color w:val="auto"/>
          <w:highlight w:val="none"/>
          <w:lang w:eastAsia="zh-CN"/>
        </w:rPr>
        <w:t>☑施工开工日期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绝对日期或相对日期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以监理人下发的开工通知为准</w:t>
      </w:r>
      <w:r>
        <w:rPr>
          <w:rFonts w:ascii="宋体" w:hAnsi="宋体"/>
          <w:color w:val="auto"/>
          <w:highlight w:val="none"/>
          <w:u w:val="single"/>
          <w:lang w:eastAsia="zh-CN"/>
        </w:rPr>
        <w:t xml:space="preserve"> </w:t>
      </w:r>
      <w:r>
        <w:rPr>
          <w:rFonts w:hint="eastAsia" w:ascii="宋体" w:hAnsi="宋体"/>
          <w:color w:val="auto"/>
          <w:highlight w:val="none"/>
          <w:u w:val="single"/>
          <w:lang w:eastAsia="zh"/>
        </w:rPr>
        <w:t>；</w:t>
      </w:r>
      <w:r>
        <w:rPr>
          <w:rFonts w:hint="eastAsia" w:ascii="仿宋" w:hAnsi="仿宋" w:eastAsia="仿宋" w:cs="仿宋"/>
          <w:color w:val="auto"/>
          <w:highlight w:val="none"/>
          <w:u w:val="single"/>
          <w:lang w:eastAsia="zh-CN"/>
        </w:rPr>
        <w:t>施工工期暂定为</w:t>
      </w:r>
      <w:r>
        <w:rPr>
          <w:rFonts w:hint="eastAsia" w:ascii="仿宋" w:hAnsi="仿宋" w:eastAsia="仿宋" w:cs="仿宋"/>
          <w:color w:val="auto"/>
          <w:highlight w:val="none"/>
          <w:u w:val="single"/>
          <w:lang w:eastAsia="zh"/>
        </w:rPr>
        <w:t>639</w:t>
      </w:r>
      <w:r>
        <w:rPr>
          <w:rFonts w:hint="eastAsia" w:ascii="仿宋" w:hAnsi="仿宋" w:eastAsia="仿宋" w:cs="仿宋"/>
          <w:color w:val="auto"/>
          <w:highlight w:val="none"/>
          <w:u w:val="single"/>
          <w:lang w:eastAsia="zh-CN"/>
        </w:rPr>
        <w:t>日历天</w:t>
      </w:r>
      <w:r>
        <w:rPr>
          <w:rFonts w:hint="eastAsia" w:ascii="宋体" w:hAnsi="宋体"/>
          <w:color w:val="auto"/>
          <w:highlight w:val="none"/>
          <w:lang w:eastAsia="zh"/>
        </w:rPr>
        <w:t>，</w:t>
      </w:r>
      <w:r>
        <w:rPr>
          <w:rFonts w:hint="eastAsia" w:ascii="仿宋" w:hAnsi="仿宋" w:eastAsia="仿宋" w:cs="仿宋"/>
          <w:color w:val="auto"/>
          <w:highlight w:val="none"/>
          <w:lang w:eastAsia="zh-CN"/>
        </w:rPr>
        <w:t>竣工</w:t>
      </w:r>
      <w:r>
        <w:rPr>
          <w:rFonts w:hint="eastAsia" w:ascii="仿宋" w:hAnsi="仿宋" w:eastAsia="仿宋" w:cs="仿宋"/>
          <w:color w:val="auto"/>
          <w:highlight w:val="none"/>
          <w:lang w:eastAsia="zh"/>
        </w:rPr>
        <w:t>交付</w:t>
      </w:r>
      <w:r>
        <w:rPr>
          <w:rFonts w:hint="eastAsia" w:ascii="仿宋" w:hAnsi="仿宋" w:eastAsia="仿宋" w:cs="仿宋"/>
          <w:color w:val="auto"/>
          <w:highlight w:val="none"/>
          <w:lang w:eastAsia="zh-CN"/>
        </w:rPr>
        <w:t>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绝对日期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
        </w:rPr>
        <w:t>2027</w:t>
      </w:r>
      <w:r>
        <w:rPr>
          <w:rFonts w:hint="eastAsia" w:ascii="仿宋" w:hAnsi="仿宋" w:eastAsia="仿宋" w:cs="仿宋"/>
          <w:color w:val="auto"/>
          <w:highlight w:val="none"/>
          <w:u w:val="single"/>
          <w:lang w:eastAsia="zh-CN"/>
        </w:rPr>
        <w:t>年</w:t>
      </w:r>
      <w:r>
        <w:rPr>
          <w:rFonts w:hint="eastAsia" w:ascii="仿宋" w:hAnsi="仿宋" w:eastAsia="仿宋" w:cs="仿宋"/>
          <w:color w:val="auto"/>
          <w:highlight w:val="none"/>
          <w:u w:val="single"/>
          <w:lang w:eastAsia="zh"/>
        </w:rPr>
        <w:t>2</w:t>
      </w:r>
      <w:r>
        <w:rPr>
          <w:rFonts w:hint="eastAsia" w:ascii="仿宋" w:hAnsi="仿宋" w:eastAsia="仿宋" w:cs="仿宋"/>
          <w:color w:val="auto"/>
          <w:highlight w:val="none"/>
          <w:u w:val="single"/>
          <w:lang w:eastAsia="zh-CN"/>
        </w:rPr>
        <w:t>月</w:t>
      </w:r>
      <w:r>
        <w:rPr>
          <w:rFonts w:hint="eastAsia" w:ascii="仿宋" w:hAnsi="仿宋" w:eastAsia="仿宋" w:cs="仿宋"/>
          <w:color w:val="auto"/>
          <w:highlight w:val="none"/>
          <w:u w:val="single"/>
          <w:lang w:eastAsia="zh"/>
        </w:rPr>
        <w:t>28</w:t>
      </w:r>
      <w:r>
        <w:rPr>
          <w:rFonts w:hint="eastAsia" w:ascii="仿宋" w:hAnsi="仿宋" w:eastAsia="仿宋" w:cs="仿宋"/>
          <w:color w:val="auto"/>
          <w:highlight w:val="none"/>
          <w:u w:val="single"/>
          <w:lang w:eastAsia="zh-CN"/>
        </w:rPr>
        <w:t>日</w:t>
      </w:r>
      <w:r>
        <w:rPr>
          <w:rFonts w:hint="eastAsia" w:ascii="仿宋" w:hAnsi="仿宋" w:eastAsia="仿宋" w:cs="仿宋"/>
          <w:color w:val="auto"/>
          <w:highlight w:val="none"/>
          <w:lang w:eastAsia="zh-CN"/>
        </w:rPr>
        <w:t>；</w:t>
      </w:r>
    </w:p>
    <w:p>
      <w:pPr>
        <w:spacing w:line="360" w:lineRule="auto"/>
        <w:ind w:left="480" w:leftChars="200"/>
        <w:rPr>
          <w:rFonts w:ascii="宋体" w:hAnsi="宋体"/>
          <w:color w:val="auto"/>
          <w:highlight w:val="none"/>
          <w:lang w:eastAsia="zh-CN"/>
        </w:rPr>
      </w:pPr>
      <w:r>
        <w:rPr>
          <w:rFonts w:hint="eastAsia" w:ascii="仿宋" w:hAnsi="仿宋" w:eastAsia="仿宋" w:cs="仿宋"/>
          <w:color w:val="auto"/>
          <w:highlight w:val="none"/>
          <w:lang w:eastAsia="zh-CN"/>
        </w:rPr>
        <w:t>☑其它工作开始工作日期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如果有，绝对日期或相对日期</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eastAsia="zh"/>
        </w:rPr>
        <w:t>从合同签订或发包人书面通知之日起计算</w:t>
      </w:r>
      <w:r>
        <w:rPr>
          <w:rFonts w:hint="eastAsia" w:ascii="仿宋" w:hAnsi="仿宋" w:eastAsia="仿宋" w:cs="仿宋"/>
          <w:color w:val="auto"/>
          <w:highlight w:val="none"/>
          <w:u w:val="single"/>
          <w:lang w:eastAsia="zh"/>
        </w:rPr>
        <w:t>，具体工期以发包人要求为准</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除合同约定调整的情形外，本合同工期不予调整。</w:t>
      </w:r>
    </w:p>
    <w:p>
      <w:pPr>
        <w:spacing w:line="360" w:lineRule="auto"/>
        <w:ind w:firstLine="482" w:firstLineChars="200"/>
        <w:rPr>
          <w:rFonts w:hint="eastAsia"/>
          <w:color w:val="auto"/>
          <w:highlight w:val="none"/>
          <w:lang w:eastAsia="zh"/>
        </w:rPr>
      </w:pPr>
      <w:r>
        <w:rPr>
          <w:rFonts w:hint="eastAsia" w:ascii="宋体" w:hAnsi="宋体" w:cs="仿宋"/>
          <w:b/>
          <w:bCs/>
          <w:color w:val="auto"/>
          <w:highlight w:val="none"/>
        </w:rPr>
        <w:t>关键节点工期表</w:t>
      </w:r>
      <w:r>
        <w:rPr>
          <w:rFonts w:hint="eastAsia" w:ascii="宋体" w:hAnsi="宋体" w:cs="仿宋"/>
          <w:b/>
          <w:bCs/>
          <w:color w:val="auto"/>
          <w:highlight w:val="none"/>
          <w:lang w:eastAsia="zh"/>
        </w:rPr>
        <w:t>【区分地块五和地块六】</w:t>
      </w:r>
    </w:p>
    <w:p>
      <w:pPr>
        <w:pStyle w:val="22"/>
        <w:jc w:val="center"/>
        <w:rPr>
          <w:rFonts w:hint="eastAsia"/>
          <w:color w:val="auto"/>
          <w:sz w:val="28"/>
          <w:szCs w:val="28"/>
          <w:highlight w:val="none"/>
          <w:lang w:eastAsia="zh"/>
        </w:rPr>
      </w:pPr>
      <w:r>
        <w:rPr>
          <w:rFonts w:hint="eastAsia"/>
          <w:color w:val="auto"/>
          <w:sz w:val="28"/>
          <w:szCs w:val="28"/>
          <w:highlight w:val="none"/>
          <w:lang w:eastAsia="zh"/>
        </w:rPr>
        <w:t xml:space="preserve">  </w:t>
      </w:r>
      <w:r>
        <w:rPr>
          <w:rFonts w:hint="eastAsia"/>
          <w:b/>
          <w:bCs/>
          <w:color w:val="auto"/>
          <w:sz w:val="28"/>
          <w:szCs w:val="28"/>
          <w:highlight w:val="none"/>
          <w:lang w:eastAsia="zh"/>
        </w:rPr>
        <w:t xml:space="preserve">  地块五</w:t>
      </w:r>
    </w:p>
    <w:tbl>
      <w:tblPr>
        <w:tblStyle w:val="41"/>
        <w:tblW w:w="460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41"/>
        <w:gridCol w:w="4064"/>
        <w:gridCol w:w="28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bookmarkStart w:id="74" w:name="_Hlk170747643"/>
            <w:r>
              <w:rPr>
                <w:rFonts w:hint="eastAsia" w:ascii="宋体" w:hAnsi="宋体" w:cs="仿宋"/>
                <w:color w:val="auto"/>
                <w:highlight w:val="none"/>
              </w:rPr>
              <w:t>序号</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
              </w:rPr>
              <w:t>地块五</w:t>
            </w:r>
            <w:r>
              <w:rPr>
                <w:rFonts w:hint="eastAsia" w:ascii="宋体" w:hAnsi="宋体" w:cs="仿宋"/>
                <w:color w:val="auto"/>
                <w:highlight w:val="none"/>
              </w:rPr>
              <w:t>关键节点</w:t>
            </w:r>
          </w:p>
        </w:tc>
        <w:tc>
          <w:tcPr>
            <w:tcW w:w="2818"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rPr>
              <w:t>节点完成时间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1</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rPr>
              <w:t>开工</w:t>
            </w:r>
          </w:p>
        </w:tc>
        <w:tc>
          <w:tcPr>
            <w:tcW w:w="2818" w:type="dxa"/>
            <w:vAlign w:val="top"/>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2025/5/30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桩基完工（含检测）</w:t>
            </w:r>
          </w:p>
        </w:tc>
        <w:tc>
          <w:tcPr>
            <w:tcW w:w="2818"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202</w:t>
            </w:r>
            <w:r>
              <w:rPr>
                <w:rFonts w:hint="eastAsia" w:ascii="宋体" w:hAnsi="宋体" w:cs="仿宋"/>
                <w:color w:val="auto"/>
                <w:highlight w:val="none"/>
                <w:lang w:val="en-US" w:eastAsia="zh-CN"/>
              </w:rPr>
              <w:t>5</w:t>
            </w:r>
            <w:r>
              <w:rPr>
                <w:rFonts w:hint="default" w:ascii="宋体" w:hAnsi="宋体" w:cs="仿宋"/>
                <w:color w:val="auto"/>
                <w:highlight w:val="none"/>
              </w:rPr>
              <w:t>/</w:t>
            </w:r>
            <w:r>
              <w:rPr>
                <w:rFonts w:hint="eastAsia" w:ascii="宋体" w:hAnsi="宋体" w:cs="仿宋"/>
                <w:color w:val="auto"/>
                <w:highlight w:val="none"/>
                <w:lang w:eastAsia="zh"/>
              </w:rPr>
              <w:t>9</w:t>
            </w:r>
            <w:r>
              <w:rPr>
                <w:rFonts w:hint="default" w:ascii="宋体" w:hAnsi="宋体" w:cs="仿宋"/>
                <w:color w:val="auto"/>
                <w:highlight w:val="none"/>
              </w:rPr>
              <w:t>/</w:t>
            </w:r>
            <w:r>
              <w:rPr>
                <w:rFonts w:hint="eastAsia" w:ascii="宋体" w:hAnsi="宋体" w:cs="仿宋"/>
                <w:color w:val="auto"/>
                <w:highlight w:val="none"/>
                <w:lang w:eastAsia="zh"/>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3</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独栋厂房完工</w:t>
            </w:r>
          </w:p>
        </w:tc>
        <w:tc>
          <w:tcPr>
            <w:tcW w:w="2818"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202</w:t>
            </w:r>
            <w:r>
              <w:rPr>
                <w:rFonts w:hint="eastAsia" w:ascii="宋体" w:hAnsi="宋体" w:cs="仿宋"/>
                <w:color w:val="auto"/>
                <w:highlight w:val="none"/>
                <w:lang w:eastAsia="zh"/>
              </w:rPr>
              <w:t>6</w:t>
            </w:r>
            <w:r>
              <w:rPr>
                <w:rFonts w:hint="default" w:ascii="宋体" w:hAnsi="宋体" w:cs="仿宋"/>
                <w:color w:val="auto"/>
                <w:highlight w:val="none"/>
              </w:rPr>
              <w:t>/</w:t>
            </w:r>
            <w:r>
              <w:rPr>
                <w:rFonts w:hint="eastAsia" w:ascii="宋体" w:hAnsi="宋体" w:cs="仿宋"/>
                <w:color w:val="auto"/>
                <w:highlight w:val="none"/>
                <w:lang w:eastAsia="zh"/>
              </w:rPr>
              <w:t>10</w:t>
            </w:r>
            <w:r>
              <w:rPr>
                <w:rFonts w:hint="default" w:ascii="宋体" w:hAnsi="宋体" w:cs="仿宋"/>
                <w:color w:val="auto"/>
                <w:highlight w:val="none"/>
              </w:rPr>
              <w:t>/</w:t>
            </w:r>
            <w:r>
              <w:rPr>
                <w:rFonts w:hint="eastAsia" w:ascii="宋体" w:hAnsi="宋体" w:cs="仿宋"/>
                <w:color w:val="auto"/>
                <w:highlight w:val="none"/>
                <w:lang w:eastAsia="zh"/>
              </w:rPr>
              <w:t>30</w:t>
            </w:r>
            <w:r>
              <w:rPr>
                <w:rFonts w:hint="default" w:ascii="宋体" w:hAnsi="宋体" w:cs="仿宋"/>
                <w:color w:val="auto"/>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4</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独栋厂房交付</w:t>
            </w:r>
          </w:p>
        </w:tc>
        <w:tc>
          <w:tcPr>
            <w:tcW w:w="2818"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202</w:t>
            </w:r>
            <w:r>
              <w:rPr>
                <w:rFonts w:hint="eastAsia" w:ascii="宋体" w:hAnsi="宋体" w:cs="仿宋"/>
                <w:color w:val="auto"/>
                <w:highlight w:val="none"/>
                <w:lang w:eastAsia="zh"/>
              </w:rPr>
              <w:t>6</w:t>
            </w:r>
            <w:r>
              <w:rPr>
                <w:rFonts w:hint="default" w:ascii="宋体" w:hAnsi="宋体" w:cs="仿宋"/>
                <w:color w:val="auto"/>
                <w:highlight w:val="none"/>
              </w:rPr>
              <w:t>/</w:t>
            </w:r>
            <w:r>
              <w:rPr>
                <w:rFonts w:hint="eastAsia" w:ascii="宋体" w:hAnsi="宋体" w:cs="仿宋"/>
                <w:color w:val="auto"/>
                <w:highlight w:val="none"/>
                <w:lang w:eastAsia="zh"/>
              </w:rPr>
              <w:t>11</w:t>
            </w:r>
            <w:r>
              <w:rPr>
                <w:rFonts w:hint="default" w:ascii="宋体" w:hAnsi="宋体" w:cs="仿宋"/>
                <w:color w:val="auto"/>
                <w:highlight w:val="none"/>
              </w:rPr>
              <w:t>/</w:t>
            </w:r>
            <w:r>
              <w:rPr>
                <w:rFonts w:hint="eastAsia" w:ascii="宋体" w:hAnsi="宋体" w:cs="仿宋"/>
                <w:color w:val="auto"/>
                <w:highlight w:val="none"/>
                <w:lang w:eastAsia="zh"/>
              </w:rPr>
              <w:t>30</w:t>
            </w:r>
            <w:r>
              <w:rPr>
                <w:rFonts w:hint="default" w:ascii="宋体" w:hAnsi="宋体" w:cs="仿宋"/>
                <w:color w:val="auto"/>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5</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高层厂房完工</w:t>
            </w:r>
          </w:p>
        </w:tc>
        <w:tc>
          <w:tcPr>
            <w:tcW w:w="2818"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default" w:ascii="宋体" w:hAnsi="宋体" w:cs="仿宋"/>
                <w:color w:val="auto"/>
                <w:highlight w:val="none"/>
              </w:rPr>
              <w:t>202</w:t>
            </w:r>
            <w:r>
              <w:rPr>
                <w:rFonts w:hint="eastAsia" w:ascii="宋体" w:hAnsi="宋体" w:cs="仿宋"/>
                <w:color w:val="auto"/>
                <w:highlight w:val="none"/>
                <w:lang w:val="en-US" w:eastAsia="zh-CN"/>
              </w:rPr>
              <w:t>6</w:t>
            </w:r>
            <w:r>
              <w:rPr>
                <w:rFonts w:hint="default" w:ascii="宋体" w:hAnsi="宋体" w:cs="仿宋"/>
                <w:color w:val="auto"/>
                <w:highlight w:val="none"/>
              </w:rPr>
              <w:t>/</w:t>
            </w:r>
            <w:r>
              <w:rPr>
                <w:rFonts w:hint="eastAsia" w:ascii="宋体" w:hAnsi="宋体" w:cs="仿宋"/>
                <w:color w:val="auto"/>
                <w:highlight w:val="none"/>
                <w:lang w:eastAsia="zh"/>
              </w:rPr>
              <w:t>7</w:t>
            </w:r>
            <w:r>
              <w:rPr>
                <w:rFonts w:hint="default" w:ascii="宋体" w:hAnsi="宋体" w:cs="仿宋"/>
                <w:color w:val="auto"/>
                <w:highlight w:val="none"/>
              </w:rPr>
              <w:t>/</w:t>
            </w:r>
            <w:r>
              <w:rPr>
                <w:rFonts w:hint="eastAsia" w:ascii="宋体" w:hAnsi="宋体" w:cs="仿宋"/>
                <w:color w:val="auto"/>
                <w:highlight w:val="none"/>
                <w:lang w:val="en-US" w:eastAsia="zh-CN"/>
              </w:rPr>
              <w:t>3</w:t>
            </w:r>
            <w:r>
              <w:rPr>
                <w:rFonts w:hint="eastAsia" w:ascii="宋体" w:hAnsi="宋体" w:cs="仿宋"/>
                <w:color w:val="auto"/>
                <w:highlight w:val="none"/>
                <w:lang w:eastAsia="zh"/>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6</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高层厂房交付</w:t>
            </w:r>
          </w:p>
        </w:tc>
        <w:tc>
          <w:tcPr>
            <w:tcW w:w="2818"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202</w:t>
            </w:r>
            <w:r>
              <w:rPr>
                <w:rFonts w:hint="eastAsia" w:ascii="宋体" w:hAnsi="宋体" w:cs="仿宋"/>
                <w:color w:val="auto"/>
                <w:highlight w:val="none"/>
                <w:lang w:val="en-US" w:eastAsia="zh-CN"/>
              </w:rPr>
              <w:t>6</w:t>
            </w:r>
            <w:r>
              <w:rPr>
                <w:rFonts w:hint="default" w:ascii="宋体" w:hAnsi="宋体" w:cs="仿宋"/>
                <w:color w:val="auto"/>
                <w:highlight w:val="none"/>
              </w:rPr>
              <w:t>/</w:t>
            </w:r>
            <w:r>
              <w:rPr>
                <w:rFonts w:hint="eastAsia" w:ascii="宋体" w:hAnsi="宋体" w:cs="仿宋"/>
                <w:color w:val="auto"/>
                <w:highlight w:val="none"/>
                <w:lang w:eastAsia="zh"/>
              </w:rPr>
              <w:t>8</w:t>
            </w:r>
            <w:r>
              <w:rPr>
                <w:rFonts w:hint="default" w:ascii="宋体" w:hAnsi="宋体" w:cs="仿宋"/>
                <w:color w:val="auto"/>
                <w:highlight w:val="none"/>
              </w:rPr>
              <w:t>/</w:t>
            </w:r>
            <w:r>
              <w:rPr>
                <w:rFonts w:hint="eastAsia" w:ascii="宋体" w:hAnsi="宋体" w:cs="仿宋"/>
                <w:color w:val="auto"/>
                <w:highlight w:val="none"/>
                <w:lang w:eastAsia="zh"/>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lang w:eastAsia="zh-CN"/>
              </w:rPr>
              <w:t>7</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lang w:eastAsia="zh-CN"/>
              </w:rPr>
            </w:pPr>
            <w:r>
              <w:rPr>
                <w:rFonts w:hint="eastAsia" w:ascii="宋体" w:hAnsi="宋体" w:cs="仿宋"/>
                <w:color w:val="auto"/>
                <w:highlight w:val="none"/>
                <w:lang w:eastAsia="zh-CN"/>
              </w:rPr>
              <w:t>配套活动室、</w:t>
            </w:r>
            <w:r>
              <w:rPr>
                <w:rFonts w:hint="eastAsia" w:ascii="宋体" w:hAnsi="宋体" w:cs="仿宋"/>
                <w:color w:val="auto"/>
                <w:highlight w:val="none"/>
                <w:lang w:val="en-US" w:eastAsia="zh-CN"/>
              </w:rPr>
              <w:t>饭堂</w:t>
            </w:r>
            <w:r>
              <w:rPr>
                <w:rFonts w:hint="eastAsia" w:ascii="宋体" w:hAnsi="宋体" w:cs="仿宋"/>
                <w:color w:val="auto"/>
                <w:highlight w:val="none"/>
                <w:lang w:eastAsia="zh-CN"/>
              </w:rPr>
              <w:t>及宿舍完工</w:t>
            </w:r>
          </w:p>
        </w:tc>
        <w:tc>
          <w:tcPr>
            <w:tcW w:w="2818"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202</w:t>
            </w:r>
            <w:r>
              <w:rPr>
                <w:rFonts w:hint="eastAsia" w:ascii="宋体" w:hAnsi="宋体" w:cs="仿宋"/>
                <w:color w:val="auto"/>
                <w:highlight w:val="none"/>
                <w:lang w:eastAsia="zh"/>
              </w:rPr>
              <w:t>7</w:t>
            </w:r>
            <w:r>
              <w:rPr>
                <w:rFonts w:hint="default" w:ascii="宋体" w:hAnsi="宋体" w:cs="仿宋"/>
                <w:color w:val="auto"/>
                <w:highlight w:val="none"/>
              </w:rPr>
              <w:t>/</w:t>
            </w:r>
            <w:r>
              <w:rPr>
                <w:rFonts w:hint="eastAsia" w:ascii="宋体" w:hAnsi="宋体" w:cs="仿宋"/>
                <w:color w:val="auto"/>
                <w:highlight w:val="none"/>
                <w:lang w:eastAsia="zh"/>
              </w:rPr>
              <w:t>1</w:t>
            </w:r>
            <w:r>
              <w:rPr>
                <w:rFonts w:hint="default" w:ascii="宋体" w:hAnsi="宋体" w:cs="仿宋"/>
                <w:color w:val="auto"/>
                <w:highlight w:val="none"/>
              </w:rPr>
              <w:t>/</w:t>
            </w:r>
            <w:r>
              <w:rPr>
                <w:rFonts w:hint="eastAsia" w:ascii="宋体" w:hAnsi="宋体" w:cs="仿宋"/>
                <w:color w:val="auto"/>
                <w:highlight w:val="none"/>
                <w:lang w:eastAsia="zh"/>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1" w:hRule="atLeast"/>
          <w:jc w:val="center"/>
        </w:trPr>
        <w:tc>
          <w:tcPr>
            <w:tcW w:w="1141"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lang w:eastAsia="zh-CN"/>
              </w:rPr>
              <w:t>8</w:t>
            </w:r>
          </w:p>
        </w:tc>
        <w:tc>
          <w:tcPr>
            <w:tcW w:w="406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lang w:eastAsia="zh-CN"/>
              </w:rPr>
            </w:pPr>
            <w:r>
              <w:rPr>
                <w:rFonts w:hint="eastAsia" w:ascii="宋体" w:hAnsi="宋体" w:cs="仿宋"/>
                <w:color w:val="auto"/>
                <w:highlight w:val="none"/>
                <w:lang w:eastAsia="zh-CN"/>
              </w:rPr>
              <w:t>配套活动室、</w:t>
            </w:r>
            <w:r>
              <w:rPr>
                <w:rFonts w:hint="eastAsia" w:ascii="宋体" w:hAnsi="宋体" w:cs="仿宋"/>
                <w:color w:val="auto"/>
                <w:highlight w:val="none"/>
                <w:lang w:val="en-US" w:eastAsia="zh-CN"/>
              </w:rPr>
              <w:t>饭堂</w:t>
            </w:r>
            <w:r>
              <w:rPr>
                <w:rFonts w:hint="eastAsia" w:ascii="宋体" w:hAnsi="宋体" w:cs="仿宋"/>
                <w:color w:val="auto"/>
                <w:highlight w:val="none"/>
                <w:lang w:eastAsia="zh-CN"/>
              </w:rPr>
              <w:t>及宿舍交付</w:t>
            </w:r>
          </w:p>
        </w:tc>
        <w:tc>
          <w:tcPr>
            <w:tcW w:w="2818"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202</w:t>
            </w:r>
            <w:r>
              <w:rPr>
                <w:rFonts w:hint="eastAsia" w:ascii="宋体" w:hAnsi="宋体" w:cs="仿宋"/>
                <w:color w:val="auto"/>
                <w:highlight w:val="none"/>
                <w:lang w:eastAsia="zh"/>
              </w:rPr>
              <w:t>7</w:t>
            </w:r>
            <w:r>
              <w:rPr>
                <w:rFonts w:hint="default" w:ascii="宋体" w:hAnsi="宋体" w:cs="仿宋"/>
                <w:color w:val="auto"/>
                <w:highlight w:val="none"/>
              </w:rPr>
              <w:t>/</w:t>
            </w:r>
            <w:r>
              <w:rPr>
                <w:rFonts w:hint="eastAsia" w:ascii="宋体" w:hAnsi="宋体" w:cs="仿宋"/>
                <w:color w:val="auto"/>
                <w:highlight w:val="none"/>
                <w:lang w:eastAsia="zh"/>
              </w:rPr>
              <w:t>2</w:t>
            </w:r>
            <w:r>
              <w:rPr>
                <w:rFonts w:hint="default" w:ascii="宋体" w:hAnsi="宋体" w:cs="仿宋"/>
                <w:color w:val="auto"/>
                <w:highlight w:val="none"/>
              </w:rPr>
              <w:t>/</w:t>
            </w:r>
            <w:r>
              <w:rPr>
                <w:rFonts w:hint="eastAsia" w:ascii="宋体" w:hAnsi="宋体" w:cs="仿宋"/>
                <w:color w:val="auto"/>
                <w:highlight w:val="none"/>
                <w:lang w:eastAsia="zh"/>
              </w:rPr>
              <w:t>28</w:t>
            </w:r>
          </w:p>
        </w:tc>
      </w:tr>
      <w:bookmarkEnd w:id="74"/>
    </w:tbl>
    <w:p>
      <w:pPr>
        <w:spacing w:line="360" w:lineRule="auto"/>
        <w:ind w:firstLine="480" w:firstLineChars="200"/>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rPr>
          <w:rFonts w:hint="eastAsia" w:ascii="仿宋" w:hAnsi="仿宋" w:eastAsia="仿宋" w:cs="仿宋"/>
          <w:color w:val="auto"/>
          <w:highlight w:val="none"/>
          <w:lang w:eastAsia="zh-CN"/>
        </w:rPr>
      </w:pPr>
    </w:p>
    <w:p>
      <w:pPr>
        <w:pStyle w:val="22"/>
        <w:jc w:val="center"/>
        <w:rPr>
          <w:rFonts w:hint="eastAsia" w:ascii="仿宋" w:hAnsi="仿宋" w:eastAsia="仿宋" w:cs="仿宋"/>
          <w:b/>
          <w:bCs/>
          <w:color w:val="auto"/>
          <w:highlight w:val="none"/>
          <w:lang w:eastAsia="zh-CN"/>
        </w:rPr>
      </w:pPr>
      <w:r>
        <w:rPr>
          <w:rFonts w:hint="eastAsia"/>
          <w:b/>
          <w:bCs/>
          <w:color w:val="auto"/>
          <w:sz w:val="28"/>
          <w:szCs w:val="28"/>
          <w:highlight w:val="none"/>
          <w:lang w:eastAsia="zh"/>
        </w:rPr>
        <w:t>地块六</w:t>
      </w:r>
    </w:p>
    <w:tbl>
      <w:tblPr>
        <w:tblStyle w:val="41"/>
        <w:tblW w:w="448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2"/>
        <w:gridCol w:w="3525"/>
        <w:gridCol w:w="3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rPr>
              <w:t>序号</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
              </w:rPr>
              <w:t>地块六</w:t>
            </w:r>
            <w:r>
              <w:rPr>
                <w:rFonts w:hint="eastAsia" w:ascii="宋体" w:hAnsi="宋体" w:cs="仿宋"/>
                <w:color w:val="auto"/>
                <w:highlight w:val="none"/>
              </w:rPr>
              <w:t>关键节点</w:t>
            </w:r>
          </w:p>
        </w:tc>
        <w:tc>
          <w:tcPr>
            <w:tcW w:w="3184"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rPr>
              <w:t>节点完成时间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1</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rPr>
              <w:t>开工</w:t>
            </w:r>
          </w:p>
        </w:tc>
        <w:tc>
          <w:tcPr>
            <w:tcW w:w="3184"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2025/5/30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2</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桩基完工（含检测）</w:t>
            </w:r>
          </w:p>
        </w:tc>
        <w:tc>
          <w:tcPr>
            <w:tcW w:w="3184"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2025/9/30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3</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独栋厂房完工</w:t>
            </w:r>
          </w:p>
        </w:tc>
        <w:tc>
          <w:tcPr>
            <w:tcW w:w="3184"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2026/6/30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4</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独栋厂房交付</w:t>
            </w:r>
          </w:p>
        </w:tc>
        <w:tc>
          <w:tcPr>
            <w:tcW w:w="3184"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
              </w:rPr>
              <w:t>2026/7/30</w:t>
            </w:r>
            <w:r>
              <w:rPr>
                <w:rFonts w:hint="default" w:ascii="宋体" w:hAnsi="宋体" w:cs="仿宋"/>
                <w:color w:val="auto"/>
                <w:highlight w:val="non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5</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高层厂房完工</w:t>
            </w:r>
          </w:p>
        </w:tc>
        <w:tc>
          <w:tcPr>
            <w:tcW w:w="3184"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2026/9/30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rPr>
              <w:t>6</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eastAsia" w:ascii="宋体" w:hAnsi="宋体" w:cs="仿宋"/>
                <w:color w:val="auto"/>
                <w:highlight w:val="none"/>
                <w:lang w:eastAsia="zh-CN"/>
              </w:rPr>
              <w:t>高层厂房交付</w:t>
            </w:r>
          </w:p>
        </w:tc>
        <w:tc>
          <w:tcPr>
            <w:tcW w:w="3184"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2026/10/30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4"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lang w:eastAsia="zh-CN"/>
              </w:rPr>
              <w:t>7</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lang w:eastAsia="zh-CN"/>
              </w:rPr>
            </w:pPr>
            <w:r>
              <w:rPr>
                <w:rFonts w:hint="eastAsia" w:ascii="宋体" w:hAnsi="宋体" w:cs="仿宋"/>
                <w:color w:val="auto"/>
                <w:highlight w:val="none"/>
                <w:lang w:eastAsia="zh-CN"/>
              </w:rPr>
              <w:t>配套活动室、</w:t>
            </w:r>
            <w:r>
              <w:rPr>
                <w:rFonts w:hint="eastAsia" w:ascii="宋体" w:hAnsi="宋体" w:cs="仿宋"/>
                <w:color w:val="auto"/>
                <w:highlight w:val="none"/>
                <w:lang w:val="en-US" w:eastAsia="zh-CN"/>
              </w:rPr>
              <w:t>饭堂</w:t>
            </w:r>
            <w:r>
              <w:rPr>
                <w:rFonts w:hint="eastAsia" w:ascii="宋体" w:hAnsi="宋体" w:cs="仿宋"/>
                <w:color w:val="auto"/>
                <w:highlight w:val="none"/>
                <w:lang w:eastAsia="zh-CN"/>
              </w:rPr>
              <w:t>及宿舍完工</w:t>
            </w:r>
          </w:p>
        </w:tc>
        <w:tc>
          <w:tcPr>
            <w:tcW w:w="3184"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2026/12/30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4" w:hRule="atLeast"/>
          <w:jc w:val="center"/>
        </w:trPr>
        <w:tc>
          <w:tcPr>
            <w:tcW w:w="1112"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rPr>
            </w:pPr>
            <w:r>
              <w:rPr>
                <w:rFonts w:hint="default" w:ascii="宋体" w:hAnsi="宋体" w:cs="仿宋"/>
                <w:color w:val="auto"/>
                <w:highlight w:val="none"/>
                <w:lang w:eastAsia="zh-CN"/>
              </w:rPr>
              <w:t>8</w:t>
            </w:r>
          </w:p>
        </w:tc>
        <w:tc>
          <w:tcPr>
            <w:tcW w:w="3525" w:type="dxa"/>
          </w:tcPr>
          <w:p>
            <w:pPr>
              <w:keepNext w:val="0"/>
              <w:keepLines w:val="0"/>
              <w:widowControl/>
              <w:suppressLineNumbers w:val="0"/>
              <w:spacing w:before="0" w:beforeAutospacing="0" w:after="0" w:afterAutospacing="0" w:line="360" w:lineRule="auto"/>
              <w:ind w:left="0" w:right="0"/>
              <w:jc w:val="center"/>
              <w:rPr>
                <w:rFonts w:hint="default" w:ascii="宋体" w:hAnsi="宋体" w:cs="仿宋"/>
                <w:color w:val="auto"/>
                <w:highlight w:val="none"/>
                <w:lang w:eastAsia="zh-CN"/>
              </w:rPr>
            </w:pPr>
            <w:r>
              <w:rPr>
                <w:rFonts w:hint="eastAsia" w:ascii="宋体" w:hAnsi="宋体" w:cs="仿宋"/>
                <w:color w:val="auto"/>
                <w:highlight w:val="none"/>
                <w:lang w:eastAsia="zh-CN"/>
              </w:rPr>
              <w:t>配套活动室、</w:t>
            </w:r>
            <w:r>
              <w:rPr>
                <w:rFonts w:hint="eastAsia" w:ascii="宋体" w:hAnsi="宋体" w:cs="仿宋"/>
                <w:color w:val="auto"/>
                <w:highlight w:val="none"/>
                <w:lang w:val="en-US" w:eastAsia="zh-CN"/>
              </w:rPr>
              <w:t>饭堂</w:t>
            </w:r>
            <w:r>
              <w:rPr>
                <w:rFonts w:hint="eastAsia" w:ascii="宋体" w:hAnsi="宋体" w:cs="仿宋"/>
                <w:color w:val="auto"/>
                <w:highlight w:val="none"/>
                <w:lang w:eastAsia="zh-CN"/>
              </w:rPr>
              <w:t>及宿舍交付</w:t>
            </w:r>
          </w:p>
        </w:tc>
        <w:tc>
          <w:tcPr>
            <w:tcW w:w="3184" w:type="dxa"/>
          </w:tcPr>
          <w:p>
            <w:pPr>
              <w:keepNext w:val="0"/>
              <w:keepLines w:val="0"/>
              <w:widowControl/>
              <w:suppressLineNumbers w:val="0"/>
              <w:spacing w:before="0" w:beforeAutospacing="0" w:after="0" w:afterAutospacing="0" w:line="360" w:lineRule="auto"/>
              <w:ind w:left="0" w:right="0"/>
              <w:jc w:val="center"/>
              <w:rPr>
                <w:rFonts w:hint="eastAsia" w:ascii="宋体" w:hAnsi="宋体" w:eastAsia="宋体" w:cs="仿宋"/>
                <w:color w:val="auto"/>
                <w:highlight w:val="none"/>
                <w:lang w:eastAsia="zh"/>
              </w:rPr>
            </w:pPr>
            <w:r>
              <w:rPr>
                <w:rFonts w:hint="eastAsia" w:ascii="宋体" w:hAnsi="宋体" w:cs="仿宋"/>
                <w:color w:val="auto"/>
                <w:highlight w:val="none"/>
                <w:lang w:eastAsia="zh"/>
              </w:rPr>
              <w:t>2027/1/30</w:t>
            </w:r>
          </w:p>
        </w:tc>
      </w:tr>
    </w:tbl>
    <w:p>
      <w:pPr>
        <w:spacing w:line="360" w:lineRule="auto"/>
        <w:ind w:firstLine="0" w:firstLineChars="0"/>
        <w:rPr>
          <w:rFonts w:hint="eastAsia" w:ascii="仿宋" w:hAnsi="仿宋" w:eastAsia="仿宋" w:cs="仿宋"/>
          <w:color w:val="auto"/>
          <w:highlight w:val="none"/>
          <w:lang w:eastAsia="zh-CN"/>
        </w:rPr>
      </w:pP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根据工程实际情况，有权对本工程中的关键节点工期进行适当合理调整，承包人必须采取一切有效措施保证关键节点工期的调整，并不得要求另行增加费用，确因发包人原因导致无法保证关键节点工期的，经承包人书面申请后可顺延相应关键节点工期。本工程赶工措施费用应在投标报价中综合考虑，不另行计算。</w:t>
      </w:r>
    </w:p>
    <w:p>
      <w:pPr>
        <w:spacing w:line="360" w:lineRule="auto"/>
        <w:outlineLvl w:val="1"/>
        <w:rPr>
          <w:rFonts w:ascii="仿宋" w:hAnsi="仿宋" w:eastAsia="仿宋" w:cs="仿宋"/>
          <w:b/>
          <w:bCs/>
          <w:color w:val="auto"/>
          <w:highlight w:val="none"/>
          <w:lang w:eastAsia="zh-CN"/>
        </w:rPr>
      </w:pPr>
      <w:bookmarkStart w:id="75" w:name="_Toc14850"/>
      <w:bookmarkStart w:id="76" w:name="_Toc25134"/>
      <w:bookmarkStart w:id="77" w:name="_Toc11471"/>
      <w:bookmarkStart w:id="78" w:name="_Toc17741"/>
      <w:bookmarkStart w:id="79" w:name="_Toc32124"/>
      <w:bookmarkStart w:id="80" w:name="_Toc14040"/>
      <w:bookmarkStart w:id="81" w:name="_Toc25345"/>
      <w:bookmarkStart w:id="82" w:name="_Toc30262"/>
      <w:bookmarkStart w:id="83" w:name="_Toc28434"/>
      <w:r>
        <w:rPr>
          <w:rFonts w:hint="eastAsia" w:ascii="仿宋" w:hAnsi="仿宋" w:eastAsia="仿宋" w:cs="仿宋"/>
          <w:b/>
          <w:bCs/>
          <w:color w:val="auto"/>
          <w:highlight w:val="none"/>
          <w:lang w:eastAsia="zh-CN"/>
        </w:rPr>
        <w:t>八、签约合同价</w:t>
      </w:r>
      <w:bookmarkEnd w:id="75"/>
      <w:r>
        <w:rPr>
          <w:rFonts w:hint="eastAsia" w:ascii="仿宋" w:hAnsi="仿宋" w:eastAsia="仿宋" w:cs="仿宋"/>
          <w:b/>
          <w:bCs/>
          <w:color w:val="auto"/>
          <w:highlight w:val="none"/>
          <w:lang w:eastAsia="zh-CN"/>
        </w:rPr>
        <w:t>与合同价格形式</w:t>
      </w:r>
      <w:bookmarkEnd w:id="76"/>
      <w:bookmarkEnd w:id="77"/>
      <w:bookmarkEnd w:id="78"/>
      <w:bookmarkEnd w:id="79"/>
      <w:bookmarkEnd w:id="80"/>
      <w:bookmarkEnd w:id="81"/>
      <w:bookmarkEnd w:id="82"/>
      <w:bookmarkEnd w:id="83"/>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合同价格形式为：□总价合同；□总价合同＋部分单价合同；☑其他价格形式：</w:t>
      </w:r>
      <w:r>
        <w:rPr>
          <w:rFonts w:hint="eastAsia" w:ascii="仿宋" w:hAnsi="仿宋" w:eastAsia="仿宋" w:cs="仿宋"/>
          <w:color w:val="auto"/>
          <w:highlight w:val="none"/>
          <w:u w:val="single"/>
          <w:lang w:eastAsia="zh-CN"/>
        </w:rPr>
        <w:t>详见专用条款72条</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签约合同价（含税）：人民币（大写）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其中：不含税金额：</w:t>
      </w:r>
      <w:r>
        <w:rPr>
          <w:rFonts w:hint="eastAsia" w:ascii="宋体" w:hAnsi="宋体" w:cs="宋体"/>
          <w:color w:val="auto"/>
          <w:highlight w:val="none"/>
          <w:u w:val="single"/>
          <w:lang w:eastAsia="zh-CN"/>
        </w:rPr>
        <w:t>¥</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元，增值税金额：</w:t>
      </w:r>
      <w:r>
        <w:rPr>
          <w:rFonts w:hint="eastAsia" w:ascii="宋体" w:hAnsi="宋体" w:cs="宋体"/>
          <w:color w:val="auto"/>
          <w:highlight w:val="none"/>
          <w:u w:val="single"/>
          <w:lang w:eastAsia="zh-CN"/>
        </w:rPr>
        <w:t>¥</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☑工程勘察费（含税）：</w:t>
      </w:r>
    </w:p>
    <w:p>
      <w:pPr>
        <w:spacing w:line="360" w:lineRule="auto"/>
        <w:ind w:firstLine="480" w:firstLineChars="20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元）；适用税率：</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%，不含税价格：（¥</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元），增值税额：（¥</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元）；本工程</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费下浮率：</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480" w:firstLineChars="20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工程</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费按发包人确认实际工程量乘以</w:t>
      </w:r>
      <w:r>
        <w:rPr>
          <w:rFonts w:hint="eastAsia" w:ascii="仿宋" w:hAnsi="仿宋" w:eastAsia="仿宋" w:cs="仿宋"/>
          <w:color w:val="auto"/>
          <w:highlight w:val="none"/>
          <w:lang w:val="en-US" w:eastAsia="zh-CN"/>
        </w:rPr>
        <w:t>中标综合</w:t>
      </w:r>
      <w:r>
        <w:rPr>
          <w:rFonts w:hint="eastAsia" w:ascii="仿宋" w:hAnsi="仿宋" w:eastAsia="仿宋" w:cs="仿宋"/>
          <w:color w:val="auto"/>
          <w:highlight w:val="none"/>
          <w:lang w:eastAsia="zh-CN"/>
        </w:rPr>
        <w:t>单价</w:t>
      </w:r>
      <w:r>
        <w:rPr>
          <w:rFonts w:hint="eastAsia" w:ascii="仿宋" w:hAnsi="仿宋" w:eastAsia="仿宋" w:cs="仿宋"/>
          <w:color w:val="auto"/>
          <w:highlight w:val="none"/>
          <w:lang w:val="en-US" w:eastAsia="zh-CN"/>
        </w:rPr>
        <w:t>收取，</w:t>
      </w:r>
      <w:r>
        <w:rPr>
          <w:rFonts w:hint="eastAsia" w:ascii="仿宋" w:hAnsi="仿宋" w:eastAsia="仿宋" w:cs="仿宋"/>
          <w:color w:val="auto"/>
          <w:highlight w:val="none"/>
          <w:lang w:eastAsia="zh-CN"/>
        </w:rPr>
        <w:t>不因国家的税率政策变化而作相应调整，本工程</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费中标下浮率为：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pStyle w:val="22"/>
        <w:ind w:firstLine="480" w:firstLineChars="20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eastAsia="zh-CN" w:bidi="en-US"/>
        </w:rPr>
        <w:t>勘察服务费组成表：</w:t>
      </w:r>
    </w:p>
    <w:tbl>
      <w:tblPr>
        <w:tblStyle w:val="40"/>
        <w:tblW w:w="871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66"/>
        <w:gridCol w:w="1267"/>
        <w:gridCol w:w="788"/>
        <w:gridCol w:w="927"/>
        <w:gridCol w:w="1095"/>
        <w:gridCol w:w="1230"/>
        <w:gridCol w:w="26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71"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序号</w:t>
            </w:r>
          </w:p>
        </w:tc>
        <w:tc>
          <w:tcPr>
            <w:tcW w:w="126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项目</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r>
              <w:rPr>
                <w:rFonts w:hint="eastAsia" w:ascii="仿宋" w:hAnsi="仿宋" w:eastAsia="仿宋" w:cs="仿宋"/>
                <w:color w:val="auto"/>
                <w:sz w:val="24"/>
                <w:szCs w:val="24"/>
                <w:highlight w:val="none"/>
                <w:lang w:val="en-US" w:eastAsia="zh-CN" w:bidi="en-US"/>
              </w:rPr>
              <w:t>单位</w:t>
            </w:r>
          </w:p>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名称</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r>
              <w:rPr>
                <w:rFonts w:hint="eastAsia" w:ascii="仿宋" w:hAnsi="仿宋" w:eastAsia="仿宋" w:cs="仿宋"/>
                <w:color w:val="auto"/>
                <w:sz w:val="24"/>
                <w:szCs w:val="24"/>
                <w:highlight w:val="none"/>
                <w:lang w:val="en-US" w:eastAsia="zh-CN" w:bidi="en-US"/>
              </w:rPr>
              <w:t>暂定</w:t>
            </w:r>
          </w:p>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工程量</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含税综合单价（元）</w:t>
            </w: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总价</w:t>
            </w:r>
          </w:p>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（元）</w:t>
            </w: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77"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1</w:t>
            </w:r>
          </w:p>
        </w:tc>
        <w:tc>
          <w:tcPr>
            <w:tcW w:w="126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岩土工程勘察费</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 w:bidi="en-US"/>
              </w:rPr>
            </w:pPr>
            <w:r>
              <w:rPr>
                <w:rFonts w:hint="eastAsia" w:ascii="仿宋" w:hAnsi="仿宋" w:eastAsia="仿宋" w:cs="仿宋"/>
                <w:color w:val="auto"/>
                <w:sz w:val="24"/>
                <w:szCs w:val="24"/>
                <w:highlight w:val="none"/>
                <w:lang w:eastAsia="zh" w:bidi="en-US"/>
              </w:rPr>
              <w:t>米</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11000</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1.</w:t>
            </w:r>
            <w:r>
              <w:rPr>
                <w:rFonts w:hint="eastAsia" w:ascii="仿宋" w:hAnsi="仿宋" w:eastAsia="仿宋" w:cs="仿宋"/>
                <w:color w:val="auto"/>
                <w:sz w:val="24"/>
                <w:szCs w:val="24"/>
                <w:highlight w:val="none"/>
                <w:lang w:eastAsia="zh-CN" w:bidi="en-US"/>
              </w:rPr>
              <w:t>包括详细勘察及所有实物工作收费、技术工作收费、进退场费、税金等。</w:t>
            </w:r>
          </w:p>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eastAsia="zh-CN" w:bidi="en-US"/>
              </w:rPr>
              <w:t>2.本项费用如有发生则据实结算。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39"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2</w:t>
            </w:r>
          </w:p>
        </w:tc>
        <w:tc>
          <w:tcPr>
            <w:tcW w:w="126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r>
              <w:rPr>
                <w:rFonts w:hint="eastAsia" w:ascii="仿宋" w:hAnsi="仿宋" w:eastAsia="仿宋" w:cs="仿宋"/>
                <w:color w:val="auto"/>
                <w:sz w:val="24"/>
                <w:szCs w:val="24"/>
                <w:highlight w:val="none"/>
                <w:lang w:val="en-US" w:eastAsia="zh-CN" w:bidi="en-US"/>
              </w:rPr>
              <w:t>超前钻费用(含支护桩）</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 w:bidi="en-US"/>
              </w:rPr>
            </w:pPr>
            <w:r>
              <w:rPr>
                <w:rFonts w:hint="eastAsia" w:ascii="仿宋" w:hAnsi="仿宋" w:eastAsia="仿宋" w:cs="仿宋"/>
                <w:color w:val="auto"/>
                <w:sz w:val="24"/>
                <w:szCs w:val="24"/>
                <w:highlight w:val="none"/>
                <w:lang w:eastAsia="zh" w:bidi="en-US"/>
              </w:rPr>
              <w:t>米</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17500</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r>
              <w:rPr>
                <w:rFonts w:hint="eastAsia" w:ascii="仿宋" w:hAnsi="仿宋" w:eastAsia="仿宋" w:cs="仿宋"/>
                <w:color w:val="auto"/>
                <w:sz w:val="24"/>
                <w:szCs w:val="24"/>
                <w:highlight w:val="none"/>
                <w:lang w:val="en-US" w:eastAsia="zh-CN" w:bidi="en-US"/>
              </w:rPr>
              <w:t>1.高层每柱一孔，预估500个孔，平均按35米计算。</w:t>
            </w:r>
          </w:p>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2.包含所有实物工作收费、技术工作收费、进退场费、税金等。</w:t>
            </w:r>
          </w:p>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3.本项费用如有发生则据实结算</w:t>
            </w:r>
            <w:r>
              <w:rPr>
                <w:rFonts w:hint="eastAsia" w:ascii="仿宋" w:hAnsi="仿宋" w:eastAsia="仿宋" w:cs="仿宋"/>
                <w:color w:val="auto"/>
                <w:sz w:val="24"/>
                <w:szCs w:val="24"/>
                <w:highlight w:val="none"/>
                <w:lang w:eastAsia="zh-CN" w:bidi="en-US"/>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2"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3</w:t>
            </w:r>
          </w:p>
        </w:tc>
        <w:tc>
          <w:tcPr>
            <w:tcW w:w="1267" w:type="dxa"/>
            <w:tcBorders>
              <w:top w:val="single" w:color="000000" w:sz="4" w:space="0"/>
              <w:left w:val="single" w:color="000000" w:sz="4" w:space="0"/>
              <w:bottom w:val="nil"/>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抽水试验</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 w:bidi="en-US"/>
              </w:rPr>
            </w:pPr>
            <w:r>
              <w:rPr>
                <w:rFonts w:hint="eastAsia" w:ascii="仿宋" w:hAnsi="仿宋" w:eastAsia="仿宋" w:cs="仿宋"/>
                <w:color w:val="auto"/>
                <w:sz w:val="24"/>
                <w:szCs w:val="24"/>
                <w:highlight w:val="none"/>
                <w:lang w:eastAsia="zh" w:bidi="en-US"/>
              </w:rPr>
              <w:t>个</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2</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工程量暂定，预估每地块各一个，如有发生则据实结算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9"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4</w:t>
            </w:r>
          </w:p>
        </w:tc>
        <w:tc>
          <w:tcPr>
            <w:tcW w:w="1267" w:type="dxa"/>
            <w:tcBorders>
              <w:top w:val="single" w:color="000000" w:sz="4" w:space="0"/>
              <w:left w:val="single" w:color="000000" w:sz="4" w:space="0"/>
              <w:bottom w:val="nil"/>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剪切波速</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 w:bidi="en-US"/>
              </w:rPr>
            </w:pPr>
            <w:r>
              <w:rPr>
                <w:rFonts w:hint="eastAsia" w:ascii="仿宋" w:hAnsi="仿宋" w:eastAsia="仿宋" w:cs="仿宋"/>
                <w:color w:val="auto"/>
                <w:sz w:val="24"/>
                <w:szCs w:val="24"/>
                <w:highlight w:val="none"/>
                <w:lang w:eastAsia="zh" w:bidi="en-US"/>
              </w:rPr>
              <w:t>孔</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29</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val="en-US" w:eastAsia="zh-CN" w:bidi="en-US"/>
              </w:rPr>
            </w:pP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工程量暂定，预估每个单体各一孔如有发生则据实结算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9"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eastAsia"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5</w:t>
            </w:r>
          </w:p>
        </w:tc>
        <w:tc>
          <w:tcPr>
            <w:tcW w:w="1267" w:type="dxa"/>
            <w:tcBorders>
              <w:top w:val="single" w:color="000000" w:sz="4" w:space="0"/>
              <w:left w:val="single" w:color="000000" w:sz="4" w:space="0"/>
              <w:bottom w:val="nil"/>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eastAsia"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管波探测</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eastAsia" w:ascii="仿宋" w:hAnsi="仿宋" w:eastAsia="仿宋" w:cs="仿宋"/>
                <w:color w:val="auto"/>
                <w:sz w:val="24"/>
                <w:szCs w:val="24"/>
                <w:highlight w:val="none"/>
                <w:lang w:val="en-US" w:eastAsia="zh-CN" w:bidi="en-US"/>
              </w:rPr>
            </w:pPr>
            <w:r>
              <w:rPr>
                <w:rFonts w:hint="eastAsia" w:ascii="仿宋" w:hAnsi="仿宋" w:eastAsia="仿宋" w:cs="仿宋"/>
                <w:color w:val="auto"/>
                <w:sz w:val="24"/>
                <w:szCs w:val="24"/>
                <w:highlight w:val="none"/>
                <w:lang w:val="en-US" w:eastAsia="zh-CN" w:bidi="en-US"/>
              </w:rPr>
              <w:t>个</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eastAsia"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400</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eastAsia" w:ascii="仿宋" w:hAnsi="仿宋" w:eastAsia="仿宋" w:cs="仿宋"/>
                <w:color w:val="auto"/>
                <w:sz w:val="24"/>
                <w:szCs w:val="24"/>
                <w:highlight w:val="none"/>
                <w:lang w:val="en-US" w:eastAsia="zh-CN" w:bidi="en-US"/>
              </w:rPr>
            </w:pP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eastAsia" w:ascii="仿宋" w:hAnsi="仿宋" w:eastAsia="仿宋" w:cs="仿宋"/>
                <w:color w:val="auto"/>
                <w:sz w:val="24"/>
                <w:szCs w:val="24"/>
                <w:highlight w:val="none"/>
                <w:lang w:val="en-US" w:eastAsia="zh-CN" w:bidi="en-US"/>
              </w:rPr>
            </w:pP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eastAsia" w:ascii="仿宋" w:hAnsi="仿宋" w:eastAsia="仿宋" w:cs="仿宋"/>
                <w:color w:val="auto"/>
                <w:sz w:val="24"/>
                <w:szCs w:val="24"/>
                <w:highlight w:val="none"/>
                <w:lang w:val="en-US" w:eastAsia="zh-CN" w:bidi="en-US"/>
              </w:rPr>
            </w:pPr>
            <w:r>
              <w:rPr>
                <w:rFonts w:hint="eastAsia" w:ascii="仿宋" w:hAnsi="仿宋" w:eastAsia="仿宋" w:cs="仿宋"/>
                <w:color w:val="auto"/>
                <w:sz w:val="24"/>
                <w:szCs w:val="24"/>
                <w:highlight w:val="none"/>
                <w:lang w:eastAsia="zh-CN" w:bidi="en-US"/>
              </w:rPr>
              <w:t>本项</w:t>
            </w:r>
            <w:r>
              <w:rPr>
                <w:rFonts w:hint="eastAsia" w:ascii="仿宋" w:hAnsi="仿宋" w:eastAsia="仿宋" w:cs="仿宋"/>
                <w:color w:val="auto"/>
                <w:sz w:val="24"/>
                <w:szCs w:val="24"/>
                <w:highlight w:val="none"/>
                <w:lang w:val="en-US" w:eastAsia="zh-CN" w:bidi="en-US"/>
              </w:rPr>
              <w:t>工程量暂定，</w:t>
            </w:r>
            <w:r>
              <w:rPr>
                <w:rFonts w:hint="eastAsia" w:ascii="仿宋" w:hAnsi="仿宋" w:eastAsia="仿宋" w:cs="仿宋"/>
                <w:color w:val="auto"/>
                <w:sz w:val="24"/>
                <w:szCs w:val="24"/>
                <w:highlight w:val="none"/>
                <w:lang w:eastAsia="zh-CN" w:bidi="en-US"/>
              </w:rPr>
              <w:t>如有发生则据实结算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9"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6</w:t>
            </w:r>
          </w:p>
        </w:tc>
        <w:tc>
          <w:tcPr>
            <w:tcW w:w="1267" w:type="dxa"/>
            <w:tcBorders>
              <w:top w:val="single" w:color="000000" w:sz="4" w:space="0"/>
              <w:left w:val="single" w:color="000000" w:sz="4" w:space="0"/>
              <w:bottom w:val="nil"/>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地形标高测量</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eastAsia="zh" w:bidi="en-US"/>
              </w:rPr>
            </w:pPr>
            <w:r>
              <w:rPr>
                <w:rFonts w:hint="eastAsia" w:ascii="仿宋" w:hAnsi="仿宋" w:eastAsia="仿宋" w:cs="仿宋"/>
                <w:color w:val="auto"/>
                <w:sz w:val="24"/>
                <w:szCs w:val="24"/>
                <w:highlight w:val="none"/>
                <w:lang w:eastAsia="zh" w:bidi="en-US"/>
              </w:rPr>
              <w:t>平方米</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128709.22</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CN" w:bidi="en-US"/>
              </w:rPr>
            </w:pP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CN" w:bidi="en-US"/>
              </w:rPr>
            </w:pP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CN" w:bidi="en-US"/>
              </w:rPr>
              <w:t>1.</w:t>
            </w:r>
            <w:r>
              <w:rPr>
                <w:rFonts w:hint="default" w:ascii="仿宋" w:hAnsi="仿宋" w:eastAsia="仿宋" w:cs="仿宋"/>
                <w:color w:val="auto"/>
                <w:sz w:val="24"/>
                <w:szCs w:val="24"/>
                <w:highlight w:val="none"/>
                <w:lang w:val="en-US" w:eastAsia="zh" w:bidi="en-US"/>
              </w:rPr>
              <w:t>暂按项目用地红线为测量范围。</w:t>
            </w:r>
          </w:p>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CN" w:bidi="en-US"/>
              </w:rPr>
              <w:t>2.</w:t>
            </w:r>
            <w:r>
              <w:rPr>
                <w:rFonts w:hint="default" w:ascii="仿宋" w:hAnsi="仿宋" w:eastAsia="仿宋" w:cs="仿宋"/>
                <w:color w:val="auto"/>
                <w:sz w:val="24"/>
                <w:szCs w:val="24"/>
                <w:highlight w:val="none"/>
                <w:lang w:val="en-US" w:eastAsia="zh" w:bidi="en-US"/>
              </w:rPr>
              <w:t>包括简单地形原地地面标高测量及出具土方测量报告等；</w:t>
            </w:r>
          </w:p>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CN" w:bidi="en-US"/>
              </w:rPr>
              <w:t>3.</w:t>
            </w:r>
            <w:r>
              <w:rPr>
                <w:rFonts w:hint="default" w:ascii="仿宋" w:hAnsi="仿宋" w:eastAsia="仿宋" w:cs="仿宋"/>
                <w:color w:val="auto"/>
                <w:sz w:val="24"/>
                <w:szCs w:val="24"/>
                <w:highlight w:val="none"/>
                <w:lang w:val="en-US" w:eastAsia="zh" w:bidi="en-US"/>
              </w:rPr>
              <w:t>测量点应不大于10*10方格网测量，高低不平的位置根据现场实际情况增加测量点数。</w:t>
            </w:r>
          </w:p>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default" w:ascii="仿宋" w:hAnsi="仿宋" w:eastAsia="仿宋" w:cs="仿宋"/>
                <w:color w:val="auto"/>
                <w:sz w:val="24"/>
                <w:szCs w:val="24"/>
                <w:highlight w:val="none"/>
                <w:lang w:val="en-US" w:eastAsia="zh" w:bidi="en-US"/>
              </w:rPr>
              <w:t>4</w:t>
            </w:r>
            <w:r>
              <w:rPr>
                <w:rFonts w:hint="eastAsia" w:ascii="仿宋" w:hAnsi="仿宋" w:eastAsia="仿宋" w:cs="仿宋"/>
                <w:color w:val="auto"/>
                <w:sz w:val="24"/>
                <w:szCs w:val="24"/>
                <w:highlight w:val="none"/>
                <w:lang w:val="en-US" w:eastAsia="zh-CN" w:bidi="en-US"/>
              </w:rPr>
              <w:t>.</w:t>
            </w:r>
            <w:r>
              <w:rPr>
                <w:rFonts w:hint="default" w:ascii="仿宋" w:hAnsi="仿宋" w:eastAsia="仿宋" w:cs="仿宋"/>
                <w:color w:val="auto"/>
                <w:sz w:val="24"/>
                <w:szCs w:val="24"/>
                <w:highlight w:val="none"/>
                <w:lang w:val="en-US" w:eastAsia="zh" w:bidi="en-US"/>
              </w:rPr>
              <w:t>如有发生，按测量范围的用地面积据实结算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9"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7</w:t>
            </w:r>
          </w:p>
        </w:tc>
        <w:tc>
          <w:tcPr>
            <w:tcW w:w="1267" w:type="dxa"/>
            <w:tcBorders>
              <w:top w:val="single" w:color="000000" w:sz="4" w:space="0"/>
              <w:left w:val="single" w:color="000000" w:sz="4" w:space="0"/>
              <w:bottom w:val="nil"/>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地下管线探测</w:t>
            </w:r>
          </w:p>
        </w:tc>
        <w:tc>
          <w:tcPr>
            <w:tcW w:w="788"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eastAsia="zh" w:bidi="en-US"/>
              </w:rPr>
            </w:pPr>
            <w:r>
              <w:rPr>
                <w:rFonts w:hint="eastAsia" w:ascii="仿宋" w:hAnsi="仿宋" w:eastAsia="仿宋" w:cs="仿宋"/>
                <w:color w:val="auto"/>
                <w:sz w:val="24"/>
                <w:szCs w:val="24"/>
                <w:highlight w:val="none"/>
                <w:lang w:eastAsia="zh" w:bidi="en-US"/>
              </w:rPr>
              <w:t>平方米</w:t>
            </w:r>
          </w:p>
        </w:tc>
        <w:tc>
          <w:tcPr>
            <w:tcW w:w="927"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 w:bidi="en-US"/>
              </w:rPr>
            </w:pPr>
            <w:r>
              <w:rPr>
                <w:rFonts w:hint="eastAsia" w:ascii="仿宋" w:hAnsi="仿宋" w:eastAsia="仿宋" w:cs="仿宋"/>
                <w:color w:val="auto"/>
                <w:sz w:val="24"/>
                <w:szCs w:val="24"/>
                <w:highlight w:val="none"/>
                <w:lang w:val="en-US" w:eastAsia="zh" w:bidi="en-US"/>
              </w:rPr>
              <w:t>144109.62</w:t>
            </w:r>
          </w:p>
        </w:tc>
        <w:tc>
          <w:tcPr>
            <w:tcW w:w="1095"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CN" w:bidi="en-US"/>
              </w:rPr>
            </w:pPr>
          </w:p>
        </w:tc>
        <w:tc>
          <w:tcPr>
            <w:tcW w:w="1230"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CN" w:bidi="en-US"/>
              </w:rPr>
            </w:pPr>
          </w:p>
        </w:tc>
        <w:tc>
          <w:tcPr>
            <w:tcW w:w="2644"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CN" w:bidi="en-US"/>
              </w:rPr>
            </w:pPr>
            <w:r>
              <w:rPr>
                <w:rFonts w:hint="default" w:ascii="仿宋" w:hAnsi="仿宋" w:eastAsia="仿宋" w:cs="仿宋"/>
                <w:color w:val="auto"/>
                <w:sz w:val="24"/>
                <w:szCs w:val="24"/>
                <w:highlight w:val="none"/>
                <w:lang w:val="en-US" w:eastAsia="zh-CN" w:bidi="en-US"/>
              </w:rPr>
              <w:t>1.暂按项目用地红线外扩10米范围为暂定探测范围</w:t>
            </w:r>
          </w:p>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CN" w:bidi="en-US"/>
              </w:rPr>
            </w:pPr>
            <w:r>
              <w:rPr>
                <w:rFonts w:hint="default" w:ascii="仿宋" w:hAnsi="仿宋" w:eastAsia="仿宋" w:cs="仿宋"/>
                <w:color w:val="auto"/>
                <w:sz w:val="24"/>
                <w:szCs w:val="24"/>
                <w:highlight w:val="none"/>
                <w:lang w:val="en-US" w:eastAsia="zh-CN" w:bidi="en-US"/>
              </w:rPr>
              <w:t>2.地下管线探测，中等难度，需出具相关探测报告</w:t>
            </w:r>
          </w:p>
          <w:p>
            <w:pPr>
              <w:pStyle w:val="22"/>
              <w:keepNext w:val="0"/>
              <w:keepLines w:val="0"/>
              <w:widowControl/>
              <w:suppressLineNumbers w:val="0"/>
              <w:spacing w:before="0" w:beforeAutospacing="0" w:after="0" w:afterAutospacing="0"/>
              <w:ind w:left="0" w:leftChars="0" w:right="0" w:firstLine="0" w:firstLineChars="0"/>
              <w:rPr>
                <w:rFonts w:hint="default" w:ascii="仿宋" w:hAnsi="仿宋" w:eastAsia="仿宋" w:cs="仿宋"/>
                <w:color w:val="auto"/>
                <w:sz w:val="24"/>
                <w:szCs w:val="24"/>
                <w:highlight w:val="none"/>
                <w:lang w:val="en-US" w:eastAsia="zh-CN" w:bidi="en-US"/>
              </w:rPr>
            </w:pPr>
            <w:r>
              <w:rPr>
                <w:rFonts w:hint="default" w:ascii="仿宋" w:hAnsi="仿宋" w:eastAsia="仿宋" w:cs="仿宋"/>
                <w:color w:val="auto"/>
                <w:sz w:val="24"/>
                <w:szCs w:val="24"/>
                <w:highlight w:val="none"/>
                <w:lang w:val="en-US" w:eastAsia="zh-CN" w:bidi="en-US"/>
              </w:rPr>
              <w:t>3.如有发生，按测量范围的用地面积据实结算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jc w:val="center"/>
        </w:trPr>
        <w:tc>
          <w:tcPr>
            <w:tcW w:w="766" w:type="dxa"/>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p>
        </w:tc>
        <w:tc>
          <w:tcPr>
            <w:tcW w:w="2982"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val="en-US" w:eastAsia="zh-CN" w:bidi="en-US"/>
              </w:rPr>
              <w:t>勘察费小计(元)</w:t>
            </w:r>
          </w:p>
        </w:tc>
        <w:tc>
          <w:tcPr>
            <w:tcW w:w="4969"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2"/>
              <w:keepNext w:val="0"/>
              <w:keepLines w:val="0"/>
              <w:widowControl/>
              <w:suppressLineNumbers w:val="0"/>
              <w:spacing w:before="0" w:beforeAutospacing="0" w:after="0" w:afterAutospacing="0"/>
              <w:ind w:left="0" w:right="0"/>
              <w:rPr>
                <w:rFonts w:hint="eastAsia" w:ascii="仿宋" w:hAnsi="仿宋" w:eastAsia="仿宋" w:cs="仿宋"/>
                <w:color w:val="auto"/>
                <w:sz w:val="24"/>
                <w:szCs w:val="24"/>
                <w:highlight w:val="none"/>
                <w:lang w:eastAsia="zh-CN" w:bidi="en-US"/>
              </w:rPr>
            </w:pPr>
          </w:p>
        </w:tc>
      </w:tr>
    </w:tbl>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☑工程设计费（含税）：</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元）；适用税率：</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%，不含税价格：（¥</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元），增值税额：（¥</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元）；本工程设计费下浮率：</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keepNext w:val="0"/>
        <w:keepLines w:val="0"/>
        <w:widowControl w:val="0"/>
        <w:suppressLineNumbers w:val="0"/>
        <w:spacing w:before="0" w:beforeAutospacing="0" w:after="0" w:afterAutospacing="0" w:line="360" w:lineRule="auto"/>
        <w:ind w:left="0" w:right="0" w:firstLine="480" w:firstLineChars="200"/>
        <w:jc w:val="both"/>
        <w:rPr>
          <w:rFonts w:hint="eastAsia" w:ascii="仿宋" w:hAnsi="仿宋" w:eastAsia="仿宋" w:cs="仿宋"/>
          <w:bCs w:val="0"/>
          <w:color w:val="auto"/>
          <w:kern w:val="0"/>
          <w:sz w:val="24"/>
          <w:szCs w:val="24"/>
          <w:highlight w:val="none"/>
          <w:u w:val="single"/>
          <w:lang w:val="en-US" w:eastAsia="zh-CN" w:bidi="ar"/>
        </w:rPr>
      </w:pPr>
      <w:bookmarkStart w:id="84" w:name="OLE_LINK14"/>
      <w:r>
        <w:rPr>
          <w:rFonts w:hint="eastAsia" w:ascii="仿宋" w:hAnsi="仿宋" w:eastAsia="仿宋" w:cs="仿宋"/>
          <w:bCs w:val="0"/>
          <w:color w:val="auto"/>
          <w:kern w:val="0"/>
          <w:sz w:val="24"/>
          <w:szCs w:val="24"/>
          <w:highlight w:val="none"/>
          <w:u w:val="single"/>
          <w:lang w:val="en-US" w:eastAsia="zh-CN" w:bidi="ar"/>
        </w:rPr>
        <w:t>工程设计费按中标综合单价</w:t>
      </w:r>
      <w:r>
        <w:rPr>
          <w:rFonts w:hint="eastAsia" w:ascii="仿宋" w:hAnsi="仿宋" w:eastAsia="仿宋" w:cs="仿宋"/>
          <w:bCs w:val="0"/>
          <w:color w:val="auto"/>
          <w:kern w:val="0"/>
          <w:sz w:val="24"/>
          <w:szCs w:val="24"/>
          <w:highlight w:val="none"/>
          <w:u w:val="single"/>
          <w:lang w:val="en-US" w:eastAsia="zh" w:bidi="ar"/>
        </w:rPr>
        <w:t xml:space="preserve">     </w:t>
      </w:r>
      <w:r>
        <w:rPr>
          <w:rFonts w:hint="eastAsia" w:ascii="仿宋" w:hAnsi="仿宋" w:eastAsia="仿宋" w:cs="仿宋"/>
          <w:bCs w:val="0"/>
          <w:color w:val="auto"/>
          <w:kern w:val="0"/>
          <w:sz w:val="24"/>
          <w:szCs w:val="24"/>
          <w:highlight w:val="none"/>
          <w:u w:val="single"/>
          <w:lang w:val="en-US" w:eastAsia="zh-CN" w:bidi="ar"/>
        </w:rPr>
        <w:t>元/平方米含税包干计算收取，不因国家的税率政策变化而作相应调整，</w:t>
      </w:r>
      <w:r>
        <w:rPr>
          <w:rFonts w:hint="eastAsia" w:ascii="仿宋" w:hAnsi="仿宋" w:eastAsia="仿宋" w:cs="仿宋"/>
          <w:bCs w:val="0"/>
          <w:color w:val="auto"/>
          <w:kern w:val="0"/>
          <w:sz w:val="24"/>
          <w:szCs w:val="24"/>
          <w:highlight w:val="none"/>
          <w:u w:val="single"/>
          <w:lang w:val="en-US" w:eastAsia="zh" w:bidi="ar"/>
        </w:rPr>
        <w:t>中标综合单价=设计费中标价/</w:t>
      </w:r>
      <w:r>
        <w:rPr>
          <w:rFonts w:hint="eastAsia" w:ascii="仿宋" w:hAnsi="仿宋" w:eastAsia="仿宋" w:cs="仿宋"/>
          <w:bCs w:val="0"/>
          <w:color w:val="auto"/>
          <w:kern w:val="0"/>
          <w:sz w:val="24"/>
          <w:szCs w:val="24"/>
          <w:highlight w:val="none"/>
          <w:u w:val="single"/>
          <w:lang w:val="en-US" w:eastAsia="zh-CN" w:bidi="ar"/>
        </w:rPr>
        <w:t>暂定建筑面积</w:t>
      </w:r>
      <w:r>
        <w:rPr>
          <w:rFonts w:hint="eastAsia" w:ascii="仿宋" w:hAnsi="仿宋" w:eastAsia="仿宋" w:cs="仿宋"/>
          <w:bCs w:val="0"/>
          <w:color w:val="auto"/>
          <w:kern w:val="0"/>
          <w:sz w:val="24"/>
          <w:szCs w:val="24"/>
          <w:highlight w:val="none"/>
          <w:u w:val="single"/>
          <w:lang w:val="en-US" w:eastAsia="zh" w:bidi="ar"/>
        </w:rPr>
        <w:t xml:space="preserve">      317397.45</w:t>
      </w:r>
      <w:r>
        <w:rPr>
          <w:rFonts w:hint="eastAsia" w:ascii="仿宋" w:hAnsi="仿宋" w:eastAsia="仿宋" w:cs="仿宋"/>
          <w:bCs w:val="0"/>
          <w:color w:val="auto"/>
          <w:kern w:val="0"/>
          <w:sz w:val="24"/>
          <w:szCs w:val="24"/>
          <w:highlight w:val="none"/>
          <w:u w:val="single"/>
          <w:lang w:val="en-US" w:eastAsia="zh-CN" w:bidi="ar"/>
        </w:rPr>
        <w:t>平方米。结算时总价按照工程设计费</w:t>
      </w:r>
      <w:r>
        <w:rPr>
          <w:rFonts w:hint="eastAsia" w:ascii="仿宋" w:hAnsi="仿宋" w:eastAsia="仿宋" w:cs="仿宋"/>
          <w:bCs w:val="0"/>
          <w:color w:val="auto"/>
          <w:kern w:val="0"/>
          <w:sz w:val="24"/>
          <w:szCs w:val="24"/>
          <w:highlight w:val="none"/>
          <w:u w:val="single"/>
          <w:lang w:val="en-US" w:eastAsia="zh" w:bidi="ar"/>
        </w:rPr>
        <w:t>中标综合单价</w:t>
      </w:r>
      <w:r>
        <w:rPr>
          <w:rFonts w:hint="eastAsia" w:ascii="仿宋" w:hAnsi="仿宋" w:eastAsia="仿宋" w:cs="仿宋"/>
          <w:bCs w:val="0"/>
          <w:color w:val="auto"/>
          <w:kern w:val="0"/>
          <w:sz w:val="24"/>
          <w:szCs w:val="24"/>
          <w:highlight w:val="none"/>
          <w:u w:val="single"/>
          <w:lang w:val="en-US" w:eastAsia="zh-CN" w:bidi="ar"/>
        </w:rPr>
        <w:t>乘以《建设工程规划许可证》的建筑面积计算。</w:t>
      </w:r>
    </w:p>
    <w:bookmarkEnd w:id="84"/>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□BIM技术应用费（含税）：</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元）；适用税率：</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%，不含税价格：（¥</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元），增值税额：（¥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元）；本工程BIM技术应用费下浮率：</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480"/>
        <w:rPr>
          <w:rFonts w:ascii="宋体" w:hAnsi="宋体"/>
          <w:color w:val="auto"/>
          <w:highlight w:val="none"/>
          <w:lang w:eastAsia="zh-CN"/>
        </w:rPr>
      </w:pPr>
      <w:r>
        <w:rPr>
          <w:rFonts w:hint="eastAsia" w:ascii="仿宋" w:hAnsi="仿宋" w:eastAsia="仿宋" w:cs="仿宋"/>
          <w:color w:val="auto"/>
          <w:highlight w:val="none"/>
          <w:lang w:eastAsia="zh-CN"/>
        </w:rPr>
        <w:t>□设备及工器具购置</w:t>
      </w:r>
      <w:r>
        <w:rPr>
          <w:rFonts w:ascii="仿宋" w:hAnsi="仿宋" w:eastAsia="仿宋" w:cs="仿宋"/>
          <w:color w:val="auto"/>
          <w:highlight w:val="none"/>
          <w:lang w:eastAsia="zh-CN"/>
        </w:rPr>
        <w:t>费</w:t>
      </w:r>
      <w:r>
        <w:rPr>
          <w:rFonts w:hint="eastAsia" w:ascii="仿宋" w:hAnsi="仿宋" w:eastAsia="仿宋" w:cs="仿宋"/>
          <w:color w:val="auto"/>
          <w:highlight w:val="none"/>
          <w:lang w:eastAsia="zh-CN"/>
        </w:rPr>
        <w:t>（含税）：</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元）；适用税率：</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%，不含税价格：（¥</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元），增值税额：（¥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☑建筑安装工程费（含税）：</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元）；适用税率：</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%，不含税价格：（¥</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元），增值税额：（¥</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w:t>
      </w:r>
      <w:bookmarkStart w:id="85" w:name="OLE_LINK15"/>
      <w:r>
        <w:rPr>
          <w:rFonts w:hint="eastAsia" w:ascii="仿宋" w:hAnsi="仿宋" w:eastAsia="仿宋" w:cs="仿宋"/>
          <w:color w:val="auto"/>
          <w:highlight w:val="none"/>
          <w:lang w:eastAsia="zh-CN"/>
        </w:rPr>
        <w:t>合同约定下浮率为5%（合同约定下浮率</w:t>
      </w:r>
      <w:r>
        <w:rPr>
          <w:rFonts w:hint="eastAsia" w:ascii="仿宋" w:hAnsi="仿宋" w:eastAsia="仿宋" w:cs="仿宋"/>
          <w:color w:val="auto"/>
          <w:highlight w:val="none"/>
          <w:lang w:eastAsia="zh"/>
        </w:rPr>
        <w:t>=</w:t>
      </w:r>
      <w:r>
        <w:rPr>
          <w:rFonts w:hint="eastAsia" w:ascii="仿宋" w:hAnsi="仿宋" w:eastAsia="仿宋" w:cs="仿宋"/>
          <w:color w:val="auto"/>
          <w:highlight w:val="none"/>
          <w:lang w:eastAsia="zh-CN"/>
        </w:rPr>
        <w:t>是指计算经审定概算</w:t>
      </w:r>
      <w:r>
        <w:rPr>
          <w:rFonts w:hint="eastAsia" w:ascii="仿宋" w:hAnsi="仿宋" w:eastAsia="仿宋" w:cs="仿宋"/>
          <w:color w:val="auto"/>
          <w:highlight w:val="none"/>
          <w:lang w:eastAsia="zh"/>
        </w:rPr>
        <w:t>（概算建安费-建安费招标控制价）/概算建安费</w:t>
      </w:r>
      <w:r>
        <w:rPr>
          <w:rFonts w:hint="eastAsia" w:ascii="仿宋" w:hAnsi="仿宋" w:eastAsia="仿宋" w:cs="仿宋"/>
          <w:color w:val="auto"/>
          <w:highlight w:val="none"/>
          <w:lang w:eastAsia="zh-CN"/>
        </w:rPr>
        <w:t>）固定不变、施工费中标下浮率</w:t>
      </w:r>
      <w:r>
        <w:rPr>
          <w:rFonts w:hint="eastAsia" w:ascii="仿宋" w:hAnsi="仿宋" w:eastAsia="仿宋" w:cs="仿宋"/>
          <w:color w:val="auto"/>
          <w:highlight w:val="none"/>
          <w:lang w:val="en-US" w:eastAsia="zh-CN"/>
        </w:rPr>
        <w:t>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 xml:space="preserve">      </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eastAsia="zh"/>
        </w:rPr>
        <w:t>中标下浮率=（招标控制价-中标价）/招标控制价）</w:t>
      </w:r>
      <w:r>
        <w:rPr>
          <w:rFonts w:hint="eastAsia" w:ascii="仿宋" w:hAnsi="仿宋" w:eastAsia="仿宋" w:cs="仿宋"/>
          <w:color w:val="auto"/>
          <w:highlight w:val="none"/>
          <w:lang w:eastAsia="zh-CN"/>
        </w:rPr>
        <w:t>。</w:t>
      </w:r>
      <w:r>
        <w:rPr>
          <w:rFonts w:hint="eastAsia" w:ascii="仿宋" w:hAnsi="仿宋" w:eastAsia="仿宋" w:cs="仿宋"/>
          <w:color w:val="auto"/>
          <w:highlight w:val="none"/>
          <w:lang w:val="en-US" w:eastAsia="zh-CN"/>
        </w:rPr>
        <w:t>合同下浮率及施工费下浮率</w:t>
      </w:r>
      <w:r>
        <w:rPr>
          <w:rFonts w:hint="eastAsia" w:ascii="仿宋" w:hAnsi="仿宋" w:eastAsia="仿宋" w:cs="仿宋"/>
          <w:color w:val="auto"/>
          <w:highlight w:val="none"/>
          <w:lang w:eastAsia="zh-CN"/>
        </w:rPr>
        <w:t>用于后续补充协议价款、结算价款的计算；</w:t>
      </w:r>
      <w:bookmarkEnd w:id="85"/>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建筑安装工程费中含有以下费用：</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□绿色施工安全防护措施费用（不含税）：</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余泥渣土（土方、石方、淤泥）场外运输与排放费用（不含税）：</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□专业工程暂估价（不含税）：</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☑暂列金额（含税）：</w:t>
      </w:r>
    </w:p>
    <w:p>
      <w:pPr>
        <w:spacing w:line="360" w:lineRule="auto"/>
        <w:ind w:firstLine="1200" w:firstLineChars="500"/>
        <w:rPr>
          <w:color w:val="auto"/>
          <w:highlight w:val="none"/>
          <w:lang w:eastAsia="zh-CN"/>
        </w:rPr>
      </w:pPr>
      <w:r>
        <w:rPr>
          <w:rFonts w:hint="eastAsia" w:ascii="仿宋" w:hAnsi="仿宋" w:eastAsia="仿宋" w:cs="仿宋"/>
          <w:color w:val="auto"/>
          <w:highlight w:val="none"/>
          <w:lang w:eastAsia="zh-CN"/>
        </w:rPr>
        <w:t xml:space="preserve">人民币（大写） </w:t>
      </w:r>
      <w:r>
        <w:rPr>
          <w:rFonts w:hint="eastAsia" w:ascii="仿宋" w:hAnsi="仿宋" w:eastAsia="仿宋" w:cs="仿宋"/>
          <w:color w:val="auto"/>
          <w:highlight w:val="none"/>
          <w:lang w:eastAsia="zh"/>
        </w:rPr>
        <w:t>叁仟叁</w:t>
      </w:r>
      <w:r>
        <w:rPr>
          <w:rFonts w:hint="eastAsia" w:ascii="仿宋" w:hAnsi="仿宋" w:eastAsia="仿宋" w:cs="仿宋"/>
          <w:color w:val="auto"/>
          <w:highlight w:val="none"/>
          <w:lang w:val="en-US" w:eastAsia="zh-CN"/>
        </w:rPr>
        <w:t>佰万元整</w:t>
      </w:r>
      <w:r>
        <w:rPr>
          <w:rFonts w:hint="eastAsia" w:ascii="仿宋" w:hAnsi="仿宋" w:eastAsia="仿宋" w:cs="仿宋"/>
          <w:color w:val="auto"/>
          <w:highlight w:val="none"/>
          <w:lang w:eastAsia="zh-CN"/>
        </w:rPr>
        <w:t xml:space="preserve"> （¥</w:t>
      </w:r>
      <w:r>
        <w:rPr>
          <w:rFonts w:hint="eastAsia" w:ascii="仿宋" w:hAnsi="仿宋" w:eastAsia="仿宋" w:cs="仿宋"/>
          <w:color w:val="auto"/>
          <w:highlight w:val="none"/>
          <w:lang w:eastAsia="zh"/>
        </w:rPr>
        <w:t>33000000</w:t>
      </w:r>
      <w:r>
        <w:rPr>
          <w:rFonts w:hint="eastAsia" w:ascii="仿宋" w:hAnsi="仿宋" w:eastAsia="仿宋" w:cs="仿宋"/>
          <w:color w:val="auto"/>
          <w:highlight w:val="none"/>
          <w:lang w:eastAsia="zh-CN"/>
        </w:rPr>
        <w:t xml:space="preserve"> 元）。</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施工图预算时根据工程需要开列。</w:t>
      </w:r>
    </w:p>
    <w:p>
      <w:pPr>
        <w:spacing w:line="360" w:lineRule="auto"/>
        <w:ind w:left="480"/>
        <w:rPr>
          <w:rFonts w:ascii="宋体" w:hAnsi="宋体"/>
          <w:color w:val="auto"/>
          <w:highlight w:val="none"/>
          <w:lang w:eastAsia="zh-CN"/>
        </w:rPr>
      </w:pPr>
      <w:r>
        <w:rPr>
          <w:rFonts w:hint="eastAsia" w:ascii="仿宋" w:hAnsi="仿宋" w:eastAsia="仿宋" w:cs="仿宋"/>
          <w:color w:val="auto"/>
          <w:highlight w:val="none"/>
          <w:lang w:eastAsia="zh-CN"/>
        </w:rPr>
        <w:t>□预备费（含税）：</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w:t>
      </w:r>
      <w:r>
        <w:rPr>
          <w:rFonts w:hint="eastAsia"/>
          <w:color w:val="auto"/>
          <w:highlight w:val="none"/>
          <w:lang w:eastAsia="zh-CN"/>
        </w:rPr>
        <w:t>。</w:t>
      </w:r>
    </w:p>
    <w:p>
      <w:pPr>
        <w:widowControl w:val="0"/>
        <w:spacing w:line="360" w:lineRule="auto"/>
        <w:ind w:left="480" w:left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□联合体牵头人项目管理费（单列）：联合体牵头人对联合体各成员的组织、管理和协调产生的费用，在本合同价中不得增加计算本费用，从合同总价中提取后，在本协议书中单列供各方监督使用情况；</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设计单位为联合体牵头人时项目管理费（含税）：</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施工单位为联合体牵头人时项目管理费（含税）：</w:t>
      </w:r>
    </w:p>
    <w:p>
      <w:pPr>
        <w:spacing w:line="360" w:lineRule="auto"/>
        <w:ind w:firstLine="1200" w:firstLineChars="50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人民币（大写）</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r>
        <w:rPr>
          <w:rFonts w:hint="eastAsia" w:ascii="宋体" w:hAnsi="宋体" w:cs="宋体"/>
          <w:color w:val="auto"/>
          <w:highlight w:val="none"/>
          <w:lang w:eastAsia="zh-CN"/>
        </w:rPr>
        <w:t>¥</w:t>
      </w:r>
      <w:r>
        <w:rPr>
          <w:rFonts w:hint="eastAsia" w:ascii="仿宋" w:hAnsi="仿宋" w:eastAsia="仿宋" w:cs="仿宋"/>
          <w:color w:val="auto"/>
          <w:highlight w:val="none"/>
          <w:u w:val="single"/>
          <w:lang w:eastAsia="zh-CN"/>
        </w:rPr>
        <w:t xml:space="preserve">  /  元</w:t>
      </w:r>
      <w:r>
        <w:rPr>
          <w:rFonts w:hint="eastAsia" w:ascii="仿宋" w:hAnsi="仿宋" w:eastAsia="仿宋" w:cs="仿宋"/>
          <w:color w:val="auto"/>
          <w:highlight w:val="none"/>
          <w:lang w:eastAsia="zh-CN"/>
        </w:rPr>
        <w:t>）。</w:t>
      </w:r>
    </w:p>
    <w:p>
      <w:pPr>
        <w:pStyle w:val="2"/>
        <w:ind w:firstLine="480" w:firstLineChars="200"/>
        <w:rPr>
          <w:rFonts w:hint="eastAsia" w:ascii="仿宋" w:hAnsi="仿宋" w:eastAsia="仿宋" w:cs="仿宋"/>
          <w:color w:val="auto"/>
          <w:highlight w:val="none"/>
          <w:lang w:val="en-US" w:eastAsia="zh-CN" w:bidi="en-US"/>
        </w:rPr>
      </w:pPr>
      <w:bookmarkStart w:id="86" w:name="OLE_LINK16"/>
      <w:r>
        <w:rPr>
          <w:rFonts w:hint="eastAsia" w:ascii="仿宋" w:hAnsi="仿宋" w:eastAsia="仿宋" w:cs="仿宋"/>
          <w:color w:val="auto"/>
          <w:highlight w:val="none"/>
          <w:lang w:val="en-US" w:eastAsia="zh-CN" w:bidi="en-US"/>
        </w:rPr>
        <w:t>本项目投资性质若由企业投资备案制变更为财政投资审批制的，项目概算及结算以花都区财政部门审核意见为准。经花都区财政部门审核出具的概算审核报告作为工程款支付依据，施工费、勘察费、设计费最终结算价以花都区财政部门审定结算价为准。</w:t>
      </w:r>
    </w:p>
    <w:bookmarkEnd w:id="86"/>
    <w:p>
      <w:pPr>
        <w:outlineLvl w:val="1"/>
        <w:rPr>
          <w:rFonts w:ascii="仿宋" w:hAnsi="仿宋" w:eastAsia="仿宋" w:cs="仿宋"/>
          <w:b/>
          <w:bCs/>
          <w:color w:val="auto"/>
          <w:highlight w:val="none"/>
          <w:lang w:eastAsia="zh-CN"/>
        </w:rPr>
      </w:pPr>
      <w:bookmarkStart w:id="87" w:name="_Toc21001"/>
      <w:bookmarkStart w:id="88" w:name="_Toc694"/>
      <w:bookmarkStart w:id="89" w:name="_Toc11551"/>
      <w:bookmarkStart w:id="90" w:name="_Toc1330"/>
      <w:bookmarkStart w:id="91" w:name="_Toc5592"/>
      <w:bookmarkStart w:id="92" w:name="_Toc6668"/>
      <w:bookmarkStart w:id="93" w:name="_Toc22399"/>
      <w:bookmarkStart w:id="94" w:name="_Toc1530"/>
      <w:bookmarkStart w:id="95" w:name="_Toc12973"/>
      <w:r>
        <w:rPr>
          <w:rFonts w:hint="eastAsia" w:ascii="仿宋" w:hAnsi="仿宋" w:eastAsia="仿宋" w:cs="仿宋"/>
          <w:b/>
          <w:bCs/>
          <w:color w:val="auto"/>
          <w:highlight w:val="none"/>
          <w:lang w:eastAsia="zh-CN"/>
        </w:rPr>
        <w:t>★九、工人工资支付分账</w:t>
      </w:r>
      <w:bookmarkEnd w:id="87"/>
      <w:r>
        <w:rPr>
          <w:rFonts w:hint="eastAsia" w:ascii="仿宋" w:hAnsi="仿宋" w:eastAsia="仿宋" w:cs="仿宋"/>
          <w:b/>
          <w:bCs/>
          <w:color w:val="auto"/>
          <w:highlight w:val="none"/>
          <w:lang w:eastAsia="zh-CN"/>
        </w:rPr>
        <w:t>、建筑安装工程费支付专户</w:t>
      </w:r>
      <w:bookmarkEnd w:id="88"/>
      <w:bookmarkEnd w:id="89"/>
      <w:bookmarkEnd w:id="90"/>
      <w:bookmarkEnd w:id="91"/>
      <w:bookmarkEnd w:id="92"/>
      <w:bookmarkEnd w:id="93"/>
      <w:bookmarkEnd w:id="94"/>
      <w:bookmarkEnd w:id="95"/>
    </w:p>
    <w:p>
      <w:pPr>
        <w:spacing w:line="360" w:lineRule="auto"/>
        <w:ind w:firstLine="480" w:firstLineChars="200"/>
        <w:rPr>
          <w:rFonts w:ascii="仿宋" w:hAnsi="仿宋" w:eastAsia="仿宋"/>
          <w:b/>
          <w:bCs/>
          <w:color w:val="auto"/>
          <w:highlight w:val="none"/>
          <w:lang w:eastAsia="zh-CN"/>
        </w:rPr>
      </w:pPr>
      <w:r>
        <w:rPr>
          <w:rFonts w:hint="eastAsia" w:ascii="仿宋" w:hAnsi="仿宋" w:eastAsia="仿宋" w:cs="仿宋"/>
          <w:color w:val="auto"/>
          <w:highlight w:val="none"/>
          <w:lang w:eastAsia="zh-CN"/>
        </w:rPr>
        <w:t>工人工资款支付专用账户开设的约定内容：</w:t>
      </w:r>
      <w:r>
        <w:rPr>
          <w:rFonts w:hint="eastAsia" w:ascii="仿宋" w:hAnsi="仿宋" w:eastAsia="仿宋" w:cs="仿宋"/>
          <w:color w:val="auto"/>
          <w:highlight w:val="none"/>
          <w:u w:val="single"/>
          <w:lang w:eastAsia="zh-CN"/>
        </w:rPr>
        <w:t>本工程自合同生效之日起至首次工程进度款申请前，承包人向发包人提供在建设项目所在地设立的工人工资支付专用账户的开户证明。承包人在申请工程进度款时，需向发包人提供工人工资支付的有关证明资料（一式四份），经审核后报发包人备案</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严格按照《广州市花都区人力资源和社会保障局等七部门关于印发&lt;花都区建设领域工人工资支付分账管理实施细则&gt;的通知》（花人社[2016]82号文）、关于印发《广东省建设工程领域工人工资支付专用账户管理办法》的通知（粵人社规〔2018〕14号）、广州市住房和城乡建设局关于明确我市房建市政工程开工时核验实名制和工人工资支付分账管理相关证明材料的通知（穗建筑〔2019〕352号）、广州市住房和城乡建设委员会关于实施《广州市建设领域工人工资支付分账管理实施细则》的通知（穗建筑[2017]1344号）、《广州市建设领域工人工资支付分账管理实施细则》（穗建规字〔2020〕37号文）、《关于印发广州市房屋建筑及市政工程实名制和工资支付分账平台化管理工作方案的通知》（穗建筑〔2018〕183号）、《广州市住房和城乡建设局关于进一步规范落实实名制和工人工资分账管理的通知》（穗建筑〔2022〕287号）的要求执行。</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工人工资款支付专用账户开户银行（如果有）：</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工人工资款支付专用账户（如果有）：</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工程款中的工人工资款比例：</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15%</w:t>
      </w:r>
      <w:r>
        <w:rPr>
          <w:rFonts w:ascii="仿宋" w:hAnsi="仿宋" w:eastAsia="仿宋" w:cs="仿宋"/>
          <w:color w:val="auto"/>
          <w:highlight w:val="none"/>
          <w:u w:val="single"/>
          <w:lang w:eastAsia="zh-CN"/>
        </w:rPr>
        <w:t xml:space="preserve">  </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其中：每一期工程进度款</w:t>
      </w:r>
      <w:r>
        <w:rPr>
          <w:rFonts w:hint="eastAsia" w:ascii="仿宋" w:hAnsi="仿宋" w:eastAsia="仿宋" w:cs="仿宋"/>
          <w:color w:val="auto"/>
          <w:highlight w:val="none"/>
          <w:lang w:eastAsia="zh"/>
        </w:rPr>
        <w:t>（不包括预付款）</w:t>
      </w:r>
      <w:r>
        <w:rPr>
          <w:rFonts w:hint="eastAsia" w:ascii="仿宋" w:hAnsi="仿宋" w:eastAsia="仿宋" w:cs="仿宋"/>
          <w:color w:val="auto"/>
          <w:highlight w:val="none"/>
          <w:lang w:eastAsia="zh-CN"/>
        </w:rPr>
        <w:t>中的工人工资款比例：</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15%</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工人工资支付周期：</w:t>
      </w:r>
      <w:r>
        <w:rPr>
          <w:rFonts w:ascii="仿宋" w:hAnsi="仿宋" w:eastAsia="仿宋" w:cs="仿宋"/>
          <w:color w:val="auto"/>
          <w:highlight w:val="none"/>
          <w:u w:val="single"/>
          <w:lang w:eastAsia="zh-CN"/>
        </w:rPr>
        <w:t xml:space="preserve">  同进度款  </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承包人已确认上述约定工程款中的工人工资款比例能满足本工程项目的工人工资支付。</w:t>
      </w:r>
    </w:p>
    <w:p>
      <w:pPr>
        <w:spacing w:line="360" w:lineRule="auto"/>
        <w:ind w:firstLine="480" w:firstLineChars="200"/>
        <w:rPr>
          <w:rFonts w:ascii="仿宋" w:hAnsi="仿宋" w:eastAsia="仿宋"/>
          <w:b/>
          <w:bCs/>
          <w:color w:val="auto"/>
          <w:highlight w:val="none"/>
          <w:lang w:eastAsia="zh-CN"/>
        </w:rPr>
      </w:pPr>
      <w:r>
        <w:rPr>
          <w:rFonts w:hint="eastAsia" w:ascii="仿宋" w:hAnsi="仿宋" w:eastAsia="仿宋" w:cs="仿宋"/>
          <w:color w:val="auto"/>
          <w:highlight w:val="none"/>
          <w:lang w:eastAsia="zh-CN"/>
        </w:rPr>
        <w:t>建筑安装工程费支付专用账户开设的约定内容：</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建筑安装工程费支付专用账户开户银行（如果有）：</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465"/>
        <w:rPr>
          <w:rFonts w:ascii="仿宋" w:hAnsi="仿宋" w:eastAsia="仿宋" w:cs="仿宋"/>
          <w:color w:val="auto"/>
          <w:highlight w:val="none"/>
          <w:lang w:eastAsia="zh-CN"/>
        </w:rPr>
      </w:pPr>
      <w:r>
        <w:rPr>
          <w:rFonts w:hint="eastAsia" w:ascii="仿宋" w:hAnsi="仿宋" w:eastAsia="仿宋" w:cs="仿宋"/>
          <w:color w:val="auto"/>
          <w:highlight w:val="none"/>
          <w:lang w:eastAsia="zh-CN"/>
        </w:rPr>
        <w:t>建筑安装工程费支付专用账户（如果有）：</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建筑安装工程费中的工程材料、工程设备款比例：</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其中：每一期建筑安装工程费的工程进度款中的工程材料、工程设备款比</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例：</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工程材料、工程设备款支付周期：</w:t>
      </w:r>
      <w:r>
        <w:rPr>
          <w:rFonts w:ascii="仿宋" w:hAnsi="仿宋" w:eastAsia="仿宋" w:cs="仿宋"/>
          <w:color w:val="auto"/>
          <w:highlight w:val="none"/>
          <w:u w:val="single"/>
          <w:lang w:eastAsia="zh-CN"/>
        </w:rPr>
        <w:t>同进度款</w:t>
      </w:r>
      <w:r>
        <w:rPr>
          <w:rFonts w:hint="eastAsia" w:ascii="仿宋" w:hAnsi="仿宋" w:eastAsia="仿宋" w:cs="仿宋"/>
          <w:color w:val="auto"/>
          <w:highlight w:val="none"/>
          <w:lang w:eastAsia="zh-CN"/>
        </w:rPr>
        <w:t>。</w:t>
      </w:r>
    </w:p>
    <w:p>
      <w:pPr>
        <w:spacing w:line="360" w:lineRule="auto"/>
        <w:ind w:firstLine="465"/>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承包人已确认上述约定建筑安装工程费中的工程材料、工程设备款款比例能满足本工程项目的工程材料、工程设备款支付。</w:t>
      </w:r>
    </w:p>
    <w:p>
      <w:pPr>
        <w:spacing w:line="360" w:lineRule="auto"/>
        <w:ind w:firstLine="465"/>
        <w:rPr>
          <w:color w:val="auto"/>
          <w:highlight w:val="none"/>
          <w:lang w:eastAsia="zh-CN"/>
        </w:rPr>
      </w:pPr>
    </w:p>
    <w:p>
      <w:pPr>
        <w:spacing w:line="360" w:lineRule="auto"/>
        <w:outlineLvl w:val="1"/>
        <w:rPr>
          <w:rFonts w:ascii="仿宋" w:hAnsi="仿宋" w:eastAsia="仿宋" w:cs="仿宋"/>
          <w:b/>
          <w:bCs/>
          <w:color w:val="auto"/>
          <w:highlight w:val="none"/>
          <w:lang w:eastAsia="zh-CN"/>
        </w:rPr>
      </w:pPr>
      <w:bookmarkStart w:id="96" w:name="_Toc13268"/>
      <w:bookmarkStart w:id="97" w:name="_Toc8901"/>
      <w:bookmarkStart w:id="98" w:name="_Toc24194"/>
      <w:bookmarkStart w:id="99" w:name="_Toc7309"/>
      <w:bookmarkStart w:id="100" w:name="_Toc15617"/>
      <w:bookmarkStart w:id="101" w:name="_Toc6152"/>
      <w:bookmarkStart w:id="102" w:name="_Toc21109"/>
      <w:bookmarkStart w:id="103" w:name="_Toc12543"/>
      <w:bookmarkStart w:id="104" w:name="_Toc12164"/>
      <w:r>
        <w:rPr>
          <w:rFonts w:hint="eastAsia" w:ascii="仿宋" w:hAnsi="仿宋" w:eastAsia="仿宋" w:cs="仿宋"/>
          <w:b/>
          <w:bCs/>
          <w:color w:val="auto"/>
          <w:highlight w:val="none"/>
          <w:lang w:eastAsia="zh-CN"/>
        </w:rPr>
        <w:t>十、组成合同的文件</w:t>
      </w:r>
      <w:bookmarkEnd w:id="96"/>
      <w:bookmarkEnd w:id="97"/>
      <w:bookmarkEnd w:id="98"/>
      <w:bookmarkEnd w:id="99"/>
      <w:bookmarkEnd w:id="100"/>
      <w:bookmarkEnd w:id="101"/>
      <w:bookmarkEnd w:id="102"/>
      <w:bookmarkEnd w:id="103"/>
      <w:bookmarkEnd w:id="104"/>
    </w:p>
    <w:p>
      <w:pPr>
        <w:pStyle w:val="22"/>
        <w:tabs>
          <w:tab w:val="left" w:pos="1260"/>
        </w:tabs>
        <w:spacing w:line="360" w:lineRule="auto"/>
        <w:ind w:firstLine="480" w:firstLineChars="200"/>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组成本合同的文件及其优先解释顺序与本合同第二部分《通用条款》第</w:t>
      </w:r>
      <w:r>
        <w:rPr>
          <w:rFonts w:ascii="仿宋" w:hAnsi="仿宋" w:eastAsia="仿宋" w:cs="仿宋"/>
          <w:color w:val="auto"/>
          <w:sz w:val="24"/>
          <w:szCs w:val="24"/>
          <w:highlight w:val="none"/>
          <w:lang w:eastAsia="zh-CN"/>
        </w:rPr>
        <w:t>2.2</w:t>
      </w:r>
      <w:r>
        <w:rPr>
          <w:rFonts w:hint="eastAsia" w:ascii="仿宋" w:hAnsi="仿宋" w:eastAsia="仿宋" w:cs="仿宋"/>
          <w:color w:val="auto"/>
          <w:sz w:val="24"/>
          <w:szCs w:val="24"/>
          <w:highlight w:val="none"/>
          <w:lang w:eastAsia="zh-CN"/>
        </w:rPr>
        <w:t>款赋予的约定一致。</w:t>
      </w:r>
    </w:p>
    <w:p>
      <w:pPr>
        <w:pStyle w:val="22"/>
        <w:tabs>
          <w:tab w:val="left" w:pos="1260"/>
        </w:tabs>
        <w:spacing w:line="360" w:lineRule="auto"/>
        <w:ind w:firstLine="520" w:firstLineChars="217"/>
        <w:rPr>
          <w:rFonts w:ascii="仿宋" w:hAnsi="仿宋" w:eastAsia="仿宋"/>
          <w:color w:val="auto"/>
          <w:sz w:val="24"/>
          <w:szCs w:val="24"/>
          <w:highlight w:val="none"/>
          <w:lang w:eastAsia="zh-CN"/>
        </w:rPr>
      </w:pPr>
    </w:p>
    <w:p>
      <w:pPr>
        <w:spacing w:line="360" w:lineRule="auto"/>
        <w:outlineLvl w:val="1"/>
        <w:rPr>
          <w:rFonts w:ascii="仿宋" w:hAnsi="仿宋" w:eastAsia="仿宋" w:cs="仿宋"/>
          <w:b/>
          <w:bCs/>
          <w:color w:val="auto"/>
          <w:highlight w:val="none"/>
          <w:lang w:eastAsia="zh-CN"/>
        </w:rPr>
      </w:pPr>
      <w:bookmarkStart w:id="105" w:name="_Toc10675"/>
      <w:bookmarkStart w:id="106" w:name="_Toc15001"/>
      <w:bookmarkStart w:id="107" w:name="_Toc745"/>
      <w:bookmarkStart w:id="108" w:name="_Toc30884"/>
      <w:bookmarkStart w:id="109" w:name="_Toc24613"/>
      <w:bookmarkStart w:id="110" w:name="_Toc17538"/>
      <w:bookmarkStart w:id="111" w:name="_Toc9210"/>
      <w:bookmarkStart w:id="112" w:name="_Toc20409"/>
      <w:bookmarkStart w:id="113" w:name="_Toc4942"/>
      <w:r>
        <w:rPr>
          <w:rFonts w:hint="eastAsia" w:ascii="仿宋" w:hAnsi="仿宋" w:eastAsia="仿宋" w:cs="仿宋"/>
          <w:b/>
          <w:bCs/>
          <w:color w:val="auto"/>
          <w:highlight w:val="none"/>
          <w:lang w:eastAsia="zh-CN"/>
        </w:rPr>
        <w:t>十一、词语含义</w:t>
      </w:r>
      <w:bookmarkEnd w:id="105"/>
      <w:bookmarkEnd w:id="106"/>
      <w:bookmarkEnd w:id="107"/>
      <w:bookmarkEnd w:id="108"/>
      <w:bookmarkEnd w:id="109"/>
      <w:bookmarkEnd w:id="110"/>
      <w:bookmarkEnd w:id="111"/>
      <w:bookmarkEnd w:id="112"/>
      <w:bookmarkEnd w:id="113"/>
    </w:p>
    <w:p>
      <w:pPr>
        <w:pStyle w:val="18"/>
        <w:spacing w:line="360" w:lineRule="auto"/>
        <w:ind w:firstLine="480" w:firstLineChars="200"/>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本协议书中有关词语含义与本合同第二部分《通用条款》第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条赋予它们的定义相同。</w:t>
      </w:r>
    </w:p>
    <w:p>
      <w:pPr>
        <w:pStyle w:val="18"/>
        <w:spacing w:line="360" w:lineRule="auto"/>
        <w:ind w:firstLine="480" w:firstLineChars="200"/>
        <w:rPr>
          <w:rFonts w:ascii="仿宋" w:hAnsi="仿宋" w:eastAsia="仿宋"/>
          <w:color w:val="auto"/>
          <w:sz w:val="24"/>
          <w:szCs w:val="24"/>
          <w:highlight w:val="none"/>
          <w:lang w:eastAsia="zh-CN"/>
        </w:rPr>
      </w:pPr>
    </w:p>
    <w:p>
      <w:pPr>
        <w:spacing w:line="360" w:lineRule="auto"/>
        <w:outlineLvl w:val="1"/>
        <w:rPr>
          <w:rFonts w:ascii="仿宋" w:hAnsi="仿宋" w:eastAsia="仿宋" w:cs="仿宋"/>
          <w:b/>
          <w:bCs/>
          <w:color w:val="auto"/>
          <w:highlight w:val="none"/>
          <w:lang w:eastAsia="zh-CN"/>
        </w:rPr>
      </w:pPr>
      <w:bookmarkStart w:id="114" w:name="_Toc28391"/>
      <w:bookmarkStart w:id="115" w:name="_Toc14980"/>
      <w:bookmarkStart w:id="116" w:name="_Toc23335"/>
      <w:bookmarkStart w:id="117" w:name="_Toc8036"/>
      <w:bookmarkStart w:id="118" w:name="_Toc6842"/>
      <w:bookmarkStart w:id="119" w:name="_Toc19144"/>
      <w:bookmarkStart w:id="120" w:name="_Toc5328"/>
      <w:bookmarkStart w:id="121" w:name="_Toc4045"/>
      <w:bookmarkStart w:id="122" w:name="_Toc3712"/>
      <w:r>
        <w:rPr>
          <w:rFonts w:hint="eastAsia" w:ascii="仿宋" w:hAnsi="仿宋" w:eastAsia="仿宋" w:cs="仿宋"/>
          <w:b/>
          <w:bCs/>
          <w:color w:val="auto"/>
          <w:highlight w:val="none"/>
          <w:lang w:eastAsia="zh-CN"/>
        </w:rPr>
        <w:t>十二、承诺</w:t>
      </w:r>
      <w:bookmarkEnd w:id="114"/>
      <w:bookmarkEnd w:id="115"/>
      <w:bookmarkEnd w:id="116"/>
      <w:bookmarkEnd w:id="117"/>
      <w:bookmarkEnd w:id="118"/>
      <w:bookmarkEnd w:id="119"/>
      <w:bookmarkEnd w:id="120"/>
      <w:bookmarkEnd w:id="121"/>
      <w:bookmarkEnd w:id="122"/>
    </w:p>
    <w:p>
      <w:pPr>
        <w:widowControl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1.发包人承诺已阅读、理解并接受本合同所有条款，按照法律规定履行项目审批或备案手续、筹集工程建设资金，按照本合同约定的时限和方法支付工程款及其他应当支付的款项，履行本合同所约定的全部义务。</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2.承包人承诺已阅读、理解并接受本合同所有条款，按照法律规定及合同约定组织完成</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设计、采购、施工或</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设计、施工等阶段总承包内容，并对工程的质量、安全、工期和造价等全面负责，不进行转包及违法分包，并在缺陷责任期及保修期内承担相应的工程维修责任</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履行本合同所约定的全部义务。</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承包人承诺合同生效后，积极履行合同义务及参建单位职责，接受及认同发包人各项相关建设管理规定，包括但不限于管理制度、作业指导书、工作流程等。如承包人若未达到发包人相关建设管理要求，发包人有权要求承包人承担违约责任及赔偿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4.承包人承诺本项目若实行设计咨询、造价咨询，积极配合发包人开展此项工作。</w:t>
      </w:r>
    </w:p>
    <w:p>
      <w:pPr>
        <w:spacing w:line="360" w:lineRule="auto"/>
        <w:outlineLvl w:val="1"/>
        <w:rPr>
          <w:rFonts w:ascii="仿宋" w:hAnsi="仿宋" w:eastAsia="仿宋" w:cs="仿宋"/>
          <w:b/>
          <w:bCs/>
          <w:color w:val="auto"/>
          <w:highlight w:val="none"/>
          <w:lang w:eastAsia="zh-CN"/>
        </w:rPr>
      </w:pPr>
      <w:bookmarkStart w:id="123" w:name="_Toc30746"/>
      <w:bookmarkStart w:id="124" w:name="_Toc26484"/>
      <w:bookmarkStart w:id="125" w:name="_Toc2756"/>
      <w:bookmarkStart w:id="126" w:name="_Toc12212"/>
      <w:bookmarkStart w:id="127" w:name="_Toc21793"/>
      <w:bookmarkStart w:id="128" w:name="_Toc10232"/>
      <w:bookmarkStart w:id="129" w:name="_Toc5509"/>
      <w:bookmarkStart w:id="130" w:name="_Toc5155"/>
      <w:r>
        <w:rPr>
          <w:rFonts w:hint="eastAsia" w:ascii="仿宋" w:hAnsi="仿宋" w:eastAsia="仿宋" w:cs="仿宋"/>
          <w:b/>
          <w:bCs/>
          <w:color w:val="auto"/>
          <w:highlight w:val="none"/>
          <w:lang w:eastAsia="zh-CN"/>
        </w:rPr>
        <w:t>十三、联合复测</w:t>
      </w:r>
      <w:bookmarkEnd w:id="123"/>
      <w:bookmarkEnd w:id="124"/>
      <w:bookmarkEnd w:id="125"/>
      <w:bookmarkEnd w:id="126"/>
      <w:bookmarkEnd w:id="127"/>
      <w:bookmarkEnd w:id="128"/>
      <w:bookmarkEnd w:id="129"/>
      <w:bookmarkEnd w:id="130"/>
    </w:p>
    <w:p>
      <w:pPr>
        <w:snapToGrid w:val="0"/>
        <w:spacing w:line="400" w:lineRule="exact"/>
        <w:ind w:firstLine="480"/>
        <w:rPr>
          <w:rFonts w:ascii="仿宋" w:hAnsi="仿宋" w:eastAsia="仿宋"/>
          <w:color w:val="auto"/>
          <w:highlight w:val="none"/>
          <w:lang w:eastAsia="zh-CN"/>
        </w:rPr>
      </w:pPr>
      <w:r>
        <w:rPr>
          <w:rFonts w:hint="eastAsia" w:ascii="仿宋" w:hAnsi="仿宋" w:eastAsia="仿宋" w:cs="仿宋"/>
          <w:color w:val="auto"/>
          <w:highlight w:val="none"/>
          <w:lang w:eastAsia="zh-CN"/>
        </w:rPr>
        <w:t>鉴于此项目为</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设计施工总承包，施工进场前，按发包人批准的方案由监理单位组织承包人、发包人，对项目控制点进行联合复测，承包人需给予配合，复测费用由承包人承担，发包人不另行计量支付。</w:t>
      </w:r>
    </w:p>
    <w:p>
      <w:pPr>
        <w:spacing w:line="360" w:lineRule="auto"/>
        <w:outlineLvl w:val="1"/>
        <w:rPr>
          <w:rFonts w:ascii="仿宋" w:hAnsi="仿宋" w:eastAsia="仿宋" w:cs="仿宋"/>
          <w:b/>
          <w:bCs/>
          <w:color w:val="auto"/>
          <w:highlight w:val="none"/>
          <w:lang w:eastAsia="zh-CN"/>
        </w:rPr>
      </w:pPr>
      <w:bookmarkStart w:id="131" w:name="_Toc655"/>
      <w:bookmarkStart w:id="132" w:name="_Toc24527"/>
      <w:bookmarkStart w:id="133" w:name="_Toc3375"/>
      <w:bookmarkStart w:id="134" w:name="_Toc26221"/>
      <w:bookmarkStart w:id="135" w:name="_Toc2482"/>
      <w:bookmarkStart w:id="136" w:name="_Toc27373"/>
      <w:bookmarkStart w:id="137" w:name="_Toc19250"/>
      <w:bookmarkStart w:id="138" w:name="_Toc11592"/>
      <w:bookmarkStart w:id="139" w:name="_Toc14522"/>
      <w:r>
        <w:rPr>
          <w:rFonts w:hint="eastAsia" w:ascii="仿宋" w:hAnsi="仿宋" w:eastAsia="仿宋" w:cs="仿宋"/>
          <w:b/>
          <w:bCs/>
          <w:color w:val="auto"/>
          <w:highlight w:val="none"/>
          <w:lang w:eastAsia="zh-CN"/>
        </w:rPr>
        <w:t>十四、合同生效</w:t>
      </w:r>
      <w:bookmarkEnd w:id="131"/>
      <w:bookmarkEnd w:id="132"/>
      <w:bookmarkEnd w:id="133"/>
      <w:bookmarkEnd w:id="134"/>
      <w:bookmarkEnd w:id="135"/>
      <w:bookmarkEnd w:id="136"/>
      <w:bookmarkEnd w:id="137"/>
      <w:bookmarkEnd w:id="138"/>
      <w:bookmarkEnd w:id="139"/>
    </w:p>
    <w:p>
      <w:pPr>
        <w:spacing w:line="360" w:lineRule="auto"/>
        <w:ind w:left="525"/>
        <w:rPr>
          <w:rFonts w:ascii="仿宋" w:hAnsi="仿宋" w:eastAsia="仿宋"/>
          <w:color w:val="auto"/>
          <w:highlight w:val="none"/>
          <w:lang w:eastAsia="zh-CN"/>
        </w:rPr>
      </w:pPr>
      <w:r>
        <w:rPr>
          <w:rFonts w:hint="eastAsia" w:ascii="仿宋" w:hAnsi="仿宋" w:eastAsia="仿宋" w:cs="仿宋"/>
          <w:color w:val="auto"/>
          <w:highlight w:val="none"/>
          <w:lang w:eastAsia="zh-CN"/>
        </w:rPr>
        <w:t>本合同订立时间：</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p>
      <w:pPr>
        <w:spacing w:line="360" w:lineRule="auto"/>
        <w:ind w:left="525"/>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本合同订立地点：</w:t>
      </w:r>
      <w:r>
        <w:rPr>
          <w:rFonts w:hint="eastAsia" w:ascii="仿宋" w:hAnsi="仿宋" w:eastAsia="仿宋" w:cs="仿宋"/>
          <w:color w:val="auto"/>
          <w:highlight w:val="none"/>
          <w:u w:val="single"/>
          <w:lang w:eastAsia="zh-CN"/>
        </w:rPr>
        <w:t>广州市花都区</w:t>
      </w:r>
    </w:p>
    <w:p>
      <w:pPr>
        <w:spacing w:line="360" w:lineRule="auto"/>
        <w:ind w:left="525"/>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合同双方当事人约定本合同自双方签字盖章后生效。</w:t>
      </w:r>
    </w:p>
    <w:p>
      <w:pPr>
        <w:spacing w:line="360" w:lineRule="auto"/>
        <w:outlineLvl w:val="1"/>
        <w:rPr>
          <w:rFonts w:ascii="仿宋" w:hAnsi="仿宋" w:eastAsia="仿宋" w:cs="仿宋"/>
          <w:b/>
          <w:bCs/>
          <w:color w:val="auto"/>
          <w:highlight w:val="none"/>
          <w:lang w:eastAsia="zh-CN"/>
        </w:rPr>
      </w:pPr>
      <w:bookmarkStart w:id="140" w:name="_Toc2659"/>
      <w:bookmarkStart w:id="141" w:name="_Toc28976"/>
      <w:bookmarkStart w:id="142" w:name="_Toc1349"/>
      <w:bookmarkStart w:id="143" w:name="_Toc137"/>
      <w:bookmarkStart w:id="144" w:name="_Toc14958"/>
      <w:bookmarkStart w:id="145" w:name="_Toc3921"/>
      <w:bookmarkStart w:id="146" w:name="_Toc26848"/>
      <w:bookmarkStart w:id="147" w:name="_Toc13117"/>
      <w:bookmarkStart w:id="148" w:name="_Toc8963"/>
      <w:r>
        <w:rPr>
          <w:rFonts w:hint="eastAsia" w:ascii="仿宋" w:hAnsi="仿宋" w:eastAsia="仿宋" w:cs="仿宋"/>
          <w:b/>
          <w:bCs/>
          <w:color w:val="auto"/>
          <w:highlight w:val="none"/>
          <w:lang w:eastAsia="zh-CN"/>
        </w:rPr>
        <w:t>十五、合同份数</w:t>
      </w:r>
      <w:bookmarkEnd w:id="140"/>
      <w:bookmarkEnd w:id="141"/>
      <w:bookmarkEnd w:id="142"/>
      <w:bookmarkEnd w:id="143"/>
      <w:bookmarkEnd w:id="144"/>
      <w:bookmarkEnd w:id="145"/>
      <w:bookmarkEnd w:id="146"/>
      <w:bookmarkEnd w:id="147"/>
      <w:bookmarkEnd w:id="148"/>
    </w:p>
    <w:p>
      <w:pPr>
        <w:spacing w:line="360" w:lineRule="auto"/>
        <w:ind w:firstLine="480" w:firstLineChars="200"/>
        <w:rPr>
          <w:rFonts w:ascii="仿宋_GB2312" w:eastAsia="仿宋_GB2312"/>
          <w:color w:val="auto"/>
          <w:sz w:val="32"/>
          <w:szCs w:val="32"/>
          <w:highlight w:val="none"/>
          <w:lang w:eastAsia="zh-CN"/>
        </w:rPr>
      </w:pPr>
      <w:r>
        <w:rPr>
          <w:rFonts w:hint="eastAsia" w:ascii="仿宋" w:hAnsi="仿宋" w:eastAsia="仿宋" w:cs="仿宋"/>
          <w:color w:val="auto"/>
          <w:highlight w:val="none"/>
          <w:lang w:eastAsia="zh-CN"/>
        </w:rPr>
        <w:t>本合同一式</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份，具有同等法律效力，其中发包人执</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份，承包人执</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w:t>
      </w:r>
    </w:p>
    <w:p>
      <w:pPr>
        <w:spacing w:line="360" w:lineRule="auto"/>
        <w:ind w:firstLine="480" w:firstLineChars="200"/>
        <w:rPr>
          <w:rFonts w:ascii="仿宋" w:hAnsi="仿宋" w:eastAsia="仿宋"/>
          <w:color w:val="auto"/>
          <w:highlight w:val="none"/>
          <w:lang w:eastAsia="zh-CN"/>
        </w:rPr>
      </w:pPr>
    </w:p>
    <w:tbl>
      <w:tblPr>
        <w:tblStyle w:val="41"/>
        <w:tblW w:w="0" w:type="auto"/>
        <w:tblInd w:w="-10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725"/>
        <w:gridCol w:w="2743"/>
        <w:gridCol w:w="1782"/>
        <w:gridCol w:w="257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发包人：</w:t>
            </w:r>
          </w:p>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（盖章）</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广州花都城弘建设发展投资有限公司</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承包人（单一承包人或联合体牵头单位）：</w:t>
            </w:r>
          </w:p>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（盖章）</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统一社会信用代码：</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91440114MAC4LBB314</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统一社会信用代码：</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地</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址：</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广州市花都区秀全街宏发南路11号第四层307号铺</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地</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址：</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rPr>
              <w:t>法定代表人：</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rPr>
              <w:t>法定代表人：</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委托代理人：</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委托代理人：</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话：</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话：</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传</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真：</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传</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真：</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开户银行：</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中信银行广州花都支行</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开户银行：</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帐</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号：</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8110901013301543057</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帐</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号：</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邮政编码：</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宋体" w:hAnsi="宋体"/>
                <w:color w:val="auto"/>
                <w:highlight w:val="none"/>
              </w:rPr>
              <w:t>510800</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邮政编码：</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电子邮箱：</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olor w:val="auto"/>
                <w:highlight w:val="none"/>
                <w:lang w:eastAsia="zh-CN"/>
              </w:rPr>
              <w:t>/</w:t>
            </w: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电子邮箱：</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bl>
    <w:p>
      <w:pPr>
        <w:spacing w:line="360" w:lineRule="auto"/>
        <w:ind w:firstLine="480" w:firstLineChars="200"/>
        <w:rPr>
          <w:rFonts w:ascii="仿宋" w:hAnsi="仿宋" w:eastAsia="仿宋"/>
          <w:color w:val="auto"/>
          <w:highlight w:val="none"/>
          <w:lang w:eastAsia="zh-CN"/>
        </w:rPr>
      </w:pPr>
    </w:p>
    <w:tbl>
      <w:tblPr>
        <w:tblStyle w:val="41"/>
        <w:tblW w:w="0" w:type="auto"/>
        <w:tblInd w:w="-10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725"/>
        <w:gridCol w:w="2743"/>
        <w:gridCol w:w="1782"/>
        <w:gridCol w:w="257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w:t>
            </w:r>
          </w:p>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（盖章）</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w:t>
            </w:r>
          </w:p>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（盖章）</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统一社会信用代码：</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统一社会信用代码：</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地</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址：</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地</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址：</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rPr>
              <w:t>法定代表人：</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rPr>
              <w:t>法定代表人：</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委托代理人：</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委托代理人：</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话：</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话：</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传</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真：</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传</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真：</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开户银行：</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开户银行：</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帐</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号：</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帐</w:t>
            </w:r>
            <w:r>
              <w:rPr>
                <w:rFonts w:hint="default"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号：</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邮政编码：</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邮政编码：</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25"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电子邮箱：</w:t>
            </w:r>
          </w:p>
        </w:tc>
        <w:tc>
          <w:tcPr>
            <w:tcW w:w="2743"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c>
          <w:tcPr>
            <w:tcW w:w="1782"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r>
              <w:rPr>
                <w:rFonts w:hint="eastAsia" w:ascii="仿宋" w:hAnsi="仿宋" w:eastAsia="仿宋" w:cs="仿宋"/>
                <w:color w:val="auto"/>
                <w:highlight w:val="none"/>
                <w:lang w:eastAsia="zh-CN"/>
              </w:rPr>
              <w:t>电子邮箱：</w:t>
            </w:r>
          </w:p>
        </w:tc>
        <w:tc>
          <w:tcPr>
            <w:tcW w:w="2578" w:type="dxa"/>
          </w:tcPr>
          <w:p>
            <w:pPr>
              <w:keepNext w:val="0"/>
              <w:keepLines w:val="0"/>
              <w:widowControl/>
              <w:suppressLineNumbers w:val="0"/>
              <w:spacing w:before="0" w:beforeAutospacing="0" w:after="0" w:afterAutospacing="0" w:line="360" w:lineRule="auto"/>
              <w:ind w:left="0" w:right="0"/>
              <w:rPr>
                <w:rFonts w:hint="default" w:ascii="仿宋" w:hAnsi="仿宋" w:eastAsia="仿宋"/>
                <w:color w:val="auto"/>
                <w:highlight w:val="none"/>
                <w:lang w:eastAsia="zh-CN"/>
              </w:rPr>
            </w:pPr>
          </w:p>
        </w:tc>
      </w:tr>
    </w:tbl>
    <w:p>
      <w:pPr>
        <w:spacing w:line="360" w:lineRule="auto"/>
        <w:ind w:left="5277" w:leftChars="162" w:hanging="4888" w:hangingChars="2037"/>
        <w:rPr>
          <w:rFonts w:ascii="仿宋" w:hAnsi="仿宋" w:eastAsia="仿宋" w:cs="仿宋"/>
          <w:color w:val="auto"/>
          <w:highlight w:val="none"/>
          <w:lang w:eastAsia="zh-CN"/>
        </w:rPr>
      </w:pPr>
    </w:p>
    <w:p>
      <w:pPr>
        <w:rPr>
          <w:color w:val="auto"/>
          <w:highlight w:val="none"/>
          <w:lang w:eastAsia="zh-CN"/>
        </w:rPr>
        <w:sectPr>
          <w:footerReference r:id="rId7" w:type="first"/>
          <w:footerReference r:id="rId6" w:type="default"/>
          <w:pgSz w:w="11905" w:h="16838"/>
          <w:pgMar w:top="850" w:right="1701" w:bottom="850" w:left="1701" w:header="851" w:footer="522" w:gutter="0"/>
          <w:pgNumType w:start="1"/>
          <w:cols w:space="720" w:num="1"/>
          <w:docGrid w:type="lines" w:linePitch="312" w:charSpace="0"/>
        </w:sectPr>
      </w:pPr>
    </w:p>
    <w:p>
      <w:pPr>
        <w:spacing w:line="360" w:lineRule="auto"/>
        <w:jc w:val="center"/>
        <w:outlineLvl w:val="0"/>
        <w:rPr>
          <w:rFonts w:ascii="宋体"/>
          <w:b/>
          <w:bCs/>
          <w:color w:val="auto"/>
          <w:sz w:val="36"/>
          <w:szCs w:val="36"/>
          <w:highlight w:val="none"/>
          <w:lang w:eastAsia="zh-CN"/>
        </w:rPr>
      </w:pPr>
      <w:bookmarkStart w:id="149" w:name="_Toc9870"/>
      <w:bookmarkStart w:id="150" w:name="_Toc3492"/>
      <w:bookmarkStart w:id="151" w:name="_Toc17177"/>
      <w:bookmarkStart w:id="152" w:name="_Toc15457"/>
      <w:bookmarkStart w:id="153" w:name="_Toc469383978"/>
      <w:bookmarkStart w:id="154" w:name="_Toc17883"/>
      <w:bookmarkStart w:id="155" w:name="_Toc2654"/>
      <w:bookmarkStart w:id="156" w:name="_Toc30412"/>
      <w:bookmarkStart w:id="157" w:name="_Toc29371"/>
      <w:r>
        <w:rPr>
          <w:rFonts w:hint="eastAsia" w:ascii="宋体" w:hAnsi="宋体" w:cs="宋体"/>
          <w:b/>
          <w:bCs/>
          <w:color w:val="auto"/>
          <w:sz w:val="36"/>
          <w:szCs w:val="36"/>
          <w:highlight w:val="none"/>
          <w:lang w:eastAsia="zh-CN"/>
        </w:rPr>
        <w:t>第二部分</w:t>
      </w:r>
      <w:r>
        <w:rPr>
          <w:rFonts w:ascii="宋体" w:hAnsi="宋体" w:cs="宋体"/>
          <w:b/>
          <w:bCs/>
          <w:color w:val="auto"/>
          <w:sz w:val="36"/>
          <w:szCs w:val="36"/>
          <w:highlight w:val="none"/>
          <w:lang w:eastAsia="zh-CN"/>
        </w:rPr>
        <w:t xml:space="preserve">  </w:t>
      </w:r>
      <w:r>
        <w:rPr>
          <w:rFonts w:hint="eastAsia" w:ascii="宋体" w:hAnsi="宋体" w:cs="宋体"/>
          <w:b/>
          <w:bCs/>
          <w:color w:val="auto"/>
          <w:sz w:val="36"/>
          <w:szCs w:val="36"/>
          <w:highlight w:val="none"/>
          <w:lang w:eastAsia="zh-CN"/>
        </w:rPr>
        <w:t>通用条款</w:t>
      </w:r>
      <w:bookmarkEnd w:id="149"/>
      <w:bookmarkEnd w:id="150"/>
      <w:bookmarkEnd w:id="151"/>
      <w:bookmarkEnd w:id="152"/>
      <w:bookmarkEnd w:id="153"/>
      <w:bookmarkEnd w:id="154"/>
      <w:bookmarkEnd w:id="155"/>
      <w:bookmarkEnd w:id="156"/>
      <w:bookmarkEnd w:id="157"/>
    </w:p>
    <w:p>
      <w:pPr>
        <w:pStyle w:val="22"/>
        <w:adjustRightInd w:val="0"/>
        <w:snapToGrid w:val="0"/>
        <w:rPr>
          <w:rFonts w:hAnsi="宋体"/>
          <w:color w:val="auto"/>
          <w:sz w:val="32"/>
          <w:szCs w:val="32"/>
          <w:highlight w:val="none"/>
          <w:lang w:eastAsia="zh-CN"/>
        </w:rPr>
      </w:pPr>
    </w:p>
    <w:p>
      <w:pPr>
        <w:pStyle w:val="22"/>
        <w:adjustRightInd w:val="0"/>
        <w:snapToGrid w:val="0"/>
        <w:jc w:val="center"/>
        <w:outlineLvl w:val="1"/>
        <w:rPr>
          <w:rFonts w:hAnsi="宋体"/>
          <w:b/>
          <w:bCs/>
          <w:color w:val="auto"/>
          <w:sz w:val="32"/>
          <w:szCs w:val="32"/>
          <w:highlight w:val="none"/>
          <w:lang w:eastAsia="zh-CN"/>
        </w:rPr>
      </w:pPr>
      <w:bookmarkStart w:id="158" w:name="_Toc14636"/>
      <w:bookmarkStart w:id="159" w:name="_Toc32140"/>
      <w:bookmarkStart w:id="160" w:name="_Toc469383979"/>
      <w:bookmarkStart w:id="161" w:name="_Toc19576"/>
      <w:bookmarkStart w:id="162" w:name="_Toc28342"/>
      <w:bookmarkStart w:id="163" w:name="_Toc13263"/>
      <w:bookmarkStart w:id="164" w:name="_Toc21134"/>
      <w:bookmarkStart w:id="165" w:name="_Toc9312"/>
      <w:bookmarkStart w:id="166" w:name="_Toc7620"/>
      <w:r>
        <w:rPr>
          <w:rFonts w:hint="eastAsia" w:hAnsi="宋体"/>
          <w:b/>
          <w:bCs/>
          <w:color w:val="auto"/>
          <w:sz w:val="32"/>
          <w:szCs w:val="32"/>
          <w:highlight w:val="none"/>
          <w:lang w:eastAsia="zh-CN"/>
        </w:rPr>
        <w:t>一、总</w:t>
      </w:r>
      <w:r>
        <w:rPr>
          <w:rFonts w:hAnsi="宋体"/>
          <w:b/>
          <w:bCs/>
          <w:color w:val="auto"/>
          <w:sz w:val="32"/>
          <w:szCs w:val="32"/>
          <w:highlight w:val="none"/>
          <w:lang w:eastAsia="zh-CN"/>
        </w:rPr>
        <w:t xml:space="preserve">  </w:t>
      </w:r>
      <w:r>
        <w:rPr>
          <w:rFonts w:hint="eastAsia" w:hAnsi="宋体"/>
          <w:b/>
          <w:bCs/>
          <w:color w:val="auto"/>
          <w:sz w:val="32"/>
          <w:szCs w:val="32"/>
          <w:highlight w:val="none"/>
          <w:lang w:eastAsia="zh-CN"/>
        </w:rPr>
        <w:t>则</w:t>
      </w:r>
      <w:bookmarkEnd w:id="158"/>
      <w:bookmarkEnd w:id="159"/>
      <w:bookmarkEnd w:id="160"/>
      <w:bookmarkEnd w:id="161"/>
      <w:bookmarkEnd w:id="162"/>
      <w:bookmarkEnd w:id="163"/>
      <w:bookmarkEnd w:id="164"/>
      <w:bookmarkEnd w:id="165"/>
      <w:bookmarkEnd w:id="166"/>
    </w:p>
    <w:p>
      <w:pPr>
        <w:pStyle w:val="22"/>
        <w:adjustRightInd w:val="0"/>
        <w:snapToGrid w:val="0"/>
        <w:spacing w:line="360" w:lineRule="auto"/>
        <w:jc w:val="center"/>
        <w:rPr>
          <w:rFonts w:hAnsi="宋体"/>
          <w:b/>
          <w:bCs/>
          <w:color w:val="auto"/>
          <w:sz w:val="32"/>
          <w:szCs w:val="32"/>
          <w:highlight w:val="none"/>
          <w:lang w:eastAsia="zh-CN"/>
        </w:rPr>
      </w:pPr>
    </w:p>
    <w:p>
      <w:pPr>
        <w:pStyle w:val="22"/>
        <w:widowControl w:val="0"/>
        <w:tabs>
          <w:tab w:val="left" w:pos="900"/>
          <w:tab w:val="left" w:pos="1080"/>
        </w:tabs>
        <w:spacing w:before="120" w:beforeLines="50" w:after="120" w:afterLines="50" w:line="360" w:lineRule="auto"/>
        <w:jc w:val="both"/>
        <w:outlineLvl w:val="2"/>
        <w:rPr>
          <w:rFonts w:ascii="仿宋" w:hAnsi="仿宋" w:eastAsia="仿宋"/>
          <w:b/>
          <w:bCs/>
          <w:color w:val="auto"/>
          <w:sz w:val="24"/>
          <w:szCs w:val="24"/>
          <w:highlight w:val="none"/>
          <w:lang w:eastAsia="zh-CN"/>
        </w:rPr>
      </w:pPr>
      <w:bookmarkStart w:id="167" w:name="_Toc2260"/>
      <w:bookmarkStart w:id="168" w:name="_Toc29641"/>
      <w:bookmarkStart w:id="169" w:name="_Toc1998"/>
      <w:bookmarkStart w:id="170" w:name="_Toc469383980"/>
      <w:bookmarkStart w:id="171" w:name="_Toc23003"/>
      <w:bookmarkStart w:id="172" w:name="_Toc14495"/>
      <w:bookmarkStart w:id="173" w:name="_Toc11388"/>
      <w:bookmarkStart w:id="174" w:name="_Toc32001"/>
      <w:bookmarkStart w:id="175" w:name="_Toc11749"/>
      <w:r>
        <w:rPr>
          <w:rFonts w:ascii="仿宋" w:hAnsi="仿宋" w:eastAsia="仿宋" w:cs="仿宋"/>
          <w:b/>
          <w:bCs/>
          <w:color w:val="auto"/>
          <w:sz w:val="24"/>
          <w:szCs w:val="24"/>
          <w:highlight w:val="none"/>
          <w:lang w:eastAsia="zh-CN"/>
        </w:rPr>
        <w:t xml:space="preserve">1 </w:t>
      </w:r>
      <w:r>
        <w:rPr>
          <w:rFonts w:hint="eastAsia" w:ascii="仿宋" w:hAnsi="仿宋" w:eastAsia="仿宋" w:cs="仿宋"/>
          <w:b/>
          <w:bCs/>
          <w:color w:val="auto"/>
          <w:sz w:val="24"/>
          <w:szCs w:val="24"/>
          <w:highlight w:val="none"/>
          <w:lang w:eastAsia="zh-CN"/>
        </w:rPr>
        <w:t>定义</w:t>
      </w:r>
      <w:bookmarkEnd w:id="167"/>
      <w:bookmarkEnd w:id="168"/>
      <w:bookmarkEnd w:id="169"/>
      <w:bookmarkEnd w:id="170"/>
      <w:bookmarkEnd w:id="171"/>
      <w:bookmarkEnd w:id="172"/>
      <w:bookmarkEnd w:id="173"/>
      <w:bookmarkEnd w:id="174"/>
      <w:bookmarkEnd w:id="175"/>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下列词语或措辞，除非特别说明，在本合同中均具有以下赋予的含义：</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76" w:name="_Toc4774"/>
      <w:r>
        <w:rPr>
          <w:rFonts w:hint="eastAsia" w:ascii="仿宋" w:hAnsi="仿宋" w:eastAsia="仿宋" w:cs="仿宋"/>
          <w:b/>
          <w:bCs/>
          <w:color w:val="auto"/>
          <w:sz w:val="24"/>
          <w:szCs w:val="24"/>
          <w:highlight w:val="none"/>
          <w:lang w:eastAsia="zh-CN"/>
        </w:rPr>
        <w:t>1.1 合同文件</w:t>
      </w:r>
      <w:bookmarkEnd w:id="176"/>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u w:val="dotted"/>
          <w:lang w:eastAsia="zh-CN"/>
        </w:rPr>
      </w:pPr>
      <w:r>
        <w:rPr>
          <w:rFonts w:ascii="仿宋" w:hAnsi="仿宋" w:eastAsia="仿宋" w:cs="仿宋"/>
          <w:b/>
          <w:bCs/>
          <w:color w:val="auto"/>
          <w:sz w:val="24"/>
          <w:szCs w:val="24"/>
          <w:highlight w:val="none"/>
          <w:lang w:eastAsia="zh-CN"/>
        </w:rPr>
        <w:t>1.1</w:t>
      </w:r>
      <w:r>
        <w:rPr>
          <w:rFonts w:hint="eastAsia" w:ascii="仿宋" w:hAnsi="仿宋" w:eastAsia="仿宋" w:cs="仿宋"/>
          <w:b/>
          <w:bCs/>
          <w:color w:val="auto"/>
          <w:sz w:val="24"/>
          <w:szCs w:val="24"/>
          <w:highlight w:val="none"/>
          <w:lang w:eastAsia="zh-CN"/>
        </w:rPr>
        <w:t>.1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合同：</w:t>
      </w:r>
      <w:r>
        <w:rPr>
          <w:rFonts w:hint="eastAsia" w:ascii="仿宋" w:hAnsi="仿宋" w:eastAsia="仿宋" w:cs="仿宋"/>
          <w:color w:val="auto"/>
          <w:sz w:val="24"/>
          <w:szCs w:val="24"/>
          <w:highlight w:val="none"/>
          <w:lang w:eastAsia="zh-CN"/>
        </w:rPr>
        <w:t>指合同双方当事人为实施、完成并保修合同工程所订立的全部合同文件。合同文件由第</w:t>
      </w:r>
      <w:r>
        <w:rPr>
          <w:rFonts w:ascii="仿宋" w:hAnsi="仿宋" w:eastAsia="仿宋" w:cs="仿宋"/>
          <w:color w:val="auto"/>
          <w:sz w:val="24"/>
          <w:szCs w:val="24"/>
          <w:highlight w:val="none"/>
          <w:lang w:eastAsia="zh-CN"/>
        </w:rPr>
        <w:t>2.2</w:t>
      </w:r>
      <w:r>
        <w:rPr>
          <w:rFonts w:hint="eastAsia" w:ascii="仿宋" w:hAnsi="仿宋" w:eastAsia="仿宋" w:cs="仿宋"/>
          <w:color w:val="auto"/>
          <w:sz w:val="24"/>
          <w:szCs w:val="24"/>
          <w:highlight w:val="none"/>
          <w:lang w:eastAsia="zh-CN"/>
        </w:rPr>
        <w:t>款所列的文件组成。</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w:t>
      </w:r>
      <w:r>
        <w:rPr>
          <w:rFonts w:ascii="仿宋" w:hAnsi="仿宋" w:eastAsia="仿宋" w:cs="仿宋"/>
          <w:b/>
          <w:bCs/>
          <w:color w:val="auto"/>
          <w:sz w:val="24"/>
          <w:szCs w:val="24"/>
          <w:highlight w:val="none"/>
          <w:lang w:eastAsia="zh-CN"/>
        </w:rPr>
        <w:t xml:space="preserve">2 </w:t>
      </w:r>
      <w:r>
        <w:rPr>
          <w:rFonts w:hint="eastAsia" w:ascii="仿宋" w:hAnsi="仿宋" w:eastAsia="仿宋" w:cs="仿宋"/>
          <w:b/>
          <w:bCs/>
          <w:color w:val="auto"/>
          <w:sz w:val="24"/>
          <w:szCs w:val="24"/>
          <w:highlight w:val="none"/>
          <w:lang w:eastAsia="zh-CN"/>
        </w:rPr>
        <w:t>协议书：</w:t>
      </w:r>
      <w:r>
        <w:rPr>
          <w:rFonts w:hint="eastAsia" w:ascii="仿宋" w:hAnsi="仿宋" w:eastAsia="仿宋" w:cs="仿宋"/>
          <w:color w:val="auto"/>
          <w:sz w:val="24"/>
          <w:szCs w:val="24"/>
          <w:highlight w:val="none"/>
          <w:lang w:eastAsia="zh-CN"/>
        </w:rPr>
        <w:t>是指构成合同的由发包人和承包人共同签署的称为“协议书”的书面文件。</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color w:val="auto"/>
          <w:sz w:val="24"/>
          <w:szCs w:val="24"/>
          <w:highlight w:val="none"/>
          <w:lang w:eastAsia="zh-CN"/>
        </w:rPr>
        <w:t>1.</w:t>
      </w:r>
      <w:r>
        <w:rPr>
          <w:rFonts w:hint="eastAsia" w:ascii="仿宋" w:hAnsi="仿宋" w:eastAsia="仿宋" w:cs="仿宋"/>
          <w:b/>
          <w:color w:val="auto"/>
          <w:sz w:val="24"/>
          <w:szCs w:val="24"/>
          <w:highlight w:val="none"/>
          <w:lang w:eastAsia="zh-CN"/>
        </w:rPr>
        <w:t>1.</w:t>
      </w:r>
      <w:r>
        <w:rPr>
          <w:rFonts w:ascii="仿宋" w:hAnsi="仿宋" w:eastAsia="仿宋" w:cs="仿宋"/>
          <w:b/>
          <w:color w:val="auto"/>
          <w:sz w:val="24"/>
          <w:szCs w:val="24"/>
          <w:highlight w:val="none"/>
          <w:lang w:eastAsia="zh-CN"/>
        </w:rPr>
        <w:t xml:space="preserve">3 </w:t>
      </w:r>
      <w:r>
        <w:rPr>
          <w:rFonts w:hint="eastAsia" w:ascii="仿宋" w:hAnsi="仿宋" w:eastAsia="仿宋" w:cs="仿宋"/>
          <w:b/>
          <w:color w:val="auto"/>
          <w:sz w:val="24"/>
          <w:szCs w:val="24"/>
          <w:highlight w:val="none"/>
          <w:lang w:eastAsia="zh-CN"/>
        </w:rPr>
        <w:t>通用条款：</w:t>
      </w:r>
      <w:r>
        <w:rPr>
          <w:rFonts w:hint="eastAsia" w:ascii="仿宋" w:hAnsi="仿宋" w:eastAsia="仿宋" w:cs="仿宋"/>
          <w:color w:val="auto"/>
          <w:sz w:val="24"/>
          <w:szCs w:val="24"/>
          <w:highlight w:val="none"/>
          <w:lang w:eastAsia="zh-CN"/>
        </w:rPr>
        <w:t>指根据法律、法规以及建设项目工程总承包管理的需要所订立的，是通用于建设工程设计、采购、施工或设计、施工等阶段总承包实施的基础性合同条款。</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1.1.4 专用条款：</w:t>
      </w:r>
      <w:r>
        <w:rPr>
          <w:rFonts w:hint="eastAsia" w:ascii="仿宋" w:hAnsi="仿宋" w:eastAsia="仿宋" w:cs="仿宋"/>
          <w:color w:val="auto"/>
          <w:sz w:val="24"/>
          <w:szCs w:val="24"/>
          <w:highlight w:val="none"/>
          <w:lang w:eastAsia="zh-CN"/>
        </w:rPr>
        <w:t>指合同双方当事人根据法律、法规，结合本合同工程实际情况，经协商达成一致意见的，专用于实施、完成本合同工程总承包范围与工程内容的条款。它是对通用条款的具体化，也是对通用条款的补充和完善。</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中标通知书：</w:t>
      </w:r>
      <w:r>
        <w:rPr>
          <w:rFonts w:hint="eastAsia" w:ascii="仿宋" w:hAnsi="仿宋" w:eastAsia="仿宋" w:cs="仿宋"/>
          <w:color w:val="auto"/>
          <w:sz w:val="24"/>
          <w:szCs w:val="24"/>
          <w:highlight w:val="none"/>
          <w:lang w:eastAsia="zh-CN"/>
        </w:rPr>
        <w:t>是指构成合同的由发包人通知承包人中标的书面文件。中标通知书随附的澄清、说明、补正事项纪要等，是中标通知书的组成部分。</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77" w:name="_Toc26352"/>
      <w:r>
        <w:rPr>
          <w:rFonts w:hint="eastAsia" w:ascii="仿宋" w:hAnsi="仿宋" w:eastAsia="仿宋" w:cs="仿宋"/>
          <w:b/>
          <w:bCs/>
          <w:color w:val="auto"/>
          <w:sz w:val="24"/>
          <w:szCs w:val="24"/>
          <w:highlight w:val="none"/>
          <w:lang w:eastAsia="zh-CN"/>
        </w:rPr>
        <w:t>1.2 技术文件</w:t>
      </w:r>
      <w:bookmarkEnd w:id="177"/>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2.1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标准、规范：</w:t>
      </w:r>
      <w:r>
        <w:rPr>
          <w:rFonts w:hint="eastAsia" w:ascii="仿宋" w:hAnsi="仿宋" w:eastAsia="仿宋" w:cs="仿宋"/>
          <w:color w:val="auto"/>
          <w:sz w:val="24"/>
          <w:szCs w:val="24"/>
          <w:highlight w:val="none"/>
          <w:lang w:eastAsia="zh-CN"/>
        </w:rPr>
        <w:t>指承包人实施工程总承包过程中应依法遵守的国家、行业或地方性标准与规范，以及本合同约定的其它技术标准与规范，构成合同的组成部分。由双方在专用条款中明确约定。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bCs/>
          <w:color w:val="auto"/>
          <w:sz w:val="24"/>
          <w:szCs w:val="24"/>
          <w:highlight w:val="none"/>
          <w:lang w:eastAsia="zh-CN"/>
        </w:rPr>
        <w:t>1.2.2 《发包人要求》：</w:t>
      </w:r>
      <w:r>
        <w:rPr>
          <w:rFonts w:hint="eastAsia" w:ascii="仿宋" w:hAnsi="仿宋" w:eastAsia="仿宋" w:cs="仿宋"/>
          <w:color w:val="auto"/>
          <w:sz w:val="24"/>
          <w:szCs w:val="24"/>
          <w:highlight w:val="none"/>
          <w:lang w:eastAsia="zh-CN"/>
        </w:rPr>
        <w:t>指发包人就工程总承包范围与工程内容提出相应要求的书面文件，包括勘察、设计、BIM技术应用、采购、施工等方面，构成合同的组成部分。由双方在专用条款中明确约定。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color w:val="auto"/>
          <w:sz w:val="24"/>
          <w:szCs w:val="24"/>
          <w:highlight w:val="none"/>
          <w:lang w:eastAsia="zh-CN"/>
        </w:rPr>
        <w:t>1</w:t>
      </w:r>
      <w:r>
        <w:rPr>
          <w:rFonts w:hint="eastAsia" w:ascii="仿宋" w:hAnsi="仿宋" w:eastAsia="仿宋" w:cs="仿宋"/>
          <w:b/>
          <w:color w:val="auto"/>
          <w:sz w:val="24"/>
          <w:szCs w:val="24"/>
          <w:highlight w:val="none"/>
          <w:lang w:eastAsia="zh-CN"/>
        </w:rPr>
        <w:t>.2.3</w:t>
      </w:r>
      <w:r>
        <w:rPr>
          <w:rFonts w:ascii="仿宋" w:hAnsi="仿宋" w:eastAsia="仿宋" w:cs="仿宋"/>
          <w:b/>
          <w:color w:val="auto"/>
          <w:sz w:val="24"/>
          <w:szCs w:val="24"/>
          <w:highlight w:val="none"/>
          <w:lang w:eastAsia="zh-CN"/>
        </w:rPr>
        <w:t xml:space="preserve"> </w:t>
      </w:r>
      <w:r>
        <w:rPr>
          <w:rFonts w:hint="eastAsia" w:ascii="仿宋" w:hAnsi="仿宋" w:eastAsia="仿宋" w:cs="仿宋"/>
          <w:b/>
          <w:color w:val="auto"/>
          <w:sz w:val="24"/>
          <w:szCs w:val="24"/>
          <w:highlight w:val="none"/>
          <w:lang w:eastAsia="zh-CN"/>
        </w:rPr>
        <w:t>项目基础资料：</w:t>
      </w:r>
      <w:r>
        <w:rPr>
          <w:rFonts w:hint="eastAsia" w:ascii="仿宋" w:hAnsi="仿宋" w:eastAsia="仿宋" w:cs="仿宋"/>
          <w:color w:val="auto"/>
          <w:sz w:val="24"/>
          <w:szCs w:val="24"/>
          <w:highlight w:val="none"/>
          <w:lang w:eastAsia="zh-CN"/>
        </w:rPr>
        <w:t>指按合同约定由发包人提供给承包人实施、完成工程总承包范围与工程内容所需的工程资料，构成合同的组成部分。发包人应提供的项目基础资料由双方在专用条款中明确约定。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2.4</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技术标：</w:t>
      </w:r>
      <w:r>
        <w:rPr>
          <w:rFonts w:hint="eastAsia" w:ascii="仿宋" w:hAnsi="仿宋" w:eastAsia="仿宋" w:cs="仿宋"/>
          <w:color w:val="auto"/>
          <w:sz w:val="24"/>
          <w:szCs w:val="24"/>
          <w:highlight w:val="none"/>
          <w:lang w:eastAsia="zh-CN"/>
        </w:rPr>
        <w:t>指承包人根据招标文件要求编制、签署并被发包人所接受的投标文件中技术部分及有效的澄清文件。</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78" w:name="_Toc28161"/>
      <w:r>
        <w:rPr>
          <w:rFonts w:hint="eastAsia" w:ascii="仿宋" w:hAnsi="仿宋" w:eastAsia="仿宋" w:cs="仿宋"/>
          <w:b/>
          <w:bCs/>
          <w:color w:val="auto"/>
          <w:sz w:val="24"/>
          <w:szCs w:val="24"/>
          <w:highlight w:val="none"/>
          <w:lang w:eastAsia="zh-CN"/>
        </w:rPr>
        <w:t>1.3 价格文件</w:t>
      </w:r>
      <w:bookmarkEnd w:id="178"/>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b/>
          <w:color w:val="auto"/>
          <w:sz w:val="24"/>
          <w:szCs w:val="24"/>
          <w:highlight w:val="none"/>
          <w:lang w:eastAsia="zh-CN"/>
        </w:rPr>
      </w:pPr>
      <w:r>
        <w:rPr>
          <w:rFonts w:hint="eastAsia" w:ascii="仿宋" w:hAnsi="仿宋" w:eastAsia="仿宋" w:cs="仿宋"/>
          <w:b/>
          <w:bCs/>
          <w:color w:val="auto"/>
          <w:sz w:val="24"/>
          <w:szCs w:val="24"/>
          <w:highlight w:val="none"/>
          <w:lang w:eastAsia="zh-CN"/>
        </w:rPr>
        <w:t>1.</w:t>
      </w:r>
      <w:r>
        <w:rPr>
          <w:rFonts w:hint="eastAsia" w:ascii="仿宋" w:hAnsi="仿宋" w:eastAsia="仿宋"/>
          <w:b/>
          <w:color w:val="auto"/>
          <w:sz w:val="24"/>
          <w:szCs w:val="24"/>
          <w:highlight w:val="none"/>
          <w:lang w:eastAsia="zh-CN"/>
        </w:rPr>
        <w:t>3.1 签约合同价：</w:t>
      </w:r>
      <w:r>
        <w:rPr>
          <w:rFonts w:hint="eastAsia" w:ascii="仿宋" w:hAnsi="仿宋" w:eastAsia="仿宋"/>
          <w:color w:val="auto"/>
          <w:sz w:val="24"/>
          <w:szCs w:val="24"/>
          <w:highlight w:val="none"/>
          <w:lang w:eastAsia="zh-CN"/>
        </w:rPr>
        <w:t>是指发包人和承包人在合同协议书中确定的总金额，包括暂估价及暂列金额等。</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bCs/>
          <w:color w:val="auto"/>
          <w:sz w:val="24"/>
          <w:szCs w:val="24"/>
          <w:highlight w:val="none"/>
          <w:lang w:eastAsia="zh-CN"/>
        </w:rPr>
        <w:t>1.</w:t>
      </w:r>
      <w:r>
        <w:rPr>
          <w:rFonts w:hint="eastAsia" w:ascii="仿宋" w:hAnsi="仿宋" w:eastAsia="仿宋"/>
          <w:b/>
          <w:color w:val="auto"/>
          <w:sz w:val="24"/>
          <w:szCs w:val="24"/>
          <w:highlight w:val="none"/>
          <w:lang w:eastAsia="zh-CN"/>
        </w:rPr>
        <w:t>3.2 合同价格：</w:t>
      </w:r>
      <w:r>
        <w:rPr>
          <w:rFonts w:hint="eastAsia" w:ascii="仿宋" w:hAnsi="仿宋" w:eastAsia="仿宋"/>
          <w:color w:val="auto"/>
          <w:sz w:val="24"/>
          <w:szCs w:val="24"/>
          <w:highlight w:val="none"/>
          <w:lang w:eastAsia="zh-CN"/>
        </w:rPr>
        <w:t>是指发包人用于支付承包人按照合同约定完成承包范围内全部工作的金额，包括合同履行过程中按合同约定</w:t>
      </w:r>
      <w:r>
        <w:rPr>
          <w:rFonts w:hint="eastAsia" w:ascii="仿宋" w:hAnsi="仿宋" w:eastAsia="仿宋" w:cs="仿宋"/>
          <w:color w:val="auto"/>
          <w:sz w:val="24"/>
          <w:szCs w:val="24"/>
          <w:highlight w:val="none"/>
          <w:lang w:eastAsia="zh-CN"/>
        </w:rPr>
        <w:t>发生</w:t>
      </w:r>
      <w:r>
        <w:rPr>
          <w:rFonts w:hint="eastAsia" w:ascii="仿宋" w:hAnsi="仿宋" w:eastAsia="仿宋"/>
          <w:color w:val="auto"/>
          <w:sz w:val="24"/>
          <w:szCs w:val="24"/>
          <w:highlight w:val="none"/>
          <w:lang w:eastAsia="zh-CN"/>
        </w:rPr>
        <w:t>的价格变化。</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bCs/>
          <w:color w:val="auto"/>
          <w:sz w:val="24"/>
          <w:szCs w:val="24"/>
          <w:highlight w:val="none"/>
          <w:lang w:eastAsia="zh-CN"/>
        </w:rPr>
        <w:t>1.3.3 合同价格清单：</w:t>
      </w:r>
      <w:r>
        <w:rPr>
          <w:rFonts w:hint="eastAsia" w:ascii="仿宋" w:hAnsi="仿宋" w:eastAsia="仿宋" w:cs="仿宋"/>
          <w:color w:val="auto"/>
          <w:sz w:val="24"/>
          <w:szCs w:val="24"/>
          <w:highlight w:val="none"/>
          <w:lang w:eastAsia="zh-CN"/>
        </w:rPr>
        <w:t>指承包人按发包人规定的格式和要求填写、标明总承包范围内所有服务和（或）施工内容的项目名称、项目特征、数量及价格的清单项目及价格明细表，是双方进行合同价格结算的依据。价格清单包括工程勘察费（如果有）、工程设计费、BIM技术应用费、设备及工器具购置费（如果有）、建筑安装工程费等各项费用及明细。招标发包工程为中标通知书所接受的经济标以及有效的澄清文件。</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3.4</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中标价格：</w:t>
      </w:r>
      <w:r>
        <w:rPr>
          <w:rFonts w:hint="eastAsia" w:ascii="仿宋" w:hAnsi="仿宋" w:eastAsia="仿宋" w:cs="仿宋"/>
          <w:color w:val="auto"/>
          <w:sz w:val="24"/>
          <w:szCs w:val="24"/>
          <w:highlight w:val="none"/>
          <w:lang w:eastAsia="zh-CN"/>
        </w:rPr>
        <w:t>指中标通知书中列明的，发包人接受中标人（承包人）完成工程总承包范围及工程内容并保修合同工程的价格。</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经济标或报价文件：</w:t>
      </w:r>
      <w:r>
        <w:rPr>
          <w:rFonts w:hint="eastAsia" w:ascii="仿宋" w:hAnsi="仿宋" w:eastAsia="仿宋" w:cs="仿宋"/>
          <w:color w:val="auto"/>
          <w:sz w:val="24"/>
          <w:szCs w:val="24"/>
          <w:highlight w:val="none"/>
          <w:lang w:eastAsia="zh-CN"/>
        </w:rPr>
        <w:t>指承包人根据招标文件要求编制、签署，并被发包人所接受的投标文件中的经济标及有效的澄清文件。</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3.6</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费用或成本：</w:t>
      </w:r>
      <w:r>
        <w:rPr>
          <w:rFonts w:hint="eastAsia" w:ascii="仿宋" w:hAnsi="仿宋" w:eastAsia="仿宋" w:cs="仿宋"/>
          <w:color w:val="auto"/>
          <w:sz w:val="24"/>
          <w:szCs w:val="24"/>
          <w:highlight w:val="none"/>
          <w:lang w:eastAsia="zh-CN"/>
        </w:rPr>
        <w:t>指承包人履行本工程总承包合同过程中所发生或将发生的所有合理开支，包括管理费用或其他性质的合理开支，除合同专用条款及合同价格清单另有约定外，不包括利润和税金。</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1.3.7 工程勘察费：</w:t>
      </w:r>
      <w:r>
        <w:rPr>
          <w:rFonts w:hint="eastAsia" w:ascii="仿宋" w:hAnsi="仿宋" w:eastAsia="仿宋" w:cs="仿宋"/>
          <w:color w:val="auto"/>
          <w:sz w:val="24"/>
          <w:szCs w:val="24"/>
          <w:highlight w:val="none"/>
          <w:lang w:eastAsia="zh-CN"/>
        </w:rPr>
        <w:t>指承包人完成合同约定的工程勘察工作向发包人收取的服务费。</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1.3.8 工程设计费：</w:t>
      </w:r>
      <w:r>
        <w:rPr>
          <w:rFonts w:hint="eastAsia" w:ascii="仿宋" w:hAnsi="仿宋" w:eastAsia="仿宋" w:cs="仿宋"/>
          <w:color w:val="auto"/>
          <w:sz w:val="24"/>
          <w:szCs w:val="24"/>
          <w:highlight w:val="none"/>
          <w:lang w:eastAsia="zh-CN"/>
        </w:rPr>
        <w:t>指承包人完成合同约定的设计工作向发包人收取的服务费。</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1.3.9 BIM技术应用费：</w:t>
      </w:r>
      <w:r>
        <w:rPr>
          <w:rFonts w:hint="eastAsia" w:ascii="仿宋" w:hAnsi="仿宋" w:eastAsia="仿宋" w:cs="仿宋"/>
          <w:color w:val="auto"/>
          <w:sz w:val="24"/>
          <w:szCs w:val="24"/>
          <w:highlight w:val="none"/>
          <w:lang w:eastAsia="zh-CN"/>
        </w:rPr>
        <w:t>指承包人完成合同约定的BIM技术服务内容和（或）利用BIM技术进行正向设计与建模（或建模与出图同步完成）、施工实施、造价管理、运营维护等向发包人收取的费用。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1.3.10 设备及工器具购置费：</w:t>
      </w:r>
      <w:r>
        <w:rPr>
          <w:rFonts w:hint="eastAsia" w:ascii="仿宋" w:hAnsi="仿宋" w:eastAsia="仿宋" w:cs="仿宋"/>
          <w:color w:val="auto"/>
          <w:sz w:val="24"/>
          <w:szCs w:val="24"/>
          <w:highlight w:val="none"/>
          <w:lang w:eastAsia="zh-CN"/>
        </w:rPr>
        <w:t>指合同约定由承包人负责为本项目提供发包人组织生产、运营、办公等所需设备及工器具的购置费用。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3.11 建筑安装工程费：</w:t>
      </w:r>
      <w:r>
        <w:rPr>
          <w:rFonts w:hint="eastAsia" w:ascii="仿宋" w:hAnsi="仿宋" w:eastAsia="仿宋" w:cs="仿宋"/>
          <w:bCs/>
          <w:color w:val="auto"/>
          <w:sz w:val="24"/>
          <w:szCs w:val="24"/>
          <w:highlight w:val="none"/>
          <w:lang w:eastAsia="zh-CN"/>
        </w:rPr>
        <w:t>指</w:t>
      </w:r>
      <w:r>
        <w:rPr>
          <w:rFonts w:hint="eastAsia" w:ascii="仿宋" w:hAnsi="仿宋" w:eastAsia="仿宋" w:cs="仿宋"/>
          <w:color w:val="auto"/>
          <w:sz w:val="24"/>
          <w:szCs w:val="24"/>
          <w:highlight w:val="none"/>
          <w:lang w:eastAsia="zh-CN"/>
        </w:rPr>
        <w:t>承包人按合同约定实施、完成并保修合同工程</w:t>
      </w:r>
      <w:r>
        <w:rPr>
          <w:rFonts w:hint="eastAsia" w:ascii="仿宋" w:hAnsi="仿宋" w:eastAsia="仿宋" w:cs="仿宋"/>
          <w:bCs/>
          <w:color w:val="auto"/>
          <w:sz w:val="24"/>
          <w:szCs w:val="24"/>
          <w:highlight w:val="none"/>
          <w:lang w:eastAsia="zh-CN"/>
        </w:rPr>
        <w:t>的施工费用</w:t>
      </w:r>
      <w:r>
        <w:rPr>
          <w:rFonts w:hint="eastAsia" w:ascii="仿宋" w:hAnsi="仿宋" w:eastAsia="仿宋" w:cs="仿宋"/>
          <w:color w:val="auto"/>
          <w:sz w:val="24"/>
          <w:szCs w:val="24"/>
          <w:highlight w:val="none"/>
          <w:lang w:eastAsia="zh-CN"/>
        </w:rPr>
        <w:t>。其中包含的</w:t>
      </w:r>
      <w:r>
        <w:rPr>
          <w:rFonts w:hint="eastAsia" w:ascii="仿宋" w:hAnsi="仿宋" w:eastAsia="仿宋" w:cs="仿宋"/>
          <w:bCs/>
          <w:color w:val="auto"/>
          <w:sz w:val="24"/>
          <w:szCs w:val="24"/>
          <w:highlight w:val="none"/>
          <w:lang w:eastAsia="zh-CN"/>
        </w:rPr>
        <w:t>分部分项工程费、措施项目费、税金的定义分述如下：</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b/>
          <w:bCs/>
          <w:color w:val="auto"/>
          <w:sz w:val="24"/>
          <w:szCs w:val="24"/>
          <w:highlight w:val="none"/>
          <w:lang w:eastAsia="zh-CN"/>
        </w:rPr>
        <w:t>1.3.11.1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分部分项工程费：</w:t>
      </w:r>
      <w:r>
        <w:rPr>
          <w:rFonts w:hint="eastAsia" w:ascii="仿宋" w:hAnsi="仿宋" w:eastAsia="仿宋" w:cs="仿宋"/>
          <w:color w:val="auto"/>
          <w:sz w:val="24"/>
          <w:szCs w:val="24"/>
          <w:highlight w:val="none"/>
          <w:lang w:eastAsia="zh-CN"/>
        </w:rPr>
        <w:t>指为实施、完成并保修合同工程，发生于永久工程实体项目所需的人工费、材料费、施工机具使用费、管理费、利润和风险费用。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3.11.2</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措施项目费：</w:t>
      </w:r>
      <w:r>
        <w:rPr>
          <w:rFonts w:hint="eastAsia" w:ascii="仿宋" w:hAnsi="仿宋" w:eastAsia="仿宋" w:cs="仿宋"/>
          <w:color w:val="auto"/>
          <w:sz w:val="24"/>
          <w:szCs w:val="24"/>
          <w:highlight w:val="none"/>
          <w:lang w:eastAsia="zh-CN"/>
        </w:rPr>
        <w:t>指为实施、完成并保修合同工程，发生于合同工程施工准备和施工过程中的技术、生活、安全、</w:t>
      </w:r>
      <w:r>
        <w:rPr>
          <w:rFonts w:hint="eastAsia" w:ascii="仿宋" w:hAnsi="仿宋" w:eastAsia="仿宋"/>
          <w:color w:val="auto"/>
          <w:sz w:val="24"/>
          <w:szCs w:val="24"/>
          <w:highlight w:val="none"/>
          <w:lang w:eastAsia="zh-CN"/>
        </w:rPr>
        <w:t>环境保护等方面的非永久工程实体项目费用</w:t>
      </w:r>
      <w:r>
        <w:rPr>
          <w:rFonts w:hint="eastAsia" w:ascii="仿宋" w:hAnsi="仿宋" w:eastAsia="仿宋" w:cs="仿宋"/>
          <w:color w:val="auto"/>
          <w:sz w:val="24"/>
          <w:szCs w:val="24"/>
          <w:highlight w:val="none"/>
          <w:lang w:eastAsia="zh-CN"/>
        </w:rPr>
        <w:t>。</w:t>
      </w:r>
    </w:p>
    <w:p>
      <w:pPr>
        <w:pStyle w:val="22"/>
        <w:widowControl w:val="0"/>
        <w:tabs>
          <w:tab w:val="left" w:pos="1260"/>
          <w:tab w:val="left" w:pos="2160"/>
        </w:tabs>
        <w:adjustRightInd w:val="0"/>
        <w:spacing w:before="120" w:beforeLines="50" w:line="360" w:lineRule="auto"/>
        <w:ind w:left="1850" w:leftChars="771"/>
        <w:jc w:val="both"/>
        <w:rPr>
          <w:color w:val="auto"/>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3.11.3</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税金：</w:t>
      </w:r>
      <w:r>
        <w:rPr>
          <w:rFonts w:hint="eastAsia" w:ascii="仿宋" w:hAnsi="仿宋" w:eastAsia="仿宋" w:cs="仿宋"/>
          <w:color w:val="auto"/>
          <w:sz w:val="24"/>
          <w:szCs w:val="24"/>
          <w:highlight w:val="none"/>
          <w:lang w:eastAsia="zh-CN"/>
        </w:rPr>
        <w:t>指根据国家税法规定的应计入建筑安装工程造价内的增值税。</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.3.12 暂列金额：</w:t>
      </w:r>
      <w:r>
        <w:rPr>
          <w:rFonts w:hint="eastAsia" w:ascii="仿宋" w:hAnsi="仿宋" w:eastAsia="仿宋" w:cs="仿宋"/>
          <w:color w:val="auto"/>
          <w:sz w:val="24"/>
          <w:szCs w:val="24"/>
          <w:highlight w:val="none"/>
          <w:lang w:eastAsia="zh-CN"/>
        </w:rPr>
        <w:t>指发包人在工程量清单中暂定并包括在合同总价中的一笔金额（如果有）。用于在签订协议书时尚未确定或者不可预见的工程某一部分的施工；所需某一部分工程材料、工程设备、服务等的采购；</w:t>
      </w:r>
      <w:r>
        <w:rPr>
          <w:rFonts w:hint="eastAsia" w:ascii="仿宋" w:hAnsi="仿宋" w:eastAsia="仿宋"/>
          <w:color w:val="auto"/>
          <w:sz w:val="24"/>
          <w:szCs w:val="24"/>
          <w:highlight w:val="none"/>
          <w:lang w:eastAsia="zh-CN"/>
        </w:rPr>
        <w:t>合同约定的调整事项以及经确认的索赔</w:t>
      </w:r>
      <w:r>
        <w:rPr>
          <w:rFonts w:hint="eastAsia" w:ascii="仿宋" w:hAnsi="仿宋" w:eastAsia="仿宋" w:cs="仿宋"/>
          <w:color w:val="auto"/>
          <w:sz w:val="24"/>
          <w:szCs w:val="24"/>
          <w:highlight w:val="none"/>
          <w:lang w:eastAsia="zh-CN"/>
        </w:rPr>
        <w:t>、现场签证等的金额（包括以计日工方式支付的金额）。实际发生时按合同约定的计价方法计算调整，实际未发生不予计取。</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3.13</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暂估价：</w:t>
      </w:r>
      <w:r>
        <w:rPr>
          <w:rFonts w:hint="eastAsia" w:ascii="仿宋" w:hAnsi="仿宋" w:eastAsia="仿宋"/>
          <w:color w:val="auto"/>
          <w:sz w:val="24"/>
          <w:szCs w:val="24"/>
          <w:highlight w:val="none"/>
          <w:lang w:eastAsia="zh-CN"/>
        </w:rPr>
        <w:t>指发包人在工程量清单中暂定的，用于支付必然发生但签订合同前无法确定的部分工程材料</w:t>
      </w:r>
      <w:r>
        <w:rPr>
          <w:rFonts w:hint="eastAsia" w:ascii="仿宋" w:hAnsi="仿宋" w:eastAsia="仿宋" w:cs="仿宋"/>
          <w:color w:val="auto"/>
          <w:sz w:val="24"/>
          <w:szCs w:val="24"/>
          <w:highlight w:val="none"/>
          <w:lang w:eastAsia="zh-CN"/>
        </w:rPr>
        <w:t>、工程设备及专业工程的价格（如果有）。合同履行过程中，应视所涉及的采购金额或工程费用大小，遵守招投标政策法规组织采购或专业工程招标或双方根据市场行情协商确定，并按合同约定的调整方法调整合同价格。</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3.14</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计日工：</w:t>
      </w:r>
      <w:r>
        <w:rPr>
          <w:rFonts w:hint="eastAsia" w:ascii="仿宋" w:hAnsi="仿宋" w:eastAsia="仿宋" w:cs="仿宋"/>
          <w:color w:val="auto"/>
          <w:sz w:val="24"/>
          <w:szCs w:val="24"/>
          <w:highlight w:val="none"/>
          <w:lang w:eastAsia="zh-CN"/>
        </w:rPr>
        <w:t>指在合同履行过程中，承包人完成发包人提出的总承包范围以外的零星项目或工作，按照合同中约定计价付款。</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质量保证金：</w:t>
      </w:r>
      <w:r>
        <w:rPr>
          <w:rFonts w:hint="eastAsia" w:ascii="仿宋" w:hAnsi="仿宋" w:eastAsia="仿宋" w:cs="仿宋"/>
          <w:color w:val="auto"/>
          <w:sz w:val="24"/>
          <w:szCs w:val="24"/>
          <w:highlight w:val="none"/>
          <w:lang w:eastAsia="zh-CN"/>
        </w:rPr>
        <w:t>指按照第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9条约定用于保证在缺陷责任期内履行缺陷修复义务的金额。</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1.3.1</w:t>
      </w:r>
      <w:r>
        <w:rPr>
          <w:rFonts w:ascii="仿宋" w:hAnsi="仿宋" w:eastAsia="仿宋" w:cs="仿宋"/>
          <w:b/>
          <w:bCs/>
          <w:color w:val="auto"/>
          <w:sz w:val="24"/>
          <w:szCs w:val="24"/>
          <w:highlight w:val="none"/>
          <w:lang w:eastAsia="zh-CN"/>
        </w:rPr>
        <w:t>6</w:t>
      </w:r>
      <w:r>
        <w:rPr>
          <w:rFonts w:hint="eastAsia" w:ascii="仿宋" w:hAnsi="仿宋" w:eastAsia="仿宋" w:cs="仿宋"/>
          <w:b/>
          <w:bCs/>
          <w:color w:val="auto"/>
          <w:sz w:val="24"/>
          <w:szCs w:val="24"/>
          <w:highlight w:val="none"/>
          <w:lang w:eastAsia="zh-CN"/>
        </w:rPr>
        <w:t xml:space="preserve"> 利润：</w:t>
      </w:r>
      <w:r>
        <w:rPr>
          <w:rFonts w:hint="eastAsia" w:ascii="仿宋" w:hAnsi="仿宋" w:eastAsia="仿宋" w:cs="仿宋"/>
          <w:bCs/>
          <w:color w:val="auto"/>
          <w:sz w:val="24"/>
          <w:szCs w:val="24"/>
          <w:highlight w:val="none"/>
          <w:lang w:eastAsia="zh-CN"/>
        </w:rPr>
        <w:t>系指合同专用条款中所列的适用的利润百分比（如未列出，则为百分之五（5%））。如承包人根据本合同的任何条款有权就成本加利润获得支付，则利润应以该部分成本作为基数计算。</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.3.1</w:t>
      </w:r>
      <w:r>
        <w:rPr>
          <w:rFonts w:ascii="仿宋" w:hAnsi="仿宋" w:eastAsia="仿宋" w:cs="仿宋"/>
          <w:b/>
          <w:bCs/>
          <w:color w:val="auto"/>
          <w:sz w:val="24"/>
          <w:szCs w:val="24"/>
          <w:highlight w:val="none"/>
          <w:lang w:eastAsia="zh-CN"/>
        </w:rPr>
        <w:t xml:space="preserve">7 </w:t>
      </w:r>
      <w:r>
        <w:rPr>
          <w:rFonts w:hint="eastAsia" w:ascii="仿宋" w:hAnsi="仿宋" w:eastAsia="仿宋" w:cs="仿宋"/>
          <w:b/>
          <w:bCs/>
          <w:color w:val="auto"/>
          <w:sz w:val="24"/>
          <w:szCs w:val="24"/>
          <w:highlight w:val="none"/>
          <w:lang w:eastAsia="zh-CN"/>
        </w:rPr>
        <w:t>工程款：</w:t>
      </w:r>
      <w:r>
        <w:rPr>
          <w:rFonts w:hint="eastAsia" w:ascii="仿宋" w:hAnsi="仿宋" w:eastAsia="仿宋" w:cs="仿宋"/>
          <w:color w:val="auto"/>
          <w:sz w:val="24"/>
          <w:szCs w:val="24"/>
          <w:highlight w:val="none"/>
          <w:lang w:eastAsia="zh-CN"/>
        </w:rPr>
        <w:t>指为实施、完成并保修合同工程，发包人支付或应当支付给承包人的各种价款，包括进度款、结算款等。</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1.3.1</w:t>
      </w:r>
      <w:r>
        <w:rPr>
          <w:rFonts w:ascii="仿宋" w:hAnsi="仿宋" w:eastAsia="仿宋" w:cs="仿宋"/>
          <w:b/>
          <w:color w:val="auto"/>
          <w:sz w:val="24"/>
          <w:szCs w:val="24"/>
          <w:highlight w:val="none"/>
          <w:lang w:eastAsia="zh-CN"/>
        </w:rPr>
        <w:t>8</w:t>
      </w:r>
      <w:r>
        <w:rPr>
          <w:rFonts w:hint="eastAsia" w:ascii="仿宋" w:hAnsi="仿宋" w:eastAsia="仿宋" w:cs="仿宋"/>
          <w:b/>
          <w:color w:val="auto"/>
          <w:sz w:val="24"/>
          <w:szCs w:val="24"/>
          <w:highlight w:val="none"/>
          <w:lang w:eastAsia="zh-CN"/>
        </w:rPr>
        <w:t xml:space="preserve"> 竣工结算书：</w:t>
      </w:r>
      <w:r>
        <w:rPr>
          <w:rFonts w:hint="eastAsia" w:ascii="仿宋" w:hAnsi="仿宋" w:eastAsia="仿宋" w:cs="仿宋"/>
          <w:color w:val="auto"/>
          <w:sz w:val="24"/>
          <w:szCs w:val="24"/>
          <w:highlight w:val="none"/>
          <w:lang w:eastAsia="zh-CN"/>
        </w:rPr>
        <w:t>指合同工程通过竣工验收交付使用后，承包人按合同约定编制并经发包人审定的合同价格报表。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79" w:name="_Toc30064"/>
      <w:r>
        <w:rPr>
          <w:rFonts w:hint="eastAsia" w:ascii="仿宋" w:hAnsi="仿宋" w:eastAsia="仿宋" w:cs="仿宋"/>
          <w:b/>
          <w:bCs/>
          <w:color w:val="auto"/>
          <w:sz w:val="24"/>
          <w:szCs w:val="24"/>
          <w:highlight w:val="none"/>
          <w:lang w:eastAsia="zh-CN"/>
        </w:rPr>
        <w:t>1.4 承包范围及工程内容</w:t>
      </w:r>
      <w:bookmarkEnd w:id="179"/>
    </w:p>
    <w:p>
      <w:pPr>
        <w:pStyle w:val="22"/>
        <w:widowControl w:val="0"/>
        <w:tabs>
          <w:tab w:val="left" w:pos="1260"/>
          <w:tab w:val="left" w:pos="2160"/>
        </w:tabs>
        <w:adjustRightInd w:val="0"/>
        <w:spacing w:before="120" w:beforeLines="50" w:line="360" w:lineRule="auto"/>
        <w:ind w:left="1850" w:leftChars="771"/>
        <w:jc w:val="both"/>
        <w:rPr>
          <w:color w:val="auto"/>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4.1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勘察：</w:t>
      </w:r>
      <w:r>
        <w:rPr>
          <w:rFonts w:hint="eastAsia" w:ascii="仿宋" w:hAnsi="仿宋" w:eastAsia="仿宋" w:cs="仿宋"/>
          <w:color w:val="auto"/>
          <w:sz w:val="24"/>
          <w:szCs w:val="24"/>
          <w:highlight w:val="none"/>
          <w:lang w:eastAsia="zh-CN"/>
        </w:rPr>
        <w:t>指发包人要求承包人提供本项目的工程地质勘察服务。具体承包范围及工程内容由双方在协议书中约定。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4.2 设计：</w:t>
      </w:r>
      <w:r>
        <w:rPr>
          <w:rFonts w:hint="eastAsia" w:ascii="仿宋" w:hAnsi="仿宋" w:eastAsia="仿宋" w:cs="仿宋"/>
          <w:color w:val="auto"/>
          <w:sz w:val="24"/>
          <w:szCs w:val="24"/>
          <w:highlight w:val="none"/>
          <w:lang w:eastAsia="zh-CN"/>
        </w:rPr>
        <w:t>指发包人要求承包人提供本项目的施工图设计文件及相关深化设计、后期配合等服务。具体承包范围及工程内容由双方在协议书中约定。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4.3  BIM技术应用：</w:t>
      </w:r>
      <w:r>
        <w:rPr>
          <w:rFonts w:hint="eastAsia" w:ascii="仿宋" w:hAnsi="仿宋" w:eastAsia="仿宋" w:cs="仿宋"/>
          <w:color w:val="auto"/>
          <w:sz w:val="24"/>
          <w:szCs w:val="24"/>
          <w:highlight w:val="none"/>
          <w:lang w:eastAsia="zh-CN"/>
        </w:rPr>
        <w:t>指发包人要求承包人于设计、施工、竣工验收或运维等阶段开展BIM技术应用或有关服务，提供本项目的建筑信息模型（BIM），利用BIM技术进行正向设计与建模（或建模与出图同步完成）、施工实施、造价管理及相关协调配合。具体承包范围及工程内容由双方在协议书中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 xml:space="preserve">1.4.4 </w:t>
      </w:r>
      <w:bookmarkStart w:id="180" w:name="OLE_LINK9"/>
      <w:bookmarkStart w:id="181" w:name="OLE_LINK8"/>
      <w:r>
        <w:rPr>
          <w:rFonts w:hint="eastAsia" w:ascii="仿宋" w:hAnsi="仿宋" w:eastAsia="仿宋" w:cs="仿宋"/>
          <w:b/>
          <w:bCs/>
          <w:color w:val="auto"/>
          <w:sz w:val="24"/>
          <w:szCs w:val="24"/>
          <w:highlight w:val="none"/>
          <w:lang w:eastAsia="zh-CN"/>
        </w:rPr>
        <w:t>BIM正向设计：</w:t>
      </w:r>
      <w:bookmarkEnd w:id="180"/>
      <w:bookmarkEnd w:id="181"/>
      <w:r>
        <w:rPr>
          <w:rFonts w:hint="eastAsia" w:ascii="仿宋" w:hAnsi="仿宋" w:eastAsia="仿宋" w:cs="仿宋"/>
          <w:color w:val="auto"/>
          <w:sz w:val="24"/>
          <w:szCs w:val="24"/>
          <w:highlight w:val="none"/>
          <w:lang w:eastAsia="zh-CN"/>
        </w:rPr>
        <w:t>在三维环境下开展设计，将不同维度的相关信息进行集成统一形成建筑信息模型（BIM）的设计方式。</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4.5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设备及工器具购置：</w:t>
      </w:r>
      <w:r>
        <w:rPr>
          <w:rFonts w:hint="eastAsia" w:ascii="仿宋" w:hAnsi="仿宋" w:eastAsia="仿宋" w:cs="仿宋"/>
          <w:color w:val="auto"/>
          <w:sz w:val="24"/>
          <w:szCs w:val="24"/>
          <w:highlight w:val="none"/>
          <w:lang w:eastAsia="zh-CN"/>
        </w:rPr>
        <w:t>指发包人要求承包人提供本项目所需的、为达到生产能力应配备的设备及工器具（不含构成建筑安装工程实体的建筑材料、建筑设备、机电设备以及施工用机械设备）。具体承包范围及工程内容由双方在协议书中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4.6</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施工：</w:t>
      </w:r>
      <w:r>
        <w:rPr>
          <w:rFonts w:hint="eastAsia" w:ascii="仿宋" w:hAnsi="仿宋" w:eastAsia="仿宋" w:cs="仿宋"/>
          <w:color w:val="auto"/>
          <w:sz w:val="24"/>
          <w:szCs w:val="24"/>
          <w:highlight w:val="none"/>
          <w:lang w:eastAsia="zh-CN"/>
        </w:rPr>
        <w:t>指发包人要求承包人建造、完成并保修工程。具体承包范围及工程内容由双方在协议书中约定。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82" w:name="_Toc20462"/>
      <w:r>
        <w:rPr>
          <w:rFonts w:hint="eastAsia" w:ascii="仿宋" w:hAnsi="仿宋" w:eastAsia="仿宋" w:cs="仿宋"/>
          <w:b/>
          <w:bCs/>
          <w:color w:val="auto"/>
          <w:sz w:val="24"/>
          <w:szCs w:val="24"/>
          <w:highlight w:val="none"/>
          <w:lang w:eastAsia="zh-CN"/>
        </w:rPr>
        <w:t>1.5 施工现场</w:t>
      </w:r>
      <w:bookmarkEnd w:id="182"/>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5.1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施工现场：</w:t>
      </w:r>
      <w:r>
        <w:rPr>
          <w:rFonts w:hint="eastAsia" w:ascii="仿宋" w:hAnsi="仿宋" w:eastAsia="仿宋" w:cs="仿宋"/>
          <w:color w:val="auto"/>
          <w:sz w:val="24"/>
          <w:szCs w:val="24"/>
          <w:highlight w:val="none"/>
          <w:lang w:eastAsia="zh-CN"/>
        </w:rPr>
        <w:t>指由发包人提供的用于合同工程施工、工程材料与工程设备存放的场所，以及发包人在合同中具体指定的供施工使用的其他任何场所。</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b/>
          <w:color w:val="auto"/>
          <w:sz w:val="24"/>
          <w:szCs w:val="24"/>
          <w:highlight w:val="none"/>
          <w:lang w:eastAsia="zh-CN"/>
        </w:rPr>
      </w:pPr>
      <w:r>
        <w:rPr>
          <w:rFonts w:hint="eastAsia" w:ascii="仿宋" w:hAnsi="仿宋" w:eastAsia="仿宋"/>
          <w:b/>
          <w:color w:val="auto"/>
          <w:sz w:val="24"/>
          <w:szCs w:val="24"/>
          <w:highlight w:val="none"/>
          <w:lang w:eastAsia="zh-CN"/>
        </w:rPr>
        <w:t>1.5.2 现场进入权：</w:t>
      </w:r>
      <w:r>
        <w:rPr>
          <w:rFonts w:hint="eastAsia" w:ascii="仿宋" w:hAnsi="仿宋" w:eastAsia="仿宋"/>
          <w:color w:val="auto"/>
          <w:sz w:val="24"/>
          <w:szCs w:val="24"/>
          <w:highlight w:val="none"/>
          <w:lang w:eastAsia="zh-CN"/>
        </w:rPr>
        <w:t>指发包人允许承包人为实施勘察、设计、采购、施工、验收、试验、缺陷修复等合同约定的工作内容，进入和占用现场各部分的权利。具体进入现场的</w:t>
      </w:r>
      <w:r>
        <w:rPr>
          <w:rFonts w:hint="eastAsia" w:ascii="仿宋" w:hAnsi="仿宋" w:eastAsia="仿宋" w:cs="仿宋"/>
          <w:color w:val="auto"/>
          <w:sz w:val="24"/>
          <w:szCs w:val="24"/>
          <w:highlight w:val="none"/>
          <w:lang w:eastAsia="zh-CN"/>
        </w:rPr>
        <w:t>时间、占用各部分内容（建筑物、构筑物、生产设备等）及占用方式</w:t>
      </w:r>
      <w:r>
        <w:rPr>
          <w:rFonts w:hint="eastAsia" w:ascii="仿宋" w:hAnsi="仿宋" w:eastAsia="仿宋"/>
          <w:color w:val="auto"/>
          <w:sz w:val="24"/>
          <w:szCs w:val="24"/>
          <w:highlight w:val="none"/>
          <w:lang w:eastAsia="zh-CN"/>
        </w:rPr>
        <w:t>，由合同双方在专用条款中约定。</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83" w:name="_Toc23046"/>
      <w:r>
        <w:rPr>
          <w:rFonts w:hint="eastAsia" w:ascii="仿宋" w:hAnsi="仿宋" w:eastAsia="仿宋" w:cs="仿宋"/>
          <w:b/>
          <w:bCs/>
          <w:color w:val="auto"/>
          <w:sz w:val="24"/>
          <w:szCs w:val="24"/>
          <w:highlight w:val="none"/>
          <w:lang w:eastAsia="zh-CN"/>
        </w:rPr>
        <w:t>1.6 合同当事人及相关方</w:t>
      </w:r>
      <w:bookmarkEnd w:id="183"/>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cs="仿宋"/>
          <w:b/>
          <w:bCs/>
          <w:color w:val="auto"/>
          <w:sz w:val="24"/>
          <w:szCs w:val="24"/>
          <w:highlight w:val="none"/>
          <w:lang w:eastAsia="zh-CN"/>
        </w:rPr>
        <w:t>1.6.1合同当事人：</w:t>
      </w:r>
      <w:r>
        <w:rPr>
          <w:rFonts w:hint="eastAsia" w:ascii="仿宋" w:hAnsi="仿宋" w:eastAsia="仿宋" w:cs="仿宋"/>
          <w:bCs/>
          <w:color w:val="auto"/>
          <w:sz w:val="24"/>
          <w:szCs w:val="24"/>
          <w:highlight w:val="none"/>
          <w:lang w:eastAsia="zh-CN"/>
        </w:rPr>
        <w:t>指发包人和（或）承包人。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6.2</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发包人：</w:t>
      </w:r>
      <w:r>
        <w:rPr>
          <w:rFonts w:hint="eastAsia" w:ascii="仿宋" w:hAnsi="仿宋" w:eastAsia="仿宋" w:cs="仿宋"/>
          <w:color w:val="auto"/>
          <w:sz w:val="24"/>
          <w:szCs w:val="24"/>
          <w:highlight w:val="none"/>
          <w:lang w:eastAsia="zh-CN"/>
        </w:rPr>
        <w:t>指在协议书中约定，具有工程发包主体资格和支付工程款能力的当事人，以及取得该当事人资格的合法继受人。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6.3</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承包人：</w:t>
      </w:r>
      <w:r>
        <w:rPr>
          <w:rFonts w:hint="eastAsia" w:ascii="仿宋" w:hAnsi="仿宋" w:eastAsia="仿宋" w:cs="仿宋"/>
          <w:color w:val="auto"/>
          <w:sz w:val="24"/>
          <w:szCs w:val="24"/>
          <w:highlight w:val="none"/>
          <w:lang w:eastAsia="zh-CN"/>
        </w:rPr>
        <w:t>指在协议书中约定，被发包人接受且具有勘察、设计、采购、施工或设计、施工等阶段总承包主体资格的当事人，以及取得该当事人资格的合法继受人。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bCs/>
          <w:color w:val="auto"/>
          <w:sz w:val="24"/>
          <w:szCs w:val="24"/>
          <w:highlight w:val="none"/>
          <w:lang w:eastAsia="zh-CN"/>
        </w:rPr>
        <w:t>1.6.4 联合体：</w:t>
      </w:r>
      <w:r>
        <w:rPr>
          <w:rFonts w:hint="eastAsia" w:ascii="仿宋" w:hAnsi="仿宋" w:eastAsia="仿宋" w:cs="仿宋"/>
          <w:bCs/>
          <w:color w:val="auto"/>
          <w:sz w:val="24"/>
          <w:szCs w:val="24"/>
          <w:highlight w:val="none"/>
          <w:lang w:eastAsia="zh-CN"/>
        </w:rPr>
        <w:t>指经发包人同意由两个或两个以上法人或者其它组织组成的，</w:t>
      </w:r>
      <w:r>
        <w:rPr>
          <w:rFonts w:hint="eastAsia" w:ascii="仿宋" w:hAnsi="仿宋" w:eastAsia="仿宋" w:cs="仿宋"/>
          <w:color w:val="auto"/>
          <w:sz w:val="24"/>
          <w:szCs w:val="24"/>
          <w:highlight w:val="none"/>
          <w:lang w:eastAsia="zh-CN"/>
        </w:rPr>
        <w:t>作为承包人的临时机构，联合体各方向发包人承担连带责任。联合体各方应指定其中一方作为牵头人。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分包人：</w:t>
      </w:r>
      <w:r>
        <w:rPr>
          <w:rFonts w:hint="eastAsia" w:ascii="仿宋" w:hAnsi="仿宋" w:eastAsia="仿宋" w:cs="仿宋"/>
          <w:color w:val="auto"/>
          <w:sz w:val="24"/>
          <w:szCs w:val="24"/>
          <w:highlight w:val="none"/>
          <w:lang w:eastAsia="zh-CN"/>
        </w:rPr>
        <w:t>指承包人对总承包范围内的部分工程、工程材料、工程设备或服务依法招标或直接分包，被发包人接受且具有相应资格，并与承包人签订了分包合同，接受承包人管理，依法开展施工、供货或服务的分包合同当事人，以及取得该分包合同当事人资格的合法继受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6.6</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相关方：</w:t>
      </w:r>
      <w:r>
        <w:rPr>
          <w:rFonts w:hint="eastAsia" w:ascii="仿宋" w:hAnsi="仿宋" w:eastAsia="仿宋" w:cs="仿宋"/>
          <w:color w:val="auto"/>
          <w:sz w:val="24"/>
          <w:szCs w:val="24"/>
          <w:highlight w:val="none"/>
          <w:lang w:eastAsia="zh-CN"/>
        </w:rPr>
        <w:t>除合同当事人</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含双方雇员及代表其工作的人员</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以外的任何自然人、法人或其它组织。</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1.6.7 设计顾问人：</w:t>
      </w:r>
      <w:r>
        <w:rPr>
          <w:rFonts w:hint="eastAsia" w:ascii="仿宋" w:hAnsi="仿宋" w:eastAsia="仿宋" w:cs="仿宋"/>
          <w:color w:val="auto"/>
          <w:sz w:val="24"/>
          <w:szCs w:val="24"/>
          <w:highlight w:val="none"/>
          <w:lang w:eastAsia="zh-CN"/>
        </w:rPr>
        <w:t>指受发包人委托，在项目建设各阶段协助发包人监督管理承包人的工程设计活动、审核设计成果、提供设计优化建议、审核设计变更、参与相关设计评审会、参与竣工验收等的自然人、法人或其它组织。</w:t>
      </w:r>
    </w:p>
    <w:p>
      <w:pPr>
        <w:pStyle w:val="22"/>
        <w:widowControl w:val="0"/>
        <w:tabs>
          <w:tab w:val="left" w:pos="1260"/>
          <w:tab w:val="left" w:pos="2160"/>
        </w:tabs>
        <w:adjustRightInd w:val="0"/>
        <w:spacing w:before="120" w:beforeLines="50" w:line="360" w:lineRule="auto"/>
        <w:ind w:left="1850" w:leftChars="771"/>
        <w:jc w:val="both"/>
        <w:rPr>
          <w:color w:val="auto"/>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6.8</w:t>
      </w:r>
      <w:r>
        <w:rPr>
          <w:rFonts w:ascii="仿宋" w:hAnsi="仿宋" w:eastAsia="仿宋" w:cs="仿宋"/>
          <w:b/>
          <w:bCs/>
          <w:color w:val="auto"/>
          <w:sz w:val="24"/>
          <w:szCs w:val="24"/>
          <w:highlight w:val="none"/>
          <w:lang w:eastAsia="zh-CN"/>
        </w:rPr>
        <w:t xml:space="preserve"> </w:t>
      </w:r>
      <w:r>
        <w:rPr>
          <w:rFonts w:hint="eastAsia" w:ascii="仿宋" w:hAnsi="仿宋" w:eastAsia="仿宋" w:cs="仿宋"/>
          <w:b/>
          <w:color w:val="auto"/>
          <w:sz w:val="24"/>
          <w:szCs w:val="24"/>
          <w:highlight w:val="none"/>
          <w:lang w:eastAsia="zh-CN"/>
        </w:rPr>
        <w:t>监理人</w:t>
      </w:r>
      <w:r>
        <w:rPr>
          <w:rFonts w:hint="eastAsia" w:ascii="仿宋" w:hAnsi="仿宋" w:eastAsia="仿宋" w:cs="仿宋"/>
          <w:b/>
          <w:bCs/>
          <w:color w:val="auto"/>
          <w:sz w:val="24"/>
          <w:szCs w:val="24"/>
          <w:highlight w:val="none"/>
          <w:lang w:eastAsia="zh-CN"/>
        </w:rPr>
        <w:t>：</w:t>
      </w:r>
      <w:r>
        <w:rPr>
          <w:rFonts w:hint="eastAsia" w:ascii="仿宋" w:hAnsi="仿宋" w:eastAsia="仿宋" w:cs="仿宋"/>
          <w:color w:val="auto"/>
          <w:sz w:val="24"/>
          <w:szCs w:val="24"/>
          <w:highlight w:val="none"/>
          <w:lang w:eastAsia="zh-CN"/>
        </w:rPr>
        <w:t>指受发包人委托，负责合同工程的施工阶段及保修阶段监理且具有相应工程监理资质的法人或组织。</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6.9</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造价咨询人：</w:t>
      </w:r>
      <w:r>
        <w:rPr>
          <w:rFonts w:hint="eastAsia" w:ascii="仿宋" w:hAnsi="仿宋" w:eastAsia="仿宋" w:cs="仿宋"/>
          <w:color w:val="auto"/>
          <w:sz w:val="24"/>
          <w:szCs w:val="24"/>
          <w:highlight w:val="none"/>
          <w:lang w:eastAsia="zh-CN"/>
        </w:rPr>
        <w:t>指受发包人委托，负责合同工程的工程造价管理的法人或组织。</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6.10</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工程造价管理机构：</w:t>
      </w:r>
      <w:r>
        <w:rPr>
          <w:rFonts w:hint="eastAsia" w:ascii="仿宋" w:hAnsi="仿宋" w:eastAsia="仿宋" w:cs="仿宋"/>
          <w:color w:val="auto"/>
          <w:sz w:val="24"/>
          <w:szCs w:val="24"/>
          <w:highlight w:val="none"/>
          <w:lang w:eastAsia="zh-CN"/>
        </w:rPr>
        <w:t>指国务院有关部门、县级以上人民政府建设行政主管部门或受其委托的工程造价管理机构。</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6.11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发包人代表：</w:t>
      </w:r>
      <w:r>
        <w:rPr>
          <w:rFonts w:hint="eastAsia" w:ascii="仿宋" w:hAnsi="仿宋" w:eastAsia="仿宋" w:cs="仿宋"/>
          <w:color w:val="auto"/>
          <w:sz w:val="24"/>
          <w:szCs w:val="24"/>
          <w:highlight w:val="none"/>
          <w:lang w:eastAsia="zh-CN"/>
        </w:rPr>
        <w:t>指发包人指定，代表发包人对合同工程进行管理的全权代表。发包人代表由发包人依据第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5</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款约定任命并书面通知承包人。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6.12</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承包人代表及专业负责人：</w:t>
      </w:r>
      <w:r>
        <w:rPr>
          <w:rFonts w:hint="eastAsia" w:ascii="仿宋" w:hAnsi="仿宋" w:eastAsia="仿宋" w:cs="仿宋"/>
          <w:color w:val="auto"/>
          <w:sz w:val="24"/>
          <w:szCs w:val="24"/>
          <w:highlight w:val="none"/>
          <w:lang w:eastAsia="zh-CN"/>
        </w:rPr>
        <w:t>指承包人指定，代表承包人负责合同工程总承包管理的全权代表，以及负责合同工程的勘察、设计、BIM技术、采购、施工等各专业管理的负责人。承包人代表及专业负责人由承包人依据第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9</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款约定任命并书面通知发包人。其中：</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1.6.12.1 勘察负责人</w:t>
      </w:r>
      <w:r>
        <w:rPr>
          <w:rFonts w:hint="eastAsia" w:ascii="仿宋" w:hAnsi="仿宋" w:eastAsia="仿宋" w:cs="仿宋"/>
          <w:color w:val="auto"/>
          <w:sz w:val="24"/>
          <w:szCs w:val="24"/>
          <w:highlight w:val="none"/>
          <w:lang w:eastAsia="zh-CN"/>
        </w:rPr>
        <w:t>：指承包人指定负责开展勘察工作并具有相应资格的人员。</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1.6.12.2 设计负责人：</w:t>
      </w:r>
      <w:r>
        <w:rPr>
          <w:rFonts w:hint="eastAsia" w:ascii="仿宋" w:hAnsi="仿宋" w:eastAsia="仿宋" w:cs="仿宋"/>
          <w:color w:val="auto"/>
          <w:sz w:val="24"/>
          <w:szCs w:val="24"/>
          <w:highlight w:val="none"/>
          <w:lang w:eastAsia="zh-CN"/>
        </w:rPr>
        <w:t>指承包人指定负责开展设计工作并具有相应资格的人员。</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1.6.12.3  BIM负责人：</w:t>
      </w:r>
      <w:r>
        <w:rPr>
          <w:rFonts w:hint="eastAsia" w:ascii="仿宋" w:hAnsi="仿宋" w:eastAsia="仿宋" w:cs="仿宋"/>
          <w:color w:val="auto"/>
          <w:sz w:val="24"/>
          <w:szCs w:val="24"/>
          <w:highlight w:val="none"/>
          <w:lang w:eastAsia="zh-CN"/>
        </w:rPr>
        <w:t>指承包人指定负责开展BIM技术应用工作并具有相应资格的人员。</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1.6.12.4 采购负责人</w:t>
      </w:r>
      <w:r>
        <w:rPr>
          <w:rFonts w:hint="eastAsia" w:ascii="仿宋" w:hAnsi="仿宋" w:eastAsia="仿宋" w:cs="仿宋"/>
          <w:color w:val="auto"/>
          <w:sz w:val="24"/>
          <w:szCs w:val="24"/>
          <w:highlight w:val="none"/>
          <w:lang w:eastAsia="zh-CN"/>
        </w:rPr>
        <w:t>：指承包人指定负责开展工程材料、工程设备、装配式构件、设备及工器具等采购工作的人员。</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1.6.12.5 施工负责人：</w:t>
      </w:r>
      <w:r>
        <w:rPr>
          <w:rFonts w:hint="eastAsia" w:ascii="仿宋" w:hAnsi="仿宋" w:eastAsia="仿宋" w:cs="仿宋"/>
          <w:color w:val="auto"/>
          <w:sz w:val="24"/>
          <w:szCs w:val="24"/>
          <w:highlight w:val="none"/>
          <w:lang w:eastAsia="zh-CN"/>
        </w:rPr>
        <w:t>指承包人指定负责工程施工管理并具有相应资格的人员。</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
          <w:color w:val="auto"/>
          <w:sz w:val="24"/>
          <w:szCs w:val="24"/>
          <w:highlight w:val="none"/>
          <w:lang w:eastAsia="zh-CN"/>
        </w:rPr>
        <w:t>1.6.12.6 其他工作负责人（如果有）：</w:t>
      </w:r>
      <w:r>
        <w:rPr>
          <w:rFonts w:hint="eastAsia" w:ascii="仿宋" w:hAnsi="仿宋" w:eastAsia="仿宋" w:cs="仿宋"/>
          <w:color w:val="auto"/>
          <w:sz w:val="24"/>
          <w:szCs w:val="24"/>
          <w:highlight w:val="none"/>
          <w:lang w:eastAsia="zh-CN"/>
        </w:rPr>
        <w:t>指承包人指定负责开展其他工作并具有相应资格（如果有</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的人员。</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6.13 设计顾问工程师：</w:t>
      </w:r>
      <w:r>
        <w:rPr>
          <w:rFonts w:hint="eastAsia" w:ascii="仿宋" w:hAnsi="仿宋" w:eastAsia="仿宋" w:cs="仿宋"/>
          <w:color w:val="auto"/>
          <w:sz w:val="24"/>
          <w:szCs w:val="24"/>
          <w:highlight w:val="none"/>
          <w:lang w:eastAsia="zh-CN"/>
        </w:rPr>
        <w:t>指设计顾问人委派负责合同工程的设计专业技术咨询的专业人员。设计顾问工程师由设计顾问人提名，经发包人依据第26.1款约定任命并书面通知承包人。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6.14</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监理工程师：</w:t>
      </w:r>
      <w:r>
        <w:rPr>
          <w:rFonts w:hint="eastAsia" w:ascii="仿宋" w:hAnsi="仿宋" w:eastAsia="仿宋" w:cs="仿宋"/>
          <w:color w:val="auto"/>
          <w:sz w:val="24"/>
          <w:szCs w:val="24"/>
          <w:highlight w:val="none"/>
          <w:lang w:eastAsia="zh-CN"/>
        </w:rPr>
        <w:t>指监理人委派常驻施工现场负责合同工程的工程监理专业技术的专业人员。监理工程师由监理人提名，经发包人依据第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款约定任命并书面通知承包人。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6.15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造价工程师：</w:t>
      </w:r>
      <w:r>
        <w:rPr>
          <w:rFonts w:hint="eastAsia" w:ascii="仿宋" w:hAnsi="仿宋" w:eastAsia="仿宋" w:cs="仿宋"/>
          <w:color w:val="auto"/>
          <w:sz w:val="24"/>
          <w:szCs w:val="24"/>
          <w:highlight w:val="none"/>
          <w:lang w:eastAsia="zh-CN"/>
        </w:rPr>
        <w:t>指造价咨询人委派负责合同工程的工程造价专业技术与管理的专业人员。造价工程师由造价咨询人提名，经发包人依据第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款约定任命并书面通知承包人。</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84" w:name="_Toc27450"/>
      <w:r>
        <w:rPr>
          <w:rFonts w:hint="eastAsia" w:ascii="仿宋" w:hAnsi="仿宋" w:eastAsia="仿宋" w:cs="仿宋"/>
          <w:b/>
          <w:bCs/>
          <w:color w:val="auto"/>
          <w:sz w:val="24"/>
          <w:szCs w:val="24"/>
          <w:highlight w:val="none"/>
          <w:lang w:eastAsia="zh-CN"/>
        </w:rPr>
        <w:t>1.7 工期</w:t>
      </w:r>
      <w:bookmarkEnd w:id="184"/>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合同工期：</w:t>
      </w:r>
      <w:r>
        <w:rPr>
          <w:rFonts w:hint="eastAsia" w:ascii="仿宋" w:hAnsi="仿宋" w:eastAsia="仿宋" w:cs="仿宋"/>
          <w:color w:val="auto"/>
          <w:sz w:val="24"/>
          <w:szCs w:val="24"/>
          <w:highlight w:val="none"/>
          <w:lang w:eastAsia="zh-CN"/>
        </w:rPr>
        <w:t>指合同双方当事人在协议书中约定，按照总日历天数（包括法定节假日）计算的从开始实施到完成合同工程的天数。包括勘察工期、设计工期、施工工期等。</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.7.2</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开始工作日期与开工日期：</w:t>
      </w:r>
      <w:r>
        <w:rPr>
          <w:rFonts w:hint="eastAsia" w:ascii="仿宋" w:hAnsi="仿宋" w:eastAsia="仿宋" w:cs="仿宋"/>
          <w:bCs/>
          <w:color w:val="auto"/>
          <w:sz w:val="24"/>
          <w:szCs w:val="24"/>
          <w:highlight w:val="none"/>
          <w:lang w:eastAsia="zh-CN"/>
        </w:rPr>
        <w:t>开始工作日期</w:t>
      </w:r>
      <w:r>
        <w:rPr>
          <w:rFonts w:hint="eastAsia" w:ascii="仿宋" w:hAnsi="仿宋" w:eastAsia="仿宋" w:cs="仿宋"/>
          <w:color w:val="auto"/>
          <w:sz w:val="24"/>
          <w:szCs w:val="24"/>
          <w:highlight w:val="none"/>
          <w:lang w:eastAsia="zh-CN"/>
        </w:rPr>
        <w:t>指发包人代表发出的工作指令中写明的、承包人按照合同约定最迟在该日期开始工程的勘察、施工图设计、设备及工器具购置等某项工作的日期；开工日期指根据第41条约定，监理人在开工令中写明的、承包人按照合同约定最迟在该日期开始施工的日期。</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7.3</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完成工作日期：</w:t>
      </w:r>
      <w:r>
        <w:rPr>
          <w:rFonts w:hint="eastAsia" w:ascii="仿宋" w:hAnsi="仿宋" w:eastAsia="仿宋" w:cs="仿宋"/>
          <w:color w:val="auto"/>
          <w:sz w:val="24"/>
          <w:szCs w:val="24"/>
          <w:highlight w:val="none"/>
          <w:lang w:eastAsia="zh-CN"/>
        </w:rPr>
        <w:t>指承包人完成合同工程或某单项工程的勘察、施工图设计、设备及工器具购置等某项工作后，由发包人按照专用条款约定的发包人要求、标准、规范等，对其工作成果组织审查或验收并颁发审查批准或验收合格通知书的日期。</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7.4</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竣工日期：</w:t>
      </w:r>
      <w:r>
        <w:rPr>
          <w:rFonts w:hint="eastAsia" w:ascii="仿宋" w:hAnsi="仿宋" w:eastAsia="仿宋" w:cs="仿宋"/>
          <w:color w:val="auto"/>
          <w:sz w:val="24"/>
          <w:szCs w:val="24"/>
          <w:highlight w:val="none"/>
          <w:lang w:eastAsia="zh-CN"/>
        </w:rPr>
        <w:t>指承包人完成合同工程或某单项工程的施工后，由发包人按照第65条约定组织竣工验收、接收工程并颁发工程接收证书的日期。包括合同约定的工期与按合同约定允许调整的工期。</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绝对日期：</w:t>
      </w:r>
      <w:r>
        <w:rPr>
          <w:rFonts w:hint="eastAsia" w:ascii="仿宋" w:hAnsi="仿宋" w:eastAsia="仿宋" w:cs="仿宋"/>
          <w:color w:val="auto"/>
          <w:sz w:val="24"/>
          <w:szCs w:val="24"/>
          <w:highlight w:val="none"/>
          <w:lang w:eastAsia="zh-CN"/>
        </w:rPr>
        <w:t>指以公历年、月、日所表示的起止时间。</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7.6</w:t>
      </w:r>
      <w:r>
        <w:rPr>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相对日期</w:t>
      </w:r>
      <w:r>
        <w:rPr>
          <w:rFonts w:hint="eastAsia"/>
          <w:b/>
          <w:bCs/>
          <w:color w:val="auto"/>
          <w:highlight w:val="none"/>
          <w:lang w:eastAsia="zh-CN"/>
        </w:rPr>
        <w:t>：</w:t>
      </w:r>
      <w:r>
        <w:rPr>
          <w:rFonts w:hint="eastAsia" w:ascii="仿宋" w:hAnsi="仿宋" w:eastAsia="仿宋" w:cs="仿宋"/>
          <w:color w:val="auto"/>
          <w:sz w:val="24"/>
          <w:szCs w:val="24"/>
          <w:highlight w:val="none"/>
          <w:lang w:eastAsia="zh-CN"/>
        </w:rPr>
        <w:t>指以日历天数表示两个绝对日期之间的时长，例如：合同签订日期后28天内开工。</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7.7</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基准日期：</w:t>
      </w:r>
      <w:r>
        <w:rPr>
          <w:rFonts w:hint="eastAsia" w:ascii="仿宋" w:hAnsi="仿宋" w:eastAsia="仿宋" w:cs="仿宋"/>
          <w:color w:val="auto"/>
          <w:sz w:val="24"/>
          <w:szCs w:val="24"/>
          <w:highlight w:val="none"/>
          <w:lang w:eastAsia="zh-CN"/>
        </w:rPr>
        <w:t>指招标发包工程递交投标文件截止日期前</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天的日期；直接发包工程订立合同前第</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天的日期。</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7.8</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缺陷责任期：</w:t>
      </w:r>
      <w:r>
        <w:rPr>
          <w:rFonts w:hint="eastAsia" w:ascii="仿宋" w:hAnsi="仿宋" w:eastAsia="仿宋" w:cs="仿宋"/>
          <w:color w:val="auto"/>
          <w:sz w:val="24"/>
          <w:szCs w:val="24"/>
          <w:highlight w:val="none"/>
          <w:lang w:eastAsia="zh-CN"/>
        </w:rPr>
        <w:t>指履行第66</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3款约定的缺陷责任的期限。具体期限在专用条款中约定，包括第66</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款约定的延长期限。</w:t>
      </w:r>
    </w:p>
    <w:p>
      <w:pPr>
        <w:pStyle w:val="22"/>
        <w:widowControl w:val="0"/>
        <w:tabs>
          <w:tab w:val="left" w:pos="1260"/>
          <w:tab w:val="left" w:pos="2160"/>
        </w:tabs>
        <w:adjustRightInd w:val="0"/>
        <w:spacing w:before="120" w:beforeLines="50" w:line="360" w:lineRule="auto"/>
        <w:ind w:left="1850" w:leftChars="771"/>
        <w:jc w:val="both"/>
        <w:rPr>
          <w:color w:val="auto"/>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7.9</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保修期：</w:t>
      </w:r>
      <w:r>
        <w:rPr>
          <w:rFonts w:hint="eastAsia" w:ascii="仿宋" w:hAnsi="仿宋" w:eastAsia="仿宋" w:cs="仿宋"/>
          <w:color w:val="auto"/>
          <w:sz w:val="24"/>
          <w:szCs w:val="24"/>
          <w:highlight w:val="none"/>
          <w:lang w:eastAsia="zh-CN"/>
        </w:rPr>
        <w:t>是指承包人按照合同约定和法律规定对工程质量缺陷责任承担保修责任的期限，该期限自缺陷责任期起算之日起计算。</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7.10</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小时或天：</w:t>
      </w:r>
      <w:r>
        <w:rPr>
          <w:rFonts w:hint="eastAsia" w:ascii="仿宋" w:hAnsi="仿宋" w:eastAsia="仿宋" w:cs="仿宋"/>
          <w:color w:val="auto"/>
          <w:sz w:val="24"/>
          <w:szCs w:val="24"/>
          <w:highlight w:val="none"/>
          <w:lang w:eastAsia="zh-CN"/>
        </w:rPr>
        <w:t>除特别指明外，指时钟小时或日历天。合同中约定按照小时计算时间的，从发生事项有效时开始计算，不扣除休息时间；约定按照天计算时间的，开始当天不计入，从次日开始计算。时限的最后一天是休息日或其他法定节假日的，以节假日次日为时限，但竣工日期和完成工作日期除外。时限最后一天的截止时间为当天</w:t>
      </w:r>
      <w:r>
        <w:rPr>
          <w:rFonts w:ascii="仿宋" w:hAnsi="仿宋" w:eastAsia="仿宋" w:cs="仿宋"/>
          <w:color w:val="auto"/>
          <w:sz w:val="24"/>
          <w:szCs w:val="24"/>
          <w:highlight w:val="none"/>
          <w:lang w:eastAsia="zh-CN"/>
        </w:rPr>
        <w:t>24:00</w:t>
      </w:r>
      <w:r>
        <w:rPr>
          <w:rFonts w:hint="eastAsia" w:ascii="仿宋" w:hAnsi="仿宋" w:eastAsia="仿宋" w:cs="仿宋"/>
          <w:color w:val="auto"/>
          <w:sz w:val="24"/>
          <w:szCs w:val="24"/>
          <w:highlight w:val="none"/>
          <w:lang w:eastAsia="zh-CN"/>
        </w:rPr>
        <w:t>（即次日零点）。</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85" w:name="_Toc29850"/>
      <w:r>
        <w:rPr>
          <w:rFonts w:hint="eastAsia" w:ascii="仿宋" w:hAnsi="仿宋" w:eastAsia="仿宋" w:cs="仿宋"/>
          <w:b/>
          <w:bCs/>
          <w:color w:val="auto"/>
          <w:sz w:val="24"/>
          <w:szCs w:val="24"/>
          <w:highlight w:val="none"/>
          <w:lang w:eastAsia="zh-CN"/>
        </w:rPr>
        <w:t>1.8 工程、工程材料与设备、装配式构件</w:t>
      </w:r>
      <w:bookmarkEnd w:id="185"/>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8.1</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合同工程：</w:t>
      </w:r>
      <w:r>
        <w:rPr>
          <w:rFonts w:hint="eastAsia" w:ascii="仿宋" w:hAnsi="仿宋" w:eastAsia="仿宋" w:cs="仿宋"/>
          <w:color w:val="auto"/>
          <w:sz w:val="24"/>
          <w:szCs w:val="24"/>
          <w:highlight w:val="none"/>
          <w:lang w:eastAsia="zh-CN"/>
        </w:rPr>
        <w:t>指合同双方当事人在协议书中约定的承包范围内的工程，包括永久工程和（或）临时工程。</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8.2</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永久工程：</w:t>
      </w:r>
      <w:r>
        <w:rPr>
          <w:rFonts w:hint="eastAsia" w:ascii="仿宋" w:hAnsi="仿宋" w:eastAsia="仿宋" w:cs="仿宋"/>
          <w:color w:val="auto"/>
          <w:sz w:val="24"/>
          <w:szCs w:val="24"/>
          <w:highlight w:val="none"/>
          <w:lang w:eastAsia="zh-CN"/>
        </w:rPr>
        <w:t>指按照合同约定承包人应当实施、完成并移交给发包人的永久性工程，包括工程设备。</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8.3</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临时工程：</w:t>
      </w:r>
      <w:r>
        <w:rPr>
          <w:rFonts w:hint="eastAsia" w:ascii="仿宋" w:hAnsi="仿宋" w:eastAsia="仿宋" w:cs="仿宋"/>
          <w:color w:val="auto"/>
          <w:sz w:val="24"/>
          <w:szCs w:val="24"/>
          <w:highlight w:val="none"/>
          <w:lang w:eastAsia="zh-CN"/>
        </w:rPr>
        <w:t>指实施、完成并保修永久工程过程中所需要的各类临时性工程，不包括施工设备。</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8.4</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分包：</w:t>
      </w:r>
      <w:r>
        <w:rPr>
          <w:rFonts w:hint="eastAsia" w:ascii="仿宋" w:hAnsi="仿宋" w:eastAsia="仿宋" w:cs="仿宋"/>
          <w:color w:val="auto"/>
          <w:sz w:val="24"/>
          <w:szCs w:val="24"/>
          <w:highlight w:val="none"/>
          <w:lang w:eastAsia="zh-CN"/>
        </w:rPr>
        <w:t>指合同工程中，由具有相应分包资质的分包人实施、完成的非主体、关键性工作。</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shd w:val="clear" w:color="auto" w:fill="FFFFFF"/>
          <w:lang w:eastAsia="zh-CN"/>
        </w:rPr>
        <w:t>单项工程：</w:t>
      </w:r>
      <w:r>
        <w:rPr>
          <w:rFonts w:hint="eastAsia" w:ascii="仿宋" w:hAnsi="仿宋" w:eastAsia="仿宋" w:cs="仿宋"/>
          <w:color w:val="auto"/>
          <w:sz w:val="24"/>
          <w:szCs w:val="24"/>
          <w:highlight w:val="none"/>
          <w:lang w:eastAsia="zh-CN"/>
        </w:rPr>
        <w:t>指具有独立的设计文件，竣工后可以独立发挥生产能力和效益的永久工程。组成合同工程的单项工程名称、内容和范围等应在专用条款中明确。</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cs="仿宋"/>
          <w:b/>
          <w:bCs/>
          <w:color w:val="auto"/>
          <w:sz w:val="24"/>
          <w:szCs w:val="24"/>
          <w:highlight w:val="none"/>
          <w:lang w:eastAsia="zh-CN"/>
        </w:rPr>
        <w:t>1.8.6 工程材料：</w:t>
      </w:r>
      <w:r>
        <w:rPr>
          <w:rFonts w:hint="eastAsia" w:ascii="仿宋" w:hAnsi="仿宋" w:eastAsia="仿宋" w:cs="仿宋"/>
          <w:bCs/>
          <w:color w:val="auto"/>
          <w:sz w:val="24"/>
          <w:szCs w:val="24"/>
          <w:highlight w:val="none"/>
          <w:lang w:eastAsia="zh-CN"/>
        </w:rPr>
        <w:t>指构成永久工程实体的各类物品（工程设备、装配式构件除外），包括根据合同约定由承包人自主采购供应的物品、由承包人采购供应的发包人指定物品（如果有）或由发包人采购</w:t>
      </w:r>
      <w:r>
        <w:rPr>
          <w:rFonts w:hint="eastAsia" w:ascii="仿宋" w:hAnsi="仿宋" w:eastAsia="仿宋" w:cs="仿宋"/>
          <w:color w:val="auto"/>
          <w:sz w:val="24"/>
          <w:szCs w:val="24"/>
          <w:highlight w:val="none"/>
          <w:lang w:eastAsia="zh-CN"/>
        </w:rPr>
        <w:t>供应</w:t>
      </w:r>
      <w:r>
        <w:rPr>
          <w:rFonts w:hint="eastAsia" w:ascii="仿宋" w:hAnsi="仿宋" w:eastAsia="仿宋" w:cs="仿宋"/>
          <w:bCs/>
          <w:color w:val="auto"/>
          <w:sz w:val="24"/>
          <w:szCs w:val="24"/>
          <w:highlight w:val="none"/>
          <w:lang w:eastAsia="zh-CN"/>
        </w:rPr>
        <w:t>的物品（如果有）。</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cs="仿宋"/>
          <w:b/>
          <w:bCs/>
          <w:color w:val="auto"/>
          <w:sz w:val="24"/>
          <w:szCs w:val="24"/>
          <w:highlight w:val="none"/>
          <w:lang w:eastAsia="zh-CN"/>
        </w:rPr>
        <w:t>1.8.7 装配式构件：</w:t>
      </w:r>
      <w:r>
        <w:rPr>
          <w:rFonts w:hint="eastAsia" w:ascii="仿宋" w:hAnsi="仿宋" w:eastAsia="仿宋" w:cs="仿宋"/>
          <w:bCs/>
          <w:color w:val="auto"/>
          <w:sz w:val="24"/>
          <w:szCs w:val="24"/>
          <w:highlight w:val="none"/>
          <w:lang w:eastAsia="zh-CN"/>
        </w:rPr>
        <w:t>指由承包人工厂自行预制或采购、运输到施工现场进行吊装、拼接后构成永久工程实体，且符合装配式结构技术标准与施工规范的主要结构及围护构件（梁、板、柱、墙板等），包括钢结构构件、预制钢筋混凝土构件等。</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8.8</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工程设备：</w:t>
      </w:r>
      <w:r>
        <w:rPr>
          <w:rFonts w:hint="eastAsia" w:ascii="仿宋" w:hAnsi="仿宋" w:eastAsia="仿宋" w:cs="仿宋"/>
          <w:color w:val="auto"/>
          <w:sz w:val="24"/>
          <w:szCs w:val="24"/>
          <w:highlight w:val="none"/>
          <w:lang w:eastAsia="zh-CN"/>
        </w:rPr>
        <w:t>指构成永久工程实体、能够发挥建筑安装工程功能的建筑设备、机电设备及其他配套设备和装置。</w:t>
      </w:r>
    </w:p>
    <w:p>
      <w:pPr>
        <w:pStyle w:val="22"/>
        <w:widowControl w:val="0"/>
        <w:tabs>
          <w:tab w:val="left" w:pos="1260"/>
          <w:tab w:val="left" w:pos="2160"/>
        </w:tabs>
        <w:adjustRightInd w:val="0"/>
        <w:spacing w:before="120" w:beforeLines="50" w:line="360" w:lineRule="auto"/>
        <w:ind w:left="1850" w:leftChars="771"/>
        <w:jc w:val="both"/>
        <w:rPr>
          <w:color w:val="auto"/>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8.9</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设备及工器具：</w:t>
      </w:r>
      <w:r>
        <w:rPr>
          <w:rFonts w:hint="eastAsia" w:ascii="仿宋" w:hAnsi="仿宋" w:eastAsia="仿宋" w:cs="仿宋"/>
          <w:color w:val="auto"/>
          <w:sz w:val="24"/>
          <w:szCs w:val="24"/>
          <w:highlight w:val="none"/>
          <w:lang w:eastAsia="zh-CN"/>
        </w:rPr>
        <w:t>指独立于永久工程的实体之外、用于生产或运营的生产设备、办公设备及相关工具、仪器。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8.10</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施工设备：</w:t>
      </w:r>
      <w:r>
        <w:rPr>
          <w:rFonts w:hint="eastAsia" w:ascii="仿宋" w:hAnsi="仿宋" w:eastAsia="仿宋" w:cs="仿宋"/>
          <w:color w:val="auto"/>
          <w:sz w:val="24"/>
          <w:szCs w:val="24"/>
          <w:highlight w:val="none"/>
          <w:lang w:eastAsia="zh-CN"/>
        </w:rPr>
        <w:t>指为实施、完成并保修永久工程，由承包人临时带入工程现场的所有仪器、机械、运输工具或其他物品，但不包括业主设备（如果有）、用于生产或运营的设备及工器具（如果有）和其他不属于承包人的物品（如果有）。</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86" w:name="_Toc32566"/>
      <w:r>
        <w:rPr>
          <w:rFonts w:hint="eastAsia" w:ascii="仿宋" w:hAnsi="仿宋" w:eastAsia="仿宋" w:cs="仿宋"/>
          <w:b/>
          <w:bCs/>
          <w:color w:val="auto"/>
          <w:sz w:val="24"/>
          <w:szCs w:val="24"/>
          <w:highlight w:val="none"/>
          <w:lang w:eastAsia="zh-CN"/>
        </w:rPr>
        <w:t>1.9 缺陷及修复</w:t>
      </w:r>
      <w:bookmarkEnd w:id="186"/>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hint="eastAsia" w:ascii="仿宋" w:hAnsi="仿宋" w:eastAsia="仿宋"/>
          <w:b/>
          <w:color w:val="auto"/>
          <w:sz w:val="24"/>
          <w:szCs w:val="24"/>
          <w:highlight w:val="none"/>
          <w:lang w:eastAsia="zh-CN"/>
        </w:rPr>
        <w:t>1.9.1</w:t>
      </w:r>
      <w:r>
        <w:rPr>
          <w:rFonts w:hint="eastAsia" w:ascii="仿宋" w:hAnsi="仿宋" w:eastAsia="仿宋" w:cs="仿宋"/>
          <w:b/>
          <w:bCs/>
          <w:color w:val="auto"/>
          <w:sz w:val="24"/>
          <w:szCs w:val="24"/>
          <w:highlight w:val="none"/>
          <w:lang w:eastAsia="zh-CN"/>
        </w:rPr>
        <w:t xml:space="preserve"> 勘察缺陷：</w:t>
      </w:r>
      <w:r>
        <w:rPr>
          <w:rFonts w:hint="eastAsia" w:ascii="仿宋" w:hAnsi="仿宋" w:eastAsia="仿宋" w:cs="仿宋"/>
          <w:bCs/>
          <w:color w:val="auto"/>
          <w:sz w:val="24"/>
          <w:szCs w:val="24"/>
          <w:highlight w:val="none"/>
          <w:lang w:eastAsia="zh-CN"/>
        </w:rPr>
        <w:t>指因承包人未按合同约定的要求进行工程勘察或勘察成果不符合合同约定的标准规范及发包人具体要求，勘察成果存在遗漏、错误，</w:t>
      </w:r>
      <w:r>
        <w:rPr>
          <w:rFonts w:hint="eastAsia" w:ascii="仿宋" w:hAnsi="仿宋" w:eastAsia="仿宋"/>
          <w:color w:val="auto"/>
          <w:sz w:val="24"/>
          <w:szCs w:val="24"/>
          <w:highlight w:val="none"/>
          <w:lang w:eastAsia="zh-CN"/>
        </w:rPr>
        <w:t>导致设计成果或已完</w:t>
      </w:r>
      <w:r>
        <w:rPr>
          <w:rFonts w:hint="eastAsia" w:ascii="仿宋" w:hAnsi="仿宋" w:eastAsia="仿宋" w:cs="仿宋"/>
          <w:bCs/>
          <w:color w:val="auto"/>
          <w:sz w:val="24"/>
          <w:szCs w:val="24"/>
          <w:highlight w:val="none"/>
          <w:lang w:eastAsia="zh-CN"/>
        </w:rPr>
        <w:t>工程存在重大缺陷或出现质量事故。</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b/>
          <w:color w:val="auto"/>
          <w:sz w:val="24"/>
          <w:szCs w:val="24"/>
          <w:highlight w:val="none"/>
          <w:lang w:eastAsia="zh-CN"/>
        </w:rPr>
        <w:t>1.9.2</w:t>
      </w:r>
      <w:r>
        <w:rPr>
          <w:rFonts w:hint="eastAsia" w:ascii="仿宋" w:hAnsi="仿宋" w:eastAsia="仿宋" w:cs="仿宋"/>
          <w:b/>
          <w:bCs/>
          <w:color w:val="auto"/>
          <w:sz w:val="24"/>
          <w:szCs w:val="24"/>
          <w:highlight w:val="none"/>
          <w:lang w:eastAsia="zh-CN"/>
        </w:rPr>
        <w:t xml:space="preserve"> 设计缺陷：</w:t>
      </w:r>
      <w:r>
        <w:rPr>
          <w:rFonts w:hint="eastAsia" w:ascii="仿宋" w:hAnsi="仿宋" w:eastAsia="仿宋" w:cs="仿宋"/>
          <w:bCs/>
          <w:color w:val="auto"/>
          <w:sz w:val="24"/>
          <w:szCs w:val="24"/>
          <w:highlight w:val="none"/>
          <w:lang w:eastAsia="zh-CN"/>
        </w:rPr>
        <w:t>指因承包人未按合同约定的要求进行工程设计或设计成果不符合合同约定的标准规范及发包人具体要求，</w:t>
      </w:r>
      <w:r>
        <w:rPr>
          <w:rFonts w:ascii="仿宋" w:hAnsi="仿宋" w:eastAsia="仿宋"/>
          <w:color w:val="auto"/>
          <w:sz w:val="24"/>
          <w:szCs w:val="24"/>
          <w:highlight w:val="none"/>
          <w:lang w:eastAsia="zh-CN"/>
        </w:rPr>
        <w:t>设计文件存在遗漏、错误</w:t>
      </w:r>
      <w:r>
        <w:rPr>
          <w:rFonts w:hint="eastAsia" w:ascii="仿宋" w:hAnsi="仿宋" w:eastAsia="仿宋"/>
          <w:color w:val="auto"/>
          <w:sz w:val="24"/>
          <w:szCs w:val="24"/>
          <w:highlight w:val="none"/>
          <w:lang w:eastAsia="zh-CN"/>
        </w:rPr>
        <w:t>或超过限额设计指标，导致已完</w:t>
      </w:r>
      <w:r>
        <w:rPr>
          <w:rFonts w:hint="eastAsia" w:ascii="仿宋" w:hAnsi="仿宋" w:eastAsia="仿宋" w:cs="仿宋"/>
          <w:bCs/>
          <w:color w:val="auto"/>
          <w:sz w:val="24"/>
          <w:szCs w:val="24"/>
          <w:highlight w:val="none"/>
          <w:lang w:eastAsia="zh-CN"/>
        </w:rPr>
        <w:t>工程存在重大缺陷、出现质量事故或增加工程费用。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b/>
          <w:color w:val="auto"/>
          <w:sz w:val="24"/>
          <w:szCs w:val="24"/>
          <w:highlight w:val="none"/>
          <w:lang w:eastAsia="zh-CN"/>
        </w:rPr>
        <w:t xml:space="preserve">1.9.3 </w:t>
      </w:r>
      <w:r>
        <w:rPr>
          <w:rFonts w:hint="eastAsia" w:ascii="仿宋" w:hAnsi="仿宋" w:eastAsia="仿宋" w:cs="仿宋"/>
          <w:b/>
          <w:bCs/>
          <w:color w:val="auto"/>
          <w:sz w:val="24"/>
          <w:szCs w:val="24"/>
          <w:highlight w:val="none"/>
          <w:lang w:eastAsia="zh-CN"/>
        </w:rPr>
        <w:t xml:space="preserve"> BIM技术应用缺陷：</w:t>
      </w:r>
      <w:r>
        <w:rPr>
          <w:rFonts w:hint="eastAsia" w:ascii="仿宋" w:hAnsi="仿宋" w:eastAsia="仿宋" w:cs="仿宋"/>
          <w:bCs/>
          <w:color w:val="auto"/>
          <w:sz w:val="24"/>
          <w:szCs w:val="24"/>
          <w:highlight w:val="none"/>
          <w:lang w:eastAsia="zh-CN"/>
        </w:rPr>
        <w:t>指因承包人提供的建筑信息模型（BIM）、信息服务平台及协调管理等服务内容不符合合同约定的标准规范及发包人具体要求，</w:t>
      </w:r>
      <w:r>
        <w:rPr>
          <w:rFonts w:hint="eastAsia" w:ascii="仿宋" w:hAnsi="仿宋" w:eastAsia="仿宋"/>
          <w:color w:val="auto"/>
          <w:sz w:val="24"/>
          <w:szCs w:val="24"/>
          <w:highlight w:val="none"/>
          <w:lang w:eastAsia="zh-CN"/>
        </w:rPr>
        <w:t>建筑信息模型（BIM）及相关工作</w:t>
      </w:r>
      <w:r>
        <w:rPr>
          <w:rFonts w:ascii="仿宋" w:hAnsi="仿宋" w:eastAsia="仿宋"/>
          <w:color w:val="auto"/>
          <w:sz w:val="24"/>
          <w:szCs w:val="24"/>
          <w:highlight w:val="none"/>
          <w:lang w:eastAsia="zh-CN"/>
        </w:rPr>
        <w:t>存在遗漏、错误</w:t>
      </w:r>
      <w:r>
        <w:rPr>
          <w:rFonts w:hint="eastAsia" w:ascii="仿宋" w:hAnsi="仿宋" w:eastAsia="仿宋"/>
          <w:color w:val="auto"/>
          <w:sz w:val="24"/>
          <w:szCs w:val="24"/>
          <w:highlight w:val="none"/>
          <w:lang w:eastAsia="zh-CN"/>
        </w:rPr>
        <w:t>，导致已完</w:t>
      </w:r>
      <w:r>
        <w:rPr>
          <w:rFonts w:hint="eastAsia" w:ascii="仿宋" w:hAnsi="仿宋" w:eastAsia="仿宋" w:cs="仿宋"/>
          <w:bCs/>
          <w:color w:val="auto"/>
          <w:sz w:val="24"/>
          <w:szCs w:val="24"/>
          <w:highlight w:val="none"/>
          <w:lang w:eastAsia="zh-CN"/>
        </w:rPr>
        <w:t>工程存在重大缺陷、出现质量事故或增加工程费用。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b/>
          <w:color w:val="auto"/>
          <w:sz w:val="24"/>
          <w:szCs w:val="24"/>
          <w:highlight w:val="none"/>
          <w:lang w:eastAsia="zh-CN"/>
        </w:rPr>
        <w:t>1.9.4</w:t>
      </w:r>
      <w:r>
        <w:rPr>
          <w:rFonts w:hint="eastAsia" w:ascii="仿宋" w:hAnsi="仿宋" w:eastAsia="仿宋" w:cs="仿宋"/>
          <w:b/>
          <w:bCs/>
          <w:color w:val="auto"/>
          <w:sz w:val="24"/>
          <w:szCs w:val="24"/>
          <w:highlight w:val="none"/>
          <w:lang w:eastAsia="zh-CN"/>
        </w:rPr>
        <w:t xml:space="preserve"> 设备及工器具购置缺陷：</w:t>
      </w:r>
      <w:r>
        <w:rPr>
          <w:rFonts w:hint="eastAsia" w:ascii="仿宋" w:hAnsi="仿宋" w:eastAsia="仿宋" w:cs="仿宋"/>
          <w:bCs/>
          <w:color w:val="auto"/>
          <w:sz w:val="24"/>
          <w:szCs w:val="24"/>
          <w:highlight w:val="none"/>
          <w:lang w:eastAsia="zh-CN"/>
        </w:rPr>
        <w:t>指因承包人未按合同约定的要求购置设备及工器具，或购置的设备及工器具质量与数量不符合合同约定的标准规范或发包人具体要求</w:t>
      </w:r>
      <w:r>
        <w:rPr>
          <w:rFonts w:hint="eastAsia" w:ascii="仿宋" w:hAnsi="仿宋" w:eastAsia="仿宋"/>
          <w:color w:val="auto"/>
          <w:sz w:val="24"/>
          <w:szCs w:val="24"/>
          <w:highlight w:val="none"/>
          <w:lang w:eastAsia="zh-CN"/>
        </w:rPr>
        <w:t>，导致建设项目无法</w:t>
      </w:r>
      <w:r>
        <w:rPr>
          <w:rFonts w:hint="eastAsia" w:ascii="仿宋" w:hAnsi="仿宋" w:eastAsia="仿宋" w:cs="仿宋"/>
          <w:bCs/>
          <w:color w:val="auto"/>
          <w:sz w:val="24"/>
          <w:szCs w:val="24"/>
          <w:highlight w:val="none"/>
          <w:lang w:eastAsia="zh-CN"/>
        </w:rPr>
        <w:t>达到生产或运营能力。</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b/>
          <w:color w:val="auto"/>
          <w:sz w:val="24"/>
          <w:szCs w:val="24"/>
          <w:highlight w:val="none"/>
          <w:lang w:eastAsia="zh-CN"/>
        </w:rPr>
        <w:t>1.9.5</w:t>
      </w:r>
      <w:r>
        <w:rPr>
          <w:rFonts w:hint="eastAsia" w:ascii="仿宋" w:hAnsi="仿宋" w:eastAsia="仿宋" w:cs="仿宋"/>
          <w:b/>
          <w:bCs/>
          <w:color w:val="auto"/>
          <w:sz w:val="24"/>
          <w:szCs w:val="24"/>
          <w:highlight w:val="none"/>
          <w:lang w:eastAsia="zh-CN"/>
        </w:rPr>
        <w:t xml:space="preserve"> 采购缺陷：</w:t>
      </w:r>
      <w:r>
        <w:rPr>
          <w:rFonts w:hint="eastAsia" w:ascii="仿宋" w:hAnsi="仿宋" w:eastAsia="仿宋" w:cs="仿宋"/>
          <w:bCs/>
          <w:color w:val="auto"/>
          <w:sz w:val="24"/>
          <w:szCs w:val="24"/>
          <w:highlight w:val="none"/>
          <w:lang w:eastAsia="zh-CN"/>
        </w:rPr>
        <w:t>指因承包人采购的构成工程实体的工程材料、工程设备及装配式构件等不符合产品合格标准或发包人要求，导致工程实体存在质量隐患、不良效果等缺陷。</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hint="eastAsia" w:ascii="仿宋" w:hAnsi="仿宋" w:eastAsia="仿宋"/>
          <w:b/>
          <w:color w:val="auto"/>
          <w:sz w:val="24"/>
          <w:szCs w:val="24"/>
          <w:highlight w:val="none"/>
          <w:lang w:eastAsia="zh-CN"/>
        </w:rPr>
        <w:t>1.9.6</w:t>
      </w:r>
      <w:r>
        <w:rPr>
          <w:rFonts w:hint="eastAsia" w:ascii="仿宋" w:hAnsi="仿宋" w:eastAsia="仿宋" w:cs="仿宋"/>
          <w:b/>
          <w:bCs/>
          <w:color w:val="auto"/>
          <w:sz w:val="24"/>
          <w:szCs w:val="24"/>
          <w:highlight w:val="none"/>
          <w:lang w:eastAsia="zh-CN"/>
        </w:rPr>
        <w:t xml:space="preserve"> 工程质量缺陷：</w:t>
      </w:r>
      <w:r>
        <w:rPr>
          <w:rFonts w:hint="eastAsia" w:ascii="仿宋" w:hAnsi="仿宋" w:eastAsia="仿宋" w:cs="仿宋"/>
          <w:bCs/>
          <w:color w:val="auto"/>
          <w:sz w:val="24"/>
          <w:szCs w:val="24"/>
          <w:highlight w:val="none"/>
          <w:lang w:eastAsia="zh-CN"/>
        </w:rPr>
        <w:t>指因承包人未按合同约定的要求进行施工或施工质量不符合合同约定的标准规范或发包人具体要求，</w:t>
      </w:r>
      <w:r>
        <w:rPr>
          <w:rFonts w:hint="eastAsia" w:ascii="仿宋" w:hAnsi="仿宋" w:eastAsia="仿宋"/>
          <w:color w:val="auto"/>
          <w:sz w:val="24"/>
          <w:szCs w:val="24"/>
          <w:highlight w:val="none"/>
          <w:lang w:eastAsia="zh-CN"/>
        </w:rPr>
        <w:t>导致</w:t>
      </w:r>
      <w:r>
        <w:rPr>
          <w:rFonts w:hint="eastAsia" w:ascii="仿宋" w:hAnsi="仿宋" w:eastAsia="仿宋" w:cs="仿宋"/>
          <w:bCs/>
          <w:color w:val="auto"/>
          <w:sz w:val="24"/>
          <w:szCs w:val="24"/>
          <w:highlight w:val="none"/>
          <w:lang w:eastAsia="zh-CN"/>
        </w:rPr>
        <w:t>工程存在重大缺陷或出现质量事故。</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r>
        <w:rPr>
          <w:rFonts w:hint="eastAsia" w:ascii="仿宋" w:hAnsi="仿宋" w:eastAsia="仿宋"/>
          <w:b/>
          <w:color w:val="auto"/>
          <w:sz w:val="24"/>
          <w:szCs w:val="24"/>
          <w:highlight w:val="none"/>
          <w:lang w:eastAsia="zh-CN"/>
        </w:rPr>
        <w:t>1.9.7 其他服务缺陷：</w:t>
      </w:r>
      <w:r>
        <w:rPr>
          <w:rFonts w:hint="eastAsia" w:ascii="仿宋" w:hAnsi="仿宋" w:eastAsia="仿宋"/>
          <w:color w:val="auto"/>
          <w:sz w:val="24"/>
          <w:szCs w:val="24"/>
          <w:highlight w:val="none"/>
          <w:lang w:eastAsia="zh-CN"/>
        </w:rPr>
        <w:t>指承包人未按合同约定的要求开展其他服务或服务质量达不到合同约定的标准规范或发包人具体要求，导致发包人无法</w:t>
      </w:r>
      <w:r>
        <w:rPr>
          <w:rFonts w:hint="eastAsia" w:ascii="仿宋" w:hAnsi="仿宋" w:eastAsia="仿宋" w:cs="仿宋"/>
          <w:color w:val="auto"/>
          <w:sz w:val="24"/>
          <w:szCs w:val="24"/>
          <w:highlight w:val="none"/>
          <w:lang w:eastAsia="zh-CN"/>
        </w:rPr>
        <w:t>正常</w:t>
      </w:r>
      <w:r>
        <w:rPr>
          <w:rFonts w:hint="eastAsia" w:ascii="仿宋" w:hAnsi="仿宋" w:eastAsia="仿宋"/>
          <w:color w:val="auto"/>
          <w:sz w:val="24"/>
          <w:szCs w:val="24"/>
          <w:highlight w:val="none"/>
          <w:lang w:eastAsia="zh-CN"/>
        </w:rPr>
        <w:t>使用。</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b/>
          <w:bCs/>
          <w:color w:val="auto"/>
          <w:sz w:val="24"/>
          <w:szCs w:val="24"/>
          <w:highlight w:val="none"/>
          <w:lang w:eastAsia="zh-CN"/>
        </w:rPr>
      </w:pPr>
      <w:bookmarkStart w:id="187" w:name="_Toc4634"/>
      <w:r>
        <w:rPr>
          <w:rFonts w:hint="eastAsia" w:ascii="仿宋" w:hAnsi="仿宋" w:eastAsia="仿宋" w:cs="仿宋"/>
          <w:b/>
          <w:bCs/>
          <w:color w:val="auto"/>
          <w:sz w:val="24"/>
          <w:szCs w:val="24"/>
          <w:highlight w:val="none"/>
          <w:lang w:eastAsia="zh-CN"/>
        </w:rPr>
        <w:t>1.10 变更、索赔、验收及其他</w:t>
      </w:r>
      <w:bookmarkEnd w:id="187"/>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10.1变更：</w:t>
      </w:r>
      <w:r>
        <w:rPr>
          <w:rFonts w:hint="eastAsia" w:ascii="仿宋" w:hAnsi="仿宋" w:eastAsia="仿宋" w:cs="仿宋"/>
          <w:color w:val="auto"/>
          <w:sz w:val="24"/>
          <w:szCs w:val="24"/>
          <w:highlight w:val="none"/>
          <w:lang w:eastAsia="zh-CN"/>
        </w:rPr>
        <w:t>变更分为可调价变更和不可调价变更。其中，不可调价变更是指采用总价合同形式的工程项目（子项目）且不符合第69.3款约定条件的变更，此类变更应参照第79条约定或本项目的预算编制规则确定变更预算，作为投资控制的依据，但不作为合同价格调整的依据；其他可调价变更应按照第79条约定确定变更的工程款，作为合同价格调整的依据。</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10.2</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索赔：</w:t>
      </w:r>
      <w:r>
        <w:rPr>
          <w:rFonts w:hint="eastAsia" w:ascii="仿宋" w:hAnsi="仿宋" w:eastAsia="仿宋" w:cs="仿宋"/>
          <w:color w:val="auto"/>
          <w:sz w:val="24"/>
          <w:szCs w:val="24"/>
          <w:highlight w:val="none"/>
          <w:lang w:eastAsia="zh-CN"/>
        </w:rPr>
        <w:t>指合同履行期间，对于非自己的过错而应由对方当事人承担责任的情况所造成的损失，并根据第43条和第80条约定向对方当事人提出费用补偿和（或）工期顺延的要求。</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10.3</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现场签证：</w:t>
      </w:r>
      <w:r>
        <w:rPr>
          <w:rFonts w:hint="eastAsia" w:ascii="仿宋" w:hAnsi="仿宋" w:eastAsia="仿宋" w:cs="仿宋"/>
          <w:color w:val="auto"/>
          <w:sz w:val="24"/>
          <w:szCs w:val="24"/>
          <w:highlight w:val="none"/>
          <w:lang w:eastAsia="zh-CN"/>
        </w:rPr>
        <w:t>指合同双方当事人按照第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款约定的指定人选根据第81条约定就工程总承包实施过程中涉及的责任事项所作的签认证明。</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10.4</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工作成果验收：</w:t>
      </w:r>
      <w:r>
        <w:rPr>
          <w:rFonts w:hint="eastAsia" w:ascii="仿宋" w:hAnsi="仿宋" w:eastAsia="仿宋" w:cs="仿宋"/>
          <w:color w:val="auto"/>
          <w:sz w:val="24"/>
          <w:szCs w:val="24"/>
          <w:highlight w:val="none"/>
          <w:lang w:eastAsia="zh-CN"/>
        </w:rPr>
        <w:t>指承包人完成了勘察、设计、建筑信息模型（BIM）等合同约定的阶段性工作后，发包人按照合同约定对其完成的工作成效和（或）成果文件进行的验收或确认。</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10.5</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竣工验收：</w:t>
      </w:r>
      <w:r>
        <w:rPr>
          <w:rFonts w:hint="eastAsia" w:ascii="仿宋" w:hAnsi="仿宋" w:eastAsia="仿宋" w:cs="仿宋"/>
          <w:color w:val="auto"/>
          <w:sz w:val="24"/>
          <w:szCs w:val="24"/>
          <w:highlight w:val="none"/>
          <w:lang w:eastAsia="zh-CN"/>
        </w:rPr>
        <w:t>指承包人完成了全部合同工作后，发包人按照合同约定进行的验收。</w:t>
      </w:r>
    </w:p>
    <w:p>
      <w:pPr>
        <w:pStyle w:val="22"/>
        <w:widowControl w:val="0"/>
        <w:tabs>
          <w:tab w:val="left" w:pos="1260"/>
          <w:tab w:val="left" w:pos="2160"/>
        </w:tabs>
        <w:adjustRightInd w:val="0"/>
        <w:spacing w:before="120" w:beforeLines="50" w:line="360" w:lineRule="auto"/>
        <w:ind w:left="1850" w:leftChars="771"/>
        <w:jc w:val="both"/>
        <w:rPr>
          <w:color w:val="auto"/>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10.6</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国家验收：</w:t>
      </w:r>
      <w:r>
        <w:rPr>
          <w:rFonts w:hint="eastAsia" w:ascii="仿宋" w:hAnsi="仿宋" w:eastAsia="仿宋" w:cs="仿宋"/>
          <w:color w:val="auto"/>
          <w:sz w:val="24"/>
          <w:szCs w:val="24"/>
          <w:highlight w:val="none"/>
          <w:lang w:eastAsia="zh-CN"/>
        </w:rPr>
        <w:t>指政府部门根据法律和政策等有关规定，针对发包人全面组织实施的整个工程在正式交付投运前的验收。</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10.7</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书面形式：</w:t>
      </w:r>
      <w:r>
        <w:rPr>
          <w:rFonts w:hint="eastAsia" w:ascii="仿宋" w:hAnsi="仿宋" w:eastAsia="仿宋" w:cs="仿宋"/>
          <w:color w:val="auto"/>
          <w:sz w:val="24"/>
          <w:szCs w:val="24"/>
          <w:highlight w:val="none"/>
          <w:lang w:eastAsia="zh-CN"/>
        </w:rPr>
        <w:t>指合同文件、信函、电报、电传、传真、电子数据交换文件、电子邮件、会议纪要等可以有形地表现所载内容的形式。合同双方当事人可在专用条款中注明所采用的书面形式。</w:t>
      </w:r>
    </w:p>
    <w:p>
      <w:pPr>
        <w:pStyle w:val="22"/>
        <w:widowControl w:val="0"/>
        <w:tabs>
          <w:tab w:val="left" w:pos="1260"/>
          <w:tab w:val="left" w:pos="2160"/>
        </w:tabs>
        <w:adjustRightInd w:val="0"/>
        <w:spacing w:before="120" w:beforeLines="50"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10.8</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国家：</w:t>
      </w:r>
      <w:r>
        <w:rPr>
          <w:rFonts w:hint="eastAsia" w:ascii="仿宋" w:hAnsi="仿宋" w:eastAsia="仿宋" w:cs="仿宋"/>
          <w:color w:val="auto"/>
          <w:sz w:val="24"/>
          <w:szCs w:val="24"/>
          <w:highlight w:val="none"/>
          <w:lang w:eastAsia="zh-CN"/>
        </w:rPr>
        <w:t>指中华人民共和国。</w:t>
      </w:r>
    </w:p>
    <w:p>
      <w:pPr>
        <w:tabs>
          <w:tab w:val="left" w:pos="1620"/>
        </w:tabs>
        <w:spacing w:line="360" w:lineRule="auto"/>
        <w:rPr>
          <w:rFonts w:ascii="仿宋" w:hAnsi="仿宋" w:eastAsia="仿宋"/>
          <w:b/>
          <w:bCs/>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bCs w:val="0"/>
          <w:color w:val="auto"/>
          <w:sz w:val="24"/>
          <w:szCs w:val="24"/>
          <w:highlight w:val="none"/>
          <w:lang w:eastAsia="zh-CN"/>
        </w:rPr>
      </w:pPr>
      <w:bookmarkStart w:id="188" w:name="_Toc18259"/>
      <w:bookmarkStart w:id="189" w:name="_Toc469383981"/>
      <w:bookmarkStart w:id="190" w:name="_Toc29473"/>
      <w:bookmarkStart w:id="191" w:name="_Toc12568"/>
      <w:bookmarkStart w:id="192" w:name="_Toc29337"/>
      <w:bookmarkStart w:id="193" w:name="_Toc17361"/>
      <w:bookmarkStart w:id="194" w:name="_Toc29838"/>
      <w:bookmarkStart w:id="195" w:name="_Toc8860"/>
      <w:bookmarkStart w:id="196" w:name="_Toc625"/>
      <w:r>
        <w:rPr>
          <w:rFonts w:ascii="仿宋" w:hAnsi="仿宋" w:eastAsia="仿宋" w:cs="仿宋"/>
          <w:bCs w:val="0"/>
          <w:color w:val="auto"/>
          <w:sz w:val="24"/>
          <w:szCs w:val="24"/>
          <w:highlight w:val="none"/>
          <w:lang w:eastAsia="zh-CN"/>
        </w:rPr>
        <w:t xml:space="preserve">2 </w:t>
      </w:r>
      <w:r>
        <w:rPr>
          <w:rFonts w:hint="eastAsia" w:ascii="仿宋" w:hAnsi="仿宋" w:eastAsia="仿宋" w:cs="仿宋"/>
          <w:bCs w:val="0"/>
          <w:color w:val="auto"/>
          <w:sz w:val="24"/>
          <w:szCs w:val="24"/>
          <w:highlight w:val="none"/>
          <w:lang w:eastAsia="zh-CN"/>
        </w:rPr>
        <w:t>合同文件及解释</w:t>
      </w:r>
      <w:bookmarkEnd w:id="188"/>
      <w:bookmarkEnd w:id="189"/>
      <w:bookmarkEnd w:id="190"/>
      <w:bookmarkEnd w:id="191"/>
      <w:bookmarkEnd w:id="192"/>
      <w:bookmarkEnd w:id="193"/>
      <w:bookmarkEnd w:id="194"/>
      <w:bookmarkEnd w:id="195"/>
      <w:bookmarkEnd w:id="196"/>
    </w:p>
    <w:p>
      <w:pPr>
        <w:pStyle w:val="22"/>
        <w:tabs>
          <w:tab w:val="left" w:pos="1202"/>
        </w:tabs>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1659264" behindDoc="0" locked="0" layoutInCell="1" allowOverlap="1">
                <wp:simplePos x="0" y="0"/>
                <wp:positionH relativeFrom="column">
                  <wp:posOffset>-95250</wp:posOffset>
                </wp:positionH>
                <wp:positionV relativeFrom="paragraph">
                  <wp:posOffset>293370</wp:posOffset>
                </wp:positionV>
                <wp:extent cx="832485" cy="254000"/>
                <wp:effectExtent l="0" t="0" r="0" b="0"/>
                <wp:wrapNone/>
                <wp:docPr id="1" name="文本框 2"/>
                <wp:cNvGraphicFramePr/>
                <a:graphic xmlns:a="http://schemas.openxmlformats.org/drawingml/2006/main">
                  <a:graphicData uri="http://schemas.microsoft.com/office/word/2010/wordprocessingShape">
                    <wps:wsp>
                      <wps:cNvSpPr txBox="1"/>
                      <wps:spPr>
                        <a:xfrm>
                          <a:off x="0" y="0"/>
                          <a:ext cx="832485" cy="254000"/>
                        </a:xfrm>
                        <a:prstGeom prst="rect">
                          <a:avLst/>
                        </a:prstGeom>
                        <a:solidFill>
                          <a:srgbClr val="FFFFFF"/>
                        </a:solid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标题和旁注</w:t>
                            </w:r>
                          </w:p>
                        </w:txbxContent>
                      </wps:txbx>
                      <wps:bodyPr wrap="square" upright="1"/>
                    </wps:wsp>
                  </a:graphicData>
                </a:graphic>
              </wp:anchor>
            </w:drawing>
          </mc:Choice>
          <mc:Fallback>
            <w:pict>
              <v:shape id="文本框 2" o:spid="_x0000_s1026" o:spt="202" type="#_x0000_t202" style="position:absolute;left:0pt;margin-left:-7.5pt;margin-top:23.1pt;height:20pt;width:65.55pt;z-index:251659264;mso-width-relative:page;mso-height-relative:page;" fillcolor="#FFFFFF" filled="t" stroked="f" coordsize="21600,21600" o:gfxdata="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MHEGbrXAAAACQEAAA8AAAAAAAAAAQAgAAAAIgAAAGRycy9k&#10;b3ducmV2LnhtbFBLAQIUABQAAAAIAIdO4kCUQHygygEAAIQDAAAOAAAAAAAAAAEAIAAAACYBAABk&#10;cnMvZTJvRG9jLnhtbFBLBQYAAAAABgAGAFkBAABiBQAAAAA=&#10;">
                <v:fill on="t"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标题和旁注</w:t>
                      </w:r>
                    </w:p>
                  </w:txbxContent>
                </v:textbox>
              </v:shape>
            </w:pict>
          </mc:Fallback>
        </mc:AlternateContent>
      </w:r>
      <w:r>
        <w:rPr>
          <w:rFonts w:ascii="仿宋" w:hAnsi="仿宋" w:eastAsia="仿宋" w:cs="仿宋"/>
          <w:b/>
          <w:bCs/>
          <w:color w:val="auto"/>
          <w:sz w:val="24"/>
          <w:szCs w:val="24"/>
          <w:highlight w:val="none"/>
          <w:lang w:eastAsia="zh-CN"/>
        </w:rPr>
        <w:t>2.1</w:t>
      </w:r>
    </w:p>
    <w:p>
      <w:pPr>
        <w:pStyle w:val="22"/>
        <w:widowControl w:val="0"/>
        <w:tabs>
          <w:tab w:val="left" w:pos="1202"/>
          <w:tab w:val="left" w:pos="1620"/>
          <w:tab w:val="left" w:pos="1800"/>
          <w:tab w:val="left" w:pos="2160"/>
        </w:tabs>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本合同条款的标题和旁注不构成合同的组成部分。</w:t>
      </w:r>
    </w:p>
    <w:p>
      <w:pPr>
        <w:pStyle w:val="22"/>
        <w:tabs>
          <w:tab w:val="left" w:pos="1202"/>
        </w:tabs>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w:t>
      </w:r>
      <w:r>
        <w:rPr>
          <w:rFonts w:ascii="仿宋" w:hAnsi="仿宋" w:eastAsia="仿宋" w:cs="仿宋"/>
          <w:b/>
          <w:bCs/>
          <w:color w:val="auto"/>
          <w:sz w:val="24"/>
          <w:szCs w:val="24"/>
          <w:highlight w:val="none"/>
          <w:lang w:eastAsia="zh-CN"/>
        </w:rPr>
        <w:t xml:space="preserve">2.2  </w:t>
      </w:r>
      <w:r>
        <w:rPr>
          <w:rFonts w:ascii="仿宋" w:hAnsi="仿宋" w:eastAsia="仿宋" w:cs="仿宋"/>
          <w:b/>
          <w:bCs/>
          <w:color w:val="auto"/>
          <w:sz w:val="24"/>
          <w:szCs w:val="24"/>
          <w:highlight w:val="none"/>
          <w:u w:val="dotted"/>
          <w:lang w:eastAsia="zh-CN"/>
        </w:rPr>
        <w:t xml:space="preserve">                                                                             </w:t>
      </w:r>
    </w:p>
    <w:p>
      <w:pPr>
        <w:pStyle w:val="22"/>
        <w:widowControl w:val="0"/>
        <w:tabs>
          <w:tab w:val="left" w:pos="1202"/>
          <w:tab w:val="left" w:pos="1620"/>
          <w:tab w:val="left" w:pos="1800"/>
          <w:tab w:val="left" w:pos="2160"/>
        </w:tabs>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660288" behindDoc="0" locked="0" layoutInCell="1" allowOverlap="1">
                <wp:simplePos x="0" y="0"/>
                <wp:positionH relativeFrom="column">
                  <wp:posOffset>-114300</wp:posOffset>
                </wp:positionH>
                <wp:positionV relativeFrom="paragraph">
                  <wp:posOffset>67310</wp:posOffset>
                </wp:positionV>
                <wp:extent cx="774065" cy="673735"/>
                <wp:effectExtent l="0" t="0" r="0" b="0"/>
                <wp:wrapNone/>
                <wp:docPr id="2" name="文本框 3"/>
                <wp:cNvGraphicFramePr/>
                <a:graphic xmlns:a="http://schemas.openxmlformats.org/drawingml/2006/main">
                  <a:graphicData uri="http://schemas.microsoft.com/office/word/2010/wordprocessingShape">
                    <wps:wsp>
                      <wps:cNvSpPr txBox="1"/>
                      <wps:spPr>
                        <a:xfrm>
                          <a:off x="0" y="0"/>
                          <a:ext cx="774065" cy="673735"/>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合同文件组成及优先顺序</w:t>
                            </w:r>
                          </w:p>
                        </w:txbxContent>
                      </wps:txbx>
                      <wps:bodyPr wrap="square" upright="1"/>
                    </wps:wsp>
                  </a:graphicData>
                </a:graphic>
              </wp:anchor>
            </w:drawing>
          </mc:Choice>
          <mc:Fallback>
            <w:pict>
              <v:shape id="文本框 3" o:spid="_x0000_s1026" o:spt="202" type="#_x0000_t202" style="position:absolute;left:0pt;margin-left:-9pt;margin-top:5.3pt;height:53.05pt;width:60.95pt;z-index:251660288;mso-width-relative:page;mso-height-relative:page;" filled="f" stroked="f" coordsize="21600,21600" o:gfxdata="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wCPT7NcAAAAKAQAADwAAAAAAAAABACAAAAAiAAAAZHJzL2Rvd25yZXYueG1sUEsBAhQAFAAA&#10;AAgAh07iQKuxRAW3AQAAWwMAAA4AAAAAAAAAAQAgAAAAJgEAAGRycy9lMm9Eb2MueG1sUEsFBgAA&#10;AAAGAAYAWQEAAE8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合同文件组成及优先顺序</w:t>
                      </w:r>
                    </w:p>
                  </w:txbxContent>
                </v:textbox>
              </v:shape>
            </w:pict>
          </mc:Fallback>
        </mc:AlternateContent>
      </w:r>
      <w:bookmarkStart w:id="197" w:name="_Ref531948776"/>
      <w:r>
        <w:rPr>
          <w:rFonts w:hint="eastAsia" w:ascii="仿宋" w:hAnsi="仿宋" w:eastAsia="仿宋" w:cs="仿宋"/>
          <w:color w:val="auto"/>
          <w:sz w:val="24"/>
          <w:szCs w:val="24"/>
          <w:highlight w:val="none"/>
          <w:lang w:eastAsia="zh-CN"/>
        </w:rPr>
        <w:t>组成合同的各项文件应互相解释，互为说明。除专用条款另有约定外，</w:t>
      </w:r>
      <w:bookmarkEnd w:id="197"/>
      <w:r>
        <w:rPr>
          <w:rFonts w:hint="eastAsia" w:ascii="仿宋" w:hAnsi="仿宋" w:eastAsia="仿宋" w:cs="仿宋"/>
          <w:color w:val="auto"/>
          <w:sz w:val="24"/>
          <w:szCs w:val="24"/>
          <w:highlight w:val="none"/>
          <w:lang w:eastAsia="zh-CN"/>
        </w:rPr>
        <w:t>解释合同文件的优先顺序如下：</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协议书；</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中标通知书（如果有）；</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承包人投标文件及其附件（含评标期间的澄清文件和补充资料）（如果有）；</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专用条款；</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通用条款；</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《发包人要求》；</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标准、规范；</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项目基础资料；</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合同价格清单；</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rPr>
        <w:t>招标文件（包括补充、修改、澄清的文件、答疑纪要）（如果有）；</w:t>
      </w:r>
    </w:p>
    <w:p>
      <w:pPr>
        <w:widowControl w:val="0"/>
        <w:numPr>
          <w:ilvl w:val="0"/>
          <w:numId w:val="1"/>
        </w:numPr>
        <w:spacing w:line="360" w:lineRule="auto"/>
        <w:ind w:left="1850" w:leftChars="771"/>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双方约定的其他合同文件。</w:t>
      </w:r>
      <w:bookmarkStart w:id="198" w:name="_Hlk18951547"/>
    </w:p>
    <w:p>
      <w:pPr>
        <w:widowControl w:val="0"/>
        <w:spacing w:line="360" w:lineRule="auto"/>
        <w:ind w:left="1680" w:leftChars="700"/>
        <w:rPr>
          <w:rFonts w:ascii="仿宋" w:hAnsi="仿宋" w:eastAsia="仿宋" w:cs="仿宋"/>
          <w:color w:val="auto"/>
          <w:highlight w:val="none"/>
          <w:lang w:eastAsia="zh-CN"/>
        </w:rPr>
      </w:pPr>
      <w:r>
        <w:rPr>
          <w:rFonts w:hint="eastAsia" w:ascii="仿宋" w:hAnsi="仿宋" w:eastAsia="仿宋" w:cs="仿宋"/>
          <w:color w:val="auto"/>
          <w:highlight w:val="none"/>
          <w:lang w:eastAsia="zh-CN" w:bidi="ar-SA"/>
        </w:rPr>
        <w:t>上述各项合同文件包括合同当事人就该项合同文件所作出的补充和修改，同类文件相应内容不一致的，应以最新签署的为准</w:t>
      </w:r>
      <w:bookmarkEnd w:id="198"/>
      <w:r>
        <w:rPr>
          <w:rFonts w:hint="eastAsia" w:ascii="仿宋" w:hAnsi="仿宋" w:eastAsia="仿宋" w:cs="仿宋"/>
          <w:color w:val="auto"/>
          <w:highlight w:val="none"/>
          <w:lang w:eastAsia="zh-CN" w:bidi="ar-SA"/>
        </w:rPr>
        <w:t>。</w:t>
      </w:r>
      <w:r>
        <w:rPr>
          <w:rFonts w:hint="eastAsia" w:ascii="仿宋" w:hAnsi="仿宋" w:eastAsia="仿宋" w:cs="仿宋"/>
          <w:color w:val="auto"/>
          <w:highlight w:val="none"/>
          <w:lang w:eastAsia="zh-CN"/>
        </w:rPr>
        <w:t>合同专用条款及其附件须经合同当事人签字并盖章。</w:t>
      </w:r>
    </w:p>
    <w:p>
      <w:pPr>
        <w:widowControl w:val="0"/>
        <w:spacing w:line="360" w:lineRule="auto"/>
        <w:ind w:left="1680" w:leftChars="700"/>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bidi="ar-SA"/>
        </w:rPr>
        <w:t>在合同订立及履行过程中形成的与合同有关的文件均构成合同文件组成部分，并根据其性质确定优先解释顺序。</w:t>
      </w:r>
    </w:p>
    <w:p>
      <w:pPr>
        <w:pStyle w:val="22"/>
        <w:tabs>
          <w:tab w:val="left" w:pos="1202"/>
        </w:tabs>
        <w:spacing w:line="360" w:lineRule="auto"/>
        <w:rPr>
          <w:rFonts w:ascii="仿宋" w:hAnsi="仿宋" w:eastAsia="仿宋"/>
          <w:b/>
          <w:bCs/>
          <w:color w:val="auto"/>
          <w:sz w:val="24"/>
          <w:szCs w:val="24"/>
          <w:highlight w:val="none"/>
          <w:lang w:eastAsia="zh-CN"/>
        </w:rPr>
      </w:pPr>
      <w:bookmarkStart w:id="199" w:name="_Toc25289"/>
      <w:r>
        <w:rPr>
          <w:rFonts w:ascii="仿宋" w:hAnsi="仿宋" w:eastAsia="仿宋" w:cs="仿宋"/>
          <w:b/>
          <w:bCs/>
          <w:color w:val="auto"/>
          <w:sz w:val="24"/>
          <w:szCs w:val="24"/>
          <w:highlight w:val="none"/>
          <w:lang w:eastAsia="zh-CN"/>
        </w:rPr>
        <w:t>2.3</w:t>
      </w:r>
      <w:bookmarkEnd w:id="199"/>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661312" behindDoc="0" locked="0" layoutInCell="1" allowOverlap="1">
                <wp:simplePos x="0" y="0"/>
                <wp:positionH relativeFrom="column">
                  <wp:posOffset>-114300</wp:posOffset>
                </wp:positionH>
                <wp:positionV relativeFrom="paragraph">
                  <wp:posOffset>0</wp:posOffset>
                </wp:positionV>
                <wp:extent cx="851535" cy="899160"/>
                <wp:effectExtent l="0" t="0" r="0" b="0"/>
                <wp:wrapNone/>
                <wp:docPr id="3" name="文本框 4"/>
                <wp:cNvGraphicFramePr/>
                <a:graphic xmlns:a="http://schemas.openxmlformats.org/drawingml/2006/main">
                  <a:graphicData uri="http://schemas.microsoft.com/office/word/2010/wordprocessingShape">
                    <wps:wsp>
                      <wps:cNvSpPr txBox="1"/>
                      <wps:spPr>
                        <a:xfrm>
                          <a:off x="0" y="0"/>
                          <a:ext cx="851535" cy="89916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设计顾问人、监理人或造价咨询作人出解释</w:t>
                            </w:r>
                          </w:p>
                        </w:txbxContent>
                      </wps:txbx>
                      <wps:bodyPr wrap="square" upright="1"/>
                    </wps:wsp>
                  </a:graphicData>
                </a:graphic>
              </wp:anchor>
            </w:drawing>
          </mc:Choice>
          <mc:Fallback>
            <w:pict>
              <v:shape id="文本框 4" o:spid="_x0000_s1026" o:spt="202" type="#_x0000_t202" style="position:absolute;left:0pt;margin-left:-9pt;margin-top:0pt;height:70.8pt;width:67.05pt;z-index:251661312;mso-width-relative:page;mso-height-relative:page;" filled="f" stroked="f" coordsize="21600,21600" o:gfxdata="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YFZLENYAAAAIAQAADwAAAAAAAAABACAAAAAiAAAAZHJzL2Rvd25yZXYueG1sUEsBAhQAFAAA&#10;AAgAh07iQDnDvrO4AQAAWwMAAA4AAAAAAAAAAQAgAAAAJQEAAGRycy9lMm9Eb2MueG1sUEsFBgAA&#10;AAAGAAYAWQEAAE8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设计顾问人、监理人或造价咨询作人出解释</w:t>
                      </w:r>
                    </w:p>
                  </w:txbxContent>
                </v:textbox>
              </v:shape>
            </w:pict>
          </mc:Fallback>
        </mc:AlternateContent>
      </w:r>
      <w:r>
        <w:rPr>
          <w:rFonts w:hint="eastAsia" w:ascii="仿宋" w:hAnsi="仿宋" w:eastAsia="仿宋" w:cs="仿宋"/>
          <w:color w:val="auto"/>
          <w:highlight w:val="none"/>
          <w:lang w:eastAsia="zh-CN"/>
        </w:rPr>
        <w:t>当合同文件内容出现含糊不清或不一致时，由合同双方当事人在不影响合同工程正常实施的情况下协商解决。协商不成的，由设计顾问人、监理人、造价咨询人分别按照第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6</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7</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8</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款约定职权作出解释。如合同任何一方当事人不同意设计顾问人、监理人或造价咨询人作出的解释，按照第91条约定处理。</w:t>
      </w:r>
    </w:p>
    <w:p>
      <w:pPr>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bCs w:val="0"/>
          <w:color w:val="auto"/>
          <w:sz w:val="24"/>
          <w:szCs w:val="24"/>
          <w:highlight w:val="none"/>
          <w:lang w:eastAsia="zh-CN"/>
        </w:rPr>
      </w:pPr>
      <w:bookmarkStart w:id="200" w:name="_Toc25654"/>
      <w:bookmarkStart w:id="201" w:name="_Toc10097"/>
      <w:bookmarkStart w:id="202" w:name="_Toc18668"/>
      <w:bookmarkStart w:id="203" w:name="_Toc10627"/>
      <w:bookmarkStart w:id="204" w:name="_Toc469383982"/>
      <w:bookmarkStart w:id="205" w:name="_Toc5252"/>
      <w:bookmarkStart w:id="206" w:name="_Toc24729"/>
      <w:bookmarkStart w:id="207" w:name="_Toc26941"/>
      <w:bookmarkStart w:id="208" w:name="_Toc6162"/>
      <w:r>
        <w:rPr>
          <w:rFonts w:ascii="仿宋" w:hAnsi="仿宋" w:eastAsia="仿宋" w:cs="仿宋"/>
          <w:bCs w:val="0"/>
          <w:color w:val="auto"/>
          <w:sz w:val="24"/>
          <w:szCs w:val="24"/>
          <w:highlight w:val="none"/>
          <w:lang w:eastAsia="zh-CN"/>
        </w:rPr>
        <w:t xml:space="preserve">3 </w:t>
      </w:r>
      <w:r>
        <w:rPr>
          <w:rFonts w:hint="eastAsia" w:ascii="仿宋" w:hAnsi="仿宋" w:eastAsia="仿宋" w:cs="仿宋"/>
          <w:bCs w:val="0"/>
          <w:color w:val="auto"/>
          <w:sz w:val="24"/>
          <w:szCs w:val="24"/>
          <w:highlight w:val="none"/>
          <w:lang w:eastAsia="zh-CN"/>
        </w:rPr>
        <w:t>阅读、理解与接受</w:t>
      </w:r>
      <w:bookmarkEnd w:id="200"/>
      <w:bookmarkEnd w:id="201"/>
      <w:bookmarkEnd w:id="202"/>
      <w:bookmarkEnd w:id="203"/>
      <w:bookmarkEnd w:id="204"/>
      <w:bookmarkEnd w:id="205"/>
      <w:bookmarkEnd w:id="206"/>
      <w:bookmarkEnd w:id="207"/>
      <w:bookmarkEnd w:id="208"/>
    </w:p>
    <w:p>
      <w:pPr>
        <w:tabs>
          <w:tab w:val="left" w:pos="1260"/>
        </w:tabs>
        <w:spacing w:before="240" w:beforeLines="100" w:line="360" w:lineRule="auto"/>
        <w:rPr>
          <w:rFonts w:ascii="仿宋" w:hAnsi="仿宋" w:eastAsia="仿宋"/>
          <w:b/>
          <w:bCs/>
          <w:color w:val="auto"/>
          <w:highlight w:val="none"/>
          <w:lang w:eastAsia="zh-CN"/>
        </w:rPr>
      </w:pPr>
      <w:r>
        <w:rPr>
          <w:rFonts w:ascii="仿宋" w:hAnsi="仿宋" w:eastAsia="仿宋" w:cs="仿宋"/>
          <w:b/>
          <w:bCs/>
          <w:color w:val="auto"/>
          <w:highlight w:val="none"/>
          <w:lang w:eastAsia="zh-CN"/>
        </w:rPr>
        <w:t>3.1</w:t>
      </w:r>
    </w:p>
    <w:p>
      <w:pPr>
        <w:pStyle w:val="22"/>
        <w:widowControl w:val="0"/>
        <w:spacing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color w:val="auto"/>
          <w:sz w:val="24"/>
          <w:szCs w:val="24"/>
          <w:highlight w:val="none"/>
        </w:rPr>
        <mc:AlternateContent>
          <mc:Choice Requires="wps">
            <w:drawing>
              <wp:anchor distT="0" distB="0" distL="114300" distR="114300" simplePos="0" relativeHeight="251662336" behindDoc="0" locked="0" layoutInCell="1" allowOverlap="1">
                <wp:simplePos x="0" y="0"/>
                <wp:positionH relativeFrom="column">
                  <wp:posOffset>-114300</wp:posOffset>
                </wp:positionH>
                <wp:positionV relativeFrom="paragraph">
                  <wp:posOffset>0</wp:posOffset>
                </wp:positionV>
                <wp:extent cx="775970" cy="527050"/>
                <wp:effectExtent l="0" t="0" r="0" b="0"/>
                <wp:wrapNone/>
                <wp:docPr id="4" name="文本框 5"/>
                <wp:cNvGraphicFramePr/>
                <a:graphic xmlns:a="http://schemas.openxmlformats.org/drawingml/2006/main">
                  <a:graphicData uri="http://schemas.microsoft.com/office/word/2010/wordprocessingShape">
                    <wps:wsp>
                      <wps:cNvSpPr txBox="1"/>
                      <wps:spPr>
                        <a:xfrm>
                          <a:off x="0" y="0"/>
                          <a:ext cx="775970" cy="527050"/>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阅读、理解与接受</w:t>
                            </w:r>
                          </w:p>
                        </w:txbxContent>
                      </wps:txbx>
                      <wps:bodyPr wrap="square" upright="1"/>
                    </wps:wsp>
                  </a:graphicData>
                </a:graphic>
              </wp:anchor>
            </w:drawing>
          </mc:Choice>
          <mc:Fallback>
            <w:pict>
              <v:shape id="文本框 5" o:spid="_x0000_s1026" o:spt="202" type="#_x0000_t202" style="position:absolute;left:0pt;margin-left:-9pt;margin-top:0pt;height:41.5pt;width:61.1pt;z-index:251662336;mso-width-relative:page;mso-height-relative:page;" filled="f" stroked="f" coordsize="21600,21600" o:gfxdata="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DbRkyjVAAAABwEAAA8AAAAAAAAAAQAgAAAAIgAAAGRycy9kb3ducmV2LnhtbFBLAQIUABQAAAAI&#10;AIdO4kA5s/qetwEAAFsDAAAOAAAAAAAAAAEAIAAAACQBAABkcnMvZTJvRG9jLnhtbFBLBQYAAAAA&#10;BgAGAFkBAABNBQ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阅读、理解与接受</w:t>
                      </w:r>
                    </w:p>
                  </w:txbxContent>
                </v:textbox>
              </v:shape>
            </w:pict>
          </mc:Fallback>
        </mc:AlternateContent>
      </w:r>
      <w:r>
        <w:rPr>
          <w:rFonts w:hint="eastAsia" w:ascii="仿宋" w:hAnsi="仿宋" w:eastAsia="仿宋" w:cs="仿宋"/>
          <w:color w:val="auto"/>
          <w:sz w:val="24"/>
          <w:szCs w:val="24"/>
          <w:highlight w:val="none"/>
          <w:lang w:eastAsia="zh-CN"/>
        </w:rPr>
        <w:t>合同双方当事人应认真阅读和理解本合同的全部内容。除合同双方当事人同意修改外，本合同一旦订立，视为合同双方当事人已全面接受本合同的所有条款。</w:t>
      </w:r>
    </w:p>
    <w:p>
      <w:pPr>
        <w:tabs>
          <w:tab w:val="left" w:pos="1260"/>
        </w:tabs>
        <w:spacing w:before="240" w:beforeLines="100" w:line="360" w:lineRule="auto"/>
        <w:rPr>
          <w:rFonts w:ascii="仿宋" w:hAnsi="仿宋" w:eastAsia="仿宋" w:cs="仿宋"/>
          <w:b/>
          <w:bCs/>
          <w:color w:val="auto"/>
          <w:highlight w:val="none"/>
          <w:u w:val="dotted"/>
          <w:lang w:eastAsia="zh-CN"/>
        </w:rPr>
      </w:pPr>
      <w:bookmarkStart w:id="209" w:name="_Toc5121"/>
      <w:r>
        <w:rPr>
          <w:rFonts w:ascii="仿宋" w:hAnsi="仿宋" w:eastAsia="仿宋" w:cs="仿宋"/>
          <w:b/>
          <w:bCs/>
          <w:color w:val="auto"/>
          <w:highlight w:val="none"/>
          <w:lang w:eastAsia="zh-CN"/>
        </w:rPr>
        <w:t>3.2</w:t>
      </w:r>
      <w:bookmarkEnd w:id="20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63360" behindDoc="0" locked="0" layoutInCell="1" allowOverlap="1">
                <wp:simplePos x="0" y="0"/>
                <wp:positionH relativeFrom="column">
                  <wp:posOffset>-114300</wp:posOffset>
                </wp:positionH>
                <wp:positionV relativeFrom="paragraph">
                  <wp:posOffset>126365</wp:posOffset>
                </wp:positionV>
                <wp:extent cx="847725" cy="517525"/>
                <wp:effectExtent l="0" t="0" r="0" b="0"/>
                <wp:wrapNone/>
                <wp:docPr id="5" name="文本框 6"/>
                <wp:cNvGraphicFramePr/>
                <a:graphic xmlns:a="http://schemas.openxmlformats.org/drawingml/2006/main">
                  <a:graphicData uri="http://schemas.microsoft.com/office/word/2010/wordprocessingShape">
                    <wps:wsp>
                      <wps:cNvSpPr txBox="1"/>
                      <wps:spPr>
                        <a:xfrm>
                          <a:off x="0" y="0"/>
                          <a:ext cx="847725" cy="51752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修改合同条款的限制</w:t>
                            </w:r>
                          </w:p>
                        </w:txbxContent>
                      </wps:txbx>
                      <wps:bodyPr wrap="square" upright="1"/>
                    </wps:wsp>
                  </a:graphicData>
                </a:graphic>
              </wp:anchor>
            </w:drawing>
          </mc:Choice>
          <mc:Fallback>
            <w:pict>
              <v:shape id="文本框 6" o:spid="_x0000_s1026" o:spt="202" type="#_x0000_t202" style="position:absolute;left:0pt;margin-left:-9pt;margin-top:9.95pt;height:40.75pt;width:66.75pt;z-index:251663360;mso-width-relative:page;mso-height-relative:page;" filled="f" stroked="f" coordsize="21600,21600" o:gfxdata="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vGwfRdYAAAAKAQAADwAAAAAAAAABACAAAAAiAAAAZHJzL2Rvd25yZXYueG1sUEsBAhQAFAAAAAgA&#10;h07iQNCOXrG1AQAAWwMAAA4AAAAAAAAAAQAgAAAAJQEAAGRycy9lMm9Eb2MueG1sUEsFBgAAAAAG&#10;AAYAWQEAAEwFA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修改合同条款的限制</w:t>
                      </w:r>
                    </w:p>
                  </w:txbxContent>
                </v:textbox>
              </v:shape>
            </w:pict>
          </mc:Fallback>
        </mc:AlternateContent>
      </w:r>
      <w:r>
        <w:rPr>
          <w:rFonts w:hint="eastAsia" w:ascii="仿宋" w:hAnsi="仿宋" w:eastAsia="仿宋" w:cs="仿宋"/>
          <w:color w:val="auto"/>
          <w:sz w:val="24"/>
          <w:szCs w:val="24"/>
          <w:highlight w:val="none"/>
          <w:lang w:eastAsia="zh-CN"/>
        </w:rPr>
        <w:t>合同一方当事人违背本合同的承诺，要求另一方当事人接受对合同不公平修改，另一方当事人不接受的，应及时提出修正意见。经再次催告修正无效的情况下，不利一方当事人有权拒绝订立或单方解除本合同；给对方当事人造成损失的，责任方应予赔偿。</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widowControl w:val="0"/>
        <w:tabs>
          <w:tab w:val="left" w:pos="420"/>
        </w:tabs>
        <w:spacing w:before="120" w:beforeLines="50" w:after="120" w:afterLines="50" w:line="360" w:lineRule="auto"/>
        <w:rPr>
          <w:rFonts w:ascii="仿宋" w:hAnsi="仿宋" w:eastAsia="仿宋"/>
          <w:bCs w:val="0"/>
          <w:color w:val="auto"/>
          <w:sz w:val="24"/>
          <w:szCs w:val="24"/>
          <w:highlight w:val="none"/>
          <w:lang w:eastAsia="zh-CN"/>
        </w:rPr>
      </w:pPr>
      <w:bookmarkStart w:id="210" w:name="_Toc14037"/>
      <w:bookmarkStart w:id="211" w:name="_Toc22972"/>
      <w:bookmarkStart w:id="212" w:name="_Toc14869"/>
      <w:bookmarkStart w:id="213" w:name="_Toc29073"/>
      <w:bookmarkStart w:id="214" w:name="_Toc469383983"/>
      <w:bookmarkStart w:id="215" w:name="_Toc5048"/>
      <w:bookmarkStart w:id="216" w:name="_Toc21647"/>
      <w:bookmarkStart w:id="217" w:name="_Toc11122"/>
      <w:bookmarkStart w:id="218" w:name="_Toc11943"/>
      <w:r>
        <w:rPr>
          <w:rFonts w:ascii="仿宋" w:hAnsi="仿宋" w:eastAsia="仿宋" w:cs="仿宋"/>
          <w:bCs w:val="0"/>
          <w:color w:val="auto"/>
          <w:sz w:val="24"/>
          <w:szCs w:val="24"/>
          <w:highlight w:val="none"/>
          <w:lang w:eastAsia="zh-CN"/>
        </w:rPr>
        <w:t xml:space="preserve">4 </w:t>
      </w:r>
      <w:r>
        <w:rPr>
          <w:rFonts w:hint="eastAsia" w:ascii="仿宋" w:hAnsi="仿宋" w:eastAsia="仿宋" w:cs="仿宋"/>
          <w:bCs w:val="0"/>
          <w:color w:val="auto"/>
          <w:sz w:val="24"/>
          <w:szCs w:val="24"/>
          <w:highlight w:val="none"/>
          <w:lang w:eastAsia="zh-CN"/>
        </w:rPr>
        <w:t>语言及适用的法律、标准与规范</w:t>
      </w:r>
      <w:bookmarkEnd w:id="210"/>
      <w:bookmarkEnd w:id="211"/>
      <w:bookmarkEnd w:id="212"/>
      <w:bookmarkEnd w:id="213"/>
      <w:bookmarkEnd w:id="214"/>
      <w:bookmarkEnd w:id="215"/>
      <w:bookmarkEnd w:id="216"/>
      <w:bookmarkEnd w:id="217"/>
      <w:bookmarkEnd w:id="218"/>
    </w:p>
    <w:p>
      <w:pPr>
        <w:rPr>
          <w:rFonts w:ascii="仿宋" w:hAnsi="仿宋" w:eastAsia="仿宋"/>
          <w:b/>
          <w:bCs/>
          <w:color w:val="auto"/>
          <w:highlight w:val="none"/>
          <w:lang w:eastAsia="zh-CN"/>
        </w:rPr>
      </w:pPr>
      <w:bookmarkStart w:id="219" w:name="_Toc12567"/>
      <w:r>
        <w:rPr>
          <w:rFonts w:ascii="仿宋" w:hAnsi="仿宋" w:eastAsia="仿宋" w:cs="仿宋"/>
          <w:b/>
          <w:bCs/>
          <w:color w:val="auto"/>
          <w:highlight w:val="none"/>
          <w:lang w:eastAsia="zh-CN"/>
        </w:rPr>
        <w:t>4.1</w:t>
      </w:r>
      <w:bookmarkEnd w:id="219"/>
    </w:p>
    <w:p>
      <w:pPr>
        <w:pStyle w:val="22"/>
        <w:widowControl w:val="0"/>
        <w:spacing w:line="360" w:lineRule="auto"/>
        <w:ind w:left="1850" w:leftChars="771"/>
        <w:jc w:val="both"/>
        <w:rPr>
          <w:rFonts w:ascii="仿宋" w:hAnsi="仿宋" w:eastAsia="仿宋" w:cs="仿宋"/>
          <w:color w:val="auto"/>
          <w:sz w:val="24"/>
          <w:szCs w:val="24"/>
          <w:highlight w:val="none"/>
          <w:lang w:eastAsia="zh-CN" w:bidi="en-US"/>
        </w:rPr>
      </w:pPr>
      <w:r>
        <w:rPr>
          <w:rFonts w:hint="eastAsia" w:ascii="仿宋" w:hAnsi="仿宋" w:eastAsia="仿宋" w:cs="仿宋"/>
          <w:color w:val="auto"/>
          <w:sz w:val="24"/>
          <w:szCs w:val="24"/>
          <w:highlight w:val="none"/>
          <w:lang w:bidi="en-US"/>
        </w:rPr>
        <mc:AlternateContent>
          <mc:Choice Requires="wps">
            <w:drawing>
              <wp:anchor distT="0" distB="0" distL="114300" distR="114300" simplePos="0" relativeHeight="251666432" behindDoc="0" locked="0" layoutInCell="1" allowOverlap="1">
                <wp:simplePos x="0" y="0"/>
                <wp:positionH relativeFrom="column">
                  <wp:posOffset>-133350</wp:posOffset>
                </wp:positionH>
                <wp:positionV relativeFrom="paragraph">
                  <wp:posOffset>63500</wp:posOffset>
                </wp:positionV>
                <wp:extent cx="647700" cy="287655"/>
                <wp:effectExtent l="0" t="0" r="0" b="0"/>
                <wp:wrapNone/>
                <wp:docPr id="8" name="文本框 416"/>
                <wp:cNvGraphicFramePr/>
                <a:graphic xmlns:a="http://schemas.openxmlformats.org/drawingml/2006/main">
                  <a:graphicData uri="http://schemas.microsoft.com/office/word/2010/wordprocessingShape">
                    <wps:wsp>
                      <wps:cNvSpPr txBox="1"/>
                      <wps:spPr>
                        <a:xfrm>
                          <a:off x="0" y="0"/>
                          <a:ext cx="647700" cy="28765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语言文字</w:t>
                            </w:r>
                          </w:p>
                        </w:txbxContent>
                      </wps:txbx>
                      <wps:bodyPr wrap="square" upright="1"/>
                    </wps:wsp>
                  </a:graphicData>
                </a:graphic>
              </wp:anchor>
            </w:drawing>
          </mc:Choice>
          <mc:Fallback>
            <w:pict>
              <v:shape id="文本框 416" o:spid="_x0000_s1026" o:spt="202" type="#_x0000_t202" style="position:absolute;left:0pt;margin-left:-10.5pt;margin-top:5pt;height:22.65pt;width:51pt;z-index:251666432;mso-width-relative:page;mso-height-relative:page;" filled="f" stroked="f" coordsize="21600,21600" o:gfxdata="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m+PYm9QAAAAIAQAADwAAAAAAAAABACAAAAAiAAAAZHJzL2Rvd25yZXYueG1sUEsBAhQAFAAAAAgA&#10;h07iQC7tMq+3AQAAXQMAAA4AAAAAAAAAAQAgAAAAIwEAAGRycy9lMm9Eb2MueG1sUEsFBgAAAAAG&#10;AAYAWQEAAEwFA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语言文字</w:t>
                      </w:r>
                    </w:p>
                  </w:txbxContent>
                </v:textbox>
              </v:shape>
            </w:pict>
          </mc:Fallback>
        </mc:AlternateContent>
      </w:r>
      <w:r>
        <w:rPr>
          <w:rFonts w:hint="eastAsia" w:ascii="仿宋" w:hAnsi="仿宋" w:eastAsia="仿宋" w:cs="仿宋"/>
          <w:color w:val="auto"/>
          <w:sz w:val="24"/>
          <w:szCs w:val="24"/>
          <w:highlight w:val="none"/>
          <w:lang w:eastAsia="zh-CN" w:bidi="en-US"/>
        </w:rPr>
        <w:t>合同文件以中国的汉语简体语言文字编写、解释和说明。专用术语使用外文的，应附有中文注释。合同当事人在约定使用两种及以上语言时，汉语为优先解释和说明合同的语言。</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与合同有关的联络应使用约定的语言。如没有约定，则应使用中国的汉语简体语言文字。</w:t>
      </w:r>
    </w:p>
    <w:p>
      <w:pPr>
        <w:spacing w:line="360" w:lineRule="auto"/>
        <w:rPr>
          <w:rFonts w:ascii="仿宋" w:hAnsi="仿宋" w:eastAsia="仿宋" w:cs="仿宋"/>
          <w:b/>
          <w:bCs/>
          <w:color w:val="auto"/>
          <w:highlight w:val="none"/>
          <w:lang w:eastAsia="zh-CN"/>
        </w:rPr>
      </w:pPr>
      <w:bookmarkStart w:id="220" w:name="_Toc5003"/>
      <w:r>
        <w:rPr>
          <w:rFonts w:ascii="仿宋" w:hAnsi="仿宋" w:eastAsia="仿宋" w:cs="仿宋"/>
          <w:b/>
          <w:bCs/>
          <w:color w:val="auto"/>
          <w:highlight w:val="none"/>
          <w:lang w:eastAsia="zh-CN"/>
        </w:rPr>
        <w:t>4.2</w:t>
      </w:r>
      <w:bookmarkEnd w:id="22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664384" behindDoc="0" locked="0" layoutInCell="1" allowOverlap="1">
                <wp:simplePos x="0" y="0"/>
                <wp:positionH relativeFrom="column">
                  <wp:posOffset>-114300</wp:posOffset>
                </wp:positionH>
                <wp:positionV relativeFrom="paragraph">
                  <wp:posOffset>38100</wp:posOffset>
                </wp:positionV>
                <wp:extent cx="647700" cy="287655"/>
                <wp:effectExtent l="0" t="0" r="0" b="0"/>
                <wp:wrapNone/>
                <wp:docPr id="6" name="文本框 7"/>
                <wp:cNvGraphicFramePr/>
                <a:graphic xmlns:a="http://schemas.openxmlformats.org/drawingml/2006/main">
                  <a:graphicData uri="http://schemas.microsoft.com/office/word/2010/wordprocessingShape">
                    <wps:wsp>
                      <wps:cNvSpPr txBox="1"/>
                      <wps:spPr>
                        <a:xfrm>
                          <a:off x="0" y="0"/>
                          <a:ext cx="647700" cy="28765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适用法律</w:t>
                            </w:r>
                          </w:p>
                        </w:txbxContent>
                      </wps:txbx>
                      <wps:bodyPr wrap="square" upright="1"/>
                    </wps:wsp>
                  </a:graphicData>
                </a:graphic>
              </wp:anchor>
            </w:drawing>
          </mc:Choice>
          <mc:Fallback>
            <w:pict>
              <v:shape id="文本框 7" o:spid="_x0000_s1026" o:spt="202" type="#_x0000_t202" style="position:absolute;left:0pt;margin-left:-9pt;margin-top:3pt;height:22.65pt;width:51pt;z-index:251664384;mso-width-relative:page;mso-height-relative:page;" filled="f" stroked="f" coordsize="21600,21600" o:gfxdata="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k&#10;kdLf1AAAAAcBAAAPAAAAAAAAAAEAIAAAACIAAABkcnMvZG93bnJldi54bWxQSwECFAAUAAAACACH&#10;TuJAmwlTYbYBAABbAwAADgAAAAAAAAABACAAAAAjAQAAZHJzL2Uyb0RvYy54bWxQSwUGAAAAAAYA&#10;BgBZAQAASw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适用法律</w:t>
                      </w:r>
                    </w:p>
                  </w:txbxContent>
                </v:textbox>
              </v:shape>
            </w:pict>
          </mc:Fallback>
        </mc:AlternateContent>
      </w:r>
      <w:r>
        <w:rPr>
          <w:rFonts w:hint="eastAsia" w:ascii="仿宋" w:hAnsi="仿宋" w:eastAsia="仿宋" w:cs="仿宋"/>
          <w:color w:val="auto"/>
          <w:highlight w:val="none"/>
          <w:lang w:eastAsia="zh-CN"/>
        </w:rPr>
        <w:t>本合同适用的法律为中华人民共和国的现行法律、行政法规、部门规章和合同工程所在地的地方性法规、地方政府规章、行政规范性文件。</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合同当事人可以在合同专用条款中约定合同适用的其他规范性文件。</w:t>
      </w:r>
    </w:p>
    <w:p>
      <w:pPr>
        <w:spacing w:line="360" w:lineRule="auto"/>
        <w:rPr>
          <w:rFonts w:ascii="仿宋" w:hAnsi="仿宋" w:eastAsia="仿宋" w:cs="仿宋"/>
          <w:b/>
          <w:bCs/>
          <w:color w:val="auto"/>
          <w:highlight w:val="none"/>
          <w:lang w:eastAsia="zh-CN"/>
        </w:rPr>
      </w:pPr>
      <w:bookmarkStart w:id="221" w:name="_Toc19514"/>
      <w:r>
        <w:rPr>
          <w:rFonts w:ascii="仿宋" w:hAnsi="仿宋" w:eastAsia="仿宋" w:cs="仿宋"/>
          <w:b/>
          <w:bCs/>
          <w:color w:val="auto"/>
          <w:highlight w:val="none"/>
          <w:lang w:eastAsia="zh-CN"/>
        </w:rPr>
        <w:t>4.3</w:t>
      </w:r>
      <w:bookmarkEnd w:id="22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665408" behindDoc="0" locked="0" layoutInCell="1" allowOverlap="1">
                <wp:simplePos x="0" y="0"/>
                <wp:positionH relativeFrom="column">
                  <wp:posOffset>-114300</wp:posOffset>
                </wp:positionH>
                <wp:positionV relativeFrom="paragraph">
                  <wp:posOffset>0</wp:posOffset>
                </wp:positionV>
                <wp:extent cx="828040" cy="382270"/>
                <wp:effectExtent l="0" t="0" r="0" b="0"/>
                <wp:wrapNone/>
                <wp:docPr id="7" name="文本框 8"/>
                <wp:cNvGraphicFramePr/>
                <a:graphic xmlns:a="http://schemas.openxmlformats.org/drawingml/2006/main">
                  <a:graphicData uri="http://schemas.microsoft.com/office/word/2010/wordprocessingShape">
                    <wps:wsp>
                      <wps:cNvSpPr txBox="1"/>
                      <wps:spPr>
                        <a:xfrm>
                          <a:off x="0" y="0"/>
                          <a:ext cx="828040" cy="382270"/>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适用标准与规范</w:t>
                            </w:r>
                          </w:p>
                        </w:txbxContent>
                      </wps:txbx>
                      <wps:bodyPr wrap="square" upright="1"/>
                    </wps:wsp>
                  </a:graphicData>
                </a:graphic>
              </wp:anchor>
            </w:drawing>
          </mc:Choice>
          <mc:Fallback>
            <w:pict>
              <v:shape id="文本框 8" o:spid="_x0000_s1026" o:spt="202" type="#_x0000_t202" style="position:absolute;left:0pt;margin-left:-9pt;margin-top:0pt;height:30.1pt;width:65.2pt;z-index:251665408;mso-width-relative:page;mso-height-relative:page;" filled="f" stroked="f" coordsize="21600,21600" o:gfxdata="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Q&#10;HKP61QAAAAcBAAAPAAAAAAAAAAEAIAAAACIAAABkcnMvZG93bnJldi54bWxQSwECFAAUAAAACACH&#10;TuJA+m2n07UBAABbAwAADgAAAAAAAAABACAAAAAkAQAAZHJzL2Uyb0RvYy54bWxQSwUGAAAAAAYA&#10;BgBZAQAASw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适用标准与规范</w:t>
                      </w:r>
                    </w:p>
                  </w:txbxContent>
                </v:textbox>
              </v:shape>
            </w:pict>
          </mc:Fallback>
        </mc:AlternateContent>
      </w:r>
      <w:r>
        <w:rPr>
          <w:rFonts w:hint="eastAsia" w:ascii="仿宋" w:hAnsi="仿宋" w:eastAsia="仿宋" w:cs="仿宋"/>
          <w:color w:val="auto"/>
          <w:highlight w:val="none"/>
          <w:lang w:eastAsia="zh-CN"/>
        </w:rPr>
        <w:t>4.3.1 本合同适用的标准与规范为国家、行业和广东省的标准与规范或规程，以及发包人在合同中要求使用的标准与规范。</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4.3.2  合同双方当事人在专用条款中约定适用的国家标准、规范名称；国家没有但行业有的，约定适用的行业标准、规范名称；国家和行业没有但广东省有的，约定适用的广东省地方标准、规范名称。</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4.3.3 国内没有适用的标准、规范的，由发包人在招标文件中或在承包人投标报价前提出技术要求，承包人在自主报价时按照要求提供具体的技术标准或施工工艺，经发包人确认后执行。发包人要求使用国外标准、规范的，应负责提供中文译本；有异议时，以中文译本为准。</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4.3.4  在基准日期之后，因国家颁布新的强制性标准、规范导致承包人的费用增加的，应由发包人与承包人协商合理增加合同价格；导致关键路径工期延误的，应由发包人与承包人协商合理延长工期。</w:t>
      </w:r>
    </w:p>
    <w:p>
      <w:pPr>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222" w:name="_Toc27934"/>
      <w:bookmarkStart w:id="223" w:name="_Toc24959"/>
      <w:bookmarkStart w:id="224" w:name="_Toc29513"/>
      <w:bookmarkStart w:id="225" w:name="_Toc12120"/>
      <w:bookmarkStart w:id="226" w:name="_Toc3645"/>
      <w:bookmarkStart w:id="227" w:name="_Toc2054"/>
      <w:bookmarkStart w:id="228" w:name="_Toc16249"/>
      <w:bookmarkStart w:id="229" w:name="_Toc22417"/>
      <w:bookmarkStart w:id="230" w:name="_Toc469383984"/>
      <w:r>
        <w:rPr>
          <w:rFonts w:hint="eastAsia" w:ascii="仿宋" w:hAnsi="仿宋" w:eastAsia="仿宋" w:cs="仿宋"/>
          <w:bCs w:val="0"/>
          <w:color w:val="auto"/>
          <w:sz w:val="24"/>
          <w:szCs w:val="24"/>
          <w:highlight w:val="none"/>
          <w:lang w:eastAsia="zh-CN"/>
        </w:rPr>
        <w:t>5 发包人要求</w:t>
      </w:r>
      <w:bookmarkEnd w:id="222"/>
      <w:bookmarkEnd w:id="223"/>
      <w:bookmarkEnd w:id="224"/>
      <w:bookmarkEnd w:id="225"/>
      <w:bookmarkEnd w:id="226"/>
      <w:bookmarkEnd w:id="227"/>
      <w:bookmarkEnd w:id="228"/>
      <w:bookmarkEnd w:id="229"/>
    </w:p>
    <w:p>
      <w:pPr>
        <w:rPr>
          <w:rFonts w:ascii="仿宋" w:hAnsi="仿宋" w:eastAsia="仿宋"/>
          <w:b/>
          <w:color w:val="auto"/>
          <w:highlight w:val="none"/>
          <w:lang w:eastAsia="zh-CN"/>
        </w:rPr>
      </w:pPr>
      <w:bookmarkStart w:id="231" w:name="_Toc14222"/>
      <w:r>
        <w:rPr>
          <w:rFonts w:hint="eastAsia" w:ascii="仿宋" w:hAnsi="仿宋" w:eastAsia="仿宋"/>
          <w:b/>
          <w:color w:val="auto"/>
          <w:highlight w:val="none"/>
          <w:lang w:eastAsia="zh-CN"/>
        </w:rPr>
        <w:t>5.1</w:t>
      </w:r>
      <w:bookmarkEnd w:id="231"/>
    </w:p>
    <w:p>
      <w:pPr>
        <w:widowControl w:val="0"/>
        <w:tabs>
          <w:tab w:val="left" w:pos="4970"/>
        </w:tabs>
        <w:spacing w:line="360" w:lineRule="auto"/>
        <w:ind w:left="1850" w:leftChars="771"/>
        <w:jc w:val="both"/>
        <w:rPr>
          <w:rFonts w:ascii="仿宋" w:hAnsi="仿宋" w:eastAsia="仿宋" w:cs="仿宋"/>
          <w:color w:val="auto"/>
          <w:highlight w:val="none"/>
          <w:lang w:eastAsia="zh-CN" w:bidi="ar-SA"/>
        </w:rPr>
      </w:pPr>
      <w:r>
        <w:rPr>
          <w:rFonts w:ascii="仿宋" w:hAnsi="仿宋" w:eastAsia="仿宋" w:cs="仿宋"/>
          <w:color w:val="auto"/>
          <w:highlight w:val="none"/>
        </w:rPr>
        <mc:AlternateContent>
          <mc:Choice Requires="wps">
            <w:drawing>
              <wp:anchor distT="0" distB="0" distL="114300" distR="114300" simplePos="0" relativeHeight="252085248" behindDoc="0" locked="0" layoutInCell="1" allowOverlap="1">
                <wp:simplePos x="0" y="0"/>
                <wp:positionH relativeFrom="column">
                  <wp:posOffset>-114300</wp:posOffset>
                </wp:positionH>
                <wp:positionV relativeFrom="paragraph">
                  <wp:posOffset>20320</wp:posOffset>
                </wp:positionV>
                <wp:extent cx="756920" cy="587375"/>
                <wp:effectExtent l="0" t="0" r="0" b="0"/>
                <wp:wrapNone/>
                <wp:docPr id="417" name="文本框 9"/>
                <wp:cNvGraphicFramePr/>
                <a:graphic xmlns:a="http://schemas.openxmlformats.org/drawingml/2006/main">
                  <a:graphicData uri="http://schemas.microsoft.com/office/word/2010/wordprocessingShape">
                    <wps:wsp>
                      <wps:cNvSpPr txBox="1"/>
                      <wps:spPr>
                        <a:xfrm>
                          <a:off x="0" y="0"/>
                          <a:ext cx="756920" cy="58737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发包人要求的提供</w:t>
                            </w:r>
                          </w:p>
                        </w:txbxContent>
                      </wps:txbx>
                      <wps:bodyPr wrap="square" upright="1"/>
                    </wps:wsp>
                  </a:graphicData>
                </a:graphic>
              </wp:anchor>
            </w:drawing>
          </mc:Choice>
          <mc:Fallback>
            <w:pict>
              <v:shape id="文本框 9" o:spid="_x0000_s1026" o:spt="202" type="#_x0000_t202" style="position:absolute;left:0pt;margin-left:-9pt;margin-top:1.6pt;height:46.25pt;width:59.6pt;z-index:252085248;mso-width-relative:page;mso-height-relative:page;" filled="f" stroked="f" coordsize="21600,21600" o:gfxdata="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B4uoQ7WAAAACAEAAA8AAAAAAAAAAQAgAAAAIgAAAGRycy9kb3ducmV2LnhtbFBLAQIUABQA&#10;AAAIAIdO4kCYenEluQEAAF0DAAAOAAAAAAAAAAEAIAAAACUBAABkcnMvZTJvRG9jLnhtbFBLBQYA&#10;AAAABgAGAFkBAABQBQ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发包人要求的提供</w:t>
                      </w:r>
                    </w:p>
                  </w:txbxContent>
                </v:textbox>
              </v:shape>
            </w:pict>
          </mc:Fallback>
        </mc:AlternateContent>
      </w:r>
      <w:r>
        <w:rPr>
          <w:rFonts w:hint="eastAsia" w:ascii="仿宋" w:hAnsi="仿宋" w:eastAsia="仿宋" w:cs="仿宋"/>
          <w:color w:val="auto"/>
          <w:highlight w:val="none"/>
          <w:lang w:eastAsia="zh-CN"/>
        </w:rPr>
        <w:t>发包人</w:t>
      </w:r>
      <w:r>
        <w:rPr>
          <w:rFonts w:hint="eastAsia" w:ascii="仿宋" w:hAnsi="仿宋" w:eastAsia="仿宋" w:cs="仿宋"/>
          <w:color w:val="auto"/>
          <w:highlight w:val="none"/>
          <w:lang w:eastAsia="zh-CN" w:bidi="ar-SA"/>
        </w:rPr>
        <w:t>（或其委托设计顾问人）应按</w:t>
      </w:r>
      <w:r>
        <w:rPr>
          <w:rFonts w:hint="eastAsia" w:ascii="仿宋" w:hAnsi="仿宋" w:eastAsia="仿宋" w:cs="仿宋"/>
          <w:color w:val="auto"/>
          <w:highlight w:val="none"/>
          <w:lang w:eastAsia="zh-CN"/>
        </w:rPr>
        <w:t>专用条款约定的时间提供书面文件，分别明确勘察、设计、BIM技术应用、采购、施工等合同约定工作的范围、内容、标准、规范及具体要求。因发包人未按时提供该书面文件，承包人无法按时开展总承包各阶段工作造成合同总工期延误及费用增加，由发包人</w:t>
      </w:r>
      <w:r>
        <w:rPr>
          <w:rFonts w:hint="eastAsia" w:ascii="仿宋" w:hAnsi="仿宋" w:eastAsia="仿宋" w:cs="仿宋"/>
          <w:color w:val="auto"/>
          <w:highlight w:val="none"/>
          <w:lang w:eastAsia="zh-CN" w:bidi="ar-SA"/>
        </w:rPr>
        <w:t>承担责任，按第43.3款约定处理。</w:t>
      </w:r>
    </w:p>
    <w:p>
      <w:pPr>
        <w:spacing w:line="360" w:lineRule="auto"/>
        <w:rPr>
          <w:rFonts w:ascii="仿宋" w:hAnsi="仿宋" w:eastAsia="仿宋"/>
          <w:b/>
          <w:color w:val="auto"/>
          <w:highlight w:val="none"/>
          <w:lang w:eastAsia="zh-CN"/>
        </w:rPr>
      </w:pPr>
      <w:bookmarkStart w:id="232" w:name="_Toc26954"/>
      <w:r>
        <w:rPr>
          <w:rFonts w:hint="eastAsia" w:ascii="仿宋" w:hAnsi="仿宋" w:eastAsia="仿宋"/>
          <w:b/>
          <w:color w:val="auto"/>
          <w:highlight w:val="none"/>
          <w:lang w:eastAsia="zh-CN"/>
        </w:rPr>
        <w:t>5.2</w:t>
      </w:r>
      <w:bookmarkEnd w:id="232"/>
      <w:r>
        <w:rPr>
          <w:rFonts w:ascii="仿宋" w:hAnsi="仿宋" w:eastAsia="仿宋"/>
          <w:b/>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rPr>
        <mc:AlternateContent>
          <mc:Choice Requires="wps">
            <w:drawing>
              <wp:anchor distT="0" distB="0" distL="114300" distR="114300" simplePos="0" relativeHeight="252086272" behindDoc="0" locked="0" layoutInCell="1" allowOverlap="1">
                <wp:simplePos x="0" y="0"/>
                <wp:positionH relativeFrom="column">
                  <wp:posOffset>-132715</wp:posOffset>
                </wp:positionH>
                <wp:positionV relativeFrom="paragraph">
                  <wp:posOffset>49530</wp:posOffset>
                </wp:positionV>
                <wp:extent cx="765810" cy="511810"/>
                <wp:effectExtent l="0" t="0" r="0" b="0"/>
                <wp:wrapNone/>
                <wp:docPr id="418" name="文本框 9"/>
                <wp:cNvGraphicFramePr/>
                <a:graphic xmlns:a="http://schemas.openxmlformats.org/drawingml/2006/main">
                  <a:graphicData uri="http://schemas.microsoft.com/office/word/2010/wordprocessingShape">
                    <wps:wsp>
                      <wps:cNvSpPr txBox="1"/>
                      <wps:spPr>
                        <a:xfrm>
                          <a:off x="0" y="0"/>
                          <a:ext cx="765810" cy="511810"/>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勘察的一般要求</w:t>
                            </w:r>
                          </w:p>
                        </w:txbxContent>
                      </wps:txbx>
                      <wps:bodyPr wrap="square" upright="1"/>
                    </wps:wsp>
                  </a:graphicData>
                </a:graphic>
              </wp:anchor>
            </w:drawing>
          </mc:Choice>
          <mc:Fallback>
            <w:pict>
              <v:shape id="文本框 9" o:spid="_x0000_s1026" o:spt="202" type="#_x0000_t202" style="position:absolute;left:0pt;margin-left:-10.45pt;margin-top:3.9pt;height:40.3pt;width:60.3pt;z-index:252086272;mso-width-relative:page;mso-height-relative:page;" filled="f" stroked="f" coordsize="21600,21600" o:gfxdata="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Hzd9otUAAAAHAQAADwAAAAAAAAABACAAAAAiAAAAZHJzL2Rvd25yZXYueG1sUEsBAhQAFAAAAAgA&#10;h07iQJD5Pay2AQAAXQMAAA4AAAAAAAAAAQAgAAAAJAEAAGRycy9lMm9Eb2MueG1sUEsFBgAAAAAG&#10;AAYAWQEAAEwFA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勘察的一般要求</w:t>
                      </w:r>
                    </w:p>
                  </w:txbxContent>
                </v:textbox>
              </v:shape>
            </w:pict>
          </mc:Fallback>
        </mc:AlternateContent>
      </w:r>
      <w:r>
        <w:rPr>
          <w:rFonts w:hint="eastAsia" w:ascii="仿宋" w:hAnsi="仿宋" w:eastAsia="仿宋"/>
          <w:color w:val="auto"/>
          <w:highlight w:val="none"/>
          <w:lang w:eastAsia="zh-CN"/>
        </w:rPr>
        <w:t>5.2.1 承包人应被视为其已于基准日期前仔细审阅了发包人的勘察要求（包括标准、规范和相关数据，如果有），承包人应对发包人的勘察要求进行核实，并对发包人勘察要求的正确性和（或）完整性负责。但下述情况的正确性和（或）完整性，应由发包人负责：</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（1）承包人不能或无法核实的部分要求、数据和（或）资料；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（2）专用条款约定不可变更的部分要求、数据和（或）资料。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5.2.2因承包人勘察工作缺陷影响后续设计或施工的，承包人应及时完善勘察工作及成果，因此对勘察及后续设计和（或）施工等阶段工作造成的工期延误及费用增加由承包人承担。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5.2.3 因承包人自身原因造成的勘察及后续设计和（或）施工等阶段工期延误及费用增加，由承包人承担。</w:t>
      </w:r>
    </w:p>
    <w:p>
      <w:pPr>
        <w:spacing w:line="360" w:lineRule="auto"/>
        <w:rPr>
          <w:color w:val="auto"/>
          <w:highlight w:val="none"/>
          <w:lang w:eastAsia="zh-CN"/>
        </w:rPr>
      </w:pPr>
      <w:bookmarkStart w:id="233" w:name="_Toc6094"/>
      <w:r>
        <w:rPr>
          <w:rFonts w:hint="eastAsia" w:ascii="仿宋" w:hAnsi="仿宋" w:eastAsia="仿宋"/>
          <w:b/>
          <w:color w:val="auto"/>
          <w:highlight w:val="none"/>
          <w:lang w:eastAsia="zh-CN"/>
        </w:rPr>
        <w:t>5.3</w:t>
      </w:r>
      <w:bookmarkEnd w:id="233"/>
      <w:r>
        <w:rPr>
          <w:rFonts w:ascii="仿宋" w:hAnsi="仿宋" w:eastAsia="仿宋"/>
          <w:b/>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rPr>
        <mc:AlternateContent>
          <mc:Choice Requires="wps">
            <w:drawing>
              <wp:anchor distT="0" distB="0" distL="114300" distR="114300" simplePos="0" relativeHeight="251667456" behindDoc="0" locked="0" layoutInCell="1" allowOverlap="1">
                <wp:simplePos x="0" y="0"/>
                <wp:positionH relativeFrom="column">
                  <wp:posOffset>-66675</wp:posOffset>
                </wp:positionH>
                <wp:positionV relativeFrom="paragraph">
                  <wp:posOffset>19685</wp:posOffset>
                </wp:positionV>
                <wp:extent cx="772795" cy="390525"/>
                <wp:effectExtent l="0" t="0" r="0" b="0"/>
                <wp:wrapNone/>
                <wp:docPr id="9" name="文本框 11"/>
                <wp:cNvGraphicFramePr/>
                <a:graphic xmlns:a="http://schemas.openxmlformats.org/drawingml/2006/main">
                  <a:graphicData uri="http://schemas.microsoft.com/office/word/2010/wordprocessingShape">
                    <wps:wsp>
                      <wps:cNvSpPr txBox="1"/>
                      <wps:spPr>
                        <a:xfrm>
                          <a:off x="0" y="0"/>
                          <a:ext cx="772795" cy="39052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设计的一般要求</w:t>
                            </w:r>
                          </w:p>
                        </w:txbxContent>
                      </wps:txbx>
                      <wps:bodyPr wrap="square" upright="1"/>
                    </wps:wsp>
                  </a:graphicData>
                </a:graphic>
              </wp:anchor>
            </w:drawing>
          </mc:Choice>
          <mc:Fallback>
            <w:pict>
              <v:shape id="文本框 11" o:spid="_x0000_s1026" o:spt="202" type="#_x0000_t202" style="position:absolute;left:0pt;margin-left:-5.25pt;margin-top:1.55pt;height:30.75pt;width:60.85pt;z-index:251667456;mso-width-relative:page;mso-height-relative:page;" filled="f" stroked="f" coordsize="21600,21600" o:gfxdata="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zVsv91QAAAAgBAAAPAAAAAAAAAAEAIAAAACIAAABkcnMvZG93bnJldi54bWxQSwECFAAUAAAA&#10;CACHTuJAlyPy57gBAABcAwAADgAAAAAAAAABACAAAAAkAQAAZHJzL2Uyb0RvYy54bWxQSwUGAAAA&#10;AAYABgBZAQAATg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设计的一般要求</w:t>
                      </w:r>
                    </w:p>
                  </w:txbxContent>
                </v:textbox>
              </v:shape>
            </w:pict>
          </mc:Fallback>
        </mc:AlternateContent>
      </w:r>
      <w:r>
        <w:rPr>
          <w:rFonts w:hint="eastAsia" w:ascii="仿宋" w:hAnsi="仿宋" w:eastAsia="仿宋"/>
          <w:color w:val="auto"/>
          <w:highlight w:val="none"/>
          <w:lang w:eastAsia="zh-CN"/>
        </w:rPr>
        <w:t>5.3.1承包人应被视为其已于基准日期前仔细审阅了发包人的设计要求（包括标准、规范和限额设计指标等相关数据，如果有），承包人应对发包人的设计要求进行核实，并对发包人设计要求的正确性和（或）完整性负责。但下述情况的正确性和（或）完整性，应由发包人负责：</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（1）有关合同工程或其任何部分的功能、用途等预期目的的说明；</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（2）有关合同工程的试车、试验和（或）性能标准；</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（3）承包人不能或无法核实的部分要求、数据和（或）资料；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（4）专用条款约定不可变更的部分要求、数据和资料。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5.3.2因承包人原因造成设计文件存在遗漏、错误、缺陷和不足的，承包人应及时修复、弥补、纠正和完善。因此对设计及后续设计和（或）施工等阶段工作造成的工期延误及费用增加由承包人承担。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5.3.3 因承包人自身原因造成的设计及后续设计和（或）施工等阶段工期延误及费用增加，由承包人承担。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5.3.4 承包人应遵守国家法律、强制性标准规范及《发包人要求》进行设计，提倡采用BIM技术进行正向设计</w:t>
      </w:r>
      <w:r>
        <w:rPr>
          <w:rFonts w:hint="eastAsia" w:ascii="仿宋" w:hAnsi="仿宋" w:eastAsia="仿宋" w:cs="仿宋"/>
          <w:color w:val="auto"/>
          <w:highlight w:val="none"/>
          <w:lang w:eastAsia="zh-CN"/>
        </w:rPr>
        <w:t>或建模与出图同步完成的设计方式</w:t>
      </w:r>
      <w:r>
        <w:rPr>
          <w:rFonts w:hint="eastAsia" w:ascii="仿宋" w:hAnsi="仿宋" w:eastAsia="仿宋"/>
          <w:color w:val="auto"/>
          <w:highlight w:val="none"/>
          <w:lang w:eastAsia="zh-CN"/>
        </w:rPr>
        <w:t>，且设计文件不得超过发包人要求中的合理限额设计指标。由于承包人违规设计或设计文件超过合理限额设计指标的，承包人应当承担相应的违约责任。</w:t>
      </w:r>
    </w:p>
    <w:p>
      <w:pPr>
        <w:spacing w:line="360" w:lineRule="auto"/>
        <w:rPr>
          <w:rFonts w:ascii="仿宋" w:hAnsi="仿宋" w:eastAsia="仿宋"/>
          <w:color w:val="auto"/>
          <w:highlight w:val="none"/>
          <w:lang w:eastAsia="zh-CN"/>
        </w:rPr>
      </w:pPr>
      <w:bookmarkStart w:id="234" w:name="_Toc6473"/>
      <w:r>
        <w:rPr>
          <w:rFonts w:hint="eastAsia" w:ascii="仿宋" w:hAnsi="仿宋" w:eastAsia="仿宋"/>
          <w:b/>
          <w:color w:val="auto"/>
          <w:highlight w:val="none"/>
          <w:lang w:eastAsia="zh-CN"/>
        </w:rPr>
        <w:t>5.4</w:t>
      </w:r>
      <w:bookmarkEnd w:id="234"/>
      <w:r>
        <w:rPr>
          <w:rFonts w:ascii="仿宋" w:hAnsi="仿宋" w:eastAsia="仿宋"/>
          <w:b/>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rPr>
        <mc:AlternateContent>
          <mc:Choice Requires="wps">
            <w:drawing>
              <wp:anchor distT="0" distB="0" distL="114300" distR="114300" simplePos="0" relativeHeight="252083200" behindDoc="0" locked="0" layoutInCell="1" allowOverlap="1">
                <wp:simplePos x="0" y="0"/>
                <wp:positionH relativeFrom="column">
                  <wp:posOffset>-66675</wp:posOffset>
                </wp:positionH>
                <wp:positionV relativeFrom="paragraph">
                  <wp:posOffset>19685</wp:posOffset>
                </wp:positionV>
                <wp:extent cx="810260" cy="523240"/>
                <wp:effectExtent l="0" t="0" r="0" b="0"/>
                <wp:wrapNone/>
                <wp:docPr id="415" name="文本框 11"/>
                <wp:cNvGraphicFramePr/>
                <a:graphic xmlns:a="http://schemas.openxmlformats.org/drawingml/2006/main">
                  <a:graphicData uri="http://schemas.microsoft.com/office/word/2010/wordprocessingShape">
                    <wps:wsp>
                      <wps:cNvSpPr txBox="1"/>
                      <wps:spPr>
                        <a:xfrm>
                          <a:off x="0" y="0"/>
                          <a:ext cx="810260" cy="52324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BIM技术应用的一般要求</w:t>
                            </w:r>
                          </w:p>
                        </w:txbxContent>
                      </wps:txbx>
                      <wps:bodyPr wrap="square" upright="1"/>
                    </wps:wsp>
                  </a:graphicData>
                </a:graphic>
              </wp:anchor>
            </w:drawing>
          </mc:Choice>
          <mc:Fallback>
            <w:pict>
              <v:shape id="文本框 11" o:spid="_x0000_s1026" o:spt="202" type="#_x0000_t202" style="position:absolute;left:0pt;margin-left:-5.25pt;margin-top:1.55pt;height:41.2pt;width:63.8pt;z-index:252083200;mso-width-relative:page;mso-height-relative:page;" filled="f" stroked="f" coordsize="21600,21600" o:gfxdata="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CHEHV7WAAAACAEAAA8AAAAAAAAAAQAgAAAAIgAAAGRycy9kb3ducmV2LnhtbFBLAQIUABQA&#10;AAAIAIdO4kCZcQ1JuQEAAF4DAAAOAAAAAAAAAAEAIAAAACUBAABkcnMvZTJvRG9jLnhtbFBLBQYA&#10;AAAABgAGAFkBAABQBQ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BIM技术应用的一般要求</w:t>
                      </w:r>
                    </w:p>
                  </w:txbxContent>
                </v:textbox>
              </v:shape>
            </w:pict>
          </mc:Fallback>
        </mc:AlternateContent>
      </w:r>
      <w:r>
        <w:rPr>
          <w:rFonts w:hint="eastAsia" w:ascii="仿宋" w:hAnsi="仿宋" w:eastAsia="仿宋"/>
          <w:color w:val="auto"/>
          <w:highlight w:val="none"/>
          <w:lang w:eastAsia="zh-CN"/>
        </w:rPr>
        <w:t>5.4.1承包人应被视为其已于基准日期前仔细审阅了发包人的BIM技术应用要求（包括标准、规范和相关数据，如果有），承包人应对发包人的设计要求进行核实，并对发包人BIM技术应用要求的正确性和（或）完整性负责。但下述情况的正确性和（或）完整性，应由发包人负责：</w:t>
      </w:r>
    </w:p>
    <w:p>
      <w:pPr>
        <w:tabs>
          <w:tab w:val="left" w:pos="4970"/>
        </w:tabs>
        <w:spacing w:line="360" w:lineRule="auto"/>
        <w:ind w:left="1850" w:leftChars="771"/>
        <w:rPr>
          <w:rFonts w:ascii="仿宋" w:hAnsi="仿宋" w:eastAsia="仿宋"/>
          <w:color w:val="auto"/>
          <w:highlight w:val="none"/>
          <w:lang w:eastAsia="zh-CN"/>
        </w:rPr>
      </w:pPr>
      <w:r>
        <w:rPr>
          <w:rFonts w:hint="eastAsia" w:ascii="仿宋" w:hAnsi="仿宋" w:eastAsia="仿宋"/>
          <w:color w:val="auto"/>
          <w:highlight w:val="none"/>
          <w:lang w:eastAsia="zh-CN"/>
        </w:rPr>
        <w:t>（1）有关合同工程或其任何部分的功能、用途等预期目的的说明；</w:t>
      </w:r>
    </w:p>
    <w:p>
      <w:pPr>
        <w:tabs>
          <w:tab w:val="left" w:pos="4970"/>
        </w:tabs>
        <w:spacing w:line="360" w:lineRule="auto"/>
        <w:ind w:left="1850" w:leftChars="771"/>
        <w:rPr>
          <w:rFonts w:ascii="仿宋" w:hAnsi="仿宋" w:eastAsia="仿宋"/>
          <w:color w:val="auto"/>
          <w:highlight w:val="none"/>
          <w:lang w:eastAsia="zh-CN"/>
        </w:rPr>
      </w:pPr>
      <w:r>
        <w:rPr>
          <w:rFonts w:hint="eastAsia" w:ascii="仿宋" w:hAnsi="仿宋" w:eastAsia="仿宋"/>
          <w:color w:val="auto"/>
          <w:highlight w:val="none"/>
          <w:lang w:eastAsia="zh-CN"/>
        </w:rPr>
        <w:t>（2）有关合同工程的试车、试验和（或）性能标准；</w:t>
      </w:r>
    </w:p>
    <w:p>
      <w:pPr>
        <w:tabs>
          <w:tab w:val="left" w:pos="4970"/>
        </w:tabs>
        <w:spacing w:line="360" w:lineRule="auto"/>
        <w:ind w:left="1850" w:leftChars="771"/>
        <w:rPr>
          <w:rFonts w:ascii="仿宋" w:hAnsi="仿宋" w:eastAsia="仿宋"/>
          <w:color w:val="auto"/>
          <w:highlight w:val="none"/>
          <w:lang w:eastAsia="zh-CN"/>
        </w:rPr>
      </w:pPr>
      <w:r>
        <w:rPr>
          <w:rFonts w:hint="eastAsia" w:ascii="仿宋" w:hAnsi="仿宋" w:eastAsia="仿宋"/>
          <w:color w:val="auto"/>
          <w:highlight w:val="none"/>
          <w:lang w:eastAsia="zh-CN"/>
        </w:rPr>
        <w:t>（3）承包人不能或无法核实的部分要求、数据和（或）资料；</w:t>
      </w:r>
    </w:p>
    <w:p>
      <w:pPr>
        <w:tabs>
          <w:tab w:val="left" w:pos="4970"/>
        </w:tabs>
        <w:spacing w:line="360" w:lineRule="auto"/>
        <w:ind w:left="1850" w:leftChars="771"/>
        <w:rPr>
          <w:rFonts w:ascii="仿宋" w:hAnsi="仿宋" w:eastAsia="仿宋"/>
          <w:color w:val="auto"/>
          <w:highlight w:val="none"/>
          <w:lang w:eastAsia="zh-CN"/>
        </w:rPr>
      </w:pPr>
      <w:r>
        <w:rPr>
          <w:rFonts w:hint="eastAsia" w:ascii="仿宋" w:hAnsi="仿宋" w:eastAsia="仿宋"/>
          <w:color w:val="auto"/>
          <w:highlight w:val="none"/>
          <w:lang w:eastAsia="zh-CN"/>
        </w:rPr>
        <w:t>（4）专用条款约定不可变更的部分要求、数据和资料。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5.4.2承包人提供的建筑信息模型（BIM）、协调管理平台及应用点等相关服务存在遗漏、错误、缺陷和不足的，承包人应及时修复、弥补、纠正和完善。因此对设计、采购、施工、造价管理等工作造成的工期延误及费用增加由承包人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5.4.3 因承包人自身原因造成的设计和（或）施工等阶段工期延误及费用增加，由承包人承担。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5.4.4 承包人应遵守国家法律、强制性标准规范及《发包人要求》，采用BIM技术进行正向设计出图或建模和出图同步完成，并协助发包人及相关方等正确使用。由于承包人违规建模或应用造成质量缺陷、安全事故、工期延误、费用增加的，承包人应当承担相应的违约责任。</w:t>
      </w:r>
    </w:p>
    <w:p>
      <w:pPr>
        <w:spacing w:line="360" w:lineRule="auto"/>
        <w:rPr>
          <w:rFonts w:ascii="仿宋" w:hAnsi="仿宋" w:eastAsia="仿宋"/>
          <w:b/>
          <w:color w:val="auto"/>
          <w:highlight w:val="none"/>
          <w:lang w:eastAsia="zh-CN"/>
        </w:rPr>
      </w:pPr>
      <w:bookmarkStart w:id="235" w:name="_Toc9522"/>
      <w:r>
        <w:rPr>
          <w:rFonts w:hint="eastAsia"/>
          <w:color w:val="auto"/>
          <w:highlight w:val="none"/>
        </w:rPr>
        <mc:AlternateContent>
          <mc:Choice Requires="wps">
            <w:drawing>
              <wp:anchor distT="0" distB="0" distL="114300" distR="114300" simplePos="0" relativeHeight="251968512" behindDoc="0" locked="0" layoutInCell="1" allowOverlap="1">
                <wp:simplePos x="0" y="0"/>
                <wp:positionH relativeFrom="column">
                  <wp:posOffset>-76200</wp:posOffset>
                </wp:positionH>
                <wp:positionV relativeFrom="paragraph">
                  <wp:posOffset>242570</wp:posOffset>
                </wp:positionV>
                <wp:extent cx="766445" cy="701040"/>
                <wp:effectExtent l="0" t="0" r="0" b="0"/>
                <wp:wrapNone/>
                <wp:docPr id="303" name="文本框 9"/>
                <wp:cNvGraphicFramePr/>
                <a:graphic xmlns:a="http://schemas.openxmlformats.org/drawingml/2006/main">
                  <a:graphicData uri="http://schemas.microsoft.com/office/word/2010/wordprocessingShape">
                    <wps:wsp>
                      <wps:cNvSpPr txBox="1"/>
                      <wps:spPr>
                        <a:xfrm>
                          <a:off x="0" y="0"/>
                          <a:ext cx="766445" cy="70104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设备及工器具购置的一般要求（如果有）</w:t>
                            </w:r>
                          </w:p>
                        </w:txbxContent>
                      </wps:txbx>
                      <wps:bodyPr wrap="square" upright="1"/>
                    </wps:wsp>
                  </a:graphicData>
                </a:graphic>
              </wp:anchor>
            </w:drawing>
          </mc:Choice>
          <mc:Fallback>
            <w:pict>
              <v:shape id="文本框 9" o:spid="_x0000_s1026" o:spt="202" type="#_x0000_t202" style="position:absolute;left:0pt;margin-left:-6pt;margin-top:19.1pt;height:55.2pt;width:60.35pt;z-index:251968512;mso-width-relative:page;mso-height-relative:page;" filled="f" stroked="f" coordsize="21600,21600" o:gfxdata="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9XswX9gAAAAKAQAADwAAAAAAAAABACAAAAAiAAAAZHJzL2Rvd25yZXYueG1sUEsBAhQA&#10;FAAAAAgAh07iQP5iace5AQAAXQMAAA4AAAAAAAAAAQAgAAAAJwEAAGRycy9lMm9Eb2MueG1sUEsF&#10;BgAAAAAGAAYAWQEAAFI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设备及工器具购置的一般要求（如果有）</w:t>
                      </w:r>
                    </w:p>
                  </w:txbxContent>
                </v:textbox>
              </v:shape>
            </w:pict>
          </mc:Fallback>
        </mc:AlternateContent>
      </w:r>
      <w:r>
        <w:rPr>
          <w:rFonts w:hint="eastAsia" w:ascii="仿宋" w:hAnsi="仿宋" w:eastAsia="仿宋"/>
          <w:b/>
          <w:color w:val="auto"/>
          <w:highlight w:val="none"/>
          <w:lang w:eastAsia="zh-CN"/>
        </w:rPr>
        <w:t>5.5</w:t>
      </w:r>
      <w:bookmarkEnd w:id="23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olor w:val="auto"/>
          <w:highlight w:val="none"/>
          <w:lang w:eastAsia="zh-CN"/>
        </w:rPr>
        <w:t>5.5.1</w:t>
      </w:r>
      <w:r>
        <w:rPr>
          <w:rFonts w:hint="eastAsia" w:ascii="仿宋" w:hAnsi="仿宋" w:eastAsia="仿宋" w:cs="仿宋"/>
          <w:color w:val="auto"/>
          <w:highlight w:val="none"/>
          <w:lang w:eastAsia="zh-CN"/>
        </w:rPr>
        <w:t>承包人被视为其已于基准日期前仔细审阅了发包人的设备及工器具购置要求和购置工程量清单（包括标准、规范和相关数据，如果有），承包人应对发包人的购置要求及购置工程量清单进行核实，并对发包人购置要求和购置工程量清单的正确性和（或）完整性负责。但下述情况的正确性和（或）完整性，应由发包人负责：</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（1）有关设备及工器具的预期目的的说明；</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（2）有关设备及工器具的试车、试验、工艺流程、组装图纸、性能标准和（或）产品合格标准；</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（3）承包人不能或无法核实的部分要求、数据和（或）资料；</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（4）专用条款约定不可变更的部分要求、数据和资料。</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5.5.2因承包人购置的设备及工器具不合格或不符合发包人要求，承包人应及时更换或修复。因此对设计和（或）施工等阶段工作造成的工期延误及费用增加由承包人承担。</w:t>
      </w:r>
    </w:p>
    <w:p>
      <w:pPr>
        <w:spacing w:line="360" w:lineRule="auto"/>
        <w:rPr>
          <w:rFonts w:ascii="仿宋" w:hAnsi="仿宋" w:eastAsia="仿宋"/>
          <w:b/>
          <w:color w:val="auto"/>
          <w:highlight w:val="none"/>
          <w:lang w:eastAsia="zh-CN"/>
        </w:rPr>
      </w:pPr>
      <w:bookmarkStart w:id="236" w:name="_Toc27158"/>
      <w:r>
        <w:rPr>
          <w:rFonts w:hint="eastAsia" w:ascii="仿宋" w:hAnsi="仿宋" w:eastAsia="仿宋"/>
          <w:b/>
          <w:color w:val="auto"/>
          <w:highlight w:val="none"/>
          <w:lang w:eastAsia="zh-CN"/>
        </w:rPr>
        <w:t>5.6</w:t>
      </w:r>
      <w:bookmarkEnd w:id="23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color w:val="auto"/>
          <w:highlight w:val="none"/>
        </w:rPr>
        <mc:AlternateContent>
          <mc:Choice Requires="wps">
            <w:drawing>
              <wp:anchor distT="0" distB="0" distL="114300" distR="114300" simplePos="0" relativeHeight="252084224" behindDoc="0" locked="0" layoutInCell="1" allowOverlap="1">
                <wp:simplePos x="0" y="0"/>
                <wp:positionH relativeFrom="column">
                  <wp:posOffset>-66675</wp:posOffset>
                </wp:positionH>
                <wp:positionV relativeFrom="paragraph">
                  <wp:posOffset>3175</wp:posOffset>
                </wp:positionV>
                <wp:extent cx="756920" cy="975360"/>
                <wp:effectExtent l="0" t="0" r="0" b="0"/>
                <wp:wrapNone/>
                <wp:docPr id="416" name="文本框 9"/>
                <wp:cNvGraphicFramePr/>
                <a:graphic xmlns:a="http://schemas.openxmlformats.org/drawingml/2006/main">
                  <a:graphicData uri="http://schemas.microsoft.com/office/word/2010/wordprocessingShape">
                    <wps:wsp>
                      <wps:cNvSpPr txBox="1"/>
                      <wps:spPr>
                        <a:xfrm>
                          <a:off x="0" y="0"/>
                          <a:ext cx="756920" cy="97536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工程材料与工程设备、装配式构件采购的一般要求（如果有）</w:t>
                            </w:r>
                          </w:p>
                        </w:txbxContent>
                      </wps:txbx>
                      <wps:bodyPr wrap="square" upright="1"/>
                    </wps:wsp>
                  </a:graphicData>
                </a:graphic>
              </wp:anchor>
            </w:drawing>
          </mc:Choice>
          <mc:Fallback>
            <w:pict>
              <v:shape id="文本框 9" o:spid="_x0000_s1026" o:spt="202" type="#_x0000_t202" style="position:absolute;left:0pt;margin-left:-5.25pt;margin-top:0.25pt;height:76.8pt;width:59.6pt;z-index:252084224;mso-width-relative:page;mso-height-relative:page;" filled="f" stroked="f" coordsize="21600,21600" o:gfxdata="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cNn6DNUAAAAIAQAADwAAAAAAAAABACAAAAAiAAAAZHJzL2Rvd25yZXYueG1sUEsBAhQAFAAA&#10;AAgAh07iQAzHQkC5AQAAXQMAAA4AAAAAAAAAAQAgAAAAJAEAAGRycy9lMm9Eb2MueG1sUEsFBgAA&#10;AAAGAAYAWQEAAE8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工程材料与工程设备、装配式构件采购的一般要求（如果有）</w:t>
                      </w:r>
                    </w:p>
                  </w:txbxContent>
                </v:textbox>
              </v:shape>
            </w:pict>
          </mc:Fallback>
        </mc:AlternateContent>
      </w:r>
      <w:r>
        <w:rPr>
          <w:rFonts w:hint="eastAsia" w:ascii="仿宋" w:hAnsi="仿宋" w:eastAsia="仿宋"/>
          <w:color w:val="auto"/>
          <w:highlight w:val="none"/>
          <w:lang w:eastAsia="zh-CN"/>
        </w:rPr>
        <w:t>5.6.1</w:t>
      </w:r>
      <w:r>
        <w:rPr>
          <w:rFonts w:hint="eastAsia" w:ascii="仿宋" w:hAnsi="仿宋" w:eastAsia="仿宋" w:cs="仿宋"/>
          <w:color w:val="auto"/>
          <w:highlight w:val="none"/>
          <w:lang w:eastAsia="zh-CN"/>
        </w:rPr>
        <w:t>承包人被视为其已于基准日期前仔细审阅了发包人基于保证工程质量和功能用途对主要工程材料、工程设备的采购要求（包括标准、规范、品质、档次、生产厂家、运输方式、堆放场地、拼装工艺和相关数据等，如果有），承包人应对发包人的采购要求进行核实，并对发包人要求的正确性和（或）完整性负责。</w:t>
      </w:r>
      <w:r>
        <w:rPr>
          <w:rFonts w:hint="eastAsia" w:ascii="仿宋" w:hAnsi="仿宋" w:eastAsia="仿宋"/>
          <w:color w:val="auto"/>
          <w:highlight w:val="none"/>
          <w:lang w:eastAsia="zh-CN"/>
        </w:rPr>
        <w:t>但下述情况的正确性和（或）完整性，应由发包人负责：</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olor w:val="auto"/>
          <w:highlight w:val="none"/>
          <w:lang w:eastAsia="zh-CN"/>
        </w:rPr>
        <w:t>（1）有关采购的预期目</w:t>
      </w:r>
      <w:r>
        <w:rPr>
          <w:rFonts w:hint="eastAsia" w:ascii="仿宋" w:hAnsi="仿宋" w:eastAsia="仿宋" w:cs="仿宋"/>
          <w:color w:val="auto"/>
          <w:highlight w:val="none"/>
          <w:lang w:eastAsia="zh-CN"/>
        </w:rPr>
        <w:t>的的说明；</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（2）有关工程设备或装配式构件的试车、试验、工艺流程、组装图纸、性能标准和（或）产品合格标准；</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（3）承包人不能或无法核实的部分要求、数据和（或）资料；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（4）专用条款约定不可变</w:t>
      </w:r>
      <w:r>
        <w:rPr>
          <w:rFonts w:hint="eastAsia" w:ascii="仿宋" w:hAnsi="仿宋" w:eastAsia="仿宋"/>
          <w:color w:val="auto"/>
          <w:highlight w:val="none"/>
          <w:lang w:eastAsia="zh-CN"/>
        </w:rPr>
        <w:t>更的部分要求、数据和资料。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5.6.2因承包人采购的工程材料、工程设备、装配式构件等不合格或不符合发包人要求，承包人应及时更换或修复。因此对设计和（或）施工等阶段工作造成的工期延误及费用增加由承包人承担。</w:t>
      </w:r>
    </w:p>
    <w:p>
      <w:pPr>
        <w:tabs>
          <w:tab w:val="left" w:pos="4970"/>
        </w:tabs>
        <w:spacing w:line="360" w:lineRule="auto"/>
        <w:rPr>
          <w:rFonts w:ascii="仿宋" w:hAnsi="仿宋" w:eastAsia="仿宋"/>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237" w:name="_Toc28914"/>
      <w:bookmarkStart w:id="238" w:name="_Toc19333"/>
      <w:bookmarkStart w:id="239" w:name="_Toc30639"/>
      <w:bookmarkStart w:id="240" w:name="_Toc29812"/>
      <w:bookmarkStart w:id="241" w:name="_Toc6366"/>
      <w:bookmarkStart w:id="242" w:name="_Toc32641"/>
      <w:bookmarkStart w:id="243" w:name="_Toc8834"/>
      <w:bookmarkStart w:id="244" w:name="_Toc32158"/>
      <w:r>
        <w:rPr>
          <w:rFonts w:hint="eastAsia" w:ascii="仿宋" w:hAnsi="仿宋" w:eastAsia="仿宋" w:cs="仿宋"/>
          <w:bCs w:val="0"/>
          <w:color w:val="auto"/>
          <w:sz w:val="24"/>
          <w:szCs w:val="24"/>
          <w:highlight w:val="none"/>
          <w:lang w:eastAsia="zh-CN"/>
        </w:rPr>
        <w:t>6 项目基础资料</w:t>
      </w:r>
      <w:bookmarkEnd w:id="237"/>
      <w:bookmarkEnd w:id="238"/>
      <w:bookmarkEnd w:id="239"/>
      <w:bookmarkEnd w:id="240"/>
      <w:bookmarkEnd w:id="241"/>
      <w:bookmarkEnd w:id="242"/>
      <w:bookmarkEnd w:id="243"/>
      <w:bookmarkEnd w:id="244"/>
    </w:p>
    <w:p>
      <w:pPr>
        <w:spacing w:line="360" w:lineRule="auto"/>
        <w:rPr>
          <w:rFonts w:ascii="仿宋" w:hAnsi="仿宋" w:eastAsia="仿宋"/>
          <w:b/>
          <w:color w:val="auto"/>
          <w:highlight w:val="none"/>
          <w:lang w:eastAsia="zh-CN"/>
        </w:rPr>
      </w:pPr>
      <w:r>
        <w:rPr>
          <w:rFonts w:hint="eastAsia" w:ascii="仿宋" w:hAnsi="仿宋" w:eastAsia="仿宋"/>
          <w:b/>
          <w:color w:val="auto"/>
          <w:highlight w:val="none"/>
          <w:lang w:eastAsia="zh-CN"/>
        </w:rPr>
        <w:t>6.1</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color w:val="auto"/>
          <w:highlight w:val="none"/>
        </w:rPr>
        <mc:AlternateContent>
          <mc:Choice Requires="wps">
            <w:drawing>
              <wp:anchor distT="0" distB="0" distL="114300" distR="114300" simplePos="0" relativeHeight="251969536" behindDoc="0" locked="0" layoutInCell="1" allowOverlap="1">
                <wp:simplePos x="0" y="0"/>
                <wp:positionH relativeFrom="column">
                  <wp:posOffset>-47625</wp:posOffset>
                </wp:positionH>
                <wp:positionV relativeFrom="paragraph">
                  <wp:posOffset>24765</wp:posOffset>
                </wp:positionV>
                <wp:extent cx="803910" cy="462915"/>
                <wp:effectExtent l="0" t="0" r="0" b="0"/>
                <wp:wrapNone/>
                <wp:docPr id="304" name="文本框 9"/>
                <wp:cNvGraphicFramePr/>
                <a:graphic xmlns:a="http://schemas.openxmlformats.org/drawingml/2006/main">
                  <a:graphicData uri="http://schemas.microsoft.com/office/word/2010/wordprocessingShape">
                    <wps:wsp>
                      <wps:cNvSpPr txBox="1"/>
                      <wps:spPr>
                        <a:xfrm>
                          <a:off x="0" y="0"/>
                          <a:ext cx="803910" cy="46291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项目基础资料的提供</w:t>
                            </w:r>
                          </w:p>
                        </w:txbxContent>
                      </wps:txbx>
                      <wps:bodyPr wrap="square" upright="1"/>
                    </wps:wsp>
                  </a:graphicData>
                </a:graphic>
              </wp:anchor>
            </w:drawing>
          </mc:Choice>
          <mc:Fallback>
            <w:pict>
              <v:shape id="文本框 9" o:spid="_x0000_s1026" o:spt="202" type="#_x0000_t202" style="position:absolute;left:0pt;margin-left:-3.75pt;margin-top:1.95pt;height:36.45pt;width:63.3pt;z-index:251969536;mso-width-relative:page;mso-height-relative:page;" filled="f" stroked="f" coordsize="21600,21600" o:gfxdata="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6uU//1QAAAAcBAAAPAAAAAAAAAAEAIAAAACIAAABkcnMvZG93bnJldi54bWxQSwECFAAUAAAA&#10;CACHTuJADYJtLLgBAABdAwAADgAAAAAAAAABACAAAAAkAQAAZHJzL2Uyb0RvYy54bWxQSwUGAAAA&#10;AAYABgBZAQAATg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项目基础资料的提供</w:t>
                      </w:r>
                    </w:p>
                  </w:txbxContent>
                </v:textbox>
              </v:shape>
            </w:pict>
          </mc:Fallback>
        </mc:AlternateContent>
      </w:r>
      <w:r>
        <w:rPr>
          <w:rFonts w:hint="eastAsia" w:ascii="仿宋" w:hAnsi="仿宋" w:eastAsia="仿宋"/>
          <w:color w:val="auto"/>
          <w:highlight w:val="none"/>
          <w:lang w:eastAsia="zh-CN"/>
        </w:rPr>
        <w:t>6.1.1 发包人</w:t>
      </w:r>
      <w:r>
        <w:rPr>
          <w:rFonts w:hint="eastAsia" w:ascii="仿宋" w:hAnsi="仿宋" w:eastAsia="仿宋" w:cs="仿宋"/>
          <w:color w:val="auto"/>
          <w:highlight w:val="none"/>
          <w:lang w:eastAsia="zh-CN"/>
        </w:rPr>
        <w:t>（或其委托设计顾问人）应按专用条款约定的时间和份数提供书面文件，</w:t>
      </w:r>
      <w:r>
        <w:rPr>
          <w:rFonts w:hint="eastAsia" w:ascii="仿宋" w:hAnsi="仿宋" w:eastAsia="仿宋"/>
          <w:color w:val="auto"/>
          <w:highlight w:val="none"/>
          <w:lang w:eastAsia="zh-CN"/>
        </w:rPr>
        <w:t>向承包人提供已知悉的工程现场情况、工程地质勘察报告（如果有）、图纸（如果有）、项目建议书、已批准或备案的可行性研究报告、建设方案、工艺流程、初步设计文件（如果有）等相关资料，并为承包人收集其他有关资料提供必要的协助。</w:t>
      </w:r>
      <w:r>
        <w:rPr>
          <w:rFonts w:hint="eastAsia" w:ascii="仿宋" w:hAnsi="仿宋" w:eastAsia="仿宋" w:cs="仿宋"/>
          <w:color w:val="auto"/>
          <w:highlight w:val="none"/>
          <w:lang w:eastAsia="zh-CN"/>
        </w:rPr>
        <w:t>如发包人未按时提供项目基础资料，承包人无法按时开展总承包各阶段工作造成合同总工期延误及费用增加，由发包人承担责任，按第43.3款约定处理。</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 xml:space="preserve">6.1.2 </w:t>
      </w:r>
      <w:r>
        <w:rPr>
          <w:rFonts w:ascii="仿宋" w:hAnsi="仿宋" w:eastAsia="仿宋"/>
          <w:color w:val="auto"/>
          <w:highlight w:val="none"/>
          <w:lang w:eastAsia="zh-CN"/>
        </w:rPr>
        <w:t>发包人提供的项目基础资料中有专利</w:t>
      </w:r>
      <w:r>
        <w:rPr>
          <w:rFonts w:hint="eastAsia" w:ascii="仿宋" w:hAnsi="仿宋" w:eastAsia="仿宋"/>
          <w:color w:val="auto"/>
          <w:highlight w:val="none"/>
          <w:lang w:eastAsia="zh-CN"/>
        </w:rPr>
        <w:t>人或制造商</w:t>
      </w:r>
      <w:r>
        <w:rPr>
          <w:rFonts w:ascii="仿宋" w:hAnsi="仿宋" w:eastAsia="仿宋"/>
          <w:color w:val="auto"/>
          <w:highlight w:val="none"/>
          <w:lang w:eastAsia="zh-CN"/>
        </w:rPr>
        <w:t>提供的技术或工艺包，或是第三方设计单位提供的建筑造型等，发包人应组织专利</w:t>
      </w:r>
      <w:r>
        <w:rPr>
          <w:rFonts w:hint="eastAsia" w:ascii="仿宋" w:hAnsi="仿宋" w:eastAsia="仿宋"/>
          <w:color w:val="auto"/>
          <w:highlight w:val="none"/>
          <w:lang w:eastAsia="zh-CN"/>
        </w:rPr>
        <w:t>人、制造商</w:t>
      </w:r>
      <w:r>
        <w:rPr>
          <w:rFonts w:ascii="仿宋" w:hAnsi="仿宋" w:eastAsia="仿宋"/>
          <w:color w:val="auto"/>
          <w:highlight w:val="none"/>
          <w:lang w:eastAsia="zh-CN"/>
        </w:rPr>
        <w:t>或第三方设计单位与承包人进行数据、条件和资料的交换、协调和交接。</w:t>
      </w:r>
    </w:p>
    <w:p>
      <w:pPr>
        <w:spacing w:line="360" w:lineRule="auto"/>
        <w:rPr>
          <w:rFonts w:ascii="仿宋" w:hAnsi="仿宋" w:eastAsia="仿宋"/>
          <w:b/>
          <w:color w:val="auto"/>
          <w:highlight w:val="none"/>
          <w:lang w:eastAsia="zh-CN"/>
        </w:rPr>
      </w:pPr>
      <w:r>
        <w:rPr>
          <w:rFonts w:hint="eastAsia" w:ascii="仿宋" w:hAnsi="仿宋" w:eastAsia="仿宋"/>
          <w:b/>
          <w:color w:val="auto"/>
          <w:highlight w:val="none"/>
          <w:lang w:eastAsia="zh-CN"/>
        </w:rPr>
        <w:t>6.2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rPr>
        <mc:AlternateContent>
          <mc:Choice Requires="wps">
            <w:drawing>
              <wp:anchor distT="0" distB="0" distL="114300" distR="114300" simplePos="0" relativeHeight="252087296" behindDoc="0" locked="0" layoutInCell="1" allowOverlap="1">
                <wp:simplePos x="0" y="0"/>
                <wp:positionH relativeFrom="column">
                  <wp:posOffset>-207010</wp:posOffset>
                </wp:positionH>
                <wp:positionV relativeFrom="paragraph">
                  <wp:posOffset>156845</wp:posOffset>
                </wp:positionV>
                <wp:extent cx="813435" cy="520700"/>
                <wp:effectExtent l="0" t="0" r="0" b="0"/>
                <wp:wrapNone/>
                <wp:docPr id="419" name="文本框 9"/>
                <wp:cNvGraphicFramePr/>
                <a:graphic xmlns:a="http://schemas.openxmlformats.org/drawingml/2006/main">
                  <a:graphicData uri="http://schemas.microsoft.com/office/word/2010/wordprocessingShape">
                    <wps:wsp>
                      <wps:cNvSpPr txBox="1"/>
                      <wps:spPr>
                        <a:xfrm>
                          <a:off x="0" y="0"/>
                          <a:ext cx="813435" cy="52070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项目基础资料的正确性和完整性</w:t>
                            </w:r>
                          </w:p>
                        </w:txbxContent>
                      </wps:txbx>
                      <wps:bodyPr wrap="square" upright="1"/>
                    </wps:wsp>
                  </a:graphicData>
                </a:graphic>
              </wp:anchor>
            </w:drawing>
          </mc:Choice>
          <mc:Fallback>
            <w:pict>
              <v:shape id="文本框 9" o:spid="_x0000_s1026" o:spt="202" type="#_x0000_t202" style="position:absolute;left:0pt;margin-left:-16.3pt;margin-top:12.35pt;height:41pt;width:64.05pt;z-index:252087296;mso-width-relative:page;mso-height-relative:page;" filled="f" stroked="f" coordsize="21600,21600" o:gfxdata="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l6a6YNcAAAAJAQAADwAAAAAAAAABACAAAAAiAAAAZHJzL2Rvd25yZXYueG1sUEsBAhQA&#10;FAAAAAgAh07iQF51dwu6AQAAXQMAAA4AAAAAAAAAAQAgAAAAJgEAAGRycy9lMm9Eb2MueG1sUEsF&#10;BgAAAAAGAAYAWQEAAFI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项目基础资料的正确性和完整性</w:t>
                      </w:r>
                    </w:p>
                  </w:txbxContent>
                </v:textbox>
              </v:shape>
            </w:pict>
          </mc:Fallback>
        </mc:AlternateContent>
      </w:r>
      <w:r>
        <w:rPr>
          <w:rFonts w:hint="eastAsia" w:ascii="仿宋" w:hAnsi="仿宋" w:eastAsia="仿宋"/>
          <w:color w:val="auto"/>
          <w:highlight w:val="none"/>
          <w:lang w:eastAsia="zh-CN"/>
        </w:rPr>
        <w:t>承包人被视为其已于基准日期前仔细审阅了发包人提供的项目基础资料，</w:t>
      </w:r>
      <w:r>
        <w:rPr>
          <w:rFonts w:hint="eastAsia" w:ascii="仿宋" w:hAnsi="仿宋" w:eastAsia="仿宋" w:cs="仿宋"/>
          <w:color w:val="auto"/>
          <w:highlight w:val="none"/>
          <w:lang w:eastAsia="zh-CN"/>
        </w:rPr>
        <w:t>承包人应对发包人提供的资料进行核实，</w:t>
      </w:r>
      <w:r>
        <w:rPr>
          <w:rFonts w:hint="eastAsia" w:ascii="仿宋" w:hAnsi="仿宋" w:eastAsia="仿宋"/>
          <w:color w:val="auto"/>
          <w:highlight w:val="none"/>
          <w:lang w:eastAsia="zh-CN"/>
        </w:rPr>
        <w:t>并对发包人提供资料的正确性和（或）完整性负责。承包人从发包人或其他方面得到的任何数据或资料，不免除承包人应承担的责任。但下述情况的正确性和（或）完整性，应由发包人负责：</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（1）有关合同工程或其任何部分的功能、用途等预期目的的说明；</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（2）有关合同工程的试车、试验、工艺流程和（或）性能标准；</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（3）承包人不能或无法核实的数据和（或）资料；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（4）工程现场发生的不利物质条件，包括不能预见的自然物质条件、非自然物质障碍和污染物；</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（5）专用条款约定不可变更的数据和资料。</w:t>
      </w:r>
    </w:p>
    <w:p>
      <w:pPr>
        <w:widowControl w:val="0"/>
        <w:tabs>
          <w:tab w:val="left" w:pos="4970"/>
        </w:tabs>
        <w:spacing w:line="360" w:lineRule="auto"/>
        <w:rPr>
          <w:rFonts w:ascii="仿宋" w:hAnsi="仿宋" w:eastAsia="仿宋"/>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245" w:name="_Toc11054"/>
      <w:bookmarkStart w:id="246" w:name="_Toc6389"/>
      <w:bookmarkStart w:id="247" w:name="_Toc6634"/>
      <w:bookmarkStart w:id="248" w:name="_Toc23610"/>
      <w:bookmarkStart w:id="249" w:name="_Toc18371"/>
      <w:bookmarkStart w:id="250" w:name="_Toc6348"/>
      <w:bookmarkStart w:id="251" w:name="_Toc21447"/>
      <w:bookmarkStart w:id="252" w:name="_Toc18200"/>
      <w:r>
        <w:rPr>
          <w:rFonts w:hint="eastAsia" w:ascii="仿宋" w:hAnsi="仿宋" w:eastAsia="仿宋" w:cs="仿宋"/>
          <w:bCs w:val="0"/>
          <w:color w:val="auto"/>
          <w:sz w:val="24"/>
          <w:szCs w:val="24"/>
          <w:highlight w:val="none"/>
          <w:lang w:eastAsia="zh-CN"/>
        </w:rPr>
        <w:t>7 勘察报告、设计文件、建筑信息模型（BIM）</w:t>
      </w:r>
      <w:bookmarkEnd w:id="245"/>
      <w:bookmarkEnd w:id="246"/>
      <w:bookmarkEnd w:id="247"/>
      <w:bookmarkEnd w:id="248"/>
      <w:bookmarkEnd w:id="249"/>
      <w:bookmarkEnd w:id="250"/>
      <w:bookmarkEnd w:id="251"/>
      <w:bookmarkEnd w:id="252"/>
    </w:p>
    <w:p>
      <w:pPr>
        <w:spacing w:line="360" w:lineRule="auto"/>
        <w:rPr>
          <w:rFonts w:ascii="仿宋" w:hAnsi="仿宋" w:eastAsia="仿宋"/>
          <w:b/>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2088320" behindDoc="0" locked="0" layoutInCell="1" allowOverlap="1">
                <wp:simplePos x="0" y="0"/>
                <wp:positionH relativeFrom="column">
                  <wp:posOffset>-114300</wp:posOffset>
                </wp:positionH>
                <wp:positionV relativeFrom="paragraph">
                  <wp:posOffset>316865</wp:posOffset>
                </wp:positionV>
                <wp:extent cx="841375" cy="690880"/>
                <wp:effectExtent l="0" t="0" r="0" b="0"/>
                <wp:wrapNone/>
                <wp:docPr id="420" name="文本框 9"/>
                <wp:cNvGraphicFramePr/>
                <a:graphic xmlns:a="http://schemas.openxmlformats.org/drawingml/2006/main">
                  <a:graphicData uri="http://schemas.microsoft.com/office/word/2010/wordprocessingShape">
                    <wps:wsp>
                      <wps:cNvSpPr txBox="1"/>
                      <wps:spPr>
                        <a:xfrm>
                          <a:off x="0" y="0"/>
                          <a:ext cx="841375" cy="69088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勘察报告的提供及一般要求</w:t>
                            </w:r>
                          </w:p>
                        </w:txbxContent>
                      </wps:txbx>
                      <wps:bodyPr wrap="square" upright="1"/>
                    </wps:wsp>
                  </a:graphicData>
                </a:graphic>
              </wp:anchor>
            </w:drawing>
          </mc:Choice>
          <mc:Fallback>
            <w:pict>
              <v:shape id="文本框 9" o:spid="_x0000_s1026" o:spt="202" type="#_x0000_t202" style="position:absolute;left:0pt;margin-left:-9pt;margin-top:24.95pt;height:54.4pt;width:66.25pt;z-index:252088320;mso-width-relative:page;mso-height-relative:page;" filled="f" stroked="f" coordsize="21600,21600" o:gfxdata="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rHoNX9gAAAAKAQAADwAAAAAAAAABACAAAAAiAAAAZHJzL2Rvd25yZXYueG1sUEsBAhQA&#10;FAAAAAgAh07iQJmrNSy5AQAAXQMAAA4AAAAAAAAAAQAgAAAAJwEAAGRycy9lMm9Eb2MueG1sUEsF&#10;BgAAAAAGAAYAWQEAAFI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勘察报告的提供及一般要求</w:t>
                      </w:r>
                    </w:p>
                  </w:txbxContent>
                </v:textbox>
              </v:shape>
            </w:pict>
          </mc:Fallback>
        </mc:AlternateContent>
      </w:r>
      <w:r>
        <w:rPr>
          <w:rFonts w:ascii="仿宋" w:hAnsi="仿宋" w:eastAsia="仿宋"/>
          <w:b/>
          <w:color w:val="auto"/>
          <w:highlight w:val="none"/>
          <w:lang w:eastAsia="zh-CN"/>
        </w:rPr>
        <w:t>7.1</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7.1.1 合同约定由承包人负责工程勘察的，承包人应按合同约定提供勘察报告，按约定的时间和份数报送发包人、设计顾问人。承包人应按审查意见修改完善勘察报告。如承包人未按时提供勘察报告并通过审查，导致后续设计和（或）施工工期延误及费用增加，由承包人承担责任，按第43.8款约定处理。</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7.1.2 工程勘察报告的完备性、正确性由承包人负责，若勘察报告存在缺陷，承包人应及时完善、修正或补充勘察，由此造成的工程质量缺陷、工期延误及费用增加，责任由承包人承担。</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7.1.3 承包人不得将其承包的勘察工作或将其肢解后以分包的名义转包给第三方。因承包人不具备勘察资质，承包人应经发包人同意后方可将勘察工作分包给具有相应资质的勘察单位，但不免除承包人的相关责任。</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7.1.4 承包人应按约定向发包人及设计顾问人、监理人、造价咨询人等相关方报送成果文件，配合审查、审批或备案，确认工作完成时间和成果。</w:t>
      </w:r>
    </w:p>
    <w:p>
      <w:pPr>
        <w:spacing w:line="360" w:lineRule="auto"/>
        <w:rPr>
          <w:rFonts w:ascii="仿宋" w:hAnsi="仿宋" w:eastAsia="仿宋"/>
          <w:b/>
          <w:color w:val="auto"/>
          <w:highlight w:val="none"/>
          <w:lang w:eastAsia="zh-CN"/>
        </w:rPr>
      </w:pPr>
      <w:r>
        <w:rPr>
          <w:rFonts w:hint="eastAsia" w:ascii="仿宋" w:hAnsi="仿宋" w:eastAsia="仿宋"/>
          <w:b/>
          <w:color w:val="auto"/>
          <w:highlight w:val="none"/>
          <w:lang w:eastAsia="zh-CN"/>
        </w:rPr>
        <w:t>7.2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strike/>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1970560" behindDoc="0" locked="0" layoutInCell="1" allowOverlap="1">
                <wp:simplePos x="0" y="0"/>
                <wp:positionH relativeFrom="column">
                  <wp:posOffset>-114300</wp:posOffset>
                </wp:positionH>
                <wp:positionV relativeFrom="paragraph">
                  <wp:posOffset>20320</wp:posOffset>
                </wp:positionV>
                <wp:extent cx="852170" cy="615315"/>
                <wp:effectExtent l="0" t="0" r="0" b="0"/>
                <wp:wrapNone/>
                <wp:docPr id="305" name="文本框 9"/>
                <wp:cNvGraphicFramePr/>
                <a:graphic xmlns:a="http://schemas.openxmlformats.org/drawingml/2006/main">
                  <a:graphicData uri="http://schemas.microsoft.com/office/word/2010/wordprocessingShape">
                    <wps:wsp>
                      <wps:cNvSpPr txBox="1"/>
                      <wps:spPr>
                        <a:xfrm>
                          <a:off x="0" y="0"/>
                          <a:ext cx="852170" cy="615315"/>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设计文件的提供及一般要求</w:t>
                            </w:r>
                          </w:p>
                        </w:txbxContent>
                      </wps:txbx>
                      <wps:bodyPr wrap="square" upright="1"/>
                    </wps:wsp>
                  </a:graphicData>
                </a:graphic>
              </wp:anchor>
            </w:drawing>
          </mc:Choice>
          <mc:Fallback>
            <w:pict>
              <v:shape id="文本框 9" o:spid="_x0000_s1026" o:spt="202" type="#_x0000_t202" style="position:absolute;left:0pt;margin-left:-9pt;margin-top:1.6pt;height:48.45pt;width:67.1pt;z-index:251970560;mso-width-relative:page;mso-height-relative:page;" filled="f" stroked="f" coordsize="21600,21600" o:gfxdata="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lAOeLtYAAAAJAQAADwAAAAAAAAABACAAAAAiAAAAZHJzL2Rvd25yZXYueG1sUEsBAhQAFAAA&#10;AAgAh07iQOqwMBm4AQAAXQMAAA4AAAAAAAAAAQAgAAAAJQEAAGRycy9lMm9Eb2MueG1sUEsFBgAA&#10;AAAGAAYAWQEAAE8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设计文件的提供及一般要求</w:t>
                      </w:r>
                    </w:p>
                  </w:txbxContent>
                </v:textbox>
              </v:shape>
            </w:pict>
          </mc:Fallback>
        </mc:AlternateContent>
      </w:r>
      <w:r>
        <w:rPr>
          <w:rFonts w:hint="eastAsia" w:ascii="仿宋" w:hAnsi="仿宋" w:eastAsia="仿宋" w:cs="仿宋"/>
          <w:color w:val="auto"/>
          <w:highlight w:val="none"/>
          <w:lang w:eastAsia="zh-CN"/>
        </w:rPr>
        <w:t>7.2.</w:t>
      </w:r>
      <w:r>
        <w:rPr>
          <w:rFonts w:hint="eastAsia" w:ascii="仿宋" w:hAnsi="仿宋" w:eastAsia="仿宋" w:cs="仿宋"/>
          <w:color w:val="auto"/>
          <w:highlight w:val="none"/>
          <w:lang w:eastAsia="zh"/>
        </w:rPr>
        <w:t>1</w:t>
      </w:r>
      <w:r>
        <w:rPr>
          <w:rFonts w:hint="eastAsia" w:ascii="仿宋" w:hAnsi="仿宋" w:eastAsia="仿宋" w:cs="仿宋"/>
          <w:color w:val="auto"/>
          <w:highlight w:val="none"/>
          <w:lang w:eastAsia="zh-CN"/>
        </w:rPr>
        <w:t xml:space="preserve"> 承包人应按合同约定提供包括施工图及施工图预算的完整设计文件，按约定的时间和份数报送发包人及设计顾问人。承包人应按审查意见修改完善施工图。</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承包人应配合发包人完成审批或备案程序以及发放工作，并按图施工。如承包人未按合理时间完成施工图设计及施工图预算编制，导致施工工期延误及费用增加，责任由承包人承担，按第43.8款约定处理。</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7.2.</w:t>
      </w:r>
      <w:r>
        <w:rPr>
          <w:rFonts w:hint="eastAsia" w:ascii="仿宋" w:hAnsi="仿宋" w:eastAsia="仿宋" w:cs="仿宋"/>
          <w:color w:val="auto"/>
          <w:highlight w:val="none"/>
          <w:lang w:eastAsia="zh"/>
        </w:rPr>
        <w:t>2</w:t>
      </w:r>
      <w:r>
        <w:rPr>
          <w:rFonts w:hint="eastAsia" w:ascii="仿宋" w:hAnsi="仿宋" w:eastAsia="仿宋" w:cs="仿宋"/>
          <w:color w:val="auto"/>
          <w:highlight w:val="none"/>
          <w:lang w:eastAsia="zh-CN"/>
        </w:rPr>
        <w:t>施工图设计文件的完备性、正确性由承包人负责，若施工图设计文件等存在缺陷，承包人应及时修正，其造成的工程质量缺陷、工期延误及费用增加，责任由承包人承担。</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7.2.</w:t>
      </w:r>
      <w:r>
        <w:rPr>
          <w:rFonts w:hint="eastAsia" w:ascii="仿宋" w:hAnsi="仿宋" w:eastAsia="仿宋" w:cs="仿宋"/>
          <w:color w:val="auto"/>
          <w:highlight w:val="none"/>
          <w:lang w:eastAsia="zh"/>
        </w:rPr>
        <w:t>3</w:t>
      </w:r>
      <w:r>
        <w:rPr>
          <w:rFonts w:hint="eastAsia" w:ascii="仿宋" w:hAnsi="仿宋" w:eastAsia="仿宋" w:cs="仿宋"/>
          <w:color w:val="auto"/>
          <w:highlight w:val="none"/>
          <w:lang w:eastAsia="zh-CN"/>
        </w:rPr>
        <w:t xml:space="preserve"> 承包人不得将其承包的全部设计工作或将其肢解后以分包的名义转包给第三方，也不得将建设工程主体部分的设计工作分包给第三方。因承包人不具备部分专项设计资质（如人防、幕墙、园林景观、装修等专业工程），承包人应经发包人同意后方可将部分工作分包给具有相应资质的专项设计单位，但不免除承包人的相关责任。</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7.2.</w:t>
      </w:r>
      <w:r>
        <w:rPr>
          <w:rFonts w:hint="eastAsia" w:ascii="仿宋" w:hAnsi="仿宋" w:eastAsia="仿宋" w:cs="仿宋"/>
          <w:color w:val="auto"/>
          <w:highlight w:val="none"/>
          <w:lang w:eastAsia="zh"/>
        </w:rPr>
        <w:t>4</w:t>
      </w:r>
      <w:r>
        <w:rPr>
          <w:rFonts w:hint="eastAsia" w:ascii="仿宋" w:hAnsi="仿宋" w:eastAsia="仿宋" w:cs="仿宋"/>
          <w:color w:val="auto"/>
          <w:highlight w:val="none"/>
          <w:lang w:eastAsia="zh-CN"/>
        </w:rPr>
        <w:t xml:space="preserve"> 承包人应及时组织勘察、设计、BIM技术应用、采购、施工等专业负责人对设计文件进行技术交底和审核，协调内部专业分工及责任划分，对设计文件的深度和质量进行完善和修正。</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7.2.</w:t>
      </w:r>
      <w:r>
        <w:rPr>
          <w:rFonts w:hint="eastAsia" w:ascii="仿宋" w:hAnsi="仿宋" w:eastAsia="仿宋" w:cs="仿宋"/>
          <w:color w:val="auto"/>
          <w:highlight w:val="none"/>
          <w:lang w:eastAsia="zh"/>
        </w:rPr>
        <w:t>5</w:t>
      </w:r>
      <w:r>
        <w:rPr>
          <w:rFonts w:hint="eastAsia" w:ascii="仿宋" w:hAnsi="仿宋" w:eastAsia="仿宋" w:cs="仿宋"/>
          <w:color w:val="auto"/>
          <w:highlight w:val="none"/>
          <w:lang w:eastAsia="zh-CN"/>
        </w:rPr>
        <w:t xml:space="preserve"> 承包人应按约定向发包人及设计顾问人、监理人、造价咨询人等相关方报送设计文件，配合审查、审批或备案，确认工作完成时间和成果。但发包人及相关方的审查、审批或确认通过与否，发包人及相关方均不承担责任，设计文件的质量责任由承包人承担。</w:t>
      </w:r>
    </w:p>
    <w:p>
      <w:pPr>
        <w:spacing w:line="360" w:lineRule="auto"/>
        <w:rPr>
          <w:rFonts w:ascii="仿宋" w:hAnsi="仿宋" w:eastAsia="仿宋"/>
          <w:b/>
          <w:color w:val="auto"/>
          <w:highlight w:val="none"/>
          <w:lang w:eastAsia="zh-CN"/>
        </w:rPr>
      </w:pPr>
      <w:r>
        <w:rPr>
          <w:rFonts w:hint="eastAsia" w:ascii="仿宋" w:hAnsi="仿宋" w:eastAsia="仿宋"/>
          <w:b/>
          <w:color w:val="auto"/>
          <w:highlight w:val="none"/>
          <w:lang w:eastAsia="zh-CN"/>
        </w:rPr>
        <w:t>7.3</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1973632" behindDoc="0" locked="0" layoutInCell="1" allowOverlap="1">
                <wp:simplePos x="0" y="0"/>
                <wp:positionH relativeFrom="column">
                  <wp:posOffset>-114300</wp:posOffset>
                </wp:positionH>
                <wp:positionV relativeFrom="paragraph">
                  <wp:posOffset>20320</wp:posOffset>
                </wp:positionV>
                <wp:extent cx="765810" cy="606425"/>
                <wp:effectExtent l="0" t="0" r="0" b="0"/>
                <wp:wrapNone/>
                <wp:docPr id="308" name="文本框 9"/>
                <wp:cNvGraphicFramePr/>
                <a:graphic xmlns:a="http://schemas.openxmlformats.org/drawingml/2006/main">
                  <a:graphicData uri="http://schemas.microsoft.com/office/word/2010/wordprocessingShape">
                    <wps:wsp>
                      <wps:cNvSpPr txBox="1"/>
                      <wps:spPr>
                        <a:xfrm>
                          <a:off x="0" y="0"/>
                          <a:ext cx="765810" cy="60642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BIM信息模型的提供及一般要求</w:t>
                            </w:r>
                          </w:p>
                        </w:txbxContent>
                      </wps:txbx>
                      <wps:bodyPr wrap="square" upright="1"/>
                    </wps:wsp>
                  </a:graphicData>
                </a:graphic>
              </wp:anchor>
            </w:drawing>
          </mc:Choice>
          <mc:Fallback>
            <w:pict>
              <v:shape id="文本框 9" o:spid="_x0000_s1026" o:spt="202" type="#_x0000_t202" style="position:absolute;left:0pt;margin-left:-9pt;margin-top:1.6pt;height:47.75pt;width:60.3pt;z-index:251973632;mso-width-relative:page;mso-height-relative:page;" filled="f" stroked="f" coordsize="21600,21600" o:gfxdata="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0URv29YAAAAIAQAADwAAAAAAAAABACAAAAAiAAAAZHJzL2Rvd25yZXYueG1sUEsBAhQAFAAA&#10;AAgAh07iQPpR3Uu4AQAAXQMAAA4AAAAAAAAAAQAgAAAAJQEAAGRycy9lMm9Eb2MueG1sUEsFBgAA&#10;AAAGAAYAWQEAAE8FA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BIM信息模型的提供及一般要求</w:t>
                      </w:r>
                    </w:p>
                  </w:txbxContent>
                </v:textbox>
              </v:shape>
            </w:pict>
          </mc:Fallback>
        </mc:AlternateContent>
      </w:r>
      <w:r>
        <w:rPr>
          <w:rFonts w:hint="eastAsia" w:ascii="仿宋" w:hAnsi="仿宋" w:eastAsia="仿宋" w:cs="仿宋"/>
          <w:color w:val="auto"/>
          <w:highlight w:val="none"/>
          <w:lang w:eastAsia="zh-CN"/>
        </w:rPr>
        <w:t>合同约定由承包人负责提供本项目设计、施工、竣工验收、运维（如果有）等阶段的建筑信息模型（BIM）及有关应用的，承包人应按合同约定的应用节点和时间提供BIM模型及有关成果，同时协助发包人及设计顾问人、监理人、造价咨询人等相关方正确使用。如承包人未按要求提供建筑信息模型（BIM）及有关应用成果，导致设计和（或）施工工期延误及费用增加，责任由承包人承担，按第44.8款约定处理。</w:t>
      </w:r>
    </w:p>
    <w:p>
      <w:pPr>
        <w:widowControl w:val="0"/>
        <w:numPr>
          <w:ilvl w:val="0"/>
          <w:numId w:val="2"/>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建筑信息模型（BIM）及有关应用成果的完备性、正确性由承包人负责，若存在缺陷，承包人应及时修正，其造成的工程质量缺陷、工期延误及费用增加，责任由承包人承担。</w:t>
      </w:r>
    </w:p>
    <w:p>
      <w:pPr>
        <w:widowControl w:val="0"/>
        <w:numPr>
          <w:ilvl w:val="0"/>
          <w:numId w:val="2"/>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承包人应及时组织勘察、设计、BIM技术应用、采购、施工等专业负责人对建筑信息模型（BIM）及有关应用成果进行技术交底和审核，协调内部专业分工及责任划分，对建模的深度和质量进行完善和修正。</w:t>
      </w:r>
    </w:p>
    <w:p>
      <w:pPr>
        <w:widowControl w:val="0"/>
        <w:numPr>
          <w:ilvl w:val="0"/>
          <w:numId w:val="2"/>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承包人应按约定向发包人及设计顾问人、监理人、造价咨询人等相关方报送建筑信息模型（BIM）及有关应用成果，配合审查、审批或备案，确认工作完成时间和成果。但发包人及相关方的审查、审批或确认通过与否，发包人及相关方均不承担责任，建筑信息模型（BIM）及有关应用成果的质量责任由承包人承担。</w:t>
      </w:r>
    </w:p>
    <w:p>
      <w:pPr>
        <w:widowControl w:val="0"/>
        <w:numPr>
          <w:ilvl w:val="0"/>
          <w:numId w:val="2"/>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承包人应在发包人有建立BIM协同管理平台需求时协助发包人建立BIM协同管理平台，指导设计顾问人、监理人、造价咨询人等参建各方正确使用建筑信息模型（BIM）及有关应用成果，实现项目建设各阶段BIM应用的信息传递和共享。具体服务内容和要求在专用条款中约定。</w:t>
      </w:r>
    </w:p>
    <w:p>
      <w:pPr>
        <w:spacing w:line="360" w:lineRule="auto"/>
        <w:rPr>
          <w:rFonts w:ascii="仿宋" w:hAnsi="仿宋" w:eastAsia="仿宋" w:cs="仿宋"/>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360"/>
          <w:tab w:val="left" w:pos="420"/>
        </w:tabs>
        <w:spacing w:before="120" w:beforeLines="50" w:after="120" w:afterLines="50" w:line="360" w:lineRule="auto"/>
        <w:rPr>
          <w:rFonts w:ascii="仿宋" w:hAnsi="仿宋" w:eastAsia="仿宋" w:cs="仿宋"/>
          <w:bCs w:val="0"/>
          <w:color w:val="auto"/>
          <w:sz w:val="24"/>
          <w:szCs w:val="24"/>
          <w:highlight w:val="none"/>
        </w:rPr>
      </w:pPr>
      <w:bookmarkStart w:id="253" w:name="_Toc7096"/>
      <w:bookmarkStart w:id="254" w:name="_Toc16919"/>
      <w:bookmarkStart w:id="255" w:name="_Toc4342"/>
      <w:bookmarkStart w:id="256" w:name="_Toc690"/>
      <w:bookmarkStart w:id="257" w:name="_Toc14416"/>
      <w:bookmarkStart w:id="258" w:name="_Toc12045"/>
      <w:bookmarkStart w:id="259" w:name="_Toc12479"/>
      <w:bookmarkStart w:id="260" w:name="_Toc20244"/>
      <w:r>
        <w:rPr>
          <w:rFonts w:hint="eastAsia" w:ascii="仿宋" w:hAnsi="仿宋" w:eastAsia="仿宋" w:cs="仿宋"/>
          <w:bCs w:val="0"/>
          <w:color w:val="auto"/>
          <w:sz w:val="24"/>
          <w:szCs w:val="24"/>
          <w:highlight w:val="none"/>
        </w:rPr>
        <w:t>8 合同价格的控制原则</w:t>
      </w:r>
      <w:bookmarkEnd w:id="253"/>
      <w:bookmarkEnd w:id="254"/>
      <w:bookmarkEnd w:id="255"/>
      <w:bookmarkEnd w:id="256"/>
      <w:bookmarkEnd w:id="257"/>
      <w:bookmarkEnd w:id="258"/>
      <w:bookmarkEnd w:id="259"/>
      <w:bookmarkEnd w:id="260"/>
    </w:p>
    <w:p>
      <w:pPr>
        <w:spacing w:line="360" w:lineRule="auto"/>
        <w:rPr>
          <w:rFonts w:ascii="仿宋" w:hAnsi="仿宋" w:eastAsia="仿宋" w:cs="仿宋"/>
          <w:b/>
          <w:color w:val="auto"/>
          <w:highlight w:val="none"/>
          <w:lang w:eastAsia="zh-CN"/>
        </w:rPr>
      </w:pPr>
      <w:r>
        <w:rPr>
          <w:rFonts w:hint="eastAsia" w:ascii="仿宋" w:hAnsi="仿宋" w:eastAsia="仿宋" w:cs="仿宋"/>
          <w:b/>
          <w:color w:val="auto"/>
          <w:highlight w:val="none"/>
          <w:lang w:eastAsia="zh-CN"/>
        </w:rPr>
        <w:t>8.1</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rPr>
        <mc:AlternateContent>
          <mc:Choice Requires="wps">
            <w:drawing>
              <wp:anchor distT="0" distB="0" distL="114300" distR="114300" simplePos="0" relativeHeight="252089344" behindDoc="0" locked="0" layoutInCell="1" allowOverlap="1">
                <wp:simplePos x="0" y="0"/>
                <wp:positionH relativeFrom="column">
                  <wp:posOffset>-171450</wp:posOffset>
                </wp:positionH>
                <wp:positionV relativeFrom="paragraph">
                  <wp:posOffset>78105</wp:posOffset>
                </wp:positionV>
                <wp:extent cx="795655" cy="396240"/>
                <wp:effectExtent l="0" t="0" r="0" b="0"/>
                <wp:wrapNone/>
                <wp:docPr id="421" name="文本框 9"/>
                <wp:cNvGraphicFramePr/>
                <a:graphic xmlns:a="http://schemas.openxmlformats.org/drawingml/2006/main">
                  <a:graphicData uri="http://schemas.microsoft.com/office/word/2010/wordprocessingShape">
                    <wps:wsp>
                      <wps:cNvSpPr txBox="1"/>
                      <wps:spPr>
                        <a:xfrm>
                          <a:off x="0" y="0"/>
                          <a:ext cx="795655" cy="396240"/>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合同总价的控制</w:t>
                            </w:r>
                          </w:p>
                        </w:txbxContent>
                      </wps:txbx>
                      <wps:bodyPr wrap="square" upright="1"/>
                    </wps:wsp>
                  </a:graphicData>
                </a:graphic>
              </wp:anchor>
            </w:drawing>
          </mc:Choice>
          <mc:Fallback>
            <w:pict>
              <v:shape id="文本框 9" o:spid="_x0000_s1026" o:spt="202" type="#_x0000_t202" style="position:absolute;left:0pt;margin-left:-13.5pt;margin-top:6.15pt;height:31.2pt;width:62.65pt;z-index:252089344;mso-width-relative:page;mso-height-relative:page;" filled="f" stroked="f" coordsize="21600,21600" o:gfxdata="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uNSmp1wAAAAgBAAAPAAAAAAAAAAEAIAAAACIAAABkcnMvZG93bnJldi54bWxQSwECFAAU&#10;AAAACACHTuJAG1cXg7kBAABdAwAADgAAAAAAAAABACAAAAAmAQAAZHJzL2Uyb0RvYy54bWxQSwUG&#10;AAAAAAYABgBZAQAAUQ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合同总价的控制</w:t>
                      </w:r>
                    </w:p>
                  </w:txbxContent>
                </v:textbox>
              </v:shape>
            </w:pict>
          </mc:Fallback>
        </mc:AlternateContent>
      </w:r>
      <w:r>
        <w:rPr>
          <w:rFonts w:hint="eastAsia" w:ascii="仿宋" w:hAnsi="仿宋" w:eastAsia="仿宋" w:cs="仿宋"/>
          <w:color w:val="auto"/>
          <w:highlight w:val="none"/>
          <w:lang w:eastAsia="zh-CN"/>
        </w:rPr>
        <w:t>8.1.1对于立项后发包的，总承包范围内的工程勘察费、工程设计费、BIM技术应用费、设备及工器具购置费、建筑安装工程费等各项费用的概算金额及汇总金额，不得超过已批准立项的投资估算中相应各项费用金额及汇总金额（经发包人批准的符合第69.3款约定的允许调整事项除外）。对于招标发包工程，以承包人的中标价签订合同总价，承包人的中标价不得超过发包人招标文件规定的招标最高限价（经发包人批准的符合第69.3款约定的允许调整事项除外）。</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8.1.2对于初步设计批准或备案后发包的，总承包范围内的工程勘察费、工程设计费、BIM技术应用费、设备及工器具购置费、建筑安装工程费等各项费用及汇总金额，不得超过已批准的初步设计概算中相应各项费用的概算金额及汇总金额（经发包人批准的符合第69.3款约定的允许调整事项除外）。对于招标发包工程，以承包人的中标价签订合同总价，承包人的中标价不得超过发包人招标文件规定的招标最高限价（经发包人批准的符合第69.3款约定的允许调整事项除外）。</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8.1.3已批准或备案的投资估算或初步设计概算中，工程勘察费、工程设计费、BIM技术应用费中没有初步勘察费、详细勘察费、初步设计费、施工图设计费、设计建模、施工建模等项目建设各阶段相应费用明细列项的，发包人应对工程勘察费、工程设计费、BIM技术应用费等分别按其各阶段工作合理比例进行划分，作为总承包范围内工程勘察费、工程设计费、BIM技术应用费的控制指标。</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8.1.4按合同约定的计价方法及允许调整事项进行竣工结算，工程勘察费、工程设计费、BIM技术应用费、设备及工器具购置费、建筑安装工程费等结算金额及汇总金额不得超过协议书约定的相应合同价格、合同总价及允许调整金额。</w:t>
      </w:r>
    </w:p>
    <w:p>
      <w:pPr>
        <w:spacing w:line="360" w:lineRule="auto"/>
        <w:rPr>
          <w:rFonts w:ascii="仿宋" w:hAnsi="仿宋" w:eastAsia="仿宋" w:cs="仿宋"/>
          <w:b/>
          <w:color w:val="auto"/>
          <w:highlight w:val="none"/>
          <w:lang w:eastAsia="zh-CN"/>
        </w:rPr>
      </w:pPr>
      <w:r>
        <w:rPr>
          <w:rFonts w:hint="eastAsia" w:ascii="仿宋" w:hAnsi="仿宋" w:eastAsia="仿宋" w:cs="仿宋"/>
          <w:b/>
          <w:color w:val="auto"/>
          <w:highlight w:val="none"/>
          <w:lang w:eastAsia="zh-CN"/>
        </w:rPr>
        <w:t>8.2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2079104" behindDoc="0" locked="0" layoutInCell="1" allowOverlap="1">
                <wp:simplePos x="0" y="0"/>
                <wp:positionH relativeFrom="column">
                  <wp:posOffset>-114300</wp:posOffset>
                </wp:positionH>
                <wp:positionV relativeFrom="paragraph">
                  <wp:posOffset>55880</wp:posOffset>
                </wp:positionV>
                <wp:extent cx="803910" cy="436245"/>
                <wp:effectExtent l="0" t="0" r="0" b="0"/>
                <wp:wrapNone/>
                <wp:docPr id="411" name="文本框 9"/>
                <wp:cNvGraphicFramePr/>
                <a:graphic xmlns:a="http://schemas.openxmlformats.org/drawingml/2006/main">
                  <a:graphicData uri="http://schemas.microsoft.com/office/word/2010/wordprocessingShape">
                    <wps:wsp>
                      <wps:cNvSpPr txBox="1"/>
                      <wps:spPr>
                        <a:xfrm>
                          <a:off x="0" y="0"/>
                          <a:ext cx="803910" cy="43624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勘察费的控制</w:t>
                            </w:r>
                          </w:p>
                        </w:txbxContent>
                      </wps:txbx>
                      <wps:bodyPr wrap="square" upright="1"/>
                    </wps:wsp>
                  </a:graphicData>
                </a:graphic>
              </wp:anchor>
            </w:drawing>
          </mc:Choice>
          <mc:Fallback>
            <w:pict>
              <v:shape id="文本框 9" o:spid="_x0000_s1026" o:spt="202" type="#_x0000_t202" style="position:absolute;left:0pt;margin-left:-9pt;margin-top:4.4pt;height:34.35pt;width:63.3pt;z-index:252079104;mso-width-relative:page;mso-height-relative:page;" filled="f" stroked="f" coordsize="21600,21600" o:gfxdata="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4oLgJ1QAAAAgBAAAPAAAAAAAAAAEAIAAAACIAAABkcnMvZG93bnJldi54bWxQSwECFAAUAAAA&#10;CACHTuJAqX+JV7gBAABdAwAADgAAAAAAAAABACAAAAAkAQAAZHJzL2Uyb0RvYy54bWxQSwUGAAAA&#10;AAYABgBZAQAATg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勘察费的控制</w:t>
                      </w:r>
                    </w:p>
                  </w:txbxContent>
                </v:textbox>
              </v:shape>
            </w:pict>
          </mc:Fallback>
        </mc:AlternateContent>
      </w:r>
      <w:r>
        <w:rPr>
          <w:rFonts w:hint="eastAsia" w:ascii="仿宋" w:hAnsi="仿宋" w:eastAsia="仿宋" w:cs="仿宋"/>
          <w:color w:val="auto"/>
          <w:highlight w:val="none"/>
          <w:lang w:eastAsia="zh-CN"/>
        </w:rPr>
        <w:t>8.2.1对于立项后发包、合同约定由承包人提供勘察服务的，承包人应按专用条款约定的计价方式和允许调整事项编制初步设计概算，工程勘察费概算金额不得超过协议书中约定的相应合同价格及允许调整金额。</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8.2.2对于初步设计批准或备案后发包、合同约定由承包人提供详细勘察服务的，承包人应按专用条款约定的计价方式和允许调整事项计算，工程勘察费金额不得超过协议书中约定的相应合同价格及允许调整金额。</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8.2.3按合同约定的计价方法及允许调整事项进行工程勘察费结算，其结算金额不得超过协议书约定的工程勘察费合同价格及允许调整金额。</w:t>
      </w:r>
    </w:p>
    <w:p>
      <w:pPr>
        <w:spacing w:line="360" w:lineRule="auto"/>
        <w:rPr>
          <w:rFonts w:ascii="仿宋" w:hAnsi="仿宋" w:eastAsia="仿宋" w:cs="仿宋"/>
          <w:b/>
          <w:color w:val="auto"/>
          <w:highlight w:val="none"/>
          <w:lang w:eastAsia="zh-CN"/>
        </w:rPr>
      </w:pPr>
      <w:bookmarkStart w:id="261" w:name="_Toc11973"/>
      <w:r>
        <w:rPr>
          <w:rFonts w:ascii="仿宋" w:hAnsi="仿宋" w:eastAsia="仿宋" w:cs="仿宋"/>
          <w:color w:val="auto"/>
          <w:highlight w:val="none"/>
        </w:rPr>
        <mc:AlternateContent>
          <mc:Choice Requires="wps">
            <w:drawing>
              <wp:anchor distT="0" distB="0" distL="114300" distR="114300" simplePos="0" relativeHeight="252090368" behindDoc="0" locked="0" layoutInCell="1" allowOverlap="1">
                <wp:simplePos x="0" y="0"/>
                <wp:positionH relativeFrom="column">
                  <wp:posOffset>-114300</wp:posOffset>
                </wp:positionH>
                <wp:positionV relativeFrom="paragraph">
                  <wp:posOffset>292100</wp:posOffset>
                </wp:positionV>
                <wp:extent cx="813435" cy="417195"/>
                <wp:effectExtent l="0" t="0" r="0" b="0"/>
                <wp:wrapNone/>
                <wp:docPr id="422" name="文本框 9"/>
                <wp:cNvGraphicFramePr/>
                <a:graphic xmlns:a="http://schemas.openxmlformats.org/drawingml/2006/main">
                  <a:graphicData uri="http://schemas.microsoft.com/office/word/2010/wordprocessingShape">
                    <wps:wsp>
                      <wps:cNvSpPr txBox="1"/>
                      <wps:spPr>
                        <a:xfrm>
                          <a:off x="0" y="0"/>
                          <a:ext cx="813435" cy="41719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设计费的控制</w:t>
                            </w:r>
                          </w:p>
                        </w:txbxContent>
                      </wps:txbx>
                      <wps:bodyPr wrap="square" upright="1"/>
                    </wps:wsp>
                  </a:graphicData>
                </a:graphic>
              </wp:anchor>
            </w:drawing>
          </mc:Choice>
          <mc:Fallback>
            <w:pict>
              <v:shape id="文本框 9" o:spid="_x0000_s1026" o:spt="202" type="#_x0000_t202" style="position:absolute;left:0pt;margin-left:-9pt;margin-top:23pt;height:32.85pt;width:64.05pt;z-index:252090368;mso-width-relative:page;mso-height-relative:page;" filled="f" stroked="f" coordsize="21600,21600" o:gfxdata="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24nhnWAAAACgEAAA8AAAAAAAAAAQAgAAAAIgAAAGRycy9kb3ducmV2LnhtbFBLAQIUABQA&#10;AAAIAIdO4kArwqOpuQEAAF0DAAAOAAAAAAAAAAEAIAAAACUBAABkcnMvZTJvRG9jLnhtbFBLBQYA&#10;AAAABgAGAFkBAABQBQ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设计费的控制</w:t>
                      </w:r>
                    </w:p>
                  </w:txbxContent>
                </v:textbox>
              </v:shape>
            </w:pict>
          </mc:Fallback>
        </mc:AlternateContent>
      </w:r>
      <w:r>
        <w:rPr>
          <w:rFonts w:hint="eastAsia" w:ascii="仿宋" w:hAnsi="仿宋" w:eastAsia="仿宋" w:cs="仿宋"/>
          <w:b/>
          <w:color w:val="auto"/>
          <w:highlight w:val="none"/>
          <w:lang w:eastAsia="zh-CN"/>
        </w:rPr>
        <w:t>8.3</w:t>
      </w:r>
      <w:bookmarkEnd w:id="26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8.3.1对于立项后发包的、合同约定由承包人提施工图设计等服务的，承包人应按专用条款约定的计价方式和允许调整事项编制施工图设计费等金额不得超过协议书中约定的相应合同价格及允许调整金额。</w:t>
      </w:r>
    </w:p>
    <w:p>
      <w:pPr>
        <w:widowControl w:val="0"/>
        <w:spacing w:line="360" w:lineRule="auto"/>
        <w:ind w:left="1850" w:leftChars="771"/>
        <w:jc w:val="both"/>
        <w:rPr>
          <w:rFonts w:ascii="仿宋" w:hAnsi="仿宋" w:eastAsia="仿宋" w:cs="仿宋"/>
          <w:strike/>
          <w:color w:val="auto"/>
          <w:highlight w:val="none"/>
          <w:lang w:eastAsia="zh-CN"/>
        </w:rPr>
      </w:pPr>
      <w:r>
        <w:rPr>
          <w:rFonts w:hint="eastAsia" w:ascii="仿宋" w:hAnsi="仿宋" w:eastAsia="仿宋" w:cs="仿宋"/>
          <w:color w:val="auto"/>
          <w:highlight w:val="none"/>
          <w:lang w:eastAsia="zh-CN"/>
        </w:rPr>
        <w:t>8.3.2对于初步设计批准或备案后发包的、合同约定由承包人提供施工图设计服务的，承包人应按专用条款约定的计价方式和允许调整事项计算，施工图设计费金额不得超过协议书中约定的相应合同价格及允许调整金额。</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8.3.3按合同约定的计价方法及允许调整事项进行工程设计费结算，其结算金额不得超过协议书约定的相应合同价格及允许调整金额。</w:t>
      </w:r>
    </w:p>
    <w:p>
      <w:pPr>
        <w:spacing w:line="360" w:lineRule="auto"/>
        <w:rPr>
          <w:rFonts w:ascii="仿宋" w:hAnsi="仿宋" w:eastAsia="仿宋" w:cs="仿宋"/>
          <w:b/>
          <w:color w:val="auto"/>
          <w:highlight w:val="none"/>
          <w:lang w:eastAsia="zh-CN"/>
        </w:rPr>
      </w:pPr>
      <w:bookmarkStart w:id="262" w:name="_Toc15376"/>
      <w:r>
        <w:rPr>
          <w:rFonts w:ascii="仿宋" w:hAnsi="仿宋" w:eastAsia="仿宋" w:cs="仿宋"/>
          <w:color w:val="auto"/>
          <w:highlight w:val="none"/>
        </w:rPr>
        <mc:AlternateContent>
          <mc:Choice Requires="wps">
            <w:drawing>
              <wp:anchor distT="0" distB="0" distL="114300" distR="114300" simplePos="0" relativeHeight="252092416" behindDoc="0" locked="0" layoutInCell="1" allowOverlap="1">
                <wp:simplePos x="0" y="0"/>
                <wp:positionH relativeFrom="column">
                  <wp:posOffset>-114300</wp:posOffset>
                </wp:positionH>
                <wp:positionV relativeFrom="paragraph">
                  <wp:posOffset>269875</wp:posOffset>
                </wp:positionV>
                <wp:extent cx="803910" cy="473710"/>
                <wp:effectExtent l="0" t="0" r="0" b="0"/>
                <wp:wrapNone/>
                <wp:docPr id="424" name="文本框 9"/>
                <wp:cNvGraphicFramePr/>
                <a:graphic xmlns:a="http://schemas.openxmlformats.org/drawingml/2006/main">
                  <a:graphicData uri="http://schemas.microsoft.com/office/word/2010/wordprocessingShape">
                    <wps:wsp>
                      <wps:cNvSpPr txBox="1"/>
                      <wps:spPr>
                        <a:xfrm>
                          <a:off x="0" y="0"/>
                          <a:ext cx="803910" cy="47371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BIM技术应用费的控制</w:t>
                            </w:r>
                          </w:p>
                        </w:txbxContent>
                      </wps:txbx>
                      <wps:bodyPr wrap="square" upright="1"/>
                    </wps:wsp>
                  </a:graphicData>
                </a:graphic>
              </wp:anchor>
            </w:drawing>
          </mc:Choice>
          <mc:Fallback>
            <w:pict>
              <v:shape id="文本框 9" o:spid="_x0000_s1026" o:spt="202" type="#_x0000_t202" style="position:absolute;left:0pt;margin-left:-9pt;margin-top:21.25pt;height:37.3pt;width:63.3pt;z-index:252092416;mso-width-relative:page;mso-height-relative:page;" filled="f" stroked="f" coordsize="21600,21600" o:gfxdata="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SUfHI9cAAAAKAQAADwAAAAAAAAABACAAAAAiAAAAZHJzL2Rvd25yZXYueG1sUEsBAhQAFAAA&#10;AAgAh07iQBV2nHC3AQAAXQMAAA4AAAAAAAAAAQAgAAAAJgEAAGRycy9lMm9Eb2MueG1sUEsFBgAA&#10;AAAGAAYAWQEAAE8FA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BIM技术应用费的控制</w:t>
                      </w:r>
                    </w:p>
                  </w:txbxContent>
                </v:textbox>
              </v:shape>
            </w:pict>
          </mc:Fallback>
        </mc:AlternateContent>
      </w:r>
      <w:r>
        <w:rPr>
          <w:rFonts w:hint="eastAsia" w:ascii="仿宋" w:hAnsi="仿宋" w:eastAsia="仿宋" w:cs="仿宋"/>
          <w:b/>
          <w:color w:val="auto"/>
          <w:highlight w:val="none"/>
          <w:lang w:eastAsia="zh-CN"/>
        </w:rPr>
        <w:t>8.4</w:t>
      </w:r>
      <w:bookmarkEnd w:id="26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8.4.1对于可行性研究批准立项或备案后发包的、合同约定由承包人提施工图设计、施工、竣工验收、运维（如果有）等阶段BIM技术应用的，承包人应按专用条款约定的计价方式和允许调整事项编制初步设计概算，BIM技术应用费的概算金额不得超过已批准立项的投资估算中相应费用的金额。</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8.4.2对于初步设计批准或备案后发包的、合同约定由承包人提供施工图设计、施工、竣工验收、运维（如果有）等阶段BIM技术应用的，承包人应按专用条款约定的计价方式和允许调整事项计算，BIM技术应用费金额不得超过协议书中约定的相应合同价格及允许调整金额。</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8.4.3按合同约定的计价方法及允许调整事项进行BIM技术应用费结算，其结算金额不得超过协议书约定的相应合同价格及允许调整金额。</w:t>
      </w:r>
    </w:p>
    <w:p>
      <w:pPr>
        <w:spacing w:line="360" w:lineRule="auto"/>
        <w:rPr>
          <w:rFonts w:ascii="仿宋" w:hAnsi="仿宋" w:eastAsia="仿宋" w:cs="仿宋"/>
          <w:b/>
          <w:color w:val="auto"/>
          <w:highlight w:val="none"/>
          <w:lang w:eastAsia="zh-CN"/>
        </w:rPr>
      </w:pPr>
      <w:bookmarkStart w:id="263" w:name="_Toc10468"/>
      <w:r>
        <w:rPr>
          <w:rFonts w:hint="eastAsia" w:ascii="仿宋" w:hAnsi="仿宋" w:eastAsia="仿宋" w:cs="仿宋"/>
          <w:b/>
          <w:color w:val="auto"/>
          <w:highlight w:val="none"/>
          <w:lang w:eastAsia="zh-CN"/>
        </w:rPr>
        <w:t>8.5</w:t>
      </w:r>
      <w:bookmarkEnd w:id="26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b/>
          <w:color w:val="auto"/>
          <w:highlight w:val="none"/>
        </w:rPr>
        <mc:AlternateContent>
          <mc:Choice Requires="wps">
            <w:drawing>
              <wp:anchor distT="0" distB="0" distL="114300" distR="114300" simplePos="0" relativeHeight="252091392" behindDoc="0" locked="0" layoutInCell="1" allowOverlap="1">
                <wp:simplePos x="0" y="0"/>
                <wp:positionH relativeFrom="column">
                  <wp:posOffset>-114300</wp:posOffset>
                </wp:positionH>
                <wp:positionV relativeFrom="paragraph">
                  <wp:posOffset>50800</wp:posOffset>
                </wp:positionV>
                <wp:extent cx="803910" cy="378460"/>
                <wp:effectExtent l="0" t="0" r="0" b="0"/>
                <wp:wrapNone/>
                <wp:docPr id="423" name="文本框 9"/>
                <wp:cNvGraphicFramePr/>
                <a:graphic xmlns:a="http://schemas.openxmlformats.org/drawingml/2006/main">
                  <a:graphicData uri="http://schemas.microsoft.com/office/word/2010/wordprocessingShape">
                    <wps:wsp>
                      <wps:cNvSpPr txBox="1"/>
                      <wps:spPr>
                        <a:xfrm>
                          <a:off x="0" y="0"/>
                          <a:ext cx="803910" cy="378460"/>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建筑安装工程费的控制</w:t>
                            </w:r>
                          </w:p>
                        </w:txbxContent>
                      </wps:txbx>
                      <wps:bodyPr wrap="square" upright="1"/>
                    </wps:wsp>
                  </a:graphicData>
                </a:graphic>
              </wp:anchor>
            </w:drawing>
          </mc:Choice>
          <mc:Fallback>
            <w:pict>
              <v:shape id="文本框 9" o:spid="_x0000_s1026" o:spt="202" type="#_x0000_t202" style="position:absolute;left:0pt;margin-left:-9pt;margin-top:4pt;height:29.8pt;width:63.3pt;z-index:252091392;mso-width-relative:page;mso-height-relative:page;" filled="f" stroked="f" coordsize="21600,21600" o:gfxdata="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IRSURdUAAAAIAQAADwAAAAAAAAABACAAAAAiAAAAZHJzL2Rvd25yZXYueG1sUEsBAhQAFAAA&#10;AAgAh07iQGzZ++G5AQAAXQMAAA4AAAAAAAAAAQAgAAAAJAEAAGRycy9lMm9Eb2MueG1sUEsFBgAA&#10;AAAGAAYAWQEAAE8FA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建筑安装工程费的控制</w:t>
                      </w:r>
                    </w:p>
                  </w:txbxContent>
                </v:textbox>
              </v:shape>
            </w:pict>
          </mc:Fallback>
        </mc:AlternateContent>
      </w:r>
      <w:r>
        <w:rPr>
          <w:rFonts w:hint="eastAsia" w:ascii="仿宋" w:hAnsi="仿宋" w:eastAsia="仿宋" w:cs="仿宋"/>
          <w:color w:val="auto"/>
          <w:highlight w:val="none"/>
          <w:lang w:eastAsia="zh-CN"/>
        </w:rPr>
        <w:t>8.5.1建筑安装工程费严格实行限额设计，承包人提供施工图设计文件、变更设计文件（如有）均不得高于专用条款约定的相应投资限额（包括总额限额及专业分解限额指标）。承包人的设计应当依据分解限额控制标准和规模，确保项目投资得到充分利用，层层控制，但不得突破。确需局部突破的，必须获得发包人批准并应重新分配专业分解指标，确保总额不突破相应限额及合同约定允许调整金额，否则超出部分由承包人自行承担。</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8.5.2对于立项后发包的，在初步设计符合承包范围、工程内容、功能、规模、标准等要求的前提下，承包人应按专用条款约定的计价方式和允许调整事项编制初步设计概算，建筑安装工程费金额不得超过协议书约定的相应合同价格及允许调整金额。否则，承包人应在不降低承包范围、工程内容、功能、规模、标准等要求的前提下组织优化设计并修编初步设计概算。</w:t>
      </w:r>
    </w:p>
    <w:p>
      <w:pPr>
        <w:widowControl w:val="0"/>
        <w:spacing w:line="360" w:lineRule="auto"/>
        <w:ind w:left="1850" w:leftChars="771"/>
        <w:jc w:val="both"/>
        <w:rPr>
          <w:rFonts w:ascii="仿宋" w:hAnsi="仿宋" w:eastAsia="仿宋" w:cs="仿宋"/>
          <w:strike/>
          <w:color w:val="auto"/>
          <w:highlight w:val="none"/>
          <w:lang w:eastAsia="zh-CN"/>
        </w:rPr>
      </w:pPr>
      <w:r>
        <w:rPr>
          <w:rFonts w:hint="eastAsia" w:ascii="仿宋" w:hAnsi="仿宋" w:eastAsia="仿宋" w:cs="仿宋"/>
          <w:color w:val="auto"/>
          <w:highlight w:val="none"/>
          <w:lang w:eastAsia="zh-CN"/>
        </w:rPr>
        <w:t>8.5.3对于初步设计批准或备案后发包的，在施工图符合承包范围、工程内容、功能、规模、标准等要求的前提下，应按专用条款约定的计价方式和允许调整事项编制施工图预算，其施工图预算金额不得超过协议书约定的相应合同价格及允许调整金额。否则，承包人应在不降低承包范围、工程内容、功能、规模、标准等要求的前提下组织优化设计并修编施工图预算。</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8.5.4按合同约定的计价方法及允许调整事项进行建筑安装工程费结算，其结算金额不得超过协议书约定的相应合同价格及允许调整金额。</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8.5.5若合同价格清单中存在暂列金额的，承包人应在初步设计、施工图设计及施工过程中及时报设计顾问人或监理人进行变更、现场签证等确认，并编制变更预算、现场签证费报造价咨询人审核确认，及时对比累计变更、签证金额与暂列金额的差值。合同工程竣工后，除合同双方当事人另有约定外，累计变更、签证金额不得突破合同约定的暂列金额。</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8.5.6若合同价格清单中存在专业工程或工程材料、工程设备暂估价，承包人应及时取得发包人的明确要求完成设计、采购或施工，也可遵守法律、政策规定通过招标或直接分包委托分包人完成设计、采购或施工，按变更事项报发包人批准后实施，除合同双方当事人另有约定外，不得突破合同约定的相应暂估价。</w:t>
      </w:r>
    </w:p>
    <w:p>
      <w:pPr>
        <w:spacing w:line="360" w:lineRule="auto"/>
        <w:rPr>
          <w:rFonts w:ascii="仿宋" w:hAnsi="仿宋" w:eastAsia="仿宋" w:cs="仿宋"/>
          <w:b/>
          <w:color w:val="auto"/>
          <w:highlight w:val="none"/>
          <w:lang w:eastAsia="zh-CN"/>
        </w:rPr>
      </w:pPr>
      <w:r>
        <w:rPr>
          <w:rFonts w:hint="eastAsia" w:ascii="仿宋" w:hAnsi="仿宋" w:eastAsia="仿宋" w:cs="仿宋"/>
          <w:b/>
          <w:color w:val="auto"/>
          <w:highlight w:val="none"/>
          <w:lang w:eastAsia="zh-CN"/>
        </w:rPr>
        <w:t>8.6</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rPr>
          <w:rFonts w:ascii="仿宋" w:hAnsi="仿宋" w:eastAsia="仿宋" w:cs="仿宋"/>
          <w:color w:val="auto"/>
          <w:highlight w:val="none"/>
          <w:lang w:eastAsia="zh-CN"/>
        </w:rPr>
      </w:pPr>
      <w:r>
        <w:rPr>
          <w:rFonts w:hint="eastAsia" w:ascii="仿宋" w:hAnsi="仿宋" w:eastAsia="仿宋" w:cs="仿宋"/>
          <w:b/>
          <w:color w:val="auto"/>
          <w:highlight w:val="none"/>
        </w:rPr>
        <mc:AlternateContent>
          <mc:Choice Requires="wps">
            <w:drawing>
              <wp:anchor distT="0" distB="0" distL="114300" distR="114300" simplePos="0" relativeHeight="252093440" behindDoc="0" locked="0" layoutInCell="1" allowOverlap="1">
                <wp:simplePos x="0" y="0"/>
                <wp:positionH relativeFrom="column">
                  <wp:posOffset>-114300</wp:posOffset>
                </wp:positionH>
                <wp:positionV relativeFrom="paragraph">
                  <wp:posOffset>50800</wp:posOffset>
                </wp:positionV>
                <wp:extent cx="794385" cy="527685"/>
                <wp:effectExtent l="0" t="0" r="0" b="0"/>
                <wp:wrapNone/>
                <wp:docPr id="425" name="文本框 9"/>
                <wp:cNvGraphicFramePr/>
                <a:graphic xmlns:a="http://schemas.openxmlformats.org/drawingml/2006/main">
                  <a:graphicData uri="http://schemas.microsoft.com/office/word/2010/wordprocessingShape">
                    <wps:wsp>
                      <wps:cNvSpPr txBox="1"/>
                      <wps:spPr>
                        <a:xfrm>
                          <a:off x="0" y="0"/>
                          <a:ext cx="794385" cy="527685"/>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设备及工器具购置费的控制</w:t>
                            </w:r>
                          </w:p>
                        </w:txbxContent>
                      </wps:txbx>
                      <wps:bodyPr wrap="square" upright="1"/>
                    </wps:wsp>
                  </a:graphicData>
                </a:graphic>
              </wp:anchor>
            </w:drawing>
          </mc:Choice>
          <mc:Fallback>
            <w:pict>
              <v:shape id="文本框 9" o:spid="_x0000_s1026" o:spt="202" type="#_x0000_t202" style="position:absolute;left:0pt;margin-left:-9pt;margin-top:4pt;height:41.55pt;width:62.55pt;z-index:252093440;mso-width-relative:page;mso-height-relative:page;" filled="f" stroked="f" coordsize="21600,21600" o:gfxdata="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zQ7xzVAAAACAEAAA8AAAAAAAAAAQAgAAAAIgAAAGRycy9kb3ducmV2LnhtbFBLAQIUABQAAAAI&#10;AIdO4kCrC8gQtwEAAF0DAAAOAAAAAAAAAAEAIAAAACQBAABkcnMvZTJvRG9jLnhtbFBLBQYAAAAA&#10;BgAGAFkBAABNBQ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设备及工器具购置费的控制</w:t>
                      </w:r>
                    </w:p>
                  </w:txbxContent>
                </v:textbox>
              </v:shape>
            </w:pict>
          </mc:Fallback>
        </mc:AlternateContent>
      </w:r>
      <w:r>
        <w:rPr>
          <w:rFonts w:hint="eastAsia" w:ascii="仿宋" w:hAnsi="仿宋" w:eastAsia="仿宋" w:cs="仿宋"/>
          <w:color w:val="auto"/>
          <w:highlight w:val="none"/>
          <w:lang w:eastAsia="zh-CN"/>
        </w:rPr>
        <w:t>8.6.1对于可行性研究批准立项或备案后发包的，在初步设计符合承包范围、工程内容、功能、规模、标准等要求的前提下，承包人应按专用条款约定的计价方式和允许调整事项编制初步设计概算，设备及工器具购置费概算金额不得超过协议书约定的相应合同价格及允许调整金额。</w:t>
      </w:r>
    </w:p>
    <w:p>
      <w:pPr>
        <w:widowControl w:val="0"/>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8.6.2对于初步设计批准或备案后发包的，在施工图符合承包范围、工程内容、功能、规模、标准等要求的前提下，承包人应按专用条款约定的计价方式和允许调整事项计算，设备及工器具购置费金额不得超过协议书约定的相应合同价格及允许调整金额。</w:t>
      </w:r>
    </w:p>
    <w:p>
      <w:pPr>
        <w:widowControl w:val="0"/>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8.6.3按合同约定的计价方法及允许调整事项进行设备及工器具购置费结算，其结算金额不得超过协议书约定的相应合同价格及允许调整金额。</w:t>
      </w:r>
    </w:p>
    <w:p>
      <w:pPr>
        <w:spacing w:line="360" w:lineRule="auto"/>
        <w:rPr>
          <w:rFonts w:ascii="仿宋" w:hAnsi="仿宋" w:eastAsia="仿宋"/>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264" w:name="_Toc21981"/>
      <w:bookmarkStart w:id="265" w:name="_Toc18008"/>
      <w:bookmarkStart w:id="266" w:name="_Toc8568"/>
      <w:bookmarkStart w:id="267" w:name="_Toc19890"/>
      <w:bookmarkStart w:id="268" w:name="_Toc9544"/>
      <w:bookmarkStart w:id="269" w:name="_Toc22914"/>
      <w:bookmarkStart w:id="270" w:name="_Toc27247"/>
      <w:bookmarkStart w:id="271" w:name="_Toc25014"/>
      <w:r>
        <w:rPr>
          <w:rFonts w:hint="eastAsia" w:ascii="仿宋" w:hAnsi="仿宋" w:eastAsia="仿宋" w:cs="仿宋"/>
          <w:color w:val="auto"/>
          <w:sz w:val="24"/>
          <w:szCs w:val="24"/>
          <w:highlight w:val="none"/>
          <w:lang w:eastAsia="zh-CN"/>
        </w:rPr>
        <w:t>9</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通讯联络</w:t>
      </w:r>
      <w:bookmarkEnd w:id="264"/>
      <w:bookmarkEnd w:id="265"/>
      <w:bookmarkEnd w:id="266"/>
      <w:bookmarkEnd w:id="267"/>
      <w:bookmarkEnd w:id="268"/>
      <w:bookmarkEnd w:id="269"/>
      <w:bookmarkEnd w:id="270"/>
      <w:bookmarkEnd w:id="271"/>
    </w:p>
    <w:p>
      <w:pPr>
        <w:pStyle w:val="22"/>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9</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rPr>
        <mc:AlternateContent>
          <mc:Choice Requires="wps">
            <w:drawing>
              <wp:anchor distT="0" distB="0" distL="114300" distR="114300" simplePos="0" relativeHeight="251669504" behindDoc="0" locked="0" layoutInCell="1" allowOverlap="1">
                <wp:simplePos x="0" y="0"/>
                <wp:positionH relativeFrom="column">
                  <wp:posOffset>-95250</wp:posOffset>
                </wp:positionH>
                <wp:positionV relativeFrom="paragraph">
                  <wp:posOffset>53975</wp:posOffset>
                </wp:positionV>
                <wp:extent cx="699770" cy="436880"/>
                <wp:effectExtent l="0" t="0" r="0" b="0"/>
                <wp:wrapNone/>
                <wp:docPr id="11" name="文本框 454"/>
                <wp:cNvGraphicFramePr/>
                <a:graphic xmlns:a="http://schemas.openxmlformats.org/drawingml/2006/main">
                  <a:graphicData uri="http://schemas.microsoft.com/office/word/2010/wordprocessingShape">
                    <wps:wsp>
                      <wps:cNvSpPr txBox="1"/>
                      <wps:spPr>
                        <a:xfrm>
                          <a:off x="0" y="0"/>
                          <a:ext cx="699770" cy="436880"/>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通讯形式</w:t>
                            </w:r>
                          </w:p>
                        </w:txbxContent>
                      </wps:txbx>
                      <wps:bodyPr wrap="square" upright="1"/>
                    </wps:wsp>
                  </a:graphicData>
                </a:graphic>
              </wp:anchor>
            </w:drawing>
          </mc:Choice>
          <mc:Fallback>
            <w:pict>
              <v:shape id="文本框 454" o:spid="_x0000_s1026" o:spt="202" type="#_x0000_t202" style="position:absolute;left:0pt;margin-left:-7.5pt;margin-top:4.25pt;height:34.4pt;width:55.1pt;z-index:251669504;mso-width-relative:page;mso-height-relative:page;" filled="f" stroked="f" coordsize="21600,21600" o:gfxdata="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EKL2ivWAAAABwEAAA8AAAAAAAAAAQAgAAAAIgAAAGRycy9kb3ducmV2LnhtbFBLAQIUABQA&#10;AAAIAIdO4kDSB71huQEAAF4DAAAOAAAAAAAAAAEAIAAAACUBAABkcnMvZTJvRG9jLnhtbFBLBQYA&#10;AAAABgAGAFkBAABQBQ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通讯形式</w:t>
                      </w:r>
                    </w:p>
                  </w:txbxContent>
                </v:textbox>
              </v:shape>
            </w:pict>
          </mc:Fallback>
        </mc:AlternateContent>
      </w:r>
      <w:r>
        <w:rPr>
          <w:rFonts w:hint="eastAsia" w:ascii="仿宋" w:hAnsi="仿宋" w:eastAsia="仿宋" w:cs="仿宋"/>
          <w:color w:val="auto"/>
          <w:highlight w:val="none"/>
          <w:lang w:eastAsia="zh-CN"/>
        </w:rPr>
        <w:t>本合同中无论何处涉及到各方之间的申请、批准、确认、同意、决定、核实、通知、任命、指令、要求、意见、证明、证件或表示同意、否定等的通讯（含派人面交、邮寄、电子传输等），均应采用书面形式，且只有在按照合同约定送达对方当事人后方能生效。</w:t>
      </w:r>
    </w:p>
    <w:p>
      <w:pPr>
        <w:pStyle w:val="22"/>
        <w:spacing w:line="360" w:lineRule="auto"/>
        <w:ind w:right="-238"/>
        <w:rPr>
          <w:rFonts w:ascii="仿宋" w:hAnsi="仿宋" w:eastAsia="仿宋"/>
          <w:b/>
          <w:bCs/>
          <w:color w:val="auto"/>
          <w:sz w:val="24"/>
          <w:szCs w:val="24"/>
          <w:highlight w:val="none"/>
          <w:lang w:eastAsia="zh-CN"/>
        </w:rPr>
      </w:pPr>
      <w:bookmarkStart w:id="272" w:name="_Toc16622"/>
      <w:r>
        <w:rPr>
          <w:rFonts w:hint="eastAsia" w:ascii="仿宋" w:hAnsi="仿宋" w:eastAsia="仿宋" w:cs="仿宋"/>
          <w:b/>
          <w:bCs/>
          <w:color w:val="auto"/>
          <w:sz w:val="24"/>
          <w:szCs w:val="24"/>
          <w:highlight w:val="none"/>
          <w:lang w:eastAsia="zh-CN"/>
        </w:rPr>
        <w:t>9</w:t>
      </w:r>
      <w:r>
        <w:rPr>
          <w:rFonts w:ascii="仿宋" w:hAnsi="仿宋" w:eastAsia="仿宋" w:cs="仿宋"/>
          <w:b/>
          <w:bCs/>
          <w:color w:val="auto"/>
          <w:sz w:val="24"/>
          <w:szCs w:val="24"/>
          <w:highlight w:val="none"/>
          <w:lang w:eastAsia="zh-CN"/>
        </w:rPr>
        <w:t>.2</w:t>
      </w:r>
      <w:bookmarkEnd w:id="272"/>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1668480" behindDoc="0" locked="0" layoutInCell="1" allowOverlap="1">
                <wp:simplePos x="0" y="0"/>
                <wp:positionH relativeFrom="column">
                  <wp:posOffset>-95250</wp:posOffset>
                </wp:positionH>
                <wp:positionV relativeFrom="paragraph">
                  <wp:posOffset>90805</wp:posOffset>
                </wp:positionV>
                <wp:extent cx="769620" cy="508635"/>
                <wp:effectExtent l="0" t="0" r="0" b="0"/>
                <wp:wrapNone/>
                <wp:docPr id="10" name="文本框 14"/>
                <wp:cNvGraphicFramePr/>
                <a:graphic xmlns:a="http://schemas.openxmlformats.org/drawingml/2006/main">
                  <a:graphicData uri="http://schemas.microsoft.com/office/word/2010/wordprocessingShape">
                    <wps:wsp>
                      <wps:cNvSpPr txBox="1"/>
                      <wps:spPr>
                        <a:xfrm>
                          <a:off x="0" y="0"/>
                          <a:ext cx="769620" cy="50863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发送通讯</w:t>
                            </w:r>
                          </w:p>
                        </w:txbxContent>
                      </wps:txbx>
                      <wps:bodyPr wrap="square" upright="1"/>
                    </wps:wsp>
                  </a:graphicData>
                </a:graphic>
              </wp:anchor>
            </w:drawing>
          </mc:Choice>
          <mc:Fallback>
            <w:pict>
              <v:shape id="文本框 14" o:spid="_x0000_s1026" o:spt="202" type="#_x0000_t202" style="position:absolute;left:0pt;margin-left:-7.5pt;margin-top:7.15pt;height:40.05pt;width:60.6pt;z-index:251668480;mso-width-relative:page;mso-height-relative:page;" filled="f" stroked="f" coordsize="21600,21600" o:gfxdata="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vPDoq1gAAAAkBAAAPAAAAAAAAAAEAIAAAACIAAABkcnMvZG93bnJldi54bWxQSwECFAAUAAAA&#10;CACHTuJADKXo6LcBAABdAwAADgAAAAAAAAABACAAAAAlAQAAZHJzL2Uyb0RvYy54bWxQSwUGAAAA&#10;AAYABgBZAQAATg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发送通讯</w:t>
                      </w:r>
                    </w:p>
                  </w:txbxContent>
                </v:textbox>
              </v:shape>
            </w:pict>
          </mc:Fallback>
        </mc:AlternateContent>
      </w:r>
      <w:r>
        <w:rPr>
          <w:rFonts w:hint="eastAsia" w:ascii="仿宋" w:hAnsi="仿宋" w:eastAsia="仿宋" w:cs="仿宋"/>
          <w:color w:val="auto"/>
          <w:highlight w:val="none"/>
          <w:lang w:eastAsia="zh-CN"/>
        </w:rPr>
        <w:t>合同中无论何处涉及到各方之间的通讯都不应无理扣压或拖延。合同双方当事人应在专用条款中约定各方通讯地址和收件人，并按照约定期限内（如无约定，应在合理期限内）送达指定地点和接收人。任何一方合同当事人指定的通讯地址或收件人发生变更的，应提前3天以书面形式通知对方。</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收件人应在通讯回执上签署姓名和时间。一方当事人拒绝签收另一方当事人通讯，另一方当事人以特快专递、挂号信等专用条款约定的方式将通讯送至通讯地址的，视为送达。拒不签收的，由此增加的费用和（或）延误的工期由拒绝接收一方承担。</w:t>
      </w:r>
    </w:p>
    <w:p>
      <w:pPr>
        <w:pStyle w:val="22"/>
        <w:spacing w:line="360" w:lineRule="auto"/>
        <w:ind w:right="-238"/>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9</w:t>
      </w:r>
      <w:r>
        <w:rPr>
          <w:rFonts w:ascii="仿宋" w:hAnsi="仿宋" w:eastAsia="仿宋" w:cs="仿宋"/>
          <w:b/>
          <w:bCs/>
          <w:color w:val="auto"/>
          <w:sz w:val="24"/>
          <w:szCs w:val="24"/>
          <w:highlight w:val="none"/>
          <w:lang w:eastAsia="zh-CN"/>
        </w:rPr>
        <w:t>.</w:t>
      </w:r>
      <w:r>
        <w:rPr>
          <w:rFonts w:hint="eastAsia" w:ascii="仿宋" w:hAnsi="仿宋" w:eastAsia="仿宋" w:cs="仿宋"/>
          <w:b/>
          <w:bCs/>
          <w:color w:val="auto"/>
          <w:sz w:val="24"/>
          <w:szCs w:val="24"/>
          <w:highlight w:val="none"/>
          <w:lang w:eastAsia="zh-CN"/>
        </w:rPr>
        <w:t>3</w:t>
      </w:r>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2116992" behindDoc="0" locked="0" layoutInCell="1" allowOverlap="1">
                <wp:simplePos x="0" y="0"/>
                <wp:positionH relativeFrom="column">
                  <wp:posOffset>-95250</wp:posOffset>
                </wp:positionH>
                <wp:positionV relativeFrom="paragraph">
                  <wp:posOffset>90805</wp:posOffset>
                </wp:positionV>
                <wp:extent cx="843280" cy="735330"/>
                <wp:effectExtent l="0" t="0" r="0" b="0"/>
                <wp:wrapNone/>
                <wp:docPr id="448" name="文本框 14"/>
                <wp:cNvGraphicFramePr/>
                <a:graphic xmlns:a="http://schemas.openxmlformats.org/drawingml/2006/main">
                  <a:graphicData uri="http://schemas.microsoft.com/office/word/2010/wordprocessingShape">
                    <wps:wsp>
                      <wps:cNvSpPr txBox="1"/>
                      <wps:spPr>
                        <a:xfrm>
                          <a:off x="0" y="0"/>
                          <a:ext cx="843280" cy="735330"/>
                        </a:xfrm>
                        <a:prstGeom prst="rect">
                          <a:avLst/>
                        </a:prstGeom>
                        <a:noFill/>
                        <a:ln>
                          <a:noFill/>
                        </a:ln>
                      </wps:spPr>
                      <wps:txbx>
                        <w:txbxContent>
                          <w:p>
                            <w:pPr>
                              <w:rPr>
                                <w:rFonts w:ascii="楷体_GB2312" w:hAnsi="宋体" w:eastAsia="楷体_GB2312" w:cs="楷体_GB2312"/>
                                <w:b/>
                                <w:bCs/>
                                <w:sz w:val="18"/>
                                <w:szCs w:val="18"/>
                                <w:lang w:eastAsia="zh-CN"/>
                              </w:rPr>
                            </w:pPr>
                            <w:r>
                              <w:rPr>
                                <w:rFonts w:hint="eastAsia" w:ascii="楷体_GB2312" w:hAnsi="宋体" w:eastAsia="楷体_GB2312" w:cs="楷体_GB2312"/>
                                <w:b/>
                                <w:bCs/>
                                <w:sz w:val="18"/>
                                <w:szCs w:val="18"/>
                              </w:rPr>
                              <w:t>通讯</w:t>
                            </w:r>
                            <w:r>
                              <w:rPr>
                                <w:rFonts w:hint="eastAsia" w:ascii="楷体_GB2312" w:hAnsi="宋体" w:eastAsia="楷体_GB2312" w:cs="楷体_GB2312"/>
                                <w:b/>
                                <w:bCs/>
                                <w:sz w:val="18"/>
                                <w:szCs w:val="18"/>
                                <w:lang w:eastAsia="zh-CN"/>
                              </w:rPr>
                              <w:t>联络的法律后果</w:t>
                            </w:r>
                          </w:p>
                        </w:txbxContent>
                      </wps:txbx>
                      <wps:bodyPr wrap="square" upright="1"/>
                    </wps:wsp>
                  </a:graphicData>
                </a:graphic>
              </wp:anchor>
            </w:drawing>
          </mc:Choice>
          <mc:Fallback>
            <w:pict>
              <v:shape id="文本框 14" o:spid="_x0000_s1026" o:spt="202" type="#_x0000_t202" style="position:absolute;left:0pt;margin-left:-7.5pt;margin-top:7.15pt;height:57.9pt;width:66.4pt;z-index:252116992;mso-width-relative:page;mso-height-relative:page;" filled="f" stroked="f" coordsize="21600,21600" o:gfxdata="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QV3Dd1wAAAAoBAAAPAAAAAAAAAAEAIAAAACIAAABkcnMvZG93bnJldi54bWxQSwECFAAU&#10;AAAACACHTuJAmzbak7kBAABeAwAADgAAAAAAAAABACAAAAAmAQAAZHJzL2Uyb0RvYy54bWxQSwUG&#10;AAAAAAYABgBZAQAAUQUAAAAA&#10;">
                <v:fill on="f" focussize="0,0"/>
                <v:stroke on="f"/>
                <v:imagedata o:title=""/>
                <o:lock v:ext="edit" aspectratio="f"/>
                <v:textbox>
                  <w:txbxContent>
                    <w:p>
                      <w:pPr>
                        <w:rPr>
                          <w:rFonts w:ascii="楷体_GB2312" w:hAnsi="宋体" w:eastAsia="楷体_GB2312" w:cs="楷体_GB2312"/>
                          <w:b/>
                          <w:bCs/>
                          <w:sz w:val="18"/>
                          <w:szCs w:val="18"/>
                          <w:lang w:eastAsia="zh-CN"/>
                        </w:rPr>
                      </w:pPr>
                      <w:r>
                        <w:rPr>
                          <w:rFonts w:hint="eastAsia" w:ascii="楷体_GB2312" w:hAnsi="宋体" w:eastAsia="楷体_GB2312" w:cs="楷体_GB2312"/>
                          <w:b/>
                          <w:bCs/>
                          <w:sz w:val="18"/>
                          <w:szCs w:val="18"/>
                        </w:rPr>
                        <w:t>通讯</w:t>
                      </w:r>
                      <w:r>
                        <w:rPr>
                          <w:rFonts w:hint="eastAsia" w:ascii="楷体_GB2312" w:hAnsi="宋体" w:eastAsia="楷体_GB2312" w:cs="楷体_GB2312"/>
                          <w:b/>
                          <w:bCs/>
                          <w:sz w:val="18"/>
                          <w:szCs w:val="18"/>
                          <w:lang w:eastAsia="zh-CN"/>
                        </w:rPr>
                        <w:t>联络的法律后果</w:t>
                      </w:r>
                    </w:p>
                  </w:txbxContent>
                </v:textbox>
              </v:shape>
            </w:pict>
          </mc:Fallback>
        </mc:AlternateContent>
      </w:r>
      <w:r>
        <w:rPr>
          <w:rFonts w:hint="eastAsia" w:ascii="仿宋" w:hAnsi="仿宋" w:eastAsia="仿宋" w:cs="仿宋"/>
          <w:color w:val="auto"/>
          <w:highlight w:val="none"/>
          <w:lang w:eastAsia="zh-CN"/>
        </w:rPr>
        <w:t>合同当事人约定的通讯形式，亦适用于在诉讼阶段当事人接收人民法院的各类诉讼材料（包括起诉状、证据材料、开庭传票、各类通知书、裁判文书等），由当事人填写其送达地址、电话号码、收件人、电子邮箱等信息并签名、盖章确认。</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合同一方当事人如需变更约定通讯地址或收件人，应按合同约定方式将变更后的通讯地址或收件人通知对方当事人。未按约定方式通知变更的，原约定的通讯地址和收件人仍为有效通讯地址和收件人。</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按照约定地址和收件人送达文件并被签收的，视为当事人签收。因当事人提供或者确认的通讯地址不准确、通讯地址变更后未及时依程序告知对方当事人和法院、当事人或指定的收件人拒绝签收等原因，导致诉讼材料等未能被当事人实际接收的，邮寄送达的，以文件退回之日视为送达之日；直接送达的，以送达</w:t>
      </w:r>
      <w:r>
        <w:rPr>
          <w:rFonts w:hint="eastAsia" w:ascii="仿宋" w:hAnsi="仿宋" w:eastAsia="仿宋" w:cs="仿宋"/>
          <w:color w:val="auto"/>
          <w:highlight w:val="none"/>
          <w:lang w:eastAsia="zh-CN" w:bidi="ar"/>
        </w:rPr>
        <w:t>文件留在该地址之日为送达之日</w:t>
      </w:r>
      <w:r>
        <w:rPr>
          <w:rFonts w:hint="eastAsia" w:ascii="仿宋" w:hAnsi="仿宋" w:eastAsia="仿宋" w:cs="仿宋"/>
          <w:color w:val="auto"/>
          <w:highlight w:val="none"/>
          <w:lang w:eastAsia="zh-CN"/>
        </w:rPr>
        <w:t>。</w:t>
      </w:r>
    </w:p>
    <w:p>
      <w:pPr>
        <w:rPr>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273" w:name="_Toc10957"/>
      <w:bookmarkStart w:id="274" w:name="_Toc16979"/>
      <w:bookmarkStart w:id="275" w:name="_Toc31384"/>
      <w:bookmarkStart w:id="276" w:name="_Toc23337"/>
      <w:bookmarkStart w:id="277" w:name="_Toc20166"/>
      <w:bookmarkStart w:id="278" w:name="_Toc24312"/>
      <w:bookmarkStart w:id="279" w:name="_Toc25274"/>
      <w:bookmarkStart w:id="280" w:name="_Toc4995"/>
      <w:r>
        <w:rPr>
          <w:rFonts w:hint="eastAsia" w:ascii="仿宋" w:hAnsi="仿宋" w:eastAsia="仿宋" w:cs="仿宋"/>
          <w:color w:val="auto"/>
          <w:sz w:val="24"/>
          <w:szCs w:val="24"/>
          <w:highlight w:val="none"/>
          <w:lang w:eastAsia="zh-CN"/>
        </w:rPr>
        <w:t>10</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分包</w:t>
      </w:r>
      <w:bookmarkEnd w:id="273"/>
      <w:bookmarkEnd w:id="274"/>
      <w:bookmarkEnd w:id="275"/>
      <w:bookmarkEnd w:id="276"/>
      <w:bookmarkEnd w:id="277"/>
      <w:bookmarkEnd w:id="278"/>
      <w:bookmarkEnd w:id="279"/>
      <w:bookmarkEnd w:id="280"/>
    </w:p>
    <w:p>
      <w:pPr>
        <w:pStyle w:val="22"/>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1670528" behindDoc="0" locked="0" layoutInCell="1" allowOverlap="1">
                <wp:simplePos x="0" y="0"/>
                <wp:positionH relativeFrom="column">
                  <wp:posOffset>-114300</wp:posOffset>
                </wp:positionH>
                <wp:positionV relativeFrom="paragraph">
                  <wp:posOffset>294640</wp:posOffset>
                </wp:positionV>
                <wp:extent cx="876300" cy="340360"/>
                <wp:effectExtent l="0" t="0" r="0" b="0"/>
                <wp:wrapNone/>
                <wp:docPr id="12" name="文本框 706"/>
                <wp:cNvGraphicFramePr/>
                <a:graphic xmlns:a="http://schemas.openxmlformats.org/drawingml/2006/main">
                  <a:graphicData uri="http://schemas.microsoft.com/office/word/2010/wordprocessingShape">
                    <wps:wsp>
                      <wps:cNvSpPr txBox="1"/>
                      <wps:spPr>
                        <a:xfrm>
                          <a:off x="0" y="0"/>
                          <a:ext cx="876300" cy="34036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分包的要求</w:t>
                            </w:r>
                          </w:p>
                        </w:txbxContent>
                      </wps:txbx>
                      <wps:bodyPr wrap="square" upright="1"/>
                    </wps:wsp>
                  </a:graphicData>
                </a:graphic>
              </wp:anchor>
            </w:drawing>
          </mc:Choice>
          <mc:Fallback>
            <w:pict>
              <v:shape id="文本框 706" o:spid="_x0000_s1026" o:spt="202" type="#_x0000_t202" style="position:absolute;left:0pt;margin-left:-9pt;margin-top:23.2pt;height:26.8pt;width:69pt;z-index:251670528;mso-width-relative:page;mso-height-relative:page;" filled="f" stroked="f" coordsize="21600,21600" o:gfxdata="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0BVqC1QAAAAoBAAAPAAAAAAAAAAEAIAAAACIAAABkcnMvZG93bnJldi54bWxQSwECFAAUAAAA&#10;CACHTuJAsSULk7gBAABeAwAADgAAAAAAAAABACAAAAAkAQAAZHJzL2Uyb0RvYy54bWxQSwUGAAAA&#10;AAYABgBZAQAATg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分包的要求</w:t>
                      </w:r>
                    </w:p>
                  </w:txbxContent>
                </v:textbox>
              </v:shape>
            </w:pict>
          </mc:Fallback>
        </mc:AlternateContent>
      </w:r>
      <w:r>
        <w:rPr>
          <w:rFonts w:hint="eastAsia" w:ascii="仿宋" w:hAnsi="仿宋" w:eastAsia="仿宋" w:cs="仿宋"/>
          <w:b/>
          <w:bCs/>
          <w:color w:val="auto"/>
          <w:sz w:val="24"/>
          <w:szCs w:val="24"/>
          <w:highlight w:val="none"/>
          <w:lang w:eastAsia="zh-CN"/>
        </w:rPr>
        <w:t>10</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应自己实施、完成合同工程的主体结构。承包人不得将其承包的全部工程或将其肢解后以分包的名义转包给第三方，也不得将合同工程主体结构、关键性工作分包给第三方。承包人对合同工程进行分包，应当遵守《房屋建筑和市政基础设施工程施工分包管理办法》的相关规定。</w:t>
      </w:r>
    </w:p>
    <w:p>
      <w:pPr>
        <w:pStyle w:val="22"/>
        <w:adjustRightInd w:val="0"/>
        <w:snapToGrid w:val="0"/>
        <w:spacing w:line="360" w:lineRule="auto"/>
        <w:rPr>
          <w:rFonts w:ascii="仿宋" w:hAnsi="仿宋" w:eastAsia="仿宋" w:cs="仿宋"/>
          <w:b/>
          <w:bCs/>
          <w:color w:val="auto"/>
          <w:sz w:val="24"/>
          <w:szCs w:val="24"/>
          <w:highlight w:val="none"/>
          <w:lang w:eastAsia="zh-CN"/>
        </w:rPr>
      </w:pPr>
      <w:bookmarkStart w:id="281" w:name="_Toc1657"/>
      <w:r>
        <w:rPr>
          <w:rFonts w:hint="eastAsia" w:ascii="仿宋" w:hAnsi="仿宋" w:eastAsia="仿宋" w:cs="仿宋"/>
          <w:b/>
          <w:bCs/>
          <w:color w:val="auto"/>
          <w:sz w:val="24"/>
          <w:szCs w:val="24"/>
          <w:highlight w:val="none"/>
          <w:lang w:eastAsia="zh-CN"/>
        </w:rPr>
        <w:t>10</w:t>
      </w:r>
      <w:r>
        <w:rPr>
          <w:rFonts w:ascii="仿宋" w:hAnsi="仿宋" w:eastAsia="仿宋" w:cs="仿宋"/>
          <w:b/>
          <w:bCs/>
          <w:color w:val="auto"/>
          <w:sz w:val="24"/>
          <w:szCs w:val="24"/>
          <w:highlight w:val="none"/>
          <w:lang w:eastAsia="zh-CN"/>
        </w:rPr>
        <w:t>.2</w:t>
      </w:r>
      <w:bookmarkEnd w:id="281"/>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承包人可以采用直接发包的方式进行分包。但以暂估价形式包括在总承包范围内的工程、工程材料、工程设备、服务分包时，属于依法必须进行招标的项目范围且达到国家规定规模标准的，应当依法招标。</w:t>
      </w:r>
      <w:r>
        <w:rPr>
          <w:color w:val="auto"/>
          <w:highlight w:val="none"/>
        </w:rPr>
        <mc:AlternateContent>
          <mc:Choice Requires="wps">
            <w:drawing>
              <wp:anchor distT="0" distB="0" distL="114300" distR="114300" simplePos="0" relativeHeight="251671552" behindDoc="0" locked="0" layoutInCell="1" allowOverlap="1">
                <wp:simplePos x="0" y="0"/>
                <wp:positionH relativeFrom="column">
                  <wp:posOffset>-114300</wp:posOffset>
                </wp:positionH>
                <wp:positionV relativeFrom="paragraph">
                  <wp:posOffset>31750</wp:posOffset>
                </wp:positionV>
                <wp:extent cx="847090" cy="419100"/>
                <wp:effectExtent l="0" t="0" r="0" b="0"/>
                <wp:wrapNone/>
                <wp:docPr id="13" name="文本框 707"/>
                <wp:cNvGraphicFramePr/>
                <a:graphic xmlns:a="http://schemas.openxmlformats.org/drawingml/2006/main">
                  <a:graphicData uri="http://schemas.microsoft.com/office/word/2010/wordprocessingShape">
                    <wps:wsp>
                      <wps:cNvSpPr txBox="1"/>
                      <wps:spPr>
                        <a:xfrm>
                          <a:off x="0" y="0"/>
                          <a:ext cx="847090" cy="41910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分包的批准</w:t>
                            </w:r>
                          </w:p>
                        </w:txbxContent>
                      </wps:txbx>
                      <wps:bodyPr wrap="square" upright="1"/>
                    </wps:wsp>
                  </a:graphicData>
                </a:graphic>
              </wp:anchor>
            </w:drawing>
          </mc:Choice>
          <mc:Fallback>
            <w:pict>
              <v:shape id="文本框 707" o:spid="_x0000_s1026" o:spt="202" type="#_x0000_t202" style="position:absolute;left:0pt;margin-left:-9pt;margin-top:2.5pt;height:33pt;width:66.7pt;z-index:251671552;mso-width-relative:page;mso-height-relative:page;" filled="f" stroked="f" coordsize="21600,21600" o:gfxdata="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IDjZkXWAAAACAEAAA8AAAAAAAAAAQAgAAAAIgAAAGRycy9kb3ducmV2LnhtbFBLAQIUABQA&#10;AAAIAIdO4kDbBZ64uQEAAF4DAAAOAAAAAAAAAAEAIAAAACU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分包的批准</w:t>
                      </w:r>
                    </w:p>
                  </w:txbxContent>
                </v:textbox>
              </v:shape>
            </w:pict>
          </mc:Fallback>
        </mc:AlternateContent>
      </w:r>
      <w:r>
        <w:rPr>
          <w:rFonts w:hint="eastAsia" w:ascii="仿宋" w:hAnsi="仿宋" w:eastAsia="仿宋" w:cs="仿宋"/>
          <w:color w:val="auto"/>
          <w:highlight w:val="none"/>
          <w:lang w:eastAsia="zh-CN"/>
        </w:rPr>
        <w:t>承包人可依法将部分工作事项（含勘察、设计、采购、劳务分包）分包给具有相应分包资质的分包人，但未经发包人同意，承包人不得将总承包工作事项的任何部分或任何工作分包给第三方。下列情况则属例外：</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（1）施工及勘察劳务作业分包；</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（2）按照合同约定的标准购买工程材料和工程设备；</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（3）合同中已指定的分包事项。</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10</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672576" behindDoc="0" locked="0" layoutInCell="1" allowOverlap="1">
                <wp:simplePos x="0" y="0"/>
                <wp:positionH relativeFrom="column">
                  <wp:posOffset>-114300</wp:posOffset>
                </wp:positionH>
                <wp:positionV relativeFrom="paragraph">
                  <wp:posOffset>0</wp:posOffset>
                </wp:positionV>
                <wp:extent cx="790575" cy="363220"/>
                <wp:effectExtent l="0" t="0" r="0" b="0"/>
                <wp:wrapNone/>
                <wp:docPr id="14" name="文本框 708"/>
                <wp:cNvGraphicFramePr/>
                <a:graphic xmlns:a="http://schemas.openxmlformats.org/drawingml/2006/main">
                  <a:graphicData uri="http://schemas.microsoft.com/office/word/2010/wordprocessingShape">
                    <wps:wsp>
                      <wps:cNvSpPr txBox="1"/>
                      <wps:spPr>
                        <a:xfrm>
                          <a:off x="0" y="0"/>
                          <a:ext cx="790575" cy="36322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签订分包合同</w:t>
                            </w:r>
                          </w:p>
                        </w:txbxContent>
                      </wps:txbx>
                      <wps:bodyPr wrap="square" upright="1"/>
                    </wps:wsp>
                  </a:graphicData>
                </a:graphic>
              </wp:anchor>
            </w:drawing>
          </mc:Choice>
          <mc:Fallback>
            <w:pict>
              <v:shape id="文本框 708" o:spid="_x0000_s1026" o:spt="202" type="#_x0000_t202" style="position:absolute;left:0pt;margin-left:-9pt;margin-top:0pt;height:28.6pt;width:62.25pt;z-index:251672576;mso-width-relative:page;mso-height-relative:page;" filled="f" stroked="f" coordsize="21600,21600" o:gfxdata="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HEOpWvVAAAABwEAAA8AAAAAAAAAAQAgAAAAIgAAAGRycy9kb3ducmV2LnhtbFBLAQIUABQA&#10;AAAIAIdO4kA+evy3ugEAAF4DAAAOAAAAAAAAAAEAIAAAACQ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签订分包合同</w:t>
                      </w:r>
                    </w:p>
                  </w:txbxContent>
                </v:textbox>
              </v:shape>
            </w:pict>
          </mc:Fallback>
        </mc:AlternateContent>
      </w:r>
      <w:r>
        <w:rPr>
          <w:rFonts w:hint="eastAsia" w:ascii="仿宋" w:hAnsi="仿宋" w:eastAsia="仿宋" w:cs="仿宋"/>
          <w:color w:val="auto"/>
          <w:highlight w:val="none"/>
          <w:lang w:eastAsia="zh-CN"/>
        </w:rPr>
        <w:t>承包人分包工作事项的，应与分包人签订分包合同，并在分包合同签订后的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天内向发包人和设计顾问人或监理人、造价咨询人各提交一份分包合同。承包人有权利禁止分包人将分包事项再次分包。</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10</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673600" behindDoc="0" locked="0" layoutInCell="1" allowOverlap="1">
                <wp:simplePos x="0" y="0"/>
                <wp:positionH relativeFrom="column">
                  <wp:posOffset>-114300</wp:posOffset>
                </wp:positionH>
                <wp:positionV relativeFrom="paragraph">
                  <wp:posOffset>12065</wp:posOffset>
                </wp:positionV>
                <wp:extent cx="851535" cy="511175"/>
                <wp:effectExtent l="0" t="0" r="0" b="0"/>
                <wp:wrapNone/>
                <wp:docPr id="15" name="文本框 709"/>
                <wp:cNvGraphicFramePr/>
                <a:graphic xmlns:a="http://schemas.openxmlformats.org/drawingml/2006/main">
                  <a:graphicData uri="http://schemas.microsoft.com/office/word/2010/wordprocessingShape">
                    <wps:wsp>
                      <wps:cNvSpPr txBox="1"/>
                      <wps:spPr>
                        <a:xfrm>
                          <a:off x="0" y="0"/>
                          <a:ext cx="851535" cy="51117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分包工程款结算与支付</w:t>
                            </w:r>
                          </w:p>
                        </w:txbxContent>
                      </wps:txbx>
                      <wps:bodyPr wrap="square" upright="1"/>
                    </wps:wsp>
                  </a:graphicData>
                </a:graphic>
              </wp:anchor>
            </w:drawing>
          </mc:Choice>
          <mc:Fallback>
            <w:pict>
              <v:shape id="文本框 709" o:spid="_x0000_s1026" o:spt="202" type="#_x0000_t202" style="position:absolute;left:0pt;margin-left:-9pt;margin-top:0.95pt;height:40.25pt;width:67.05pt;z-index:251673600;mso-width-relative:page;mso-height-relative:page;" filled="f" stroked="f" coordsize="21600,21600" o:gfxdata="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haCLJ1QAAAAgBAAAPAAAAAAAAAAEAIAAAACIAAABkcnMvZG93bnJldi54bWxQSwECFAAUAAAA&#10;CACHTuJARgt+ALgBAABeAwAADgAAAAAAAAABACAAAAAkAQAAZHJzL2Uyb0RvYy54bWxQSwUGAAAA&#10;AAYABgBZAQAATg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分包工程款结算与支付</w:t>
                      </w:r>
                    </w:p>
                  </w:txbxContent>
                </v:textbox>
              </v:shape>
            </w:pict>
          </mc:Fallback>
        </mc:AlternateContent>
      </w:r>
      <w:r>
        <w:rPr>
          <w:rFonts w:hint="eastAsia" w:ascii="仿宋" w:hAnsi="仿宋" w:eastAsia="仿宋" w:cs="仿宋"/>
          <w:color w:val="auto"/>
          <w:highlight w:val="none"/>
          <w:lang w:eastAsia="zh-CN"/>
        </w:rPr>
        <w:t>分包合同价款由承包人与分包人结算。除合同另有约定或取得承包人的同意外，发包人应将分包合同价款按专用条款约定的支付方式全部支付给承包人，禁止发包人直接向分包人支付任何分包合同价款。</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如发包人有要求时，承包人应提供能证明自己已向分包人支付其分包合同价款等证明资料。否则，发包人有权直接向分包人支付承包人应支付而未支付的分包合同价款，并在承包人得到的合同价款中扣除。</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1674624" behindDoc="0" locked="0" layoutInCell="1" allowOverlap="1">
                <wp:simplePos x="0" y="0"/>
                <wp:positionH relativeFrom="column">
                  <wp:posOffset>-114300</wp:posOffset>
                </wp:positionH>
                <wp:positionV relativeFrom="paragraph">
                  <wp:posOffset>287655</wp:posOffset>
                </wp:positionV>
                <wp:extent cx="803275" cy="483235"/>
                <wp:effectExtent l="0" t="0" r="0" b="0"/>
                <wp:wrapNone/>
                <wp:docPr id="16" name="文本框 710"/>
                <wp:cNvGraphicFramePr/>
                <a:graphic xmlns:a="http://schemas.openxmlformats.org/drawingml/2006/main">
                  <a:graphicData uri="http://schemas.microsoft.com/office/word/2010/wordprocessingShape">
                    <wps:wsp>
                      <wps:cNvSpPr txBox="1"/>
                      <wps:spPr>
                        <a:xfrm>
                          <a:off x="0" y="0"/>
                          <a:ext cx="803275" cy="483235"/>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分包责任和义务</w:t>
                            </w:r>
                          </w:p>
                        </w:txbxContent>
                      </wps:txbx>
                      <wps:bodyPr wrap="square" upright="1"/>
                    </wps:wsp>
                  </a:graphicData>
                </a:graphic>
              </wp:anchor>
            </w:drawing>
          </mc:Choice>
          <mc:Fallback>
            <w:pict>
              <v:shape id="文本框 710" o:spid="_x0000_s1026" o:spt="202" type="#_x0000_t202" style="position:absolute;left:0pt;margin-left:-9pt;margin-top:22.65pt;height:38.05pt;width:63.25pt;z-index:251674624;mso-width-relative:page;mso-height-relative:page;" filled="f" stroked="f" coordsize="21600,21600" o:gfxdata="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A5RNELXAAAACgEAAA8AAAAAAAAAAQAgAAAAIgAAAGRycy9kb3ducmV2LnhtbFBLAQIUABQA&#10;AAAIAIdO4kCuMt3cuAEAAF4DAAAOAAAAAAAAAAEAIAAAACYBAABkcnMvZTJvRG9jLnhtbFBLBQYA&#10;AAAABgAGAFkBAABQBQ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分包责任和义务</w:t>
                      </w:r>
                    </w:p>
                  </w:txbxContent>
                </v:textbox>
              </v:shape>
            </w:pict>
          </mc:Fallback>
        </mc:AlternateContent>
      </w:r>
      <w:r>
        <w:rPr>
          <w:rFonts w:hint="eastAsia" w:ascii="仿宋" w:hAnsi="仿宋" w:eastAsia="仿宋" w:cs="仿宋"/>
          <w:b/>
          <w:bCs/>
          <w:color w:val="auto"/>
          <w:sz w:val="24"/>
          <w:szCs w:val="24"/>
          <w:highlight w:val="none"/>
          <w:lang w:eastAsia="zh-CN"/>
        </w:rPr>
        <w:t>10</w:t>
      </w:r>
      <w:r>
        <w:rPr>
          <w:rFonts w:ascii="仿宋" w:hAnsi="仿宋" w:eastAsia="仿宋" w:cs="仿宋"/>
          <w:b/>
          <w:bCs/>
          <w:color w:val="auto"/>
          <w:sz w:val="24"/>
          <w:szCs w:val="24"/>
          <w:highlight w:val="none"/>
          <w:lang w:eastAsia="zh-CN"/>
        </w:rPr>
        <w:t xml:space="preserve">.5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分包不能免除承包人应承担的任何责任和应履行的任何义务。承包人应在分包场地派驻相应管理人员保证本合同的履行。</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分包人应对分包事项负责。分包人的任何违约行为或疏忽导致工程损坏、损害或给发包人造成损失的，承包人应承担连带责任。</w:t>
      </w:r>
    </w:p>
    <w:p>
      <w:pPr>
        <w:pStyle w:val="22"/>
        <w:adjustRightInd w:val="0"/>
        <w:snapToGrid w:val="0"/>
        <w:spacing w:line="360" w:lineRule="auto"/>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75648" behindDoc="0" locked="0" layoutInCell="1" allowOverlap="1">
                <wp:simplePos x="0" y="0"/>
                <wp:positionH relativeFrom="column">
                  <wp:posOffset>-114300</wp:posOffset>
                </wp:positionH>
                <wp:positionV relativeFrom="paragraph">
                  <wp:posOffset>285750</wp:posOffset>
                </wp:positionV>
                <wp:extent cx="767080" cy="517525"/>
                <wp:effectExtent l="0" t="0" r="0" b="0"/>
                <wp:wrapNone/>
                <wp:docPr id="17" name="文本框 711"/>
                <wp:cNvGraphicFramePr/>
                <a:graphic xmlns:a="http://schemas.openxmlformats.org/drawingml/2006/main">
                  <a:graphicData uri="http://schemas.microsoft.com/office/word/2010/wordprocessingShape">
                    <wps:wsp>
                      <wps:cNvSpPr txBox="1"/>
                      <wps:spPr>
                        <a:xfrm>
                          <a:off x="0" y="0"/>
                          <a:ext cx="767080" cy="51752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分包合同终止</w:t>
                            </w:r>
                          </w:p>
                        </w:txbxContent>
                      </wps:txbx>
                      <wps:bodyPr wrap="square" upright="1"/>
                    </wps:wsp>
                  </a:graphicData>
                </a:graphic>
              </wp:anchor>
            </w:drawing>
          </mc:Choice>
          <mc:Fallback>
            <w:pict>
              <v:shape id="文本框 711" o:spid="_x0000_s1026" o:spt="202" type="#_x0000_t202" style="position:absolute;left:0pt;margin-left:-9pt;margin-top:22.5pt;height:40.75pt;width:60.4pt;z-index:251675648;mso-width-relative:page;mso-height-relative:page;" filled="f" stroked="f" coordsize="21600,21600" o:gfxdata="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zt7tTNcAAAAKAQAADwAAAAAAAAABACAAAAAiAAAAZHJzL2Rvd25yZXYueG1sUEsBAhQAFAAA&#10;AAgAh07iQGtLDqe3AQAAXgMAAA4AAAAAAAAAAQAgAAAAJg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分包合同终止</w:t>
                      </w:r>
                    </w:p>
                  </w:txbxContent>
                </v:textbox>
              </v:shape>
            </w:pict>
          </mc:Fallback>
        </mc:AlternateContent>
      </w:r>
      <w:r>
        <w:rPr>
          <w:rFonts w:hint="eastAsia" w:ascii="仿宋" w:hAnsi="仿宋" w:eastAsia="仿宋" w:cs="仿宋"/>
          <w:b/>
          <w:bCs/>
          <w:color w:val="auto"/>
          <w:sz w:val="24"/>
          <w:szCs w:val="24"/>
          <w:highlight w:val="none"/>
          <w:lang w:eastAsia="zh-CN"/>
        </w:rPr>
        <w:t>10</w:t>
      </w:r>
      <w:r>
        <w:rPr>
          <w:rFonts w:ascii="仿宋" w:hAnsi="仿宋" w:eastAsia="仿宋" w:cs="仿宋"/>
          <w:b/>
          <w:bCs/>
          <w:color w:val="auto"/>
          <w:sz w:val="24"/>
          <w:szCs w:val="24"/>
          <w:highlight w:val="none"/>
          <w:lang w:eastAsia="zh-CN"/>
        </w:rPr>
        <w:t xml:space="preserve">.6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无论何种原因，当本合同终止时，承包人应与分包人解除分包合同。承包人应在本合同终止前向分包人支付分包人应得款项。</w:t>
      </w:r>
    </w:p>
    <w:p>
      <w:pPr>
        <w:pStyle w:val="22"/>
        <w:adjustRightInd w:val="0"/>
        <w:snapToGrid w:val="0"/>
        <w:spacing w:line="360" w:lineRule="auto"/>
        <w:rPr>
          <w:rFonts w:ascii="仿宋" w:hAnsi="仿宋" w:eastAsia="仿宋"/>
          <w:color w:val="auto"/>
          <w:sz w:val="24"/>
          <w:szCs w:val="24"/>
          <w:highlight w:val="none"/>
          <w:lang w:eastAsia="zh-CN"/>
        </w:rPr>
      </w:pPr>
      <w:r>
        <w:rPr>
          <w:rFonts w:hint="eastAsia" w:ascii="仿宋" w:hAnsi="仿宋" w:eastAsia="仿宋" w:cs="仿宋"/>
          <w:b/>
          <w:bCs/>
          <w:color w:val="auto"/>
          <w:sz w:val="24"/>
          <w:szCs w:val="24"/>
          <w:highlight w:val="none"/>
          <w:lang w:eastAsia="zh-CN"/>
        </w:rPr>
        <w:t>10</w:t>
      </w:r>
      <w:r>
        <w:rPr>
          <w:rFonts w:ascii="仿宋" w:hAnsi="仿宋" w:eastAsia="仿宋" w:cs="仿宋"/>
          <w:b/>
          <w:bCs/>
          <w:color w:val="auto"/>
          <w:sz w:val="24"/>
          <w:szCs w:val="24"/>
          <w:highlight w:val="none"/>
          <w:lang w:eastAsia="zh-CN"/>
        </w:rPr>
        <w:t>.</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 xml:space="preserve">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1977728" behindDoc="0" locked="0" layoutInCell="1" allowOverlap="1">
                <wp:simplePos x="0" y="0"/>
                <wp:positionH relativeFrom="column">
                  <wp:posOffset>-114300</wp:posOffset>
                </wp:positionH>
                <wp:positionV relativeFrom="paragraph">
                  <wp:posOffset>-1270</wp:posOffset>
                </wp:positionV>
                <wp:extent cx="765810" cy="543560"/>
                <wp:effectExtent l="0" t="0" r="0" b="0"/>
                <wp:wrapNone/>
                <wp:docPr id="312" name="文本框 711"/>
                <wp:cNvGraphicFramePr/>
                <a:graphic xmlns:a="http://schemas.openxmlformats.org/drawingml/2006/main">
                  <a:graphicData uri="http://schemas.microsoft.com/office/word/2010/wordprocessingShape">
                    <wps:wsp>
                      <wps:cNvSpPr txBox="1"/>
                      <wps:spPr>
                        <a:xfrm>
                          <a:off x="0" y="0"/>
                          <a:ext cx="765810" cy="54356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发包人强制分包</w:t>
                            </w:r>
                          </w:p>
                        </w:txbxContent>
                      </wps:txbx>
                      <wps:bodyPr wrap="square" upright="1"/>
                    </wps:wsp>
                  </a:graphicData>
                </a:graphic>
              </wp:anchor>
            </w:drawing>
          </mc:Choice>
          <mc:Fallback>
            <w:pict>
              <v:shape id="文本框 711" o:spid="_x0000_s1026" o:spt="202" type="#_x0000_t202" style="position:absolute;left:0pt;margin-left:-9pt;margin-top:-0.1pt;height:42.8pt;width:60.3pt;z-index:251977728;mso-width-relative:page;mso-height-relative:page;" filled="f" stroked="f" coordsize="21600,21600" o:gfxdata="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IyOpb1gAAAAgBAAAPAAAAAAAAAAEAIAAAACIAAABkcnMvZG93bnJldi54bWxQSwECFAAU&#10;AAAACACHTuJAKyw0bboBAABfAwAADgAAAAAAAAABACAAAAAl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发包人强制分包</w:t>
                      </w:r>
                    </w:p>
                  </w:txbxContent>
                </v:textbox>
              </v:shape>
            </w:pict>
          </mc:Fallback>
        </mc:AlternateContent>
      </w:r>
      <w:r>
        <w:rPr>
          <w:rFonts w:hint="eastAsia" w:ascii="仿宋" w:hAnsi="仿宋" w:eastAsia="仿宋" w:cs="仿宋"/>
          <w:color w:val="auto"/>
          <w:highlight w:val="none"/>
          <w:lang w:eastAsia="zh-CN"/>
        </w:rPr>
        <w:t>因承包人违约或发生重大的质量、安全事故以及出现进度严重滞后的情况或工程专业化施工等的需要，发包人有权对承包人部分工作事项进行切割，做分包处理，因此而增加的一切费用由承包人承担。</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当发包人决定采取分包时，承包人应无条件接受并全力配合发包人开展相关工作，并无条件提供已有的临时设施供分包人使用，且不得为此要求增加或支付任何费用，否则视承包人违约。发包人委托造价咨询人按合同价格清单、分包工程量及相关违约条款计算该分包工程造价，并按以下原则从承包人的合同总价中扣除相应价款：</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（1）若计算结果等于或高于发包人与分包人就该分包事项协商确定的合同总价，则按造价咨询人计算结果扣除。</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（2）若计算结果低于发包人与分包人就该分包事项协商确定的合同总价，按发包人与分包人协商确定的该分包事项合同总价扣除。</w:t>
      </w:r>
    </w:p>
    <w:p>
      <w:pPr>
        <w:spacing w:line="360" w:lineRule="auto"/>
        <w:rPr>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282" w:name="_Toc31358"/>
      <w:bookmarkStart w:id="283" w:name="_Toc13081"/>
      <w:bookmarkStart w:id="284" w:name="_Toc469383987"/>
      <w:bookmarkStart w:id="285" w:name="_Toc11987"/>
      <w:bookmarkStart w:id="286" w:name="_Toc3202"/>
      <w:bookmarkStart w:id="287" w:name="_Toc12548"/>
      <w:bookmarkStart w:id="288" w:name="_Toc19439"/>
      <w:bookmarkStart w:id="289" w:name="_Toc27682"/>
      <w:bookmarkStart w:id="290" w:name="_Toc18117"/>
      <w:r>
        <w:rPr>
          <w:rFonts w:hint="eastAsia" w:ascii="仿宋" w:hAnsi="仿宋" w:eastAsia="仿宋" w:cs="仿宋"/>
          <w:color w:val="auto"/>
          <w:sz w:val="24"/>
          <w:szCs w:val="24"/>
          <w:highlight w:val="none"/>
          <w:lang w:eastAsia="zh-CN"/>
        </w:rPr>
        <w:t>11</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现场查勘</w:t>
      </w:r>
      <w:bookmarkEnd w:id="282"/>
      <w:bookmarkEnd w:id="283"/>
      <w:bookmarkEnd w:id="284"/>
      <w:bookmarkEnd w:id="285"/>
      <w:bookmarkEnd w:id="286"/>
      <w:bookmarkEnd w:id="287"/>
      <w:bookmarkEnd w:id="288"/>
      <w:bookmarkEnd w:id="289"/>
      <w:bookmarkEnd w:id="290"/>
    </w:p>
    <w:p>
      <w:pPr>
        <w:pStyle w:val="22"/>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1676672" behindDoc="0" locked="0" layoutInCell="1" allowOverlap="1">
                <wp:simplePos x="0" y="0"/>
                <wp:positionH relativeFrom="column">
                  <wp:posOffset>-114300</wp:posOffset>
                </wp:positionH>
                <wp:positionV relativeFrom="paragraph">
                  <wp:posOffset>236855</wp:posOffset>
                </wp:positionV>
                <wp:extent cx="765810" cy="359410"/>
                <wp:effectExtent l="0" t="0" r="0" b="0"/>
                <wp:wrapNone/>
                <wp:docPr id="18" name="文本框 712"/>
                <wp:cNvGraphicFramePr/>
                <a:graphic xmlns:a="http://schemas.openxmlformats.org/drawingml/2006/main">
                  <a:graphicData uri="http://schemas.microsoft.com/office/word/2010/wordprocessingShape">
                    <wps:wsp>
                      <wps:cNvSpPr txBox="1"/>
                      <wps:spPr>
                        <a:xfrm>
                          <a:off x="0" y="0"/>
                          <a:ext cx="765810" cy="359410"/>
                        </a:xfrm>
                        <a:prstGeom prst="rect">
                          <a:avLst/>
                        </a:prstGeom>
                        <a:noFill/>
                        <a:ln>
                          <a:noFill/>
                        </a:ln>
                      </wps:spPr>
                      <wps:txbx>
                        <w:txbxContent>
                          <w:p>
                            <w:pPr>
                              <w:spacing w:line="20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发包人提供资料的责任</w:t>
                            </w:r>
                          </w:p>
                        </w:txbxContent>
                      </wps:txbx>
                      <wps:bodyPr wrap="square" upright="1"/>
                    </wps:wsp>
                  </a:graphicData>
                </a:graphic>
              </wp:anchor>
            </w:drawing>
          </mc:Choice>
          <mc:Fallback>
            <w:pict>
              <v:shape id="文本框 712" o:spid="_x0000_s1026" o:spt="202" type="#_x0000_t202" style="position:absolute;left:0pt;margin-left:-9pt;margin-top:18.65pt;height:28.3pt;width:60.3pt;z-index:251676672;mso-width-relative:page;mso-height-relative:page;" filled="f" stroked="f" coordsize="21600,21600" o:gfxdata="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D4V5XdcAAAAJAQAADwAAAAAAAAABACAAAAAiAAAAZHJzL2Rvd25yZXYueG1sUEsBAhQAFAAA&#10;AAgAh07iQGARR323AQAAXgMAAA4AAAAAAAAAAQAgAAAAJgEAAGRycy9lMm9Eb2MueG1sUEsFBgAA&#10;AAAGAAYAWQEAAE8FAAAAAA==&#10;">
                <v:fill on="f" focussize="0,0"/>
                <v:stroke on="f"/>
                <v:imagedata o:title=""/>
                <o:lock v:ext="edit" aspectratio="f"/>
                <v:textbox>
                  <w:txbxContent>
                    <w:p>
                      <w:pPr>
                        <w:spacing w:line="20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发包人提供资料的责任</w:t>
                      </w:r>
                    </w:p>
                  </w:txbxContent>
                </v:textbox>
              </v:shape>
            </w:pict>
          </mc:Fallback>
        </mc:AlternateContent>
      </w:r>
      <w:r>
        <w:rPr>
          <w:rFonts w:hint="eastAsia" w:ascii="仿宋" w:hAnsi="仿宋" w:eastAsia="仿宋" w:cs="仿宋"/>
          <w:b/>
          <w:bCs/>
          <w:color w:val="auto"/>
          <w:sz w:val="24"/>
          <w:szCs w:val="24"/>
          <w:highlight w:val="none"/>
          <w:lang w:eastAsia="zh-CN"/>
        </w:rPr>
        <w:t>11</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发包人应按照第6条和第22</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款第（1）点约定向承包人提供《发包人要求》和项目基础资料。</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11</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77696" behindDoc="0" locked="0" layoutInCell="1" allowOverlap="1">
                <wp:simplePos x="0" y="0"/>
                <wp:positionH relativeFrom="column">
                  <wp:posOffset>-114300</wp:posOffset>
                </wp:positionH>
                <wp:positionV relativeFrom="paragraph">
                  <wp:posOffset>0</wp:posOffset>
                </wp:positionV>
                <wp:extent cx="850900" cy="494665"/>
                <wp:effectExtent l="0" t="0" r="0" b="0"/>
                <wp:wrapNone/>
                <wp:docPr id="19" name="文本框 713"/>
                <wp:cNvGraphicFramePr/>
                <a:graphic xmlns:a="http://schemas.openxmlformats.org/drawingml/2006/main">
                  <a:graphicData uri="http://schemas.microsoft.com/office/word/2010/wordprocessingShape">
                    <wps:wsp>
                      <wps:cNvSpPr txBox="1"/>
                      <wps:spPr>
                        <a:xfrm>
                          <a:off x="0" y="0"/>
                          <a:ext cx="850900" cy="494665"/>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承包人现场查勘</w:t>
                            </w:r>
                          </w:p>
                        </w:txbxContent>
                      </wps:txbx>
                      <wps:bodyPr wrap="square" upright="1"/>
                    </wps:wsp>
                  </a:graphicData>
                </a:graphic>
              </wp:anchor>
            </w:drawing>
          </mc:Choice>
          <mc:Fallback>
            <w:pict>
              <v:shape id="文本框 713" o:spid="_x0000_s1026" o:spt="202" type="#_x0000_t202" style="position:absolute;left:0pt;margin-left:-9pt;margin-top:0pt;height:38.95pt;width:67pt;z-index:251677696;mso-width-relative:page;mso-height-relative:page;" filled="f" stroked="f" coordsize="21600,21600" o:gfxdata="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AD1cSdUAAAAHAQAADwAAAAAAAAABACAAAAAiAAAAZHJzL2Rvd25yZXYueG1sUEsBAhQAFAAA&#10;AAgAh07iQGUWYkW5AQAAXgMAAA4AAAAAAAAAAQAgAAAAJAEAAGRycy9lMm9Eb2MueG1sUEsFBgAA&#10;AAAGAAYAWQEAAE8FA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承包人现场查勘</w:t>
                      </w:r>
                    </w:p>
                  </w:txbxContent>
                </v:textbox>
              </v:shape>
            </w:pict>
          </mc:Fallback>
        </mc:AlternateContent>
      </w:r>
      <w:r>
        <w:rPr>
          <w:rFonts w:hint="eastAsia" w:ascii="仿宋" w:hAnsi="仿宋" w:eastAsia="仿宋" w:cs="仿宋"/>
          <w:color w:val="auto"/>
          <w:sz w:val="24"/>
          <w:szCs w:val="24"/>
          <w:highlight w:val="none"/>
          <w:lang w:eastAsia="zh-CN"/>
        </w:rPr>
        <w:t>承包人已依据发包人提供的项目基础资料和自己对现场查勘来编制投标文件或报价文件，应对发包人提供项目基础资料的理解、推断和应用负责。</w:t>
      </w:r>
      <w:r>
        <w:rPr>
          <w:rFonts w:ascii="仿宋" w:hAnsi="仿宋" w:eastAsia="仿宋" w:cs="仿宋"/>
          <w:color w:val="auto"/>
          <w:sz w:val="24"/>
          <w:szCs w:val="24"/>
          <w:highlight w:val="none"/>
          <w:lang w:eastAsia="zh-CN"/>
        </w:rPr>
        <w:t>因承包人未能充分查勘、了解</w:t>
      </w:r>
      <w:r>
        <w:rPr>
          <w:rFonts w:hint="eastAsia" w:ascii="仿宋" w:hAnsi="仿宋" w:eastAsia="仿宋" w:cs="仿宋"/>
          <w:color w:val="auto"/>
          <w:sz w:val="24"/>
          <w:szCs w:val="24"/>
          <w:highlight w:val="none"/>
          <w:lang w:eastAsia="zh-CN"/>
        </w:rPr>
        <w:t>以下</w:t>
      </w:r>
      <w:r>
        <w:rPr>
          <w:rFonts w:ascii="仿宋" w:hAnsi="仿宋" w:eastAsia="仿宋" w:cs="仿宋"/>
          <w:color w:val="auto"/>
          <w:sz w:val="24"/>
          <w:szCs w:val="24"/>
          <w:highlight w:val="none"/>
          <w:lang w:eastAsia="zh-CN"/>
        </w:rPr>
        <w:t>情况或未能充分估计</w:t>
      </w:r>
      <w:r>
        <w:rPr>
          <w:rFonts w:hint="eastAsia" w:ascii="仿宋" w:hAnsi="仿宋" w:eastAsia="仿宋" w:cs="仿宋"/>
          <w:color w:val="auto"/>
          <w:sz w:val="24"/>
          <w:szCs w:val="24"/>
          <w:highlight w:val="none"/>
          <w:lang w:eastAsia="zh-CN"/>
        </w:rPr>
        <w:t>以下</w:t>
      </w:r>
      <w:r>
        <w:rPr>
          <w:rFonts w:ascii="仿宋" w:hAnsi="仿宋" w:eastAsia="仿宋" w:cs="仿宋"/>
          <w:color w:val="auto"/>
          <w:sz w:val="24"/>
          <w:szCs w:val="24"/>
          <w:highlight w:val="none"/>
          <w:lang w:eastAsia="zh-CN"/>
        </w:rPr>
        <w:t>情况所可能产生后果的，承包人承担由此增加的费用和（或）延误的工期。</w:t>
      </w:r>
      <w:r>
        <w:rPr>
          <w:rFonts w:hint="eastAsia" w:ascii="仿宋" w:hAnsi="仿宋" w:eastAsia="仿宋" w:cs="仿宋"/>
          <w:color w:val="auto"/>
          <w:sz w:val="24"/>
          <w:szCs w:val="24"/>
          <w:highlight w:val="none"/>
          <w:lang w:eastAsia="zh-CN"/>
        </w:rPr>
        <w:t>承包人的投标文件或报价文件应被认为已经考虑了工程现场及其周围环境的影响，包括但不限于以下内容：</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）现场地质情况及地形地貌特征；</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（2）水文和气候条件；</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（3）为实施、完成并保修合同工程所需的临时工程和措施项目；</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（4）为实施、完成并保修合同工程所需的工程材料采购和加工、工程设备的采购，及所需的施工设备、周转性材料、人员和管理等；</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（5）场地内外的交通情况及水、电、食宿供应条件；</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（6）可能对投标或报价有影响或起作用的其他情况。</w:t>
      </w:r>
    </w:p>
    <w:p>
      <w:pPr>
        <w:pStyle w:val="22"/>
        <w:adjustRightInd w:val="0"/>
        <w:snapToGrid w:val="0"/>
        <w:spacing w:line="360" w:lineRule="auto"/>
        <w:rPr>
          <w:rFonts w:ascii="仿宋" w:hAnsi="仿宋" w:eastAsia="仿宋"/>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291" w:name="_Toc3123"/>
      <w:bookmarkStart w:id="292" w:name="_Toc8461"/>
      <w:bookmarkStart w:id="293" w:name="_Toc32005"/>
      <w:bookmarkStart w:id="294" w:name="_Toc7621"/>
      <w:bookmarkStart w:id="295" w:name="_Toc30247"/>
      <w:bookmarkStart w:id="296" w:name="_Toc8688"/>
      <w:bookmarkStart w:id="297" w:name="_Toc469383988"/>
      <w:bookmarkStart w:id="298" w:name="_Toc11972"/>
      <w:bookmarkStart w:id="299" w:name="_Toc4406"/>
      <w:r>
        <w:rPr>
          <w:rFonts w:hint="eastAsia" w:ascii="仿宋" w:hAnsi="仿宋" w:eastAsia="仿宋" w:cs="仿宋"/>
          <w:color w:val="auto"/>
          <w:sz w:val="24"/>
          <w:szCs w:val="24"/>
          <w:highlight w:val="none"/>
          <w:lang w:eastAsia="zh-CN"/>
        </w:rPr>
        <w:t>12</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招标错失的修正</w:t>
      </w:r>
      <w:bookmarkEnd w:id="291"/>
      <w:bookmarkEnd w:id="292"/>
      <w:bookmarkEnd w:id="293"/>
      <w:bookmarkEnd w:id="294"/>
      <w:bookmarkEnd w:id="295"/>
      <w:bookmarkEnd w:id="296"/>
      <w:bookmarkEnd w:id="297"/>
      <w:bookmarkEnd w:id="298"/>
      <w:bookmarkEnd w:id="299"/>
    </w:p>
    <w:p>
      <w:pPr>
        <w:pStyle w:val="22"/>
        <w:adjustRightInd w:val="0"/>
        <w:snapToGrid w:val="0"/>
        <w:spacing w:before="240" w:beforeLines="100"/>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1678720" behindDoc="0" locked="0" layoutInCell="1" allowOverlap="1">
                <wp:simplePos x="0" y="0"/>
                <wp:positionH relativeFrom="column">
                  <wp:posOffset>-60960</wp:posOffset>
                </wp:positionH>
                <wp:positionV relativeFrom="paragraph">
                  <wp:posOffset>241300</wp:posOffset>
                </wp:positionV>
                <wp:extent cx="824230" cy="783590"/>
                <wp:effectExtent l="0" t="0" r="0" b="0"/>
                <wp:wrapNone/>
                <wp:docPr id="20" name="文本框 714"/>
                <wp:cNvGraphicFramePr/>
                <a:graphic xmlns:a="http://schemas.openxmlformats.org/drawingml/2006/main">
                  <a:graphicData uri="http://schemas.microsoft.com/office/word/2010/wordprocessingShape">
                    <wps:wsp>
                      <wps:cNvSpPr txBox="1"/>
                      <wps:spPr>
                        <a:xfrm>
                          <a:off x="0" y="0"/>
                          <a:ext cx="824230" cy="783590"/>
                        </a:xfrm>
                        <a:prstGeom prst="rect">
                          <a:avLst/>
                        </a:prstGeom>
                        <a:noFill/>
                        <a:ln>
                          <a:noFill/>
                        </a:ln>
                      </wps:spPr>
                      <wps:txbx>
                        <w:txbxContent>
                          <w:p>
                            <w:pPr>
                              <w:pStyle w:val="22"/>
                              <w:tabs>
                                <w:tab w:val="left" w:pos="2160"/>
                              </w:tabs>
                              <w:spacing w:before="192" w:beforeLines="80"/>
                              <w:rPr>
                                <w:lang w:eastAsia="zh-CN"/>
                              </w:rPr>
                            </w:pPr>
                            <w:r>
                              <w:rPr>
                                <w:rFonts w:hint="eastAsia" w:ascii="楷体_GB2312" w:hAnsi="宋体" w:eastAsia="楷体_GB2312" w:cs="楷体_GB2312"/>
                                <w:b/>
                                <w:bCs/>
                                <w:color w:val="000000"/>
                                <w:sz w:val="18"/>
                                <w:szCs w:val="18"/>
                                <w:lang w:eastAsia="zh-CN"/>
                              </w:rPr>
                              <w:t>合同条款及格式完备性和义务</w:t>
                            </w:r>
                          </w:p>
                        </w:txbxContent>
                      </wps:txbx>
                      <wps:bodyPr wrap="square" upright="1"/>
                    </wps:wsp>
                  </a:graphicData>
                </a:graphic>
              </wp:anchor>
            </w:drawing>
          </mc:Choice>
          <mc:Fallback>
            <w:pict>
              <v:shape id="文本框 714" o:spid="_x0000_s1026" o:spt="202" type="#_x0000_t202" style="position:absolute;left:0pt;margin-left:-4.8pt;margin-top:19pt;height:61.7pt;width:64.9pt;z-index:251678720;mso-width-relative:page;mso-height-relative:page;" filled="f" stroked="f" coordsize="21600,21600" o:gfxdata="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vEPmC1wAAAAkBAAAPAAAAAAAAAAEAIAAAACIAAABkcnMvZG93bnJldi54bWxQSwECFAAU&#10;AAAACACHTuJA4fIjH7kBAABeAwAADgAAAAAAAAABACAAAAAmAQAAZHJzL2Uyb0RvYy54bWxQSwUG&#10;AAAAAAYABgBZAQAAUQUAAAAA&#10;">
                <v:fill on="f" focussize="0,0"/>
                <v:stroke on="f"/>
                <v:imagedata o:title=""/>
                <o:lock v:ext="edit" aspectratio="f"/>
                <v:textbox>
                  <w:txbxContent>
                    <w:p>
                      <w:pPr>
                        <w:pStyle w:val="22"/>
                        <w:tabs>
                          <w:tab w:val="left" w:pos="2160"/>
                        </w:tabs>
                        <w:spacing w:before="192" w:beforeLines="80"/>
                        <w:rPr>
                          <w:lang w:eastAsia="zh-CN"/>
                        </w:rPr>
                      </w:pPr>
                      <w:r>
                        <w:rPr>
                          <w:rFonts w:hint="eastAsia" w:ascii="楷体_GB2312" w:hAnsi="宋体" w:eastAsia="楷体_GB2312" w:cs="楷体_GB2312"/>
                          <w:b/>
                          <w:bCs/>
                          <w:color w:val="000000"/>
                          <w:sz w:val="18"/>
                          <w:szCs w:val="18"/>
                          <w:lang w:eastAsia="zh-CN"/>
                        </w:rPr>
                        <w:t>合同条款及格式完备性和义务</w:t>
                      </w:r>
                    </w:p>
                  </w:txbxContent>
                </v:textbox>
              </v:shape>
            </w:pict>
          </mc:Fallback>
        </mc:AlternateContent>
      </w:r>
      <w:r>
        <w:rPr>
          <w:rFonts w:hint="eastAsia" w:ascii="仿宋" w:hAnsi="仿宋" w:eastAsia="仿宋" w:cs="仿宋"/>
          <w:b/>
          <w:bCs/>
          <w:color w:val="auto"/>
          <w:sz w:val="24"/>
          <w:szCs w:val="24"/>
          <w:highlight w:val="none"/>
          <w:lang w:eastAsia="zh-CN"/>
        </w:rPr>
        <w:t>12</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发包人招标文件中的合同条款及格式，被认为是正确的和公平的，并已包括了发包人履行本合同的全部义务，包括但不限于以下内容：</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）支付工程款及其他应付款项的义务；</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）完成本合同第22</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款约定工作的义务；</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）修正不正确合同条款及格式的义务；</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）澄清并改正被认定有失公平的合同条款的义务；</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）协助承包人实施、完成并保修合同工程的义务。</w:t>
      </w:r>
    </w:p>
    <w:p>
      <w:pPr>
        <w:pStyle w:val="22"/>
        <w:tabs>
          <w:tab w:val="left" w:pos="2160"/>
        </w:tabs>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12</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79744" behindDoc="0" locked="0" layoutInCell="1" allowOverlap="1">
                <wp:simplePos x="0" y="0"/>
                <wp:positionH relativeFrom="column">
                  <wp:posOffset>-1270</wp:posOffset>
                </wp:positionH>
                <wp:positionV relativeFrom="paragraph">
                  <wp:posOffset>9525</wp:posOffset>
                </wp:positionV>
                <wp:extent cx="851535" cy="1025525"/>
                <wp:effectExtent l="0" t="0" r="0" b="0"/>
                <wp:wrapNone/>
                <wp:docPr id="21" name="文本框 715"/>
                <wp:cNvGraphicFramePr/>
                <a:graphic xmlns:a="http://schemas.openxmlformats.org/drawingml/2006/main">
                  <a:graphicData uri="http://schemas.microsoft.com/office/word/2010/wordprocessingShape">
                    <wps:wsp>
                      <wps:cNvSpPr txBox="1"/>
                      <wps:spPr>
                        <a:xfrm>
                          <a:off x="0" y="0"/>
                          <a:ext cx="851535" cy="1025525"/>
                        </a:xfrm>
                        <a:prstGeom prst="rect">
                          <a:avLst/>
                        </a:prstGeom>
                        <a:noFill/>
                        <a:ln>
                          <a:noFill/>
                        </a:ln>
                      </wps:spPr>
                      <wps:txbx>
                        <w:txbxContent>
                          <w:p>
                            <w:pPr>
                              <w:pStyle w:val="22"/>
                              <w:tabs>
                                <w:tab w:val="left" w:pos="2160"/>
                              </w:tabs>
                              <w:spacing w:before="192" w:beforeLines="80"/>
                              <w:rPr>
                                <w:lang w:eastAsia="zh-CN"/>
                              </w:rPr>
                            </w:pPr>
                            <w:r>
                              <w:rPr>
                                <w:rFonts w:hint="eastAsia" w:ascii="楷体_GB2312" w:hAnsi="宋体" w:eastAsia="楷体_GB2312" w:cs="楷体_GB2312"/>
                                <w:b/>
                                <w:bCs/>
                                <w:color w:val="000000"/>
                                <w:sz w:val="18"/>
                                <w:szCs w:val="18"/>
                                <w:lang w:eastAsia="zh-CN"/>
                              </w:rPr>
                              <w:t>工程量清单或报价格式的准确性和修正</w:t>
                            </w:r>
                          </w:p>
                        </w:txbxContent>
                      </wps:txbx>
                      <wps:bodyPr wrap="square" upright="1"/>
                    </wps:wsp>
                  </a:graphicData>
                </a:graphic>
              </wp:anchor>
            </w:drawing>
          </mc:Choice>
          <mc:Fallback>
            <w:pict>
              <v:shape id="文本框 715" o:spid="_x0000_s1026" o:spt="202" type="#_x0000_t202" style="position:absolute;left:0pt;margin-left:-0.1pt;margin-top:0.75pt;height:80.75pt;width:67.05pt;z-index:251679744;mso-width-relative:page;mso-height-relative:page;" filled="f" stroked="f" coordsize="21600,21600" o:gfxdata="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1vYMY1AAAAAcBAAAPAAAAAAAAAAEAIAAAACIAAABkcnMvZG93bnJldi54bWxQSwECFAAUAAAA&#10;CACHTuJAnEX277kBAABfAwAADgAAAAAAAAABACAAAAAjAQAAZHJzL2Uyb0RvYy54bWxQSwUGAAAA&#10;AAYABgBZAQAATgUAAAAA&#10;">
                <v:fill on="f" focussize="0,0"/>
                <v:stroke on="f"/>
                <v:imagedata o:title=""/>
                <o:lock v:ext="edit" aspectratio="f"/>
                <v:textbox>
                  <w:txbxContent>
                    <w:p>
                      <w:pPr>
                        <w:pStyle w:val="22"/>
                        <w:tabs>
                          <w:tab w:val="left" w:pos="2160"/>
                        </w:tabs>
                        <w:spacing w:before="192" w:beforeLines="80"/>
                        <w:rPr>
                          <w:lang w:eastAsia="zh-CN"/>
                        </w:rPr>
                      </w:pPr>
                      <w:r>
                        <w:rPr>
                          <w:rFonts w:hint="eastAsia" w:ascii="楷体_GB2312" w:hAnsi="宋体" w:eastAsia="楷体_GB2312" w:cs="楷体_GB2312"/>
                          <w:b/>
                          <w:bCs/>
                          <w:color w:val="000000"/>
                          <w:sz w:val="18"/>
                          <w:szCs w:val="18"/>
                          <w:lang w:eastAsia="zh-CN"/>
                        </w:rPr>
                        <w:t>工程量清单或报价格式的准确性和修正</w:t>
                      </w:r>
                    </w:p>
                  </w:txbxContent>
                </v:textbox>
              </v:shape>
            </w:pict>
          </mc:Fallback>
        </mc:AlternateContent>
      </w:r>
      <w:r>
        <w:rPr>
          <w:rFonts w:hint="eastAsia" w:ascii="仿宋" w:hAnsi="仿宋" w:eastAsia="仿宋" w:cs="仿宋"/>
          <w:color w:val="auto"/>
          <w:sz w:val="24"/>
          <w:szCs w:val="24"/>
          <w:highlight w:val="none"/>
          <w:lang w:eastAsia="zh-CN"/>
        </w:rPr>
        <w:t>发包人招标文件提供的工程量清单或报价格式及其投资估算、设计概算等资料仅供参考，投标人已根据招标人提供的项目基础资料及现场查勘进行核实修正，并按发包人招标文件提供的报价格式自主报价。当出现下列情形之一的，发包人应及时予以修正，并相应调整合同价格：</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）发包人提供的可行性研究报告或初步设计发生实质性变化的；</w:t>
      </w:r>
    </w:p>
    <w:p>
      <w:pPr>
        <w:pStyle w:val="22"/>
        <w:widowControl w:val="0"/>
        <w:adjustRightInd w:val="0"/>
        <w:snapToGrid w:val="0"/>
        <w:spacing w:line="360" w:lineRule="auto"/>
        <w:ind w:left="1850" w:leftChars="771"/>
        <w:jc w:val="both"/>
        <w:rPr>
          <w:color w:val="auto"/>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）出现第69</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3款约定调整合同价格事项的。</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300" w:name="_Toc4657"/>
      <w:bookmarkStart w:id="301" w:name="_Toc11035"/>
      <w:bookmarkStart w:id="302" w:name="_Toc8248"/>
      <w:bookmarkStart w:id="303" w:name="_Toc7777"/>
      <w:bookmarkStart w:id="304" w:name="_Toc7822"/>
      <w:bookmarkStart w:id="305" w:name="_Toc15045"/>
      <w:bookmarkStart w:id="306" w:name="_Toc17894"/>
      <w:bookmarkStart w:id="307" w:name="_Toc16516"/>
      <w:bookmarkStart w:id="308" w:name="_Toc469383989"/>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3</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投标文件的完备性</w:t>
      </w:r>
      <w:bookmarkEnd w:id="300"/>
      <w:bookmarkEnd w:id="301"/>
      <w:bookmarkEnd w:id="302"/>
      <w:bookmarkEnd w:id="303"/>
      <w:bookmarkEnd w:id="304"/>
      <w:bookmarkEnd w:id="305"/>
      <w:bookmarkEnd w:id="306"/>
      <w:bookmarkEnd w:id="307"/>
      <w:bookmarkEnd w:id="308"/>
    </w:p>
    <w:p>
      <w:pPr>
        <w:rPr>
          <w:rFonts w:ascii="仿宋" w:hAnsi="仿宋" w:eastAsia="仿宋" w:cs="仿宋"/>
          <w:b/>
          <w:bCs/>
          <w:color w:val="auto"/>
          <w:highlight w:val="none"/>
          <w:lang w:eastAsia="zh-CN"/>
        </w:rPr>
      </w:pPr>
      <w:bookmarkStart w:id="309" w:name="_Toc1958"/>
      <w:r>
        <w:rPr>
          <w:color w:val="auto"/>
          <w:highlight w:val="none"/>
        </w:rPr>
        <mc:AlternateContent>
          <mc:Choice Requires="wps">
            <w:drawing>
              <wp:anchor distT="0" distB="0" distL="114300" distR="114300" simplePos="0" relativeHeight="251680768" behindDoc="0" locked="0" layoutInCell="1" allowOverlap="1">
                <wp:simplePos x="0" y="0"/>
                <wp:positionH relativeFrom="column">
                  <wp:posOffset>-114300</wp:posOffset>
                </wp:positionH>
                <wp:positionV relativeFrom="paragraph">
                  <wp:posOffset>166370</wp:posOffset>
                </wp:positionV>
                <wp:extent cx="814705" cy="711200"/>
                <wp:effectExtent l="0" t="0" r="0" b="0"/>
                <wp:wrapNone/>
                <wp:docPr id="22" name="文本框 716"/>
                <wp:cNvGraphicFramePr/>
                <a:graphic xmlns:a="http://schemas.openxmlformats.org/drawingml/2006/main">
                  <a:graphicData uri="http://schemas.microsoft.com/office/word/2010/wordprocessingShape">
                    <wps:wsp>
                      <wps:cNvSpPr txBox="1"/>
                      <wps:spPr>
                        <a:xfrm>
                          <a:off x="0" y="0"/>
                          <a:ext cx="814705" cy="711200"/>
                        </a:xfrm>
                        <a:prstGeom prst="rect">
                          <a:avLst/>
                        </a:prstGeom>
                        <a:noFill/>
                        <a:ln>
                          <a:noFill/>
                        </a:ln>
                      </wps:spPr>
                      <wps:txbx>
                        <w:txbxContent>
                          <w:p>
                            <w:pPr>
                              <w:pStyle w:val="22"/>
                              <w:tabs>
                                <w:tab w:val="left" w:pos="2160"/>
                              </w:tabs>
                              <w:spacing w:before="192" w:beforeLines="80"/>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投标文件完备性和义务</w:t>
                            </w:r>
                          </w:p>
                        </w:txbxContent>
                      </wps:txbx>
                      <wps:bodyPr wrap="square" upright="1"/>
                    </wps:wsp>
                  </a:graphicData>
                </a:graphic>
              </wp:anchor>
            </w:drawing>
          </mc:Choice>
          <mc:Fallback>
            <w:pict>
              <v:shape id="文本框 716" o:spid="_x0000_s1026" o:spt="202" type="#_x0000_t202" style="position:absolute;left:0pt;margin-left:-9pt;margin-top:13.1pt;height:56pt;width:64.15pt;z-index:251680768;mso-width-relative:page;mso-height-relative:page;" filled="f" stroked="f" coordsize="21600,21600" o:gfxdata="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cNNGe2AAAAAoBAAAPAAAAAAAAAAEAIAAAACIAAABkcnMvZG93bnJldi54bWxQSwECFAAU&#10;AAAACACHTuJAYZ7EUrgBAABeAwAADgAAAAAAAAABACAAAAAnAQAAZHJzL2Uyb0RvYy54bWxQSwUG&#10;AAAAAAYABgBZAQAAUQUAAAAA&#10;">
                <v:fill on="f" focussize="0,0"/>
                <v:stroke on="f"/>
                <v:imagedata o:title=""/>
                <o:lock v:ext="edit" aspectratio="f"/>
                <v:textbox>
                  <w:txbxContent>
                    <w:p>
                      <w:pPr>
                        <w:pStyle w:val="22"/>
                        <w:tabs>
                          <w:tab w:val="left" w:pos="2160"/>
                        </w:tabs>
                        <w:spacing w:before="192" w:beforeLines="80"/>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投标文件完备性和义务</w:t>
                      </w:r>
                    </w:p>
                  </w:txbxContent>
                </v:textbox>
              </v:shape>
            </w:pict>
          </mc:Fallback>
        </mc:AlternateContent>
      </w:r>
      <w:r>
        <w:rPr>
          <w:rFonts w:ascii="仿宋" w:hAnsi="仿宋" w:eastAsia="仿宋" w:cs="仿宋"/>
          <w:b/>
          <w:bCs/>
          <w:color w:val="auto"/>
          <w:highlight w:val="none"/>
          <w:lang w:eastAsia="zh-CN"/>
        </w:rPr>
        <w:t>1</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.1</w:t>
      </w:r>
      <w:bookmarkEnd w:id="309"/>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承包人投标文件中的工程量清单及所填单价和合价，被认为是正确的和完备的，</w:t>
      </w:r>
      <w:r>
        <w:rPr>
          <w:rFonts w:hint="eastAsia" w:ascii="仿宋" w:hAnsi="仿宋" w:eastAsia="仿宋"/>
          <w:color w:val="auto"/>
          <w:sz w:val="24"/>
          <w:szCs w:val="24"/>
          <w:highlight w:val="none"/>
          <w:lang w:eastAsia="zh-CN"/>
        </w:rPr>
        <w:t>并已包括了承包人履行本合同的全部义务</w:t>
      </w:r>
      <w:r>
        <w:rPr>
          <w:rFonts w:hint="eastAsia" w:ascii="仿宋" w:hAnsi="仿宋" w:eastAsia="仿宋" w:cs="仿宋"/>
          <w:color w:val="auto"/>
          <w:sz w:val="24"/>
          <w:szCs w:val="24"/>
          <w:highlight w:val="none"/>
          <w:lang w:eastAsia="zh-CN"/>
        </w:rPr>
        <w:t>，包括但不限于以下内容：</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）完成总承包范围内容及处理意外事项的义务；</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（2）修复工作缺陷及完成工程质量保修义务。</w:t>
      </w:r>
    </w:p>
    <w:p>
      <w:pPr>
        <w:pStyle w:val="22"/>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81792" behindDoc="0" locked="0" layoutInCell="1" allowOverlap="1">
                <wp:simplePos x="0" y="0"/>
                <wp:positionH relativeFrom="column">
                  <wp:posOffset>-114300</wp:posOffset>
                </wp:positionH>
                <wp:positionV relativeFrom="paragraph">
                  <wp:posOffset>8255</wp:posOffset>
                </wp:positionV>
                <wp:extent cx="832485" cy="561975"/>
                <wp:effectExtent l="0" t="0" r="0" b="0"/>
                <wp:wrapNone/>
                <wp:docPr id="23" name="文本框 717"/>
                <wp:cNvGraphicFramePr/>
                <a:graphic xmlns:a="http://schemas.openxmlformats.org/drawingml/2006/main">
                  <a:graphicData uri="http://schemas.microsoft.com/office/word/2010/wordprocessingShape">
                    <wps:wsp>
                      <wps:cNvSpPr txBox="1"/>
                      <wps:spPr>
                        <a:xfrm>
                          <a:off x="0" y="0"/>
                          <a:ext cx="832485" cy="561975"/>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承包人报价的限制</w:t>
                            </w:r>
                          </w:p>
                        </w:txbxContent>
                      </wps:txbx>
                      <wps:bodyPr wrap="square" upright="1"/>
                    </wps:wsp>
                  </a:graphicData>
                </a:graphic>
              </wp:anchor>
            </w:drawing>
          </mc:Choice>
          <mc:Fallback>
            <w:pict>
              <v:shape id="文本框 717" o:spid="_x0000_s1026" o:spt="202" type="#_x0000_t202" style="position:absolute;left:0pt;margin-left:-9pt;margin-top:0.65pt;height:44.25pt;width:65.55pt;z-index:251681792;mso-width-relative:page;mso-height-relative:page;" filled="f" stroked="f" coordsize="21600,21600" o:gfxdata="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L0y53VAAAACAEAAA8AAAAAAAAAAQAgAAAAIgAAAGRycy9kb3ducmV2LnhtbFBLAQIUABQA&#10;AAAIAIdO4kAE/1eWugEAAF4DAAAOAAAAAAAAAAEAIAAAACQBAABkcnMvZTJvRG9jLnhtbFBLBQYA&#10;AAAABgAGAFkBAABQBQ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承包人报价的限制</w:t>
                      </w:r>
                    </w:p>
                  </w:txbxContent>
                </v:textbox>
              </v:shape>
            </w:pict>
          </mc:Fallback>
        </mc:AlternateContent>
      </w:r>
      <w:r>
        <w:rPr>
          <w:rFonts w:hint="eastAsia" w:ascii="仿宋" w:hAnsi="仿宋" w:eastAsia="仿宋" w:cs="仿宋"/>
          <w:color w:val="auto"/>
          <w:sz w:val="24"/>
          <w:szCs w:val="24"/>
          <w:highlight w:val="none"/>
          <w:lang w:eastAsia="zh-CN"/>
        </w:rPr>
        <w:t>发包人已提供项目基础资料、发包人要求及相关澄清文件，承包人投标文件中的工程量清单中漏项、少报工程量或工作量、漏报单价与合价，应认为该项目价款已包含在工程量清单的其他项目的单价或合价中，发包人将不另行支付。发包人提供的可行性研究报告或初步设计变更、发包人允许的合理化建议等合同允许调整事项除外。</w:t>
      </w:r>
    </w:p>
    <w:p>
      <w:pPr>
        <w:pStyle w:val="22"/>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3</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82816" behindDoc="0" locked="0" layoutInCell="1" allowOverlap="1">
                <wp:simplePos x="0" y="0"/>
                <wp:positionH relativeFrom="column">
                  <wp:posOffset>-114300</wp:posOffset>
                </wp:positionH>
                <wp:positionV relativeFrom="paragraph">
                  <wp:posOffset>8255</wp:posOffset>
                </wp:positionV>
                <wp:extent cx="814070" cy="562610"/>
                <wp:effectExtent l="0" t="0" r="0" b="0"/>
                <wp:wrapNone/>
                <wp:docPr id="24" name="文本框 718"/>
                <wp:cNvGraphicFramePr/>
                <a:graphic xmlns:a="http://schemas.openxmlformats.org/drawingml/2006/main">
                  <a:graphicData uri="http://schemas.microsoft.com/office/word/2010/wordprocessingShape">
                    <wps:wsp>
                      <wps:cNvSpPr txBox="1"/>
                      <wps:spPr>
                        <a:xfrm>
                          <a:off x="0" y="0"/>
                          <a:ext cx="814070" cy="56261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算术性错误的调整</w:t>
                            </w:r>
                          </w:p>
                        </w:txbxContent>
                      </wps:txbx>
                      <wps:bodyPr wrap="square" upright="1"/>
                    </wps:wsp>
                  </a:graphicData>
                </a:graphic>
              </wp:anchor>
            </w:drawing>
          </mc:Choice>
          <mc:Fallback>
            <w:pict>
              <v:shape id="文本框 718" o:spid="_x0000_s1026" o:spt="202" type="#_x0000_t202" style="position:absolute;left:0pt;margin-left:-9pt;margin-top:0.65pt;height:44.3pt;width:64.1pt;z-index:251682816;mso-width-relative:page;mso-height-relative:page;" filled="f" stroked="f" coordsize="21600,21600" o:gfxdata="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C5eY/vWAAAACAEAAA8AAAAAAAAAAQAgAAAAIgAAAGRycy9kb3ducmV2LnhtbFBLAQIUABQA&#10;AAAIAIdO4kDMeDLvuQEAAF4DAAAOAAAAAAAAAAEAIAAAACU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算术性错误的调整</w:t>
                      </w:r>
                    </w:p>
                  </w:txbxContent>
                </v:textbox>
              </v:shape>
            </w:pict>
          </mc:Fallback>
        </mc:AlternateContent>
      </w:r>
      <w:r>
        <w:rPr>
          <w:rFonts w:hint="eastAsia" w:ascii="仿宋" w:hAnsi="仿宋" w:eastAsia="仿宋" w:cs="仿宋"/>
          <w:color w:val="auto"/>
          <w:sz w:val="24"/>
          <w:szCs w:val="24"/>
          <w:highlight w:val="none"/>
          <w:lang w:eastAsia="zh-CN"/>
        </w:rPr>
        <w:t>承包人投标文件中出现算术性错误，导致其算术修正后的实际总价与报价总金额不一致时，合同双方当事人可按照国家、省有关规定予以修正，并相应调整合同价格，调整后的合同价格原则上不得超过已批准或备案的投资估算（立项后招标发包工程）或设计概算（适用于初步设计批准或备案后招标发包工程）中相应价格。</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10" w:name="_Toc21701"/>
      <w:bookmarkStart w:id="311" w:name="_Toc9130"/>
      <w:bookmarkStart w:id="312" w:name="_Toc6897"/>
      <w:bookmarkStart w:id="313" w:name="_Toc12674"/>
      <w:bookmarkStart w:id="314" w:name="_Toc20888"/>
      <w:bookmarkStart w:id="315" w:name="_Toc19751"/>
      <w:bookmarkStart w:id="316" w:name="_Toc13627"/>
      <w:bookmarkStart w:id="317" w:name="_Toc3950"/>
      <w:r>
        <w:rPr>
          <w:rFonts w:ascii="仿宋" w:hAnsi="仿宋" w:eastAsia="仿宋" w:cs="仿宋"/>
          <w:bCs w:val="0"/>
          <w:color w:val="auto"/>
          <w:sz w:val="24"/>
          <w:szCs w:val="24"/>
          <w:highlight w:val="none"/>
          <w:lang w:eastAsia="zh-CN"/>
        </w:rPr>
        <w:t>1</w:t>
      </w:r>
      <w:r>
        <w:rPr>
          <w:rFonts w:hint="eastAsia" w:ascii="仿宋" w:hAnsi="仿宋" w:eastAsia="仿宋" w:cs="仿宋"/>
          <w:bCs w:val="0"/>
          <w:color w:val="auto"/>
          <w:sz w:val="24"/>
          <w:szCs w:val="24"/>
          <w:highlight w:val="none"/>
          <w:lang w:eastAsia="zh-CN"/>
        </w:rPr>
        <w:t>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文物和地下障碍物</w:t>
      </w:r>
      <w:bookmarkEnd w:id="310"/>
      <w:bookmarkEnd w:id="311"/>
      <w:bookmarkEnd w:id="312"/>
      <w:bookmarkEnd w:id="313"/>
      <w:bookmarkEnd w:id="314"/>
      <w:bookmarkEnd w:id="315"/>
      <w:bookmarkEnd w:id="316"/>
      <w:bookmarkEnd w:id="317"/>
    </w:p>
    <w:p>
      <w:pPr>
        <w:pStyle w:val="22"/>
        <w:adjustRightInd w:val="0"/>
        <w:snapToGrid w:val="0"/>
        <w:spacing w:line="360" w:lineRule="auto"/>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83840" behindDoc="0" locked="0" layoutInCell="1" allowOverlap="1">
                <wp:simplePos x="0" y="0"/>
                <wp:positionH relativeFrom="column">
                  <wp:posOffset>-114300</wp:posOffset>
                </wp:positionH>
                <wp:positionV relativeFrom="paragraph">
                  <wp:posOffset>-7620</wp:posOffset>
                </wp:positionV>
                <wp:extent cx="861060" cy="511175"/>
                <wp:effectExtent l="0" t="0" r="0" b="0"/>
                <wp:wrapNone/>
                <wp:docPr id="25" name="文本框 719"/>
                <wp:cNvGraphicFramePr/>
                <a:graphic xmlns:a="http://schemas.openxmlformats.org/drawingml/2006/main">
                  <a:graphicData uri="http://schemas.microsoft.com/office/word/2010/wordprocessingShape">
                    <wps:wsp>
                      <wps:cNvSpPr txBox="1"/>
                      <wps:spPr>
                        <a:xfrm>
                          <a:off x="0" y="0"/>
                          <a:ext cx="861060" cy="511175"/>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文物化石等物品保护</w:t>
                            </w:r>
                          </w:p>
                        </w:txbxContent>
                      </wps:txbx>
                      <wps:bodyPr wrap="square" upright="1"/>
                    </wps:wsp>
                  </a:graphicData>
                </a:graphic>
              </wp:anchor>
            </w:drawing>
          </mc:Choice>
          <mc:Fallback>
            <w:pict>
              <v:shape id="文本框 719" o:spid="_x0000_s1026" o:spt="202" type="#_x0000_t202" style="position:absolute;left:0pt;margin-left:-9pt;margin-top:-0.6pt;height:40.25pt;width:67.8pt;z-index:251683840;mso-width-relative:page;mso-height-relative:page;" filled="f" stroked="f" coordsize="21600,21600" o:gfxdata="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hBYnjXAAAACQEAAA8AAAAAAAAAAQAgAAAAIgAAAGRycy9kb3ducmV2LnhtbFBLAQIUABQA&#10;AAAIAIdO4kDkfOU5uAEAAF4DAAAOAAAAAAAAAAEAIAAAACYBAABkcnMvZTJvRG9jLnhtbFBLBQYA&#10;AAAABgAGAFkBAABQBQ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文物化石等物品保护</w:t>
                      </w:r>
                    </w:p>
                  </w:txbxContent>
                </v:textbox>
              </v:shape>
            </w:pict>
          </mc:Fallback>
        </mc:AlternateContent>
      </w:r>
      <w:r>
        <w:rPr>
          <w:rFonts w:hint="eastAsia" w:ascii="仿宋" w:hAnsi="仿宋" w:eastAsia="仿宋" w:cs="仿宋"/>
          <w:color w:val="auto"/>
          <w:sz w:val="24"/>
          <w:szCs w:val="24"/>
          <w:highlight w:val="none"/>
          <w:lang w:eastAsia="zh-CN"/>
        </w:rPr>
        <w:t>在施工现场发现的古墓、古建筑遗址等文物、古迹以及其他具有考古、地质研究等价值的遗迹、化石、钱币或物品，属于国家所有。一旦发现上述文物，承包人应立即保护好现场，防止任何人员移动或损坏上述文物，并于</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小时内以书面形式通知监理人和发包人。监理人应在收到通知后立即指令承包人继续保护好现场，并在收到通知后</w:t>
      </w:r>
      <w:r>
        <w:rPr>
          <w:rFonts w:ascii="仿宋" w:hAnsi="仿宋" w:eastAsia="仿宋" w:cs="仿宋"/>
          <w:color w:val="auto"/>
          <w:sz w:val="24"/>
          <w:szCs w:val="24"/>
          <w:highlight w:val="none"/>
          <w:lang w:eastAsia="zh-CN"/>
        </w:rPr>
        <w:t>24</w:t>
      </w:r>
      <w:r>
        <w:rPr>
          <w:rFonts w:hint="eastAsia" w:ascii="仿宋" w:hAnsi="仿宋" w:eastAsia="仿宋" w:cs="仿宋"/>
          <w:color w:val="auto"/>
          <w:sz w:val="24"/>
          <w:szCs w:val="24"/>
          <w:highlight w:val="none"/>
          <w:lang w:eastAsia="zh-CN"/>
        </w:rPr>
        <w:t>小时内报告当地文物管理部门，合同双方当事人应按照文物管理部门的要求采取妥善保护措施。发包人承担由此增加的费用和（或）工期延误，并向承包人支付合理利润。</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如发现文物后隐瞒不报或报告不及时，导致上述文物丢失或遭受破坏的，由责任方赔偿损失，并承担相应的法律责任。</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84864" behindDoc="0" locked="0" layoutInCell="1" allowOverlap="1">
                <wp:simplePos x="0" y="0"/>
                <wp:positionH relativeFrom="column">
                  <wp:posOffset>-114300</wp:posOffset>
                </wp:positionH>
                <wp:positionV relativeFrom="paragraph">
                  <wp:posOffset>-1270</wp:posOffset>
                </wp:positionV>
                <wp:extent cx="870585" cy="577850"/>
                <wp:effectExtent l="0" t="0" r="0" b="0"/>
                <wp:wrapNone/>
                <wp:docPr id="26" name="文本框 720"/>
                <wp:cNvGraphicFramePr/>
                <a:graphic xmlns:a="http://schemas.openxmlformats.org/drawingml/2006/main">
                  <a:graphicData uri="http://schemas.microsoft.com/office/word/2010/wordprocessingShape">
                    <wps:wsp>
                      <wps:cNvSpPr txBox="1"/>
                      <wps:spPr>
                        <a:xfrm>
                          <a:off x="0" y="0"/>
                          <a:ext cx="870585" cy="577850"/>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地下障碍物处置</w:t>
                            </w:r>
                          </w:p>
                        </w:txbxContent>
                      </wps:txbx>
                      <wps:bodyPr wrap="square" upright="1"/>
                    </wps:wsp>
                  </a:graphicData>
                </a:graphic>
              </wp:anchor>
            </w:drawing>
          </mc:Choice>
          <mc:Fallback>
            <w:pict>
              <v:shape id="文本框 720" o:spid="_x0000_s1026" o:spt="202" type="#_x0000_t202" style="position:absolute;left:0pt;margin-left:-9pt;margin-top:-0.1pt;height:45.5pt;width:68.55pt;z-index:251684864;mso-width-relative:page;mso-height-relative:page;" filled="f" stroked="f" coordsize="21600,21600" o:gfxdata="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w/vQsdYAAAAIAQAADwAAAAAAAAABACAAAAAiAAAAZHJzL2Rvd25yZXYueG1sUEsBAhQAFAAA&#10;AAgAh07iQPWsFZ+4AQAAXgMAAA4AAAAAAAAAAQAgAAAAJQEAAGRycy9lMm9Eb2MueG1sUEsFBgAA&#10;AAAGAAYAWQEAAE8FA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地下障碍物处置</w:t>
                      </w:r>
                    </w:p>
                  </w:txbxContent>
                </v:textbox>
              </v:shape>
            </w:pict>
          </mc:Fallback>
        </mc:AlternateContent>
      </w:r>
      <w:r>
        <w:rPr>
          <w:rFonts w:hint="eastAsia" w:ascii="仿宋" w:hAnsi="仿宋" w:eastAsia="仿宋" w:cs="仿宋"/>
          <w:color w:val="auto"/>
          <w:sz w:val="24"/>
          <w:szCs w:val="24"/>
          <w:highlight w:val="none"/>
          <w:lang w:eastAsia="zh-CN"/>
        </w:rPr>
        <w:t>本合同已明确指出的地下障碍物（发包人招标文件提供的工程量清单有列明或提供的地质资料已明确反映的），应视为承包人在投标报价时已预见其对施工的影响，并已在合同价格中考虑。</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本合同未有明确指出的地下障碍物（发包人招标文件提供的工程量清单没列明或提供的地质资料不能明确反映的），在施工过程遇到时，承包人应于</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小时内以书面形式通知监理人和发包人，并提出处置方案。监理人在收到处置方案后</w:t>
      </w:r>
      <w:r>
        <w:rPr>
          <w:rFonts w:ascii="仿宋" w:hAnsi="仿宋" w:eastAsia="仿宋" w:cs="仿宋"/>
          <w:color w:val="auto"/>
          <w:sz w:val="24"/>
          <w:szCs w:val="24"/>
          <w:highlight w:val="none"/>
          <w:lang w:eastAsia="zh-CN"/>
        </w:rPr>
        <w:t>24</w:t>
      </w:r>
      <w:r>
        <w:rPr>
          <w:rFonts w:hint="eastAsia" w:ascii="仿宋" w:hAnsi="仿宋" w:eastAsia="仿宋" w:cs="仿宋"/>
          <w:color w:val="auto"/>
          <w:sz w:val="24"/>
          <w:szCs w:val="24"/>
          <w:highlight w:val="none"/>
          <w:lang w:eastAsia="zh-CN"/>
        </w:rPr>
        <w:t>小时内予以确认或提出修正方案，并发出施工指令。承包人应按照监理人指令进行施工。发包人应承担由此增加的费用和（或）延误的工期，并向承包人支付合理利润。</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18" w:name="_Toc22349"/>
      <w:bookmarkStart w:id="319" w:name="_Toc24008"/>
      <w:bookmarkStart w:id="320" w:name="_Toc29989"/>
      <w:bookmarkStart w:id="321" w:name="_Toc15758"/>
      <w:bookmarkStart w:id="322" w:name="_Toc21364"/>
      <w:bookmarkStart w:id="323" w:name="_Toc8675"/>
      <w:bookmarkStart w:id="324" w:name="_Toc764"/>
      <w:bookmarkStart w:id="325" w:name="_Toc1446"/>
      <w:r>
        <w:rPr>
          <w:rFonts w:ascii="仿宋" w:hAnsi="仿宋" w:eastAsia="仿宋" w:cs="仿宋"/>
          <w:bCs w:val="0"/>
          <w:color w:val="auto"/>
          <w:sz w:val="24"/>
          <w:szCs w:val="24"/>
          <w:highlight w:val="none"/>
          <w:lang w:eastAsia="zh-CN"/>
        </w:rPr>
        <w:t>1</w:t>
      </w:r>
      <w:r>
        <w:rPr>
          <w:rFonts w:hint="eastAsia" w:ascii="仿宋" w:hAnsi="仿宋" w:eastAsia="仿宋" w:cs="仿宋"/>
          <w:bCs w:val="0"/>
          <w:color w:val="auto"/>
          <w:sz w:val="24"/>
          <w:szCs w:val="24"/>
          <w:highlight w:val="none"/>
          <w:lang w:eastAsia="zh-CN"/>
        </w:rPr>
        <w:t>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事故处理</w:t>
      </w:r>
      <w:bookmarkEnd w:id="318"/>
      <w:bookmarkEnd w:id="319"/>
      <w:bookmarkEnd w:id="320"/>
      <w:bookmarkEnd w:id="321"/>
      <w:bookmarkEnd w:id="322"/>
      <w:bookmarkEnd w:id="323"/>
      <w:bookmarkEnd w:id="324"/>
      <w:bookmarkEnd w:id="325"/>
    </w:p>
    <w:p>
      <w:pPr>
        <w:pStyle w:val="22"/>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1685888" behindDoc="0" locked="0" layoutInCell="1" allowOverlap="1">
                <wp:simplePos x="0" y="0"/>
                <wp:positionH relativeFrom="column">
                  <wp:posOffset>-104775</wp:posOffset>
                </wp:positionH>
                <wp:positionV relativeFrom="paragraph">
                  <wp:posOffset>175895</wp:posOffset>
                </wp:positionV>
                <wp:extent cx="847725" cy="462280"/>
                <wp:effectExtent l="0" t="0" r="0" b="0"/>
                <wp:wrapNone/>
                <wp:docPr id="27" name="文本框 721"/>
                <wp:cNvGraphicFramePr/>
                <a:graphic xmlns:a="http://schemas.openxmlformats.org/drawingml/2006/main">
                  <a:graphicData uri="http://schemas.microsoft.com/office/word/2010/wordprocessingShape">
                    <wps:wsp>
                      <wps:cNvSpPr txBox="1"/>
                      <wps:spPr>
                        <a:xfrm>
                          <a:off x="0" y="0"/>
                          <a:ext cx="847725" cy="462280"/>
                        </a:xfrm>
                        <a:prstGeom prst="rect">
                          <a:avLst/>
                        </a:prstGeom>
                        <a:noFill/>
                        <a:ln>
                          <a:noFill/>
                        </a:ln>
                      </wps:spPr>
                      <wps:txbx>
                        <w:txbxContent>
                          <w:p>
                            <w:pPr>
                              <w:rPr>
                                <w:color w:val="000000"/>
                                <w:sz w:val="18"/>
                                <w:szCs w:val="18"/>
                              </w:rPr>
                            </w:pPr>
                            <w:r>
                              <w:rPr>
                                <w:rFonts w:hint="eastAsia" w:ascii="楷体_GB2312" w:hAnsi="宋体" w:eastAsia="楷体_GB2312" w:cs="楷体_GB2312"/>
                                <w:b/>
                                <w:bCs/>
                                <w:color w:val="000000"/>
                                <w:sz w:val="18"/>
                                <w:szCs w:val="18"/>
                              </w:rPr>
                              <w:t>发生事故的通知</w:t>
                            </w:r>
                          </w:p>
                        </w:txbxContent>
                      </wps:txbx>
                      <wps:bodyPr wrap="square" upright="1"/>
                    </wps:wsp>
                  </a:graphicData>
                </a:graphic>
              </wp:anchor>
            </w:drawing>
          </mc:Choice>
          <mc:Fallback>
            <w:pict>
              <v:shape id="文本框 721" o:spid="_x0000_s1026" o:spt="202" type="#_x0000_t202" style="position:absolute;left:0pt;margin-left:-8.25pt;margin-top:13.85pt;height:36.4pt;width:66.75pt;z-index:251685888;mso-width-relative:page;mso-height-relative:page;" filled="f" stroked="f" coordsize="21600,21600" o:gfxdata="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EFWOctcAAAAKAQAADwAAAAAAAAABACAAAAAiAAAAZHJzL2Rvd25yZXYueG1sUEsBAhQA&#10;FAAAAAgAh07iQKUYpA66AQAAXgMAAA4AAAAAAAAAAQAgAAAAJgEAAGRycy9lMm9Eb2MueG1sUEsF&#10;BgAAAAAGAAYAWQEAAFIFAAAAAA==&#10;">
                <v:fill on="f" focussize="0,0"/>
                <v:stroke on="f"/>
                <v:imagedata o:title=""/>
                <o:lock v:ext="edit" aspectratio="f"/>
                <v:textbox>
                  <w:txbxContent>
                    <w:p>
                      <w:pPr>
                        <w:rPr>
                          <w:color w:val="000000"/>
                          <w:sz w:val="18"/>
                          <w:szCs w:val="18"/>
                        </w:rPr>
                      </w:pPr>
                      <w:r>
                        <w:rPr>
                          <w:rFonts w:hint="eastAsia" w:ascii="楷体_GB2312" w:hAnsi="宋体" w:eastAsia="楷体_GB2312" w:cs="楷体_GB2312"/>
                          <w:b/>
                          <w:bCs/>
                          <w:color w:val="000000"/>
                          <w:sz w:val="18"/>
                          <w:szCs w:val="18"/>
                        </w:rPr>
                        <w:t>发生事故的通知</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5</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合同履行期间，合同工程发生质量与安全事故，承包人立即通知监理人和发包人。</w:t>
      </w:r>
    </w:p>
    <w:p>
      <w:pPr>
        <w:pStyle w:val="22"/>
        <w:adjustRightInd w:val="0"/>
        <w:snapToGrid w:val="0"/>
        <w:spacing w:line="480" w:lineRule="auto"/>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86912" behindDoc="0" locked="0" layoutInCell="1" allowOverlap="1">
                <wp:simplePos x="0" y="0"/>
                <wp:positionH relativeFrom="column">
                  <wp:posOffset>-85725</wp:posOffset>
                </wp:positionH>
                <wp:positionV relativeFrom="paragraph">
                  <wp:posOffset>348615</wp:posOffset>
                </wp:positionV>
                <wp:extent cx="771525" cy="490855"/>
                <wp:effectExtent l="0" t="0" r="0" b="0"/>
                <wp:wrapNone/>
                <wp:docPr id="28" name="文本框 722"/>
                <wp:cNvGraphicFramePr/>
                <a:graphic xmlns:a="http://schemas.openxmlformats.org/drawingml/2006/main">
                  <a:graphicData uri="http://schemas.microsoft.com/office/word/2010/wordprocessingShape">
                    <wps:wsp>
                      <wps:cNvSpPr txBox="1"/>
                      <wps:spPr>
                        <a:xfrm>
                          <a:off x="0" y="0"/>
                          <a:ext cx="771525" cy="49085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事故的处理</w:t>
                            </w:r>
                          </w:p>
                        </w:txbxContent>
                      </wps:txbx>
                      <wps:bodyPr wrap="square" upright="1"/>
                    </wps:wsp>
                  </a:graphicData>
                </a:graphic>
              </wp:anchor>
            </w:drawing>
          </mc:Choice>
          <mc:Fallback>
            <w:pict>
              <v:shape id="文本框 722" o:spid="_x0000_s1026" o:spt="202" type="#_x0000_t202" style="position:absolute;left:0pt;margin-left:-6.75pt;margin-top:27.45pt;height:38.65pt;width:60.75pt;z-index:251686912;mso-width-relative:page;mso-height-relative:page;" filled="f" stroked="f" coordsize="21600,21600" o:gfxdata="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6EWal1wAAAAoBAAAPAAAAAAAAAAEAIAAAACIAAABkcnMvZG93bnJldi54bWxQSwECFAAU&#10;AAAACACHTuJAZpwok7kBAABeAwAADgAAAAAAAAABACAAAAAm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事故的处理</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5</w:t>
      </w:r>
      <w:r>
        <w:rPr>
          <w:rFonts w:ascii="仿宋" w:hAnsi="仿宋" w:eastAsia="仿宋" w:cs="仿宋"/>
          <w:b/>
          <w:bCs/>
          <w:color w:val="auto"/>
          <w:sz w:val="24"/>
          <w:szCs w:val="24"/>
          <w:highlight w:val="none"/>
          <w:lang w:eastAsia="zh-CN"/>
        </w:rPr>
        <w:t xml:space="preserve">.2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接到事故通知后，合同双方当事人应立即组织人员和设备进行紧急抢救和抢修，减少人员伤亡和财产损失，防止事故扩大，并保护事故现场。需移动现场物品时，应做好标记和书面记录，妥善保护有关证据。</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合同双方当事人应按照国家规定时限如实上报政府有关部门，配合政府有关部门的调查和处理，由此发生的费用和（或）延误的工期由事故责任方承担。</w:t>
      </w:r>
    </w:p>
    <w:p>
      <w:pPr>
        <w:pStyle w:val="22"/>
        <w:adjustRightInd w:val="0"/>
        <w:snapToGrid w:val="0"/>
        <w:spacing w:line="48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687936" behindDoc="0" locked="0" layoutInCell="1" allowOverlap="1">
                <wp:simplePos x="0" y="0"/>
                <wp:positionH relativeFrom="column">
                  <wp:posOffset>-76200</wp:posOffset>
                </wp:positionH>
                <wp:positionV relativeFrom="paragraph">
                  <wp:posOffset>278130</wp:posOffset>
                </wp:positionV>
                <wp:extent cx="762000" cy="404495"/>
                <wp:effectExtent l="0" t="0" r="0" b="0"/>
                <wp:wrapNone/>
                <wp:docPr id="29" name="文本框 723"/>
                <wp:cNvGraphicFramePr/>
                <a:graphic xmlns:a="http://schemas.openxmlformats.org/drawingml/2006/main">
                  <a:graphicData uri="http://schemas.microsoft.com/office/word/2010/wordprocessingShape">
                    <wps:wsp>
                      <wps:cNvSpPr txBox="1"/>
                      <wps:spPr>
                        <a:xfrm>
                          <a:off x="0" y="0"/>
                          <a:ext cx="762000" cy="40449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事故争议认定</w:t>
                            </w:r>
                          </w:p>
                        </w:txbxContent>
                      </wps:txbx>
                      <wps:bodyPr wrap="square" upright="1"/>
                    </wps:wsp>
                  </a:graphicData>
                </a:graphic>
              </wp:anchor>
            </w:drawing>
          </mc:Choice>
          <mc:Fallback>
            <w:pict>
              <v:shape id="文本框 723" o:spid="_x0000_s1026" o:spt="202" type="#_x0000_t202" style="position:absolute;left:0pt;margin-left:-6pt;margin-top:21.9pt;height:31.85pt;width:60pt;z-index:251687936;mso-width-relative:page;mso-height-relative:page;" filled="f" stroked="f" coordsize="21600,21600" o:gfxdata="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HsxeVjXAAAACgEAAA8AAAAAAAAAAQAgAAAAIgAAAGRycy9kb3ducmV2LnhtbFBLAQIUABQA&#10;AAAIAIdO4kDcZov6uAEAAF4DAAAOAAAAAAAAAAEAIAAAACY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事故争议认定</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5</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合同双方当事人对事故责任有争议时，应按照政府有关部门的认定处理。</w:t>
      </w:r>
    </w:p>
    <w:p>
      <w:pPr>
        <w:pStyle w:val="22"/>
        <w:adjustRightInd w:val="0"/>
        <w:snapToGrid w:val="0"/>
        <w:spacing w:line="360" w:lineRule="auto"/>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26" w:name="_Toc12569"/>
      <w:bookmarkStart w:id="327" w:name="_Toc29010"/>
      <w:bookmarkStart w:id="328" w:name="_Toc21943"/>
      <w:bookmarkStart w:id="329" w:name="_Toc21238"/>
      <w:bookmarkStart w:id="330" w:name="_Toc5352"/>
      <w:bookmarkStart w:id="331" w:name="_Toc12301"/>
      <w:bookmarkStart w:id="332" w:name="_Toc7206"/>
      <w:bookmarkStart w:id="333" w:name="_Toc14642"/>
      <w:r>
        <w:rPr>
          <w:rFonts w:ascii="仿宋" w:hAnsi="仿宋" w:eastAsia="仿宋" w:cs="仿宋"/>
          <w:bCs w:val="0"/>
          <w:color w:val="auto"/>
          <w:sz w:val="24"/>
          <w:szCs w:val="24"/>
          <w:highlight w:val="none"/>
          <w:lang w:eastAsia="zh-CN"/>
        </w:rPr>
        <w:t>1</w:t>
      </w:r>
      <w:r>
        <w:rPr>
          <w:rFonts w:hint="eastAsia" w:ascii="仿宋" w:hAnsi="仿宋" w:eastAsia="仿宋" w:cs="仿宋"/>
          <w:bCs w:val="0"/>
          <w:color w:val="auto"/>
          <w:sz w:val="24"/>
          <w:szCs w:val="24"/>
          <w:highlight w:val="none"/>
          <w:lang w:eastAsia="zh-CN"/>
        </w:rPr>
        <w:t>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交通运输</w:t>
      </w:r>
      <w:bookmarkEnd w:id="326"/>
      <w:bookmarkEnd w:id="327"/>
      <w:bookmarkEnd w:id="328"/>
      <w:bookmarkEnd w:id="329"/>
      <w:bookmarkEnd w:id="330"/>
      <w:bookmarkEnd w:id="331"/>
      <w:bookmarkEnd w:id="332"/>
      <w:bookmarkEnd w:id="333"/>
    </w:p>
    <w:p>
      <w:pPr>
        <w:pStyle w:val="22"/>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1688960" behindDoc="0" locked="0" layoutInCell="1" allowOverlap="1">
                <wp:simplePos x="0" y="0"/>
                <wp:positionH relativeFrom="column">
                  <wp:posOffset>-114300</wp:posOffset>
                </wp:positionH>
                <wp:positionV relativeFrom="paragraph">
                  <wp:posOffset>286385</wp:posOffset>
                </wp:positionV>
                <wp:extent cx="809625" cy="557530"/>
                <wp:effectExtent l="0" t="0" r="0" b="0"/>
                <wp:wrapNone/>
                <wp:docPr id="30" name="文本框 724"/>
                <wp:cNvGraphicFramePr/>
                <a:graphic xmlns:a="http://schemas.openxmlformats.org/drawingml/2006/main">
                  <a:graphicData uri="http://schemas.microsoft.com/office/word/2010/wordprocessingShape">
                    <wps:wsp>
                      <wps:cNvSpPr txBox="1"/>
                      <wps:spPr>
                        <a:xfrm>
                          <a:off x="0" y="0"/>
                          <a:ext cx="809625" cy="557530"/>
                        </a:xfrm>
                        <a:prstGeom prst="rect">
                          <a:avLst/>
                        </a:prstGeom>
                        <a:noFill/>
                        <a:ln>
                          <a:noFill/>
                        </a:ln>
                      </wps:spPr>
                      <wps:txbx>
                        <w:txbxContent>
                          <w:p>
                            <w:pPr>
                              <w:rPr>
                                <w:sz w:val="18"/>
                                <w:szCs w:val="18"/>
                              </w:rPr>
                            </w:pPr>
                            <w:r>
                              <w:rPr>
                                <w:rFonts w:hint="eastAsia" w:ascii="楷体_GB2312" w:hAnsi="宋体" w:eastAsia="楷体_GB2312" w:cs="楷体_GB2312"/>
                                <w:b/>
                                <w:bCs/>
                                <w:color w:val="000000"/>
                                <w:sz w:val="18"/>
                                <w:szCs w:val="18"/>
                              </w:rPr>
                              <w:t>道路通行权和场外设施</w:t>
                            </w:r>
                          </w:p>
                        </w:txbxContent>
                      </wps:txbx>
                      <wps:bodyPr wrap="square" upright="1"/>
                    </wps:wsp>
                  </a:graphicData>
                </a:graphic>
              </wp:anchor>
            </w:drawing>
          </mc:Choice>
          <mc:Fallback>
            <w:pict>
              <v:shape id="文本框 724" o:spid="_x0000_s1026" o:spt="202" type="#_x0000_t202" style="position:absolute;left:0pt;margin-left:-9pt;margin-top:22.55pt;height:43.9pt;width:63.75pt;z-index:251688960;mso-width-relative:page;mso-height-relative:page;" filled="f" stroked="f" coordsize="21600,21600" o:gfxdata="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Pv76/NgAAAAKAQAADwAAAAAAAAABACAAAAAiAAAAZHJzL2Rvd25yZXYueG1sUEsBAhQA&#10;FAAAAAgAh07iQOg2FVm5AQAAXgMAAA4AAAAAAAAAAQAgAAAAJwEAAGRycy9lMm9Eb2MueG1sUEsF&#10;BgAAAAAGAAYAWQEAAFIFAAAAAA==&#10;">
                <v:fill on="f" focussize="0,0"/>
                <v:stroke on="f"/>
                <v:imagedata o:title=""/>
                <o:lock v:ext="edit" aspectratio="f"/>
                <v:textbox>
                  <w:txbxContent>
                    <w:p>
                      <w:pPr>
                        <w:rPr>
                          <w:sz w:val="18"/>
                          <w:szCs w:val="18"/>
                        </w:rPr>
                      </w:pPr>
                      <w:r>
                        <w:rPr>
                          <w:rFonts w:hint="eastAsia" w:ascii="楷体_GB2312" w:hAnsi="宋体" w:eastAsia="楷体_GB2312" w:cs="楷体_GB2312"/>
                          <w:b/>
                          <w:bCs/>
                          <w:color w:val="000000"/>
                          <w:sz w:val="18"/>
                          <w:szCs w:val="18"/>
                        </w:rPr>
                        <w:t>道路通行权和场外设施</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.1</w:t>
      </w:r>
    </w:p>
    <w:p>
      <w:pPr>
        <w:pStyle w:val="22"/>
        <w:widowControl w:val="0"/>
        <w:tabs>
          <w:tab w:val="left" w:pos="1202"/>
        </w:tabs>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除专用条款另有约定外，发包人应根据实施合同工程的需要，负责办理取得出入施工场地的专用和临时道路的通行权，以及取得为实施合同工程所需修建场外设施的权利，并承担有关费用。承包人应协助发包人办理上述手续。</w:t>
      </w:r>
    </w:p>
    <w:p>
      <w:pPr>
        <w:pStyle w:val="22"/>
        <w:widowControl w:val="0"/>
        <w:tabs>
          <w:tab w:val="left" w:pos="1202"/>
        </w:tabs>
        <w:adjustRightInd w:val="0"/>
        <w:snapToGrid w:val="0"/>
        <w:spacing w:line="360" w:lineRule="auto"/>
        <w:ind w:left="1850" w:leftChars="771"/>
        <w:jc w:val="both"/>
        <w:rPr>
          <w:color w:val="auto"/>
          <w:highlight w:val="none"/>
          <w:lang w:eastAsia="zh-CN"/>
        </w:rPr>
      </w:pPr>
      <w:r>
        <w:rPr>
          <w:rFonts w:ascii="仿宋" w:hAnsi="仿宋" w:eastAsia="仿宋" w:cs="仿宋"/>
          <w:color w:val="auto"/>
          <w:sz w:val="24"/>
          <w:szCs w:val="24"/>
          <w:highlight w:val="none"/>
          <w:lang w:eastAsia="zh-CN"/>
        </w:rPr>
        <w:t>承包人应在订立合同前查勘施工现场，并根据工程规模及技术参数合理预见工程施工所需的进出施工现场的方式、手段、路径等。因承包人未合理预见所增加的费用和（或）延误的工期由承包人承担。</w:t>
      </w:r>
    </w:p>
    <w:p>
      <w:pPr>
        <w:pStyle w:val="22"/>
        <w:tabs>
          <w:tab w:val="left" w:pos="1202"/>
        </w:tabs>
        <w:adjustRightInd w:val="0"/>
        <w:snapToGrid w:val="0"/>
        <w:spacing w:line="360" w:lineRule="auto"/>
        <w:ind w:left="1350" w:leftChars="1" w:hanging="1348" w:hangingChars="674"/>
        <w:rPr>
          <w:rFonts w:ascii="仿宋" w:hAnsi="仿宋" w:eastAsia="仿宋" w:cs="仿宋"/>
          <w:color w:val="auto"/>
          <w:sz w:val="24"/>
          <w:szCs w:val="24"/>
          <w:highlight w:val="none"/>
          <w:u w:val="dotted"/>
          <w:lang w:eastAsia="zh-CN"/>
        </w:rPr>
      </w:pPr>
      <w:r>
        <w:rPr>
          <w:color w:val="auto"/>
          <w:highlight w:val="none"/>
        </w:rPr>
        <mc:AlternateContent>
          <mc:Choice Requires="wps">
            <w:drawing>
              <wp:anchor distT="0" distB="0" distL="114300" distR="114300" simplePos="0" relativeHeight="251689984" behindDoc="0" locked="0" layoutInCell="1" allowOverlap="1">
                <wp:simplePos x="0" y="0"/>
                <wp:positionH relativeFrom="column">
                  <wp:posOffset>-114300</wp:posOffset>
                </wp:positionH>
                <wp:positionV relativeFrom="paragraph">
                  <wp:posOffset>333375</wp:posOffset>
                </wp:positionV>
                <wp:extent cx="800100" cy="576580"/>
                <wp:effectExtent l="0" t="0" r="0" b="0"/>
                <wp:wrapNone/>
                <wp:docPr id="31" name="文本框 725"/>
                <wp:cNvGraphicFramePr/>
                <a:graphic xmlns:a="http://schemas.openxmlformats.org/drawingml/2006/main">
                  <a:graphicData uri="http://schemas.microsoft.com/office/word/2010/wordprocessingShape">
                    <wps:wsp>
                      <wps:cNvSpPr txBox="1"/>
                      <wps:spPr>
                        <a:xfrm>
                          <a:off x="0" y="0"/>
                          <a:ext cx="800100" cy="576580"/>
                        </a:xfrm>
                        <a:prstGeom prst="rect">
                          <a:avLst/>
                        </a:prstGeom>
                        <a:noFill/>
                        <a:ln>
                          <a:noFill/>
                        </a:ln>
                      </wps:spPr>
                      <wps:txbx>
                        <w:txbxContent>
                          <w:p>
                            <w:pPr>
                              <w:rPr>
                                <w:sz w:val="18"/>
                                <w:szCs w:val="18"/>
                                <w:lang w:eastAsia="zh-CN"/>
                              </w:rPr>
                            </w:pPr>
                            <w:r>
                              <w:rPr>
                                <w:rFonts w:hint="eastAsia" w:ascii="楷体_GB2312" w:hAnsi="宋体" w:eastAsia="楷体_GB2312" w:cs="楷体_GB2312"/>
                                <w:b/>
                                <w:bCs/>
                                <w:color w:val="000000"/>
                                <w:sz w:val="18"/>
                                <w:szCs w:val="18"/>
                                <w:lang w:eastAsia="zh-CN"/>
                              </w:rPr>
                              <w:t>场内临时道路和交通设施</w:t>
                            </w:r>
                          </w:p>
                        </w:txbxContent>
                      </wps:txbx>
                      <wps:bodyPr wrap="square" upright="1"/>
                    </wps:wsp>
                  </a:graphicData>
                </a:graphic>
              </wp:anchor>
            </w:drawing>
          </mc:Choice>
          <mc:Fallback>
            <w:pict>
              <v:shape id="文本框 725" o:spid="_x0000_s1026" o:spt="202" type="#_x0000_t202" style="position:absolute;left:0pt;margin-left:-9pt;margin-top:26.25pt;height:45.4pt;width:63pt;z-index:251689984;mso-width-relative:page;mso-height-relative:page;" filled="f" stroked="f" coordsize="21600,21600" o:gfxdata="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CMoiN/XAAAACgEAAA8AAAAAAAAAAQAgAAAAIgAAAGRycy9kb3ducmV2LnhtbFBLAQIUABQA&#10;AAAIAIdO4kAu5XxwuAEAAF4DAAAOAAAAAAAAAAEAIAAAACYBAABkcnMvZTJvRG9jLnhtbFBLBQYA&#10;AAAABgAGAFkBAABQBQAAAAA=&#10;">
                <v:fill on="f" focussize="0,0"/>
                <v:stroke on="f"/>
                <v:imagedata o:title=""/>
                <o:lock v:ext="edit" aspectratio="f"/>
                <v:textbox>
                  <w:txbxContent>
                    <w:p>
                      <w:pPr>
                        <w:rPr>
                          <w:sz w:val="18"/>
                          <w:szCs w:val="18"/>
                          <w:lang w:eastAsia="zh-CN"/>
                        </w:rPr>
                      </w:pPr>
                      <w:r>
                        <w:rPr>
                          <w:rFonts w:hint="eastAsia" w:ascii="楷体_GB2312" w:hAnsi="宋体" w:eastAsia="楷体_GB2312" w:cs="楷体_GB2312"/>
                          <w:b/>
                          <w:bCs/>
                          <w:color w:val="000000"/>
                          <w:sz w:val="18"/>
                          <w:szCs w:val="18"/>
                          <w:lang w:eastAsia="zh-CN"/>
                        </w:rPr>
                        <w:t>场内临时道路和交通设施</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.2</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除专用条款另有约定外，承包人应负责修建、维修、养护和管理施工场地内所需的临时道路和交通设施，包括维修、养护和管理发包人提供的道路和交通设施，并承担相应费用。</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承包人修建的临时道路和交通设施应免费提供发包人使用。</w:t>
      </w:r>
    </w:p>
    <w:p>
      <w:pPr>
        <w:pStyle w:val="22"/>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691008" behindDoc="0" locked="0" layoutInCell="1" allowOverlap="1">
                <wp:simplePos x="0" y="0"/>
                <wp:positionH relativeFrom="column">
                  <wp:posOffset>-114300</wp:posOffset>
                </wp:positionH>
                <wp:positionV relativeFrom="paragraph">
                  <wp:posOffset>224790</wp:posOffset>
                </wp:positionV>
                <wp:extent cx="771525" cy="471805"/>
                <wp:effectExtent l="0" t="0" r="0" b="0"/>
                <wp:wrapNone/>
                <wp:docPr id="32" name="文本框 726"/>
                <wp:cNvGraphicFramePr/>
                <a:graphic xmlns:a="http://schemas.openxmlformats.org/drawingml/2006/main">
                  <a:graphicData uri="http://schemas.microsoft.com/office/word/2010/wordprocessingShape">
                    <wps:wsp>
                      <wps:cNvSpPr txBox="1"/>
                      <wps:spPr>
                        <a:xfrm>
                          <a:off x="0" y="0"/>
                          <a:ext cx="771525" cy="47180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场外交通</w:t>
                            </w:r>
                          </w:p>
                        </w:txbxContent>
                      </wps:txbx>
                      <wps:bodyPr wrap="square" upright="1"/>
                    </wps:wsp>
                  </a:graphicData>
                </a:graphic>
              </wp:anchor>
            </w:drawing>
          </mc:Choice>
          <mc:Fallback>
            <w:pict>
              <v:shape id="文本框 726" o:spid="_x0000_s1026" o:spt="202" type="#_x0000_t202" style="position:absolute;left:0pt;margin-left:-9pt;margin-top:17.7pt;height:37.15pt;width:60.75pt;z-index:251691008;mso-width-relative:page;mso-height-relative:page;" filled="f" stroked="f" coordsize="21600,21600" o:gfxdata="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n81WV1wAAAAoBAAAPAAAAAAAAAAEAIAAAACIAAABkcnMvZG93bnJldi54bWxQSwECFAAU&#10;AAAACACHTuJAW/FpSrkBAABeAwAADgAAAAAAAAABACAAAAAm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场外交通</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承包人应遵守有关交通法规，严格按照道路和桥梁的限制荷重安全行驶，并服从交通管理部门的检查和监督。承包人车辆外出行驶所需的场外公共道路的通行费、养路费和税款等，由承包人承担。</w:t>
      </w:r>
    </w:p>
    <w:p>
      <w:pPr>
        <w:pStyle w:val="22"/>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692032" behindDoc="0" locked="0" layoutInCell="1" allowOverlap="1">
                <wp:simplePos x="0" y="0"/>
                <wp:positionH relativeFrom="column">
                  <wp:posOffset>-114300</wp:posOffset>
                </wp:positionH>
                <wp:positionV relativeFrom="paragraph">
                  <wp:posOffset>224790</wp:posOffset>
                </wp:positionV>
                <wp:extent cx="781050" cy="512445"/>
                <wp:effectExtent l="0" t="0" r="0" b="0"/>
                <wp:wrapNone/>
                <wp:docPr id="33" name="文本框 727"/>
                <wp:cNvGraphicFramePr/>
                <a:graphic xmlns:a="http://schemas.openxmlformats.org/drawingml/2006/main">
                  <a:graphicData uri="http://schemas.microsoft.com/office/word/2010/wordprocessingShape">
                    <wps:wsp>
                      <wps:cNvSpPr txBox="1"/>
                      <wps:spPr>
                        <a:xfrm>
                          <a:off x="0" y="0"/>
                          <a:ext cx="781050" cy="51244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超大件和超重件的运输</w:t>
                            </w:r>
                          </w:p>
                        </w:txbxContent>
                      </wps:txbx>
                      <wps:bodyPr wrap="square" upright="1"/>
                    </wps:wsp>
                  </a:graphicData>
                </a:graphic>
              </wp:anchor>
            </w:drawing>
          </mc:Choice>
          <mc:Fallback>
            <w:pict>
              <v:shape id="文本框 727" o:spid="_x0000_s1026" o:spt="202" type="#_x0000_t202" style="position:absolute;left:0pt;margin-left:-9pt;margin-top:17.7pt;height:40.35pt;width:61.5pt;z-index:251692032;mso-width-relative:page;mso-height-relative:page;" filled="f" stroked="f" coordsize="21600,21600" o:gfxdata="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70s991wAAAAoBAAAPAAAAAAAAAAEAIAAAACIAAABkcnMvZG93bnJldi54bWxQSwECFAAU&#10;AAAACACHTuJAJiDpBbkBAABeAwAADgAAAAAAAAABACAAAAAm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超大件和超重件的运输</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应负责向交通管理部门办理运输超大件或超重件的申请手续，发包人应协助承包人办理上述手续。除专用条款另有约定外，运输超大件或超重件所需的道路和桥梁临时加固改造费用和其他有关费用，由承包人承担。</w:t>
      </w:r>
    </w:p>
    <w:p>
      <w:pPr>
        <w:pStyle w:val="22"/>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693056" behindDoc="0" locked="0" layoutInCell="1" allowOverlap="1">
                <wp:simplePos x="0" y="0"/>
                <wp:positionH relativeFrom="column">
                  <wp:posOffset>-114300</wp:posOffset>
                </wp:positionH>
                <wp:positionV relativeFrom="paragraph">
                  <wp:posOffset>224790</wp:posOffset>
                </wp:positionV>
                <wp:extent cx="789940" cy="463550"/>
                <wp:effectExtent l="0" t="0" r="0" b="0"/>
                <wp:wrapNone/>
                <wp:docPr id="34" name="文本框 728"/>
                <wp:cNvGraphicFramePr/>
                <a:graphic xmlns:a="http://schemas.openxmlformats.org/drawingml/2006/main">
                  <a:graphicData uri="http://schemas.microsoft.com/office/word/2010/wordprocessingShape">
                    <wps:wsp>
                      <wps:cNvSpPr txBox="1"/>
                      <wps:spPr>
                        <a:xfrm>
                          <a:off x="0" y="0"/>
                          <a:ext cx="789940" cy="46355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道路和桥梁的损坏责任</w:t>
                            </w:r>
                          </w:p>
                        </w:txbxContent>
                      </wps:txbx>
                      <wps:bodyPr wrap="square" upright="1"/>
                    </wps:wsp>
                  </a:graphicData>
                </a:graphic>
              </wp:anchor>
            </w:drawing>
          </mc:Choice>
          <mc:Fallback>
            <w:pict>
              <v:shape id="文本框 728" o:spid="_x0000_s1026" o:spt="202" type="#_x0000_t202" style="position:absolute;left:0pt;margin-left:-9pt;margin-top:17.7pt;height:36.5pt;width:62.2pt;z-index:251693056;mso-width-relative:page;mso-height-relative:page;" filled="f" stroked="f" coordsize="21600,21600" o:gfxdata="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AIuGbXAAAACgEAAA8AAAAAAAAAAQAgAAAAIgAAAGRycy9kb3ducmV2LnhtbFBLAQIU&#10;ABQAAAAIAIdO4kCUU3ZMuwEAAF4DAAAOAAAAAAAAAAEAIAAAACYBAABkcnMvZTJvRG9jLnhtbFBL&#10;BQYAAAAABgAGAFkBAABT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道路和桥梁的损坏责任</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.5  </w:t>
      </w:r>
      <w:r>
        <w:rPr>
          <w:rFonts w:ascii="仿宋" w:hAnsi="仿宋" w:eastAsia="仿宋" w:cs="仿宋"/>
          <w:b/>
          <w:bCs/>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因承包人运输造成施工场地内外公共道路和桥梁损坏的，由承包人承担修复损坏的全部费用和可能引起的赔偿。</w:t>
      </w:r>
    </w:p>
    <w:p>
      <w:pPr>
        <w:pStyle w:val="22"/>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694080" behindDoc="0" locked="0" layoutInCell="1" allowOverlap="1">
                <wp:simplePos x="0" y="0"/>
                <wp:positionH relativeFrom="column">
                  <wp:posOffset>-114300</wp:posOffset>
                </wp:positionH>
                <wp:positionV relativeFrom="paragraph">
                  <wp:posOffset>224790</wp:posOffset>
                </wp:positionV>
                <wp:extent cx="781050" cy="477520"/>
                <wp:effectExtent l="0" t="0" r="0" b="0"/>
                <wp:wrapNone/>
                <wp:docPr id="35" name="文本框 729"/>
                <wp:cNvGraphicFramePr/>
                <a:graphic xmlns:a="http://schemas.openxmlformats.org/drawingml/2006/main">
                  <a:graphicData uri="http://schemas.microsoft.com/office/word/2010/wordprocessingShape">
                    <wps:wsp>
                      <wps:cNvSpPr txBox="1"/>
                      <wps:spPr>
                        <a:xfrm>
                          <a:off x="0" y="0"/>
                          <a:ext cx="781050" cy="47752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水路和航空运输</w:t>
                            </w:r>
                          </w:p>
                        </w:txbxContent>
                      </wps:txbx>
                      <wps:bodyPr wrap="square" upright="1"/>
                    </wps:wsp>
                  </a:graphicData>
                </a:graphic>
              </wp:anchor>
            </w:drawing>
          </mc:Choice>
          <mc:Fallback>
            <w:pict>
              <v:shape id="文本框 729" o:spid="_x0000_s1026" o:spt="202" type="#_x0000_t202" style="position:absolute;left:0pt;margin-left:-9pt;margin-top:17.7pt;height:37.6pt;width:61.5pt;z-index:251694080;mso-width-relative:page;mso-height-relative:page;" filled="f" stroked="f" coordsize="21600,21600" o:gfxdata="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lxNKz1wAAAAoBAAAPAAAAAAAAAAEAIAAAACIAAABkcnMvZG93bnJldi54bWxQSwECFAAU&#10;AAAACACHTuJAIWllGrkBAABeAwAADgAAAAAAAAABACAAAAAm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水路和航空运输</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.6 </w:t>
      </w:r>
      <w:r>
        <w:rPr>
          <w:rFonts w:ascii="仿宋" w:hAnsi="仿宋" w:eastAsia="仿宋" w:cs="仿宋"/>
          <w:b/>
          <w:bCs/>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本条内容适用于水路运输和航空运输，其中“道路”包括河道、航线、船闸、机场、码头、堤防以及水路或航空运输中其他相似结构物；“车辆”包括船舶和飞机等。</w:t>
      </w:r>
    </w:p>
    <w:p>
      <w:pPr>
        <w:pStyle w:val="22"/>
        <w:tabs>
          <w:tab w:val="left" w:pos="1202"/>
        </w:tabs>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34" w:name="_Toc239"/>
      <w:bookmarkStart w:id="335" w:name="_Toc17453"/>
      <w:bookmarkStart w:id="336" w:name="_Toc26344"/>
      <w:bookmarkStart w:id="337" w:name="_Toc11614"/>
      <w:bookmarkStart w:id="338" w:name="_Toc3734"/>
      <w:bookmarkStart w:id="339" w:name="_Toc2137"/>
      <w:bookmarkStart w:id="340" w:name="_Toc1365"/>
      <w:bookmarkStart w:id="341" w:name="_Toc7655"/>
      <w:r>
        <w:rPr>
          <w:rFonts w:ascii="仿宋" w:hAnsi="仿宋" w:eastAsia="仿宋" w:cs="仿宋"/>
          <w:bCs w:val="0"/>
          <w:color w:val="auto"/>
          <w:sz w:val="24"/>
          <w:szCs w:val="24"/>
          <w:highlight w:val="none"/>
          <w:lang w:eastAsia="zh-CN"/>
        </w:rPr>
        <w:t>1</w:t>
      </w:r>
      <w:r>
        <w:rPr>
          <w:rFonts w:hint="eastAsia" w:ascii="仿宋" w:hAnsi="仿宋" w:eastAsia="仿宋" w:cs="仿宋"/>
          <w:bCs w:val="0"/>
          <w:color w:val="auto"/>
          <w:sz w:val="24"/>
          <w:szCs w:val="24"/>
          <w:highlight w:val="none"/>
          <w:lang w:eastAsia="zh-CN"/>
        </w:rPr>
        <w:t>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专项批准事项的签认</w:t>
      </w:r>
      <w:bookmarkEnd w:id="334"/>
      <w:bookmarkEnd w:id="335"/>
      <w:bookmarkEnd w:id="336"/>
      <w:bookmarkEnd w:id="337"/>
      <w:bookmarkEnd w:id="338"/>
      <w:bookmarkEnd w:id="339"/>
      <w:bookmarkEnd w:id="340"/>
      <w:bookmarkEnd w:id="341"/>
    </w:p>
    <w:p>
      <w:pPr>
        <w:pStyle w:val="22"/>
        <w:tabs>
          <w:tab w:val="left" w:pos="1202"/>
        </w:tabs>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.1</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95104" behindDoc="0" locked="0" layoutInCell="1" allowOverlap="1">
                <wp:simplePos x="0" y="0"/>
                <wp:positionH relativeFrom="column">
                  <wp:posOffset>-85725</wp:posOffset>
                </wp:positionH>
                <wp:positionV relativeFrom="paragraph">
                  <wp:posOffset>106680</wp:posOffset>
                </wp:positionV>
                <wp:extent cx="804545" cy="713105"/>
                <wp:effectExtent l="0" t="0" r="0" b="0"/>
                <wp:wrapNone/>
                <wp:docPr id="36" name="文本框 730"/>
                <wp:cNvGraphicFramePr/>
                <a:graphic xmlns:a="http://schemas.openxmlformats.org/drawingml/2006/main">
                  <a:graphicData uri="http://schemas.microsoft.com/office/word/2010/wordprocessingShape">
                    <wps:wsp>
                      <wps:cNvSpPr txBox="1"/>
                      <wps:spPr>
                        <a:xfrm>
                          <a:off x="0" y="0"/>
                          <a:ext cx="804545" cy="71310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专项批准事项的签认</w:t>
                            </w:r>
                          </w:p>
                        </w:txbxContent>
                      </wps:txbx>
                      <wps:bodyPr wrap="square" upright="1"/>
                    </wps:wsp>
                  </a:graphicData>
                </a:graphic>
              </wp:anchor>
            </w:drawing>
          </mc:Choice>
          <mc:Fallback>
            <w:pict>
              <v:shape id="文本框 730" o:spid="_x0000_s1026" o:spt="202" type="#_x0000_t202" style="position:absolute;left:0pt;margin-left:-6.75pt;margin-top:8.4pt;height:56.15pt;width:63.35pt;z-index:251695104;mso-width-relative:page;mso-height-relative:page;" filled="f" stroked="f" coordsize="21600,21600" o:gfxdata="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b6gj7XAAAACgEAAA8AAAAAAAAAAQAgAAAAIgAAAGRycy9kb3ducmV2LnhtbFBLAQIUABQA&#10;AAAIAIdO4kDv8YpKuAEAAF4DAAAOAAAAAAAAAAEAIAAAACY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专项批准事项的签认</w:t>
                      </w:r>
                    </w:p>
                  </w:txbxContent>
                </v:textbox>
              </v:shape>
            </w:pict>
          </mc:Fallback>
        </mc:AlternateContent>
      </w:r>
      <w:r>
        <w:rPr>
          <w:rFonts w:hint="eastAsia" w:ascii="仿宋" w:hAnsi="仿宋" w:eastAsia="仿宋" w:cs="仿宋"/>
          <w:color w:val="auto"/>
          <w:sz w:val="24"/>
          <w:szCs w:val="24"/>
          <w:highlight w:val="none"/>
          <w:lang w:eastAsia="zh-CN"/>
        </w:rPr>
        <w:t>合同履行期间，合同工程发生第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专项批准事项的，发包人批准后应通知设计顾问人、监理人和（或）造价咨询人按照合同约定以书面形式向承包人发出工作指令，提供所需的相关资料。承包人在收到设计顾问人、监理人和（或）造价咨询人发出的工作指令后，应按照合同约定实施发生事项的相关工作。</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合同双方当事人应按照第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款约定对发生的专项批准事项予以签认，并及时将发生事项的相关资料整理、归档，同时按第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款约定职权将其中一份送设计顾问人、监理人和（或）造价咨询人留存。</w:t>
      </w:r>
    </w:p>
    <w:p>
      <w:pPr>
        <w:pStyle w:val="22"/>
        <w:tabs>
          <w:tab w:val="left" w:pos="2160"/>
        </w:tabs>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96128" behindDoc="0" locked="0" layoutInCell="1" allowOverlap="1">
                <wp:simplePos x="0" y="0"/>
                <wp:positionH relativeFrom="column">
                  <wp:posOffset>-95250</wp:posOffset>
                </wp:positionH>
                <wp:positionV relativeFrom="paragraph">
                  <wp:posOffset>29845</wp:posOffset>
                </wp:positionV>
                <wp:extent cx="757555" cy="618490"/>
                <wp:effectExtent l="0" t="0" r="0" b="0"/>
                <wp:wrapNone/>
                <wp:docPr id="37" name="文本框 731"/>
                <wp:cNvGraphicFramePr/>
                <a:graphic xmlns:a="http://schemas.openxmlformats.org/drawingml/2006/main">
                  <a:graphicData uri="http://schemas.microsoft.com/office/word/2010/wordprocessingShape">
                    <wps:wsp>
                      <wps:cNvSpPr txBox="1"/>
                      <wps:spPr>
                        <a:xfrm>
                          <a:off x="0" y="0"/>
                          <a:ext cx="757555" cy="618490"/>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专项批准事项签认人的要求</w:t>
                            </w:r>
                          </w:p>
                        </w:txbxContent>
                      </wps:txbx>
                      <wps:bodyPr wrap="square" upright="1"/>
                    </wps:wsp>
                  </a:graphicData>
                </a:graphic>
              </wp:anchor>
            </w:drawing>
          </mc:Choice>
          <mc:Fallback>
            <w:pict>
              <v:shape id="文本框 731" o:spid="_x0000_s1026" o:spt="202" type="#_x0000_t202" style="position:absolute;left:0pt;margin-left:-7.5pt;margin-top:2.35pt;height:48.7pt;width:59.65pt;z-index:251696128;mso-width-relative:page;mso-height-relative:page;" filled="f" stroked="f" coordsize="21600,21600" o:gfxdata="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0bfKu9YAAAAJAQAADwAAAAAAAAABACAAAAAiAAAAZHJzL2Rvd25yZXYueG1sUEsBAhQA&#10;FAAAAAgAh07iQAaaRI27AQAAXgMAAA4AAAAAAAAAAQAgAAAAJQEAAGRycy9lMm9Eb2MueG1sUEsF&#10;BgAAAAAGAAYAWQEAAFIFA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专项批准事项签认人的要求</w:t>
                      </w:r>
                    </w:p>
                  </w:txbxContent>
                </v:textbox>
              </v:shape>
            </w:pict>
          </mc:Fallback>
        </mc:AlternateContent>
      </w:r>
      <w:r>
        <w:rPr>
          <w:rFonts w:hint="eastAsia" w:ascii="仿宋" w:hAnsi="仿宋" w:eastAsia="仿宋" w:cs="仿宋"/>
          <w:color w:val="auto"/>
          <w:sz w:val="24"/>
          <w:szCs w:val="24"/>
          <w:highlight w:val="none"/>
          <w:lang w:eastAsia="zh-CN"/>
        </w:rPr>
        <w:t>合同双方当事人应按照第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款和第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9</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分别在专用条款中写明负责专项批准事项签认的设计顾问人代表、监理人代表、造价咨询人代表和承包人代表具体人选，授予其负责专项批准事项签认的权力，并提供该人选的印章、签字式样，作为本合同的附件。当专项批准事项发生时，该人选应在其职权范围内，按照本合同约定的程序、时限、生效条件等要求，对发生事项的内容、数量和单价等办理签认手续，并加盖所在单位的法人公章或其授权的施工现场管理机构章。</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42" w:name="_Toc30015"/>
      <w:bookmarkStart w:id="343" w:name="_Toc32127"/>
      <w:bookmarkStart w:id="344" w:name="_Toc17879"/>
      <w:bookmarkStart w:id="345" w:name="_Toc1755"/>
      <w:bookmarkStart w:id="346" w:name="_Toc5342"/>
      <w:bookmarkStart w:id="347" w:name="_Toc12605"/>
      <w:bookmarkStart w:id="348" w:name="_Toc29703"/>
      <w:bookmarkStart w:id="349" w:name="_Toc12394"/>
      <w:r>
        <w:rPr>
          <w:rFonts w:ascii="仿宋" w:hAnsi="仿宋" w:eastAsia="仿宋" w:cs="仿宋"/>
          <w:bCs w:val="0"/>
          <w:color w:val="auto"/>
          <w:sz w:val="24"/>
          <w:szCs w:val="24"/>
          <w:highlight w:val="none"/>
          <w:lang w:eastAsia="zh-CN"/>
        </w:rPr>
        <w:t>1</w:t>
      </w:r>
      <w:r>
        <w:rPr>
          <w:rFonts w:hint="eastAsia" w:ascii="仿宋" w:hAnsi="仿宋" w:eastAsia="仿宋" w:cs="仿宋"/>
          <w:bCs w:val="0"/>
          <w:color w:val="auto"/>
          <w:sz w:val="24"/>
          <w:szCs w:val="24"/>
          <w:highlight w:val="none"/>
          <w:lang w:eastAsia="zh-CN"/>
        </w:rPr>
        <w:t>8</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专利技术和知识产权</w:t>
      </w:r>
      <w:bookmarkEnd w:id="342"/>
      <w:bookmarkEnd w:id="343"/>
      <w:bookmarkEnd w:id="344"/>
      <w:bookmarkEnd w:id="345"/>
      <w:bookmarkEnd w:id="346"/>
      <w:bookmarkEnd w:id="347"/>
      <w:bookmarkEnd w:id="348"/>
      <w:bookmarkEnd w:id="349"/>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w:t>
      </w:r>
      <w:r>
        <w:rPr>
          <w:rFonts w:ascii="仿宋" w:hAnsi="仿宋" w:eastAsia="仿宋" w:cs="仿宋"/>
          <w:b/>
          <w:bCs/>
          <w:color w:val="auto"/>
          <w:sz w:val="24"/>
          <w:szCs w:val="24"/>
          <w:highlight w:val="none"/>
          <w:lang w:eastAsia="zh-CN"/>
        </w:rPr>
        <w:t>.1</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97152" behindDoc="0" locked="0" layoutInCell="1" allowOverlap="1">
                <wp:simplePos x="0" y="0"/>
                <wp:positionH relativeFrom="column">
                  <wp:posOffset>-114300</wp:posOffset>
                </wp:positionH>
                <wp:positionV relativeFrom="paragraph">
                  <wp:posOffset>22860</wp:posOffset>
                </wp:positionV>
                <wp:extent cx="785495" cy="525780"/>
                <wp:effectExtent l="0" t="0" r="0" b="0"/>
                <wp:wrapNone/>
                <wp:docPr id="38" name="文本框 732"/>
                <wp:cNvGraphicFramePr/>
                <a:graphic xmlns:a="http://schemas.openxmlformats.org/drawingml/2006/main">
                  <a:graphicData uri="http://schemas.microsoft.com/office/word/2010/wordprocessingShape">
                    <wps:wsp>
                      <wps:cNvSpPr txBox="1"/>
                      <wps:spPr>
                        <a:xfrm>
                          <a:off x="0" y="0"/>
                          <a:ext cx="785495" cy="52578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侵犯专利技术责任</w:t>
                            </w:r>
                          </w:p>
                        </w:txbxContent>
                      </wps:txbx>
                      <wps:bodyPr wrap="square" upright="1"/>
                    </wps:wsp>
                  </a:graphicData>
                </a:graphic>
              </wp:anchor>
            </w:drawing>
          </mc:Choice>
          <mc:Fallback>
            <w:pict>
              <v:shape id="文本框 732" o:spid="_x0000_s1026" o:spt="202" type="#_x0000_t202" style="position:absolute;left:0pt;margin-left:-9pt;margin-top:1.8pt;height:41.4pt;width:61.85pt;z-index:251697152;mso-width-relative:page;mso-height-relative:page;" filled="f" stroked="f" coordsize="21600,21600" o:gfxdata="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Eus6s1gAAAAgBAAAPAAAAAAAAAAEAIAAAACIAAABkcnMvZG93bnJldi54bWxQSwECFAAU&#10;AAAACACHTuJAIUn9N7oBAABeAwAADgAAAAAAAAABACAAAAAl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侵犯专利技术责任</w:t>
                      </w:r>
                    </w:p>
                  </w:txbxContent>
                </v:textbox>
              </v:shape>
            </w:pict>
          </mc:Fallback>
        </mc:AlternateContent>
      </w:r>
      <w:r>
        <w:rPr>
          <w:rFonts w:hint="eastAsia" w:ascii="仿宋" w:hAnsi="仿宋" w:eastAsia="仿宋" w:cs="仿宋"/>
          <w:color w:val="auto"/>
          <w:sz w:val="24"/>
          <w:szCs w:val="24"/>
          <w:highlight w:val="none"/>
          <w:lang w:eastAsia="zh-CN"/>
        </w:rPr>
        <w:t>承包人在勘察、设计、施工并保修合同工程过程中，如因采用勘察设计方法、施工工艺或使用施工设备及自身供应的工程材料和工程设备，而发生侵犯他人设计图纸、商标、图案、工艺、工程材料、工程设备专利权或知识产权的行为，并引起索赔或诉讼，则一切与此有关的损失、赔偿、诉讼等责任，均由承包人承担。但由于遵守发包人提供的项目基础资料、标准与规范、技术说明和发包人要求而造成的侵权，则属例外。</w:t>
      </w:r>
    </w:p>
    <w:p>
      <w:pPr>
        <w:pStyle w:val="22"/>
        <w:adjustRightInd w:val="0"/>
        <w:snapToGrid w:val="0"/>
        <w:spacing w:line="360" w:lineRule="auto"/>
        <w:rPr>
          <w:rFonts w:ascii="仿宋" w:hAnsi="仿宋" w:eastAsia="仿宋"/>
          <w:b/>
          <w:bCs/>
          <w:color w:val="auto"/>
          <w:sz w:val="24"/>
          <w:szCs w:val="24"/>
          <w:highlight w:val="none"/>
          <w:lang w:eastAsia="zh-CN"/>
        </w:rPr>
      </w:pPr>
      <w:bookmarkStart w:id="350" w:name="_Toc8205"/>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w:t>
      </w:r>
      <w:r>
        <w:rPr>
          <w:rFonts w:ascii="仿宋" w:hAnsi="仿宋" w:eastAsia="仿宋" w:cs="仿宋"/>
          <w:b/>
          <w:bCs/>
          <w:color w:val="auto"/>
          <w:sz w:val="24"/>
          <w:szCs w:val="24"/>
          <w:highlight w:val="none"/>
          <w:lang w:eastAsia="zh-CN"/>
        </w:rPr>
        <w:t>.2</w:t>
      </w:r>
      <w:bookmarkEnd w:id="350"/>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698176" behindDoc="0" locked="0" layoutInCell="1" allowOverlap="1">
                <wp:simplePos x="0" y="0"/>
                <wp:positionH relativeFrom="column">
                  <wp:posOffset>-114300</wp:posOffset>
                </wp:positionH>
                <wp:positionV relativeFrom="paragraph">
                  <wp:posOffset>22860</wp:posOffset>
                </wp:positionV>
                <wp:extent cx="765810" cy="449580"/>
                <wp:effectExtent l="0" t="0" r="0" b="0"/>
                <wp:wrapNone/>
                <wp:docPr id="39" name="文本框 733"/>
                <wp:cNvGraphicFramePr/>
                <a:graphic xmlns:a="http://schemas.openxmlformats.org/drawingml/2006/main">
                  <a:graphicData uri="http://schemas.microsoft.com/office/word/2010/wordprocessingShape">
                    <wps:wsp>
                      <wps:cNvSpPr txBox="1"/>
                      <wps:spPr>
                        <a:xfrm>
                          <a:off x="0" y="0"/>
                          <a:ext cx="765810" cy="44958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专利技术的使用</w:t>
                            </w:r>
                          </w:p>
                        </w:txbxContent>
                      </wps:txbx>
                      <wps:bodyPr wrap="square" upright="1"/>
                    </wps:wsp>
                  </a:graphicData>
                </a:graphic>
              </wp:anchor>
            </w:drawing>
          </mc:Choice>
          <mc:Fallback>
            <w:pict>
              <v:shape id="文本框 733" o:spid="_x0000_s1026" o:spt="202" type="#_x0000_t202" style="position:absolute;left:0pt;margin-left:-9pt;margin-top:1.8pt;height:35.4pt;width:60.3pt;z-index:251698176;mso-width-relative:page;mso-height-relative:page;" filled="f" stroked="f" coordsize="21600,21600" o:gfxdata="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0q5BA1gAAAAgBAAAPAAAAAAAAAAEAIAAAACIAAABkcnMvZG93bnJldi54bWxQSwECFAAU&#10;AAAACACHTuJAoMZ5xLoBAABeAwAADgAAAAAAAAABACAAAAAl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专利技术的使用</w:t>
                      </w:r>
                    </w:p>
                  </w:txbxContent>
                </v:textbox>
              </v:shape>
            </w:pict>
          </mc:Fallback>
        </mc:AlternateContent>
      </w:r>
      <w:r>
        <w:rPr>
          <w:rFonts w:hint="eastAsia" w:ascii="仿宋" w:hAnsi="仿宋" w:eastAsia="仿宋" w:cs="仿宋"/>
          <w:color w:val="auto"/>
          <w:sz w:val="24"/>
          <w:szCs w:val="24"/>
          <w:highlight w:val="none"/>
          <w:lang w:eastAsia="zh-CN"/>
        </w:rPr>
        <w:t>承包人在投标或报价文件中采用专利技术的，其发生的费用已包含在投标报价内。承包人的技术秘密和第99条约定的保密信息、资料等，发包人应严格按照第99条约定不得为合同以外的目的泄露给第三方。</w:t>
      </w:r>
    </w:p>
    <w:p>
      <w:pPr>
        <w:pStyle w:val="22"/>
        <w:adjustRightInd w:val="0"/>
        <w:snapToGrid w:val="0"/>
        <w:spacing w:line="360" w:lineRule="auto"/>
        <w:rPr>
          <w:rFonts w:ascii="仿宋" w:hAnsi="仿宋" w:eastAsia="仿宋"/>
          <w:color w:val="auto"/>
          <w:sz w:val="24"/>
          <w:szCs w:val="24"/>
          <w:highlight w:val="none"/>
          <w:lang w:eastAsia="zh-CN"/>
        </w:rPr>
      </w:pPr>
      <w:bookmarkStart w:id="351" w:name="_Toc29104"/>
      <w:r>
        <w:rPr>
          <w:b/>
          <w:bCs/>
          <w:color w:val="auto"/>
          <w:sz w:val="24"/>
          <w:szCs w:val="24"/>
          <w:highlight w:val="none"/>
        </w:rPr>
        <mc:AlternateContent>
          <mc:Choice Requires="wps">
            <w:drawing>
              <wp:anchor distT="0" distB="0" distL="114300" distR="114300" simplePos="0" relativeHeight="251699200" behindDoc="0" locked="0" layoutInCell="1" allowOverlap="1">
                <wp:simplePos x="0" y="0"/>
                <wp:positionH relativeFrom="column">
                  <wp:posOffset>-114300</wp:posOffset>
                </wp:positionH>
                <wp:positionV relativeFrom="paragraph">
                  <wp:posOffset>241300</wp:posOffset>
                </wp:positionV>
                <wp:extent cx="805815" cy="456565"/>
                <wp:effectExtent l="0" t="0" r="0" b="0"/>
                <wp:wrapNone/>
                <wp:docPr id="40" name="文本框 734"/>
                <wp:cNvGraphicFramePr/>
                <a:graphic xmlns:a="http://schemas.openxmlformats.org/drawingml/2006/main">
                  <a:graphicData uri="http://schemas.microsoft.com/office/word/2010/wordprocessingShape">
                    <wps:wsp>
                      <wps:cNvSpPr txBox="1"/>
                      <wps:spPr>
                        <a:xfrm>
                          <a:off x="0" y="0"/>
                          <a:ext cx="805815" cy="456565"/>
                        </a:xfrm>
                        <a:prstGeom prst="rect">
                          <a:avLst/>
                        </a:prstGeom>
                        <a:noFill/>
                        <a:ln>
                          <a:noFill/>
                        </a:ln>
                      </wps:spPr>
                      <wps:txbx>
                        <w:txbxContent>
                          <w:p>
                            <w:pPr>
                              <w:rPr>
                                <w:rFonts w:ascii="楷体_GB2312" w:hAnsi="宋体" w:eastAsia="楷体_GB2312"/>
                                <w:b/>
                                <w:bCs/>
                                <w:color w:val="000000"/>
                                <w:sz w:val="18"/>
                                <w:szCs w:val="18"/>
                              </w:rPr>
                            </w:pPr>
                            <w:bookmarkStart w:id="2066" w:name="OLE_LINK4"/>
                            <w:bookmarkStart w:id="2067" w:name="OLE_LINK3"/>
                            <w:r>
                              <w:rPr>
                                <w:rFonts w:hint="eastAsia" w:ascii="楷体_GB2312" w:hAnsi="宋体" w:eastAsia="楷体_GB2312" w:cs="楷体_GB2312"/>
                                <w:b/>
                                <w:bCs/>
                                <w:color w:val="000000"/>
                                <w:sz w:val="18"/>
                                <w:szCs w:val="18"/>
                              </w:rPr>
                              <w:t>版权和知识产权</w:t>
                            </w:r>
                            <w:bookmarkEnd w:id="2066"/>
                            <w:bookmarkEnd w:id="2067"/>
                          </w:p>
                        </w:txbxContent>
                      </wps:txbx>
                      <wps:bodyPr wrap="square" upright="1"/>
                    </wps:wsp>
                  </a:graphicData>
                </a:graphic>
              </wp:anchor>
            </w:drawing>
          </mc:Choice>
          <mc:Fallback>
            <w:pict>
              <v:shape id="文本框 734" o:spid="_x0000_s1026" o:spt="202" type="#_x0000_t202" style="position:absolute;left:0pt;margin-left:-9pt;margin-top:19pt;height:35.95pt;width:63.45pt;z-index:251699200;mso-width-relative:page;mso-height-relative:page;" filled="f" stroked="f" coordsize="21600,21600" o:gfxdata="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I/uODtYAAAAKAQAADwAAAAAAAAABACAAAAAiAAAAZHJzL2Rvd25yZXYueG1sUEsBAhQAFAAA&#10;AAgAh07iQDKxxh+4AQAAXgMAAA4AAAAAAAAAAQAgAAAAJQ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rPr>
                      </w:pPr>
                      <w:bookmarkStart w:id="2066" w:name="OLE_LINK4"/>
                      <w:bookmarkStart w:id="2067" w:name="OLE_LINK3"/>
                      <w:r>
                        <w:rPr>
                          <w:rFonts w:hint="eastAsia" w:ascii="楷体_GB2312" w:hAnsi="宋体" w:eastAsia="楷体_GB2312" w:cs="楷体_GB2312"/>
                          <w:b/>
                          <w:bCs/>
                          <w:color w:val="000000"/>
                          <w:sz w:val="18"/>
                          <w:szCs w:val="18"/>
                        </w:rPr>
                        <w:t>版权和知识产权</w:t>
                      </w:r>
                      <w:bookmarkEnd w:id="2066"/>
                      <w:bookmarkEnd w:id="2067"/>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8</w:t>
      </w:r>
      <w:r>
        <w:rPr>
          <w:rFonts w:ascii="仿宋" w:hAnsi="仿宋" w:eastAsia="仿宋" w:cs="仿宋"/>
          <w:b/>
          <w:bCs/>
          <w:color w:val="auto"/>
          <w:sz w:val="24"/>
          <w:szCs w:val="24"/>
          <w:highlight w:val="none"/>
          <w:lang w:eastAsia="zh-CN"/>
        </w:rPr>
        <w:t>.3</w:t>
      </w:r>
      <w:bookmarkEnd w:id="351"/>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tabs>
          <w:tab w:val="left" w:pos="1202"/>
        </w:tabs>
        <w:adjustRightInd w:val="0"/>
        <w:snapToGrid w:val="0"/>
        <w:spacing w:line="360" w:lineRule="auto"/>
        <w:ind w:left="1850" w:leftChars="771"/>
        <w:jc w:val="both"/>
        <w:rPr>
          <w:rFonts w:ascii="仿宋" w:hAnsi="仿宋" w:eastAsia="仿宋" w:cs="仿宋"/>
          <w:color w:val="auto"/>
          <w:sz w:val="24"/>
          <w:szCs w:val="24"/>
          <w:highlight w:val="none"/>
          <w:lang w:eastAsia="zh-CN"/>
        </w:rPr>
      </w:pPr>
      <w:bookmarkStart w:id="352" w:name="OLE_LINK7"/>
      <w:r>
        <w:rPr>
          <w:rFonts w:hint="eastAsia" w:ascii="仿宋" w:hAnsi="仿宋" w:eastAsia="仿宋" w:cs="仿宋"/>
          <w:color w:val="auto"/>
          <w:sz w:val="24"/>
          <w:szCs w:val="24"/>
          <w:highlight w:val="none"/>
          <w:lang w:eastAsia="zh-CN"/>
        </w:rPr>
        <w:t>18.3.1除合同专用条款另有约定外，由发包人（或以发包人名义）为实施工程自行编制或委托编制的技术规范以及反映发包人要求的或其他类似性质的文件的著作权属于发包人，承包人可以为实现合同目的而复制、使用此类文件，但不能用于与合同无关的其他事项。未经发包人书面同意，承包人不得为了合同以外的目的而复制、使用上述文件或将之提供给任何第三方。</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18.3.2除合同专用条款另有约定外，由承包人（或以承包人名义）为实施工程所编制的文件、承包人完成的设计工作成果和建造完成的建筑物，就合同当事人之间而言，其著作权和其他知识产权应归承包人享有。发包人可因实施工程的运行、调试、维修、改造等目的而复制、使用此类文件，但不能用于与合同无关的其他事项。未经承包人书面同意，发包人不得为了合同以外的目的而复制、使用上述文件或将之提供给任何第三方。</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18.3.3合同当事人保证在履行合同过程中不侵犯对方及第三方的知识产权。承包人在使用工程材料、工程设备、施工设备或采用施工工艺时，因侵犯他人的专利权或其他知识产权所引起的责任，由承包人承担；因发包人提供的工程材料、工程设备、施工设备或施工工艺导致侵权的，由发包人承担责任。</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18.3.4合同双方当事人均有权在不损害对方利益和保密约定的前提下，在自己宣传用的印刷品或其他出版物上，或申报奖项时等情形下公布有关项目的文字和图片材料。</w:t>
      </w:r>
    </w:p>
    <w:bookmarkEnd w:id="352"/>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olor w:val="auto"/>
          <w:sz w:val="24"/>
          <w:szCs w:val="24"/>
          <w:highlight w:val="none"/>
          <w:u w:val="single"/>
          <w:lang w:eastAsia="zh-CN"/>
        </w:rPr>
        <w:t></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53" w:name="_Toc211"/>
      <w:bookmarkStart w:id="354" w:name="_Toc4950"/>
      <w:bookmarkStart w:id="355" w:name="_Toc27814"/>
      <w:bookmarkStart w:id="356" w:name="_Toc25623"/>
      <w:bookmarkStart w:id="357" w:name="_Toc6468"/>
      <w:bookmarkStart w:id="358" w:name="_Toc22410"/>
      <w:bookmarkStart w:id="359" w:name="_Toc15000"/>
      <w:bookmarkStart w:id="360" w:name="_Toc15345"/>
      <w:r>
        <w:rPr>
          <w:rFonts w:ascii="仿宋" w:hAnsi="仿宋" w:eastAsia="仿宋" w:cs="仿宋"/>
          <w:bCs w:val="0"/>
          <w:color w:val="auto"/>
          <w:sz w:val="24"/>
          <w:szCs w:val="24"/>
          <w:highlight w:val="none"/>
          <w:lang w:eastAsia="zh-CN"/>
        </w:rPr>
        <w:t>1</w:t>
      </w:r>
      <w:r>
        <w:rPr>
          <w:rFonts w:hint="eastAsia" w:ascii="仿宋" w:hAnsi="仿宋" w:eastAsia="仿宋" w:cs="仿宋"/>
          <w:bCs w:val="0"/>
          <w:color w:val="auto"/>
          <w:sz w:val="24"/>
          <w:szCs w:val="24"/>
          <w:highlight w:val="none"/>
          <w:lang w:eastAsia="zh-CN"/>
        </w:rPr>
        <w:t>9</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 xml:space="preserve"> 联合体</w:t>
      </w:r>
      <w:bookmarkEnd w:id="353"/>
      <w:bookmarkEnd w:id="354"/>
      <w:bookmarkEnd w:id="355"/>
      <w:bookmarkEnd w:id="356"/>
      <w:bookmarkEnd w:id="357"/>
      <w:bookmarkEnd w:id="358"/>
      <w:bookmarkEnd w:id="359"/>
      <w:bookmarkEnd w:id="360"/>
    </w:p>
    <w:p>
      <w:pPr>
        <w:pStyle w:val="22"/>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9</w: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rPr>
        <mc:AlternateContent>
          <mc:Choice Requires="wps">
            <w:drawing>
              <wp:anchor distT="0" distB="0" distL="114300" distR="114300" simplePos="0" relativeHeight="251976704" behindDoc="0" locked="0" layoutInCell="1" allowOverlap="1">
                <wp:simplePos x="0" y="0"/>
                <wp:positionH relativeFrom="column">
                  <wp:posOffset>-114300</wp:posOffset>
                </wp:positionH>
                <wp:positionV relativeFrom="paragraph">
                  <wp:posOffset>263525</wp:posOffset>
                </wp:positionV>
                <wp:extent cx="833120" cy="551815"/>
                <wp:effectExtent l="0" t="0" r="0" b="0"/>
                <wp:wrapNone/>
                <wp:docPr id="311" name="文本框 734"/>
                <wp:cNvGraphicFramePr/>
                <a:graphic xmlns:a="http://schemas.openxmlformats.org/drawingml/2006/main">
                  <a:graphicData uri="http://schemas.microsoft.com/office/word/2010/wordprocessingShape">
                    <wps:wsp>
                      <wps:cNvSpPr txBox="1"/>
                      <wps:spPr>
                        <a:xfrm>
                          <a:off x="0" y="0"/>
                          <a:ext cx="833120" cy="55181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b/>
                                <w:bCs/>
                                <w:color w:val="000000"/>
                                <w:sz w:val="18"/>
                                <w:szCs w:val="18"/>
                              </w:rPr>
                              <w:t>联合体的组成及责任</w:t>
                            </w:r>
                          </w:p>
                        </w:txbxContent>
                      </wps:txbx>
                      <wps:bodyPr wrap="square" upright="1"/>
                    </wps:wsp>
                  </a:graphicData>
                </a:graphic>
              </wp:anchor>
            </w:drawing>
          </mc:Choice>
          <mc:Fallback>
            <w:pict>
              <v:shape id="文本框 734" o:spid="_x0000_s1026" o:spt="202" type="#_x0000_t202" style="position:absolute;left:0pt;margin-left:-9pt;margin-top:20.75pt;height:43.45pt;width:65.6pt;z-index:251976704;mso-width-relative:page;mso-height-relative:page;" filled="f" stroked="f" coordsize="21600,21600" o:gfxdata="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kgUdm1wAAAAoBAAAPAAAAAAAAAAEAIAAAACIAAABkcnMvZG93bnJldi54bWxQSwECFAAU&#10;AAAACACHTuJAF71vsrkBAABfAwAADgAAAAAAAAABACAAAAAm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b/>
                          <w:bCs/>
                          <w:color w:val="000000"/>
                          <w:sz w:val="18"/>
                          <w:szCs w:val="18"/>
                        </w:rPr>
                        <w:t>联合体的组成及责任</w:t>
                      </w:r>
                    </w:p>
                  </w:txbxContent>
                </v:textbox>
              </v:shape>
            </w:pict>
          </mc:Fallback>
        </mc:AlternateContent>
      </w:r>
    </w:p>
    <w:p>
      <w:pPr>
        <w:pStyle w:val="22"/>
        <w:widowControl w:val="0"/>
        <w:adjustRightInd w:val="0"/>
        <w:snapToGrid w:val="0"/>
        <w:spacing w:line="360" w:lineRule="auto"/>
        <w:ind w:left="1850" w:leftChars="771"/>
        <w:jc w:val="both"/>
        <w:rPr>
          <w:rFonts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lang w:eastAsia="zh-CN"/>
        </w:rPr>
        <w:t>19.1.1</w:t>
      </w:r>
      <w:r>
        <w:rPr>
          <w:rFonts w:hint="eastAsia" w:ascii="仿宋" w:hAnsi="仿宋" w:eastAsia="仿宋" w:cs="仿宋"/>
          <w:color w:val="auto"/>
          <w:sz w:val="24"/>
          <w:szCs w:val="24"/>
          <w:highlight w:val="none"/>
          <w:lang w:eastAsia="zh-CN"/>
        </w:rPr>
        <w:t>如果承包人是联合体，联合体成员视为具有符合本合同工程建设规模要求的工程建设类设计、施工等资质、资信和履约能力的法人组成。</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19.1.2联合体牵头人须由联合体成员中具有符合项目规模要求的工程设计资质或施工资质一方担任。专用条款中应明确以设计单位或施工单位为牵头人时各方的管理责任。</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Cs/>
          <w:color w:val="auto"/>
          <w:sz w:val="24"/>
          <w:szCs w:val="24"/>
          <w:highlight w:val="none"/>
          <w:lang w:eastAsia="zh-CN"/>
        </w:rPr>
        <w:t>19.1.3</w:t>
      </w:r>
      <w:r>
        <w:rPr>
          <w:rFonts w:hint="eastAsia" w:ascii="仿宋" w:hAnsi="仿宋" w:eastAsia="仿宋" w:cs="仿宋"/>
          <w:color w:val="auto"/>
          <w:sz w:val="24"/>
          <w:szCs w:val="24"/>
          <w:highlight w:val="none"/>
          <w:lang w:eastAsia="zh-CN"/>
        </w:rPr>
        <w:t>在合同协议书签订时，视为联合体成员已签订联合体协议书，明确牵头人及各成员在本合同履行期间对发包人负有共同的和各自的责任，作为本合同的附件。招标发包工程，联合体成员应于投标前签订联合体协议，作为投标文件的组成部分。</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bCs/>
          <w:color w:val="auto"/>
          <w:sz w:val="24"/>
          <w:szCs w:val="24"/>
          <w:highlight w:val="none"/>
          <w:lang w:eastAsia="zh-CN"/>
        </w:rPr>
        <w:t>19.1.4</w:t>
      </w:r>
      <w:r>
        <w:rPr>
          <w:rFonts w:hint="eastAsia" w:ascii="仿宋" w:hAnsi="仿宋" w:eastAsia="仿宋" w:cs="仿宋"/>
          <w:color w:val="auto"/>
          <w:sz w:val="24"/>
          <w:szCs w:val="24"/>
          <w:highlight w:val="none"/>
          <w:lang w:eastAsia="zh-CN"/>
        </w:rPr>
        <w:t>联合体成员应共同与发包人签订合同协议书。联合体成员都应认真履行其共同的和各自的责任，在合同约定的时间内完成本合同工程总承包范围内的全部工作。</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19.1.5联合体作为本合同的当事人，联合体牵头人及成员应作为一个整体享有本合同赋予的承包人权利、履行承包人责任和义务，共同承担本合同工程的实施风险，牵头人或其任一成员的过错或违约行为均不免除其他成员单位的连带责任。联合体牵头人负责组建项目部，由项目部负责与发包人、设计顾问人、监理人和造价咨询人联系，并接受指示，负责组织联合体各成员全面履行合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19.1.6联合体牵头人应对本合同工程总承包范围内全部工作的组织、管理、实施和协调承担主要责任，保障本合同工程的进度、质量、安全和成本符合本合同的约定；勘察设计单位应对本合同工程的勘察、设计、BIM技术应用及施工配合、设备及工器具购置配合等承担相应责任；施工单位应对本合同工程的施工组织、施工管理、施工技术、BIM技术应用及勘察设计配合、设备及工器具购置配合等承担相应责任。</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19.1.7联合体牵头人对本合同工程的进度、质量、安全、成本、管理、协调等负总责。在本合同履行期间，联合体牵头人代表联合体接受指令或发出书面文件，其任何作为或不作为，其效力均及于联合体成员；发包人对联合体牵头人的作为或不作为，其效力均及于承包人联合体成员。</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19.1.8联合体牵头人应加强对联合体各成员的组织、管理和协调，其产生的管理费用由联合体成员协商确定，作为牵头人项目管理费在本合同协议书中明确。合同履行期间，若牵头人及其授权的承包人代表不作为或存在过错，发包人有权扣除部分或全部牵头人项目管理费，并追究相关责任。牵头人项目管理费的扣除，不免除联合体牵头人及各成员作为承包人应承担的所有责任。</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19.1.9承包人代表及专业负责人的任命与授权，应符合第29.1款的约定，具体人选应在专用条款中约定。</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19.1.10未经发包人事先书面同意，联合体的组成、结构和联合体协议书不得随意变动。</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19.1.11联合体牵头人及成员组成联合体，应团结合作，全面履行本合同赋予的权利和义务，实现共同利益，但不得推诿扯皮或合伙欺骗、损害发包人及社会公众利益。</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19.1.12联合体牵头人及各成员之间的任何法律和经济纠纷属于承包人一方的内部纠纷，不属于本合同双方当事人之间的纠纷，发包人均不承担任何责任和义务。</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9</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2077056" behindDoc="0" locked="0" layoutInCell="1" allowOverlap="1">
                <wp:simplePos x="0" y="0"/>
                <wp:positionH relativeFrom="column">
                  <wp:posOffset>-9525</wp:posOffset>
                </wp:positionH>
                <wp:positionV relativeFrom="paragraph">
                  <wp:posOffset>40640</wp:posOffset>
                </wp:positionV>
                <wp:extent cx="804545" cy="415925"/>
                <wp:effectExtent l="0" t="0" r="0" b="0"/>
                <wp:wrapNone/>
                <wp:docPr id="409" name="文本框 1262"/>
                <wp:cNvGraphicFramePr/>
                <a:graphic xmlns:a="http://schemas.openxmlformats.org/drawingml/2006/main">
                  <a:graphicData uri="http://schemas.microsoft.com/office/word/2010/wordprocessingShape">
                    <wps:wsp>
                      <wps:cNvSpPr txBox="1"/>
                      <wps:spPr>
                        <a:xfrm>
                          <a:off x="0" y="0"/>
                          <a:ext cx="804545" cy="41592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联合体文件签暑</w:t>
                            </w:r>
                          </w:p>
                        </w:txbxContent>
                      </wps:txbx>
                      <wps:bodyPr wrap="square" upright="1"/>
                    </wps:wsp>
                  </a:graphicData>
                </a:graphic>
              </wp:anchor>
            </w:drawing>
          </mc:Choice>
          <mc:Fallback>
            <w:pict>
              <v:shape id="文本框 1262" o:spid="_x0000_s1026" o:spt="202" type="#_x0000_t202" style="position:absolute;left:0pt;margin-left:-0.75pt;margin-top:3.2pt;height:32.75pt;width:63.35pt;z-index:252077056;mso-width-relative:page;mso-height-relative:page;" filled="f" stroked="f" coordsize="21600,21600" o:gfxdata="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Io3hvUAAAABwEAAA8AAAAAAAAAAQAgAAAAIgAAAGRycy9kb3ducmV2LnhtbFBLAQIUABQA&#10;AAAIAIdO4kDoliF5uwEAAGADAAAOAAAAAAAAAAEAIAAAACM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联合体文件签暑</w:t>
                      </w:r>
                    </w:p>
                  </w:txbxContent>
                </v:textbox>
              </v:shape>
            </w:pict>
          </mc:Fallback>
        </mc:AlternateContent>
      </w:r>
      <w:r>
        <w:rPr>
          <w:rFonts w:hint="eastAsia" w:ascii="仿宋" w:hAnsi="仿宋" w:eastAsia="仿宋" w:cs="仿宋"/>
          <w:color w:val="auto"/>
          <w:sz w:val="24"/>
          <w:szCs w:val="24"/>
          <w:highlight w:val="none"/>
          <w:lang w:eastAsia="zh-CN"/>
        </w:rPr>
        <w:t>联合体作为承包人，均由联合体牵头人及其授权的承包人代表负责组织联合体各成员全面履行合同，负责与发包人及监理人、造价咨询人、设计顾问人（如果有）等相关方之间的工作联系和文件往来，履行合同的有关文件由承包人代表签署。未经发包人事先书面同意，承包人代表不得随意变动。</w:t>
      </w:r>
    </w:p>
    <w:p>
      <w:pPr>
        <w:pStyle w:val="22"/>
        <w:adjustRightInd w:val="0"/>
        <w:snapToGrid w:val="0"/>
        <w:spacing w:line="360" w:lineRule="auto"/>
        <w:rPr>
          <w:rFonts w:ascii="仿宋" w:hAnsi="仿宋" w:eastAsia="仿宋"/>
          <w:b/>
          <w:bCs/>
          <w:color w:val="auto"/>
          <w:sz w:val="24"/>
          <w:szCs w:val="24"/>
          <w:highlight w:val="none"/>
          <w:lang w:eastAsia="zh-CN"/>
        </w:rPr>
      </w:pPr>
      <w:bookmarkStart w:id="361" w:name="_Toc29075"/>
      <w:r>
        <w:rPr>
          <w:color w:val="auto"/>
          <w:sz w:val="24"/>
          <w:szCs w:val="24"/>
          <w:highlight w:val="none"/>
        </w:rPr>
        <mc:AlternateContent>
          <mc:Choice Requires="wps">
            <w:drawing>
              <wp:anchor distT="0" distB="0" distL="114300" distR="114300" simplePos="0" relativeHeight="252078080" behindDoc="0" locked="0" layoutInCell="1" allowOverlap="1">
                <wp:simplePos x="0" y="0"/>
                <wp:positionH relativeFrom="column">
                  <wp:posOffset>-114300</wp:posOffset>
                </wp:positionH>
                <wp:positionV relativeFrom="paragraph">
                  <wp:posOffset>245745</wp:posOffset>
                </wp:positionV>
                <wp:extent cx="756920" cy="445135"/>
                <wp:effectExtent l="0" t="0" r="0" b="0"/>
                <wp:wrapNone/>
                <wp:docPr id="410" name="文本框 1263"/>
                <wp:cNvGraphicFramePr/>
                <a:graphic xmlns:a="http://schemas.openxmlformats.org/drawingml/2006/main">
                  <a:graphicData uri="http://schemas.microsoft.com/office/word/2010/wordprocessingShape">
                    <wps:wsp>
                      <wps:cNvSpPr txBox="1"/>
                      <wps:spPr>
                        <a:xfrm>
                          <a:off x="0" y="0"/>
                          <a:ext cx="756920" cy="44513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联合体的内部管理</w:t>
                            </w:r>
                          </w:p>
                        </w:txbxContent>
                      </wps:txbx>
                      <wps:bodyPr wrap="square" upright="1"/>
                    </wps:wsp>
                  </a:graphicData>
                </a:graphic>
              </wp:anchor>
            </w:drawing>
          </mc:Choice>
          <mc:Fallback>
            <w:pict>
              <v:shape id="文本框 1263" o:spid="_x0000_s1026" o:spt="202" type="#_x0000_t202" style="position:absolute;left:0pt;margin-left:-9pt;margin-top:19.35pt;height:35.05pt;width:59.6pt;z-index:252078080;mso-width-relative:page;mso-height-relative:page;" filled="f" stroked="f" coordsize="21600,21600" o:gfxdata="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q9qTStcAAAAKAQAADwAAAAAAAAABACAAAAAiAAAAZHJzL2Rvd25yZXYueG1sUEsBAhQA&#10;FAAAAAgAh07iQFztvn26AQAAYAMAAA4AAAAAAAAAAQAgAAAAJgEAAGRycy9lMm9Eb2MueG1sUEsF&#10;BgAAAAAGAAYAWQEAAFI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联合体的内部管理</w:t>
                      </w:r>
                    </w:p>
                  </w:txbxContent>
                </v:textbox>
              </v:shape>
            </w:pict>
          </mc:Fallback>
        </mc:AlternateConten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9</w:t>
      </w:r>
      <w:r>
        <w:rPr>
          <w:rFonts w:ascii="仿宋" w:hAnsi="仿宋" w:eastAsia="仿宋" w:cs="仿宋"/>
          <w:b/>
          <w:bCs/>
          <w:color w:val="auto"/>
          <w:sz w:val="24"/>
          <w:szCs w:val="24"/>
          <w:highlight w:val="none"/>
          <w:lang w:eastAsia="zh-CN"/>
        </w:rPr>
        <w:t>.</w:t>
      </w:r>
      <w:r>
        <w:rPr>
          <w:rFonts w:hint="eastAsia" w:ascii="仿宋" w:hAnsi="仿宋" w:eastAsia="仿宋" w:cs="仿宋"/>
          <w:b/>
          <w:bCs/>
          <w:color w:val="auto"/>
          <w:sz w:val="24"/>
          <w:szCs w:val="24"/>
          <w:highlight w:val="none"/>
          <w:lang w:eastAsia="zh-CN"/>
        </w:rPr>
        <w:t>3</w:t>
      </w:r>
      <w:bookmarkEnd w:id="361"/>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19.3.1本合同协议书签订后28天内，联合体牵头人应组织成员单位内部协商，根据发包人制定的项目管理制度，结合本合同工程实际，共同编制联合体内部管理制度，明确勘察、设计、BIM技术应用、施工、设备及工器具购置等工作之间的内部分工、工作界面、责任划分、进度安排、安全防范、质量控制、风险预控、风险分担、利益分配、协调机制、会议制度、决策机制、内部流程、保障措施等内容，形成书面文件，共同签署、共同遵守，并报发包人备案。</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19.3.2本合同协议书签订后28天内，联合体牵头人应组织成员单位内部协商，根据本合同约定的相关处罚规定，建立联合体内部奖惩管理制度，共同签署共同遵守，并报发包人备案。履行合同期间，违约受到经济处罚、出现索赔事件、发生不可抗力事件、合理化建议被采纳获得发包人经济奖励等，联合体牵头人应秉公处理，及时组织外部索赔或内部奖罚，赏罚分明，以避免推诿扯皮或杜绝合伙欺骗，保证联合体内部团结合作，维护承包人、发包人及公众利益。</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19.3.3联合体牵头人及授权的承包人代表应及时组织各成员单位认真履行合同，遵守联合体内部管理制度，按时签署、报送各类工作计划、工作成果、进度报表、支付申请等各类资料及合理化建议。</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19.3.4牵头人收到发包人及监理人、设计顾问人、造价咨询人等相关方的各类书面文件，应在收到后24小时内抄送联合体所有成员；收到的各类口头指令，应按合同相关约定及时组织进行书面确认。</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19.3.5联合体各成员需要报送发包人及监理人、设计顾问人、造价咨询人等相关方的各类书面文件（包括勘察设计类、BIM技术应用类、施工类、设备及工器具购置类等），必须得到联合体牵头人及授权的承包人代表认可签署，并由牵头人报送。</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19.3.6若联合体任一成员提出可能有益于发包人或公众的优化设计方案或合理化建议，无论联合体成员是否达成统一意见，牵头人必须及时报送发包人，不得瞒报迟报，意见提出者也可直接报送发包人。若收到的优化设计方案或合理化建议得到采纳产生预期经济效益或节约投资，发包人将按合同约定给予适当的经济奖励或补偿。因牵头人反对而不上报，发包人有权对牵头人进行一定的经济处罚。奖励或处罚金额或比例，由当事人在专用条款中约定。</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19.3.7除联合体牵头人或成员报送的优化设计方案或合理化建议外，发包人及各相关方收到牵头人及授权的承包人代表签署报送的各类文件，无论联合体内部意见是否统一，均视为联合体内部成员之间已得到认可。</w:t>
      </w:r>
    </w:p>
    <w:p>
      <w:pPr>
        <w:tabs>
          <w:tab w:val="left" w:pos="1620"/>
        </w:tabs>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62" w:name="_Toc18967"/>
      <w:bookmarkStart w:id="363" w:name="_Toc23642"/>
      <w:bookmarkStart w:id="364" w:name="_Toc1418"/>
      <w:bookmarkStart w:id="365" w:name="_Toc19941"/>
      <w:bookmarkStart w:id="366" w:name="_Toc9797"/>
      <w:bookmarkStart w:id="367" w:name="_Toc4070"/>
      <w:bookmarkStart w:id="368" w:name="_Toc27892"/>
      <w:bookmarkStart w:id="369" w:name="_Toc27096"/>
      <w:r>
        <w:rPr>
          <w:rFonts w:hint="eastAsia" w:ascii="仿宋" w:hAnsi="仿宋" w:eastAsia="仿宋" w:cs="仿宋"/>
          <w:bCs w:val="0"/>
          <w:color w:val="auto"/>
          <w:sz w:val="24"/>
          <w:szCs w:val="24"/>
          <w:highlight w:val="none"/>
          <w:lang w:eastAsia="zh-CN"/>
        </w:rPr>
        <w:t>20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保障</w:t>
      </w:r>
      <w:bookmarkEnd w:id="362"/>
      <w:bookmarkEnd w:id="363"/>
      <w:bookmarkEnd w:id="364"/>
      <w:bookmarkEnd w:id="365"/>
      <w:bookmarkEnd w:id="366"/>
      <w:bookmarkEnd w:id="367"/>
      <w:bookmarkEnd w:id="368"/>
      <w:bookmarkEnd w:id="369"/>
    </w:p>
    <w:p>
      <w:pPr>
        <w:pStyle w:val="22"/>
        <w:tabs>
          <w:tab w:val="left" w:pos="1202"/>
        </w:tabs>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20</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00224" behindDoc="0" locked="0" layoutInCell="1" allowOverlap="1">
                <wp:simplePos x="0" y="0"/>
                <wp:positionH relativeFrom="column">
                  <wp:posOffset>-66040</wp:posOffset>
                </wp:positionH>
                <wp:positionV relativeFrom="paragraph">
                  <wp:posOffset>8890</wp:posOffset>
                </wp:positionV>
                <wp:extent cx="822960" cy="440055"/>
                <wp:effectExtent l="0" t="0" r="0" b="0"/>
                <wp:wrapNone/>
                <wp:docPr id="41" name="文本框 737"/>
                <wp:cNvGraphicFramePr/>
                <a:graphic xmlns:a="http://schemas.openxmlformats.org/drawingml/2006/main">
                  <a:graphicData uri="http://schemas.microsoft.com/office/word/2010/wordprocessingShape">
                    <wps:wsp>
                      <wps:cNvSpPr txBox="1"/>
                      <wps:spPr>
                        <a:xfrm>
                          <a:off x="0" y="0"/>
                          <a:ext cx="822960" cy="44005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合同双方相互保障</w:t>
                            </w:r>
                          </w:p>
                        </w:txbxContent>
                      </wps:txbx>
                      <wps:bodyPr wrap="square" upright="1"/>
                    </wps:wsp>
                  </a:graphicData>
                </a:graphic>
              </wp:anchor>
            </w:drawing>
          </mc:Choice>
          <mc:Fallback>
            <w:pict>
              <v:shape id="文本框 737" o:spid="_x0000_s1026" o:spt="202" type="#_x0000_t202" style="position:absolute;left:0pt;margin-left:-5.2pt;margin-top:0.7pt;height:34.65pt;width:64.8pt;z-index:251700224;mso-width-relative:page;mso-height-relative:page;" filled="f" stroked="f" coordsize="21600,21600" o:gfxdata="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AgQTxtUAAAAIAQAADwAAAAAAAAABACAAAAAiAAAAZHJzL2Rvd25yZXYueG1sUEsBAhQAFAAA&#10;AAgAh07iQLXP4zK5AQAAXgMAAA4AAAAAAAAAAQAgAAAAJA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合同双方相互保障</w:t>
                      </w:r>
                    </w:p>
                  </w:txbxContent>
                </v:textbox>
              </v:shape>
            </w:pict>
          </mc:Fallback>
        </mc:AlternateContent>
      </w:r>
      <w:r>
        <w:rPr>
          <w:rFonts w:hint="eastAsia" w:ascii="仿宋" w:hAnsi="仿宋" w:eastAsia="仿宋" w:cs="仿宋"/>
          <w:color w:val="auto"/>
          <w:sz w:val="24"/>
          <w:szCs w:val="24"/>
          <w:highlight w:val="none"/>
          <w:lang w:eastAsia="zh-CN"/>
        </w:rPr>
        <w:t>合同一方当事人应负责和保障不因其自身的行为或疏忽而引起另一方当事人一切损害、损失和赔偿。但受保障的一方当事人应积极采取合理措施减少可能发生的损失或损害。受保障的一方当事人因未采取合理措施而导致损失扩大，则损失扩大部分由其自身承担。</w:t>
      </w:r>
    </w:p>
    <w:p>
      <w:pPr>
        <w:pStyle w:val="22"/>
        <w:tabs>
          <w:tab w:val="left" w:pos="1202"/>
        </w:tabs>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1701248" behindDoc="0" locked="0" layoutInCell="1" allowOverlap="1">
                <wp:simplePos x="0" y="0"/>
                <wp:positionH relativeFrom="column">
                  <wp:posOffset>-114300</wp:posOffset>
                </wp:positionH>
                <wp:positionV relativeFrom="paragraph">
                  <wp:posOffset>240665</wp:posOffset>
                </wp:positionV>
                <wp:extent cx="785495" cy="508000"/>
                <wp:effectExtent l="0" t="0" r="0" b="0"/>
                <wp:wrapNone/>
                <wp:docPr id="42" name="文本框 738"/>
                <wp:cNvGraphicFramePr/>
                <a:graphic xmlns:a="http://schemas.openxmlformats.org/drawingml/2006/main">
                  <a:graphicData uri="http://schemas.microsoft.com/office/word/2010/wordprocessingShape">
                    <wps:wsp>
                      <wps:cNvSpPr txBox="1"/>
                      <wps:spPr>
                        <a:xfrm>
                          <a:off x="0" y="0"/>
                          <a:ext cx="785495" cy="50800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承包人对发包人的保障</w:t>
                            </w:r>
                          </w:p>
                        </w:txbxContent>
                      </wps:txbx>
                      <wps:bodyPr wrap="square" upright="1"/>
                    </wps:wsp>
                  </a:graphicData>
                </a:graphic>
              </wp:anchor>
            </w:drawing>
          </mc:Choice>
          <mc:Fallback>
            <w:pict>
              <v:shape id="文本框 738" o:spid="_x0000_s1026" o:spt="202" type="#_x0000_t202" style="position:absolute;left:0pt;margin-left:-9pt;margin-top:18.95pt;height:40pt;width:61.85pt;z-index:251701248;mso-width-relative:page;mso-height-relative:page;" filled="f" stroked="f" coordsize="21600,21600" o:gfxdata="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8BZl59cAAAAKAQAADwAAAAAAAAABACAAAAAiAAAAZHJzL2Rvd25yZXYueG1sUEsBAhQA&#10;FAAAAAgAh07iQCPjgle6AQAAXgMAAA4AAAAAAAAAAQAgAAAAJgEAAGRycy9lMm9Eb2MueG1sUEsF&#10;BgAAAAAGAAYAWQEAAFI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承包人对发包人的保障</w:t>
                      </w:r>
                    </w:p>
                  </w:txbxContent>
                </v:textbox>
              </v:shape>
            </w:pict>
          </mc:Fallback>
        </mc:AlternateContent>
      </w:r>
      <w:r>
        <w:rPr>
          <w:rFonts w:hint="eastAsia" w:ascii="仿宋" w:hAnsi="仿宋" w:eastAsia="仿宋" w:cs="仿宋"/>
          <w:b/>
          <w:bCs/>
          <w:color w:val="auto"/>
          <w:sz w:val="24"/>
          <w:szCs w:val="24"/>
          <w:highlight w:val="none"/>
          <w:lang w:eastAsia="zh-CN"/>
        </w:rPr>
        <w:t>20</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承包人应保障发包人不承担因承包人移动或使用施工场地外的施工设备和临时设施所造成的损害而引起的赔偿。</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370" w:name="_Toc16934"/>
      <w:bookmarkStart w:id="371" w:name="_Toc3574"/>
      <w:bookmarkStart w:id="372" w:name="_Toc5110"/>
      <w:bookmarkStart w:id="373" w:name="_Toc10973"/>
      <w:bookmarkStart w:id="374" w:name="_Toc9635"/>
      <w:bookmarkStart w:id="375" w:name="_Toc16852"/>
      <w:bookmarkStart w:id="376" w:name="_Toc16525"/>
      <w:bookmarkStart w:id="377" w:name="_Toc17923"/>
      <w:r>
        <w:rPr>
          <w:rFonts w:hint="eastAsia" w:ascii="仿宋" w:hAnsi="仿宋" w:eastAsia="仿宋" w:cs="仿宋"/>
          <w:bCs w:val="0"/>
          <w:color w:val="auto"/>
          <w:sz w:val="24"/>
          <w:szCs w:val="24"/>
          <w:highlight w:val="none"/>
          <w:lang w:eastAsia="zh-CN"/>
        </w:rPr>
        <w:t>21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财产</w:t>
      </w:r>
      <w:bookmarkEnd w:id="370"/>
      <w:bookmarkEnd w:id="371"/>
      <w:bookmarkEnd w:id="372"/>
      <w:bookmarkEnd w:id="373"/>
      <w:bookmarkEnd w:id="374"/>
      <w:bookmarkEnd w:id="375"/>
      <w:bookmarkEnd w:id="376"/>
      <w:bookmarkEnd w:id="377"/>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21</w:t>
      </w:r>
      <w:r>
        <w:rPr>
          <w:rFonts w:ascii="仿宋" w:hAnsi="仿宋" w:eastAsia="仿宋" w:cs="仿宋"/>
          <w:b/>
          <w:bCs/>
          <w:color w:val="auto"/>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sz w:val="24"/>
          <w:szCs w:val="24"/>
          <w:highlight w:val="none"/>
        </w:rPr>
        <mc:AlternateContent>
          <mc:Choice Requires="wps">
            <w:drawing>
              <wp:anchor distT="0" distB="0" distL="114300" distR="114300" simplePos="0" relativeHeight="251702272" behindDoc="0" locked="0" layoutInCell="1" allowOverlap="1">
                <wp:simplePos x="0" y="0"/>
                <wp:positionH relativeFrom="column">
                  <wp:posOffset>-114300</wp:posOffset>
                </wp:positionH>
                <wp:positionV relativeFrom="paragraph">
                  <wp:posOffset>0</wp:posOffset>
                </wp:positionV>
                <wp:extent cx="794385" cy="875030"/>
                <wp:effectExtent l="0" t="0" r="0" b="0"/>
                <wp:wrapNone/>
                <wp:docPr id="43" name="文本框 739"/>
                <wp:cNvGraphicFramePr/>
                <a:graphic xmlns:a="http://schemas.openxmlformats.org/drawingml/2006/main">
                  <a:graphicData uri="http://schemas.microsoft.com/office/word/2010/wordprocessingShape">
                    <wps:wsp>
                      <wps:cNvSpPr txBox="1"/>
                      <wps:spPr>
                        <a:xfrm>
                          <a:off x="0" y="0"/>
                          <a:ext cx="794385" cy="875030"/>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用于工程材料、工程设备和施工设备的财产</w:t>
                            </w:r>
                          </w:p>
                        </w:txbxContent>
                      </wps:txbx>
                      <wps:bodyPr wrap="square" upright="1"/>
                    </wps:wsp>
                  </a:graphicData>
                </a:graphic>
              </wp:anchor>
            </w:drawing>
          </mc:Choice>
          <mc:Fallback>
            <w:pict>
              <v:shape id="文本框 739" o:spid="_x0000_s1026" o:spt="202" type="#_x0000_t202" style="position:absolute;left:0pt;margin-left:-9pt;margin-top:0pt;height:68.9pt;width:62.55pt;z-index:251702272;mso-width-relative:page;mso-height-relative:page;" filled="f" stroked="f" coordsize="21600,21600" o:gfxdata="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V2GVNtYAAAAIAQAADwAAAAAAAAABACAAAAAiAAAAZHJzL2Rvd25yZXYueG1sUEsBAhQA&#10;FAAAAAgAh07iQCByYQe7AQAAXgMAAA4AAAAAAAAAAQAgAAAAJQEAAGRycy9lMm9Eb2MueG1sUEsF&#10;BgAAAAAGAAYAWQEAAFIFA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用于工程材料、工程设备和施工设备的财产</w:t>
                      </w:r>
                    </w:p>
                  </w:txbxContent>
                </v:textbox>
              </v:shape>
            </w:pict>
          </mc:Fallback>
        </mc:AlternateContent>
      </w:r>
      <w:r>
        <w:rPr>
          <w:rFonts w:hint="eastAsia" w:ascii="仿宋" w:hAnsi="仿宋" w:eastAsia="仿宋" w:cs="仿宋"/>
          <w:color w:val="auto"/>
          <w:sz w:val="24"/>
          <w:szCs w:val="24"/>
          <w:highlight w:val="none"/>
          <w:lang w:eastAsia="zh-CN"/>
        </w:rPr>
        <w:t>合同工程所需的工程材料、工程设备（包括备品备件、安装专用工器具与随机资料）和承包人的施工设备一经运至施工现场，即成为实施合同工程的财产。没有经监理人同意并由其报发包人批准，承包人不得使用合同工程的财产，也不得将实施合同工程的财产运出施工现场，但用于运送工程材料和工程设备、施工设备和雇员的运输工具除外。</w:t>
      </w:r>
    </w:p>
    <w:p>
      <w:pPr>
        <w:spacing w:line="360" w:lineRule="auto"/>
        <w:rPr>
          <w:rFonts w:ascii="仿宋" w:hAnsi="仿宋" w:eastAsia="仿宋"/>
          <w:b/>
          <w:bCs/>
          <w:color w:val="auto"/>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1703296" behindDoc="0" locked="0" layoutInCell="1" allowOverlap="1">
                <wp:simplePos x="0" y="0"/>
                <wp:positionH relativeFrom="column">
                  <wp:posOffset>-114300</wp:posOffset>
                </wp:positionH>
                <wp:positionV relativeFrom="paragraph">
                  <wp:posOffset>282575</wp:posOffset>
                </wp:positionV>
                <wp:extent cx="823595" cy="470535"/>
                <wp:effectExtent l="0" t="0" r="0" b="0"/>
                <wp:wrapNone/>
                <wp:docPr id="44" name="文本框 740"/>
                <wp:cNvGraphicFramePr/>
                <a:graphic xmlns:a="http://schemas.openxmlformats.org/drawingml/2006/main">
                  <a:graphicData uri="http://schemas.microsoft.com/office/word/2010/wordprocessingShape">
                    <wps:wsp>
                      <wps:cNvSpPr txBox="1"/>
                      <wps:spPr>
                        <a:xfrm>
                          <a:off x="0" y="0"/>
                          <a:ext cx="823595" cy="47053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发包人财产及其使用</w:t>
                            </w:r>
                          </w:p>
                        </w:txbxContent>
                      </wps:txbx>
                      <wps:bodyPr wrap="square" upright="1"/>
                    </wps:wsp>
                  </a:graphicData>
                </a:graphic>
              </wp:anchor>
            </w:drawing>
          </mc:Choice>
          <mc:Fallback>
            <w:pict>
              <v:shape id="文本框 740" o:spid="_x0000_s1026" o:spt="202" type="#_x0000_t202" style="position:absolute;left:0pt;margin-left:-9pt;margin-top:22.25pt;height:37.05pt;width:64.85pt;z-index:251703296;mso-width-relative:page;mso-height-relative:page;" filled="f" stroked="f" coordsize="21600,21600" o:gfxdata="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H6+uH7XAAAACgEAAA8AAAAAAAAAAQAgAAAAIgAAAGRycy9kb3ducmV2LnhtbFBLAQIUABQA&#10;AAAIAIdO4kBY1q3SuAEAAF4DAAAOAAAAAAAAAAEAIAAAACY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发包人财产及其使用</w:t>
                      </w:r>
                    </w:p>
                  </w:txbxContent>
                </v:textbox>
              </v:shape>
            </w:pict>
          </mc:Fallback>
        </mc:AlternateContent>
      </w:r>
      <w:r>
        <w:rPr>
          <w:rFonts w:hint="eastAsia" w:ascii="仿宋" w:hAnsi="仿宋" w:eastAsia="仿宋" w:cs="仿宋"/>
          <w:b/>
          <w:bCs/>
          <w:color w:val="auto"/>
          <w:highlight w:val="none"/>
          <w:lang w:eastAsia="zh-CN"/>
        </w:rPr>
        <w:t>21</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如果发包人依据第92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款约定的情形解除合同，则合同工程和临时工程，应认为是发包人的财产。</w:t>
      </w:r>
    </w:p>
    <w:p>
      <w:pPr>
        <w:spacing w:line="480" w:lineRule="auto"/>
        <w:rPr>
          <w:rFonts w:ascii="仿宋" w:hAnsi="仿宋" w:eastAsia="仿宋"/>
          <w:b/>
          <w:bCs/>
          <w:color w:val="auto"/>
          <w:highlight w:val="none"/>
          <w:lang w:eastAsia="zh-CN"/>
        </w:rPr>
      </w:pPr>
      <w:bookmarkStart w:id="378" w:name="_Toc6120"/>
      <w:r>
        <w:rPr>
          <w:rFonts w:ascii="仿宋" w:hAnsi="仿宋" w:eastAsia="仿宋" w:cs="仿宋"/>
          <w:b/>
          <w:bCs/>
          <w:color w:val="auto"/>
          <w:highlight w:val="none"/>
        </w:rPr>
        <mc:AlternateContent>
          <mc:Choice Requires="wps">
            <w:drawing>
              <wp:anchor distT="0" distB="0" distL="114300" distR="114300" simplePos="0" relativeHeight="251704320" behindDoc="0" locked="0" layoutInCell="1" allowOverlap="1">
                <wp:simplePos x="0" y="0"/>
                <wp:positionH relativeFrom="column">
                  <wp:posOffset>-114300</wp:posOffset>
                </wp:positionH>
                <wp:positionV relativeFrom="paragraph">
                  <wp:posOffset>282575</wp:posOffset>
                </wp:positionV>
                <wp:extent cx="842645" cy="636905"/>
                <wp:effectExtent l="0" t="0" r="0" b="0"/>
                <wp:wrapNone/>
                <wp:docPr id="45" name="文本框 741"/>
                <wp:cNvGraphicFramePr/>
                <a:graphic xmlns:a="http://schemas.openxmlformats.org/drawingml/2006/main">
                  <a:graphicData uri="http://schemas.microsoft.com/office/word/2010/wordprocessingShape">
                    <wps:wsp>
                      <wps:cNvSpPr txBox="1"/>
                      <wps:spPr>
                        <a:xfrm>
                          <a:off x="0" y="0"/>
                          <a:ext cx="842645" cy="63690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承包人财产及其使用</w:t>
                            </w:r>
                          </w:p>
                        </w:txbxContent>
                      </wps:txbx>
                      <wps:bodyPr wrap="square" upright="1"/>
                    </wps:wsp>
                  </a:graphicData>
                </a:graphic>
              </wp:anchor>
            </w:drawing>
          </mc:Choice>
          <mc:Fallback>
            <w:pict>
              <v:shape id="文本框 741" o:spid="_x0000_s1026" o:spt="202" type="#_x0000_t202" style="position:absolute;left:0pt;margin-left:-9pt;margin-top:22.25pt;height:50.15pt;width:66.35pt;z-index:251704320;mso-width-relative:page;mso-height-relative:page;" filled="f" stroked="f" coordsize="21600,21600" o:gfxdata="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TqbmA1wAAAAoBAAAPAAAAAAAAAAEAIAAAACIAAABkcnMvZG93bnJldi54bWxQSwECFAAU&#10;AAAACACHTuJA2ctVtLkBAABeAwAADgAAAAAAAAABACAAAAAm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承包人财产及其使用</w:t>
                      </w:r>
                    </w:p>
                  </w:txbxContent>
                </v:textbox>
              </v:shape>
            </w:pict>
          </mc:Fallback>
        </mc:AlternateContent>
      </w:r>
      <w:r>
        <w:rPr>
          <w:rFonts w:hint="eastAsia" w:ascii="仿宋" w:hAnsi="仿宋" w:eastAsia="仿宋" w:cs="仿宋"/>
          <w:b/>
          <w:bCs/>
          <w:color w:val="auto"/>
          <w:highlight w:val="none"/>
          <w:lang w:eastAsia="zh-CN"/>
        </w:rPr>
        <w:t>21</w:t>
      </w:r>
      <w:r>
        <w:rPr>
          <w:rFonts w:ascii="仿宋" w:hAnsi="仿宋" w:eastAsia="仿宋" w:cs="仿宋"/>
          <w:b/>
          <w:bCs/>
          <w:color w:val="auto"/>
          <w:highlight w:val="none"/>
          <w:lang w:eastAsia="zh-CN"/>
        </w:rPr>
        <w:t>.3</w:t>
      </w:r>
      <w:bookmarkEnd w:id="37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如果承包人依据第92</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的情形解除合同，则承包人有权要求发包人支付已完工程款，并赔偿因此造成的损失。发包人应为承包人撤出现场提供便利和协助。如发包人未付完相关款项，承包人有权留置施工现场，直到发包人付完款项为止。</w:t>
      </w:r>
    </w:p>
    <w:p>
      <w:pPr>
        <w:pStyle w:val="22"/>
        <w:adjustRightInd w:val="0"/>
        <w:snapToGrid w:val="0"/>
        <w:spacing w:line="360" w:lineRule="auto"/>
        <w:rPr>
          <w:rFonts w:ascii="仿宋" w:hAnsi="仿宋" w:eastAsia="仿宋"/>
          <w:b/>
          <w:bCs/>
          <w:color w:val="auto"/>
          <w:kern w:val="2"/>
          <w:sz w:val="24"/>
          <w:szCs w:val="24"/>
          <w:highlight w:val="none"/>
          <w:lang w:eastAsia="zh-CN"/>
        </w:rPr>
      </w:pPr>
      <w:r>
        <w:rPr>
          <w:rFonts w:ascii="仿宋" w:hAnsi="仿宋" w:eastAsia="仿宋" w:cs="仿宋"/>
          <w:b/>
          <w:bCs/>
          <w:color w:val="auto"/>
          <w:sz w:val="24"/>
          <w:szCs w:val="24"/>
          <w:highlight w:val="none"/>
          <w:u w:val="single"/>
          <w:lang w:eastAsia="zh-CN"/>
        </w:rPr>
        <w:t xml:space="preserve">                                                                                      </w:t>
      </w:r>
    </w:p>
    <w:p>
      <w:pPr>
        <w:spacing w:line="360" w:lineRule="auto"/>
        <w:jc w:val="center"/>
        <w:outlineLvl w:val="1"/>
        <w:rPr>
          <w:rFonts w:ascii="仿宋" w:hAnsi="仿宋" w:eastAsia="仿宋"/>
          <w:b/>
          <w:bCs/>
          <w:color w:val="auto"/>
          <w:highlight w:val="none"/>
          <w:lang w:eastAsia="zh-CN"/>
        </w:rPr>
      </w:pPr>
      <w:bookmarkStart w:id="379" w:name="_Toc12079"/>
      <w:bookmarkStart w:id="380" w:name="_Toc20711"/>
      <w:bookmarkStart w:id="381" w:name="_Toc27552"/>
      <w:bookmarkStart w:id="382" w:name="_Toc28123"/>
      <w:bookmarkStart w:id="383" w:name="_Toc32677"/>
      <w:bookmarkStart w:id="384" w:name="_Toc31838"/>
      <w:bookmarkStart w:id="385" w:name="_Toc31908"/>
      <w:bookmarkStart w:id="386" w:name="_Toc14483"/>
      <w:r>
        <w:rPr>
          <w:rFonts w:hint="eastAsia" w:ascii="仿宋" w:hAnsi="仿宋" w:eastAsia="仿宋" w:cs="仿宋"/>
          <w:b/>
          <w:bCs/>
          <w:color w:val="auto"/>
          <w:highlight w:val="none"/>
          <w:lang w:eastAsia="zh-CN"/>
        </w:rPr>
        <w:t>二、合同主体</w:t>
      </w:r>
      <w:bookmarkEnd w:id="379"/>
      <w:bookmarkEnd w:id="380"/>
      <w:bookmarkEnd w:id="381"/>
      <w:bookmarkEnd w:id="382"/>
      <w:bookmarkEnd w:id="383"/>
      <w:bookmarkEnd w:id="384"/>
      <w:bookmarkEnd w:id="385"/>
      <w:bookmarkEnd w:id="386"/>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387" w:name="_Toc22658"/>
      <w:bookmarkStart w:id="388" w:name="_Toc31468"/>
      <w:bookmarkStart w:id="389" w:name="_Toc384"/>
      <w:bookmarkStart w:id="390" w:name="_Toc15320"/>
      <w:bookmarkStart w:id="391" w:name="_Toc19448"/>
      <w:bookmarkStart w:id="392" w:name="_Toc4094"/>
      <w:bookmarkStart w:id="393" w:name="_Toc20738"/>
      <w:bookmarkStart w:id="394" w:name="_Toc11517"/>
      <w:r>
        <w:rPr>
          <w:rFonts w:hint="eastAsia" w:ascii="仿宋" w:hAnsi="仿宋" w:eastAsia="仿宋" w:cs="仿宋"/>
          <w:color w:val="auto"/>
          <w:sz w:val="24"/>
          <w:szCs w:val="24"/>
          <w:highlight w:val="none"/>
          <w:lang w:eastAsia="zh-CN"/>
        </w:rPr>
        <w:t>22</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发包人</w:t>
      </w:r>
      <w:bookmarkEnd w:id="387"/>
      <w:bookmarkEnd w:id="388"/>
      <w:bookmarkEnd w:id="389"/>
      <w:bookmarkEnd w:id="390"/>
      <w:bookmarkEnd w:id="391"/>
      <w:bookmarkEnd w:id="392"/>
      <w:bookmarkEnd w:id="393"/>
      <w:bookmarkEnd w:id="394"/>
    </w:p>
    <w:p>
      <w:pPr>
        <w:tabs>
          <w:tab w:val="left" w:pos="1620"/>
        </w:tabs>
        <w:ind w:left="-2" w:leftChars="-1" w:firstLine="1"/>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22</w:t>
      </w:r>
      <w:r>
        <w:rPr>
          <w:rFonts w:ascii="仿宋" w:hAnsi="仿宋" w:eastAsia="仿宋" w:cs="仿宋"/>
          <w:b/>
          <w:bCs/>
          <w:color w:val="auto"/>
          <w:highlight w:val="none"/>
          <w:lang w:eastAsia="zh-CN"/>
        </w:rPr>
        <w:t>.1</w:t>
      </w:r>
    </w:p>
    <w:p>
      <w:pPr>
        <w:widowControl w:val="0"/>
        <w:tabs>
          <w:tab w:val="left" w:pos="162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05344" behindDoc="0" locked="0" layoutInCell="1" allowOverlap="1">
                <wp:simplePos x="0" y="0"/>
                <wp:positionH relativeFrom="column">
                  <wp:posOffset>-114300</wp:posOffset>
                </wp:positionH>
                <wp:positionV relativeFrom="paragraph">
                  <wp:posOffset>4445</wp:posOffset>
                </wp:positionV>
                <wp:extent cx="871855" cy="451485"/>
                <wp:effectExtent l="0" t="0" r="0" b="0"/>
                <wp:wrapNone/>
                <wp:docPr id="46" name="文本框 742"/>
                <wp:cNvGraphicFramePr/>
                <a:graphic xmlns:a="http://schemas.openxmlformats.org/drawingml/2006/main">
                  <a:graphicData uri="http://schemas.microsoft.com/office/word/2010/wordprocessingShape">
                    <wps:wsp>
                      <wps:cNvSpPr txBox="1"/>
                      <wps:spPr>
                        <a:xfrm>
                          <a:off x="0" y="0"/>
                          <a:ext cx="871855" cy="45148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遵守法律</w:t>
                            </w:r>
                          </w:p>
                        </w:txbxContent>
                      </wps:txbx>
                      <wps:bodyPr wrap="square" upright="1"/>
                    </wps:wsp>
                  </a:graphicData>
                </a:graphic>
              </wp:anchor>
            </w:drawing>
          </mc:Choice>
          <mc:Fallback>
            <w:pict>
              <v:shape id="文本框 742" o:spid="_x0000_s1026" o:spt="202" type="#_x0000_t202" style="position:absolute;left:0pt;margin-left:-9pt;margin-top:0.35pt;height:35.55pt;width:68.65pt;z-index:251705344;mso-width-relative:page;mso-height-relative:page;" filled="f" stroked="f" coordsize="21600,21600" o:gfxdata="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cNR/81AAAAAcBAAAPAAAAAAAAAAEAIAAAACIAAABkcnMvZG93bnJldi54bWxQSwECFAAUAAAA&#10;CACHTuJAv+fEubkBAABeAwAADgAAAAAAAAABACAAAAAjAQAAZHJzL2Uyb0RvYy54bWxQSwUGAAAA&#10;AAYABgBZAQAATg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遵守法律</w:t>
                      </w:r>
                    </w:p>
                  </w:txbxContent>
                </v:textbox>
              </v:shape>
            </w:pict>
          </mc:Fallback>
        </mc:AlternateContent>
      </w:r>
      <w:r>
        <w:rPr>
          <w:rFonts w:hint="eastAsia" w:ascii="仿宋" w:hAnsi="仿宋" w:eastAsia="仿宋" w:cs="仿宋"/>
          <w:color w:val="auto"/>
          <w:highlight w:val="none"/>
          <w:lang w:eastAsia="zh-CN"/>
        </w:rPr>
        <w:t>发包人在履行合同期间应遵守法律，并保证承包人免于承担因发包人违反法律而引起的任何责任；遵守国家、省、市有关社会信用体系建设工作的法律、行政法规、规章、规范性文件，严格执行信用承诺制度，违背信用承诺约定时，承担违约责任，并依法承担相应法律责任。</w:t>
      </w:r>
    </w:p>
    <w:p>
      <w:pPr>
        <w:spacing w:line="360" w:lineRule="auto"/>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22</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06368" behindDoc="0" locked="0" layoutInCell="1" allowOverlap="1">
                <wp:simplePos x="0" y="0"/>
                <wp:positionH relativeFrom="column">
                  <wp:posOffset>-114300</wp:posOffset>
                </wp:positionH>
                <wp:positionV relativeFrom="paragraph">
                  <wp:posOffset>4445</wp:posOffset>
                </wp:positionV>
                <wp:extent cx="880110" cy="470535"/>
                <wp:effectExtent l="0" t="0" r="0" b="0"/>
                <wp:wrapNone/>
                <wp:docPr id="47" name="文本框 743"/>
                <wp:cNvGraphicFramePr/>
                <a:graphic xmlns:a="http://schemas.openxmlformats.org/drawingml/2006/main">
                  <a:graphicData uri="http://schemas.microsoft.com/office/word/2010/wordprocessingShape">
                    <wps:wsp>
                      <wps:cNvSpPr txBox="1"/>
                      <wps:spPr>
                        <a:xfrm>
                          <a:off x="0" y="0"/>
                          <a:ext cx="880110" cy="47053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发包人工作</w:t>
                            </w:r>
                          </w:p>
                        </w:txbxContent>
                      </wps:txbx>
                      <wps:bodyPr wrap="square" upright="1"/>
                    </wps:wsp>
                  </a:graphicData>
                </a:graphic>
              </wp:anchor>
            </w:drawing>
          </mc:Choice>
          <mc:Fallback>
            <w:pict>
              <v:shape id="文本框 743" o:spid="_x0000_s1026" o:spt="202" type="#_x0000_t202" style="position:absolute;left:0pt;margin-left:-9pt;margin-top:0.35pt;height:37.05pt;width:69.3pt;z-index:251706368;mso-width-relative:page;mso-height-relative:page;" filled="f" stroked="f" coordsize="21600,21600" o:gfxdata="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e60px1AAAAAcBAAAPAAAAAAAAAAEAIAAAACIAAABkcnMvZG93bnJldi54bWxQSwECFAAUAAAA&#10;CACHTuJAOb6s8bkBAABeAwAADgAAAAAAAAABACAAAAAjAQAAZHJzL2Uyb0RvYy54bWxQSwUGAAAA&#10;AAYABgBZAQAATg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发包人工作</w:t>
                      </w:r>
                    </w:p>
                  </w:txbxContent>
                </v:textbox>
              </v:shape>
            </w:pict>
          </mc:Fallback>
        </mc:AlternateContent>
      </w:r>
      <w:r>
        <w:rPr>
          <w:rFonts w:hint="eastAsia" w:ascii="仿宋" w:hAnsi="仿宋" w:eastAsia="仿宋" w:cs="仿宋"/>
          <w:color w:val="auto"/>
          <w:highlight w:val="none"/>
          <w:lang w:eastAsia="zh-CN"/>
        </w:rPr>
        <w:t>发包人应按照合同约定完成下列工作：</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发包人应按第6条约定向承包人提供《发包人要求》和项目基础资料，并为承包人收集其他有关资料提供必要的协助；</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及时接收承包人提交的勘察报告、设计文件、建筑信息模型（BIM）等成果资料和合理化建议；及时组织对承包人提交的勘察报告、设计文件、建筑信息模型（BIM）、合理化建议等进行审查，并反馈审查意见；需要政府、行业主管部门或施工图审查机构审查的设计文件，及时送审；</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按照专用条款约定的时间向承包人提供一式两份约定的标准与规范（国家、省及地方颁布的标准规范除外）；</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办理土地征用、拆迁等工作，使施工场地（含勘察施工场地）具备施工条件，并在开工后继续负责解决上述工作遗留的问题；</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将施工所需水、电、通讯线路从施工场地（含勘察施工场地）外部接驳至专用条款约定的地点，保证施工期间的需要；</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开通施工场地与城乡公共道路间的通道，满足第</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6条交通运输的需要；</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办理施工许可及其他所需证件、批准文件和办理临时用地、停水、停电、中断道路交通、爆破作业等的申请批准手续（承包人自身施工资质的证件除外）；</w:t>
      </w:r>
    </w:p>
    <w:p>
      <w:pPr>
        <w:widowControl w:val="0"/>
        <w:numPr>
          <w:ilvl w:val="0"/>
          <w:numId w:val="3"/>
        </w:numPr>
        <w:tabs>
          <w:tab w:val="clear" w:pos="111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确定水准点与坐标控制点，组织现场交验并以书面形式移交给承包人；</w:t>
      </w:r>
    </w:p>
    <w:p>
      <w:pPr>
        <w:widowControl w:val="0"/>
        <w:numPr>
          <w:ilvl w:val="0"/>
          <w:numId w:val="3"/>
        </w:numPr>
        <w:tabs>
          <w:tab w:val="left" w:pos="1470"/>
          <w:tab w:val="left" w:pos="1980"/>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协调处理施工场地周围地形关系问题和做好邻近建筑物、构筑物（包括文物保护建筑）、古树名木等的保护工作；</w:t>
      </w:r>
    </w:p>
    <w:p>
      <w:pPr>
        <w:widowControl w:val="0"/>
        <w:numPr>
          <w:ilvl w:val="0"/>
          <w:numId w:val="3"/>
        </w:numPr>
        <w:tabs>
          <w:tab w:val="left" w:pos="1470"/>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及时接收已完工程，并按照合同约定及时支付工程款及其他各种款项。</w:t>
      </w:r>
    </w:p>
    <w:p>
      <w:pPr>
        <w:widowControl w:val="0"/>
        <w:numPr>
          <w:ilvl w:val="0"/>
          <w:numId w:val="3"/>
        </w:numPr>
        <w:tabs>
          <w:tab w:val="left" w:pos="1470"/>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其它。</w:t>
      </w:r>
    </w:p>
    <w:p>
      <w:pPr>
        <w:pStyle w:val="25"/>
        <w:widowControl w:val="0"/>
        <w:tabs>
          <w:tab w:val="left" w:pos="1980"/>
        </w:tabs>
        <w:ind w:left="1850" w:leftChars="771" w:firstLine="0" w:firstLineChars="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发包人可将其中部分工作委托给承包人办理，具体由合同双方当事人在专用条款中约定。除合同价格已包括外，由发包人承担所需费用，并向承包人支付合理利润。</w:t>
      </w:r>
    </w:p>
    <w:p>
      <w:pPr>
        <w:spacing w:line="360" w:lineRule="auto"/>
        <w:rPr>
          <w:rFonts w:ascii="仿宋" w:hAnsi="仿宋" w:eastAsia="仿宋"/>
          <w:color w:val="auto"/>
          <w:highlight w:val="none"/>
          <w:lang w:eastAsia="zh-CN"/>
        </w:rPr>
      </w:pPr>
      <w:bookmarkStart w:id="395" w:name="_Toc2811"/>
      <w:r>
        <w:rPr>
          <w:rFonts w:hint="eastAsia" w:ascii="仿宋" w:hAnsi="仿宋" w:eastAsia="仿宋" w:cs="仿宋"/>
          <w:b/>
          <w:bCs/>
          <w:color w:val="auto"/>
          <w:highlight w:val="none"/>
          <w:lang w:eastAsia="zh-CN"/>
        </w:rPr>
        <w:t>22</w:t>
      </w:r>
      <w:r>
        <w:rPr>
          <w:rFonts w:ascii="仿宋" w:hAnsi="仿宋" w:eastAsia="仿宋" w:cs="仿宋"/>
          <w:b/>
          <w:bCs/>
          <w:color w:val="auto"/>
          <w:highlight w:val="none"/>
          <w:lang w:eastAsia="zh-CN"/>
        </w:rPr>
        <w:t>.3</w:t>
      </w:r>
      <w:bookmarkEnd w:id="395"/>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07392" behindDoc="0" locked="0" layoutInCell="1" allowOverlap="1">
                <wp:simplePos x="0" y="0"/>
                <wp:positionH relativeFrom="column">
                  <wp:posOffset>-114300</wp:posOffset>
                </wp:positionH>
                <wp:positionV relativeFrom="paragraph">
                  <wp:posOffset>0</wp:posOffset>
                </wp:positionV>
                <wp:extent cx="784860" cy="473710"/>
                <wp:effectExtent l="0" t="0" r="0" b="0"/>
                <wp:wrapNone/>
                <wp:docPr id="48" name="文本框 744"/>
                <wp:cNvGraphicFramePr/>
                <a:graphic xmlns:a="http://schemas.openxmlformats.org/drawingml/2006/main">
                  <a:graphicData uri="http://schemas.microsoft.com/office/word/2010/wordprocessingShape">
                    <wps:wsp>
                      <wps:cNvSpPr txBox="1"/>
                      <wps:spPr>
                        <a:xfrm>
                          <a:off x="0" y="0"/>
                          <a:ext cx="784860" cy="47371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发包人提供施工场地</w:t>
                            </w:r>
                          </w:p>
                        </w:txbxContent>
                      </wps:txbx>
                      <wps:bodyPr wrap="square" upright="1"/>
                    </wps:wsp>
                  </a:graphicData>
                </a:graphic>
              </wp:anchor>
            </w:drawing>
          </mc:Choice>
          <mc:Fallback>
            <w:pict>
              <v:shape id="文本框 744" o:spid="_x0000_s1026" o:spt="202" type="#_x0000_t202" style="position:absolute;left:0pt;margin-left:-9pt;margin-top:0pt;height:37.3pt;width:61.8pt;z-index:251707392;mso-width-relative:page;mso-height-relative:page;" filled="f" stroked="f" coordsize="21600,21600" o:gfxdata="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wGXqeNUAAAAHAQAADwAAAAAAAAABACAAAAAiAAAAZHJzL2Rvd25yZXYueG1sUEsBAhQAFAAA&#10;AAgAh07iQBC2S0u5AQAAXgMAAA4AAAAAAAAAAQAgAAAAJA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发包人提供施工场地</w:t>
                      </w:r>
                    </w:p>
                  </w:txbxContent>
                </v:textbox>
              </v:shape>
            </w:pict>
          </mc:Fallback>
        </mc:AlternateContent>
      </w:r>
      <w:r>
        <w:rPr>
          <w:rFonts w:hint="eastAsia" w:ascii="仿宋" w:hAnsi="仿宋" w:eastAsia="仿宋" w:cs="仿宋"/>
          <w:color w:val="auto"/>
          <w:highlight w:val="none"/>
          <w:lang w:eastAsia="zh-CN"/>
        </w:rPr>
        <w:t>发包人应按照专用条款约定的时间提供施工场地（含勘察施工场地），并在确保承包人按照计划进度顺利开工的时间内给予承包人进入和使用施工场地的权利。</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发包人保留其工作人员和相关政府执法人员进入和使用施工场地的权利。</w:t>
      </w:r>
    </w:p>
    <w:p>
      <w:pPr>
        <w:spacing w:line="360" w:lineRule="auto"/>
        <w:rPr>
          <w:rFonts w:ascii="仿宋" w:hAnsi="仿宋" w:eastAsia="仿宋"/>
          <w:b/>
          <w:bCs/>
          <w:color w:val="auto"/>
          <w:highlight w:val="none"/>
          <w:lang w:eastAsia="zh-CN"/>
        </w:rPr>
      </w:pPr>
      <w:bookmarkStart w:id="396" w:name="_Toc23044"/>
      <w:r>
        <w:rPr>
          <w:color w:val="auto"/>
          <w:highlight w:val="none"/>
        </w:rPr>
        <mc:AlternateContent>
          <mc:Choice Requires="wps">
            <w:drawing>
              <wp:anchor distT="0" distB="0" distL="114300" distR="114300" simplePos="0" relativeHeight="251708416" behindDoc="0" locked="0" layoutInCell="1" allowOverlap="1">
                <wp:simplePos x="0" y="0"/>
                <wp:positionH relativeFrom="column">
                  <wp:posOffset>-114300</wp:posOffset>
                </wp:positionH>
                <wp:positionV relativeFrom="paragraph">
                  <wp:posOffset>220980</wp:posOffset>
                </wp:positionV>
                <wp:extent cx="794385" cy="252730"/>
                <wp:effectExtent l="0" t="0" r="0" b="0"/>
                <wp:wrapNone/>
                <wp:docPr id="49" name="文本框 745"/>
                <wp:cNvGraphicFramePr/>
                <a:graphic xmlns:a="http://schemas.openxmlformats.org/drawingml/2006/main">
                  <a:graphicData uri="http://schemas.microsoft.com/office/word/2010/wordprocessingShape">
                    <wps:wsp>
                      <wps:cNvSpPr txBox="1"/>
                      <wps:spPr>
                        <a:xfrm>
                          <a:off x="0" y="0"/>
                          <a:ext cx="794385" cy="25273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发包人支付款项</w:t>
                            </w:r>
                          </w:p>
                        </w:txbxContent>
                      </wps:txbx>
                      <wps:bodyPr wrap="square" upright="1"/>
                    </wps:wsp>
                  </a:graphicData>
                </a:graphic>
              </wp:anchor>
            </w:drawing>
          </mc:Choice>
          <mc:Fallback>
            <w:pict>
              <v:shape id="文本框 745" o:spid="_x0000_s1026" o:spt="202" type="#_x0000_t202" style="position:absolute;left:0pt;margin-left:-9pt;margin-top:17.4pt;height:19.9pt;width:62.55pt;z-index:251708416;mso-width-relative:page;mso-height-relative:page;" filled="f" stroked="f" coordsize="21600,21600" o:gfxdata="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0D+7fXAAAACQEAAA8AAAAAAAAAAQAgAAAAIgAAAGRycy9kb3ducmV2LnhtbFBLAQIU&#10;ABQAAAAIAIdO4kAkq7sLuwEAAF4DAAAOAAAAAAAAAAEAIAAAACYBAABkcnMvZTJvRG9jLnhtbFBL&#10;BQYAAAAABgAGAFkBAABT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发包人支付款项</w:t>
                      </w:r>
                    </w:p>
                  </w:txbxContent>
                </v:textbox>
              </v:shape>
            </w:pict>
          </mc:Fallback>
        </mc:AlternateContent>
      </w:r>
      <w:r>
        <w:rPr>
          <w:rFonts w:hint="eastAsia" w:ascii="仿宋" w:hAnsi="仿宋" w:eastAsia="仿宋" w:cs="仿宋"/>
          <w:b/>
          <w:bCs/>
          <w:color w:val="auto"/>
          <w:highlight w:val="none"/>
          <w:lang w:eastAsia="zh-CN"/>
        </w:rPr>
        <w:t>22</w:t>
      </w:r>
      <w:r>
        <w:rPr>
          <w:rFonts w:ascii="仿宋" w:hAnsi="仿宋" w:eastAsia="仿宋" w:cs="仿宋"/>
          <w:b/>
          <w:bCs/>
          <w:color w:val="auto"/>
          <w:highlight w:val="none"/>
          <w:lang w:eastAsia="zh-CN"/>
        </w:rPr>
        <w:t>.4</w:t>
      </w:r>
      <w:bookmarkEnd w:id="39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发包人应按照合同约定的期限和方式向承包人支付工程款及其他应支付的款项。</w:t>
      </w:r>
    </w:p>
    <w:p>
      <w:pPr>
        <w:spacing w:line="360" w:lineRule="auto"/>
        <w:rPr>
          <w:rFonts w:ascii="仿宋" w:hAnsi="仿宋" w:eastAsia="仿宋"/>
          <w:b/>
          <w:bCs/>
          <w:color w:val="auto"/>
          <w:highlight w:val="none"/>
          <w:lang w:eastAsia="zh-CN"/>
        </w:rPr>
      </w:pPr>
      <w:bookmarkStart w:id="397" w:name="_Toc13889"/>
      <w:r>
        <w:rPr>
          <w:rFonts w:hint="eastAsia" w:ascii="仿宋" w:hAnsi="仿宋" w:eastAsia="仿宋" w:cs="仿宋"/>
          <w:b/>
          <w:bCs/>
          <w:color w:val="auto"/>
          <w:highlight w:val="none"/>
          <w:lang w:eastAsia="zh-CN"/>
        </w:rPr>
        <w:t>22</w:t>
      </w:r>
      <w:r>
        <w:rPr>
          <w:rFonts w:ascii="仿宋" w:hAnsi="仿宋" w:eastAsia="仿宋" w:cs="仿宋"/>
          <w:b/>
          <w:bCs/>
          <w:color w:val="auto"/>
          <w:highlight w:val="none"/>
          <w:lang w:eastAsia="zh-CN"/>
        </w:rPr>
        <w:t>.5</w:t>
      </w:r>
      <w:bookmarkEnd w:id="39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09440" behindDoc="0" locked="0" layoutInCell="1" allowOverlap="1">
                <wp:simplePos x="0" y="0"/>
                <wp:positionH relativeFrom="column">
                  <wp:posOffset>-114300</wp:posOffset>
                </wp:positionH>
                <wp:positionV relativeFrom="paragraph">
                  <wp:posOffset>15240</wp:posOffset>
                </wp:positionV>
                <wp:extent cx="794385" cy="507365"/>
                <wp:effectExtent l="0" t="0" r="0" b="0"/>
                <wp:wrapNone/>
                <wp:docPr id="50" name="文本框 746"/>
                <wp:cNvGraphicFramePr/>
                <a:graphic xmlns:a="http://schemas.openxmlformats.org/drawingml/2006/main">
                  <a:graphicData uri="http://schemas.microsoft.com/office/word/2010/wordprocessingShape">
                    <wps:wsp>
                      <wps:cNvSpPr txBox="1"/>
                      <wps:spPr>
                        <a:xfrm>
                          <a:off x="0" y="0"/>
                          <a:ext cx="794385" cy="50736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发包人组织竣工验收</w:t>
                            </w:r>
                          </w:p>
                        </w:txbxContent>
                      </wps:txbx>
                      <wps:bodyPr wrap="square" upright="1"/>
                    </wps:wsp>
                  </a:graphicData>
                </a:graphic>
              </wp:anchor>
            </w:drawing>
          </mc:Choice>
          <mc:Fallback>
            <w:pict>
              <v:shape id="文本框 746" o:spid="_x0000_s1026" o:spt="202" type="#_x0000_t202" style="position:absolute;left:0pt;margin-left:-9pt;margin-top:1.2pt;height:39.95pt;width:62.55pt;z-index:251709440;mso-width-relative:page;mso-height-relative:page;" filled="f" stroked="f" coordsize="21600,21600" o:gfxdata="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FT2bWAAAACAEAAA8AAAAAAAAAAQAgAAAAIgAAAGRycy9kb3ducmV2LnhtbFBLAQIUABQA&#10;AAAIAIdO4kBUxU3huQEAAF4DAAAOAAAAAAAAAAEAIAAAACU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发包人组织竣工验收</w:t>
                      </w:r>
                    </w:p>
                  </w:txbxContent>
                </v:textbox>
              </v:shape>
            </w:pict>
          </mc:Fallback>
        </mc:AlternateContent>
      </w:r>
      <w:r>
        <w:rPr>
          <w:rFonts w:hint="eastAsia" w:ascii="仿宋" w:hAnsi="仿宋" w:eastAsia="仿宋" w:cs="仿宋"/>
          <w:color w:val="auto"/>
          <w:highlight w:val="none"/>
          <w:lang w:eastAsia="zh-CN"/>
        </w:rPr>
        <w:t>发包人应按照第65条约定组织承包人、设计顾问人、监理人和造价咨询人等进行竣工验收。</w:t>
      </w:r>
    </w:p>
    <w:p>
      <w:pPr>
        <w:spacing w:line="360" w:lineRule="auto"/>
        <w:rPr>
          <w:rFonts w:ascii="仿宋" w:hAnsi="仿宋" w:eastAsia="仿宋"/>
          <w:b/>
          <w:bCs/>
          <w:color w:val="auto"/>
          <w:highlight w:val="none"/>
          <w:lang w:eastAsia="zh-CN"/>
        </w:rPr>
      </w:pPr>
      <w:bookmarkStart w:id="398" w:name="_Toc22320"/>
      <w:r>
        <w:rPr>
          <w:color w:val="auto"/>
          <w:highlight w:val="none"/>
        </w:rPr>
        <mc:AlternateContent>
          <mc:Choice Requires="wps">
            <w:drawing>
              <wp:anchor distT="0" distB="0" distL="114300" distR="114300" simplePos="0" relativeHeight="251710464" behindDoc="0" locked="0" layoutInCell="1" allowOverlap="1">
                <wp:simplePos x="0" y="0"/>
                <wp:positionH relativeFrom="column">
                  <wp:posOffset>-114300</wp:posOffset>
                </wp:positionH>
                <wp:positionV relativeFrom="paragraph">
                  <wp:posOffset>273050</wp:posOffset>
                </wp:positionV>
                <wp:extent cx="803275" cy="681990"/>
                <wp:effectExtent l="0" t="0" r="0" b="0"/>
                <wp:wrapNone/>
                <wp:docPr id="51" name="文本框 747"/>
                <wp:cNvGraphicFramePr/>
                <a:graphic xmlns:a="http://schemas.openxmlformats.org/drawingml/2006/main">
                  <a:graphicData uri="http://schemas.microsoft.com/office/word/2010/wordprocessingShape">
                    <wps:wsp>
                      <wps:cNvSpPr txBox="1"/>
                      <wps:spPr>
                        <a:xfrm>
                          <a:off x="0" y="0"/>
                          <a:ext cx="803275" cy="681990"/>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发包人供应工程材料和工程设备要求</w:t>
                            </w:r>
                          </w:p>
                        </w:txbxContent>
                      </wps:txbx>
                      <wps:bodyPr wrap="square" upright="1"/>
                    </wps:wsp>
                  </a:graphicData>
                </a:graphic>
              </wp:anchor>
            </w:drawing>
          </mc:Choice>
          <mc:Fallback>
            <w:pict>
              <v:shape id="文本框 747" o:spid="_x0000_s1026" o:spt="202" type="#_x0000_t202" style="position:absolute;left:0pt;margin-left:-9pt;margin-top:21.5pt;height:53.7pt;width:63.25pt;z-index:251710464;mso-width-relative:page;mso-height-relative:page;" filled="f" stroked="f" coordsize="21600,21600" o:gfxdata="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7TBY/XAAAACgEAAA8AAAAAAAAAAQAgAAAAIgAAAGRycy9kb3ducmV2LnhtbFBLAQIU&#10;ABQAAAAIAIdO4kAyKb0xuwEAAF4DAAAOAAAAAAAAAAEAIAAAACYBAABkcnMvZTJvRG9jLnhtbFBL&#10;BQYAAAAABgAGAFkBAABTBQ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发包人供应工程材料和工程设备要求</w:t>
                      </w:r>
                    </w:p>
                  </w:txbxContent>
                </v:textbox>
              </v:shape>
            </w:pict>
          </mc:Fallback>
        </mc:AlternateContent>
      </w:r>
      <w:r>
        <w:rPr>
          <w:rFonts w:hint="eastAsia" w:ascii="仿宋" w:hAnsi="仿宋" w:eastAsia="仿宋" w:cs="仿宋"/>
          <w:b/>
          <w:bCs/>
          <w:color w:val="auto"/>
          <w:highlight w:val="none"/>
          <w:lang w:eastAsia="zh-CN"/>
        </w:rPr>
        <w:t>22</w:t>
      </w:r>
      <w:r>
        <w:rPr>
          <w:rFonts w:ascii="仿宋" w:hAnsi="仿宋" w:eastAsia="仿宋" w:cs="仿宋"/>
          <w:b/>
          <w:bCs/>
          <w:color w:val="auto"/>
          <w:highlight w:val="none"/>
          <w:lang w:eastAsia="zh-CN"/>
        </w:rPr>
        <w:t>.6</w:t>
      </w:r>
      <w:bookmarkEnd w:id="39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发包人供应工程材料和工程设备的，发包人应按照第55条约定向承包人提供工程材料和工程设备。</w:t>
      </w:r>
    </w:p>
    <w:p>
      <w:pPr>
        <w:spacing w:line="360" w:lineRule="auto"/>
        <w:rPr>
          <w:rFonts w:ascii="仿宋" w:hAnsi="仿宋" w:eastAsia="仿宋"/>
          <w:b/>
          <w:bCs/>
          <w:color w:val="auto"/>
          <w:highlight w:val="none"/>
          <w:lang w:eastAsia="zh-CN"/>
        </w:rPr>
      </w:pPr>
      <w:bookmarkStart w:id="399" w:name="_Toc24160"/>
      <w:r>
        <w:rPr>
          <w:rFonts w:hint="eastAsia" w:ascii="仿宋" w:hAnsi="仿宋" w:eastAsia="仿宋" w:cs="仿宋"/>
          <w:b/>
          <w:bCs/>
          <w:color w:val="auto"/>
          <w:highlight w:val="none"/>
          <w:lang w:eastAsia="zh-CN"/>
        </w:rPr>
        <w:t>22</w:t>
      </w:r>
      <w:r>
        <w:rPr>
          <w:rFonts w:ascii="仿宋" w:hAnsi="仿宋" w:eastAsia="仿宋" w:cs="仿宋"/>
          <w:b/>
          <w:bCs/>
          <w:color w:val="auto"/>
          <w:highlight w:val="none"/>
          <w:lang w:eastAsia="zh-CN"/>
        </w:rPr>
        <w:t>.7</w:t>
      </w:r>
      <w:bookmarkEnd w:id="39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11488" behindDoc="0" locked="0" layoutInCell="1" allowOverlap="1">
                <wp:simplePos x="0" y="0"/>
                <wp:positionH relativeFrom="column">
                  <wp:posOffset>-114300</wp:posOffset>
                </wp:positionH>
                <wp:positionV relativeFrom="paragraph">
                  <wp:posOffset>0</wp:posOffset>
                </wp:positionV>
                <wp:extent cx="842645" cy="425450"/>
                <wp:effectExtent l="0" t="0" r="0" b="0"/>
                <wp:wrapNone/>
                <wp:docPr id="52" name="文本框 748"/>
                <wp:cNvGraphicFramePr/>
                <a:graphic xmlns:a="http://schemas.openxmlformats.org/drawingml/2006/main">
                  <a:graphicData uri="http://schemas.microsoft.com/office/word/2010/wordprocessingShape">
                    <wps:wsp>
                      <wps:cNvSpPr txBox="1"/>
                      <wps:spPr>
                        <a:xfrm>
                          <a:off x="0" y="0"/>
                          <a:ext cx="842645" cy="425450"/>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发包人未尽义务的责任</w:t>
                            </w:r>
                          </w:p>
                        </w:txbxContent>
                      </wps:txbx>
                      <wps:bodyPr wrap="square" upright="1"/>
                    </wps:wsp>
                  </a:graphicData>
                </a:graphic>
              </wp:anchor>
            </w:drawing>
          </mc:Choice>
          <mc:Fallback>
            <w:pict>
              <v:shape id="文本框 748" o:spid="_x0000_s1026" o:spt="202" type="#_x0000_t202" style="position:absolute;left:0pt;margin-left:-9pt;margin-top:0pt;height:33.5pt;width:66.35pt;z-index:251711488;mso-width-relative:page;mso-height-relative:page;" filled="f" stroked="f" coordsize="21600,21600" o:gfxdata="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P+fe9nVAAAABwEAAA8AAAAAAAAAAQAgAAAAIgAAAGRycy9kb3ducmV2LnhtbFBLAQIUABQA&#10;AAAIAIdO4kCBzS5BugEAAF4DAAAOAAAAAAAAAAEAIAAAACQBAABkcnMvZTJvRG9jLnhtbFBLBQYA&#10;AAAABgAGAFkBAABQBQ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发包人未尽义务的责任</w:t>
                      </w:r>
                    </w:p>
                  </w:txbxContent>
                </v:textbox>
              </v:shape>
            </w:pict>
          </mc:Fallback>
        </mc:AlternateContent>
      </w:r>
      <w:r>
        <w:rPr>
          <w:rFonts w:hint="eastAsia" w:ascii="仿宋" w:hAnsi="仿宋" w:eastAsia="仿宋" w:cs="仿宋"/>
          <w:color w:val="auto"/>
          <w:highlight w:val="none"/>
          <w:lang w:eastAsia="zh-CN"/>
        </w:rPr>
        <w:t>发包人未能正确完成本合同约定的全部义务，导致费用的增加和（或）延误的工期，由发包人承担；给承包人造成损失的，发包人应予赔偿。</w:t>
      </w:r>
    </w:p>
    <w:p>
      <w:pPr>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400" w:name="_Toc17490"/>
      <w:bookmarkStart w:id="401" w:name="_Toc28229"/>
      <w:bookmarkStart w:id="402" w:name="_Toc14662"/>
      <w:bookmarkStart w:id="403" w:name="_Toc3394"/>
      <w:bookmarkStart w:id="404" w:name="_Toc31142"/>
      <w:bookmarkStart w:id="405" w:name="_Toc21460"/>
      <w:bookmarkStart w:id="406" w:name="_Toc24670"/>
      <w:bookmarkStart w:id="407" w:name="_Toc31710"/>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3</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承包人</w:t>
      </w:r>
      <w:bookmarkEnd w:id="400"/>
      <w:bookmarkEnd w:id="401"/>
      <w:bookmarkEnd w:id="402"/>
      <w:bookmarkEnd w:id="403"/>
      <w:bookmarkEnd w:id="404"/>
      <w:bookmarkEnd w:id="405"/>
      <w:bookmarkEnd w:id="406"/>
      <w:bookmarkEnd w:id="407"/>
    </w:p>
    <w:p>
      <w:pPr>
        <w:tabs>
          <w:tab w:val="left" w:pos="1620"/>
        </w:tabs>
        <w:spacing w:line="360" w:lineRule="auto"/>
        <w:rPr>
          <w:rFonts w:ascii="仿宋" w:hAnsi="仿宋" w:eastAsia="仿宋"/>
          <w:b/>
          <w:bCs/>
          <w:color w:val="auto"/>
          <w:highlight w:val="none"/>
          <w:lang w:eastAsia="zh-CN"/>
        </w:rPr>
      </w:pPr>
      <w:bookmarkStart w:id="408" w:name="_Toc1505"/>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.1</w:t>
      </w:r>
      <w:bookmarkEnd w:id="408"/>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12512" behindDoc="0" locked="0" layoutInCell="1" allowOverlap="1">
                <wp:simplePos x="0" y="0"/>
                <wp:positionH relativeFrom="column">
                  <wp:posOffset>-114300</wp:posOffset>
                </wp:positionH>
                <wp:positionV relativeFrom="paragraph">
                  <wp:posOffset>4445</wp:posOffset>
                </wp:positionV>
                <wp:extent cx="718820" cy="356235"/>
                <wp:effectExtent l="0" t="0" r="0" b="0"/>
                <wp:wrapNone/>
                <wp:docPr id="53" name="文本框 749"/>
                <wp:cNvGraphicFramePr/>
                <a:graphic xmlns:a="http://schemas.openxmlformats.org/drawingml/2006/main">
                  <a:graphicData uri="http://schemas.microsoft.com/office/word/2010/wordprocessingShape">
                    <wps:wsp>
                      <wps:cNvSpPr txBox="1"/>
                      <wps:spPr>
                        <a:xfrm>
                          <a:off x="0" y="0"/>
                          <a:ext cx="718820" cy="35623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遵守法律</w:t>
                            </w:r>
                          </w:p>
                        </w:txbxContent>
                      </wps:txbx>
                      <wps:bodyPr wrap="square" upright="1"/>
                    </wps:wsp>
                  </a:graphicData>
                </a:graphic>
              </wp:anchor>
            </w:drawing>
          </mc:Choice>
          <mc:Fallback>
            <w:pict>
              <v:shape id="文本框 749" o:spid="_x0000_s1026" o:spt="202" type="#_x0000_t202" style="position:absolute;left:0pt;margin-left:-9pt;margin-top:0.35pt;height:28.05pt;width:56.6pt;z-index:251712512;mso-width-relative:page;mso-height-relative:page;" filled="f" stroked="f" coordsize="21600,21600" o:gfxdata="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zbh4PNUAAAAGAQAADwAAAAAAAAABACAAAAAiAAAAZHJzL2Rvd25yZXYueG1sUEsBAhQAFAAA&#10;AAgAh07iQMGbyQq5AQAAXgMAAA4AAAAAAAAAAQAgAAAAJA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遵守法律</w:t>
                      </w:r>
                    </w:p>
                  </w:txbxContent>
                </v:textbox>
              </v:shape>
            </w:pict>
          </mc:Fallback>
        </mc:AlternateContent>
      </w:r>
      <w:r>
        <w:rPr>
          <w:rFonts w:hint="eastAsia" w:ascii="仿宋" w:hAnsi="仿宋" w:eastAsia="仿宋" w:cs="仿宋"/>
          <w:color w:val="auto"/>
          <w:highlight w:val="none"/>
          <w:lang w:eastAsia="zh-CN"/>
        </w:rPr>
        <w:t>承包人在履行合同期间应遵守法律，并保证发包人免于承担因承包人违反法律而引起的任何责任。遵守国家、省、市有关社会信用体系建设工作的法律、行政法规、部门规章，严格执行信用承诺制度，违背信用承诺约定时，承担违约责任，并依法承担相应法律责任。</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承包人在本项目中存在下列行为的，将被拒绝参与发包人后续工程投标。拒绝投标时限由发包人（招标人）视严重程度确定，并在专用条款中约定。</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（1）将中标工程转包或者违法分包的；</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（2）在中标工程中不执行质量、安全生产相关规定的，造成质量或安全事故的；</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（3）存在围标或串标情形的；</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（4）存在弄虚作假骗取中标情形的；</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（5）存在因过错行为被生效法律文书认定承担违约或侵权责任的。</w:t>
      </w:r>
    </w:p>
    <w:p>
      <w:pPr>
        <w:spacing w:line="360" w:lineRule="auto"/>
        <w:rPr>
          <w:rFonts w:ascii="仿宋" w:hAnsi="仿宋" w:eastAsia="仿宋"/>
          <w:color w:val="auto"/>
          <w:highlight w:val="none"/>
          <w:lang w:eastAsia="zh-CN"/>
        </w:rPr>
      </w:pPr>
      <w:bookmarkStart w:id="409" w:name="_Toc20118"/>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.2</w:t>
      </w:r>
      <w:bookmarkEnd w:id="409"/>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r>
        <w:rPr>
          <w:rFonts w:hint="eastAsia" w:ascii="仿宋" w:hAnsi="仿宋" w:eastAsia="仿宋" w:cs="仿宋"/>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713536" behindDoc="0" locked="0" layoutInCell="1" allowOverlap="1">
                <wp:simplePos x="0" y="0"/>
                <wp:positionH relativeFrom="column">
                  <wp:posOffset>-114300</wp:posOffset>
                </wp:positionH>
                <wp:positionV relativeFrom="paragraph">
                  <wp:posOffset>0</wp:posOffset>
                </wp:positionV>
                <wp:extent cx="795020" cy="424815"/>
                <wp:effectExtent l="0" t="0" r="0" b="0"/>
                <wp:wrapNone/>
                <wp:docPr id="54" name="文本框 750"/>
                <wp:cNvGraphicFramePr/>
                <a:graphic xmlns:a="http://schemas.openxmlformats.org/drawingml/2006/main">
                  <a:graphicData uri="http://schemas.microsoft.com/office/word/2010/wordprocessingShape">
                    <wps:wsp>
                      <wps:cNvSpPr txBox="1"/>
                      <wps:spPr>
                        <a:xfrm>
                          <a:off x="0" y="0"/>
                          <a:ext cx="795020" cy="42481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承包人工作</w:t>
                            </w:r>
                          </w:p>
                        </w:txbxContent>
                      </wps:txbx>
                      <wps:bodyPr wrap="square" upright="1"/>
                    </wps:wsp>
                  </a:graphicData>
                </a:graphic>
              </wp:anchor>
            </w:drawing>
          </mc:Choice>
          <mc:Fallback>
            <w:pict>
              <v:shape id="文本框 750" o:spid="_x0000_s1026" o:spt="202" type="#_x0000_t202" style="position:absolute;left:0pt;margin-left:-9pt;margin-top:0pt;height:33.45pt;width:62.6pt;z-index:251713536;mso-width-relative:page;mso-height-relative:page;" filled="f" stroked="f" coordsize="21600,21600" o:gfxdata="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OXSwzVAAAABwEAAA8AAAAAAAAAAQAgAAAAIgAAAGRycy9kb3ducmV2LnhtbFBLAQIUABQAAAAI&#10;AIdO4kAMj2BVtwEAAF4DAAAOAAAAAAAAAAEAIAAAACQBAABkcnMvZTJvRG9jLnhtbFBLBQYAAAAA&#10;BgAGAFkBAABN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承包人工作</w:t>
                      </w:r>
                    </w:p>
                  </w:txbxContent>
                </v:textbox>
              </v:shape>
            </w:pict>
          </mc:Fallback>
        </mc:AlternateContent>
      </w:r>
      <w:r>
        <w:rPr>
          <w:rFonts w:hint="eastAsia" w:ascii="仿宋" w:hAnsi="仿宋" w:eastAsia="仿宋" w:cs="仿宋"/>
          <w:color w:val="auto"/>
          <w:highlight w:val="none"/>
          <w:lang w:eastAsia="zh-CN"/>
        </w:rPr>
        <w:t>承包人应按照合同约定完成下列工作，包括但不限于：</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olor w:val="auto"/>
          <w:highlight w:val="none"/>
          <w:lang w:eastAsia="zh-CN"/>
        </w:rPr>
        <w:t>办理法律规定由承包人办理的许可和批准，将办理结果书面报送发包人留存，并承担因承包人违反法律或合同约定给发包人造成的任何费用和损失；</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olor w:val="auto"/>
          <w:highlight w:val="none"/>
          <w:lang w:eastAsia="zh-CN"/>
        </w:rPr>
        <w:t>对</w:t>
      </w:r>
      <w:r>
        <w:rPr>
          <w:rFonts w:ascii="仿宋" w:hAnsi="仿宋" w:eastAsia="仿宋"/>
          <w:color w:val="auto"/>
          <w:highlight w:val="none"/>
          <w:lang w:eastAsia="zh-CN"/>
        </w:rPr>
        <w:t>发包人提供的</w:t>
      </w:r>
      <w:r>
        <w:rPr>
          <w:rFonts w:hint="eastAsia" w:ascii="仿宋" w:hAnsi="仿宋" w:eastAsia="仿宋"/>
          <w:color w:val="auto"/>
          <w:highlight w:val="none"/>
          <w:lang w:eastAsia="zh-CN"/>
        </w:rPr>
        <w:t>《发包人要求》和项目基础</w:t>
      </w:r>
      <w:r>
        <w:rPr>
          <w:rFonts w:ascii="仿宋" w:hAnsi="仿宋" w:eastAsia="仿宋"/>
          <w:color w:val="auto"/>
          <w:highlight w:val="none"/>
          <w:lang w:eastAsia="zh-CN"/>
        </w:rPr>
        <w:t>资料进行核实确认，并按照相关法律法规开展后续工作</w:t>
      </w:r>
      <w:r>
        <w:rPr>
          <w:rFonts w:hint="eastAsia" w:ascii="仿宋" w:hAnsi="仿宋" w:eastAsia="仿宋"/>
          <w:color w:val="auto"/>
          <w:highlight w:val="none"/>
          <w:lang w:eastAsia="zh-CN"/>
        </w:rPr>
        <w:t>；</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olor w:val="auto"/>
          <w:highlight w:val="none"/>
          <w:lang w:eastAsia="zh-CN"/>
        </w:rPr>
        <w:t>按合同约定的时间完成勘察、设计等阶段的工作，及时提交发包人审查，完善设计成果；</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olor w:val="auto"/>
          <w:highlight w:val="none"/>
          <w:lang w:eastAsia="zh-CN"/>
        </w:rPr>
        <w:t>提供建筑信息模型（BIM）及相关技术应用，并协助发包人及相关方正确使用；</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按照审查批准的设计文件、合同约定和监理人的指令实施、完成并保修合同工程；</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按照合同约定和设计顾问人、监理人的要求提交勘察、设计、施工等进度报告和进度计划；</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按照合同约定和造价</w:t>
      </w:r>
      <w:r>
        <w:rPr>
          <w:rFonts w:hint="eastAsia" w:ascii="仿宋" w:hAnsi="仿宋" w:eastAsia="仿宋"/>
          <w:color w:val="auto"/>
          <w:highlight w:val="none"/>
          <w:lang w:eastAsia="zh-CN"/>
        </w:rPr>
        <w:t>咨询</w:t>
      </w:r>
      <w:r>
        <w:rPr>
          <w:rFonts w:hint="eastAsia" w:ascii="仿宋" w:hAnsi="仿宋" w:eastAsia="仿宋" w:cs="仿宋"/>
          <w:color w:val="auto"/>
          <w:highlight w:val="none"/>
          <w:lang w:eastAsia="zh-CN"/>
        </w:rPr>
        <w:t>人的要求提交支付申请和服务费、工程款报告，包括绿色施工安全防护费、进度款、结算款和调整合同价格等；</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负责施工场地安全</w:t>
      </w:r>
      <w:r>
        <w:rPr>
          <w:rFonts w:hint="eastAsia" w:ascii="仿宋" w:hAnsi="仿宋" w:eastAsia="仿宋"/>
          <w:color w:val="auto"/>
          <w:highlight w:val="none"/>
          <w:lang w:eastAsia="zh-CN"/>
        </w:rPr>
        <w:t>保卫</w:t>
      </w:r>
      <w:r>
        <w:rPr>
          <w:rFonts w:hint="eastAsia" w:ascii="仿宋" w:hAnsi="仿宋" w:eastAsia="仿宋" w:cs="仿宋"/>
          <w:color w:val="auto"/>
          <w:highlight w:val="none"/>
          <w:lang w:eastAsia="zh-CN"/>
        </w:rPr>
        <w:t>工作，防止因工程施工造成的人身伤害和财产损失，提供和维修施工使用的照明、围栏设施等安全标志；</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按照专用条款约定的数量和要求，向发包人提供施工场地办公和生活的房屋及设施，并在施工现场保留本合同、约定的标准与规范、变更资料等各一份，供监理人、造价咨询人需要时使用；</w:t>
      </w:r>
    </w:p>
    <w:p>
      <w:pPr>
        <w:widowControl w:val="0"/>
        <w:numPr>
          <w:ilvl w:val="0"/>
          <w:numId w:val="4"/>
        </w:numPr>
        <w:tabs>
          <w:tab w:val="left" w:pos="1980"/>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遵守政府部门有关</w:t>
      </w:r>
      <w:r>
        <w:rPr>
          <w:rFonts w:hint="eastAsia" w:ascii="仿宋" w:hAnsi="仿宋" w:eastAsia="仿宋"/>
          <w:color w:val="auto"/>
          <w:highlight w:val="none"/>
          <w:lang w:eastAsia="zh-CN"/>
        </w:rPr>
        <w:t>施工</w:t>
      </w:r>
      <w:r>
        <w:rPr>
          <w:rFonts w:hint="eastAsia" w:ascii="仿宋" w:hAnsi="仿宋" w:eastAsia="仿宋" w:cs="仿宋"/>
          <w:color w:val="auto"/>
          <w:highlight w:val="none"/>
          <w:lang w:eastAsia="zh-CN"/>
        </w:rPr>
        <w:t>场地交通、环境保护、施工噪声、绿色施工安全防护等的管理规定，办理有关手续，并以书面形式通知发包人，费用按政府有关部门相关文件规定由发（承）包人各自承担；</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在合同工程或其某</w:t>
      </w:r>
      <w:r>
        <w:rPr>
          <w:rFonts w:hint="eastAsia" w:ascii="仿宋" w:hAnsi="仿宋" w:eastAsia="仿宋"/>
          <w:color w:val="auto"/>
          <w:highlight w:val="none"/>
          <w:lang w:eastAsia="zh-CN"/>
        </w:rPr>
        <w:t>单项工程</w:t>
      </w:r>
      <w:r>
        <w:rPr>
          <w:rFonts w:hint="eastAsia" w:ascii="仿宋" w:hAnsi="仿宋" w:eastAsia="仿宋" w:cs="仿宋"/>
          <w:color w:val="auto"/>
          <w:highlight w:val="none"/>
          <w:lang w:eastAsia="zh-CN"/>
        </w:rPr>
        <w:t>已竣工未移交给发包人之前，负责已完工程的照管工作。工程接收证书颁发时尚有部分未竣工工程的，还应负责该未竣工工程的照管工作，直至竣工后移交给发包人为止。照管期间发生损坏的，应予以修复并承担费用；发包人要求采取特殊保护措施的，由发包人承担相应费用；做好施工场地地下管线和邻近建筑物、构筑物（包括文物保护建筑）、古树名木的保护工作；</w:t>
      </w:r>
    </w:p>
    <w:p>
      <w:pPr>
        <w:widowControl w:val="0"/>
        <w:numPr>
          <w:ilvl w:val="0"/>
          <w:numId w:val="4"/>
        </w:numPr>
        <w:tabs>
          <w:tab w:val="left" w:pos="1980"/>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遵守政府部门有关</w:t>
      </w:r>
      <w:r>
        <w:rPr>
          <w:rFonts w:hint="eastAsia" w:ascii="仿宋" w:hAnsi="仿宋" w:eastAsia="仿宋"/>
          <w:color w:val="auto"/>
          <w:highlight w:val="none"/>
          <w:lang w:eastAsia="zh-CN"/>
        </w:rPr>
        <w:t>环境卫生</w:t>
      </w:r>
      <w:r>
        <w:rPr>
          <w:rFonts w:hint="eastAsia" w:ascii="仿宋" w:hAnsi="仿宋" w:eastAsia="仿宋" w:cs="仿宋"/>
          <w:color w:val="auto"/>
          <w:highlight w:val="none"/>
          <w:lang w:eastAsia="zh-CN"/>
        </w:rPr>
        <w:t>的管理规定，保证施工场地的清洁和做好工程移交前施工现场的清理工作，并承担因自身责任造成的损失和罚款；</w:t>
      </w:r>
    </w:p>
    <w:p>
      <w:pPr>
        <w:widowControl w:val="0"/>
        <w:numPr>
          <w:ilvl w:val="0"/>
          <w:numId w:val="4"/>
        </w:numPr>
        <w:tabs>
          <w:tab w:val="left" w:pos="1980"/>
        </w:tabs>
        <w:spacing w:line="360" w:lineRule="auto"/>
        <w:ind w:left="1850" w:leftChars="771"/>
        <w:jc w:val="both"/>
        <w:rPr>
          <w:color w:val="auto"/>
          <w:highlight w:val="none"/>
          <w:lang w:eastAsia="zh-CN"/>
        </w:rPr>
      </w:pPr>
      <w:r>
        <w:rPr>
          <w:rFonts w:hint="eastAsia" w:ascii="仿宋" w:hAnsi="仿宋" w:eastAsia="仿宋" w:cs="仿宋"/>
          <w:color w:val="auto"/>
          <w:highlight w:val="none"/>
          <w:lang w:eastAsia="zh-CN"/>
        </w:rPr>
        <w:t>工程完工后，应按照合同约定提交竣工验收申请报告和竣工结算文件；</w:t>
      </w:r>
    </w:p>
    <w:p>
      <w:pPr>
        <w:widowControl w:val="0"/>
        <w:numPr>
          <w:ilvl w:val="0"/>
          <w:numId w:val="4"/>
        </w:numPr>
        <w:tabs>
          <w:tab w:val="left" w:pos="198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bidi="ar"/>
        </w:rPr>
        <w:t>将发包人按合同支付的各项价款专用于合同工程且应及时支付其雇佣人员（包括建筑工人）工资，并及时向分包人支付合同价款。</w:t>
      </w:r>
    </w:p>
    <w:p>
      <w:pPr>
        <w:widowControl w:val="0"/>
        <w:tabs>
          <w:tab w:val="left" w:pos="1440"/>
          <w:tab w:val="left" w:pos="1980"/>
        </w:tabs>
        <w:spacing w:line="360" w:lineRule="auto"/>
        <w:ind w:left="1850" w:leftChars="771"/>
        <w:jc w:val="both"/>
        <w:rPr>
          <w:rFonts w:ascii="仿宋" w:hAnsi="仿宋" w:eastAsia="仿宋"/>
          <w:color w:val="auto"/>
          <w:highlight w:val="none"/>
          <w:lang w:eastAsia="zh-CN"/>
        </w:rPr>
      </w:pPr>
    </w:p>
    <w:p>
      <w:pPr>
        <w:spacing w:line="360" w:lineRule="auto"/>
        <w:rPr>
          <w:rFonts w:ascii="仿宋" w:hAnsi="仿宋" w:eastAsia="仿宋"/>
          <w:b/>
          <w:bCs/>
          <w:color w:val="auto"/>
          <w:highlight w:val="none"/>
          <w:lang w:eastAsia="zh-CN"/>
        </w:rPr>
      </w:pPr>
      <w:bookmarkStart w:id="410" w:name="_Toc21912"/>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.3</w:t>
      </w:r>
      <w:bookmarkEnd w:id="41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14560" behindDoc="0" locked="0" layoutInCell="1" allowOverlap="1">
                <wp:simplePos x="0" y="0"/>
                <wp:positionH relativeFrom="column">
                  <wp:posOffset>-114300</wp:posOffset>
                </wp:positionH>
                <wp:positionV relativeFrom="paragraph">
                  <wp:posOffset>0</wp:posOffset>
                </wp:positionV>
                <wp:extent cx="756920" cy="563880"/>
                <wp:effectExtent l="0" t="0" r="0" b="0"/>
                <wp:wrapNone/>
                <wp:docPr id="55" name="文本框 751"/>
                <wp:cNvGraphicFramePr/>
                <a:graphic xmlns:a="http://schemas.openxmlformats.org/drawingml/2006/main">
                  <a:graphicData uri="http://schemas.microsoft.com/office/word/2010/wordprocessingShape">
                    <wps:wsp>
                      <wps:cNvSpPr txBox="1"/>
                      <wps:spPr>
                        <a:xfrm>
                          <a:off x="0" y="0"/>
                          <a:ext cx="756920" cy="56388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承包人实施工程</w:t>
                            </w:r>
                          </w:p>
                        </w:txbxContent>
                      </wps:txbx>
                      <wps:bodyPr wrap="square" upright="1"/>
                    </wps:wsp>
                  </a:graphicData>
                </a:graphic>
              </wp:anchor>
            </w:drawing>
          </mc:Choice>
          <mc:Fallback>
            <w:pict>
              <v:shape id="文本框 751" o:spid="_x0000_s1026" o:spt="202" type="#_x0000_t202" style="position:absolute;left:0pt;margin-left:-9pt;margin-top:0pt;height:44.4pt;width:59.6pt;z-index:251714560;mso-width-relative:page;mso-height-relative:page;" filled="f" stroked="f" coordsize="21600,21600" o:gfxdata="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KJeIhTVAAAABwEAAA8AAAAAAAAAAQAgAAAAIgAAAGRycy9kb3ducmV2LnhtbFBLAQIUABQA&#10;AAAIAIdO4kCZPlb1ugEAAF4DAAAOAAAAAAAAAAEAIAAAACQ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承包人实施工程</w:t>
                      </w:r>
                    </w:p>
                  </w:txbxContent>
                </v:textbox>
              </v:shape>
            </w:pict>
          </mc:Fallback>
        </mc:AlternateContent>
      </w:r>
      <w:r>
        <w:rPr>
          <w:rFonts w:hint="eastAsia" w:ascii="仿宋" w:hAnsi="仿宋" w:eastAsia="仿宋" w:cs="仿宋"/>
          <w:color w:val="auto"/>
          <w:highlight w:val="none"/>
          <w:lang w:eastAsia="zh-CN"/>
        </w:rPr>
        <w:t>承包人应按照合同约定和监理人指令实施、完成并保修合同工程。除专用条款另有约定外，承包人应提供为完成合同工程所需的勘察资料、设计文件、建筑信息模型（BIM）、劳务、工程材料、工程设备、施工设备和其他物品。如果承包人不按照合同约定或监理人依据合同发出的指令组织施工，且在监理人书面要求改正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仍未采取补救措施的，则发包人可自行或委托第三方进行补救，由此发生的费用和造成的损失由承包人承担。该笔款项经造价咨询人核实后，由发包人从应支付或将支付给承包人的工程进度款或结算款中扣除。</w:t>
      </w:r>
    </w:p>
    <w:p>
      <w:pPr>
        <w:spacing w:line="360" w:lineRule="auto"/>
        <w:rPr>
          <w:rFonts w:ascii="仿宋" w:hAnsi="仿宋" w:eastAsia="仿宋"/>
          <w:b/>
          <w:bCs/>
          <w:color w:val="auto"/>
          <w:highlight w:val="none"/>
          <w:lang w:eastAsia="zh-CN"/>
        </w:rPr>
      </w:pPr>
      <w:bookmarkStart w:id="411" w:name="_Toc31582"/>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.4</w:t>
      </w:r>
      <w:bookmarkEnd w:id="41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15584" behindDoc="0" locked="0" layoutInCell="1" allowOverlap="1">
                <wp:simplePos x="0" y="0"/>
                <wp:positionH relativeFrom="column">
                  <wp:posOffset>-114300</wp:posOffset>
                </wp:positionH>
                <wp:positionV relativeFrom="paragraph">
                  <wp:posOffset>22860</wp:posOffset>
                </wp:positionV>
                <wp:extent cx="823595" cy="708660"/>
                <wp:effectExtent l="0" t="0" r="0" b="0"/>
                <wp:wrapNone/>
                <wp:docPr id="56" name="文本框 752"/>
                <wp:cNvGraphicFramePr/>
                <a:graphic xmlns:a="http://schemas.openxmlformats.org/drawingml/2006/main">
                  <a:graphicData uri="http://schemas.microsoft.com/office/word/2010/wordprocessingShape">
                    <wps:wsp>
                      <wps:cNvSpPr txBox="1"/>
                      <wps:spPr>
                        <a:xfrm>
                          <a:off x="0" y="0"/>
                          <a:ext cx="823595" cy="70866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承包人实施勘察、设计、施工等工作安排</w:t>
                            </w:r>
                          </w:p>
                        </w:txbxContent>
                      </wps:txbx>
                      <wps:bodyPr wrap="square" upright="1"/>
                    </wps:wsp>
                  </a:graphicData>
                </a:graphic>
              </wp:anchor>
            </w:drawing>
          </mc:Choice>
          <mc:Fallback>
            <w:pict>
              <v:shape id="文本框 752" o:spid="_x0000_s1026" o:spt="202" type="#_x0000_t202" style="position:absolute;left:0pt;margin-left:-9pt;margin-top:1.8pt;height:55.8pt;width:64.85pt;z-index:251715584;mso-width-relative:page;mso-height-relative:page;" filled="f" stroked="f" coordsize="21600,21600" o:gfxdata="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XgM+i1gAAAAkBAAAPAAAAAAAAAAEAIAAAACIAAABkcnMvZG93bnJldi54bWxQSwECFAAU&#10;AAAACACHTuJAJd+AsL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承包人实施勘察、设计、施工等工作安排</w:t>
                      </w:r>
                    </w:p>
                  </w:txbxContent>
                </v:textbox>
              </v:shape>
            </w:pict>
          </mc:Fallback>
        </mc:AlternateContent>
      </w:r>
      <w:r>
        <w:rPr>
          <w:rFonts w:hint="eastAsia" w:ascii="仿宋" w:hAnsi="仿宋" w:eastAsia="仿宋" w:cs="仿宋"/>
          <w:color w:val="auto"/>
          <w:highlight w:val="none"/>
          <w:lang w:eastAsia="zh-CN"/>
        </w:rPr>
        <w:t>承包人对所有勘察报告、设计文件、建筑信息模型（BIM）、现场作业和施工方法的完备性、稳定性和安全性负责，并应按照合同约定的工作内容和进度要求，向发包人代表或监理人代表提交合同工程拟采用的勘察工作方案、设计工作方案、BIM技术应用方案、施工组织设计、设备及工器具购置方案（如果有）等的详细说明。如承包人对勘察工作方案、设计工作方案、BIM技术应用方案、施工组织设计、设备及工器具购置方案（如果有）等作出重大修改，应事先征得发包人代表、设计顾问人或监理人代表同意。</w:t>
      </w:r>
    </w:p>
    <w:p>
      <w:pPr>
        <w:spacing w:line="360" w:lineRule="auto"/>
        <w:rPr>
          <w:rFonts w:ascii="仿宋" w:hAnsi="仿宋" w:eastAsia="仿宋"/>
          <w:color w:val="auto"/>
          <w:highlight w:val="none"/>
          <w:lang w:eastAsia="zh-CN"/>
        </w:rPr>
      </w:pPr>
      <w:bookmarkStart w:id="412" w:name="_Toc32541"/>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.5</w:t>
      </w:r>
      <w:bookmarkEnd w:id="412"/>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r>
        <w:rPr>
          <w:rFonts w:hint="eastAsia" w:ascii="仿宋" w:hAnsi="仿宋" w:eastAsia="仿宋" w:cs="仿宋"/>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16608" behindDoc="0" locked="0" layoutInCell="1" allowOverlap="1">
                <wp:simplePos x="0" y="0"/>
                <wp:positionH relativeFrom="column">
                  <wp:posOffset>-114300</wp:posOffset>
                </wp:positionH>
                <wp:positionV relativeFrom="paragraph">
                  <wp:posOffset>15240</wp:posOffset>
                </wp:positionV>
                <wp:extent cx="833120" cy="650875"/>
                <wp:effectExtent l="0" t="0" r="0" b="0"/>
                <wp:wrapNone/>
                <wp:docPr id="57" name="文本框 753"/>
                <wp:cNvGraphicFramePr/>
                <a:graphic xmlns:a="http://schemas.openxmlformats.org/drawingml/2006/main">
                  <a:graphicData uri="http://schemas.microsoft.com/office/word/2010/wordprocessingShape">
                    <wps:wsp>
                      <wps:cNvSpPr txBox="1"/>
                      <wps:spPr>
                        <a:xfrm>
                          <a:off x="0" y="0"/>
                          <a:ext cx="833120" cy="650875"/>
                        </a:xfrm>
                        <a:prstGeom prst="rect">
                          <a:avLst/>
                        </a:prstGeom>
                        <a:noFill/>
                        <a:ln>
                          <a:noFill/>
                        </a:ln>
                      </wps:spPr>
                      <wps:txbx>
                        <w:txbxContent>
                          <w:p>
                            <w:pPr>
                              <w:spacing w:line="240" w:lineRule="exact"/>
                              <w:rPr>
                                <w:rFonts w:ascii="楷体_GB2312" w:hAnsi="宋体" w:eastAsia="楷体_GB2312"/>
                                <w:sz w:val="18"/>
                                <w:szCs w:val="18"/>
                                <w:lang w:eastAsia="zh-CN"/>
                              </w:rPr>
                            </w:pPr>
                            <w:r>
                              <w:rPr>
                                <w:rFonts w:hint="eastAsia" w:ascii="楷体_GB2312" w:eastAsia="楷体_GB2312" w:cs="楷体_GB2312"/>
                                <w:b/>
                                <w:bCs/>
                                <w:color w:val="000000"/>
                                <w:sz w:val="18"/>
                                <w:szCs w:val="18"/>
                                <w:lang w:eastAsia="zh-CN"/>
                              </w:rPr>
                              <w:t>承包人为发包人的人员提供配合</w:t>
                            </w:r>
                          </w:p>
                        </w:txbxContent>
                      </wps:txbx>
                      <wps:bodyPr wrap="square" upright="1"/>
                    </wps:wsp>
                  </a:graphicData>
                </a:graphic>
              </wp:anchor>
            </w:drawing>
          </mc:Choice>
          <mc:Fallback>
            <w:pict>
              <v:shape id="文本框 753" o:spid="_x0000_s1026" o:spt="202" type="#_x0000_t202" style="position:absolute;left:0pt;margin-left:-9pt;margin-top:1.2pt;height:51.25pt;width:65.6pt;z-index:251716608;mso-width-relative:page;mso-height-relative:page;" filled="f" stroked="f" coordsize="21600,21600" o:gfxdata="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N8WTXAAAACQEAAA8AAAAAAAAAAQAgAAAAIgAAAGRycy9kb3ducmV2LnhtbFBLAQIUABQA&#10;AAAIAIdO4kAY7CaSuAEAAF4DAAAOAAAAAAAAAAEAIAAAACYBAABkcnMvZTJvRG9jLnhtbFBLBQYA&#10;AAAABgAGAFkBAABQBQAAAAA=&#10;">
                <v:fill on="f" focussize="0,0"/>
                <v:stroke on="f"/>
                <v:imagedata o:title=""/>
                <o:lock v:ext="edit" aspectratio="f"/>
                <v:textbox>
                  <w:txbxContent>
                    <w:p>
                      <w:pPr>
                        <w:spacing w:line="240" w:lineRule="exact"/>
                        <w:rPr>
                          <w:rFonts w:ascii="楷体_GB2312" w:hAnsi="宋体" w:eastAsia="楷体_GB2312"/>
                          <w:sz w:val="18"/>
                          <w:szCs w:val="18"/>
                          <w:lang w:eastAsia="zh-CN"/>
                        </w:rPr>
                      </w:pPr>
                      <w:r>
                        <w:rPr>
                          <w:rFonts w:hint="eastAsia" w:ascii="楷体_GB2312" w:eastAsia="楷体_GB2312" w:cs="楷体_GB2312"/>
                          <w:b/>
                          <w:bCs/>
                          <w:color w:val="000000"/>
                          <w:sz w:val="18"/>
                          <w:szCs w:val="18"/>
                          <w:lang w:eastAsia="zh-CN"/>
                        </w:rPr>
                        <w:t>承包人为发包人的人员提供配合</w:t>
                      </w:r>
                    </w:p>
                  </w:txbxContent>
                </v:textbox>
              </v:shape>
            </w:pict>
          </mc:Fallback>
        </mc:AlternateContent>
      </w:r>
      <w:r>
        <w:rPr>
          <w:rFonts w:hint="eastAsia" w:ascii="仿宋" w:hAnsi="仿宋" w:eastAsia="仿宋" w:cs="仿宋"/>
          <w:color w:val="auto"/>
          <w:highlight w:val="none"/>
          <w:lang w:eastAsia="zh-CN"/>
        </w:rPr>
        <w:t>承包人应按照合同约定、发包人代表或监理人代表的指令，配合和协助下述人员在施工场地及其附近实施与合同工程有关的各项工作：</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）发包人的工作人员；</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）发包人的雇员；</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）任何监督管理机构的执法人员。</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此类指令造成承包人的工作或支出，包括使用了承包人的施工设备、临时工程或通行道路等，视为已包含在合同价格内，除非合同专用条款另有约定。</w:t>
      </w:r>
    </w:p>
    <w:p>
      <w:pPr>
        <w:spacing w:line="360" w:lineRule="auto"/>
        <w:rPr>
          <w:rFonts w:ascii="仿宋" w:hAnsi="仿宋" w:eastAsia="仿宋"/>
          <w:b/>
          <w:bCs/>
          <w:color w:val="auto"/>
          <w:highlight w:val="none"/>
          <w:lang w:eastAsia="zh-CN"/>
        </w:rPr>
      </w:pPr>
      <w:bookmarkStart w:id="413" w:name="_Toc25696"/>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.6</w:t>
      </w:r>
      <w:bookmarkEnd w:id="41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17632" behindDoc="0" locked="0" layoutInCell="1" allowOverlap="1">
                <wp:simplePos x="0" y="0"/>
                <wp:positionH relativeFrom="column">
                  <wp:posOffset>-114300</wp:posOffset>
                </wp:positionH>
                <wp:positionV relativeFrom="paragraph">
                  <wp:posOffset>0</wp:posOffset>
                </wp:positionV>
                <wp:extent cx="803910" cy="612140"/>
                <wp:effectExtent l="0" t="0" r="0" b="0"/>
                <wp:wrapNone/>
                <wp:docPr id="58" name="文本框 754"/>
                <wp:cNvGraphicFramePr/>
                <a:graphic xmlns:a="http://schemas.openxmlformats.org/drawingml/2006/main">
                  <a:graphicData uri="http://schemas.microsoft.com/office/word/2010/wordprocessingShape">
                    <wps:wsp>
                      <wps:cNvSpPr txBox="1"/>
                      <wps:spPr>
                        <a:xfrm>
                          <a:off x="0" y="0"/>
                          <a:ext cx="803910" cy="612140"/>
                        </a:xfrm>
                        <a:prstGeom prst="rect">
                          <a:avLst/>
                        </a:prstGeom>
                        <a:noFill/>
                        <a:ln>
                          <a:noFill/>
                        </a:ln>
                      </wps:spPr>
                      <wps:txbx>
                        <w:txbxContent>
                          <w:p>
                            <w:pPr>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承包人避免施工损害他人利益</w:t>
                            </w:r>
                          </w:p>
                        </w:txbxContent>
                      </wps:txbx>
                      <wps:bodyPr wrap="square" upright="1"/>
                    </wps:wsp>
                  </a:graphicData>
                </a:graphic>
              </wp:anchor>
            </w:drawing>
          </mc:Choice>
          <mc:Fallback>
            <w:pict>
              <v:shape id="文本框 754" o:spid="_x0000_s1026" o:spt="202" type="#_x0000_t202" style="position:absolute;left:0pt;margin-left:-9pt;margin-top:0pt;height:48.2pt;width:63.3pt;z-index:251717632;mso-width-relative:page;mso-height-relative:page;" filled="f" stroked="f" coordsize="21600,21600" o:gfxdata="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jPiSH9UAAAAHAQAADwAAAAAAAAABACAAAAAiAAAAZHJzL2Rvd25yZXYueG1sUEsBAhQAFAAA&#10;AAgAh07iQKuNm6e5AQAAXgMAAA4AAAAAAAAAAQAgAAAAJAEAAGRycy9lMm9Eb2MueG1sUEsFBgAA&#10;AAAGAAYAWQEAAE8FAAAAAA==&#10;">
                <v:fill on="f" focussize="0,0"/>
                <v:stroke on="f"/>
                <v:imagedata o:title=""/>
                <o:lock v:ext="edit" aspectratio="f"/>
                <v:textbox>
                  <w:txbxContent>
                    <w:p>
                      <w:pPr>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承包人避免施工损害他人利益</w:t>
                      </w:r>
                    </w:p>
                  </w:txbxContent>
                </v:textbox>
              </v:shape>
            </w:pict>
          </mc:Fallback>
        </mc:AlternateContent>
      </w:r>
      <w:r>
        <w:rPr>
          <w:rFonts w:hint="eastAsia" w:ascii="仿宋" w:hAnsi="仿宋" w:eastAsia="仿宋" w:cs="仿宋"/>
          <w:color w:val="auto"/>
          <w:highlight w:val="none"/>
          <w:lang w:eastAsia="zh-CN"/>
        </w:rPr>
        <w:t>承包人在施工过程中，不得侵害发包人与他人使用公用道路、水源、市政管网等公共设施的权利，避免对邻近的公共设施产生干扰。承包人占用或使用他人的施工场地，影响他人作业或生活的，应承担相应责任。</w:t>
      </w:r>
    </w:p>
    <w:p>
      <w:pPr>
        <w:spacing w:line="360" w:lineRule="auto"/>
        <w:rPr>
          <w:rFonts w:ascii="仿宋" w:hAnsi="仿宋" w:eastAsia="仿宋"/>
          <w:b/>
          <w:bCs/>
          <w:color w:val="auto"/>
          <w:highlight w:val="none"/>
          <w:lang w:eastAsia="zh-CN"/>
        </w:rPr>
      </w:pPr>
      <w:bookmarkStart w:id="414" w:name="_Toc13320"/>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.7</w:t>
      </w:r>
      <w:bookmarkEnd w:id="41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18656" behindDoc="0" locked="0" layoutInCell="1" allowOverlap="1">
                <wp:simplePos x="0" y="0"/>
                <wp:positionH relativeFrom="column">
                  <wp:posOffset>-114300</wp:posOffset>
                </wp:positionH>
                <wp:positionV relativeFrom="paragraph">
                  <wp:posOffset>0</wp:posOffset>
                </wp:positionV>
                <wp:extent cx="775970" cy="473075"/>
                <wp:effectExtent l="0" t="0" r="0" b="0"/>
                <wp:wrapNone/>
                <wp:docPr id="59" name="文本框 755"/>
                <wp:cNvGraphicFramePr/>
                <a:graphic xmlns:a="http://schemas.openxmlformats.org/drawingml/2006/main">
                  <a:graphicData uri="http://schemas.microsoft.com/office/word/2010/wordprocessingShape">
                    <wps:wsp>
                      <wps:cNvSpPr txBox="1"/>
                      <wps:spPr>
                        <a:xfrm>
                          <a:off x="0" y="0"/>
                          <a:ext cx="775970" cy="473075"/>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承包人未尽义务的责任</w:t>
                            </w:r>
                          </w:p>
                        </w:txbxContent>
                      </wps:txbx>
                      <wps:bodyPr wrap="square" upright="1"/>
                    </wps:wsp>
                  </a:graphicData>
                </a:graphic>
              </wp:anchor>
            </w:drawing>
          </mc:Choice>
          <mc:Fallback>
            <w:pict>
              <v:shape id="文本框 755" o:spid="_x0000_s1026" o:spt="202" type="#_x0000_t202" style="position:absolute;left:0pt;margin-left:-9pt;margin-top:0pt;height:37.25pt;width:61.1pt;z-index:251718656;mso-width-relative:page;mso-height-relative:page;" filled="f" stroked="f" coordsize="21600,21600" o:gfxdata="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MXVIu9UAAAAHAQAADwAAAAAAAAABACAAAAAiAAAAZHJzL2Rvd25yZXYueG1sUEsBAhQAFAAA&#10;AAgAh07iQL5qty25AQAAXgMAAA4AAAAAAAAAAQAgAAAAJAEAAGRycy9lMm9Eb2MueG1sUEsFBgAA&#10;AAAGAAYAWQEAAE8FA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承包人未尽义务的责任</w:t>
                      </w:r>
                    </w:p>
                  </w:txbxContent>
                </v:textbox>
              </v:shape>
            </w:pict>
          </mc:Fallback>
        </mc:AlternateContent>
      </w:r>
      <w:r>
        <w:rPr>
          <w:rFonts w:hint="eastAsia" w:ascii="仿宋" w:hAnsi="仿宋" w:eastAsia="仿宋" w:cs="仿宋"/>
          <w:color w:val="auto"/>
          <w:highlight w:val="none"/>
          <w:lang w:eastAsia="zh-CN"/>
        </w:rPr>
        <w:t>承包人未能正确履行本合同约定的全部义务，导致费用的增加和（或）延误的工期，由承包人承担；给发包人造成损失的，承包人应予赔偿。</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415" w:name="_Toc31033"/>
      <w:bookmarkStart w:id="416" w:name="_Toc30144"/>
      <w:bookmarkStart w:id="417" w:name="_Toc5959"/>
      <w:bookmarkStart w:id="418" w:name="_Toc24344"/>
      <w:bookmarkStart w:id="419" w:name="_Toc13216"/>
      <w:bookmarkStart w:id="420" w:name="_Toc18911"/>
      <w:bookmarkStart w:id="421" w:name="_Toc2013"/>
      <w:bookmarkStart w:id="422" w:name="_Toc14358"/>
      <w:r>
        <w:rPr>
          <w:rFonts w:ascii="仿宋" w:hAnsi="仿宋" w:eastAsia="仿宋" w:cs="仿宋"/>
          <w:bCs w:val="0"/>
          <w:color w:val="auto"/>
          <w:sz w:val="24"/>
          <w:szCs w:val="24"/>
          <w:highlight w:val="none"/>
          <w:lang w:eastAsia="zh-CN"/>
        </w:rPr>
        <w:t>2</w:t>
      </w:r>
      <w:r>
        <w:rPr>
          <w:rFonts w:hint="eastAsia" w:ascii="仿宋" w:hAnsi="仿宋" w:eastAsia="仿宋" w:cs="仿宋"/>
          <w:bCs w:val="0"/>
          <w:color w:val="auto"/>
          <w:sz w:val="24"/>
          <w:szCs w:val="24"/>
          <w:highlight w:val="none"/>
          <w:lang w:eastAsia="zh-CN"/>
        </w:rPr>
        <w:t>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现场管理人员任命和更换</w:t>
      </w:r>
      <w:bookmarkEnd w:id="415"/>
      <w:bookmarkEnd w:id="416"/>
      <w:bookmarkEnd w:id="417"/>
      <w:bookmarkEnd w:id="418"/>
      <w:bookmarkEnd w:id="419"/>
      <w:bookmarkEnd w:id="420"/>
      <w:bookmarkEnd w:id="421"/>
      <w:bookmarkEnd w:id="422"/>
    </w:p>
    <w:p>
      <w:pPr>
        <w:pStyle w:val="22"/>
        <w:tabs>
          <w:tab w:val="left" w:pos="1320"/>
        </w:tabs>
        <w:adjustRightInd w:val="0"/>
        <w:snapToGrid w:val="0"/>
        <w:spacing w:line="360" w:lineRule="auto"/>
        <w:ind w:right="-240"/>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2</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lang w:eastAsia="zh-CN"/>
        </w:rPr>
        <w:t>.1</w:t>
      </w:r>
    </w:p>
    <w:p>
      <w:pPr>
        <w:widowControl w:val="0"/>
        <w:tabs>
          <w:tab w:val="left" w:pos="4970"/>
        </w:tabs>
        <w:spacing w:line="360" w:lineRule="auto"/>
        <w:ind w:left="1850" w:leftChars="771"/>
        <w:jc w:val="both"/>
        <w:rPr>
          <w:color w:val="auto"/>
          <w:highlight w:val="none"/>
          <w:lang w:eastAsia="zh-CN"/>
        </w:rPr>
      </w:pPr>
      <w:r>
        <w:rPr>
          <w:color w:val="auto"/>
          <w:highlight w:val="none"/>
        </w:rPr>
        <mc:AlternateContent>
          <mc:Choice Requires="wps">
            <w:drawing>
              <wp:anchor distT="0" distB="0" distL="114300" distR="114300" simplePos="0" relativeHeight="251719680" behindDoc="0" locked="0" layoutInCell="1" allowOverlap="1">
                <wp:simplePos x="0" y="0"/>
                <wp:positionH relativeFrom="column">
                  <wp:posOffset>-114300</wp:posOffset>
                </wp:positionH>
                <wp:positionV relativeFrom="paragraph">
                  <wp:posOffset>7620</wp:posOffset>
                </wp:positionV>
                <wp:extent cx="851535" cy="530860"/>
                <wp:effectExtent l="0" t="0" r="0" b="0"/>
                <wp:wrapNone/>
                <wp:docPr id="60" name="文本框 756"/>
                <wp:cNvGraphicFramePr/>
                <a:graphic xmlns:a="http://schemas.openxmlformats.org/drawingml/2006/main">
                  <a:graphicData uri="http://schemas.microsoft.com/office/word/2010/wordprocessingShape">
                    <wps:wsp>
                      <wps:cNvSpPr txBox="1"/>
                      <wps:spPr>
                        <a:xfrm>
                          <a:off x="0" y="0"/>
                          <a:ext cx="851535" cy="530860"/>
                        </a:xfrm>
                        <a:prstGeom prst="rect">
                          <a:avLst/>
                        </a:prstGeom>
                        <a:noFill/>
                        <a:ln>
                          <a:noFill/>
                        </a:ln>
                      </wps:spPr>
                      <wps:txbx>
                        <w:txbxContent>
                          <w:p>
                            <w:pPr>
                              <w:spacing w:line="240" w:lineRule="exact"/>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发包人现场管理人员任命和更换</w:t>
                            </w:r>
                          </w:p>
                        </w:txbxContent>
                      </wps:txbx>
                      <wps:bodyPr wrap="square" upright="1"/>
                    </wps:wsp>
                  </a:graphicData>
                </a:graphic>
              </wp:anchor>
            </w:drawing>
          </mc:Choice>
          <mc:Fallback>
            <w:pict>
              <v:shape id="文本框 756" o:spid="_x0000_s1026" o:spt="202" type="#_x0000_t202" style="position:absolute;left:0pt;margin-left:-9pt;margin-top:0.6pt;height:41.8pt;width:67.05pt;z-index:251719680;mso-width-relative:page;mso-height-relative:page;" filled="f" stroked="f" coordsize="21600,21600" o:gfxdata="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DL4i51QAAAAgBAAAPAAAAAAAAAAEAIAAAACIAAABkcnMvZG93bnJldi54bWxQSwECFAAUAAAA&#10;CACHTuJAaL55hbgBAABeAwAADgAAAAAAAAABACAAAAAkAQAAZHJzL2Uyb0RvYy54bWxQSwUGAAAA&#10;AAYABgBZAQAATgUAAAAA&#10;">
                <v:fill on="f" focussize="0,0"/>
                <v:stroke on="f"/>
                <v:imagedata o:title=""/>
                <o:lock v:ext="edit" aspectratio="f"/>
                <v:textbox>
                  <w:txbxContent>
                    <w:p>
                      <w:pPr>
                        <w:spacing w:line="240" w:lineRule="exact"/>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发包人现场管理人员任命和更换</w:t>
                      </w:r>
                    </w:p>
                  </w:txbxContent>
                </v:textbox>
              </v:shape>
            </w:pict>
          </mc:Fallback>
        </mc:AlternateContent>
      </w:r>
      <w:r>
        <w:rPr>
          <w:rFonts w:hint="eastAsia" w:ascii="仿宋" w:hAnsi="仿宋" w:eastAsia="仿宋" w:cs="仿宋"/>
          <w:color w:val="auto"/>
          <w:highlight w:val="none"/>
          <w:lang w:eastAsia="zh-CN"/>
        </w:rPr>
        <w:t>发包人应任命代表发包人工作的现场管理人员，并在开工前以书面形式通知承包人。该类管理人员可包括发包人代表、设计顾问人代表、监理人代表、造价咨询人代表等。国家、省规定发包人可不委托监理人、造价咨询人和（或）设计顾问人，发包人因而没有任命监理人代表、造价咨询人代表和（或）设计顾问人代表的，本合同约定的监理人、造价咨询人和（或）设计顾问人及其委派现场或授权人员的工作，由发包人授权发包人代表和（或）其他管理人员担任。</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发包人如需更换现场管理人员，应至少提前</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天以书面形式通知承包人，否则该项更换无效。承包人应在收到通知后</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天内予以回复，否则视为已收到通知。后任现场管理人员应继续行使合同约定的前任现场管理人员的职权和履行相应的义务。</w:t>
      </w:r>
    </w:p>
    <w:p>
      <w:pPr>
        <w:pStyle w:val="22"/>
        <w:tabs>
          <w:tab w:val="left" w:pos="1320"/>
          <w:tab w:val="left" w:pos="1620"/>
        </w:tabs>
        <w:adjustRightInd w:val="0"/>
        <w:snapToGrid w:val="0"/>
        <w:spacing w:line="360" w:lineRule="auto"/>
        <w:rPr>
          <w:rFonts w:ascii="仿宋" w:hAnsi="仿宋" w:eastAsia="仿宋"/>
          <w:b/>
          <w:bCs/>
          <w:color w:val="auto"/>
          <w:sz w:val="24"/>
          <w:szCs w:val="24"/>
          <w:highlight w:val="none"/>
          <w:lang w:eastAsia="zh-CN"/>
        </w:rPr>
      </w:pPr>
      <w:bookmarkStart w:id="423" w:name="_Toc24606"/>
      <w:r>
        <w:rPr>
          <w:rFonts w:ascii="仿宋" w:hAnsi="仿宋" w:eastAsia="仿宋" w:cs="仿宋"/>
          <w:b/>
          <w:bCs/>
          <w:color w:val="auto"/>
          <w:sz w:val="24"/>
          <w:szCs w:val="24"/>
          <w:highlight w:val="none"/>
          <w:lang w:eastAsia="zh-CN"/>
        </w:rPr>
        <w:t>2</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lang w:eastAsia="zh-CN"/>
        </w:rPr>
        <w:t>.2</w:t>
      </w:r>
      <w:bookmarkEnd w:id="423"/>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0704" behindDoc="0" locked="0" layoutInCell="1" allowOverlap="1">
                <wp:simplePos x="0" y="0"/>
                <wp:positionH relativeFrom="column">
                  <wp:posOffset>-114300</wp:posOffset>
                </wp:positionH>
                <wp:positionV relativeFrom="paragraph">
                  <wp:posOffset>84455</wp:posOffset>
                </wp:positionV>
                <wp:extent cx="783590" cy="711200"/>
                <wp:effectExtent l="0" t="0" r="0" b="0"/>
                <wp:wrapNone/>
                <wp:docPr id="61" name="文本框 757"/>
                <wp:cNvGraphicFramePr/>
                <a:graphic xmlns:a="http://schemas.openxmlformats.org/drawingml/2006/main">
                  <a:graphicData uri="http://schemas.microsoft.com/office/word/2010/wordprocessingShape">
                    <wps:wsp>
                      <wps:cNvSpPr txBox="1"/>
                      <wps:spPr>
                        <a:xfrm>
                          <a:off x="0" y="0"/>
                          <a:ext cx="783590" cy="711200"/>
                        </a:xfrm>
                        <a:prstGeom prst="rect">
                          <a:avLst/>
                        </a:prstGeom>
                        <a:noFill/>
                        <a:ln>
                          <a:noFill/>
                        </a:ln>
                      </wps:spPr>
                      <wps:txbx>
                        <w:txbxContent>
                          <w:p>
                            <w:pPr>
                              <w:spacing w:line="240" w:lineRule="exact"/>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承包人代表及专业负责人任命和更换</w:t>
                            </w:r>
                          </w:p>
                        </w:txbxContent>
                      </wps:txbx>
                      <wps:bodyPr wrap="square" upright="1"/>
                    </wps:wsp>
                  </a:graphicData>
                </a:graphic>
              </wp:anchor>
            </w:drawing>
          </mc:Choice>
          <mc:Fallback>
            <w:pict>
              <v:shape id="文本框 757" o:spid="_x0000_s1026" o:spt="202" type="#_x0000_t202" style="position:absolute;left:0pt;margin-left:-9pt;margin-top:6.65pt;height:56pt;width:61.7pt;z-index:251720704;mso-width-relative:page;mso-height-relative:page;" filled="f" stroked="f" coordsize="21600,21600" o:gfxdata="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SR6+nXAAAACgEAAA8AAAAAAAAAAQAgAAAAIgAAAGRycy9kb3ducmV2LnhtbFBLAQIUABQA&#10;AAAIAIdO4kDN0l/XuAEAAF4DAAAOAAAAAAAAAAEAIAAAACYBAABkcnMvZTJvRG9jLnhtbFBLBQYA&#10;AAAABgAGAFkBAABQBQAAAAA=&#10;">
                <v:fill on="f" focussize="0,0"/>
                <v:stroke on="f"/>
                <v:imagedata o:title=""/>
                <o:lock v:ext="edit" aspectratio="f"/>
                <v:textbox>
                  <w:txbxContent>
                    <w:p>
                      <w:pPr>
                        <w:spacing w:line="240" w:lineRule="exact"/>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承包人代表及专业负责人任命和更换</w:t>
                      </w:r>
                    </w:p>
                  </w:txbxContent>
                </v:textbox>
              </v:shape>
            </w:pict>
          </mc:Fallback>
        </mc:AlternateContent>
      </w:r>
      <w:r>
        <w:rPr>
          <w:rFonts w:hint="eastAsia" w:ascii="仿宋" w:hAnsi="仿宋" w:eastAsia="仿宋" w:cs="仿宋"/>
          <w:color w:val="auto"/>
          <w:highlight w:val="none"/>
          <w:lang w:eastAsia="zh-CN"/>
        </w:rPr>
        <w:t>承包人应任命代表承包人工作的承包人代表及负责勘察、设计、BIM技术应用、采购、施工等工作的专业负责人，承包人代表或专业负责人的人选应取得工程建设类相应执业资格并在本单位注册，或未实施执业资格制度的专业负责人应取得相关高级专业技术职称，已由承包人在合同签订前依法向发包人提出，经发包人同意后在专用条款中写明。国家法律或建设行政主管部门有规定的，应遵守其规定；招标发包工程的承包人代表及专业负责人，应为投标文件所载明的人选。</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承包人如需更换承包人代表或专业负责人，应遵守国家法律或建设行政主管部门的规定并取得发包人的同意，至少提前</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天以书面形式通知发包人，否则该项更换无效。发包人应在收到通知后的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天内予以答复，否则视为同意。后任承包人代表或专业负责人应继续行使合同约定的前任承包人代表或专业负责人的职权和履行相应的义务。</w:t>
      </w:r>
    </w:p>
    <w:p>
      <w:pPr>
        <w:widowControl w:val="0"/>
        <w:tabs>
          <w:tab w:val="left" w:pos="4970"/>
        </w:tabs>
        <w:spacing w:line="360" w:lineRule="auto"/>
        <w:ind w:left="1850" w:leftChars="771"/>
        <w:jc w:val="both"/>
        <w:rPr>
          <w:color w:val="auto"/>
          <w:highlight w:val="none"/>
          <w:lang w:eastAsia="zh-CN"/>
        </w:rPr>
      </w:pPr>
      <w:r>
        <w:rPr>
          <w:rFonts w:hint="eastAsia" w:ascii="仿宋" w:hAnsi="仿宋" w:eastAsia="仿宋" w:cs="仿宋"/>
          <w:color w:val="auto"/>
          <w:highlight w:val="none"/>
          <w:lang w:eastAsia="zh-CN"/>
        </w:rPr>
        <w:t>承包人为联合体的，承包人代表必须由牵头单位内部符合要求的相应工程建设类注册执业人员担任，专业负责人必须由成员单位内部符合要求的注册执业人员担任；承包人代表及专业负责人的任命及更换，必须由牵头单位及各成员单位共同签署书面文件。</w:t>
      </w:r>
    </w:p>
    <w:p>
      <w:pPr>
        <w:pStyle w:val="22"/>
        <w:tabs>
          <w:tab w:val="left" w:pos="1320"/>
        </w:tabs>
        <w:adjustRightInd w:val="0"/>
        <w:snapToGrid w:val="0"/>
        <w:spacing w:line="360" w:lineRule="auto"/>
        <w:ind w:right="-238"/>
        <w:rPr>
          <w:rFonts w:ascii="仿宋" w:hAnsi="仿宋" w:eastAsia="仿宋"/>
          <w:b/>
          <w:bCs/>
          <w:color w:val="auto"/>
          <w:sz w:val="24"/>
          <w:szCs w:val="24"/>
          <w:highlight w:val="none"/>
          <w:lang w:eastAsia="zh-CN"/>
        </w:rPr>
      </w:pPr>
      <w:bookmarkStart w:id="424" w:name="_Toc28316"/>
      <w:r>
        <w:rPr>
          <w:rFonts w:ascii="仿宋" w:hAnsi="仿宋" w:eastAsia="仿宋" w:cs="仿宋"/>
          <w:b/>
          <w:bCs/>
          <w:color w:val="auto"/>
          <w:sz w:val="24"/>
          <w:szCs w:val="24"/>
          <w:highlight w:val="none"/>
          <w:lang w:eastAsia="zh-CN"/>
        </w:rPr>
        <w:t>2</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lang w:eastAsia="zh-CN"/>
        </w:rPr>
        <w:t>.3</w:t>
      </w:r>
      <w:bookmarkEnd w:id="424"/>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1721728" behindDoc="0" locked="0" layoutInCell="1" allowOverlap="1">
                <wp:simplePos x="0" y="0"/>
                <wp:positionH relativeFrom="column">
                  <wp:posOffset>-83820</wp:posOffset>
                </wp:positionH>
                <wp:positionV relativeFrom="paragraph">
                  <wp:posOffset>46355</wp:posOffset>
                </wp:positionV>
                <wp:extent cx="824865" cy="922655"/>
                <wp:effectExtent l="0" t="0" r="0" b="0"/>
                <wp:wrapNone/>
                <wp:docPr id="62" name="文本框 758"/>
                <wp:cNvGraphicFramePr/>
                <a:graphic xmlns:a="http://schemas.openxmlformats.org/drawingml/2006/main">
                  <a:graphicData uri="http://schemas.microsoft.com/office/word/2010/wordprocessingShape">
                    <wps:wsp>
                      <wps:cNvSpPr txBox="1"/>
                      <wps:spPr>
                        <a:xfrm>
                          <a:off x="0" y="0"/>
                          <a:ext cx="824865" cy="92265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监理人代表、造价咨询人代表、设计顾问代表任命和撤回</w:t>
                            </w:r>
                          </w:p>
                        </w:txbxContent>
                      </wps:txbx>
                      <wps:bodyPr wrap="square" upright="1"/>
                    </wps:wsp>
                  </a:graphicData>
                </a:graphic>
              </wp:anchor>
            </w:drawing>
          </mc:Choice>
          <mc:Fallback>
            <w:pict>
              <v:shape id="文本框 758" o:spid="_x0000_s1026" o:spt="202" type="#_x0000_t202" style="position:absolute;left:0pt;margin-left:-6.6pt;margin-top:3.65pt;height:72.65pt;width:64.95pt;z-index:251721728;mso-width-relative:page;mso-height-relative:page;" filled="f" stroked="f" coordsize="21600,21600" o:gfxdata="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9xRKI1wAAAAkBAAAPAAAAAAAAAAEAIAAAACIAAABkcnMvZG93bnJldi54bWxQSwECFAAU&#10;AAAACACHTuJA6TgzGrkBAABe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监理人代表、造价咨询人代表、设计顾问代表任命和撤回</w:t>
                      </w:r>
                    </w:p>
                  </w:txbxContent>
                </v:textbox>
              </v:shape>
            </w:pict>
          </mc:Fallback>
        </mc:AlternateContent>
      </w:r>
      <w:r>
        <w:rPr>
          <w:rFonts w:hint="eastAsia" w:ascii="仿宋" w:hAnsi="仿宋" w:eastAsia="仿宋" w:cs="仿宋"/>
          <w:color w:val="auto"/>
          <w:highlight w:val="none"/>
          <w:lang w:eastAsia="zh-CN"/>
        </w:rPr>
        <w:t>除合同约定或依法应由监理人、造价咨询人、设计顾问人行使的职权外，监理人、造价咨询人、设计顾问人可将其职权以书面形式授予其任命的监理人代表、造价咨询人代表、设计顾问人代表，亦可将其授权撤回。任何此类任命或撤回，至少提前</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天以书面形式通知发包人和承包人。未将有关文件送交发包人和承包人之前，任何此类任命或撤回均为无效。</w:t>
      </w:r>
    </w:p>
    <w:p>
      <w:pPr>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425" w:name="_Toc7722"/>
      <w:bookmarkStart w:id="426" w:name="_Toc11119"/>
      <w:bookmarkStart w:id="427" w:name="_Toc12751"/>
      <w:bookmarkStart w:id="428" w:name="_Toc1844"/>
      <w:bookmarkStart w:id="429" w:name="_Toc20777"/>
      <w:bookmarkStart w:id="430" w:name="_Toc25525"/>
      <w:bookmarkStart w:id="431" w:name="_Toc10639"/>
      <w:bookmarkStart w:id="432" w:name="_Toc69"/>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5</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发包人代表</w:t>
      </w:r>
      <w:bookmarkEnd w:id="425"/>
      <w:bookmarkEnd w:id="426"/>
      <w:bookmarkEnd w:id="427"/>
      <w:bookmarkEnd w:id="428"/>
      <w:bookmarkEnd w:id="429"/>
      <w:bookmarkEnd w:id="430"/>
      <w:bookmarkEnd w:id="431"/>
      <w:bookmarkEnd w:id="432"/>
    </w:p>
    <w:p>
      <w:pPr>
        <w:rPr>
          <w:rFonts w:ascii="仿宋" w:hAnsi="仿宋" w:eastAsia="仿宋"/>
          <w:b/>
          <w:bCs/>
          <w:color w:val="auto"/>
          <w:highlight w:val="none"/>
          <w:lang w:eastAsia="zh-CN"/>
        </w:rPr>
      </w:pPr>
      <w:bookmarkStart w:id="433" w:name="_Toc25689"/>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5</w:t>
      </w:r>
      <w:r>
        <w:rPr>
          <w:rFonts w:ascii="仿宋" w:hAnsi="仿宋" w:eastAsia="仿宋" w:cs="仿宋"/>
          <w:b/>
          <w:bCs/>
          <w:color w:val="auto"/>
          <w:highlight w:val="none"/>
          <w:lang w:eastAsia="zh-CN"/>
        </w:rPr>
        <w:t>.1</w:t>
      </w:r>
      <w:bookmarkEnd w:id="433"/>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2752" behindDoc="0" locked="0" layoutInCell="1" allowOverlap="1">
                <wp:simplePos x="0" y="0"/>
                <wp:positionH relativeFrom="column">
                  <wp:posOffset>-114300</wp:posOffset>
                </wp:positionH>
                <wp:positionV relativeFrom="paragraph">
                  <wp:posOffset>53340</wp:posOffset>
                </wp:positionV>
                <wp:extent cx="851535" cy="459105"/>
                <wp:effectExtent l="0" t="0" r="0" b="0"/>
                <wp:wrapNone/>
                <wp:docPr id="63" name="文本框 760"/>
                <wp:cNvGraphicFramePr/>
                <a:graphic xmlns:a="http://schemas.openxmlformats.org/drawingml/2006/main">
                  <a:graphicData uri="http://schemas.microsoft.com/office/word/2010/wordprocessingShape">
                    <wps:wsp>
                      <wps:cNvSpPr txBox="1"/>
                      <wps:spPr>
                        <a:xfrm>
                          <a:off x="0" y="0"/>
                          <a:ext cx="851535" cy="45910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发包人对其代表授权</w:t>
                            </w:r>
                          </w:p>
                        </w:txbxContent>
                      </wps:txbx>
                      <wps:bodyPr wrap="square" upright="1"/>
                    </wps:wsp>
                  </a:graphicData>
                </a:graphic>
              </wp:anchor>
            </w:drawing>
          </mc:Choice>
          <mc:Fallback>
            <w:pict>
              <v:shape id="文本框 760" o:spid="_x0000_s1026" o:spt="202" type="#_x0000_t202" style="position:absolute;left:0pt;margin-left:-9pt;margin-top:4.2pt;height:36.15pt;width:67.05pt;z-index:251722752;mso-width-relative:page;mso-height-relative:page;" filled="f" stroked="f" coordsize="21600,21600" o:gfxdata="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yR9sIdUAAAAIAQAADwAAAAAAAAABACAAAAAiAAAAZHJzL2Rvd25yZXYueG1sUEsBAhQAFAAA&#10;AAgAh07iQL9Obw6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发包人对其代表授权</w:t>
                      </w:r>
                    </w:p>
                  </w:txbxContent>
                </v:textbox>
              </v:shape>
            </w:pict>
          </mc:Fallback>
        </mc:AlternateContent>
      </w:r>
      <w:r>
        <w:rPr>
          <w:rFonts w:hint="eastAsia" w:ascii="仿宋" w:hAnsi="仿宋" w:eastAsia="仿宋" w:cs="仿宋"/>
          <w:color w:val="auto"/>
          <w:highlight w:val="none"/>
          <w:lang w:eastAsia="zh-CN"/>
        </w:rPr>
        <w:t>发包人应在专用条款中写明发包人代表具体人选，并在开工前将发包人代表任命书以书面形式通知承包人，授予其代表发包人履行合同约定职责所需的一切权力。除专用条款另有约定外，发包人不应对发包人代表的权力另有限制。</w:t>
      </w:r>
    </w:p>
    <w:p>
      <w:pPr>
        <w:pStyle w:val="22"/>
        <w:tabs>
          <w:tab w:val="left" w:pos="1320"/>
          <w:tab w:val="left" w:pos="1620"/>
        </w:tabs>
        <w:adjustRightInd w:val="0"/>
        <w:snapToGrid w:val="0"/>
        <w:spacing w:line="360" w:lineRule="auto"/>
        <w:rPr>
          <w:rFonts w:ascii="仿宋" w:hAnsi="仿宋" w:eastAsia="仿宋"/>
          <w:b/>
          <w:bCs/>
          <w:color w:val="auto"/>
          <w:sz w:val="24"/>
          <w:szCs w:val="24"/>
          <w:highlight w:val="none"/>
          <w:lang w:eastAsia="zh-CN"/>
        </w:rPr>
      </w:pPr>
      <w:bookmarkStart w:id="434" w:name="_Toc22456"/>
      <w:r>
        <w:rPr>
          <w:rFonts w:ascii="仿宋" w:hAnsi="仿宋" w:eastAsia="仿宋" w:cs="仿宋"/>
          <w:b/>
          <w:bCs/>
          <w:color w:val="auto"/>
          <w:sz w:val="24"/>
          <w:szCs w:val="24"/>
          <w:highlight w:val="none"/>
          <w:lang w:eastAsia="zh-CN"/>
        </w:rPr>
        <w:t>2</w:t>
      </w:r>
      <w:r>
        <w:rPr>
          <w:rFonts w:hint="eastAsia" w:ascii="仿宋" w:hAnsi="仿宋" w:eastAsia="仿宋" w:cs="仿宋"/>
          <w:b/>
          <w:bCs/>
          <w:color w:val="auto"/>
          <w:sz w:val="24"/>
          <w:szCs w:val="24"/>
          <w:highlight w:val="none"/>
          <w:lang w:eastAsia="zh-CN"/>
        </w:rPr>
        <w:t>5</w:t>
      </w:r>
      <w:r>
        <w:rPr>
          <w:rFonts w:ascii="仿宋" w:hAnsi="仿宋" w:eastAsia="仿宋" w:cs="仿宋"/>
          <w:b/>
          <w:bCs/>
          <w:color w:val="auto"/>
          <w:sz w:val="24"/>
          <w:szCs w:val="24"/>
          <w:highlight w:val="none"/>
          <w:lang w:eastAsia="zh-CN"/>
        </w:rPr>
        <w:t>.2</w:t>
      </w:r>
      <w:bookmarkEnd w:id="434"/>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723776" behindDoc="0" locked="0" layoutInCell="1" allowOverlap="1">
                <wp:simplePos x="0" y="0"/>
                <wp:positionH relativeFrom="column">
                  <wp:posOffset>-114300</wp:posOffset>
                </wp:positionH>
                <wp:positionV relativeFrom="paragraph">
                  <wp:posOffset>76200</wp:posOffset>
                </wp:positionV>
                <wp:extent cx="823595" cy="506730"/>
                <wp:effectExtent l="0" t="0" r="0" b="0"/>
                <wp:wrapNone/>
                <wp:docPr id="64" name="文本框 761"/>
                <wp:cNvGraphicFramePr/>
                <a:graphic xmlns:a="http://schemas.openxmlformats.org/drawingml/2006/main">
                  <a:graphicData uri="http://schemas.microsoft.com/office/word/2010/wordprocessingShape">
                    <wps:wsp>
                      <wps:cNvSpPr txBox="1"/>
                      <wps:spPr>
                        <a:xfrm>
                          <a:off x="0" y="0"/>
                          <a:ext cx="823595" cy="50673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发包人代表职权</w:t>
                            </w:r>
                          </w:p>
                        </w:txbxContent>
                      </wps:txbx>
                      <wps:bodyPr wrap="square" upright="1"/>
                    </wps:wsp>
                  </a:graphicData>
                </a:graphic>
              </wp:anchor>
            </w:drawing>
          </mc:Choice>
          <mc:Fallback>
            <w:pict>
              <v:shape id="文本框 761" o:spid="_x0000_s1026" o:spt="202" type="#_x0000_t202" style="position:absolute;left:0pt;margin-left:-9pt;margin-top:6pt;height:39.9pt;width:64.85pt;z-index:251723776;mso-width-relative:page;mso-height-relative:page;" filled="f" stroked="f" coordsize="21600,21600" o:gfxdata="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QnEjBdYAAAAJAQAADwAAAAAAAAABACAAAAAiAAAAZHJzL2Rvd25yZXYueG1sUEsBAhQA&#10;FAAAAAgAh07iQOAlALG7AQAAXg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发包人代表职权</w:t>
                      </w:r>
                    </w:p>
                  </w:txbxContent>
                </v:textbox>
              </v:shape>
            </w:pict>
          </mc:Fallback>
        </mc:AlternateContent>
      </w:r>
      <w:r>
        <w:rPr>
          <w:rFonts w:hint="eastAsia" w:ascii="仿宋" w:hAnsi="仿宋" w:eastAsia="仿宋" w:cs="仿宋"/>
          <w:color w:val="auto"/>
          <w:highlight w:val="none"/>
          <w:lang w:eastAsia="zh-CN"/>
        </w:rPr>
        <w:t>发包人代表应代表发包人履行合同约定的职责、行使合同明文约定和必然隐含的权力，对发包人负责。发包人代表在发包人授予职权范围内工作，发包人应予认可。</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发包人代表应在发包人的授权范围内，负责处理合同履行过程中与发包人有关的具体事宜。发包人代表在授权范围内的行为由发包人承担法律责任。</w:t>
      </w:r>
    </w:p>
    <w:p>
      <w:pPr>
        <w:widowControl w:val="0"/>
        <w:tabs>
          <w:tab w:val="left" w:pos="4970"/>
        </w:tabs>
        <w:spacing w:line="360" w:lineRule="auto"/>
        <w:ind w:left="1850" w:leftChars="771"/>
        <w:jc w:val="both"/>
        <w:rPr>
          <w:rFonts w:ascii="仿宋" w:hAnsi="仿宋" w:eastAsia="仿宋" w:cs="仿宋"/>
          <w:color w:val="auto"/>
          <w:highlight w:val="none"/>
          <w:lang w:eastAsia="zh-CN"/>
        </w:rPr>
      </w:pPr>
    </w:p>
    <w:p>
      <w:pPr>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435" w:name="_Toc32414576"/>
      <w:bookmarkStart w:id="436" w:name="_Toc14079"/>
      <w:bookmarkStart w:id="437" w:name="_Toc26256"/>
      <w:bookmarkStart w:id="438" w:name="_Toc22869"/>
      <w:bookmarkStart w:id="439" w:name="_Toc1279"/>
      <w:bookmarkStart w:id="440" w:name="_Toc15690"/>
      <w:bookmarkStart w:id="441" w:name="_Toc6400"/>
      <w:bookmarkStart w:id="442" w:name="_Toc2832"/>
      <w:bookmarkStart w:id="443" w:name="_Toc20891"/>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 xml:space="preserve">  </w:t>
      </w:r>
      <w:bookmarkEnd w:id="435"/>
      <w:r>
        <w:rPr>
          <w:rFonts w:hint="eastAsia" w:ascii="仿宋" w:hAnsi="仿宋" w:eastAsia="仿宋" w:cs="仿宋"/>
          <w:color w:val="auto"/>
          <w:sz w:val="24"/>
          <w:szCs w:val="24"/>
          <w:highlight w:val="none"/>
          <w:lang w:eastAsia="zh-CN"/>
        </w:rPr>
        <w:t>设计顾问人</w:t>
      </w:r>
      <w:bookmarkEnd w:id="436"/>
      <w:bookmarkEnd w:id="437"/>
      <w:bookmarkEnd w:id="438"/>
      <w:bookmarkEnd w:id="439"/>
      <w:bookmarkEnd w:id="440"/>
      <w:bookmarkEnd w:id="441"/>
      <w:bookmarkEnd w:id="442"/>
      <w:bookmarkEnd w:id="443"/>
    </w:p>
    <w:p>
      <w:pPr>
        <w:tabs>
          <w:tab w:val="left" w:pos="1260"/>
        </w:tabs>
        <w:spacing w:line="400" w:lineRule="exact"/>
        <w:rPr>
          <w:rFonts w:ascii="仿宋" w:hAnsi="仿宋" w:eastAsia="仿宋"/>
          <w:b/>
          <w:bCs/>
          <w:color w:val="auto"/>
          <w:highlight w:val="none"/>
          <w:lang w:eastAsia="zh-CN"/>
        </w:rPr>
      </w:pPr>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.1</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78752" behindDoc="0" locked="0" layoutInCell="1" allowOverlap="1">
                <wp:simplePos x="0" y="0"/>
                <wp:positionH relativeFrom="column">
                  <wp:posOffset>-114300</wp:posOffset>
                </wp:positionH>
                <wp:positionV relativeFrom="paragraph">
                  <wp:posOffset>45720</wp:posOffset>
                </wp:positionV>
                <wp:extent cx="850900" cy="607060"/>
                <wp:effectExtent l="0" t="0" r="0" b="0"/>
                <wp:wrapNone/>
                <wp:docPr id="313" name="文本框 769"/>
                <wp:cNvGraphicFramePr/>
                <a:graphic xmlns:a="http://schemas.openxmlformats.org/drawingml/2006/main">
                  <a:graphicData uri="http://schemas.microsoft.com/office/word/2010/wordprocessingShape">
                    <wps:wsp>
                      <wps:cNvSpPr txBox="1"/>
                      <wps:spPr>
                        <a:xfrm>
                          <a:off x="0" y="0"/>
                          <a:ext cx="850900" cy="60706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发包人对设计顾问人授权</w:t>
                            </w:r>
                          </w:p>
                        </w:txbxContent>
                      </wps:txbx>
                      <wps:bodyPr wrap="square" upright="1"/>
                    </wps:wsp>
                  </a:graphicData>
                </a:graphic>
              </wp:anchor>
            </w:drawing>
          </mc:Choice>
          <mc:Fallback>
            <w:pict>
              <v:shape id="文本框 769" o:spid="_x0000_s1026" o:spt="202" type="#_x0000_t202" style="position:absolute;left:0pt;margin-left:-9pt;margin-top:3.6pt;height:47.8pt;width:67pt;z-index:251978752;mso-width-relative:page;mso-height-relative:page;" filled="f" stroked="f" coordsize="21600,21600" o:gfxdata="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tO/IYtYAAAAJAQAADwAAAAAAAAABACAAAAAiAAAAZHJzL2Rvd25yZXYueG1sUEsBAhQA&#10;FAAAAAgAh07iQMpkUe27AQAAXw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发包人对设计顾问人授权</w:t>
                      </w:r>
                    </w:p>
                  </w:txbxContent>
                </v:textbox>
              </v:shape>
            </w:pict>
          </mc:Fallback>
        </mc:AlternateContent>
      </w:r>
      <w:r>
        <w:rPr>
          <w:rFonts w:hint="eastAsia" w:ascii="仿宋" w:hAnsi="仿宋" w:eastAsia="仿宋" w:cs="仿宋"/>
          <w:color w:val="auto"/>
          <w:highlight w:val="none"/>
          <w:lang w:eastAsia="zh-CN"/>
        </w:rPr>
        <w:t>发包人应在专用条款中写明协助其对工程勘察设计活动进行监督管理的设计顾问人名称及设计顾问人代表，并在开始工作前将设计顾问人及设计顾问人代表以书面形式通知承包人，授予其代表发包人履行合同约定职责所需的权力。</w:t>
      </w:r>
    </w:p>
    <w:p>
      <w:pPr>
        <w:spacing w:line="360" w:lineRule="auto"/>
        <w:rPr>
          <w:rFonts w:ascii="仿宋" w:hAnsi="仿宋" w:eastAsia="仿宋"/>
          <w:b/>
          <w:bCs/>
          <w:color w:val="auto"/>
          <w:highlight w:val="none"/>
          <w:lang w:eastAsia="zh-CN"/>
        </w:rPr>
      </w:pPr>
      <w:bookmarkStart w:id="444" w:name="_Toc16119"/>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.2</w:t>
      </w:r>
      <w:bookmarkEnd w:id="44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979776" behindDoc="0" locked="0" layoutInCell="1" allowOverlap="1">
                <wp:simplePos x="0" y="0"/>
                <wp:positionH relativeFrom="column">
                  <wp:posOffset>-114300</wp:posOffset>
                </wp:positionH>
                <wp:positionV relativeFrom="paragraph">
                  <wp:posOffset>-1270</wp:posOffset>
                </wp:positionV>
                <wp:extent cx="762635" cy="459740"/>
                <wp:effectExtent l="0" t="0" r="0" b="0"/>
                <wp:wrapNone/>
                <wp:docPr id="314" name="文本框 770"/>
                <wp:cNvGraphicFramePr/>
                <a:graphic xmlns:a="http://schemas.openxmlformats.org/drawingml/2006/main">
                  <a:graphicData uri="http://schemas.microsoft.com/office/word/2010/wordprocessingShape">
                    <wps:wsp>
                      <wps:cNvSpPr txBox="1"/>
                      <wps:spPr>
                        <a:xfrm>
                          <a:off x="0" y="0"/>
                          <a:ext cx="762635" cy="45974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设计顾问人职权</w:t>
                            </w:r>
                          </w:p>
                        </w:txbxContent>
                      </wps:txbx>
                      <wps:bodyPr wrap="square" upright="1"/>
                    </wps:wsp>
                  </a:graphicData>
                </a:graphic>
              </wp:anchor>
            </w:drawing>
          </mc:Choice>
          <mc:Fallback>
            <w:pict>
              <v:shape id="文本框 770" o:spid="_x0000_s1026" o:spt="202" type="#_x0000_t202" style="position:absolute;left:0pt;margin-left:-9pt;margin-top:-0.1pt;height:36.2pt;width:60.05pt;z-index:251979776;mso-width-relative:page;mso-height-relative:page;" filled="f" stroked="f" coordsize="21600,21600" o:gfxdata="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YKyyudUAAAAIAQAADwAAAAAAAAABACAAAAAiAAAAZHJzL2Rvd25yZXYueG1sUEsBAhQAFAAA&#10;AAgAh07iQAjBSuC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设计顾问人职权</w:t>
                      </w:r>
                    </w:p>
                  </w:txbxContent>
                </v:textbox>
              </v:shape>
            </w:pict>
          </mc:Fallback>
        </mc:AlternateContent>
      </w:r>
      <w:r>
        <w:rPr>
          <w:rFonts w:hint="eastAsia" w:ascii="仿宋" w:hAnsi="仿宋" w:eastAsia="仿宋" w:cs="仿宋"/>
          <w:color w:val="auto"/>
          <w:highlight w:val="none"/>
          <w:lang w:eastAsia="zh-CN"/>
        </w:rPr>
        <w:t>设计顾问人行使合同明文约定和必然隐含的职权，协助发包人负责设计要求编写、工程材料比选、工程设备比选、限额设计管理、勘察设计进度检查、施工图审核、专业工程设计图审核、设计文件深度检查、建筑信息模型（BIM）审核、设计</w:t>
      </w:r>
      <w:r>
        <w:rPr>
          <w:rFonts w:hint="eastAsia" w:ascii="仿宋" w:hAnsi="仿宋" w:eastAsia="仿宋"/>
          <w:color w:val="auto"/>
          <w:highlight w:val="none"/>
          <w:lang w:eastAsia="zh-CN"/>
        </w:rPr>
        <w:t>优化建议、设计变更审核、参与设计评审、参与竣工验收，</w:t>
      </w:r>
      <w:r>
        <w:rPr>
          <w:rFonts w:hint="eastAsia" w:ascii="仿宋" w:hAnsi="仿宋" w:eastAsia="仿宋" w:cs="仿宋"/>
          <w:color w:val="auto"/>
          <w:highlight w:val="none"/>
          <w:lang w:eastAsia="zh-CN"/>
        </w:rPr>
        <w:t>并及时向承包人提供勘察设计工作方面所需的批准、确认和通知等指令，保障工程勘察设计的进度、安全、质量与经济合理。设计顾问人无权免除或变更合同约定的合同任何一方当事人在合同履行期间的权利和义务。设计顾问人的具体咨询工作内容和工作权限，由合同当事人在专用条款中约定。</w:t>
      </w:r>
    </w:p>
    <w:p>
      <w:pPr>
        <w:spacing w:line="360" w:lineRule="auto"/>
        <w:rPr>
          <w:rFonts w:ascii="仿宋" w:hAnsi="仿宋" w:eastAsia="仿宋"/>
          <w:b/>
          <w:bCs/>
          <w:color w:val="auto"/>
          <w:highlight w:val="none"/>
          <w:lang w:eastAsia="zh-CN"/>
        </w:rPr>
      </w:pPr>
      <w:bookmarkStart w:id="445" w:name="_Toc15021"/>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.3</w:t>
      </w:r>
      <w:bookmarkEnd w:id="44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980800" behindDoc="0" locked="0" layoutInCell="1" allowOverlap="1">
                <wp:simplePos x="0" y="0"/>
                <wp:positionH relativeFrom="column">
                  <wp:posOffset>-114300</wp:posOffset>
                </wp:positionH>
                <wp:positionV relativeFrom="paragraph">
                  <wp:posOffset>0</wp:posOffset>
                </wp:positionV>
                <wp:extent cx="798830" cy="615950"/>
                <wp:effectExtent l="0" t="0" r="0" b="0"/>
                <wp:wrapNone/>
                <wp:docPr id="315" name="文本框 771"/>
                <wp:cNvGraphicFramePr/>
                <a:graphic xmlns:a="http://schemas.openxmlformats.org/drawingml/2006/main">
                  <a:graphicData uri="http://schemas.microsoft.com/office/word/2010/wordprocessingShape">
                    <wps:wsp>
                      <wps:cNvSpPr txBox="1"/>
                      <wps:spPr>
                        <a:xfrm>
                          <a:off x="0" y="0"/>
                          <a:ext cx="798830" cy="61595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设计顾问人职权限制</w:t>
                            </w:r>
                          </w:p>
                        </w:txbxContent>
                      </wps:txbx>
                      <wps:bodyPr wrap="square" upright="1"/>
                    </wps:wsp>
                  </a:graphicData>
                </a:graphic>
              </wp:anchor>
            </w:drawing>
          </mc:Choice>
          <mc:Fallback>
            <w:pict>
              <v:shape id="文本框 771" o:spid="_x0000_s1026" o:spt="202" type="#_x0000_t202" style="position:absolute;left:0pt;margin-left:-9pt;margin-top:0pt;height:48.5pt;width:62.9pt;z-index:251980800;mso-width-relative:page;mso-height-relative:page;" filled="f" stroked="f" coordsize="21600,21600" o:gfxdata="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eXuDk1QAAAAcBAAAPAAAAAAAAAAEAIAAAACIAAABkcnMvZG93bnJldi54bWxQSwECFAAU&#10;AAAACACHTuJAPNZJLbsBAABfAwAADgAAAAAAAAABACAAAAAk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设计顾问人职权限制</w:t>
                      </w:r>
                    </w:p>
                  </w:txbxContent>
                </v:textbox>
              </v:shape>
            </w:pict>
          </mc:Fallback>
        </mc:AlternateContent>
      </w:r>
      <w:r>
        <w:rPr>
          <w:rFonts w:hint="eastAsia" w:ascii="仿宋" w:hAnsi="仿宋" w:eastAsia="仿宋" w:cs="仿宋"/>
          <w:color w:val="auto"/>
          <w:highlight w:val="none"/>
          <w:lang w:eastAsia="zh-CN"/>
        </w:rPr>
        <w:t>除属于第91条约定的争议外，设计顾问人在职权范围内的工作，发包人应予认可，但下列事项应事先取得发包人的专项批准：</w:t>
      </w:r>
    </w:p>
    <w:p>
      <w:pPr>
        <w:widowControl w:val="0"/>
        <w:tabs>
          <w:tab w:val="left" w:pos="126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（1）批准承包人提供的配合施工的大样图、加工图等施工设计图纸；</w:t>
      </w:r>
    </w:p>
    <w:p>
      <w:pPr>
        <w:widowControl w:val="0"/>
        <w:tabs>
          <w:tab w:val="left" w:pos="12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（2）根据第5.1款约定发出的发包人要求（包括限额设计指标）；</w:t>
      </w:r>
    </w:p>
    <w:p>
      <w:pPr>
        <w:widowControl w:val="0"/>
        <w:tabs>
          <w:tab w:val="left" w:pos="126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（3）根据第6.1款约定发出的项目基础资料；</w:t>
      </w:r>
    </w:p>
    <w:p>
      <w:pPr>
        <w:widowControl w:val="0"/>
        <w:tabs>
          <w:tab w:val="left" w:pos="126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（4）根据第37条、38条约定批准或发出关于勘察、设计文件的指令；</w:t>
      </w:r>
    </w:p>
    <w:p>
      <w:pPr>
        <w:widowControl w:val="0"/>
        <w:tabs>
          <w:tab w:val="left" w:pos="12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（5）根据第41</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款约定批准或发出关于勘察、设计方面开始工作的指令；</w:t>
      </w:r>
    </w:p>
    <w:p>
      <w:pPr>
        <w:widowControl w:val="0"/>
        <w:tabs>
          <w:tab w:val="left" w:pos="12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（6）根据第44</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款约定批准或发出关于勘察、设计方面工作进度的变更指令；</w:t>
      </w:r>
    </w:p>
    <w:p>
      <w:pPr>
        <w:widowControl w:val="0"/>
        <w:tabs>
          <w:tab w:val="left" w:pos="12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（7）根据第63条约定批准或发出关于工程变更技术审核方面的指令；</w:t>
      </w:r>
    </w:p>
    <w:p>
      <w:pPr>
        <w:widowControl w:val="0"/>
        <w:tabs>
          <w:tab w:val="left" w:pos="12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（8）专用条款约定关于勘察设计方面需要发包人确认或批准的其他事项。</w:t>
      </w:r>
    </w:p>
    <w:p>
      <w:pPr>
        <w:spacing w:line="360" w:lineRule="auto"/>
        <w:rPr>
          <w:rFonts w:ascii="仿宋" w:hAnsi="仿宋" w:eastAsia="仿宋"/>
          <w:b/>
          <w:bCs/>
          <w:color w:val="auto"/>
          <w:highlight w:val="none"/>
          <w:lang w:eastAsia="zh-CN"/>
        </w:rPr>
      </w:pPr>
      <w:bookmarkStart w:id="446" w:name="_Toc15784"/>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.4</w:t>
      </w:r>
      <w:bookmarkEnd w:id="44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81824" behindDoc="0" locked="0" layoutInCell="1" allowOverlap="1">
                <wp:simplePos x="0" y="0"/>
                <wp:positionH relativeFrom="column">
                  <wp:posOffset>-114300</wp:posOffset>
                </wp:positionH>
                <wp:positionV relativeFrom="paragraph">
                  <wp:posOffset>0</wp:posOffset>
                </wp:positionV>
                <wp:extent cx="878205" cy="444500"/>
                <wp:effectExtent l="0" t="0" r="0" b="0"/>
                <wp:wrapNone/>
                <wp:docPr id="316" name="文本框 772"/>
                <wp:cNvGraphicFramePr/>
                <a:graphic xmlns:a="http://schemas.openxmlformats.org/drawingml/2006/main">
                  <a:graphicData uri="http://schemas.microsoft.com/office/word/2010/wordprocessingShape">
                    <wps:wsp>
                      <wps:cNvSpPr txBox="1"/>
                      <wps:spPr>
                        <a:xfrm>
                          <a:off x="0" y="0"/>
                          <a:ext cx="878205" cy="44450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设计顾问人指令</w:t>
                            </w:r>
                          </w:p>
                        </w:txbxContent>
                      </wps:txbx>
                      <wps:bodyPr wrap="square" upright="1"/>
                    </wps:wsp>
                  </a:graphicData>
                </a:graphic>
              </wp:anchor>
            </w:drawing>
          </mc:Choice>
          <mc:Fallback>
            <w:pict>
              <v:shape id="文本框 772" o:spid="_x0000_s1026" o:spt="202" type="#_x0000_t202" style="position:absolute;left:0pt;margin-left:-9pt;margin-top:0pt;height:35pt;width:69.15pt;z-index:251981824;mso-width-relative:page;mso-height-relative:page;" filled="f" stroked="f" coordsize="21600,21600" o:gfxdata="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vTntl1QAAAAcBAAAPAAAAAAAAAAEAIAAAACIAAABkcnMvZG93bnJldi54bWxQSwECFAAU&#10;AAAACACHTuJAV0nYTrsBAABfAwAADgAAAAAAAAABACAAAAAk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设计顾问人指令</w:t>
                      </w:r>
                    </w:p>
                  </w:txbxContent>
                </v:textbox>
              </v:shape>
            </w:pict>
          </mc:Fallback>
        </mc:AlternateContent>
      </w:r>
      <w:r>
        <w:rPr>
          <w:rFonts w:hint="eastAsia" w:ascii="仿宋" w:hAnsi="仿宋" w:eastAsia="仿宋" w:cs="仿宋"/>
          <w:color w:val="auto"/>
          <w:highlight w:val="none"/>
          <w:lang w:eastAsia="zh-CN"/>
        </w:rPr>
        <w:t>设计顾问人应按照合同约定时间向承包人提供实施合同工程的勘察、设计、BIM技术应用、竣工验收等工作所需的核实、调整和通知等指令。</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设计顾问人提供的指令，首先应通过发包人批准，并采用书面形式。在紧急情况下，设计顾问工程师可发出口头指令，但应在</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小时内给予书面确认。对设计顾问工程师的口头指令，承包人应予执行。如果承包人在设计顾问工程师发出的口头指令</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小时后未收到书面确认，则应在接到口头指令后的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天内向设计顾问人发出书面确认函。设计顾问咨询人应在承包人发出书面确认函后</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小时内给予答复；逾期未予答复的，视为承包人的书面确认函已被认可。</w:t>
      </w:r>
    </w:p>
    <w:p>
      <w:pPr>
        <w:spacing w:line="360" w:lineRule="auto"/>
        <w:rPr>
          <w:rFonts w:ascii="仿宋" w:hAnsi="仿宋" w:eastAsia="仿宋"/>
          <w:b/>
          <w:bCs/>
          <w:color w:val="auto"/>
          <w:highlight w:val="none"/>
          <w:lang w:eastAsia="zh-CN"/>
        </w:rPr>
      </w:pPr>
      <w:bookmarkStart w:id="447" w:name="_Toc26383"/>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.5</w:t>
      </w:r>
      <w:bookmarkEnd w:id="44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82848" behindDoc="0" locked="0" layoutInCell="1" allowOverlap="1">
                <wp:simplePos x="0" y="0"/>
                <wp:positionH relativeFrom="column">
                  <wp:posOffset>-114300</wp:posOffset>
                </wp:positionH>
                <wp:positionV relativeFrom="paragraph">
                  <wp:posOffset>15240</wp:posOffset>
                </wp:positionV>
                <wp:extent cx="786130" cy="583565"/>
                <wp:effectExtent l="0" t="0" r="0" b="0"/>
                <wp:wrapNone/>
                <wp:docPr id="317" name="文本框 773"/>
                <wp:cNvGraphicFramePr/>
                <a:graphic xmlns:a="http://schemas.openxmlformats.org/drawingml/2006/main">
                  <a:graphicData uri="http://schemas.microsoft.com/office/word/2010/wordprocessingShape">
                    <wps:wsp>
                      <wps:cNvSpPr txBox="1"/>
                      <wps:spPr>
                        <a:xfrm>
                          <a:off x="0" y="0"/>
                          <a:ext cx="786130" cy="58356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承包人执行设计顾问人指令</w:t>
                            </w:r>
                          </w:p>
                        </w:txbxContent>
                      </wps:txbx>
                      <wps:bodyPr wrap="square" upright="1"/>
                    </wps:wsp>
                  </a:graphicData>
                </a:graphic>
              </wp:anchor>
            </w:drawing>
          </mc:Choice>
          <mc:Fallback>
            <w:pict>
              <v:shape id="文本框 773" o:spid="_x0000_s1026" o:spt="202" type="#_x0000_t202" style="position:absolute;left:0pt;margin-left:-9pt;margin-top:1.2pt;height:45.95pt;width:61.9pt;z-index:251982848;mso-width-relative:page;mso-height-relative:page;" filled="f" stroked="f" coordsize="21600,21600" o:gfxdata="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CXs09LWAAAACAEAAA8AAAAAAAAAAQAgAAAAIgAAAGRycy9kb3ducmV2LnhtbFBLAQIUABQA&#10;AAAIAIdO4kCV5xXluQEAAF8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承包人执行设计顾问人指令</w:t>
                      </w:r>
                    </w:p>
                  </w:txbxContent>
                </v:textbox>
              </v:shape>
            </w:pict>
          </mc:Fallback>
        </mc:AlternateContent>
      </w:r>
      <w:r>
        <w:rPr>
          <w:rFonts w:hint="eastAsia" w:ascii="仿宋" w:hAnsi="仿宋" w:eastAsia="仿宋" w:cs="仿宋"/>
          <w:color w:val="auto"/>
          <w:highlight w:val="none"/>
          <w:lang w:eastAsia="zh-CN"/>
        </w:rPr>
        <w:t>如果承包人认为设计顾问人的指令不合理，应在收到指令后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小时内向设计顾问人提出书面报告，设计顾问人应在收到承包人报告后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小时内做出修改指令或继续执行原指令的决定，报经发包人批准后书面通知承包人。逾期不做出决定的，承包人可不执行设计顾问人的指令。</w:t>
      </w:r>
    </w:p>
    <w:p>
      <w:pPr>
        <w:spacing w:line="360" w:lineRule="auto"/>
        <w:rPr>
          <w:rFonts w:ascii="仿宋" w:hAnsi="仿宋" w:eastAsia="仿宋"/>
          <w:b/>
          <w:bCs/>
          <w:color w:val="auto"/>
          <w:highlight w:val="none"/>
          <w:lang w:eastAsia="zh-CN"/>
        </w:rPr>
      </w:pPr>
      <w:bookmarkStart w:id="448" w:name="_Toc21955"/>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.6</w:t>
      </w:r>
      <w:bookmarkEnd w:id="44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83872" behindDoc="0" locked="0" layoutInCell="1" allowOverlap="1">
                <wp:simplePos x="0" y="0"/>
                <wp:positionH relativeFrom="column">
                  <wp:posOffset>-114300</wp:posOffset>
                </wp:positionH>
                <wp:positionV relativeFrom="paragraph">
                  <wp:posOffset>0</wp:posOffset>
                </wp:positionV>
                <wp:extent cx="794385" cy="507365"/>
                <wp:effectExtent l="0" t="0" r="0" b="0"/>
                <wp:wrapNone/>
                <wp:docPr id="318" name="文本框 774"/>
                <wp:cNvGraphicFramePr/>
                <a:graphic xmlns:a="http://schemas.openxmlformats.org/drawingml/2006/main">
                  <a:graphicData uri="http://schemas.microsoft.com/office/word/2010/wordprocessingShape">
                    <wps:wsp>
                      <wps:cNvSpPr txBox="1"/>
                      <wps:spPr>
                        <a:xfrm>
                          <a:off x="0" y="0"/>
                          <a:ext cx="794385" cy="507365"/>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设计顾问人职权委托</w:t>
                            </w:r>
                          </w:p>
                        </w:txbxContent>
                      </wps:txbx>
                      <wps:bodyPr wrap="square" upright="1"/>
                    </wps:wsp>
                  </a:graphicData>
                </a:graphic>
              </wp:anchor>
            </w:drawing>
          </mc:Choice>
          <mc:Fallback>
            <w:pict>
              <v:shape id="文本框 774" o:spid="_x0000_s1026" o:spt="202" type="#_x0000_t202" style="position:absolute;left:0pt;margin-left:-9pt;margin-top:0pt;height:39.95pt;width:62.55pt;z-index:251983872;mso-width-relative:page;mso-height-relative:page;" filled="f" stroked="f" coordsize="21600,21600" o:gfxdata="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fSZpc1QAAAAcBAAAPAAAAAAAAAAEAIAAAACIAAABkcnMvZG93bnJldi54bWxQSwECFAAU&#10;AAAACACHTuJAHNIelbsBAABfAwAADgAAAAAAAAABACAAAAAkAQAAZHJzL2Uyb0RvYy54bWxQSwUG&#10;AAAAAAYABgBZAQAAUQU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设计顾问人职权委托</w:t>
                      </w:r>
                    </w:p>
                  </w:txbxContent>
                </v:textbox>
              </v:shape>
            </w:pict>
          </mc:Fallback>
        </mc:AlternateContent>
      </w:r>
      <w:r>
        <w:rPr>
          <w:rFonts w:hint="eastAsia" w:ascii="仿宋" w:hAnsi="仿宋" w:eastAsia="仿宋" w:cs="仿宋"/>
          <w:color w:val="auto"/>
          <w:highlight w:val="none"/>
          <w:lang w:eastAsia="zh-CN"/>
        </w:rPr>
        <w:t>设计顾问人可按照第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4</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授权给其任命的设计顾问人代表，亦可将其授权撤回，设计顾问人代表行使设计顾问人授予的职权，对设计顾问人负责。设计顾问人代表在设计顾问人授予职权范围内工作，设计顾问人应予认可，但设计顾问人保留因设计顾问人代表未反对合同工程的勘察、设计、建筑信息模型（BIM）、竣工验收等方面的错误而否定该工作，并发出纠正指令的权力。</w:t>
      </w:r>
    </w:p>
    <w:p>
      <w:pPr>
        <w:spacing w:line="360" w:lineRule="auto"/>
        <w:rPr>
          <w:rFonts w:ascii="仿宋" w:hAnsi="仿宋" w:eastAsia="仿宋"/>
          <w:color w:val="auto"/>
          <w:highlight w:val="none"/>
          <w:lang w:eastAsia="zh-CN"/>
        </w:rPr>
      </w:pPr>
      <w:bookmarkStart w:id="449" w:name="_Toc798"/>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.7</w:t>
      </w:r>
      <w:bookmarkEnd w:id="449"/>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r>
        <w:rPr>
          <w:rFonts w:hint="eastAsia" w:ascii="仿宋" w:hAnsi="仿宋" w:eastAsia="仿宋" w:cs="仿宋"/>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84896" behindDoc="0" locked="0" layoutInCell="1" allowOverlap="1">
                <wp:simplePos x="0" y="0"/>
                <wp:positionH relativeFrom="column">
                  <wp:posOffset>-114300</wp:posOffset>
                </wp:positionH>
                <wp:positionV relativeFrom="paragraph">
                  <wp:posOffset>0</wp:posOffset>
                </wp:positionV>
                <wp:extent cx="833120" cy="810260"/>
                <wp:effectExtent l="0" t="0" r="0" b="0"/>
                <wp:wrapNone/>
                <wp:docPr id="319" name="文本框 775"/>
                <wp:cNvGraphicFramePr/>
                <a:graphic xmlns:a="http://schemas.openxmlformats.org/drawingml/2006/main">
                  <a:graphicData uri="http://schemas.microsoft.com/office/word/2010/wordprocessingShape">
                    <wps:wsp>
                      <wps:cNvSpPr txBox="1"/>
                      <wps:spPr>
                        <a:xfrm>
                          <a:off x="0" y="0"/>
                          <a:ext cx="833120" cy="81026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设计顾问人未尽义务或失误的责任</w:t>
                            </w:r>
                          </w:p>
                        </w:txbxContent>
                      </wps:txbx>
                      <wps:bodyPr wrap="square" upright="1"/>
                    </wps:wsp>
                  </a:graphicData>
                </a:graphic>
              </wp:anchor>
            </w:drawing>
          </mc:Choice>
          <mc:Fallback>
            <w:pict>
              <v:shape id="文本框 775" o:spid="_x0000_s1026" o:spt="202" type="#_x0000_t202" style="position:absolute;left:0pt;margin-left:-9pt;margin-top:0pt;height:63.8pt;width:65.6pt;z-index:251984896;mso-width-relative:page;mso-height-relative:page;" filled="f" stroked="f" coordsize="21600,21600" o:gfxdata="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oXLiVNYAAAAIAQAADwAAAAAAAAABACAAAAAiAAAAZHJzL2Rvd25yZXYueG1sUEsBAhQA&#10;FAAAAAgAh07iQOv34pO7AQAAXw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设计顾问人未尽义务或失误的责任</w:t>
                      </w:r>
                    </w:p>
                  </w:txbxContent>
                </v:textbox>
              </v:shape>
            </w:pict>
          </mc:Fallback>
        </mc:AlternateContent>
      </w:r>
      <w:r>
        <w:rPr>
          <w:rFonts w:hint="eastAsia" w:ascii="仿宋" w:hAnsi="仿宋" w:eastAsia="仿宋" w:cs="仿宋"/>
          <w:color w:val="auto"/>
          <w:highlight w:val="none"/>
          <w:lang w:eastAsia="zh-CN"/>
        </w:rPr>
        <w:t>设计顾问人（含其代表）未能正确完成本合同约定的全部义务，或工作出现失误，导致费用的增加和（或）延误的工期，由发包人承担；给承包人造成损失的，发包人应予赔偿。</w:t>
      </w:r>
    </w:p>
    <w:p>
      <w:pPr>
        <w:spacing w:line="360" w:lineRule="auto"/>
        <w:rPr>
          <w:color w:val="auto"/>
          <w:highlight w:val="non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bCs w:val="0"/>
          <w:color w:val="auto"/>
          <w:sz w:val="24"/>
          <w:szCs w:val="24"/>
          <w:highlight w:val="none"/>
          <w:lang w:eastAsia="zh-CN"/>
        </w:rPr>
      </w:pPr>
      <w:bookmarkStart w:id="450" w:name="_Toc23644"/>
      <w:bookmarkStart w:id="451" w:name="_Toc5013"/>
      <w:bookmarkStart w:id="452" w:name="_Toc5102"/>
      <w:bookmarkStart w:id="453" w:name="_Toc7605"/>
      <w:bookmarkStart w:id="454" w:name="_Toc25652"/>
      <w:bookmarkStart w:id="455" w:name="_Toc31156"/>
      <w:bookmarkStart w:id="456" w:name="_Toc27265"/>
      <w:bookmarkStart w:id="457" w:name="_Toc30539"/>
      <w:r>
        <w:rPr>
          <w:rFonts w:ascii="仿宋" w:hAnsi="仿宋" w:eastAsia="仿宋" w:cs="仿宋"/>
          <w:bCs w:val="0"/>
          <w:color w:val="auto"/>
          <w:sz w:val="24"/>
          <w:szCs w:val="24"/>
          <w:highlight w:val="none"/>
          <w:lang w:eastAsia="zh-CN"/>
        </w:rPr>
        <w:t>2</w:t>
      </w:r>
      <w:r>
        <w:rPr>
          <w:rFonts w:hint="eastAsia" w:ascii="仿宋" w:hAnsi="仿宋" w:eastAsia="仿宋" w:cs="仿宋"/>
          <w:bCs w:val="0"/>
          <w:color w:val="auto"/>
          <w:sz w:val="24"/>
          <w:szCs w:val="24"/>
          <w:highlight w:val="none"/>
          <w:lang w:eastAsia="zh-CN"/>
        </w:rPr>
        <w:t>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监理人</w:t>
      </w:r>
      <w:bookmarkEnd w:id="450"/>
      <w:bookmarkEnd w:id="451"/>
      <w:bookmarkEnd w:id="452"/>
      <w:bookmarkEnd w:id="453"/>
      <w:bookmarkEnd w:id="454"/>
      <w:bookmarkEnd w:id="455"/>
      <w:bookmarkEnd w:id="456"/>
      <w:bookmarkEnd w:id="457"/>
    </w:p>
    <w:p>
      <w:pPr>
        <w:rPr>
          <w:rFonts w:ascii="仿宋" w:hAnsi="仿宋" w:eastAsia="仿宋"/>
          <w:b/>
          <w:bCs/>
          <w:color w:val="auto"/>
          <w:highlight w:val="none"/>
          <w:lang w:eastAsia="zh-CN"/>
        </w:rPr>
      </w:pPr>
      <w:bookmarkStart w:id="458" w:name="_Toc26025"/>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.1</w:t>
      </w:r>
      <w:bookmarkEnd w:id="458"/>
    </w:p>
    <w:p>
      <w:pPr>
        <w:pStyle w:val="33"/>
        <w:widowControl w:val="0"/>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4800" behindDoc="0" locked="0" layoutInCell="1" allowOverlap="1">
                <wp:simplePos x="0" y="0"/>
                <wp:positionH relativeFrom="column">
                  <wp:posOffset>-114300</wp:posOffset>
                </wp:positionH>
                <wp:positionV relativeFrom="paragraph">
                  <wp:posOffset>53340</wp:posOffset>
                </wp:positionV>
                <wp:extent cx="823595" cy="454660"/>
                <wp:effectExtent l="0" t="0" r="0" b="0"/>
                <wp:wrapNone/>
                <wp:docPr id="65" name="文本框 762"/>
                <wp:cNvGraphicFramePr/>
                <a:graphic xmlns:a="http://schemas.openxmlformats.org/drawingml/2006/main">
                  <a:graphicData uri="http://schemas.microsoft.com/office/word/2010/wordprocessingShape">
                    <wps:wsp>
                      <wps:cNvSpPr txBox="1"/>
                      <wps:spPr>
                        <a:xfrm>
                          <a:off x="0" y="0"/>
                          <a:ext cx="823595" cy="45466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发包人对监理人授权</w:t>
                            </w:r>
                          </w:p>
                        </w:txbxContent>
                      </wps:txbx>
                      <wps:bodyPr wrap="square" upright="1"/>
                    </wps:wsp>
                  </a:graphicData>
                </a:graphic>
              </wp:anchor>
            </w:drawing>
          </mc:Choice>
          <mc:Fallback>
            <w:pict>
              <v:shape id="文本框 762" o:spid="_x0000_s1026" o:spt="202" type="#_x0000_t202" style="position:absolute;left:0pt;margin-left:-9pt;margin-top:4.2pt;height:35.8pt;width:64.85pt;z-index:251724800;mso-width-relative:page;mso-height-relative:page;" filled="f" stroked="f" coordsize="21600,21600" o:gfxdata="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BY6AtPVAAAACAEAAA8AAAAAAAAAAQAgAAAAIgAAAGRycy9kb3ducmV2LnhtbFBLAQIUABQA&#10;AAAIAIdO4kBS7VAIugEAAF4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发包人对监理人授权</w:t>
                      </w:r>
                    </w:p>
                  </w:txbxContent>
                </v:textbox>
              </v:shape>
            </w:pict>
          </mc:Fallback>
        </mc:AlternateContent>
      </w:r>
      <w:r>
        <w:rPr>
          <w:rFonts w:hint="eastAsia" w:ascii="仿宋" w:hAnsi="仿宋" w:eastAsia="仿宋" w:cs="仿宋"/>
          <w:color w:val="auto"/>
          <w:highlight w:val="none"/>
          <w:lang w:eastAsia="zh-CN"/>
        </w:rPr>
        <w:t>发包人应在专用条款中写明负责合同工程监理的监理人名称和监理人代表，并在开工前将监理人及监理人代表以书面形式通知承包人，授予其代表发包人履行合同约定职责所需的权力。</w:t>
      </w:r>
    </w:p>
    <w:p>
      <w:pPr>
        <w:spacing w:line="360" w:lineRule="auto"/>
        <w:rPr>
          <w:rFonts w:ascii="仿宋" w:hAnsi="仿宋" w:eastAsia="仿宋"/>
          <w:b/>
          <w:bCs/>
          <w:color w:val="auto"/>
          <w:highlight w:val="none"/>
          <w:lang w:eastAsia="zh-CN"/>
        </w:rPr>
      </w:pPr>
      <w:bookmarkStart w:id="459" w:name="_Toc23653"/>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.2</w:t>
      </w:r>
      <w:bookmarkEnd w:id="45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5824" behindDoc="0" locked="0" layoutInCell="1" allowOverlap="1">
                <wp:simplePos x="0" y="0"/>
                <wp:positionH relativeFrom="column">
                  <wp:posOffset>-114300</wp:posOffset>
                </wp:positionH>
                <wp:positionV relativeFrom="paragraph">
                  <wp:posOffset>38100</wp:posOffset>
                </wp:positionV>
                <wp:extent cx="813435" cy="504825"/>
                <wp:effectExtent l="0" t="0" r="0" b="0"/>
                <wp:wrapNone/>
                <wp:docPr id="66" name="文本框 763"/>
                <wp:cNvGraphicFramePr/>
                <a:graphic xmlns:a="http://schemas.openxmlformats.org/drawingml/2006/main">
                  <a:graphicData uri="http://schemas.microsoft.com/office/word/2010/wordprocessingShape">
                    <wps:wsp>
                      <wps:cNvSpPr txBox="1"/>
                      <wps:spPr>
                        <a:xfrm>
                          <a:off x="0" y="0"/>
                          <a:ext cx="813435" cy="50482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监理人职权</w:t>
                            </w:r>
                          </w:p>
                        </w:txbxContent>
                      </wps:txbx>
                      <wps:bodyPr wrap="square" upright="1"/>
                    </wps:wsp>
                  </a:graphicData>
                </a:graphic>
              </wp:anchor>
            </w:drawing>
          </mc:Choice>
          <mc:Fallback>
            <w:pict>
              <v:shape id="文本框 763" o:spid="_x0000_s1026" o:spt="202" type="#_x0000_t202" style="position:absolute;left:0pt;margin-left:-9pt;margin-top:3pt;height:39.75pt;width:64.05pt;z-index:251725824;mso-width-relative:page;mso-height-relative:page;" filled="f" stroked="f" coordsize="21600,21600" o:gfxdata="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EBM2ivWAAAACAEAAA8AAAAAAAAAAQAgAAAAIgAAAGRycy9kb3ducmV2LnhtbFBLAQIUABQA&#10;AAAIAIdO4kDT+0KmuQEAAF4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监理人职权</w:t>
                      </w:r>
                    </w:p>
                  </w:txbxContent>
                </v:textbox>
              </v:shape>
            </w:pict>
          </mc:Fallback>
        </mc:AlternateContent>
      </w:r>
      <w:r>
        <w:rPr>
          <w:rFonts w:hint="eastAsia" w:ascii="仿宋" w:hAnsi="仿宋" w:eastAsia="仿宋" w:cs="仿宋"/>
          <w:color w:val="auto"/>
          <w:highlight w:val="none"/>
          <w:lang w:eastAsia="zh-CN"/>
        </w:rPr>
        <w:t>监理人行使合同明文约定和必然隐含的职权，代表发包人负责监督、检查合同工程的施工进度、质量、投资（造价）和安全，试验和检验承包人使用的与合同工程有关的工程材料、工程设备、施工设备和施工工艺，及时向承包人提供工作所需的批准、确认和通知等指令。监理人无权免除或变更合同约定的合同任何一方当事人在合同履行期间的权利和义务。</w:t>
      </w:r>
    </w:p>
    <w:p>
      <w:pPr>
        <w:spacing w:line="360" w:lineRule="auto"/>
        <w:rPr>
          <w:rFonts w:ascii="仿宋" w:hAnsi="仿宋" w:eastAsia="仿宋"/>
          <w:b/>
          <w:bCs/>
          <w:color w:val="auto"/>
          <w:highlight w:val="none"/>
          <w:lang w:eastAsia="zh-CN"/>
        </w:rPr>
      </w:pPr>
      <w:bookmarkStart w:id="460" w:name="_Toc2855"/>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.3</w:t>
      </w:r>
      <w:bookmarkEnd w:id="46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6848" behindDoc="0" locked="0" layoutInCell="1" allowOverlap="1">
                <wp:simplePos x="0" y="0"/>
                <wp:positionH relativeFrom="column">
                  <wp:posOffset>-114300</wp:posOffset>
                </wp:positionH>
                <wp:positionV relativeFrom="paragraph">
                  <wp:posOffset>68580</wp:posOffset>
                </wp:positionV>
                <wp:extent cx="775970" cy="448310"/>
                <wp:effectExtent l="0" t="0" r="0" b="0"/>
                <wp:wrapNone/>
                <wp:docPr id="67" name="文本框 764"/>
                <wp:cNvGraphicFramePr/>
                <a:graphic xmlns:a="http://schemas.openxmlformats.org/drawingml/2006/main">
                  <a:graphicData uri="http://schemas.microsoft.com/office/word/2010/wordprocessingShape">
                    <wps:wsp>
                      <wps:cNvSpPr txBox="1"/>
                      <wps:spPr>
                        <a:xfrm>
                          <a:off x="0" y="0"/>
                          <a:ext cx="775970" cy="44831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监理人职权限制</w:t>
                            </w:r>
                          </w:p>
                        </w:txbxContent>
                      </wps:txbx>
                      <wps:bodyPr wrap="square" upright="1"/>
                    </wps:wsp>
                  </a:graphicData>
                </a:graphic>
              </wp:anchor>
            </w:drawing>
          </mc:Choice>
          <mc:Fallback>
            <w:pict>
              <v:shape id="文本框 764" o:spid="_x0000_s1026" o:spt="202" type="#_x0000_t202" style="position:absolute;left:0pt;margin-left:-9pt;margin-top:5.4pt;height:35.3pt;width:61.1pt;z-index:251726848;mso-width-relative:page;mso-height-relative:page;" filled="f" stroked="f" coordsize="21600,21600" o:gfxdata="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o9upu9UAAAAJAQAADwAAAAAAAAABACAAAAAiAAAAZHJzL2Rvd25yZXYueG1sUEsBAhQAFAAA&#10;AAgAh07iQBTMWd+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监理人职权限制</w:t>
                      </w:r>
                    </w:p>
                  </w:txbxContent>
                </v:textbox>
              </v:shape>
            </w:pict>
          </mc:Fallback>
        </mc:AlternateContent>
      </w:r>
      <w:r>
        <w:rPr>
          <w:rFonts w:hint="eastAsia" w:ascii="仿宋" w:hAnsi="仿宋" w:eastAsia="仿宋" w:cs="仿宋"/>
          <w:color w:val="auto"/>
          <w:highlight w:val="none"/>
          <w:lang w:eastAsia="zh-CN"/>
        </w:rPr>
        <w:t>除属于第91条约定的争议外，监理人在职权范围内的工作，发包人应予认可，但下列事项应事先取得发包人的专项批准：</w:t>
      </w:r>
    </w:p>
    <w:p>
      <w:pPr>
        <w:widowControl w:val="0"/>
        <w:numPr>
          <w:ilvl w:val="0"/>
          <w:numId w:val="5"/>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根据第10</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款约定同意承包人分包工程；</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根据第21</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款约定批准承包人将工程材料和工程设备、施工设备移出施工场地；</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根据第40条约定批准承包人的设备及工器具购置方案、施工组织设计和工程进度计划；</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根据第41</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款约定发出的工程开工令；</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根据第44</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款约定发出加快进度的变更指令；</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根据第56.7款约定使用替换工程材料；</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根据第73条约定发出使用暂列金额的工作指令；</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根据第74条约定发出使用计日工的工作指令；</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根据第63条约定指令或批准的工程变更；</w:t>
      </w:r>
    </w:p>
    <w:p>
      <w:pPr>
        <w:widowControl w:val="0"/>
        <w:numPr>
          <w:ilvl w:val="0"/>
          <w:numId w:val="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根据第81条约定指令或确认的现场签证；</w:t>
      </w:r>
    </w:p>
    <w:p>
      <w:pPr>
        <w:widowControl w:val="0"/>
        <w:numPr>
          <w:ilvl w:val="0"/>
          <w:numId w:val="5"/>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专用条款约定需要发包人批准的其他事项。</w:t>
      </w:r>
    </w:p>
    <w:p>
      <w:pPr>
        <w:spacing w:line="360" w:lineRule="auto"/>
        <w:rPr>
          <w:rFonts w:ascii="仿宋" w:hAnsi="仿宋" w:eastAsia="仿宋"/>
          <w:b/>
          <w:bCs/>
          <w:color w:val="auto"/>
          <w:highlight w:val="none"/>
          <w:lang w:eastAsia="zh-CN"/>
        </w:rPr>
      </w:pPr>
      <w:bookmarkStart w:id="461" w:name="_Toc19055"/>
      <w:r>
        <w:rPr>
          <w:color w:val="auto"/>
          <w:highlight w:val="none"/>
        </w:rPr>
        <mc:AlternateContent>
          <mc:Choice Requires="wps">
            <w:drawing>
              <wp:anchor distT="0" distB="0" distL="114300" distR="114300" simplePos="0" relativeHeight="251985920" behindDoc="0" locked="0" layoutInCell="1" allowOverlap="1">
                <wp:simplePos x="0" y="0"/>
                <wp:positionH relativeFrom="column">
                  <wp:posOffset>-114300</wp:posOffset>
                </wp:positionH>
                <wp:positionV relativeFrom="paragraph">
                  <wp:posOffset>278130</wp:posOffset>
                </wp:positionV>
                <wp:extent cx="914400" cy="430530"/>
                <wp:effectExtent l="0" t="0" r="0" b="0"/>
                <wp:wrapNone/>
                <wp:docPr id="320" name="文本框 765"/>
                <wp:cNvGraphicFramePr/>
                <a:graphic xmlns:a="http://schemas.openxmlformats.org/drawingml/2006/main">
                  <a:graphicData uri="http://schemas.microsoft.com/office/word/2010/wordprocessingShape">
                    <wps:wsp>
                      <wps:cNvSpPr txBox="1"/>
                      <wps:spPr>
                        <a:xfrm>
                          <a:off x="0" y="0"/>
                          <a:ext cx="914400" cy="430530"/>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监理人指令</w:t>
                            </w:r>
                          </w:p>
                        </w:txbxContent>
                      </wps:txbx>
                      <wps:bodyPr wrap="square" upright="1"/>
                    </wps:wsp>
                  </a:graphicData>
                </a:graphic>
              </wp:anchor>
            </w:drawing>
          </mc:Choice>
          <mc:Fallback>
            <w:pict>
              <v:shape id="文本框 765" o:spid="_x0000_s1026" o:spt="202" type="#_x0000_t202" style="position:absolute;left:0pt;margin-left:-9pt;margin-top:21.9pt;height:33.9pt;width:72pt;z-index:251985920;mso-width-relative:page;mso-height-relative:page;" filled="f" stroked="f" coordsize="21600,21600" o:gfxdata="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jp2XENcAAAAKAQAADwAAAAAAAAABACAAAAAiAAAAZHJzL2Rvd25yZXYueG1sUEsBAhQA&#10;FAAAAAgAh07iQBmQUZe6AQAAXwMAAA4AAAAAAAAAAQAgAAAAJgEAAGRycy9lMm9Eb2MueG1sUEsF&#10;BgAAAAAGAAYAWQEAAFIFA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监理人指令</w:t>
                      </w:r>
                    </w:p>
                  </w:txbxContent>
                </v:textbox>
              </v:shape>
            </w:pict>
          </mc:Fallback>
        </mc:AlternateContent>
      </w:r>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.4</w:t>
      </w:r>
      <w:bookmarkEnd w:id="46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监理人应按照合同约定时间向承包人提供实施合同工程的进度、质量和安全工作所需的批准、确认和通知等指令。</w:t>
      </w:r>
    </w:p>
    <w:p>
      <w:pPr>
        <w:widowControl w:val="0"/>
        <w:tabs>
          <w:tab w:val="left" w:pos="1260"/>
        </w:tabs>
        <w:spacing w:line="360" w:lineRule="auto"/>
        <w:ind w:left="1850" w:leftChars="771"/>
        <w:jc w:val="both"/>
        <w:rPr>
          <w:rFonts w:ascii="仿宋" w:hAnsi="仿宋" w:eastAsia="仿宋"/>
          <w:b/>
          <w:bCs/>
          <w:color w:val="auto"/>
          <w:highlight w:val="none"/>
          <w:lang w:eastAsia="zh-CN"/>
        </w:rPr>
      </w:pPr>
      <w:r>
        <w:rPr>
          <w:rFonts w:hint="eastAsia" w:ascii="仿宋" w:hAnsi="仿宋" w:eastAsia="仿宋" w:cs="仿宋"/>
          <w:color w:val="auto"/>
          <w:highlight w:val="none"/>
          <w:lang w:eastAsia="zh-CN"/>
        </w:rPr>
        <w:t>监理人提供的指令，均应采用书面形式。在紧急情况下，监理工程师可发出口头指令，但应在</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小时内给予书面确认。对监理工程师的口头指令，承包人应予执行。如果承包人在监理工程师发出口头指令</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小时后未收到书面确认，则应在接到口头指令后的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天内向监理人发出书面确认函。监理人应在承包人收到书面确认函后</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小时内给予答复；逾期未予答复的，视为承包人的书面确认函已被认可。</w:t>
      </w:r>
    </w:p>
    <w:p>
      <w:pPr>
        <w:spacing w:line="360" w:lineRule="auto"/>
        <w:rPr>
          <w:rFonts w:ascii="仿宋" w:hAnsi="仿宋" w:eastAsia="仿宋"/>
          <w:b/>
          <w:bCs/>
          <w:color w:val="auto"/>
          <w:highlight w:val="none"/>
          <w:lang w:eastAsia="zh-CN"/>
        </w:rPr>
      </w:pPr>
      <w:bookmarkStart w:id="462" w:name="_Toc23713"/>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.5</w:t>
      </w:r>
      <w:bookmarkEnd w:id="46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7872" behindDoc="0" locked="0" layoutInCell="1" allowOverlap="1">
                <wp:simplePos x="0" y="0"/>
                <wp:positionH relativeFrom="column">
                  <wp:posOffset>-114300</wp:posOffset>
                </wp:positionH>
                <wp:positionV relativeFrom="paragraph">
                  <wp:posOffset>49530</wp:posOffset>
                </wp:positionV>
                <wp:extent cx="785495" cy="480060"/>
                <wp:effectExtent l="0" t="0" r="0" b="0"/>
                <wp:wrapNone/>
                <wp:docPr id="68" name="文本框 766"/>
                <wp:cNvGraphicFramePr/>
                <a:graphic xmlns:a="http://schemas.openxmlformats.org/drawingml/2006/main">
                  <a:graphicData uri="http://schemas.microsoft.com/office/word/2010/wordprocessingShape">
                    <wps:wsp>
                      <wps:cNvSpPr txBox="1"/>
                      <wps:spPr>
                        <a:xfrm>
                          <a:off x="0" y="0"/>
                          <a:ext cx="785495" cy="48006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承包人执行监理人指令</w:t>
                            </w:r>
                          </w:p>
                        </w:txbxContent>
                      </wps:txbx>
                      <wps:bodyPr wrap="square" upright="1"/>
                    </wps:wsp>
                  </a:graphicData>
                </a:graphic>
              </wp:anchor>
            </w:drawing>
          </mc:Choice>
          <mc:Fallback>
            <w:pict>
              <v:shape id="文本框 766" o:spid="_x0000_s1026" o:spt="202" type="#_x0000_t202" style="position:absolute;left:0pt;margin-left:-9pt;margin-top:3.9pt;height:37.8pt;width:61.85pt;z-index:251727872;mso-width-relative:page;mso-height-relative:page;" filled="f" stroked="f" coordsize="21600,21600" o:gfxdata="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HZ6d1DWAAAACAEAAA8AAAAAAAAAAQAgAAAAIgAAAGRycy9kb3ducmV2LnhtbFBLAQIUABQA&#10;AAAIAIdO4kAKVwLJuQEAAF4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承包人执行监理人指令</w:t>
                      </w:r>
                    </w:p>
                  </w:txbxContent>
                </v:textbox>
              </v:shape>
            </w:pict>
          </mc:Fallback>
        </mc:AlternateContent>
      </w:r>
      <w:r>
        <w:rPr>
          <w:rFonts w:hint="eastAsia" w:ascii="仿宋" w:hAnsi="仿宋" w:eastAsia="仿宋" w:cs="仿宋"/>
          <w:color w:val="auto"/>
          <w:highlight w:val="none"/>
          <w:lang w:eastAsia="zh-CN"/>
        </w:rPr>
        <w:t>如果承包人认为监理人的指令不合理，应在收到指令后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小时内向监理人提出书面报告，监理人应在收到承包人报告后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小时内做出修改指令或继续执行原指令的决定，并书面通知承包人。逾期不做出决定的，承包人可不执行监理人的指令。</w:t>
      </w:r>
    </w:p>
    <w:p>
      <w:pPr>
        <w:spacing w:line="360" w:lineRule="auto"/>
        <w:rPr>
          <w:rFonts w:ascii="仿宋" w:hAnsi="仿宋" w:eastAsia="仿宋"/>
          <w:color w:val="auto"/>
          <w:highlight w:val="none"/>
          <w:lang w:eastAsia="zh-CN"/>
        </w:rPr>
      </w:pPr>
      <w:bookmarkStart w:id="463" w:name="_Toc24030"/>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.6</w:t>
      </w:r>
      <w:bookmarkEnd w:id="463"/>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8896" behindDoc="0" locked="0" layoutInCell="1" allowOverlap="1">
                <wp:simplePos x="0" y="0"/>
                <wp:positionH relativeFrom="column">
                  <wp:posOffset>-114300</wp:posOffset>
                </wp:positionH>
                <wp:positionV relativeFrom="paragraph">
                  <wp:posOffset>12065</wp:posOffset>
                </wp:positionV>
                <wp:extent cx="775970" cy="497840"/>
                <wp:effectExtent l="0" t="0" r="0" b="0"/>
                <wp:wrapNone/>
                <wp:docPr id="69" name="文本框 767"/>
                <wp:cNvGraphicFramePr/>
                <a:graphic xmlns:a="http://schemas.openxmlformats.org/drawingml/2006/main">
                  <a:graphicData uri="http://schemas.microsoft.com/office/word/2010/wordprocessingShape">
                    <wps:wsp>
                      <wps:cNvSpPr txBox="1"/>
                      <wps:spPr>
                        <a:xfrm>
                          <a:off x="0" y="0"/>
                          <a:ext cx="775970" cy="49784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监理人职权委托</w:t>
                            </w:r>
                          </w:p>
                        </w:txbxContent>
                      </wps:txbx>
                      <wps:bodyPr wrap="square" upright="1"/>
                    </wps:wsp>
                  </a:graphicData>
                </a:graphic>
              </wp:anchor>
            </w:drawing>
          </mc:Choice>
          <mc:Fallback>
            <w:pict>
              <v:shape id="文本框 767" o:spid="_x0000_s1026" o:spt="202" type="#_x0000_t202" style="position:absolute;left:0pt;margin-left:-9pt;margin-top:0.95pt;height:39.2pt;width:61.1pt;z-index:251728896;mso-width-relative:page;mso-height-relative:page;" filled="f" stroked="f" coordsize="21600,21600" o:gfxdata="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ubKprVAAAACAEAAA8AAAAAAAAAAQAgAAAAIgAAAGRycy9kb3ducmV2LnhtbFBLAQIUABQA&#10;AAAIAIdO4kCOyrYaugEAAF4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监理人职权委托</w:t>
                      </w:r>
                    </w:p>
                  </w:txbxContent>
                </v:textbox>
              </v:shape>
            </w:pict>
          </mc:Fallback>
        </mc:AlternateContent>
      </w:r>
      <w:r>
        <w:rPr>
          <w:rFonts w:hint="eastAsia" w:ascii="仿宋" w:hAnsi="仿宋" w:eastAsia="仿宋" w:cs="仿宋"/>
          <w:color w:val="auto"/>
          <w:highlight w:val="none"/>
          <w:lang w:eastAsia="zh-CN"/>
        </w:rPr>
        <w:t>监理人可按照第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4</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授权给其任命的监理人代表，亦可将其授权撤回。监理人代表行使监理人授予的职权，对监理人负责。监理人代表在监理人授予职权范围内工作，监理人应予认可，但监理人保留发出指令以纠正监理人代表工作失误的权力。</w:t>
      </w:r>
    </w:p>
    <w:p>
      <w:pPr>
        <w:spacing w:line="360" w:lineRule="auto"/>
        <w:rPr>
          <w:rFonts w:ascii="仿宋" w:hAnsi="仿宋" w:eastAsia="仿宋"/>
          <w:b/>
          <w:bCs/>
          <w:color w:val="auto"/>
          <w:highlight w:val="none"/>
          <w:lang w:eastAsia="zh-CN"/>
        </w:rPr>
      </w:pPr>
      <w:bookmarkStart w:id="464" w:name="_Toc31450"/>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.7</w:t>
      </w:r>
      <w:bookmarkEnd w:id="46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29920" behindDoc="0" locked="0" layoutInCell="1" allowOverlap="1">
                <wp:simplePos x="0" y="0"/>
                <wp:positionH relativeFrom="column">
                  <wp:posOffset>-114300</wp:posOffset>
                </wp:positionH>
                <wp:positionV relativeFrom="paragraph">
                  <wp:posOffset>29210</wp:posOffset>
                </wp:positionV>
                <wp:extent cx="851535" cy="546100"/>
                <wp:effectExtent l="0" t="0" r="0" b="0"/>
                <wp:wrapNone/>
                <wp:docPr id="70" name="文本框 768"/>
                <wp:cNvGraphicFramePr/>
                <a:graphic xmlns:a="http://schemas.openxmlformats.org/drawingml/2006/main">
                  <a:graphicData uri="http://schemas.microsoft.com/office/word/2010/wordprocessingShape">
                    <wps:wsp>
                      <wps:cNvSpPr txBox="1"/>
                      <wps:spPr>
                        <a:xfrm>
                          <a:off x="0" y="0"/>
                          <a:ext cx="851535" cy="54610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监理人未尽义务或失误的责任</w:t>
                            </w:r>
                          </w:p>
                        </w:txbxContent>
                      </wps:txbx>
                      <wps:bodyPr wrap="square" upright="1"/>
                    </wps:wsp>
                  </a:graphicData>
                </a:graphic>
              </wp:anchor>
            </w:drawing>
          </mc:Choice>
          <mc:Fallback>
            <w:pict>
              <v:shape id="文本框 768" o:spid="_x0000_s1026" o:spt="202" type="#_x0000_t202" style="position:absolute;left:0pt;margin-left:-9pt;margin-top:2.3pt;height:43pt;width:67.05pt;z-index:251729920;mso-width-relative:page;mso-height-relative:page;" filled="f" stroked="f" coordsize="21600,21600" o:gfxdata="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pUgxKtUAAAAIAQAADwAAAAAAAAABACAAAAAiAAAAZHJzL2Rvd25yZXYueG1sUEsBAhQAFAAA&#10;AAgAh07iQCct/3q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监理人未尽义务或失误的责任</w:t>
                      </w:r>
                    </w:p>
                  </w:txbxContent>
                </v:textbox>
              </v:shape>
            </w:pict>
          </mc:Fallback>
        </mc:AlternateContent>
      </w:r>
      <w:r>
        <w:rPr>
          <w:rFonts w:hint="eastAsia" w:ascii="仿宋" w:hAnsi="仿宋" w:eastAsia="仿宋" w:cs="仿宋"/>
          <w:color w:val="auto"/>
          <w:highlight w:val="none"/>
          <w:lang w:eastAsia="zh-CN"/>
        </w:rPr>
        <w:t>监理人未能正确履行本合同约定的全部义务，或工作出现失误，导致费用的增加和（或）延误的工期，由发包人承担；给承包人造成损失的，发包人应予赔偿。</w:t>
      </w:r>
    </w:p>
    <w:p>
      <w:pPr>
        <w:tabs>
          <w:tab w:val="left" w:pos="1260"/>
        </w:tabs>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465" w:name="_Toc24480"/>
      <w:bookmarkStart w:id="466" w:name="_Toc7448"/>
      <w:bookmarkStart w:id="467" w:name="_Toc17124"/>
      <w:bookmarkStart w:id="468" w:name="_Toc7473"/>
      <w:bookmarkStart w:id="469" w:name="_Toc2324"/>
      <w:bookmarkStart w:id="470" w:name="_Toc13113"/>
      <w:bookmarkStart w:id="471" w:name="_Toc6556"/>
      <w:bookmarkStart w:id="472" w:name="_Toc13771"/>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造价咨询人</w:t>
      </w:r>
      <w:bookmarkEnd w:id="465"/>
      <w:bookmarkEnd w:id="466"/>
      <w:bookmarkEnd w:id="467"/>
      <w:bookmarkEnd w:id="468"/>
      <w:bookmarkEnd w:id="469"/>
      <w:bookmarkEnd w:id="470"/>
      <w:bookmarkEnd w:id="471"/>
      <w:bookmarkEnd w:id="472"/>
    </w:p>
    <w:p>
      <w:pPr>
        <w:tabs>
          <w:tab w:val="left" w:pos="1260"/>
        </w:tabs>
        <w:spacing w:line="400" w:lineRule="exact"/>
        <w:rPr>
          <w:rFonts w:ascii="仿宋" w:hAnsi="仿宋" w:eastAsia="仿宋"/>
          <w:b/>
          <w:bCs/>
          <w:color w:val="auto"/>
          <w:highlight w:val="none"/>
          <w:lang w:eastAsia="zh-CN"/>
        </w:rPr>
      </w:pPr>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.1</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0944" behindDoc="0" locked="0" layoutInCell="1" allowOverlap="1">
                <wp:simplePos x="0" y="0"/>
                <wp:positionH relativeFrom="column">
                  <wp:posOffset>-114300</wp:posOffset>
                </wp:positionH>
                <wp:positionV relativeFrom="paragraph">
                  <wp:posOffset>45720</wp:posOffset>
                </wp:positionV>
                <wp:extent cx="775335" cy="634365"/>
                <wp:effectExtent l="0" t="0" r="0" b="0"/>
                <wp:wrapNone/>
                <wp:docPr id="71" name="文本框 769"/>
                <wp:cNvGraphicFramePr/>
                <a:graphic xmlns:a="http://schemas.openxmlformats.org/drawingml/2006/main">
                  <a:graphicData uri="http://schemas.microsoft.com/office/word/2010/wordprocessingShape">
                    <wps:wsp>
                      <wps:cNvSpPr txBox="1"/>
                      <wps:spPr>
                        <a:xfrm>
                          <a:off x="0" y="0"/>
                          <a:ext cx="775335" cy="63436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发包人对造价咨询人授权</w:t>
                            </w:r>
                          </w:p>
                        </w:txbxContent>
                      </wps:txbx>
                      <wps:bodyPr wrap="square" upright="1"/>
                    </wps:wsp>
                  </a:graphicData>
                </a:graphic>
              </wp:anchor>
            </w:drawing>
          </mc:Choice>
          <mc:Fallback>
            <w:pict>
              <v:shape id="文本框 769" o:spid="_x0000_s1026" o:spt="202" type="#_x0000_t202" style="position:absolute;left:0pt;margin-left:-9pt;margin-top:3.6pt;height:49.95pt;width:61.05pt;z-index:251730944;mso-width-relative:page;mso-height-relative:page;" filled="f" stroked="f" coordsize="21600,21600" o:gfxdata="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rDtts1gAAAAkBAAAPAAAAAAAAAAEAIAAAACIAAABkcnMvZG93bnJldi54bWxQSwECFAAU&#10;AAAACACHTuJAZf3ohb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发包人对造价咨询人授权</w:t>
                      </w:r>
                    </w:p>
                  </w:txbxContent>
                </v:textbox>
              </v:shape>
            </w:pict>
          </mc:Fallback>
        </mc:AlternateContent>
      </w:r>
      <w:r>
        <w:rPr>
          <w:rFonts w:hint="eastAsia" w:ascii="仿宋" w:hAnsi="仿宋" w:eastAsia="仿宋" w:cs="仿宋"/>
          <w:color w:val="auto"/>
          <w:highlight w:val="none"/>
          <w:lang w:eastAsia="zh-CN"/>
        </w:rPr>
        <w:t>发包人应在专用条款中写明负责合同工程造价管理的造价咨询人名称和造价咨询人代表，并在开始工作前将造价咨询人及造价咨询人代表以书面形式通知承包人，授予其代表发包人履行合同约定职责所需的权力。</w:t>
      </w:r>
    </w:p>
    <w:p>
      <w:pPr>
        <w:spacing w:line="360" w:lineRule="auto"/>
        <w:rPr>
          <w:rFonts w:ascii="仿宋" w:hAnsi="仿宋" w:eastAsia="仿宋"/>
          <w:b/>
          <w:bCs/>
          <w:color w:val="auto"/>
          <w:highlight w:val="none"/>
          <w:lang w:eastAsia="zh-CN"/>
        </w:rPr>
      </w:pPr>
      <w:bookmarkStart w:id="473" w:name="_Toc6082"/>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.2</w:t>
      </w:r>
      <w:bookmarkEnd w:id="47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1968" behindDoc="0" locked="0" layoutInCell="1" allowOverlap="1">
                <wp:simplePos x="0" y="0"/>
                <wp:positionH relativeFrom="column">
                  <wp:posOffset>-114300</wp:posOffset>
                </wp:positionH>
                <wp:positionV relativeFrom="paragraph">
                  <wp:posOffset>-1270</wp:posOffset>
                </wp:positionV>
                <wp:extent cx="866775" cy="515620"/>
                <wp:effectExtent l="0" t="0" r="0" b="0"/>
                <wp:wrapNone/>
                <wp:docPr id="72" name="文本框 770"/>
                <wp:cNvGraphicFramePr/>
                <a:graphic xmlns:a="http://schemas.openxmlformats.org/drawingml/2006/main">
                  <a:graphicData uri="http://schemas.microsoft.com/office/word/2010/wordprocessingShape">
                    <wps:wsp>
                      <wps:cNvSpPr txBox="1"/>
                      <wps:spPr>
                        <a:xfrm>
                          <a:off x="0" y="0"/>
                          <a:ext cx="866775" cy="51562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造价人职权</w:t>
                            </w:r>
                          </w:p>
                        </w:txbxContent>
                      </wps:txbx>
                      <wps:bodyPr wrap="square" upright="1"/>
                    </wps:wsp>
                  </a:graphicData>
                </a:graphic>
              </wp:anchor>
            </w:drawing>
          </mc:Choice>
          <mc:Fallback>
            <w:pict>
              <v:shape id="文本框 770" o:spid="_x0000_s1026" o:spt="202" type="#_x0000_t202" style="position:absolute;left:0pt;margin-left:-9pt;margin-top:-0.1pt;height:40.6pt;width:68.25pt;z-index:251731968;mso-width-relative:page;mso-height-relative:page;" filled="f" stroked="f" coordsize="21600,21600" o:gfxdata="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MbIOCLVAAAACAEAAA8AAAAAAAAAAQAgAAAAIgAAAGRycy9kb3ducmV2LnhtbFBLAQIUABQAAAAI&#10;AIdO4kBVYgIStwEAAF4DAAAOAAAAAAAAAAEAIAAAACQBAABkcnMvZTJvRG9jLnhtbFBLBQYAAAAA&#10;BgAGAFkBAABN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造价人职权</w:t>
                      </w:r>
                    </w:p>
                  </w:txbxContent>
                </v:textbox>
              </v:shape>
            </w:pict>
          </mc:Fallback>
        </mc:AlternateContent>
      </w:r>
      <w:r>
        <w:rPr>
          <w:rFonts w:hint="eastAsia" w:ascii="仿宋" w:hAnsi="仿宋" w:eastAsia="仿宋" w:cs="仿宋"/>
          <w:color w:val="auto"/>
          <w:highlight w:val="none"/>
          <w:lang w:eastAsia="zh-CN"/>
        </w:rPr>
        <w:t>造价咨询人行使合同明文约定和必然隐含的职权，代表发包人负责工程计量和计价，合同价格的核实和调整，结算价款的编制或复核，签发支付证书，及时向承包人提供相关确认、调整和通知等指令。造价咨询人无权免除或变更合同约定的合同任何一方当事人在合同履行期间的权利和义务。</w:t>
      </w:r>
    </w:p>
    <w:p>
      <w:pPr>
        <w:spacing w:line="360" w:lineRule="auto"/>
        <w:rPr>
          <w:rFonts w:ascii="仿宋" w:hAnsi="仿宋" w:eastAsia="仿宋"/>
          <w:b/>
          <w:bCs/>
          <w:color w:val="auto"/>
          <w:highlight w:val="none"/>
          <w:lang w:eastAsia="zh-CN"/>
        </w:rPr>
      </w:pPr>
      <w:bookmarkStart w:id="474" w:name="_Toc541"/>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.3</w:t>
      </w:r>
      <w:bookmarkEnd w:id="47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2992" behindDoc="0" locked="0" layoutInCell="1" allowOverlap="1">
                <wp:simplePos x="0" y="0"/>
                <wp:positionH relativeFrom="column">
                  <wp:posOffset>-114300</wp:posOffset>
                </wp:positionH>
                <wp:positionV relativeFrom="paragraph">
                  <wp:posOffset>0</wp:posOffset>
                </wp:positionV>
                <wp:extent cx="781050" cy="511175"/>
                <wp:effectExtent l="0" t="0" r="0" b="0"/>
                <wp:wrapNone/>
                <wp:docPr id="73" name="文本框 771"/>
                <wp:cNvGraphicFramePr/>
                <a:graphic xmlns:a="http://schemas.openxmlformats.org/drawingml/2006/main">
                  <a:graphicData uri="http://schemas.microsoft.com/office/word/2010/wordprocessingShape">
                    <wps:wsp>
                      <wps:cNvSpPr txBox="1"/>
                      <wps:spPr>
                        <a:xfrm>
                          <a:off x="0" y="0"/>
                          <a:ext cx="781050" cy="5111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造价咨询人职权限制</w:t>
                            </w:r>
                          </w:p>
                        </w:txbxContent>
                      </wps:txbx>
                      <wps:bodyPr wrap="square" upright="1"/>
                    </wps:wsp>
                  </a:graphicData>
                </a:graphic>
              </wp:anchor>
            </w:drawing>
          </mc:Choice>
          <mc:Fallback>
            <w:pict>
              <v:shape id="文本框 771" o:spid="_x0000_s1026" o:spt="202" type="#_x0000_t202" style="position:absolute;left:0pt;margin-left:-9pt;margin-top:0pt;height:40.25pt;width:61.5pt;z-index:251732992;mso-width-relative:page;mso-height-relative:page;" filled="f" stroked="f" coordsize="21600,21600" o:gfxdata="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naHWXUAAAABwEAAA8AAAAAAAAAAQAgAAAAIgAAAGRycy9kb3ducmV2LnhtbFBLAQIUABQAAAAI&#10;AIdO4kBnlnnDuAEAAF4DAAAOAAAAAAAAAAEAIAAAACMBAABkcnMvZTJvRG9jLnhtbFBLBQYAAAAA&#10;BgAGAFkBAABN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造价咨询人职权限制</w:t>
                      </w:r>
                    </w:p>
                  </w:txbxContent>
                </v:textbox>
              </v:shape>
            </w:pict>
          </mc:Fallback>
        </mc:AlternateContent>
      </w:r>
      <w:r>
        <w:rPr>
          <w:rFonts w:hint="eastAsia" w:ascii="仿宋" w:hAnsi="仿宋" w:eastAsia="仿宋" w:cs="仿宋"/>
          <w:color w:val="auto"/>
          <w:highlight w:val="none"/>
          <w:lang w:eastAsia="zh-CN"/>
        </w:rPr>
        <w:t>除属于第91条约定的争议外，造价咨询人在职权范围内的工作，发包人应予认可，但下列事项应事先取得发包人的专项批准：</w:t>
      </w:r>
    </w:p>
    <w:p>
      <w:pPr>
        <w:widowControl w:val="0"/>
        <w:numPr>
          <w:ilvl w:val="0"/>
          <w:numId w:val="6"/>
        </w:numPr>
        <w:tabs>
          <w:tab w:val="clear" w:pos="9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根据第73条约定使用暂列金额；</w:t>
      </w:r>
    </w:p>
    <w:p>
      <w:pPr>
        <w:widowControl w:val="0"/>
        <w:numPr>
          <w:ilvl w:val="0"/>
          <w:numId w:val="6"/>
        </w:numPr>
        <w:tabs>
          <w:tab w:val="clear" w:pos="9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根据第74条约定使用计日工；</w:t>
      </w:r>
    </w:p>
    <w:p>
      <w:pPr>
        <w:widowControl w:val="0"/>
        <w:numPr>
          <w:ilvl w:val="0"/>
          <w:numId w:val="6"/>
        </w:numPr>
        <w:tabs>
          <w:tab w:val="clear" w:pos="9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根据第75条约定使用暂估价；</w:t>
      </w:r>
    </w:p>
    <w:p>
      <w:pPr>
        <w:widowControl w:val="0"/>
        <w:numPr>
          <w:ilvl w:val="0"/>
          <w:numId w:val="6"/>
        </w:numPr>
        <w:tabs>
          <w:tab w:val="clear" w:pos="9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根据第76条确定的提前竣工奖与误期赔偿费；</w:t>
      </w:r>
    </w:p>
    <w:p>
      <w:pPr>
        <w:widowControl w:val="0"/>
        <w:numPr>
          <w:ilvl w:val="0"/>
          <w:numId w:val="6"/>
        </w:numPr>
        <w:tabs>
          <w:tab w:val="clear" w:pos="9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根据第77条确定的优质优价费用；</w:t>
      </w:r>
    </w:p>
    <w:p>
      <w:pPr>
        <w:widowControl w:val="0"/>
        <w:numPr>
          <w:ilvl w:val="0"/>
          <w:numId w:val="6"/>
        </w:numPr>
        <w:tabs>
          <w:tab w:val="clear" w:pos="9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根据第69.3款约定事项调整的合同价格；</w:t>
      </w:r>
    </w:p>
    <w:p>
      <w:pPr>
        <w:widowControl w:val="0"/>
        <w:numPr>
          <w:ilvl w:val="0"/>
          <w:numId w:val="6"/>
        </w:numPr>
        <w:tabs>
          <w:tab w:val="clear" w:pos="9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专用条款约定需要发包人批准的其他事项。</w:t>
      </w:r>
    </w:p>
    <w:p>
      <w:pPr>
        <w:spacing w:line="360" w:lineRule="auto"/>
        <w:rPr>
          <w:rFonts w:ascii="仿宋" w:hAnsi="仿宋" w:eastAsia="仿宋"/>
          <w:b/>
          <w:bCs/>
          <w:color w:val="auto"/>
          <w:highlight w:val="none"/>
          <w:lang w:eastAsia="zh-CN"/>
        </w:rPr>
      </w:pPr>
      <w:bookmarkStart w:id="475" w:name="_Toc30839"/>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.4</w:t>
      </w:r>
      <w:bookmarkEnd w:id="47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4016" behindDoc="0" locked="0" layoutInCell="1" allowOverlap="1">
                <wp:simplePos x="0" y="0"/>
                <wp:positionH relativeFrom="column">
                  <wp:posOffset>-114300</wp:posOffset>
                </wp:positionH>
                <wp:positionV relativeFrom="paragraph">
                  <wp:posOffset>0</wp:posOffset>
                </wp:positionV>
                <wp:extent cx="800735" cy="462915"/>
                <wp:effectExtent l="0" t="0" r="0" b="0"/>
                <wp:wrapNone/>
                <wp:docPr id="74" name="文本框 772"/>
                <wp:cNvGraphicFramePr/>
                <a:graphic xmlns:a="http://schemas.openxmlformats.org/drawingml/2006/main">
                  <a:graphicData uri="http://schemas.microsoft.com/office/word/2010/wordprocessingShape">
                    <wps:wsp>
                      <wps:cNvSpPr txBox="1"/>
                      <wps:spPr>
                        <a:xfrm>
                          <a:off x="0" y="0"/>
                          <a:ext cx="800735" cy="46291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造价咨询人指令</w:t>
                            </w:r>
                          </w:p>
                        </w:txbxContent>
                      </wps:txbx>
                      <wps:bodyPr wrap="square" upright="1"/>
                    </wps:wsp>
                  </a:graphicData>
                </a:graphic>
              </wp:anchor>
            </w:drawing>
          </mc:Choice>
          <mc:Fallback>
            <w:pict>
              <v:shape id="文本框 772" o:spid="_x0000_s1026" o:spt="202" type="#_x0000_t202" style="position:absolute;left:0pt;margin-left:-9pt;margin-top:0pt;height:36.45pt;width:63.05pt;z-index:251734016;mso-width-relative:page;mso-height-relative:page;" filled="f" stroked="f" coordsize="21600,21600" o:gfxdata="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zJTmfVAAAABwEAAA8AAAAAAAAAAQAgAAAAIgAAAGRycy9kb3ducmV2LnhtbFBLAQIUABQA&#10;AAAIAIdO4kDI63IjugEAAF4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造价咨询人指令</w:t>
                      </w:r>
                    </w:p>
                  </w:txbxContent>
                </v:textbox>
              </v:shape>
            </w:pict>
          </mc:Fallback>
        </mc:AlternateContent>
      </w:r>
      <w:r>
        <w:rPr>
          <w:rFonts w:hint="eastAsia" w:ascii="仿宋" w:hAnsi="仿宋" w:eastAsia="仿宋" w:cs="仿宋"/>
          <w:color w:val="auto"/>
          <w:highlight w:val="none"/>
          <w:lang w:eastAsia="zh-CN"/>
        </w:rPr>
        <w:t>造价咨询人应按照合同约定时间向承包人提供实施合同工程的工程造价工作所需的核实、调整和通知等指令。</w:t>
      </w:r>
    </w:p>
    <w:p>
      <w:pPr>
        <w:widowControl w:val="0"/>
        <w:tabs>
          <w:tab w:val="left" w:pos="126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造价咨询人提供的指令，均应采用书面形式。在紧急情况下，造价工程师可发出口头指令，但应在</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小时内给予书面确认。对造价工程师的口头指令，承包人应予执行。如果承包人在造价工程师发出的口头指令</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小时后未收到书面确认，则应在接到口头指令后的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天内向造价咨询人发出书面确认函。造价咨询人应在承包人收到书面确认函后</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小时内给予答复；逾期未予答复的，视为承包人的书面确认函已被认可。</w:t>
      </w:r>
    </w:p>
    <w:p>
      <w:pPr>
        <w:spacing w:line="360" w:lineRule="auto"/>
        <w:rPr>
          <w:rFonts w:ascii="仿宋" w:hAnsi="仿宋" w:eastAsia="仿宋"/>
          <w:b/>
          <w:bCs/>
          <w:color w:val="auto"/>
          <w:highlight w:val="none"/>
          <w:lang w:eastAsia="zh-CN"/>
        </w:rPr>
      </w:pPr>
      <w:bookmarkStart w:id="476" w:name="_Toc12182"/>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.5</w:t>
      </w:r>
      <w:bookmarkEnd w:id="47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126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5040" behindDoc="0" locked="0" layoutInCell="1" allowOverlap="1">
                <wp:simplePos x="0" y="0"/>
                <wp:positionH relativeFrom="column">
                  <wp:posOffset>-114300</wp:posOffset>
                </wp:positionH>
                <wp:positionV relativeFrom="paragraph">
                  <wp:posOffset>15240</wp:posOffset>
                </wp:positionV>
                <wp:extent cx="861695" cy="561340"/>
                <wp:effectExtent l="0" t="0" r="0" b="0"/>
                <wp:wrapNone/>
                <wp:docPr id="75" name="文本框 773"/>
                <wp:cNvGraphicFramePr/>
                <a:graphic xmlns:a="http://schemas.openxmlformats.org/drawingml/2006/main">
                  <a:graphicData uri="http://schemas.microsoft.com/office/word/2010/wordprocessingShape">
                    <wps:wsp>
                      <wps:cNvSpPr txBox="1"/>
                      <wps:spPr>
                        <a:xfrm>
                          <a:off x="0" y="0"/>
                          <a:ext cx="861695" cy="56134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承包人执行造价咨询人指令</w:t>
                            </w:r>
                          </w:p>
                        </w:txbxContent>
                      </wps:txbx>
                      <wps:bodyPr wrap="square" upright="1"/>
                    </wps:wsp>
                  </a:graphicData>
                </a:graphic>
              </wp:anchor>
            </w:drawing>
          </mc:Choice>
          <mc:Fallback>
            <w:pict>
              <v:shape id="文本框 773" o:spid="_x0000_s1026" o:spt="202" type="#_x0000_t202" style="position:absolute;left:0pt;margin-left:-9pt;margin-top:1.2pt;height:44.2pt;width:67.85pt;z-index:251735040;mso-width-relative:page;mso-height-relative:page;" filled="f" stroked="f" coordsize="21600,21600" o:gfxdata="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CL/JG1gAAAAgBAAAPAAAAAAAAAAEAIAAAACIAAABkcnMvZG93bnJldi54bWxQSwECFAAU&#10;AAAACACHTuJAFuG3+b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承包人执行造价咨询人指令</w:t>
                      </w:r>
                    </w:p>
                  </w:txbxContent>
                </v:textbox>
              </v:shape>
            </w:pict>
          </mc:Fallback>
        </mc:AlternateContent>
      </w:r>
      <w:r>
        <w:rPr>
          <w:rFonts w:hint="eastAsia" w:ascii="仿宋" w:hAnsi="仿宋" w:eastAsia="仿宋" w:cs="仿宋"/>
          <w:color w:val="auto"/>
          <w:highlight w:val="none"/>
          <w:lang w:eastAsia="zh-CN"/>
        </w:rPr>
        <w:t>如果承包人认为造价咨询人的指令不合理，应在收到指令后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小时内向造价咨询人提出书面报告，造价咨询人应在收到承包人报告后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小时内做出修改指令或继续执行原指令的决定，并书面通知承包人。逾期不做出决定的，承包人可不执行造价咨询人的指令。</w:t>
      </w:r>
    </w:p>
    <w:p>
      <w:pPr>
        <w:spacing w:line="360" w:lineRule="auto"/>
        <w:rPr>
          <w:rFonts w:ascii="仿宋" w:hAnsi="仿宋" w:eastAsia="仿宋"/>
          <w:b/>
          <w:bCs/>
          <w:color w:val="auto"/>
          <w:highlight w:val="none"/>
          <w:lang w:eastAsia="zh-CN"/>
        </w:rPr>
      </w:pPr>
      <w:bookmarkStart w:id="477" w:name="_Toc19556"/>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.6</w:t>
      </w:r>
      <w:bookmarkEnd w:id="47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1260"/>
        </w:tabs>
        <w:spacing w:line="360" w:lineRule="auto"/>
        <w:ind w:left="1850" w:leftChars="771"/>
        <w:jc w:val="both"/>
        <w:rPr>
          <w:rFonts w:ascii="仿宋" w:hAnsi="仿宋" w:eastAsia="仿宋"/>
          <w:strike/>
          <w:color w:val="auto"/>
          <w:highlight w:val="none"/>
          <w:lang w:eastAsia="zh-CN"/>
        </w:rPr>
      </w:pPr>
      <w:r>
        <w:rPr>
          <w:color w:val="auto"/>
          <w:highlight w:val="none"/>
        </w:rPr>
        <mc:AlternateContent>
          <mc:Choice Requires="wps">
            <w:drawing>
              <wp:anchor distT="0" distB="0" distL="114300" distR="114300" simplePos="0" relativeHeight="251736064" behindDoc="0" locked="0" layoutInCell="1" allowOverlap="1">
                <wp:simplePos x="0" y="0"/>
                <wp:positionH relativeFrom="column">
                  <wp:posOffset>-114300</wp:posOffset>
                </wp:positionH>
                <wp:positionV relativeFrom="paragraph">
                  <wp:posOffset>0</wp:posOffset>
                </wp:positionV>
                <wp:extent cx="794385" cy="440690"/>
                <wp:effectExtent l="0" t="0" r="0" b="0"/>
                <wp:wrapNone/>
                <wp:docPr id="76" name="文本框 774"/>
                <wp:cNvGraphicFramePr/>
                <a:graphic xmlns:a="http://schemas.openxmlformats.org/drawingml/2006/main">
                  <a:graphicData uri="http://schemas.microsoft.com/office/word/2010/wordprocessingShape">
                    <wps:wsp>
                      <wps:cNvSpPr txBox="1"/>
                      <wps:spPr>
                        <a:xfrm>
                          <a:off x="0" y="0"/>
                          <a:ext cx="794385" cy="440690"/>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造价咨询人职权委托</w:t>
                            </w:r>
                          </w:p>
                        </w:txbxContent>
                      </wps:txbx>
                      <wps:bodyPr wrap="square" upright="1"/>
                    </wps:wsp>
                  </a:graphicData>
                </a:graphic>
              </wp:anchor>
            </w:drawing>
          </mc:Choice>
          <mc:Fallback>
            <w:pict>
              <v:shape id="文本框 774" o:spid="_x0000_s1026" o:spt="202" type="#_x0000_t202" style="position:absolute;left:0pt;margin-left:-9pt;margin-top:0pt;height:34.7pt;width:62.55pt;z-index:251736064;mso-width-relative:page;mso-height-relative:page;" filled="f" stroked="f" coordsize="21600,21600" o:gfxdata="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vlpr9NYAAAAHAQAADwAAAAAAAAABACAAAAAiAAAAZHJzL2Rvd25yZXYueG1sUEsBAhQA&#10;FAAAAAgAh07iQLvH84K7AQAAXgMAAA4AAAAAAAAAAQAgAAAAJQEAAGRycy9lMm9Eb2MueG1sUEsF&#10;BgAAAAAGAAYAWQEAAFIFA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造价咨询人职权委托</w:t>
                      </w:r>
                    </w:p>
                  </w:txbxContent>
                </v:textbox>
              </v:shape>
            </w:pict>
          </mc:Fallback>
        </mc:AlternateContent>
      </w:r>
      <w:r>
        <w:rPr>
          <w:rFonts w:hint="eastAsia" w:ascii="仿宋" w:hAnsi="仿宋" w:eastAsia="仿宋" w:cs="仿宋"/>
          <w:color w:val="auto"/>
          <w:highlight w:val="none"/>
          <w:lang w:eastAsia="zh-CN"/>
        </w:rPr>
        <w:t>造价咨询人可按照第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4</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授权给其任命的造价咨询人代表，亦可将其授权撤回，造价咨询人代表行使造价咨询人授予的职权，对造价咨询人负责。造价咨询人代表在造价咨询人授予职权范围内工作，造价咨询人应予认可，但造价咨询人保留发出指令以纠正造价咨询人代表工作失误的权力。</w:t>
      </w:r>
    </w:p>
    <w:p>
      <w:pPr>
        <w:spacing w:line="360" w:lineRule="auto"/>
        <w:rPr>
          <w:rFonts w:ascii="仿宋" w:hAnsi="仿宋" w:eastAsia="仿宋"/>
          <w:color w:val="auto"/>
          <w:highlight w:val="none"/>
          <w:lang w:eastAsia="zh-CN"/>
        </w:rPr>
      </w:pPr>
      <w:bookmarkStart w:id="478" w:name="_Toc15720"/>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.7</w:t>
      </w:r>
      <w:bookmarkEnd w:id="478"/>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tabs>
          <w:tab w:val="left" w:pos="126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7088" behindDoc="0" locked="0" layoutInCell="1" allowOverlap="1">
                <wp:simplePos x="0" y="0"/>
                <wp:positionH relativeFrom="column">
                  <wp:posOffset>-114300</wp:posOffset>
                </wp:positionH>
                <wp:positionV relativeFrom="paragraph">
                  <wp:posOffset>0</wp:posOffset>
                </wp:positionV>
                <wp:extent cx="804545" cy="592455"/>
                <wp:effectExtent l="0" t="0" r="0" b="0"/>
                <wp:wrapNone/>
                <wp:docPr id="77" name="文本框 775"/>
                <wp:cNvGraphicFramePr/>
                <a:graphic xmlns:a="http://schemas.openxmlformats.org/drawingml/2006/main">
                  <a:graphicData uri="http://schemas.microsoft.com/office/word/2010/wordprocessingShape">
                    <wps:wsp>
                      <wps:cNvSpPr txBox="1"/>
                      <wps:spPr>
                        <a:xfrm>
                          <a:off x="0" y="0"/>
                          <a:ext cx="804545" cy="59245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造价咨询人未尽义务或失误的责任</w:t>
                            </w:r>
                          </w:p>
                        </w:txbxContent>
                      </wps:txbx>
                      <wps:bodyPr wrap="square" upright="1"/>
                    </wps:wsp>
                  </a:graphicData>
                </a:graphic>
              </wp:anchor>
            </w:drawing>
          </mc:Choice>
          <mc:Fallback>
            <w:pict>
              <v:shape id="文本框 775" o:spid="_x0000_s1026" o:spt="202" type="#_x0000_t202" style="position:absolute;left:0pt;margin-left:-9pt;margin-top:0pt;height:46.65pt;width:63.35pt;z-index:251737088;mso-width-relative:page;mso-height-relative:page;" filled="f" stroked="f" coordsize="21600,21600" o:gfxdata="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ZuKoQ1gAAAAcBAAAPAAAAAAAAAAEAIAAAACIAAABkcnMvZG93bnJldi54bWxQSwECFAAU&#10;AAAACACHTuJASkurdb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造价咨询人未尽义务或失误的责任</w:t>
                      </w:r>
                    </w:p>
                  </w:txbxContent>
                </v:textbox>
              </v:shape>
            </w:pict>
          </mc:Fallback>
        </mc:AlternateContent>
      </w:r>
      <w:r>
        <w:rPr>
          <w:rFonts w:hint="eastAsia" w:ascii="仿宋" w:hAnsi="仿宋" w:eastAsia="仿宋" w:cs="仿宋"/>
          <w:color w:val="auto"/>
          <w:highlight w:val="none"/>
          <w:lang w:eastAsia="zh-CN"/>
        </w:rPr>
        <w:t>造价咨询人（含其代表）未能正确履行本合同约定的全部义务，或工作出现失误，导致费用的增加和（或）延误的工期，由发包人承担；给承包人造成损失的，发包人应予赔偿。</w:t>
      </w:r>
    </w:p>
    <w:p>
      <w:pPr>
        <w:tabs>
          <w:tab w:val="left" w:pos="540"/>
          <w:tab w:val="left" w:pos="720"/>
        </w:tabs>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olor w:val="auto"/>
          <w:sz w:val="24"/>
          <w:szCs w:val="24"/>
          <w:highlight w:val="none"/>
          <w:lang w:eastAsia="zh-CN"/>
        </w:rPr>
      </w:pPr>
      <w:bookmarkStart w:id="479" w:name="_Toc30963"/>
      <w:bookmarkStart w:id="480" w:name="_Toc22547"/>
      <w:bookmarkStart w:id="481" w:name="_Toc21755"/>
      <w:bookmarkStart w:id="482" w:name="_Toc32081"/>
      <w:bookmarkStart w:id="483" w:name="_Toc5458"/>
      <w:bookmarkStart w:id="484" w:name="_Toc27545"/>
      <w:bookmarkStart w:id="485" w:name="_Toc23211"/>
      <w:bookmarkStart w:id="486" w:name="_Toc17968"/>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9</w:t>
      </w:r>
      <w:r>
        <w:rPr>
          <w:rFonts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承包人代表及其专业负责人</w:t>
      </w:r>
      <w:bookmarkEnd w:id="479"/>
      <w:bookmarkEnd w:id="480"/>
      <w:bookmarkEnd w:id="481"/>
      <w:bookmarkEnd w:id="482"/>
      <w:bookmarkEnd w:id="483"/>
      <w:bookmarkEnd w:id="484"/>
      <w:bookmarkEnd w:id="485"/>
      <w:bookmarkEnd w:id="486"/>
    </w:p>
    <w:p>
      <w:pPr>
        <w:rPr>
          <w:rFonts w:ascii="仿宋" w:hAnsi="仿宋" w:eastAsia="仿宋"/>
          <w:b/>
          <w:bCs/>
          <w:color w:val="auto"/>
          <w:highlight w:val="none"/>
          <w:lang w:eastAsia="zh-CN"/>
        </w:rPr>
      </w:pPr>
      <w:bookmarkStart w:id="487" w:name="_Toc8589"/>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9</w:t>
      </w:r>
      <w:r>
        <w:rPr>
          <w:rFonts w:ascii="仿宋" w:hAnsi="仿宋" w:eastAsia="仿宋" w:cs="仿宋"/>
          <w:b/>
          <w:bCs/>
          <w:color w:val="auto"/>
          <w:highlight w:val="none"/>
          <w:lang w:eastAsia="zh-CN"/>
        </w:rPr>
        <w:t>.1</w:t>
      </w:r>
      <w:bookmarkEnd w:id="487"/>
      <w:r>
        <w:rPr>
          <w:rFonts w:hint="eastAsia" w:ascii="仿宋" w:hAnsi="仿宋" w:eastAsia="仿宋" w:cs="仿宋"/>
          <w:b/>
          <w:bCs/>
          <w:color w:val="auto"/>
          <w:highlight w:val="none"/>
          <w:lang w:eastAsia="zh-CN"/>
        </w:rPr>
        <w:tab/>
      </w:r>
    </w:p>
    <w:p>
      <w:pPr>
        <w:widowControl w:val="0"/>
        <w:tabs>
          <w:tab w:val="left" w:pos="126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8112" behindDoc="0" locked="0" layoutInCell="1" allowOverlap="1">
                <wp:simplePos x="0" y="0"/>
                <wp:positionH relativeFrom="column">
                  <wp:posOffset>-114300</wp:posOffset>
                </wp:positionH>
                <wp:positionV relativeFrom="paragraph">
                  <wp:posOffset>0</wp:posOffset>
                </wp:positionV>
                <wp:extent cx="832485" cy="481965"/>
                <wp:effectExtent l="0" t="0" r="0" b="0"/>
                <wp:wrapNone/>
                <wp:docPr id="78" name="文本框 776"/>
                <wp:cNvGraphicFramePr/>
                <a:graphic xmlns:a="http://schemas.openxmlformats.org/drawingml/2006/main">
                  <a:graphicData uri="http://schemas.microsoft.com/office/word/2010/wordprocessingShape">
                    <wps:wsp>
                      <wps:cNvSpPr txBox="1"/>
                      <wps:spPr>
                        <a:xfrm>
                          <a:off x="0" y="0"/>
                          <a:ext cx="832485" cy="48196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承包人对其代表授权</w:t>
                            </w:r>
                          </w:p>
                        </w:txbxContent>
                      </wps:txbx>
                      <wps:bodyPr wrap="square" upright="1"/>
                    </wps:wsp>
                  </a:graphicData>
                </a:graphic>
              </wp:anchor>
            </w:drawing>
          </mc:Choice>
          <mc:Fallback>
            <w:pict>
              <v:shape id="文本框 776" o:spid="_x0000_s1026" o:spt="202" type="#_x0000_t202" style="position:absolute;left:0pt;margin-left:-9pt;margin-top:0pt;height:37.95pt;width:65.55pt;z-index:251738112;mso-width-relative:page;mso-height-relative:page;" filled="f" stroked="f" coordsize="21600,21600" o:gfxdata="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kWXzq1gAAAAcBAAAPAAAAAAAAAAEAIAAAACIAAABkcnMvZG93bnJldi54bWxQSwECFAAU&#10;AAAACACHTuJAOA+VPr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承包人对其代表授权</w:t>
                      </w:r>
                    </w:p>
                  </w:txbxContent>
                </v:textbox>
              </v:shape>
            </w:pict>
          </mc:Fallback>
        </mc:AlternateContent>
      </w:r>
      <w:r>
        <w:rPr>
          <w:rFonts w:hint="eastAsia" w:ascii="仿宋" w:hAnsi="仿宋" w:eastAsia="仿宋" w:cs="仿宋"/>
          <w:color w:val="auto"/>
          <w:highlight w:val="none"/>
          <w:lang w:eastAsia="zh-CN"/>
        </w:rPr>
        <w:t>承包人应依据第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4</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在专用条款中写明承包人代表及其专业负责人具体人选，同时在开始工作前将承包人代表及其专业负责人以书面形式通知发包人，授予承包人代表代表承包人履行合同约定职责所需的一切权力，授予专业负责人履行合同约定本专业职责所需的一定权力。</w:t>
      </w:r>
    </w:p>
    <w:p>
      <w:pPr>
        <w:spacing w:line="360" w:lineRule="auto"/>
        <w:rPr>
          <w:rFonts w:ascii="仿宋" w:hAnsi="仿宋" w:eastAsia="仿宋"/>
          <w:b/>
          <w:bCs/>
          <w:color w:val="auto"/>
          <w:highlight w:val="none"/>
          <w:lang w:eastAsia="zh-CN"/>
        </w:rPr>
      </w:pPr>
      <w:bookmarkStart w:id="488" w:name="_Toc18916"/>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9</w:t>
      </w:r>
      <w:r>
        <w:rPr>
          <w:rFonts w:ascii="仿宋" w:hAnsi="仿宋" w:eastAsia="仿宋" w:cs="仿宋"/>
          <w:b/>
          <w:bCs/>
          <w:color w:val="auto"/>
          <w:highlight w:val="none"/>
          <w:lang w:eastAsia="zh-CN"/>
        </w:rPr>
        <w:t>.2</w:t>
      </w:r>
      <w:bookmarkEnd w:id="48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1260"/>
        </w:tabs>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39136" behindDoc="0" locked="0" layoutInCell="1" allowOverlap="1">
                <wp:simplePos x="0" y="0"/>
                <wp:positionH relativeFrom="column">
                  <wp:posOffset>-114300</wp:posOffset>
                </wp:positionH>
                <wp:positionV relativeFrom="paragraph">
                  <wp:posOffset>7620</wp:posOffset>
                </wp:positionV>
                <wp:extent cx="847090" cy="527050"/>
                <wp:effectExtent l="0" t="0" r="0" b="0"/>
                <wp:wrapNone/>
                <wp:docPr id="79" name="文本框 777"/>
                <wp:cNvGraphicFramePr/>
                <a:graphic xmlns:a="http://schemas.openxmlformats.org/drawingml/2006/main">
                  <a:graphicData uri="http://schemas.microsoft.com/office/word/2010/wordprocessingShape">
                    <wps:wsp>
                      <wps:cNvSpPr txBox="1"/>
                      <wps:spPr>
                        <a:xfrm>
                          <a:off x="0" y="0"/>
                          <a:ext cx="847090" cy="527050"/>
                        </a:xfrm>
                        <a:prstGeom prst="rect">
                          <a:avLst/>
                        </a:prstGeom>
                        <a:noFill/>
                        <a:ln>
                          <a:noFill/>
                        </a:ln>
                      </wps:spPr>
                      <wps:txb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承包人代表及其专业负责人职权</w:t>
                            </w:r>
                          </w:p>
                        </w:txbxContent>
                      </wps:txbx>
                      <wps:bodyPr wrap="square" upright="1"/>
                    </wps:wsp>
                  </a:graphicData>
                </a:graphic>
              </wp:anchor>
            </w:drawing>
          </mc:Choice>
          <mc:Fallback>
            <w:pict>
              <v:shape id="文本框 777" o:spid="_x0000_s1026" o:spt="202" type="#_x0000_t202" style="position:absolute;left:0pt;margin-left:-9pt;margin-top:0.6pt;height:41.5pt;width:66.7pt;z-index:251739136;mso-width-relative:page;mso-height-relative:page;" filled="f" stroked="f" coordsize="21600,21600" o:gfxdata="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lEOOydUAAAAIAQAADwAAAAAAAAABACAAAAAiAAAAZHJzL2Rvd25yZXYueG1sUEsBAhQAFAAA&#10;AAgAh07iQNyb2NO5AQAAXgMAAA4AAAAAAAAAAQAgAAAAJAEAAGRycy9lMm9Eb2MueG1sUEsFBgAA&#10;AAAGAAYAWQEAAE8FAAAAAA==&#10;">
                <v:fill on="f" focussize="0,0"/>
                <v:stroke on="f"/>
                <v:imagedata o:title=""/>
                <o:lock v:ext="edit" aspectratio="f"/>
                <v:textbo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承包人代表及其专业负责人职权</w:t>
                      </w:r>
                    </w:p>
                  </w:txbxContent>
                </v:textbox>
              </v:shape>
            </w:pict>
          </mc:Fallback>
        </mc:AlternateContent>
      </w:r>
      <w:r>
        <w:rPr>
          <w:rFonts w:hint="eastAsia" w:ascii="仿宋" w:hAnsi="仿宋" w:eastAsia="仿宋" w:cs="仿宋"/>
          <w:color w:val="auto"/>
          <w:highlight w:val="none"/>
          <w:lang w:eastAsia="zh-CN"/>
        </w:rPr>
        <w:t>承包人代表应代表承包人履行合同约定的职责、行使合同明文约定或必然隐含的权力，对承包人负责。承包人代表在承包人授予职权范围内的工作，承包人应予认可。专业负责人负责本专业相关技术和管理工作，对承包人及承包人代表负责。</w:t>
      </w:r>
    </w:p>
    <w:p>
      <w:pPr>
        <w:spacing w:line="360" w:lineRule="auto"/>
        <w:rPr>
          <w:rFonts w:ascii="仿宋" w:hAnsi="仿宋" w:eastAsia="仿宋"/>
          <w:b/>
          <w:bCs/>
          <w:color w:val="auto"/>
          <w:highlight w:val="none"/>
          <w:lang w:eastAsia="zh-CN"/>
        </w:rPr>
      </w:pPr>
      <w:bookmarkStart w:id="489" w:name="_Toc3838"/>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9</w:t>
      </w:r>
      <w:r>
        <w:rPr>
          <w:rFonts w:ascii="仿宋" w:hAnsi="仿宋" w:eastAsia="仿宋" w:cs="仿宋"/>
          <w:b/>
          <w:bCs/>
          <w:color w:val="auto"/>
          <w:highlight w:val="none"/>
          <w:lang w:eastAsia="zh-CN"/>
        </w:rPr>
        <w:t>.3</w:t>
      </w:r>
      <w:bookmarkEnd w:id="48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1260"/>
        </w:tabs>
        <w:spacing w:line="360" w:lineRule="auto"/>
        <w:ind w:left="1850" w:leftChars="771"/>
        <w:jc w:val="both"/>
        <w:rPr>
          <w:rFonts w:ascii="仿宋" w:hAnsi="仿宋" w:eastAsia="仿宋" w:cs="仿宋"/>
          <w:color w:val="auto"/>
          <w:highlight w:val="none"/>
          <w:lang w:eastAsia="zh-CN"/>
        </w:rPr>
      </w:pPr>
      <w:r>
        <w:rPr>
          <w:rFonts w:ascii="仿宋" w:hAnsi="仿宋" w:eastAsia="仿宋"/>
          <w:color w:val="auto"/>
          <w:highlight w:val="none"/>
        </w:rPr>
        <mc:AlternateContent>
          <mc:Choice Requires="wps">
            <w:drawing>
              <wp:anchor distT="0" distB="0" distL="114300" distR="114300" simplePos="0" relativeHeight="251740160" behindDoc="0" locked="0" layoutInCell="1" allowOverlap="1">
                <wp:simplePos x="0" y="0"/>
                <wp:positionH relativeFrom="column">
                  <wp:posOffset>-114300</wp:posOffset>
                </wp:positionH>
                <wp:positionV relativeFrom="paragraph">
                  <wp:posOffset>0</wp:posOffset>
                </wp:positionV>
                <wp:extent cx="870585" cy="621030"/>
                <wp:effectExtent l="0" t="0" r="0" b="0"/>
                <wp:wrapNone/>
                <wp:docPr id="80" name="文本框 778"/>
                <wp:cNvGraphicFramePr/>
                <a:graphic xmlns:a="http://schemas.openxmlformats.org/drawingml/2006/main">
                  <a:graphicData uri="http://schemas.microsoft.com/office/word/2010/wordprocessingShape">
                    <wps:wsp>
                      <wps:cNvSpPr txBox="1"/>
                      <wps:spPr>
                        <a:xfrm>
                          <a:off x="0" y="0"/>
                          <a:ext cx="870585" cy="62103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承包人代表临时任命人职权</w:t>
                            </w:r>
                          </w:p>
                        </w:txbxContent>
                      </wps:txbx>
                      <wps:bodyPr wrap="square" upright="1"/>
                    </wps:wsp>
                  </a:graphicData>
                </a:graphic>
              </wp:anchor>
            </w:drawing>
          </mc:Choice>
          <mc:Fallback>
            <w:pict>
              <v:shape id="文本框 778" o:spid="_x0000_s1026" o:spt="202" type="#_x0000_t202" style="position:absolute;left:0pt;margin-left:-9pt;margin-top:0pt;height:48.9pt;width:68.55pt;z-index:251740160;mso-width-relative:page;mso-height-relative:page;" filled="f" stroked="f" coordsize="21600,21600" o:gfxdata="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BKxWyrWAAAABwEAAA8AAAAAAAAAAQAgAAAAIgAAAGRycy9kb3ducmV2LnhtbFBLAQIUABQA&#10;AAAIAIdO4kAKeFyHuQEAAF4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承包人代表临时任命人职权</w:t>
                      </w:r>
                    </w:p>
                  </w:txbxContent>
                </v:textbox>
              </v:shape>
            </w:pict>
          </mc:Fallback>
        </mc:AlternateContent>
      </w:r>
      <w:r>
        <w:rPr>
          <w:rFonts w:hint="eastAsia" w:ascii="仿宋" w:hAnsi="仿宋" w:eastAsia="仿宋" w:cs="仿宋"/>
          <w:color w:val="auto"/>
          <w:highlight w:val="none"/>
          <w:lang w:eastAsia="zh-CN"/>
        </w:rPr>
        <w:t>如果承包人代表在合同履行期间确需暂离现场，则应在监理人代表同意下，授权给其任命的合格人选，亦可将其授权撤回。任命的人选行使承包人代表授予的职权，对承包人代表负责。该人选在</w:t>
      </w:r>
      <w:r>
        <w:rPr>
          <w:rFonts w:hint="eastAsia" w:ascii="仿宋" w:hAnsi="仿宋" w:eastAsia="仿宋"/>
          <w:color w:val="auto"/>
          <w:highlight w:val="none"/>
          <w:lang w:eastAsia="zh-CN"/>
        </w:rPr>
        <w:t>承包人</w:t>
      </w:r>
      <w:r>
        <w:rPr>
          <w:rFonts w:hint="eastAsia" w:ascii="仿宋" w:hAnsi="仿宋" w:eastAsia="仿宋" w:cs="仿宋"/>
          <w:color w:val="auto"/>
          <w:highlight w:val="none"/>
          <w:lang w:eastAsia="zh-CN"/>
        </w:rPr>
        <w:t>代表授予职权范围内的工作，承包人代表应予认可，但承包人代表保留发出通知以纠正被授权人工作失误的权力。</w:t>
      </w:r>
    </w:p>
    <w:p>
      <w:pPr>
        <w:spacing w:line="360" w:lineRule="auto"/>
        <w:rPr>
          <w:rFonts w:ascii="仿宋" w:hAnsi="仿宋" w:eastAsia="仿宋"/>
          <w:b/>
          <w:bCs/>
          <w:color w:val="auto"/>
          <w:highlight w:val="none"/>
          <w:lang w:eastAsia="zh-CN"/>
        </w:rPr>
      </w:pPr>
      <w:bookmarkStart w:id="490" w:name="_Toc2688"/>
      <w:r>
        <w:rPr>
          <w:rFonts w:ascii="仿宋" w:hAnsi="仿宋" w:eastAsia="仿宋" w:cs="仿宋"/>
          <w:b/>
          <w:bCs/>
          <w:color w:val="auto"/>
          <w:highlight w:val="none"/>
          <w:lang w:eastAsia="zh-CN"/>
        </w:rPr>
        <w:t>2</w:t>
      </w:r>
      <w:r>
        <w:rPr>
          <w:rFonts w:hint="eastAsia" w:ascii="仿宋" w:hAnsi="仿宋" w:eastAsia="仿宋" w:cs="仿宋"/>
          <w:b/>
          <w:bCs/>
          <w:color w:val="auto"/>
          <w:highlight w:val="none"/>
          <w:lang w:eastAsia="zh-CN"/>
        </w:rPr>
        <w:t>9</w:t>
      </w:r>
      <w:r>
        <w:rPr>
          <w:rFonts w:ascii="仿宋" w:hAnsi="仿宋" w:eastAsia="仿宋" w:cs="仿宋"/>
          <w:b/>
          <w:bCs/>
          <w:color w:val="auto"/>
          <w:highlight w:val="none"/>
          <w:lang w:eastAsia="zh-CN"/>
        </w:rPr>
        <w:t>.4</w:t>
      </w:r>
      <w:bookmarkEnd w:id="49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1184" behindDoc="0" locked="0" layoutInCell="1" allowOverlap="1">
                <wp:simplePos x="0" y="0"/>
                <wp:positionH relativeFrom="column">
                  <wp:posOffset>-114300</wp:posOffset>
                </wp:positionH>
                <wp:positionV relativeFrom="paragraph">
                  <wp:posOffset>0</wp:posOffset>
                </wp:positionV>
                <wp:extent cx="756920" cy="993775"/>
                <wp:effectExtent l="0" t="0" r="0" b="0"/>
                <wp:wrapNone/>
                <wp:docPr id="81" name="文本框 779"/>
                <wp:cNvGraphicFramePr/>
                <a:graphic xmlns:a="http://schemas.openxmlformats.org/drawingml/2006/main">
                  <a:graphicData uri="http://schemas.microsoft.com/office/word/2010/wordprocessingShape">
                    <wps:wsp>
                      <wps:cNvSpPr txBox="1"/>
                      <wps:spPr>
                        <a:xfrm>
                          <a:off x="0" y="0"/>
                          <a:ext cx="756920" cy="99377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紧急情况时承包人代表采取措施及双方责任</w:t>
                            </w:r>
                          </w:p>
                        </w:txbxContent>
                      </wps:txbx>
                      <wps:bodyPr wrap="square" upright="1"/>
                    </wps:wsp>
                  </a:graphicData>
                </a:graphic>
              </wp:anchor>
            </w:drawing>
          </mc:Choice>
          <mc:Fallback>
            <w:pict>
              <v:shape id="文本框 779" o:spid="_x0000_s1026" o:spt="202" type="#_x0000_t202" style="position:absolute;left:0pt;margin-left:-9pt;margin-top:0pt;height:78.25pt;width:59.6pt;z-index:251741184;mso-width-relative:page;mso-height-relative:page;" filled="f" stroked="f" coordsize="21600,21600" o:gfxdata="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VhhbAdUAAAAIAQAADwAAAAAAAAABACAAAAAiAAAAZHJzL2Rvd25yZXYueG1sUEsBAhQAFAAA&#10;AAgAh07iQPfI9Xa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紧急情况时承包人代表采取措施及双方责任</w:t>
                      </w:r>
                    </w:p>
                  </w:txbxContent>
                </v:textbox>
              </v:shape>
            </w:pict>
          </mc:Fallback>
        </mc:AlternateContent>
      </w:r>
      <w:r>
        <w:rPr>
          <w:rFonts w:hint="eastAsia" w:ascii="仿宋" w:hAnsi="仿宋" w:eastAsia="仿宋" w:cs="仿宋"/>
          <w:color w:val="auto"/>
          <w:highlight w:val="none"/>
          <w:lang w:eastAsia="zh-CN"/>
        </w:rPr>
        <w:t>承包人代表按照经发包人认可的施工组织设计和监理人发出的指令组织施工。在紧急情况下，且无法与监理人代表取得联系时，承包人代表应立即采取保证人员生命和工程、财产安全的有效措施，并在采取措施后</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向监理人提交书面报告，通知发包人。属于发包人或第三方责任的，其发生的费用和（或）延误的工期由发包人承担，并支付承包人合理利润；属于承包人责任的，其发生的费用和（或）延误的工期由承包人承担。</w:t>
      </w:r>
    </w:p>
    <w:p>
      <w:pPr>
        <w:pStyle w:val="22"/>
        <w:tabs>
          <w:tab w:val="left" w:pos="54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bCs w:val="0"/>
          <w:color w:val="auto"/>
          <w:sz w:val="24"/>
          <w:szCs w:val="24"/>
          <w:highlight w:val="none"/>
          <w:lang w:eastAsia="zh-CN"/>
        </w:rPr>
      </w:pPr>
      <w:bookmarkStart w:id="491" w:name="_Toc3919"/>
      <w:bookmarkStart w:id="492" w:name="_Toc32340"/>
      <w:bookmarkStart w:id="493" w:name="_Toc261"/>
      <w:bookmarkStart w:id="494" w:name="_Toc30334"/>
      <w:bookmarkStart w:id="495" w:name="_Toc8044"/>
      <w:bookmarkStart w:id="496" w:name="_Toc18033"/>
      <w:bookmarkStart w:id="497" w:name="_Toc26807"/>
      <w:bookmarkStart w:id="498" w:name="_Toc26761"/>
      <w:r>
        <w:rPr>
          <w:rFonts w:hint="eastAsia" w:ascii="仿宋" w:hAnsi="仿宋" w:eastAsia="仿宋" w:cs="仿宋"/>
          <w:bCs w:val="0"/>
          <w:color w:val="auto"/>
          <w:sz w:val="24"/>
          <w:szCs w:val="24"/>
          <w:highlight w:val="none"/>
          <w:lang w:eastAsia="zh-CN"/>
        </w:rPr>
        <w:t>30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指定分包人</w:t>
      </w:r>
      <w:bookmarkEnd w:id="491"/>
      <w:bookmarkEnd w:id="492"/>
      <w:bookmarkEnd w:id="493"/>
      <w:bookmarkEnd w:id="494"/>
      <w:bookmarkEnd w:id="495"/>
      <w:bookmarkEnd w:id="496"/>
      <w:bookmarkEnd w:id="497"/>
      <w:bookmarkEnd w:id="498"/>
    </w:p>
    <w:p>
      <w:pPr>
        <w:rPr>
          <w:rFonts w:ascii="仿宋" w:hAnsi="仿宋" w:eastAsia="仿宋"/>
          <w:b/>
          <w:bCs/>
          <w:color w:val="auto"/>
          <w:highlight w:val="none"/>
          <w:lang w:eastAsia="zh-CN"/>
        </w:rPr>
      </w:pPr>
      <w:bookmarkStart w:id="499" w:name="_Toc3665"/>
      <w:r>
        <w:rPr>
          <w:rFonts w:hint="eastAsia" w:ascii="仿宋" w:hAnsi="仿宋" w:eastAsia="仿宋" w:cs="仿宋"/>
          <w:b/>
          <w:bCs/>
          <w:color w:val="auto"/>
          <w:highlight w:val="none"/>
          <w:lang w:eastAsia="zh-CN"/>
        </w:rPr>
        <w:t>30</w:t>
      </w:r>
      <w:r>
        <w:rPr>
          <w:rFonts w:ascii="仿宋" w:hAnsi="仿宋" w:eastAsia="仿宋" w:cs="仿宋"/>
          <w:b/>
          <w:bCs/>
          <w:color w:val="auto"/>
          <w:highlight w:val="none"/>
          <w:lang w:eastAsia="zh-CN"/>
        </w:rPr>
        <w:t>.1</w:t>
      </w:r>
      <w:bookmarkEnd w:id="499"/>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2208" behindDoc="0" locked="0" layoutInCell="1" allowOverlap="1">
                <wp:simplePos x="0" y="0"/>
                <wp:positionH relativeFrom="column">
                  <wp:posOffset>-114300</wp:posOffset>
                </wp:positionH>
                <wp:positionV relativeFrom="paragraph">
                  <wp:posOffset>60325</wp:posOffset>
                </wp:positionV>
                <wp:extent cx="822960" cy="483235"/>
                <wp:effectExtent l="0" t="0" r="0" b="0"/>
                <wp:wrapNone/>
                <wp:docPr id="82" name="文本框 780"/>
                <wp:cNvGraphicFramePr/>
                <a:graphic xmlns:a="http://schemas.openxmlformats.org/drawingml/2006/main">
                  <a:graphicData uri="http://schemas.microsoft.com/office/word/2010/wordprocessingShape">
                    <wps:wsp>
                      <wps:cNvSpPr txBox="1"/>
                      <wps:spPr>
                        <a:xfrm>
                          <a:off x="0" y="0"/>
                          <a:ext cx="822960" cy="48323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指定分包人工作</w:t>
                            </w:r>
                          </w:p>
                        </w:txbxContent>
                      </wps:txbx>
                      <wps:bodyPr wrap="square" upright="1"/>
                    </wps:wsp>
                  </a:graphicData>
                </a:graphic>
              </wp:anchor>
            </w:drawing>
          </mc:Choice>
          <mc:Fallback>
            <w:pict>
              <v:shape id="文本框 780" o:spid="_x0000_s1026" o:spt="202" type="#_x0000_t202" style="position:absolute;left:0pt;margin-left:-9pt;margin-top:4.75pt;height:38.05pt;width:64.8pt;z-index:251742208;mso-width-relative:page;mso-height-relative:page;" filled="f" stroked="f" coordsize="21600,21600" o:gfxdata="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E5WB7VAAAACAEAAA8AAAAAAAAAAQAgAAAAIgAAAGRycy9kb3ducmV2LnhtbFBLAQIUABQAAAAI&#10;AIdO4kD2DMZWtwEAAF4DAAAOAAAAAAAAAAEAIAAAACQBAABkcnMvZTJvRG9jLnhtbFBLBQYAAAAA&#10;BgAGAFkBAABN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指定分包人工作</w:t>
                      </w:r>
                    </w:p>
                  </w:txbxContent>
                </v:textbox>
              </v:shape>
            </w:pict>
          </mc:Fallback>
        </mc:AlternateContent>
      </w:r>
      <w:r>
        <w:rPr>
          <w:rFonts w:hint="eastAsia" w:ascii="仿宋" w:hAnsi="仿宋" w:eastAsia="仿宋" w:cs="仿宋"/>
          <w:color w:val="auto"/>
          <w:highlight w:val="none"/>
          <w:lang w:eastAsia="zh-CN"/>
        </w:rPr>
        <w:t>指定分包人是指发包人事先指定的从事下列工作之一的分包人：</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）根据专用条款的约定，发包人依法事先指定的实施、完成部分永久工程的分包人；</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）根据专用条款的约定，发包人选定的提供合同工程材料、工程设备和服务的分包人；</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（3）根据专用条款的约定，发包人选定的提供部分专业服务的分包人。</w:t>
      </w:r>
    </w:p>
    <w:p>
      <w:pPr>
        <w:spacing w:line="360" w:lineRule="auto"/>
        <w:rPr>
          <w:rFonts w:ascii="仿宋" w:hAnsi="仿宋" w:eastAsia="仿宋"/>
          <w:b/>
          <w:bCs/>
          <w:color w:val="auto"/>
          <w:highlight w:val="none"/>
          <w:lang w:eastAsia="zh-CN"/>
        </w:rPr>
      </w:pPr>
      <w:bookmarkStart w:id="500" w:name="_Toc4859"/>
      <w:r>
        <w:rPr>
          <w:rFonts w:hint="eastAsia" w:ascii="仿宋" w:hAnsi="仿宋" w:eastAsia="仿宋" w:cs="仿宋"/>
          <w:b/>
          <w:bCs/>
          <w:color w:val="auto"/>
          <w:highlight w:val="none"/>
          <w:lang w:eastAsia="zh-CN"/>
        </w:rPr>
        <w:t>30</w:t>
      </w:r>
      <w:r>
        <w:rPr>
          <w:rFonts w:ascii="仿宋" w:hAnsi="仿宋" w:eastAsia="仿宋" w:cs="仿宋"/>
          <w:b/>
          <w:bCs/>
          <w:color w:val="auto"/>
          <w:highlight w:val="none"/>
          <w:lang w:eastAsia="zh-CN"/>
        </w:rPr>
        <w:t>.2</w:t>
      </w:r>
      <w:bookmarkEnd w:id="50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3232" behindDoc="0" locked="0" layoutInCell="1" allowOverlap="1">
                <wp:simplePos x="0" y="0"/>
                <wp:positionH relativeFrom="column">
                  <wp:posOffset>-114300</wp:posOffset>
                </wp:positionH>
                <wp:positionV relativeFrom="paragraph">
                  <wp:posOffset>0</wp:posOffset>
                </wp:positionV>
                <wp:extent cx="866775" cy="556895"/>
                <wp:effectExtent l="0" t="0" r="0" b="0"/>
                <wp:wrapNone/>
                <wp:docPr id="83" name="文本框 781"/>
                <wp:cNvGraphicFramePr/>
                <a:graphic xmlns:a="http://schemas.openxmlformats.org/drawingml/2006/main">
                  <a:graphicData uri="http://schemas.microsoft.com/office/word/2010/wordprocessingShape">
                    <wps:wsp>
                      <wps:cNvSpPr txBox="1"/>
                      <wps:spPr>
                        <a:xfrm>
                          <a:off x="0" y="0"/>
                          <a:ext cx="866775" cy="55689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承包人对指定分包人的接受</w:t>
                            </w:r>
                          </w:p>
                        </w:txbxContent>
                      </wps:txbx>
                      <wps:bodyPr wrap="square" upright="1"/>
                    </wps:wsp>
                  </a:graphicData>
                </a:graphic>
              </wp:anchor>
            </w:drawing>
          </mc:Choice>
          <mc:Fallback>
            <w:pict>
              <v:shape id="文本框 781" o:spid="_x0000_s1026" o:spt="202" type="#_x0000_t202" style="position:absolute;left:0pt;margin-left:-9pt;margin-top:0pt;height:43.85pt;width:68.25pt;z-index:251743232;mso-width-relative:page;mso-height-relative:page;" filled="f" stroked="f" coordsize="21600,21600" o:gfxdata="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Boy6pbVAAAABwEAAA8AAAAAAAAAAQAgAAAAIgAAAGRycy9kb3ducmV2LnhtbFBLAQIUABQA&#10;AAAIAIdO4kBtxMggugEAAF4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承包人对指定分包人的接受</w:t>
                      </w:r>
                    </w:p>
                  </w:txbxContent>
                </v:textbox>
              </v:shape>
            </w:pict>
          </mc:Fallback>
        </mc:AlternateContent>
      </w:r>
      <w:r>
        <w:rPr>
          <w:rFonts w:hint="eastAsia" w:ascii="仿宋" w:hAnsi="仿宋" w:eastAsia="仿宋" w:cs="仿宋"/>
          <w:color w:val="auto"/>
          <w:highlight w:val="none"/>
          <w:lang w:eastAsia="zh-CN"/>
        </w:rPr>
        <w:t>指定分包人属于承包人的分包人，发包人不应要求承包人有义务接受承包人有理由反对的任何指定分包人。</w:t>
      </w:r>
    </w:p>
    <w:p>
      <w:pPr>
        <w:spacing w:line="360" w:lineRule="auto"/>
        <w:rPr>
          <w:rFonts w:ascii="仿宋" w:hAnsi="仿宋" w:eastAsia="仿宋"/>
          <w:b/>
          <w:bCs/>
          <w:color w:val="auto"/>
          <w:highlight w:val="none"/>
          <w:u w:val="dotted"/>
          <w:lang w:eastAsia="zh-CN"/>
        </w:rPr>
      </w:pPr>
      <w:bookmarkStart w:id="501" w:name="_Toc16892"/>
      <w:r>
        <w:rPr>
          <w:rFonts w:ascii="仿宋" w:hAnsi="仿宋" w:eastAsia="仿宋" w:cs="仿宋"/>
          <w:b/>
          <w:bCs/>
          <w:color w:val="auto"/>
          <w:highlight w:val="none"/>
        </w:rPr>
        <mc:AlternateContent>
          <mc:Choice Requires="wps">
            <w:drawing>
              <wp:anchor distT="0" distB="0" distL="114300" distR="114300" simplePos="0" relativeHeight="251986944" behindDoc="0" locked="0" layoutInCell="1" allowOverlap="1">
                <wp:simplePos x="0" y="0"/>
                <wp:positionH relativeFrom="column">
                  <wp:posOffset>-114300</wp:posOffset>
                </wp:positionH>
                <wp:positionV relativeFrom="paragraph">
                  <wp:posOffset>237490</wp:posOffset>
                </wp:positionV>
                <wp:extent cx="856615" cy="678180"/>
                <wp:effectExtent l="0" t="0" r="0" b="0"/>
                <wp:wrapNone/>
                <wp:docPr id="321" name="文本框 782"/>
                <wp:cNvGraphicFramePr/>
                <a:graphic xmlns:a="http://schemas.openxmlformats.org/drawingml/2006/main">
                  <a:graphicData uri="http://schemas.microsoft.com/office/word/2010/wordprocessingShape">
                    <wps:wsp>
                      <wps:cNvSpPr txBox="1"/>
                      <wps:spPr>
                        <a:xfrm>
                          <a:off x="0" y="0"/>
                          <a:ext cx="856615" cy="67818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指定分包工程款结算与支付</w:t>
                            </w:r>
                          </w:p>
                        </w:txbxContent>
                      </wps:txbx>
                      <wps:bodyPr wrap="square" upright="1"/>
                    </wps:wsp>
                  </a:graphicData>
                </a:graphic>
              </wp:anchor>
            </w:drawing>
          </mc:Choice>
          <mc:Fallback>
            <w:pict>
              <v:shape id="文本框 782" o:spid="_x0000_s1026" o:spt="202" type="#_x0000_t202" style="position:absolute;left:0pt;margin-left:-9pt;margin-top:18.7pt;height:53.4pt;width:67.45pt;z-index:251986944;mso-width-relative:page;mso-height-relative:page;" filled="f" stroked="f" coordsize="21600,21600" o:gfxdata="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vxWbM2AAAAAoBAAAPAAAAAAAAAAEAIAAAACIAAABkcnMvZG93bnJldi54bWxQSwEC&#10;FAAUAAAACACHTuJAxhuWZ7sBAABf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指定分包工程款结算与支付</w:t>
                      </w:r>
                    </w:p>
                  </w:txbxContent>
                </v:textbox>
              </v:shape>
            </w:pict>
          </mc:Fallback>
        </mc:AlternateContent>
      </w:r>
      <w:r>
        <w:rPr>
          <w:rFonts w:hint="eastAsia" w:ascii="仿宋" w:hAnsi="仿宋" w:eastAsia="仿宋" w:cs="仿宋"/>
          <w:b/>
          <w:bCs/>
          <w:color w:val="auto"/>
          <w:highlight w:val="none"/>
          <w:lang w:eastAsia="zh-CN"/>
        </w:rPr>
        <w:t>30</w:t>
      </w:r>
      <w:r>
        <w:rPr>
          <w:rFonts w:ascii="仿宋" w:hAnsi="仿宋" w:eastAsia="仿宋" w:cs="仿宋"/>
          <w:b/>
          <w:bCs/>
          <w:color w:val="auto"/>
          <w:highlight w:val="none"/>
          <w:lang w:eastAsia="zh-CN"/>
        </w:rPr>
        <w:t>.3</w:t>
      </w:r>
      <w:bookmarkEnd w:id="50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发包人应按照合同的约定向承包人支付指定分包人的分包工程配合费。指定分包工程款的结算与支付，按照第10</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款办理。</w:t>
      </w:r>
    </w:p>
    <w:p>
      <w:pPr>
        <w:spacing w:line="360" w:lineRule="auto"/>
        <w:rPr>
          <w:rFonts w:ascii="仿宋" w:hAnsi="仿宋" w:eastAsia="仿宋"/>
          <w:b/>
          <w:bCs/>
          <w:color w:val="auto"/>
          <w:highlight w:val="none"/>
          <w:u w:val="dotted"/>
          <w:lang w:eastAsia="zh-CN"/>
        </w:rPr>
      </w:pPr>
      <w:bookmarkStart w:id="502" w:name="_Toc20846"/>
      <w:r>
        <w:rPr>
          <w:rFonts w:ascii="仿宋" w:hAnsi="仿宋" w:eastAsia="仿宋" w:cs="仿宋"/>
          <w:b/>
          <w:bCs/>
          <w:color w:val="auto"/>
          <w:highlight w:val="none"/>
        </w:rPr>
        <mc:AlternateContent>
          <mc:Choice Requires="wps">
            <w:drawing>
              <wp:anchor distT="0" distB="0" distL="114300" distR="114300" simplePos="0" relativeHeight="251987968" behindDoc="0" locked="0" layoutInCell="1" allowOverlap="1">
                <wp:simplePos x="0" y="0"/>
                <wp:positionH relativeFrom="column">
                  <wp:posOffset>-66675</wp:posOffset>
                </wp:positionH>
                <wp:positionV relativeFrom="paragraph">
                  <wp:posOffset>199390</wp:posOffset>
                </wp:positionV>
                <wp:extent cx="829310" cy="583565"/>
                <wp:effectExtent l="0" t="0" r="0" b="0"/>
                <wp:wrapNone/>
                <wp:docPr id="322" name="文本框 783"/>
                <wp:cNvGraphicFramePr/>
                <a:graphic xmlns:a="http://schemas.openxmlformats.org/drawingml/2006/main">
                  <a:graphicData uri="http://schemas.microsoft.com/office/word/2010/wordprocessingShape">
                    <wps:wsp>
                      <wps:cNvSpPr txBox="1"/>
                      <wps:spPr>
                        <a:xfrm>
                          <a:off x="0" y="0"/>
                          <a:ext cx="829310" cy="583565"/>
                        </a:xfrm>
                        <a:prstGeom prst="rect">
                          <a:avLst/>
                        </a:prstGeom>
                        <a:noFill/>
                        <a:ln>
                          <a:noFill/>
                        </a:ln>
                      </wps:spPr>
                      <wps:txbx>
                        <w:txbxContent>
                          <w:p>
                            <w:pPr>
                              <w:rPr>
                                <w:lang w:eastAsia="zh-CN"/>
                              </w:rPr>
                            </w:pPr>
                            <w:r>
                              <w:rPr>
                                <w:rFonts w:hint="eastAsia" w:ascii="楷体_GB2312" w:hAnsi="宋体" w:eastAsia="楷体_GB2312" w:cs="楷体_GB2312"/>
                                <w:b/>
                                <w:bCs/>
                                <w:color w:val="000000"/>
                                <w:sz w:val="18"/>
                                <w:szCs w:val="18"/>
                                <w:lang w:eastAsia="zh-CN"/>
                              </w:rPr>
                              <w:t>承包人对指定分包工程的义务</w:t>
                            </w:r>
                          </w:p>
                        </w:txbxContent>
                      </wps:txbx>
                      <wps:bodyPr wrap="square" upright="1"/>
                    </wps:wsp>
                  </a:graphicData>
                </a:graphic>
              </wp:anchor>
            </w:drawing>
          </mc:Choice>
          <mc:Fallback>
            <w:pict>
              <v:shape id="文本框 783" o:spid="_x0000_s1026" o:spt="202" type="#_x0000_t202" style="position:absolute;left:0pt;margin-left:-5.25pt;margin-top:15.7pt;height:45.95pt;width:65.3pt;z-index:251987968;mso-width-relative:page;mso-height-relative:page;" filled="f" stroked="f" coordsize="21600,21600" o:gfxdata="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gqLFH1gAAAAoBAAAPAAAAAAAAAAEAIAAAACIAAABkcnMvZG93bnJldi54bWxQSwECFAAU&#10;AAAACACHTuJASMqga7oBAABfAwAADgAAAAAAAAABACAAAAAlAQAAZHJzL2Uyb0RvYy54bWxQSwUG&#10;AAAAAAYABgBZAQAAUQUAAAAA&#10;">
                <v:fill on="f" focussize="0,0"/>
                <v:stroke on="f"/>
                <v:imagedata o:title=""/>
                <o:lock v:ext="edit" aspectratio="f"/>
                <v:textbox>
                  <w:txbxContent>
                    <w:p>
                      <w:pPr>
                        <w:rPr>
                          <w:lang w:eastAsia="zh-CN"/>
                        </w:rPr>
                      </w:pPr>
                      <w:r>
                        <w:rPr>
                          <w:rFonts w:hint="eastAsia" w:ascii="楷体_GB2312" w:hAnsi="宋体" w:eastAsia="楷体_GB2312" w:cs="楷体_GB2312"/>
                          <w:b/>
                          <w:bCs/>
                          <w:color w:val="000000"/>
                          <w:sz w:val="18"/>
                          <w:szCs w:val="18"/>
                          <w:lang w:eastAsia="zh-CN"/>
                        </w:rPr>
                        <w:t>承包人对指定分包工程的义务</w:t>
                      </w:r>
                    </w:p>
                  </w:txbxContent>
                </v:textbox>
              </v:shape>
            </w:pict>
          </mc:Fallback>
        </mc:AlternateContent>
      </w:r>
      <w:r>
        <w:rPr>
          <w:rFonts w:hint="eastAsia" w:ascii="仿宋" w:hAnsi="仿宋" w:eastAsia="仿宋" w:cs="仿宋"/>
          <w:b/>
          <w:bCs/>
          <w:color w:val="auto"/>
          <w:highlight w:val="none"/>
          <w:lang w:eastAsia="zh-CN"/>
        </w:rPr>
        <w:t>30</w:t>
      </w:r>
      <w:r>
        <w:rPr>
          <w:rFonts w:ascii="仿宋" w:hAnsi="仿宋" w:eastAsia="仿宋" w:cs="仿宋"/>
          <w:b/>
          <w:bCs/>
          <w:color w:val="auto"/>
          <w:highlight w:val="none"/>
          <w:lang w:eastAsia="zh-CN"/>
        </w:rPr>
        <w:t>.4</w:t>
      </w:r>
      <w:bookmarkEnd w:id="50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指定分包人应按照分包合同的约定对承包人负责。承包人有义务协助、配合指定分包人实施分包工程。</w:t>
      </w:r>
    </w:p>
    <w:p>
      <w:pPr>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bCs w:val="0"/>
          <w:color w:val="auto"/>
          <w:sz w:val="24"/>
          <w:szCs w:val="24"/>
          <w:highlight w:val="none"/>
          <w:lang w:eastAsia="zh-CN"/>
        </w:rPr>
      </w:pPr>
      <w:bookmarkStart w:id="503" w:name="_Toc20805"/>
      <w:bookmarkStart w:id="504" w:name="_Toc3440"/>
      <w:bookmarkStart w:id="505" w:name="_Toc22942"/>
      <w:bookmarkStart w:id="506" w:name="_Toc3942"/>
      <w:bookmarkStart w:id="507" w:name="_Toc12654"/>
      <w:bookmarkStart w:id="508" w:name="_Toc24540"/>
      <w:bookmarkStart w:id="509" w:name="_Toc14132"/>
      <w:bookmarkStart w:id="510" w:name="_Toc29825"/>
      <w:r>
        <w:rPr>
          <w:rFonts w:hint="eastAsia" w:ascii="仿宋" w:hAnsi="仿宋" w:eastAsia="仿宋" w:cs="仿宋"/>
          <w:bCs w:val="0"/>
          <w:color w:val="auto"/>
          <w:sz w:val="24"/>
          <w:szCs w:val="24"/>
          <w:highlight w:val="none"/>
          <w:lang w:eastAsia="zh-CN"/>
        </w:rPr>
        <w:t>31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 xml:space="preserve"> 承包人劳务</w:t>
      </w:r>
      <w:bookmarkEnd w:id="503"/>
      <w:bookmarkEnd w:id="504"/>
      <w:bookmarkEnd w:id="505"/>
      <w:bookmarkEnd w:id="506"/>
      <w:bookmarkEnd w:id="507"/>
      <w:bookmarkEnd w:id="508"/>
      <w:bookmarkEnd w:id="509"/>
      <w:bookmarkEnd w:id="510"/>
    </w:p>
    <w:p>
      <w:pPr>
        <w:spacing w:line="360" w:lineRule="auto"/>
        <w:rPr>
          <w:rFonts w:ascii="仿宋" w:hAnsi="仿宋" w:eastAsia="仿宋"/>
          <w:b/>
          <w:bCs/>
          <w:color w:val="auto"/>
          <w:highlight w:val="none"/>
          <w:lang w:eastAsia="zh-CN"/>
        </w:rPr>
      </w:pPr>
      <w:bookmarkStart w:id="511" w:name="_Toc27515"/>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.1</w:t>
      </w:r>
      <w:bookmarkEnd w:id="511"/>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4256" behindDoc="0" locked="0" layoutInCell="1" allowOverlap="1">
                <wp:simplePos x="0" y="0"/>
                <wp:positionH relativeFrom="column">
                  <wp:posOffset>-114300</wp:posOffset>
                </wp:positionH>
                <wp:positionV relativeFrom="paragraph">
                  <wp:posOffset>8255</wp:posOffset>
                </wp:positionV>
                <wp:extent cx="794385" cy="577850"/>
                <wp:effectExtent l="0" t="0" r="0" b="0"/>
                <wp:wrapNone/>
                <wp:docPr id="84" name="文本框 784"/>
                <wp:cNvGraphicFramePr/>
                <a:graphic xmlns:a="http://schemas.openxmlformats.org/drawingml/2006/main">
                  <a:graphicData uri="http://schemas.microsoft.com/office/word/2010/wordprocessingShape">
                    <wps:wsp>
                      <wps:cNvSpPr txBox="1"/>
                      <wps:spPr>
                        <a:xfrm>
                          <a:off x="0" y="0"/>
                          <a:ext cx="794385" cy="57785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承包人提交施工机构安排报告</w:t>
                            </w:r>
                          </w:p>
                        </w:txbxContent>
                      </wps:txbx>
                      <wps:bodyPr wrap="square" upright="1"/>
                    </wps:wsp>
                  </a:graphicData>
                </a:graphic>
              </wp:anchor>
            </w:drawing>
          </mc:Choice>
          <mc:Fallback>
            <w:pict>
              <v:shape id="文本框 784" o:spid="_x0000_s1026" o:spt="202" type="#_x0000_t202" style="position:absolute;left:0pt;margin-left:-9pt;margin-top:0.65pt;height:45.5pt;width:62.55pt;z-index:251744256;mso-width-relative:page;mso-height-relative:page;" filled="f" stroked="f" coordsize="21600,21600" o:gfxdata="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CFpE/9YAAAAIAQAADwAAAAAAAAABACAAAAAiAAAAZHJzL2Rvd25yZXYueG1sUEsBAhQA&#10;FAAAAAgAh07iQGhxE227AQAAXg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承包人提交施工机构安排报告</w:t>
                      </w:r>
                    </w:p>
                  </w:txbxContent>
                </v:textbox>
              </v:shape>
            </w:pict>
          </mc:Fallback>
        </mc:AlternateContent>
      </w:r>
      <w:r>
        <w:rPr>
          <w:rFonts w:hint="eastAsia" w:ascii="仿宋" w:hAnsi="仿宋" w:eastAsia="仿宋" w:cs="仿宋"/>
          <w:color w:val="auto"/>
          <w:highlight w:val="none"/>
          <w:lang w:eastAsia="zh-CN"/>
        </w:rPr>
        <w:t>承包人应在接到开工令后</w:t>
      </w:r>
      <w:r>
        <w:rPr>
          <w:rFonts w:ascii="仿宋" w:hAnsi="仿宋" w:eastAsia="仿宋" w:cs="仿宋"/>
          <w:color w:val="auto"/>
          <w:highlight w:val="none"/>
          <w:lang w:eastAsia="zh-CN"/>
        </w:rPr>
        <w:t>28</w:t>
      </w:r>
      <w:r>
        <w:rPr>
          <w:rFonts w:hint="eastAsia" w:ascii="仿宋" w:hAnsi="仿宋" w:eastAsia="仿宋" w:cs="仿宋"/>
          <w:color w:val="auto"/>
          <w:highlight w:val="none"/>
          <w:lang w:eastAsia="zh-CN"/>
        </w:rPr>
        <w:t>天内，向监理人提交承包人在施工场地的管理机构以及人员安排报告，并附上“主要人员一览表”。报告内容应包括管理机构的设置、各主要岗位的技术和管理人员名单及其资格，以及各工种技术工人的安排情况等。招标发包工程，“主要人员一览表”应与投标文件中的相应内容一致。</w:t>
      </w:r>
    </w:p>
    <w:p>
      <w:pPr>
        <w:spacing w:line="360" w:lineRule="auto"/>
        <w:rPr>
          <w:rFonts w:ascii="仿宋" w:hAnsi="仿宋" w:eastAsia="仿宋" w:cs="仿宋"/>
          <w:b/>
          <w:bCs/>
          <w:color w:val="auto"/>
          <w:highlight w:val="none"/>
          <w:lang w:eastAsia="zh-CN"/>
        </w:rPr>
      </w:pPr>
      <w:bookmarkStart w:id="512" w:name="_Toc31849"/>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.2</w:t>
      </w:r>
      <w:bookmarkEnd w:id="51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5280" behindDoc="0" locked="0" layoutInCell="1" allowOverlap="1">
                <wp:simplePos x="0" y="0"/>
                <wp:positionH relativeFrom="column">
                  <wp:posOffset>-114300</wp:posOffset>
                </wp:positionH>
                <wp:positionV relativeFrom="paragraph">
                  <wp:posOffset>8255</wp:posOffset>
                </wp:positionV>
                <wp:extent cx="785495" cy="449580"/>
                <wp:effectExtent l="0" t="0" r="0" b="0"/>
                <wp:wrapNone/>
                <wp:docPr id="85" name="文本框 785"/>
                <wp:cNvGraphicFramePr/>
                <a:graphic xmlns:a="http://schemas.openxmlformats.org/drawingml/2006/main">
                  <a:graphicData uri="http://schemas.microsoft.com/office/word/2010/wordprocessingShape">
                    <wps:wsp>
                      <wps:cNvSpPr txBox="1"/>
                      <wps:spPr>
                        <a:xfrm>
                          <a:off x="0" y="0"/>
                          <a:ext cx="785495" cy="44958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承包人人员的雇佣</w:t>
                            </w:r>
                          </w:p>
                        </w:txbxContent>
                      </wps:txbx>
                      <wps:bodyPr wrap="square" upright="1"/>
                    </wps:wsp>
                  </a:graphicData>
                </a:graphic>
              </wp:anchor>
            </w:drawing>
          </mc:Choice>
          <mc:Fallback>
            <w:pict>
              <v:shape id="文本框 785" o:spid="_x0000_s1026" o:spt="202" type="#_x0000_t202" style="position:absolute;left:0pt;margin-left:-9pt;margin-top:0.65pt;height:35.4pt;width:61.85pt;z-index:251745280;mso-width-relative:page;mso-height-relative:page;" filled="f" stroked="f" coordsize="21600,21600" o:gfxdata="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LT3DefWAAAACAEAAA8AAAAAAAAAAQAgAAAAIgAAAGRycy9kb3ducmV2LnhtbFBLAQIUABQAAAAI&#10;AIdO4kBAHzpgtgEAAF4DAAAOAAAAAAAAAAEAIAAAACUBAABkcnMvZTJvRG9jLnhtbFBLBQYAAAAA&#10;BgAGAFkBAABN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承包人人员的雇佣</w:t>
                      </w:r>
                    </w:p>
                  </w:txbxContent>
                </v:textbox>
              </v:shape>
            </w:pict>
          </mc:Fallback>
        </mc:AlternateContent>
      </w:r>
      <w:r>
        <w:rPr>
          <w:rFonts w:hint="eastAsia" w:ascii="仿宋" w:hAnsi="仿宋" w:eastAsia="仿宋" w:cs="仿宋"/>
          <w:color w:val="auto"/>
          <w:highlight w:val="none"/>
          <w:lang w:eastAsia="zh-CN"/>
        </w:rPr>
        <w:t>承包人除应雇佣投标文件中“主要人员一览表”中指明的人员外，也可以雇佣经监理人批准的其他人员，但不得从发包人或服务于发包人的人员中雇佣人员。</w:t>
      </w:r>
    </w:p>
    <w:p>
      <w:pPr>
        <w:spacing w:line="360" w:lineRule="auto"/>
        <w:rPr>
          <w:rFonts w:ascii="仿宋" w:hAnsi="仿宋" w:eastAsia="仿宋"/>
          <w:b/>
          <w:bCs/>
          <w:color w:val="auto"/>
          <w:highlight w:val="none"/>
          <w:lang w:eastAsia="zh-CN"/>
        </w:rPr>
      </w:pPr>
      <w:bookmarkStart w:id="513" w:name="_Toc25755"/>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.3</w:t>
      </w:r>
      <w:bookmarkEnd w:id="51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6304" behindDoc="0" locked="0" layoutInCell="1" allowOverlap="1">
                <wp:simplePos x="0" y="0"/>
                <wp:positionH relativeFrom="column">
                  <wp:posOffset>-114300</wp:posOffset>
                </wp:positionH>
                <wp:positionV relativeFrom="paragraph">
                  <wp:posOffset>59690</wp:posOffset>
                </wp:positionV>
                <wp:extent cx="833120" cy="806450"/>
                <wp:effectExtent l="0" t="0" r="0" b="0"/>
                <wp:wrapNone/>
                <wp:docPr id="86" name="文本框 786"/>
                <wp:cNvGraphicFramePr/>
                <a:graphic xmlns:a="http://schemas.openxmlformats.org/drawingml/2006/main">
                  <a:graphicData uri="http://schemas.microsoft.com/office/word/2010/wordprocessingShape">
                    <wps:wsp>
                      <wps:cNvSpPr txBox="1"/>
                      <wps:spPr>
                        <a:xfrm>
                          <a:off x="0" y="0"/>
                          <a:ext cx="833120" cy="80645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承包人对雇员应做的工作</w:t>
                            </w:r>
                          </w:p>
                        </w:txbxContent>
                      </wps:txbx>
                      <wps:bodyPr wrap="square" upright="1"/>
                    </wps:wsp>
                  </a:graphicData>
                </a:graphic>
              </wp:anchor>
            </w:drawing>
          </mc:Choice>
          <mc:Fallback>
            <w:pict>
              <v:shape id="文本框 786" o:spid="_x0000_s1026" o:spt="202" type="#_x0000_t202" style="position:absolute;left:0pt;margin-left:-9pt;margin-top:4.7pt;height:63.5pt;width:65.6pt;z-index:251746304;mso-width-relative:page;mso-height-relative:page;" filled="f" stroked="f" coordsize="21600,21600" o:gfxdata="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5TgxjXAAAACQEAAA8AAAAAAAAAAQAgAAAAIgAAAGRycy9kb3ducmV2LnhtbFBLAQIUABQA&#10;AAAIAIdO4kChRswZuAEAAF4DAAAOAAAAAAAAAAEAIAAAACY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承包人对雇员应做的工作</w:t>
                      </w:r>
                    </w:p>
                  </w:txbxContent>
                </v:textbox>
              </v:shape>
            </w:pict>
          </mc:Fallback>
        </mc:AlternateContent>
      </w:r>
      <w:r>
        <w:rPr>
          <w:rFonts w:hint="eastAsia" w:ascii="仿宋" w:hAnsi="仿宋" w:eastAsia="仿宋" w:cs="仿宋"/>
          <w:color w:val="auto"/>
          <w:highlight w:val="none"/>
          <w:lang w:eastAsia="zh-CN"/>
        </w:rPr>
        <w:t>承包人应完善雇员的劳务注册手续，并与雇员订立劳动合同，明确双方的权利和义务。雇佣期间，承包人应做好下列工作：</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负责为雇员提供必要的食宿及各种生活设施，采取合理的卫生、劳动保护和安全防护措施，保证雇员的健康和安全；</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保障雇员的合法权利和人身安全，及时采取有效措施抢救和治疗施工中受伤害的雇员；</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充分考虑和保障雇员的休息时间和法定节假日休假时间，尊重雇员的宗教信仰和风俗习惯；</w:t>
      </w:r>
    </w:p>
    <w:p>
      <w:pPr>
        <w:widowControl w:val="0"/>
        <w:spacing w:line="360" w:lineRule="auto"/>
        <w:ind w:left="1850" w:leftChars="771"/>
        <w:jc w:val="both"/>
        <w:rPr>
          <w:rFonts w:ascii="仿宋" w:hAnsi="仿宋" w:eastAsia="仿宋" w:cs="仿宋"/>
          <w:strike/>
          <w:color w:val="auto"/>
          <w:highlight w:val="none"/>
          <w:lang w:eastAsia="zh-CN"/>
        </w:rPr>
      </w:pP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在施工现场主要出入口处设榜公布雇员工资发放时间和投诉电话。</w:t>
      </w:r>
    </w:p>
    <w:p>
      <w:pPr>
        <w:widowControl w:val="0"/>
        <w:spacing w:line="360" w:lineRule="auto"/>
        <w:ind w:left="1850" w:leftChars="771"/>
        <w:jc w:val="both"/>
        <w:rPr>
          <w:rFonts w:ascii="仿宋" w:hAnsi="仿宋" w:eastAsia="仿宋"/>
          <w:color w:val="auto"/>
          <w:highlight w:val="none"/>
          <w:lang w:eastAsia="zh-CN"/>
        </w:rPr>
      </w:pP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5</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办理雇员的意外伤害等一切保险，处理雇员因工伤亡事故的善后事宜。</w:t>
      </w:r>
    </w:p>
    <w:p>
      <w:pPr>
        <w:spacing w:line="360" w:lineRule="auto"/>
        <w:rPr>
          <w:rFonts w:ascii="仿宋" w:hAnsi="仿宋" w:eastAsia="仿宋"/>
          <w:b/>
          <w:bCs/>
          <w:color w:val="auto"/>
          <w:highlight w:val="none"/>
          <w:lang w:eastAsia="zh-CN"/>
        </w:rPr>
      </w:pPr>
      <w:bookmarkStart w:id="514" w:name="_Toc26563"/>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.4</w:t>
      </w:r>
      <w:bookmarkEnd w:id="51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7328" behindDoc="0" locked="0" layoutInCell="1" allowOverlap="1">
                <wp:simplePos x="0" y="0"/>
                <wp:positionH relativeFrom="column">
                  <wp:posOffset>-114300</wp:posOffset>
                </wp:positionH>
                <wp:positionV relativeFrom="paragraph">
                  <wp:posOffset>0</wp:posOffset>
                </wp:positionV>
                <wp:extent cx="851535" cy="549275"/>
                <wp:effectExtent l="0" t="0" r="0" b="0"/>
                <wp:wrapNone/>
                <wp:docPr id="87" name="文本框 787"/>
                <wp:cNvGraphicFramePr/>
                <a:graphic xmlns:a="http://schemas.openxmlformats.org/drawingml/2006/main">
                  <a:graphicData uri="http://schemas.microsoft.com/office/word/2010/wordprocessingShape">
                    <wps:wsp>
                      <wps:cNvSpPr txBox="1"/>
                      <wps:spPr>
                        <a:xfrm>
                          <a:off x="0" y="0"/>
                          <a:ext cx="851535" cy="54927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承包人特殊时间施工的批准</w:t>
                            </w:r>
                          </w:p>
                        </w:txbxContent>
                      </wps:txbx>
                      <wps:bodyPr wrap="square" upright="1"/>
                    </wps:wsp>
                  </a:graphicData>
                </a:graphic>
              </wp:anchor>
            </w:drawing>
          </mc:Choice>
          <mc:Fallback>
            <w:pict>
              <v:shape id="文本框 787" o:spid="_x0000_s1026" o:spt="202" type="#_x0000_t202" style="position:absolute;left:0pt;margin-left:-9pt;margin-top:0pt;height:43.25pt;width:67.05pt;z-index:251747328;mso-width-relative:page;mso-height-relative:page;" filled="f" stroked="f" coordsize="21600,21600" o:gfxdata="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oJr7tUAAAAHAQAADwAAAAAAAAABACAAAAAiAAAAZHJzL2Rvd25yZXYueG1sUEsBAhQAFAAA&#10;AAgAh07iQL2v/ZO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承包人特殊时间施工的批准</w:t>
                      </w:r>
                    </w:p>
                  </w:txbxContent>
                </v:textbox>
              </v:shape>
            </w:pict>
          </mc:Fallback>
        </mc:AlternateContent>
      </w:r>
      <w:r>
        <w:rPr>
          <w:rFonts w:hint="eastAsia" w:ascii="仿宋" w:hAnsi="仿宋" w:eastAsia="仿宋" w:cs="仿宋"/>
          <w:color w:val="auto"/>
          <w:highlight w:val="none"/>
          <w:lang w:eastAsia="zh-CN"/>
        </w:rPr>
        <w:t>承包人如需在法定节假日施工，应经监理人同意；如需在夜间施工，除应经监理人同意外，还应经有关部门批准。此类情况，均不得超过法律规定的限度，并应按照法律规定给予雇员补休或付酬。如无特殊原因，只要在不影响工程质量、施工安全、周围环境的情况下，监理人应予同意。但为抢救生命、保护财产，或为工程安全、质量而不可避免的作业，则无需事先经监理人同意。</w:t>
      </w:r>
    </w:p>
    <w:p>
      <w:pPr>
        <w:spacing w:line="360" w:lineRule="auto"/>
        <w:rPr>
          <w:rFonts w:ascii="仿宋" w:hAnsi="仿宋" w:eastAsia="仿宋"/>
          <w:b/>
          <w:bCs/>
          <w:color w:val="auto"/>
          <w:highlight w:val="none"/>
          <w:lang w:eastAsia="zh-CN"/>
        </w:rPr>
      </w:pPr>
      <w:bookmarkStart w:id="515" w:name="_Toc17666"/>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.5</w:t>
      </w:r>
      <w:bookmarkEnd w:id="51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8352" behindDoc="0" locked="0" layoutInCell="1" allowOverlap="1">
                <wp:simplePos x="0" y="0"/>
                <wp:positionH relativeFrom="column">
                  <wp:posOffset>-114300</wp:posOffset>
                </wp:positionH>
                <wp:positionV relativeFrom="paragraph">
                  <wp:posOffset>0</wp:posOffset>
                </wp:positionV>
                <wp:extent cx="871220" cy="624840"/>
                <wp:effectExtent l="0" t="0" r="0" b="0"/>
                <wp:wrapNone/>
                <wp:docPr id="88" name="文本框 788"/>
                <wp:cNvGraphicFramePr/>
                <a:graphic xmlns:a="http://schemas.openxmlformats.org/drawingml/2006/main">
                  <a:graphicData uri="http://schemas.microsoft.com/office/word/2010/wordprocessingShape">
                    <wps:wsp>
                      <wps:cNvSpPr txBox="1"/>
                      <wps:spPr>
                        <a:xfrm>
                          <a:off x="0" y="0"/>
                          <a:ext cx="871220" cy="62484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承包人向雇员支付劳务工资</w:t>
                            </w:r>
                          </w:p>
                        </w:txbxContent>
                      </wps:txbx>
                      <wps:bodyPr wrap="square" upright="1"/>
                    </wps:wsp>
                  </a:graphicData>
                </a:graphic>
              </wp:anchor>
            </w:drawing>
          </mc:Choice>
          <mc:Fallback>
            <w:pict>
              <v:shape id="文本框 788" o:spid="_x0000_s1026" o:spt="202" type="#_x0000_t202" style="position:absolute;left:0pt;margin-left:-9pt;margin-top:0pt;height:49.2pt;width:68.6pt;z-index:251748352;mso-width-relative:page;mso-height-relative:page;" filled="f" stroked="f" coordsize="21600,21600" o:gfxdata="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X/JkF1QAAAAcBAAAPAAAAAAAAAAEAIAAAACIAAABkcnMvZG93bnJldi54bWxQSwECFAAUAAAA&#10;CACHTuJAswwoSrgBAABeAwAADgAAAAAAAAABACAAAAAk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承包人向雇员支付劳务工资</w:t>
                      </w:r>
                    </w:p>
                  </w:txbxContent>
                </v:textbox>
              </v:shape>
            </w:pict>
          </mc:Fallback>
        </mc:AlternateContent>
      </w:r>
      <w:r>
        <w:rPr>
          <w:rFonts w:hint="eastAsia" w:ascii="仿宋" w:hAnsi="仿宋" w:eastAsia="仿宋" w:cs="仿宋"/>
          <w:color w:val="auto"/>
          <w:highlight w:val="none"/>
          <w:lang w:eastAsia="zh-CN"/>
        </w:rPr>
        <w:t>承包人应按时足额向雇员支付劳务工资，并不低于（含本数）当地最低工资标准。因承包人拖欠其雇员工资而造成群体性示威、游行等一切后果，由承包人承担。对发包人造成损失和（或）导致工期延误的，应赔偿发包人的损失，工期不予顺延。</w:t>
      </w:r>
    </w:p>
    <w:p>
      <w:pPr>
        <w:spacing w:line="360" w:lineRule="auto"/>
        <w:rPr>
          <w:rFonts w:ascii="仿宋" w:hAnsi="仿宋" w:eastAsia="仿宋"/>
          <w:b/>
          <w:bCs/>
          <w:color w:val="auto"/>
          <w:highlight w:val="none"/>
          <w:lang w:eastAsia="zh-CN"/>
        </w:rPr>
      </w:pPr>
      <w:bookmarkStart w:id="516" w:name="_Toc27472"/>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.6</w:t>
      </w:r>
      <w:bookmarkEnd w:id="51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49376" behindDoc="0" locked="0" layoutInCell="1" allowOverlap="1">
                <wp:simplePos x="0" y="0"/>
                <wp:positionH relativeFrom="column">
                  <wp:posOffset>-114300</wp:posOffset>
                </wp:positionH>
                <wp:positionV relativeFrom="paragraph">
                  <wp:posOffset>0</wp:posOffset>
                </wp:positionV>
                <wp:extent cx="775970" cy="722630"/>
                <wp:effectExtent l="0" t="0" r="0" b="0"/>
                <wp:wrapNone/>
                <wp:docPr id="89" name="文本框 789"/>
                <wp:cNvGraphicFramePr/>
                <a:graphic xmlns:a="http://schemas.openxmlformats.org/drawingml/2006/main">
                  <a:graphicData uri="http://schemas.microsoft.com/office/word/2010/wordprocessingShape">
                    <wps:wsp>
                      <wps:cNvSpPr txBox="1"/>
                      <wps:spPr>
                        <a:xfrm>
                          <a:off x="0" y="0"/>
                          <a:ext cx="775970" cy="72263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承包人向工地派遣雇员的要求</w:t>
                            </w:r>
                          </w:p>
                        </w:txbxContent>
                      </wps:txbx>
                      <wps:bodyPr wrap="square" upright="1"/>
                    </wps:wsp>
                  </a:graphicData>
                </a:graphic>
              </wp:anchor>
            </w:drawing>
          </mc:Choice>
          <mc:Fallback>
            <w:pict>
              <v:shape id="文本框 789" o:spid="_x0000_s1026" o:spt="202" type="#_x0000_t202" style="position:absolute;left:0pt;margin-left:-9pt;margin-top:0pt;height:56.9pt;width:61.1pt;z-index:251749376;mso-width-relative:page;mso-height-relative:page;" filled="f" stroked="f" coordsize="21600,21600" o:gfxdata="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OOdqO9UAAAAIAQAADwAAAAAAAAABACAAAAAiAAAAZHJzL2Rvd25yZXYueG1sUEsBAhQAFAAA&#10;AAgAh07iQFEJaFy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承包人向工地派遣雇员的要求</w:t>
                      </w:r>
                    </w:p>
                  </w:txbxContent>
                </v:textbox>
              </v:shape>
            </w:pict>
          </mc:Fallback>
        </mc:AlternateContent>
      </w:r>
      <w:r>
        <w:rPr>
          <w:rFonts w:hint="eastAsia" w:ascii="仿宋" w:hAnsi="仿宋" w:eastAsia="仿宋" w:cs="仿宋"/>
          <w:color w:val="auto"/>
          <w:highlight w:val="none"/>
          <w:lang w:eastAsia="zh-CN"/>
        </w:rPr>
        <w:t>承包人的雇员应是在行业或职业内具有相应资格、技能和经验的人员。承包人应向施工场地派遣足够数量的下列雇员：</w:t>
      </w:r>
    </w:p>
    <w:p>
      <w:pPr>
        <w:widowControl w:val="0"/>
        <w:numPr>
          <w:ilvl w:val="1"/>
          <w:numId w:val="6"/>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具有相应资格的专业技工和合格的普工；</w:t>
      </w:r>
      <w:r>
        <w:rPr>
          <w:rFonts w:ascii="仿宋" w:hAnsi="仿宋" w:eastAsia="仿宋" w:cs="仿宋"/>
          <w:color w:val="auto"/>
          <w:highlight w:val="none"/>
          <w:lang w:eastAsia="zh-CN"/>
        </w:rPr>
        <w:t xml:space="preserve"> </w:t>
      </w:r>
    </w:p>
    <w:p>
      <w:pPr>
        <w:widowControl w:val="0"/>
        <w:numPr>
          <w:ilvl w:val="1"/>
          <w:numId w:val="6"/>
        </w:numPr>
        <w:tabs>
          <w:tab w:val="clear" w:pos="3285"/>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具有相应施工经验的技术人员；</w:t>
      </w:r>
    </w:p>
    <w:p>
      <w:pPr>
        <w:widowControl w:val="0"/>
        <w:numPr>
          <w:ilvl w:val="1"/>
          <w:numId w:val="6"/>
        </w:numPr>
        <w:tabs>
          <w:tab w:val="clear" w:pos="3285"/>
        </w:tabs>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具有相应岗位资格的各级管理人员。</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 xml:space="preserve">.7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750400" behindDoc="0" locked="0" layoutInCell="1" allowOverlap="1">
                <wp:simplePos x="0" y="0"/>
                <wp:positionH relativeFrom="column">
                  <wp:posOffset>-114300</wp:posOffset>
                </wp:positionH>
                <wp:positionV relativeFrom="paragraph">
                  <wp:posOffset>0</wp:posOffset>
                </wp:positionV>
                <wp:extent cx="756920" cy="541020"/>
                <wp:effectExtent l="0" t="0" r="0" b="0"/>
                <wp:wrapNone/>
                <wp:docPr id="90" name="文本框 790"/>
                <wp:cNvGraphicFramePr/>
                <a:graphic xmlns:a="http://schemas.openxmlformats.org/drawingml/2006/main">
                  <a:graphicData uri="http://schemas.microsoft.com/office/word/2010/wordprocessingShape">
                    <wps:wsp>
                      <wps:cNvSpPr txBox="1"/>
                      <wps:spPr>
                        <a:xfrm>
                          <a:off x="0" y="0"/>
                          <a:ext cx="756920" cy="54102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承包人雇员安排和撤换</w:t>
                            </w:r>
                          </w:p>
                        </w:txbxContent>
                      </wps:txbx>
                      <wps:bodyPr wrap="square" upright="1"/>
                    </wps:wsp>
                  </a:graphicData>
                </a:graphic>
              </wp:anchor>
            </w:drawing>
          </mc:Choice>
          <mc:Fallback>
            <w:pict>
              <v:shape id="文本框 790" o:spid="_x0000_s1026" o:spt="202" type="#_x0000_t202" style="position:absolute;left:0pt;margin-left:-9pt;margin-top:0pt;height:42.6pt;width:59.6pt;z-index:251750400;mso-width-relative:page;mso-height-relative:page;" filled="f" stroked="f" coordsize="21600,21600" o:gfxdata="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HtDZt/VAAAABwEAAA8AAAAAAAAAAQAgAAAAIgAAAGRycy9kb3ducmV2LnhtbFBLAQIUABQAAAAI&#10;AIdO4kBLk6UMtwEAAF4DAAAOAAAAAAAAAAEAIAAAACQBAABkcnMvZTJvRG9jLnhtbFBLBQYAAAAA&#10;BgAGAFkBAABN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承包人雇员安排和撤换</w:t>
                      </w:r>
                    </w:p>
                  </w:txbxContent>
                </v:textbox>
              </v:shape>
            </w:pict>
          </mc:Fallback>
        </mc:AlternateContent>
      </w:r>
      <w:r>
        <w:rPr>
          <w:rFonts w:hint="eastAsia" w:ascii="仿宋" w:hAnsi="仿宋" w:eastAsia="仿宋" w:cs="仿宋"/>
          <w:color w:val="auto"/>
          <w:highlight w:val="none"/>
          <w:lang w:eastAsia="zh-CN"/>
        </w:rPr>
        <w:t>承包人安排在施工场地的雇员应保持相对稳定，但有下列行为的任何承包人雇员，监理人可要求承包人将其撤换：</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（1）日常行为不当，或工作漫不经心；</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（2）</w:t>
      </w:r>
      <w:r>
        <w:rPr>
          <w:rFonts w:hint="eastAsia" w:ascii="仿宋" w:hAnsi="仿宋" w:eastAsia="仿宋" w:cs="仿宋"/>
          <w:color w:val="auto"/>
          <w:highlight w:val="none"/>
          <w:lang w:eastAsia="zh-CN"/>
        </w:rPr>
        <w:t>无能力履行义务或玩忽职守；</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w:t>
      </w:r>
      <w:r>
        <w:rPr>
          <w:rFonts w:hint="eastAsia" w:ascii="仿宋" w:hAnsi="仿宋" w:eastAsia="仿宋" w:cs="仿宋"/>
          <w:color w:val="auto"/>
          <w:highlight w:val="none"/>
          <w:lang w:eastAsia="zh-CN"/>
        </w:rPr>
        <w:t>不遵守合同的约定；</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（4）</w:t>
      </w:r>
      <w:r>
        <w:rPr>
          <w:rFonts w:hint="eastAsia" w:ascii="仿宋" w:hAnsi="仿宋" w:eastAsia="仿宋" w:cs="仿宋"/>
          <w:color w:val="auto"/>
          <w:highlight w:val="none"/>
          <w:lang w:eastAsia="zh-CN"/>
        </w:rPr>
        <w:t>有损安全、健康和不利于环境保护的行为。</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31</w:t>
      </w:r>
      <w:r>
        <w:rPr>
          <w:rFonts w:ascii="仿宋" w:hAnsi="仿宋" w:eastAsia="仿宋" w:cs="仿宋"/>
          <w:b/>
          <w:bCs/>
          <w:color w:val="auto"/>
          <w:highlight w:val="none"/>
          <w:lang w:eastAsia="zh-CN"/>
        </w:rPr>
        <w:t xml:space="preserve">.8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51424" behindDoc="0" locked="0" layoutInCell="1" allowOverlap="1">
                <wp:simplePos x="0" y="0"/>
                <wp:positionH relativeFrom="column">
                  <wp:posOffset>-114300</wp:posOffset>
                </wp:positionH>
                <wp:positionV relativeFrom="paragraph">
                  <wp:posOffset>0</wp:posOffset>
                </wp:positionV>
                <wp:extent cx="822960" cy="463550"/>
                <wp:effectExtent l="0" t="0" r="0" b="0"/>
                <wp:wrapNone/>
                <wp:docPr id="91" name="文本框 791"/>
                <wp:cNvGraphicFramePr/>
                <a:graphic xmlns:a="http://schemas.openxmlformats.org/drawingml/2006/main">
                  <a:graphicData uri="http://schemas.microsoft.com/office/word/2010/wordprocessingShape">
                    <wps:wsp>
                      <wps:cNvSpPr txBox="1"/>
                      <wps:spPr>
                        <a:xfrm>
                          <a:off x="0" y="0"/>
                          <a:ext cx="822960" cy="46355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承包人对雇员的保护</w:t>
                            </w:r>
                          </w:p>
                        </w:txbxContent>
                      </wps:txbx>
                      <wps:bodyPr wrap="square" upright="1"/>
                    </wps:wsp>
                  </a:graphicData>
                </a:graphic>
              </wp:anchor>
            </w:drawing>
          </mc:Choice>
          <mc:Fallback>
            <w:pict>
              <v:shape id="文本框 791" o:spid="_x0000_s1026" o:spt="202" type="#_x0000_t202" style="position:absolute;left:0pt;margin-left:-9pt;margin-top:0pt;height:36.5pt;width:64.8pt;z-index:251751424;mso-width-relative:page;mso-height-relative:page;" filled="f" stroked="f" coordsize="21600,21600" o:gfxdata="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BDlomHVAAAABwEAAA8AAAAAAAAAAQAgAAAAIgAAAGRycy9kb3ducmV2LnhtbFBLAQIUABQA&#10;AAAIAIdO4kDu4vv6ugEAAF4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承包人对雇员的保护</w:t>
                      </w:r>
                    </w:p>
                  </w:txbxContent>
                </v:textbox>
              </v:shape>
            </w:pict>
          </mc:Fallback>
        </mc:AlternateContent>
      </w:r>
      <w:r>
        <w:rPr>
          <w:rFonts w:hint="eastAsia" w:ascii="仿宋" w:hAnsi="仿宋" w:eastAsia="仿宋" w:cs="仿宋"/>
          <w:color w:val="auto"/>
          <w:highlight w:val="none"/>
          <w:lang w:eastAsia="zh-CN"/>
        </w:rPr>
        <w:t>承包人应自始至终采取各种合理的预防措施，防止雇员内部发生打斗和任何无序、非法的不良行为，以确保现场安定和保护现场及邻近人员的生命、财产安全。</w:t>
      </w:r>
    </w:p>
    <w:p>
      <w:pPr>
        <w:spacing w:line="360" w:lineRule="auto"/>
        <w:rPr>
          <w:color w:val="auto"/>
          <w:highlight w:val="none"/>
          <w:lang w:eastAsia="zh-CN"/>
        </w:rPr>
      </w:pPr>
      <w:r>
        <w:rPr>
          <w:rFonts w:ascii="仿宋" w:hAnsi="仿宋" w:eastAsia="仿宋" w:cs="仿宋"/>
          <w:b/>
          <w:bCs/>
          <w:color w:val="auto"/>
          <w:highlight w:val="none"/>
          <w:u w:val="single"/>
          <w:lang w:eastAsia="zh-CN"/>
        </w:rPr>
        <w:t xml:space="preserve">                                                                                     </w:t>
      </w:r>
    </w:p>
    <w:p>
      <w:pPr>
        <w:pStyle w:val="22"/>
        <w:adjustRightInd w:val="0"/>
        <w:snapToGrid w:val="0"/>
        <w:spacing w:line="360" w:lineRule="auto"/>
        <w:jc w:val="center"/>
        <w:outlineLvl w:val="1"/>
        <w:rPr>
          <w:rFonts w:ascii="仿宋" w:hAnsi="仿宋" w:eastAsia="仿宋"/>
          <w:b/>
          <w:bCs/>
          <w:color w:val="auto"/>
          <w:sz w:val="24"/>
          <w:szCs w:val="24"/>
          <w:highlight w:val="none"/>
          <w:lang w:eastAsia="zh-CN"/>
        </w:rPr>
      </w:pPr>
      <w:bookmarkStart w:id="517" w:name="_Toc29303"/>
      <w:bookmarkStart w:id="518" w:name="_Toc182"/>
      <w:bookmarkStart w:id="519" w:name="_Toc8329"/>
      <w:bookmarkStart w:id="520" w:name="_Toc30907"/>
      <w:bookmarkStart w:id="521" w:name="_Toc28836"/>
      <w:bookmarkStart w:id="522" w:name="_Toc10850"/>
      <w:bookmarkStart w:id="523" w:name="_Toc10056"/>
      <w:bookmarkStart w:id="524" w:name="_Toc21624"/>
      <w:r>
        <w:rPr>
          <w:rFonts w:hint="eastAsia" w:ascii="仿宋" w:hAnsi="仿宋" w:eastAsia="仿宋" w:cs="仿宋"/>
          <w:b/>
          <w:bCs/>
          <w:color w:val="auto"/>
          <w:sz w:val="24"/>
          <w:szCs w:val="24"/>
          <w:highlight w:val="none"/>
          <w:lang w:eastAsia="zh-CN"/>
        </w:rPr>
        <w:t>三、担保、保险与风险</w:t>
      </w:r>
      <w:bookmarkEnd w:id="517"/>
      <w:bookmarkEnd w:id="518"/>
      <w:bookmarkEnd w:id="519"/>
      <w:bookmarkEnd w:id="520"/>
      <w:bookmarkEnd w:id="521"/>
      <w:bookmarkEnd w:id="522"/>
      <w:bookmarkEnd w:id="523"/>
      <w:bookmarkEnd w:id="524"/>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525" w:name="_Toc29963"/>
      <w:bookmarkStart w:id="526" w:name="_Toc27098"/>
      <w:bookmarkStart w:id="527" w:name="_Toc23065"/>
      <w:bookmarkStart w:id="528" w:name="_Toc16674"/>
      <w:bookmarkStart w:id="529" w:name="_Toc29526"/>
      <w:bookmarkStart w:id="530" w:name="_Toc21381"/>
      <w:bookmarkStart w:id="531" w:name="_Toc20092"/>
      <w:bookmarkStart w:id="532" w:name="_Toc19300"/>
      <w:r>
        <w:rPr>
          <w:rFonts w:hint="eastAsia" w:ascii="仿宋" w:hAnsi="仿宋" w:eastAsia="仿宋" w:cs="仿宋"/>
          <w:bCs w:val="0"/>
          <w:color w:val="auto"/>
          <w:sz w:val="24"/>
          <w:szCs w:val="24"/>
          <w:highlight w:val="none"/>
          <w:lang w:eastAsia="zh-CN"/>
        </w:rPr>
        <w:t>32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工程担保</w:t>
      </w:r>
      <w:bookmarkEnd w:id="525"/>
      <w:bookmarkEnd w:id="526"/>
      <w:bookmarkEnd w:id="527"/>
      <w:bookmarkEnd w:id="528"/>
      <w:bookmarkEnd w:id="529"/>
      <w:bookmarkEnd w:id="530"/>
      <w:bookmarkEnd w:id="531"/>
      <w:bookmarkEnd w:id="532"/>
    </w:p>
    <w:p>
      <w:pPr>
        <w:pStyle w:val="22"/>
        <w:tabs>
          <w:tab w:val="left" w:pos="1320"/>
        </w:tabs>
        <w:adjustRightInd w:val="0"/>
        <w:snapToGrid w:val="0"/>
        <w:spacing w:line="360" w:lineRule="auto"/>
        <w:ind w:right="-240"/>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32</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52448" behindDoc="0" locked="0" layoutInCell="1" allowOverlap="1">
                <wp:simplePos x="0" y="0"/>
                <wp:positionH relativeFrom="column">
                  <wp:posOffset>-114300</wp:posOffset>
                </wp:positionH>
                <wp:positionV relativeFrom="paragraph">
                  <wp:posOffset>80645</wp:posOffset>
                </wp:positionV>
                <wp:extent cx="832485" cy="544830"/>
                <wp:effectExtent l="0" t="0" r="0" b="0"/>
                <wp:wrapNone/>
                <wp:docPr id="92" name="文本框 792"/>
                <wp:cNvGraphicFramePr/>
                <a:graphic xmlns:a="http://schemas.openxmlformats.org/drawingml/2006/main">
                  <a:graphicData uri="http://schemas.microsoft.com/office/word/2010/wordprocessingShape">
                    <wps:wsp>
                      <wps:cNvSpPr txBox="1"/>
                      <wps:spPr>
                        <a:xfrm>
                          <a:off x="0" y="0"/>
                          <a:ext cx="832485" cy="54483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承包人提供履约担保</w:t>
                            </w:r>
                          </w:p>
                        </w:txbxContent>
                      </wps:txbx>
                      <wps:bodyPr wrap="square" upright="1"/>
                    </wps:wsp>
                  </a:graphicData>
                </a:graphic>
              </wp:anchor>
            </w:drawing>
          </mc:Choice>
          <mc:Fallback>
            <w:pict>
              <v:shape id="文本框 792" o:spid="_x0000_s1026" o:spt="202" type="#_x0000_t202" style="position:absolute;left:0pt;margin-left:-9pt;margin-top:6.35pt;height:42.9pt;width:65.55pt;z-index:251752448;mso-width-relative:page;mso-height-relative:page;" filled="f" stroked="f" coordsize="21600,21600" o:gfxdata="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diDYp1gAAAAkBAAAPAAAAAAAAAAEAIAAAACIAAABkcnMvZG93bnJldi54bWxQSwECFAAU&#10;AAAACACHTuJAw1Vq7r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承包人提供履约担保</w:t>
                      </w:r>
                    </w:p>
                  </w:txbxContent>
                </v:textbox>
              </v:shape>
            </w:pict>
          </mc:Fallback>
        </mc:AlternateContent>
      </w:r>
      <w:r>
        <w:rPr>
          <w:rFonts w:hint="eastAsia" w:ascii="仿宋" w:hAnsi="仿宋" w:eastAsia="仿宋" w:cs="仿宋"/>
          <w:color w:val="auto"/>
          <w:highlight w:val="none"/>
          <w:lang w:eastAsia="zh-CN"/>
        </w:rPr>
        <w:t>为正确履行本合同，发包人应在招标文件中或在签订合同前明确履约担保的有关要求，承包人应按照合同约定时间向发包人提供履约担保。履约担保采用银行保函、担保公司担保或</w:t>
      </w:r>
      <w:r>
        <w:rPr>
          <w:rFonts w:hint="eastAsia" w:ascii="仿宋" w:hAnsi="仿宋" w:eastAsia="仿宋" w:cs="仿宋"/>
          <w:color w:val="auto"/>
          <w:highlight w:val="none"/>
          <w:shd w:val="clear" w:color="auto" w:fill="FFFFFF"/>
          <w:lang w:eastAsia="zh-CN"/>
        </w:rPr>
        <w:t>履约保证保险</w:t>
      </w:r>
      <w:r>
        <w:rPr>
          <w:rFonts w:hint="eastAsia" w:ascii="仿宋" w:hAnsi="仿宋" w:eastAsia="仿宋" w:cs="仿宋"/>
          <w:color w:val="auto"/>
          <w:highlight w:val="none"/>
          <w:lang w:eastAsia="zh-CN"/>
        </w:rPr>
        <w:t>的形式，提供履约保函、担保公司担保、</w:t>
      </w:r>
      <w:r>
        <w:rPr>
          <w:rFonts w:hint="eastAsia" w:ascii="仿宋" w:hAnsi="仿宋" w:eastAsia="仿宋" w:cs="仿宋"/>
          <w:color w:val="auto"/>
          <w:highlight w:val="none"/>
          <w:shd w:val="clear" w:color="auto" w:fill="FFFFFF"/>
          <w:lang w:eastAsia="zh-CN"/>
        </w:rPr>
        <w:t>履约保证保险</w:t>
      </w:r>
      <w:r>
        <w:rPr>
          <w:rFonts w:hint="eastAsia" w:ascii="仿宋" w:hAnsi="仿宋" w:eastAsia="仿宋" w:cs="仿宋"/>
          <w:color w:val="auto"/>
          <w:highlight w:val="none"/>
          <w:lang w:eastAsia="zh-CN"/>
        </w:rPr>
        <w:t>所发生的费用由承包人承担。</w:t>
      </w:r>
    </w:p>
    <w:p>
      <w:pPr>
        <w:spacing w:line="360" w:lineRule="auto"/>
        <w:rPr>
          <w:rFonts w:ascii="仿宋" w:hAnsi="仿宋" w:eastAsia="仿宋"/>
          <w:b/>
          <w:bCs/>
          <w:color w:val="auto"/>
          <w:highlight w:val="none"/>
          <w:lang w:eastAsia="zh-CN"/>
        </w:rPr>
      </w:pPr>
      <w:bookmarkStart w:id="533" w:name="_Toc31260"/>
      <w:r>
        <w:rPr>
          <w:color w:val="auto"/>
          <w:highlight w:val="none"/>
        </w:rPr>
        <mc:AlternateContent>
          <mc:Choice Requires="wps">
            <w:drawing>
              <wp:anchor distT="0" distB="0" distL="114300" distR="114300" simplePos="0" relativeHeight="251753472" behindDoc="0" locked="0" layoutInCell="1" allowOverlap="1">
                <wp:simplePos x="0" y="0"/>
                <wp:positionH relativeFrom="column">
                  <wp:posOffset>-114300</wp:posOffset>
                </wp:positionH>
                <wp:positionV relativeFrom="paragraph">
                  <wp:posOffset>255905</wp:posOffset>
                </wp:positionV>
                <wp:extent cx="756920" cy="447675"/>
                <wp:effectExtent l="0" t="0" r="0" b="0"/>
                <wp:wrapNone/>
                <wp:docPr id="93" name="文本框 793"/>
                <wp:cNvGraphicFramePr/>
                <a:graphic xmlns:a="http://schemas.openxmlformats.org/drawingml/2006/main">
                  <a:graphicData uri="http://schemas.microsoft.com/office/word/2010/wordprocessingShape">
                    <wps:wsp>
                      <wps:cNvSpPr txBox="1"/>
                      <wps:spPr>
                        <a:xfrm>
                          <a:off x="0" y="0"/>
                          <a:ext cx="756920" cy="4476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履约担保期限和退还</w:t>
                            </w:r>
                          </w:p>
                        </w:txbxContent>
                      </wps:txbx>
                      <wps:bodyPr wrap="square" upright="1"/>
                    </wps:wsp>
                  </a:graphicData>
                </a:graphic>
              </wp:anchor>
            </w:drawing>
          </mc:Choice>
          <mc:Fallback>
            <w:pict>
              <v:shape id="文本框 793" o:spid="_x0000_s1026" o:spt="202" type="#_x0000_t202" style="position:absolute;left:0pt;margin-left:-9pt;margin-top:20.15pt;height:35.25pt;width:59.6pt;z-index:251753472;mso-width-relative:page;mso-height-relative:page;" filled="f" stroked="f" coordsize="21600,21600" o:gfxdata="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wF26j1wAAAAoBAAAPAAAAAAAAAAEAIAAAACIAAABkcnMvZG93bnJldi54bWxQSwECFAAU&#10;AAAACACHTuJAsmLGVrkBAABe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履约担保期限和退还</w:t>
                      </w:r>
                    </w:p>
                  </w:txbxContent>
                </v:textbox>
              </v:shape>
            </w:pict>
          </mc:Fallback>
        </mc:AlternateContent>
      </w:r>
      <w:r>
        <w:rPr>
          <w:rFonts w:hint="eastAsia" w:ascii="仿宋" w:hAnsi="仿宋" w:eastAsia="仿宋" w:cs="仿宋"/>
          <w:b/>
          <w:bCs/>
          <w:color w:val="auto"/>
          <w:highlight w:val="none"/>
          <w:lang w:eastAsia="zh-CN"/>
        </w:rPr>
        <w:t>32</w:t>
      </w:r>
      <w:r>
        <w:rPr>
          <w:rFonts w:ascii="仿宋" w:hAnsi="仿宋" w:eastAsia="仿宋" w:cs="仿宋"/>
          <w:b/>
          <w:bCs/>
          <w:color w:val="auto"/>
          <w:highlight w:val="none"/>
          <w:lang w:eastAsia="zh-CN"/>
        </w:rPr>
        <w:t>.2</w:t>
      </w:r>
      <w:bookmarkEnd w:id="53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履约担保的有效期，是从提供履约担保之日起至合同工程竣工验收合格之日止。担保有效期满后，发包人应在收到承包人退保申请后的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天内将此担保退还给承包人。</w:t>
      </w:r>
    </w:p>
    <w:p>
      <w:pPr>
        <w:spacing w:line="360" w:lineRule="auto"/>
        <w:rPr>
          <w:rFonts w:ascii="仿宋" w:hAnsi="仿宋" w:eastAsia="仿宋"/>
          <w:b/>
          <w:bCs/>
          <w:color w:val="auto"/>
          <w:highlight w:val="none"/>
          <w:lang w:eastAsia="zh-CN"/>
        </w:rPr>
      </w:pPr>
      <w:bookmarkStart w:id="534" w:name="_Toc27420"/>
      <w:r>
        <w:rPr>
          <w:color w:val="auto"/>
          <w:highlight w:val="none"/>
        </w:rPr>
        <mc:AlternateContent>
          <mc:Choice Requires="wps">
            <w:drawing>
              <wp:anchor distT="0" distB="0" distL="114300" distR="114300" simplePos="0" relativeHeight="251754496" behindDoc="0" locked="0" layoutInCell="1" allowOverlap="1">
                <wp:simplePos x="0" y="0"/>
                <wp:positionH relativeFrom="column">
                  <wp:posOffset>-114300</wp:posOffset>
                </wp:positionH>
                <wp:positionV relativeFrom="paragraph">
                  <wp:posOffset>248920</wp:posOffset>
                </wp:positionV>
                <wp:extent cx="756920" cy="587375"/>
                <wp:effectExtent l="0" t="0" r="0" b="0"/>
                <wp:wrapNone/>
                <wp:docPr id="94" name="文本框 794"/>
                <wp:cNvGraphicFramePr/>
                <a:graphic xmlns:a="http://schemas.openxmlformats.org/drawingml/2006/main">
                  <a:graphicData uri="http://schemas.microsoft.com/office/word/2010/wordprocessingShape">
                    <wps:wsp>
                      <wps:cNvSpPr txBox="1"/>
                      <wps:spPr>
                        <a:xfrm>
                          <a:off x="0" y="0"/>
                          <a:ext cx="756920" cy="5873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向发包人支付索赔款项</w:t>
                            </w:r>
                          </w:p>
                        </w:txbxContent>
                      </wps:txbx>
                      <wps:bodyPr wrap="square" upright="1"/>
                    </wps:wsp>
                  </a:graphicData>
                </a:graphic>
              </wp:anchor>
            </w:drawing>
          </mc:Choice>
          <mc:Fallback>
            <w:pict>
              <v:shape id="文本框 794" o:spid="_x0000_s1026" o:spt="202" type="#_x0000_t202" style="position:absolute;left:0pt;margin-left:-9pt;margin-top:19.6pt;height:46.25pt;width:59.6pt;z-index:251754496;mso-width-relative:page;mso-height-relative:page;" filled="f" stroked="f" coordsize="21600,21600" o:gfxdata="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wn4Xp1wAAAAoBAAAPAAAAAAAAAAEAIAAAACIAAABkcnMvZG93bnJldi54bWxQSwECFAAU&#10;AAAACACHTuJAH9pIhbkBAABe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向发包人支付索赔款项</w:t>
                      </w:r>
                    </w:p>
                  </w:txbxContent>
                </v:textbox>
              </v:shape>
            </w:pict>
          </mc:Fallback>
        </mc:AlternateContent>
      </w:r>
      <w:r>
        <w:rPr>
          <w:rFonts w:hint="eastAsia" w:ascii="仿宋" w:hAnsi="仿宋" w:eastAsia="仿宋" w:cs="仿宋"/>
          <w:b/>
          <w:bCs/>
          <w:color w:val="auto"/>
          <w:highlight w:val="none"/>
          <w:lang w:eastAsia="zh-CN"/>
        </w:rPr>
        <w:t>32</w:t>
      </w:r>
      <w:r>
        <w:rPr>
          <w:rFonts w:ascii="仿宋" w:hAnsi="仿宋" w:eastAsia="仿宋" w:cs="仿宋"/>
          <w:b/>
          <w:bCs/>
          <w:color w:val="auto"/>
          <w:highlight w:val="none"/>
          <w:lang w:eastAsia="zh-CN"/>
        </w:rPr>
        <w:t>.3</w:t>
      </w:r>
      <w:bookmarkEnd w:id="53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b/>
          <w:bCs/>
          <w:color w:val="auto"/>
          <w:highlight w:val="none"/>
          <w:lang w:eastAsia="zh-CN"/>
        </w:rPr>
      </w:pPr>
      <w:r>
        <w:rPr>
          <w:rFonts w:hint="eastAsia" w:ascii="仿宋" w:hAnsi="仿宋" w:eastAsia="仿宋" w:cs="仿宋"/>
          <w:color w:val="auto"/>
          <w:highlight w:val="none"/>
          <w:lang w:eastAsia="zh-CN"/>
        </w:rPr>
        <w:t>发包人在对履约担保提出索赔要求之前，应书面通知承包人，说明导致此项索赔的原因，并及时向担保人提出索赔文件。担保人根据担保合同的约定在担保范围内承担担保责任，并无须征得承包人的同意，直接向发包人支付索赔价款。</w:t>
      </w:r>
    </w:p>
    <w:p>
      <w:pPr>
        <w:spacing w:line="360" w:lineRule="auto"/>
        <w:rPr>
          <w:rFonts w:ascii="仿宋" w:hAnsi="仿宋" w:eastAsia="仿宋"/>
          <w:b/>
          <w:bCs/>
          <w:color w:val="auto"/>
          <w:highlight w:val="none"/>
          <w:lang w:eastAsia="zh-CN"/>
        </w:rPr>
      </w:pPr>
      <w:bookmarkStart w:id="535" w:name="_Toc325"/>
      <w:r>
        <w:rPr>
          <w:color w:val="auto"/>
          <w:highlight w:val="none"/>
        </w:rPr>
        <mc:AlternateContent>
          <mc:Choice Requires="wps">
            <w:drawing>
              <wp:anchor distT="0" distB="0" distL="114300" distR="114300" simplePos="0" relativeHeight="251988992" behindDoc="0" locked="0" layoutInCell="1" allowOverlap="1">
                <wp:simplePos x="0" y="0"/>
                <wp:positionH relativeFrom="column">
                  <wp:posOffset>-114300</wp:posOffset>
                </wp:positionH>
                <wp:positionV relativeFrom="paragraph">
                  <wp:posOffset>251460</wp:posOffset>
                </wp:positionV>
                <wp:extent cx="794385" cy="481330"/>
                <wp:effectExtent l="0" t="0" r="0" b="0"/>
                <wp:wrapNone/>
                <wp:docPr id="323" name="文本框 795"/>
                <wp:cNvGraphicFramePr/>
                <a:graphic xmlns:a="http://schemas.openxmlformats.org/drawingml/2006/main">
                  <a:graphicData uri="http://schemas.microsoft.com/office/word/2010/wordprocessingShape">
                    <wps:wsp>
                      <wps:cNvSpPr txBox="1"/>
                      <wps:spPr>
                        <a:xfrm>
                          <a:off x="0" y="0"/>
                          <a:ext cx="794385" cy="48133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发包人提供支付担保</w:t>
                            </w:r>
                          </w:p>
                        </w:txbxContent>
                      </wps:txbx>
                      <wps:bodyPr wrap="square" upright="1"/>
                    </wps:wsp>
                  </a:graphicData>
                </a:graphic>
              </wp:anchor>
            </w:drawing>
          </mc:Choice>
          <mc:Fallback>
            <w:pict>
              <v:shape id="文本框 795" o:spid="_x0000_s1026" o:spt="202" type="#_x0000_t202" style="position:absolute;left:0pt;margin-left:-9pt;margin-top:19.8pt;height:37.9pt;width:62.55pt;z-index:251988992;mso-width-relative:page;mso-height-relative:page;" filled="f" stroked="f" coordsize="21600,21600" o:gfxdata="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vHIWHdgAAAAKAQAADwAAAAAAAAABACAAAAAiAAAAZHJzL2Rvd25yZXYueG1sUEsB&#10;AhQAFAAAAAgAh07iQLy2Leq8AQAAXwMAAA4AAAAAAAAAAQAgAAAAJwEAAGRycy9lMm9Eb2MueG1s&#10;UEsFBgAAAAAGAAYAWQEAAFU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发包人提供支付担保</w:t>
                      </w:r>
                    </w:p>
                  </w:txbxContent>
                </v:textbox>
              </v:shape>
            </w:pict>
          </mc:Fallback>
        </mc:AlternateContent>
      </w:r>
      <w:r>
        <w:rPr>
          <w:rFonts w:hint="eastAsia" w:ascii="仿宋" w:hAnsi="仿宋" w:eastAsia="仿宋" w:cs="仿宋"/>
          <w:b/>
          <w:bCs/>
          <w:color w:val="auto"/>
          <w:highlight w:val="none"/>
          <w:lang w:eastAsia="zh-CN"/>
        </w:rPr>
        <w:t>32</w:t>
      </w:r>
      <w:r>
        <w:rPr>
          <w:rFonts w:ascii="仿宋" w:hAnsi="仿宋" w:eastAsia="仿宋" w:cs="仿宋"/>
          <w:b/>
          <w:bCs/>
          <w:color w:val="auto"/>
          <w:highlight w:val="none"/>
          <w:lang w:eastAsia="zh-CN"/>
        </w:rPr>
        <w:t>.4</w:t>
      </w:r>
      <w:bookmarkEnd w:id="53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承包人按照第32</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款的要求提交了履约担保，发包人应按照合同约定时间向承包人提交与履约担保等值的支付担保；发、承包人也可约定由发包人向承包人提交预付款等值的支付担保。支付担保采用银行保函、担保公司担保或</w:t>
      </w:r>
      <w:r>
        <w:rPr>
          <w:rFonts w:hint="eastAsia" w:ascii="仿宋" w:hAnsi="仿宋" w:eastAsia="仿宋" w:cs="仿宋"/>
          <w:color w:val="auto"/>
          <w:highlight w:val="none"/>
          <w:shd w:val="clear" w:color="auto" w:fill="FFFFFF"/>
          <w:lang w:eastAsia="zh-CN"/>
        </w:rPr>
        <w:t>支付保证保险</w:t>
      </w:r>
      <w:r>
        <w:rPr>
          <w:rFonts w:hint="eastAsia" w:ascii="仿宋" w:hAnsi="仿宋" w:eastAsia="仿宋" w:cs="仿宋"/>
          <w:color w:val="auto"/>
          <w:highlight w:val="none"/>
          <w:lang w:eastAsia="zh-CN"/>
        </w:rPr>
        <w:t>的形式，提供支付保函、担保公司担保、</w:t>
      </w:r>
      <w:r>
        <w:rPr>
          <w:rFonts w:hint="eastAsia" w:ascii="仿宋" w:hAnsi="仿宋" w:eastAsia="仿宋" w:cs="仿宋"/>
          <w:color w:val="auto"/>
          <w:highlight w:val="none"/>
          <w:shd w:val="clear" w:color="auto" w:fill="FFFFFF"/>
          <w:lang w:eastAsia="zh-CN"/>
        </w:rPr>
        <w:t>支付保证保险</w:t>
      </w:r>
      <w:r>
        <w:rPr>
          <w:rFonts w:hint="eastAsia" w:ascii="仿宋" w:hAnsi="仿宋" w:eastAsia="仿宋" w:cs="仿宋"/>
          <w:color w:val="auto"/>
          <w:highlight w:val="none"/>
          <w:lang w:eastAsia="zh-CN"/>
        </w:rPr>
        <w:t>所发生的费用由发包人承担。</w:t>
      </w:r>
    </w:p>
    <w:p>
      <w:pPr>
        <w:spacing w:line="360" w:lineRule="auto"/>
        <w:rPr>
          <w:rFonts w:ascii="仿宋" w:hAnsi="仿宋" w:eastAsia="仿宋"/>
          <w:b/>
          <w:bCs/>
          <w:color w:val="auto"/>
          <w:highlight w:val="none"/>
          <w:lang w:eastAsia="zh-CN"/>
        </w:rPr>
      </w:pPr>
      <w:bookmarkStart w:id="536" w:name="_Toc11769"/>
      <w:r>
        <w:rPr>
          <w:color w:val="auto"/>
          <w:highlight w:val="none"/>
        </w:rPr>
        <mc:AlternateContent>
          <mc:Choice Requires="wps">
            <w:drawing>
              <wp:anchor distT="0" distB="0" distL="114300" distR="114300" simplePos="0" relativeHeight="251990016" behindDoc="0" locked="0" layoutInCell="1" allowOverlap="1">
                <wp:simplePos x="0" y="0"/>
                <wp:positionH relativeFrom="column">
                  <wp:posOffset>-114300</wp:posOffset>
                </wp:positionH>
                <wp:positionV relativeFrom="paragraph">
                  <wp:posOffset>238125</wp:posOffset>
                </wp:positionV>
                <wp:extent cx="833120" cy="563880"/>
                <wp:effectExtent l="0" t="0" r="0" b="0"/>
                <wp:wrapNone/>
                <wp:docPr id="324" name="文本框 796"/>
                <wp:cNvGraphicFramePr/>
                <a:graphic xmlns:a="http://schemas.openxmlformats.org/drawingml/2006/main">
                  <a:graphicData uri="http://schemas.microsoft.com/office/word/2010/wordprocessingShape">
                    <wps:wsp>
                      <wps:cNvSpPr txBox="1"/>
                      <wps:spPr>
                        <a:xfrm>
                          <a:off x="0" y="0"/>
                          <a:ext cx="833120" cy="56388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支付担保期限和退还</w:t>
                            </w:r>
                          </w:p>
                        </w:txbxContent>
                      </wps:txbx>
                      <wps:bodyPr wrap="square" upright="1"/>
                    </wps:wsp>
                  </a:graphicData>
                </a:graphic>
              </wp:anchor>
            </w:drawing>
          </mc:Choice>
          <mc:Fallback>
            <w:pict>
              <v:shape id="文本框 796" o:spid="_x0000_s1026" o:spt="202" type="#_x0000_t202" style="position:absolute;left:0pt;margin-left:-9pt;margin-top:18.75pt;height:44.4pt;width:65.6pt;z-index:251990016;mso-width-relative:page;mso-height-relative:page;" filled="f" stroked="f" coordsize="21600,21600" o:gfxdata="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YdZ+c2AAAAAoBAAAPAAAAAAAAAAEAIAAAACIAAABkcnMvZG93bnJldi54bWxQSwEC&#10;FAAUAAAACACHTuJA+MfIpLsBAABf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支付担保期限和退还</w:t>
                      </w:r>
                    </w:p>
                  </w:txbxContent>
                </v:textbox>
              </v:shape>
            </w:pict>
          </mc:Fallback>
        </mc:AlternateContent>
      </w:r>
      <w:r>
        <w:rPr>
          <w:rFonts w:hint="eastAsia" w:ascii="仿宋" w:hAnsi="仿宋" w:eastAsia="仿宋" w:cs="仿宋"/>
          <w:b/>
          <w:bCs/>
          <w:color w:val="auto"/>
          <w:highlight w:val="none"/>
          <w:lang w:eastAsia="zh-CN"/>
        </w:rPr>
        <w:t>32</w:t>
      </w:r>
      <w:r>
        <w:rPr>
          <w:rFonts w:ascii="仿宋" w:hAnsi="仿宋" w:eastAsia="仿宋" w:cs="仿宋"/>
          <w:b/>
          <w:bCs/>
          <w:color w:val="auto"/>
          <w:highlight w:val="none"/>
          <w:lang w:eastAsia="zh-CN"/>
        </w:rPr>
        <w:t>.5</w:t>
      </w:r>
      <w:bookmarkEnd w:id="53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支付担保的有效期，是从提供支付担保之日起至发包人根据本合同约定支付完除质量保证金以外的全部款项之日止。承包人应在担保有效期满后的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天内将此担保退还给发包人。</w:t>
      </w:r>
    </w:p>
    <w:p>
      <w:pPr>
        <w:spacing w:line="360" w:lineRule="auto"/>
        <w:rPr>
          <w:rFonts w:ascii="仿宋" w:hAnsi="仿宋" w:eastAsia="仿宋"/>
          <w:b/>
          <w:bCs/>
          <w:color w:val="auto"/>
          <w:highlight w:val="none"/>
          <w:lang w:eastAsia="zh-CN"/>
        </w:rPr>
      </w:pPr>
      <w:bookmarkStart w:id="537" w:name="_Toc6720"/>
      <w:r>
        <w:rPr>
          <w:color w:val="auto"/>
          <w:highlight w:val="none"/>
        </w:rPr>
        <mc:AlternateContent>
          <mc:Choice Requires="wps">
            <w:drawing>
              <wp:anchor distT="0" distB="0" distL="114300" distR="114300" simplePos="0" relativeHeight="251991040" behindDoc="0" locked="0" layoutInCell="1" allowOverlap="1">
                <wp:simplePos x="0" y="0"/>
                <wp:positionH relativeFrom="column">
                  <wp:posOffset>-114300</wp:posOffset>
                </wp:positionH>
                <wp:positionV relativeFrom="paragraph">
                  <wp:posOffset>247650</wp:posOffset>
                </wp:positionV>
                <wp:extent cx="842645" cy="562610"/>
                <wp:effectExtent l="0" t="0" r="0" b="0"/>
                <wp:wrapNone/>
                <wp:docPr id="325" name="文本框 797"/>
                <wp:cNvGraphicFramePr/>
                <a:graphic xmlns:a="http://schemas.openxmlformats.org/drawingml/2006/main">
                  <a:graphicData uri="http://schemas.microsoft.com/office/word/2010/wordprocessingShape">
                    <wps:wsp>
                      <wps:cNvSpPr txBox="1"/>
                      <wps:spPr>
                        <a:xfrm>
                          <a:off x="0" y="0"/>
                          <a:ext cx="842645" cy="56261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向承包人支付索赔款项</w:t>
                            </w:r>
                          </w:p>
                        </w:txbxContent>
                      </wps:txbx>
                      <wps:bodyPr wrap="square" upright="1"/>
                    </wps:wsp>
                  </a:graphicData>
                </a:graphic>
              </wp:anchor>
            </w:drawing>
          </mc:Choice>
          <mc:Fallback>
            <w:pict>
              <v:shape id="文本框 797" o:spid="_x0000_s1026" o:spt="202" type="#_x0000_t202" style="position:absolute;left:0pt;margin-left:-9pt;margin-top:19.5pt;height:44.3pt;width:66.35pt;z-index:251991040;mso-width-relative:page;mso-height-relative:page;" filled="f" stroked="f" coordsize="21600,21600" o:gfxdata="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IeGTw2AAAAAoBAAAPAAAAAAAAAAEAIAAAACIAAABkcnMvZG93bnJldi54bWxQSwEC&#10;FAAUAAAACACHTuJAyzYAB7sBAABf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向承包人支付索赔款项</w:t>
                      </w:r>
                    </w:p>
                  </w:txbxContent>
                </v:textbox>
              </v:shape>
            </w:pict>
          </mc:Fallback>
        </mc:AlternateContent>
      </w:r>
      <w:r>
        <w:rPr>
          <w:rFonts w:hint="eastAsia" w:ascii="仿宋" w:hAnsi="仿宋" w:eastAsia="仿宋" w:cs="仿宋"/>
          <w:b/>
          <w:bCs/>
          <w:color w:val="auto"/>
          <w:highlight w:val="none"/>
          <w:lang w:eastAsia="zh-CN"/>
        </w:rPr>
        <w:t>32</w:t>
      </w:r>
      <w:r>
        <w:rPr>
          <w:rFonts w:ascii="仿宋" w:hAnsi="仿宋" w:eastAsia="仿宋" w:cs="仿宋"/>
          <w:b/>
          <w:bCs/>
          <w:color w:val="auto"/>
          <w:highlight w:val="none"/>
          <w:lang w:eastAsia="zh-CN"/>
        </w:rPr>
        <w:t>.6</w:t>
      </w:r>
      <w:bookmarkEnd w:id="53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在对支付担保提出索赔要求之前，应书面通知发包人和造价工程师，说明导致此项索赔的原因，并及时向担保人提出索赔文件。担保人根据担保合同的约定在担保范围内承担担保责任，并无须征得发包人的同意，直接向承包人支付索赔款额。</w:t>
      </w:r>
    </w:p>
    <w:p>
      <w:pPr>
        <w:spacing w:line="360" w:lineRule="auto"/>
        <w:rPr>
          <w:rFonts w:ascii="仿宋" w:hAnsi="仿宋" w:eastAsia="仿宋"/>
          <w:b/>
          <w:bCs/>
          <w:color w:val="auto"/>
          <w:highlight w:val="none"/>
          <w:lang w:eastAsia="zh-CN"/>
        </w:rPr>
      </w:pPr>
      <w:bookmarkStart w:id="538" w:name="_Toc32372"/>
      <w:r>
        <w:rPr>
          <w:color w:val="auto"/>
          <w:highlight w:val="none"/>
        </w:rPr>
        <mc:AlternateContent>
          <mc:Choice Requires="wps">
            <w:drawing>
              <wp:anchor distT="0" distB="0" distL="114300" distR="114300" simplePos="0" relativeHeight="251992064" behindDoc="0" locked="0" layoutInCell="1" allowOverlap="1">
                <wp:simplePos x="0" y="0"/>
                <wp:positionH relativeFrom="column">
                  <wp:posOffset>-114300</wp:posOffset>
                </wp:positionH>
                <wp:positionV relativeFrom="paragraph">
                  <wp:posOffset>243205</wp:posOffset>
                </wp:positionV>
                <wp:extent cx="842010" cy="617855"/>
                <wp:effectExtent l="0" t="0" r="0" b="0"/>
                <wp:wrapNone/>
                <wp:docPr id="326" name="文本框 798"/>
                <wp:cNvGraphicFramePr/>
                <a:graphic xmlns:a="http://schemas.openxmlformats.org/drawingml/2006/main">
                  <a:graphicData uri="http://schemas.microsoft.com/office/word/2010/wordprocessingShape">
                    <wps:wsp>
                      <wps:cNvSpPr txBox="1"/>
                      <wps:spPr>
                        <a:xfrm>
                          <a:off x="0" y="0"/>
                          <a:ext cx="842010" cy="61785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双方延长担保期限</w:t>
                            </w:r>
                          </w:p>
                        </w:txbxContent>
                      </wps:txbx>
                      <wps:bodyPr wrap="square" upright="1"/>
                    </wps:wsp>
                  </a:graphicData>
                </a:graphic>
              </wp:anchor>
            </w:drawing>
          </mc:Choice>
          <mc:Fallback>
            <w:pict>
              <v:shape id="文本框 798" o:spid="_x0000_s1026" o:spt="202" type="#_x0000_t202" style="position:absolute;left:0pt;margin-left:-9pt;margin-top:19.15pt;height:48.65pt;width:66.3pt;z-index:251992064;mso-width-relative:page;mso-height-relative:page;" filled="f" stroked="f" coordsize="21600,21600" o:gfxdata="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Fsixz2AAAAAoBAAAPAAAAAAAAAAEAIAAAACIAAABkcnMvZG93bnJldi54bWxQSwECFAAU&#10;AAAACACHTuJAQESBm7gBAABfAwAADgAAAAAAAAABACAAAAAn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双方延长担保期限</w:t>
                      </w:r>
                    </w:p>
                  </w:txbxContent>
                </v:textbox>
              </v:shape>
            </w:pict>
          </mc:Fallback>
        </mc:AlternateContent>
      </w:r>
      <w:r>
        <w:rPr>
          <w:rFonts w:hint="eastAsia" w:ascii="仿宋" w:hAnsi="仿宋" w:eastAsia="仿宋" w:cs="仿宋"/>
          <w:b/>
          <w:bCs/>
          <w:color w:val="auto"/>
          <w:highlight w:val="none"/>
          <w:lang w:eastAsia="zh-CN"/>
        </w:rPr>
        <w:t>32</w:t>
      </w:r>
      <w:r>
        <w:rPr>
          <w:rFonts w:ascii="仿宋" w:hAnsi="仿宋" w:eastAsia="仿宋" w:cs="仿宋"/>
          <w:b/>
          <w:bCs/>
          <w:color w:val="auto"/>
          <w:highlight w:val="none"/>
          <w:lang w:eastAsia="zh-CN"/>
        </w:rPr>
        <w:t>.7</w:t>
      </w:r>
      <w:bookmarkEnd w:id="53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合同双方当事人均应确保合同工程担保有效期符合工期合理顺延的要求。若合同一方当事人未能保证延长担保有效期，另一方当事人可向其索赔担保的全部金额。</w:t>
      </w:r>
    </w:p>
    <w:p>
      <w:pPr>
        <w:spacing w:line="360" w:lineRule="auto"/>
        <w:rPr>
          <w:rFonts w:ascii="仿宋" w:hAnsi="仿宋" w:eastAsia="仿宋"/>
          <w:b/>
          <w:bCs/>
          <w:color w:val="auto"/>
          <w:highlight w:val="none"/>
          <w:lang w:eastAsia="zh-CN"/>
        </w:rPr>
      </w:pPr>
      <w:bookmarkStart w:id="539" w:name="_Toc5677"/>
      <w:r>
        <w:rPr>
          <w:rFonts w:hint="eastAsia" w:ascii="仿宋" w:hAnsi="仿宋" w:eastAsia="仿宋" w:cs="仿宋"/>
          <w:b/>
          <w:bCs/>
          <w:color w:val="auto"/>
          <w:highlight w:val="none"/>
          <w:lang w:eastAsia="zh-CN"/>
        </w:rPr>
        <w:t>32</w:t>
      </w:r>
      <w:r>
        <w:rPr>
          <w:rFonts w:ascii="仿宋" w:hAnsi="仿宋" w:eastAsia="仿宋" w:cs="仿宋"/>
          <w:b/>
          <w:bCs/>
          <w:color w:val="auto"/>
          <w:highlight w:val="none"/>
          <w:lang w:eastAsia="zh-CN"/>
        </w:rPr>
        <w:t>.8</w:t>
      </w:r>
      <w:bookmarkEnd w:id="53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93088" behindDoc="0" locked="0" layoutInCell="1" allowOverlap="1">
                <wp:simplePos x="0" y="0"/>
                <wp:positionH relativeFrom="column">
                  <wp:posOffset>-114300</wp:posOffset>
                </wp:positionH>
                <wp:positionV relativeFrom="paragraph">
                  <wp:posOffset>41275</wp:posOffset>
                </wp:positionV>
                <wp:extent cx="756920" cy="460375"/>
                <wp:effectExtent l="0" t="0" r="0" b="0"/>
                <wp:wrapNone/>
                <wp:docPr id="327" name="文本框 799"/>
                <wp:cNvGraphicFramePr/>
                <a:graphic xmlns:a="http://schemas.openxmlformats.org/drawingml/2006/main">
                  <a:graphicData uri="http://schemas.microsoft.com/office/word/2010/wordprocessingShape">
                    <wps:wsp>
                      <wps:cNvSpPr txBox="1"/>
                      <wps:spPr>
                        <a:xfrm>
                          <a:off x="0" y="0"/>
                          <a:ext cx="756920" cy="4603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约定担保事项</w:t>
                            </w:r>
                          </w:p>
                        </w:txbxContent>
                      </wps:txbx>
                      <wps:bodyPr wrap="square" upright="1"/>
                    </wps:wsp>
                  </a:graphicData>
                </a:graphic>
              </wp:anchor>
            </w:drawing>
          </mc:Choice>
          <mc:Fallback>
            <w:pict>
              <v:shape id="文本框 799" o:spid="_x0000_s1026" o:spt="202" type="#_x0000_t202" style="position:absolute;left:0pt;margin-left:-9pt;margin-top:3.25pt;height:36.25pt;width:59.6pt;z-index:251993088;mso-width-relative:page;mso-height-relative:page;" filled="f" stroked="f" coordsize="21600,21600" o:gfxdata="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f2dfbVAAAACAEAAA8AAAAAAAAAAQAgAAAAIgAAAGRycy9kb3ducmV2LnhtbFBLAQIUABQA&#10;AAAIAIdO4kB7Fl6s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约定担保事项</w:t>
                      </w:r>
                    </w:p>
                  </w:txbxContent>
                </v:textbox>
              </v:shape>
            </w:pict>
          </mc:Fallback>
        </mc:AlternateContent>
      </w:r>
      <w:r>
        <w:rPr>
          <w:rFonts w:hint="eastAsia" w:ascii="仿宋" w:hAnsi="仿宋" w:eastAsia="仿宋" w:cs="仿宋"/>
          <w:color w:val="auto"/>
          <w:highlight w:val="none"/>
          <w:lang w:eastAsia="zh-CN"/>
        </w:rPr>
        <w:t>合同双方当事人在专用条款中约定担保内容、方式和责任等事项，并签订担保合同，作为本合同附件。</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540" w:name="_Toc13736"/>
      <w:bookmarkStart w:id="541" w:name="_Toc27997"/>
      <w:bookmarkStart w:id="542" w:name="_Toc7211"/>
      <w:bookmarkStart w:id="543" w:name="_Toc23356"/>
      <w:bookmarkStart w:id="544" w:name="_Toc16142"/>
      <w:bookmarkStart w:id="545" w:name="_Toc26415"/>
      <w:bookmarkStart w:id="546" w:name="_Toc26843"/>
      <w:bookmarkStart w:id="547" w:name="_Toc5340"/>
      <w:r>
        <w:rPr>
          <w:rFonts w:hint="eastAsia" w:ascii="仿宋" w:hAnsi="仿宋" w:eastAsia="仿宋" w:cs="仿宋"/>
          <w:bCs w:val="0"/>
          <w:color w:val="auto"/>
          <w:sz w:val="24"/>
          <w:szCs w:val="24"/>
          <w:highlight w:val="none"/>
          <w:lang w:eastAsia="zh-CN"/>
        </w:rPr>
        <w:t>33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发包人风险</w:t>
      </w:r>
      <w:bookmarkEnd w:id="540"/>
      <w:bookmarkEnd w:id="541"/>
      <w:bookmarkEnd w:id="542"/>
      <w:bookmarkEnd w:id="543"/>
      <w:bookmarkEnd w:id="544"/>
      <w:bookmarkEnd w:id="545"/>
      <w:bookmarkEnd w:id="546"/>
      <w:bookmarkEnd w:id="547"/>
    </w:p>
    <w:p>
      <w:pPr>
        <w:pStyle w:val="22"/>
        <w:adjustRightInd w:val="0"/>
        <w:snapToGrid w:val="0"/>
        <w:spacing w:line="360" w:lineRule="auto"/>
        <w:ind w:right="-240"/>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994112" behindDoc="0" locked="0" layoutInCell="1" allowOverlap="1">
                <wp:simplePos x="0" y="0"/>
                <wp:positionH relativeFrom="column">
                  <wp:posOffset>-114300</wp:posOffset>
                </wp:positionH>
                <wp:positionV relativeFrom="paragraph">
                  <wp:posOffset>179070</wp:posOffset>
                </wp:positionV>
                <wp:extent cx="861695" cy="429260"/>
                <wp:effectExtent l="0" t="0" r="0" b="0"/>
                <wp:wrapNone/>
                <wp:docPr id="328" name="文本框 800"/>
                <wp:cNvGraphicFramePr/>
                <a:graphic xmlns:a="http://schemas.openxmlformats.org/drawingml/2006/main">
                  <a:graphicData uri="http://schemas.microsoft.com/office/word/2010/wordprocessingShape">
                    <wps:wsp>
                      <wps:cNvSpPr txBox="1"/>
                      <wps:spPr>
                        <a:xfrm>
                          <a:off x="0" y="0"/>
                          <a:ext cx="861695" cy="42926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发包人承担风险</w:t>
                            </w:r>
                          </w:p>
                        </w:txbxContent>
                      </wps:txbx>
                      <wps:bodyPr wrap="square" upright="1"/>
                    </wps:wsp>
                  </a:graphicData>
                </a:graphic>
              </wp:anchor>
            </w:drawing>
          </mc:Choice>
          <mc:Fallback>
            <w:pict>
              <v:shape id="文本框 800" o:spid="_x0000_s1026" o:spt="202" type="#_x0000_t202" style="position:absolute;left:0pt;margin-left:-9pt;margin-top:14.1pt;height:33.8pt;width:67.85pt;z-index:251994112;mso-width-relative:page;mso-height-relative:page;" filled="f" stroked="f" coordsize="21600,21600" o:gfxdata="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Yvj301wAAAAkBAAAPAAAAAAAAAAEAIAAAACIAAABkcnMvZG93bnJldi54bWxQSwECFAAU&#10;AAAACACHTuJATTn06r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发包人承担风险</w:t>
                      </w:r>
                    </w:p>
                  </w:txbxContent>
                </v:textbox>
              </v:shape>
            </w:pict>
          </mc:Fallback>
        </mc:AlternateContent>
      </w:r>
      <w:r>
        <w:rPr>
          <w:rFonts w:hint="eastAsia" w:ascii="仿宋" w:hAnsi="仿宋" w:eastAsia="仿宋" w:cs="仿宋"/>
          <w:b/>
          <w:bCs/>
          <w:color w:val="auto"/>
          <w:sz w:val="24"/>
          <w:szCs w:val="24"/>
          <w:highlight w:val="none"/>
          <w:lang w:eastAsia="zh-CN"/>
        </w:rPr>
        <w:t>33</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发包人应承担本合同中约定应由发包人承担的风险。</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33</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755520" behindDoc="0" locked="0" layoutInCell="1" allowOverlap="1">
                <wp:simplePos x="0" y="0"/>
                <wp:positionH relativeFrom="column">
                  <wp:posOffset>-114300</wp:posOffset>
                </wp:positionH>
                <wp:positionV relativeFrom="paragraph">
                  <wp:posOffset>10795</wp:posOffset>
                </wp:positionV>
                <wp:extent cx="842645" cy="509905"/>
                <wp:effectExtent l="0" t="0" r="0" b="0"/>
                <wp:wrapNone/>
                <wp:docPr id="95" name="文本框 801"/>
                <wp:cNvGraphicFramePr/>
                <a:graphic xmlns:a="http://schemas.openxmlformats.org/drawingml/2006/main">
                  <a:graphicData uri="http://schemas.microsoft.com/office/word/2010/wordprocessingShape">
                    <wps:wsp>
                      <wps:cNvSpPr txBox="1"/>
                      <wps:spPr>
                        <a:xfrm>
                          <a:off x="0" y="0"/>
                          <a:ext cx="842645" cy="50990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发包人风险</w:t>
                            </w:r>
                          </w:p>
                        </w:txbxContent>
                      </wps:txbx>
                      <wps:bodyPr wrap="square" upright="1"/>
                    </wps:wsp>
                  </a:graphicData>
                </a:graphic>
              </wp:anchor>
            </w:drawing>
          </mc:Choice>
          <mc:Fallback>
            <w:pict>
              <v:shape id="文本框 801" o:spid="_x0000_s1026" o:spt="202" type="#_x0000_t202" style="position:absolute;left:0pt;margin-left:-9pt;margin-top:0.85pt;height:40.15pt;width:66.35pt;z-index:251755520;mso-width-relative:page;mso-height-relative:page;" filled="f" stroked="f" coordsize="21600,21600" o:gfxdata="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shBgm1AAAAAgBAAAPAAAAAAAAAAEAIAAAACIAAABkcnMvZG93bnJldi54bWxQSwECFAAUAAAA&#10;CACHTuJAhpK//rkBAABeAwAADgAAAAAAAAABACAAAAAj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发包人风险</w:t>
                      </w:r>
                    </w:p>
                  </w:txbxContent>
                </v:textbox>
              </v:shape>
            </w:pict>
          </mc:Fallback>
        </mc:AlternateContent>
      </w:r>
      <w:r>
        <w:rPr>
          <w:rFonts w:hint="eastAsia" w:ascii="仿宋" w:hAnsi="仿宋" w:eastAsia="仿宋" w:cs="仿宋"/>
          <w:color w:val="auto"/>
          <w:highlight w:val="none"/>
          <w:lang w:eastAsia="zh-CN"/>
        </w:rPr>
        <w:t>自本项目工程总承包范围首要工作（如勘察）开始工作之日起至颁发工程接收证书之日止，发包人风险包括：</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由非承</w:t>
      </w:r>
      <w:r>
        <w:rPr>
          <w:rFonts w:hint="eastAsia" w:ascii="仿宋" w:hAnsi="仿宋" w:eastAsia="仿宋"/>
          <w:color w:val="auto"/>
          <w:sz w:val="24"/>
          <w:szCs w:val="24"/>
          <w:highlight w:val="none"/>
          <w:lang w:eastAsia="zh-CN"/>
        </w:rPr>
        <w:t>包人原因导致的勘察、设计等工作延误、暂停或终止；</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olor w:val="auto"/>
          <w:sz w:val="24"/>
          <w:szCs w:val="24"/>
          <w:highlight w:val="none"/>
          <w:lang w:eastAsia="zh-CN"/>
        </w:rPr>
        <w:t>由非承包人原因导致的勘察、设计等工作缺陷；</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由于永久工程本身或施工而不可避免造成的财产（除工程本身、工程材料、工程设备和施工设备外）损失或损坏；</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由于发包人工作人员及其相关人员（除承包人外）的疏忽或违规造成的人员伤亡、财产损失或损坏；</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由于发包人提前使用或占用永久工程或其部分造成的损失或损坏；</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由于发包人提供或发包人负责的设计造成的对永久工程、工程材料、工程设备和施工设备的损失或损害；</w:t>
      </w:r>
    </w:p>
    <w:p>
      <w:pPr>
        <w:pStyle w:val="22"/>
        <w:widowControl w:val="0"/>
        <w:numPr>
          <w:ilvl w:val="0"/>
          <w:numId w:val="7"/>
        </w:numPr>
        <w:tabs>
          <w:tab w:val="clear" w:pos="2609"/>
        </w:tabs>
        <w:adjustRightInd w:val="0"/>
        <w:snapToGrid w:val="0"/>
        <w:spacing w:line="360" w:lineRule="auto"/>
        <w:ind w:left="1850" w:leftChars="771" w:firstLine="0"/>
        <w:jc w:val="both"/>
        <w:rPr>
          <w:color w:val="auto"/>
          <w:highlight w:val="none"/>
          <w:lang w:eastAsia="zh-CN"/>
        </w:rPr>
      </w:pPr>
      <w:r>
        <w:rPr>
          <w:rFonts w:hint="eastAsia" w:ascii="仿宋" w:hAnsi="仿宋" w:eastAsia="仿宋" w:cs="仿宋"/>
          <w:color w:val="auto"/>
          <w:sz w:val="24"/>
          <w:szCs w:val="24"/>
          <w:highlight w:val="none"/>
          <w:lang w:eastAsia="zh-CN"/>
        </w:rPr>
        <w:t>由于地质、邻近建筑物、古树名木等发包人和第三方责任人原因造成施工过程中费用的增加；</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专用条款约定由发包人承担的物价上涨等非承包人原因造成施工过程中费用的增加；</w:t>
      </w:r>
    </w:p>
    <w:p>
      <w:pPr>
        <w:pStyle w:val="22"/>
        <w:widowControl w:val="0"/>
        <w:numPr>
          <w:ilvl w:val="0"/>
          <w:numId w:val="7"/>
        </w:numPr>
        <w:tabs>
          <w:tab w:val="clear" w:pos="2609"/>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其它风险。</w:t>
      </w:r>
    </w:p>
    <w:p>
      <w:pPr>
        <w:pStyle w:val="22"/>
        <w:adjustRightInd w:val="0"/>
        <w:snapToGrid w:val="0"/>
        <w:spacing w:line="360" w:lineRule="auto"/>
        <w:rPr>
          <w:rFonts w:ascii="仿宋" w:hAnsi="仿宋" w:eastAsia="仿宋" w:cs="仿宋"/>
          <w:color w:val="auto"/>
          <w:sz w:val="24"/>
          <w:szCs w:val="24"/>
          <w:highlight w:val="none"/>
          <w:u w:val="single"/>
          <w:lang w:eastAsia="zh-CN"/>
        </w:rPr>
      </w:pPr>
      <w:r>
        <w:rPr>
          <w:rFonts w:ascii="仿宋" w:hAnsi="仿宋" w:eastAsia="仿宋" w:cs="仿宋"/>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rPr>
      </w:pPr>
      <w:bookmarkStart w:id="548" w:name="_Toc5564"/>
      <w:bookmarkStart w:id="549" w:name="_Toc31056"/>
      <w:bookmarkStart w:id="550" w:name="_Toc14871"/>
      <w:bookmarkStart w:id="551" w:name="_Toc28307"/>
      <w:bookmarkStart w:id="552" w:name="_Toc8912"/>
      <w:bookmarkStart w:id="553" w:name="_Toc21797"/>
      <w:bookmarkStart w:id="554" w:name="_Toc16259"/>
      <w:bookmarkStart w:id="555" w:name="_Toc4611"/>
      <w:r>
        <w:rPr>
          <w:rFonts w:ascii="仿宋" w:hAnsi="仿宋" w:eastAsia="仿宋" w:cs="仿宋"/>
          <w:bCs w:val="0"/>
          <w:color w:val="auto"/>
          <w:sz w:val="24"/>
          <w:szCs w:val="24"/>
          <w:highlight w:val="none"/>
        </w:rPr>
        <w:t>3</w:t>
      </w:r>
      <w:r>
        <w:rPr>
          <w:rFonts w:hint="eastAsia" w:ascii="仿宋" w:hAnsi="仿宋" w:eastAsia="仿宋" w:cs="仿宋"/>
          <w:bCs w:val="0"/>
          <w:color w:val="auto"/>
          <w:sz w:val="24"/>
          <w:szCs w:val="24"/>
          <w:highlight w:val="none"/>
        </w:rPr>
        <w:t>4</w:t>
      </w:r>
      <w:r>
        <w:rPr>
          <w:rFonts w:ascii="仿宋" w:hAnsi="仿宋" w:eastAsia="仿宋" w:cs="仿宋"/>
          <w:bCs w:val="0"/>
          <w:color w:val="auto"/>
          <w:sz w:val="24"/>
          <w:szCs w:val="24"/>
          <w:highlight w:val="none"/>
        </w:rPr>
        <w:t xml:space="preserve">  </w:t>
      </w:r>
      <w:r>
        <w:rPr>
          <w:rFonts w:hint="eastAsia" w:ascii="仿宋" w:hAnsi="仿宋" w:eastAsia="仿宋" w:cs="仿宋"/>
          <w:bCs w:val="0"/>
          <w:color w:val="auto"/>
          <w:sz w:val="24"/>
          <w:szCs w:val="24"/>
          <w:highlight w:val="none"/>
        </w:rPr>
        <w:t>承包人风险</w:t>
      </w:r>
      <w:bookmarkEnd w:id="548"/>
      <w:bookmarkEnd w:id="549"/>
      <w:bookmarkEnd w:id="550"/>
      <w:bookmarkEnd w:id="551"/>
      <w:bookmarkEnd w:id="552"/>
      <w:bookmarkEnd w:id="553"/>
      <w:bookmarkEnd w:id="554"/>
      <w:bookmarkEnd w:id="555"/>
    </w:p>
    <w:p>
      <w:pPr>
        <w:pStyle w:val="22"/>
        <w:tabs>
          <w:tab w:val="left" w:pos="1320"/>
          <w:tab w:val="left" w:pos="1440"/>
        </w:tabs>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995136" behindDoc="0" locked="0" layoutInCell="1" allowOverlap="1">
                <wp:simplePos x="0" y="0"/>
                <wp:positionH relativeFrom="column">
                  <wp:posOffset>-133350</wp:posOffset>
                </wp:positionH>
                <wp:positionV relativeFrom="paragraph">
                  <wp:posOffset>226060</wp:posOffset>
                </wp:positionV>
                <wp:extent cx="800100" cy="411480"/>
                <wp:effectExtent l="0" t="0" r="0" b="0"/>
                <wp:wrapNone/>
                <wp:docPr id="329" name="文本框 802"/>
                <wp:cNvGraphicFramePr/>
                <a:graphic xmlns:a="http://schemas.openxmlformats.org/drawingml/2006/main">
                  <a:graphicData uri="http://schemas.microsoft.com/office/word/2010/wordprocessingShape">
                    <wps:wsp>
                      <wps:cNvSpPr txBox="1"/>
                      <wps:spPr>
                        <a:xfrm>
                          <a:off x="0" y="0"/>
                          <a:ext cx="800100" cy="41148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承包人承担风险</w:t>
                            </w:r>
                          </w:p>
                        </w:txbxContent>
                      </wps:txbx>
                      <wps:bodyPr wrap="square" upright="1"/>
                    </wps:wsp>
                  </a:graphicData>
                </a:graphic>
              </wp:anchor>
            </w:drawing>
          </mc:Choice>
          <mc:Fallback>
            <w:pict>
              <v:shape id="文本框 802" o:spid="_x0000_s1026" o:spt="202" type="#_x0000_t202" style="position:absolute;left:0pt;margin-left:-10.5pt;margin-top:17.8pt;height:32.4pt;width:63pt;z-index:251995136;mso-width-relative:page;mso-height-relative:page;" filled="f" stroked="f" coordsize="21600,21600" o:gfxdata="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TP8EO1wAAAAoBAAAPAAAAAAAAAAEAIAAAACIAAABkcnMvZG93bnJldi54bWxQSwECFAAU&#10;AAAACACHTuJAEkhrk7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承包人承担风险</w:t>
                      </w:r>
                    </w:p>
                  </w:txbxContent>
                </v:textbox>
              </v:shape>
            </w:pict>
          </mc:Fallback>
        </mc:AlternateContent>
      </w:r>
      <w:r>
        <w:rPr>
          <w:rFonts w:ascii="仿宋" w:hAnsi="仿宋" w:eastAsia="仿宋" w:cs="仿宋"/>
          <w:b/>
          <w:bCs/>
          <w:color w:val="auto"/>
          <w:sz w:val="24"/>
          <w:szCs w:val="24"/>
          <w:highlight w:val="none"/>
        </w:rPr>
        <w:t>3</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rPr>
        <w:t>.1</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承包人应承担本合同中约定应由承包人承担的风险。</w:t>
      </w:r>
    </w:p>
    <w:p>
      <w:pPr>
        <w:pStyle w:val="22"/>
        <w:tabs>
          <w:tab w:val="left" w:pos="1320"/>
          <w:tab w:val="left" w:pos="1440"/>
        </w:tabs>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1996160" behindDoc="0" locked="0" layoutInCell="1" allowOverlap="1">
                <wp:simplePos x="0" y="0"/>
                <wp:positionH relativeFrom="column">
                  <wp:posOffset>-114300</wp:posOffset>
                </wp:positionH>
                <wp:positionV relativeFrom="paragraph">
                  <wp:posOffset>262255</wp:posOffset>
                </wp:positionV>
                <wp:extent cx="765810" cy="422275"/>
                <wp:effectExtent l="0" t="0" r="0" b="0"/>
                <wp:wrapNone/>
                <wp:docPr id="330" name="文本框 803"/>
                <wp:cNvGraphicFramePr/>
                <a:graphic xmlns:a="http://schemas.openxmlformats.org/drawingml/2006/main">
                  <a:graphicData uri="http://schemas.microsoft.com/office/word/2010/wordprocessingShape">
                    <wps:wsp>
                      <wps:cNvSpPr txBox="1"/>
                      <wps:spPr>
                        <a:xfrm>
                          <a:off x="0" y="0"/>
                          <a:ext cx="765810" cy="4222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承包人风险</w:t>
                            </w:r>
                          </w:p>
                        </w:txbxContent>
                      </wps:txbx>
                      <wps:bodyPr wrap="square" upright="1"/>
                    </wps:wsp>
                  </a:graphicData>
                </a:graphic>
              </wp:anchor>
            </w:drawing>
          </mc:Choice>
          <mc:Fallback>
            <w:pict>
              <v:shape id="文本框 803" o:spid="_x0000_s1026" o:spt="202" type="#_x0000_t202" style="position:absolute;left:0pt;margin-left:-9pt;margin-top:20.65pt;height:33.25pt;width:60.3pt;z-index:251996160;mso-width-relative:page;mso-height-relative:page;" filled="f" stroked="f" coordsize="21600,21600" o:gfxdata="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HUKfz1wAAAAoBAAAPAAAAAAAAAAEAIAAAACIAAABkcnMvZG93bnJldi54bWxQSwECFAAU&#10;AAAACACHTuJAOq7vkr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承包人风险</w:t>
                      </w:r>
                    </w:p>
                  </w:txbxContent>
                </v:textbox>
              </v:shape>
            </w:pict>
          </mc:Fallback>
        </mc:AlternateContent>
      </w: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自本项目工程总承包范围首要工作（如勘察）开始工作之日起直到颁发工程接收证书之日止，承包人风险为：除第33条和第</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5条以外的人员伤亡以及财产（包括但不限于合同工程、工程材料、工程设备和施工设备）的损失或损坏。</w:t>
      </w:r>
    </w:p>
    <w:p>
      <w:pPr>
        <w:pStyle w:val="22"/>
        <w:adjustRightInd w:val="0"/>
        <w:snapToGrid w:val="0"/>
        <w:spacing w:line="360" w:lineRule="auto"/>
        <w:ind w:right="-240"/>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556" w:name="_Toc10584"/>
      <w:bookmarkStart w:id="557" w:name="_Toc31374"/>
      <w:bookmarkStart w:id="558" w:name="_Toc4926"/>
      <w:bookmarkStart w:id="559" w:name="_Toc14957"/>
      <w:bookmarkStart w:id="560" w:name="_Toc31988"/>
      <w:bookmarkStart w:id="561" w:name="_Toc31730"/>
      <w:bookmarkStart w:id="562" w:name="_Toc12673"/>
      <w:bookmarkStart w:id="563" w:name="_Toc12190"/>
      <w:r>
        <w:rPr>
          <w:rFonts w:ascii="仿宋" w:hAnsi="仿宋" w:eastAsia="仿宋" w:cs="仿宋"/>
          <w:bCs w:val="0"/>
          <w:color w:val="auto"/>
          <w:sz w:val="24"/>
          <w:szCs w:val="24"/>
          <w:highlight w:val="none"/>
          <w:lang w:eastAsia="zh-CN"/>
        </w:rPr>
        <w:t>3</w:t>
      </w:r>
      <w:r>
        <w:rPr>
          <w:rFonts w:hint="eastAsia" w:ascii="仿宋" w:hAnsi="仿宋" w:eastAsia="仿宋" w:cs="仿宋"/>
          <w:bCs w:val="0"/>
          <w:color w:val="auto"/>
          <w:sz w:val="24"/>
          <w:szCs w:val="24"/>
          <w:highlight w:val="none"/>
          <w:lang w:eastAsia="zh-CN"/>
        </w:rPr>
        <w:t>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不可抗力</w:t>
      </w:r>
      <w:bookmarkEnd w:id="556"/>
      <w:bookmarkEnd w:id="557"/>
      <w:bookmarkEnd w:id="558"/>
      <w:bookmarkEnd w:id="559"/>
      <w:bookmarkEnd w:id="560"/>
      <w:bookmarkEnd w:id="561"/>
      <w:bookmarkEnd w:id="562"/>
      <w:bookmarkEnd w:id="563"/>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5</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2118016" behindDoc="0" locked="0" layoutInCell="1" allowOverlap="1">
                <wp:simplePos x="0" y="0"/>
                <wp:positionH relativeFrom="column">
                  <wp:posOffset>-95250</wp:posOffset>
                </wp:positionH>
                <wp:positionV relativeFrom="paragraph">
                  <wp:posOffset>80645</wp:posOffset>
                </wp:positionV>
                <wp:extent cx="804545" cy="575945"/>
                <wp:effectExtent l="0" t="0" r="0" b="0"/>
                <wp:wrapNone/>
                <wp:docPr id="449" name="文本框 1342"/>
                <wp:cNvGraphicFramePr/>
                <a:graphic xmlns:a="http://schemas.openxmlformats.org/drawingml/2006/main">
                  <a:graphicData uri="http://schemas.microsoft.com/office/word/2010/wordprocessingShape">
                    <wps:wsp>
                      <wps:cNvSpPr txBox="1"/>
                      <wps:spPr>
                        <a:xfrm>
                          <a:off x="0" y="0"/>
                          <a:ext cx="804545" cy="575945"/>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rPr>
                              <w:t>不可抗力</w:t>
                            </w:r>
                            <w:r>
                              <w:rPr>
                                <w:rFonts w:hint="eastAsia" w:ascii="楷体_GB2312" w:hAnsi="宋体" w:eastAsia="楷体_GB2312" w:cs="楷体_GB2312"/>
                                <w:b/>
                                <w:bCs/>
                                <w:sz w:val="18"/>
                                <w:szCs w:val="18"/>
                                <w:lang w:eastAsia="zh-CN"/>
                              </w:rPr>
                              <w:t>的定义</w:t>
                            </w:r>
                          </w:p>
                        </w:txbxContent>
                      </wps:txbx>
                      <wps:bodyPr wrap="square" upright="1"/>
                    </wps:wsp>
                  </a:graphicData>
                </a:graphic>
              </wp:anchor>
            </w:drawing>
          </mc:Choice>
          <mc:Fallback>
            <w:pict>
              <v:shape id="文本框 1342" o:spid="_x0000_s1026" o:spt="202" type="#_x0000_t202" style="position:absolute;left:0pt;margin-left:-7.5pt;margin-top:6.35pt;height:45.35pt;width:63.35pt;z-index:252118016;mso-width-relative:page;mso-height-relative:page;" filled="f" stroked="f" coordsize="21600,21600" o:gfxdata="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QiAla1gAAAAoBAAAPAAAAAAAAAAEAIAAAACIAAABkcnMvZG93bnJldi54bWxQSwECFAAU&#10;AAAACACHTuJA67a9GboBAABg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rPr>
                        <w:t>不可抗力</w:t>
                      </w:r>
                      <w:r>
                        <w:rPr>
                          <w:rFonts w:hint="eastAsia" w:ascii="楷体_GB2312" w:hAnsi="宋体" w:eastAsia="楷体_GB2312" w:cs="楷体_GB2312"/>
                          <w:b/>
                          <w:bCs/>
                          <w:sz w:val="18"/>
                          <w:szCs w:val="18"/>
                          <w:lang w:eastAsia="zh-CN"/>
                        </w:rPr>
                        <w:t>的定义</w:t>
                      </w:r>
                    </w:p>
                  </w:txbxContent>
                </v:textbox>
              </v:shape>
            </w:pict>
          </mc:Fallback>
        </mc:AlternateContent>
      </w:r>
      <w:r>
        <w:rPr>
          <w:rFonts w:hint="eastAsia" w:ascii="仿宋" w:hAnsi="仿宋" w:eastAsia="仿宋" w:cs="仿宋"/>
          <w:color w:val="auto"/>
          <w:highlight w:val="none"/>
          <w:lang w:eastAsia="zh-CN"/>
        </w:rPr>
        <w:t>不可抗力是指合同当事人在订立合同时不可预见，在合同履行过程中不可避免、不能克服且不能提前防备的自然灾害和社会性突发事件，如地震、海啸、瘟疫、骚乱、戒严、暴动、战争和合同专用条款中约定的其他情形。</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5</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56544" behindDoc="0" locked="0" layoutInCell="1" allowOverlap="1">
                <wp:simplePos x="0" y="0"/>
                <wp:positionH relativeFrom="column">
                  <wp:posOffset>-114300</wp:posOffset>
                </wp:positionH>
                <wp:positionV relativeFrom="paragraph">
                  <wp:posOffset>7620</wp:posOffset>
                </wp:positionV>
                <wp:extent cx="822960" cy="585470"/>
                <wp:effectExtent l="0" t="0" r="0" b="0"/>
                <wp:wrapNone/>
                <wp:docPr id="96" name="文本框 804"/>
                <wp:cNvGraphicFramePr/>
                <a:graphic xmlns:a="http://schemas.openxmlformats.org/drawingml/2006/main">
                  <a:graphicData uri="http://schemas.microsoft.com/office/word/2010/wordprocessingShape">
                    <wps:wsp>
                      <wps:cNvSpPr txBox="1"/>
                      <wps:spPr>
                        <a:xfrm>
                          <a:off x="0" y="0"/>
                          <a:ext cx="822960" cy="58547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不可抗力处理程序</w:t>
                            </w:r>
                          </w:p>
                        </w:txbxContent>
                      </wps:txbx>
                      <wps:bodyPr wrap="square" upright="1"/>
                    </wps:wsp>
                  </a:graphicData>
                </a:graphic>
              </wp:anchor>
            </w:drawing>
          </mc:Choice>
          <mc:Fallback>
            <w:pict>
              <v:shape id="文本框 804" o:spid="_x0000_s1026" o:spt="202" type="#_x0000_t202" style="position:absolute;left:0pt;margin-left:-9pt;margin-top:0.6pt;height:46.1pt;width:64.8pt;z-index:251756544;mso-width-relative:page;mso-height-relative:page;" filled="f" stroked="f" coordsize="21600,21600" o:gfxdata="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8rwPx1gAAAAgBAAAPAAAAAAAAAAEAIAAAACIAAABkcnMvZG93bnJldi54bWxQSwECFAAU&#10;AAAACACHTuJAutzjEL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不可抗力处理程序</w:t>
                      </w:r>
                    </w:p>
                  </w:txbxContent>
                </v:textbox>
              </v:shape>
            </w:pict>
          </mc:Fallback>
        </mc:AlternateContent>
      </w:r>
      <w:r>
        <w:rPr>
          <w:rFonts w:hint="eastAsia" w:ascii="仿宋" w:hAnsi="仿宋" w:eastAsia="仿宋" w:cs="仿宋"/>
          <w:color w:val="auto"/>
          <w:highlight w:val="none"/>
          <w:lang w:eastAsia="zh-CN"/>
        </w:rPr>
        <w:t>不可抗力事项发生后，承包人应立即书面通知发包人和监理人，并在力所能及的条件下迅速采取措施，尽力减少损失，发包人应协助承包人采取相应措施。监理人认为应当暂停施工的，承包人应暂停施工。不可抗力事项结束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天内，承包人向监理人通报受害情况和损失情况，并预计清理和修复的费用，抄送造价咨询人。不可抗力事项持续发生，承包人应每隔</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天向监理人和造价咨询人报告一次受害情况。不可抗力事项结束后的</w:t>
      </w:r>
      <w:r>
        <w:rPr>
          <w:rFonts w:ascii="仿宋" w:hAnsi="仿宋" w:eastAsia="仿宋" w:cs="仿宋"/>
          <w:color w:val="auto"/>
          <w:highlight w:val="none"/>
          <w:lang w:eastAsia="zh-CN"/>
        </w:rPr>
        <w:t>28</w:t>
      </w:r>
      <w:r>
        <w:rPr>
          <w:rFonts w:hint="eastAsia" w:ascii="仿宋" w:hAnsi="仿宋" w:eastAsia="仿宋" w:cs="仿宋"/>
          <w:color w:val="auto"/>
          <w:highlight w:val="none"/>
          <w:lang w:eastAsia="zh-CN"/>
        </w:rPr>
        <w:t>天内，承包人应分别按照第43条、第80条约定索赔工期、费用。</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5</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57568" behindDoc="0" locked="0" layoutInCell="1" allowOverlap="1">
                <wp:simplePos x="0" y="0"/>
                <wp:positionH relativeFrom="column">
                  <wp:posOffset>-114300</wp:posOffset>
                </wp:positionH>
                <wp:positionV relativeFrom="paragraph">
                  <wp:posOffset>22225</wp:posOffset>
                </wp:positionV>
                <wp:extent cx="775970" cy="664210"/>
                <wp:effectExtent l="0" t="0" r="0" b="0"/>
                <wp:wrapNone/>
                <wp:docPr id="97" name="文本框 805"/>
                <wp:cNvGraphicFramePr/>
                <a:graphic xmlns:a="http://schemas.openxmlformats.org/drawingml/2006/main">
                  <a:graphicData uri="http://schemas.microsoft.com/office/word/2010/wordprocessingShape">
                    <wps:wsp>
                      <wps:cNvSpPr txBox="1"/>
                      <wps:spPr>
                        <a:xfrm>
                          <a:off x="0" y="0"/>
                          <a:ext cx="775970" cy="66421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不可抗力引起费用的承担</w:t>
                            </w:r>
                          </w:p>
                        </w:txbxContent>
                      </wps:txbx>
                      <wps:bodyPr wrap="square" upright="1"/>
                    </wps:wsp>
                  </a:graphicData>
                </a:graphic>
              </wp:anchor>
            </w:drawing>
          </mc:Choice>
          <mc:Fallback>
            <w:pict>
              <v:shape id="文本框 805" o:spid="_x0000_s1026" o:spt="202" type="#_x0000_t202" style="position:absolute;left:0pt;margin-left:-9pt;margin-top:1.75pt;height:52.3pt;width:61.1pt;z-index:251757568;mso-width-relative:page;mso-height-relative:page;" filled="f" stroked="f" coordsize="21600,21600" o:gfxdata="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ntGH3WAAAACQEAAA8AAAAAAAAAAQAgAAAAIgAAAGRycy9kb3ducmV2LnhtbFBLAQIUABQA&#10;AAAIAIdO4kDdEAliuQEAAF4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不可抗力引起费用的承担</w:t>
                      </w:r>
                    </w:p>
                  </w:txbxContent>
                </v:textbox>
              </v:shape>
            </w:pict>
          </mc:Fallback>
        </mc:AlternateContent>
      </w:r>
      <w:r>
        <w:rPr>
          <w:rFonts w:hint="eastAsia" w:ascii="仿宋" w:hAnsi="仿宋" w:eastAsia="仿宋" w:cs="仿宋"/>
          <w:color w:val="auto"/>
          <w:highlight w:val="none"/>
          <w:lang w:eastAsia="zh-CN"/>
        </w:rPr>
        <w:t>因不可抗力事项导致的费用，由合同双方当事人按照下列约定承担，并相应调整合同价格：</w:t>
      </w:r>
    </w:p>
    <w:p>
      <w:pPr>
        <w:pStyle w:val="22"/>
        <w:widowControl w:val="0"/>
        <w:numPr>
          <w:ilvl w:val="0"/>
          <w:numId w:val="8"/>
        </w:numPr>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永久工程本身的损害、已运至施工场地的工程材料和工程设备的损害，以及因工程损害导致第三者人员伤亡和财产损失，由发包人承担；</w:t>
      </w:r>
    </w:p>
    <w:p>
      <w:pPr>
        <w:pStyle w:val="22"/>
        <w:widowControl w:val="0"/>
        <w:numPr>
          <w:ilvl w:val="0"/>
          <w:numId w:val="8"/>
        </w:numPr>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承包人施工设备和用于合同工程的周转材料损坏以及停工损失，由承包人承担；发包人提供的施工设备损坏，由发包人承担；</w:t>
      </w:r>
    </w:p>
    <w:p>
      <w:pPr>
        <w:pStyle w:val="22"/>
        <w:widowControl w:val="0"/>
        <w:numPr>
          <w:ilvl w:val="0"/>
          <w:numId w:val="8"/>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施工场地内的人员伤亡和本款第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点、第</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点以外财产损失及其相关费用，由合同双方当事人各自承担；</w:t>
      </w:r>
    </w:p>
    <w:p>
      <w:pPr>
        <w:pStyle w:val="22"/>
        <w:widowControl w:val="0"/>
        <w:numPr>
          <w:ilvl w:val="0"/>
          <w:numId w:val="8"/>
        </w:numPr>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停工期间，承包人应监理工程师要求照管工程的费用，由发包人承担；</w:t>
      </w:r>
    </w:p>
    <w:p>
      <w:pPr>
        <w:pStyle w:val="22"/>
        <w:widowControl w:val="0"/>
        <w:numPr>
          <w:ilvl w:val="0"/>
          <w:numId w:val="8"/>
        </w:numPr>
        <w:adjustRightInd w:val="0"/>
        <w:snapToGrid w:val="0"/>
        <w:spacing w:line="360" w:lineRule="auto"/>
        <w:ind w:left="2328" w:leftChars="772" w:hanging="475" w:hangingChars="198"/>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工程所需的清理、修复费用，由发包人承担。</w:t>
      </w:r>
    </w:p>
    <w:p>
      <w:pPr>
        <w:spacing w:line="360" w:lineRule="auto"/>
        <w:rPr>
          <w:rFonts w:ascii="仿宋" w:hAnsi="仿宋" w:eastAsia="仿宋"/>
          <w:b/>
          <w:bCs/>
          <w:color w:val="auto"/>
          <w:highlight w:val="none"/>
          <w:lang w:eastAsia="zh-CN"/>
        </w:rPr>
      </w:pPr>
      <w:bookmarkStart w:id="564" w:name="_Toc18665"/>
      <w:r>
        <w:rPr>
          <w:color w:val="auto"/>
          <w:highlight w:val="none"/>
        </w:rPr>
        <mc:AlternateContent>
          <mc:Choice Requires="wps">
            <w:drawing>
              <wp:anchor distT="0" distB="0" distL="114300" distR="114300" simplePos="0" relativeHeight="251997184" behindDoc="0" locked="0" layoutInCell="1" allowOverlap="1">
                <wp:simplePos x="0" y="0"/>
                <wp:positionH relativeFrom="column">
                  <wp:posOffset>-114300</wp:posOffset>
                </wp:positionH>
                <wp:positionV relativeFrom="paragraph">
                  <wp:posOffset>247650</wp:posOffset>
                </wp:positionV>
                <wp:extent cx="813435" cy="725170"/>
                <wp:effectExtent l="0" t="0" r="0" b="0"/>
                <wp:wrapNone/>
                <wp:docPr id="331" name="文本框 806"/>
                <wp:cNvGraphicFramePr/>
                <a:graphic xmlns:a="http://schemas.openxmlformats.org/drawingml/2006/main">
                  <a:graphicData uri="http://schemas.microsoft.com/office/word/2010/wordprocessingShape">
                    <wps:wsp>
                      <wps:cNvSpPr txBox="1"/>
                      <wps:spPr>
                        <a:xfrm>
                          <a:off x="0" y="0"/>
                          <a:ext cx="813435" cy="725170"/>
                        </a:xfrm>
                        <a:prstGeom prst="rect">
                          <a:avLst/>
                        </a:prstGeom>
                        <a:noFill/>
                        <a:ln>
                          <a:noFill/>
                        </a:ln>
                      </wps:spPr>
                      <wps:txb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不可抗力引起工期的处理</w:t>
                            </w:r>
                          </w:p>
                        </w:txbxContent>
                      </wps:txbx>
                      <wps:bodyPr wrap="square" upright="1"/>
                    </wps:wsp>
                  </a:graphicData>
                </a:graphic>
              </wp:anchor>
            </w:drawing>
          </mc:Choice>
          <mc:Fallback>
            <w:pict>
              <v:shape id="文本框 806" o:spid="_x0000_s1026" o:spt="202" type="#_x0000_t202" style="position:absolute;left:0pt;margin-left:-9pt;margin-top:19.5pt;height:57.1pt;width:64.05pt;z-index:251997184;mso-width-relative:page;mso-height-relative:page;" filled="f" stroked="f" coordsize="21600,21600" o:gfxdata="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R01GzXAAAACgEAAA8AAAAAAAAAAQAgAAAAIgAAAGRycy9kb3ducmV2LnhtbFBLAQIU&#10;ABQAAAAIAIdO4kDrT5fzuwEAAF8DAAAOAAAAAAAAAAEAIAAAACYBAABkcnMvZTJvRG9jLnhtbFBL&#10;BQYAAAAABgAGAFkBAABTBQAAAAA=&#10;">
                <v:fill on="f" focussize="0,0"/>
                <v:stroke on="f"/>
                <v:imagedata o:title=""/>
                <o:lock v:ext="edit" aspectratio="f"/>
                <v:textbo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不可抗力引起工期的处理</w:t>
                      </w:r>
                    </w:p>
                  </w:txbxContent>
                </v:textbox>
              </v:shape>
            </w:pict>
          </mc:Fallback>
        </mc:AlternateContent>
      </w:r>
      <w:r>
        <w:rPr>
          <w:rFonts w:ascii="仿宋" w:hAnsi="仿宋" w:eastAsia="仿宋" w:cs="仿宋"/>
          <w:b/>
          <w:bCs/>
          <w:color w:val="auto"/>
          <w:highlight w:val="none"/>
          <w:lang w:eastAsia="zh-CN"/>
        </w:rPr>
        <w:t>3</w:t>
      </w:r>
      <w:r>
        <w:rPr>
          <w:rFonts w:hint="eastAsia" w:ascii="仿宋" w:hAnsi="仿宋" w:eastAsia="仿宋" w:cs="仿宋"/>
          <w:b/>
          <w:bCs/>
          <w:color w:val="auto"/>
          <w:highlight w:val="none"/>
          <w:lang w:eastAsia="zh-CN"/>
        </w:rPr>
        <w:t>5</w:t>
      </w:r>
      <w:r>
        <w:rPr>
          <w:rFonts w:ascii="仿宋" w:hAnsi="仿宋" w:eastAsia="仿宋" w:cs="仿宋"/>
          <w:b/>
          <w:bCs/>
          <w:color w:val="auto"/>
          <w:highlight w:val="none"/>
          <w:lang w:eastAsia="zh-CN"/>
        </w:rPr>
        <w:t>.4</w:t>
      </w:r>
      <w:bookmarkEnd w:id="56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dstrike/>
          <w:color w:val="auto"/>
          <w:highlight w:val="none"/>
          <w:lang w:eastAsia="zh-CN"/>
        </w:rPr>
      </w:pPr>
      <w:r>
        <w:rPr>
          <w:rFonts w:hint="eastAsia" w:ascii="仿宋" w:hAnsi="仿宋" w:eastAsia="仿宋" w:cs="仿宋"/>
          <w:color w:val="auto"/>
          <w:highlight w:val="none"/>
          <w:lang w:eastAsia="zh-CN"/>
        </w:rPr>
        <w:t>因发生不可抗力事项导致工期延误的，工期相应顺延；不能按期竣工的，承包人无需为此支付任何误期赔偿费。发包人要求赶工的，承包人应采取赶工措施，赶工费用由发包人支付。</w:t>
      </w:r>
    </w:p>
    <w:p>
      <w:pPr>
        <w:spacing w:line="360" w:lineRule="auto"/>
        <w:rPr>
          <w:rFonts w:ascii="仿宋" w:hAnsi="仿宋" w:eastAsia="仿宋"/>
          <w:b/>
          <w:bCs/>
          <w:color w:val="auto"/>
          <w:highlight w:val="none"/>
          <w:lang w:eastAsia="zh-CN"/>
        </w:rPr>
      </w:pPr>
      <w:bookmarkStart w:id="565" w:name="_Toc30872"/>
      <w:r>
        <w:rPr>
          <w:color w:val="auto"/>
          <w:highlight w:val="none"/>
        </w:rPr>
        <mc:AlternateContent>
          <mc:Choice Requires="wps">
            <w:drawing>
              <wp:anchor distT="0" distB="0" distL="114300" distR="114300" simplePos="0" relativeHeight="251998208" behindDoc="0" locked="0" layoutInCell="1" allowOverlap="1">
                <wp:simplePos x="0" y="0"/>
                <wp:positionH relativeFrom="column">
                  <wp:posOffset>-114300</wp:posOffset>
                </wp:positionH>
                <wp:positionV relativeFrom="paragraph">
                  <wp:posOffset>247650</wp:posOffset>
                </wp:positionV>
                <wp:extent cx="842645" cy="525145"/>
                <wp:effectExtent l="0" t="0" r="0" b="0"/>
                <wp:wrapNone/>
                <wp:docPr id="332" name="文本框 807"/>
                <wp:cNvGraphicFramePr/>
                <a:graphic xmlns:a="http://schemas.openxmlformats.org/drawingml/2006/main">
                  <a:graphicData uri="http://schemas.microsoft.com/office/word/2010/wordprocessingShape">
                    <wps:wsp>
                      <wps:cNvSpPr txBox="1"/>
                      <wps:spPr>
                        <a:xfrm>
                          <a:off x="0" y="0"/>
                          <a:ext cx="842645" cy="52514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延迟履约发生不可抗力的责任</w:t>
                            </w:r>
                          </w:p>
                        </w:txbxContent>
                      </wps:txbx>
                      <wps:bodyPr wrap="square" upright="1"/>
                    </wps:wsp>
                  </a:graphicData>
                </a:graphic>
              </wp:anchor>
            </w:drawing>
          </mc:Choice>
          <mc:Fallback>
            <w:pict>
              <v:shape id="文本框 807" o:spid="_x0000_s1026" o:spt="202" type="#_x0000_t202" style="position:absolute;left:0pt;margin-left:-9pt;margin-top:19.5pt;height:41.35pt;width:66.35pt;z-index:251998208;mso-width-relative:page;mso-height-relative:page;" filled="f" stroked="f" coordsize="21600,21600" o:gfxdata="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RWWlo9gAAAAKAQAADwAAAAAAAAABACAAAAAiAAAAZHJzL2Rvd25yZXYueG1sUEsBAhQA&#10;FAAAAAgAh07iQCdFTwa5AQAAXwMAAA4AAAAAAAAAAQAgAAAAJw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延迟履约发生不可抗力的责任</w:t>
                      </w:r>
                    </w:p>
                  </w:txbxContent>
                </v:textbox>
              </v:shape>
            </w:pict>
          </mc:Fallback>
        </mc:AlternateContent>
      </w:r>
      <w:r>
        <w:rPr>
          <w:rFonts w:ascii="仿宋" w:hAnsi="仿宋" w:eastAsia="仿宋" w:cs="仿宋"/>
          <w:b/>
          <w:bCs/>
          <w:color w:val="auto"/>
          <w:highlight w:val="none"/>
          <w:lang w:eastAsia="zh-CN"/>
        </w:rPr>
        <w:t>3</w:t>
      </w:r>
      <w:r>
        <w:rPr>
          <w:rFonts w:hint="eastAsia" w:ascii="仿宋" w:hAnsi="仿宋" w:eastAsia="仿宋" w:cs="仿宋"/>
          <w:b/>
          <w:bCs/>
          <w:color w:val="auto"/>
          <w:highlight w:val="none"/>
          <w:lang w:eastAsia="zh-CN"/>
        </w:rPr>
        <w:t>5</w:t>
      </w:r>
      <w:r>
        <w:rPr>
          <w:rFonts w:ascii="仿宋" w:hAnsi="仿宋" w:eastAsia="仿宋" w:cs="仿宋"/>
          <w:b/>
          <w:bCs/>
          <w:color w:val="auto"/>
          <w:highlight w:val="none"/>
          <w:lang w:eastAsia="zh-CN"/>
        </w:rPr>
        <w:t>.5</w:t>
      </w:r>
      <w:bookmarkEnd w:id="56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合同任何一方当事人延迟履行合同后发生不可抗力事项的，不能免除其因不可抗力给另一方当事人造成损失的责任。</w:t>
      </w:r>
    </w:p>
    <w:p>
      <w:pPr>
        <w:spacing w:line="360" w:lineRule="auto"/>
        <w:rPr>
          <w:rFonts w:ascii="仿宋" w:hAnsi="仿宋" w:eastAsia="仿宋"/>
          <w:b/>
          <w:bCs/>
          <w:color w:val="auto"/>
          <w:highlight w:val="none"/>
          <w:lang w:eastAsia="zh-CN"/>
        </w:rPr>
      </w:pPr>
      <w:bookmarkStart w:id="566" w:name="_Toc8778"/>
      <w:r>
        <w:rPr>
          <w:rFonts w:ascii="仿宋" w:hAnsi="仿宋" w:eastAsia="仿宋" w:cs="仿宋"/>
          <w:b/>
          <w:bCs/>
          <w:color w:val="auto"/>
          <w:highlight w:val="none"/>
          <w:lang w:eastAsia="zh-CN"/>
        </w:rPr>
        <w:t>3</w:t>
      </w:r>
      <w:r>
        <w:rPr>
          <w:rFonts w:hint="eastAsia" w:ascii="仿宋" w:hAnsi="仿宋" w:eastAsia="仿宋" w:cs="仿宋"/>
          <w:b/>
          <w:bCs/>
          <w:color w:val="auto"/>
          <w:highlight w:val="none"/>
          <w:lang w:eastAsia="zh-CN"/>
        </w:rPr>
        <w:t>5</w:t>
      </w:r>
      <w:r>
        <w:rPr>
          <w:rFonts w:ascii="仿宋" w:hAnsi="仿宋" w:eastAsia="仿宋" w:cs="仿宋"/>
          <w:b/>
          <w:bCs/>
          <w:color w:val="auto"/>
          <w:highlight w:val="none"/>
          <w:lang w:eastAsia="zh-CN"/>
        </w:rPr>
        <w:t>.6</w:t>
      </w:r>
      <w:bookmarkEnd w:id="56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758592" behindDoc="0" locked="0" layoutInCell="1" allowOverlap="1">
                <wp:simplePos x="0" y="0"/>
                <wp:positionH relativeFrom="column">
                  <wp:posOffset>-114300</wp:posOffset>
                </wp:positionH>
                <wp:positionV relativeFrom="paragraph">
                  <wp:posOffset>34290</wp:posOffset>
                </wp:positionV>
                <wp:extent cx="804545" cy="525145"/>
                <wp:effectExtent l="0" t="0" r="0" b="0"/>
                <wp:wrapNone/>
                <wp:docPr id="98" name="文本框 808"/>
                <wp:cNvGraphicFramePr/>
                <a:graphic xmlns:a="http://schemas.openxmlformats.org/drawingml/2006/main">
                  <a:graphicData uri="http://schemas.microsoft.com/office/word/2010/wordprocessingShape">
                    <wps:wsp>
                      <wps:cNvSpPr txBox="1"/>
                      <wps:spPr>
                        <a:xfrm>
                          <a:off x="0" y="0"/>
                          <a:ext cx="804545" cy="52514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避免和减少不可抗力的损失</w:t>
                            </w:r>
                          </w:p>
                        </w:txbxContent>
                      </wps:txbx>
                      <wps:bodyPr wrap="square" upright="1"/>
                    </wps:wsp>
                  </a:graphicData>
                </a:graphic>
              </wp:anchor>
            </w:drawing>
          </mc:Choice>
          <mc:Fallback>
            <w:pict>
              <v:shape id="文本框 808" o:spid="_x0000_s1026" o:spt="202" type="#_x0000_t202" style="position:absolute;left:0pt;margin-left:-9pt;margin-top:2.7pt;height:41.35pt;width:63.35pt;z-index:251758592;mso-width-relative:page;mso-height-relative:page;" filled="f" stroked="f" coordsize="21600,21600" o:gfxdata="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zTCPE1QAAAAgBAAAPAAAAAAAAAAEAIAAAACIAAABkcnMvZG93bnJldi54bWxQSwECFAAUAAAA&#10;CACHTuJAXUoT/7gBAABeAwAADgAAAAAAAAABACAAAAAk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避免和减少不可抗力的损失</w:t>
                      </w:r>
                    </w:p>
                  </w:txbxContent>
                </v:textbox>
              </v:shape>
            </w:pict>
          </mc:Fallback>
        </mc:AlternateContent>
      </w:r>
      <w:r>
        <w:rPr>
          <w:rFonts w:hint="eastAsia" w:ascii="仿宋" w:hAnsi="仿宋" w:eastAsia="仿宋" w:cs="仿宋"/>
          <w:color w:val="auto"/>
          <w:sz w:val="24"/>
          <w:szCs w:val="24"/>
          <w:highlight w:val="none"/>
          <w:lang w:eastAsia="zh-CN"/>
        </w:rPr>
        <w:t>不可抗力事项发生后，合同双方当事人应采取措施尽量避免和减少由此发生的损失。因合同任何一方当事人没有采取有效措施而导致损失扩大的，则损失扩大部分由其自身承担。</w:t>
      </w:r>
    </w:p>
    <w:p>
      <w:pPr>
        <w:spacing w:line="360" w:lineRule="auto"/>
        <w:ind w:left="1920" w:hanging="1920" w:hangingChars="800"/>
        <w:rPr>
          <w:color w:val="auto"/>
          <w:highlight w:val="none"/>
          <w:lang w:eastAsia="zh-CN"/>
        </w:rPr>
      </w:pPr>
      <w:r>
        <w:rPr>
          <w:rFonts w:hint="eastAsia" w:ascii="仿宋" w:hAnsi="仿宋" w:eastAsia="仿宋" w:cs="仿宋"/>
          <w:color w:val="auto"/>
          <w:highlight w:val="none"/>
          <w:lang w:eastAsia="zh-CN" w:bidi="ar-SA"/>
        </w:rPr>
        <mc:AlternateContent>
          <mc:Choice Requires="wps">
            <w:drawing>
              <wp:anchor distT="0" distB="0" distL="114300" distR="114300" simplePos="0" relativeHeight="252119040" behindDoc="0" locked="0" layoutInCell="1" allowOverlap="1">
                <wp:simplePos x="0" y="0"/>
                <wp:positionH relativeFrom="column">
                  <wp:posOffset>-114300</wp:posOffset>
                </wp:positionH>
                <wp:positionV relativeFrom="paragraph">
                  <wp:posOffset>237490</wp:posOffset>
                </wp:positionV>
                <wp:extent cx="770890" cy="678180"/>
                <wp:effectExtent l="0" t="0" r="0" b="0"/>
                <wp:wrapNone/>
                <wp:docPr id="450" name="文本框 1345"/>
                <wp:cNvGraphicFramePr/>
                <a:graphic xmlns:a="http://schemas.openxmlformats.org/drawingml/2006/main">
                  <a:graphicData uri="http://schemas.microsoft.com/office/word/2010/wordprocessingShape">
                    <wps:wsp>
                      <wps:cNvSpPr txBox="1"/>
                      <wps:spPr>
                        <a:xfrm>
                          <a:off x="0" y="0"/>
                          <a:ext cx="770890" cy="678180"/>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不可抗力影响分包人</w:t>
                            </w:r>
                          </w:p>
                        </w:txbxContent>
                      </wps:txbx>
                      <wps:bodyPr wrap="square" upright="1"/>
                    </wps:wsp>
                  </a:graphicData>
                </a:graphic>
              </wp:anchor>
            </w:drawing>
          </mc:Choice>
          <mc:Fallback>
            <w:pict>
              <v:shape id="文本框 1345" o:spid="_x0000_s1026" o:spt="202" type="#_x0000_t202" style="position:absolute;left:0pt;margin-left:-9pt;margin-top:18.7pt;height:53.4pt;width:60.7pt;z-index:252119040;mso-width-relative:page;mso-height-relative:page;" filled="f" stroked="f" coordsize="21600,21600" o:gfxdata="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FN8os7XAAAACgEAAA8AAAAAAAAAAQAgAAAAIgAAAGRycy9kb3ducmV2LnhtbFBLAQIU&#10;ABQAAAAIAIdO4kC1wl+MuwEAAGA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不可抗力影响分包人</w:t>
                      </w:r>
                    </w:p>
                  </w:txbxContent>
                </v:textbox>
              </v:shape>
            </w:pict>
          </mc:Fallback>
        </mc:AlternateContent>
      </w:r>
      <w:r>
        <w:rPr>
          <w:rFonts w:ascii="仿宋" w:hAnsi="仿宋" w:eastAsia="仿宋" w:cs="仿宋"/>
          <w:b/>
          <w:bCs/>
          <w:color w:val="auto"/>
          <w:highlight w:val="none"/>
          <w:lang w:eastAsia="zh-CN"/>
        </w:rPr>
        <w:t>3</w:t>
      </w:r>
      <w:r>
        <w:rPr>
          <w:rFonts w:hint="eastAsia" w:ascii="仿宋" w:hAnsi="仿宋" w:eastAsia="仿宋" w:cs="仿宋"/>
          <w:b/>
          <w:bCs/>
          <w:color w:val="auto"/>
          <w:highlight w:val="none"/>
          <w:lang w:eastAsia="zh-CN"/>
        </w:rPr>
        <w:t>5</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color w:val="auto"/>
          <w:highlight w:val="none"/>
          <w:lang w:eastAsia="zh-CN" w:bidi="ar-SA"/>
        </w:rPr>
        <w:t>分包人根据分包合同的约定，以更大范围的不可抗力而免除某些义务的，承包人不得以分包合同中不可抗力约定向发包人抗辩免除其义务。</w:t>
      </w:r>
    </w:p>
    <w:p>
      <w:pPr>
        <w:pStyle w:val="22"/>
        <w:adjustRightInd w:val="0"/>
        <w:snapToGrid w:val="0"/>
        <w:spacing w:line="360" w:lineRule="auto"/>
        <w:rPr>
          <w:rFonts w:ascii="仿宋" w:hAnsi="仿宋" w:eastAsia="仿宋" w:cs="仿宋"/>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ascii="仿宋" w:hAnsi="仿宋" w:eastAsia="仿宋" w:cs="仿宋"/>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567" w:name="_Toc12504"/>
      <w:bookmarkStart w:id="568" w:name="_Toc15719"/>
      <w:bookmarkStart w:id="569" w:name="_Toc11816"/>
      <w:bookmarkStart w:id="570" w:name="_Toc19645"/>
      <w:bookmarkStart w:id="571" w:name="_Toc1293"/>
      <w:bookmarkStart w:id="572" w:name="_Toc6069"/>
      <w:bookmarkStart w:id="573" w:name="_Toc14104"/>
      <w:bookmarkStart w:id="574" w:name="_Toc10120"/>
      <w:r>
        <w:rPr>
          <w:rFonts w:ascii="仿宋" w:hAnsi="仿宋" w:eastAsia="仿宋" w:cs="仿宋"/>
          <w:bCs w:val="0"/>
          <w:color w:val="auto"/>
          <w:sz w:val="24"/>
          <w:szCs w:val="24"/>
          <w:highlight w:val="none"/>
          <w:lang w:eastAsia="zh-CN"/>
        </w:rPr>
        <w:t>3</w:t>
      </w:r>
      <w:r>
        <w:rPr>
          <w:rFonts w:hint="eastAsia" w:ascii="仿宋" w:hAnsi="仿宋" w:eastAsia="仿宋" w:cs="仿宋"/>
          <w:bCs w:val="0"/>
          <w:color w:val="auto"/>
          <w:sz w:val="24"/>
          <w:szCs w:val="24"/>
          <w:highlight w:val="none"/>
          <w:lang w:eastAsia="zh-CN"/>
        </w:rPr>
        <w:t>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保险</w:t>
      </w:r>
      <w:bookmarkEnd w:id="567"/>
      <w:bookmarkEnd w:id="568"/>
      <w:bookmarkEnd w:id="569"/>
      <w:bookmarkEnd w:id="570"/>
      <w:bookmarkEnd w:id="571"/>
      <w:bookmarkEnd w:id="572"/>
      <w:bookmarkEnd w:id="573"/>
      <w:bookmarkEnd w:id="574"/>
    </w:p>
    <w:p>
      <w:pPr>
        <w:pStyle w:val="22"/>
        <w:tabs>
          <w:tab w:val="left" w:pos="1320"/>
        </w:tabs>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59616" behindDoc="0" locked="0" layoutInCell="1" allowOverlap="1">
                <wp:simplePos x="0" y="0"/>
                <wp:positionH relativeFrom="column">
                  <wp:posOffset>-114300</wp:posOffset>
                </wp:positionH>
                <wp:positionV relativeFrom="paragraph">
                  <wp:posOffset>7620</wp:posOffset>
                </wp:positionV>
                <wp:extent cx="847090" cy="487680"/>
                <wp:effectExtent l="0" t="0" r="0" b="0"/>
                <wp:wrapNone/>
                <wp:docPr id="99" name="文本框 809"/>
                <wp:cNvGraphicFramePr/>
                <a:graphic xmlns:a="http://schemas.openxmlformats.org/drawingml/2006/main">
                  <a:graphicData uri="http://schemas.microsoft.com/office/word/2010/wordprocessingShape">
                    <wps:wsp>
                      <wps:cNvSpPr txBox="1"/>
                      <wps:spPr>
                        <a:xfrm>
                          <a:off x="0" y="0"/>
                          <a:ext cx="847090" cy="48768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发包人办理保险</w:t>
                            </w:r>
                          </w:p>
                        </w:txbxContent>
                      </wps:txbx>
                      <wps:bodyPr wrap="square" upright="1"/>
                    </wps:wsp>
                  </a:graphicData>
                </a:graphic>
              </wp:anchor>
            </w:drawing>
          </mc:Choice>
          <mc:Fallback>
            <w:pict>
              <v:shape id="文本框 809" o:spid="_x0000_s1026" o:spt="202" type="#_x0000_t202" style="position:absolute;left:0pt;margin-left:-9pt;margin-top:0.6pt;height:38.4pt;width:66.7pt;z-index:251759616;mso-width-relative:page;mso-height-relative:page;" filled="f" stroked="f" coordsize="21600,21600" o:gfxdata="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oPcZItUAAAAIAQAADwAAAAAAAAABACAAAAAiAAAAZHJzL2Rvd25yZXYueG1sUEsBAhQAFAAA&#10;AAgAh07iQKHt/sC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发包人办理保险</w:t>
                      </w:r>
                    </w:p>
                  </w:txbxContent>
                </v:textbox>
              </v:shape>
            </w:pict>
          </mc:Fallback>
        </mc:AlternateContent>
      </w:r>
      <w:r>
        <w:rPr>
          <w:rFonts w:hint="eastAsia" w:ascii="仿宋" w:hAnsi="仿宋" w:eastAsia="仿宋" w:cs="仿宋"/>
          <w:color w:val="auto"/>
          <w:sz w:val="24"/>
          <w:szCs w:val="24"/>
          <w:highlight w:val="none"/>
          <w:lang w:eastAsia="zh-CN"/>
        </w:rPr>
        <w:t>发包人应按照下列约定办理保险，并支付保险费：</w:t>
      </w:r>
    </w:p>
    <w:p>
      <w:pPr>
        <w:pStyle w:val="22"/>
        <w:widowControl w:val="0"/>
        <w:numPr>
          <w:ilvl w:val="0"/>
          <w:numId w:val="9"/>
        </w:numPr>
        <w:tabs>
          <w:tab w:val="left" w:pos="198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工程开工前，为合同工程办理建筑工程一切险、安装工程一切险；</w:t>
      </w:r>
    </w:p>
    <w:p>
      <w:pPr>
        <w:pStyle w:val="22"/>
        <w:widowControl w:val="0"/>
        <w:numPr>
          <w:ilvl w:val="0"/>
          <w:numId w:val="9"/>
        </w:numPr>
        <w:tabs>
          <w:tab w:val="left" w:pos="198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工程开工前，为施工场地内的自有人员（包括设计顾问工程师、监理工程师、造价工程师在内）办理意外伤害保险；</w:t>
      </w:r>
    </w:p>
    <w:p>
      <w:pPr>
        <w:pStyle w:val="22"/>
        <w:widowControl w:val="0"/>
        <w:numPr>
          <w:ilvl w:val="0"/>
          <w:numId w:val="9"/>
        </w:numPr>
        <w:tabs>
          <w:tab w:val="left" w:pos="198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为第三者办理第三者责任险；</w:t>
      </w:r>
    </w:p>
    <w:p>
      <w:pPr>
        <w:pStyle w:val="22"/>
        <w:widowControl w:val="0"/>
        <w:numPr>
          <w:ilvl w:val="0"/>
          <w:numId w:val="9"/>
        </w:numPr>
        <w:tabs>
          <w:tab w:val="left" w:pos="198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为运至施工场地内用于永久工程的工程材料和待安装工程设备办理保险。</w:t>
      </w:r>
    </w:p>
    <w:p>
      <w:pPr>
        <w:pStyle w:val="22"/>
        <w:tabs>
          <w:tab w:val="left" w:pos="1080"/>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上述保险的保险期从办理保险之日起至工程竣工验收合格之日止。</w:t>
      </w:r>
    </w:p>
    <w:p>
      <w:pPr>
        <w:pStyle w:val="22"/>
        <w:widowControl w:val="0"/>
        <w:numPr>
          <w:ilvl w:val="0"/>
          <w:numId w:val="9"/>
        </w:numPr>
        <w:tabs>
          <w:tab w:val="left" w:pos="1980"/>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工程开工前，为合同工程办理工程质量保险或工程质量潜在缺陷保险，并由保险公司对工程质量、施工安全进行综合担保，以及聘请专业的团队进行工程建设全过程风险、质量控制。保险期限由发包人与保险公司具体约定。</w:t>
      </w:r>
    </w:p>
    <w:p>
      <w:pPr>
        <w:pStyle w:val="22"/>
        <w:tabs>
          <w:tab w:val="left" w:pos="1080"/>
        </w:tabs>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发包人可将其中部分事项委托给承包人办理，具体由合同双方当事人在专用条款中约定。除合同价格已包括外，由发包人承担所需保险费用，并向承包人支付合理利润。</w:t>
      </w:r>
    </w:p>
    <w:p>
      <w:pPr>
        <w:pStyle w:val="22"/>
        <w:tabs>
          <w:tab w:val="left" w:pos="1320"/>
        </w:tabs>
        <w:adjustRightInd w:val="0"/>
        <w:snapToGrid w:val="0"/>
        <w:spacing w:line="480" w:lineRule="auto"/>
        <w:rPr>
          <w:rFonts w:ascii="仿宋" w:hAnsi="仿宋" w:eastAsia="仿宋" w:cs="仿宋"/>
          <w:b/>
          <w:bCs/>
          <w:color w:val="auto"/>
          <w:sz w:val="24"/>
          <w:szCs w:val="24"/>
          <w:highlight w:val="none"/>
          <w:u w:val="dotted"/>
          <w:lang w:eastAsia="zh-CN"/>
        </w:rPr>
      </w:pP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60640" behindDoc="0" locked="0" layoutInCell="1" allowOverlap="1">
                <wp:simplePos x="0" y="0"/>
                <wp:positionH relativeFrom="column">
                  <wp:posOffset>-114300</wp:posOffset>
                </wp:positionH>
                <wp:positionV relativeFrom="paragraph">
                  <wp:posOffset>635</wp:posOffset>
                </wp:positionV>
                <wp:extent cx="816610" cy="501015"/>
                <wp:effectExtent l="0" t="0" r="0" b="0"/>
                <wp:wrapNone/>
                <wp:docPr id="100" name="文本框 810"/>
                <wp:cNvGraphicFramePr/>
                <a:graphic xmlns:a="http://schemas.openxmlformats.org/drawingml/2006/main">
                  <a:graphicData uri="http://schemas.microsoft.com/office/word/2010/wordprocessingShape">
                    <wps:wsp>
                      <wps:cNvSpPr txBox="1"/>
                      <wps:spPr>
                        <a:xfrm>
                          <a:off x="0" y="0"/>
                          <a:ext cx="816610" cy="50101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承包人办理保险</w:t>
                            </w:r>
                          </w:p>
                        </w:txbxContent>
                      </wps:txbx>
                      <wps:bodyPr wrap="square" upright="1"/>
                    </wps:wsp>
                  </a:graphicData>
                </a:graphic>
              </wp:anchor>
            </w:drawing>
          </mc:Choice>
          <mc:Fallback>
            <w:pict>
              <v:shape id="文本框 810" o:spid="_x0000_s1026" o:spt="202" type="#_x0000_t202" style="position:absolute;left:0pt;margin-left:-9pt;margin-top:0.05pt;height:39.45pt;width:64.3pt;z-index:251760640;mso-width-relative:page;mso-height-relative:page;" filled="f" stroked="f" coordsize="21600,21600" o:gfxdata="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pmxy&#10;otMAAAAHAQAADwAAAAAAAAABACAAAAAiAAAAZHJzL2Rvd25yZXYueG1sUEsBAhQAFAAAAAgAh07i&#10;QBtcNJO1AQAAXwMAAA4AAAAAAAAAAQAgAAAAIgEAAGRycy9lMm9Eb2MueG1sUEsFBgAAAAAGAAYA&#10;WQEAAEk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承包人办理保险</w:t>
                      </w:r>
                    </w:p>
                  </w:txbxContent>
                </v:textbox>
              </v:shape>
            </w:pict>
          </mc:Fallback>
        </mc:AlternateContent>
      </w:r>
      <w:r>
        <w:rPr>
          <w:rFonts w:hint="eastAsia" w:ascii="仿宋" w:hAnsi="仿宋" w:eastAsia="仿宋" w:cs="仿宋"/>
          <w:color w:val="auto"/>
          <w:sz w:val="24"/>
          <w:szCs w:val="24"/>
          <w:highlight w:val="none"/>
          <w:lang w:eastAsia="zh-CN"/>
        </w:rPr>
        <w:t>承包人应按照下列约定办理保险，并支付保险费：</w:t>
      </w:r>
    </w:p>
    <w:p>
      <w:pPr>
        <w:pStyle w:val="22"/>
        <w:widowControl w:val="0"/>
        <w:numPr>
          <w:ilvl w:val="0"/>
          <w:numId w:val="10"/>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工程开工前，为施工场地内自有人员（包括分包人在内）办理意外伤害保险；</w:t>
      </w:r>
    </w:p>
    <w:p>
      <w:pPr>
        <w:pStyle w:val="22"/>
        <w:widowControl w:val="0"/>
        <w:numPr>
          <w:ilvl w:val="0"/>
          <w:numId w:val="10"/>
        </w:numPr>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为施工场地内的自有施工设备、第</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项以外采购进场的工程材料和工程设备等办理保险。</w:t>
      </w:r>
    </w:p>
    <w:p>
      <w:pPr>
        <w:pStyle w:val="22"/>
        <w:tabs>
          <w:tab w:val="left" w:pos="1080"/>
        </w:tabs>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上述保险的保险期从开工之日起至工程竣工验收合格之日止。</w:t>
      </w:r>
    </w:p>
    <w:p>
      <w:pPr>
        <w:pStyle w:val="22"/>
        <w:widowControl w:val="0"/>
        <w:numPr>
          <w:ilvl w:val="0"/>
          <w:numId w:val="10"/>
        </w:numPr>
        <w:adjustRightInd w:val="0"/>
        <w:snapToGrid w:val="0"/>
        <w:spacing w:line="360" w:lineRule="auto"/>
        <w:ind w:left="1850" w:leftChars="771" w:firstLine="0"/>
        <w:jc w:val="both"/>
        <w:rPr>
          <w:color w:val="auto"/>
          <w:sz w:val="24"/>
          <w:szCs w:val="24"/>
          <w:highlight w:val="none"/>
          <w:lang w:eastAsia="zh-CN"/>
        </w:rPr>
      </w:pPr>
      <w:r>
        <w:rPr>
          <w:rFonts w:hint="eastAsia" w:ascii="仿宋" w:hAnsi="仿宋" w:eastAsia="仿宋" w:cs="仿宋"/>
          <w:color w:val="auto"/>
          <w:sz w:val="24"/>
          <w:szCs w:val="24"/>
          <w:highlight w:val="none"/>
          <w:lang w:eastAsia="zh-CN"/>
        </w:rPr>
        <w:t>工程开工前，为合同工程办理建设工程勘察设计责任保险，保险期限由承包人与保险公司具体约定。</w:t>
      </w:r>
    </w:p>
    <w:p>
      <w:pPr>
        <w:pStyle w:val="22"/>
        <w:tabs>
          <w:tab w:val="left" w:pos="1080"/>
        </w:tabs>
        <w:adjustRightInd w:val="0"/>
        <w:snapToGrid w:val="0"/>
        <w:spacing w:line="360" w:lineRule="auto"/>
        <w:rPr>
          <w:rFonts w:ascii="仿宋" w:hAnsi="仿宋" w:eastAsia="仿宋" w:cs="仿宋"/>
          <w:b/>
          <w:bCs/>
          <w:color w:val="auto"/>
          <w:sz w:val="24"/>
          <w:szCs w:val="24"/>
          <w:highlight w:val="none"/>
          <w:u w:val="dotted"/>
          <w:lang w:eastAsia="zh-CN"/>
        </w:rPr>
      </w:pPr>
      <w:r>
        <w:rPr>
          <w:color w:val="auto"/>
          <w:highlight w:val="none"/>
        </w:rPr>
        <mc:AlternateContent>
          <mc:Choice Requires="wps">
            <w:drawing>
              <wp:anchor distT="0" distB="0" distL="114300" distR="114300" simplePos="0" relativeHeight="251999232" behindDoc="0" locked="0" layoutInCell="1" allowOverlap="1">
                <wp:simplePos x="0" y="0"/>
                <wp:positionH relativeFrom="column">
                  <wp:posOffset>-114300</wp:posOffset>
                </wp:positionH>
                <wp:positionV relativeFrom="paragraph">
                  <wp:posOffset>287020</wp:posOffset>
                </wp:positionV>
                <wp:extent cx="869950" cy="540385"/>
                <wp:effectExtent l="0" t="0" r="0" b="0"/>
                <wp:wrapNone/>
                <wp:docPr id="333" name="文本框 811"/>
                <wp:cNvGraphicFramePr/>
                <a:graphic xmlns:a="http://schemas.openxmlformats.org/drawingml/2006/main">
                  <a:graphicData uri="http://schemas.microsoft.com/office/word/2010/wordprocessingShape">
                    <wps:wsp>
                      <wps:cNvSpPr txBox="1"/>
                      <wps:spPr>
                        <a:xfrm>
                          <a:off x="0" y="0"/>
                          <a:ext cx="869950" cy="54038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双方提供保险单和凭证</w:t>
                            </w:r>
                          </w:p>
                        </w:txbxContent>
                      </wps:txbx>
                      <wps:bodyPr wrap="square" upright="1"/>
                    </wps:wsp>
                  </a:graphicData>
                </a:graphic>
              </wp:anchor>
            </w:drawing>
          </mc:Choice>
          <mc:Fallback>
            <w:pict>
              <v:shape id="文本框 811" o:spid="_x0000_s1026" o:spt="202" type="#_x0000_t202" style="position:absolute;left:0pt;margin-left:-9pt;margin-top:22.6pt;height:42.55pt;width:68.5pt;z-index:251999232;mso-width-relative:page;mso-height-relative:page;" filled="f" stroked="f" coordsize="21600,21600" o:gfxdata="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x0ZCKtcAAAAKAQAADwAAAAAAAAABACAAAAAiAAAAZHJzL2Rvd25yZXYueG1sUEsBAhQA&#10;FAAAAAgAh07iQDo9BzW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双方提供保险单和凭证</w:t>
                      </w:r>
                    </w:p>
                  </w:txbxContent>
                </v:textbox>
              </v:shape>
            </w:pict>
          </mc:Fallback>
        </mc:AlternateContent>
      </w: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合同一方当事人应按照本合同约定向另一方当事人提供有效的投保保险单和保险凭证。</w:t>
      </w:r>
    </w:p>
    <w:p>
      <w:pPr>
        <w:pStyle w:val="22"/>
        <w:tabs>
          <w:tab w:val="left" w:pos="1320"/>
        </w:tabs>
        <w:adjustRightInd w:val="0"/>
        <w:snapToGrid w:val="0"/>
        <w:spacing w:line="360" w:lineRule="auto"/>
        <w:rPr>
          <w:rFonts w:ascii="仿宋" w:hAnsi="仿宋" w:eastAsia="仿宋" w:cs="仿宋"/>
          <w:b/>
          <w:bCs/>
          <w:color w:val="auto"/>
          <w:sz w:val="24"/>
          <w:szCs w:val="24"/>
          <w:highlight w:val="none"/>
          <w:u w:val="dotted"/>
          <w:lang w:eastAsia="zh-CN"/>
        </w:rPr>
      </w:pPr>
      <w:r>
        <w:rPr>
          <w:color w:val="auto"/>
          <w:highlight w:val="none"/>
        </w:rPr>
        <mc:AlternateContent>
          <mc:Choice Requires="wps">
            <w:drawing>
              <wp:anchor distT="0" distB="0" distL="114300" distR="114300" simplePos="0" relativeHeight="252000256" behindDoc="0" locked="0" layoutInCell="1" allowOverlap="1">
                <wp:simplePos x="0" y="0"/>
                <wp:positionH relativeFrom="column">
                  <wp:posOffset>-123825</wp:posOffset>
                </wp:positionH>
                <wp:positionV relativeFrom="paragraph">
                  <wp:posOffset>236855</wp:posOffset>
                </wp:positionV>
                <wp:extent cx="803275" cy="525780"/>
                <wp:effectExtent l="0" t="0" r="0" b="0"/>
                <wp:wrapNone/>
                <wp:docPr id="334" name="文本框 812"/>
                <wp:cNvGraphicFramePr/>
                <a:graphic xmlns:a="http://schemas.openxmlformats.org/drawingml/2006/main">
                  <a:graphicData uri="http://schemas.microsoft.com/office/word/2010/wordprocessingShape">
                    <wps:wsp>
                      <wps:cNvSpPr txBox="1"/>
                      <wps:spPr>
                        <a:xfrm>
                          <a:off x="0" y="0"/>
                          <a:ext cx="803275" cy="525780"/>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未按</w:t>
                            </w:r>
                            <w:r>
                              <w:rPr>
                                <w:rFonts w:hint="eastAsia" w:ascii="楷体_GB2312" w:hAnsi="宋体" w:eastAsia="楷体_GB2312" w:cs="楷体_GB2312"/>
                                <w:b/>
                                <w:bCs/>
                                <w:color w:val="000000"/>
                                <w:sz w:val="18"/>
                                <w:szCs w:val="18"/>
                                <w:lang w:eastAsia="zh-CN"/>
                              </w:rPr>
                              <w:t>约定</w:t>
                            </w:r>
                            <w:r>
                              <w:rPr>
                                <w:rFonts w:hint="eastAsia" w:ascii="楷体_GB2312" w:hAnsi="宋体" w:eastAsia="楷体_GB2312" w:cs="楷体_GB2312"/>
                                <w:b/>
                                <w:bCs/>
                                <w:color w:val="000000"/>
                                <w:sz w:val="18"/>
                                <w:szCs w:val="18"/>
                              </w:rPr>
                              <w:t>投保的补救</w:t>
                            </w:r>
                          </w:p>
                        </w:txbxContent>
                      </wps:txbx>
                      <wps:bodyPr wrap="square" upright="1"/>
                    </wps:wsp>
                  </a:graphicData>
                </a:graphic>
              </wp:anchor>
            </w:drawing>
          </mc:Choice>
          <mc:Fallback>
            <w:pict>
              <v:shape id="文本框 812" o:spid="_x0000_s1026" o:spt="202" type="#_x0000_t202" style="position:absolute;left:0pt;margin-left:-9.75pt;margin-top:18.65pt;height:41.4pt;width:63.25pt;z-index:252000256;mso-width-relative:page;mso-height-relative:page;" filled="f" stroked="f" coordsize="21600,21600" o:gfxdata="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PzO4/XAAAACgEAAA8AAAAAAAAAAQAgAAAAIgAAAGRycy9kb3ducmV2LnhtbFBLAQIU&#10;ABQAAAAIAIdO4kBGLtd7uwEAAF8DAAAOAAAAAAAAAAEAIAAAACYBAABkcnMvZTJvRG9jLnhtbFBL&#10;BQYAAAAABgAGAFkBAABTBQ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未按</w:t>
                      </w:r>
                      <w:r>
                        <w:rPr>
                          <w:rFonts w:hint="eastAsia" w:ascii="楷体_GB2312" w:hAnsi="宋体" w:eastAsia="楷体_GB2312" w:cs="楷体_GB2312"/>
                          <w:b/>
                          <w:bCs/>
                          <w:color w:val="000000"/>
                          <w:sz w:val="18"/>
                          <w:szCs w:val="18"/>
                          <w:lang w:eastAsia="zh-CN"/>
                        </w:rPr>
                        <w:t>约定</w:t>
                      </w:r>
                      <w:r>
                        <w:rPr>
                          <w:rFonts w:hint="eastAsia" w:ascii="楷体_GB2312" w:hAnsi="宋体" w:eastAsia="楷体_GB2312" w:cs="楷体_GB2312"/>
                          <w:b/>
                          <w:bCs/>
                          <w:color w:val="000000"/>
                          <w:sz w:val="18"/>
                          <w:szCs w:val="18"/>
                        </w:rPr>
                        <w:t>投保的补救</w:t>
                      </w:r>
                    </w:p>
                  </w:txbxContent>
                </v:textbox>
              </v:shape>
            </w:pict>
          </mc:Fallback>
        </mc:AlternateContent>
      </w: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合同双方当事人应遵守本条约定办理有关保险事项。如果未按约定投保的，应按下列约定补偿：</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（1）由于负有投保义务的合同一方当事人未按合同约定办理保险，或未能使保险持续有效的，则另一方当事人可代为办理，所需费用由对方当事人承担；</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（2）由于负有投保义务的合同一方当事人未按合同约定办理某项保险，导致受益人未能得到保险人的赔偿，则该项保险金应由负有投保义务的一方当事人支付。</w:t>
      </w:r>
    </w:p>
    <w:p>
      <w:pPr>
        <w:pStyle w:val="22"/>
        <w:adjustRightInd w:val="0"/>
        <w:snapToGrid w:val="0"/>
        <w:spacing w:line="360" w:lineRule="auto"/>
        <w:rPr>
          <w:rFonts w:ascii="仿宋" w:hAnsi="仿宋" w:eastAsia="仿宋" w:cs="仿宋"/>
          <w:color w:val="auto"/>
          <w:sz w:val="24"/>
          <w:szCs w:val="24"/>
          <w:highlight w:val="none"/>
          <w:u w:val="dotted"/>
          <w:lang w:eastAsia="zh-CN"/>
        </w:rPr>
      </w:pPr>
      <w:r>
        <w:rPr>
          <w:color w:val="auto"/>
          <w:highlight w:val="none"/>
        </w:rPr>
        <mc:AlternateContent>
          <mc:Choice Requires="wps">
            <w:drawing>
              <wp:anchor distT="0" distB="0" distL="114300" distR="114300" simplePos="0" relativeHeight="252001280" behindDoc="0" locked="0" layoutInCell="1" allowOverlap="1">
                <wp:simplePos x="0" y="0"/>
                <wp:positionH relativeFrom="column">
                  <wp:posOffset>-114300</wp:posOffset>
                </wp:positionH>
                <wp:positionV relativeFrom="paragraph">
                  <wp:posOffset>292100</wp:posOffset>
                </wp:positionV>
                <wp:extent cx="813435" cy="588010"/>
                <wp:effectExtent l="0" t="0" r="0" b="0"/>
                <wp:wrapNone/>
                <wp:docPr id="335" name="文本框 813"/>
                <wp:cNvGraphicFramePr/>
                <a:graphic xmlns:a="http://schemas.openxmlformats.org/drawingml/2006/main">
                  <a:graphicData uri="http://schemas.microsoft.com/office/word/2010/wordprocessingShape">
                    <wps:wsp>
                      <wps:cNvSpPr txBox="1"/>
                      <wps:spPr>
                        <a:xfrm>
                          <a:off x="0" y="0"/>
                          <a:ext cx="813435" cy="58801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发生保险事故双方应尽的责任</w:t>
                            </w:r>
                          </w:p>
                        </w:txbxContent>
                      </wps:txbx>
                      <wps:bodyPr wrap="square" upright="1"/>
                    </wps:wsp>
                  </a:graphicData>
                </a:graphic>
              </wp:anchor>
            </w:drawing>
          </mc:Choice>
          <mc:Fallback>
            <w:pict>
              <v:shape id="文本框 813" o:spid="_x0000_s1026" o:spt="202" type="#_x0000_t202" style="position:absolute;left:0pt;margin-left:-9pt;margin-top:23pt;height:46.3pt;width:64.05pt;z-index:252001280;mso-width-relative:page;mso-height-relative:page;" filled="f" stroked="f" coordsize="21600,21600" o:gfxdata="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M1ATS1wAAAAoBAAAPAAAAAAAAAAEAIAAAACIAAABkcnMvZG93bnJldi54bWxQSwECFAAUAAAA&#10;CACHTuJA009/ZLYBAABfAwAADgAAAAAAAAABACAAAAAm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发生保险事故双方应尽的责任</w:t>
                      </w:r>
                    </w:p>
                  </w:txbxContent>
                </v:textbox>
              </v:shape>
            </w:pict>
          </mc:Fallback>
        </mc:AlternateContent>
      </w: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.5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当合同工程发生保险事故时</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投保人应及时通知保险人，并提供有关资料。合同双方当事人有责任采取合理有效措施防止或减少损失，并应相互协助做好向保险人的报告和理赔工作。</w:t>
      </w:r>
    </w:p>
    <w:p>
      <w:pPr>
        <w:pStyle w:val="22"/>
        <w:tabs>
          <w:tab w:val="left" w:pos="1320"/>
          <w:tab w:val="left" w:pos="1620"/>
        </w:tabs>
        <w:adjustRightInd w:val="0"/>
        <w:snapToGrid w:val="0"/>
        <w:spacing w:line="360" w:lineRule="auto"/>
        <w:rPr>
          <w:rFonts w:ascii="仿宋" w:hAnsi="仿宋" w:eastAsia="仿宋" w:cs="仿宋"/>
          <w:b/>
          <w:bCs/>
          <w:color w:val="auto"/>
          <w:sz w:val="24"/>
          <w:szCs w:val="24"/>
          <w:highlight w:val="none"/>
          <w:u w:val="dotted"/>
          <w:lang w:eastAsia="zh-CN"/>
        </w:rPr>
      </w:pPr>
      <w:r>
        <w:rPr>
          <w:rFonts w:ascii="仿宋" w:hAnsi="仿宋" w:eastAsia="仿宋" w:cs="仿宋"/>
          <w:b/>
          <w:bCs/>
          <w:color w:val="auto"/>
          <w:sz w:val="24"/>
          <w:szCs w:val="24"/>
          <w:highlight w:val="none"/>
          <w:lang w:eastAsia="zh-CN"/>
        </w:rPr>
        <w:t>3</w:t>
      </w:r>
      <w:r>
        <w:rPr>
          <w:rFonts w:hint="eastAsia" w:ascii="仿宋" w:hAnsi="仿宋" w:eastAsia="仿宋" w:cs="仿宋"/>
          <w:b/>
          <w:bCs/>
          <w:color w:val="auto"/>
          <w:sz w:val="24"/>
          <w:szCs w:val="24"/>
          <w:highlight w:val="none"/>
          <w:lang w:eastAsia="zh-CN"/>
        </w:rPr>
        <w:t>6</w:t>
      </w:r>
      <w:r>
        <w:rPr>
          <w:rFonts w:ascii="仿宋" w:hAnsi="仿宋" w:eastAsia="仿宋" w:cs="仿宋"/>
          <w:b/>
          <w:bCs/>
          <w:color w:val="auto"/>
          <w:sz w:val="24"/>
          <w:szCs w:val="24"/>
          <w:highlight w:val="none"/>
          <w:lang w:eastAsia="zh-CN"/>
        </w:rPr>
        <w:t xml:space="preserve">.6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61664" behindDoc="0" locked="0" layoutInCell="1" allowOverlap="1">
                <wp:simplePos x="0" y="0"/>
                <wp:positionH relativeFrom="column">
                  <wp:posOffset>-114300</wp:posOffset>
                </wp:positionH>
                <wp:positionV relativeFrom="paragraph">
                  <wp:posOffset>0</wp:posOffset>
                </wp:positionV>
                <wp:extent cx="785495" cy="614045"/>
                <wp:effectExtent l="0" t="0" r="0" b="0"/>
                <wp:wrapNone/>
                <wp:docPr id="101" name="文本框 814"/>
                <wp:cNvGraphicFramePr/>
                <a:graphic xmlns:a="http://schemas.openxmlformats.org/drawingml/2006/main">
                  <a:graphicData uri="http://schemas.microsoft.com/office/word/2010/wordprocessingShape">
                    <wps:wsp>
                      <wps:cNvSpPr txBox="1"/>
                      <wps:spPr>
                        <a:xfrm>
                          <a:off x="0" y="0"/>
                          <a:ext cx="785495" cy="61404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工程变更被保险人应尽的责任</w:t>
                            </w:r>
                          </w:p>
                        </w:txbxContent>
                      </wps:txbx>
                      <wps:bodyPr wrap="square" upright="1"/>
                    </wps:wsp>
                  </a:graphicData>
                </a:graphic>
              </wp:anchor>
            </w:drawing>
          </mc:Choice>
          <mc:Fallback>
            <w:pict>
              <v:shape id="文本框 814" o:spid="_x0000_s1026" o:spt="202" type="#_x0000_t202" style="position:absolute;left:0pt;margin-left:-9pt;margin-top:0pt;height:48.35pt;width:61.85pt;z-index:251761664;mso-width-relative:page;mso-height-relative:page;" filled="f" stroked="f" coordsize="21600,21600" o:gfxdata="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5YSF2NUAAAAHAQAADwAAAAAAAAABACAAAAAiAAAAZHJzL2Rvd25yZXYueG1sUEsBAhQAFAAA&#10;AAgAh07iQLk2Ir6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工程变更被保险人应尽的责任</w:t>
                      </w:r>
                    </w:p>
                  </w:txbxContent>
                </v:textbox>
              </v:shape>
            </w:pict>
          </mc:Fallback>
        </mc:AlternateContent>
      </w:r>
      <w:r>
        <w:rPr>
          <w:rFonts w:hint="eastAsia" w:ascii="仿宋" w:hAnsi="仿宋" w:eastAsia="仿宋" w:cs="仿宋"/>
          <w:color w:val="auto"/>
          <w:sz w:val="24"/>
          <w:szCs w:val="24"/>
          <w:highlight w:val="none"/>
          <w:lang w:eastAsia="zh-CN"/>
        </w:rPr>
        <w:t>当合同工程的性质、规模或计划发生变更时，被保险人应及时通知保险人，并在合同履行期间按照本条约定保证足够的保险额，由此造成的费用由责任方承担。</w:t>
      </w:r>
    </w:p>
    <w:p>
      <w:pPr>
        <w:spacing w:line="360" w:lineRule="auto"/>
        <w:rPr>
          <w:rFonts w:ascii="仿宋" w:hAnsi="仿宋" w:eastAsia="仿宋" w:cs="仿宋"/>
          <w:b/>
          <w:bCs/>
          <w:color w:val="auto"/>
          <w:highlight w:val="none"/>
          <w:u w:val="dotted"/>
          <w:lang w:eastAsia="zh-CN"/>
        </w:rPr>
      </w:pPr>
      <w:r>
        <w:rPr>
          <w:rFonts w:ascii="仿宋" w:hAnsi="仿宋" w:eastAsia="仿宋" w:cs="仿宋"/>
          <w:b/>
          <w:bCs/>
          <w:color w:val="auto"/>
          <w:highlight w:val="none"/>
          <w:lang w:eastAsia="zh-CN"/>
        </w:rPr>
        <w:t>3</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 xml:space="preserve">.7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762688" behindDoc="0" locked="0" layoutInCell="1" allowOverlap="1">
                <wp:simplePos x="0" y="0"/>
                <wp:positionH relativeFrom="column">
                  <wp:posOffset>-123825</wp:posOffset>
                </wp:positionH>
                <wp:positionV relativeFrom="paragraph">
                  <wp:posOffset>13970</wp:posOffset>
                </wp:positionV>
                <wp:extent cx="785495" cy="448310"/>
                <wp:effectExtent l="0" t="0" r="0" b="0"/>
                <wp:wrapNone/>
                <wp:docPr id="102" name="文本框 815"/>
                <wp:cNvGraphicFramePr/>
                <a:graphic xmlns:a="http://schemas.openxmlformats.org/drawingml/2006/main">
                  <a:graphicData uri="http://schemas.microsoft.com/office/word/2010/wordprocessingShape">
                    <wps:wsp>
                      <wps:cNvSpPr txBox="1"/>
                      <wps:spPr>
                        <a:xfrm>
                          <a:off x="0" y="0"/>
                          <a:ext cx="785495" cy="44831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保险赔偿金的用途</w:t>
                            </w:r>
                          </w:p>
                        </w:txbxContent>
                      </wps:txbx>
                      <wps:bodyPr wrap="square" upright="1"/>
                    </wps:wsp>
                  </a:graphicData>
                </a:graphic>
              </wp:anchor>
            </w:drawing>
          </mc:Choice>
          <mc:Fallback>
            <w:pict>
              <v:shape id="文本框 815" o:spid="_x0000_s1026" o:spt="202" type="#_x0000_t202" style="position:absolute;left:0pt;margin-left:-9.75pt;margin-top:1.1pt;height:35.3pt;width:61.85pt;z-index:251762688;mso-width-relative:page;mso-height-relative:page;" filled="f" stroked="f" coordsize="21600,21600" o:gfxdata="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sR8iUtYAAAAIAQAADwAAAAAAAAABACAAAAAiAAAAZHJzL2Rvd25yZXYueG1sUEsBAhQA&#10;FAAAAAgAh07iQO9WwZu7AQAAXw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保险赔偿金的用途</w:t>
                      </w:r>
                    </w:p>
                  </w:txbxContent>
                </v:textbox>
              </v:shape>
            </w:pict>
          </mc:Fallback>
        </mc:AlternateContent>
      </w:r>
      <w:r>
        <w:rPr>
          <w:rFonts w:hint="eastAsia" w:ascii="仿宋" w:hAnsi="仿宋" w:eastAsia="仿宋" w:cs="仿宋"/>
          <w:color w:val="auto"/>
          <w:sz w:val="24"/>
          <w:szCs w:val="24"/>
          <w:highlight w:val="none"/>
          <w:lang w:eastAsia="zh-CN"/>
        </w:rPr>
        <w:t>从保险人处收到的因合同工程本身损失或损坏的保险金</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应专项用于修复合同工程的损失或损坏，或作为对未能修复合同工程这些损失或损坏的补偿。</w:t>
      </w:r>
    </w:p>
    <w:p>
      <w:pPr>
        <w:spacing w:line="360" w:lineRule="auto"/>
        <w:rPr>
          <w:rFonts w:ascii="仿宋" w:hAnsi="仿宋" w:eastAsia="仿宋" w:cs="仿宋"/>
          <w:b/>
          <w:bCs/>
          <w:color w:val="auto"/>
          <w:highlight w:val="none"/>
          <w:u w:val="dotted"/>
          <w:lang w:eastAsia="zh-CN"/>
        </w:rPr>
      </w:pPr>
      <w:r>
        <w:rPr>
          <w:rFonts w:ascii="仿宋" w:hAnsi="仿宋" w:eastAsia="仿宋" w:cs="仿宋"/>
          <w:b/>
          <w:bCs/>
          <w:color w:val="auto"/>
          <w:highlight w:val="none"/>
          <w:lang w:eastAsia="zh-CN"/>
        </w:rPr>
        <w:t>3</w:t>
      </w:r>
      <w:r>
        <w:rPr>
          <w:rFonts w:hint="eastAsia" w:ascii="仿宋" w:hAnsi="仿宋" w:eastAsia="仿宋" w:cs="仿宋"/>
          <w:b/>
          <w:bCs/>
          <w:color w:val="auto"/>
          <w:highlight w:val="none"/>
          <w:lang w:eastAsia="zh-CN"/>
        </w:rPr>
        <w:t>6</w:t>
      </w:r>
      <w:r>
        <w:rPr>
          <w:rFonts w:ascii="仿宋" w:hAnsi="仿宋" w:eastAsia="仿宋" w:cs="仿宋"/>
          <w:b/>
          <w:bCs/>
          <w:color w:val="auto"/>
          <w:highlight w:val="none"/>
          <w:lang w:eastAsia="zh-CN"/>
        </w:rPr>
        <w:t xml:space="preserve">.8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2002304" behindDoc="0" locked="0" layoutInCell="1" allowOverlap="1">
                <wp:simplePos x="0" y="0"/>
                <wp:positionH relativeFrom="column">
                  <wp:posOffset>0</wp:posOffset>
                </wp:positionH>
                <wp:positionV relativeFrom="paragraph">
                  <wp:posOffset>5080</wp:posOffset>
                </wp:positionV>
                <wp:extent cx="832485" cy="389255"/>
                <wp:effectExtent l="0" t="0" r="0" b="0"/>
                <wp:wrapNone/>
                <wp:docPr id="336" name="文本框 816"/>
                <wp:cNvGraphicFramePr/>
                <a:graphic xmlns:a="http://schemas.openxmlformats.org/drawingml/2006/main">
                  <a:graphicData uri="http://schemas.microsoft.com/office/word/2010/wordprocessingShape">
                    <wps:wsp>
                      <wps:cNvSpPr txBox="1"/>
                      <wps:spPr>
                        <a:xfrm>
                          <a:off x="0" y="0"/>
                          <a:ext cx="832485" cy="389255"/>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约定投保事项</w:t>
                            </w:r>
                          </w:p>
                        </w:txbxContent>
                      </wps:txbx>
                      <wps:bodyPr wrap="square" upright="1"/>
                    </wps:wsp>
                  </a:graphicData>
                </a:graphic>
              </wp:anchor>
            </w:drawing>
          </mc:Choice>
          <mc:Fallback>
            <w:pict>
              <v:shape id="文本框 816" o:spid="_x0000_s1026" o:spt="202" type="#_x0000_t202" style="position:absolute;left:0pt;margin-left:0pt;margin-top:0.4pt;height:30.65pt;width:65.55pt;z-index:252002304;mso-width-relative:page;mso-height-relative:page;" filled="f" stroked="f" coordsize="21600,21600" o:gfxdata="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X6ZlNEAAAAEAQAADwAAAAAAAAABACAAAAAiAAAAZHJzL2Rvd25yZXYueG1sUEsBAhQAFAAAAAgA&#10;h07iQBd41oq6AQAAXwMAAA4AAAAAAAAAAQAgAAAAIAEAAGRycy9lMm9Eb2MueG1sUEsFBgAAAAAG&#10;AAYAWQEAAEwFA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约定投保事项</w:t>
                      </w:r>
                    </w:p>
                  </w:txbxContent>
                </v:textbox>
              </v:shape>
            </w:pict>
          </mc:Fallback>
        </mc:AlternateContent>
      </w:r>
      <w:r>
        <w:rPr>
          <w:rFonts w:hint="eastAsia" w:ascii="仿宋" w:hAnsi="仿宋" w:eastAsia="仿宋" w:cs="仿宋"/>
          <w:color w:val="auto"/>
          <w:sz w:val="24"/>
          <w:szCs w:val="24"/>
          <w:highlight w:val="none"/>
          <w:lang w:eastAsia="zh-CN"/>
        </w:rPr>
        <w:t>具体投保内容、保险金、保险期限及相关责任等事项，合同双方当事人应在专用条款中约定。</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p>
    <w:p>
      <w:pPr>
        <w:spacing w:line="360" w:lineRule="auto"/>
        <w:jc w:val="center"/>
        <w:outlineLvl w:val="1"/>
        <w:rPr>
          <w:rFonts w:ascii="仿宋" w:hAnsi="仿宋" w:eastAsia="仿宋" w:cs="仿宋"/>
          <w:b/>
          <w:bCs/>
          <w:color w:val="auto"/>
          <w:highlight w:val="none"/>
          <w:lang w:eastAsia="zh-CN"/>
        </w:rPr>
      </w:pPr>
      <w:bookmarkStart w:id="575" w:name="_Toc16600"/>
      <w:bookmarkStart w:id="576" w:name="_Toc21342"/>
      <w:bookmarkStart w:id="577" w:name="_Toc22087"/>
      <w:bookmarkStart w:id="578" w:name="_Toc21056"/>
      <w:bookmarkStart w:id="579" w:name="_Toc14732"/>
      <w:bookmarkStart w:id="580" w:name="_Toc7973"/>
      <w:bookmarkStart w:id="581" w:name="_Toc10544"/>
      <w:bookmarkStart w:id="582" w:name="_Toc4608"/>
      <w:r>
        <w:rPr>
          <w:rFonts w:hint="eastAsia" w:ascii="仿宋" w:hAnsi="仿宋" w:eastAsia="仿宋" w:cs="仿宋"/>
          <w:b/>
          <w:bCs/>
          <w:color w:val="auto"/>
          <w:highlight w:val="none"/>
          <w:lang w:eastAsia="zh-CN"/>
        </w:rPr>
        <w:t>四、勘察、设计与BIM技术应用</w:t>
      </w:r>
      <w:bookmarkEnd w:id="575"/>
      <w:bookmarkEnd w:id="576"/>
      <w:bookmarkEnd w:id="577"/>
      <w:bookmarkEnd w:id="578"/>
      <w:bookmarkEnd w:id="579"/>
      <w:bookmarkEnd w:id="580"/>
      <w:bookmarkEnd w:id="581"/>
      <w:bookmarkEnd w:id="582"/>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583" w:name="_Toc12383"/>
      <w:bookmarkStart w:id="584" w:name="_Toc29523"/>
      <w:bookmarkStart w:id="585" w:name="_Toc32237"/>
      <w:bookmarkStart w:id="586" w:name="_Toc1809"/>
      <w:bookmarkStart w:id="587" w:name="_Toc5950"/>
      <w:bookmarkStart w:id="588" w:name="_Toc19265"/>
      <w:bookmarkStart w:id="589" w:name="_Toc3975"/>
      <w:bookmarkStart w:id="590" w:name="_Toc21820"/>
      <w:r>
        <w:rPr>
          <w:rFonts w:hint="eastAsia" w:ascii="仿宋" w:hAnsi="仿宋" w:eastAsia="仿宋" w:cs="仿宋"/>
          <w:bCs w:val="0"/>
          <w:color w:val="auto"/>
          <w:sz w:val="24"/>
          <w:szCs w:val="24"/>
          <w:highlight w:val="none"/>
          <w:lang w:eastAsia="zh-CN"/>
        </w:rPr>
        <w:t>37  工程勘察</w:t>
      </w:r>
      <w:bookmarkEnd w:id="583"/>
      <w:bookmarkEnd w:id="584"/>
      <w:bookmarkEnd w:id="585"/>
      <w:bookmarkEnd w:id="586"/>
      <w:bookmarkEnd w:id="587"/>
      <w:bookmarkEnd w:id="588"/>
      <w:bookmarkEnd w:id="589"/>
      <w:bookmarkEnd w:id="590"/>
    </w:p>
    <w:p>
      <w:pPr>
        <w:tabs>
          <w:tab w:val="left" w:pos="1320"/>
        </w:tabs>
        <w:spacing w:line="360" w:lineRule="auto"/>
        <w:ind w:right="-7"/>
        <w:rPr>
          <w:rFonts w:ascii="仿宋" w:hAnsi="仿宋" w:eastAsia="仿宋" w:cs="仿宋"/>
          <w:b/>
          <w:color w:val="auto"/>
          <w:highlight w:val="none"/>
          <w:lang w:eastAsia="zh-CN"/>
        </w:rPr>
      </w:pPr>
      <w:r>
        <w:rPr>
          <w:rFonts w:hint="eastAsia" w:ascii="仿宋" w:hAnsi="仿宋" w:eastAsia="仿宋" w:cs="仿宋"/>
          <w:b/>
          <w:color w:val="auto"/>
          <w:highlight w:val="none"/>
          <w:lang w:eastAsia="zh-CN"/>
        </w:rPr>
        <w:t>37.1</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rPr>
        <mc:AlternateContent>
          <mc:Choice Requires="wps">
            <w:drawing>
              <wp:anchor distT="0" distB="0" distL="114300" distR="114300" simplePos="0" relativeHeight="251974656" behindDoc="0" locked="0" layoutInCell="1" allowOverlap="1">
                <wp:simplePos x="0" y="0"/>
                <wp:positionH relativeFrom="column">
                  <wp:posOffset>-85725</wp:posOffset>
                </wp:positionH>
                <wp:positionV relativeFrom="paragraph">
                  <wp:posOffset>62865</wp:posOffset>
                </wp:positionV>
                <wp:extent cx="794385" cy="798195"/>
                <wp:effectExtent l="0" t="0" r="0" b="0"/>
                <wp:wrapNone/>
                <wp:docPr id="309" name="文本框 11"/>
                <wp:cNvGraphicFramePr/>
                <a:graphic xmlns:a="http://schemas.openxmlformats.org/drawingml/2006/main">
                  <a:graphicData uri="http://schemas.microsoft.com/office/word/2010/wordprocessingShape">
                    <wps:wsp>
                      <wps:cNvSpPr txBox="1"/>
                      <wps:spPr>
                        <a:xfrm>
                          <a:off x="0" y="0"/>
                          <a:ext cx="794385" cy="798195"/>
                        </a:xfrm>
                        <a:prstGeom prst="rect">
                          <a:avLst/>
                        </a:prstGeom>
                        <a:noFill/>
                        <a:ln>
                          <a:noFill/>
                        </a:ln>
                      </wps:spPr>
                      <wps:txb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对发包人要求与项目基础资料的核实</w:t>
                            </w:r>
                          </w:p>
                        </w:txbxContent>
                      </wps:txbx>
                      <wps:bodyPr wrap="square" upright="1"/>
                    </wps:wsp>
                  </a:graphicData>
                </a:graphic>
              </wp:anchor>
            </w:drawing>
          </mc:Choice>
          <mc:Fallback>
            <w:pict>
              <v:shape id="文本框 11" o:spid="_x0000_s1026" o:spt="202" type="#_x0000_t202" style="position:absolute;left:0pt;margin-left:-6.75pt;margin-top:4.95pt;height:62.85pt;width:62.55pt;z-index:251974656;mso-width-relative:page;mso-height-relative:page;" filled="f" stroked="f" coordsize="21600,21600" o:gfxdata="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ROaQ1gAAAAkBAAAPAAAAAAAAAAEAIAAAACIAAABkcnMvZG93bnJldi54bWxQSwECFAAU&#10;AAAACACHTuJAHpakyL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对发包人要求与项目基础资料的核实</w:t>
                      </w:r>
                    </w:p>
                  </w:txbxContent>
                </v:textbox>
              </v:shape>
            </w:pict>
          </mc:Fallback>
        </mc:AlternateContent>
      </w:r>
      <w:r>
        <w:rPr>
          <w:rFonts w:hint="eastAsia" w:ascii="仿宋" w:hAnsi="仿宋" w:eastAsia="仿宋" w:cs="仿宋"/>
          <w:color w:val="auto"/>
          <w:highlight w:val="none"/>
          <w:lang w:eastAsia="zh-CN"/>
        </w:rPr>
        <w:t>承包人在工程勘察工作开始日期前，应对发包人及设计顾问人的勘察要求和所提供的项目基础资料或其他途径得到的现场资料的完备性和正确性进行核实，发现错漏应及时提请发包人补充完善。因发包人要求和所提供的资料存在错漏，但发包人未按承包人要求补充完善，导致工程存在缺陷或事故，责任由发包人承担。</w:t>
      </w:r>
    </w:p>
    <w:p>
      <w:pPr>
        <w:tabs>
          <w:tab w:val="left" w:pos="1320"/>
        </w:tabs>
        <w:spacing w:line="360" w:lineRule="auto"/>
        <w:ind w:right="-7"/>
        <w:rPr>
          <w:rFonts w:ascii="仿宋" w:hAnsi="仿宋" w:eastAsia="仿宋" w:cs="仿宋"/>
          <w:b/>
          <w:color w:val="auto"/>
          <w:highlight w:val="none"/>
          <w:lang w:eastAsia="zh-CN"/>
        </w:rPr>
      </w:pPr>
      <w:r>
        <w:rPr>
          <w:rFonts w:hint="eastAsia" w:ascii="仿宋" w:hAnsi="仿宋" w:eastAsia="仿宋" w:cs="仿宋"/>
          <w:b/>
          <w:color w:val="auto"/>
          <w:highlight w:val="none"/>
          <w:lang w:eastAsia="zh-CN"/>
        </w:rPr>
        <w:t>37.2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rPr>
        <mc:AlternateContent>
          <mc:Choice Requires="wps">
            <w:drawing>
              <wp:anchor distT="0" distB="0" distL="114300" distR="114300" simplePos="0" relativeHeight="251972608" behindDoc="0" locked="0" layoutInCell="1" allowOverlap="1">
                <wp:simplePos x="0" y="0"/>
                <wp:positionH relativeFrom="column">
                  <wp:posOffset>-95250</wp:posOffset>
                </wp:positionH>
                <wp:positionV relativeFrom="paragraph">
                  <wp:posOffset>62865</wp:posOffset>
                </wp:positionV>
                <wp:extent cx="765810" cy="683895"/>
                <wp:effectExtent l="0" t="0" r="0" b="0"/>
                <wp:wrapNone/>
                <wp:docPr id="307" name="文本框 11"/>
                <wp:cNvGraphicFramePr/>
                <a:graphic xmlns:a="http://schemas.openxmlformats.org/drawingml/2006/main">
                  <a:graphicData uri="http://schemas.microsoft.com/office/word/2010/wordprocessingShape">
                    <wps:wsp>
                      <wps:cNvSpPr txBox="1"/>
                      <wps:spPr>
                        <a:xfrm>
                          <a:off x="0" y="0"/>
                          <a:ext cx="765810" cy="683895"/>
                        </a:xfrm>
                        <a:prstGeom prst="rect">
                          <a:avLst/>
                        </a:prstGeom>
                        <a:noFill/>
                        <a:ln>
                          <a:noFill/>
                        </a:ln>
                      </wps:spPr>
                      <wps:txb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勘察实施方案与应急预案</w:t>
                            </w:r>
                          </w:p>
                        </w:txbxContent>
                      </wps:txbx>
                      <wps:bodyPr wrap="square" upright="1"/>
                    </wps:wsp>
                  </a:graphicData>
                </a:graphic>
              </wp:anchor>
            </w:drawing>
          </mc:Choice>
          <mc:Fallback>
            <w:pict>
              <v:shape id="文本框 11" o:spid="_x0000_s1026" o:spt="202" type="#_x0000_t202" style="position:absolute;left:0pt;margin-left:-7.5pt;margin-top:4.95pt;height:53.85pt;width:60.3pt;z-index:251972608;mso-width-relative:page;mso-height-relative:page;" filled="f" stroked="f" coordsize="21600,21600" o:gfxdata="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eW/CjWAAAACQEAAA8AAAAAAAAAAQAgAAAAIgAAAGRycy9kb3ducmV2LnhtbFBLAQIUABQA&#10;AAAIAIdO4kCP5JWquQEAAF4DAAAOAAAAAAAAAAEAIAAAACUBAABkcnMvZTJvRG9jLnhtbFBLBQYA&#10;AAAABgAGAFkBAABQBQAAAAA=&#10;">
                <v:fill on="f" focussize="0,0"/>
                <v:stroke on="f"/>
                <v:imagedata o:title=""/>
                <o:lock v:ext="edit" aspectratio="f"/>
                <v:textbo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勘察实施方案与应急预案</w:t>
                      </w:r>
                    </w:p>
                  </w:txbxContent>
                </v:textbox>
              </v:shape>
            </w:pict>
          </mc:Fallback>
        </mc:AlternateContent>
      </w:r>
      <w:r>
        <w:rPr>
          <w:rFonts w:hint="eastAsia" w:ascii="仿宋" w:hAnsi="仿宋" w:eastAsia="仿宋" w:cs="仿宋"/>
          <w:color w:val="auto"/>
          <w:highlight w:val="none"/>
          <w:lang w:eastAsia="zh-CN"/>
        </w:rPr>
        <w:t>37.2.1承包人应在工程勘察工作开始日期前，编制勘察实施方案及应急预案，并按专用条款约定的时间和份数报发包人审查或备案。发包人在收到承包人勘察报告后，应通知设计顾问人对报告内容予以核实或审核，并在收到报告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天内予以确定或提出修改意见，逾期不确认也不提出书面意见的，视为同意。</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37.2.2勘察实施方案应包括项目基本情况、人员安排、工作进度、技术方法、工作量、质量保证体系以及需要发包人配合事项等，并制定环境保护的具体措施，在勘察期间合理保护作业现场环境。</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37.2.3承包人在燃气管道、热力管道、动力设备、输水管道、输电线路、临街交通要道及城市轨道交通隧道、地下通道（地下隧道）附近等风险性较大的地点，以及在易燃易爆地段及放射、有毒环境中进行工程勘察作业时，应编制安全防护方案并制定应急预案报发包人审查或备案。发包人在收到承包人应急预案后，应通知设计顾问人对报告内容予以核实或审核，并在收到报告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天内予以确定或提出修改意见，逾期不确认也不提出书面意见的，视为无异议。</w:t>
      </w:r>
    </w:p>
    <w:p>
      <w:pPr>
        <w:tabs>
          <w:tab w:val="left" w:pos="1320"/>
        </w:tabs>
        <w:spacing w:line="360" w:lineRule="auto"/>
        <w:rPr>
          <w:rFonts w:ascii="仿宋" w:hAnsi="仿宋" w:eastAsia="仿宋" w:cs="仿宋"/>
          <w:b/>
          <w:color w:val="auto"/>
          <w:highlight w:val="none"/>
          <w:lang w:eastAsia="zh-CN"/>
        </w:rPr>
      </w:pPr>
      <w:r>
        <w:rPr>
          <w:rFonts w:hint="eastAsia" w:ascii="仿宋" w:hAnsi="仿宋" w:eastAsia="仿宋" w:cs="仿宋"/>
          <w:b/>
          <w:color w:val="auto"/>
          <w:highlight w:val="none"/>
        </w:rPr>
        <mc:AlternateContent>
          <mc:Choice Requires="wps">
            <w:drawing>
              <wp:anchor distT="0" distB="0" distL="114300" distR="114300" simplePos="0" relativeHeight="252003328" behindDoc="0" locked="0" layoutInCell="1" allowOverlap="1">
                <wp:simplePos x="0" y="0"/>
                <wp:positionH relativeFrom="column">
                  <wp:posOffset>-114300</wp:posOffset>
                </wp:positionH>
                <wp:positionV relativeFrom="paragraph">
                  <wp:posOffset>310515</wp:posOffset>
                </wp:positionV>
                <wp:extent cx="796925" cy="331470"/>
                <wp:effectExtent l="0" t="0" r="0" b="0"/>
                <wp:wrapNone/>
                <wp:docPr id="337" name="文本框 11"/>
                <wp:cNvGraphicFramePr/>
                <a:graphic xmlns:a="http://schemas.openxmlformats.org/drawingml/2006/main">
                  <a:graphicData uri="http://schemas.microsoft.com/office/word/2010/wordprocessingShape">
                    <wps:wsp>
                      <wps:cNvSpPr txBox="1"/>
                      <wps:spPr>
                        <a:xfrm>
                          <a:off x="0" y="0"/>
                          <a:ext cx="796925" cy="331470"/>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勘察实施</w:t>
                            </w:r>
                          </w:p>
                        </w:txbxContent>
                      </wps:txbx>
                      <wps:bodyPr wrap="square" upright="1"/>
                    </wps:wsp>
                  </a:graphicData>
                </a:graphic>
              </wp:anchor>
            </w:drawing>
          </mc:Choice>
          <mc:Fallback>
            <w:pict>
              <v:shape id="文本框 11" o:spid="_x0000_s1026" o:spt="202" type="#_x0000_t202" style="position:absolute;left:0pt;margin-left:-9pt;margin-top:24.45pt;height:26.1pt;width:62.75pt;z-index:252003328;mso-width-relative:page;mso-height-relative:page;" filled="f" stroked="f" coordsize="21600,21600" o:gfxdata="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6G6uo9cAAAAKAQAADwAAAAAAAAABACAAAAAiAAAAZHJzL2Rvd25yZXYueG1sUEsBAhQA&#10;FAAAAAgAh07iQPkrxti6AQAAXgMAAA4AAAAAAAAAAQAgAAAAJgEAAGRycy9lMm9Eb2MueG1sUEsF&#10;BgAAAAAGAAYAWQEAAFIFA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勘察实施</w:t>
                      </w:r>
                    </w:p>
                  </w:txbxContent>
                </v:textbox>
              </v:shape>
            </w:pict>
          </mc:Fallback>
        </mc:AlternateContent>
      </w:r>
      <w:r>
        <w:rPr>
          <w:rFonts w:hint="eastAsia" w:ascii="仿宋" w:hAnsi="仿宋" w:eastAsia="仿宋" w:cs="仿宋"/>
          <w:b/>
          <w:color w:val="auto"/>
          <w:highlight w:val="none"/>
          <w:lang w:eastAsia="zh-CN"/>
        </w:rPr>
        <w:t>37.3</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37.3.1承包人应根据发包人审查批准或备案的勘察实施方案及应急预案、发包人及要求、设计顾问人指示并依据有关技术标准进行工程勘察工作。</w:t>
      </w:r>
    </w:p>
    <w:p>
      <w:pPr>
        <w:tabs>
          <w:tab w:val="left" w:pos="4970"/>
        </w:tabs>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37.3.2 承包人应核查并在勘察报告及后续设计文件中明示工程项目工程场地范围内城市轨道交通隧道、给水管道、燃气管道等分布情况。</w:t>
      </w:r>
    </w:p>
    <w:p>
      <w:pPr>
        <w:tabs>
          <w:tab w:val="left" w:pos="4970"/>
        </w:tabs>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37.3.3勘察现场遇到地下文物时，承包人应及时向发包人和文物主管部门报告并妥善保护。</w:t>
      </w:r>
    </w:p>
    <w:p>
      <w:pPr>
        <w:tabs>
          <w:tab w:val="left" w:pos="4970"/>
        </w:tabs>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37.3.4发包人应为承包人进入勘察工作现场提供必要的条件和协助，因发包人不能按时提供勘察工作现场，导致的工期延误及费用增加，责任由发包人承担。</w:t>
      </w:r>
    </w:p>
    <w:p>
      <w:pPr>
        <w:spacing w:line="360" w:lineRule="auto"/>
        <w:ind w:left="1687" w:hanging="1687" w:hangingChars="700"/>
        <w:rPr>
          <w:rFonts w:ascii="仿宋" w:hAnsi="仿宋" w:eastAsia="仿宋" w:cs="仿宋"/>
          <w:color w:val="auto"/>
          <w:highlight w:val="none"/>
          <w:lang w:eastAsia="zh-CN"/>
        </w:rPr>
      </w:pPr>
      <w:r>
        <w:rPr>
          <w:rFonts w:hint="eastAsia" w:ascii="仿宋" w:hAnsi="仿宋" w:eastAsia="仿宋" w:cs="仿宋"/>
          <w:b/>
          <w:bCs/>
          <w:color w:val="auto"/>
          <w:highlight w:val="none"/>
        </w:rPr>
        <mc:AlternateContent>
          <mc:Choice Requires="wps">
            <w:drawing>
              <wp:anchor distT="0" distB="0" distL="114300" distR="114300" simplePos="0" relativeHeight="252094464" behindDoc="0" locked="0" layoutInCell="1" allowOverlap="1">
                <wp:simplePos x="0" y="0"/>
                <wp:positionH relativeFrom="column">
                  <wp:posOffset>-76200</wp:posOffset>
                </wp:positionH>
                <wp:positionV relativeFrom="paragraph">
                  <wp:posOffset>285750</wp:posOffset>
                </wp:positionV>
                <wp:extent cx="796925" cy="378460"/>
                <wp:effectExtent l="0" t="0" r="0" b="0"/>
                <wp:wrapNone/>
                <wp:docPr id="426" name="文本框 11"/>
                <wp:cNvGraphicFramePr/>
                <a:graphic xmlns:a="http://schemas.openxmlformats.org/drawingml/2006/main">
                  <a:graphicData uri="http://schemas.microsoft.com/office/word/2010/wordprocessingShape">
                    <wps:wsp>
                      <wps:cNvSpPr txBox="1"/>
                      <wps:spPr>
                        <a:xfrm>
                          <a:off x="0" y="0"/>
                          <a:ext cx="796925" cy="378460"/>
                        </a:xfrm>
                        <a:prstGeom prst="rect">
                          <a:avLst/>
                        </a:prstGeom>
                        <a:noFill/>
                        <a:ln>
                          <a:noFill/>
                        </a:ln>
                      </wps:spPr>
                      <wps:txb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勘察成果</w:t>
                            </w:r>
                          </w:p>
                        </w:txbxContent>
                      </wps:txbx>
                      <wps:bodyPr wrap="square" upright="1"/>
                    </wps:wsp>
                  </a:graphicData>
                </a:graphic>
              </wp:anchor>
            </w:drawing>
          </mc:Choice>
          <mc:Fallback>
            <w:pict>
              <v:shape id="文本框 11" o:spid="_x0000_s1026" o:spt="202" type="#_x0000_t202" style="position:absolute;left:0pt;margin-left:-6pt;margin-top:22.5pt;height:29.8pt;width:62.75pt;z-index:252094464;mso-width-relative:page;mso-height-relative:page;" filled="f" stroked="f" coordsize="21600,21600" o:gfxdata="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AcTJiPXAAAACgEAAA8AAAAAAAAAAQAgAAAAIgAAAGRycy9kb3ducmV2LnhtbFBLAQIU&#10;ABQAAAAIAIdO4kBvQaefuwEAAF4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勘察成果</w:t>
                      </w:r>
                    </w:p>
                  </w:txbxContent>
                </v:textbox>
              </v:shape>
            </w:pict>
          </mc:Fallback>
        </mc:AlternateContent>
      </w:r>
      <w:r>
        <w:rPr>
          <w:rFonts w:hint="eastAsia" w:ascii="仿宋" w:hAnsi="仿宋" w:eastAsia="仿宋" w:cs="仿宋"/>
          <w:b/>
          <w:bCs/>
          <w:color w:val="auto"/>
          <w:highlight w:val="none"/>
          <w:lang w:eastAsia="zh-CN"/>
        </w:rPr>
        <w:t>37.4</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37.4.1承包人向发包人提交合格的勘察报告的方式、数量和时间，由双方在专用条款中约定。发包人要求增加的勘察报告，费用由发包人承担；承包人内部使用的勘察报告，其费用由承包人自己承担。</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37.4.2承包人完成勘察工作并提交勘察报告后，发包人应及时组织设计顾问人、监理人和承包人进行验收。发包人应及时签收勘察报告、确认勘察工作完成时间，并按专用条款约定计付工程勘察费。</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37.4.3政府部门审查或</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37.4.3.1 承包人的勘察报告需政府有关部门或施工图审查机构审查或批准的，发包人应在审查同意后7天内，向政府有关部门或施工图审查机构报送勘察报告，承包人应</w:t>
      </w:r>
      <w:r>
        <w:rPr>
          <w:rFonts w:ascii="仿宋" w:hAnsi="仿宋" w:eastAsia="仿宋"/>
          <w:color w:val="auto"/>
          <w:highlight w:val="none"/>
          <w:lang w:eastAsia="zh-CN"/>
        </w:rPr>
        <w:t>予以</w:t>
      </w:r>
      <w:r>
        <w:rPr>
          <w:rFonts w:hint="eastAsia" w:ascii="仿宋" w:hAnsi="仿宋" w:eastAsia="仿宋"/>
          <w:color w:val="auto"/>
          <w:highlight w:val="none"/>
          <w:lang w:eastAsia="zh-CN"/>
        </w:rPr>
        <w:t>协助。</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37.4.3.2</w:t>
      </w:r>
      <w:r>
        <w:rPr>
          <w:rFonts w:ascii="仿宋" w:hAnsi="仿宋" w:eastAsia="仿宋"/>
          <w:color w:val="auto"/>
          <w:highlight w:val="none"/>
          <w:lang w:eastAsia="zh-CN"/>
        </w:rPr>
        <w:t>发包人</w:t>
      </w:r>
      <w:r>
        <w:rPr>
          <w:rFonts w:hint="eastAsia" w:ascii="仿宋" w:hAnsi="仿宋" w:eastAsia="仿宋"/>
          <w:color w:val="auto"/>
          <w:highlight w:val="none"/>
          <w:lang w:eastAsia="zh-CN"/>
        </w:rPr>
        <w:t>应</w:t>
      </w:r>
      <w:r>
        <w:rPr>
          <w:rFonts w:ascii="仿宋" w:hAnsi="仿宋" w:eastAsia="仿宋"/>
          <w:color w:val="auto"/>
          <w:highlight w:val="none"/>
          <w:lang w:eastAsia="zh-CN"/>
        </w:rPr>
        <w:t>向承包人提供</w:t>
      </w:r>
      <w:r>
        <w:rPr>
          <w:rFonts w:hint="eastAsia" w:ascii="仿宋" w:hAnsi="仿宋" w:eastAsia="仿宋"/>
          <w:color w:val="auto"/>
          <w:highlight w:val="none"/>
          <w:lang w:eastAsia="zh-CN"/>
        </w:rPr>
        <w:t>政府有关部门或施工图审查机构</w:t>
      </w:r>
      <w:r>
        <w:rPr>
          <w:rFonts w:ascii="仿宋" w:hAnsi="仿宋" w:eastAsia="仿宋"/>
          <w:color w:val="auto"/>
          <w:highlight w:val="none"/>
          <w:lang w:eastAsia="zh-CN"/>
        </w:rPr>
        <w:t>的批准文件和</w:t>
      </w:r>
      <w:r>
        <w:rPr>
          <w:rFonts w:hint="eastAsia" w:ascii="仿宋" w:hAnsi="仿宋" w:eastAsia="仿宋"/>
          <w:color w:val="auto"/>
          <w:highlight w:val="none"/>
          <w:lang w:eastAsia="zh-CN"/>
        </w:rPr>
        <w:t>审查会议</w:t>
      </w:r>
      <w:r>
        <w:rPr>
          <w:rFonts w:ascii="仿宋" w:hAnsi="仿宋" w:eastAsia="仿宋"/>
          <w:color w:val="auto"/>
          <w:highlight w:val="none"/>
          <w:lang w:eastAsia="zh-CN"/>
        </w:rPr>
        <w:t>纪要</w:t>
      </w:r>
      <w:r>
        <w:rPr>
          <w:rFonts w:hint="eastAsia" w:ascii="仿宋" w:hAnsi="仿宋" w:eastAsia="仿宋"/>
          <w:color w:val="auto"/>
          <w:highlight w:val="none"/>
          <w:lang w:eastAsia="zh-CN"/>
        </w:rPr>
        <w:t>。</w:t>
      </w:r>
      <w:r>
        <w:rPr>
          <w:rFonts w:ascii="仿宋" w:hAnsi="仿宋" w:eastAsia="仿宋"/>
          <w:color w:val="auto"/>
          <w:highlight w:val="none"/>
          <w:lang w:eastAsia="zh-CN"/>
        </w:rPr>
        <w:t>承包人</w:t>
      </w:r>
      <w:r>
        <w:rPr>
          <w:rFonts w:hint="eastAsia" w:ascii="仿宋" w:hAnsi="仿宋" w:eastAsia="仿宋"/>
          <w:color w:val="auto"/>
          <w:highlight w:val="none"/>
          <w:lang w:eastAsia="zh-CN"/>
        </w:rPr>
        <w:t>应按照相关审查批准文件和纪要对勘察报告进行补充、修改和完善。</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olor w:val="auto"/>
          <w:highlight w:val="none"/>
          <w:lang w:eastAsia="zh-CN"/>
        </w:rPr>
        <w:t>37.4.3.3经政府有关部门或</w:t>
      </w:r>
      <w:r>
        <w:rPr>
          <w:rFonts w:ascii="仿宋" w:hAnsi="仿宋" w:eastAsia="仿宋"/>
          <w:color w:val="auto"/>
          <w:highlight w:val="none"/>
          <w:lang w:eastAsia="zh-CN"/>
        </w:rPr>
        <w:t>施工图</w:t>
      </w:r>
      <w:r>
        <w:rPr>
          <w:rFonts w:hint="eastAsia" w:ascii="仿宋" w:hAnsi="仿宋" w:eastAsia="仿宋"/>
          <w:color w:val="auto"/>
          <w:highlight w:val="none"/>
          <w:lang w:eastAsia="zh-CN"/>
        </w:rPr>
        <w:t>审查机构审查，需要修改发包人要求的，发包人应重新提出发包人要求，通知承包人相应修改设计文件，并重新送审，承包人可根据第63条约定提出变更申请，由发包人承担增加的工程费或工程勘察费。</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 xml:space="preserve">37.4.4 </w:t>
      </w:r>
      <w:r>
        <w:rPr>
          <w:rFonts w:ascii="仿宋" w:hAnsi="仿宋" w:eastAsia="仿宋"/>
          <w:color w:val="auto"/>
          <w:highlight w:val="none"/>
          <w:lang w:eastAsia="zh-CN"/>
        </w:rPr>
        <w:t>因承包人原因造成</w:t>
      </w:r>
      <w:r>
        <w:rPr>
          <w:rFonts w:hint="eastAsia" w:ascii="仿宋" w:hAnsi="仿宋" w:eastAsia="仿宋"/>
          <w:color w:val="auto"/>
          <w:highlight w:val="none"/>
          <w:lang w:eastAsia="zh-CN"/>
        </w:rPr>
        <w:t>勘察报告</w:t>
      </w:r>
      <w:r>
        <w:rPr>
          <w:rFonts w:ascii="仿宋" w:hAnsi="仿宋" w:eastAsia="仿宋"/>
          <w:color w:val="auto"/>
          <w:highlight w:val="none"/>
          <w:lang w:eastAsia="zh-CN"/>
        </w:rPr>
        <w:t>存在遗漏、错误和不足的，承包人应</w:t>
      </w:r>
      <w:r>
        <w:rPr>
          <w:rFonts w:hint="eastAsia" w:ascii="仿宋" w:hAnsi="仿宋" w:eastAsia="仿宋"/>
          <w:color w:val="auto"/>
          <w:highlight w:val="none"/>
          <w:lang w:eastAsia="zh-CN"/>
        </w:rPr>
        <w:t>补充、</w:t>
      </w:r>
      <w:r>
        <w:rPr>
          <w:rFonts w:ascii="仿宋" w:hAnsi="仿宋" w:eastAsia="仿宋"/>
          <w:color w:val="auto"/>
          <w:highlight w:val="none"/>
          <w:lang w:eastAsia="zh-CN"/>
        </w:rPr>
        <w:t>修</w:t>
      </w:r>
      <w:r>
        <w:rPr>
          <w:rFonts w:hint="eastAsia" w:ascii="仿宋" w:hAnsi="仿宋" w:eastAsia="仿宋"/>
          <w:color w:val="auto"/>
          <w:highlight w:val="none"/>
          <w:lang w:eastAsia="zh-CN"/>
        </w:rPr>
        <w:t>正</w:t>
      </w:r>
      <w:r>
        <w:rPr>
          <w:rFonts w:ascii="仿宋" w:hAnsi="仿宋" w:eastAsia="仿宋"/>
          <w:color w:val="auto"/>
          <w:highlight w:val="none"/>
          <w:lang w:eastAsia="zh-CN"/>
        </w:rPr>
        <w:t>和完善</w:t>
      </w:r>
      <w:r>
        <w:rPr>
          <w:rFonts w:hint="eastAsia" w:ascii="仿宋" w:hAnsi="仿宋" w:eastAsia="仿宋"/>
          <w:color w:val="auto"/>
          <w:highlight w:val="none"/>
          <w:lang w:eastAsia="zh-CN"/>
        </w:rPr>
        <w:t>，由此产生的费用由承包人承担</w:t>
      </w:r>
      <w:r>
        <w:rPr>
          <w:rFonts w:ascii="仿宋" w:hAnsi="仿宋" w:eastAsia="仿宋"/>
          <w:color w:val="auto"/>
          <w:highlight w:val="none"/>
          <w:lang w:eastAsia="zh-CN"/>
        </w:rPr>
        <w:t>。</w:t>
      </w:r>
      <w:r>
        <w:rPr>
          <w:rFonts w:hint="eastAsia" w:ascii="仿宋" w:hAnsi="仿宋" w:eastAsia="仿宋"/>
          <w:color w:val="auto"/>
          <w:highlight w:val="none"/>
          <w:lang w:eastAsia="zh-CN"/>
        </w:rPr>
        <w:t>因此对后续设计、采购、施工等造成的工期延误及费用增加由承包人承担。</w:t>
      </w:r>
    </w:p>
    <w:p>
      <w:pPr>
        <w:spacing w:line="360" w:lineRule="auto"/>
        <w:ind w:left="1687" w:hanging="1687" w:hangingChars="700"/>
        <w:rPr>
          <w:rFonts w:ascii="仿宋" w:hAnsi="仿宋" w:eastAsia="仿宋" w:cs="仿宋"/>
          <w:color w:val="auto"/>
          <w:highlight w:val="none"/>
          <w:lang w:eastAsia="zh-CN"/>
        </w:rPr>
      </w:pPr>
      <w:r>
        <w:rPr>
          <w:rFonts w:hint="eastAsia" w:ascii="仿宋" w:hAnsi="仿宋" w:eastAsia="仿宋" w:cs="仿宋"/>
          <w:b/>
          <w:bCs/>
          <w:color w:val="auto"/>
          <w:highlight w:val="none"/>
          <w:lang w:eastAsia="zh-CN"/>
        </w:rPr>
        <w:t>37.5</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b/>
          <w:bCs/>
          <w:color w:val="auto"/>
          <w:highlight w:val="none"/>
        </w:rPr>
        <mc:AlternateContent>
          <mc:Choice Requires="wps">
            <w:drawing>
              <wp:anchor distT="0" distB="0" distL="114300" distR="114300" simplePos="0" relativeHeight="252004352" behindDoc="0" locked="0" layoutInCell="1" allowOverlap="1">
                <wp:simplePos x="0" y="0"/>
                <wp:positionH relativeFrom="column">
                  <wp:posOffset>-76200</wp:posOffset>
                </wp:positionH>
                <wp:positionV relativeFrom="paragraph">
                  <wp:posOffset>13970</wp:posOffset>
                </wp:positionV>
                <wp:extent cx="826135" cy="581025"/>
                <wp:effectExtent l="0" t="0" r="0" b="0"/>
                <wp:wrapNone/>
                <wp:docPr id="338" name="文本框 11"/>
                <wp:cNvGraphicFramePr/>
                <a:graphic xmlns:a="http://schemas.openxmlformats.org/drawingml/2006/main">
                  <a:graphicData uri="http://schemas.microsoft.com/office/word/2010/wordprocessingShape">
                    <wps:wsp>
                      <wps:cNvSpPr txBox="1"/>
                      <wps:spPr>
                        <a:xfrm>
                          <a:off x="0" y="0"/>
                          <a:ext cx="826135" cy="581025"/>
                        </a:xfrm>
                        <a:prstGeom prst="rect">
                          <a:avLst/>
                        </a:prstGeom>
                        <a:noFill/>
                        <a:ln>
                          <a:noFill/>
                        </a:ln>
                      </wps:spPr>
                      <wps:txb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lang w:eastAsia="zh-CN"/>
                              </w:rPr>
                              <w:t>组织</w:t>
                            </w:r>
                            <w:r>
                              <w:rPr>
                                <w:rFonts w:hint="eastAsia" w:ascii="楷体_GB2312" w:hAnsi="宋体" w:eastAsia="楷体_GB2312" w:cs="楷体_GB2312"/>
                                <w:b/>
                                <w:bCs/>
                                <w:color w:val="000000"/>
                                <w:sz w:val="18"/>
                                <w:szCs w:val="18"/>
                              </w:rPr>
                              <w:t>设计与施工</w:t>
                            </w:r>
                          </w:p>
                        </w:txbxContent>
                      </wps:txbx>
                      <wps:bodyPr wrap="square" upright="1"/>
                    </wps:wsp>
                  </a:graphicData>
                </a:graphic>
              </wp:anchor>
            </w:drawing>
          </mc:Choice>
          <mc:Fallback>
            <w:pict>
              <v:shape id="文本框 11" o:spid="_x0000_s1026" o:spt="202" type="#_x0000_t202" style="position:absolute;left:0pt;margin-left:-6pt;margin-top:1.1pt;height:45.75pt;width:65.05pt;z-index:252004352;mso-width-relative:page;mso-height-relative:page;" filled="f" stroked="f" coordsize="21600,21600" o:gfxdata="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U/CbCNYAAAAIAQAADwAAAAAAAAABACAAAAAiAAAAZHJzL2Rvd25yZXYueG1sUEsBAhQAFAAA&#10;AAgAh07iQFOoBpS4AQAAXgMAAA4AAAAAAAAAAQAgAAAAJQEAAGRycy9lMm9Eb2MueG1sUEsFBgAA&#10;AAAGAAYAWQEAAE8FA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lang w:eastAsia="zh-CN"/>
                        </w:rPr>
                        <w:t>组织</w:t>
                      </w:r>
                      <w:r>
                        <w:rPr>
                          <w:rFonts w:hint="eastAsia" w:ascii="楷体_GB2312" w:hAnsi="宋体" w:eastAsia="楷体_GB2312" w:cs="楷体_GB2312"/>
                          <w:b/>
                          <w:bCs/>
                          <w:color w:val="000000"/>
                          <w:sz w:val="18"/>
                          <w:szCs w:val="18"/>
                        </w:rPr>
                        <w:t>设计与施工</w:t>
                      </w:r>
                    </w:p>
                  </w:txbxContent>
                </v:textbox>
              </v:shape>
            </w:pict>
          </mc:Fallback>
        </mc:AlternateContent>
      </w:r>
      <w:r>
        <w:rPr>
          <w:rFonts w:hint="eastAsia" w:ascii="仿宋" w:hAnsi="仿宋" w:eastAsia="仿宋" w:cs="仿宋"/>
          <w:color w:val="auto"/>
          <w:highlight w:val="none"/>
          <w:lang w:eastAsia="zh-CN"/>
        </w:rPr>
        <w:t>承包人完成勘察阶段的工作并提交勘察报告后，应组织设计人员及施工人员开展相关工作，解释相关数据，并根据后续设计及施工需要补充勘察或修正勘察成果，因此增加的费用由承包人自行承担。</w:t>
      </w:r>
    </w:p>
    <w:p>
      <w:pPr>
        <w:spacing w:line="360" w:lineRule="auto"/>
        <w:rPr>
          <w:rFonts w:ascii="仿宋" w:hAnsi="仿宋" w:eastAsia="仿宋" w:cs="仿宋"/>
          <w:color w:val="auto"/>
          <w:highlight w:val="non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591" w:name="_Toc30536"/>
      <w:bookmarkStart w:id="592" w:name="_Toc13298"/>
      <w:bookmarkStart w:id="593" w:name="_Toc19330"/>
      <w:bookmarkStart w:id="594" w:name="_Toc10909"/>
      <w:bookmarkStart w:id="595" w:name="_Toc12424"/>
      <w:bookmarkStart w:id="596" w:name="_Toc13668"/>
      <w:bookmarkStart w:id="597" w:name="_Toc9954"/>
      <w:bookmarkStart w:id="598" w:name="_Toc32006"/>
      <w:r>
        <w:rPr>
          <w:rFonts w:hint="eastAsia" w:ascii="仿宋" w:hAnsi="仿宋" w:eastAsia="仿宋" w:cs="仿宋"/>
          <w:bCs w:val="0"/>
          <w:color w:val="auto"/>
          <w:sz w:val="24"/>
          <w:szCs w:val="24"/>
          <w:highlight w:val="none"/>
          <w:lang w:eastAsia="zh-CN"/>
        </w:rPr>
        <w:t>38  工程设计</w:t>
      </w:r>
      <w:bookmarkEnd w:id="591"/>
      <w:bookmarkEnd w:id="592"/>
      <w:bookmarkEnd w:id="593"/>
      <w:bookmarkEnd w:id="594"/>
      <w:bookmarkEnd w:id="595"/>
      <w:bookmarkEnd w:id="596"/>
      <w:bookmarkEnd w:id="597"/>
      <w:bookmarkEnd w:id="598"/>
    </w:p>
    <w:p>
      <w:pPr>
        <w:tabs>
          <w:tab w:val="left" w:pos="4970"/>
        </w:tabs>
        <w:spacing w:line="360" w:lineRule="auto"/>
        <w:rPr>
          <w:rFonts w:ascii="仿宋" w:hAnsi="仿宋" w:eastAsia="仿宋"/>
          <w:b/>
          <w:bCs/>
          <w:color w:val="auto"/>
          <w:highlight w:val="none"/>
          <w:lang w:eastAsia="zh-CN"/>
        </w:rPr>
      </w:pPr>
      <w:r>
        <w:rPr>
          <w:b/>
          <w:bCs/>
          <w:color w:val="auto"/>
          <w:highlight w:val="none"/>
        </w:rPr>
        <mc:AlternateContent>
          <mc:Choice Requires="wps">
            <w:drawing>
              <wp:anchor distT="0" distB="0" distL="114300" distR="114300" simplePos="0" relativeHeight="252005376" behindDoc="0" locked="0" layoutInCell="1" allowOverlap="1">
                <wp:simplePos x="0" y="0"/>
                <wp:positionH relativeFrom="column">
                  <wp:posOffset>-121920</wp:posOffset>
                </wp:positionH>
                <wp:positionV relativeFrom="paragraph">
                  <wp:posOffset>281305</wp:posOffset>
                </wp:positionV>
                <wp:extent cx="842645" cy="465455"/>
                <wp:effectExtent l="0" t="0" r="0" b="0"/>
                <wp:wrapNone/>
                <wp:docPr id="339" name="文本框 11"/>
                <wp:cNvGraphicFramePr/>
                <a:graphic xmlns:a="http://schemas.openxmlformats.org/drawingml/2006/main">
                  <a:graphicData uri="http://schemas.microsoft.com/office/word/2010/wordprocessingShape">
                    <wps:wsp>
                      <wps:cNvSpPr txBox="1"/>
                      <wps:spPr>
                        <a:xfrm>
                          <a:off x="0" y="0"/>
                          <a:ext cx="842645" cy="465455"/>
                        </a:xfrm>
                        <a:prstGeom prst="rect">
                          <a:avLst/>
                        </a:prstGeom>
                        <a:noFill/>
                        <a:ln>
                          <a:noFill/>
                        </a:ln>
                      </wps:spPr>
                      <wps:txb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资料的核实</w:t>
                            </w:r>
                          </w:p>
                        </w:txbxContent>
                      </wps:txbx>
                      <wps:bodyPr wrap="square" upright="1"/>
                    </wps:wsp>
                  </a:graphicData>
                </a:graphic>
              </wp:anchor>
            </w:drawing>
          </mc:Choice>
          <mc:Fallback>
            <w:pict>
              <v:shape id="文本框 11" o:spid="_x0000_s1026" o:spt="202" type="#_x0000_t202" style="position:absolute;left:0pt;margin-left:-9.6pt;margin-top:22.15pt;height:36.65pt;width:66.35pt;z-index:252005376;mso-width-relative:page;mso-height-relative:page;" filled="f" stroked="f" coordsize="21600,21600" o:gfxdata="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pzUVkNcAAAAKAQAADwAAAAAAAAABACAAAAAiAAAAZHJzL2Rvd25yZXYueG1sUEsBAhQA&#10;FAAAAAgAh07iQMaTB1W6AQAAXg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资料的核实</w:t>
                      </w:r>
                    </w:p>
                  </w:txbxContent>
                </v:textbox>
              </v:shape>
            </w:pict>
          </mc:Fallback>
        </mc:AlternateContent>
      </w:r>
      <w:r>
        <w:rPr>
          <w:rFonts w:hint="eastAsia" w:ascii="仿宋" w:hAnsi="仿宋" w:eastAsia="仿宋"/>
          <w:b/>
          <w:bCs/>
          <w:color w:val="auto"/>
          <w:highlight w:val="none"/>
          <w:lang w:eastAsia="zh-CN"/>
        </w:rPr>
        <w:t>38.1</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在工程设计开始工作日期前，应对发包人的设计要求和所提供的项目基础资料、承包人自身完成的勘察报告或其他途径得到的现场资料的完备性和正确性进行核实，发现错漏应及时提请发包人补充完善。因发包人要求和所提供的资料存在错漏，但发包人未按承包人要求补充完善，导致工程存在缺陷或发生事故，责任由发包人承担。</w:t>
      </w:r>
    </w:p>
    <w:p>
      <w:pPr>
        <w:tabs>
          <w:tab w:val="left" w:pos="4970"/>
        </w:tabs>
        <w:spacing w:line="360" w:lineRule="auto"/>
        <w:rPr>
          <w:rFonts w:ascii="仿宋" w:hAnsi="仿宋" w:eastAsia="仿宋"/>
          <w:color w:val="auto"/>
          <w:highlight w:val="none"/>
          <w:lang w:eastAsia="zh-CN"/>
        </w:rPr>
      </w:pPr>
      <w:r>
        <w:rPr>
          <w:rFonts w:hint="eastAsia" w:ascii="仿宋" w:hAnsi="仿宋" w:eastAsia="仿宋"/>
          <w:b/>
          <w:bCs/>
          <w:color w:val="auto"/>
          <w:highlight w:val="none"/>
          <w:lang w:eastAsia="zh-CN"/>
        </w:rPr>
        <w:t>38.2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971584" behindDoc="0" locked="0" layoutInCell="1" allowOverlap="1">
                <wp:simplePos x="0" y="0"/>
                <wp:positionH relativeFrom="column">
                  <wp:posOffset>-113665</wp:posOffset>
                </wp:positionH>
                <wp:positionV relativeFrom="paragraph">
                  <wp:posOffset>9525</wp:posOffset>
                </wp:positionV>
                <wp:extent cx="823595" cy="504825"/>
                <wp:effectExtent l="0" t="0" r="0" b="0"/>
                <wp:wrapNone/>
                <wp:docPr id="306" name="文本框 11"/>
                <wp:cNvGraphicFramePr/>
                <a:graphic xmlns:a="http://schemas.openxmlformats.org/drawingml/2006/main">
                  <a:graphicData uri="http://schemas.microsoft.com/office/word/2010/wordprocessingShape">
                    <wps:wsp>
                      <wps:cNvSpPr txBox="1"/>
                      <wps:spPr>
                        <a:xfrm>
                          <a:off x="0" y="0"/>
                          <a:ext cx="823595" cy="504825"/>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设计实施方案</w:t>
                            </w:r>
                          </w:p>
                        </w:txbxContent>
                      </wps:txbx>
                      <wps:bodyPr wrap="square" upright="1"/>
                    </wps:wsp>
                  </a:graphicData>
                </a:graphic>
              </wp:anchor>
            </w:drawing>
          </mc:Choice>
          <mc:Fallback>
            <w:pict>
              <v:shape id="文本框 11" o:spid="_x0000_s1026" o:spt="202" type="#_x0000_t202" style="position:absolute;left:0pt;margin-left:-8.95pt;margin-top:0.75pt;height:39.75pt;width:64.85pt;z-index:251971584;mso-width-relative:page;mso-height-relative:page;" filled="f" stroked="f" coordsize="21600,21600" o:gfxdata="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fY4yHVAAAACAEAAA8AAAAAAAAAAQAgAAAAIgAAAGRycy9kb3ducmV2LnhtbFBLAQIUABQA&#10;AAAIAIdO4kD1jkAougEAAF4DAAAOAAAAAAAAAAEAIAAAACQBAABkcnMvZTJvRG9jLnhtbFBLBQYA&#10;AAAABgAGAFkBAABQBQ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设计实施方案</w:t>
                      </w:r>
                    </w:p>
                  </w:txbxContent>
                </v:textbox>
              </v:shape>
            </w:pict>
          </mc:Fallback>
        </mc:AlternateContent>
      </w:r>
      <w:r>
        <w:rPr>
          <w:rFonts w:hint="eastAsia" w:ascii="仿宋" w:hAnsi="仿宋" w:eastAsia="仿宋" w:cs="仿宋"/>
          <w:color w:val="auto"/>
          <w:highlight w:val="none"/>
          <w:lang w:eastAsia="zh-CN"/>
        </w:rPr>
        <w:t>38.2.1承包人应在工程设计工作开始日期前，施工图设计实施方案，并按专用条款约定的方式、数量和时间报发包人审查或备案。发包人在收到承包人实施方案后，应通知设计顾问人对实施方案予以核实或审核，并在收到实施方案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天内予以确定或提出修改意见，逾期不确认也不提出书面意见的，视为同意。</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38.2.2设计实施方案应包括项目基本情况、人员安排、工作进度、技术标准、工作量、质量保证体系以及需要发包人配合事项等。</w:t>
      </w:r>
    </w:p>
    <w:p>
      <w:pPr>
        <w:tabs>
          <w:tab w:val="left" w:pos="4970"/>
        </w:tabs>
        <w:spacing w:line="360" w:lineRule="auto"/>
        <w:rPr>
          <w:rFonts w:ascii="仿宋" w:hAnsi="仿宋" w:eastAsia="仿宋"/>
          <w:color w:val="auto"/>
          <w:highlight w:val="none"/>
          <w:lang w:eastAsia="zh-CN"/>
        </w:rPr>
      </w:pPr>
      <w:r>
        <w:rPr>
          <w:rFonts w:hint="eastAsia" w:ascii="仿宋" w:hAnsi="仿宋" w:eastAsia="仿宋"/>
          <w:b/>
          <w:bCs/>
          <w:color w:val="auto"/>
          <w:highlight w:val="none"/>
          <w:lang w:eastAsia="zh-CN"/>
        </w:rPr>
        <w:t>38.3</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olor w:val="auto"/>
          <w:highlight w:val="none"/>
        </w:rPr>
        <mc:AlternateContent>
          <mc:Choice Requires="wps">
            <w:drawing>
              <wp:anchor distT="0" distB="0" distL="114300" distR="114300" simplePos="0" relativeHeight="252006400" behindDoc="0" locked="0" layoutInCell="1" allowOverlap="1">
                <wp:simplePos x="0" y="0"/>
                <wp:positionH relativeFrom="column">
                  <wp:posOffset>-101600</wp:posOffset>
                </wp:positionH>
                <wp:positionV relativeFrom="paragraph">
                  <wp:posOffset>18415</wp:posOffset>
                </wp:positionV>
                <wp:extent cx="765810" cy="541020"/>
                <wp:effectExtent l="0" t="0" r="0" b="0"/>
                <wp:wrapNone/>
                <wp:docPr id="340" name="文本框 11"/>
                <wp:cNvGraphicFramePr/>
                <a:graphic xmlns:a="http://schemas.openxmlformats.org/drawingml/2006/main">
                  <a:graphicData uri="http://schemas.microsoft.com/office/word/2010/wordprocessingShape">
                    <wps:wsp>
                      <wps:cNvSpPr txBox="1"/>
                      <wps:spPr>
                        <a:xfrm>
                          <a:off x="0" y="0"/>
                          <a:ext cx="765810" cy="541020"/>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设计实施</w:t>
                            </w:r>
                          </w:p>
                        </w:txbxContent>
                      </wps:txbx>
                      <wps:bodyPr wrap="square" upright="1"/>
                    </wps:wsp>
                  </a:graphicData>
                </a:graphic>
              </wp:anchor>
            </w:drawing>
          </mc:Choice>
          <mc:Fallback>
            <w:pict>
              <v:shape id="文本框 11" o:spid="_x0000_s1026" o:spt="202" type="#_x0000_t202" style="position:absolute;left:0pt;margin-left:-8pt;margin-top:1.45pt;height:42.6pt;width:60.3pt;z-index:252006400;mso-width-relative:page;mso-height-relative:page;" filled="f" stroked="f" coordsize="21600,21600" o:gfxdata="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BLpT7WAAAACAEAAA8AAAAAAAAAAQAgAAAAIgAAAGRycy9kb3ducmV2LnhtbFBLAQIUABQA&#10;AAAIAIdO4kCoiOzjuQEAAF4DAAAOAAAAAAAAAAEAIAAAACUBAABkcnMvZTJvRG9jLnhtbFBLBQYA&#10;AAAABgAGAFkBAABQBQ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设计实施</w:t>
                      </w:r>
                    </w:p>
                  </w:txbxContent>
                </v:textbox>
              </v:shape>
            </w:pict>
          </mc:Fallback>
        </mc:AlternateContent>
      </w:r>
      <w:r>
        <w:rPr>
          <w:rFonts w:hint="eastAsia" w:ascii="仿宋" w:hAnsi="仿宋" w:eastAsia="仿宋" w:cs="仿宋"/>
          <w:color w:val="auto"/>
          <w:highlight w:val="none"/>
          <w:lang w:eastAsia="zh-CN"/>
        </w:rPr>
        <w:t>38.3.1承包人应根据发包人审查批准或备案的设计实施方案、发包人要求、设计顾问人指示并遵守有关法律、技术标准进行施工图设计。</w:t>
      </w:r>
      <w:r>
        <w:rPr>
          <w:rFonts w:ascii="仿宋" w:hAnsi="仿宋" w:eastAsia="仿宋"/>
          <w:color w:val="auto"/>
          <w:highlight w:val="none"/>
          <w:lang w:eastAsia="zh-CN"/>
        </w:rPr>
        <w:t>适用于发包人按单</w:t>
      </w:r>
      <w:r>
        <w:rPr>
          <w:rFonts w:hint="eastAsia" w:ascii="仿宋" w:hAnsi="仿宋" w:eastAsia="仿宋"/>
          <w:color w:val="auto"/>
          <w:highlight w:val="none"/>
          <w:lang w:eastAsia="zh-CN"/>
        </w:rPr>
        <w:t>项</w:t>
      </w:r>
      <w:r>
        <w:rPr>
          <w:rFonts w:ascii="仿宋" w:hAnsi="仿宋" w:eastAsia="仿宋"/>
          <w:color w:val="auto"/>
          <w:highlight w:val="none"/>
          <w:lang w:eastAsia="zh-CN"/>
        </w:rPr>
        <w:t>工程接收和（或）整个工程接收</w:t>
      </w:r>
      <w:r>
        <w:rPr>
          <w:rFonts w:hint="eastAsia" w:ascii="仿宋" w:hAnsi="仿宋" w:eastAsia="仿宋"/>
          <w:color w:val="auto"/>
          <w:highlight w:val="none"/>
          <w:lang w:eastAsia="zh-CN"/>
        </w:rPr>
        <w:t>的标准和规范，由合同当事人在专用条款中约定</w:t>
      </w:r>
      <w:r>
        <w:rPr>
          <w:rFonts w:ascii="仿宋" w:hAnsi="仿宋" w:eastAsia="仿宋"/>
          <w:color w:val="auto"/>
          <w:highlight w:val="none"/>
          <w:lang w:eastAsia="zh-CN"/>
        </w:rPr>
        <w:t>。</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38.3.2</w:t>
      </w:r>
      <w:r>
        <w:rPr>
          <w:rFonts w:hint="eastAsia" w:ascii="仿宋" w:hAnsi="仿宋" w:eastAsia="仿宋"/>
          <w:color w:val="auto"/>
          <w:highlight w:val="none"/>
          <w:lang w:eastAsia="zh-CN"/>
        </w:rPr>
        <w:t>承包人应按照现行有关工程建设标准规范中设计深度的规定，遵循限额设计原则开展工程设计。承包人的设计应做到功能合理、技术先进、质量可靠、施工安全、绿色环保、经济合理。</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38.3.3在</w:t>
      </w:r>
      <w:r>
        <w:rPr>
          <w:rFonts w:ascii="仿宋" w:hAnsi="仿宋" w:eastAsia="仿宋"/>
          <w:color w:val="auto"/>
          <w:highlight w:val="none"/>
          <w:lang w:eastAsia="zh-CN"/>
        </w:rPr>
        <w:t>合同实施过程中国家颁布了新的标准或规范时，承包人应向发包人提交有关新标准、新规范的建议书。对其中的强制性标准、规范，承包人应严格遵守，发包人作为变更处理；对于非强制性的标准、规范，</w:t>
      </w:r>
      <w:r>
        <w:rPr>
          <w:rFonts w:hint="eastAsia" w:ascii="仿宋" w:hAnsi="仿宋" w:eastAsia="仿宋"/>
          <w:color w:val="auto"/>
          <w:highlight w:val="none"/>
          <w:lang w:eastAsia="zh-CN"/>
        </w:rPr>
        <w:t>在结构超限审查、施工图审查、工程验收等无风险的情况下，</w:t>
      </w:r>
      <w:r>
        <w:rPr>
          <w:rFonts w:ascii="仿宋" w:hAnsi="仿宋" w:eastAsia="仿宋"/>
          <w:color w:val="auto"/>
          <w:highlight w:val="none"/>
          <w:lang w:eastAsia="zh-CN"/>
        </w:rPr>
        <w:t>发包人可决定采用或不采用，决定采用时，作为变更处理。</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38.3.4 工程完工后需要购置设备及工器具以达到生产和运营能力的建筑物或构筑物，承包人的设计应满足其工艺流程、设备配置要求。需要</w:t>
      </w:r>
      <w:r>
        <w:rPr>
          <w:rFonts w:ascii="仿宋" w:hAnsi="仿宋" w:eastAsia="仿宋"/>
          <w:color w:val="auto"/>
          <w:highlight w:val="none"/>
          <w:lang w:eastAsia="zh-CN"/>
        </w:rPr>
        <w:t>专利</w:t>
      </w:r>
      <w:r>
        <w:rPr>
          <w:rFonts w:hint="eastAsia" w:ascii="仿宋" w:hAnsi="仿宋" w:eastAsia="仿宋"/>
          <w:color w:val="auto"/>
          <w:highlight w:val="none"/>
          <w:lang w:eastAsia="zh-CN"/>
        </w:rPr>
        <w:t>人、设备商</w:t>
      </w:r>
      <w:r>
        <w:rPr>
          <w:rFonts w:ascii="仿宋" w:hAnsi="仿宋" w:eastAsia="仿宋"/>
          <w:color w:val="auto"/>
          <w:highlight w:val="none"/>
          <w:lang w:eastAsia="zh-CN"/>
        </w:rPr>
        <w:t>或发包人</w:t>
      </w:r>
      <w:r>
        <w:rPr>
          <w:rFonts w:hint="eastAsia" w:ascii="仿宋" w:hAnsi="仿宋" w:eastAsia="仿宋"/>
          <w:color w:val="auto"/>
          <w:highlight w:val="none"/>
          <w:lang w:eastAsia="zh-CN"/>
        </w:rPr>
        <w:t>提供的相关资料，由双方在专用条款中约定。</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38.3.5 承包人应充分利用BIM技术进行正向设计</w:t>
      </w:r>
      <w:r>
        <w:rPr>
          <w:rFonts w:hint="eastAsia" w:ascii="仿宋" w:hAnsi="仿宋" w:eastAsia="仿宋" w:cs="仿宋"/>
          <w:color w:val="auto"/>
          <w:highlight w:val="none"/>
          <w:lang w:eastAsia="zh-CN"/>
        </w:rPr>
        <w:t>或建模与出图同步完成的设计方式</w:t>
      </w:r>
      <w:r>
        <w:rPr>
          <w:rFonts w:hint="eastAsia" w:ascii="仿宋" w:hAnsi="仿宋" w:eastAsia="仿宋"/>
          <w:color w:val="auto"/>
          <w:highlight w:val="none"/>
          <w:lang w:eastAsia="zh-CN"/>
        </w:rPr>
        <w:t>，通过使用建筑信息模型（BIM），优化设计成果。</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38.3.6 设计过程中，承包人发现发包人提供的已立项批准或备案可研报告中的建设方案、工艺流程存在重大缺陷或需要优化，承包人应及时以书面形式向发包人及设计顾问人提出合理化建议及对工程投资费用或效益的影响程度。若合理化建议被采用，发包人作变更处理，因节约投资或产生预期效益显著，承包人可获得适当的奖励，具体在专用条款中约定。</w:t>
      </w:r>
    </w:p>
    <w:p>
      <w:pPr>
        <w:tabs>
          <w:tab w:val="left" w:pos="4970"/>
        </w:tabs>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95488" behindDoc="0" locked="0" layoutInCell="1" allowOverlap="1">
                <wp:simplePos x="0" y="0"/>
                <wp:positionH relativeFrom="column">
                  <wp:posOffset>-102870</wp:posOffset>
                </wp:positionH>
                <wp:positionV relativeFrom="paragraph">
                  <wp:posOffset>278765</wp:posOffset>
                </wp:positionV>
                <wp:extent cx="813435" cy="617855"/>
                <wp:effectExtent l="0" t="0" r="0" b="0"/>
                <wp:wrapNone/>
                <wp:docPr id="427" name="文本框 12"/>
                <wp:cNvGraphicFramePr/>
                <a:graphic xmlns:a="http://schemas.openxmlformats.org/drawingml/2006/main">
                  <a:graphicData uri="http://schemas.microsoft.com/office/word/2010/wordprocessingShape">
                    <wps:wsp>
                      <wps:cNvSpPr txBox="1"/>
                      <wps:spPr>
                        <a:xfrm>
                          <a:off x="0" y="0"/>
                          <a:ext cx="813435" cy="617855"/>
                        </a:xfrm>
                        <a:prstGeom prst="rect">
                          <a:avLst/>
                        </a:prstGeom>
                        <a:noFill/>
                        <a:ln>
                          <a:noFill/>
                        </a:ln>
                      </wps:spPr>
                      <wps:txb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设计文件</w:t>
                            </w:r>
                          </w:p>
                        </w:txbxContent>
                      </wps:txbx>
                      <wps:bodyPr wrap="square" upright="1"/>
                    </wps:wsp>
                  </a:graphicData>
                </a:graphic>
              </wp:anchor>
            </w:drawing>
          </mc:Choice>
          <mc:Fallback>
            <w:pict>
              <v:shape id="文本框 12" o:spid="_x0000_s1026" o:spt="202" type="#_x0000_t202" style="position:absolute;left:0pt;margin-left:-8.1pt;margin-top:21.95pt;height:48.65pt;width:64.05pt;z-index:252095488;mso-width-relative:page;mso-height-relative:page;" filled="f" stroked="f" coordsize="21600,21600" o:gfxdata="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u4MZB1gAAAAoBAAAPAAAAAAAAAAEAIAAAACIAAABkcnMvZG93bnJldi54bWxQSwECFAAU&#10;AAAACACHTuJASezMJboBAABe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设计文件</w:t>
                      </w:r>
                    </w:p>
                  </w:txbxContent>
                </v:textbox>
              </v:shape>
            </w:pict>
          </mc:Fallback>
        </mc:AlternateContent>
      </w:r>
      <w:r>
        <w:rPr>
          <w:rFonts w:hint="eastAsia" w:ascii="仿宋" w:hAnsi="仿宋" w:eastAsia="仿宋" w:cs="仿宋"/>
          <w:b/>
          <w:bCs/>
          <w:color w:val="auto"/>
          <w:highlight w:val="none"/>
          <w:lang w:eastAsia="zh-CN"/>
        </w:rPr>
        <w:t>38.4</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38.4.1承包人向发包人提交设计文件的方式、数量和时间，由双方在专用条款中约定。发包人要求增加的设计文件，费用由发包人承担；承包人内部使用的设计文件，其费用由承包人自己承担。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38.4.2承包人完成施工图设计工作并提交设计文件后，发包人和设计顾问人应及时组织评审或审查。发包人和设计顾问人应及时签收施工图设计文件、确认施工图设计工作完成时间，并按专用条款约定支付工程设计费。</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 xml:space="preserve">38.4.3 </w:t>
      </w:r>
      <w:r>
        <w:rPr>
          <w:rFonts w:ascii="仿宋" w:hAnsi="仿宋" w:eastAsia="仿宋"/>
          <w:color w:val="auto"/>
          <w:highlight w:val="none"/>
          <w:lang w:eastAsia="zh-CN"/>
        </w:rPr>
        <w:t>因承包人原因，造成</w:t>
      </w:r>
      <w:r>
        <w:rPr>
          <w:rFonts w:hint="eastAsia" w:ascii="仿宋" w:hAnsi="仿宋" w:eastAsia="仿宋"/>
          <w:color w:val="auto"/>
          <w:highlight w:val="none"/>
          <w:lang w:eastAsia="zh-CN"/>
        </w:rPr>
        <w:t>施工图</w:t>
      </w:r>
      <w:r>
        <w:rPr>
          <w:rFonts w:ascii="仿宋" w:hAnsi="仿宋" w:eastAsia="仿宋"/>
          <w:color w:val="auto"/>
          <w:highlight w:val="none"/>
          <w:lang w:eastAsia="zh-CN"/>
        </w:rPr>
        <w:t>存在遗漏、错误和不足的，承包人应</w:t>
      </w:r>
      <w:r>
        <w:rPr>
          <w:rFonts w:hint="eastAsia" w:ascii="仿宋" w:hAnsi="仿宋" w:eastAsia="仿宋"/>
          <w:color w:val="auto"/>
          <w:highlight w:val="none"/>
          <w:lang w:eastAsia="zh-CN"/>
        </w:rPr>
        <w:t>补充、</w:t>
      </w:r>
      <w:r>
        <w:rPr>
          <w:rFonts w:ascii="仿宋" w:hAnsi="仿宋" w:eastAsia="仿宋"/>
          <w:color w:val="auto"/>
          <w:highlight w:val="none"/>
          <w:lang w:eastAsia="zh-CN"/>
        </w:rPr>
        <w:t>修</w:t>
      </w:r>
      <w:r>
        <w:rPr>
          <w:rFonts w:hint="eastAsia" w:ascii="仿宋" w:hAnsi="仿宋" w:eastAsia="仿宋"/>
          <w:color w:val="auto"/>
          <w:highlight w:val="none"/>
          <w:lang w:eastAsia="zh-CN"/>
        </w:rPr>
        <w:t>正</w:t>
      </w:r>
      <w:r>
        <w:rPr>
          <w:rFonts w:ascii="仿宋" w:hAnsi="仿宋" w:eastAsia="仿宋"/>
          <w:color w:val="auto"/>
          <w:highlight w:val="none"/>
          <w:lang w:eastAsia="zh-CN"/>
        </w:rPr>
        <w:t>和完善</w:t>
      </w:r>
      <w:r>
        <w:rPr>
          <w:rFonts w:hint="eastAsia" w:ascii="仿宋" w:hAnsi="仿宋" w:eastAsia="仿宋"/>
          <w:color w:val="auto"/>
          <w:highlight w:val="none"/>
          <w:lang w:eastAsia="zh-CN"/>
        </w:rPr>
        <w:t>，由此产生的费用由承包人承担</w:t>
      </w:r>
      <w:r>
        <w:rPr>
          <w:rFonts w:ascii="仿宋" w:hAnsi="仿宋" w:eastAsia="仿宋"/>
          <w:color w:val="auto"/>
          <w:highlight w:val="none"/>
          <w:lang w:eastAsia="zh-CN"/>
        </w:rPr>
        <w:t>。</w:t>
      </w:r>
      <w:r>
        <w:rPr>
          <w:rFonts w:hint="eastAsia" w:ascii="仿宋" w:hAnsi="仿宋" w:eastAsia="仿宋"/>
          <w:color w:val="auto"/>
          <w:highlight w:val="none"/>
          <w:lang w:eastAsia="zh-CN"/>
        </w:rPr>
        <w:t>因此对后续设计、采购、施工等造成的工期延误及费用增加由承包人承担。</w:t>
      </w:r>
    </w:p>
    <w:p>
      <w:pPr>
        <w:tabs>
          <w:tab w:val="left" w:pos="4970"/>
        </w:tabs>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07424" behindDoc="0" locked="0" layoutInCell="1" allowOverlap="1">
                <wp:simplePos x="0" y="0"/>
                <wp:positionH relativeFrom="column">
                  <wp:posOffset>-102870</wp:posOffset>
                </wp:positionH>
                <wp:positionV relativeFrom="paragraph">
                  <wp:posOffset>278765</wp:posOffset>
                </wp:positionV>
                <wp:extent cx="871220" cy="828675"/>
                <wp:effectExtent l="0" t="0" r="0" b="0"/>
                <wp:wrapNone/>
                <wp:docPr id="341" name="文本框 12"/>
                <wp:cNvGraphicFramePr/>
                <a:graphic xmlns:a="http://schemas.openxmlformats.org/drawingml/2006/main">
                  <a:graphicData uri="http://schemas.microsoft.com/office/word/2010/wordprocessingShape">
                    <wps:wsp>
                      <wps:cNvSpPr txBox="1"/>
                      <wps:spPr>
                        <a:xfrm>
                          <a:off x="0" y="0"/>
                          <a:ext cx="871220" cy="828675"/>
                        </a:xfrm>
                        <a:prstGeom prst="rect">
                          <a:avLst/>
                        </a:prstGeom>
                        <a:noFill/>
                        <a:ln>
                          <a:noFill/>
                        </a:ln>
                      </wps:spPr>
                      <wps:txb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 xml:space="preserve">装配式建筑设计的一般要求 </w:t>
                            </w:r>
                          </w:p>
                        </w:txbxContent>
                      </wps:txbx>
                      <wps:bodyPr wrap="square" upright="1"/>
                    </wps:wsp>
                  </a:graphicData>
                </a:graphic>
              </wp:anchor>
            </w:drawing>
          </mc:Choice>
          <mc:Fallback>
            <w:pict>
              <v:shape id="文本框 12" o:spid="_x0000_s1026" o:spt="202" type="#_x0000_t202" style="position:absolute;left:0pt;margin-left:-8.1pt;margin-top:21.95pt;height:65.25pt;width:68.6pt;z-index:252007424;mso-width-relative:page;mso-height-relative:page;" filled="f" stroked="f" coordsize="21600,21600" o:gfxdata="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siTXE1wAAAAoBAAAPAAAAAAAAAAEAIAAAACIAAABkcnMvZG93bnJldi54bWxQSwECFAAU&#10;AAAACACHTuJA/LbcTbkBAABe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 xml:space="preserve">装配式建筑设计的一般要求 </w:t>
                      </w:r>
                    </w:p>
                  </w:txbxContent>
                </v:textbox>
              </v:shape>
            </w:pict>
          </mc:Fallback>
        </mc:AlternateContent>
      </w:r>
      <w:r>
        <w:rPr>
          <w:rFonts w:hint="eastAsia" w:ascii="仿宋" w:hAnsi="仿宋" w:eastAsia="仿宋" w:cs="仿宋"/>
          <w:b/>
          <w:bCs/>
          <w:color w:val="auto"/>
          <w:highlight w:val="none"/>
          <w:lang w:eastAsia="zh-CN"/>
        </w:rPr>
        <w:t>38.5</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38.5.1发包人要求采用装配式建筑的，承包人应本着工厂化、标准化、模块化、集成化、体系化、绿色环保、经济合理等原则，遵守国家、广东省及广州市有关装配式技术标准与规范进行设计。具体采用的相关技术标准、规范、要求和装配率评价选用标准、各装配式单体工程名称及其装配率（或评价等级）在专用条款中约定。</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38.5.2承包人应任命本单位专业人员担任承包人设计代表（承包人为联合体时，应由具有符合项目规模要求的设计单位委派专业人员担任），统筹装配式构件的设计、生产、运输、吊装和拼接，加强协同管理，并建立基于建筑信息模型（BIM）的装配式构件生产管理信息系统，对构件进行编码管理，保证工程质量。</w:t>
      </w:r>
    </w:p>
    <w:p>
      <w:pPr>
        <w:tabs>
          <w:tab w:val="left" w:pos="4970"/>
        </w:tabs>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08448" behindDoc="0" locked="0" layoutInCell="1" allowOverlap="1">
                <wp:simplePos x="0" y="0"/>
                <wp:positionH relativeFrom="column">
                  <wp:posOffset>-102870</wp:posOffset>
                </wp:positionH>
                <wp:positionV relativeFrom="paragraph">
                  <wp:posOffset>278765</wp:posOffset>
                </wp:positionV>
                <wp:extent cx="765810" cy="408305"/>
                <wp:effectExtent l="0" t="0" r="0" b="0"/>
                <wp:wrapNone/>
                <wp:docPr id="342" name="文本框 12"/>
                <wp:cNvGraphicFramePr/>
                <a:graphic xmlns:a="http://schemas.openxmlformats.org/drawingml/2006/main">
                  <a:graphicData uri="http://schemas.microsoft.com/office/word/2010/wordprocessingShape">
                    <wps:wsp>
                      <wps:cNvSpPr txBox="1"/>
                      <wps:spPr>
                        <a:xfrm>
                          <a:off x="0" y="0"/>
                          <a:ext cx="765810" cy="408305"/>
                        </a:xfrm>
                        <a:prstGeom prst="rect">
                          <a:avLst/>
                        </a:prstGeom>
                        <a:noFill/>
                        <a:ln>
                          <a:noFill/>
                        </a:ln>
                      </wps:spPr>
                      <wps:txb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设计审查</w:t>
                            </w:r>
                          </w:p>
                        </w:txbxContent>
                      </wps:txbx>
                      <wps:bodyPr wrap="square" upright="1"/>
                    </wps:wsp>
                  </a:graphicData>
                </a:graphic>
              </wp:anchor>
            </w:drawing>
          </mc:Choice>
          <mc:Fallback>
            <w:pict>
              <v:shape id="文本框 12" o:spid="_x0000_s1026" o:spt="202" type="#_x0000_t202" style="position:absolute;left:0pt;margin-left:-8.1pt;margin-top:21.95pt;height:32.15pt;width:60.3pt;z-index:252008448;mso-width-relative:page;mso-height-relative:page;" filled="f" stroked="f" coordsize="21600,21600" o:gfxdata="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dsEep1wAAAAoBAAAPAAAAAAAAAAEAIAAAACIAAABkcnMvZG93bnJldi54bWxQSwECFAAU&#10;AAAACACHTuJAP9Lef7kBAABe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设计审查</w:t>
                      </w:r>
                    </w:p>
                  </w:txbxContent>
                </v:textbox>
              </v:shape>
            </w:pict>
          </mc:Fallback>
        </mc:AlternateContent>
      </w:r>
      <w:r>
        <w:rPr>
          <w:rFonts w:hint="eastAsia" w:ascii="仿宋" w:hAnsi="仿宋" w:eastAsia="仿宋" w:cs="仿宋"/>
          <w:b/>
          <w:bCs/>
          <w:color w:val="auto"/>
          <w:highlight w:val="none"/>
          <w:lang w:eastAsia="zh-CN"/>
        </w:rPr>
        <w:t>38.6</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38.6.1发包人审查</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38.6.1.1承包人的施工图应报发包人审查同意。审查的范围和内容在发包人要求中明确，审查标准应符合有关法律、技术标准和发包人要求。涉及重大设计技术问题的，承包人应及时向发包人提出书面审查申请。</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38.6.1.2除专用条款另有约定外，自发包人收到承包人的设计文件以及承包人的书面通知之日起，</w:t>
      </w:r>
      <w:r>
        <w:rPr>
          <w:rFonts w:hint="eastAsia" w:ascii="仿宋" w:hAnsi="仿宋" w:eastAsia="仿宋" w:cs="仿宋"/>
          <w:color w:val="auto"/>
          <w:highlight w:val="none"/>
          <w:lang w:eastAsia="zh-CN"/>
        </w:rPr>
        <w:t>应及时通知设计顾问人对设计文件予以核实或审核并完成发包人审查，</w:t>
      </w:r>
      <w:r>
        <w:rPr>
          <w:rFonts w:hint="eastAsia" w:ascii="仿宋" w:hAnsi="仿宋" w:eastAsia="仿宋"/>
          <w:color w:val="auto"/>
          <w:highlight w:val="none"/>
          <w:lang w:eastAsia="zh-CN"/>
        </w:rPr>
        <w:t>发包人对承包人的设计文件审查期不超过21天。</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38.6.1.3发包人经审查不同意承包人的设计文件的，应以书面形式通知承包人，并说明不符合合同约定的具体内容。承包人应对设计文件修正完善后重新送审，审查期重新起算。如果发包人的审查意见超出或更改了发包人要求，承包人可根据第63条约定提出变更申请，由发包人承担增加的工程费或工程设计费。</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38.6.1.4发包人经审查同意承包人的设计文件的，应以书面形式通知承包人。合同约定的审查期满，发包人没有做出审查结论也没有提出异议的，视为承包人送审的设计文件已获发包人同意。</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38.6.1.5 承包人的设计文件不需要政府有关部门审查或批准的，承包人应依据发包人审查同意的初步设计进行施工图设计，或依据发包人审查同意的施工图组织施工。</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38.6.2政府部门审查或批准</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38.6.2.1 承包人的施工图需政府有关部门或施工图审查机构审查或批准的，发包人应在审查同意后7天内，向政府有关部门或施工图审查机构报送设计文件，承包人应</w:t>
      </w:r>
      <w:r>
        <w:rPr>
          <w:rFonts w:ascii="仿宋" w:hAnsi="仿宋" w:eastAsia="仿宋"/>
          <w:color w:val="auto"/>
          <w:highlight w:val="none"/>
          <w:lang w:eastAsia="zh-CN"/>
        </w:rPr>
        <w:t>予以</w:t>
      </w:r>
      <w:r>
        <w:rPr>
          <w:rFonts w:hint="eastAsia" w:ascii="仿宋" w:hAnsi="仿宋" w:eastAsia="仿宋"/>
          <w:color w:val="auto"/>
          <w:highlight w:val="none"/>
          <w:lang w:eastAsia="zh-CN"/>
        </w:rPr>
        <w:t>协助。</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38.6.2.2</w:t>
      </w:r>
      <w:r>
        <w:rPr>
          <w:rFonts w:ascii="仿宋" w:hAnsi="仿宋" w:eastAsia="仿宋"/>
          <w:color w:val="auto"/>
          <w:highlight w:val="none"/>
          <w:lang w:eastAsia="zh-CN"/>
        </w:rPr>
        <w:t>发包人</w:t>
      </w:r>
      <w:r>
        <w:rPr>
          <w:rFonts w:hint="eastAsia" w:ascii="仿宋" w:hAnsi="仿宋" w:eastAsia="仿宋"/>
          <w:color w:val="auto"/>
          <w:highlight w:val="none"/>
          <w:lang w:eastAsia="zh-CN"/>
        </w:rPr>
        <w:t>应</w:t>
      </w:r>
      <w:r>
        <w:rPr>
          <w:rFonts w:ascii="仿宋" w:hAnsi="仿宋" w:eastAsia="仿宋"/>
          <w:color w:val="auto"/>
          <w:highlight w:val="none"/>
          <w:lang w:eastAsia="zh-CN"/>
        </w:rPr>
        <w:t>向承包人提供</w:t>
      </w:r>
      <w:r>
        <w:rPr>
          <w:rFonts w:hint="eastAsia" w:ascii="仿宋" w:hAnsi="仿宋" w:eastAsia="仿宋"/>
          <w:color w:val="auto"/>
          <w:highlight w:val="none"/>
          <w:lang w:eastAsia="zh-CN"/>
        </w:rPr>
        <w:t>政府有关部门或施工图审查机构</w:t>
      </w:r>
      <w:r>
        <w:rPr>
          <w:rFonts w:ascii="仿宋" w:hAnsi="仿宋" w:eastAsia="仿宋"/>
          <w:color w:val="auto"/>
          <w:highlight w:val="none"/>
          <w:lang w:eastAsia="zh-CN"/>
        </w:rPr>
        <w:t>的批准文件和</w:t>
      </w:r>
      <w:r>
        <w:rPr>
          <w:rFonts w:hint="eastAsia" w:ascii="仿宋" w:hAnsi="仿宋" w:eastAsia="仿宋"/>
          <w:color w:val="auto"/>
          <w:highlight w:val="none"/>
          <w:lang w:eastAsia="zh-CN"/>
        </w:rPr>
        <w:t>审查意见。</w:t>
      </w:r>
      <w:r>
        <w:rPr>
          <w:rFonts w:ascii="仿宋" w:hAnsi="仿宋" w:eastAsia="仿宋"/>
          <w:color w:val="auto"/>
          <w:highlight w:val="none"/>
          <w:lang w:eastAsia="zh-CN"/>
        </w:rPr>
        <w:t>承包人</w:t>
      </w:r>
      <w:r>
        <w:rPr>
          <w:rFonts w:hint="eastAsia" w:ascii="仿宋" w:hAnsi="仿宋" w:eastAsia="仿宋"/>
          <w:color w:val="auto"/>
          <w:highlight w:val="none"/>
          <w:lang w:eastAsia="zh-CN"/>
        </w:rPr>
        <w:t>应按照相关审查批准文件对设计文件进行补充、修改和完善。</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38.6.2.3经政府有关部门或</w:t>
      </w:r>
      <w:r>
        <w:rPr>
          <w:rFonts w:ascii="仿宋" w:hAnsi="仿宋" w:eastAsia="仿宋"/>
          <w:color w:val="auto"/>
          <w:highlight w:val="none"/>
          <w:lang w:eastAsia="zh-CN"/>
        </w:rPr>
        <w:t>施工图</w:t>
      </w:r>
      <w:r>
        <w:rPr>
          <w:rFonts w:hint="eastAsia" w:ascii="仿宋" w:hAnsi="仿宋" w:eastAsia="仿宋"/>
          <w:color w:val="auto"/>
          <w:highlight w:val="none"/>
          <w:lang w:eastAsia="zh-CN"/>
        </w:rPr>
        <w:t>审查机构审查，需要修改发包人要求的，发包人应重新提出发包人要求，通知承包人相应修改设计文件，并重新送审，承包人可根据第63条约定提出变更申请，由发包人承担增加的工程费或工程设计费。</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38.6.3 审查会议</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38.6.3.1 承包人向发包人送审施工图前，应组织相关专家对设计文件进行评审，通知</w:t>
      </w:r>
      <w:r>
        <w:rPr>
          <w:rFonts w:ascii="仿宋" w:hAnsi="仿宋" w:eastAsia="仿宋"/>
          <w:color w:val="auto"/>
          <w:highlight w:val="none"/>
          <w:lang w:eastAsia="zh-CN"/>
        </w:rPr>
        <w:t>发包</w:t>
      </w:r>
      <w:r>
        <w:rPr>
          <w:rFonts w:hint="eastAsia" w:ascii="仿宋" w:hAnsi="仿宋" w:eastAsia="仿宋"/>
          <w:color w:val="auto"/>
          <w:highlight w:val="none"/>
          <w:lang w:eastAsia="zh-CN"/>
        </w:rPr>
        <w:t>人及设计顾问人、监理人、造价咨询人等相关方参加，根据专家评审意见修正设计文件，相关会议及评审费用由承包人自行承担。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38.6.3.2发包人需要组织审查会议的，审查会议的审查形式和时间安排应在专用条款中约定，相关会议费用及评审费用由发包人承担。</w:t>
      </w:r>
      <w:r>
        <w:rPr>
          <w:rFonts w:ascii="仿宋" w:hAnsi="仿宋" w:eastAsia="仿宋"/>
          <w:color w:val="auto"/>
          <w:highlight w:val="none"/>
          <w:lang w:eastAsia="zh-CN"/>
        </w:rPr>
        <w:t>承包人</w:t>
      </w:r>
      <w:r>
        <w:rPr>
          <w:rFonts w:hint="eastAsia" w:ascii="仿宋" w:hAnsi="仿宋" w:eastAsia="仿宋"/>
          <w:color w:val="auto"/>
          <w:highlight w:val="none"/>
          <w:lang w:eastAsia="zh-CN"/>
        </w:rPr>
        <w:t>应</w:t>
      </w:r>
      <w:r>
        <w:rPr>
          <w:rFonts w:ascii="仿宋" w:hAnsi="仿宋" w:eastAsia="仿宋"/>
          <w:color w:val="auto"/>
          <w:highlight w:val="none"/>
          <w:lang w:eastAsia="zh-CN"/>
        </w:rPr>
        <w:t>协助发包人组织设计审查会议</w:t>
      </w:r>
      <w:r>
        <w:rPr>
          <w:rFonts w:hint="eastAsia" w:ascii="仿宋" w:hAnsi="仿宋" w:eastAsia="仿宋"/>
          <w:color w:val="auto"/>
          <w:highlight w:val="none"/>
          <w:lang w:eastAsia="zh-CN"/>
        </w:rPr>
        <w:t>，</w:t>
      </w:r>
      <w:r>
        <w:rPr>
          <w:rFonts w:ascii="仿宋" w:hAnsi="仿宋" w:eastAsia="仿宋"/>
          <w:color w:val="auto"/>
          <w:highlight w:val="none"/>
          <w:lang w:eastAsia="zh-CN"/>
        </w:rPr>
        <w:t>向审查</w:t>
      </w:r>
      <w:r>
        <w:rPr>
          <w:rFonts w:hint="eastAsia" w:ascii="仿宋" w:hAnsi="仿宋" w:eastAsia="仿宋"/>
          <w:color w:val="auto"/>
          <w:highlight w:val="none"/>
          <w:lang w:eastAsia="zh-CN"/>
        </w:rPr>
        <w:t>人员</w:t>
      </w:r>
      <w:r>
        <w:rPr>
          <w:rFonts w:ascii="仿宋" w:hAnsi="仿宋" w:eastAsia="仿宋"/>
          <w:color w:val="auto"/>
          <w:highlight w:val="none"/>
          <w:lang w:eastAsia="zh-CN"/>
        </w:rPr>
        <w:t>介绍、解答、解释其设计文件，并提供</w:t>
      </w:r>
      <w:r>
        <w:rPr>
          <w:rFonts w:hint="eastAsia" w:ascii="仿宋" w:hAnsi="仿宋" w:eastAsia="仿宋"/>
          <w:color w:val="auto"/>
          <w:highlight w:val="none"/>
          <w:lang w:eastAsia="zh-CN"/>
        </w:rPr>
        <w:t>有关补充</w:t>
      </w:r>
      <w:r>
        <w:rPr>
          <w:rFonts w:ascii="仿宋" w:hAnsi="仿宋" w:eastAsia="仿宋"/>
          <w:color w:val="auto"/>
          <w:highlight w:val="none"/>
          <w:lang w:eastAsia="zh-CN"/>
        </w:rPr>
        <w:t>资料。</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38.6.4审查延误</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38.6.4.1</w:t>
      </w:r>
      <w:r>
        <w:rPr>
          <w:rFonts w:ascii="仿宋" w:hAnsi="仿宋" w:eastAsia="仿宋"/>
          <w:color w:val="auto"/>
          <w:highlight w:val="none"/>
          <w:lang w:eastAsia="zh-CN"/>
        </w:rPr>
        <w:t>因承包人原因，未能按</w:t>
      </w:r>
      <w:r>
        <w:rPr>
          <w:rFonts w:hint="eastAsia" w:ascii="仿宋" w:hAnsi="仿宋" w:eastAsia="仿宋"/>
          <w:color w:val="auto"/>
          <w:highlight w:val="none"/>
          <w:lang w:eastAsia="zh-CN"/>
        </w:rPr>
        <w:t>专用条款</w:t>
      </w:r>
      <w:r>
        <w:rPr>
          <w:rFonts w:ascii="仿宋" w:hAnsi="仿宋" w:eastAsia="仿宋"/>
          <w:color w:val="auto"/>
          <w:highlight w:val="none"/>
          <w:lang w:eastAsia="zh-CN"/>
        </w:rPr>
        <w:t>约定的时间，向发包人提交</w:t>
      </w:r>
      <w:r>
        <w:rPr>
          <w:rFonts w:hint="eastAsia" w:ascii="仿宋" w:hAnsi="仿宋" w:eastAsia="仿宋"/>
          <w:color w:val="auto"/>
          <w:highlight w:val="none"/>
          <w:lang w:eastAsia="zh-CN"/>
        </w:rPr>
        <w:t>施工图</w:t>
      </w:r>
      <w:r>
        <w:rPr>
          <w:rFonts w:ascii="仿宋" w:hAnsi="仿宋" w:eastAsia="仿宋"/>
          <w:color w:val="auto"/>
          <w:highlight w:val="none"/>
          <w:lang w:eastAsia="zh-CN"/>
        </w:rPr>
        <w:t>设计阶段的完整设计文件，致使相</w:t>
      </w:r>
      <w:r>
        <w:rPr>
          <w:rFonts w:hint="eastAsia" w:ascii="仿宋" w:hAnsi="仿宋" w:eastAsia="仿宋"/>
          <w:color w:val="auto"/>
          <w:highlight w:val="none"/>
          <w:lang w:eastAsia="zh-CN"/>
        </w:rPr>
        <w:t>应</w:t>
      </w:r>
      <w:r>
        <w:rPr>
          <w:rFonts w:ascii="仿宋" w:hAnsi="仿宋" w:eastAsia="仿宋"/>
          <w:color w:val="auto"/>
          <w:highlight w:val="none"/>
          <w:lang w:eastAsia="zh-CN"/>
        </w:rPr>
        <w:t>设计阶段的</w:t>
      </w:r>
      <w:r>
        <w:rPr>
          <w:rFonts w:hint="eastAsia" w:ascii="仿宋" w:hAnsi="仿宋" w:eastAsia="仿宋"/>
          <w:color w:val="auto"/>
          <w:highlight w:val="none"/>
          <w:lang w:eastAsia="zh-CN"/>
        </w:rPr>
        <w:t>设计审查</w:t>
      </w:r>
      <w:r>
        <w:rPr>
          <w:rFonts w:ascii="仿宋" w:hAnsi="仿宋" w:eastAsia="仿宋"/>
          <w:color w:val="auto"/>
          <w:highlight w:val="none"/>
          <w:lang w:eastAsia="zh-CN"/>
        </w:rPr>
        <w:t>无法进行或无法按期进行，造成的</w:t>
      </w:r>
      <w:r>
        <w:rPr>
          <w:rFonts w:hint="eastAsia" w:ascii="仿宋" w:hAnsi="仿宋" w:eastAsia="仿宋"/>
          <w:color w:val="auto"/>
          <w:highlight w:val="none"/>
          <w:lang w:eastAsia="zh-CN"/>
        </w:rPr>
        <w:t>设计工期延长</w:t>
      </w:r>
      <w:r>
        <w:rPr>
          <w:rFonts w:ascii="仿宋" w:hAnsi="仿宋" w:eastAsia="仿宋"/>
          <w:color w:val="auto"/>
          <w:highlight w:val="none"/>
          <w:lang w:eastAsia="zh-CN"/>
        </w:rPr>
        <w:t>、</w:t>
      </w:r>
      <w:r>
        <w:rPr>
          <w:rFonts w:hint="eastAsia" w:ascii="仿宋" w:hAnsi="仿宋" w:eastAsia="仿宋"/>
          <w:color w:val="auto"/>
          <w:highlight w:val="none"/>
          <w:lang w:eastAsia="zh-CN"/>
        </w:rPr>
        <w:t>后续设计施工延误</w:t>
      </w:r>
      <w:r>
        <w:rPr>
          <w:rFonts w:ascii="仿宋" w:hAnsi="仿宋" w:eastAsia="仿宋"/>
          <w:color w:val="auto"/>
          <w:highlight w:val="none"/>
          <w:lang w:eastAsia="zh-CN"/>
        </w:rPr>
        <w:t>及</w:t>
      </w:r>
      <w:r>
        <w:rPr>
          <w:rFonts w:hint="eastAsia" w:ascii="仿宋" w:hAnsi="仿宋" w:eastAsia="仿宋"/>
          <w:color w:val="auto"/>
          <w:highlight w:val="none"/>
          <w:lang w:eastAsia="zh-CN"/>
        </w:rPr>
        <w:t>费用增加</w:t>
      </w:r>
      <w:r>
        <w:rPr>
          <w:rFonts w:ascii="仿宋" w:hAnsi="仿宋" w:eastAsia="仿宋"/>
          <w:color w:val="auto"/>
          <w:highlight w:val="none"/>
          <w:lang w:eastAsia="zh-CN"/>
        </w:rPr>
        <w:t>，</w:t>
      </w:r>
      <w:r>
        <w:rPr>
          <w:rFonts w:hint="eastAsia" w:ascii="仿宋" w:hAnsi="仿宋" w:eastAsia="仿宋"/>
          <w:color w:val="auto"/>
          <w:highlight w:val="none"/>
          <w:lang w:eastAsia="zh-CN"/>
        </w:rPr>
        <w:t>责任</w:t>
      </w:r>
      <w:r>
        <w:rPr>
          <w:rFonts w:ascii="仿宋" w:hAnsi="仿宋" w:eastAsia="仿宋"/>
          <w:color w:val="auto"/>
          <w:highlight w:val="none"/>
          <w:lang w:eastAsia="zh-CN"/>
        </w:rPr>
        <w:t>由承包人承担。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38.6.4.2因发包人原因导致设计文件审查</w:t>
      </w:r>
      <w:r>
        <w:rPr>
          <w:rFonts w:ascii="仿宋" w:hAnsi="仿宋" w:eastAsia="仿宋"/>
          <w:color w:val="auto"/>
          <w:highlight w:val="none"/>
          <w:lang w:eastAsia="zh-CN"/>
        </w:rPr>
        <w:t>无法进行或无法按期进行，造成的</w:t>
      </w:r>
      <w:r>
        <w:rPr>
          <w:rFonts w:hint="eastAsia" w:ascii="仿宋" w:hAnsi="仿宋" w:eastAsia="仿宋"/>
          <w:color w:val="auto"/>
          <w:highlight w:val="none"/>
          <w:lang w:eastAsia="zh-CN"/>
        </w:rPr>
        <w:t>设计工期延长及费用增加</w:t>
      </w:r>
      <w:r>
        <w:rPr>
          <w:rFonts w:ascii="仿宋" w:hAnsi="仿宋" w:eastAsia="仿宋"/>
          <w:color w:val="auto"/>
          <w:highlight w:val="none"/>
          <w:lang w:eastAsia="zh-CN"/>
        </w:rPr>
        <w:t>，</w:t>
      </w:r>
      <w:r>
        <w:rPr>
          <w:rFonts w:hint="eastAsia" w:ascii="仿宋" w:hAnsi="仿宋" w:eastAsia="仿宋"/>
          <w:color w:val="auto"/>
          <w:highlight w:val="none"/>
          <w:lang w:eastAsia="zh-CN"/>
        </w:rPr>
        <w:t>责任</w:t>
      </w:r>
      <w:r>
        <w:rPr>
          <w:rFonts w:ascii="仿宋" w:hAnsi="仿宋" w:eastAsia="仿宋"/>
          <w:color w:val="auto"/>
          <w:highlight w:val="none"/>
          <w:lang w:eastAsia="zh-CN"/>
        </w:rPr>
        <w:t>由</w:t>
      </w:r>
      <w:r>
        <w:rPr>
          <w:rFonts w:hint="eastAsia" w:ascii="仿宋" w:hAnsi="仿宋" w:eastAsia="仿宋"/>
          <w:color w:val="auto"/>
          <w:highlight w:val="none"/>
          <w:lang w:eastAsia="zh-CN"/>
        </w:rPr>
        <w:t>发</w:t>
      </w:r>
      <w:r>
        <w:rPr>
          <w:rFonts w:ascii="仿宋" w:hAnsi="仿宋" w:eastAsia="仿宋"/>
          <w:color w:val="auto"/>
          <w:highlight w:val="none"/>
          <w:lang w:eastAsia="zh-CN"/>
        </w:rPr>
        <w:t>包人承担。</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38.6.5审查责任的免除</w:t>
      </w:r>
    </w:p>
    <w:p>
      <w:pPr>
        <w:widowControl w:val="0"/>
        <w:tabs>
          <w:tab w:val="left" w:pos="4970"/>
        </w:tabs>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设计文件的审查，</w:t>
      </w:r>
      <w:r>
        <w:rPr>
          <w:rFonts w:ascii="仿宋" w:hAnsi="仿宋" w:eastAsia="仿宋"/>
          <w:color w:val="auto"/>
          <w:highlight w:val="none"/>
          <w:lang w:eastAsia="zh-CN"/>
        </w:rPr>
        <w:t>不减轻或免除承包人</w:t>
      </w:r>
      <w:r>
        <w:rPr>
          <w:rFonts w:hint="eastAsia" w:ascii="仿宋" w:hAnsi="仿宋" w:eastAsia="仿宋"/>
          <w:color w:val="auto"/>
          <w:highlight w:val="none"/>
          <w:lang w:eastAsia="zh-CN"/>
        </w:rPr>
        <w:t>依据法律规定与</w:t>
      </w:r>
      <w:r>
        <w:rPr>
          <w:rFonts w:ascii="仿宋" w:hAnsi="仿宋" w:eastAsia="仿宋"/>
          <w:color w:val="auto"/>
          <w:highlight w:val="none"/>
          <w:lang w:eastAsia="zh-CN"/>
        </w:rPr>
        <w:t>合同</w:t>
      </w:r>
      <w:r>
        <w:rPr>
          <w:rFonts w:hint="eastAsia" w:ascii="仿宋" w:hAnsi="仿宋" w:eastAsia="仿宋"/>
          <w:color w:val="auto"/>
          <w:highlight w:val="none"/>
          <w:lang w:eastAsia="zh-CN"/>
        </w:rPr>
        <w:t>约定应当承担的责任。</w:t>
      </w:r>
    </w:p>
    <w:p>
      <w:pPr>
        <w:spacing w:line="360" w:lineRule="auto"/>
        <w:ind w:left="1687" w:hanging="1687" w:hangingChars="700"/>
        <w:rPr>
          <w:rFonts w:ascii="仿宋" w:hAnsi="仿宋" w:eastAsia="仿宋" w:cs="仿宋"/>
          <w:color w:val="auto"/>
          <w:highlight w:val="none"/>
          <w:lang w:eastAsia="zh-CN"/>
        </w:rPr>
      </w:pPr>
      <w:r>
        <w:rPr>
          <w:rFonts w:hint="eastAsia" w:ascii="仿宋" w:hAnsi="仿宋" w:eastAsia="仿宋" w:cs="仿宋"/>
          <w:b/>
          <w:bCs/>
          <w:color w:val="auto"/>
          <w:highlight w:val="none"/>
          <w:lang w:eastAsia="zh-CN"/>
        </w:rPr>
        <w:t>38.7</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b/>
          <w:bCs/>
          <w:color w:val="auto"/>
          <w:highlight w:val="none"/>
        </w:rPr>
        <mc:AlternateContent>
          <mc:Choice Requires="wps">
            <w:drawing>
              <wp:anchor distT="0" distB="0" distL="114300" distR="114300" simplePos="0" relativeHeight="252098560" behindDoc="0" locked="0" layoutInCell="1" allowOverlap="1">
                <wp:simplePos x="0" y="0"/>
                <wp:positionH relativeFrom="column">
                  <wp:posOffset>-9525</wp:posOffset>
                </wp:positionH>
                <wp:positionV relativeFrom="paragraph">
                  <wp:posOffset>88265</wp:posOffset>
                </wp:positionV>
                <wp:extent cx="759460" cy="426085"/>
                <wp:effectExtent l="0" t="0" r="0" b="0"/>
                <wp:wrapNone/>
                <wp:docPr id="430" name="文本框 11"/>
                <wp:cNvGraphicFramePr/>
                <a:graphic xmlns:a="http://schemas.openxmlformats.org/drawingml/2006/main">
                  <a:graphicData uri="http://schemas.microsoft.com/office/word/2010/wordprocessingShape">
                    <wps:wsp>
                      <wps:cNvSpPr txBox="1"/>
                      <wps:spPr>
                        <a:xfrm>
                          <a:off x="0" y="0"/>
                          <a:ext cx="759460" cy="426085"/>
                        </a:xfrm>
                        <a:prstGeom prst="rect">
                          <a:avLst/>
                        </a:prstGeom>
                        <a:noFill/>
                        <a:ln>
                          <a:noFill/>
                        </a:ln>
                      </wps:spPr>
                      <wps:txb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配合采购与施工</w:t>
                            </w:r>
                          </w:p>
                        </w:txbxContent>
                      </wps:txbx>
                      <wps:bodyPr wrap="square" upright="1"/>
                    </wps:wsp>
                  </a:graphicData>
                </a:graphic>
              </wp:anchor>
            </w:drawing>
          </mc:Choice>
          <mc:Fallback>
            <w:pict>
              <v:shape id="文本框 11" o:spid="_x0000_s1026" o:spt="202" type="#_x0000_t202" style="position:absolute;left:0pt;margin-left:-0.75pt;margin-top:6.95pt;height:33.55pt;width:59.8pt;z-index:252098560;mso-width-relative:page;mso-height-relative:page;" filled="f" stroked="f" coordsize="21600,21600" o:gfxdata="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wt2tRNUAAAAIAQAADwAAAAAAAAABACAAAAAiAAAAZHJzL2Rvd25yZXYueG1sUEsBAhQAFAAA&#10;AAgAh07iQN3OA9O5AQAAXg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配合采购与施工</w:t>
                      </w:r>
                    </w:p>
                  </w:txbxContent>
                </v:textbox>
              </v:shape>
            </w:pict>
          </mc:Fallback>
        </mc:AlternateContent>
      </w:r>
      <w:r>
        <w:rPr>
          <w:rFonts w:hint="eastAsia" w:ascii="仿宋" w:hAnsi="仿宋" w:eastAsia="仿宋" w:cs="仿宋"/>
          <w:color w:val="auto"/>
          <w:highlight w:val="none"/>
          <w:lang w:eastAsia="zh-CN"/>
        </w:rPr>
        <w:t>承包人完成施工图设计阶段的工作并提交施工图后，设计人员应配合设备及工器具购置人员及施工人员开展相关工作，进行技术交底，解释相关数据，解决施工中设计技术问题，合理进行设计变更，因此增加的费用由承包人自行承担。</w:t>
      </w:r>
    </w:p>
    <w:p>
      <w:pPr>
        <w:spacing w:line="360" w:lineRule="auto"/>
        <w:rPr>
          <w:rFonts w:ascii="仿宋" w:hAnsi="仿宋" w:eastAsia="仿宋" w:cs="仿宋"/>
          <w:color w:val="auto"/>
          <w:highlight w:val="non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599" w:name="_Toc26045"/>
      <w:bookmarkStart w:id="600" w:name="_Toc26589"/>
      <w:bookmarkStart w:id="601" w:name="_Toc21747"/>
      <w:bookmarkStart w:id="602" w:name="_Toc737"/>
      <w:bookmarkStart w:id="603" w:name="_Toc26855"/>
      <w:bookmarkStart w:id="604" w:name="_Toc1298"/>
      <w:bookmarkStart w:id="605" w:name="_Toc22848"/>
      <w:bookmarkStart w:id="606" w:name="_Toc13701"/>
      <w:r>
        <w:rPr>
          <w:rFonts w:hint="eastAsia" w:ascii="仿宋" w:hAnsi="仿宋" w:eastAsia="仿宋" w:cs="仿宋"/>
          <w:bCs w:val="0"/>
          <w:color w:val="auto"/>
          <w:sz w:val="24"/>
          <w:szCs w:val="24"/>
          <w:highlight w:val="none"/>
          <w:lang w:eastAsia="zh-CN"/>
        </w:rPr>
        <w:t>39  BIM技术应用</w:t>
      </w:r>
      <w:bookmarkEnd w:id="599"/>
      <w:bookmarkEnd w:id="600"/>
      <w:bookmarkEnd w:id="601"/>
      <w:bookmarkEnd w:id="602"/>
      <w:bookmarkEnd w:id="603"/>
      <w:bookmarkEnd w:id="604"/>
      <w:bookmarkEnd w:id="605"/>
      <w:bookmarkEnd w:id="606"/>
    </w:p>
    <w:p>
      <w:pPr>
        <w:tabs>
          <w:tab w:val="left" w:pos="4970"/>
        </w:tabs>
        <w:spacing w:line="360" w:lineRule="auto"/>
        <w:rPr>
          <w:rFonts w:ascii="仿宋" w:hAnsi="仿宋" w:eastAsia="仿宋"/>
          <w:b/>
          <w:bCs/>
          <w:color w:val="auto"/>
          <w:highlight w:val="none"/>
          <w:lang w:eastAsia="zh-CN"/>
        </w:rPr>
      </w:pPr>
      <w:r>
        <w:rPr>
          <w:b/>
          <w:bCs/>
          <w:color w:val="auto"/>
          <w:highlight w:val="none"/>
        </w:rPr>
        <mc:AlternateContent>
          <mc:Choice Requires="wps">
            <w:drawing>
              <wp:anchor distT="0" distB="0" distL="114300" distR="114300" simplePos="0" relativeHeight="252081152" behindDoc="0" locked="0" layoutInCell="1" allowOverlap="1">
                <wp:simplePos x="0" y="0"/>
                <wp:positionH relativeFrom="column">
                  <wp:posOffset>-121920</wp:posOffset>
                </wp:positionH>
                <wp:positionV relativeFrom="paragraph">
                  <wp:posOffset>281305</wp:posOffset>
                </wp:positionV>
                <wp:extent cx="899795" cy="617855"/>
                <wp:effectExtent l="0" t="0" r="0" b="0"/>
                <wp:wrapNone/>
                <wp:docPr id="413" name="文本框 11"/>
                <wp:cNvGraphicFramePr/>
                <a:graphic xmlns:a="http://schemas.openxmlformats.org/drawingml/2006/main">
                  <a:graphicData uri="http://schemas.microsoft.com/office/word/2010/wordprocessingShape">
                    <wps:wsp>
                      <wps:cNvSpPr txBox="1"/>
                      <wps:spPr>
                        <a:xfrm>
                          <a:off x="0" y="0"/>
                          <a:ext cx="899795" cy="617855"/>
                        </a:xfrm>
                        <a:prstGeom prst="rect">
                          <a:avLst/>
                        </a:prstGeom>
                        <a:noFill/>
                        <a:ln>
                          <a:noFill/>
                        </a:ln>
                      </wps:spPr>
                      <wps:txb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资料的核实</w:t>
                            </w:r>
                          </w:p>
                        </w:txbxContent>
                      </wps:txbx>
                      <wps:bodyPr wrap="square" upright="1"/>
                    </wps:wsp>
                  </a:graphicData>
                </a:graphic>
              </wp:anchor>
            </w:drawing>
          </mc:Choice>
          <mc:Fallback>
            <w:pict>
              <v:shape id="文本框 11" o:spid="_x0000_s1026" o:spt="202" type="#_x0000_t202" style="position:absolute;left:0pt;margin-left:-9.6pt;margin-top:22.15pt;height:48.65pt;width:70.85pt;z-index:252081152;mso-width-relative:page;mso-height-relative:page;" filled="f" stroked="f" coordsize="21600,21600" o:gfxdata="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vTs77YAAAACgEAAA8AAAAAAAAAAQAgAAAAIgAAAGRycy9kb3ducmV2LnhtbFBLAQIU&#10;ABQAAAAIAIdO4kBfRH7mugEAAF4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资料的核实</w:t>
                      </w:r>
                    </w:p>
                  </w:txbxContent>
                </v:textbox>
              </v:shape>
            </w:pict>
          </mc:Fallback>
        </mc:AlternateContent>
      </w:r>
      <w:r>
        <w:rPr>
          <w:rFonts w:hint="eastAsia" w:ascii="仿宋" w:hAnsi="仿宋" w:eastAsia="仿宋"/>
          <w:b/>
          <w:bCs/>
          <w:color w:val="auto"/>
          <w:highlight w:val="none"/>
          <w:lang w:eastAsia="zh-CN"/>
        </w:rPr>
        <w:t>39.1</w:t>
      </w:r>
    </w:p>
    <w:p>
      <w:pPr>
        <w:widowControl w:val="0"/>
        <w:tabs>
          <w:tab w:val="left" w:pos="1320"/>
        </w:tabs>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在BIM技术应用工作开始日期前，应对发包人的BIM技术应用要求和所提供的项目基础资料的完备性和正确性进行核实，发现错漏应及时提请发包人补充完善。因发包人要求和所提供的资料存在错漏，但发包人未按承包人要求补充完善，导致工程存在缺陷或发生事故，责任由发包人承担。但本合同第5条、第6条以及专用条款另有约定的除外。</w:t>
      </w:r>
    </w:p>
    <w:p>
      <w:pPr>
        <w:widowControl w:val="0"/>
        <w:tabs>
          <w:tab w:val="left" w:pos="4970"/>
        </w:tabs>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承包人因自身完成的勘察报告、设计文件或其他途径得到的资料存在错漏，导致BIM技术工作延误、成果错误及费用增加，责任由承包人承担。</w:t>
      </w:r>
    </w:p>
    <w:p>
      <w:pPr>
        <w:tabs>
          <w:tab w:val="left" w:pos="4970"/>
        </w:tabs>
        <w:spacing w:line="360" w:lineRule="auto"/>
        <w:rPr>
          <w:rFonts w:ascii="仿宋" w:hAnsi="仿宋" w:eastAsia="仿宋"/>
          <w:color w:val="auto"/>
          <w:highlight w:val="none"/>
          <w:lang w:eastAsia="zh-CN"/>
        </w:rPr>
      </w:pPr>
      <w:r>
        <w:rPr>
          <w:rFonts w:hint="eastAsia" w:ascii="仿宋" w:hAnsi="仿宋" w:eastAsia="仿宋"/>
          <w:b/>
          <w:bCs/>
          <w:color w:val="auto"/>
          <w:highlight w:val="none"/>
          <w:lang w:eastAsia="zh-CN"/>
        </w:rPr>
        <w:t>39.2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2080128" behindDoc="0" locked="0" layoutInCell="1" allowOverlap="1">
                <wp:simplePos x="0" y="0"/>
                <wp:positionH relativeFrom="column">
                  <wp:posOffset>-113665</wp:posOffset>
                </wp:positionH>
                <wp:positionV relativeFrom="paragraph">
                  <wp:posOffset>9525</wp:posOffset>
                </wp:positionV>
                <wp:extent cx="833120" cy="466090"/>
                <wp:effectExtent l="0" t="0" r="0" b="0"/>
                <wp:wrapNone/>
                <wp:docPr id="412" name="文本框 11"/>
                <wp:cNvGraphicFramePr/>
                <a:graphic xmlns:a="http://schemas.openxmlformats.org/drawingml/2006/main">
                  <a:graphicData uri="http://schemas.microsoft.com/office/word/2010/wordprocessingShape">
                    <wps:wsp>
                      <wps:cNvSpPr txBox="1"/>
                      <wps:spPr>
                        <a:xfrm>
                          <a:off x="0" y="0"/>
                          <a:ext cx="833120" cy="466090"/>
                        </a:xfrm>
                        <a:prstGeom prst="rect">
                          <a:avLst/>
                        </a:prstGeom>
                        <a:noFill/>
                        <a:ln>
                          <a:noFill/>
                        </a:ln>
                      </wps:spPr>
                      <wps:txb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BIM技术应用工作方案</w:t>
                            </w:r>
                          </w:p>
                        </w:txbxContent>
                      </wps:txbx>
                      <wps:bodyPr wrap="square" upright="1"/>
                    </wps:wsp>
                  </a:graphicData>
                </a:graphic>
              </wp:anchor>
            </w:drawing>
          </mc:Choice>
          <mc:Fallback>
            <w:pict>
              <v:shape id="文本框 11" o:spid="_x0000_s1026" o:spt="202" type="#_x0000_t202" style="position:absolute;left:0pt;margin-left:-8.95pt;margin-top:0.75pt;height:36.7pt;width:65.6pt;z-index:252080128;mso-width-relative:page;mso-height-relative:page;" filled="f" stroked="f" coordsize="21600,21600" o:gfxdata="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KgbQurWAAAACAEAAA8AAAAAAAAAAQAgAAAAIgAAAGRycy9kb3ducmV2LnhtbFBLAQIUABQA&#10;AAAIAIdO4kCCHwfkuQEAAF4DAAAOAAAAAAAAAAEAIAAAACUBAABkcnMvZTJvRG9jLnhtbFBLBQYA&#10;AAAABgAGAFkBAABQBQAAAAA=&#10;">
                <v:fill on="f" focussize="0,0"/>
                <v:stroke on="f"/>
                <v:imagedata o:title=""/>
                <o:lock v:ext="edit" aspectratio="f"/>
                <v:textbox>
                  <w:txbxContent>
                    <w:p>
                      <w:pPr>
                        <w:spacing w:line="240" w:lineRule="exact"/>
                        <w:rPr>
                          <w:rFonts w:ascii="宋体"/>
                          <w:sz w:val="18"/>
                          <w:szCs w:val="18"/>
                          <w:lang w:eastAsia="zh-CN"/>
                        </w:rPr>
                      </w:pPr>
                      <w:r>
                        <w:rPr>
                          <w:rFonts w:hint="eastAsia" w:ascii="楷体_GB2312" w:hAnsi="宋体" w:eastAsia="楷体_GB2312" w:cs="楷体_GB2312"/>
                          <w:b/>
                          <w:bCs/>
                          <w:color w:val="000000"/>
                          <w:sz w:val="18"/>
                          <w:szCs w:val="18"/>
                          <w:lang w:eastAsia="zh-CN"/>
                        </w:rPr>
                        <w:t>BIM技术应用工作方案</w:t>
                      </w:r>
                    </w:p>
                  </w:txbxContent>
                </v:textbox>
              </v:shape>
            </w:pict>
          </mc:Fallback>
        </mc:AlternateContent>
      </w:r>
      <w:r>
        <w:rPr>
          <w:rFonts w:hint="eastAsia" w:ascii="仿宋" w:hAnsi="仿宋" w:eastAsia="仿宋" w:cs="仿宋"/>
          <w:color w:val="auto"/>
          <w:highlight w:val="none"/>
          <w:lang w:eastAsia="zh-CN"/>
        </w:rPr>
        <w:t>39.2.1承包人应在BIM技术应用工作开始日期前，编制BIM技术应用工作方案，并按专用条款约定的方式和时间报发包人审查或备案。</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39.2.2 BIM技术应用工作方案应包括项目基本情况、人员安排、工作进度、技术标准、工作量、质量保证体系以及需要发包人配合事项等。</w:t>
      </w:r>
    </w:p>
    <w:p>
      <w:pPr>
        <w:tabs>
          <w:tab w:val="left" w:pos="4970"/>
        </w:tabs>
        <w:spacing w:line="360" w:lineRule="auto"/>
        <w:rPr>
          <w:rFonts w:ascii="仿宋" w:hAnsi="仿宋" w:eastAsia="仿宋"/>
          <w:color w:val="auto"/>
          <w:highlight w:val="none"/>
          <w:lang w:eastAsia="zh-CN"/>
        </w:rPr>
      </w:pPr>
      <w:r>
        <w:rPr>
          <w:rFonts w:hint="eastAsia" w:ascii="仿宋" w:hAnsi="仿宋" w:eastAsia="仿宋"/>
          <w:b/>
          <w:bCs/>
          <w:color w:val="auto"/>
          <w:highlight w:val="none"/>
          <w:lang w:eastAsia="zh-CN"/>
        </w:rPr>
        <w:t>39.3</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olor w:val="auto"/>
          <w:highlight w:val="none"/>
        </w:rPr>
        <mc:AlternateContent>
          <mc:Choice Requires="wps">
            <w:drawing>
              <wp:anchor distT="0" distB="0" distL="114300" distR="114300" simplePos="0" relativeHeight="252082176" behindDoc="0" locked="0" layoutInCell="1" allowOverlap="1">
                <wp:simplePos x="0" y="0"/>
                <wp:positionH relativeFrom="column">
                  <wp:posOffset>-101600</wp:posOffset>
                </wp:positionH>
                <wp:positionV relativeFrom="paragraph">
                  <wp:posOffset>18415</wp:posOffset>
                </wp:positionV>
                <wp:extent cx="832485" cy="598170"/>
                <wp:effectExtent l="0" t="0" r="0" b="0"/>
                <wp:wrapNone/>
                <wp:docPr id="414" name="文本框 11"/>
                <wp:cNvGraphicFramePr/>
                <a:graphic xmlns:a="http://schemas.openxmlformats.org/drawingml/2006/main">
                  <a:graphicData uri="http://schemas.microsoft.com/office/word/2010/wordprocessingShape">
                    <wps:wsp>
                      <wps:cNvSpPr txBox="1"/>
                      <wps:spPr>
                        <a:xfrm>
                          <a:off x="0" y="0"/>
                          <a:ext cx="832485" cy="598170"/>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BIM技术应用</w:t>
                            </w:r>
                          </w:p>
                        </w:txbxContent>
                      </wps:txbx>
                      <wps:bodyPr wrap="square" upright="1"/>
                    </wps:wsp>
                  </a:graphicData>
                </a:graphic>
              </wp:anchor>
            </w:drawing>
          </mc:Choice>
          <mc:Fallback>
            <w:pict>
              <v:shape id="文本框 11" o:spid="_x0000_s1026" o:spt="202" type="#_x0000_t202" style="position:absolute;left:0pt;margin-left:-8pt;margin-top:1.45pt;height:47.1pt;width:65.55pt;z-index:252082176;mso-width-relative:page;mso-height-relative:page;" filled="f" stroked="f" coordsize="21600,21600" o:gfxdata="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Dah23VAAAACAEAAA8AAAAAAAAAAQAgAAAAIgAAAGRycy9kb3ducmV2LnhtbFBLAQIUABQA&#10;AAAIAIdO4kD8DYruugEAAF4DAAAOAAAAAAAAAAEAIAAAACQBAABkcnMvZTJvRG9jLnhtbFBLBQYA&#10;AAAABgAGAFkBAABQBQ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BIM技术应用</w:t>
                      </w:r>
                    </w:p>
                  </w:txbxContent>
                </v:textbox>
              </v:shape>
            </w:pict>
          </mc:Fallback>
        </mc:AlternateContent>
      </w:r>
      <w:r>
        <w:rPr>
          <w:rFonts w:hint="eastAsia" w:ascii="仿宋" w:hAnsi="仿宋" w:eastAsia="仿宋" w:cs="仿宋"/>
          <w:color w:val="auto"/>
          <w:highlight w:val="none"/>
          <w:lang w:eastAsia="zh-CN"/>
        </w:rPr>
        <w:t>39.3.1承包人应根据发包人审查批准或备案的BIM技术应用工作方案、发包人要求并依据有关技术标准开展BIM技术应用。具体应用内容和要求，由合同双方在专用条款和发包人要求中约定。</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39.3.2勘察阶段，承包人应采用BIM技术建立与相关勘察图纸配套的建筑信息模型（BIM）。</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39.3.3承包人应采用BIM技术进行正向设计或建模与出图同步完成的设计方式，建立本工程的建筑信息模型（BIM）并出具设计文件。</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39.3.4在施工图设计阶段，承包人应根据设计文件采用传统设计方法与BIM技术相结合，建立本工程的建筑信息模型（BIM）；或根据设计阶段建立的建筑信息模型（BIM）和设计文件，通过正向设计或建模与出图同步完成的设计方式，深化完善建筑信息模型（BIM）并出具施工图。建筑信息模型（BIM）技术应用的模型精细度、几何表达精度和信息深度要求应符合国家、广东省和广州市发布的有关建筑信息模型应用规范与标准。</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39.3.5施工阶段，承包人应采用BIM技术编制施工方案和绿色安全防护措施，优化施工工艺流程，建立BIM信息管理平台，统筹协调施工进度。</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39.3.6竣工验收阶段，承包人应在施工图与建筑信息模型（BIM）的基础上，结合设计变更、签证、管线碰撞检查等资料，采用正向设计或建模与出图同步完成的设计方式修改、完善建筑信息模型（BIM）、出具竣工图，并配合政府行政主管部门的要求，采用建筑信息模型（BIM）进行竣工验收备案。</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39.3.7运维阶段（如果有），承包人应按发包人要求和专用条款的约定，建立运营维护所需要的建筑信息模型（BIM）。</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39.3.8承包人宜应用BIM技术方法，进行工程计量、计价，编制本项目工程的概算、施工图预算、竣工结算等造价文件，并配合发包人及造价咨询人的审核。</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39.3.9承包人应协助发包人建立基于BIM技术的项目信息管理平台，为发包人及设计顾问人、监理人、造价咨询人等相关方正确使用建筑信息模型（BIM）开展相关工程技术、质量、安全、绿色环保、建材集中采购、进度与造价管理工作提供必要的指导和协助。</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39.3.10发包人、政府有关部门、施工图审查机构对设计文件审查有BIM技术应用要求的，承包人应予以配合执行。</w:t>
      </w:r>
    </w:p>
    <w:p>
      <w:pPr>
        <w:tabs>
          <w:tab w:val="left" w:pos="4970"/>
        </w:tabs>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96512" behindDoc="0" locked="0" layoutInCell="1" allowOverlap="1">
                <wp:simplePos x="0" y="0"/>
                <wp:positionH relativeFrom="column">
                  <wp:posOffset>-102870</wp:posOffset>
                </wp:positionH>
                <wp:positionV relativeFrom="paragraph">
                  <wp:posOffset>278765</wp:posOffset>
                </wp:positionV>
                <wp:extent cx="794385" cy="541020"/>
                <wp:effectExtent l="0" t="0" r="0" b="0"/>
                <wp:wrapNone/>
                <wp:docPr id="428" name="文本框 12"/>
                <wp:cNvGraphicFramePr/>
                <a:graphic xmlns:a="http://schemas.openxmlformats.org/drawingml/2006/main">
                  <a:graphicData uri="http://schemas.microsoft.com/office/word/2010/wordprocessingShape">
                    <wps:wsp>
                      <wps:cNvSpPr txBox="1"/>
                      <wps:spPr>
                        <a:xfrm>
                          <a:off x="0" y="0"/>
                          <a:ext cx="794385" cy="541020"/>
                        </a:xfrm>
                        <a:prstGeom prst="rect">
                          <a:avLst/>
                        </a:prstGeom>
                        <a:noFill/>
                        <a:ln>
                          <a:noFill/>
                        </a:ln>
                      </wps:spPr>
                      <wps:txb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建筑信息模型（BIM）及应用成果</w:t>
                            </w:r>
                          </w:p>
                        </w:txbxContent>
                      </wps:txbx>
                      <wps:bodyPr wrap="square" upright="1"/>
                    </wps:wsp>
                  </a:graphicData>
                </a:graphic>
              </wp:anchor>
            </w:drawing>
          </mc:Choice>
          <mc:Fallback>
            <w:pict>
              <v:shape id="文本框 12" o:spid="_x0000_s1026" o:spt="202" type="#_x0000_t202" style="position:absolute;left:0pt;margin-left:-8.1pt;margin-top:21.95pt;height:42.6pt;width:62.55pt;z-index:252096512;mso-width-relative:page;mso-height-relative:page;" filled="f" stroked="f" coordsize="21600,21600" o:gfxdata="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vUrNeNcAAAAKAQAADwAAAAAAAAABACAAAAAiAAAAZHJzL2Rvd25yZXYueG1sUEsBAhQA&#10;FAAAAAgAh07iQJ/vTbS6AQAAXg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建筑信息模型（BIM）及应用成果</w:t>
                      </w:r>
                    </w:p>
                  </w:txbxContent>
                </v:textbox>
              </v:shape>
            </w:pict>
          </mc:Fallback>
        </mc:AlternateContent>
      </w:r>
      <w:r>
        <w:rPr>
          <w:rFonts w:hint="eastAsia" w:ascii="仿宋" w:hAnsi="仿宋" w:eastAsia="仿宋" w:cs="仿宋"/>
          <w:b/>
          <w:bCs/>
          <w:color w:val="auto"/>
          <w:highlight w:val="none"/>
          <w:lang w:eastAsia="zh-CN"/>
        </w:rPr>
        <w:t>39.4</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39.4.1承包人向发包人提交建筑信息模型（BIM）及有关应用成果的方式和时间，由双方在专用条款中约定。发包人要求增加的服务内容和成果，费用由发包人承担；承包人内部使用建筑信息模型（BIM）或增加工作量，其费用由承包人自己承担。</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39.4.2承包人完成各阶段的建筑信息模型（BIM）及有关应用成果后，发包人应及时组织评审或审查，审查内容和标准在发包人要求中明确。发包人应及时签收建筑信息模型（BIM）及有关应用成果、确认相应工作完成时间，并按专用条款约定计付BIM技术应用费。</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39.4.3</w:t>
      </w:r>
      <w:r>
        <w:rPr>
          <w:rFonts w:ascii="仿宋" w:hAnsi="仿宋" w:eastAsia="仿宋"/>
          <w:color w:val="auto"/>
          <w:highlight w:val="none"/>
          <w:lang w:eastAsia="zh-CN"/>
        </w:rPr>
        <w:t>因承包人原因，造成</w:t>
      </w:r>
      <w:r>
        <w:rPr>
          <w:rFonts w:hint="eastAsia" w:ascii="仿宋" w:hAnsi="仿宋" w:eastAsia="仿宋"/>
          <w:color w:val="auto"/>
          <w:highlight w:val="none"/>
          <w:lang w:eastAsia="zh-CN"/>
        </w:rPr>
        <w:t>各阶段BIM模型及有关应用成果</w:t>
      </w:r>
      <w:r>
        <w:rPr>
          <w:rFonts w:ascii="仿宋" w:hAnsi="仿宋" w:eastAsia="仿宋"/>
          <w:color w:val="auto"/>
          <w:highlight w:val="none"/>
          <w:lang w:eastAsia="zh-CN"/>
        </w:rPr>
        <w:t>存在遗漏、错误的，承包人应</w:t>
      </w:r>
      <w:r>
        <w:rPr>
          <w:rFonts w:hint="eastAsia" w:ascii="仿宋" w:hAnsi="仿宋" w:eastAsia="仿宋"/>
          <w:color w:val="auto"/>
          <w:highlight w:val="none"/>
          <w:lang w:eastAsia="zh-CN"/>
        </w:rPr>
        <w:t>补充、</w:t>
      </w:r>
      <w:r>
        <w:rPr>
          <w:rFonts w:ascii="仿宋" w:hAnsi="仿宋" w:eastAsia="仿宋"/>
          <w:color w:val="auto"/>
          <w:highlight w:val="none"/>
          <w:lang w:eastAsia="zh-CN"/>
        </w:rPr>
        <w:t>修</w:t>
      </w:r>
      <w:r>
        <w:rPr>
          <w:rFonts w:hint="eastAsia" w:ascii="仿宋" w:hAnsi="仿宋" w:eastAsia="仿宋"/>
          <w:color w:val="auto"/>
          <w:highlight w:val="none"/>
          <w:lang w:eastAsia="zh-CN"/>
        </w:rPr>
        <w:t>正</w:t>
      </w:r>
      <w:r>
        <w:rPr>
          <w:rFonts w:ascii="仿宋" w:hAnsi="仿宋" w:eastAsia="仿宋"/>
          <w:color w:val="auto"/>
          <w:highlight w:val="none"/>
          <w:lang w:eastAsia="zh-CN"/>
        </w:rPr>
        <w:t>和完善</w:t>
      </w:r>
      <w:r>
        <w:rPr>
          <w:rFonts w:hint="eastAsia" w:ascii="仿宋" w:hAnsi="仿宋" w:eastAsia="仿宋"/>
          <w:color w:val="auto"/>
          <w:highlight w:val="none"/>
          <w:lang w:eastAsia="zh-CN"/>
        </w:rPr>
        <w:t>，由此产生的费用由承包人承担</w:t>
      </w:r>
      <w:r>
        <w:rPr>
          <w:rFonts w:ascii="仿宋" w:hAnsi="仿宋" w:eastAsia="仿宋"/>
          <w:color w:val="auto"/>
          <w:highlight w:val="none"/>
          <w:lang w:eastAsia="zh-CN"/>
        </w:rPr>
        <w:t>。</w:t>
      </w:r>
      <w:r>
        <w:rPr>
          <w:rFonts w:hint="eastAsia" w:ascii="仿宋" w:hAnsi="仿宋" w:eastAsia="仿宋"/>
          <w:color w:val="auto"/>
          <w:highlight w:val="none"/>
          <w:lang w:eastAsia="zh-CN"/>
        </w:rPr>
        <w:t>因此对相关设计、采购、施工等造成的工期延误及费用增加由承包人承担。</w:t>
      </w:r>
    </w:p>
    <w:p>
      <w:pPr>
        <w:tabs>
          <w:tab w:val="left" w:pos="4970"/>
        </w:tabs>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97536" behindDoc="0" locked="0" layoutInCell="1" allowOverlap="1">
                <wp:simplePos x="0" y="0"/>
                <wp:positionH relativeFrom="column">
                  <wp:posOffset>-102870</wp:posOffset>
                </wp:positionH>
                <wp:positionV relativeFrom="paragraph">
                  <wp:posOffset>278765</wp:posOffset>
                </wp:positionV>
                <wp:extent cx="785495" cy="493395"/>
                <wp:effectExtent l="0" t="0" r="0" b="0"/>
                <wp:wrapNone/>
                <wp:docPr id="429" name="文本框 12"/>
                <wp:cNvGraphicFramePr/>
                <a:graphic xmlns:a="http://schemas.openxmlformats.org/drawingml/2006/main">
                  <a:graphicData uri="http://schemas.microsoft.com/office/word/2010/wordprocessingShape">
                    <wps:wsp>
                      <wps:cNvSpPr txBox="1"/>
                      <wps:spPr>
                        <a:xfrm>
                          <a:off x="0" y="0"/>
                          <a:ext cx="785495" cy="493395"/>
                        </a:xfrm>
                        <a:prstGeom prst="rect">
                          <a:avLst/>
                        </a:prstGeom>
                        <a:noFill/>
                        <a:ln>
                          <a:noFill/>
                        </a:ln>
                      </wps:spPr>
                      <wps:txb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建筑信息模型（BIM）审查</w:t>
                            </w:r>
                          </w:p>
                        </w:txbxContent>
                      </wps:txbx>
                      <wps:bodyPr wrap="square" upright="1"/>
                    </wps:wsp>
                  </a:graphicData>
                </a:graphic>
              </wp:anchor>
            </w:drawing>
          </mc:Choice>
          <mc:Fallback>
            <w:pict>
              <v:shape id="文本框 12" o:spid="_x0000_s1026" o:spt="202" type="#_x0000_t202" style="position:absolute;left:0pt;margin-left:-8.1pt;margin-top:21.95pt;height:38.85pt;width:61.85pt;z-index:252097536;mso-width-relative:page;mso-height-relative:page;" filled="f" stroked="f" coordsize="21600,21600" o:gfxdata="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MfH6vjYAAAACgEAAA8AAAAAAAAAAQAgAAAAIgAAAGRycy9kb3ducmV2LnhtbFBLAQIU&#10;ABQAAAAIAIdO4kDqbmOBugEAAF4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建筑信息模型（BIM）审查</w:t>
                      </w:r>
                    </w:p>
                  </w:txbxContent>
                </v:textbox>
              </v:shape>
            </w:pict>
          </mc:Fallback>
        </mc:AlternateContent>
      </w:r>
      <w:r>
        <w:rPr>
          <w:rFonts w:hint="eastAsia" w:ascii="仿宋" w:hAnsi="仿宋" w:eastAsia="仿宋" w:cs="仿宋"/>
          <w:b/>
          <w:bCs/>
          <w:color w:val="auto"/>
          <w:highlight w:val="none"/>
          <w:lang w:eastAsia="zh-CN"/>
        </w:rPr>
        <w:t>39.5</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发包人及政府有关部门基于设计文件审查需要承包人提供建筑信息模型（BIM）的，相关审查按第38.6款约定执行。</w:t>
      </w:r>
    </w:p>
    <w:p>
      <w:pPr>
        <w:tabs>
          <w:tab w:val="left" w:pos="4970"/>
        </w:tabs>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111872" behindDoc="0" locked="0" layoutInCell="1" allowOverlap="1">
                <wp:simplePos x="0" y="0"/>
                <wp:positionH relativeFrom="column">
                  <wp:posOffset>-102870</wp:posOffset>
                </wp:positionH>
                <wp:positionV relativeFrom="paragraph">
                  <wp:posOffset>278765</wp:posOffset>
                </wp:positionV>
                <wp:extent cx="813435" cy="569595"/>
                <wp:effectExtent l="0" t="0" r="0" b="0"/>
                <wp:wrapNone/>
                <wp:docPr id="443" name="文本框 12"/>
                <wp:cNvGraphicFramePr/>
                <a:graphic xmlns:a="http://schemas.openxmlformats.org/drawingml/2006/main">
                  <a:graphicData uri="http://schemas.microsoft.com/office/word/2010/wordprocessingShape">
                    <wps:wsp>
                      <wps:cNvSpPr txBox="1"/>
                      <wps:spPr>
                        <a:xfrm>
                          <a:off x="0" y="0"/>
                          <a:ext cx="813435" cy="569595"/>
                        </a:xfrm>
                        <a:prstGeom prst="rect">
                          <a:avLst/>
                        </a:prstGeom>
                        <a:noFill/>
                        <a:ln>
                          <a:noFill/>
                        </a:ln>
                      </wps:spPr>
                      <wps:txb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建筑信息模型（BIM）交付标准</w:t>
                            </w:r>
                          </w:p>
                        </w:txbxContent>
                      </wps:txbx>
                      <wps:bodyPr wrap="square" upright="1"/>
                    </wps:wsp>
                  </a:graphicData>
                </a:graphic>
              </wp:anchor>
            </w:drawing>
          </mc:Choice>
          <mc:Fallback>
            <w:pict>
              <v:shape id="文本框 12" o:spid="_x0000_s1026" o:spt="202" type="#_x0000_t202" style="position:absolute;left:0pt;margin-left:-8.1pt;margin-top:21.95pt;height:44.85pt;width:64.05pt;z-index:252111872;mso-width-relative:page;mso-height-relative:page;" filled="f" stroked="f" coordsize="21600,21600" o:gfxdata="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gdhwvWAAAACgEAAA8AAAAAAAAAAQAgAAAAIgAAAGRycy9kb3ducmV2LnhtbFBLAQIUABQA&#10;AAAIAIdO4kD21D0AuQEAAF4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建筑信息模型（BIM）交付标准</w:t>
                      </w:r>
                    </w:p>
                  </w:txbxContent>
                </v:textbox>
              </v:shape>
            </w:pict>
          </mc:Fallback>
        </mc:AlternateContent>
      </w:r>
      <w:r>
        <w:rPr>
          <w:rFonts w:hint="eastAsia" w:ascii="仿宋" w:hAnsi="仿宋" w:eastAsia="仿宋" w:cs="仿宋"/>
          <w:b/>
          <w:bCs/>
          <w:color w:val="auto"/>
          <w:highlight w:val="none"/>
          <w:lang w:eastAsia="zh-CN"/>
        </w:rPr>
        <w:t>39.6</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olor w:val="auto"/>
          <w:highlight w:val="none"/>
          <w:lang w:eastAsia="zh-CN"/>
        </w:rPr>
        <w:t>BIM技术应用各阶段的建筑信息模（BIM）交付，应符合国家、行业及省市现行有关标准。具体交付标准要求在专用条款中约定。</w:t>
      </w:r>
    </w:p>
    <w:p>
      <w:pPr>
        <w:tabs>
          <w:tab w:val="left" w:pos="1620"/>
        </w:tabs>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22"/>
        <w:adjustRightInd w:val="0"/>
        <w:snapToGrid w:val="0"/>
        <w:spacing w:line="360" w:lineRule="auto"/>
        <w:ind w:right="-238"/>
        <w:jc w:val="center"/>
        <w:outlineLvl w:val="1"/>
        <w:rPr>
          <w:rFonts w:ascii="仿宋" w:hAnsi="仿宋" w:eastAsia="仿宋"/>
          <w:b/>
          <w:bCs/>
          <w:color w:val="auto"/>
          <w:sz w:val="24"/>
          <w:szCs w:val="24"/>
          <w:highlight w:val="none"/>
          <w:lang w:eastAsia="zh-CN"/>
        </w:rPr>
      </w:pPr>
      <w:bookmarkStart w:id="607" w:name="_Toc31858"/>
      <w:bookmarkStart w:id="608" w:name="_Toc16574"/>
      <w:bookmarkStart w:id="609" w:name="_Toc8560"/>
      <w:bookmarkStart w:id="610" w:name="_Toc29983"/>
      <w:bookmarkStart w:id="611" w:name="_Toc11807"/>
      <w:bookmarkStart w:id="612" w:name="_Toc11951"/>
      <w:bookmarkStart w:id="613" w:name="_Toc25181"/>
      <w:bookmarkStart w:id="614" w:name="_Toc4016"/>
      <w:r>
        <w:rPr>
          <w:rFonts w:hint="eastAsia" w:ascii="仿宋" w:hAnsi="仿宋" w:eastAsia="仿宋" w:cs="仿宋"/>
          <w:b/>
          <w:bCs/>
          <w:color w:val="auto"/>
          <w:sz w:val="24"/>
          <w:szCs w:val="24"/>
          <w:highlight w:val="none"/>
          <w:lang w:eastAsia="zh-CN"/>
        </w:rPr>
        <w:t>五、工</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期</w:t>
      </w:r>
      <w:bookmarkEnd w:id="607"/>
      <w:bookmarkEnd w:id="608"/>
      <w:bookmarkEnd w:id="609"/>
      <w:bookmarkEnd w:id="610"/>
      <w:bookmarkEnd w:id="611"/>
      <w:bookmarkEnd w:id="612"/>
      <w:bookmarkEnd w:id="613"/>
      <w:bookmarkEnd w:id="614"/>
    </w:p>
    <w:p>
      <w:pPr>
        <w:pStyle w:val="5"/>
        <w:tabs>
          <w:tab w:val="left" w:pos="420"/>
        </w:tabs>
        <w:spacing w:before="120" w:beforeLines="50" w:after="120" w:afterLines="50" w:line="360" w:lineRule="auto"/>
        <w:rPr>
          <w:rFonts w:ascii="仿宋" w:hAnsi="仿宋" w:eastAsia="仿宋" w:cs="仿宋"/>
          <w:color w:val="auto"/>
          <w:sz w:val="24"/>
          <w:szCs w:val="24"/>
          <w:highlight w:val="none"/>
          <w:lang w:eastAsia="zh-CN"/>
        </w:rPr>
      </w:pPr>
      <w:bookmarkStart w:id="615" w:name="_Toc28673"/>
      <w:bookmarkStart w:id="616" w:name="_Toc7761"/>
      <w:bookmarkStart w:id="617" w:name="_Toc14820"/>
      <w:bookmarkStart w:id="618" w:name="_Toc25998"/>
      <w:bookmarkStart w:id="619" w:name="_Toc25769"/>
      <w:bookmarkStart w:id="620" w:name="_Toc4113"/>
      <w:bookmarkStart w:id="621" w:name="_Toc24057"/>
      <w:bookmarkStart w:id="622" w:name="_Toc21016"/>
      <w:r>
        <w:rPr>
          <w:rFonts w:hint="eastAsia" w:ascii="仿宋" w:hAnsi="仿宋" w:eastAsia="仿宋" w:cs="仿宋"/>
          <w:bCs w:val="0"/>
          <w:color w:val="auto"/>
          <w:sz w:val="24"/>
          <w:szCs w:val="24"/>
          <w:highlight w:val="none"/>
          <w:lang w:eastAsia="zh-CN"/>
        </w:rPr>
        <w:t>40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进度计划和报告</w:t>
      </w:r>
      <w:bookmarkEnd w:id="615"/>
      <w:bookmarkEnd w:id="616"/>
      <w:bookmarkEnd w:id="617"/>
      <w:bookmarkEnd w:id="618"/>
      <w:bookmarkEnd w:id="619"/>
      <w:bookmarkEnd w:id="620"/>
      <w:bookmarkEnd w:id="621"/>
      <w:bookmarkEnd w:id="622"/>
    </w:p>
    <w:p>
      <w:pPr>
        <w:pStyle w:val="22"/>
        <w:tabs>
          <w:tab w:val="left" w:pos="1620"/>
        </w:tabs>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09472" behindDoc="0" locked="0" layoutInCell="1" allowOverlap="1">
                <wp:simplePos x="0" y="0"/>
                <wp:positionH relativeFrom="column">
                  <wp:posOffset>-114300</wp:posOffset>
                </wp:positionH>
                <wp:positionV relativeFrom="paragraph">
                  <wp:posOffset>283845</wp:posOffset>
                </wp:positionV>
                <wp:extent cx="775970" cy="478155"/>
                <wp:effectExtent l="0" t="0" r="0" b="0"/>
                <wp:wrapNone/>
                <wp:docPr id="343" name="文本框 817"/>
                <wp:cNvGraphicFramePr/>
                <a:graphic xmlns:a="http://schemas.openxmlformats.org/drawingml/2006/main">
                  <a:graphicData uri="http://schemas.microsoft.com/office/word/2010/wordprocessingShape">
                    <wps:wsp>
                      <wps:cNvSpPr txBox="1"/>
                      <wps:spPr>
                        <a:xfrm>
                          <a:off x="0" y="0"/>
                          <a:ext cx="775970" cy="478155"/>
                        </a:xfrm>
                        <a:prstGeom prst="rect">
                          <a:avLst/>
                        </a:prstGeom>
                        <a:noFill/>
                        <a:ln>
                          <a:noFill/>
                        </a:ln>
                      </wps:spPr>
                      <wps:txbx>
                        <w:txbxContent>
                          <w:p>
                            <w:pPr>
                              <w:spacing w:line="24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提交工程进度计划</w:t>
                            </w:r>
                          </w:p>
                        </w:txbxContent>
                      </wps:txbx>
                      <wps:bodyPr wrap="square" upright="1"/>
                    </wps:wsp>
                  </a:graphicData>
                </a:graphic>
              </wp:anchor>
            </w:drawing>
          </mc:Choice>
          <mc:Fallback>
            <w:pict>
              <v:shape id="文本框 817" o:spid="_x0000_s1026" o:spt="202" type="#_x0000_t202" style="position:absolute;left:0pt;margin-left:-9pt;margin-top:22.35pt;height:37.65pt;width:61.1pt;z-index:252009472;mso-width-relative:page;mso-height-relative:page;" filled="f" stroked="f" coordsize="21600,21600" o:gfxdata="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XmFvQ1gAAAAoBAAAPAAAAAAAAAAEAIAAAACIAAABkcnMvZG93bnJldi54bWxQSwECFAAU&#10;AAAACACHTuJATgiXqboBAABf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提交工程进度计划</w:t>
                      </w:r>
                    </w:p>
                  </w:txbxContent>
                </v:textbox>
              </v:shape>
            </w:pict>
          </mc:Fallback>
        </mc:AlternateContent>
      </w:r>
      <w:r>
        <w:rPr>
          <w:rFonts w:hint="eastAsia" w:ascii="仿宋" w:hAnsi="仿宋" w:eastAsia="仿宋" w:cs="仿宋"/>
          <w:b/>
          <w:bCs/>
          <w:color w:val="auto"/>
          <w:sz w:val="24"/>
          <w:szCs w:val="24"/>
          <w:highlight w:val="none"/>
          <w:lang w:eastAsia="zh-CN"/>
        </w:rPr>
        <w:t>40</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应在本合同生效后的14天内，向发包人提交一式三份（或约定其他的份数）工程进度计划，包括勘察工作计划（如果有）、施工图设计工作计划、BIM技术应用工作计划、设备及工器具购置工作计划（如果有）、施工组织设计和施工进度计划。发包人、设计顾问人或监理人应在收到工程进度计划后的21天内予以确认或提出修改意见，逾期不确认也不提出书面意见的，视为同意。工程进度计划，应对合同工程的总承包范围内的全部工作内容，提出总体上的勘察方法、设计方法、施工方法、施工安排、作业顺序和时间表。合同约定有单项工程的，承包人还应编制单项工程进度计划。</w:t>
      </w:r>
    </w:p>
    <w:p>
      <w:pPr>
        <w:pStyle w:val="22"/>
        <w:tabs>
          <w:tab w:val="left" w:pos="1620"/>
        </w:tabs>
        <w:adjustRightInd w:val="0"/>
        <w:snapToGrid w:val="0"/>
        <w:spacing w:line="360" w:lineRule="auto"/>
        <w:rPr>
          <w:rFonts w:ascii="仿宋" w:hAnsi="仿宋" w:eastAsia="仿宋" w:cs="仿宋"/>
          <w:b/>
          <w:bCs/>
          <w:color w:val="auto"/>
          <w:sz w:val="24"/>
          <w:szCs w:val="24"/>
          <w:highlight w:val="none"/>
          <w:u w:val="dotted"/>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0496" behindDoc="0" locked="0" layoutInCell="1" allowOverlap="1">
                <wp:simplePos x="0" y="0"/>
                <wp:positionH relativeFrom="column">
                  <wp:posOffset>-114300</wp:posOffset>
                </wp:positionH>
                <wp:positionV relativeFrom="paragraph">
                  <wp:posOffset>281305</wp:posOffset>
                </wp:positionV>
                <wp:extent cx="775970" cy="554355"/>
                <wp:effectExtent l="0" t="0" r="0" b="0"/>
                <wp:wrapNone/>
                <wp:docPr id="344" name="文本框 818"/>
                <wp:cNvGraphicFramePr/>
                <a:graphic xmlns:a="http://schemas.openxmlformats.org/drawingml/2006/main">
                  <a:graphicData uri="http://schemas.microsoft.com/office/word/2010/wordprocessingShape">
                    <wps:wsp>
                      <wps:cNvSpPr txBox="1"/>
                      <wps:spPr>
                        <a:xfrm>
                          <a:off x="0" y="0"/>
                          <a:ext cx="775970" cy="55435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工程进度的监督和检查</w:t>
                            </w:r>
                          </w:p>
                        </w:txbxContent>
                      </wps:txbx>
                      <wps:bodyPr wrap="square" upright="1"/>
                    </wps:wsp>
                  </a:graphicData>
                </a:graphic>
              </wp:anchor>
            </w:drawing>
          </mc:Choice>
          <mc:Fallback>
            <w:pict>
              <v:shape id="文本框 818" o:spid="_x0000_s1026" o:spt="202" type="#_x0000_t202" style="position:absolute;left:0pt;margin-left:-9pt;margin-top:22.15pt;height:43.65pt;width:61.1pt;z-index:252010496;mso-width-relative:page;mso-height-relative:page;" filled="f" stroked="f" coordsize="21600,21600" o:gfxdata="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KN9adnYAAAACgEAAA8AAAAAAAAAAQAgAAAAIgAAAGRycy9kb3ducmV2LnhtbFBLAQIU&#10;ABQAAAAIAIdO4kBYuY3TugEAAF8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工程进度的监督和检查</w:t>
                      </w:r>
                    </w:p>
                  </w:txbxContent>
                </v:textbox>
              </v:shape>
            </w:pict>
          </mc:Fallback>
        </mc:AlternateContent>
      </w:r>
      <w:r>
        <w:rPr>
          <w:rFonts w:hint="eastAsia" w:ascii="仿宋" w:hAnsi="仿宋" w:eastAsia="仿宋" w:cs="仿宋"/>
          <w:b/>
          <w:bCs/>
          <w:color w:val="auto"/>
          <w:sz w:val="24"/>
          <w:szCs w:val="24"/>
          <w:highlight w:val="none"/>
          <w:lang w:eastAsia="zh-CN"/>
        </w:rPr>
        <w:t>40</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承包人应按照经设计顾问人或监理人确认并由其报发包人批准的进度计划组织勘察（如果有）、</w:t>
      </w:r>
      <w:r>
        <w:rPr>
          <w:rFonts w:hint="eastAsia" w:ascii="仿宋" w:hAnsi="仿宋" w:eastAsia="仿宋"/>
          <w:color w:val="auto"/>
          <w:sz w:val="24"/>
          <w:szCs w:val="24"/>
          <w:highlight w:val="none"/>
          <w:lang w:eastAsia="zh-CN"/>
        </w:rPr>
        <w:t>施工图</w:t>
      </w:r>
      <w:r>
        <w:rPr>
          <w:rFonts w:hint="eastAsia" w:ascii="仿宋" w:hAnsi="仿宋" w:eastAsia="仿宋" w:cs="仿宋"/>
          <w:color w:val="auto"/>
          <w:sz w:val="24"/>
          <w:szCs w:val="24"/>
          <w:highlight w:val="none"/>
          <w:lang w:eastAsia="zh-CN"/>
        </w:rPr>
        <w:t>设计、BIM技术应用、设备及工器具购置（如果有）、施工，接受监理人、设计顾问人对工程进度的监督和检查。</w:t>
      </w:r>
    </w:p>
    <w:p>
      <w:pPr>
        <w:pStyle w:val="22"/>
        <w:tabs>
          <w:tab w:val="left" w:pos="1620"/>
        </w:tabs>
        <w:adjustRightInd w:val="0"/>
        <w:snapToGrid w:val="0"/>
        <w:spacing w:line="360" w:lineRule="auto"/>
        <w:rPr>
          <w:rFonts w:ascii="仿宋" w:hAnsi="仿宋" w:eastAsia="仿宋" w:cs="仿宋"/>
          <w:b/>
          <w:bCs/>
          <w:color w:val="auto"/>
          <w:sz w:val="24"/>
          <w:szCs w:val="24"/>
          <w:highlight w:val="none"/>
          <w:u w:val="dotted"/>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1520" behindDoc="0" locked="0" layoutInCell="1" allowOverlap="1">
                <wp:simplePos x="0" y="0"/>
                <wp:positionH relativeFrom="column">
                  <wp:posOffset>-114300</wp:posOffset>
                </wp:positionH>
                <wp:positionV relativeFrom="paragraph">
                  <wp:posOffset>265430</wp:posOffset>
                </wp:positionV>
                <wp:extent cx="851535" cy="673735"/>
                <wp:effectExtent l="0" t="0" r="0" b="0"/>
                <wp:wrapNone/>
                <wp:docPr id="345" name="文本框 819"/>
                <wp:cNvGraphicFramePr/>
                <a:graphic xmlns:a="http://schemas.openxmlformats.org/drawingml/2006/main">
                  <a:graphicData uri="http://schemas.microsoft.com/office/word/2010/wordprocessingShape">
                    <wps:wsp>
                      <wps:cNvSpPr txBox="1"/>
                      <wps:spPr>
                        <a:xfrm>
                          <a:off x="0" y="0"/>
                          <a:ext cx="851535" cy="67373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提交工程进度报告和修订进度计划</w:t>
                            </w:r>
                          </w:p>
                        </w:txbxContent>
                      </wps:txbx>
                      <wps:bodyPr wrap="square" upright="1"/>
                    </wps:wsp>
                  </a:graphicData>
                </a:graphic>
              </wp:anchor>
            </w:drawing>
          </mc:Choice>
          <mc:Fallback>
            <w:pict>
              <v:shape id="文本框 819" o:spid="_x0000_s1026" o:spt="202" type="#_x0000_t202" style="position:absolute;left:0pt;margin-left:-9pt;margin-top:20.9pt;height:53.05pt;width:67.05pt;z-index:252011520;mso-width-relative:page;mso-height-relative:page;" filled="f" stroked="f" coordsize="21600,21600" o:gfxdata="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MDR839cAAAAKAQAADwAAAAAAAAABACAAAAAiAAAAZHJzL2Rvd25yZXYueG1sUEsBAhQA&#10;FAAAAAgAh07iQOGzLRG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提交工程进度报告和修订进度计划</w:t>
                      </w:r>
                    </w:p>
                  </w:txbxContent>
                </v:textbox>
              </v:shape>
            </w:pict>
          </mc:Fallback>
        </mc:AlternateContent>
      </w:r>
      <w:r>
        <w:rPr>
          <w:rFonts w:hint="eastAsia" w:ascii="仿宋" w:hAnsi="仿宋" w:eastAsia="仿宋" w:cs="仿宋"/>
          <w:b/>
          <w:bCs/>
          <w:color w:val="auto"/>
          <w:sz w:val="24"/>
          <w:szCs w:val="24"/>
          <w:highlight w:val="none"/>
          <w:lang w:eastAsia="zh-CN"/>
        </w:rPr>
        <w:t>40</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除专用条款另有约定外，承包人应编制每月工程进度报告，同时每季度对进度计划修订一次，并在每月或季结束后的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天内向发包人、设计顾问人或监理人提交上述报告和修订计划一式两份。月进度报告的内容至少应包括：</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）勘察作业进展情况的图表和说明；</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（2）设计工作进展情况的图表和说明；</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（3）BIM技术应用工作进展情况的图表和说明；</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（4）施工、安装、试验以及其分包人工作等进展情况的图表和说明；</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（5）工程材料、工程设备的采购和制造商名称、地点以及进入现场情况；</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（6）装配式构件的生产商名称、地点及采购、运输及进入现场情况；</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（7）设备及工器具购置工作进展情况的图表和说明；</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（8）索赔情况和安全统计；</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（9）实际进度与计划进度的对比，以及为消除延误正在或准备采取的措施。</w:t>
      </w:r>
    </w:p>
    <w:p>
      <w:pPr>
        <w:pStyle w:val="22"/>
        <w:tabs>
          <w:tab w:val="left" w:pos="1620"/>
        </w:tabs>
        <w:adjustRightInd w:val="0"/>
        <w:snapToGrid w:val="0"/>
        <w:spacing w:line="480" w:lineRule="auto"/>
        <w:rPr>
          <w:rFonts w:ascii="仿宋" w:hAnsi="仿宋" w:eastAsia="仿宋" w:cs="仿宋"/>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40</w:t>
      </w:r>
      <w:r>
        <w:rPr>
          <w:rFonts w:ascii="仿宋" w:hAnsi="仿宋" w:eastAsia="仿宋" w:cs="仿宋"/>
          <w:b/>
          <w:bCs/>
          <w:color w:val="auto"/>
          <w:sz w:val="24"/>
          <w:szCs w:val="24"/>
          <w:highlight w:val="none"/>
          <w:lang w:eastAsia="zh-CN"/>
        </w:rPr>
        <w:t xml:space="preserve">.4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2544" behindDoc="0" locked="0" layoutInCell="1" allowOverlap="1">
                <wp:simplePos x="0" y="0"/>
                <wp:positionH relativeFrom="column">
                  <wp:posOffset>-114300</wp:posOffset>
                </wp:positionH>
                <wp:positionV relativeFrom="paragraph">
                  <wp:posOffset>41910</wp:posOffset>
                </wp:positionV>
                <wp:extent cx="832485" cy="728980"/>
                <wp:effectExtent l="0" t="0" r="0" b="0"/>
                <wp:wrapNone/>
                <wp:docPr id="346" name="文本框 820"/>
                <wp:cNvGraphicFramePr/>
                <a:graphic xmlns:a="http://schemas.openxmlformats.org/drawingml/2006/main">
                  <a:graphicData uri="http://schemas.microsoft.com/office/word/2010/wordprocessingShape">
                    <wps:wsp>
                      <wps:cNvSpPr txBox="1"/>
                      <wps:spPr>
                        <a:xfrm>
                          <a:off x="0" y="0"/>
                          <a:ext cx="832485" cy="72898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实际进度与进度计划不符时的处理</w:t>
                            </w:r>
                          </w:p>
                        </w:txbxContent>
                      </wps:txbx>
                      <wps:bodyPr wrap="square" upright="1"/>
                    </wps:wsp>
                  </a:graphicData>
                </a:graphic>
              </wp:anchor>
            </w:drawing>
          </mc:Choice>
          <mc:Fallback>
            <w:pict>
              <v:shape id="文本框 820" o:spid="_x0000_s1026" o:spt="202" type="#_x0000_t202" style="position:absolute;left:0pt;margin-left:-9pt;margin-top:3.3pt;height:57.4pt;width:65.55pt;z-index:252012544;mso-width-relative:page;mso-height-relative:page;" filled="f" stroked="f" coordsize="21600,21600" o:gfxdata="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0V5rH9cAAAAJAQAADwAAAAAAAAABACAAAAAiAAAAZHJzL2Rvd25yZXYueG1sUEsBAhQA&#10;FAAAAAgAh07iQOVi0Vi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实际进度与进度计划不符时的处理</w:t>
                      </w:r>
                    </w:p>
                  </w:txbxContent>
                </v:textbox>
              </v:shape>
            </w:pict>
          </mc:Fallback>
        </mc:AlternateContent>
      </w:r>
      <w:r>
        <w:rPr>
          <w:rFonts w:hint="eastAsia" w:ascii="仿宋" w:hAnsi="仿宋" w:eastAsia="仿宋" w:cs="仿宋"/>
          <w:color w:val="auto"/>
          <w:sz w:val="24"/>
          <w:szCs w:val="24"/>
          <w:highlight w:val="none"/>
          <w:lang w:eastAsia="zh-CN"/>
        </w:rPr>
        <w:t>如果发包人、设计顾问人或监理人指出承包人的实际进度和经确认的计划进度不符时，承包人应按照发包人或设计顾问人或监理人的要求提出改进措施，经发包人或设计顾问人或监理人确认后执行。因承包人的原因导致实际进度迟于计划进度的，承包人不但无权就改进措施要求发包人增加任何费用，而且应按照第76</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款约定向发包人支付由此产生的误期赔偿费。工程进度计划即使经发包人或设计顾问人或监理人确认，也不能免除承包人按照合同约定应承担的任何责任和应履行的任何义务。</w:t>
      </w:r>
    </w:p>
    <w:p>
      <w:pPr>
        <w:pStyle w:val="22"/>
        <w:adjustRightInd w:val="0"/>
        <w:snapToGrid w:val="0"/>
        <w:spacing w:line="360" w:lineRule="auto"/>
        <w:ind w:right="-238"/>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23" w:name="_Toc329"/>
      <w:bookmarkStart w:id="624" w:name="_Toc18119"/>
      <w:bookmarkStart w:id="625" w:name="_Toc28969"/>
      <w:bookmarkStart w:id="626" w:name="_Toc3772"/>
      <w:bookmarkStart w:id="627" w:name="_Toc2947"/>
      <w:bookmarkStart w:id="628" w:name="_Toc9048"/>
      <w:bookmarkStart w:id="629" w:name="_Toc28806"/>
      <w:bookmarkStart w:id="630" w:name="_Toc8985"/>
      <w:r>
        <w:rPr>
          <w:rFonts w:hint="eastAsia" w:ascii="仿宋" w:hAnsi="仿宋" w:eastAsia="仿宋" w:cs="仿宋"/>
          <w:bCs w:val="0"/>
          <w:color w:val="auto"/>
          <w:sz w:val="24"/>
          <w:szCs w:val="24"/>
          <w:highlight w:val="none"/>
          <w:lang w:eastAsia="zh-CN"/>
        </w:rPr>
        <w:t>41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开始工作或开工</w:t>
      </w:r>
      <w:bookmarkEnd w:id="623"/>
      <w:bookmarkEnd w:id="624"/>
      <w:bookmarkEnd w:id="625"/>
      <w:bookmarkEnd w:id="626"/>
      <w:bookmarkEnd w:id="627"/>
      <w:bookmarkEnd w:id="628"/>
      <w:bookmarkEnd w:id="629"/>
      <w:bookmarkEnd w:id="630"/>
    </w:p>
    <w:p>
      <w:pPr>
        <w:pStyle w:val="22"/>
        <w:tabs>
          <w:tab w:val="left" w:pos="1320"/>
        </w:tabs>
        <w:adjustRightInd w:val="0"/>
        <w:snapToGrid w:val="0"/>
        <w:spacing w:line="360" w:lineRule="auto"/>
        <w:ind w:right="3"/>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3568" behindDoc="0" locked="0" layoutInCell="1" allowOverlap="1">
                <wp:simplePos x="0" y="0"/>
                <wp:positionH relativeFrom="column">
                  <wp:posOffset>-114300</wp:posOffset>
                </wp:positionH>
                <wp:positionV relativeFrom="paragraph">
                  <wp:posOffset>247015</wp:posOffset>
                </wp:positionV>
                <wp:extent cx="779780" cy="520065"/>
                <wp:effectExtent l="0" t="0" r="0" b="0"/>
                <wp:wrapNone/>
                <wp:docPr id="347" name="文本框 821"/>
                <wp:cNvGraphicFramePr/>
                <a:graphic xmlns:a="http://schemas.openxmlformats.org/drawingml/2006/main">
                  <a:graphicData uri="http://schemas.microsoft.com/office/word/2010/wordprocessingShape">
                    <wps:wsp>
                      <wps:cNvSpPr txBox="1"/>
                      <wps:spPr>
                        <a:xfrm>
                          <a:off x="0" y="0"/>
                          <a:ext cx="779780" cy="52006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开始工作或开工条件</w:t>
                            </w:r>
                          </w:p>
                        </w:txbxContent>
                      </wps:txbx>
                      <wps:bodyPr wrap="square" upright="1"/>
                    </wps:wsp>
                  </a:graphicData>
                </a:graphic>
              </wp:anchor>
            </w:drawing>
          </mc:Choice>
          <mc:Fallback>
            <w:pict>
              <v:shape id="文本框 821" o:spid="_x0000_s1026" o:spt="202" type="#_x0000_t202" style="position:absolute;left:0pt;margin-left:-9pt;margin-top:19.45pt;height:40.95pt;width:61.4pt;z-index:252013568;mso-width-relative:page;mso-height-relative:page;" filled="f" stroked="f" coordsize="21600,21600" o:gfxdata="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P13RWHXAAAACgEAAA8AAAAAAAAAAQAgAAAAIgAAAGRycy9kb3ducmV2LnhtbFBLAQIUABQA&#10;AAAIAIdO4kBAa7nouAEAAF8DAAAOAAAAAAAAAAEAIAAAACY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开始工作或开工条件</w:t>
                      </w:r>
                    </w:p>
                  </w:txbxContent>
                </v:textbox>
              </v:shape>
            </w:pict>
          </mc:Fallback>
        </mc:AlternateContent>
      </w:r>
      <w:r>
        <w:rPr>
          <w:rFonts w:hint="eastAsia" w:ascii="仿宋" w:hAnsi="仿宋" w:eastAsia="仿宋" w:cs="仿宋"/>
          <w:b/>
          <w:bCs/>
          <w:color w:val="auto"/>
          <w:sz w:val="24"/>
          <w:szCs w:val="24"/>
          <w:highlight w:val="none"/>
          <w:lang w:eastAsia="zh-CN"/>
        </w:rPr>
        <w:t>41</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41.1.1承包人开始勘察、设计、BIM技术应用、设备及工器具购置等工作前，应当具备法律规定的工程现场作业条件，并按照法律规定获得了开展工作所需的政府部门许可、批准或备案。</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41.1.2工程开工必须具备法律规定的开工条件，并已经领取了施工许可证。发包人代表、设计顾问或监理人代表违反本条约定发出的开始工作指令或开工令无效，由发包人承担相应责任。</w:t>
      </w:r>
    </w:p>
    <w:p>
      <w:pPr>
        <w:pStyle w:val="22"/>
        <w:tabs>
          <w:tab w:val="left" w:pos="1320"/>
        </w:tabs>
        <w:adjustRightInd w:val="0"/>
        <w:snapToGrid w:val="0"/>
        <w:spacing w:line="360" w:lineRule="auto"/>
        <w:ind w:right="3"/>
        <w:rPr>
          <w:rFonts w:ascii="仿宋" w:hAnsi="仿宋" w:eastAsia="仿宋" w:cs="仿宋"/>
          <w:b/>
          <w:bCs/>
          <w:color w:val="auto"/>
          <w:sz w:val="24"/>
          <w:szCs w:val="24"/>
          <w:highlight w:val="none"/>
          <w:u w:val="dotted"/>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4592" behindDoc="0" locked="0" layoutInCell="1" allowOverlap="1">
                <wp:simplePos x="0" y="0"/>
                <wp:positionH relativeFrom="column">
                  <wp:posOffset>-114300</wp:posOffset>
                </wp:positionH>
                <wp:positionV relativeFrom="paragraph">
                  <wp:posOffset>242570</wp:posOffset>
                </wp:positionV>
                <wp:extent cx="826770" cy="638175"/>
                <wp:effectExtent l="0" t="0" r="0" b="0"/>
                <wp:wrapNone/>
                <wp:docPr id="348" name="文本框 822"/>
                <wp:cNvGraphicFramePr/>
                <a:graphic xmlns:a="http://schemas.openxmlformats.org/drawingml/2006/main">
                  <a:graphicData uri="http://schemas.microsoft.com/office/word/2010/wordprocessingShape">
                    <wps:wsp>
                      <wps:cNvSpPr txBox="1"/>
                      <wps:spPr>
                        <a:xfrm>
                          <a:off x="0" y="0"/>
                          <a:ext cx="826770" cy="6381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开始工作或工程开工</w:t>
                            </w:r>
                          </w:p>
                        </w:txbxContent>
                      </wps:txbx>
                      <wps:bodyPr wrap="square" upright="1"/>
                    </wps:wsp>
                  </a:graphicData>
                </a:graphic>
              </wp:anchor>
            </w:drawing>
          </mc:Choice>
          <mc:Fallback>
            <w:pict>
              <v:shape id="文本框 822" o:spid="_x0000_s1026" o:spt="202" type="#_x0000_t202" style="position:absolute;left:0pt;margin-left:-9pt;margin-top:19.1pt;height:50.25pt;width:65.1pt;z-index:252014592;mso-width-relative:page;mso-height-relative:page;" filled="f" stroked="f" coordsize="21600,21600" o:gfxdata="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CB9kF1wAAAAoBAAAPAAAAAAAAAAEAIAAAACIAAABkcnMvZG93bnJldi54bWxQSwECFAAU&#10;AAAACACHTuJAfEP0I7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开始工作或工程开工</w:t>
                      </w:r>
                    </w:p>
                  </w:txbxContent>
                </v:textbox>
              </v:shape>
            </w:pict>
          </mc:Fallback>
        </mc:AlternateContent>
      </w:r>
      <w:r>
        <w:rPr>
          <w:rFonts w:hint="eastAsia" w:ascii="仿宋" w:hAnsi="仿宋" w:eastAsia="仿宋" w:cs="仿宋"/>
          <w:b/>
          <w:bCs/>
          <w:color w:val="auto"/>
          <w:sz w:val="24"/>
          <w:szCs w:val="24"/>
          <w:highlight w:val="none"/>
          <w:lang w:eastAsia="zh-CN"/>
        </w:rPr>
        <w:t>41</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41.2.1承包人应在具备工程现场作业条件或获得相关许可、批准或备案后的14天内，向发包人代表、设计顾问人或监理人代表提交开始工作的申请书，并附上表明已做好开始该项工作准备的有关资料。除专用条款另有约定外，发包人代表、设计顾问人或监理人代表应在收到承包人申请后的7天内报发包人批准后向承包人发出开始工作指令；承包人应在接到开始工作指令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天内开始工作，并一直保持该项工作连续进行，直至其被改变为止。</w:t>
      </w:r>
    </w:p>
    <w:p>
      <w:pPr>
        <w:pStyle w:val="22"/>
        <w:adjustRightInd w:val="0"/>
        <w:snapToGrid w:val="0"/>
        <w:spacing w:line="360" w:lineRule="auto"/>
        <w:ind w:left="1850" w:leftChars="771" w:right="3"/>
        <w:rPr>
          <w:color w:val="auto"/>
          <w:highlight w:val="none"/>
          <w:lang w:eastAsia="zh-CN"/>
        </w:rPr>
      </w:pPr>
      <w:r>
        <w:rPr>
          <w:rFonts w:hint="eastAsia" w:ascii="仿宋" w:hAnsi="仿宋" w:eastAsia="仿宋" w:cs="仿宋"/>
          <w:color w:val="auto"/>
          <w:sz w:val="24"/>
          <w:szCs w:val="24"/>
          <w:highlight w:val="none"/>
          <w:lang w:eastAsia="zh-CN"/>
        </w:rPr>
        <w:t>41.2.2承包人应在本合同工程施工图审查批准或备案后的28天内，向发包人代表、设计顾问人代表或监理人代表提交开工申请书，并附上表明已做好开工准备的有关资料。除专用条款另有约定外，发包人代表或监理人代表应在本合同工程施工图审查批准或备案后的</w:t>
      </w:r>
      <w:r>
        <w:rPr>
          <w:rFonts w:ascii="仿宋" w:hAnsi="仿宋" w:eastAsia="仿宋" w:cs="仿宋"/>
          <w:color w:val="auto"/>
          <w:sz w:val="24"/>
          <w:szCs w:val="24"/>
          <w:highlight w:val="none"/>
          <w:lang w:eastAsia="zh-CN"/>
        </w:rPr>
        <w:t>42</w:t>
      </w:r>
      <w:r>
        <w:rPr>
          <w:rFonts w:hint="eastAsia" w:ascii="仿宋" w:hAnsi="仿宋" w:eastAsia="仿宋" w:cs="仿宋"/>
          <w:color w:val="auto"/>
          <w:sz w:val="24"/>
          <w:szCs w:val="24"/>
          <w:highlight w:val="none"/>
          <w:lang w:eastAsia="zh-CN"/>
        </w:rPr>
        <w:t>天内报发包人批准后向承包人发出开工令；承包人应在接到开工令后的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天内开工，并一直保持合同工程连续均衡施工，直至其被改变为止。</w:t>
      </w:r>
    </w:p>
    <w:p>
      <w:pPr>
        <w:pStyle w:val="22"/>
        <w:tabs>
          <w:tab w:val="left" w:pos="1320"/>
        </w:tabs>
        <w:adjustRightInd w:val="0"/>
        <w:snapToGrid w:val="0"/>
        <w:spacing w:line="360" w:lineRule="auto"/>
        <w:ind w:right="3"/>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5616" behindDoc="0" locked="0" layoutInCell="1" allowOverlap="1">
                <wp:simplePos x="0" y="0"/>
                <wp:positionH relativeFrom="column">
                  <wp:posOffset>-114300</wp:posOffset>
                </wp:positionH>
                <wp:positionV relativeFrom="paragraph">
                  <wp:posOffset>269875</wp:posOffset>
                </wp:positionV>
                <wp:extent cx="861695" cy="1001395"/>
                <wp:effectExtent l="0" t="0" r="0" b="0"/>
                <wp:wrapNone/>
                <wp:docPr id="349" name="文本框 823"/>
                <wp:cNvGraphicFramePr/>
                <a:graphic xmlns:a="http://schemas.openxmlformats.org/drawingml/2006/main">
                  <a:graphicData uri="http://schemas.microsoft.com/office/word/2010/wordprocessingShape">
                    <wps:wsp>
                      <wps:cNvSpPr txBox="1"/>
                      <wps:spPr>
                        <a:xfrm>
                          <a:off x="0" y="0"/>
                          <a:ext cx="861695" cy="100139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承包人未按时开始工作或开工的处理程序和责任</w:t>
                            </w:r>
                          </w:p>
                        </w:txbxContent>
                      </wps:txbx>
                      <wps:bodyPr wrap="square" upright="1"/>
                    </wps:wsp>
                  </a:graphicData>
                </a:graphic>
              </wp:anchor>
            </w:drawing>
          </mc:Choice>
          <mc:Fallback>
            <w:pict>
              <v:shape id="文本框 823" o:spid="_x0000_s1026" o:spt="202" type="#_x0000_t202" style="position:absolute;left:0pt;margin-left:-9pt;margin-top:21.25pt;height:78.85pt;width:67.85pt;z-index:252015616;mso-width-relative:page;mso-height-relative:page;" filled="f" stroked="f" coordsize="21600,21600" o:gfxdata="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nmxim1wAAAAoBAAAPAAAAAAAAAAEAIAAAACIAAABkcnMvZG93bnJldi54bWxQSwECFAAU&#10;AAAACACHTuJANvIMMLkBAABg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承包人未按时开始工作或开工的处理程序和责任</w:t>
                      </w:r>
                    </w:p>
                  </w:txbxContent>
                </v:textbox>
              </v:shape>
            </w:pict>
          </mc:Fallback>
        </mc:AlternateContent>
      </w:r>
      <w:r>
        <w:rPr>
          <w:rFonts w:hint="eastAsia" w:ascii="仿宋" w:hAnsi="仿宋" w:eastAsia="仿宋" w:cs="仿宋"/>
          <w:b/>
          <w:bCs/>
          <w:color w:val="auto"/>
          <w:sz w:val="24"/>
          <w:szCs w:val="24"/>
          <w:highlight w:val="none"/>
          <w:lang w:eastAsia="zh-CN"/>
        </w:rPr>
        <w:t>41</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right="3"/>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未能按时开始某项工作或开工，应在接到开始工作指令或开工令后立即以书面形式向发包人代表、设计顾问人代表或监理人代表提出延期开始工作或开工的要求并说明理由。发包人代表、设计顾问人代表或监理人代表应当在接到延期开始工作或开工申请后的</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小时内书面予以答复，否则视为同意。承包人没有合理理由而延期开始工作或开工的，由此造成的损失和延误的工期由承包人承担。</w:t>
      </w:r>
    </w:p>
    <w:p>
      <w:pPr>
        <w:pStyle w:val="22"/>
        <w:tabs>
          <w:tab w:val="left" w:pos="1320"/>
        </w:tabs>
        <w:adjustRightInd w:val="0"/>
        <w:snapToGrid w:val="0"/>
        <w:spacing w:line="360" w:lineRule="auto"/>
        <w:ind w:right="3"/>
        <w:rPr>
          <w:rFonts w:ascii="仿宋" w:hAnsi="仿宋" w:eastAsia="仿宋" w:cs="仿宋"/>
          <w:color w:val="auto"/>
          <w:sz w:val="24"/>
          <w:szCs w:val="24"/>
          <w:highlight w:val="none"/>
          <w:u w:val="dotted"/>
          <w:lang w:eastAsia="zh-CN"/>
        </w:rPr>
      </w:pPr>
      <w:r>
        <w:rPr>
          <w:rFonts w:hint="eastAsia" w:ascii="仿宋" w:hAnsi="仿宋" w:eastAsia="仿宋" w:cs="仿宋"/>
          <w:b/>
          <w:bCs/>
          <w:color w:val="auto"/>
          <w:sz w:val="24"/>
          <w:szCs w:val="24"/>
          <w:highlight w:val="none"/>
        </w:rPr>
        <mc:AlternateContent>
          <mc:Choice Requires="wps">
            <w:drawing>
              <wp:anchor distT="0" distB="0" distL="114300" distR="114300" simplePos="0" relativeHeight="252016640" behindDoc="0" locked="0" layoutInCell="1" allowOverlap="1">
                <wp:simplePos x="0" y="0"/>
                <wp:positionH relativeFrom="column">
                  <wp:posOffset>-114300</wp:posOffset>
                </wp:positionH>
                <wp:positionV relativeFrom="paragraph">
                  <wp:posOffset>237490</wp:posOffset>
                </wp:positionV>
                <wp:extent cx="842645" cy="922020"/>
                <wp:effectExtent l="0" t="0" r="0" b="0"/>
                <wp:wrapNone/>
                <wp:docPr id="350" name="文本框 824"/>
                <wp:cNvGraphicFramePr/>
                <a:graphic xmlns:a="http://schemas.openxmlformats.org/drawingml/2006/main">
                  <a:graphicData uri="http://schemas.microsoft.com/office/word/2010/wordprocessingShape">
                    <wps:wsp>
                      <wps:cNvSpPr txBox="1"/>
                      <wps:spPr>
                        <a:xfrm>
                          <a:off x="0" y="0"/>
                          <a:ext cx="842645" cy="92202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发包人推迟开始工作或开工的处理程序和责任</w:t>
                            </w:r>
                          </w:p>
                        </w:txbxContent>
                      </wps:txbx>
                      <wps:bodyPr wrap="square" upright="1"/>
                    </wps:wsp>
                  </a:graphicData>
                </a:graphic>
              </wp:anchor>
            </w:drawing>
          </mc:Choice>
          <mc:Fallback>
            <w:pict>
              <v:shape id="文本框 824" o:spid="_x0000_s1026" o:spt="202" type="#_x0000_t202" style="position:absolute;left:0pt;margin-left:-9pt;margin-top:18.7pt;height:72.6pt;width:66.35pt;z-index:252016640;mso-width-relative:page;mso-height-relative:page;" filled="f" stroked="f" coordsize="21600,21600" o:gfxdata="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sMOljYAAAACgEAAA8AAAAAAAAAAQAgAAAAIgAAAGRycy9kb3ducmV2LnhtbFBLAQIU&#10;ABQAAAAIAIdO4kAuKQTsugEAAF8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发包人推迟开始工作或开工的处理程序和责任</w:t>
                      </w:r>
                    </w:p>
                  </w:txbxContent>
                </v:textbox>
              </v:shape>
            </w:pict>
          </mc:Fallback>
        </mc:AlternateContent>
      </w:r>
      <w:r>
        <w:rPr>
          <w:rFonts w:hint="eastAsia" w:ascii="仿宋" w:hAnsi="仿宋" w:eastAsia="仿宋" w:cs="仿宋"/>
          <w:b/>
          <w:bCs/>
          <w:color w:val="auto"/>
          <w:sz w:val="24"/>
          <w:szCs w:val="24"/>
          <w:highlight w:val="none"/>
          <w:lang w:eastAsia="zh-CN"/>
        </w:rPr>
        <w:t xml:space="preserve">41.4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r>
        <w:rPr>
          <w:rFonts w:hint="eastAsia" w:ascii="仿宋" w:hAnsi="仿宋" w:eastAsia="仿宋" w:cs="仿宋"/>
          <w:color w:val="auto"/>
          <w:sz w:val="24"/>
          <w:szCs w:val="24"/>
          <w:highlight w:val="none"/>
          <w:u w:val="dotted"/>
          <w:lang w:eastAsia="zh-CN"/>
        </w:rPr>
        <w:t xml:space="preserve">        </w:t>
      </w:r>
      <w:r>
        <w:rPr>
          <w:rFonts w:ascii="仿宋" w:hAnsi="仿宋" w:eastAsia="仿宋" w:cs="仿宋"/>
          <w:color w:val="auto"/>
          <w:sz w:val="24"/>
          <w:szCs w:val="24"/>
          <w:highlight w:val="none"/>
          <w:u w:val="dotted"/>
          <w:lang w:eastAsia="zh-CN"/>
        </w:rPr>
        <w:t xml:space="preserve">                         </w:t>
      </w:r>
    </w:p>
    <w:p>
      <w:pPr>
        <w:pStyle w:val="22"/>
        <w:adjustRightInd w:val="0"/>
        <w:snapToGrid w:val="0"/>
        <w:spacing w:line="360" w:lineRule="auto"/>
        <w:ind w:left="1850" w:leftChars="771" w:right="3"/>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因发包人的原因不能在第41</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款约定的时间内发出开始工作指令或开工令的，发包人或监理人应至少提前</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天以书面形式通知承包人推迟开始工作或开工。由此造成的损失由发包人承担，开始工作或开工日期相应顺延。发包人、设计顾问人或监理人未能提前</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天通知承包人推迟开工的，由此造成损失的扩大由发包人承担。</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31" w:name="_Toc19717"/>
      <w:bookmarkStart w:id="632" w:name="_Toc32203"/>
      <w:bookmarkStart w:id="633" w:name="_Toc25321"/>
      <w:bookmarkStart w:id="634" w:name="_Toc15055"/>
      <w:bookmarkStart w:id="635" w:name="_Toc2138"/>
      <w:bookmarkStart w:id="636" w:name="_Toc7057"/>
      <w:bookmarkStart w:id="637" w:name="_Toc6241"/>
      <w:bookmarkStart w:id="638" w:name="_Toc11914"/>
      <w:r>
        <w:rPr>
          <w:rFonts w:hint="eastAsia" w:ascii="仿宋" w:hAnsi="仿宋" w:eastAsia="仿宋" w:cs="仿宋"/>
          <w:bCs w:val="0"/>
          <w:color w:val="auto"/>
          <w:sz w:val="24"/>
          <w:szCs w:val="24"/>
          <w:highlight w:val="none"/>
          <w:lang w:eastAsia="zh-CN"/>
        </w:rPr>
        <w:t>42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暂停工作、暂停施工和复工</w:t>
      </w:r>
      <w:bookmarkEnd w:id="631"/>
      <w:bookmarkEnd w:id="632"/>
      <w:bookmarkEnd w:id="633"/>
      <w:bookmarkEnd w:id="634"/>
      <w:bookmarkEnd w:id="635"/>
      <w:bookmarkEnd w:id="636"/>
      <w:bookmarkEnd w:id="637"/>
      <w:bookmarkEnd w:id="638"/>
    </w:p>
    <w:p>
      <w:pPr>
        <w:pStyle w:val="22"/>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7664" behindDoc="0" locked="0" layoutInCell="1" allowOverlap="1">
                <wp:simplePos x="0" y="0"/>
                <wp:positionH relativeFrom="column">
                  <wp:posOffset>-114300</wp:posOffset>
                </wp:positionH>
                <wp:positionV relativeFrom="paragraph">
                  <wp:posOffset>261620</wp:posOffset>
                </wp:positionV>
                <wp:extent cx="765810" cy="813435"/>
                <wp:effectExtent l="0" t="0" r="0" b="0"/>
                <wp:wrapNone/>
                <wp:docPr id="351" name="文本框 825"/>
                <wp:cNvGraphicFramePr/>
                <a:graphic xmlns:a="http://schemas.openxmlformats.org/drawingml/2006/main">
                  <a:graphicData uri="http://schemas.microsoft.com/office/word/2010/wordprocessingShape">
                    <wps:wsp>
                      <wps:cNvSpPr txBox="1"/>
                      <wps:spPr>
                        <a:xfrm>
                          <a:off x="0" y="0"/>
                          <a:ext cx="765810" cy="81343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暂停工作或施工的指令</w:t>
                            </w:r>
                          </w:p>
                        </w:txbxContent>
                      </wps:txbx>
                      <wps:bodyPr wrap="square" upright="1"/>
                    </wps:wsp>
                  </a:graphicData>
                </a:graphic>
              </wp:anchor>
            </w:drawing>
          </mc:Choice>
          <mc:Fallback>
            <w:pict>
              <v:shape id="文本框 825" o:spid="_x0000_s1026" o:spt="202" type="#_x0000_t202" style="position:absolute;left:0pt;margin-left:-9pt;margin-top:20.6pt;height:64.05pt;width:60.3pt;z-index:252017664;mso-width-relative:page;mso-height-relative:page;" filled="f" stroked="f" coordsize="21600,21600" o:gfxdata="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NWSZTbYAAAACgEAAA8AAAAAAAAAAQAgAAAAIgAAAGRycy9kb3ducmV2LnhtbFBLAQIU&#10;ABQAAAAIAIdO4kD/Bn2vugEAAF8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暂停工作或施工的指令</w:t>
                      </w:r>
                    </w:p>
                  </w:txbxContent>
                </v:textbox>
              </v:shape>
            </w:pict>
          </mc:Fallback>
        </mc:AlternateContent>
      </w:r>
      <w:r>
        <w:rPr>
          <w:rFonts w:hint="eastAsia" w:ascii="仿宋" w:hAnsi="仿宋" w:eastAsia="仿宋" w:cs="仿宋"/>
          <w:b/>
          <w:bCs/>
          <w:color w:val="auto"/>
          <w:sz w:val="24"/>
          <w:szCs w:val="24"/>
          <w:highlight w:val="none"/>
          <w:lang w:eastAsia="zh-CN"/>
        </w:rPr>
        <w:t>42</w:t>
      </w:r>
      <w:r>
        <w:rPr>
          <w:rFonts w:ascii="仿宋" w:hAnsi="仿宋" w:eastAsia="仿宋" w:cs="仿宋"/>
          <w:b/>
          <w:bCs/>
          <w:color w:val="auto"/>
          <w:sz w:val="24"/>
          <w:szCs w:val="24"/>
          <w:highlight w:val="none"/>
          <w:lang w:eastAsia="zh-CN"/>
        </w:rPr>
        <w:t>.1</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发包人、设计顾问人或监理人认为有必要时，可向承包人发出暂停勘察、暂停设计等暂停工作指令或暂停施工令，并在</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提出处理意见，承包人应按照发包人、设计顾问人或监理人的指令停止某项工作或施工。不论任何原因造成的暂停工作或暂停施工，暂停工作或施工期间承包人应妥善保护已完工作成果或已完工程并提供安全保障。</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因发包人的原因引起暂停施工的合同工程发生紧急情况，且监理人又未及时发出暂停施工令时，承包人可先暂停施工，并及时向监理人提出暂停施工报告。监理人应在收到暂停施工报告后的</w:t>
      </w:r>
      <w:r>
        <w:rPr>
          <w:rFonts w:ascii="仿宋" w:hAnsi="仿宋" w:eastAsia="仿宋" w:cs="仿宋"/>
          <w:color w:val="auto"/>
          <w:sz w:val="24"/>
          <w:szCs w:val="24"/>
          <w:highlight w:val="none"/>
          <w:lang w:eastAsia="zh-CN"/>
        </w:rPr>
        <w:t>24</w:t>
      </w:r>
      <w:r>
        <w:rPr>
          <w:rFonts w:hint="eastAsia" w:ascii="仿宋" w:hAnsi="仿宋" w:eastAsia="仿宋" w:cs="仿宋"/>
          <w:color w:val="auto"/>
          <w:sz w:val="24"/>
          <w:szCs w:val="24"/>
          <w:highlight w:val="none"/>
          <w:lang w:eastAsia="zh-CN"/>
        </w:rPr>
        <w:t>小时内予以答复；逾期未答复的，视为承包人的暂停施工报告被认可。</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42</w:t>
      </w:r>
      <w:r>
        <w:rPr>
          <w:rFonts w:ascii="仿宋" w:hAnsi="仿宋" w:eastAsia="仿宋" w:cs="仿宋"/>
          <w:b/>
          <w:bCs/>
          <w:color w:val="auto"/>
          <w:highlight w:val="none"/>
          <w:lang w:eastAsia="zh-CN"/>
        </w:rPr>
        <w:t>.2</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63712" behindDoc="0" locked="0" layoutInCell="1" allowOverlap="1">
                <wp:simplePos x="0" y="0"/>
                <wp:positionH relativeFrom="column">
                  <wp:posOffset>-114300</wp:posOffset>
                </wp:positionH>
                <wp:positionV relativeFrom="paragraph">
                  <wp:posOffset>20320</wp:posOffset>
                </wp:positionV>
                <wp:extent cx="842645" cy="608330"/>
                <wp:effectExtent l="0" t="0" r="0" b="0"/>
                <wp:wrapNone/>
                <wp:docPr id="103" name="文本框 826"/>
                <wp:cNvGraphicFramePr/>
                <a:graphic xmlns:a="http://schemas.openxmlformats.org/drawingml/2006/main">
                  <a:graphicData uri="http://schemas.microsoft.com/office/word/2010/wordprocessingShape">
                    <wps:wsp>
                      <wps:cNvSpPr txBox="1"/>
                      <wps:spPr>
                        <a:xfrm>
                          <a:off x="0" y="0"/>
                          <a:ext cx="842645" cy="60833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复工的要求</w:t>
                            </w:r>
                          </w:p>
                        </w:txbxContent>
                      </wps:txbx>
                      <wps:bodyPr wrap="square" upright="1"/>
                    </wps:wsp>
                  </a:graphicData>
                </a:graphic>
              </wp:anchor>
            </w:drawing>
          </mc:Choice>
          <mc:Fallback>
            <w:pict>
              <v:shape id="文本框 826" o:spid="_x0000_s1026" o:spt="202" type="#_x0000_t202" style="position:absolute;left:0pt;margin-left:-9pt;margin-top:1.6pt;height:47.9pt;width:66.35pt;z-index:251763712;mso-width-relative:page;mso-height-relative:page;" filled="f" stroked="f" coordsize="21600,21600" o:gfxdata="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3OAH81gAAAAgBAAAPAAAAAAAAAAEAIAAAACIAAABkcnMvZG93bnJldi54bWxQSwECFAAU&#10;AAAACACHTuJAebSU2roBAABf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复工的要求</w:t>
                      </w:r>
                    </w:p>
                  </w:txbxContent>
                </v:textbox>
              </v:shape>
            </w:pict>
          </mc:Fallback>
        </mc:AlternateContent>
      </w:r>
      <w:r>
        <w:rPr>
          <w:rFonts w:hint="eastAsia" w:ascii="仿宋" w:hAnsi="仿宋" w:eastAsia="仿宋" w:cs="仿宋"/>
          <w:color w:val="auto"/>
          <w:sz w:val="24"/>
          <w:szCs w:val="24"/>
          <w:highlight w:val="none"/>
          <w:lang w:eastAsia="zh-CN"/>
        </w:rPr>
        <w:t>承包人实施发包人、设计顾问人或监理人的处理意见后，可向发包人、设计顾问人或监理人提交复工报审表要求复工；发包人、设计顾问人或监理人应在收到复工报审表后的</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小时内予以答复。具备继续工作条件或复工条件时，发包人、设计顾问人或监理人应立即向承包人发出复工令，承包人应立即组织复工。发包人、设计顾问人或监理人在收到复工报审表后的</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小时内未答复也未提出处理意见的，承包人可自行复工，发包人、设计顾问人或监理人应予认可。</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承包人无故拖延或拒绝复工的，由此增加的费用和（或）延误的工期由承包人承担；因发包人的原因无法按时复工的，承包人有权要求发包人增加发生的费用和（或）顺延工期，并支付合理利润。</w:t>
      </w:r>
    </w:p>
    <w:p>
      <w:pPr>
        <w:spacing w:line="360" w:lineRule="auto"/>
        <w:rPr>
          <w:rFonts w:ascii="仿宋" w:hAnsi="仿宋" w:eastAsia="仿宋" w:cs="仿宋"/>
          <w:b/>
          <w:bCs/>
          <w:color w:val="auto"/>
          <w:highlight w:val="none"/>
          <w:u w:val="dotted"/>
          <w:lang w:eastAsia="zh-CN"/>
        </w:rPr>
      </w:pPr>
      <w:r>
        <w:rPr>
          <w:rFonts w:hint="eastAsia" w:ascii="仿宋" w:hAnsi="仿宋" w:eastAsia="仿宋" w:cs="仿宋"/>
          <w:b/>
          <w:bCs/>
          <w:color w:val="auto"/>
          <w:highlight w:val="none"/>
          <w:lang w:eastAsia="zh-CN"/>
        </w:rPr>
        <w:t>42</w:t>
      </w:r>
      <w:r>
        <w:rPr>
          <w:rFonts w:ascii="仿宋" w:hAnsi="仿宋" w:eastAsia="仿宋" w:cs="仿宋"/>
          <w:b/>
          <w:bCs/>
          <w:color w:val="auto"/>
          <w:highlight w:val="none"/>
          <w:lang w:eastAsia="zh-CN"/>
        </w:rPr>
        <w:t xml:space="preserve">.3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b/>
          <w:bCs/>
          <w:color w:val="auto"/>
          <w:sz w:val="24"/>
          <w:szCs w:val="24"/>
          <w:highlight w:val="none"/>
        </w:rPr>
        <mc:AlternateContent>
          <mc:Choice Requires="wps">
            <w:drawing>
              <wp:anchor distT="0" distB="0" distL="114300" distR="114300" simplePos="0" relativeHeight="252018688" behindDoc="0" locked="0" layoutInCell="1" allowOverlap="1">
                <wp:simplePos x="0" y="0"/>
                <wp:positionH relativeFrom="column">
                  <wp:posOffset>-114300</wp:posOffset>
                </wp:positionH>
                <wp:positionV relativeFrom="paragraph">
                  <wp:posOffset>71755</wp:posOffset>
                </wp:positionV>
                <wp:extent cx="870585" cy="793750"/>
                <wp:effectExtent l="0" t="0" r="0" b="0"/>
                <wp:wrapNone/>
                <wp:docPr id="352" name="文本框 827"/>
                <wp:cNvGraphicFramePr/>
                <a:graphic xmlns:a="http://schemas.openxmlformats.org/drawingml/2006/main">
                  <a:graphicData uri="http://schemas.microsoft.com/office/word/2010/wordprocessingShape">
                    <wps:wsp>
                      <wps:cNvSpPr txBox="1"/>
                      <wps:spPr>
                        <a:xfrm>
                          <a:off x="0" y="0"/>
                          <a:ext cx="870585" cy="793750"/>
                        </a:xfrm>
                        <a:prstGeom prst="rect">
                          <a:avLst/>
                        </a:prstGeom>
                        <a:noFill/>
                        <a:ln>
                          <a:noFill/>
                        </a:ln>
                      </wps:spPr>
                      <wps:txb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暂停工作或暂停施工持续</w:t>
                            </w:r>
                            <w:r>
                              <w:rPr>
                                <w:rFonts w:ascii="楷体_GB2312" w:hAnsi="宋体" w:eastAsia="楷体_GB2312" w:cs="楷体_GB2312"/>
                                <w:b/>
                                <w:bCs/>
                                <w:color w:val="000000"/>
                                <w:sz w:val="18"/>
                                <w:szCs w:val="18"/>
                                <w:lang w:eastAsia="zh-CN"/>
                              </w:rPr>
                              <w:t>56</w:t>
                            </w:r>
                            <w:r>
                              <w:rPr>
                                <w:rFonts w:hint="eastAsia" w:ascii="楷体_GB2312" w:hAnsi="宋体" w:eastAsia="楷体_GB2312" w:cs="楷体_GB2312"/>
                                <w:b/>
                                <w:bCs/>
                                <w:color w:val="000000"/>
                                <w:sz w:val="18"/>
                                <w:szCs w:val="18"/>
                                <w:lang w:eastAsia="zh-CN"/>
                              </w:rPr>
                              <w:t>天以上的复工要求</w:t>
                            </w:r>
                          </w:p>
                        </w:txbxContent>
                      </wps:txbx>
                      <wps:bodyPr wrap="square" upright="1"/>
                    </wps:wsp>
                  </a:graphicData>
                </a:graphic>
              </wp:anchor>
            </w:drawing>
          </mc:Choice>
          <mc:Fallback>
            <w:pict>
              <v:shape id="文本框 827" o:spid="_x0000_s1026" o:spt="202" type="#_x0000_t202" style="position:absolute;left:0pt;margin-left:-9pt;margin-top:5.65pt;height:62.5pt;width:68.55pt;z-index:252018688;mso-width-relative:page;mso-height-relative:page;" filled="f" stroked="f" coordsize="21600,21600" o:gfxdata="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BfvSNvXAAAACgEAAA8AAAAAAAAAAQAgAAAAIgAAAGRycy9kb3ducmV2LnhtbFBLAQIU&#10;ABQAAAAIAIdO4kC6e6iMuwEAAF8DAAAOAAAAAAAAAAEAIAAAACYBAABkcnMvZTJvRG9jLnhtbFBL&#10;BQYAAAAABgAGAFkBAABTBQAAAAA=&#10;">
                <v:fill on="f" focussize="0,0"/>
                <v:stroke on="f"/>
                <v:imagedata o:title=""/>
                <o:lock v:ext="edit" aspectratio="f"/>
                <v:textbo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暂停工作或暂停施工持续</w:t>
                      </w:r>
                      <w:r>
                        <w:rPr>
                          <w:rFonts w:ascii="楷体_GB2312" w:hAnsi="宋体" w:eastAsia="楷体_GB2312" w:cs="楷体_GB2312"/>
                          <w:b/>
                          <w:bCs/>
                          <w:color w:val="000000"/>
                          <w:sz w:val="18"/>
                          <w:szCs w:val="18"/>
                          <w:lang w:eastAsia="zh-CN"/>
                        </w:rPr>
                        <w:t>56</w:t>
                      </w:r>
                      <w:r>
                        <w:rPr>
                          <w:rFonts w:hint="eastAsia" w:ascii="楷体_GB2312" w:hAnsi="宋体" w:eastAsia="楷体_GB2312" w:cs="楷体_GB2312"/>
                          <w:b/>
                          <w:bCs/>
                          <w:color w:val="000000"/>
                          <w:sz w:val="18"/>
                          <w:szCs w:val="18"/>
                          <w:lang w:eastAsia="zh-CN"/>
                        </w:rPr>
                        <w:t>天以上的复工要求</w:t>
                      </w:r>
                    </w:p>
                  </w:txbxContent>
                </v:textbox>
              </v:shape>
            </w:pict>
          </mc:Fallback>
        </mc:AlternateContent>
      </w:r>
      <w:r>
        <w:rPr>
          <w:rFonts w:hint="eastAsia" w:ascii="仿宋" w:hAnsi="仿宋" w:eastAsia="仿宋" w:cs="仿宋"/>
          <w:color w:val="auto"/>
          <w:sz w:val="24"/>
          <w:szCs w:val="24"/>
          <w:highlight w:val="none"/>
          <w:lang w:eastAsia="zh-CN"/>
        </w:rPr>
        <w:t>42.3.1非承包人的原因造成某项工作暂停，承包人可尽快向发包人、设计顾问人或监理人提交复工报审表要求复工；发包人、设计顾问人或监理人应在收到复工报审表后的14天内准许复工。如果在上述期限内发包人、设计顾问人或监理人未予准许，则承包人可以作如下选择：</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（1）如果此项工作暂停仅影响合同工程的一部分时，则根据第63</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2款约定及时提出工程变更或工作变更，取消该部分工程或后续工作，并书面通知发包人，抄送设计顾问人、监理人和造价咨询人；</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（2）如果此项工作暂停影响整个合同工程时，则根据第92</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款约定解除合同。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因承包人的原因引起某项工作暂停，承包人收到发包人、设计顾问人或监理人的复工指令后14天内未采取有效的复工措施，造成工期延误的，发包人可根据第92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款约定解除合同。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42.3.2非承包人的原因造成暂停施工持续</w:t>
      </w:r>
      <w:r>
        <w:rPr>
          <w:rFonts w:ascii="仿宋" w:hAnsi="仿宋" w:eastAsia="仿宋" w:cs="仿宋"/>
          <w:color w:val="auto"/>
          <w:sz w:val="24"/>
          <w:szCs w:val="24"/>
          <w:highlight w:val="none"/>
          <w:lang w:eastAsia="zh-CN"/>
        </w:rPr>
        <w:t>56</w:t>
      </w:r>
      <w:r>
        <w:rPr>
          <w:rFonts w:hint="eastAsia" w:ascii="仿宋" w:hAnsi="仿宋" w:eastAsia="仿宋" w:cs="仿宋"/>
          <w:color w:val="auto"/>
          <w:sz w:val="24"/>
          <w:szCs w:val="24"/>
          <w:highlight w:val="none"/>
          <w:lang w:eastAsia="zh-CN"/>
        </w:rPr>
        <w:t>天以上时，承包人可向设计顾问人或监理人提交复工报审表要求复工；设计顾问人或监理人应在收到复工报审表后的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天内准许复工。如果在上述期限内设计顾问人、监理人未予准许，则承包人可以作如下选择：</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（1）如果此项停工仅影响合同工程的一部分时，则根据第64</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2款约定及时提出工程变更，取消该部分工程，并书面通知发包人，抄送设计顾问人、监理人和造价咨询人；</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（2）如果此项停工影响整个合同工程时，则根据第92</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款约定解除合同。</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因承包人的原因引起暂停施工持续</w:t>
      </w:r>
      <w:r>
        <w:rPr>
          <w:rFonts w:ascii="仿宋" w:hAnsi="仿宋" w:eastAsia="仿宋" w:cs="仿宋"/>
          <w:color w:val="auto"/>
          <w:sz w:val="24"/>
          <w:szCs w:val="24"/>
          <w:highlight w:val="none"/>
          <w:lang w:eastAsia="zh-CN"/>
        </w:rPr>
        <w:t>56</w:t>
      </w:r>
      <w:r>
        <w:rPr>
          <w:rFonts w:hint="eastAsia" w:ascii="仿宋" w:hAnsi="仿宋" w:eastAsia="仿宋" w:cs="仿宋"/>
          <w:color w:val="auto"/>
          <w:sz w:val="24"/>
          <w:szCs w:val="24"/>
          <w:highlight w:val="none"/>
          <w:lang w:eastAsia="zh-CN"/>
        </w:rPr>
        <w:t>天以上，承包人不采取有效的复工措施，造成工期延误的，发包人可根据第92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款约定解除合同。</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42</w:t>
      </w:r>
      <w:r>
        <w:rPr>
          <w:rFonts w:ascii="仿宋" w:hAnsi="仿宋" w:eastAsia="仿宋" w:cs="仿宋"/>
          <w:b/>
          <w:bCs/>
          <w:color w:val="auto"/>
          <w:highlight w:val="none"/>
          <w:lang w:eastAsia="zh-CN"/>
        </w:rPr>
        <w:t xml:space="preserve">.4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64736" behindDoc="0" locked="0" layoutInCell="1" allowOverlap="1">
                <wp:simplePos x="0" y="0"/>
                <wp:positionH relativeFrom="column">
                  <wp:posOffset>-114300</wp:posOffset>
                </wp:positionH>
                <wp:positionV relativeFrom="paragraph">
                  <wp:posOffset>635</wp:posOffset>
                </wp:positionV>
                <wp:extent cx="794385" cy="1221105"/>
                <wp:effectExtent l="0" t="0" r="0" b="0"/>
                <wp:wrapNone/>
                <wp:docPr id="104" name="文本框 828"/>
                <wp:cNvGraphicFramePr/>
                <a:graphic xmlns:a="http://schemas.openxmlformats.org/drawingml/2006/main">
                  <a:graphicData uri="http://schemas.microsoft.com/office/word/2010/wordprocessingShape">
                    <wps:wsp>
                      <wps:cNvSpPr txBox="1"/>
                      <wps:spPr>
                        <a:xfrm>
                          <a:off x="0" y="0"/>
                          <a:ext cx="794385" cy="1221105"/>
                        </a:xfrm>
                        <a:prstGeom prst="rect">
                          <a:avLst/>
                        </a:prstGeom>
                        <a:noFill/>
                        <a:ln>
                          <a:noFill/>
                        </a:ln>
                      </wps:spPr>
                      <wps:txb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发包人、承包人原因和不可抗力因素造成暂停工作或暂停施工的责任</w:t>
                            </w:r>
                          </w:p>
                        </w:txbxContent>
                      </wps:txbx>
                      <wps:bodyPr wrap="square" upright="1"/>
                    </wps:wsp>
                  </a:graphicData>
                </a:graphic>
              </wp:anchor>
            </w:drawing>
          </mc:Choice>
          <mc:Fallback>
            <w:pict>
              <v:shape id="文本框 828" o:spid="_x0000_s1026" o:spt="202" type="#_x0000_t202" style="position:absolute;left:0pt;margin-left:-9pt;margin-top:0.05pt;height:96.15pt;width:62.55pt;z-index:251764736;mso-width-relative:page;mso-height-relative:page;" filled="f" stroked="f" coordsize="21600,21600" o:gfxdata="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u+ELzUAAAACAEAAA8AAAAAAAAAAQAgAAAAIgAAAGRycy9kb3ducmV2LnhtbFBLAQIUABQA&#10;AAAIAIdO4kBIpV3FuwEAAGADAAAOAAAAAAAAAAEAIAAAACMBAABkcnMvZTJvRG9jLnhtbFBLBQYA&#10;AAAABgAGAFkBAABQBQAAAAA=&#10;">
                <v:fill on="f" focussize="0,0"/>
                <v:stroke on="f"/>
                <v:imagedata o:title=""/>
                <o:lock v:ext="edit" aspectratio="f"/>
                <v:textbo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发包人、承包人原因和不可抗力因素造成暂停工作或暂停施工的责任</w:t>
                      </w:r>
                    </w:p>
                  </w:txbxContent>
                </v:textbox>
              </v:shape>
            </w:pict>
          </mc:Fallback>
        </mc:AlternateContent>
      </w:r>
      <w:r>
        <w:rPr>
          <w:rFonts w:hint="eastAsia" w:ascii="仿宋" w:hAnsi="仿宋" w:eastAsia="仿宋" w:cs="仿宋"/>
          <w:color w:val="auto"/>
          <w:sz w:val="24"/>
          <w:szCs w:val="24"/>
          <w:highlight w:val="none"/>
          <w:lang w:eastAsia="zh-CN"/>
        </w:rPr>
        <w:t>因发包人的原因造成暂停工作、暂停施工且引起工期延误的，承包人有权要求发包人增加由此发生的费用和（或）顺延工期，并支付合理利润。</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因承包人下列原因造成的暂停工作或暂停施工，增加的费用和（或）延误的工期由承包人承担：</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（1）工作失误或违约造成的；</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（2）为合同工程合理施工和安全保障所必需的；</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（3）施工现场气候条件（除不可抗力停工外）导致的；</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（4）擅自停工的；</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（5）专用条款约定的其他原因。</w:t>
      </w:r>
    </w:p>
    <w:p>
      <w:pPr>
        <w:pStyle w:val="22"/>
        <w:adjustRightInd w:val="0"/>
        <w:snapToGrid w:val="0"/>
        <w:spacing w:line="360" w:lineRule="auto"/>
        <w:ind w:left="1850" w:leftChars="771" w:firstLine="2"/>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因不可抗力因素造成暂停施工的，按照第</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5条约定处理。</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42</w:t>
      </w:r>
      <w:r>
        <w:rPr>
          <w:rFonts w:ascii="仿宋" w:hAnsi="仿宋" w:eastAsia="仿宋" w:cs="仿宋"/>
          <w:b/>
          <w:bCs/>
          <w:color w:val="auto"/>
          <w:highlight w:val="none"/>
          <w:lang w:eastAsia="zh-CN"/>
        </w:rPr>
        <w:t xml:space="preserve">.5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65760" behindDoc="0" locked="0" layoutInCell="1" allowOverlap="1">
                <wp:simplePos x="0" y="0"/>
                <wp:positionH relativeFrom="column">
                  <wp:posOffset>-66675</wp:posOffset>
                </wp:positionH>
                <wp:positionV relativeFrom="paragraph">
                  <wp:posOffset>6350</wp:posOffset>
                </wp:positionV>
                <wp:extent cx="861695" cy="990600"/>
                <wp:effectExtent l="0" t="0" r="0" b="0"/>
                <wp:wrapNone/>
                <wp:docPr id="105" name="文本框 829"/>
                <wp:cNvGraphicFramePr/>
                <a:graphic xmlns:a="http://schemas.openxmlformats.org/drawingml/2006/main">
                  <a:graphicData uri="http://schemas.microsoft.com/office/word/2010/wordprocessingShape">
                    <wps:wsp>
                      <wps:cNvSpPr txBox="1"/>
                      <wps:spPr>
                        <a:xfrm>
                          <a:off x="0" y="0"/>
                          <a:ext cx="861695" cy="990600"/>
                        </a:xfrm>
                        <a:prstGeom prst="rect">
                          <a:avLst/>
                        </a:prstGeom>
                        <a:noFill/>
                        <a:ln>
                          <a:noFill/>
                        </a:ln>
                      </wps:spPr>
                      <wps:txb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发包人不按约定支付服务费或工程款造成暂停工作或暂停施工的责任</w:t>
                            </w:r>
                          </w:p>
                        </w:txbxContent>
                      </wps:txbx>
                      <wps:bodyPr wrap="square" upright="1"/>
                    </wps:wsp>
                  </a:graphicData>
                </a:graphic>
              </wp:anchor>
            </w:drawing>
          </mc:Choice>
          <mc:Fallback>
            <w:pict>
              <v:shape id="文本框 829" o:spid="_x0000_s1026" o:spt="202" type="#_x0000_t202" style="position:absolute;left:0pt;margin-left:-5.25pt;margin-top:0.5pt;height:78pt;width:67.85pt;z-index:251765760;mso-width-relative:page;mso-height-relative:page;" filled="f" stroked="f" coordsize="21600,21600" o:gfxdata="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ubEt8NUAAAAJAQAADwAAAAAAAAABACAAAAAiAAAAZHJzL2Rvd25yZXYueG1sUEsBAhQAFAAA&#10;AAgAh07iQDOtmc65AQAAXwMAAA4AAAAAAAAAAQAgAAAAJAEAAGRycy9lMm9Eb2MueG1sUEsFBgAA&#10;AAAGAAYAWQEAAE8FAAAAAA==&#10;">
                <v:fill on="f" focussize="0,0"/>
                <v:stroke on="f"/>
                <v:imagedata o:title=""/>
                <o:lock v:ext="edit" aspectratio="f"/>
                <v:textbo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发包人不按约定支付服务费或工程款造成暂停工作或暂停施工的责任</w:t>
                      </w:r>
                    </w:p>
                  </w:txbxContent>
                </v:textbox>
              </v:shape>
            </w:pict>
          </mc:Fallback>
        </mc:AlternateContent>
      </w:r>
      <w:r>
        <w:rPr>
          <w:rFonts w:hint="eastAsia" w:ascii="仿宋" w:hAnsi="仿宋" w:eastAsia="仿宋" w:cs="仿宋"/>
          <w:color w:val="auto"/>
          <w:sz w:val="24"/>
          <w:szCs w:val="24"/>
          <w:highlight w:val="none"/>
          <w:lang w:eastAsia="zh-CN"/>
        </w:rPr>
        <w:t>如果发包人未按照合同约定支付工程勘察费、工程设计费或工程进度款等款项，经催告后在14天或28天（工程勘察费、工程设计费等进度款为14天；工程进度款为28天）内仍未支付的，承包人可以暂停工作或施工，直至收到包括第83</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款约定的应付利息在内的所欠全部款项。由此造成的暂停工作或施工，视为是因发包人的原因引起的，并按照第42</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款约定处理。</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42</w:t>
      </w:r>
      <w:r>
        <w:rPr>
          <w:rFonts w:ascii="仿宋" w:hAnsi="仿宋" w:eastAsia="仿宋" w:cs="仿宋"/>
          <w:b/>
          <w:bCs/>
          <w:color w:val="auto"/>
          <w:highlight w:val="none"/>
          <w:lang w:eastAsia="zh-CN"/>
        </w:rPr>
        <w:t xml:space="preserve">.6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766784" behindDoc="0" locked="0" layoutInCell="1" allowOverlap="1">
                <wp:simplePos x="0" y="0"/>
                <wp:positionH relativeFrom="column">
                  <wp:posOffset>-114300</wp:posOffset>
                </wp:positionH>
                <wp:positionV relativeFrom="paragraph">
                  <wp:posOffset>635</wp:posOffset>
                </wp:positionV>
                <wp:extent cx="794385" cy="624840"/>
                <wp:effectExtent l="0" t="0" r="0" b="0"/>
                <wp:wrapNone/>
                <wp:docPr id="106" name="文本框 830"/>
                <wp:cNvGraphicFramePr/>
                <a:graphic xmlns:a="http://schemas.openxmlformats.org/drawingml/2006/main">
                  <a:graphicData uri="http://schemas.microsoft.com/office/word/2010/wordprocessingShape">
                    <wps:wsp>
                      <wps:cNvSpPr txBox="1"/>
                      <wps:spPr>
                        <a:xfrm>
                          <a:off x="0" y="0"/>
                          <a:ext cx="794385" cy="624840"/>
                        </a:xfrm>
                        <a:prstGeom prst="rect">
                          <a:avLst/>
                        </a:prstGeom>
                        <a:noFill/>
                        <a:ln>
                          <a:noFill/>
                        </a:ln>
                      </wps:spPr>
                      <wps:txb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暂停工作或施工结束后的处理</w:t>
                            </w:r>
                          </w:p>
                        </w:txbxContent>
                      </wps:txbx>
                      <wps:bodyPr wrap="square" upright="1"/>
                    </wps:wsp>
                  </a:graphicData>
                </a:graphic>
              </wp:anchor>
            </w:drawing>
          </mc:Choice>
          <mc:Fallback>
            <w:pict>
              <v:shape id="文本框 830" o:spid="_x0000_s1026" o:spt="202" type="#_x0000_t202" style="position:absolute;left:0pt;margin-left:-9pt;margin-top:0.05pt;height:49.2pt;width:62.55pt;z-index:251766784;mso-width-relative:page;mso-height-relative:page;" filled="f" stroked="f" coordsize="21600,21600" o:gfxdata="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buouf1AAAAAcBAAAPAAAAAAAAAAEAIAAAACIAAABkcnMvZG93bnJldi54bWxQSwECFAAUAAAA&#10;CACHTuJAkMc/L7kBAABfAwAADgAAAAAAAAABACAAAAAjAQAAZHJzL2Uyb0RvYy54bWxQSwUGAAAA&#10;AAYABgBZAQAATgUAAAAA&#10;">
                <v:fill on="f" focussize="0,0"/>
                <v:stroke on="f"/>
                <v:imagedata o:title=""/>
                <o:lock v:ext="edit" aspectratio="f"/>
                <v:textbox>
                  <w:txbxContent>
                    <w:p>
                      <w:pPr>
                        <w:spacing w:line="22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暂停工作或施工结束后的处理</w:t>
                      </w:r>
                    </w:p>
                  </w:txbxContent>
                </v:textbox>
              </v:shape>
            </w:pict>
          </mc:Fallback>
        </mc:AlternateContent>
      </w:r>
      <w:r>
        <w:rPr>
          <w:rFonts w:hint="eastAsia" w:ascii="仿宋" w:hAnsi="仿宋" w:eastAsia="仿宋" w:cs="仿宋"/>
          <w:color w:val="auto"/>
          <w:sz w:val="24"/>
          <w:szCs w:val="24"/>
          <w:highlight w:val="none"/>
          <w:lang w:eastAsia="zh-CN"/>
        </w:rPr>
        <w:t>暂停工作或施工结束后，承包人和监理人、设计顾问人应对受暂停工作或施工影响的工程、工程材料和工程设备进行检查。承包人负责修复在暂停期间发生的任何变质、缺陷或损坏，因而发生的费用和造成的损失按照第42</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款约定处理。</w:t>
      </w:r>
    </w:p>
    <w:p>
      <w:pPr>
        <w:spacing w:line="360" w:lineRule="auto"/>
        <w:rPr>
          <w:rFonts w:ascii="仿宋" w:hAnsi="仿宋" w:eastAsia="仿宋"/>
          <w:color w:val="auto"/>
          <w:highlight w:val="none"/>
          <w:u w:val="single"/>
          <w:lang w:eastAsia="zh-CN"/>
        </w:rPr>
      </w:pPr>
      <w:r>
        <w:rPr>
          <w:rFonts w:ascii="仿宋" w:hAnsi="仿宋" w:eastAsia="仿宋"/>
          <w:color w:val="auto"/>
          <w:highlight w:val="none"/>
          <w:u w:val="single"/>
          <w:lang w:eastAsia="zh-CN"/>
        </w:rPr>
        <w:t></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39" w:name="_Toc18659"/>
      <w:bookmarkStart w:id="640" w:name="_Toc17900"/>
      <w:bookmarkStart w:id="641" w:name="_Toc990"/>
      <w:bookmarkStart w:id="642" w:name="_Toc30004"/>
      <w:bookmarkStart w:id="643" w:name="_Toc7522"/>
      <w:bookmarkStart w:id="644" w:name="_Toc19111"/>
      <w:bookmarkStart w:id="645" w:name="_Toc9228"/>
      <w:bookmarkStart w:id="646" w:name="_Toc5081"/>
      <w:r>
        <w:rPr>
          <w:rFonts w:hint="eastAsia" w:ascii="仿宋" w:hAnsi="仿宋" w:eastAsia="仿宋" w:cs="仿宋"/>
          <w:bCs w:val="0"/>
          <w:color w:val="auto"/>
          <w:sz w:val="24"/>
          <w:szCs w:val="24"/>
          <w:highlight w:val="none"/>
          <w:lang w:eastAsia="zh-CN"/>
        </w:rPr>
        <w:t>43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工期和工期延误</w:t>
      </w:r>
      <w:bookmarkEnd w:id="639"/>
      <w:bookmarkEnd w:id="640"/>
      <w:bookmarkEnd w:id="641"/>
      <w:bookmarkEnd w:id="642"/>
      <w:bookmarkEnd w:id="643"/>
      <w:bookmarkEnd w:id="644"/>
      <w:bookmarkEnd w:id="645"/>
      <w:bookmarkEnd w:id="646"/>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43</w:t>
      </w:r>
      <w:r>
        <w:rPr>
          <w:rFonts w:ascii="仿宋" w:hAnsi="仿宋" w:eastAsia="仿宋" w:cs="仿宋"/>
          <w:b/>
          <w:bCs/>
          <w:color w:val="auto"/>
          <w:sz w:val="24"/>
          <w:szCs w:val="24"/>
          <w:highlight w:val="none"/>
          <w:lang w:eastAsia="zh-CN"/>
        </w:rPr>
        <w:t>.1</w:t>
      </w:r>
    </w:p>
    <w:p>
      <w:pPr>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rPr>
        <mc:AlternateContent>
          <mc:Choice Requires="wps">
            <w:drawing>
              <wp:anchor distT="0" distB="0" distL="114300" distR="114300" simplePos="0" relativeHeight="251767808" behindDoc="0" locked="0" layoutInCell="1" allowOverlap="1">
                <wp:simplePos x="0" y="0"/>
                <wp:positionH relativeFrom="column">
                  <wp:posOffset>-114300</wp:posOffset>
                </wp:positionH>
                <wp:positionV relativeFrom="paragraph">
                  <wp:posOffset>29210</wp:posOffset>
                </wp:positionV>
                <wp:extent cx="721995" cy="669290"/>
                <wp:effectExtent l="0" t="0" r="0" b="0"/>
                <wp:wrapNone/>
                <wp:docPr id="107" name="文本框 832"/>
                <wp:cNvGraphicFramePr/>
                <a:graphic xmlns:a="http://schemas.openxmlformats.org/drawingml/2006/main">
                  <a:graphicData uri="http://schemas.microsoft.com/office/word/2010/wordprocessingShape">
                    <wps:wsp>
                      <wps:cNvSpPr txBox="1"/>
                      <wps:spPr>
                        <a:xfrm>
                          <a:off x="0" y="0"/>
                          <a:ext cx="721995" cy="66929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工期计算</w:t>
                            </w:r>
                          </w:p>
                        </w:txbxContent>
                      </wps:txbx>
                      <wps:bodyPr wrap="square" upright="1"/>
                    </wps:wsp>
                  </a:graphicData>
                </a:graphic>
              </wp:anchor>
            </w:drawing>
          </mc:Choice>
          <mc:Fallback>
            <w:pict>
              <v:shape id="文本框 832" o:spid="_x0000_s1026" o:spt="202" type="#_x0000_t202" style="position:absolute;left:0pt;margin-left:-9pt;margin-top:2.3pt;height:52.7pt;width:56.85pt;z-index:251767808;mso-width-relative:page;mso-height-relative:page;" filled="f" stroked="f" coordsize="21600,21600" o:gfxdata="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1I8MctYAAAAIAQAADwAAAAAAAAABACAAAAAiAAAAZHJzL2Rvd25yZXYueG1sUEsBAhQA&#10;FAAAAAgAh07iQGEtRom7AQAAXwMAAA4AAAAAAAAAAQAgAAAAJQEAAGRycy9lMm9Eb2MueG1sUEsF&#10;BgAAAAAGAAYAWQEAAFI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工期计算</w:t>
                      </w:r>
                    </w:p>
                  </w:txbxContent>
                </v:textbox>
              </v:shape>
            </w:pict>
          </mc:Fallback>
        </mc:AlternateContent>
      </w:r>
      <w:r>
        <w:rPr>
          <w:rFonts w:hint="eastAsia" w:ascii="仿宋" w:hAnsi="仿宋" w:eastAsia="仿宋" w:cs="仿宋"/>
          <w:color w:val="auto"/>
          <w:highlight w:val="none"/>
          <w:lang w:eastAsia="zh-CN"/>
        </w:rPr>
        <w:t>43.1.1勘察工期（如果有），由双方在协议书及专用条款中约定，并制定保障措施，确保勘察工作进度和质量。</w:t>
      </w:r>
    </w:p>
    <w:p>
      <w:pPr>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43.1.2设计工期，由双方在协议书及专用条款中约定，并制定保障措施，确保设计工作进度和质量。</w:t>
      </w:r>
    </w:p>
    <w:p>
      <w:pPr>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43.1.3 BIM技术应用工期，由双方在协议书及专用条款中约定，并制定保障措施，确保BIM技术应用工作进度和质量。</w:t>
      </w:r>
    </w:p>
    <w:p>
      <w:pPr>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43.1.4设备及工器具购置工期（如果有），由双方在协议书及专用条款中约定，并制定保障措施，确保购置工作进度和质量。</w:t>
      </w:r>
    </w:p>
    <w:p>
      <w:pPr>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43.1.5施工工期，由双方在协议书及专用条款约定。如合同约定的施工工期与广东省建设工程工期定额规定不一致的，需说明与省工期定额规定不一致的原因，并制定保障措施，确保施工进度、施工质量和施工安全。</w:t>
      </w:r>
    </w:p>
    <w:p>
      <w:pPr>
        <w:spacing w:line="360" w:lineRule="auto"/>
        <w:ind w:left="1850" w:leftChars="771"/>
        <w:rPr>
          <w:rFonts w:ascii="仿宋" w:hAnsi="仿宋" w:eastAsia="仿宋" w:cs="仿宋"/>
          <w:color w:val="auto"/>
          <w:highlight w:val="none"/>
          <w:lang w:eastAsia="zh-CN"/>
        </w:rPr>
      </w:pPr>
      <w:r>
        <w:rPr>
          <w:rFonts w:hint="eastAsia" w:ascii="仿宋" w:hAnsi="仿宋" w:eastAsia="仿宋" w:cs="仿宋"/>
          <w:color w:val="auto"/>
          <w:highlight w:val="none"/>
          <w:lang w:eastAsia="zh-CN"/>
        </w:rPr>
        <w:t>上述约定的各项工期计算总天数可能存在叠加，以协议书约定的合同工期总日历天数为准。</w:t>
      </w:r>
    </w:p>
    <w:p>
      <w:pPr>
        <w:spacing w:line="360" w:lineRule="auto"/>
        <w:rPr>
          <w:rFonts w:ascii="仿宋" w:hAnsi="仿宋" w:eastAsia="仿宋"/>
          <w:color w:val="auto"/>
          <w:highlight w:val="none"/>
          <w:lang w:eastAsia="zh-CN"/>
        </w:rPr>
      </w:pPr>
      <w:bookmarkStart w:id="647" w:name="_Toc19777"/>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.2</w:t>
      </w:r>
      <w:bookmarkEnd w:id="647"/>
      <w:r>
        <w:rPr>
          <w:rFonts w:ascii="仿宋" w:hAnsi="仿宋" w:eastAsia="仿宋" w:cs="仿宋"/>
          <w:b/>
          <w:bCs/>
          <w:color w:val="auto"/>
          <w:highlight w:val="none"/>
          <w:lang w:eastAsia="zh-CN"/>
        </w:rPr>
        <w:t xml:space="preserve"> </w:t>
      </w:r>
      <w:r>
        <w:rPr>
          <w:rFonts w:ascii="仿宋" w:hAnsi="仿宋" w:eastAsia="仿宋" w:cs="仿宋"/>
          <w:color w:val="auto"/>
          <w:highlight w:val="none"/>
          <w:u w:val="dotted"/>
          <w:lang w:eastAsia="zh-CN"/>
        </w:rPr>
        <w:t xml:space="preserve">                                 </w:t>
      </w:r>
      <w:r>
        <w:rPr>
          <w:rFonts w:hint="eastAsia" w:ascii="仿宋" w:hAnsi="仿宋" w:eastAsia="仿宋" w:cs="仿宋"/>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68832" behindDoc="0" locked="0" layoutInCell="1" allowOverlap="1">
                <wp:simplePos x="0" y="0"/>
                <wp:positionH relativeFrom="column">
                  <wp:posOffset>-114300</wp:posOffset>
                </wp:positionH>
                <wp:positionV relativeFrom="paragraph">
                  <wp:posOffset>31750</wp:posOffset>
                </wp:positionV>
                <wp:extent cx="798830" cy="527685"/>
                <wp:effectExtent l="0" t="0" r="0" b="0"/>
                <wp:wrapNone/>
                <wp:docPr id="108" name="文本框 833"/>
                <wp:cNvGraphicFramePr/>
                <a:graphic xmlns:a="http://schemas.openxmlformats.org/drawingml/2006/main">
                  <a:graphicData uri="http://schemas.microsoft.com/office/word/2010/wordprocessingShape">
                    <wps:wsp>
                      <wps:cNvSpPr txBox="1"/>
                      <wps:spPr>
                        <a:xfrm>
                          <a:off x="0" y="0"/>
                          <a:ext cx="798830" cy="52768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工期约定的要求</w:t>
                            </w:r>
                          </w:p>
                        </w:txbxContent>
                      </wps:txbx>
                      <wps:bodyPr wrap="square" upright="1"/>
                    </wps:wsp>
                  </a:graphicData>
                </a:graphic>
              </wp:anchor>
            </w:drawing>
          </mc:Choice>
          <mc:Fallback>
            <w:pict>
              <v:shape id="文本框 833" o:spid="_x0000_s1026" o:spt="202" type="#_x0000_t202" style="position:absolute;left:0pt;margin-left:-9pt;margin-top:2.5pt;height:41.55pt;width:62.9pt;z-index:251768832;mso-width-relative:page;mso-height-relative:page;" filled="f" stroked="f" coordsize="21600,21600" o:gfxdata="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05+C5dUAAAAIAQAADwAAAAAAAAABACAAAAAiAAAAZHJzL2Rvd25yZXYueG1sUEsBAhQAFAAA&#10;AAgAh07iQJYHycK5AQAAXwMAAA4AAAAAAAAAAQAgAAAAJA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工期约定的要求</w:t>
                      </w:r>
                    </w:p>
                  </w:txbxContent>
                </v:textbox>
              </v:shape>
            </w:pict>
          </mc:Fallback>
        </mc:AlternateContent>
      </w:r>
      <w:r>
        <w:rPr>
          <w:rFonts w:hint="eastAsia" w:ascii="仿宋" w:hAnsi="仿宋" w:eastAsia="仿宋" w:cs="仿宋"/>
          <w:color w:val="auto"/>
          <w:highlight w:val="none"/>
          <w:lang w:eastAsia="zh-CN"/>
        </w:rPr>
        <w:t>合同双方当事人应在专用条款中约定合同工程的总工期及勘察（如果有）、设计、BIM技术应用、设备及工器具购置（如果有）、施工等各阶段工期，工期从合同约定的首项工作（如勘察）开始工作日期开始计算。合同中包括有多个单项工程的，应在专用条款中约定各单项工程的工期。根据各阶段工期计算的总工期可能存在叠加，以协议书约定的合同工期总日历天数为准。合同允许调整事项导致的合理工期延误，按变更处理。</w:t>
      </w:r>
    </w:p>
    <w:p>
      <w:pPr>
        <w:spacing w:line="360" w:lineRule="auto"/>
        <w:rPr>
          <w:rFonts w:ascii="仿宋" w:hAnsi="仿宋" w:eastAsia="仿宋"/>
          <w:b/>
          <w:bCs/>
          <w:color w:val="auto"/>
          <w:highlight w:val="none"/>
          <w:lang w:eastAsia="zh-CN"/>
        </w:rPr>
      </w:pPr>
      <w:bookmarkStart w:id="648" w:name="_Toc19907"/>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.3</w:t>
      </w:r>
      <w:bookmarkEnd w:id="64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69856" behindDoc="0" locked="0" layoutInCell="1" allowOverlap="1">
                <wp:simplePos x="0" y="0"/>
                <wp:positionH relativeFrom="column">
                  <wp:posOffset>-114300</wp:posOffset>
                </wp:positionH>
                <wp:positionV relativeFrom="paragraph">
                  <wp:posOffset>16510</wp:posOffset>
                </wp:positionV>
                <wp:extent cx="741045" cy="554990"/>
                <wp:effectExtent l="0" t="0" r="0" b="0"/>
                <wp:wrapNone/>
                <wp:docPr id="109" name="文本框 834"/>
                <wp:cNvGraphicFramePr/>
                <a:graphic xmlns:a="http://schemas.openxmlformats.org/drawingml/2006/main">
                  <a:graphicData uri="http://schemas.microsoft.com/office/word/2010/wordprocessingShape">
                    <wps:wsp>
                      <wps:cNvSpPr txBox="1"/>
                      <wps:spPr>
                        <a:xfrm>
                          <a:off x="0" y="0"/>
                          <a:ext cx="741045" cy="55499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工期顺延</w:t>
                            </w:r>
                          </w:p>
                        </w:txbxContent>
                      </wps:txbx>
                      <wps:bodyPr wrap="square" upright="1"/>
                    </wps:wsp>
                  </a:graphicData>
                </a:graphic>
              </wp:anchor>
            </w:drawing>
          </mc:Choice>
          <mc:Fallback>
            <w:pict>
              <v:shape id="文本框 834" o:spid="_x0000_s1026" o:spt="202" type="#_x0000_t202" style="position:absolute;left:0pt;margin-left:-9pt;margin-top:1.3pt;height:43.7pt;width:58.35pt;z-index:251769856;mso-width-relative:page;mso-height-relative:page;" filled="f" stroked="f" coordsize="21600,21600" o:gfxdata="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FyAxWDVAAAABwEAAA8AAAAAAAAAAQAgAAAAIgAAAGRycy9kb3ducmV2LnhtbFBLAQIUABQA&#10;AAAIAIdO4kDukPTeugEAAF8DAAAOAAAAAAAAAAEAIAAAACQ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工期顺延</w:t>
                      </w:r>
                    </w:p>
                  </w:txbxContent>
                </v:textbox>
              </v:shape>
            </w:pict>
          </mc:Fallback>
        </mc:AlternateContent>
      </w:r>
      <w:r>
        <w:rPr>
          <w:rFonts w:hint="eastAsia" w:ascii="仿宋" w:hAnsi="仿宋" w:eastAsia="仿宋" w:cs="仿宋"/>
          <w:color w:val="auto"/>
          <w:highlight w:val="none"/>
          <w:lang w:eastAsia="zh-CN"/>
        </w:rPr>
        <w:t>合同履行期间，由于下列原因造成工期延误的，承包人有权要求发包人增加由此发生的费用和（或）顺延工期，并支付合理利润。本款发生顺延的工期，由承包人提出，经设计顾问人或监理人核实后由合同双方当事人协商确定；协商不能达成一致的，由设计顾问人或监理人暂定，通知承包人并抄报发包人。构成争议的，由合同双方当事人按照第91条约定处理。</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）发包人未能按照专用条款的约定提供项目基础资料及其它开始工作或开工条件；</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）发包人未能按照专用条款约定的时间支付预付款、绿色施工安全防护费和进度款；</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）发包人代表或发包人雇用的其他人员造成的人为因素；</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）发包人、设计顾问人或监理人未按照合同约定及时提供所需指令、回复等；</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）由发包人原因引起的工作变更或工程变更（含增加合同工作内容、改变合同的任何一项工作内容等）；</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6</w:t>
      </w:r>
      <w:r>
        <w:rPr>
          <w:rFonts w:hint="eastAsia" w:ascii="仿宋" w:hAnsi="仿宋" w:eastAsia="仿宋" w:cs="仿宋"/>
          <w:color w:val="auto"/>
          <w:sz w:val="24"/>
          <w:szCs w:val="24"/>
          <w:highlight w:val="none"/>
          <w:lang w:eastAsia="zh-CN"/>
        </w:rPr>
        <w:t>）发包人原因引起的工作量或工程量增加；</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）勘察现场遇到的不利物质条件；</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（8）一周内非承包人原因停水、停电、停气造成停工累计超过</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小时；</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（9）不可抗力；</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（10）发包人风险事项；</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1）因发包人的原因导致的暂停工作或暂停施工；</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2）非承包人失误、违约，以及设计顾问人或监理人同意的工期顺延。</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3）发包人造成工期延误的其他情形。</w:t>
      </w:r>
    </w:p>
    <w:p>
      <w:pPr>
        <w:spacing w:line="360" w:lineRule="auto"/>
        <w:rPr>
          <w:rFonts w:ascii="仿宋" w:hAnsi="仿宋" w:eastAsia="仿宋"/>
          <w:color w:val="auto"/>
          <w:highlight w:val="none"/>
          <w:lang w:eastAsia="zh-CN"/>
        </w:rPr>
      </w:pPr>
      <w:bookmarkStart w:id="649" w:name="_Toc4122"/>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.4</w:t>
      </w:r>
      <w:bookmarkEnd w:id="649"/>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70880" behindDoc="0" locked="0" layoutInCell="1" allowOverlap="1">
                <wp:simplePos x="0" y="0"/>
                <wp:positionH relativeFrom="column">
                  <wp:posOffset>-114300</wp:posOffset>
                </wp:positionH>
                <wp:positionV relativeFrom="paragraph">
                  <wp:posOffset>62230</wp:posOffset>
                </wp:positionV>
                <wp:extent cx="813435" cy="467995"/>
                <wp:effectExtent l="0" t="0" r="0" b="0"/>
                <wp:wrapNone/>
                <wp:docPr id="110" name="文本框 835"/>
                <wp:cNvGraphicFramePr/>
                <a:graphic xmlns:a="http://schemas.openxmlformats.org/drawingml/2006/main">
                  <a:graphicData uri="http://schemas.microsoft.com/office/word/2010/wordprocessingShape">
                    <wps:wsp>
                      <wps:cNvSpPr txBox="1"/>
                      <wps:spPr>
                        <a:xfrm>
                          <a:off x="0" y="0"/>
                          <a:ext cx="813435" cy="467995"/>
                        </a:xfrm>
                        <a:prstGeom prst="rect">
                          <a:avLst/>
                        </a:prstGeom>
                        <a:noFill/>
                        <a:ln>
                          <a:noFill/>
                        </a:ln>
                      </wps:spPr>
                      <wps:txbx>
                        <w:txbxContent>
                          <w:p>
                            <w:pPr>
                              <w:spacing w:line="220" w:lineRule="exact"/>
                              <w:rPr>
                                <w:rFonts w:ascii="宋体"/>
                                <w:sz w:val="18"/>
                                <w:szCs w:val="18"/>
                              </w:rPr>
                            </w:pPr>
                            <w:r>
                              <w:rPr>
                                <w:rFonts w:hint="eastAsia" w:ascii="楷体_GB2312" w:hAnsi="宋体" w:eastAsia="楷体_GB2312" w:cs="楷体_GB2312"/>
                                <w:b/>
                                <w:bCs/>
                                <w:color w:val="000000"/>
                                <w:sz w:val="18"/>
                                <w:szCs w:val="18"/>
                              </w:rPr>
                              <w:t>提交工期顺延报告</w:t>
                            </w:r>
                          </w:p>
                        </w:txbxContent>
                      </wps:txbx>
                      <wps:bodyPr wrap="square" upright="1"/>
                    </wps:wsp>
                  </a:graphicData>
                </a:graphic>
              </wp:anchor>
            </w:drawing>
          </mc:Choice>
          <mc:Fallback>
            <w:pict>
              <v:shape id="文本框 835" o:spid="_x0000_s1026" o:spt="202" type="#_x0000_t202" style="position:absolute;left:0pt;margin-left:-9pt;margin-top:4.9pt;height:36.85pt;width:64.05pt;z-index:251770880;mso-width-relative:page;mso-height-relative:page;" filled="f" stroked="f" coordsize="21600,21600" o:gfxdata="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GqTNN9UAAAAIAQAADwAAAAAAAAABACAAAAAiAAAAZHJzL2Rvd25yZXYueG1sUEsBAhQAFAAA&#10;AAgAh07iQAZGLbO5AQAAXwMAAA4AAAAAAAAAAQAgAAAAJAEAAGRycy9lMm9Eb2MueG1sUEsFBgAA&#10;AAAGAAYAWQEAAE8FAAAAAA==&#10;">
                <v:fill on="f" focussize="0,0"/>
                <v:stroke on="f"/>
                <v:imagedata o:title=""/>
                <o:lock v:ext="edit" aspectratio="f"/>
                <v:textbox>
                  <w:txbxContent>
                    <w:p>
                      <w:pPr>
                        <w:spacing w:line="220" w:lineRule="exact"/>
                        <w:rPr>
                          <w:rFonts w:ascii="宋体"/>
                          <w:sz w:val="18"/>
                          <w:szCs w:val="18"/>
                        </w:rPr>
                      </w:pPr>
                      <w:r>
                        <w:rPr>
                          <w:rFonts w:hint="eastAsia" w:ascii="楷体_GB2312" w:hAnsi="宋体" w:eastAsia="楷体_GB2312" w:cs="楷体_GB2312"/>
                          <w:b/>
                          <w:bCs/>
                          <w:color w:val="000000"/>
                          <w:sz w:val="18"/>
                          <w:szCs w:val="18"/>
                        </w:rPr>
                        <w:t>提交工期顺延报告</w:t>
                      </w:r>
                    </w:p>
                  </w:txbxContent>
                </v:textbox>
              </v:shape>
            </w:pict>
          </mc:Fallback>
        </mc:AlternateContent>
      </w:r>
      <w:r>
        <w:rPr>
          <w:rFonts w:hint="eastAsia" w:ascii="仿宋" w:hAnsi="仿宋" w:eastAsia="仿宋" w:cs="仿宋"/>
          <w:color w:val="auto"/>
          <w:sz w:val="24"/>
          <w:szCs w:val="24"/>
          <w:highlight w:val="none"/>
          <w:lang w:eastAsia="zh-CN"/>
        </w:rPr>
        <w:t>当第43</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款所述事项发生后，承包人应在</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天内向发包人、设计顾问人或监理人发出工期顺延意向书，并抄送发包人。承包人应在发出工期顺延意向书后的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天内，向设计顾问人或监理人提交工期顺延报告和有关详细资料。</w:t>
      </w:r>
    </w:p>
    <w:p>
      <w:pPr>
        <w:spacing w:line="360" w:lineRule="auto"/>
        <w:rPr>
          <w:rFonts w:ascii="仿宋" w:hAnsi="仿宋" w:eastAsia="仿宋" w:cs="仿宋"/>
          <w:b/>
          <w:bCs/>
          <w:color w:val="auto"/>
          <w:highlight w:val="none"/>
          <w:u w:val="dotted"/>
          <w:lang w:eastAsia="zh-CN"/>
        </w:rPr>
      </w:pPr>
      <w:bookmarkStart w:id="650" w:name="_Toc15344"/>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.5</w:t>
      </w:r>
      <w:bookmarkEnd w:id="65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771904" behindDoc="0" locked="0" layoutInCell="1" allowOverlap="1">
                <wp:simplePos x="0" y="0"/>
                <wp:positionH relativeFrom="column">
                  <wp:posOffset>-114300</wp:posOffset>
                </wp:positionH>
                <wp:positionV relativeFrom="paragraph">
                  <wp:posOffset>46990</wp:posOffset>
                </wp:positionV>
                <wp:extent cx="822960" cy="791210"/>
                <wp:effectExtent l="0" t="0" r="0" b="0"/>
                <wp:wrapNone/>
                <wp:docPr id="111" name="文本框 836"/>
                <wp:cNvGraphicFramePr/>
                <a:graphic xmlns:a="http://schemas.openxmlformats.org/drawingml/2006/main">
                  <a:graphicData uri="http://schemas.microsoft.com/office/word/2010/wordprocessingShape">
                    <wps:wsp>
                      <wps:cNvSpPr txBox="1"/>
                      <wps:spPr>
                        <a:xfrm>
                          <a:off x="0" y="0"/>
                          <a:ext cx="822960" cy="79121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工期顺延持续发生的要求</w:t>
                            </w:r>
                          </w:p>
                        </w:txbxContent>
                      </wps:txbx>
                      <wps:bodyPr wrap="square" upright="1"/>
                    </wps:wsp>
                  </a:graphicData>
                </a:graphic>
              </wp:anchor>
            </w:drawing>
          </mc:Choice>
          <mc:Fallback>
            <w:pict>
              <v:shape id="文本框 836" o:spid="_x0000_s1026" o:spt="202" type="#_x0000_t202" style="position:absolute;left:0pt;margin-left:-9pt;margin-top:3.7pt;height:62.3pt;width:64.8pt;z-index:251771904;mso-width-relative:page;mso-height-relative:page;" filled="f" stroked="f" coordsize="21600,21600" o:gfxdata="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hCW9T1wAAAAkBAAAPAAAAAAAAAAEAIAAAACIAAABkcnMvZG93bnJldi54bWxQSwECFAAU&#10;AAAACACHTuJA/J+xl7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工期顺延持续发生的要求</w:t>
                      </w:r>
                    </w:p>
                  </w:txbxContent>
                </v:textbox>
              </v:shape>
            </w:pict>
          </mc:Fallback>
        </mc:AlternateContent>
      </w:r>
      <w:r>
        <w:rPr>
          <w:rFonts w:hint="eastAsia" w:ascii="仿宋" w:hAnsi="仿宋" w:eastAsia="仿宋" w:cs="仿宋"/>
          <w:color w:val="auto"/>
          <w:sz w:val="24"/>
          <w:szCs w:val="24"/>
          <w:highlight w:val="none"/>
          <w:lang w:eastAsia="zh-CN"/>
        </w:rPr>
        <w:t>如果工期顺延事项持续发生时，承包人应每隔</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天向发包人、设计顾问人或监理人发出工期顺延意向书，并在工期顺延事项终结后的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天内，向发包人、设计顾问人或监理人提交最终工期顺延报告和详细资料。</w:t>
      </w:r>
    </w:p>
    <w:p>
      <w:pPr>
        <w:spacing w:line="360" w:lineRule="auto"/>
        <w:rPr>
          <w:rFonts w:ascii="仿宋" w:hAnsi="仿宋" w:eastAsia="仿宋" w:cs="仿宋"/>
          <w:b/>
          <w:bCs/>
          <w:color w:val="auto"/>
          <w:highlight w:val="none"/>
          <w:u w:val="dotted"/>
          <w:lang w:eastAsia="zh-CN"/>
        </w:rPr>
      </w:pPr>
      <w:bookmarkStart w:id="651" w:name="_Toc25744"/>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.6</w:t>
      </w:r>
      <w:bookmarkEnd w:id="65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772928" behindDoc="0" locked="0" layoutInCell="1" allowOverlap="1">
                <wp:simplePos x="0" y="0"/>
                <wp:positionH relativeFrom="column">
                  <wp:posOffset>-114300</wp:posOffset>
                </wp:positionH>
                <wp:positionV relativeFrom="paragraph">
                  <wp:posOffset>45720</wp:posOffset>
                </wp:positionV>
                <wp:extent cx="861695" cy="552450"/>
                <wp:effectExtent l="0" t="0" r="0" b="0"/>
                <wp:wrapNone/>
                <wp:docPr id="112" name="文本框 837"/>
                <wp:cNvGraphicFramePr/>
                <a:graphic xmlns:a="http://schemas.openxmlformats.org/drawingml/2006/main">
                  <a:graphicData uri="http://schemas.microsoft.com/office/word/2010/wordprocessingShape">
                    <wps:wsp>
                      <wps:cNvSpPr txBox="1"/>
                      <wps:spPr>
                        <a:xfrm>
                          <a:off x="0" y="0"/>
                          <a:ext cx="861695" cy="55245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拒绝延期</w:t>
                            </w:r>
                          </w:p>
                        </w:txbxContent>
                      </wps:txbx>
                      <wps:bodyPr wrap="square" upright="1"/>
                    </wps:wsp>
                  </a:graphicData>
                </a:graphic>
              </wp:anchor>
            </w:drawing>
          </mc:Choice>
          <mc:Fallback>
            <w:pict>
              <v:shape id="文本框 837" o:spid="_x0000_s1026" o:spt="202" type="#_x0000_t202" style="position:absolute;left:0pt;margin-left:-9pt;margin-top:3.6pt;height:43.5pt;width:67.85pt;z-index:251772928;mso-width-relative:page;mso-height-relative:page;" filled="f" stroked="f" coordsize="21600,21600" o:gfxdata="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M2lpUtYAAAAIAQAADwAAAAAAAAABACAAAAAiAAAAZHJzL2Rvd25yZXYueG1sUEsBAhQA&#10;FAAAAAgAh07iQDMWtMK7AQAAXw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拒绝延期</w:t>
                      </w:r>
                    </w:p>
                  </w:txbxContent>
                </v:textbox>
              </v:shape>
            </w:pict>
          </mc:Fallback>
        </mc:AlternateContent>
      </w:r>
      <w:r>
        <w:rPr>
          <w:rFonts w:hint="eastAsia" w:ascii="仿宋" w:hAnsi="仿宋" w:eastAsia="仿宋" w:cs="仿宋"/>
          <w:color w:val="auto"/>
          <w:sz w:val="24"/>
          <w:szCs w:val="24"/>
          <w:highlight w:val="none"/>
          <w:lang w:eastAsia="zh-CN"/>
        </w:rPr>
        <w:t>如果承包人未能在第43</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款和第43</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款（发生时）约定的时间内提交（最终）工期顺延报告和详细资料，则视为该事项不影响工作进度、施工进度或承包人放弃顺延工期的权利。</w:t>
      </w:r>
      <w:r>
        <w:rPr>
          <w:rFonts w:ascii="仿宋" w:hAnsi="仿宋" w:eastAsia="仿宋" w:cs="仿宋"/>
          <w:color w:val="auto"/>
          <w:sz w:val="24"/>
          <w:szCs w:val="24"/>
          <w:highlight w:val="none"/>
          <w:lang w:eastAsia="zh-CN"/>
        </w:rPr>
        <w:t xml:space="preserve"> </w:t>
      </w:r>
    </w:p>
    <w:p>
      <w:pPr>
        <w:spacing w:line="360" w:lineRule="auto"/>
        <w:rPr>
          <w:rFonts w:ascii="仿宋" w:hAnsi="仿宋" w:eastAsia="仿宋" w:cs="仿宋"/>
          <w:b/>
          <w:bCs/>
          <w:color w:val="auto"/>
          <w:highlight w:val="none"/>
          <w:u w:val="dotted"/>
          <w:lang w:eastAsia="zh-CN"/>
        </w:rPr>
      </w:pPr>
      <w:bookmarkStart w:id="652" w:name="_Toc6199"/>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.7</w:t>
      </w:r>
      <w:bookmarkEnd w:id="65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73952" behindDoc="0" locked="0" layoutInCell="1" allowOverlap="1">
                <wp:simplePos x="0" y="0"/>
                <wp:positionH relativeFrom="column">
                  <wp:posOffset>-114300</wp:posOffset>
                </wp:positionH>
                <wp:positionV relativeFrom="paragraph">
                  <wp:posOffset>45720</wp:posOffset>
                </wp:positionV>
                <wp:extent cx="870585" cy="695325"/>
                <wp:effectExtent l="0" t="0" r="0" b="0"/>
                <wp:wrapNone/>
                <wp:docPr id="113" name="文本框 838"/>
                <wp:cNvGraphicFramePr/>
                <a:graphic xmlns:a="http://schemas.openxmlformats.org/drawingml/2006/main">
                  <a:graphicData uri="http://schemas.microsoft.com/office/word/2010/wordprocessingShape">
                    <wps:wsp>
                      <wps:cNvSpPr txBox="1"/>
                      <wps:spPr>
                        <a:xfrm>
                          <a:off x="0" y="0"/>
                          <a:ext cx="870585" cy="695325"/>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工期顺延的核实与确定</w:t>
                            </w:r>
                          </w:p>
                        </w:txbxContent>
                      </wps:txbx>
                      <wps:bodyPr wrap="square" upright="1"/>
                    </wps:wsp>
                  </a:graphicData>
                </a:graphic>
              </wp:anchor>
            </w:drawing>
          </mc:Choice>
          <mc:Fallback>
            <w:pict>
              <v:shape id="文本框 838" o:spid="_x0000_s1026" o:spt="202" type="#_x0000_t202" style="position:absolute;left:0pt;margin-left:-9pt;margin-top:3.6pt;height:54.75pt;width:68.55pt;z-index:251773952;mso-width-relative:page;mso-height-relative:page;" filled="f" stroked="f" coordsize="21600,21600" o:gfxdata="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8gb63WAAAACQEAAA8AAAAAAAAAAQAgAAAAIgAAAGRycy9kb3ducmV2LnhtbFBLAQIUABQA&#10;AAAIAIdO4kA+7HbxuQEAAF8DAAAOAAAAAAAAAAEAIAAAACUBAABkcnMvZTJvRG9jLnhtbFBLBQYA&#10;AAAABgAGAFkBAABQBQ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工期顺延的核实与确定</w:t>
                      </w:r>
                    </w:p>
                  </w:txbxContent>
                </v:textbox>
              </v:shape>
            </w:pict>
          </mc:Fallback>
        </mc:AlternateContent>
      </w:r>
      <w:r>
        <w:rPr>
          <w:rFonts w:hint="eastAsia" w:ascii="仿宋" w:hAnsi="仿宋" w:eastAsia="仿宋" w:cs="仿宋"/>
          <w:color w:val="auto"/>
          <w:sz w:val="24"/>
          <w:szCs w:val="24"/>
          <w:highlight w:val="none"/>
          <w:lang w:eastAsia="zh-CN"/>
        </w:rPr>
        <w:t>发包人、设计顾问人或监理人应在收到承包人按照第43</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款和第43</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款（发生时）约定提交（最终）工期顺延报告和详细资料后的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天内，按照第43</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款约定予以核实，或要求承包人进一步补充顺延工期的理由。合同双方当事人一旦协商确定顺延的工期，发包人应承担由此增加的费用，并向承包人支付合理利润。</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如果发包人、设计顾问人或监理人在收到上述报告和资料后的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天内未予核实也未对承包人作出进一步要求，则视为发包人、设计顾问人或监理人已认可承包人上述报告中提出的顺延工期天数。</w:t>
      </w:r>
    </w:p>
    <w:p>
      <w:pPr>
        <w:spacing w:line="360" w:lineRule="auto"/>
        <w:rPr>
          <w:rFonts w:ascii="仿宋" w:hAnsi="仿宋" w:eastAsia="仿宋" w:cs="仿宋"/>
          <w:b/>
          <w:bCs/>
          <w:color w:val="auto"/>
          <w:highlight w:val="none"/>
          <w:u w:val="dotted"/>
          <w:lang w:eastAsia="zh-CN"/>
        </w:rPr>
      </w:pPr>
      <w:bookmarkStart w:id="653" w:name="_Toc7906"/>
      <w:r>
        <w:rPr>
          <w:color w:val="auto"/>
          <w:highlight w:val="none"/>
        </w:rPr>
        <mc:AlternateContent>
          <mc:Choice Requires="wps">
            <w:drawing>
              <wp:anchor distT="0" distB="0" distL="114300" distR="114300" simplePos="0" relativeHeight="251774976" behindDoc="0" locked="0" layoutInCell="1" allowOverlap="1">
                <wp:simplePos x="0" y="0"/>
                <wp:positionH relativeFrom="column">
                  <wp:posOffset>-142875</wp:posOffset>
                </wp:positionH>
                <wp:positionV relativeFrom="paragraph">
                  <wp:posOffset>236855</wp:posOffset>
                </wp:positionV>
                <wp:extent cx="785495" cy="525780"/>
                <wp:effectExtent l="0" t="0" r="0" b="0"/>
                <wp:wrapNone/>
                <wp:docPr id="114" name="文本框 839"/>
                <wp:cNvGraphicFramePr/>
                <a:graphic xmlns:a="http://schemas.openxmlformats.org/drawingml/2006/main">
                  <a:graphicData uri="http://schemas.microsoft.com/office/word/2010/wordprocessingShape">
                    <wps:wsp>
                      <wps:cNvSpPr txBox="1"/>
                      <wps:spPr>
                        <a:xfrm>
                          <a:off x="0" y="0"/>
                          <a:ext cx="785495" cy="52578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承包人误期的赔偿、责任承担</w:t>
                            </w:r>
                          </w:p>
                        </w:txbxContent>
                      </wps:txbx>
                      <wps:bodyPr wrap="square" upright="1"/>
                    </wps:wsp>
                  </a:graphicData>
                </a:graphic>
              </wp:anchor>
            </w:drawing>
          </mc:Choice>
          <mc:Fallback>
            <w:pict>
              <v:shape id="文本框 839" o:spid="_x0000_s1026" o:spt="202" type="#_x0000_t202" style="position:absolute;left:0pt;margin-left:-11.25pt;margin-top:18.65pt;height:41.4pt;width:61.85pt;z-index:251774976;mso-width-relative:page;mso-height-relative:page;" filled="f" stroked="f" coordsize="21600,21600" o:gfxdata="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QuE5u2AAAAAoBAAAPAAAAAAAAAAEAIAAAACIAAABkcnMvZG93bnJldi54bWxQSwEC&#10;FAAUAAAACACHTuJAN/KP4bsBAABf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承包人误期的赔偿、责任承担</w:t>
                      </w:r>
                    </w:p>
                  </w:txbxContent>
                </v:textbox>
              </v:shape>
            </w:pict>
          </mc:Fallback>
        </mc:AlternateContent>
      </w:r>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.8</w:t>
      </w:r>
      <w:bookmarkEnd w:id="65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承包人未能按照合同进度计划完成工程，或因承包人的原因造成工期延误，发包人可按照本条约定的时限和第76</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款约定要求承包人支付误期赔偿费。</w:t>
      </w:r>
    </w:p>
    <w:p>
      <w:pPr>
        <w:spacing w:line="360" w:lineRule="auto"/>
        <w:rPr>
          <w:rFonts w:ascii="仿宋" w:hAnsi="仿宋" w:eastAsia="仿宋" w:cs="仿宋"/>
          <w:b/>
          <w:bCs/>
          <w:color w:val="auto"/>
          <w:highlight w:val="none"/>
          <w:u w:val="dotted"/>
          <w:lang w:eastAsia="zh-CN"/>
        </w:rPr>
      </w:pPr>
      <w:bookmarkStart w:id="654" w:name="_Toc26475"/>
      <w:r>
        <w:rPr>
          <w:rFonts w:hint="eastAsia" w:ascii="仿宋" w:hAnsi="仿宋" w:eastAsia="仿宋" w:cs="仿宋"/>
          <w:b/>
          <w:bCs/>
          <w:color w:val="auto"/>
          <w:highlight w:val="none"/>
          <w:lang w:eastAsia="zh-CN"/>
        </w:rPr>
        <w:t>43</w:t>
      </w:r>
      <w:r>
        <w:rPr>
          <w:rFonts w:ascii="仿宋" w:hAnsi="仿宋" w:eastAsia="仿宋" w:cs="仿宋"/>
          <w:b/>
          <w:bCs/>
          <w:color w:val="auto"/>
          <w:highlight w:val="none"/>
          <w:lang w:eastAsia="zh-CN"/>
        </w:rPr>
        <w:t>.9</w:t>
      </w:r>
      <w:bookmarkEnd w:id="65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按发包人批准的项目进度计划实施合同工程时，发包人认为有必要加快勘察、设计、采购、施工、竣工试验等工作的进度，应书面向承包人提出赶工要求。发包人不得提出不合理的施工工期（原则上压缩工期不得超过计划工期的20%）要求。承包人收到发包人书面赶工要求后，应向发包人提交合理的赶工方案及赶工措施费预算书，经发包人审核同意后实施。产生的赶工措施费，按第69.3款的约定执行。</w:t>
      </w:r>
      <w:r>
        <w:rPr>
          <w:rFonts w:hint="eastAsia" w:ascii="仿宋" w:hAnsi="仿宋" w:eastAsia="仿宋" w:cs="仿宋"/>
          <w:color w:val="auto"/>
          <w:sz w:val="24"/>
          <w:szCs w:val="24"/>
          <w:highlight w:val="none"/>
          <w:lang w:eastAsia="zh-CN"/>
        </w:rPr>
        <mc:AlternateContent>
          <mc:Choice Requires="wps">
            <w:drawing>
              <wp:anchor distT="0" distB="0" distL="114300" distR="114300" simplePos="0" relativeHeight="251782144" behindDoc="0" locked="0" layoutInCell="1" allowOverlap="1">
                <wp:simplePos x="0" y="0"/>
                <wp:positionH relativeFrom="column">
                  <wp:posOffset>-64770</wp:posOffset>
                </wp:positionH>
                <wp:positionV relativeFrom="paragraph">
                  <wp:posOffset>21590</wp:posOffset>
                </wp:positionV>
                <wp:extent cx="904875" cy="571500"/>
                <wp:effectExtent l="0" t="0" r="0" b="0"/>
                <wp:wrapNone/>
                <wp:docPr id="121" name="文本框 849"/>
                <wp:cNvGraphicFramePr/>
                <a:graphic xmlns:a="http://schemas.openxmlformats.org/drawingml/2006/main">
                  <a:graphicData uri="http://schemas.microsoft.com/office/word/2010/wordprocessingShape">
                    <wps:wsp>
                      <wps:cNvSpPr txBox="1"/>
                      <wps:spPr>
                        <a:xfrm>
                          <a:off x="0" y="0"/>
                          <a:ext cx="904875" cy="571500"/>
                        </a:xfrm>
                        <a:prstGeom prst="rect">
                          <a:avLst/>
                        </a:prstGeom>
                        <a:noFill/>
                        <a:ln>
                          <a:noFill/>
                        </a:ln>
                      </wps:spPr>
                      <wps:txbx>
                        <w:txbxContent>
                          <w:p>
                            <w:pPr>
                              <w:spacing w:line="240" w:lineRule="exact"/>
                              <w:rPr>
                                <w:rFonts w:ascii="楷体_GB2312" w:hAnsi="宋体" w:eastAsia="楷体_GB2312" w:cs="楷体_GB2312"/>
                                <w:b/>
                                <w:bCs/>
                                <w:sz w:val="18"/>
                                <w:szCs w:val="18"/>
                              </w:rPr>
                            </w:pPr>
                            <w:r>
                              <w:rPr>
                                <w:rFonts w:hint="eastAsia" w:ascii="楷体_GB2312" w:hAnsi="宋体" w:eastAsia="楷体_GB2312" w:cs="楷体_GB2312"/>
                                <w:b/>
                                <w:bCs/>
                                <w:sz w:val="18"/>
                                <w:szCs w:val="18"/>
                              </w:rPr>
                              <w:t>赶工措施费</w:t>
                            </w:r>
                          </w:p>
                        </w:txbxContent>
                      </wps:txbx>
                      <wps:bodyPr wrap="square" upright="1"/>
                    </wps:wsp>
                  </a:graphicData>
                </a:graphic>
              </wp:anchor>
            </w:drawing>
          </mc:Choice>
          <mc:Fallback>
            <w:pict>
              <v:shape id="文本框 849" o:spid="_x0000_s1026" o:spt="202" type="#_x0000_t202" style="position:absolute;left:0pt;margin-left:-5.1pt;margin-top:1.7pt;height:45pt;width:71.25pt;z-index:251782144;mso-width-relative:page;mso-height-relative:page;" filled="f" stroked="f" coordsize="21600,21600" o:gfxdata="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znVkt1gAAAAgBAAAPAAAAAAAAAAEAIAAAACIAAABkcnMvZG93bnJldi54bWxQSwECFAAU&#10;AAAACACHTuJA+t9XxLoBAABf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cs="楷体_GB2312"/>
                          <w:b/>
                          <w:bCs/>
                          <w:sz w:val="18"/>
                          <w:szCs w:val="18"/>
                        </w:rPr>
                      </w:pPr>
                      <w:r>
                        <w:rPr>
                          <w:rFonts w:hint="eastAsia" w:ascii="楷体_GB2312" w:hAnsi="宋体" w:eastAsia="楷体_GB2312" w:cs="楷体_GB2312"/>
                          <w:b/>
                          <w:bCs/>
                          <w:sz w:val="18"/>
                          <w:szCs w:val="18"/>
                        </w:rPr>
                        <w:t>赶工措施费</w:t>
                      </w:r>
                    </w:p>
                  </w:txbxContent>
                </v:textbox>
              </v:shape>
            </w:pict>
          </mc:Fallback>
        </mc:AlternateContent>
      </w:r>
    </w:p>
    <w:p>
      <w:pPr>
        <w:pStyle w:val="22"/>
        <w:adjustRightInd w:val="0"/>
        <w:snapToGrid w:val="0"/>
        <w:spacing w:line="360" w:lineRule="auto"/>
        <w:ind w:left="1850" w:leftChars="771"/>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由于承包人责任导致关键路径的工程实际进度比发包人批准的项目进度计划延误，发包人有权要求承包人采取赶工措施赶上项目进度计划，由此产生的赶工措施费由承包人自行承担。</w:t>
      </w:r>
    </w:p>
    <w:p>
      <w:pPr>
        <w:pStyle w:val="22"/>
        <w:adjustRightInd w:val="0"/>
        <w:snapToGrid w:val="0"/>
        <w:spacing w:line="360" w:lineRule="auto"/>
        <w:ind w:left="1850" w:leftChars="771"/>
        <w:rPr>
          <w:rFonts w:ascii="仿宋" w:hAnsi="仿宋" w:eastAsia="仿宋" w:cs="仿宋"/>
          <w:color w:val="auto"/>
          <w:sz w:val="24"/>
          <w:szCs w:val="24"/>
          <w:highlight w:val="none"/>
          <w:lang w:eastAsia="zh-CN"/>
        </w:rPr>
      </w:pPr>
    </w:p>
    <w:p>
      <w:pPr>
        <w:pStyle w:val="22"/>
        <w:tabs>
          <w:tab w:val="left" w:pos="54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55" w:name="_Toc11478"/>
      <w:bookmarkStart w:id="656" w:name="_Toc626"/>
      <w:bookmarkStart w:id="657" w:name="_Toc16062"/>
      <w:bookmarkStart w:id="658" w:name="_Toc6225"/>
      <w:bookmarkStart w:id="659" w:name="_Toc21417"/>
      <w:bookmarkStart w:id="660" w:name="_Toc16322"/>
      <w:bookmarkStart w:id="661" w:name="_Toc18900"/>
      <w:bookmarkStart w:id="662" w:name="_Toc31663"/>
      <w:r>
        <w:rPr>
          <w:rFonts w:hint="eastAsia" w:ascii="仿宋" w:hAnsi="仿宋" w:eastAsia="仿宋" w:cs="仿宋"/>
          <w:bCs w:val="0"/>
          <w:color w:val="auto"/>
          <w:sz w:val="24"/>
          <w:szCs w:val="24"/>
          <w:highlight w:val="none"/>
          <w:lang w:eastAsia="zh-CN"/>
        </w:rPr>
        <w:t>44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加快进度</w:t>
      </w:r>
      <w:bookmarkEnd w:id="655"/>
      <w:bookmarkEnd w:id="656"/>
      <w:bookmarkEnd w:id="657"/>
      <w:bookmarkEnd w:id="658"/>
      <w:bookmarkEnd w:id="659"/>
      <w:bookmarkEnd w:id="660"/>
      <w:bookmarkEnd w:id="661"/>
      <w:bookmarkEnd w:id="662"/>
    </w:p>
    <w:p>
      <w:pPr>
        <w:pStyle w:val="22"/>
        <w:tabs>
          <w:tab w:val="left" w:pos="1320"/>
        </w:tabs>
        <w:adjustRightInd w:val="0"/>
        <w:snapToGrid w:val="0"/>
        <w:spacing w:line="360" w:lineRule="auto"/>
        <w:ind w:left="1800" w:hanging="1800" w:hangingChars="900"/>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2019712" behindDoc="0" locked="0" layoutInCell="1" allowOverlap="1">
                <wp:simplePos x="0" y="0"/>
                <wp:positionH relativeFrom="column">
                  <wp:posOffset>-114300</wp:posOffset>
                </wp:positionH>
                <wp:positionV relativeFrom="paragraph">
                  <wp:posOffset>284480</wp:posOffset>
                </wp:positionV>
                <wp:extent cx="794385" cy="662940"/>
                <wp:effectExtent l="0" t="0" r="0" b="0"/>
                <wp:wrapNone/>
                <wp:docPr id="353" name="文本框 840"/>
                <wp:cNvGraphicFramePr/>
                <a:graphic xmlns:a="http://schemas.openxmlformats.org/drawingml/2006/main">
                  <a:graphicData uri="http://schemas.microsoft.com/office/word/2010/wordprocessingShape">
                    <wps:wsp>
                      <wps:cNvSpPr txBox="1"/>
                      <wps:spPr>
                        <a:xfrm>
                          <a:off x="0" y="0"/>
                          <a:ext cx="794385" cy="662940"/>
                        </a:xfrm>
                        <a:prstGeom prst="rect">
                          <a:avLst/>
                        </a:prstGeom>
                        <a:noFill/>
                        <a:ln>
                          <a:noFill/>
                        </a:ln>
                      </wps:spPr>
                      <wps:txbx>
                        <w:txbxContent>
                          <w:p>
                            <w:pPr>
                              <w:rPr>
                                <w:rFonts w:ascii="宋体"/>
                                <w:sz w:val="18"/>
                                <w:szCs w:val="18"/>
                                <w:lang w:eastAsia="zh-CN"/>
                              </w:rPr>
                            </w:pPr>
                            <w:r>
                              <w:rPr>
                                <w:rFonts w:hint="eastAsia" w:ascii="楷体_GB2312" w:hAnsi="宋体" w:eastAsia="楷体_GB2312" w:cs="楷体_GB2312"/>
                                <w:b/>
                                <w:bCs/>
                                <w:color w:val="000000"/>
                                <w:sz w:val="18"/>
                                <w:szCs w:val="18"/>
                                <w:lang w:eastAsia="zh-CN"/>
                              </w:rPr>
                              <w:t>承包人原因加快进度的要求</w:t>
                            </w:r>
                          </w:p>
                        </w:txbxContent>
                      </wps:txbx>
                      <wps:bodyPr wrap="square" upright="1"/>
                    </wps:wsp>
                  </a:graphicData>
                </a:graphic>
              </wp:anchor>
            </w:drawing>
          </mc:Choice>
          <mc:Fallback>
            <w:pict>
              <v:shape id="文本框 840" o:spid="_x0000_s1026" o:spt="202" type="#_x0000_t202" style="position:absolute;left:0pt;margin-left:-9pt;margin-top:22.4pt;height:52.2pt;width:62.55pt;z-index:252019712;mso-width-relative:page;mso-height-relative:page;" filled="f" stroked="f" coordsize="21600,21600" o:gfxdata="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3izl1wAAAAoBAAAPAAAAAAAAAAEAIAAAACIAAABkcnMvZG93bnJldi54bWxQSwECFAAU&#10;AAAACACHTuJAqwjxoLkBAABfAwAADgAAAAAAAAABACAAAAAmAQAAZHJzL2Uyb0RvYy54bWxQSwUG&#10;AAAAAAYABgBZAQAAUQUAAAAA&#10;">
                <v:fill on="f" focussize="0,0"/>
                <v:stroke on="f"/>
                <v:imagedata o:title=""/>
                <o:lock v:ext="edit" aspectratio="f"/>
                <v:textbox>
                  <w:txbxContent>
                    <w:p>
                      <w:pPr>
                        <w:rPr>
                          <w:rFonts w:ascii="宋体"/>
                          <w:sz w:val="18"/>
                          <w:szCs w:val="18"/>
                          <w:lang w:eastAsia="zh-CN"/>
                        </w:rPr>
                      </w:pPr>
                      <w:r>
                        <w:rPr>
                          <w:rFonts w:hint="eastAsia" w:ascii="楷体_GB2312" w:hAnsi="宋体" w:eastAsia="楷体_GB2312" w:cs="楷体_GB2312"/>
                          <w:b/>
                          <w:bCs/>
                          <w:color w:val="000000"/>
                          <w:sz w:val="18"/>
                          <w:szCs w:val="18"/>
                          <w:lang w:eastAsia="zh-CN"/>
                        </w:rPr>
                        <w:t>承包人原因加快进度的要求</w:t>
                      </w:r>
                    </w:p>
                  </w:txbxContent>
                </v:textbox>
              </v:shape>
            </w:pict>
          </mc:Fallback>
        </mc:AlternateContent>
      </w:r>
      <w:r>
        <w:rPr>
          <w:rFonts w:hint="eastAsia" w:ascii="仿宋" w:hAnsi="仿宋" w:eastAsia="仿宋" w:cs="仿宋"/>
          <w:b/>
          <w:bCs/>
          <w:color w:val="auto"/>
          <w:sz w:val="24"/>
          <w:szCs w:val="24"/>
          <w:highlight w:val="none"/>
          <w:lang w:eastAsia="zh-CN"/>
        </w:rPr>
        <w:t>44</w:t>
      </w:r>
      <w:r>
        <w:rPr>
          <w:rFonts w:ascii="仿宋" w:hAnsi="仿宋" w:eastAsia="仿宋" w:cs="仿宋"/>
          <w:b/>
          <w:bCs/>
          <w:color w:val="auto"/>
          <w:sz w:val="24"/>
          <w:szCs w:val="24"/>
          <w:highlight w:val="none"/>
          <w:lang w:eastAsia="zh-CN"/>
        </w:rPr>
        <w:t>.1</w:t>
      </w:r>
      <w:r>
        <w:rPr>
          <w:rFonts w:hint="eastAsia" w:ascii="仿宋" w:hAnsi="仿宋" w:eastAsia="仿宋" w:cs="仿宋"/>
          <w:b/>
          <w:bCs/>
          <w:color w:val="auto"/>
          <w:sz w:val="24"/>
          <w:szCs w:val="24"/>
          <w:highlight w:val="none"/>
          <w:lang w:eastAsia="zh-CN"/>
        </w:rPr>
        <w:t xml:space="preserve">           </w:t>
      </w:r>
      <w:r>
        <w:rPr>
          <w:rFonts w:hint="eastAsia" w:ascii="仿宋" w:hAnsi="仿宋" w:eastAsia="仿宋" w:cs="仿宋"/>
          <w:color w:val="auto"/>
          <w:sz w:val="24"/>
          <w:szCs w:val="24"/>
          <w:highlight w:val="none"/>
          <w:lang w:eastAsia="zh-CN"/>
        </w:rPr>
        <w:t>如果设计顾问人或监理人发现承包人未按发包人批准的项目进度计划实施合同工程或其任何部分的工作进度迟于进度计划，预计无法按期竣工，应向承包人提出加快进度的书面要求。承包人收到加快进度的书面要求后，应按照第 40</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款约定采取改进措施，加快工程进度。</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如果承包人在收到设计顾问人或监理人书面要求后的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天内，未能采取加快进度的措施；或虽然采取了改进措施，但实际进度仍然迟于进度计划，预计无法按期竣工，设计顾问人或监理人应立即向发包人提交书面报告，并抄送承包人。发包人可按照第93</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款约定解除合同，也可将合同工程中的部分关键工作交由第三方完成，由此增加的费用由承包人承担。即使承包人承担了增加的费用，也不能免除合同约定应由其承担的责任和义务。</w:t>
      </w:r>
    </w:p>
    <w:p>
      <w:pPr>
        <w:pStyle w:val="22"/>
        <w:tabs>
          <w:tab w:val="left" w:pos="1320"/>
        </w:tabs>
        <w:adjustRightInd w:val="0"/>
        <w:snapToGrid w:val="0"/>
        <w:spacing w:line="360" w:lineRule="auto"/>
        <w:rPr>
          <w:rFonts w:ascii="仿宋" w:hAnsi="仿宋" w:eastAsia="仿宋" w:cs="仿宋"/>
          <w:b/>
          <w:bCs/>
          <w:color w:val="auto"/>
          <w:sz w:val="24"/>
          <w:szCs w:val="24"/>
          <w:highlight w:val="none"/>
          <w:u w:val="dotted"/>
          <w:lang w:eastAsia="zh-CN"/>
        </w:rPr>
      </w:pPr>
      <w:r>
        <w:rPr>
          <w:color w:val="auto"/>
          <w:highlight w:val="none"/>
        </w:rPr>
        <mc:AlternateContent>
          <mc:Choice Requires="wps">
            <w:drawing>
              <wp:anchor distT="0" distB="0" distL="114300" distR="114300" simplePos="0" relativeHeight="252020736" behindDoc="0" locked="0" layoutInCell="1" allowOverlap="1">
                <wp:simplePos x="0" y="0"/>
                <wp:positionH relativeFrom="column">
                  <wp:posOffset>-114300</wp:posOffset>
                </wp:positionH>
                <wp:positionV relativeFrom="paragraph">
                  <wp:posOffset>278130</wp:posOffset>
                </wp:positionV>
                <wp:extent cx="832485" cy="579755"/>
                <wp:effectExtent l="0" t="0" r="0" b="0"/>
                <wp:wrapNone/>
                <wp:docPr id="354" name="文本框 841"/>
                <wp:cNvGraphicFramePr/>
                <a:graphic xmlns:a="http://schemas.openxmlformats.org/drawingml/2006/main">
                  <a:graphicData uri="http://schemas.microsoft.com/office/word/2010/wordprocessingShape">
                    <wps:wsp>
                      <wps:cNvSpPr txBox="1"/>
                      <wps:spPr>
                        <a:xfrm>
                          <a:off x="0" y="0"/>
                          <a:ext cx="832485" cy="579755"/>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发包人原因加快进度的要求</w:t>
                            </w:r>
                          </w:p>
                        </w:txbxContent>
                      </wps:txbx>
                      <wps:bodyPr wrap="square" upright="1"/>
                    </wps:wsp>
                  </a:graphicData>
                </a:graphic>
              </wp:anchor>
            </w:drawing>
          </mc:Choice>
          <mc:Fallback>
            <w:pict>
              <v:shape id="文本框 841" o:spid="_x0000_s1026" o:spt="202" type="#_x0000_t202" style="position:absolute;left:0pt;margin-left:-9pt;margin-top:21.9pt;height:45.65pt;width:65.55pt;z-index:252020736;mso-width-relative:page;mso-height-relative:page;" filled="f" stroked="f" coordsize="21600,21600" o:gfxdata="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BGf/YHXAAAACgEAAA8AAAAAAAAAAQAgAAAAIgAAAGRycy9kb3ducmV2LnhtbFBLAQIU&#10;ABQAAAAIAIdO4kA5TGcGuwEAAF8DAAAOAAAAAAAAAAEAIAAAACYBAABkcnMvZTJvRG9jLnhtbFBL&#10;BQYAAAAABgAGAFkBAABTBQ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发包人原因加快进度的要求</w:t>
                      </w:r>
                    </w:p>
                  </w:txbxContent>
                </v:textbox>
              </v:shape>
            </w:pict>
          </mc:Fallback>
        </mc:AlternateContent>
      </w:r>
      <w:r>
        <w:rPr>
          <w:rFonts w:hint="eastAsia" w:ascii="仿宋" w:hAnsi="仿宋" w:eastAsia="仿宋" w:cs="仿宋"/>
          <w:b/>
          <w:bCs/>
          <w:color w:val="auto"/>
          <w:sz w:val="24"/>
          <w:szCs w:val="24"/>
          <w:highlight w:val="none"/>
          <w:lang w:eastAsia="zh-CN"/>
        </w:rPr>
        <w:t>44</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如果发包人希望承包人提前竣工，那么发包人可要求承包人提交为加快进度而编制的提前竣工建议书。承包人应在接到发包人要求后的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天内完成编制并向发包人提交提前竣工建议书，该建议书的内容至少应包括：</w:t>
      </w:r>
    </w:p>
    <w:p>
      <w:pPr>
        <w:pStyle w:val="22"/>
        <w:widowControl w:val="0"/>
        <w:numPr>
          <w:ilvl w:val="0"/>
          <w:numId w:val="11"/>
        </w:numPr>
        <w:tabs>
          <w:tab w:val="left" w:pos="198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加快进度拟采取的措施；</w:t>
      </w:r>
    </w:p>
    <w:p>
      <w:pPr>
        <w:pStyle w:val="22"/>
        <w:widowControl w:val="0"/>
        <w:numPr>
          <w:ilvl w:val="0"/>
          <w:numId w:val="11"/>
        </w:numPr>
        <w:tabs>
          <w:tab w:val="left" w:pos="198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加快进度后的进度计划，以及与原计划的对比；</w:t>
      </w:r>
    </w:p>
    <w:p>
      <w:pPr>
        <w:pStyle w:val="22"/>
        <w:widowControl w:val="0"/>
        <w:numPr>
          <w:ilvl w:val="0"/>
          <w:numId w:val="11"/>
        </w:numPr>
        <w:tabs>
          <w:tab w:val="left" w:pos="198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加快进度所需的合同价格增加额（含第76</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款约定的提前竣工奖）。该增加额按照第79</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款、第79</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款、第79</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4款规、第79</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5款约定计算。</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发包人应在接到建议书后的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天内予以答复。如果发包人接受了该建议书，则监理人应以书面形式发出变更指令，相应调整工期；造价咨询人应核实并相应调整合同价格。</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63" w:name="_Toc4573"/>
      <w:bookmarkStart w:id="664" w:name="_Toc4454"/>
      <w:bookmarkStart w:id="665" w:name="_Toc15276"/>
      <w:bookmarkStart w:id="666" w:name="_Toc30701"/>
      <w:bookmarkStart w:id="667" w:name="_Toc19266"/>
      <w:bookmarkStart w:id="668" w:name="_Toc6503"/>
      <w:bookmarkStart w:id="669" w:name="_Toc23151"/>
      <w:bookmarkStart w:id="670" w:name="_Toc1360"/>
      <w:r>
        <w:rPr>
          <w:rFonts w:hint="eastAsia" w:ascii="仿宋" w:hAnsi="仿宋" w:eastAsia="仿宋" w:cs="仿宋"/>
          <w:bCs w:val="0"/>
          <w:color w:val="auto"/>
          <w:sz w:val="24"/>
          <w:szCs w:val="24"/>
          <w:highlight w:val="none"/>
          <w:lang w:eastAsia="zh-CN"/>
        </w:rPr>
        <w:t>45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竣工日期</w:t>
      </w:r>
      <w:bookmarkEnd w:id="663"/>
      <w:bookmarkEnd w:id="664"/>
      <w:bookmarkEnd w:id="665"/>
      <w:bookmarkEnd w:id="666"/>
      <w:bookmarkEnd w:id="667"/>
      <w:bookmarkEnd w:id="668"/>
      <w:bookmarkEnd w:id="669"/>
      <w:bookmarkEnd w:id="670"/>
    </w:p>
    <w:p>
      <w:pPr>
        <w:pStyle w:val="22"/>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2021760" behindDoc="0" locked="0" layoutInCell="1" allowOverlap="1">
                <wp:simplePos x="0" y="0"/>
                <wp:positionH relativeFrom="column">
                  <wp:posOffset>-114300</wp:posOffset>
                </wp:positionH>
                <wp:positionV relativeFrom="paragraph">
                  <wp:posOffset>202565</wp:posOffset>
                </wp:positionV>
                <wp:extent cx="853440" cy="373380"/>
                <wp:effectExtent l="0" t="0" r="0" b="0"/>
                <wp:wrapNone/>
                <wp:docPr id="355" name="文本框 842"/>
                <wp:cNvGraphicFramePr/>
                <a:graphic xmlns:a="http://schemas.openxmlformats.org/drawingml/2006/main">
                  <a:graphicData uri="http://schemas.microsoft.com/office/word/2010/wordprocessingShape">
                    <wps:wsp>
                      <wps:cNvSpPr txBox="1"/>
                      <wps:spPr>
                        <a:xfrm>
                          <a:off x="0" y="0"/>
                          <a:ext cx="853440" cy="37338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约定计划竣工日期</w:t>
                            </w:r>
                          </w:p>
                        </w:txbxContent>
                      </wps:txbx>
                      <wps:bodyPr wrap="square" upright="1"/>
                    </wps:wsp>
                  </a:graphicData>
                </a:graphic>
              </wp:anchor>
            </w:drawing>
          </mc:Choice>
          <mc:Fallback>
            <w:pict>
              <v:shape id="文本框 842" o:spid="_x0000_s1026" o:spt="202" type="#_x0000_t202" style="position:absolute;left:0pt;margin-left:-9pt;margin-top:15.95pt;height:29.4pt;width:67.2pt;z-index:252021760;mso-width-relative:page;mso-height-relative:page;" filled="f" stroked="f" coordsize="21600,21600" o:gfxdata="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EpZfr1gAAAAkBAAAPAAAAAAAAAAEAIAAAACIAAABkcnMvZG93bnJldi54bWxQSwECFAAU&#10;AAAACACHTuJA/0WQ3LoBAABf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约定计划竣工日期</w:t>
                      </w:r>
                    </w:p>
                  </w:txbxContent>
                </v:textbox>
              </v:shape>
            </w:pict>
          </mc:Fallback>
        </mc:AlternateContent>
      </w:r>
      <w:r>
        <w:rPr>
          <w:rFonts w:hint="eastAsia" w:ascii="仿宋" w:hAnsi="仿宋" w:eastAsia="仿宋" w:cs="仿宋"/>
          <w:b/>
          <w:bCs/>
          <w:color w:val="auto"/>
          <w:sz w:val="24"/>
          <w:szCs w:val="24"/>
          <w:highlight w:val="none"/>
          <w:lang w:eastAsia="zh-CN"/>
        </w:rPr>
        <w:t>45</w:t>
      </w:r>
      <w:r>
        <w:rPr>
          <w:rFonts w:ascii="仿宋" w:hAnsi="仿宋" w:eastAsia="仿宋" w:cs="仿宋"/>
          <w:b/>
          <w:bCs/>
          <w:color w:val="auto"/>
          <w:sz w:val="24"/>
          <w:szCs w:val="24"/>
          <w:highlight w:val="none"/>
          <w:lang w:eastAsia="zh-CN"/>
        </w:rPr>
        <w:t>.1</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合同双方当事人应在协议书和专用条款中约定合同工程的计划竣工日期。</w:t>
      </w:r>
    </w:p>
    <w:p>
      <w:pPr>
        <w:pStyle w:val="22"/>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45</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r>
        <w:rPr>
          <w:rFonts w:hint="eastAsia" w:ascii="仿宋" w:hAnsi="仿宋" w:eastAsia="仿宋" w:cs="仿宋"/>
          <w:b/>
          <w:bCs/>
          <w:color w:val="auto"/>
          <w:sz w:val="24"/>
          <w:szCs w:val="24"/>
          <w:highlight w:val="none"/>
          <w:u w:val="dotted"/>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76000" behindDoc="0" locked="0" layoutInCell="1" allowOverlap="1">
                <wp:simplePos x="0" y="0"/>
                <wp:positionH relativeFrom="column">
                  <wp:posOffset>-114300</wp:posOffset>
                </wp:positionH>
                <wp:positionV relativeFrom="paragraph">
                  <wp:posOffset>5715</wp:posOffset>
                </wp:positionV>
                <wp:extent cx="758190" cy="421005"/>
                <wp:effectExtent l="0" t="0" r="0" b="0"/>
                <wp:wrapNone/>
                <wp:docPr id="115" name="文本框 843"/>
                <wp:cNvGraphicFramePr/>
                <a:graphic xmlns:a="http://schemas.openxmlformats.org/drawingml/2006/main">
                  <a:graphicData uri="http://schemas.microsoft.com/office/word/2010/wordprocessingShape">
                    <wps:wsp>
                      <wps:cNvSpPr txBox="1"/>
                      <wps:spPr>
                        <a:xfrm>
                          <a:off x="0" y="0"/>
                          <a:ext cx="758190" cy="42100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实际竣工日期的确定</w:t>
                            </w:r>
                          </w:p>
                        </w:txbxContent>
                      </wps:txbx>
                      <wps:bodyPr wrap="square" upright="1"/>
                    </wps:wsp>
                  </a:graphicData>
                </a:graphic>
              </wp:anchor>
            </w:drawing>
          </mc:Choice>
          <mc:Fallback>
            <w:pict>
              <v:shape id="文本框 843" o:spid="_x0000_s1026" o:spt="202" type="#_x0000_t202" style="position:absolute;left:0pt;margin-left:-9pt;margin-top:0.45pt;height:33.15pt;width:59.7pt;z-index:251776000;mso-width-relative:page;mso-height-relative:page;" filled="f" stroked="f" coordsize="21600,21600" o:gfxdata="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7Ae6f1QAAAAcBAAAPAAAAAAAAAAEAIAAAACIAAABkcnMvZG93bnJldi54bWxQSwECFAAUAAAA&#10;CACHTuJAXqf1tLgBAABfAwAADgAAAAAAAAABACAAAAAk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实际竣工日期的确定</w:t>
                      </w:r>
                    </w:p>
                  </w:txbxContent>
                </v:textbox>
              </v:shape>
            </w:pict>
          </mc:Fallback>
        </mc:AlternateContent>
      </w:r>
      <w:r>
        <w:rPr>
          <w:rFonts w:hint="eastAsia" w:ascii="仿宋" w:hAnsi="仿宋" w:eastAsia="仿宋" w:cs="仿宋"/>
          <w:color w:val="auto"/>
          <w:sz w:val="24"/>
          <w:szCs w:val="24"/>
          <w:highlight w:val="none"/>
          <w:lang w:eastAsia="zh-CN"/>
        </w:rPr>
        <w:t>除发生不可抗力事项致使发包人不能按时竣工验收外，实际竣工日期按照下列情况分别确定：</w:t>
      </w:r>
    </w:p>
    <w:p>
      <w:pPr>
        <w:pStyle w:val="22"/>
        <w:tabs>
          <w:tab w:val="left" w:pos="1980"/>
          <w:tab w:val="left" w:pos="2160"/>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（1）工程经竣工验收合格的，以承包人提交竣工验收申请报告之日为实际竣工日期；</w:t>
      </w:r>
    </w:p>
    <w:p>
      <w:pPr>
        <w:pStyle w:val="22"/>
        <w:tabs>
          <w:tab w:val="left" w:pos="1980"/>
          <w:tab w:val="left" w:pos="2160"/>
        </w:tabs>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（2）承包人已按照第64</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款约定提交竣工验收申请报告，但发包人未按照第65</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款约定完成合同工程验收的，以承包人提交竣工验收申请报告之日为实际竣工日期；</w:t>
      </w:r>
    </w:p>
    <w:p>
      <w:pPr>
        <w:pStyle w:val="22"/>
        <w:tabs>
          <w:tab w:val="left" w:pos="1980"/>
          <w:tab w:val="left" w:pos="2160"/>
        </w:tabs>
        <w:adjustRightInd w:val="0"/>
        <w:snapToGrid w:val="0"/>
        <w:spacing w:line="360" w:lineRule="auto"/>
        <w:ind w:left="1850" w:leftChars="771"/>
        <w:jc w:val="both"/>
        <w:rPr>
          <w:color w:val="auto"/>
          <w:highlight w:val="none"/>
          <w:lang w:eastAsia="zh-CN"/>
        </w:rPr>
      </w:pPr>
      <w:r>
        <w:rPr>
          <w:rFonts w:hint="eastAsia" w:ascii="仿宋" w:hAnsi="仿宋" w:eastAsia="仿宋" w:cs="仿宋"/>
          <w:color w:val="auto"/>
          <w:sz w:val="24"/>
          <w:szCs w:val="24"/>
          <w:highlight w:val="none"/>
          <w:lang w:eastAsia="zh-CN"/>
        </w:rPr>
        <w:t>（3）</w:t>
      </w:r>
      <w:r>
        <w:rPr>
          <w:rFonts w:ascii="仿宋" w:hAnsi="仿宋" w:eastAsia="仿宋" w:cs="仿宋"/>
          <w:color w:val="auto"/>
          <w:sz w:val="27"/>
          <w:szCs w:val="27"/>
          <w:highlight w:val="none"/>
          <w:lang w:eastAsia="zh-CN" w:bidi="ar"/>
        </w:rPr>
        <w:t>建设工程未经竣工验收，发包人擅自使用的，以转移占有建设工程之</w:t>
      </w:r>
      <w:r>
        <w:rPr>
          <w:rFonts w:hint="eastAsia" w:ascii="仿宋" w:hAnsi="仿宋" w:eastAsia="仿宋" w:cs="仿宋"/>
          <w:color w:val="auto"/>
          <w:sz w:val="27"/>
          <w:szCs w:val="27"/>
          <w:highlight w:val="none"/>
          <w:lang w:eastAsia="zh-CN" w:bidi="ar"/>
        </w:rPr>
        <w:t>日为竣工日期。</w:t>
      </w:r>
    </w:p>
    <w:p>
      <w:pPr>
        <w:pStyle w:val="22"/>
        <w:tabs>
          <w:tab w:val="left" w:pos="1980"/>
          <w:tab w:val="left" w:pos="2160"/>
        </w:tabs>
        <w:adjustRightInd w:val="0"/>
        <w:snapToGrid w:val="0"/>
        <w:spacing w:line="360" w:lineRule="auto"/>
        <w:ind w:left="1850" w:leftChars="771"/>
        <w:jc w:val="both"/>
        <w:rPr>
          <w:rFonts w:ascii="仿宋" w:hAnsi="仿宋" w:eastAsia="仿宋"/>
          <w:color w:val="auto"/>
          <w:sz w:val="24"/>
          <w:szCs w:val="24"/>
          <w:highlight w:val="none"/>
          <w:lang w:eastAsia="zh-CN"/>
        </w:rPr>
      </w:pPr>
    </w:p>
    <w:p>
      <w:pPr>
        <w:pStyle w:val="22"/>
        <w:adjustRightInd w:val="0"/>
        <w:snapToGrid w:val="0"/>
        <w:spacing w:line="360" w:lineRule="auto"/>
        <w:ind w:left="1626" w:leftChars="1" w:hanging="1624" w:hangingChars="674"/>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45</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7"/>
        <w:widowControl w:val="0"/>
        <w:adjustRightInd w:val="0"/>
        <w:snapToGrid w:val="0"/>
        <w:spacing w:line="360" w:lineRule="auto"/>
        <w:ind w:left="1850" w:leftChars="771" w:firstLine="0"/>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77024" behindDoc="0" locked="0" layoutInCell="1" allowOverlap="1">
                <wp:simplePos x="0" y="0"/>
                <wp:positionH relativeFrom="column">
                  <wp:posOffset>-114300</wp:posOffset>
                </wp:positionH>
                <wp:positionV relativeFrom="paragraph">
                  <wp:posOffset>47625</wp:posOffset>
                </wp:positionV>
                <wp:extent cx="823595" cy="553085"/>
                <wp:effectExtent l="0" t="0" r="0" b="0"/>
                <wp:wrapNone/>
                <wp:docPr id="116" name="文本框 844"/>
                <wp:cNvGraphicFramePr/>
                <a:graphic xmlns:a="http://schemas.openxmlformats.org/drawingml/2006/main">
                  <a:graphicData uri="http://schemas.microsoft.com/office/word/2010/wordprocessingShape">
                    <wps:wsp>
                      <wps:cNvSpPr txBox="1"/>
                      <wps:spPr>
                        <a:xfrm>
                          <a:off x="0" y="0"/>
                          <a:ext cx="823595" cy="55308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延迟竣工的责任</w:t>
                            </w:r>
                          </w:p>
                        </w:txbxContent>
                      </wps:txbx>
                      <wps:bodyPr wrap="square" upright="1"/>
                    </wps:wsp>
                  </a:graphicData>
                </a:graphic>
              </wp:anchor>
            </w:drawing>
          </mc:Choice>
          <mc:Fallback>
            <w:pict>
              <v:shape id="文本框 844" o:spid="_x0000_s1026" o:spt="202" type="#_x0000_t202" style="position:absolute;left:0pt;margin-left:-9pt;margin-top:3.75pt;height:43.55pt;width:64.85pt;z-index:251777024;mso-width-relative:page;mso-height-relative:page;" filled="f" stroked="f" coordsize="21600,21600" o:gfxdata="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9kkN4tUAAAAIAQAADwAAAAAAAAABACAAAAAiAAAAZHJzL2Rvd25yZXYueG1sUEsBAhQAFAAA&#10;AAgAh07iQB7ULf2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延迟竣工的责任</w:t>
                      </w:r>
                    </w:p>
                  </w:txbxContent>
                </v:textbox>
              </v:shape>
            </w:pict>
          </mc:Fallback>
        </mc:AlternateContent>
      </w:r>
      <w:r>
        <w:rPr>
          <w:rFonts w:hint="eastAsia" w:ascii="仿宋" w:hAnsi="仿宋" w:eastAsia="仿宋" w:cs="仿宋"/>
          <w:color w:val="auto"/>
          <w:highlight w:val="none"/>
          <w:lang w:eastAsia="zh-CN"/>
        </w:rPr>
        <w:t>因发包人的原因导致实际竣工日期迟于计划竣工日期的，发包人应承担由此增加的费用和（或）延误的工期，并向承包人支付合理利润。</w:t>
      </w:r>
    </w:p>
    <w:p>
      <w:pPr>
        <w:spacing w:line="360" w:lineRule="auto"/>
        <w:ind w:left="1850" w:leftChars="771" w:firstLine="60" w:firstLineChars="25"/>
        <w:jc w:val="both"/>
        <w:rPr>
          <w:rFonts w:ascii="仿宋" w:hAnsi="仿宋" w:eastAsia="仿宋"/>
          <w:caps/>
          <w:color w:val="auto"/>
          <w:highlight w:val="none"/>
          <w:lang w:eastAsia="zh-CN"/>
        </w:rPr>
      </w:pPr>
      <w:r>
        <w:rPr>
          <w:rFonts w:hint="eastAsia" w:ascii="仿宋" w:hAnsi="仿宋" w:eastAsia="仿宋" w:cs="仿宋"/>
          <w:color w:val="auto"/>
          <w:highlight w:val="none"/>
          <w:lang w:eastAsia="zh-CN"/>
        </w:rPr>
        <w:t>因承包人的原因导致实际竣工日期迟于计划竣工日期的，承包人应按照第</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7条约定</w:t>
      </w:r>
      <w:r>
        <w:rPr>
          <w:rFonts w:hint="eastAsia" w:ascii="仿宋" w:hAnsi="仿宋" w:eastAsia="仿宋" w:cs="仿宋"/>
          <w:caps/>
          <w:color w:val="auto"/>
          <w:highlight w:val="none"/>
          <w:lang w:eastAsia="zh-CN"/>
        </w:rPr>
        <w:t>赔偿发包人由此造成的损失，并向发包人支付误期赔偿费。</w:t>
      </w:r>
    </w:p>
    <w:p>
      <w:pPr>
        <w:spacing w:line="360" w:lineRule="auto"/>
        <w:rPr>
          <w:rFonts w:ascii="仿宋" w:hAnsi="仿宋" w:eastAsia="仿宋" w:cs="仿宋"/>
          <w:caps/>
          <w:color w:val="auto"/>
          <w:highlight w:val="none"/>
          <w:u w:val="single"/>
          <w:lang w:eastAsia="zh-CN"/>
        </w:rPr>
      </w:pPr>
      <w:r>
        <w:rPr>
          <w:rFonts w:ascii="仿宋" w:hAnsi="仿宋" w:eastAsia="仿宋" w:cs="仿宋"/>
          <w:b/>
          <w:bCs/>
          <w:caps/>
          <w:color w:val="auto"/>
          <w:highlight w:val="none"/>
          <w:u w:val="single"/>
          <w:lang w:eastAsia="zh-CN"/>
        </w:rPr>
        <w:t xml:space="preserve">                                                                                    </w:t>
      </w:r>
      <w:r>
        <w:rPr>
          <w:rFonts w:ascii="仿宋" w:hAnsi="仿宋" w:eastAsia="仿宋" w:cs="仿宋"/>
          <w:cap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71" w:name="_Toc20929"/>
      <w:bookmarkStart w:id="672" w:name="_Toc5707"/>
      <w:bookmarkStart w:id="673" w:name="_Toc11099"/>
      <w:bookmarkStart w:id="674" w:name="_Toc29612"/>
      <w:bookmarkStart w:id="675" w:name="_Toc8115"/>
      <w:bookmarkStart w:id="676" w:name="_Toc28473"/>
      <w:bookmarkStart w:id="677" w:name="_Toc32446"/>
      <w:bookmarkStart w:id="678" w:name="_Toc10523"/>
      <w:r>
        <w:rPr>
          <w:rFonts w:hint="eastAsia" w:ascii="仿宋" w:hAnsi="仿宋" w:eastAsia="仿宋" w:cs="仿宋"/>
          <w:bCs w:val="0"/>
          <w:color w:val="auto"/>
          <w:sz w:val="24"/>
          <w:szCs w:val="24"/>
          <w:highlight w:val="none"/>
          <w:lang w:eastAsia="zh-CN"/>
        </w:rPr>
        <w:t>46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提前竣工</w:t>
      </w:r>
      <w:bookmarkEnd w:id="671"/>
      <w:bookmarkEnd w:id="672"/>
      <w:bookmarkEnd w:id="673"/>
      <w:bookmarkEnd w:id="674"/>
      <w:bookmarkEnd w:id="675"/>
      <w:bookmarkEnd w:id="676"/>
      <w:bookmarkEnd w:id="677"/>
      <w:bookmarkEnd w:id="678"/>
    </w:p>
    <w:p>
      <w:pPr>
        <w:pStyle w:val="22"/>
        <w:adjustRightInd w:val="0"/>
        <w:snapToGrid w:val="0"/>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46</w:t>
      </w:r>
      <w:r>
        <w:rPr>
          <w:rFonts w:ascii="仿宋" w:hAnsi="仿宋" w:eastAsia="仿宋" w:cs="仿宋"/>
          <w:b/>
          <w:bCs/>
          <w:color w:val="auto"/>
          <w:sz w:val="24"/>
          <w:szCs w:val="24"/>
          <w:highlight w:val="none"/>
          <w:lang w:eastAsia="zh-CN"/>
        </w:rPr>
        <w:t>.1</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78048" behindDoc="0" locked="0" layoutInCell="1" allowOverlap="1">
                <wp:simplePos x="0" y="0"/>
                <wp:positionH relativeFrom="column">
                  <wp:posOffset>-66675</wp:posOffset>
                </wp:positionH>
                <wp:positionV relativeFrom="paragraph">
                  <wp:posOffset>30480</wp:posOffset>
                </wp:positionV>
                <wp:extent cx="786765" cy="421005"/>
                <wp:effectExtent l="0" t="0" r="0" b="0"/>
                <wp:wrapNone/>
                <wp:docPr id="117" name="文本框 845"/>
                <wp:cNvGraphicFramePr/>
                <a:graphic xmlns:a="http://schemas.openxmlformats.org/drawingml/2006/main">
                  <a:graphicData uri="http://schemas.microsoft.com/office/word/2010/wordprocessingShape">
                    <wps:wsp>
                      <wps:cNvSpPr txBox="1"/>
                      <wps:spPr>
                        <a:xfrm>
                          <a:off x="0" y="0"/>
                          <a:ext cx="786765" cy="42100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提前竣工的要求</w:t>
                            </w:r>
                          </w:p>
                        </w:txbxContent>
                      </wps:txbx>
                      <wps:bodyPr wrap="square" upright="1"/>
                    </wps:wsp>
                  </a:graphicData>
                </a:graphic>
              </wp:anchor>
            </w:drawing>
          </mc:Choice>
          <mc:Fallback>
            <w:pict>
              <v:shape id="文本框 845" o:spid="_x0000_s1026" o:spt="202" type="#_x0000_t202" style="position:absolute;left:0pt;margin-left:-5.25pt;margin-top:2.4pt;height:33.15pt;width:61.95pt;z-index:251778048;mso-width-relative:page;mso-height-relative:page;" filled="f" stroked="f" coordsize="21600,21600" o:gfxdata="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KAldW3WAAAACAEAAA8AAAAAAAAAAQAgAAAAIgAAAGRycy9kb3ducmV2LnhtbFBLAQIUABQA&#10;AAAIAIdO4kCGFcmpuQEAAF8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提前竣工的要求</w:t>
                      </w:r>
                    </w:p>
                  </w:txbxContent>
                </v:textbox>
              </v:shape>
            </w:pict>
          </mc:Fallback>
        </mc:AlternateContent>
      </w:r>
      <w:r>
        <w:rPr>
          <w:rFonts w:hint="eastAsia" w:ascii="仿宋" w:hAnsi="仿宋" w:eastAsia="仿宋" w:cs="仿宋"/>
          <w:color w:val="auto"/>
          <w:sz w:val="24"/>
          <w:szCs w:val="24"/>
          <w:highlight w:val="none"/>
          <w:lang w:eastAsia="zh-CN"/>
        </w:rPr>
        <w:t>发包人要求承包人提前竣工，或承包人按照第44</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款约定提交提前竣工建议书为发包人接受的，监理人应与承包人商定采取加快工程进度的措施，并修订合同工程进度计划。</w:t>
      </w:r>
    </w:p>
    <w:p>
      <w:pPr>
        <w:pStyle w:val="22"/>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46</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79072" behindDoc="0" locked="0" layoutInCell="1" allowOverlap="1">
                <wp:simplePos x="0" y="0"/>
                <wp:positionH relativeFrom="column">
                  <wp:posOffset>-114300</wp:posOffset>
                </wp:positionH>
                <wp:positionV relativeFrom="paragraph">
                  <wp:posOffset>5715</wp:posOffset>
                </wp:positionV>
                <wp:extent cx="843915" cy="487680"/>
                <wp:effectExtent l="0" t="0" r="0" b="0"/>
                <wp:wrapNone/>
                <wp:docPr id="118" name="文本框 846"/>
                <wp:cNvGraphicFramePr/>
                <a:graphic xmlns:a="http://schemas.openxmlformats.org/drawingml/2006/main">
                  <a:graphicData uri="http://schemas.microsoft.com/office/word/2010/wordprocessingShape">
                    <wps:wsp>
                      <wps:cNvSpPr txBox="1"/>
                      <wps:spPr>
                        <a:xfrm>
                          <a:off x="0" y="0"/>
                          <a:ext cx="843915" cy="48768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提前竣工天数的计算</w:t>
                            </w:r>
                          </w:p>
                        </w:txbxContent>
                      </wps:txbx>
                      <wps:bodyPr wrap="square" upright="1"/>
                    </wps:wsp>
                  </a:graphicData>
                </a:graphic>
              </wp:anchor>
            </w:drawing>
          </mc:Choice>
          <mc:Fallback>
            <w:pict>
              <v:shape id="文本框 846" o:spid="_x0000_s1026" o:spt="202" type="#_x0000_t202" style="position:absolute;left:0pt;margin-left:-9pt;margin-top:0.45pt;height:38.4pt;width:66.45pt;z-index:251779072;mso-width-relative:page;mso-height-relative:page;" filled="f" stroked="f" coordsize="21600,21600" o:gfxdata="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x5lJfVAAAABwEAAA8AAAAAAAAAAQAgAAAAIgAAAGRycy9kb3ducmV2LnhtbFBLAQIUABQA&#10;AAAIAIdO4kBcrsY/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提前竣工天数的计算</w:t>
                      </w:r>
                    </w:p>
                  </w:txbxContent>
                </v:textbox>
              </v:shape>
            </w:pict>
          </mc:Fallback>
        </mc:AlternateContent>
      </w:r>
      <w:r>
        <w:rPr>
          <w:rFonts w:hint="eastAsia" w:ascii="仿宋" w:hAnsi="仿宋" w:eastAsia="仿宋" w:cs="仿宋"/>
          <w:color w:val="auto"/>
          <w:sz w:val="24"/>
          <w:szCs w:val="24"/>
          <w:highlight w:val="none"/>
          <w:lang w:eastAsia="zh-CN"/>
        </w:rPr>
        <w:t>提前竣工天数按照第45</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款约定确定的计划竣工天数减去实际竣工天数计算，其公式为：</w:t>
      </w:r>
    </w:p>
    <w:p>
      <w:pPr>
        <w:pStyle w:val="22"/>
        <w:adjustRightInd w:val="0"/>
        <w:snapToGrid w:val="0"/>
        <w:spacing w:line="360" w:lineRule="auto"/>
        <w:ind w:firstLine="2160" w:firstLineChars="900"/>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提前竣工天数</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计划竣工天数</w:t>
      </w:r>
      <w:r>
        <w:rPr>
          <w:rFonts w:ascii="仿宋" w:hAnsi="仿宋" w:eastAsia="仿宋" w:cs="仿宋"/>
          <w:color w:val="auto"/>
          <w:sz w:val="24"/>
          <w:szCs w:val="24"/>
          <w:highlight w:val="none"/>
          <w:lang w:eastAsia="zh-CN"/>
        </w:rPr>
        <w:t xml:space="preserve"> — </w:t>
      </w:r>
      <w:r>
        <w:rPr>
          <w:rFonts w:hint="eastAsia" w:ascii="仿宋" w:hAnsi="仿宋" w:eastAsia="仿宋" w:cs="仿宋"/>
          <w:color w:val="auto"/>
          <w:sz w:val="24"/>
          <w:szCs w:val="24"/>
          <w:highlight w:val="none"/>
          <w:lang w:eastAsia="zh-CN"/>
        </w:rPr>
        <w:t>实际竣工天数</w:t>
      </w:r>
    </w:p>
    <w:p>
      <w:pPr>
        <w:pStyle w:val="22"/>
        <w:tabs>
          <w:tab w:val="left" w:pos="1980"/>
          <w:tab w:val="left" w:pos="2160"/>
        </w:tabs>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发包人要求提前竣工或承包人提交的提前竣工建议书得到批准，发包人应承担承包人由此增加的费用，并按照第76</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款约定向承包人支付提前竣工奖。</w:t>
      </w:r>
    </w:p>
    <w:p>
      <w:pPr>
        <w:pStyle w:val="22"/>
        <w:tabs>
          <w:tab w:val="left" w:pos="540"/>
        </w:tabs>
        <w:adjustRightInd w:val="0"/>
        <w:snapToGrid w:val="0"/>
        <w:spacing w:before="240" w:beforeLines="100" w:line="360" w:lineRule="auto"/>
        <w:rPr>
          <w:rFonts w:ascii="仿宋" w:hAnsi="仿宋" w:eastAsia="仿宋" w:cs="仿宋"/>
          <w:b/>
          <w:bCs/>
          <w:caps/>
          <w:color w:val="auto"/>
          <w:sz w:val="24"/>
          <w:szCs w:val="24"/>
          <w:highlight w:val="none"/>
          <w:u w:val="single"/>
          <w:lang w:eastAsia="zh-CN"/>
        </w:rPr>
      </w:pPr>
      <w:r>
        <w:rPr>
          <w:rFonts w:ascii="仿宋" w:hAnsi="仿宋" w:eastAsia="仿宋" w:cs="仿宋"/>
          <w:b/>
          <w:bCs/>
          <w:caps/>
          <w:color w:val="auto"/>
          <w:sz w:val="24"/>
          <w:szCs w:val="24"/>
          <w:highlight w:val="none"/>
          <w:u w:val="single"/>
          <w:lang w:eastAsia="zh-CN"/>
        </w:rPr>
        <w:t xml:space="preserve">                                                                        </w:t>
      </w:r>
      <w:r>
        <w:rPr>
          <w:rFonts w:hint="eastAsia" w:ascii="仿宋" w:hAnsi="仿宋" w:eastAsia="仿宋" w:cs="仿宋"/>
          <w:b/>
          <w:bCs/>
          <w:caps/>
          <w:color w:val="auto"/>
          <w:sz w:val="24"/>
          <w:szCs w:val="24"/>
          <w:highlight w:val="none"/>
          <w:u w:val="single"/>
          <w:lang w:eastAsia="zh-CN"/>
        </w:rPr>
        <w:t xml:space="preserve">    </w:t>
      </w:r>
      <w:r>
        <w:rPr>
          <w:rFonts w:ascii="仿宋" w:hAnsi="仿宋" w:eastAsia="仿宋" w:cs="仿宋"/>
          <w:b/>
          <w:bCs/>
          <w:cap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79" w:name="_Toc15117"/>
      <w:bookmarkStart w:id="680" w:name="_Toc2383"/>
      <w:bookmarkStart w:id="681" w:name="_Toc27879"/>
      <w:bookmarkStart w:id="682" w:name="_Toc26777"/>
      <w:bookmarkStart w:id="683" w:name="_Toc7033"/>
      <w:bookmarkStart w:id="684" w:name="_Toc23266"/>
      <w:bookmarkStart w:id="685" w:name="_Toc23887"/>
      <w:bookmarkStart w:id="686" w:name="_Toc27551"/>
      <w:r>
        <w:rPr>
          <w:rFonts w:ascii="仿宋" w:hAnsi="仿宋" w:eastAsia="仿宋" w:cs="仿宋"/>
          <w:bCs w:val="0"/>
          <w:color w:val="auto"/>
          <w:sz w:val="24"/>
          <w:szCs w:val="24"/>
          <w:highlight w:val="none"/>
          <w:lang w:eastAsia="zh-CN"/>
        </w:rPr>
        <w:t>4</w:t>
      </w:r>
      <w:r>
        <w:rPr>
          <w:rFonts w:hint="eastAsia" w:ascii="仿宋" w:hAnsi="仿宋" w:eastAsia="仿宋" w:cs="仿宋"/>
          <w:bCs w:val="0"/>
          <w:color w:val="auto"/>
          <w:sz w:val="24"/>
          <w:szCs w:val="24"/>
          <w:highlight w:val="none"/>
          <w:lang w:eastAsia="zh-CN"/>
        </w:rPr>
        <w:t>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误期赔偿</w:t>
      </w:r>
      <w:bookmarkEnd w:id="679"/>
      <w:bookmarkEnd w:id="680"/>
      <w:bookmarkEnd w:id="681"/>
      <w:bookmarkEnd w:id="682"/>
      <w:bookmarkEnd w:id="683"/>
      <w:bookmarkEnd w:id="684"/>
      <w:bookmarkEnd w:id="685"/>
      <w:bookmarkEnd w:id="686"/>
    </w:p>
    <w:p>
      <w:pPr>
        <w:rPr>
          <w:rFonts w:ascii="仿宋" w:hAnsi="仿宋" w:eastAsia="仿宋"/>
          <w:b/>
          <w:bCs/>
          <w:caps/>
          <w:color w:val="auto"/>
          <w:highlight w:val="none"/>
          <w:lang w:eastAsia="zh-CN"/>
        </w:rPr>
      </w:pP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.1</w:t>
      </w:r>
    </w:p>
    <w:p>
      <w:pPr>
        <w:spacing w:line="360" w:lineRule="auto"/>
        <w:ind w:left="1850" w:leftChars="771"/>
        <w:rPr>
          <w:rFonts w:ascii="仿宋" w:hAnsi="仿宋" w:eastAsia="仿宋"/>
          <w:caps/>
          <w:color w:val="auto"/>
          <w:highlight w:val="none"/>
          <w:lang w:eastAsia="zh-CN"/>
        </w:rPr>
      </w:pPr>
      <w:r>
        <w:rPr>
          <w:color w:val="auto"/>
          <w:highlight w:val="none"/>
        </w:rPr>
        <mc:AlternateContent>
          <mc:Choice Requires="wps">
            <w:drawing>
              <wp:anchor distT="0" distB="0" distL="114300" distR="114300" simplePos="0" relativeHeight="251780096" behindDoc="0" locked="0" layoutInCell="1" allowOverlap="1">
                <wp:simplePos x="0" y="0"/>
                <wp:positionH relativeFrom="column">
                  <wp:posOffset>-133350</wp:posOffset>
                </wp:positionH>
                <wp:positionV relativeFrom="paragraph">
                  <wp:posOffset>104140</wp:posOffset>
                </wp:positionV>
                <wp:extent cx="882015" cy="434975"/>
                <wp:effectExtent l="0" t="0" r="0" b="0"/>
                <wp:wrapNone/>
                <wp:docPr id="119" name="文本框 847"/>
                <wp:cNvGraphicFramePr/>
                <a:graphic xmlns:a="http://schemas.openxmlformats.org/drawingml/2006/main">
                  <a:graphicData uri="http://schemas.microsoft.com/office/word/2010/wordprocessingShape">
                    <wps:wsp>
                      <wps:cNvSpPr txBox="1"/>
                      <wps:spPr>
                        <a:xfrm>
                          <a:off x="0" y="0"/>
                          <a:ext cx="882015" cy="4349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误期的赔偿</w:t>
                            </w:r>
                          </w:p>
                        </w:txbxContent>
                      </wps:txbx>
                      <wps:bodyPr wrap="square" upright="1"/>
                    </wps:wsp>
                  </a:graphicData>
                </a:graphic>
              </wp:anchor>
            </w:drawing>
          </mc:Choice>
          <mc:Fallback>
            <w:pict>
              <v:shape id="文本框 847" o:spid="_x0000_s1026" o:spt="202" type="#_x0000_t202" style="position:absolute;left:0pt;margin-left:-10.5pt;margin-top:8.2pt;height:34.25pt;width:69.45pt;z-index:251780096;mso-width-relative:page;mso-height-relative:page;" filled="f" stroked="f" coordsize="21600,21600" o:gfxdata="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u/N901wAAAAkBAAAPAAAAAAAAAAEAIAAAACIAAABkcnMvZG93bnJldi54bWxQSwECFAAU&#10;AAAACACHTuJAxj5Ct7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误期的赔偿</w:t>
                      </w:r>
                    </w:p>
                  </w:txbxContent>
                </v:textbox>
              </v:shape>
            </w:pict>
          </mc:Fallback>
        </mc:AlternateContent>
      </w:r>
      <w:r>
        <w:rPr>
          <w:rFonts w:hint="eastAsia" w:ascii="仿宋" w:hAnsi="仿宋" w:eastAsia="仿宋" w:cs="仿宋"/>
          <w:caps/>
          <w:color w:val="auto"/>
          <w:highlight w:val="none"/>
          <w:lang w:eastAsia="zh-CN"/>
        </w:rPr>
        <w:t>如果承包人未按照第40</w:t>
      </w:r>
      <w:r>
        <w:rPr>
          <w:rFonts w:ascii="仿宋" w:hAnsi="仿宋" w:eastAsia="仿宋" w:cs="仿宋"/>
          <w:caps/>
          <w:color w:val="auto"/>
          <w:highlight w:val="none"/>
          <w:lang w:eastAsia="zh-CN"/>
        </w:rPr>
        <w:t>.4</w:t>
      </w:r>
      <w:r>
        <w:rPr>
          <w:rFonts w:hint="eastAsia" w:ascii="仿宋" w:hAnsi="仿宋" w:eastAsia="仿宋" w:cs="仿宋"/>
          <w:caps/>
          <w:color w:val="auto"/>
          <w:highlight w:val="none"/>
          <w:lang w:eastAsia="zh-CN"/>
        </w:rPr>
        <w:t>款约定按计划进度开展工作或施工，导致实际进度迟于计划进度的，承包人应向发包人支付误期赔偿费，误期赔偿费的计算方法在专用条款中约定。即使承包人支付误期赔偿费，也不能免除承包人按照合同约定应承担的任何责任和应履行的任何义务。</w:t>
      </w:r>
    </w:p>
    <w:p>
      <w:pPr>
        <w:spacing w:line="360" w:lineRule="auto"/>
        <w:rPr>
          <w:rFonts w:ascii="仿宋" w:hAnsi="仿宋" w:eastAsia="仿宋" w:cs="仿宋"/>
          <w:b/>
          <w:bCs/>
          <w:color w:val="auto"/>
          <w:highlight w:val="none"/>
          <w:u w:val="dotted"/>
          <w:lang w:eastAsia="zh-CN"/>
        </w:rPr>
      </w:pP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spacing w:line="360" w:lineRule="auto"/>
        <w:ind w:left="1850" w:leftChars="771"/>
        <w:jc w:val="both"/>
        <w:rPr>
          <w:rFonts w:ascii="仿宋" w:hAnsi="仿宋" w:eastAsia="仿宋"/>
          <w:caps/>
          <w:color w:val="auto"/>
          <w:highlight w:val="none"/>
          <w:lang w:eastAsia="zh-CN"/>
        </w:rPr>
      </w:pPr>
      <w:r>
        <w:rPr>
          <w:color w:val="auto"/>
          <w:highlight w:val="none"/>
        </w:rPr>
        <mc:AlternateContent>
          <mc:Choice Requires="wps">
            <w:drawing>
              <wp:anchor distT="0" distB="0" distL="114300" distR="114300" simplePos="0" relativeHeight="251781120" behindDoc="0" locked="0" layoutInCell="1" allowOverlap="1">
                <wp:simplePos x="0" y="0"/>
                <wp:positionH relativeFrom="column">
                  <wp:posOffset>-114300</wp:posOffset>
                </wp:positionH>
                <wp:positionV relativeFrom="paragraph">
                  <wp:posOffset>31750</wp:posOffset>
                </wp:positionV>
                <wp:extent cx="797560" cy="574675"/>
                <wp:effectExtent l="0" t="0" r="0" b="0"/>
                <wp:wrapNone/>
                <wp:docPr id="120" name="文本框 848"/>
                <wp:cNvGraphicFramePr/>
                <a:graphic xmlns:a="http://schemas.openxmlformats.org/drawingml/2006/main">
                  <a:graphicData uri="http://schemas.microsoft.com/office/word/2010/wordprocessingShape">
                    <wps:wsp>
                      <wps:cNvSpPr txBox="1"/>
                      <wps:spPr>
                        <a:xfrm>
                          <a:off x="0" y="0"/>
                          <a:ext cx="797560" cy="5746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实际延误天数的计算</w:t>
                            </w:r>
                          </w:p>
                        </w:txbxContent>
                      </wps:txbx>
                      <wps:bodyPr wrap="square" upright="1"/>
                    </wps:wsp>
                  </a:graphicData>
                </a:graphic>
              </wp:anchor>
            </w:drawing>
          </mc:Choice>
          <mc:Fallback>
            <w:pict>
              <v:shape id="文本框 848" o:spid="_x0000_s1026" o:spt="202" type="#_x0000_t202" style="position:absolute;left:0pt;margin-left:-9pt;margin-top:2.5pt;height:45.25pt;width:62.8pt;z-index:251781120;mso-width-relative:page;mso-height-relative:page;" filled="f" stroked="f" coordsize="21600,21600" o:gfxdata="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5y6W9YAAAAIAQAADwAAAAAAAAABACAAAAAiAAAAZHJzL2Rvd25yZXYueG1sUEsBAhQAFAAA&#10;AAgAh07iQKlblou4AQAAXwMAAA4AAAAAAAAAAQAgAAAAJQ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实际延误天数的计算</w:t>
                      </w:r>
                    </w:p>
                  </w:txbxContent>
                </v:textbox>
              </v:shape>
            </w:pict>
          </mc:Fallback>
        </mc:AlternateContent>
      </w:r>
      <w:r>
        <w:rPr>
          <w:rFonts w:hint="eastAsia" w:ascii="仿宋" w:hAnsi="仿宋" w:eastAsia="仿宋" w:cs="仿宋"/>
          <w:caps/>
          <w:color w:val="auto"/>
          <w:highlight w:val="none"/>
          <w:lang w:eastAsia="zh-CN"/>
        </w:rPr>
        <w:t>误期（实际延误天数）按照实际总工期天数减去计划总工期天数计算，其公式为：</w:t>
      </w:r>
    </w:p>
    <w:p>
      <w:pPr>
        <w:spacing w:line="360" w:lineRule="auto"/>
        <w:ind w:firstLine="2160" w:firstLineChars="900"/>
        <w:rPr>
          <w:rFonts w:ascii="仿宋" w:hAnsi="仿宋" w:eastAsia="仿宋"/>
          <w:caps/>
          <w:color w:val="auto"/>
          <w:highlight w:val="none"/>
          <w:lang w:eastAsia="zh-CN"/>
        </w:rPr>
      </w:pPr>
      <w:r>
        <w:rPr>
          <w:rFonts w:hint="eastAsia" w:ascii="仿宋" w:hAnsi="仿宋" w:eastAsia="仿宋" w:cs="仿宋"/>
          <w:caps/>
          <w:color w:val="auto"/>
          <w:highlight w:val="none"/>
          <w:lang w:eastAsia="zh-CN"/>
        </w:rPr>
        <w:t>实际延误天数＝实际总工期天数</w:t>
      </w:r>
      <w:r>
        <w:rPr>
          <w:rFonts w:ascii="仿宋" w:hAnsi="仿宋" w:eastAsia="仿宋" w:cs="仿宋"/>
          <w:caps/>
          <w:color w:val="auto"/>
          <w:highlight w:val="none"/>
          <w:lang w:eastAsia="zh-CN"/>
        </w:rPr>
        <w:t xml:space="preserve"> </w:t>
      </w:r>
      <w:r>
        <w:rPr>
          <w:rFonts w:hint="eastAsia" w:ascii="仿宋" w:hAnsi="仿宋" w:eastAsia="仿宋" w:cs="仿宋"/>
          <w:caps/>
          <w:color w:val="auto"/>
          <w:highlight w:val="none"/>
          <w:lang w:eastAsia="zh-CN"/>
        </w:rPr>
        <w:t>－</w:t>
      </w:r>
      <w:r>
        <w:rPr>
          <w:rFonts w:ascii="仿宋" w:hAnsi="仿宋" w:eastAsia="仿宋" w:cs="仿宋"/>
          <w:caps/>
          <w:color w:val="auto"/>
          <w:highlight w:val="none"/>
          <w:lang w:eastAsia="zh-CN"/>
        </w:rPr>
        <w:t xml:space="preserve"> </w:t>
      </w:r>
      <w:r>
        <w:rPr>
          <w:rFonts w:hint="eastAsia" w:ascii="仿宋" w:hAnsi="仿宋" w:eastAsia="仿宋" w:cs="仿宋"/>
          <w:caps/>
          <w:color w:val="auto"/>
          <w:highlight w:val="none"/>
          <w:lang w:eastAsia="zh-CN"/>
        </w:rPr>
        <w:t>计划总工期天数</w:t>
      </w:r>
    </w:p>
    <w:p>
      <w:pPr>
        <w:spacing w:line="360" w:lineRule="auto"/>
        <w:ind w:left="1850" w:leftChars="771"/>
        <w:jc w:val="both"/>
        <w:rPr>
          <w:rFonts w:ascii="仿宋" w:hAnsi="仿宋" w:eastAsia="仿宋"/>
          <w:caps/>
          <w:color w:val="auto"/>
          <w:highlight w:val="none"/>
          <w:lang w:eastAsia="zh-CN"/>
        </w:rPr>
      </w:pPr>
      <w:r>
        <w:rPr>
          <w:rFonts w:hint="eastAsia" w:ascii="仿宋" w:hAnsi="仿宋" w:eastAsia="仿宋" w:cs="仿宋"/>
          <w:caps/>
          <w:color w:val="auto"/>
          <w:highlight w:val="none"/>
          <w:lang w:eastAsia="zh-CN"/>
        </w:rPr>
        <w:t>合同工程发生误期，承包人应赔偿发包人由此造成的损失，并按照第76</w:t>
      </w:r>
      <w:r>
        <w:rPr>
          <w:rFonts w:ascii="仿宋" w:hAnsi="仿宋" w:eastAsia="仿宋" w:cs="仿宋"/>
          <w:caps/>
          <w:color w:val="auto"/>
          <w:highlight w:val="none"/>
          <w:lang w:eastAsia="zh-CN"/>
        </w:rPr>
        <w:t>.2</w:t>
      </w:r>
      <w:r>
        <w:rPr>
          <w:rFonts w:hint="eastAsia" w:ascii="仿宋" w:hAnsi="仿宋" w:eastAsia="仿宋" w:cs="仿宋"/>
          <w:caps/>
          <w:color w:val="auto"/>
          <w:highlight w:val="none"/>
          <w:lang w:eastAsia="zh-CN"/>
        </w:rPr>
        <w:t>款约定向发包人支付误期赔偿费。</w:t>
      </w:r>
    </w:p>
    <w:p>
      <w:pPr>
        <w:pStyle w:val="22"/>
        <w:adjustRightInd w:val="0"/>
        <w:snapToGrid w:val="0"/>
        <w:spacing w:line="360" w:lineRule="auto"/>
        <w:rPr>
          <w:rFonts w:ascii="仿宋" w:hAnsi="仿宋" w:eastAsia="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22"/>
        <w:adjustRightInd w:val="0"/>
        <w:snapToGrid w:val="0"/>
        <w:spacing w:line="360" w:lineRule="auto"/>
        <w:jc w:val="center"/>
        <w:outlineLvl w:val="1"/>
        <w:rPr>
          <w:rFonts w:ascii="仿宋" w:hAnsi="仿宋" w:eastAsia="仿宋"/>
          <w:b/>
          <w:bCs/>
          <w:color w:val="auto"/>
          <w:sz w:val="24"/>
          <w:szCs w:val="24"/>
          <w:highlight w:val="none"/>
          <w:lang w:eastAsia="zh-CN"/>
        </w:rPr>
      </w:pPr>
      <w:bookmarkStart w:id="687" w:name="_Toc25687"/>
      <w:bookmarkStart w:id="688" w:name="_Toc3786"/>
      <w:bookmarkStart w:id="689" w:name="_Toc16725"/>
      <w:bookmarkStart w:id="690" w:name="_Toc10874"/>
      <w:bookmarkStart w:id="691" w:name="_Toc4424"/>
      <w:bookmarkStart w:id="692" w:name="_Toc29054"/>
      <w:bookmarkStart w:id="693" w:name="_Toc12003"/>
      <w:bookmarkStart w:id="694" w:name="_Toc9365"/>
      <w:r>
        <w:rPr>
          <w:rFonts w:hint="eastAsia" w:ascii="仿宋" w:hAnsi="仿宋" w:eastAsia="仿宋" w:cs="仿宋"/>
          <w:b/>
          <w:bCs/>
          <w:color w:val="auto"/>
          <w:sz w:val="24"/>
          <w:szCs w:val="24"/>
          <w:highlight w:val="none"/>
          <w:lang w:eastAsia="zh-CN"/>
        </w:rPr>
        <w:t>六、质量与安全</w:t>
      </w:r>
      <w:bookmarkEnd w:id="687"/>
      <w:bookmarkEnd w:id="688"/>
      <w:bookmarkEnd w:id="689"/>
      <w:bookmarkEnd w:id="690"/>
      <w:bookmarkEnd w:id="691"/>
      <w:bookmarkEnd w:id="692"/>
      <w:bookmarkEnd w:id="693"/>
      <w:bookmarkEnd w:id="694"/>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695" w:name="_Toc25299"/>
      <w:bookmarkStart w:id="696" w:name="_Toc30793"/>
      <w:bookmarkStart w:id="697" w:name="_Toc18630"/>
      <w:bookmarkStart w:id="698" w:name="_Toc14938"/>
      <w:bookmarkStart w:id="699" w:name="_Toc4692"/>
      <w:bookmarkStart w:id="700" w:name="_Toc28694"/>
      <w:bookmarkStart w:id="701" w:name="_Toc18223"/>
      <w:bookmarkStart w:id="702" w:name="_Toc10687"/>
      <w:r>
        <w:rPr>
          <w:rFonts w:hint="eastAsia" w:ascii="仿宋" w:hAnsi="仿宋" w:eastAsia="仿宋" w:cs="仿宋"/>
          <w:bCs w:val="0"/>
          <w:color w:val="auto"/>
          <w:sz w:val="24"/>
          <w:szCs w:val="24"/>
          <w:highlight w:val="none"/>
          <w:lang w:eastAsia="zh-CN"/>
        </w:rPr>
        <w:t>★</w:t>
      </w:r>
      <w:r>
        <w:rPr>
          <w:rFonts w:ascii="仿宋" w:hAnsi="仿宋" w:eastAsia="仿宋" w:cs="仿宋"/>
          <w:bCs w:val="0"/>
          <w:color w:val="auto"/>
          <w:sz w:val="24"/>
          <w:szCs w:val="24"/>
          <w:highlight w:val="none"/>
          <w:lang w:eastAsia="zh-CN"/>
        </w:rPr>
        <w:t>4</w:t>
      </w:r>
      <w:r>
        <w:rPr>
          <w:rFonts w:hint="eastAsia" w:ascii="仿宋" w:hAnsi="仿宋" w:eastAsia="仿宋" w:cs="仿宋"/>
          <w:bCs w:val="0"/>
          <w:color w:val="auto"/>
          <w:sz w:val="24"/>
          <w:szCs w:val="24"/>
          <w:highlight w:val="none"/>
          <w:lang w:eastAsia="zh-CN"/>
        </w:rPr>
        <w:t>8</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质量与安全管理</w:t>
      </w:r>
      <w:bookmarkEnd w:id="695"/>
      <w:bookmarkEnd w:id="696"/>
      <w:bookmarkEnd w:id="697"/>
      <w:bookmarkEnd w:id="698"/>
      <w:bookmarkEnd w:id="699"/>
      <w:bookmarkEnd w:id="700"/>
      <w:bookmarkEnd w:id="701"/>
      <w:bookmarkEnd w:id="702"/>
    </w:p>
    <w:p>
      <w:pPr>
        <w:tabs>
          <w:tab w:val="left" w:pos="780"/>
        </w:tabs>
        <w:adjustRightInd w:val="0"/>
        <w:snapToGrid w:val="0"/>
        <w:spacing w:line="360" w:lineRule="auto"/>
        <w:rPr>
          <w:rFonts w:ascii="仿宋" w:hAnsi="仿宋" w:eastAsia="仿宋"/>
          <w:b/>
          <w:bCs/>
          <w:color w:val="auto"/>
          <w:highlight w:val="none"/>
          <w:lang w:eastAsia="zh-CN"/>
        </w:rPr>
      </w:pP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.1</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783168" behindDoc="0" locked="0" layoutInCell="1" allowOverlap="1">
                <wp:simplePos x="0" y="0"/>
                <wp:positionH relativeFrom="column">
                  <wp:posOffset>-114300</wp:posOffset>
                </wp:positionH>
                <wp:positionV relativeFrom="paragraph">
                  <wp:posOffset>-6350</wp:posOffset>
                </wp:positionV>
                <wp:extent cx="814070" cy="587375"/>
                <wp:effectExtent l="0" t="0" r="0" b="0"/>
                <wp:wrapNone/>
                <wp:docPr id="122" name="文本框 852"/>
                <wp:cNvGraphicFramePr/>
                <a:graphic xmlns:a="http://schemas.openxmlformats.org/drawingml/2006/main">
                  <a:graphicData uri="http://schemas.microsoft.com/office/word/2010/wordprocessingShape">
                    <wps:wsp>
                      <wps:cNvSpPr txBox="1"/>
                      <wps:spPr>
                        <a:xfrm>
                          <a:off x="0" y="0"/>
                          <a:ext cx="814070" cy="5873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履行职责和义务</w:t>
                            </w:r>
                          </w:p>
                        </w:txbxContent>
                      </wps:txbx>
                      <wps:bodyPr wrap="square" upright="1"/>
                    </wps:wsp>
                  </a:graphicData>
                </a:graphic>
              </wp:anchor>
            </w:drawing>
          </mc:Choice>
          <mc:Fallback>
            <w:pict>
              <v:shape id="文本框 852" o:spid="_x0000_s1026" o:spt="202" type="#_x0000_t202" style="position:absolute;left:0pt;margin-left:-9pt;margin-top:-0.5pt;height:46.25pt;width:64.1pt;z-index:251783168;mso-width-relative:page;mso-height-relative:page;" filled="f" stroked="f" coordsize="21600,21600" o:gfxdata="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KdyP9YAAAAJAQAADwAAAAAAAAABACAAAAAiAAAAZHJzL2Rvd25yZXYueG1sUEsBAhQAFAAA&#10;AAgAh07iQHvILIC4AQAAXwMAAA4AAAAAAAAAAQAgAAAAJQ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履行职责和义务</w:t>
                      </w:r>
                    </w:p>
                  </w:txbxContent>
                </v:textbox>
              </v:shape>
            </w:pict>
          </mc:Fallback>
        </mc:AlternateContent>
      </w:r>
      <w:r>
        <w:rPr>
          <w:rFonts w:hint="eastAsia" w:ascii="仿宋" w:hAnsi="仿宋" w:eastAsia="仿宋" w:cs="仿宋"/>
          <w:color w:val="auto"/>
          <w:sz w:val="24"/>
          <w:szCs w:val="24"/>
          <w:highlight w:val="none"/>
          <w:lang w:eastAsia="zh-CN"/>
        </w:rPr>
        <w:t>合同双方当事人应严格遵守国家、省有关工程勘察设计及BIM技术应用成果质量、工程质量和施工安全的法律法规、标准与规范等规定，认真履行合同约定的工程质量和施工安全的职责和义务。如发生质量、安全方面的问题、隐患，合同双方当事人应按照国家规定时限如实上报政府有关部门，配合政府有关部门的调查、处理，由此发生的费用和（或）延误的工期由责任方承担。</w:t>
      </w:r>
    </w:p>
    <w:p>
      <w:pPr>
        <w:spacing w:line="360" w:lineRule="auto"/>
        <w:rPr>
          <w:rFonts w:ascii="仿宋" w:hAnsi="仿宋" w:eastAsia="仿宋"/>
          <w:b/>
          <w:bCs/>
          <w:color w:val="auto"/>
          <w:highlight w:val="none"/>
          <w:lang w:eastAsia="zh-CN"/>
        </w:rPr>
      </w:pP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pStyle w:val="7"/>
        <w:adjustRightInd w:val="0"/>
        <w:snapToGrid w:val="0"/>
        <w:spacing w:line="360" w:lineRule="auto"/>
        <w:ind w:left="1850" w:leftChars="771" w:firstLine="0"/>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784192" behindDoc="0" locked="0" layoutInCell="1" allowOverlap="1">
                <wp:simplePos x="0" y="0"/>
                <wp:positionH relativeFrom="column">
                  <wp:posOffset>-114300</wp:posOffset>
                </wp:positionH>
                <wp:positionV relativeFrom="paragraph">
                  <wp:posOffset>35560</wp:posOffset>
                </wp:positionV>
                <wp:extent cx="851535" cy="523875"/>
                <wp:effectExtent l="0" t="0" r="0" b="0"/>
                <wp:wrapNone/>
                <wp:docPr id="123" name="文本框 853"/>
                <wp:cNvGraphicFramePr/>
                <a:graphic xmlns:a="http://schemas.openxmlformats.org/drawingml/2006/main">
                  <a:graphicData uri="http://schemas.microsoft.com/office/word/2010/wordprocessingShape">
                    <wps:wsp>
                      <wps:cNvSpPr txBox="1"/>
                      <wps:spPr>
                        <a:xfrm>
                          <a:off x="0" y="0"/>
                          <a:ext cx="851535" cy="5238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质量与安全的监管</w:t>
                            </w:r>
                          </w:p>
                        </w:txbxContent>
                      </wps:txbx>
                      <wps:bodyPr wrap="square" upright="1"/>
                    </wps:wsp>
                  </a:graphicData>
                </a:graphic>
              </wp:anchor>
            </w:drawing>
          </mc:Choice>
          <mc:Fallback>
            <w:pict>
              <v:shape id="文本框 853" o:spid="_x0000_s1026" o:spt="202" type="#_x0000_t202" style="position:absolute;left:0pt;margin-left:-9pt;margin-top:2.8pt;height:41.25pt;width:67.05pt;z-index:251784192;mso-width-relative:page;mso-height-relative:page;" filled="f" stroked="f" coordsize="21600,21600" o:gfxdata="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dgf7i1QAAAAgBAAAPAAAAAAAAAAEAIAAAACIAAABkcnMvZG93bnJldi54bWxQSwECFAAUAAAA&#10;CACHTuJA3oaj/rgBAABfAwAADgAAAAAAAAABACAAAAAk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质量与安全的监管</w:t>
                      </w:r>
                    </w:p>
                  </w:txbxContent>
                </v:textbox>
              </v:shape>
            </w:pict>
          </mc:Fallback>
        </mc:AlternateContent>
      </w:r>
      <w:r>
        <w:rPr>
          <w:rFonts w:hint="eastAsia" w:ascii="仿宋" w:hAnsi="仿宋" w:eastAsia="仿宋" w:cs="仿宋"/>
          <w:color w:val="auto"/>
          <w:highlight w:val="none"/>
          <w:lang w:eastAsia="zh-CN"/>
        </w:rPr>
        <w:t>发包人在领取施工许可证或者提交开工报告之前，应及时按照国家有关规定对勘察、设计成果进行审查；报送政府、行业主管部门或施工图审查机构审查；办理合同工程质量和施工安全监督手续。</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承包人应组织勘察、设计成果、建筑信息模型（BIM）的内部审查，加强勘察、设计、BIM技术、采购、施工等专业人员的内部协调和管理，在施工场地设置专门的工程质量和施工安全管理机构，配备专职管理人员，建立完善的管理制度。</w:t>
      </w:r>
    </w:p>
    <w:p>
      <w:pPr>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22784" behindDoc="0" locked="0" layoutInCell="1" allowOverlap="1">
                <wp:simplePos x="0" y="0"/>
                <wp:positionH relativeFrom="column">
                  <wp:posOffset>-114300</wp:posOffset>
                </wp:positionH>
                <wp:positionV relativeFrom="paragraph">
                  <wp:posOffset>351790</wp:posOffset>
                </wp:positionV>
                <wp:extent cx="815340" cy="469265"/>
                <wp:effectExtent l="0" t="0" r="0" b="0"/>
                <wp:wrapNone/>
                <wp:docPr id="356" name="文本框 854"/>
                <wp:cNvGraphicFramePr/>
                <a:graphic xmlns:a="http://schemas.openxmlformats.org/drawingml/2006/main">
                  <a:graphicData uri="http://schemas.microsoft.com/office/word/2010/wordprocessingShape">
                    <wps:wsp>
                      <wps:cNvSpPr txBox="1"/>
                      <wps:spPr>
                        <a:xfrm>
                          <a:off x="0" y="0"/>
                          <a:ext cx="815340" cy="46926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管理的要求</w:t>
                            </w:r>
                          </w:p>
                        </w:txbxContent>
                      </wps:txbx>
                      <wps:bodyPr wrap="square" upright="1"/>
                    </wps:wsp>
                  </a:graphicData>
                </a:graphic>
              </wp:anchor>
            </w:drawing>
          </mc:Choice>
          <mc:Fallback>
            <w:pict>
              <v:shape id="文本框 854" o:spid="_x0000_s1026" o:spt="202" type="#_x0000_t202" style="position:absolute;left:0pt;margin-left:-9pt;margin-top:27.7pt;height:36.95pt;width:64.2pt;z-index:252022784;mso-width-relative:page;mso-height-relative:page;" filled="f" stroked="f" coordsize="21600,21600" o:gfxdata="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NrVjfNcAAAAKAQAADwAAAAAAAAABACAAAAAiAAAAZHJzL2Rvd25yZXYueG1sUEsBAhQA&#10;FAAAAAgAh07iQDfM1dS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管理的要求</w:t>
                      </w:r>
                    </w:p>
                  </w:txbxContent>
                </v:textbox>
              </v:shape>
            </w:pict>
          </mc:Fallback>
        </mc:AlternateContent>
      </w: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 xml:space="preserve">.3  </w:t>
      </w:r>
      <w:r>
        <w:rPr>
          <w:rFonts w:ascii="仿宋" w:hAnsi="仿宋" w:eastAsia="仿宋" w:cs="仿宋"/>
          <w:b/>
          <w:bCs/>
          <w:color w:val="auto"/>
          <w:highlight w:val="none"/>
          <w:u w:val="dotted"/>
          <w:lang w:eastAsia="zh-CN"/>
        </w:rPr>
        <w:t xml:space="preserve">                                                                               </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发包人不得以任何理由，要求承包人在勘察（如果有）、设计、BIM技术应用、设备及工器具购置（如果有）、施工等作业中违反法律法规、工程建设强制性标准，以及工程质量和施工安全标准，降低合同工程质量。承包人应加强对勘察、设计、设备及工器具购置、施工等管理、技术、作业人员的工程质量和施工安全教育培训，定期考核施工作业人员的劳动技能，加强工程质量和施工安全管理。</w:t>
      </w:r>
    </w:p>
    <w:p>
      <w:pPr>
        <w:spacing w:line="360" w:lineRule="auto"/>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023808" behindDoc="0" locked="0" layoutInCell="1" allowOverlap="1">
                <wp:simplePos x="0" y="0"/>
                <wp:positionH relativeFrom="column">
                  <wp:posOffset>-115570</wp:posOffset>
                </wp:positionH>
                <wp:positionV relativeFrom="paragraph">
                  <wp:posOffset>279400</wp:posOffset>
                </wp:positionV>
                <wp:extent cx="842645" cy="626110"/>
                <wp:effectExtent l="0" t="0" r="0" b="0"/>
                <wp:wrapNone/>
                <wp:docPr id="357" name="文本框 855"/>
                <wp:cNvGraphicFramePr/>
                <a:graphic xmlns:a="http://schemas.openxmlformats.org/drawingml/2006/main">
                  <a:graphicData uri="http://schemas.microsoft.com/office/word/2010/wordprocessingShape">
                    <wps:wsp>
                      <wps:cNvSpPr txBox="1"/>
                      <wps:spPr>
                        <a:xfrm>
                          <a:off x="0" y="0"/>
                          <a:ext cx="842645" cy="62611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承包人对质量与安全负责</w:t>
                            </w:r>
                          </w:p>
                        </w:txbxContent>
                      </wps:txbx>
                      <wps:bodyPr wrap="square" upright="1"/>
                    </wps:wsp>
                  </a:graphicData>
                </a:graphic>
              </wp:anchor>
            </w:drawing>
          </mc:Choice>
          <mc:Fallback>
            <w:pict>
              <v:shape id="文本框 855" o:spid="_x0000_s1026" o:spt="202" type="#_x0000_t202" style="position:absolute;left:0pt;margin-left:-9.1pt;margin-top:22pt;height:49.3pt;width:66.35pt;z-index:252023808;mso-width-relative:page;mso-height-relative:page;" filled="f" stroked="f" coordsize="21600,21600" o:gfxdata="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Tz3Lh1wAAAAoBAAAPAAAAAAAAAAEAIAAAACIAAABkcnMvZG93bnJldi54bWxQSwEC&#10;FAAUAAAACACHTuJAaPWn/LwBAABfAwAADgAAAAAAAAABACAAAAAm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承包人对质量与安全负责</w:t>
                      </w:r>
                    </w:p>
                  </w:txbxContent>
                </v:textbox>
              </v:shape>
            </w:pict>
          </mc:Fallback>
        </mc:AlternateContent>
      </w: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 xml:space="preserve">.4  </w:t>
      </w:r>
      <w:r>
        <w:rPr>
          <w:rFonts w:ascii="仿宋" w:hAnsi="仿宋" w:eastAsia="仿宋" w:cs="仿宋"/>
          <w:b/>
          <w:bCs/>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承包人应对合同工程质量和施工安全负责，严格执行国家、省有关工程质量和施工安全的操作规程及管理要求，组织设计文件内部审查，按约定报送发包人审查，按照批准的施工设计图纸和施工技术标准施工，不得偷工减料，不得擅自修改施工设计图纸，确保合同工程质量和施工安全。</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因承包人原因造成工程质量未达到合同约定标准的，发包人有权要求承包人返工直至工程质量达到合同约定的标准为止，并由承包人承担由此增加的费用和延误工期的责任。</w:t>
      </w:r>
    </w:p>
    <w:p>
      <w:pPr>
        <w:spacing w:line="360" w:lineRule="auto"/>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85216" behindDoc="0" locked="0" layoutInCell="1" allowOverlap="1">
                <wp:simplePos x="0" y="0"/>
                <wp:positionH relativeFrom="column">
                  <wp:posOffset>-123825</wp:posOffset>
                </wp:positionH>
                <wp:positionV relativeFrom="paragraph">
                  <wp:posOffset>224790</wp:posOffset>
                </wp:positionV>
                <wp:extent cx="794385" cy="535305"/>
                <wp:effectExtent l="0" t="0" r="0" b="0"/>
                <wp:wrapNone/>
                <wp:docPr id="124" name="文本框 856"/>
                <wp:cNvGraphicFramePr/>
                <a:graphic xmlns:a="http://schemas.openxmlformats.org/drawingml/2006/main">
                  <a:graphicData uri="http://schemas.microsoft.com/office/word/2010/wordprocessingShape">
                    <wps:wsp>
                      <wps:cNvSpPr txBox="1"/>
                      <wps:spPr>
                        <a:xfrm>
                          <a:off x="0" y="0"/>
                          <a:ext cx="794385" cy="535305"/>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发包人对质量与安全应负的责任</w:t>
                            </w:r>
                          </w:p>
                        </w:txbxContent>
                      </wps:txbx>
                      <wps:bodyPr wrap="square" upright="1"/>
                    </wps:wsp>
                  </a:graphicData>
                </a:graphic>
              </wp:anchor>
            </w:drawing>
          </mc:Choice>
          <mc:Fallback>
            <w:pict>
              <v:shape id="文本框 856" o:spid="_x0000_s1026" o:spt="202" type="#_x0000_t202" style="position:absolute;left:0pt;margin-left:-9.75pt;margin-top:17.7pt;height:42.15pt;width:62.55pt;z-index:251785216;mso-width-relative:page;mso-height-relative:page;" filled="f" stroked="f" coordsize="21600,21600" o:gfxdata="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u/pKbYAAAACgEAAA8AAAAAAAAAAQAgAAAAIgAAAGRycy9kb3ducmV2LnhtbFBLAQIU&#10;ABQAAAAIAIdO4kBRAdQ6ugEAAF8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发包人对质量与安全应负的责任</w:t>
                      </w:r>
                    </w:p>
                  </w:txbxContent>
                </v:textbox>
              </v:shape>
            </w:pict>
          </mc:Fallback>
        </mc:AlternateContent>
      </w: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 xml:space="preserve">.5  </w:t>
      </w:r>
      <w:r>
        <w:rPr>
          <w:rFonts w:ascii="仿宋" w:hAnsi="仿宋" w:eastAsia="仿宋" w:cs="仿宋"/>
          <w:b/>
          <w:bCs/>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autoSpaceDE w:val="0"/>
        <w:autoSpaceDN w:val="0"/>
        <w:adjustRightIn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因发包人原因造成工程质量未达到合同约定标准的，由发包人承担由此增加的费用和延误工期的责任，增加的费用按本合同相关条款约定计算。</w:t>
      </w:r>
    </w:p>
    <w:p>
      <w:pPr>
        <w:spacing w:line="360" w:lineRule="auto"/>
        <w:rPr>
          <w:rFonts w:ascii="仿宋" w:hAnsi="仿宋" w:eastAsia="仿宋" w:cs="仿宋"/>
          <w:color w:val="auto"/>
          <w:highlight w:val="none"/>
          <w:u w:val="dotted"/>
          <w:lang w:eastAsia="zh-CN"/>
        </w:rPr>
      </w:pPr>
      <w:r>
        <w:rPr>
          <w:rFonts w:ascii="仿宋" w:hAnsi="仿宋" w:eastAsia="仿宋" w:cs="仿宋"/>
          <w:b/>
          <w:bCs/>
          <w:color w:val="auto"/>
          <w:highlight w:val="none"/>
          <w:lang w:eastAsia="zh-CN"/>
        </w:rPr>
        <w:t>4</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 xml:space="preserve">.6 </w:t>
      </w:r>
      <w:r>
        <w:rPr>
          <w:rFonts w:ascii="仿宋" w:hAnsi="仿宋" w:eastAsia="仿宋" w:cs="仿宋"/>
          <w:b/>
          <w:bCs/>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widowControl w:val="0"/>
        <w:autoSpaceDE w:val="0"/>
        <w:autoSpaceDN w:val="0"/>
        <w:adjustRightIn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86240" behindDoc="0" locked="0" layoutInCell="1" allowOverlap="1">
                <wp:simplePos x="0" y="0"/>
                <wp:positionH relativeFrom="column">
                  <wp:posOffset>-114300</wp:posOffset>
                </wp:positionH>
                <wp:positionV relativeFrom="paragraph">
                  <wp:posOffset>16510</wp:posOffset>
                </wp:positionV>
                <wp:extent cx="855980" cy="741045"/>
                <wp:effectExtent l="0" t="0" r="0" b="0"/>
                <wp:wrapNone/>
                <wp:docPr id="125" name="文本框 857"/>
                <wp:cNvGraphicFramePr/>
                <a:graphic xmlns:a="http://schemas.openxmlformats.org/drawingml/2006/main">
                  <a:graphicData uri="http://schemas.microsoft.com/office/word/2010/wordprocessingShape">
                    <wps:wsp>
                      <wps:cNvSpPr txBox="1"/>
                      <wps:spPr>
                        <a:xfrm>
                          <a:off x="0" y="0"/>
                          <a:ext cx="855980" cy="741045"/>
                        </a:xfrm>
                        <a:prstGeom prst="rect">
                          <a:avLst/>
                        </a:prstGeom>
                        <a:noFill/>
                        <a:ln>
                          <a:noFill/>
                        </a:ln>
                      </wps:spPr>
                      <wps:txbx>
                        <w:txbxContent>
                          <w:p>
                            <w:pPr>
                              <w:rPr>
                                <w:color w:val="FF0000"/>
                                <w:lang w:eastAsia="zh-CN"/>
                              </w:rPr>
                            </w:pPr>
                            <w:r>
                              <w:rPr>
                                <w:rFonts w:hint="eastAsia" w:ascii="楷体_GB2312" w:hAnsi="宋体" w:eastAsia="楷体_GB2312" w:cs="楷体_GB2312"/>
                                <w:b/>
                                <w:bCs/>
                                <w:sz w:val="18"/>
                                <w:szCs w:val="18"/>
                                <w:lang w:eastAsia="zh-CN"/>
                              </w:rPr>
                              <w:t>监理人的质量检查和检验</w:t>
                            </w:r>
                          </w:p>
                        </w:txbxContent>
                      </wps:txbx>
                      <wps:bodyPr wrap="square" upright="1"/>
                    </wps:wsp>
                  </a:graphicData>
                </a:graphic>
              </wp:anchor>
            </w:drawing>
          </mc:Choice>
          <mc:Fallback>
            <w:pict>
              <v:shape id="文本框 857" o:spid="_x0000_s1026" o:spt="202" type="#_x0000_t202" style="position:absolute;left:0pt;margin-left:-9pt;margin-top:1.3pt;height:58.35pt;width:67.4pt;z-index:251786240;mso-width-relative:page;mso-height-relative:page;" filled="f" stroked="f" coordsize="21600,21600" o:gfxdata="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IDSU9DWAAAACQEAAA8AAAAAAAAAAQAgAAAAIgAAAGRycy9kb3ducmV2LnhtbFBLAQIUABQA&#10;AAAIAIdO4kD0sI68uQEAAF8DAAAOAAAAAAAAAAEAIAAAACUBAABkcnMvZTJvRG9jLnhtbFBLBQYA&#10;AAAABgAGAFkBAABQBQAAAAA=&#10;">
                <v:fill on="f" focussize="0,0"/>
                <v:stroke on="f"/>
                <v:imagedata o:title=""/>
                <o:lock v:ext="edit" aspectratio="f"/>
                <v:textbox>
                  <w:txbxContent>
                    <w:p>
                      <w:pPr>
                        <w:rPr>
                          <w:color w:val="FF0000"/>
                          <w:lang w:eastAsia="zh-CN"/>
                        </w:rPr>
                      </w:pPr>
                      <w:r>
                        <w:rPr>
                          <w:rFonts w:hint="eastAsia" w:ascii="楷体_GB2312" w:hAnsi="宋体" w:eastAsia="楷体_GB2312" w:cs="楷体_GB2312"/>
                          <w:b/>
                          <w:bCs/>
                          <w:sz w:val="18"/>
                          <w:szCs w:val="18"/>
                          <w:lang w:eastAsia="zh-CN"/>
                        </w:rPr>
                        <w:t>监理人的质量检查和检验</w:t>
                      </w:r>
                    </w:p>
                  </w:txbxContent>
                </v:textbox>
              </v:shape>
            </w:pict>
          </mc:Fallback>
        </mc:AlternateContent>
      </w:r>
      <w:r>
        <w:rPr>
          <w:rFonts w:hint="eastAsia" w:ascii="仿宋" w:hAnsi="仿宋" w:eastAsia="仿宋" w:cs="仿宋"/>
          <w:color w:val="auto"/>
          <w:highlight w:val="none"/>
          <w:lang w:eastAsia="zh-CN"/>
        </w:rPr>
        <w:t>监理人按照法律规定和发包人授权对工程的所有部位及其施工工艺、工程材料和工程设备进行检查和检验。承包人应为监理人的检查和检验提供方便，包括监理人到施工现场，或制造、加工地点，或合同约定的其他地方进行察看和查阅施工原始记录。监理人为此进行的检查和检验，不免除或减轻承包人按照合同约定应当承担的责任。</w:t>
      </w:r>
    </w:p>
    <w:p>
      <w:pPr>
        <w:pStyle w:val="7"/>
        <w:adjustRightInd w:val="0"/>
        <w:snapToGrid w:val="0"/>
        <w:spacing w:line="360" w:lineRule="auto"/>
        <w:ind w:firstLine="0"/>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03" w:name="_Toc19884"/>
      <w:bookmarkStart w:id="704" w:name="_Toc9595"/>
      <w:bookmarkStart w:id="705" w:name="_Toc26109"/>
      <w:bookmarkStart w:id="706" w:name="_Toc23027"/>
      <w:bookmarkStart w:id="707" w:name="_Toc2307"/>
      <w:bookmarkStart w:id="708" w:name="_Toc23302"/>
      <w:bookmarkStart w:id="709" w:name="_Toc2300"/>
      <w:bookmarkStart w:id="710" w:name="_Toc26551"/>
      <w:r>
        <w:rPr>
          <w:rFonts w:hint="eastAsia" w:ascii="仿宋" w:hAnsi="仿宋" w:eastAsia="仿宋" w:cs="仿宋"/>
          <w:bCs w:val="0"/>
          <w:color w:val="auto"/>
          <w:sz w:val="24"/>
          <w:szCs w:val="24"/>
          <w:highlight w:val="none"/>
          <w:lang w:eastAsia="zh-CN"/>
        </w:rPr>
        <w:t>★49</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质量标准</w:t>
      </w:r>
      <w:bookmarkEnd w:id="703"/>
      <w:bookmarkEnd w:id="704"/>
      <w:bookmarkEnd w:id="705"/>
      <w:bookmarkEnd w:id="706"/>
      <w:bookmarkEnd w:id="707"/>
      <w:bookmarkEnd w:id="708"/>
      <w:bookmarkEnd w:id="709"/>
      <w:bookmarkEnd w:id="710"/>
    </w:p>
    <w:p>
      <w:pPr>
        <w:adjustRightInd w:val="0"/>
        <w:snapToGrid w:val="0"/>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49</w:t>
      </w:r>
      <w:r>
        <w:rPr>
          <w:rFonts w:ascii="仿宋" w:hAnsi="仿宋" w:eastAsia="仿宋" w:cs="仿宋"/>
          <w:b/>
          <w:bCs/>
          <w:color w:val="auto"/>
          <w:highlight w:val="none"/>
          <w:lang w:eastAsia="zh-CN"/>
        </w:rPr>
        <w:t>.1</w:t>
      </w:r>
    </w:p>
    <w:p>
      <w:pPr>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87264" behindDoc="0" locked="0" layoutInCell="1" allowOverlap="1">
                <wp:simplePos x="0" y="0"/>
                <wp:positionH relativeFrom="column">
                  <wp:posOffset>-114300</wp:posOffset>
                </wp:positionH>
                <wp:positionV relativeFrom="paragraph">
                  <wp:posOffset>8255</wp:posOffset>
                </wp:positionV>
                <wp:extent cx="822960" cy="711200"/>
                <wp:effectExtent l="0" t="0" r="0" b="0"/>
                <wp:wrapNone/>
                <wp:docPr id="126" name="文本框 858"/>
                <wp:cNvGraphicFramePr/>
                <a:graphic xmlns:a="http://schemas.openxmlformats.org/drawingml/2006/main">
                  <a:graphicData uri="http://schemas.microsoft.com/office/word/2010/wordprocessingShape">
                    <wps:wsp>
                      <wps:cNvSpPr txBox="1"/>
                      <wps:spPr>
                        <a:xfrm>
                          <a:off x="0" y="0"/>
                          <a:ext cx="822960" cy="71120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约定工作或工程质量标准</w:t>
                            </w:r>
                          </w:p>
                        </w:txbxContent>
                      </wps:txbx>
                      <wps:bodyPr wrap="square" upright="1"/>
                    </wps:wsp>
                  </a:graphicData>
                </a:graphic>
              </wp:anchor>
            </w:drawing>
          </mc:Choice>
          <mc:Fallback>
            <w:pict>
              <v:shape id="文本框 858" o:spid="_x0000_s1026" o:spt="202" type="#_x0000_t202" style="position:absolute;left:0pt;margin-left:-9pt;margin-top:0.65pt;height:56pt;width:64.8pt;z-index:251787264;mso-width-relative:page;mso-height-relative:page;" filled="f" stroked="f" coordsize="21600,21600" o:gfxdata="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LceN7VAAAACQEAAA8AAAAAAAAAAQAgAAAAIgAAAGRycy9kb3ducmV2LnhtbFBLAQIUABQAAAAI&#10;AIdO4kBJbdRatwEAAF8DAAAOAAAAAAAAAAEAIAAAACQBAABkcnMvZTJvRG9jLnhtbFBLBQYAAAAA&#10;BgAGAFkBAABN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约定工作或工程质量标准</w:t>
                      </w:r>
                    </w:p>
                  </w:txbxContent>
                </v:textbox>
              </v:shape>
            </w:pict>
          </mc:Fallback>
        </mc:AlternateContent>
      </w:r>
      <w:r>
        <w:rPr>
          <w:rFonts w:hint="eastAsia" w:ascii="仿宋" w:hAnsi="仿宋" w:eastAsia="仿宋" w:cs="仿宋"/>
          <w:color w:val="auto"/>
          <w:highlight w:val="none"/>
          <w:lang w:eastAsia="zh-CN"/>
        </w:rPr>
        <w:t>合同双方当事人应在专用条款中约定勘察（如果有）、设计、BIM技术应用、设备及工器具购置（如果有）、施工等总承包范围内的服务工作和工程质量标准，但不得低于国家或行业的强制性标准。服务工作和工程质量应当达到专用条款约定的质量标准。</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工程质量验收，按照合同约定的标准执行；合同没有约定的，按照国家或行业的质量验收标准执行。</w:t>
      </w:r>
    </w:p>
    <w:p>
      <w:pPr>
        <w:spacing w:line="360" w:lineRule="auto"/>
        <w:rPr>
          <w:rFonts w:ascii="仿宋" w:hAnsi="仿宋" w:eastAsia="仿宋"/>
          <w:color w:val="auto"/>
          <w:highlight w:val="none"/>
          <w:lang w:eastAsia="zh-CN"/>
        </w:rPr>
      </w:pPr>
      <w:r>
        <w:rPr>
          <w:rFonts w:hint="eastAsia"/>
          <w:color w:val="auto"/>
          <w:highlight w:val="none"/>
          <w:lang w:eastAsia="zh-CN"/>
        </w:rPr>
        <w:t>49</w:t>
      </w:r>
      <w:r>
        <w:rPr>
          <w:rFonts w:ascii="仿宋" w:hAnsi="仿宋" w:eastAsia="仿宋" w:cs="仿宋"/>
          <w:b/>
          <w:bCs/>
          <w:color w:val="auto"/>
          <w:highlight w:val="none"/>
          <w:lang w:eastAsia="zh-CN"/>
        </w:rPr>
        <w:t>.2</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adjustRightInd w:val="0"/>
        <w:snapToGrid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024832" behindDoc="0" locked="0" layoutInCell="1" allowOverlap="1">
                <wp:simplePos x="0" y="0"/>
                <wp:positionH relativeFrom="column">
                  <wp:posOffset>-9525</wp:posOffset>
                </wp:positionH>
                <wp:positionV relativeFrom="paragraph">
                  <wp:posOffset>48895</wp:posOffset>
                </wp:positionV>
                <wp:extent cx="843915" cy="551815"/>
                <wp:effectExtent l="0" t="0" r="0" b="0"/>
                <wp:wrapNone/>
                <wp:docPr id="358" name="文本框 859"/>
                <wp:cNvGraphicFramePr/>
                <a:graphic xmlns:a="http://schemas.openxmlformats.org/drawingml/2006/main">
                  <a:graphicData uri="http://schemas.microsoft.com/office/word/2010/wordprocessingShape">
                    <wps:wsp>
                      <wps:cNvSpPr txBox="1"/>
                      <wps:spPr>
                        <a:xfrm>
                          <a:off x="0" y="0"/>
                          <a:ext cx="843915" cy="55181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承包人保证工作或工程质量的职责</w:t>
                            </w:r>
                          </w:p>
                        </w:txbxContent>
                      </wps:txbx>
                      <wps:bodyPr wrap="square" upright="1"/>
                    </wps:wsp>
                  </a:graphicData>
                </a:graphic>
              </wp:anchor>
            </w:drawing>
          </mc:Choice>
          <mc:Fallback>
            <w:pict>
              <v:shape id="文本框 859" o:spid="_x0000_s1026" o:spt="202" type="#_x0000_t202" style="position:absolute;left:0pt;margin-left:-0.75pt;margin-top:3.85pt;height:43.45pt;width:66.45pt;z-index:252024832;mso-width-relative:page;mso-height-relative:page;" filled="f" stroked="f" coordsize="21600,21600" o:gfxdata="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V+nZ3VAAAABwEAAA8AAAAAAAAAAQAgAAAAIgAAAGRycy9kb3ducmV2LnhtbFBLAQIUABQA&#10;AAAIAIdO4kADMIkc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承包人保证工作或工程质量的职责</w:t>
                      </w:r>
                    </w:p>
                  </w:txbxContent>
                </v:textbox>
              </v:shape>
            </w:pict>
          </mc:Fallback>
        </mc:AlternateContent>
      </w:r>
      <w:r>
        <w:rPr>
          <w:rFonts w:hint="eastAsia" w:ascii="仿宋" w:hAnsi="仿宋" w:eastAsia="仿宋" w:cs="仿宋"/>
          <w:color w:val="auto"/>
          <w:highlight w:val="none"/>
          <w:lang w:eastAsia="zh-CN"/>
        </w:rPr>
        <w:t>承包人对合同工程的工作质量和工程质量向发包人负责，其职责包括但不限于下列内容：</w:t>
      </w:r>
    </w:p>
    <w:p>
      <w:pPr>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（1）编制勘察、设计、BIM技术应用、设备及工器具购置等工作方案，确定工作方法，制定质量保证措施；</w:t>
      </w:r>
    </w:p>
    <w:p>
      <w:pPr>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（2）安排足够的勘察、设计、BIM技术应用等专业技术人员，检查和控制成果质量；</w:t>
      </w:r>
    </w:p>
    <w:p>
      <w:pPr>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（3）编制施工技术方案，确定施工技术措施；</w:t>
      </w:r>
    </w:p>
    <w:p>
      <w:pPr>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（4）提供和组织足够的工程技术人员，检查和控制工程施工质量；</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（5）控制施工所用的工程材料和工程设备，使其符合标准与规范、设计要求及合同约定的标准；</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（6）负责合同工程施工中出现质量问题或竣工验收不合格的返修工作；</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（7）参加合同工程的所有验收工作，包括隐蔽验收、中间验收；参加竣工验收，组织分包人参加工程验收工作；</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（8）承担质量保修期的工程保修责任；</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（9）承担其他工程质量责任。</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49</w:t>
      </w:r>
      <w:r>
        <w:rPr>
          <w:rFonts w:ascii="仿宋" w:hAnsi="仿宋" w:eastAsia="仿宋" w:cs="仿宋"/>
          <w:b/>
          <w:bCs/>
          <w:color w:val="auto"/>
          <w:highlight w:val="none"/>
          <w:lang w:eastAsia="zh-CN"/>
        </w:rPr>
        <w:t xml:space="preserve">.3  </w:t>
      </w:r>
      <w:r>
        <w:rPr>
          <w:rFonts w:ascii="仿宋" w:hAnsi="仿宋" w:eastAsia="仿宋" w:cs="仿宋"/>
          <w:b/>
          <w:bCs/>
          <w:color w:val="auto"/>
          <w:highlight w:val="none"/>
          <w:u w:val="dotted"/>
          <w:lang w:eastAsia="zh-CN"/>
        </w:rPr>
        <w:t xml:space="preserve">                                                                               </w:t>
      </w:r>
    </w:p>
    <w:p>
      <w:pPr>
        <w:pStyle w:val="33"/>
        <w:widowControl w:val="0"/>
        <w:adjustRightInd w:val="0"/>
        <w:snapToGrid w:val="0"/>
        <w:ind w:left="1850" w:leftChars="771"/>
        <w:jc w:val="both"/>
        <w:rPr>
          <w:rFonts w:ascii="仿宋" w:hAnsi="仿宋" w:eastAsia="仿宋"/>
          <w:color w:val="auto"/>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2025856" behindDoc="0" locked="0" layoutInCell="1" allowOverlap="1">
                <wp:simplePos x="0" y="0"/>
                <wp:positionH relativeFrom="column">
                  <wp:posOffset>-114300</wp:posOffset>
                </wp:positionH>
                <wp:positionV relativeFrom="paragraph">
                  <wp:posOffset>57150</wp:posOffset>
                </wp:positionV>
                <wp:extent cx="774700" cy="407035"/>
                <wp:effectExtent l="0" t="0" r="0" b="0"/>
                <wp:wrapNone/>
                <wp:docPr id="359" name="文本框 860"/>
                <wp:cNvGraphicFramePr/>
                <a:graphic xmlns:a="http://schemas.openxmlformats.org/drawingml/2006/main">
                  <a:graphicData uri="http://schemas.microsoft.com/office/word/2010/wordprocessingShape">
                    <wps:wsp>
                      <wps:cNvSpPr txBox="1"/>
                      <wps:spPr>
                        <a:xfrm>
                          <a:off x="0" y="0"/>
                          <a:ext cx="774700" cy="40703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质量保证体系</w:t>
                            </w:r>
                          </w:p>
                        </w:txbxContent>
                      </wps:txbx>
                      <wps:bodyPr wrap="square" upright="1"/>
                    </wps:wsp>
                  </a:graphicData>
                </a:graphic>
              </wp:anchor>
            </w:drawing>
          </mc:Choice>
          <mc:Fallback>
            <w:pict>
              <v:shape id="文本框 860" o:spid="_x0000_s1026" o:spt="202" type="#_x0000_t202" style="position:absolute;left:0pt;margin-left:-9pt;margin-top:4.5pt;height:32.05pt;width:61pt;z-index:252025856;mso-width-relative:page;mso-height-relative:page;" filled="f" stroked="f" coordsize="21600,21600" o:gfxdata="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poUzp1QAAAAgBAAAPAAAAAAAAAAEAIAAAACIAAABkcnMvZG93bnJldi54bWxQSwECFAAUAAAA&#10;CACHTuJAeXGvrrgBAABfAwAADgAAAAAAAAABACAAAAAk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质量保证体系</w:t>
                      </w:r>
                    </w:p>
                  </w:txbxContent>
                </v:textbox>
              </v:shape>
            </w:pict>
          </mc:Fallback>
        </mc:AlternateContent>
      </w:r>
      <w:r>
        <w:rPr>
          <w:rFonts w:hint="eastAsia" w:ascii="仿宋" w:hAnsi="仿宋" w:eastAsia="仿宋" w:cs="仿宋"/>
          <w:color w:val="auto"/>
          <w:highlight w:val="none"/>
          <w:lang w:eastAsia="zh-CN"/>
        </w:rPr>
        <w:t>承包人应建立健全完善的质量保证体系。</w:t>
      </w:r>
    </w:p>
    <w:p>
      <w:pPr>
        <w:pStyle w:val="33"/>
        <w:widowControl w:val="0"/>
        <w:adjustRightInd w:val="0"/>
        <w:snapToGrid w:val="0"/>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）承包人应向发包人和监理人提交工程质量保证体系及措施文件，建立完善的质量检查制度，并提交相应的工程质量文件。对于发包人和监理人违反法律规定和合同约定的错误指示，承包人有权拒绝实施。</w:t>
      </w:r>
    </w:p>
    <w:p>
      <w:pPr>
        <w:pStyle w:val="33"/>
        <w:widowControl w:val="0"/>
        <w:adjustRightInd w:val="0"/>
        <w:snapToGrid w:val="0"/>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承包人应遵守质量保证体系，对施工人员进行质量教育和技术培训，定期考核施工人员的劳动技能，严格执行施工规范和操作规程。即使承包人遵守质量保证体系，也不能免除其按照合同约定应承担的任何责任和应履行的任何义务。</w:t>
      </w:r>
    </w:p>
    <w:p>
      <w:pPr>
        <w:spacing w:line="360" w:lineRule="auto"/>
        <w:rPr>
          <w:rFonts w:ascii="仿宋" w:hAnsi="仿宋" w:eastAsia="仿宋"/>
          <w:b/>
          <w:bCs/>
          <w:color w:val="auto"/>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2026880" behindDoc="0" locked="0" layoutInCell="1" allowOverlap="1">
                <wp:simplePos x="0" y="0"/>
                <wp:positionH relativeFrom="column">
                  <wp:posOffset>-114300</wp:posOffset>
                </wp:positionH>
                <wp:positionV relativeFrom="paragraph">
                  <wp:posOffset>276225</wp:posOffset>
                </wp:positionV>
                <wp:extent cx="762000" cy="473710"/>
                <wp:effectExtent l="0" t="0" r="0" b="0"/>
                <wp:wrapNone/>
                <wp:docPr id="360" name="文本框 861"/>
                <wp:cNvGraphicFramePr/>
                <a:graphic xmlns:a="http://schemas.openxmlformats.org/drawingml/2006/main">
                  <a:graphicData uri="http://schemas.microsoft.com/office/word/2010/wordprocessingShape">
                    <wps:wsp>
                      <wps:cNvSpPr txBox="1"/>
                      <wps:spPr>
                        <a:xfrm>
                          <a:off x="0" y="0"/>
                          <a:ext cx="762000" cy="47371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工程质量有争议的处理</w:t>
                            </w:r>
                          </w:p>
                        </w:txbxContent>
                      </wps:txbx>
                      <wps:bodyPr wrap="square" upright="1"/>
                    </wps:wsp>
                  </a:graphicData>
                </a:graphic>
              </wp:anchor>
            </w:drawing>
          </mc:Choice>
          <mc:Fallback>
            <w:pict>
              <v:shape id="文本框 861" o:spid="_x0000_s1026" o:spt="202" type="#_x0000_t202" style="position:absolute;left:0pt;margin-left:-9pt;margin-top:21.75pt;height:37.3pt;width:60pt;z-index:252026880;mso-width-relative:page;mso-height-relative:page;" filled="f" stroked="f" coordsize="21600,21600" o:gfxdata="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us7+/1wAAAAoBAAAPAAAAAAAAAAEAIAAAACIAAABkcnMvZG93bnJldi54bWxQSwECFAAU&#10;AAAACACHTuJAMirg/r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工程质量有争议的处理</w:t>
                      </w:r>
                    </w:p>
                  </w:txbxContent>
                </v:textbox>
              </v:shape>
            </w:pict>
          </mc:Fallback>
        </mc:AlternateContent>
      </w:r>
      <w:r>
        <w:rPr>
          <w:rFonts w:hint="eastAsia" w:ascii="仿宋" w:hAnsi="仿宋" w:eastAsia="仿宋" w:cs="仿宋"/>
          <w:b/>
          <w:bCs/>
          <w:color w:val="auto"/>
          <w:highlight w:val="none"/>
          <w:lang w:eastAsia="zh-CN"/>
        </w:rPr>
        <w:t>49</w:t>
      </w:r>
      <w:r>
        <w:rPr>
          <w:rFonts w:ascii="仿宋" w:hAnsi="仿宋" w:eastAsia="仿宋" w:cs="仿宋"/>
          <w:b/>
          <w:bCs/>
          <w:color w:val="auto"/>
          <w:highlight w:val="none"/>
          <w:lang w:eastAsia="zh-CN"/>
        </w:rPr>
        <w:t xml:space="preserve">.4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合同双方当事人对工程质量有争议的，按照第91</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款约定调解或认定，所需的费用及由此造成的损失，由责任方承担。双方均有责任的，由双方根据其责任划分分别承担。</w:t>
      </w:r>
    </w:p>
    <w:p>
      <w:pPr>
        <w:tabs>
          <w:tab w:val="left" w:pos="1620"/>
        </w:tabs>
        <w:adjustRightInd w:val="0"/>
        <w:snapToGrid w:val="0"/>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11" w:name="_Toc28443"/>
      <w:bookmarkStart w:id="712" w:name="_Toc5144"/>
      <w:bookmarkStart w:id="713" w:name="_Toc30000"/>
      <w:bookmarkStart w:id="714" w:name="_Toc32284"/>
      <w:bookmarkStart w:id="715" w:name="_Toc5133"/>
      <w:bookmarkStart w:id="716" w:name="_Toc18653"/>
      <w:bookmarkStart w:id="717" w:name="_Toc2180"/>
      <w:bookmarkStart w:id="718" w:name="_Toc28081"/>
      <w:r>
        <w:rPr>
          <w:rFonts w:hint="eastAsia" w:ascii="仿宋" w:hAnsi="仿宋" w:eastAsia="仿宋" w:cs="仿宋"/>
          <w:bCs w:val="0"/>
          <w:color w:val="auto"/>
          <w:sz w:val="24"/>
          <w:szCs w:val="24"/>
          <w:highlight w:val="none"/>
          <w:lang w:eastAsia="zh-CN"/>
        </w:rPr>
        <w:t>★50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工程质量创优</w:t>
      </w:r>
      <w:bookmarkEnd w:id="711"/>
      <w:bookmarkEnd w:id="712"/>
      <w:bookmarkEnd w:id="713"/>
      <w:bookmarkEnd w:id="714"/>
      <w:bookmarkEnd w:id="715"/>
      <w:bookmarkEnd w:id="716"/>
      <w:bookmarkEnd w:id="717"/>
      <w:bookmarkEnd w:id="718"/>
    </w:p>
    <w:p>
      <w:pPr>
        <w:spacing w:line="360" w:lineRule="auto"/>
        <w:rPr>
          <w:rFonts w:ascii="仿宋" w:hAnsi="仿宋" w:eastAsia="仿宋"/>
          <w:b/>
          <w:bCs/>
          <w:caps/>
          <w:color w:val="auto"/>
          <w:highlight w:val="none"/>
          <w:lang w:eastAsia="zh-CN"/>
        </w:rPr>
      </w:pPr>
      <w:bookmarkStart w:id="719" w:name="_Toc5870"/>
      <w:r>
        <w:rPr>
          <w:color w:val="auto"/>
          <w:highlight w:val="none"/>
        </w:rPr>
        <mc:AlternateContent>
          <mc:Choice Requires="wps">
            <w:drawing>
              <wp:anchor distT="0" distB="0" distL="114300" distR="114300" simplePos="0" relativeHeight="251788288" behindDoc="0" locked="0" layoutInCell="1" allowOverlap="1">
                <wp:simplePos x="0" y="0"/>
                <wp:positionH relativeFrom="column">
                  <wp:posOffset>-85725</wp:posOffset>
                </wp:positionH>
                <wp:positionV relativeFrom="paragraph">
                  <wp:posOffset>217170</wp:posOffset>
                </wp:positionV>
                <wp:extent cx="832485" cy="434975"/>
                <wp:effectExtent l="0" t="0" r="0" b="0"/>
                <wp:wrapNone/>
                <wp:docPr id="127" name="文本框 862"/>
                <wp:cNvGraphicFramePr/>
                <a:graphic xmlns:a="http://schemas.openxmlformats.org/drawingml/2006/main">
                  <a:graphicData uri="http://schemas.microsoft.com/office/word/2010/wordprocessingShape">
                    <wps:wsp>
                      <wps:cNvSpPr txBox="1"/>
                      <wps:spPr>
                        <a:xfrm>
                          <a:off x="0" y="0"/>
                          <a:ext cx="832485" cy="43497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发包人鼓励质量创优</w:t>
                            </w:r>
                          </w:p>
                        </w:txbxContent>
                      </wps:txbx>
                      <wps:bodyPr wrap="square" upright="1"/>
                    </wps:wsp>
                  </a:graphicData>
                </a:graphic>
              </wp:anchor>
            </w:drawing>
          </mc:Choice>
          <mc:Fallback>
            <w:pict>
              <v:shape id="文本框 862" o:spid="_x0000_s1026" o:spt="202" type="#_x0000_t202" style="position:absolute;left:0pt;margin-left:-6.75pt;margin-top:17.1pt;height:34.25pt;width:65.55pt;z-index:251788288;mso-width-relative:page;mso-height-relative:page;" filled="f" stroked="f" coordsize="21600,21600" o:gfxdata="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NOSFH/YAAAACgEAAA8AAAAAAAAAAQAgAAAAIgAAAGRycy9kb3ducmV2LnhtbFBLAQIU&#10;ABQAAAAIAIdO4kAFS8b7ugEAAF8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发包人鼓励质量创优</w:t>
                      </w:r>
                    </w:p>
                  </w:txbxContent>
                </v:textbox>
              </v:shape>
            </w:pict>
          </mc:Fallback>
        </mc:AlternateContent>
      </w:r>
      <w:r>
        <w:rPr>
          <w:rFonts w:hint="eastAsia" w:ascii="仿宋" w:hAnsi="仿宋" w:eastAsia="仿宋" w:cs="仿宋"/>
          <w:b/>
          <w:bCs/>
          <w:caps/>
          <w:color w:val="auto"/>
          <w:highlight w:val="none"/>
          <w:lang w:eastAsia="zh-CN"/>
        </w:rPr>
        <w:t>50</w:t>
      </w:r>
      <w:r>
        <w:rPr>
          <w:rFonts w:ascii="仿宋" w:hAnsi="仿宋" w:eastAsia="仿宋" w:cs="仿宋"/>
          <w:b/>
          <w:bCs/>
          <w:caps/>
          <w:color w:val="auto"/>
          <w:highlight w:val="none"/>
          <w:lang w:eastAsia="zh-CN"/>
        </w:rPr>
        <w:t>.1</w:t>
      </w:r>
      <w:bookmarkEnd w:id="719"/>
    </w:p>
    <w:p>
      <w:pPr>
        <w:widowControl w:val="0"/>
        <w:spacing w:line="360" w:lineRule="auto"/>
        <w:ind w:left="1850" w:leftChars="771"/>
        <w:rPr>
          <w:rFonts w:ascii="仿宋" w:hAnsi="仿宋" w:eastAsia="仿宋" w:cs="仿宋"/>
          <w:caps/>
          <w:color w:val="auto"/>
          <w:highlight w:val="none"/>
          <w:lang w:eastAsia="zh-CN"/>
        </w:rPr>
      </w:pPr>
      <w:r>
        <w:rPr>
          <w:rFonts w:hint="eastAsia" w:ascii="仿宋" w:hAnsi="仿宋" w:eastAsia="仿宋" w:cs="仿宋"/>
          <w:caps/>
          <w:color w:val="auto"/>
          <w:highlight w:val="none"/>
          <w:lang w:eastAsia="zh-CN"/>
        </w:rPr>
        <w:t>发包人应配合承包人加强合同工程质量与施工安全管理，鼓励承包人实施合同工程质量创优。工程质量创优包括国家级、省级和市级的优秀勘察设计奖、工程优质奖及精品工程等，其中精品工程是指规划方案先进、勘察设计优秀、施工组织规范、工程质量优良、项目管理科学、造价经济合理、功能效益突出，统筹兼顾实用性、美观性等相关要求的工程，精品工程六要素包括设计要素、科技创新要素、绿色节能要素、安全要素、质量要素和功能要素。本工程的质量创优目标及评价标准在专用条款中约定。</w:t>
      </w:r>
    </w:p>
    <w:p>
      <w:pPr>
        <w:widowControl w:val="0"/>
        <w:spacing w:line="360" w:lineRule="auto"/>
        <w:ind w:left="1850" w:leftChars="771"/>
        <w:rPr>
          <w:rFonts w:ascii="仿宋" w:hAnsi="仿宋" w:eastAsia="仿宋"/>
          <w:caps/>
          <w:color w:val="auto"/>
          <w:highlight w:val="none"/>
          <w:lang w:eastAsia="zh-CN"/>
        </w:rPr>
      </w:pPr>
      <w:r>
        <w:rPr>
          <w:rFonts w:hint="eastAsia" w:ascii="仿宋" w:hAnsi="仿宋" w:eastAsia="仿宋" w:cs="仿宋"/>
          <w:caps/>
          <w:color w:val="auto"/>
          <w:highlight w:val="none"/>
          <w:lang w:eastAsia="zh-CN"/>
        </w:rPr>
        <w:t>对于合同工程质量高于国家规定或合同约定的质量验收合格标准的，应按照第77条约定向承包人支付优质优价费用。</w:t>
      </w:r>
    </w:p>
    <w:p>
      <w:pPr>
        <w:spacing w:line="360" w:lineRule="auto"/>
        <w:rPr>
          <w:rFonts w:ascii="仿宋" w:hAnsi="仿宋" w:eastAsia="仿宋"/>
          <w:b/>
          <w:bCs/>
          <w:caps/>
          <w:color w:val="auto"/>
          <w:highlight w:val="none"/>
          <w:lang w:eastAsia="zh-CN"/>
        </w:rPr>
      </w:pPr>
      <w:r>
        <w:rPr>
          <w:rFonts w:hint="eastAsia" w:ascii="仿宋" w:hAnsi="仿宋" w:eastAsia="仿宋" w:cs="仿宋"/>
          <w:b/>
          <w:bCs/>
          <w:color w:val="auto"/>
          <w:highlight w:val="none"/>
          <w:lang w:eastAsia="zh-CN"/>
        </w:rPr>
        <w:t>50</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rPr>
          <w:rFonts w:ascii="仿宋" w:hAnsi="仿宋" w:eastAsia="仿宋"/>
          <w:caps/>
          <w:color w:val="auto"/>
          <w:highlight w:val="none"/>
          <w:lang w:eastAsia="zh-CN"/>
        </w:rPr>
      </w:pPr>
      <w:r>
        <w:rPr>
          <w:color w:val="auto"/>
          <w:highlight w:val="none"/>
        </w:rPr>
        <mc:AlternateContent>
          <mc:Choice Requires="wps">
            <w:drawing>
              <wp:anchor distT="0" distB="0" distL="114300" distR="114300" simplePos="0" relativeHeight="251789312" behindDoc="0" locked="0" layoutInCell="1" allowOverlap="1">
                <wp:simplePos x="0" y="0"/>
                <wp:positionH relativeFrom="column">
                  <wp:posOffset>-114300</wp:posOffset>
                </wp:positionH>
                <wp:positionV relativeFrom="paragraph">
                  <wp:posOffset>5715</wp:posOffset>
                </wp:positionV>
                <wp:extent cx="813435" cy="482600"/>
                <wp:effectExtent l="0" t="0" r="0" b="0"/>
                <wp:wrapNone/>
                <wp:docPr id="128" name="文本框 863"/>
                <wp:cNvGraphicFramePr/>
                <a:graphic xmlns:a="http://schemas.openxmlformats.org/drawingml/2006/main">
                  <a:graphicData uri="http://schemas.microsoft.com/office/word/2010/wordprocessingShape">
                    <wps:wsp>
                      <wps:cNvSpPr txBox="1"/>
                      <wps:spPr>
                        <a:xfrm>
                          <a:off x="0" y="0"/>
                          <a:ext cx="813435" cy="48260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承包人争取质量创优</w:t>
                            </w:r>
                          </w:p>
                        </w:txbxContent>
                      </wps:txbx>
                      <wps:bodyPr wrap="square" upright="1"/>
                    </wps:wsp>
                  </a:graphicData>
                </a:graphic>
              </wp:anchor>
            </w:drawing>
          </mc:Choice>
          <mc:Fallback>
            <w:pict>
              <v:shape id="文本框 863" o:spid="_x0000_s1026" o:spt="202" type="#_x0000_t202" style="position:absolute;left:0pt;margin-left:-9pt;margin-top:0.45pt;height:38pt;width:64.05pt;z-index:251789312;mso-width-relative:page;mso-height-relative:page;" filled="f" stroked="f" coordsize="21600,21600" o:gfxdata="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ydtui1AAAAAcBAAAPAAAAAAAAAAEAIAAAACIAAABkcnMvZG93bnJldi54bWxQSwECFAAUAAAA&#10;CACHTuJAWLP3JrkBAABfAwAADgAAAAAAAAABACAAAAAjAQAAZHJzL2Uyb0RvYy54bWxQSwUGAAAA&#10;AAYABgBZAQAATg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承包人争取质量创优</w:t>
                      </w:r>
                    </w:p>
                  </w:txbxContent>
                </v:textbox>
              </v:shape>
            </w:pict>
          </mc:Fallback>
        </mc:AlternateContent>
      </w:r>
      <w:r>
        <w:rPr>
          <w:rFonts w:hint="eastAsia" w:ascii="仿宋" w:hAnsi="仿宋" w:eastAsia="仿宋" w:cs="仿宋"/>
          <w:caps/>
          <w:color w:val="auto"/>
          <w:highlight w:val="none"/>
          <w:lang w:eastAsia="zh-CN"/>
        </w:rPr>
        <w:t>承包人应采取有效措施确保合同工程质量与施工安全，在保证工程质量、施工安全达到国家或行业的强制性标准的前提下，提高工程质量与施工安全管理水平，争取合同工程质量创优。</w:t>
      </w:r>
    </w:p>
    <w:p>
      <w:pPr>
        <w:tabs>
          <w:tab w:val="left" w:pos="1620"/>
        </w:tabs>
        <w:spacing w:line="360" w:lineRule="auto"/>
        <w:rPr>
          <w:rFonts w:ascii="仿宋" w:hAnsi="仿宋" w:eastAsia="仿宋"/>
          <w:b/>
          <w:bCs/>
          <w:color w:val="auto"/>
          <w:highlight w:val="none"/>
          <w:u w:val="single"/>
          <w:lang w:eastAsia="zh-CN"/>
        </w:rPr>
      </w:pPr>
      <w:r>
        <w:rPr>
          <w:rFonts w:ascii="仿宋" w:hAnsi="仿宋" w:eastAsia="仿宋" w:cs="仿宋"/>
          <w:b/>
          <w:bCs/>
          <w:cap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20" w:name="_Toc24566"/>
      <w:bookmarkStart w:id="721" w:name="_Toc4186"/>
      <w:bookmarkStart w:id="722" w:name="_Toc24666"/>
      <w:bookmarkStart w:id="723" w:name="_Toc20585"/>
      <w:bookmarkStart w:id="724" w:name="_Toc27705"/>
      <w:bookmarkStart w:id="725" w:name="_Toc6125"/>
      <w:bookmarkStart w:id="726" w:name="_Toc17779"/>
      <w:bookmarkStart w:id="727" w:name="_Toc24516"/>
      <w:r>
        <w:rPr>
          <w:rFonts w:hint="eastAsia" w:ascii="仿宋" w:hAnsi="仿宋" w:eastAsia="仿宋" w:cs="仿宋"/>
          <w:bCs w:val="0"/>
          <w:color w:val="auto"/>
          <w:sz w:val="24"/>
          <w:szCs w:val="24"/>
          <w:highlight w:val="none"/>
          <w:lang w:eastAsia="zh-CN"/>
        </w:rPr>
        <w:t>51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工程的照管</w:t>
      </w:r>
      <w:bookmarkEnd w:id="720"/>
      <w:bookmarkEnd w:id="721"/>
      <w:bookmarkEnd w:id="722"/>
      <w:bookmarkEnd w:id="723"/>
      <w:bookmarkEnd w:id="724"/>
      <w:bookmarkEnd w:id="725"/>
      <w:bookmarkEnd w:id="726"/>
      <w:bookmarkEnd w:id="727"/>
    </w:p>
    <w:p>
      <w:pPr>
        <w:spacing w:line="360" w:lineRule="auto"/>
        <w:rPr>
          <w:rFonts w:ascii="仿宋" w:hAnsi="仿宋" w:eastAsia="仿宋" w:cs="仿宋"/>
          <w:b/>
          <w:bCs/>
          <w:color w:val="auto"/>
          <w:highlight w:val="none"/>
          <w:lang w:eastAsia="zh-CN"/>
        </w:rPr>
      </w:pPr>
      <w:bookmarkStart w:id="728" w:name="_Toc5922"/>
      <w:r>
        <w:rPr>
          <w:rFonts w:ascii="仿宋" w:hAnsi="仿宋" w:eastAsia="仿宋" w:cs="仿宋"/>
          <w:b/>
          <w:bCs/>
          <w:color w:val="auto"/>
          <w:highlight w:val="none"/>
        </w:rPr>
        <mc:AlternateContent>
          <mc:Choice Requires="wps">
            <w:drawing>
              <wp:anchor distT="0" distB="0" distL="114300" distR="114300" simplePos="0" relativeHeight="252027904" behindDoc="0" locked="0" layoutInCell="1" allowOverlap="1">
                <wp:simplePos x="0" y="0"/>
                <wp:positionH relativeFrom="column">
                  <wp:posOffset>-114300</wp:posOffset>
                </wp:positionH>
                <wp:positionV relativeFrom="paragraph">
                  <wp:posOffset>264160</wp:posOffset>
                </wp:positionV>
                <wp:extent cx="883920" cy="314325"/>
                <wp:effectExtent l="0" t="0" r="0" b="0"/>
                <wp:wrapNone/>
                <wp:docPr id="361" name="文本框 864"/>
                <wp:cNvGraphicFramePr/>
                <a:graphic xmlns:a="http://schemas.openxmlformats.org/drawingml/2006/main">
                  <a:graphicData uri="http://schemas.microsoft.com/office/word/2010/wordprocessingShape">
                    <wps:wsp>
                      <wps:cNvSpPr txBox="1"/>
                      <wps:spPr>
                        <a:xfrm>
                          <a:off x="0" y="0"/>
                          <a:ext cx="883920" cy="31432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工程照管</w:t>
                            </w:r>
                          </w:p>
                        </w:txbxContent>
                      </wps:txbx>
                      <wps:bodyPr wrap="square" upright="1"/>
                    </wps:wsp>
                  </a:graphicData>
                </a:graphic>
              </wp:anchor>
            </w:drawing>
          </mc:Choice>
          <mc:Fallback>
            <w:pict>
              <v:shape id="文本框 864" o:spid="_x0000_s1026" o:spt="202" type="#_x0000_t202" style="position:absolute;left:0pt;margin-left:-9pt;margin-top:20.8pt;height:24.75pt;width:69.6pt;z-index:252027904;mso-width-relative:page;mso-height-relative:page;" filled="f" stroked="f" coordsize="21600,21600" o:gfxdata="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I/PDTWAAAACQEAAA8AAAAAAAAAAQAgAAAAIgAAAGRycy9kb3ducmV2LnhtbFBLAQIUABQA&#10;AAAIAIdO4kCrTsPOuQEAAF8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工程照管</w:t>
                      </w:r>
                    </w:p>
                  </w:txbxContent>
                </v:textbox>
              </v:shape>
            </w:pict>
          </mc:Fallback>
        </mc:AlternateContent>
      </w:r>
      <w:r>
        <w:rPr>
          <w:rFonts w:hint="eastAsia" w:ascii="仿宋" w:hAnsi="仿宋" w:eastAsia="仿宋" w:cs="仿宋"/>
          <w:b/>
          <w:bCs/>
          <w:color w:val="auto"/>
          <w:highlight w:val="none"/>
          <w:lang w:eastAsia="zh-CN"/>
        </w:rPr>
        <w:t>51</w:t>
      </w:r>
      <w:r>
        <w:rPr>
          <w:rFonts w:ascii="仿宋" w:hAnsi="仿宋" w:eastAsia="仿宋" w:cs="仿宋"/>
          <w:b/>
          <w:bCs/>
          <w:color w:val="auto"/>
          <w:highlight w:val="none"/>
          <w:lang w:eastAsia="zh-CN"/>
        </w:rPr>
        <w:t>.1</w:t>
      </w:r>
      <w:bookmarkEnd w:id="728"/>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从开工之日起，承包人应全面负责照管合同工程及运至现场将使用到合同工程中的工程材料和工程设备，直到合同双方当事人确认工程移交之日止。此后，工程的照管即转由发包人负责。</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如果在整个工程移交前，合同双方当事人已经确认移交或发包人提前使用其中任一单项工程，则从确认移交或提前使用之日起承包人无须对该单项工程负责照管，而转由发包人负责。但是，承包人应继续负责照管尚未完成的工程和将用于或安装在合同工程中的工程材料和工程设备，直至完成上述工作并经合同双方当事人确认整个工程移交之日止。</w:t>
      </w:r>
    </w:p>
    <w:p>
      <w:pPr>
        <w:spacing w:line="360" w:lineRule="auto"/>
        <w:rPr>
          <w:rFonts w:ascii="仿宋" w:hAnsi="仿宋" w:eastAsia="仿宋"/>
          <w:color w:val="auto"/>
          <w:highlight w:val="none"/>
          <w:lang w:eastAsia="zh-CN"/>
        </w:rPr>
      </w:pPr>
      <w:bookmarkStart w:id="729" w:name="_Toc8290"/>
      <w:r>
        <w:rPr>
          <w:rFonts w:ascii="仿宋" w:hAnsi="仿宋" w:eastAsia="仿宋" w:cs="仿宋"/>
          <w:b/>
          <w:bCs/>
          <w:color w:val="auto"/>
          <w:highlight w:val="none"/>
        </w:rPr>
        <mc:AlternateContent>
          <mc:Choice Requires="wps">
            <w:drawing>
              <wp:anchor distT="0" distB="0" distL="114300" distR="114300" simplePos="0" relativeHeight="252028928" behindDoc="0" locked="0" layoutInCell="1" allowOverlap="1">
                <wp:simplePos x="0" y="0"/>
                <wp:positionH relativeFrom="column">
                  <wp:posOffset>-114300</wp:posOffset>
                </wp:positionH>
                <wp:positionV relativeFrom="paragraph">
                  <wp:posOffset>276860</wp:posOffset>
                </wp:positionV>
                <wp:extent cx="766445" cy="633095"/>
                <wp:effectExtent l="0" t="0" r="0" b="0"/>
                <wp:wrapNone/>
                <wp:docPr id="362" name="文本框 865"/>
                <wp:cNvGraphicFramePr/>
                <a:graphic xmlns:a="http://schemas.openxmlformats.org/drawingml/2006/main">
                  <a:graphicData uri="http://schemas.microsoft.com/office/word/2010/wordprocessingShape">
                    <wps:wsp>
                      <wps:cNvSpPr txBox="1"/>
                      <wps:spPr>
                        <a:xfrm>
                          <a:off x="0" y="0"/>
                          <a:ext cx="766445" cy="63309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照管期间承包人造成损失的责任</w:t>
                            </w:r>
                          </w:p>
                        </w:txbxContent>
                      </wps:txbx>
                      <wps:bodyPr wrap="square" upright="1"/>
                    </wps:wsp>
                  </a:graphicData>
                </a:graphic>
              </wp:anchor>
            </w:drawing>
          </mc:Choice>
          <mc:Fallback>
            <w:pict>
              <v:shape id="文本框 865" o:spid="_x0000_s1026" o:spt="202" type="#_x0000_t202" style="position:absolute;left:0pt;margin-left:-9pt;margin-top:21.8pt;height:49.85pt;width:60.35pt;z-index:252028928;mso-width-relative:page;mso-height-relative:page;" filled="f" stroked="f" coordsize="21600,21600" o:gfxdata="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xZTIq2AAAAAoBAAAPAAAAAAAAAAEAIAAAACIAAABkcnMvZG93bnJldi54bWxQSwEC&#10;FAAUAAAACACHTuJAFWUbjrsBAABf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照管期间承包人造成损失的责任</w:t>
                      </w:r>
                    </w:p>
                  </w:txbxContent>
                </v:textbox>
              </v:shape>
            </w:pict>
          </mc:Fallback>
        </mc:AlternateContent>
      </w:r>
      <w:r>
        <w:rPr>
          <w:rFonts w:hint="eastAsia" w:ascii="仿宋" w:hAnsi="仿宋" w:eastAsia="仿宋" w:cs="仿宋"/>
          <w:b/>
          <w:bCs/>
          <w:color w:val="auto"/>
          <w:highlight w:val="none"/>
          <w:lang w:eastAsia="zh-CN"/>
        </w:rPr>
        <w:t>51</w:t>
      </w:r>
      <w:r>
        <w:rPr>
          <w:rFonts w:ascii="仿宋" w:hAnsi="仿宋" w:eastAsia="仿宋" w:cs="仿宋"/>
          <w:b/>
          <w:bCs/>
          <w:color w:val="auto"/>
          <w:highlight w:val="none"/>
          <w:lang w:eastAsia="zh-CN"/>
        </w:rPr>
        <w:t>.2</w:t>
      </w:r>
      <w:bookmarkEnd w:id="729"/>
      <w:r>
        <w:rPr>
          <w:rFonts w:ascii="仿宋" w:hAnsi="仿宋" w:eastAsia="仿宋" w:cs="仿宋"/>
          <w:b/>
          <w:bCs/>
          <w:color w:val="auto"/>
          <w:highlight w:val="none"/>
          <w:lang w:eastAsia="zh-CN"/>
        </w:rPr>
        <w:t xml:space="preserve">  </w:t>
      </w:r>
      <w:r>
        <w:rPr>
          <w:rFonts w:ascii="仿宋" w:hAnsi="仿宋" w:eastAsia="仿宋" w:cs="仿宋"/>
          <w:color w:val="auto"/>
          <w:highlight w:val="none"/>
          <w:u w:val="dotted"/>
          <w:lang w:eastAsia="zh-CN"/>
        </w:rPr>
        <w:t xml:space="preserve">                                                                               </w:t>
      </w:r>
    </w:p>
    <w:p>
      <w:pPr>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承包人在负责工程照管期间，如因自身原因造成合同工程或其任何部分，以及工程材料和工程设备或临时工程的损坏，承包人应自费修复上述损坏，保证合同工程质量达到合同约定的标准。</w:t>
      </w:r>
    </w:p>
    <w:p>
      <w:pPr>
        <w:adjustRightInd w:val="0"/>
        <w:snapToGrid w:val="0"/>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30" w:name="_Toc12350"/>
      <w:bookmarkStart w:id="731" w:name="_Toc25344"/>
      <w:bookmarkStart w:id="732" w:name="_Toc26681"/>
      <w:bookmarkStart w:id="733" w:name="_Toc21401"/>
      <w:bookmarkStart w:id="734" w:name="_Toc18513"/>
      <w:bookmarkStart w:id="735" w:name="_Toc18810"/>
      <w:bookmarkStart w:id="736" w:name="_Toc6692"/>
      <w:bookmarkStart w:id="737" w:name="_Toc17049"/>
      <w:r>
        <w:rPr>
          <w:rFonts w:hint="eastAsia" w:ascii="仿宋" w:hAnsi="仿宋" w:eastAsia="仿宋" w:cs="仿宋"/>
          <w:bCs w:val="0"/>
          <w:color w:val="auto"/>
          <w:sz w:val="24"/>
          <w:szCs w:val="24"/>
          <w:highlight w:val="none"/>
          <w:lang w:eastAsia="zh-CN"/>
        </w:rPr>
        <w:t>★52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绿色施工安全防护</w:t>
      </w:r>
      <w:bookmarkEnd w:id="730"/>
      <w:bookmarkEnd w:id="731"/>
      <w:bookmarkEnd w:id="732"/>
      <w:bookmarkEnd w:id="733"/>
      <w:bookmarkEnd w:id="734"/>
      <w:bookmarkEnd w:id="735"/>
      <w:bookmarkEnd w:id="736"/>
      <w:bookmarkEnd w:id="737"/>
    </w:p>
    <w:p>
      <w:pPr>
        <w:spacing w:line="360" w:lineRule="auto"/>
        <w:rPr>
          <w:rFonts w:ascii="仿宋" w:hAnsi="仿宋" w:eastAsia="仿宋" w:cs="仿宋"/>
          <w:b/>
          <w:bCs/>
          <w:color w:val="auto"/>
          <w:highlight w:val="none"/>
          <w:lang w:eastAsia="zh-CN"/>
        </w:rPr>
      </w:pPr>
      <w:bookmarkStart w:id="738" w:name="_Toc1795"/>
      <w:r>
        <w:rPr>
          <w:rFonts w:ascii="仿宋" w:hAnsi="仿宋" w:eastAsia="仿宋" w:cs="仿宋"/>
          <w:b/>
          <w:bCs/>
          <w:color w:val="auto"/>
          <w:highlight w:val="none"/>
        </w:rPr>
        <mc:AlternateContent>
          <mc:Choice Requires="wps">
            <w:drawing>
              <wp:anchor distT="0" distB="0" distL="114300" distR="114300" simplePos="0" relativeHeight="252029952" behindDoc="0" locked="0" layoutInCell="1" allowOverlap="1">
                <wp:simplePos x="0" y="0"/>
                <wp:positionH relativeFrom="column">
                  <wp:posOffset>-114300</wp:posOffset>
                </wp:positionH>
                <wp:positionV relativeFrom="paragraph">
                  <wp:posOffset>194945</wp:posOffset>
                </wp:positionV>
                <wp:extent cx="910590" cy="539750"/>
                <wp:effectExtent l="0" t="0" r="0" b="0"/>
                <wp:wrapNone/>
                <wp:docPr id="363" name="文本框 866"/>
                <wp:cNvGraphicFramePr/>
                <a:graphic xmlns:a="http://schemas.openxmlformats.org/drawingml/2006/main">
                  <a:graphicData uri="http://schemas.microsoft.com/office/word/2010/wordprocessingShape">
                    <wps:wsp>
                      <wps:cNvSpPr txBox="1"/>
                      <wps:spPr>
                        <a:xfrm>
                          <a:off x="0" y="0"/>
                          <a:ext cx="910590" cy="539750"/>
                        </a:xfrm>
                        <a:prstGeom prst="rect">
                          <a:avLst/>
                        </a:prstGeom>
                        <a:noFill/>
                        <a:ln>
                          <a:noFill/>
                        </a:ln>
                      </wps:spPr>
                      <wps:txbx>
                        <w:txbxContent>
                          <w:p>
                            <w:pPr>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绿色施工安全防护的要求</w:t>
                            </w:r>
                          </w:p>
                        </w:txbxContent>
                      </wps:txbx>
                      <wps:bodyPr wrap="square" upright="1"/>
                    </wps:wsp>
                  </a:graphicData>
                </a:graphic>
              </wp:anchor>
            </w:drawing>
          </mc:Choice>
          <mc:Fallback>
            <w:pict>
              <v:shape id="文本框 866" o:spid="_x0000_s1026" o:spt="202" type="#_x0000_t202" style="position:absolute;left:0pt;margin-left:-9pt;margin-top:15.35pt;height:42.5pt;width:71.7pt;z-index:252029952;mso-width-relative:page;mso-height-relative:page;" filled="f" stroked="f" coordsize="21600,21600" o:gfxdata="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PmfW92AAAAAoBAAAPAAAAAAAAAAEAIAAAACIAAABkcnMvZG93bnJldi54bWxQSwEC&#10;FAAUAAAACACHTuJAaL2CPLsBAABfAwAADgAAAAAAAAABACAAAAAnAQAAZHJzL2Uyb0RvYy54bWxQ&#10;SwUGAAAAAAYABgBZAQAAVAUAAAAA&#10;">
                <v:fill on="f" focussize="0,0"/>
                <v:stroke on="f"/>
                <v:imagedata o:title=""/>
                <o:lock v:ext="edit" aspectratio="f"/>
                <v:textbox>
                  <w:txbxContent>
                    <w:p>
                      <w:pPr>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绿色施工安全防护的要求</w:t>
                      </w:r>
                    </w:p>
                  </w:txbxContent>
                </v:textbox>
              </v:shape>
            </w:pict>
          </mc:Fallback>
        </mc:AlternateContent>
      </w:r>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.1</w:t>
      </w:r>
      <w:bookmarkEnd w:id="738"/>
    </w:p>
    <w:p>
      <w:pPr>
        <w:widowControl w:val="0"/>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合同当事人均应当遵守国家、省、市有关绿色施工安全防护的要求，合同当事人有特别要求的，应在专用合同条款中明确施工项目绿色施工安全防护标准化达标目标及相应事项。承包人有权拒绝发包人及监理人强令承包人违章作业、冒险施工的任何指示。</w:t>
      </w:r>
    </w:p>
    <w:p>
      <w:pPr>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在施工过程中，如遇到地质突变、事先未知的地下施工障碍等影响施工安全的紧急情况，承包人应及时报告监理人和发包人，发包人应当及时下令停工并报政府有关行政管理部门采取应急措施。</w:t>
      </w:r>
    </w:p>
    <w:p>
      <w:pPr>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发包人应组织承包人和有关单位进行安全检查，授权监理人按合同约定的绿色施工安全防护内容监督、检查承包人实施绿色施工安全防护，并按照第</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5条约定及时向承包人支付绿色施工安全防护费。</w:t>
      </w:r>
    </w:p>
    <w:p>
      <w:pPr>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承包人应及时执行监理人发出的绿色施工安全防护的工作指令，并按合同约定的期限和绿色施工安全防护内容编制绿色施工安全防护措施计划，包括施工扬尘污染防治措施、用工实名管理等各类专项方案计划，以及淤泥运输方案并承诺使用专用运输工具运输，提交给监理人并由其报发包人批准后实施。</w:t>
      </w:r>
    </w:p>
    <w:p>
      <w:pPr>
        <w:spacing w:line="360" w:lineRule="auto"/>
        <w:rPr>
          <w:rFonts w:ascii="仿宋" w:hAnsi="仿宋" w:eastAsia="仿宋" w:cs="仿宋"/>
          <w:b/>
          <w:bCs/>
          <w:color w:val="auto"/>
          <w:highlight w:val="none"/>
          <w:u w:val="dotted"/>
          <w:lang w:eastAsia="zh-CN"/>
        </w:rPr>
      </w:pPr>
      <w:bookmarkStart w:id="739" w:name="_Toc28621"/>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.2</w:t>
      </w:r>
      <w:bookmarkEnd w:id="73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mc:AlternateContent>
          <mc:Choice Requires="wps">
            <w:drawing>
              <wp:anchor distT="0" distB="0" distL="114300" distR="114300" simplePos="0" relativeHeight="252120064" behindDoc="0" locked="0" layoutInCell="1" allowOverlap="1">
                <wp:simplePos x="0" y="0"/>
                <wp:positionH relativeFrom="column">
                  <wp:posOffset>-114300</wp:posOffset>
                </wp:positionH>
                <wp:positionV relativeFrom="paragraph">
                  <wp:posOffset>1270</wp:posOffset>
                </wp:positionV>
                <wp:extent cx="833755" cy="647700"/>
                <wp:effectExtent l="0" t="0" r="0" b="0"/>
                <wp:wrapNone/>
                <wp:docPr id="451" name="文本框 956"/>
                <wp:cNvGraphicFramePr/>
                <a:graphic xmlns:a="http://schemas.openxmlformats.org/drawingml/2006/main">
                  <a:graphicData uri="http://schemas.microsoft.com/office/word/2010/wordprocessingShape">
                    <wps:wsp>
                      <wps:cNvSpPr txBox="1"/>
                      <wps:spPr>
                        <a:xfrm>
                          <a:off x="0" y="0"/>
                          <a:ext cx="833755" cy="647700"/>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用工实名制、工人工资支付分账管理</w:t>
                            </w:r>
                          </w:p>
                        </w:txbxContent>
                      </wps:txbx>
                      <wps:bodyPr wrap="square" upright="1"/>
                    </wps:wsp>
                  </a:graphicData>
                </a:graphic>
              </wp:anchor>
            </w:drawing>
          </mc:Choice>
          <mc:Fallback>
            <w:pict>
              <v:shape id="文本框 956" o:spid="_x0000_s1026" o:spt="202" type="#_x0000_t202" style="position:absolute;left:0pt;margin-left:-9pt;margin-top:0.1pt;height:51pt;width:65.65pt;z-index:252120064;mso-width-relative:page;mso-height-relative:page;" filled="f" stroked="f" coordsize="21600,21600" o:gfxdata="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Q3vgqdUAAAAIAQAADwAAAAAAAAABACAAAAAiAAAAZHJzL2Rvd25yZXYueG1sUEsBAhQA&#10;FAAAAAgAh07iQFaVKr68AQAAXwMAAA4AAAAAAAAAAQAgAAAAJAEAAGRycy9lMm9Eb2MueG1sUEsF&#10;BgAAAAAGAAYAWQEAAFIFA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用工实名制、工人工资支付分账管理</w:t>
                      </w:r>
                    </w:p>
                  </w:txbxContent>
                </v:textbox>
              </v:shape>
            </w:pict>
          </mc:Fallback>
        </mc:AlternateContent>
      </w:r>
      <w:r>
        <w:rPr>
          <w:rFonts w:hint="eastAsia" w:ascii="仿宋" w:hAnsi="仿宋" w:eastAsia="仿宋" w:cs="仿宋"/>
          <w:color w:val="auto"/>
          <w:highlight w:val="none"/>
          <w:lang w:eastAsia="zh-CN"/>
        </w:rPr>
        <w:t>本项目按照国家、省、市有关规定落实建设项目劳动用工实名制、工人工资支付分账管理。发包人应当按照合同约定及时拨付工程款，并将人工费用及时足额拨付至农民工工资专用账户，加强对承包人按时足额支付农民工工资的监督，协调建设项目的工人工资支付事宜。承包人对建设项目劳动用工实名制和工人工资支付分账管理负总责，应当按照有关规定开设农民工工资专用账户，专项用于支付建设项目农民工工资，对分包人劳动用工和工资发放等情况进行监督。分包人对所招用农民工的实名制管理和工资支付负直接责任，配合总承包企业做好相关工作。发包人、承包人、分包人存在违反有关规定情形的，需承担相应的责任。</w:t>
      </w:r>
    </w:p>
    <w:p>
      <w:pPr>
        <w:spacing w:line="360" w:lineRule="auto"/>
        <w:rPr>
          <w:rFonts w:ascii="仿宋" w:hAnsi="仿宋" w:eastAsia="仿宋" w:cs="仿宋"/>
          <w:b/>
          <w:bCs/>
          <w:color w:val="auto"/>
          <w:highlight w:val="none"/>
          <w:u w:val="dotted"/>
          <w:lang w:eastAsia="zh-CN"/>
        </w:rPr>
      </w:pPr>
      <w:bookmarkStart w:id="740" w:name="_Toc11707"/>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.3</w:t>
      </w:r>
      <w:bookmarkEnd w:id="74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0336" behindDoc="0" locked="0" layoutInCell="1" allowOverlap="1">
                <wp:simplePos x="0" y="0"/>
                <wp:positionH relativeFrom="column">
                  <wp:posOffset>-114300</wp:posOffset>
                </wp:positionH>
                <wp:positionV relativeFrom="paragraph">
                  <wp:posOffset>1270</wp:posOffset>
                </wp:positionV>
                <wp:extent cx="853440" cy="486410"/>
                <wp:effectExtent l="0" t="0" r="0" b="0"/>
                <wp:wrapNone/>
                <wp:docPr id="129" name="文本框 867"/>
                <wp:cNvGraphicFramePr/>
                <a:graphic xmlns:a="http://schemas.openxmlformats.org/drawingml/2006/main">
                  <a:graphicData uri="http://schemas.microsoft.com/office/word/2010/wordprocessingShape">
                    <wps:wsp>
                      <wps:cNvSpPr txBox="1"/>
                      <wps:spPr>
                        <a:xfrm>
                          <a:off x="0" y="0"/>
                          <a:ext cx="853440" cy="48641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发包人责任</w:t>
                            </w:r>
                          </w:p>
                        </w:txbxContent>
                      </wps:txbx>
                      <wps:bodyPr wrap="square" upright="1"/>
                    </wps:wsp>
                  </a:graphicData>
                </a:graphic>
              </wp:anchor>
            </w:drawing>
          </mc:Choice>
          <mc:Fallback>
            <w:pict>
              <v:shape id="文本框 867" o:spid="_x0000_s1026" o:spt="202" type="#_x0000_t202" style="position:absolute;left:0pt;margin-left:-9pt;margin-top:0.1pt;height:38.3pt;width:67.2pt;z-index:251790336;mso-width-relative:page;mso-height-relative:page;" filled="f" stroked="f" coordsize="21600,21600" o:gfxdata="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BCCGvVAAAABwEAAA8AAAAAAAAAAQAgAAAAIgAAAGRycy9kb3ducmV2LnhtbFBLAQIUABQA&#10;AAAIAIdO4kBk9yNtugEAAF8DAAAOAAAAAAAAAAEAIAAAACQ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发包人责任</w:t>
                      </w:r>
                    </w:p>
                  </w:txbxContent>
                </v:textbox>
              </v:shape>
            </w:pict>
          </mc:Fallback>
        </mc:AlternateContent>
      </w:r>
      <w:r>
        <w:rPr>
          <w:rFonts w:hint="eastAsia" w:ascii="仿宋" w:hAnsi="仿宋" w:eastAsia="仿宋" w:cs="仿宋"/>
          <w:color w:val="auto"/>
          <w:highlight w:val="none"/>
          <w:lang w:eastAsia="zh-CN"/>
        </w:rPr>
        <w:t>在合同工程实施、完成及保修期间，发包人承担下列责任：</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）发包人应配合承包人做好绿色施工安全防护工作，定期对其现场机构全部人员进行绿色施工安全防护教育和培训。</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）发包人应对其现场机构全部人员的安全事故承担责任，但由于承包人原因造成发包人人员安全事故的，应由承包人承担责任。</w:t>
      </w:r>
    </w:p>
    <w:p>
      <w:pPr>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）发包人有下列行为之一或由于发包人原因造成安全事故的，由发包人承担责任，由此增加的费用和延误的工期由发包人承担。</w:t>
      </w:r>
    </w:p>
    <w:p>
      <w:pPr>
        <w:tabs>
          <w:tab w:val="left" w:pos="1980"/>
        </w:tabs>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① 要求承包人违反绿色施工安全防护操作规程施工的；</w:t>
      </w:r>
    </w:p>
    <w:p>
      <w:pPr>
        <w:tabs>
          <w:tab w:val="left" w:pos="1980"/>
        </w:tabs>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② 对承包人提出不符合国家、省有关绿色施工安全防护法律和强制性标准规定要求的；</w:t>
      </w:r>
    </w:p>
    <w:p>
      <w:pPr>
        <w:tabs>
          <w:tab w:val="left" w:pos="1980"/>
        </w:tabs>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③ 明示或暗示承包人购买、租赁、使用不符合安全施工要求的安全防护用具、施工机具的。</w:t>
      </w:r>
    </w:p>
    <w:p>
      <w:pPr>
        <w:tabs>
          <w:tab w:val="left" w:pos="1980"/>
        </w:tabs>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）发包人应负责赔偿下列情形造成的第三者人身伤亡和财产损失。</w:t>
      </w:r>
    </w:p>
    <w:p>
      <w:pPr>
        <w:tabs>
          <w:tab w:val="left" w:pos="1980"/>
        </w:tabs>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① 工程或工程的任何部分对土地的占用所造成的第三者财产损失；</w:t>
      </w:r>
    </w:p>
    <w:p>
      <w:pPr>
        <w:tabs>
          <w:tab w:val="left" w:pos="1980"/>
        </w:tabs>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② 由于发包人原因在施工场地及其毗邻区域造成的第三者人身伤亡和财产损失。</w:t>
      </w:r>
    </w:p>
    <w:p>
      <w:pPr>
        <w:spacing w:line="360" w:lineRule="auto"/>
        <w:rPr>
          <w:rFonts w:ascii="仿宋" w:hAnsi="仿宋" w:eastAsia="仿宋" w:cs="仿宋"/>
          <w:color w:val="auto"/>
          <w:highlight w:val="none"/>
          <w:u w:val="dotted"/>
          <w:lang w:eastAsia="zh-CN"/>
        </w:rPr>
      </w:pPr>
      <w:bookmarkStart w:id="741" w:name="_Toc17090"/>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.4</w:t>
      </w:r>
      <w:bookmarkEnd w:id="741"/>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1360" behindDoc="0" locked="0" layoutInCell="1" allowOverlap="1">
                <wp:simplePos x="0" y="0"/>
                <wp:positionH relativeFrom="column">
                  <wp:posOffset>-114300</wp:posOffset>
                </wp:positionH>
                <wp:positionV relativeFrom="paragraph">
                  <wp:posOffset>198120</wp:posOffset>
                </wp:positionV>
                <wp:extent cx="847725" cy="461645"/>
                <wp:effectExtent l="0" t="0" r="0" b="0"/>
                <wp:wrapNone/>
                <wp:docPr id="130" name="文本框 868"/>
                <wp:cNvGraphicFramePr/>
                <a:graphic xmlns:a="http://schemas.openxmlformats.org/drawingml/2006/main">
                  <a:graphicData uri="http://schemas.microsoft.com/office/word/2010/wordprocessingShape">
                    <wps:wsp>
                      <wps:cNvSpPr txBox="1"/>
                      <wps:spPr>
                        <a:xfrm>
                          <a:off x="0" y="0"/>
                          <a:ext cx="847725" cy="46164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承包人责任</w:t>
                            </w:r>
                          </w:p>
                        </w:txbxContent>
                      </wps:txbx>
                      <wps:bodyPr wrap="square" upright="1"/>
                    </wps:wsp>
                  </a:graphicData>
                </a:graphic>
              </wp:anchor>
            </w:drawing>
          </mc:Choice>
          <mc:Fallback>
            <w:pict>
              <v:shape id="文本框 868" o:spid="_x0000_s1026" o:spt="202" type="#_x0000_t202" style="position:absolute;left:0pt;margin-left:-9pt;margin-top:15.6pt;height:36.35pt;width:66.75pt;z-index:251791360;mso-width-relative:page;mso-height-relative:page;" filled="f" stroked="f" coordsize="21600,21600" o:gfxdata="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V9U4U1wAAAAoBAAAPAAAAAAAAAAEAIAAAACIAAABkcnMvZG93bnJldi54bWxQSwECFAAU&#10;AAAACACHTuJA6F66mbkBAABfAwAADgAAAAAAAAABACAAAAAm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承包人责任</w:t>
                      </w:r>
                    </w:p>
                  </w:txbxContent>
                </v:textbox>
              </v:shape>
            </w:pict>
          </mc:Fallback>
        </mc:AlternateContent>
      </w:r>
      <w:r>
        <w:rPr>
          <w:rFonts w:hint="eastAsia" w:ascii="仿宋" w:hAnsi="仿宋" w:eastAsia="仿宋" w:cs="仿宋"/>
          <w:color w:val="auto"/>
          <w:highlight w:val="none"/>
          <w:lang w:eastAsia="zh-CN"/>
        </w:rPr>
        <w:t>在合同工程实施、完成及保修期间，承包人承担下列责任：</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）承包人应严格按照国家、省、市有关绿色施工安全防护的标准规范制定绿色施工安全防护操作规程，配备必要的安全生产和劳动保护设施，加强对承包人人员的施工安全教育和培训。</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）承包人应对合同工程的绿色施工安全防护负责，采取有效的安全措施消除安全事故隐患，并接受和配合政府有关部门实施的监督检查。</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）承包人应加强施工作业安全管理，特别应加强使用易燃、易爆、有毒与腐蚀性材料，以及爆破和地下施工等危险作业的安全管理，尽量避免人员伤亡和财产损失。</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）承包人应按监理人的指令制定应对灾害的应急预案，并按预案做好安全检查，配置必要的救助物资和器材，切实保护好有关人员的人身和财产安全。</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）承包人违反本条约定或由于承包人原因造成安全事故的，由承包人承担责任，由此增加的费用和延误的工期由承包人承担。</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6</w:t>
      </w:r>
      <w:r>
        <w:rPr>
          <w:rFonts w:hint="eastAsia" w:ascii="仿宋" w:hAnsi="仿宋" w:eastAsia="仿宋" w:cs="仿宋"/>
          <w:color w:val="auto"/>
          <w:highlight w:val="none"/>
          <w:lang w:eastAsia="zh-CN"/>
        </w:rPr>
        <w:t>）承包人应对其履行合同所雇佣的全部人员，包括分包人人员的安全事故承担责任，但由于发包人原因造成承包人人员安全事故的，应由发包人承担责任。</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）由于承包人原因在施工场地内及其毗邻区域造成的第三者人身伤亡和财产损失，由承包人负责赔偿。</w:t>
      </w:r>
    </w:p>
    <w:p>
      <w:pPr>
        <w:spacing w:line="360" w:lineRule="auto"/>
        <w:rPr>
          <w:rFonts w:ascii="仿宋" w:hAnsi="仿宋" w:eastAsia="仿宋" w:cs="仿宋"/>
          <w:color w:val="auto"/>
          <w:highlight w:val="none"/>
          <w:u w:val="dotted"/>
          <w:lang w:eastAsia="zh-CN"/>
        </w:rPr>
      </w:pPr>
      <w:bookmarkStart w:id="742" w:name="_Toc12329"/>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.5</w:t>
      </w:r>
      <w:bookmarkEnd w:id="742"/>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adjustRightInd w:val="0"/>
        <w:snapToGrid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2384" behindDoc="0" locked="0" layoutInCell="1" allowOverlap="1">
                <wp:simplePos x="0" y="0"/>
                <wp:positionH relativeFrom="column">
                  <wp:posOffset>-114300</wp:posOffset>
                </wp:positionH>
                <wp:positionV relativeFrom="paragraph">
                  <wp:posOffset>71120</wp:posOffset>
                </wp:positionV>
                <wp:extent cx="791210" cy="519430"/>
                <wp:effectExtent l="0" t="0" r="0" b="0"/>
                <wp:wrapNone/>
                <wp:docPr id="131" name="文本框 869"/>
                <wp:cNvGraphicFramePr/>
                <a:graphic xmlns:a="http://schemas.openxmlformats.org/drawingml/2006/main">
                  <a:graphicData uri="http://schemas.microsoft.com/office/word/2010/wordprocessingShape">
                    <wps:wsp>
                      <wps:cNvSpPr txBox="1"/>
                      <wps:spPr>
                        <a:xfrm>
                          <a:off x="0" y="0"/>
                          <a:ext cx="791210" cy="51943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施工措施的审查与整改</w:t>
                            </w:r>
                          </w:p>
                        </w:txbxContent>
                      </wps:txbx>
                      <wps:bodyPr wrap="square" upright="1"/>
                    </wps:wsp>
                  </a:graphicData>
                </a:graphic>
              </wp:anchor>
            </w:drawing>
          </mc:Choice>
          <mc:Fallback>
            <w:pict>
              <v:shape id="文本框 869" o:spid="_x0000_s1026" o:spt="202" type="#_x0000_t202" style="position:absolute;left:0pt;margin-left:-9pt;margin-top:5.6pt;height:40.9pt;width:62.3pt;z-index:251792384;mso-width-relative:page;mso-height-relative:page;" filled="f" stroked="f" coordsize="21600,21600" o:gfxdata="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2uz9k1gAAAAkBAAAPAAAAAAAAAAEAIAAAACIAAABkcnMvZG93bnJldi54bWxQSwECFAAU&#10;AAAACACHTuJAqdRvbroBAABfAwAADgAAAAAAAAABACAAAAAlAQAAZHJzL2Uyb0RvYy54bWxQSwUG&#10;AAAAAAYABgBZAQAAUQU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施工措施的审查与整改</w:t>
                      </w:r>
                    </w:p>
                  </w:txbxContent>
                </v:textbox>
              </v:shape>
            </w:pict>
          </mc:Fallback>
        </mc:AlternateContent>
      </w:r>
      <w:r>
        <w:rPr>
          <w:rFonts w:hint="eastAsia" w:ascii="仿宋" w:hAnsi="仿宋" w:eastAsia="仿宋" w:cs="仿宋"/>
          <w:color w:val="auto"/>
          <w:highlight w:val="none"/>
          <w:lang w:eastAsia="zh-CN"/>
        </w:rPr>
        <w:t>监理人应当审查施工组织设计中的安全技术措施或者专项施工方案是否符合建设行政主管部门的有关规定。监理人发现承包人未遵守安全生产和文明施工规定或施工现场存在安全事故隐患的，应以书面形式通知承包人整改；情况严重的，应要求承包人暂停施工，并及时报告发包人。承包人在收到监理人发出书面通知后的</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小时内仍未整改的，监理人可在报经发包人批准后委托第三方采取措施。由此发生的费用经造价咨询人核实后，由发包人从应付或将付给承包人的款项中扣除。</w:t>
      </w:r>
    </w:p>
    <w:p>
      <w:pPr>
        <w:spacing w:line="360" w:lineRule="auto"/>
        <w:rPr>
          <w:rFonts w:ascii="仿宋" w:hAnsi="仿宋" w:eastAsia="仿宋" w:cs="仿宋"/>
          <w:color w:val="auto"/>
          <w:highlight w:val="none"/>
          <w:lang w:eastAsia="zh-CN"/>
        </w:rPr>
      </w:pPr>
      <w:bookmarkStart w:id="743" w:name="_Toc22450"/>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.6</w:t>
      </w:r>
      <w:bookmarkEnd w:id="743"/>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3408" behindDoc="0" locked="0" layoutInCell="1" allowOverlap="1">
                <wp:simplePos x="0" y="0"/>
                <wp:positionH relativeFrom="column">
                  <wp:posOffset>-83820</wp:posOffset>
                </wp:positionH>
                <wp:positionV relativeFrom="paragraph">
                  <wp:posOffset>11430</wp:posOffset>
                </wp:positionV>
                <wp:extent cx="693420" cy="501015"/>
                <wp:effectExtent l="0" t="0" r="0" b="0"/>
                <wp:wrapNone/>
                <wp:docPr id="132" name="文本框 870"/>
                <wp:cNvGraphicFramePr/>
                <a:graphic xmlns:a="http://schemas.openxmlformats.org/drawingml/2006/main">
                  <a:graphicData uri="http://schemas.microsoft.com/office/word/2010/wordprocessingShape">
                    <wps:wsp>
                      <wps:cNvSpPr txBox="1"/>
                      <wps:spPr>
                        <a:xfrm>
                          <a:off x="0" y="0"/>
                          <a:ext cx="693420" cy="50101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治安管理</w:t>
                            </w:r>
                          </w:p>
                        </w:txbxContent>
                      </wps:txbx>
                      <wps:bodyPr wrap="square" upright="1"/>
                    </wps:wsp>
                  </a:graphicData>
                </a:graphic>
              </wp:anchor>
            </w:drawing>
          </mc:Choice>
          <mc:Fallback>
            <w:pict>
              <v:shape id="文本框 870" o:spid="_x0000_s1026" o:spt="202" type="#_x0000_t202" style="position:absolute;left:0pt;margin-left:-6.6pt;margin-top:0.9pt;height:39.45pt;width:54.6pt;z-index:251793408;mso-width-relative:page;mso-height-relative:page;" filled="f" stroked="f" coordsize="21600,21600" o:gfxdata="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ohrwjUAAAABwEAAA8AAAAAAAAAAQAgAAAAIgAAAGRycy9kb3ducmV2LnhtbFBLAQIUABQAAAAI&#10;AIdO4kD40Wf4uAEAAF8DAAAOAAAAAAAAAAEAIAAAACMBAABkcnMvZTJvRG9jLnhtbFBLBQYAAAAA&#10;BgAGAFkBAABN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治安管理</w:t>
                      </w:r>
                    </w:p>
                  </w:txbxContent>
                </v:textbox>
              </v:shape>
            </w:pict>
          </mc:Fallback>
        </mc:AlternateContent>
      </w:r>
      <w:r>
        <w:rPr>
          <w:rFonts w:hint="eastAsia" w:ascii="仿宋" w:hAnsi="仿宋" w:eastAsia="仿宋" w:cs="仿宋"/>
          <w:color w:val="auto"/>
          <w:highlight w:val="none"/>
          <w:lang w:eastAsia="zh-CN"/>
        </w:rPr>
        <w:t>合同双方当事人不仅应协助当地治安管理机构或联防组织维护施工场地的社会治安，而且应做好施工现场内人员生产生活的治安保卫工作。</w:t>
      </w:r>
    </w:p>
    <w:p>
      <w:pPr>
        <w:widowControl w:val="0"/>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除专用条款另有约定外，合同双方当事人应在工程开工后，共同编制施工场地治安管理计划，并制定应对突发治安事项的应急预案。在施工过程中，发生暴乱、爆炸等恐怖事项，以及群殴、械斗等群体性突发治安事项的，应立即向当地政府有关部门报告，积极协助当地政府有关部门采取措施平息事项，防止事态扩大，尽量减少财产损失和避免人员伤亡。</w:t>
      </w:r>
    </w:p>
    <w:p>
      <w:pPr>
        <w:spacing w:line="360" w:lineRule="auto"/>
        <w:rPr>
          <w:rFonts w:ascii="仿宋" w:hAnsi="仿宋" w:eastAsia="仿宋" w:cs="仿宋"/>
          <w:b/>
          <w:bCs/>
          <w:color w:val="auto"/>
          <w:highlight w:val="none"/>
          <w:lang w:eastAsia="zh-CN"/>
        </w:rPr>
      </w:pPr>
      <w:bookmarkStart w:id="744" w:name="_Toc29262"/>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.7</w:t>
      </w:r>
      <w:bookmarkEnd w:id="74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4432" behindDoc="0" locked="0" layoutInCell="1" allowOverlap="1">
                <wp:simplePos x="0" y="0"/>
                <wp:positionH relativeFrom="column">
                  <wp:posOffset>-83185</wp:posOffset>
                </wp:positionH>
                <wp:positionV relativeFrom="paragraph">
                  <wp:posOffset>25400</wp:posOffset>
                </wp:positionV>
                <wp:extent cx="787400" cy="561975"/>
                <wp:effectExtent l="0" t="0" r="0" b="0"/>
                <wp:wrapNone/>
                <wp:docPr id="133" name="文本框 871"/>
                <wp:cNvGraphicFramePr/>
                <a:graphic xmlns:a="http://schemas.openxmlformats.org/drawingml/2006/main">
                  <a:graphicData uri="http://schemas.microsoft.com/office/word/2010/wordprocessingShape">
                    <wps:wsp>
                      <wps:cNvSpPr txBox="1"/>
                      <wps:spPr>
                        <a:xfrm>
                          <a:off x="0" y="0"/>
                          <a:ext cx="787400" cy="561975"/>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施工场地的环保、卫生要求</w:t>
                            </w:r>
                          </w:p>
                        </w:txbxContent>
                      </wps:txbx>
                      <wps:bodyPr wrap="square" upright="1"/>
                    </wps:wsp>
                  </a:graphicData>
                </a:graphic>
              </wp:anchor>
            </w:drawing>
          </mc:Choice>
          <mc:Fallback>
            <w:pict>
              <v:shape id="文本框 871" o:spid="_x0000_s1026" o:spt="202" type="#_x0000_t202" style="position:absolute;left:0pt;margin-left:-6.55pt;margin-top:2pt;height:44.25pt;width:62pt;z-index:251794432;mso-width-relative:page;mso-height-relative:page;" filled="f" stroked="f" coordsize="21600,21600" o:gfxdata="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OwM/tUAAAAIAQAADwAAAAAAAAABACAAAAAiAAAAZHJzL2Rvd25yZXYueG1sUEsBAhQAFAAA&#10;AAgAh07iQO0KTxW5AQAAXwMAAA4AAAAAAAAAAQAgAAAAJA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施工场地的环保、卫生要求</w:t>
                      </w:r>
                    </w:p>
                  </w:txbxContent>
                </v:textbox>
              </v:shape>
            </w:pict>
          </mc:Fallback>
        </mc:AlternateContent>
      </w:r>
      <w:r>
        <w:rPr>
          <w:rFonts w:hint="eastAsia" w:ascii="仿宋" w:hAnsi="仿宋" w:eastAsia="仿宋" w:cs="仿宋"/>
          <w:color w:val="auto"/>
          <w:highlight w:val="none"/>
          <w:lang w:eastAsia="zh-CN"/>
        </w:rPr>
        <w:t>承包人应遵守国家有关环境保护、卫生监督的法律，按照合同约定采取有效措施，保证施工场地达到环境保护、卫生部门的管理要求，为现场所有人员提供并维护干净卫生的生活设施，并在颁发合同工程接收证书后的</w:t>
      </w:r>
      <w:r>
        <w:rPr>
          <w:rFonts w:ascii="仿宋" w:hAnsi="仿宋" w:eastAsia="仿宋" w:cs="仿宋"/>
          <w:color w:val="auto"/>
          <w:highlight w:val="none"/>
          <w:lang w:eastAsia="zh-CN"/>
        </w:rPr>
        <w:t>28</w:t>
      </w:r>
      <w:r>
        <w:rPr>
          <w:rFonts w:hint="eastAsia" w:ascii="仿宋" w:hAnsi="仿宋" w:eastAsia="仿宋" w:cs="仿宋"/>
          <w:color w:val="auto"/>
          <w:highlight w:val="none"/>
          <w:lang w:eastAsia="zh-CN"/>
        </w:rPr>
        <w:t>天内，清理现场，运走全部施工设备、剩余工程材料和垃圾，保持施工场地和合同工程的清洁整齐。否则，发包人可自行处理或委托第三方处理留下的物品，所得金额在扣除由此发生的费用之后，将余额退还给承包人。</w:t>
      </w:r>
    </w:p>
    <w:p>
      <w:pPr>
        <w:spacing w:line="360" w:lineRule="auto"/>
        <w:rPr>
          <w:rFonts w:ascii="仿宋" w:hAnsi="仿宋" w:eastAsia="仿宋"/>
          <w:color w:val="auto"/>
          <w:highlight w:val="none"/>
          <w:lang w:eastAsia="zh-CN"/>
        </w:rPr>
      </w:pPr>
      <w:bookmarkStart w:id="745" w:name="_Toc3457"/>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.8</w:t>
      </w:r>
      <w:bookmarkEnd w:id="74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rPr>
          <w:rFonts w:ascii="仿宋" w:hAnsi="仿宋" w:eastAsia="仿宋"/>
          <w:caps/>
          <w:color w:val="auto"/>
          <w:highlight w:val="none"/>
          <w:lang w:eastAsia="zh-CN"/>
        </w:rPr>
      </w:pPr>
      <w:r>
        <w:rPr>
          <w:color w:val="auto"/>
          <w:highlight w:val="none"/>
        </w:rPr>
        <mc:AlternateContent>
          <mc:Choice Requires="wps">
            <w:drawing>
              <wp:anchor distT="0" distB="0" distL="114300" distR="114300" simplePos="0" relativeHeight="251795456" behindDoc="0" locked="0" layoutInCell="1" allowOverlap="1">
                <wp:simplePos x="0" y="0"/>
                <wp:positionH relativeFrom="column">
                  <wp:posOffset>-104775</wp:posOffset>
                </wp:positionH>
                <wp:positionV relativeFrom="paragraph">
                  <wp:posOffset>7620</wp:posOffset>
                </wp:positionV>
                <wp:extent cx="844550" cy="535940"/>
                <wp:effectExtent l="0" t="0" r="0" b="0"/>
                <wp:wrapNone/>
                <wp:docPr id="134" name="文本框 872"/>
                <wp:cNvGraphicFramePr/>
                <a:graphic xmlns:a="http://schemas.openxmlformats.org/drawingml/2006/main">
                  <a:graphicData uri="http://schemas.microsoft.com/office/word/2010/wordprocessingShape">
                    <wps:wsp>
                      <wps:cNvSpPr txBox="1"/>
                      <wps:spPr>
                        <a:xfrm>
                          <a:off x="0" y="0"/>
                          <a:ext cx="844550" cy="535940"/>
                        </a:xfrm>
                        <a:prstGeom prst="rect">
                          <a:avLst/>
                        </a:prstGeom>
                        <a:noFill/>
                        <a:ln>
                          <a:noFill/>
                        </a:ln>
                      </wps:spPr>
                      <wps:txbx>
                        <w:txbxContent>
                          <w:p>
                            <w:pPr>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发包人鼓励创建文明工地</w:t>
                            </w:r>
                          </w:p>
                        </w:txbxContent>
                      </wps:txbx>
                      <wps:bodyPr wrap="square" upright="1"/>
                    </wps:wsp>
                  </a:graphicData>
                </a:graphic>
              </wp:anchor>
            </w:drawing>
          </mc:Choice>
          <mc:Fallback>
            <w:pict>
              <v:shape id="文本框 872" o:spid="_x0000_s1026" o:spt="202" type="#_x0000_t202" style="position:absolute;left:0pt;margin-left:-8.25pt;margin-top:0.6pt;height:42.2pt;width:66.5pt;z-index:251795456;mso-width-relative:page;mso-height-relative:page;" filled="f" stroked="f" coordsize="21600,21600" o:gfxdata="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B0WPt/UAAAACAEAAA8AAAAAAAAAAQAgAAAAIgAAAGRycy9kb3ducmV2LnhtbFBLAQIUABQA&#10;AAAIAIdO4kDAy0LUuwEAAF8DAAAOAAAAAAAAAAEAIAAAACMBAABkcnMvZTJvRG9jLnhtbFBLBQYA&#10;AAAABgAGAFkBAABQBQAAAAA=&#10;">
                <v:fill on="f" focussize="0,0"/>
                <v:stroke on="f"/>
                <v:imagedata o:title=""/>
                <o:lock v:ext="edit" aspectratio="f"/>
                <v:textbox>
                  <w:txbxContent>
                    <w:p>
                      <w:pPr>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发包人鼓励创建文明工地</w:t>
                      </w:r>
                    </w:p>
                  </w:txbxContent>
                </v:textbox>
              </v:shape>
            </w:pict>
          </mc:Fallback>
        </mc:AlternateContent>
      </w:r>
      <w:r>
        <w:rPr>
          <w:rFonts w:hint="eastAsia" w:ascii="仿宋" w:hAnsi="仿宋" w:eastAsia="仿宋" w:cs="仿宋"/>
          <w:caps/>
          <w:color w:val="auto"/>
          <w:highlight w:val="none"/>
          <w:lang w:eastAsia="zh-CN"/>
        </w:rPr>
        <w:t>发包人应配合承包人加强</w:t>
      </w:r>
      <w:r>
        <w:rPr>
          <w:rFonts w:hint="eastAsia" w:ascii="仿宋" w:hAnsi="仿宋" w:eastAsia="仿宋" w:cs="仿宋"/>
          <w:color w:val="auto"/>
          <w:highlight w:val="none"/>
          <w:lang w:eastAsia="zh-CN"/>
        </w:rPr>
        <w:t>绿色施工安全防护</w:t>
      </w:r>
      <w:r>
        <w:rPr>
          <w:rFonts w:hint="eastAsia" w:ascii="仿宋" w:hAnsi="仿宋" w:eastAsia="仿宋" w:cs="仿宋"/>
          <w:caps/>
          <w:color w:val="auto"/>
          <w:highlight w:val="none"/>
          <w:lang w:eastAsia="zh-CN"/>
        </w:rPr>
        <w:t>管理，鼓励承包人创建省、市级或其它级别文明工地。对于工程获得省、市级或其它级别文明工地的，应按照第</w:t>
      </w:r>
      <w:r>
        <w:rPr>
          <w:rFonts w:ascii="仿宋" w:hAnsi="仿宋" w:eastAsia="仿宋" w:cs="仿宋"/>
          <w:caps/>
          <w:color w:val="auto"/>
          <w:highlight w:val="none"/>
          <w:lang w:eastAsia="zh-CN"/>
        </w:rPr>
        <w:t>8</w:t>
      </w:r>
      <w:r>
        <w:rPr>
          <w:rFonts w:hint="eastAsia" w:ascii="仿宋" w:hAnsi="仿宋" w:eastAsia="仿宋" w:cs="仿宋"/>
          <w:caps/>
          <w:color w:val="auto"/>
          <w:highlight w:val="none"/>
          <w:lang w:eastAsia="zh-CN"/>
        </w:rPr>
        <w:t>5条约定向承包人支付文明工地增加费。</w:t>
      </w:r>
    </w:p>
    <w:p>
      <w:pPr>
        <w:spacing w:line="360" w:lineRule="auto"/>
        <w:rPr>
          <w:rFonts w:ascii="仿宋" w:hAnsi="仿宋" w:eastAsia="仿宋"/>
          <w:color w:val="auto"/>
          <w:highlight w:val="none"/>
          <w:lang w:eastAsia="zh-CN"/>
        </w:rPr>
      </w:pPr>
      <w:bookmarkStart w:id="746" w:name="_Toc24255"/>
      <w:r>
        <w:rPr>
          <w:color w:val="auto"/>
          <w:highlight w:val="none"/>
        </w:rPr>
        <mc:AlternateContent>
          <mc:Choice Requires="wps">
            <w:drawing>
              <wp:anchor distT="0" distB="0" distL="114300" distR="114300" simplePos="0" relativeHeight="251855872" behindDoc="0" locked="0" layoutInCell="1" allowOverlap="1">
                <wp:simplePos x="0" y="0"/>
                <wp:positionH relativeFrom="column">
                  <wp:posOffset>-114300</wp:posOffset>
                </wp:positionH>
                <wp:positionV relativeFrom="paragraph">
                  <wp:posOffset>285115</wp:posOffset>
                </wp:positionV>
                <wp:extent cx="796925" cy="488315"/>
                <wp:effectExtent l="0" t="0" r="0" b="0"/>
                <wp:wrapNone/>
                <wp:docPr id="193" name="文本框 955"/>
                <wp:cNvGraphicFramePr/>
                <a:graphic xmlns:a="http://schemas.openxmlformats.org/drawingml/2006/main">
                  <a:graphicData uri="http://schemas.microsoft.com/office/word/2010/wordprocessingShape">
                    <wps:wsp>
                      <wps:cNvSpPr txBox="1"/>
                      <wps:spPr>
                        <a:xfrm>
                          <a:off x="0" y="0"/>
                          <a:ext cx="796925" cy="488315"/>
                        </a:xfrm>
                        <a:prstGeom prst="rect">
                          <a:avLst/>
                        </a:prstGeom>
                        <a:noFill/>
                        <a:ln>
                          <a:noFill/>
                        </a:ln>
                      </wps:spPr>
                      <wps:txbx>
                        <w:txbxContent>
                          <w:p>
                            <w:pPr>
                              <w:rPr>
                                <w:rFonts w:ascii="楷体_GB2312" w:hAnsi="宋体" w:eastAsia="楷体_GB2312"/>
                                <w:b/>
                                <w:bCs/>
                                <w:sz w:val="18"/>
                                <w:szCs w:val="18"/>
                              </w:rPr>
                            </w:pPr>
                            <w:r>
                              <w:rPr>
                                <w:rFonts w:hint="eastAsia" w:ascii="楷体_GB2312" w:hAnsi="宋体" w:eastAsia="楷体_GB2312" w:cs="楷体_GB2312"/>
                                <w:b/>
                                <w:bCs/>
                                <w:sz w:val="18"/>
                                <w:szCs w:val="18"/>
                              </w:rPr>
                              <w:t>特别安全生产事项</w:t>
                            </w:r>
                          </w:p>
                        </w:txbxContent>
                      </wps:txbx>
                      <wps:bodyPr wrap="square" upright="1"/>
                    </wps:wsp>
                  </a:graphicData>
                </a:graphic>
              </wp:anchor>
            </w:drawing>
          </mc:Choice>
          <mc:Fallback>
            <w:pict>
              <v:shape id="文本框 955" o:spid="_x0000_s1026" o:spt="202" type="#_x0000_t202" style="position:absolute;left:0pt;margin-left:-9pt;margin-top:22.45pt;height:38.45pt;width:62.75pt;z-index:251855872;mso-width-relative:page;mso-height-relative:page;" filled="f" stroked="f" coordsize="21600,21600" o:gfxdata="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JX1+HXYAAAACgEAAA8AAAAAAAAAAQAgAAAAIgAAAGRycy9kb3ducmV2LnhtbFBLAQIU&#10;ABQAAAAIAIdO4kCobNQYugEAAF8DAAAOAAAAAAAAAAEAIAAAACcBAABkcnMvZTJvRG9jLnhtbFBL&#10;BQYAAAAABgAGAFkBAABTBQAAAAA=&#10;">
                <v:fill on="f" focussize="0,0"/>
                <v:stroke on="f"/>
                <v:imagedata o:title=""/>
                <o:lock v:ext="edit" aspectratio="f"/>
                <v:textbox>
                  <w:txbxContent>
                    <w:p>
                      <w:pPr>
                        <w:rPr>
                          <w:rFonts w:ascii="楷体_GB2312" w:hAnsi="宋体" w:eastAsia="楷体_GB2312"/>
                          <w:b/>
                          <w:bCs/>
                          <w:sz w:val="18"/>
                          <w:szCs w:val="18"/>
                        </w:rPr>
                      </w:pPr>
                      <w:r>
                        <w:rPr>
                          <w:rFonts w:hint="eastAsia" w:ascii="楷体_GB2312" w:hAnsi="宋体" w:eastAsia="楷体_GB2312" w:cs="楷体_GB2312"/>
                          <w:b/>
                          <w:bCs/>
                          <w:sz w:val="18"/>
                          <w:szCs w:val="18"/>
                        </w:rPr>
                        <w:t>特别安全生产事项</w:t>
                      </w:r>
                    </w:p>
                  </w:txbxContent>
                </v:textbox>
              </v:shape>
            </w:pict>
          </mc:Fallback>
        </mc:AlternateContent>
      </w:r>
      <w:r>
        <w:rPr>
          <w:rFonts w:hint="eastAsia" w:ascii="仿宋" w:hAnsi="仿宋" w:eastAsia="仿宋" w:cs="仿宋"/>
          <w:b/>
          <w:bCs/>
          <w:color w:val="auto"/>
          <w:highlight w:val="none"/>
          <w:lang w:eastAsia="zh-CN"/>
        </w:rPr>
        <w:t>52</w:t>
      </w:r>
      <w:r>
        <w:rPr>
          <w:rFonts w:ascii="仿宋" w:hAnsi="仿宋" w:eastAsia="仿宋" w:cs="仿宋"/>
          <w:b/>
          <w:bCs/>
          <w:color w:val="auto"/>
          <w:highlight w:val="none"/>
          <w:lang w:eastAsia="zh-CN"/>
        </w:rPr>
        <w:t>.9</w:t>
      </w:r>
      <w:bookmarkEnd w:id="74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承包人应按照法律规定进行施工，做好</w:t>
      </w:r>
      <w:r>
        <w:rPr>
          <w:rFonts w:hint="eastAsia" w:ascii="仿宋" w:hAnsi="仿宋" w:eastAsia="仿宋"/>
          <w:color w:val="auto"/>
          <w:highlight w:val="none"/>
          <w:lang w:eastAsia="zh-CN"/>
        </w:rPr>
        <w:t>安全</w:t>
      </w:r>
      <w:r>
        <w:rPr>
          <w:rFonts w:hint="eastAsia" w:ascii="仿宋" w:hAnsi="仿宋" w:eastAsia="仿宋" w:cs="仿宋"/>
          <w:color w:val="auto"/>
          <w:highlight w:val="none"/>
          <w:lang w:eastAsia="zh-CN"/>
        </w:rPr>
        <w:t>技术交底工作，施工过程中做好各项安全防护措施。承包人为实施合同而雇用的特殊工种的人员应受过专门的培训并已取得上岗证书。</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承包人在动力设备、输电线路、地下管道、密封防震车间、易燃易爆地段以及临街交通要道附近施工时，施工开始前应向发包人和监理人提出安全防护措施，经发包人认可后实施。</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实施爆破作业，在放射、毒害性环境中施工（含储存、运输、使用）及使用毒害性、腐蚀性物品施工时，承包人应在施工前</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天以书面通知发包人和监理人，并报送相应的安全防护措施，经发包人认可后实施。</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需单独编制危险性较大分部分项专项工程施工方案的，及要求进行专家论证的超过一定规模的危险性较大的分部分项工程，承包人应及时编制和组织论证。</w:t>
      </w:r>
    </w:p>
    <w:p>
      <w:pPr>
        <w:adjustRightInd w:val="0"/>
        <w:snapToGrid w:val="0"/>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47" w:name="_Toc5765"/>
      <w:bookmarkStart w:id="748" w:name="_Toc30322"/>
      <w:bookmarkStart w:id="749" w:name="_Toc30192"/>
      <w:bookmarkStart w:id="750" w:name="_Toc20311"/>
      <w:bookmarkStart w:id="751" w:name="_Toc1052"/>
      <w:bookmarkStart w:id="752" w:name="_Toc9509"/>
      <w:bookmarkStart w:id="753" w:name="_Toc22948"/>
      <w:bookmarkStart w:id="754" w:name="_Toc21851"/>
      <w:r>
        <w:rPr>
          <w:rFonts w:hint="eastAsia" w:ascii="仿宋" w:hAnsi="仿宋" w:eastAsia="仿宋" w:cs="仿宋"/>
          <w:bCs w:val="0"/>
          <w:color w:val="auto"/>
          <w:sz w:val="24"/>
          <w:szCs w:val="24"/>
          <w:highlight w:val="none"/>
          <w:lang w:eastAsia="zh-CN"/>
        </w:rPr>
        <w:t>53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测量放线</w:t>
      </w:r>
      <w:bookmarkEnd w:id="747"/>
      <w:bookmarkEnd w:id="748"/>
      <w:bookmarkEnd w:id="749"/>
      <w:bookmarkEnd w:id="750"/>
      <w:bookmarkEnd w:id="751"/>
      <w:bookmarkEnd w:id="752"/>
      <w:bookmarkEnd w:id="753"/>
      <w:bookmarkEnd w:id="754"/>
    </w:p>
    <w:p>
      <w:pPr>
        <w:pStyle w:val="7"/>
        <w:tabs>
          <w:tab w:val="left" w:pos="1202"/>
        </w:tabs>
        <w:adjustRightInd w:val="0"/>
        <w:snapToGrid w:val="0"/>
        <w:spacing w:line="360" w:lineRule="auto"/>
        <w:ind w:firstLine="0"/>
        <w:rPr>
          <w:rFonts w:ascii="仿宋" w:hAnsi="仿宋" w:eastAsia="仿宋" w:cs="仿宋"/>
          <w:b/>
          <w:bCs/>
          <w:color w:val="auto"/>
          <w:highlight w:val="none"/>
          <w:lang w:eastAsia="zh-CN"/>
        </w:rPr>
      </w:pPr>
      <w:r>
        <w:rPr>
          <w:color w:val="auto"/>
          <w:highlight w:val="none"/>
        </w:rPr>
        <mc:AlternateContent>
          <mc:Choice Requires="wps">
            <w:drawing>
              <wp:anchor distT="0" distB="0" distL="114300" distR="114300" simplePos="0" relativeHeight="252030976" behindDoc="0" locked="0" layoutInCell="1" allowOverlap="1">
                <wp:simplePos x="0" y="0"/>
                <wp:positionH relativeFrom="column">
                  <wp:posOffset>-114300</wp:posOffset>
                </wp:positionH>
                <wp:positionV relativeFrom="paragraph">
                  <wp:posOffset>286385</wp:posOffset>
                </wp:positionV>
                <wp:extent cx="756920" cy="495300"/>
                <wp:effectExtent l="0" t="0" r="0" b="0"/>
                <wp:wrapNone/>
                <wp:docPr id="364" name="文本框 873"/>
                <wp:cNvGraphicFramePr/>
                <a:graphic xmlns:a="http://schemas.openxmlformats.org/drawingml/2006/main">
                  <a:graphicData uri="http://schemas.microsoft.com/office/word/2010/wordprocessingShape">
                    <wps:wsp>
                      <wps:cNvSpPr txBox="1"/>
                      <wps:spPr>
                        <a:xfrm>
                          <a:off x="0" y="0"/>
                          <a:ext cx="756920" cy="495300"/>
                        </a:xfrm>
                        <a:prstGeom prst="rect">
                          <a:avLst/>
                        </a:prstGeom>
                        <a:noFill/>
                        <a:ln>
                          <a:noFill/>
                        </a:ln>
                      </wps:spPr>
                      <wps:txbx>
                        <w:txbxContent>
                          <w:p>
                            <w:pPr>
                              <w:rPr>
                                <w:rFonts w:ascii="宋体"/>
                                <w:sz w:val="18"/>
                                <w:szCs w:val="18"/>
                              </w:rPr>
                            </w:pPr>
                            <w:r>
                              <w:rPr>
                                <w:rFonts w:hint="eastAsia" w:ascii="楷体_GB2312" w:hAnsi="宋体" w:eastAsia="楷体_GB2312" w:cs="楷体_GB2312"/>
                                <w:b/>
                                <w:bCs/>
                                <w:color w:val="000000"/>
                                <w:sz w:val="18"/>
                                <w:szCs w:val="18"/>
                              </w:rPr>
                              <w:t>测设施工控制网</w:t>
                            </w:r>
                          </w:p>
                        </w:txbxContent>
                      </wps:txbx>
                      <wps:bodyPr wrap="square" upright="1"/>
                    </wps:wsp>
                  </a:graphicData>
                </a:graphic>
              </wp:anchor>
            </w:drawing>
          </mc:Choice>
          <mc:Fallback>
            <w:pict>
              <v:shape id="文本框 873" o:spid="_x0000_s1026" o:spt="202" type="#_x0000_t202" style="position:absolute;left:0pt;margin-left:-9pt;margin-top:22.55pt;height:39pt;width:59.6pt;z-index:252030976;mso-width-relative:page;mso-height-relative:page;" filled="f" stroked="f" coordsize="21600,21600" o:gfxdata="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JJtM6XXAAAACgEAAA8AAAAAAAAAAQAgAAAAIgAAAGRycy9kb3ducmV2LnhtbFBLAQIU&#10;ABQAAAAIAIdO4kAQkEaJuwEAAF8DAAAOAAAAAAAAAAEAIAAAACYBAABkcnMvZTJvRG9jLnhtbFBL&#10;BQYAAAAABgAGAFkBAABTBQAAAAA=&#10;">
                <v:fill on="f" focussize="0,0"/>
                <v:stroke on="f"/>
                <v:imagedata o:title=""/>
                <o:lock v:ext="edit" aspectratio="f"/>
                <v:textbox>
                  <w:txbxContent>
                    <w:p>
                      <w:pPr>
                        <w:rPr>
                          <w:rFonts w:ascii="宋体"/>
                          <w:sz w:val="18"/>
                          <w:szCs w:val="18"/>
                        </w:rPr>
                      </w:pPr>
                      <w:r>
                        <w:rPr>
                          <w:rFonts w:hint="eastAsia" w:ascii="楷体_GB2312" w:hAnsi="宋体" w:eastAsia="楷体_GB2312" w:cs="楷体_GB2312"/>
                          <w:b/>
                          <w:bCs/>
                          <w:color w:val="000000"/>
                          <w:sz w:val="18"/>
                          <w:szCs w:val="18"/>
                        </w:rPr>
                        <w:t>测设施工控制网</w:t>
                      </w:r>
                    </w:p>
                  </w:txbxContent>
                </v:textbox>
              </v:shape>
            </w:pict>
          </mc:Fallback>
        </mc:AlternateContent>
      </w:r>
      <w:r>
        <w:rPr>
          <w:rFonts w:hint="eastAsia" w:ascii="仿宋" w:hAnsi="仿宋" w:eastAsia="仿宋" w:cs="仿宋"/>
          <w:b/>
          <w:bCs/>
          <w:color w:val="auto"/>
          <w:highlight w:val="none"/>
          <w:lang w:eastAsia="zh-CN"/>
        </w:rPr>
        <w:t>53</w:t>
      </w:r>
      <w:r>
        <w:rPr>
          <w:rFonts w:ascii="仿宋" w:hAnsi="仿宋" w:eastAsia="仿宋" w:cs="仿宋"/>
          <w:b/>
          <w:bCs/>
          <w:color w:val="auto"/>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监理人应在发出开工令后的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向承包人提供原始基准点、基准线、基准高程等书面资料。承包人应根据国家测绘基准、测绘系统和工程测量技术规范，按照上述资料以及合同工程精度要求，测绘施工控制网，并在专用条款约定的期限内，将施工控制网资料提交设计人顾问人、监理人确认。</w:t>
      </w:r>
    </w:p>
    <w:p>
      <w:pPr>
        <w:adjustRightInd w:val="0"/>
        <w:snapToGrid w:val="0"/>
        <w:spacing w:line="360" w:lineRule="auto"/>
        <w:rPr>
          <w:rFonts w:ascii="仿宋" w:hAnsi="仿宋" w:eastAsia="仿宋" w:cs="仿宋"/>
          <w:b/>
          <w:bCs/>
          <w:color w:val="auto"/>
          <w:highlight w:val="none"/>
          <w:u w:val="dotted"/>
          <w:lang w:eastAsia="zh-CN"/>
        </w:rPr>
      </w:pPr>
      <w:r>
        <w:rPr>
          <w:rFonts w:hint="eastAsia" w:ascii="仿宋" w:hAnsi="仿宋" w:eastAsia="仿宋" w:cs="仿宋"/>
          <w:b/>
          <w:bCs/>
          <w:color w:val="auto"/>
          <w:highlight w:val="none"/>
          <w:lang w:eastAsia="zh-CN"/>
        </w:rPr>
        <w:t>53</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6480" behindDoc="0" locked="0" layoutInCell="1" allowOverlap="1">
                <wp:simplePos x="0" y="0"/>
                <wp:positionH relativeFrom="column">
                  <wp:posOffset>-114300</wp:posOffset>
                </wp:positionH>
                <wp:positionV relativeFrom="paragraph">
                  <wp:posOffset>62230</wp:posOffset>
                </wp:positionV>
                <wp:extent cx="775970" cy="588645"/>
                <wp:effectExtent l="0" t="0" r="0" b="0"/>
                <wp:wrapNone/>
                <wp:docPr id="135" name="文本框 874"/>
                <wp:cNvGraphicFramePr/>
                <a:graphic xmlns:a="http://schemas.openxmlformats.org/drawingml/2006/main">
                  <a:graphicData uri="http://schemas.microsoft.com/office/word/2010/wordprocessingShape">
                    <wps:wsp>
                      <wps:cNvSpPr txBox="1"/>
                      <wps:spPr>
                        <a:xfrm>
                          <a:off x="0" y="0"/>
                          <a:ext cx="775970" cy="588645"/>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施工控制网（点）管理与使用</w:t>
                            </w:r>
                          </w:p>
                        </w:txbxContent>
                      </wps:txbx>
                      <wps:bodyPr wrap="square" upright="1"/>
                    </wps:wsp>
                  </a:graphicData>
                </a:graphic>
              </wp:anchor>
            </w:drawing>
          </mc:Choice>
          <mc:Fallback>
            <w:pict>
              <v:shape id="文本框 874" o:spid="_x0000_s1026" o:spt="202" type="#_x0000_t202" style="position:absolute;left:0pt;margin-left:-9pt;margin-top:4.9pt;height:46.35pt;width:61.1pt;z-index:251796480;mso-width-relative:page;mso-height-relative:page;" filled="f" stroked="f" coordsize="21600,21600" o:gfxdata="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KirYYbWAAAACQEAAA8AAAAAAAAAAQAgAAAAIgAAAGRycy9kb3ducmV2LnhtbFBLAQIUABQA&#10;AAAIAIdO4kBg2j11uQEAAF8DAAAOAAAAAAAAAAEAIAAAACU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施工控制网（点）管理与使用</w:t>
                      </w:r>
                    </w:p>
                  </w:txbxContent>
                </v:textbox>
              </v:shape>
            </w:pict>
          </mc:Fallback>
        </mc:AlternateContent>
      </w:r>
      <w:r>
        <w:rPr>
          <w:rFonts w:hint="eastAsia" w:ascii="仿宋" w:hAnsi="仿宋" w:eastAsia="仿宋" w:cs="仿宋"/>
          <w:color w:val="auto"/>
          <w:highlight w:val="none"/>
          <w:lang w:eastAsia="zh-CN"/>
        </w:rPr>
        <w:t>承包人应负责施工控制网点的管理。施工控制网点丢失或损坏的，承包人应及时修复。承包人应承担施工控制网点的管理与修复费用，并在工程竣工后将施工控制网点移交发包人。</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监理工程师需要使用施工控制网的，承包人应提供必要的协助，发包人无需为此支付任何费用。</w:t>
      </w:r>
    </w:p>
    <w:p>
      <w:pPr>
        <w:spacing w:line="360" w:lineRule="auto"/>
        <w:rPr>
          <w:rFonts w:ascii="仿宋" w:hAnsi="仿宋" w:eastAsia="仿宋" w:cs="仿宋"/>
          <w:b/>
          <w:bCs/>
          <w:color w:val="auto"/>
          <w:highlight w:val="none"/>
          <w:u w:val="dotted"/>
          <w:lang w:eastAsia="zh-CN"/>
        </w:rPr>
      </w:pPr>
      <w:bookmarkStart w:id="755" w:name="_Toc28492"/>
      <w:r>
        <w:rPr>
          <w:rFonts w:hint="eastAsia" w:ascii="仿宋" w:hAnsi="仿宋" w:eastAsia="仿宋" w:cs="仿宋"/>
          <w:b/>
          <w:bCs/>
          <w:color w:val="auto"/>
          <w:highlight w:val="none"/>
          <w:lang w:eastAsia="zh-CN"/>
        </w:rPr>
        <w:t>53</w:t>
      </w:r>
      <w:r>
        <w:rPr>
          <w:rFonts w:ascii="仿宋" w:hAnsi="仿宋" w:eastAsia="仿宋" w:cs="仿宋"/>
          <w:b/>
          <w:bCs/>
          <w:color w:val="auto"/>
          <w:highlight w:val="none"/>
          <w:lang w:eastAsia="zh-CN"/>
        </w:rPr>
        <w:t>.3</w:t>
      </w:r>
      <w:bookmarkEnd w:id="75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7504" behindDoc="0" locked="0" layoutInCell="1" allowOverlap="1">
                <wp:simplePos x="0" y="0"/>
                <wp:positionH relativeFrom="column">
                  <wp:posOffset>-114300</wp:posOffset>
                </wp:positionH>
                <wp:positionV relativeFrom="paragraph">
                  <wp:posOffset>-6350</wp:posOffset>
                </wp:positionV>
                <wp:extent cx="765810" cy="596900"/>
                <wp:effectExtent l="0" t="0" r="0" b="0"/>
                <wp:wrapNone/>
                <wp:docPr id="136" name="文本框 875"/>
                <wp:cNvGraphicFramePr/>
                <a:graphic xmlns:a="http://schemas.openxmlformats.org/drawingml/2006/main">
                  <a:graphicData uri="http://schemas.microsoft.com/office/word/2010/wordprocessingShape">
                    <wps:wsp>
                      <wps:cNvSpPr txBox="1"/>
                      <wps:spPr>
                        <a:xfrm>
                          <a:off x="0" y="0"/>
                          <a:ext cx="765810" cy="596900"/>
                        </a:xfrm>
                        <a:prstGeom prst="rect">
                          <a:avLst/>
                        </a:prstGeom>
                        <a:noFill/>
                        <a:ln>
                          <a:noFill/>
                        </a:ln>
                      </wps:spPr>
                      <wps:txbx>
                        <w:txbxContent>
                          <w:p>
                            <w:pPr>
                              <w:spacing w:line="200" w:lineRule="exact"/>
                              <w:rPr>
                                <w:sz w:val="18"/>
                                <w:szCs w:val="18"/>
                              </w:rPr>
                            </w:pPr>
                            <w:r>
                              <w:rPr>
                                <w:rFonts w:hint="eastAsia" w:ascii="楷体_GB2312" w:hAnsi="宋体" w:eastAsia="楷体_GB2312" w:cs="楷体_GB2312"/>
                                <w:b/>
                                <w:bCs/>
                                <w:color w:val="000000"/>
                                <w:sz w:val="18"/>
                                <w:szCs w:val="18"/>
                              </w:rPr>
                              <w:t>承包人测量放线的责任</w:t>
                            </w:r>
                          </w:p>
                        </w:txbxContent>
                      </wps:txbx>
                      <wps:bodyPr wrap="square" upright="1"/>
                    </wps:wsp>
                  </a:graphicData>
                </a:graphic>
              </wp:anchor>
            </w:drawing>
          </mc:Choice>
          <mc:Fallback>
            <w:pict>
              <v:shape id="文本框 875" o:spid="_x0000_s1026" o:spt="202" type="#_x0000_t202" style="position:absolute;left:0pt;margin-left:-9pt;margin-top:-0.5pt;height:47pt;width:60.3pt;z-index:251797504;mso-width-relative:page;mso-height-relative:page;" filled="f" stroked="f" coordsize="21600,21600" o:gfxdata="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ZFBvK1gAAAAkBAAAPAAAAAAAAAAEAIAAAACIAAABkcnMvZG93bnJldi54bWxQSwECFAAU&#10;AAAACACHTuJAZveGOboBAABfAwAADgAAAAAAAAABACAAAAAlAQAAZHJzL2Uyb0RvYy54bWxQSwUG&#10;AAAAAAYABgBZAQAAUQUAAAAA&#10;">
                <v:fill on="f" focussize="0,0"/>
                <v:stroke on="f"/>
                <v:imagedata o:title=""/>
                <o:lock v:ext="edit" aspectratio="f"/>
                <v:textbox>
                  <w:txbxContent>
                    <w:p>
                      <w:pPr>
                        <w:spacing w:line="200" w:lineRule="exact"/>
                        <w:rPr>
                          <w:sz w:val="18"/>
                          <w:szCs w:val="18"/>
                        </w:rPr>
                      </w:pPr>
                      <w:r>
                        <w:rPr>
                          <w:rFonts w:hint="eastAsia" w:ascii="楷体_GB2312" w:hAnsi="宋体" w:eastAsia="楷体_GB2312" w:cs="楷体_GB2312"/>
                          <w:b/>
                          <w:bCs/>
                          <w:color w:val="000000"/>
                          <w:sz w:val="18"/>
                          <w:szCs w:val="18"/>
                        </w:rPr>
                        <w:t>承包人测量放线的责任</w:t>
                      </w:r>
                    </w:p>
                  </w:txbxContent>
                </v:textbox>
              </v:shape>
            </w:pict>
          </mc:Fallback>
        </mc:AlternateContent>
      </w:r>
      <w:r>
        <w:rPr>
          <w:rFonts w:hint="eastAsia" w:ascii="仿宋" w:hAnsi="仿宋" w:eastAsia="仿宋" w:cs="仿宋"/>
          <w:color w:val="auto"/>
          <w:highlight w:val="none"/>
          <w:lang w:eastAsia="zh-CN"/>
        </w:rPr>
        <w:t>承包人应配置合格的人员、仪器、施工设备和其他物品，根据监理人书面确定的原始基准点、基准线、基准高程等资料，准确完成对合同工程的全部施工测量放线工作，并对工程各部分的位置、标高、尺寸或定线的正确性负责。</w:t>
      </w:r>
    </w:p>
    <w:p>
      <w:pPr>
        <w:spacing w:line="360" w:lineRule="auto"/>
        <w:rPr>
          <w:rFonts w:ascii="仿宋" w:hAnsi="仿宋" w:eastAsia="仿宋" w:cs="仿宋"/>
          <w:b/>
          <w:bCs/>
          <w:color w:val="auto"/>
          <w:highlight w:val="none"/>
          <w:u w:val="dotted"/>
          <w:lang w:eastAsia="zh-CN"/>
        </w:rPr>
      </w:pPr>
      <w:bookmarkStart w:id="756" w:name="_Toc6614"/>
      <w:r>
        <w:rPr>
          <w:rFonts w:hint="eastAsia" w:ascii="仿宋" w:hAnsi="仿宋" w:eastAsia="仿宋" w:cs="仿宋"/>
          <w:b/>
          <w:bCs/>
          <w:color w:val="auto"/>
          <w:highlight w:val="none"/>
          <w:lang w:eastAsia="zh-CN"/>
        </w:rPr>
        <w:t>53</w:t>
      </w:r>
      <w:r>
        <w:rPr>
          <w:rFonts w:ascii="仿宋" w:hAnsi="仿宋" w:eastAsia="仿宋" w:cs="仿宋"/>
          <w:b/>
          <w:bCs/>
          <w:color w:val="auto"/>
          <w:highlight w:val="none"/>
          <w:lang w:eastAsia="zh-CN"/>
        </w:rPr>
        <w:t>.4</w:t>
      </w:r>
      <w:bookmarkEnd w:id="75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798528" behindDoc="0" locked="0" layoutInCell="1" allowOverlap="1">
                <wp:simplePos x="0" y="0"/>
                <wp:positionH relativeFrom="column">
                  <wp:posOffset>-66675</wp:posOffset>
                </wp:positionH>
                <wp:positionV relativeFrom="paragraph">
                  <wp:posOffset>8255</wp:posOffset>
                </wp:positionV>
                <wp:extent cx="775970" cy="511810"/>
                <wp:effectExtent l="0" t="0" r="0" b="0"/>
                <wp:wrapNone/>
                <wp:docPr id="137" name="文本框 876"/>
                <wp:cNvGraphicFramePr/>
                <a:graphic xmlns:a="http://schemas.openxmlformats.org/drawingml/2006/main">
                  <a:graphicData uri="http://schemas.microsoft.com/office/word/2010/wordprocessingShape">
                    <wps:wsp>
                      <wps:cNvSpPr txBox="1"/>
                      <wps:spPr>
                        <a:xfrm>
                          <a:off x="0" y="0"/>
                          <a:ext cx="775970" cy="511810"/>
                        </a:xfrm>
                        <a:prstGeom prst="rect">
                          <a:avLst/>
                        </a:prstGeom>
                        <a:noFill/>
                        <a:ln>
                          <a:noFill/>
                        </a:ln>
                      </wps:spPr>
                      <wps:txbx>
                        <w:txbxContent>
                          <w:p>
                            <w:pPr>
                              <w:spacing w:line="20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测量放线误差的处理</w:t>
                            </w:r>
                          </w:p>
                        </w:txbxContent>
                      </wps:txbx>
                      <wps:bodyPr wrap="square" upright="1"/>
                    </wps:wsp>
                  </a:graphicData>
                </a:graphic>
              </wp:anchor>
            </w:drawing>
          </mc:Choice>
          <mc:Fallback>
            <w:pict>
              <v:shape id="文本框 876" o:spid="_x0000_s1026" o:spt="202" type="#_x0000_t202" style="position:absolute;left:0pt;margin-left:-5.25pt;margin-top:0.65pt;height:40.3pt;width:61.1pt;z-index:251798528;mso-width-relative:page;mso-height-relative:page;" filled="f" stroked="f" coordsize="21600,21600" o:gfxdata="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guvdYtUAAAAIAQAADwAAAAAAAAABACAAAAAiAAAAZHJzL2Rvd25yZXYueG1sUEsBAhQAFAAA&#10;AAgAh07iQAI88hW5AQAAXwMAAA4AAAAAAAAAAQAgAAAAJAEAAGRycy9lMm9Eb2MueG1sUEsFBgAA&#10;AAAGAAYAWQEAAE8FAAAAAA==&#10;">
                <v:fill on="f" focussize="0,0"/>
                <v:stroke on="f"/>
                <v:imagedata o:title=""/>
                <o:lock v:ext="edit" aspectratio="f"/>
                <v:textbox>
                  <w:txbxContent>
                    <w:p>
                      <w:pPr>
                        <w:spacing w:line="20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测量放线误差的处理</w:t>
                      </w:r>
                    </w:p>
                  </w:txbxContent>
                </v:textbox>
              </v:shape>
            </w:pict>
          </mc:Fallback>
        </mc:AlternateContent>
      </w:r>
      <w:r>
        <w:rPr>
          <w:rFonts w:hint="eastAsia" w:ascii="仿宋" w:hAnsi="仿宋" w:eastAsia="仿宋" w:cs="仿宋"/>
          <w:color w:val="auto"/>
          <w:highlight w:val="none"/>
          <w:lang w:eastAsia="zh-CN"/>
        </w:rPr>
        <w:t>监理人有权对承包人施工测量放线工作进行检查验收。如果发现永久工程任何部分的位置、标高、尺寸或定线超过合同约定误差的，承包人应自费纠正，直到监理人认为符合合同约定为止。如果这些误差是由于监理人书面提供的数据错误导致的，发包人应当承担由此增加的费用和（或）工期延误，并向承包人支付合理利润。</w:t>
      </w:r>
    </w:p>
    <w:p>
      <w:pPr>
        <w:spacing w:line="360" w:lineRule="auto"/>
        <w:rPr>
          <w:rFonts w:ascii="仿宋" w:hAnsi="仿宋" w:eastAsia="仿宋"/>
          <w:b/>
          <w:bCs/>
          <w:color w:val="auto"/>
          <w:highlight w:val="none"/>
          <w:lang w:eastAsia="zh-CN"/>
        </w:rPr>
      </w:pPr>
      <w:bookmarkStart w:id="757" w:name="_Toc7191"/>
      <w:r>
        <w:rPr>
          <w:rFonts w:hint="eastAsia" w:ascii="仿宋" w:hAnsi="仿宋" w:eastAsia="仿宋" w:cs="仿宋"/>
          <w:b/>
          <w:bCs/>
          <w:color w:val="auto"/>
          <w:highlight w:val="none"/>
          <w:lang w:eastAsia="zh-CN"/>
        </w:rPr>
        <w:t>53</w:t>
      </w:r>
      <w:r>
        <w:rPr>
          <w:rFonts w:ascii="仿宋" w:hAnsi="仿宋" w:eastAsia="仿宋" w:cs="仿宋"/>
          <w:b/>
          <w:bCs/>
          <w:color w:val="auto"/>
          <w:highlight w:val="none"/>
          <w:lang w:eastAsia="zh-CN"/>
        </w:rPr>
        <w:t xml:space="preserve">.5 </w:t>
      </w:r>
      <w:r>
        <w:rPr>
          <w:rFonts w:ascii="仿宋" w:hAnsi="仿宋" w:eastAsia="仿宋" w:cs="仿宋"/>
          <w:b/>
          <w:bCs/>
          <w:color w:val="auto"/>
          <w:highlight w:val="none"/>
          <w:u w:val="dotted"/>
          <w:lang w:eastAsia="zh-CN"/>
        </w:rPr>
        <w:t xml:space="preserve">                                                                         </w:t>
      </w:r>
      <w:r>
        <w:rPr>
          <w:color w:val="auto"/>
          <w:highlight w:val="none"/>
        </w:rPr>
        <mc:AlternateContent>
          <mc:Choice Requires="wps">
            <w:drawing>
              <wp:anchor distT="0" distB="0" distL="114300" distR="114300" simplePos="0" relativeHeight="251799552" behindDoc="0" locked="0" layoutInCell="1" allowOverlap="1">
                <wp:simplePos x="0" y="0"/>
                <wp:positionH relativeFrom="column">
                  <wp:posOffset>-114300</wp:posOffset>
                </wp:positionH>
                <wp:positionV relativeFrom="paragraph">
                  <wp:posOffset>278130</wp:posOffset>
                </wp:positionV>
                <wp:extent cx="784860" cy="509905"/>
                <wp:effectExtent l="0" t="0" r="0" b="0"/>
                <wp:wrapNone/>
                <wp:docPr id="138" name="文本框 877"/>
                <wp:cNvGraphicFramePr/>
                <a:graphic xmlns:a="http://schemas.openxmlformats.org/drawingml/2006/main">
                  <a:graphicData uri="http://schemas.microsoft.com/office/word/2010/wordprocessingShape">
                    <wps:wsp>
                      <wps:cNvSpPr txBox="1"/>
                      <wps:spPr>
                        <a:xfrm>
                          <a:off x="0" y="0"/>
                          <a:ext cx="784860" cy="509905"/>
                        </a:xfrm>
                        <a:prstGeom prst="rect">
                          <a:avLst/>
                        </a:prstGeom>
                        <a:noFill/>
                        <a:ln>
                          <a:noFill/>
                        </a:ln>
                      </wps:spPr>
                      <wps:txb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保护基准点或线等标志</w:t>
                            </w:r>
                          </w:p>
                        </w:txbxContent>
                      </wps:txbx>
                      <wps:bodyPr wrap="square" upright="1"/>
                    </wps:wsp>
                  </a:graphicData>
                </a:graphic>
              </wp:anchor>
            </w:drawing>
          </mc:Choice>
          <mc:Fallback>
            <w:pict>
              <v:shape id="文本框 877" o:spid="_x0000_s1026" o:spt="202" type="#_x0000_t202" style="position:absolute;left:0pt;margin-left:-9pt;margin-top:21.9pt;height:40.15pt;width:61.8pt;z-index:251799552;mso-width-relative:page;mso-height-relative:page;" filled="f" stroked="f" coordsize="21600,21600" o:gfxdata="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L50jS1wAAAAoBAAAPAAAAAAAAAAEAIAAAACIAAABkcnMvZG93bnJldi54bWxQSwECFAAU&#10;AAAACACHTuJAiUFC1bkBAABfAwAADgAAAAAAAAABACAAAAAmAQAAZHJzL2Uyb0RvYy54bWxQSwUG&#10;AAAAAAYABgBZAQAAUQUAAAAA&#10;">
                <v:fill on="f" focussize="0,0"/>
                <v:stroke on="f"/>
                <v:imagedata o:title=""/>
                <o:lock v:ext="edit" aspectratio="f"/>
                <v:textbo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保护基准点或线等标志</w:t>
                      </w:r>
                    </w:p>
                  </w:txbxContent>
                </v:textbox>
              </v:shape>
            </w:pict>
          </mc:Fallback>
        </mc:AlternateContent>
      </w:r>
      <w:bookmarkEnd w:id="757"/>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监理人对工程位置、标高、尺寸、定线的检查，不能免除承包人测量放线工作准确性应承担的任何责任和应履行的任何义务。承包人应有效地保护一切基准点、基准线和其他有关的标志，直到永久工程竣工验收合格为止。</w:t>
      </w:r>
    </w:p>
    <w:p>
      <w:pPr>
        <w:pStyle w:val="7"/>
        <w:tabs>
          <w:tab w:val="left" w:pos="2070"/>
        </w:tabs>
        <w:adjustRightInd w:val="0"/>
        <w:snapToGrid w:val="0"/>
        <w:spacing w:line="360" w:lineRule="auto"/>
        <w:ind w:firstLine="0"/>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58" w:name="_Toc23414"/>
      <w:bookmarkStart w:id="759" w:name="_Toc27040"/>
      <w:bookmarkStart w:id="760" w:name="_Toc30960"/>
      <w:bookmarkStart w:id="761" w:name="_Toc21567"/>
      <w:bookmarkStart w:id="762" w:name="_Toc31515"/>
      <w:bookmarkStart w:id="763" w:name="_Toc4345"/>
      <w:bookmarkStart w:id="764" w:name="_Toc29323"/>
      <w:bookmarkStart w:id="765" w:name="_Toc18903"/>
      <w:r>
        <w:rPr>
          <w:rFonts w:hint="eastAsia" w:ascii="仿宋" w:hAnsi="仿宋" w:eastAsia="仿宋" w:cs="仿宋"/>
          <w:bCs w:val="0"/>
          <w:color w:val="auto"/>
          <w:sz w:val="24"/>
          <w:szCs w:val="24"/>
          <w:highlight w:val="none"/>
          <w:lang w:eastAsia="zh-CN"/>
        </w:rPr>
        <w:t>54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钻孔与勘探性开挖</w:t>
      </w:r>
      <w:bookmarkEnd w:id="758"/>
      <w:bookmarkEnd w:id="759"/>
      <w:bookmarkEnd w:id="760"/>
      <w:bookmarkEnd w:id="761"/>
      <w:bookmarkEnd w:id="762"/>
      <w:bookmarkEnd w:id="763"/>
      <w:bookmarkEnd w:id="764"/>
      <w:bookmarkEnd w:id="765"/>
    </w:p>
    <w:p>
      <w:pPr>
        <w:pStyle w:val="7"/>
        <w:adjustRightInd w:val="0"/>
        <w:snapToGrid w:val="0"/>
        <w:spacing w:line="360" w:lineRule="auto"/>
        <w:ind w:firstLine="0"/>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54</w:t>
      </w:r>
      <w:r>
        <w:rPr>
          <w:rFonts w:ascii="仿宋" w:hAnsi="仿宋" w:eastAsia="仿宋" w:cs="仿宋"/>
          <w:b/>
          <w:bCs/>
          <w:color w:val="auto"/>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032000" behindDoc="0" locked="0" layoutInCell="1" allowOverlap="1">
                <wp:simplePos x="0" y="0"/>
                <wp:positionH relativeFrom="column">
                  <wp:posOffset>0</wp:posOffset>
                </wp:positionH>
                <wp:positionV relativeFrom="paragraph">
                  <wp:posOffset>-26035</wp:posOffset>
                </wp:positionV>
                <wp:extent cx="756920" cy="598805"/>
                <wp:effectExtent l="0" t="0" r="0" b="0"/>
                <wp:wrapNone/>
                <wp:docPr id="365" name="文本框 878"/>
                <wp:cNvGraphicFramePr/>
                <a:graphic xmlns:a="http://schemas.openxmlformats.org/drawingml/2006/main">
                  <a:graphicData uri="http://schemas.microsoft.com/office/word/2010/wordprocessingShape">
                    <wps:wsp>
                      <wps:cNvSpPr txBox="1"/>
                      <wps:spPr>
                        <a:xfrm>
                          <a:off x="0" y="0"/>
                          <a:ext cx="756920" cy="59880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发出钻孔和勘探性开挖工作指令</w:t>
                            </w:r>
                          </w:p>
                        </w:txbxContent>
                      </wps:txbx>
                      <wps:bodyPr wrap="square" upright="1"/>
                    </wps:wsp>
                  </a:graphicData>
                </a:graphic>
              </wp:anchor>
            </w:drawing>
          </mc:Choice>
          <mc:Fallback>
            <w:pict>
              <v:shape id="文本框 878" o:spid="_x0000_s1026" o:spt="202" type="#_x0000_t202" style="position:absolute;left:0pt;margin-left:0pt;margin-top:-2.05pt;height:47.15pt;width:59.6pt;z-index:252032000;mso-width-relative:page;mso-height-relative:page;" filled="f" stroked="f" coordsize="21600,21600" o:gfxdata="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ChPysTTAAAABgEAAA8AAAAAAAAAAQAgAAAAIgAAAGRycy9kb3ducmV2LnhtbFBLAQIUABQAAAAI&#10;AIdO4kClw761uQEAAF8DAAAOAAAAAAAAAAEAIAAAACIBAABkcnMvZTJvRG9jLnhtbFBLBQYAAAAA&#10;BgAGAFkBAABNBQ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发出钻孔和勘探性开挖工作指令</w:t>
                      </w:r>
                    </w:p>
                  </w:txbxContent>
                </v:textbox>
              </v:shape>
            </w:pict>
          </mc:Fallback>
        </mc:AlternateContent>
      </w:r>
      <w:r>
        <w:rPr>
          <w:rFonts w:hint="eastAsia" w:ascii="仿宋" w:hAnsi="仿宋" w:eastAsia="仿宋" w:cs="仿宋"/>
          <w:color w:val="auto"/>
          <w:highlight w:val="none"/>
          <w:lang w:eastAsia="zh-CN"/>
        </w:rPr>
        <w:t>在施工过程中，如果需要承包人进行钻孔或勘探性开挖（含疏浚工作在内）工作的，监理人应就此项工作按照第63条约定书面发出专项指令。承包人在接到监理工程师指令后，应及时实施相关工作。</w:t>
      </w:r>
    </w:p>
    <w:p>
      <w:pPr>
        <w:pStyle w:val="7"/>
        <w:tabs>
          <w:tab w:val="left" w:pos="720"/>
          <w:tab w:val="left" w:pos="1080"/>
        </w:tabs>
        <w:adjustRightInd w:val="0"/>
        <w:snapToGrid w:val="0"/>
        <w:spacing w:line="360" w:lineRule="auto"/>
        <w:ind w:firstLine="0"/>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033024" behindDoc="0" locked="0" layoutInCell="1" allowOverlap="1">
                <wp:simplePos x="0" y="0"/>
                <wp:positionH relativeFrom="column">
                  <wp:posOffset>-47625</wp:posOffset>
                </wp:positionH>
                <wp:positionV relativeFrom="paragraph">
                  <wp:posOffset>284480</wp:posOffset>
                </wp:positionV>
                <wp:extent cx="861695" cy="591820"/>
                <wp:effectExtent l="0" t="0" r="0" b="0"/>
                <wp:wrapNone/>
                <wp:docPr id="366" name="文本框 879"/>
                <wp:cNvGraphicFramePr/>
                <a:graphic xmlns:a="http://schemas.openxmlformats.org/drawingml/2006/main">
                  <a:graphicData uri="http://schemas.microsoft.com/office/word/2010/wordprocessingShape">
                    <wps:wsp>
                      <wps:cNvSpPr txBox="1"/>
                      <wps:spPr>
                        <a:xfrm>
                          <a:off x="0" y="0"/>
                          <a:ext cx="861695" cy="591820"/>
                        </a:xfrm>
                        <a:prstGeom prst="rect">
                          <a:avLst/>
                        </a:prstGeom>
                        <a:noFill/>
                        <a:ln>
                          <a:noFill/>
                        </a:ln>
                      </wps:spPr>
                      <wps:txbx>
                        <w:txbxContent>
                          <w:p>
                            <w:pPr>
                              <w:spacing w:line="200" w:lineRule="exact"/>
                              <w:rPr>
                                <w:sz w:val="18"/>
                                <w:szCs w:val="18"/>
                                <w:lang w:eastAsia="zh-CN"/>
                              </w:rPr>
                            </w:pPr>
                            <w:r>
                              <w:rPr>
                                <w:rFonts w:hint="eastAsia" w:ascii="楷体_GB2312" w:hAnsi="宋体" w:eastAsia="楷体_GB2312" w:cs="楷体_GB2312"/>
                                <w:b/>
                                <w:bCs/>
                                <w:color w:val="000000"/>
                                <w:sz w:val="18"/>
                                <w:szCs w:val="18"/>
                                <w:lang w:eastAsia="zh-CN"/>
                              </w:rPr>
                              <w:t>钻孔和勘探性开挖工作的费用</w:t>
                            </w:r>
                          </w:p>
                        </w:txbxContent>
                      </wps:txbx>
                      <wps:bodyPr wrap="square" upright="1"/>
                    </wps:wsp>
                  </a:graphicData>
                </a:graphic>
              </wp:anchor>
            </w:drawing>
          </mc:Choice>
          <mc:Fallback>
            <w:pict>
              <v:shape id="文本框 879" o:spid="_x0000_s1026" o:spt="202" type="#_x0000_t202" style="position:absolute;left:0pt;margin-left:-3.75pt;margin-top:22.4pt;height:46.6pt;width:67.85pt;z-index:252033024;mso-width-relative:page;mso-height-relative:page;" filled="f" stroked="f" coordsize="21600,21600" o:gfxdata="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Kfdyh7XAAAACQEAAA8AAAAAAAAAAQAgAAAAIgAAAGRycy9kb3ducmV2LnhtbFBLAQIU&#10;ABQAAAAIAIdO4kAH5euSuwEAAF8DAAAOAAAAAAAAAAEAIAAAACYBAABkcnMvZTJvRG9jLnhtbFBL&#10;BQYAAAAABgAGAFkBAABTBQAAAAA=&#10;">
                <v:fill on="f" focussize="0,0"/>
                <v:stroke on="f"/>
                <v:imagedata o:title=""/>
                <o:lock v:ext="edit" aspectratio="f"/>
                <v:textbox>
                  <w:txbxContent>
                    <w:p>
                      <w:pPr>
                        <w:spacing w:line="200" w:lineRule="exact"/>
                        <w:rPr>
                          <w:sz w:val="18"/>
                          <w:szCs w:val="18"/>
                          <w:lang w:eastAsia="zh-CN"/>
                        </w:rPr>
                      </w:pPr>
                      <w:r>
                        <w:rPr>
                          <w:rFonts w:hint="eastAsia" w:ascii="楷体_GB2312" w:hAnsi="宋体" w:eastAsia="楷体_GB2312" w:cs="楷体_GB2312"/>
                          <w:b/>
                          <w:bCs/>
                          <w:color w:val="000000"/>
                          <w:sz w:val="18"/>
                          <w:szCs w:val="18"/>
                          <w:lang w:eastAsia="zh-CN"/>
                        </w:rPr>
                        <w:t>钻孔和勘探性开挖工作的费用</w:t>
                      </w:r>
                    </w:p>
                  </w:txbxContent>
                </v:textbox>
              </v:shape>
            </w:pict>
          </mc:Fallback>
        </mc:AlternateContent>
      </w:r>
      <w:r>
        <w:rPr>
          <w:rFonts w:hint="eastAsia" w:ascii="仿宋" w:hAnsi="仿宋" w:eastAsia="仿宋" w:cs="仿宋"/>
          <w:b/>
          <w:bCs/>
          <w:color w:val="auto"/>
          <w:highlight w:val="none"/>
          <w:lang w:eastAsia="zh-CN"/>
        </w:rPr>
        <w:t>54</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除工程量清单中已列有此类工作的支付项目和额度外，此项工作所发生的一切费用，经造价咨询人核实后，由合同双方当事人按照第79条约定办理。</w:t>
      </w:r>
    </w:p>
    <w:p>
      <w:pPr>
        <w:pStyle w:val="22"/>
        <w:tabs>
          <w:tab w:val="left" w:pos="540"/>
        </w:tabs>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66" w:name="_Toc19949"/>
      <w:bookmarkStart w:id="767" w:name="_Toc31244"/>
      <w:bookmarkStart w:id="768" w:name="_Toc17088"/>
      <w:bookmarkStart w:id="769" w:name="_Toc27299"/>
      <w:bookmarkStart w:id="770" w:name="_Toc13128"/>
      <w:bookmarkStart w:id="771" w:name="_Toc23656"/>
      <w:bookmarkStart w:id="772" w:name="_Toc11374"/>
      <w:bookmarkStart w:id="773" w:name="_Toc3635"/>
      <w:r>
        <w:rPr>
          <w:rFonts w:hint="eastAsia" w:ascii="仿宋" w:hAnsi="仿宋" w:eastAsia="仿宋" w:cs="仿宋"/>
          <w:bCs w:val="0"/>
          <w:color w:val="auto"/>
          <w:sz w:val="24"/>
          <w:szCs w:val="24"/>
          <w:highlight w:val="none"/>
          <w:lang w:eastAsia="zh-CN"/>
        </w:rPr>
        <w:t>55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发包人供应工程材料和工程设备</w:t>
      </w:r>
      <w:bookmarkEnd w:id="766"/>
      <w:bookmarkEnd w:id="767"/>
      <w:bookmarkEnd w:id="768"/>
      <w:bookmarkEnd w:id="769"/>
      <w:bookmarkEnd w:id="770"/>
      <w:bookmarkEnd w:id="771"/>
      <w:bookmarkEnd w:id="772"/>
      <w:bookmarkEnd w:id="773"/>
    </w:p>
    <w:p>
      <w:pPr>
        <w:pStyle w:val="7"/>
        <w:adjustRightInd w:val="0"/>
        <w:snapToGrid w:val="0"/>
        <w:spacing w:line="360" w:lineRule="auto"/>
        <w:ind w:firstLine="0"/>
        <w:rPr>
          <w:rFonts w:ascii="仿宋" w:hAnsi="仿宋" w:eastAsia="仿宋" w:cs="仿宋"/>
          <w:b/>
          <w:bCs/>
          <w:color w:val="auto"/>
          <w:highlight w:val="none"/>
          <w:lang w:eastAsia="zh-CN"/>
        </w:rPr>
      </w:pPr>
      <w:r>
        <w:rPr>
          <w:color w:val="auto"/>
          <w:highlight w:val="none"/>
        </w:rPr>
        <mc:AlternateContent>
          <mc:Choice Requires="wps">
            <w:drawing>
              <wp:anchor distT="0" distB="0" distL="114300" distR="114300" simplePos="0" relativeHeight="252034048" behindDoc="0" locked="0" layoutInCell="1" allowOverlap="1">
                <wp:simplePos x="0" y="0"/>
                <wp:positionH relativeFrom="column">
                  <wp:posOffset>-114300</wp:posOffset>
                </wp:positionH>
                <wp:positionV relativeFrom="paragraph">
                  <wp:posOffset>278765</wp:posOffset>
                </wp:positionV>
                <wp:extent cx="803910" cy="495300"/>
                <wp:effectExtent l="0" t="0" r="0" b="0"/>
                <wp:wrapNone/>
                <wp:docPr id="367" name="文本框 880"/>
                <wp:cNvGraphicFramePr/>
                <a:graphic xmlns:a="http://schemas.openxmlformats.org/drawingml/2006/main">
                  <a:graphicData uri="http://schemas.microsoft.com/office/word/2010/wordprocessingShape">
                    <wps:wsp>
                      <wps:cNvSpPr txBox="1"/>
                      <wps:spPr>
                        <a:xfrm>
                          <a:off x="0" y="0"/>
                          <a:ext cx="803910" cy="49530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约定供应的材料和工程设备</w:t>
                            </w:r>
                          </w:p>
                        </w:txbxContent>
                      </wps:txbx>
                      <wps:bodyPr wrap="square" upright="1"/>
                    </wps:wsp>
                  </a:graphicData>
                </a:graphic>
              </wp:anchor>
            </w:drawing>
          </mc:Choice>
          <mc:Fallback>
            <w:pict>
              <v:shape id="文本框 880" o:spid="_x0000_s1026" o:spt="202" type="#_x0000_t202" style="position:absolute;left:0pt;margin-left:-9pt;margin-top:21.95pt;height:39pt;width:63.3pt;z-index:252034048;mso-width-relative:page;mso-height-relative:page;" filled="f" stroked="f" coordsize="21600,21600" o:gfxdata="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ZQybq2AAAAAoBAAAPAAAAAAAAAAEAIAAAACIAAABkcnMvZG93bnJldi54bWxQSwECFAAU&#10;AAAACACHTuJAOIOkvrgBAABfAwAADgAAAAAAAAABACAAAAAnAQAAZHJzL2Uyb0RvYy54bWxQSwUG&#10;AAAAAAYABgBZAQAAUQ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约定供应的材料和工程设备</w:t>
                      </w:r>
                    </w:p>
                  </w:txbxContent>
                </v:textbox>
              </v:shape>
            </w:pict>
          </mc:Fallback>
        </mc:AlternateContent>
      </w:r>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供应工程材料和工程设备的，应在供应工程材料和工程设备前，与承包人确认“发包人供应材料和工程设备一览表”，并作为本合同的附件。一览表应包括发包人供应工程材料和工程设备的品种、规格、型号、数量、单价、质量标准、交货计划和地点等内容。</w:t>
      </w:r>
    </w:p>
    <w:p>
      <w:pPr>
        <w:pStyle w:val="7"/>
        <w:tabs>
          <w:tab w:val="left" w:pos="720"/>
          <w:tab w:val="left" w:pos="1080"/>
        </w:tabs>
        <w:adjustRightInd w:val="0"/>
        <w:snapToGrid w:val="0"/>
        <w:spacing w:line="360" w:lineRule="auto"/>
        <w:ind w:firstLine="0"/>
        <w:rPr>
          <w:rFonts w:ascii="仿宋" w:hAnsi="仿宋" w:eastAsia="仿宋"/>
          <w:color w:val="auto"/>
          <w:highlight w:val="none"/>
          <w:lang w:eastAsia="zh-CN"/>
        </w:rPr>
      </w:pPr>
      <w:bookmarkStart w:id="774" w:name="_Toc989"/>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.2</w:t>
      </w:r>
      <w:bookmarkEnd w:id="774"/>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1800576" behindDoc="0" locked="0" layoutInCell="1" allowOverlap="1">
                <wp:simplePos x="0" y="0"/>
                <wp:positionH relativeFrom="column">
                  <wp:posOffset>-66675</wp:posOffset>
                </wp:positionH>
                <wp:positionV relativeFrom="paragraph">
                  <wp:posOffset>47625</wp:posOffset>
                </wp:positionV>
                <wp:extent cx="756920" cy="466725"/>
                <wp:effectExtent l="0" t="0" r="0" b="0"/>
                <wp:wrapNone/>
                <wp:docPr id="139" name="文本框 881"/>
                <wp:cNvGraphicFramePr/>
                <a:graphic xmlns:a="http://schemas.openxmlformats.org/drawingml/2006/main">
                  <a:graphicData uri="http://schemas.microsoft.com/office/word/2010/wordprocessingShape">
                    <wps:wsp>
                      <wps:cNvSpPr txBox="1"/>
                      <wps:spPr>
                        <a:xfrm>
                          <a:off x="0" y="0"/>
                          <a:ext cx="756920" cy="466725"/>
                        </a:xfrm>
                        <a:prstGeom prst="rect">
                          <a:avLst/>
                        </a:prstGeom>
                        <a:noFill/>
                        <a:ln>
                          <a:noFill/>
                        </a:ln>
                      </wps:spPr>
                      <wps:txb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发包人交货日期的要求</w:t>
                            </w:r>
                          </w:p>
                        </w:txbxContent>
                      </wps:txbx>
                      <wps:bodyPr wrap="square" upright="1"/>
                    </wps:wsp>
                  </a:graphicData>
                </a:graphic>
              </wp:anchor>
            </w:drawing>
          </mc:Choice>
          <mc:Fallback>
            <w:pict>
              <v:shape id="文本框 881" o:spid="_x0000_s1026" o:spt="202" type="#_x0000_t202" style="position:absolute;left:0pt;margin-left:-5.25pt;margin-top:3.75pt;height:36.75pt;width:59.6pt;z-index:251800576;mso-width-relative:page;mso-height-relative:page;" filled="f" stroked="f" coordsize="21600,21600" o:gfxdata="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Izga7VAAAACAEAAA8AAAAAAAAAAQAgAAAAIgAAAGRycy9kb3ducmV2LnhtbFBLAQIUABQA&#10;AAAIAIdO4kDOlVOPugEAAF8DAAAOAAAAAAAAAAEAIAAAACQBAABkcnMvZTJvRG9jLnhtbFBLBQYA&#10;AAAABgAGAFkBAABQBQAAAAA=&#10;">
                <v:fill on="f" focussize="0,0"/>
                <v:stroke on="f"/>
                <v:imagedata o:title=""/>
                <o:lock v:ext="edit" aspectratio="f"/>
                <v:textbo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发包人交货日期的要求</w:t>
                      </w:r>
                    </w:p>
                  </w:txbxContent>
                </v:textbox>
              </v:shape>
            </w:pict>
          </mc:Fallback>
        </mc:AlternateContent>
      </w:r>
      <w:r>
        <w:rPr>
          <w:rFonts w:hint="eastAsia" w:ascii="仿宋" w:hAnsi="仿宋" w:eastAsia="仿宋" w:cs="仿宋"/>
          <w:color w:val="auto"/>
          <w:highlight w:val="none"/>
          <w:lang w:eastAsia="zh-CN"/>
        </w:rPr>
        <w:t>发包人供应工程材料和工程设备的，承包人应根据合同工程进度计划向监理人提交发包人交货的日期计划。经合同双方当事人商定交货日期后，发包人应准时向承包人供应工程材料和工程设备；否则，发包人应承担由此增加的费用和（或）延误的工期，并向承包人支付合理利润。</w:t>
      </w:r>
    </w:p>
    <w:p>
      <w:pPr>
        <w:pStyle w:val="7"/>
        <w:tabs>
          <w:tab w:val="left" w:pos="720"/>
          <w:tab w:val="left" w:pos="1080"/>
        </w:tabs>
        <w:adjustRightInd w:val="0"/>
        <w:snapToGrid w:val="0"/>
        <w:spacing w:line="360" w:lineRule="auto"/>
        <w:ind w:firstLine="0"/>
        <w:rPr>
          <w:rFonts w:ascii="仿宋" w:hAnsi="仿宋" w:eastAsia="仿宋"/>
          <w:b/>
          <w:bCs/>
          <w:color w:val="auto"/>
          <w:highlight w:val="none"/>
          <w:lang w:eastAsia="zh-CN"/>
        </w:rPr>
      </w:pPr>
      <w:bookmarkStart w:id="775" w:name="_Toc31784"/>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.3</w:t>
      </w:r>
      <w:bookmarkEnd w:id="77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1600" behindDoc="0" locked="0" layoutInCell="1" allowOverlap="1">
                <wp:simplePos x="0" y="0"/>
                <wp:positionH relativeFrom="column">
                  <wp:posOffset>-114300</wp:posOffset>
                </wp:positionH>
                <wp:positionV relativeFrom="paragraph">
                  <wp:posOffset>2540</wp:posOffset>
                </wp:positionV>
                <wp:extent cx="762000" cy="484505"/>
                <wp:effectExtent l="0" t="0" r="0" b="0"/>
                <wp:wrapNone/>
                <wp:docPr id="140" name="文本框 882"/>
                <wp:cNvGraphicFramePr/>
                <a:graphic xmlns:a="http://schemas.openxmlformats.org/drawingml/2006/main">
                  <a:graphicData uri="http://schemas.microsoft.com/office/word/2010/wordprocessingShape">
                    <wps:wsp>
                      <wps:cNvSpPr txBox="1"/>
                      <wps:spPr>
                        <a:xfrm>
                          <a:off x="0" y="0"/>
                          <a:ext cx="762000" cy="48450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发包人供应材料和工程设备</w:t>
                            </w:r>
                          </w:p>
                        </w:txbxContent>
                      </wps:txbx>
                      <wps:bodyPr wrap="square" upright="1"/>
                    </wps:wsp>
                  </a:graphicData>
                </a:graphic>
              </wp:anchor>
            </w:drawing>
          </mc:Choice>
          <mc:Fallback>
            <w:pict>
              <v:shape id="文本框 882" o:spid="_x0000_s1026" o:spt="202" type="#_x0000_t202" style="position:absolute;left:0pt;margin-left:-9pt;margin-top:0.2pt;height:38.15pt;width:60pt;z-index:251801600;mso-width-relative:page;mso-height-relative:page;" filled="f" stroked="f" coordsize="21600,21600" o:gfxdata="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F2XG5dQAAAAHAQAADwAAAAAAAAABACAAAAAiAAAAZHJzL2Rvd25yZXYueG1sUEsBAhQAFAAAAAgA&#10;h07iQHIGiGK3AQAAXwMAAA4AAAAAAAAAAQAgAAAAIwEAAGRycy9lMm9Eb2MueG1sUEsFBgAAAAAG&#10;AAYAWQEAAEw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发包人供应材料和工程设备</w:t>
                      </w:r>
                    </w:p>
                  </w:txbxContent>
                </v:textbox>
              </v:shape>
            </w:pict>
          </mc:Fallback>
        </mc:AlternateContent>
      </w:r>
      <w:r>
        <w:rPr>
          <w:rFonts w:hint="eastAsia" w:ascii="仿宋" w:hAnsi="仿宋" w:eastAsia="仿宋" w:cs="仿宋"/>
          <w:color w:val="auto"/>
          <w:highlight w:val="none"/>
          <w:lang w:eastAsia="zh-CN"/>
        </w:rPr>
        <w:t>发包人应按照一览表内容和第55</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款交货日期向承包人供应工程材料和工程设备，并提供产品质量合格证明文件，对工程材料和工程设备质量负责。发包人应在工程材料和工程设备到货前至少提前</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小时，以书面形式通知承包人和监理人，并在监理人的见证下与承包人共同清点，同时在施工现场内合理堆放。</w:t>
      </w:r>
    </w:p>
    <w:p>
      <w:pPr>
        <w:pStyle w:val="7"/>
        <w:tabs>
          <w:tab w:val="left" w:pos="720"/>
          <w:tab w:val="left" w:pos="1080"/>
        </w:tabs>
        <w:adjustRightInd w:val="0"/>
        <w:snapToGrid w:val="0"/>
        <w:spacing w:line="360" w:lineRule="auto"/>
        <w:ind w:firstLine="0"/>
        <w:rPr>
          <w:rFonts w:ascii="仿宋" w:hAnsi="仿宋" w:eastAsia="仿宋"/>
          <w:b/>
          <w:bCs/>
          <w:color w:val="auto"/>
          <w:highlight w:val="none"/>
          <w:lang w:eastAsia="zh-CN"/>
        </w:rPr>
      </w:pPr>
      <w:bookmarkStart w:id="776" w:name="_Toc14207"/>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.4</w:t>
      </w:r>
      <w:bookmarkEnd w:id="77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2624" behindDoc="0" locked="0" layoutInCell="1" allowOverlap="1">
                <wp:simplePos x="0" y="0"/>
                <wp:positionH relativeFrom="column">
                  <wp:posOffset>-114300</wp:posOffset>
                </wp:positionH>
                <wp:positionV relativeFrom="paragraph">
                  <wp:posOffset>8890</wp:posOffset>
                </wp:positionV>
                <wp:extent cx="871220" cy="869950"/>
                <wp:effectExtent l="0" t="0" r="0" b="0"/>
                <wp:wrapNone/>
                <wp:docPr id="141" name="文本框 883"/>
                <wp:cNvGraphicFramePr/>
                <a:graphic xmlns:a="http://schemas.openxmlformats.org/drawingml/2006/main">
                  <a:graphicData uri="http://schemas.microsoft.com/office/word/2010/wordprocessingShape">
                    <wps:wsp>
                      <wps:cNvSpPr txBox="1"/>
                      <wps:spPr>
                        <a:xfrm>
                          <a:off x="0" y="0"/>
                          <a:ext cx="871220" cy="86995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发包人供应材料和工程设备的责任</w:t>
                            </w:r>
                          </w:p>
                        </w:txbxContent>
                      </wps:txbx>
                      <wps:bodyPr wrap="square" upright="1"/>
                    </wps:wsp>
                  </a:graphicData>
                </a:graphic>
              </wp:anchor>
            </w:drawing>
          </mc:Choice>
          <mc:Fallback>
            <w:pict>
              <v:shape id="文本框 883" o:spid="_x0000_s1026" o:spt="202" type="#_x0000_t202" style="position:absolute;left:0pt;margin-left:-9pt;margin-top:0.7pt;height:68.5pt;width:68.6pt;z-index:251802624;mso-width-relative:page;mso-height-relative:page;" filled="f" stroked="f" coordsize="21600,21600" o:gfxdata="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llcne1gAAAAkBAAAPAAAAAAAAAAEAIAAAACIAAABkcnMvZG93bnJldi54bWxQSwECFAAU&#10;AAAACACHTuJAt368/roBAABfAwAADgAAAAAAAAABACAAAAAlAQAAZHJzL2Uyb0RvYy54bWxQSwUG&#10;AAAAAAYABgBZAQAAUQ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发包人供应材料和工程设备的责任</w:t>
                      </w:r>
                    </w:p>
                  </w:txbxContent>
                </v:textbox>
              </v:shape>
            </w:pict>
          </mc:Fallback>
        </mc:AlternateContent>
      </w:r>
      <w:r>
        <w:rPr>
          <w:rFonts w:hint="eastAsia" w:ascii="仿宋" w:hAnsi="仿宋" w:eastAsia="仿宋" w:cs="仿宋"/>
          <w:color w:val="auto"/>
          <w:highlight w:val="none"/>
          <w:lang w:eastAsia="zh-CN"/>
        </w:rPr>
        <w:t>发包人应保证供应的工程材料和工程设备符合标准与规范、设计要求和合同约定的要求。如不符合要求，承包人有权拒绝，并要求发包人将其运出施工现场，重新供应符合要求的产品，发包人应承担由此增加的费用和（或）延误的工期，并向承包人支付合理利润。</w:t>
      </w:r>
    </w:p>
    <w:p>
      <w:pPr>
        <w:pStyle w:val="7"/>
        <w:tabs>
          <w:tab w:val="left" w:pos="720"/>
          <w:tab w:val="left" w:pos="1080"/>
        </w:tabs>
        <w:adjustRightInd w:val="0"/>
        <w:snapToGrid w:val="0"/>
        <w:spacing w:line="360" w:lineRule="auto"/>
        <w:ind w:firstLine="0"/>
        <w:rPr>
          <w:rFonts w:ascii="仿宋" w:hAnsi="仿宋" w:eastAsia="仿宋"/>
          <w:color w:val="auto"/>
          <w:highlight w:val="none"/>
          <w:lang w:eastAsia="zh-CN"/>
        </w:rPr>
      </w:pPr>
      <w:bookmarkStart w:id="777" w:name="_Toc12869"/>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.5</w:t>
      </w:r>
      <w:bookmarkEnd w:id="777"/>
      <w:r>
        <w:rPr>
          <w:rFonts w:ascii="仿宋" w:hAnsi="仿宋" w:eastAsia="仿宋" w:cs="仿宋"/>
          <w:b/>
          <w:bCs/>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3648" behindDoc="0" locked="0" layoutInCell="1" allowOverlap="1">
                <wp:simplePos x="0" y="0"/>
                <wp:positionH relativeFrom="column">
                  <wp:posOffset>-114300</wp:posOffset>
                </wp:positionH>
                <wp:positionV relativeFrom="paragraph">
                  <wp:posOffset>8890</wp:posOffset>
                </wp:positionV>
                <wp:extent cx="775970" cy="659765"/>
                <wp:effectExtent l="0" t="0" r="0" b="0"/>
                <wp:wrapNone/>
                <wp:docPr id="142" name="文本框 884"/>
                <wp:cNvGraphicFramePr/>
                <a:graphic xmlns:a="http://schemas.openxmlformats.org/drawingml/2006/main">
                  <a:graphicData uri="http://schemas.microsoft.com/office/word/2010/wordprocessingShape">
                    <wps:wsp>
                      <wps:cNvSpPr txBox="1"/>
                      <wps:spPr>
                        <a:xfrm>
                          <a:off x="0" y="0"/>
                          <a:ext cx="775970" cy="65976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承包人保管发包人供应的材料和工程设备</w:t>
                            </w:r>
                          </w:p>
                        </w:txbxContent>
                      </wps:txbx>
                      <wps:bodyPr wrap="square" upright="1"/>
                    </wps:wsp>
                  </a:graphicData>
                </a:graphic>
              </wp:anchor>
            </w:drawing>
          </mc:Choice>
          <mc:Fallback>
            <w:pict>
              <v:shape id="文本框 884" o:spid="_x0000_s1026" o:spt="202" type="#_x0000_t202" style="position:absolute;left:0pt;margin-left:-9pt;margin-top:0.7pt;height:51.95pt;width:61.1pt;z-index:251803648;mso-width-relative:page;mso-height-relative:page;" filled="f" stroked="f" coordsize="21600,21600" o:gfxdata="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H8Hbf/VAAAACQEAAA8AAAAAAAAAAQAgAAAAIgAAAGRycy9kb3ducmV2LnhtbFBLAQIUABQAAAAI&#10;AIdO4kCNQ6lvtwEAAF8DAAAOAAAAAAAAAAEAIAAAACQBAABkcnMvZTJvRG9jLnhtbFBLBQYAAAAA&#10;BgAGAFkBAABNBQ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承包人保管发包人供应的材料和工程设备</w:t>
                      </w:r>
                    </w:p>
                  </w:txbxContent>
                </v:textbox>
              </v:shape>
            </w:pict>
          </mc:Fallback>
        </mc:AlternateContent>
      </w:r>
      <w:r>
        <w:rPr>
          <w:rFonts w:hint="eastAsia" w:ascii="仿宋" w:hAnsi="仿宋" w:eastAsia="仿宋" w:cs="仿宋"/>
          <w:color w:val="auto"/>
          <w:highlight w:val="none"/>
          <w:lang w:eastAsia="zh-CN"/>
        </w:rPr>
        <w:t>发包人供应工程材料和工程设备的，经合同双方当事人共同清点后由承包人妥善保管，保管费由发包人承担；因承包人保管不善或承包人其它原因导致丢失或损害的，承包人应予赔偿。除工程量清单中已列有此类工作的支付项目和额度外，造价咨询人应与合同双方当事人协商确定保管费，并增加到合同价格中；协商不能达成一致的，由造价咨询人暂定，通知承包人并抄报发包人。</w:t>
      </w:r>
    </w:p>
    <w:p>
      <w:pPr>
        <w:pStyle w:val="7"/>
        <w:tabs>
          <w:tab w:val="left" w:pos="720"/>
          <w:tab w:val="left" w:pos="1080"/>
        </w:tabs>
        <w:adjustRightInd w:val="0"/>
        <w:snapToGrid w:val="0"/>
        <w:spacing w:line="360" w:lineRule="auto"/>
        <w:ind w:firstLine="0"/>
        <w:rPr>
          <w:rFonts w:ascii="仿宋" w:hAnsi="仿宋" w:eastAsia="仿宋" w:cs="仿宋"/>
          <w:b/>
          <w:bCs/>
          <w:color w:val="auto"/>
          <w:highlight w:val="none"/>
          <w:u w:val="dotted"/>
          <w:lang w:eastAsia="zh-CN"/>
        </w:rPr>
      </w:pPr>
      <w:bookmarkStart w:id="778" w:name="_Toc12103"/>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.6</w:t>
      </w:r>
      <w:bookmarkEnd w:id="77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4672" behindDoc="0" locked="0" layoutInCell="1" allowOverlap="1">
                <wp:simplePos x="0" y="0"/>
                <wp:positionH relativeFrom="column">
                  <wp:posOffset>-114300</wp:posOffset>
                </wp:positionH>
                <wp:positionV relativeFrom="paragraph">
                  <wp:posOffset>18415</wp:posOffset>
                </wp:positionV>
                <wp:extent cx="765810" cy="781685"/>
                <wp:effectExtent l="0" t="0" r="0" b="0"/>
                <wp:wrapNone/>
                <wp:docPr id="143" name="文本框 885"/>
                <wp:cNvGraphicFramePr/>
                <a:graphic xmlns:a="http://schemas.openxmlformats.org/drawingml/2006/main">
                  <a:graphicData uri="http://schemas.microsoft.com/office/word/2010/wordprocessingShape">
                    <wps:wsp>
                      <wps:cNvSpPr txBox="1"/>
                      <wps:spPr>
                        <a:xfrm>
                          <a:off x="0" y="0"/>
                          <a:ext cx="765810" cy="78168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供应材料和工程设备与约定不符时发包人的责任</w:t>
                            </w:r>
                          </w:p>
                        </w:txbxContent>
                      </wps:txbx>
                      <wps:bodyPr wrap="square" upright="1"/>
                    </wps:wsp>
                  </a:graphicData>
                </a:graphic>
              </wp:anchor>
            </w:drawing>
          </mc:Choice>
          <mc:Fallback>
            <w:pict>
              <v:shape id="文本框 885" o:spid="_x0000_s1026" o:spt="202" type="#_x0000_t202" style="position:absolute;left:0pt;margin-left:-9pt;margin-top:1.45pt;height:61.55pt;width:60.3pt;z-index:251804672;mso-width-relative:page;mso-height-relative:page;" filled="f" stroked="f" coordsize="21600,21600" o:gfxdata="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NQUN/9YAAAAJAQAADwAAAAAAAAABACAAAAAiAAAAZHJzL2Rvd25yZXYueG1sUEsBAhQAFAAA&#10;AAgAh07iQGiTSpu4AQAAXwMAAA4AAAAAAAAAAQAgAAAAJQEAAGRycy9lMm9Eb2MueG1sUEsFBgAA&#10;AAAGAAYAWQEAAE8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供应材料和工程设备与约定不符时发包人的责任</w:t>
                      </w:r>
                    </w:p>
                  </w:txbxContent>
                </v:textbox>
              </v:shape>
            </w:pict>
          </mc:Fallback>
        </mc:AlternateContent>
      </w:r>
      <w:r>
        <w:rPr>
          <w:rFonts w:hint="eastAsia" w:ascii="仿宋" w:hAnsi="仿宋" w:eastAsia="仿宋" w:cs="仿宋"/>
          <w:color w:val="auto"/>
          <w:highlight w:val="none"/>
          <w:lang w:eastAsia="zh-CN"/>
        </w:rPr>
        <w:t>发包人供应的工程材料和工程设备与一览表不符时，发包人应按照下列约定承担相应责任：</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（1）工程材料和工程设备的单价与一览表不符，由发包人承担所有价差；</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（2）工程材料和工程设备的品种、规格、型号、质量标准与一览表不符，承包人可以拒绝接受保管，由发包人运出施工场地并重新采购；</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（3）工程材料和工程设备的品种、规格、型号、质量标准与一览表不符，经发包人同意，承包人可代为调剂替换，由发包人承担相应费用；</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（4）交货地点与一览表不符，除合同双方当事人协商确定外，由发包人重新运至一览表指定地点，并承担由此增加的费用和（或）延误的工期；</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（5）供应数量少于一览表约定的数量时，由发包人补齐；多于一览表约定的数量时，发包人应将多出的部分运出施工场地；</w:t>
      </w:r>
    </w:p>
    <w:p>
      <w:pPr>
        <w:pStyle w:val="7"/>
        <w:adjustRightInd w:val="0"/>
        <w:snapToGrid w:val="0"/>
        <w:spacing w:line="360" w:lineRule="auto"/>
        <w:ind w:left="1850" w:leftChars="771" w:firstLine="0"/>
        <w:rPr>
          <w:rFonts w:ascii="仿宋" w:hAnsi="仿宋" w:eastAsia="仿宋"/>
          <w:color w:val="auto"/>
          <w:highlight w:val="none"/>
          <w:lang w:eastAsia="zh-CN"/>
        </w:rPr>
      </w:pPr>
      <w:r>
        <w:rPr>
          <w:rFonts w:hint="eastAsia" w:ascii="仿宋" w:hAnsi="仿宋" w:eastAsia="仿宋" w:cs="仿宋"/>
          <w:color w:val="auto"/>
          <w:highlight w:val="none"/>
          <w:lang w:eastAsia="zh-CN"/>
        </w:rPr>
        <w:t>（6）交货时间早于一览表约定计划和第55</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款交货日期，由发包人承担由此发生的保管费；交货时间迟于一览表约定计划和第55</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款交货日期，由发包人承担由此增加的费用和（或）延误的工期。</w:t>
      </w:r>
    </w:p>
    <w:p>
      <w:pPr>
        <w:pStyle w:val="7"/>
        <w:tabs>
          <w:tab w:val="left" w:pos="720"/>
          <w:tab w:val="left" w:pos="1080"/>
        </w:tabs>
        <w:adjustRightInd w:val="0"/>
        <w:snapToGrid w:val="0"/>
        <w:spacing w:line="360" w:lineRule="auto"/>
        <w:ind w:firstLine="0"/>
        <w:rPr>
          <w:rFonts w:ascii="仿宋" w:hAnsi="仿宋" w:eastAsia="仿宋"/>
          <w:b/>
          <w:bCs/>
          <w:color w:val="auto"/>
          <w:highlight w:val="none"/>
          <w:lang w:eastAsia="zh-CN"/>
        </w:rPr>
      </w:pPr>
      <w:bookmarkStart w:id="779" w:name="_Toc21810"/>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.7</w:t>
      </w:r>
      <w:bookmarkEnd w:id="77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5696" behindDoc="0" locked="0" layoutInCell="1" allowOverlap="1">
                <wp:simplePos x="0" y="0"/>
                <wp:positionH relativeFrom="column">
                  <wp:posOffset>-114300</wp:posOffset>
                </wp:positionH>
                <wp:positionV relativeFrom="paragraph">
                  <wp:posOffset>17145</wp:posOffset>
                </wp:positionV>
                <wp:extent cx="832485" cy="679450"/>
                <wp:effectExtent l="0" t="0" r="0" b="0"/>
                <wp:wrapNone/>
                <wp:docPr id="144" name="文本框 886"/>
                <wp:cNvGraphicFramePr/>
                <a:graphic xmlns:a="http://schemas.openxmlformats.org/drawingml/2006/main">
                  <a:graphicData uri="http://schemas.microsoft.com/office/word/2010/wordprocessingShape">
                    <wps:wsp>
                      <wps:cNvSpPr txBox="1"/>
                      <wps:spPr>
                        <a:xfrm>
                          <a:off x="0" y="0"/>
                          <a:ext cx="832485" cy="67945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供应材料和工程设备使用前的检验</w:t>
                            </w:r>
                          </w:p>
                        </w:txbxContent>
                      </wps:txbx>
                      <wps:bodyPr wrap="square" upright="1"/>
                    </wps:wsp>
                  </a:graphicData>
                </a:graphic>
              </wp:anchor>
            </w:drawing>
          </mc:Choice>
          <mc:Fallback>
            <w:pict>
              <v:shape id="文本框 886" o:spid="_x0000_s1026" o:spt="202" type="#_x0000_t202" style="position:absolute;left:0pt;margin-left:-9pt;margin-top:1.35pt;height:53.5pt;width:65.55pt;z-index:251805696;mso-width-relative:page;mso-height-relative:page;" filled="f" stroked="f" coordsize="21600,21600" o:gfxdata="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4+ViHtcAAAAJAQAADwAAAAAAAAABACAAAAAiAAAAZHJzL2Rvd25yZXYueG1sUEsBAhQA&#10;FAAAAAgAh07iQCwXRLO6AQAAXwMAAA4AAAAAAAAAAQAgAAAAJgEAAGRycy9lMm9Eb2MueG1sUEsF&#10;BgAAAAAGAAYAWQEAAFI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供应材料和工程设备使用前的检验</w:t>
                      </w:r>
                    </w:p>
                  </w:txbxContent>
                </v:textbox>
              </v:shape>
            </w:pict>
          </mc:Fallback>
        </mc:AlternateContent>
      </w:r>
      <w:r>
        <w:rPr>
          <w:rFonts w:hint="eastAsia" w:ascii="仿宋" w:hAnsi="仿宋" w:eastAsia="仿宋" w:cs="仿宋"/>
          <w:color w:val="auto"/>
          <w:highlight w:val="none"/>
          <w:lang w:eastAsia="zh-CN"/>
        </w:rPr>
        <w:t>发包人供应的工程材料和工程设备使用前，由监理人会同承包人进行检验试验，查验工程材料合格证明和产品合格证书。合同双方当事人应做好检验书面记录，并要求指定人选及时办理签认手续。不合格的，禁止在合同工程中使用。</w:t>
      </w:r>
    </w:p>
    <w:p>
      <w:pPr>
        <w:pStyle w:val="7"/>
        <w:tabs>
          <w:tab w:val="left" w:pos="720"/>
          <w:tab w:val="left" w:pos="1080"/>
        </w:tabs>
        <w:adjustRightInd w:val="0"/>
        <w:snapToGrid w:val="0"/>
        <w:spacing w:line="360" w:lineRule="auto"/>
        <w:ind w:firstLine="0"/>
        <w:rPr>
          <w:rFonts w:ascii="仿宋" w:hAnsi="仿宋" w:eastAsia="仿宋"/>
          <w:b/>
          <w:bCs/>
          <w:color w:val="auto"/>
          <w:highlight w:val="none"/>
          <w:lang w:eastAsia="zh-CN"/>
        </w:rPr>
      </w:pPr>
      <w:bookmarkStart w:id="780" w:name="_Toc7626"/>
      <w:r>
        <w:rPr>
          <w:rFonts w:hint="eastAsia" w:ascii="仿宋" w:hAnsi="仿宋" w:eastAsia="仿宋" w:cs="仿宋"/>
          <w:b/>
          <w:bCs/>
          <w:color w:val="auto"/>
          <w:highlight w:val="none"/>
          <w:lang w:eastAsia="zh-CN"/>
        </w:rPr>
        <w:t>55</w:t>
      </w:r>
      <w:r>
        <w:rPr>
          <w:rFonts w:ascii="仿宋" w:hAnsi="仿宋" w:eastAsia="仿宋" w:cs="仿宋"/>
          <w:b/>
          <w:bCs/>
          <w:color w:val="auto"/>
          <w:highlight w:val="none"/>
          <w:lang w:eastAsia="zh-CN"/>
        </w:rPr>
        <w:t>.8</w:t>
      </w:r>
      <w:bookmarkEnd w:id="78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6720" behindDoc="0" locked="0" layoutInCell="1" allowOverlap="1">
                <wp:simplePos x="0" y="0"/>
                <wp:positionH relativeFrom="column">
                  <wp:posOffset>-114300</wp:posOffset>
                </wp:positionH>
                <wp:positionV relativeFrom="paragraph">
                  <wp:posOffset>7620</wp:posOffset>
                </wp:positionV>
                <wp:extent cx="828040" cy="491490"/>
                <wp:effectExtent l="0" t="0" r="0" b="0"/>
                <wp:wrapNone/>
                <wp:docPr id="145" name="文本框 887"/>
                <wp:cNvGraphicFramePr/>
                <a:graphic xmlns:a="http://schemas.openxmlformats.org/drawingml/2006/main">
                  <a:graphicData uri="http://schemas.microsoft.com/office/word/2010/wordprocessingShape">
                    <wps:wsp>
                      <wps:cNvSpPr txBox="1"/>
                      <wps:spPr>
                        <a:xfrm>
                          <a:off x="0" y="0"/>
                          <a:ext cx="828040" cy="491490"/>
                        </a:xfrm>
                        <a:prstGeom prst="rect">
                          <a:avLst/>
                        </a:prstGeom>
                        <a:noFill/>
                        <a:ln>
                          <a:noFill/>
                        </a:ln>
                      </wps:spPr>
                      <wps:txb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约定结算方式</w:t>
                            </w:r>
                          </w:p>
                        </w:txbxContent>
                      </wps:txbx>
                      <wps:bodyPr wrap="square" upright="1"/>
                    </wps:wsp>
                  </a:graphicData>
                </a:graphic>
              </wp:anchor>
            </w:drawing>
          </mc:Choice>
          <mc:Fallback>
            <w:pict>
              <v:shape id="文本框 887" o:spid="_x0000_s1026" o:spt="202" type="#_x0000_t202" style="position:absolute;left:0pt;margin-left:-9pt;margin-top:0.6pt;height:38.7pt;width:65.2pt;z-index:251806720;mso-width-relative:page;mso-height-relative:page;" filled="f" stroked="f" coordsize="21600,21600" o:gfxdata="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gD8y71gAAAAgBAAAPAAAAAAAAAAEAIAAAACIAAABkcnMvZG93bnJldi54bWxQSwECFAAU&#10;AAAACACHTuJAFXppfLoBAABfAwAADgAAAAAAAAABACAAAAAlAQAAZHJzL2Uyb0RvYy54bWxQSwUG&#10;AAAAAAYABgBZAQAAUQUAAAAA&#10;">
                <v:fill on="f" focussize="0,0"/>
                <v:stroke on="f"/>
                <v:imagedata o:title=""/>
                <o:lock v:ext="edit" aspectratio="f"/>
                <v:textbo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约定结算方式</w:t>
                      </w:r>
                    </w:p>
                  </w:txbxContent>
                </v:textbox>
              </v:shape>
            </w:pict>
          </mc:Fallback>
        </mc:AlternateContent>
      </w:r>
      <w:r>
        <w:rPr>
          <w:rFonts w:hint="eastAsia" w:ascii="仿宋" w:hAnsi="仿宋" w:eastAsia="仿宋" w:cs="仿宋"/>
          <w:color w:val="auto"/>
          <w:highlight w:val="none"/>
          <w:lang w:eastAsia="zh-CN"/>
        </w:rPr>
        <w:t>发包人供应工程材料和工程设备的结算方式，由合同双方当事人在专用条款中约定。除工程量清单中已列有税金项目的计算方法和额度，可由承包人代收代缴外，均由发包人按照政府有关部门和税务部门规定缴纳税金。</w:t>
      </w:r>
    </w:p>
    <w:p>
      <w:pPr>
        <w:pStyle w:val="7"/>
        <w:adjustRightInd w:val="0"/>
        <w:snapToGrid w:val="0"/>
        <w:spacing w:line="360" w:lineRule="auto"/>
        <w:ind w:firstLine="0"/>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360"/>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81" w:name="_Toc31844"/>
      <w:bookmarkStart w:id="782" w:name="_Toc11430"/>
      <w:bookmarkStart w:id="783" w:name="_Toc17660"/>
      <w:bookmarkStart w:id="784" w:name="_Toc15048"/>
      <w:bookmarkStart w:id="785" w:name="_Toc740"/>
      <w:bookmarkStart w:id="786" w:name="_Toc4039"/>
      <w:bookmarkStart w:id="787" w:name="_Toc29619"/>
      <w:bookmarkStart w:id="788" w:name="_Toc7283"/>
      <w:r>
        <w:rPr>
          <w:rFonts w:hint="eastAsia" w:ascii="仿宋" w:hAnsi="仿宋" w:eastAsia="仿宋" w:cs="仿宋"/>
          <w:bCs w:val="0"/>
          <w:color w:val="auto"/>
          <w:sz w:val="24"/>
          <w:szCs w:val="24"/>
          <w:highlight w:val="none"/>
          <w:lang w:eastAsia="zh-CN"/>
        </w:rPr>
        <w:t>56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承包人购置设备及工器具、采购工程材料和工程设备</w:t>
      </w:r>
      <w:bookmarkEnd w:id="781"/>
      <w:bookmarkEnd w:id="782"/>
      <w:bookmarkEnd w:id="783"/>
      <w:bookmarkEnd w:id="784"/>
      <w:bookmarkEnd w:id="785"/>
      <w:bookmarkEnd w:id="786"/>
      <w:bookmarkEnd w:id="787"/>
      <w:bookmarkEnd w:id="788"/>
    </w:p>
    <w:p>
      <w:pPr>
        <w:spacing w:line="360" w:lineRule="auto"/>
        <w:rPr>
          <w:rFonts w:ascii="仿宋" w:hAnsi="仿宋" w:eastAsia="仿宋"/>
          <w:b/>
          <w:bCs/>
          <w:color w:val="auto"/>
          <w:highlight w:val="none"/>
          <w:lang w:eastAsia="zh-CN"/>
        </w:rPr>
      </w:pPr>
      <w:bookmarkStart w:id="789" w:name="_Toc6410"/>
      <w:r>
        <w:rPr>
          <w:rFonts w:hint="eastAsia" w:ascii="仿宋" w:hAnsi="仿宋" w:eastAsia="仿宋" w:cs="仿宋"/>
          <w:b/>
          <w:bCs/>
          <w:color w:val="auto"/>
          <w:highlight w:val="none"/>
        </w:rPr>
        <mc:AlternateContent>
          <mc:Choice Requires="wps">
            <w:drawing>
              <wp:anchor distT="0" distB="0" distL="114300" distR="114300" simplePos="0" relativeHeight="252035072" behindDoc="0" locked="0" layoutInCell="1" allowOverlap="1">
                <wp:simplePos x="0" y="0"/>
                <wp:positionH relativeFrom="column">
                  <wp:posOffset>-95250</wp:posOffset>
                </wp:positionH>
                <wp:positionV relativeFrom="paragraph">
                  <wp:posOffset>234950</wp:posOffset>
                </wp:positionV>
                <wp:extent cx="813435" cy="616585"/>
                <wp:effectExtent l="0" t="0" r="0" b="0"/>
                <wp:wrapNone/>
                <wp:docPr id="368" name="文本框 424"/>
                <wp:cNvGraphicFramePr/>
                <a:graphic xmlns:a="http://schemas.openxmlformats.org/drawingml/2006/main">
                  <a:graphicData uri="http://schemas.microsoft.com/office/word/2010/wordprocessingShape">
                    <wps:wsp>
                      <wps:cNvSpPr txBox="1"/>
                      <wps:spPr>
                        <a:xfrm>
                          <a:off x="0" y="0"/>
                          <a:ext cx="813435" cy="61658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承包人购置设备及工器具</w:t>
                            </w:r>
                          </w:p>
                        </w:txbxContent>
                      </wps:txbx>
                      <wps:bodyPr wrap="square" upright="1"/>
                    </wps:wsp>
                  </a:graphicData>
                </a:graphic>
              </wp:anchor>
            </w:drawing>
          </mc:Choice>
          <mc:Fallback>
            <w:pict>
              <v:shape id="文本框 424" o:spid="_x0000_s1026" o:spt="202" type="#_x0000_t202" style="position:absolute;left:0pt;margin-left:-7.5pt;margin-top:18.5pt;height:48.55pt;width:64.05pt;z-index:252035072;mso-width-relative:page;mso-height-relative:page;" filled="f" stroked="f" coordsize="21600,21600" o:gfxdata="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443JC1wAAAAoBAAAPAAAAAAAAAAEAIAAAACIAAABkcnMvZG93bnJldi54bWxQSwECFAAU&#10;AAAACACHTuJA8+gd/b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承包人购置设备及工器具</w:t>
                      </w:r>
                    </w:p>
                  </w:txbxContent>
                </v:textbox>
              </v:shape>
            </w:pict>
          </mc:Fallback>
        </mc:AlternateContent>
      </w:r>
      <w:r>
        <w:rPr>
          <w:rFonts w:hint="eastAsia" w:ascii="仿宋" w:hAnsi="仿宋" w:eastAsia="仿宋" w:cs="仿宋"/>
          <w:b/>
          <w:bCs/>
          <w:color w:val="auto"/>
          <w:highlight w:val="none"/>
          <w:lang w:eastAsia="zh-CN"/>
        </w:rPr>
        <w:t>56.1</w:t>
      </w:r>
      <w:bookmarkEnd w:id="789"/>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发包人委托承包人购置发包人组织生产或运营所需的设备及工器具，其购置工程量清单、具体内容和购置要求由合同双方在协议书及专用条款中约定。</w:t>
      </w:r>
    </w:p>
    <w:p>
      <w:pPr>
        <w:spacing w:line="360" w:lineRule="auto"/>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7744" behindDoc="0" locked="0" layoutInCell="1" allowOverlap="1">
                <wp:simplePos x="0" y="0"/>
                <wp:positionH relativeFrom="column">
                  <wp:posOffset>-114300</wp:posOffset>
                </wp:positionH>
                <wp:positionV relativeFrom="paragraph">
                  <wp:posOffset>17145</wp:posOffset>
                </wp:positionV>
                <wp:extent cx="775970" cy="467360"/>
                <wp:effectExtent l="0" t="0" r="0" b="0"/>
                <wp:wrapNone/>
                <wp:docPr id="146" name="文本框 888"/>
                <wp:cNvGraphicFramePr/>
                <a:graphic xmlns:a="http://schemas.openxmlformats.org/drawingml/2006/main">
                  <a:graphicData uri="http://schemas.microsoft.com/office/word/2010/wordprocessingShape">
                    <wps:wsp>
                      <wps:cNvSpPr txBox="1"/>
                      <wps:spPr>
                        <a:xfrm>
                          <a:off x="0" y="0"/>
                          <a:ext cx="775970" cy="46736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承包人采购工程材料和工程设备</w:t>
                            </w:r>
                          </w:p>
                        </w:txbxContent>
                      </wps:txbx>
                      <wps:bodyPr wrap="square" upright="1"/>
                    </wps:wsp>
                  </a:graphicData>
                </a:graphic>
              </wp:anchor>
            </w:drawing>
          </mc:Choice>
          <mc:Fallback>
            <w:pict>
              <v:shape id="文本框 888" o:spid="_x0000_s1026" o:spt="202" type="#_x0000_t202" style="position:absolute;left:0pt;margin-left:-9pt;margin-top:1.35pt;height:36.8pt;width:61.1pt;z-index:251807744;mso-width-relative:page;mso-height-relative:page;" filled="f" stroked="f" coordsize="21600,21600" o:gfxdata="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y8B2x1gAAAAgBAAAPAAAAAAAAAAEAIAAAACIAAABkcnMvZG93bnJldi54bWxQSwECFAAU&#10;AAAACACHTuJAu6eptboBAABfAwAADgAAAAAAAAABACAAAAAlAQAAZHJzL2Uyb0RvYy54bWxQSwUG&#10;AAAAAAYABgBZAQAAUQ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承包人采购工程材料和工程设备</w:t>
                      </w:r>
                    </w:p>
                  </w:txbxContent>
                </v:textbox>
              </v:shape>
            </w:pict>
          </mc:Fallback>
        </mc:AlternateContent>
      </w:r>
      <w:r>
        <w:rPr>
          <w:rFonts w:hint="eastAsia" w:ascii="仿宋" w:hAnsi="仿宋" w:eastAsia="仿宋" w:cs="仿宋"/>
          <w:color w:val="auto"/>
          <w:highlight w:val="none"/>
          <w:lang w:eastAsia="zh-CN"/>
        </w:rPr>
        <w:t>承包人负责采购工程材料和工程设备，应按照合同约定的标准与规范、施工图所示和发包人技术要求采购，并提供产品质量合格证明文件，对工程材料和工程设备质量负责。承包人采购的工程材料和工程设备，应与其提交的投标文件相应内容一致。承揽政府投资工程的承包人，可通过“广州市集群采购管理服务综合平台”采购工程使用的主要建材（钢筋、水泥、混凝土、装配式构件、预拌砂浆等），具体要求由双方在专用条款中约定。除专用条款另有约定外，上述工程材料和工程设备均由承包人负责运输和保管。</w:t>
      </w:r>
    </w:p>
    <w:p>
      <w:pPr>
        <w:spacing w:line="360" w:lineRule="auto"/>
        <w:rPr>
          <w:rFonts w:ascii="仿宋" w:hAnsi="仿宋" w:eastAsia="仿宋"/>
          <w:b/>
          <w:bCs/>
          <w:color w:val="auto"/>
          <w:highlight w:val="none"/>
          <w:lang w:eastAsia="zh-CN"/>
        </w:rPr>
      </w:pPr>
      <w:bookmarkStart w:id="790" w:name="_Toc6817"/>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3</w:t>
      </w:r>
      <w:bookmarkEnd w:id="79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8768" behindDoc="0" locked="0" layoutInCell="1" allowOverlap="1">
                <wp:simplePos x="0" y="0"/>
                <wp:positionH relativeFrom="column">
                  <wp:posOffset>-114300</wp:posOffset>
                </wp:positionH>
                <wp:positionV relativeFrom="paragraph">
                  <wp:posOffset>17145</wp:posOffset>
                </wp:positionV>
                <wp:extent cx="765810" cy="581660"/>
                <wp:effectExtent l="0" t="0" r="0" b="0"/>
                <wp:wrapNone/>
                <wp:docPr id="147" name="文本框 889"/>
                <wp:cNvGraphicFramePr/>
                <a:graphic xmlns:a="http://schemas.openxmlformats.org/drawingml/2006/main">
                  <a:graphicData uri="http://schemas.microsoft.com/office/word/2010/wordprocessingShape">
                    <wps:wsp>
                      <wps:cNvSpPr txBox="1"/>
                      <wps:spPr>
                        <a:xfrm>
                          <a:off x="0" y="0"/>
                          <a:ext cx="765810" cy="581660"/>
                        </a:xfrm>
                        <a:prstGeom prst="rect">
                          <a:avLst/>
                        </a:prstGeom>
                        <a:noFill/>
                        <a:ln>
                          <a:noFill/>
                        </a:ln>
                      </wps:spPr>
                      <wps:txb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承包人供货与清点要求</w:t>
                            </w:r>
                          </w:p>
                        </w:txbxContent>
                      </wps:txbx>
                      <wps:bodyPr wrap="square" upright="1"/>
                    </wps:wsp>
                  </a:graphicData>
                </a:graphic>
              </wp:anchor>
            </w:drawing>
          </mc:Choice>
          <mc:Fallback>
            <w:pict>
              <v:shape id="文本框 889" o:spid="_x0000_s1026" o:spt="202" type="#_x0000_t202" style="position:absolute;left:0pt;margin-left:-9pt;margin-top:1.35pt;height:45.8pt;width:60.3pt;z-index:251808768;mso-width-relative:page;mso-height-relative:page;" filled="f" stroked="f" coordsize="21600,21600" o:gfxdata="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F7+HM1gAAAAgBAAAPAAAAAAAAAAEAIAAAACIAAABkcnMvZG93bnJldi54bWxQSwECFAAUAAAA&#10;CACHTuJAwnu09bcBAABfAwAADgAAAAAAAAABACAAAAAlAQAAZHJzL2Uyb0RvYy54bWxQSwUGAAAA&#10;AAYABgBZAQAATgUAAAAA&#10;">
                <v:fill on="f" focussize="0,0"/>
                <v:stroke on="f"/>
                <v:imagedata o:title=""/>
                <o:lock v:ext="edit" aspectratio="f"/>
                <v:textbo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承包人供货与清点要求</w:t>
                      </w:r>
                    </w:p>
                  </w:txbxContent>
                </v:textbox>
              </v:shape>
            </w:pict>
          </mc:Fallback>
        </mc:AlternateContent>
      </w:r>
      <w:r>
        <w:rPr>
          <w:rFonts w:hint="eastAsia" w:ascii="仿宋" w:hAnsi="仿宋" w:eastAsia="仿宋" w:cs="仿宋"/>
          <w:color w:val="auto"/>
          <w:highlight w:val="none"/>
          <w:lang w:eastAsia="zh-CN"/>
        </w:rPr>
        <w:t>承包人应按照专用条款的约定，将各项工程材料和工程设备的供货人及品种、规格、数量和供货时间等情况以书面形式提交监理人确认，并由其报发包人批准后实施供货。承包人应在工程材料和工程设备到货前至少提前</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小时，以书面形式通知发包人和监理人，并在监理人的见证下与发包人共同清点。</w:t>
      </w:r>
    </w:p>
    <w:p>
      <w:pPr>
        <w:spacing w:line="360" w:lineRule="auto"/>
        <w:rPr>
          <w:rFonts w:ascii="仿宋" w:hAnsi="仿宋" w:eastAsia="仿宋"/>
          <w:b/>
          <w:bCs/>
          <w:color w:val="auto"/>
          <w:highlight w:val="none"/>
          <w:lang w:eastAsia="zh-CN"/>
        </w:rPr>
      </w:pPr>
      <w:bookmarkStart w:id="791" w:name="_Toc19602"/>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4</w:t>
      </w:r>
      <w:bookmarkEnd w:id="79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09792" behindDoc="0" locked="0" layoutInCell="1" allowOverlap="1">
                <wp:simplePos x="0" y="0"/>
                <wp:positionH relativeFrom="column">
                  <wp:posOffset>-114300</wp:posOffset>
                </wp:positionH>
                <wp:positionV relativeFrom="paragraph">
                  <wp:posOffset>1270</wp:posOffset>
                </wp:positionV>
                <wp:extent cx="823595" cy="641350"/>
                <wp:effectExtent l="0" t="0" r="0" b="0"/>
                <wp:wrapNone/>
                <wp:docPr id="148" name="文本框 890"/>
                <wp:cNvGraphicFramePr/>
                <a:graphic xmlns:a="http://schemas.openxmlformats.org/drawingml/2006/main">
                  <a:graphicData uri="http://schemas.microsoft.com/office/word/2010/wordprocessingShape">
                    <wps:wsp>
                      <wps:cNvSpPr txBox="1"/>
                      <wps:spPr>
                        <a:xfrm>
                          <a:off x="0" y="0"/>
                          <a:ext cx="823595" cy="64135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承包人采购工程材料和工程设备的责任</w:t>
                            </w:r>
                          </w:p>
                        </w:txbxContent>
                      </wps:txbx>
                      <wps:bodyPr wrap="square" upright="1"/>
                    </wps:wsp>
                  </a:graphicData>
                </a:graphic>
              </wp:anchor>
            </w:drawing>
          </mc:Choice>
          <mc:Fallback>
            <w:pict>
              <v:shape id="文本框 890" o:spid="_x0000_s1026" o:spt="202" type="#_x0000_t202" style="position:absolute;left:0pt;margin-left:-9pt;margin-top:0.1pt;height:50.5pt;width:64.85pt;z-index:251809792;mso-width-relative:page;mso-height-relative:page;" filled="f" stroked="f" coordsize="21600,21600" o:gfxdata="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XCRxtUAAAAIAQAADwAAAAAAAAABACAAAAAiAAAAZHJzL2Rvd25yZXYueG1sUEsBAhQAFAAA&#10;AAgAh07iQFXrB5W5AQAAXwMAAA4AAAAAAAAAAQAgAAAAJAEAAGRycy9lMm9Eb2MueG1sUEsFBgAA&#10;AAAGAAYAWQEAAE8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承包人采购工程材料和工程设备的责任</w:t>
                      </w:r>
                    </w:p>
                  </w:txbxContent>
                </v:textbox>
              </v:shape>
            </w:pict>
          </mc:Fallback>
        </mc:AlternateContent>
      </w:r>
      <w:r>
        <w:rPr>
          <w:rFonts w:hint="eastAsia" w:ascii="仿宋" w:hAnsi="仿宋" w:eastAsia="仿宋" w:cs="仿宋"/>
          <w:color w:val="auto"/>
          <w:highlight w:val="none"/>
          <w:lang w:eastAsia="zh-CN"/>
        </w:rPr>
        <w:t>承包人采购的工程材料和工程设备不符合标准与规范、设计要求和合同约定的要求时，应按照监理人的指令将其运出施工场地，重新采购符合要求的产品，由此增加的费用和（或）延误的工期由承包人承担。</w:t>
      </w:r>
    </w:p>
    <w:p>
      <w:pPr>
        <w:spacing w:line="360" w:lineRule="auto"/>
        <w:rPr>
          <w:rFonts w:ascii="仿宋" w:hAnsi="仿宋" w:eastAsia="仿宋"/>
          <w:b/>
          <w:bCs/>
          <w:color w:val="auto"/>
          <w:highlight w:val="none"/>
          <w:lang w:eastAsia="zh-CN"/>
        </w:rPr>
      </w:pPr>
      <w:bookmarkStart w:id="792" w:name="_Toc527"/>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5</w:t>
      </w:r>
      <w:bookmarkEnd w:id="79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10816" behindDoc="0" locked="0" layoutInCell="1" allowOverlap="1">
                <wp:simplePos x="0" y="0"/>
                <wp:positionH relativeFrom="column">
                  <wp:posOffset>-114300</wp:posOffset>
                </wp:positionH>
                <wp:positionV relativeFrom="paragraph">
                  <wp:posOffset>-5080</wp:posOffset>
                </wp:positionV>
                <wp:extent cx="765810" cy="661035"/>
                <wp:effectExtent l="0" t="0" r="0" b="0"/>
                <wp:wrapNone/>
                <wp:docPr id="149" name="文本框 891"/>
                <wp:cNvGraphicFramePr/>
                <a:graphic xmlns:a="http://schemas.openxmlformats.org/drawingml/2006/main">
                  <a:graphicData uri="http://schemas.microsoft.com/office/word/2010/wordprocessingShape">
                    <wps:wsp>
                      <wps:cNvSpPr txBox="1"/>
                      <wps:spPr>
                        <a:xfrm>
                          <a:off x="0" y="0"/>
                          <a:ext cx="765810" cy="66103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承包人使用采购的工程材料和工程设备的责任</w:t>
                            </w:r>
                          </w:p>
                        </w:txbxContent>
                      </wps:txbx>
                      <wps:bodyPr wrap="square" upright="1"/>
                    </wps:wsp>
                  </a:graphicData>
                </a:graphic>
              </wp:anchor>
            </w:drawing>
          </mc:Choice>
          <mc:Fallback>
            <w:pict>
              <v:shape id="文本框 891" o:spid="_x0000_s1026" o:spt="202" type="#_x0000_t202" style="position:absolute;left:0pt;margin-left:-9pt;margin-top:-0.4pt;height:52.05pt;width:60.3pt;z-index:251810816;mso-width-relative:page;mso-height-relative:page;" filled="f" stroked="f" coordsize="21600,21600" o:gfxdata="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NrFuB9UAAAAJAQAADwAAAAAAAAABACAAAAAiAAAAZHJzL2Rvd25yZXYueG1sUEsBAhQAFAAA&#10;AAgAh07iQN8Bm/q5AQAAXwMAAA4AAAAAAAAAAQAgAAAAJAEAAGRycy9lMm9Eb2MueG1sUEsFBgAA&#10;AAAGAAYAWQEAAE8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承包人使用采购的工程材料和工程设备的责任</w:t>
                      </w:r>
                    </w:p>
                  </w:txbxContent>
                </v:textbox>
              </v:shape>
            </w:pict>
          </mc:Fallback>
        </mc:AlternateContent>
      </w:r>
      <w:r>
        <w:rPr>
          <w:rFonts w:hint="eastAsia" w:ascii="仿宋" w:hAnsi="仿宋" w:eastAsia="仿宋" w:cs="仿宋"/>
          <w:color w:val="auto"/>
          <w:highlight w:val="none"/>
          <w:lang w:eastAsia="zh-CN"/>
        </w:rPr>
        <w:t>监理人发现承包人使用不符合标准与规范、设计要求和合同约定的工程材料和工程设备时，应迅速发出指令要求承包人立即停止使用，并拆除、修复或重新采购，由此增加的费用和（或）延误的工期由承包人承担。</w:t>
      </w:r>
    </w:p>
    <w:p>
      <w:pPr>
        <w:spacing w:line="360" w:lineRule="auto"/>
        <w:rPr>
          <w:rFonts w:ascii="仿宋" w:hAnsi="仿宋" w:eastAsia="仿宋"/>
          <w:color w:val="auto"/>
          <w:highlight w:val="none"/>
          <w:lang w:eastAsia="zh-CN"/>
        </w:rPr>
      </w:pPr>
      <w:bookmarkStart w:id="793" w:name="_Toc29015"/>
      <w:r>
        <w:rPr>
          <w:color w:val="auto"/>
          <w:highlight w:val="none"/>
        </w:rPr>
        <mc:AlternateContent>
          <mc:Choice Requires="wps">
            <w:drawing>
              <wp:anchor distT="0" distB="0" distL="114300" distR="114300" simplePos="0" relativeHeight="252036096" behindDoc="0" locked="0" layoutInCell="1" allowOverlap="1">
                <wp:simplePos x="0" y="0"/>
                <wp:positionH relativeFrom="column">
                  <wp:posOffset>-114300</wp:posOffset>
                </wp:positionH>
                <wp:positionV relativeFrom="paragraph">
                  <wp:posOffset>242570</wp:posOffset>
                </wp:positionV>
                <wp:extent cx="794385" cy="525780"/>
                <wp:effectExtent l="0" t="0" r="0" b="0"/>
                <wp:wrapNone/>
                <wp:docPr id="369" name="文本框 892"/>
                <wp:cNvGraphicFramePr/>
                <a:graphic xmlns:a="http://schemas.openxmlformats.org/drawingml/2006/main">
                  <a:graphicData uri="http://schemas.microsoft.com/office/word/2010/wordprocessingShape">
                    <wps:wsp>
                      <wps:cNvSpPr txBox="1"/>
                      <wps:spPr>
                        <a:xfrm>
                          <a:off x="0" y="0"/>
                          <a:ext cx="794385" cy="52578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承包人不执行指令的责任</w:t>
                            </w:r>
                          </w:p>
                        </w:txbxContent>
                      </wps:txbx>
                      <wps:bodyPr wrap="square" upright="1"/>
                    </wps:wsp>
                  </a:graphicData>
                </a:graphic>
              </wp:anchor>
            </w:drawing>
          </mc:Choice>
          <mc:Fallback>
            <w:pict>
              <v:shape id="文本框 892" o:spid="_x0000_s1026" o:spt="202" type="#_x0000_t202" style="position:absolute;left:0pt;margin-left:-9pt;margin-top:19.1pt;height:41.4pt;width:62.55pt;z-index:252036096;mso-width-relative:page;mso-height-relative:page;" filled="f" stroked="f" coordsize="21600,21600" o:gfxdata="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5vVYi1wAAAAoBAAAPAAAAAAAAAAEAIAAAACIAAABkcnMvZG93bnJldi54bWxQSwEC&#10;FAAUAAAACACHTuJAvoaJxbwBAABfAwAADgAAAAAAAAABACAAAAAmAQAAZHJzL2Uyb0RvYy54bWxQ&#10;SwUGAAAAAAYABgBZAQAAVA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承包人不执行指令的责任</w:t>
                      </w:r>
                    </w:p>
                  </w:txbxContent>
                </v:textbox>
              </v:shape>
            </w:pict>
          </mc:Fallback>
        </mc:AlternateContent>
      </w:r>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6</w:t>
      </w:r>
      <w:bookmarkEnd w:id="793"/>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如果承包人不执行监理人依据第56.4款和第56.5款约定发出的指令，则发包人可自行或委托第三方执行该指令，由此发生的费用由承包人承担。该笔款项经造价咨询人核实后，由发包人从应付或将付给承包人的工程款中扣除。</w:t>
      </w:r>
    </w:p>
    <w:p>
      <w:pPr>
        <w:spacing w:line="360" w:lineRule="auto"/>
        <w:rPr>
          <w:rFonts w:ascii="仿宋" w:hAnsi="仿宋" w:eastAsia="仿宋" w:cs="仿宋"/>
          <w:b/>
          <w:bCs/>
          <w:color w:val="auto"/>
          <w:highlight w:val="none"/>
          <w:lang w:eastAsia="zh-CN"/>
        </w:rPr>
      </w:pPr>
      <w:bookmarkStart w:id="794" w:name="_Toc24372"/>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7</w:t>
      </w:r>
      <w:bookmarkEnd w:id="79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11840" behindDoc="0" locked="0" layoutInCell="1" allowOverlap="1">
                <wp:simplePos x="0" y="0"/>
                <wp:positionH relativeFrom="column">
                  <wp:posOffset>-114300</wp:posOffset>
                </wp:positionH>
                <wp:positionV relativeFrom="paragraph">
                  <wp:posOffset>45720</wp:posOffset>
                </wp:positionV>
                <wp:extent cx="832485" cy="544195"/>
                <wp:effectExtent l="0" t="0" r="0" b="0"/>
                <wp:wrapNone/>
                <wp:docPr id="150" name="文本框 893"/>
                <wp:cNvGraphicFramePr/>
                <a:graphic xmlns:a="http://schemas.openxmlformats.org/drawingml/2006/main">
                  <a:graphicData uri="http://schemas.microsoft.com/office/word/2010/wordprocessingShape">
                    <wps:wsp>
                      <wps:cNvSpPr txBox="1"/>
                      <wps:spPr>
                        <a:xfrm>
                          <a:off x="0" y="0"/>
                          <a:ext cx="832485" cy="54419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使用替换工程材料的申请与批准</w:t>
                            </w:r>
                          </w:p>
                        </w:txbxContent>
                      </wps:txbx>
                      <wps:bodyPr wrap="square" upright="1"/>
                    </wps:wsp>
                  </a:graphicData>
                </a:graphic>
              </wp:anchor>
            </w:drawing>
          </mc:Choice>
          <mc:Fallback>
            <w:pict>
              <v:shape id="文本框 893" o:spid="_x0000_s1026" o:spt="202" type="#_x0000_t202" style="position:absolute;left:0pt;margin-left:-9pt;margin-top:3.6pt;height:42.85pt;width:65.55pt;z-index:251811840;mso-width-relative:page;mso-height-relative:page;" filled="f" stroked="f" coordsize="21600,21600" o:gfxdata="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ecYzxtUAAAAIAQAADwAAAAAAAAABACAAAAAiAAAAZHJzL2Rvd25yZXYueG1sUEsBAhQAFAAA&#10;AAgAh07iQE9Oyqu5AQAAXwMAAA4AAAAAAAAAAQAgAAAAJAEAAGRycy9lMm9Eb2MueG1sUEsFBgAA&#10;AAAGAAYAWQEAAE8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使用替换工程材料的申请与批准</w:t>
                      </w:r>
                    </w:p>
                  </w:txbxContent>
                </v:textbox>
              </v:shape>
            </w:pict>
          </mc:Fallback>
        </mc:AlternateContent>
      </w:r>
      <w:r>
        <w:rPr>
          <w:rFonts w:hint="eastAsia" w:ascii="仿宋" w:hAnsi="仿宋" w:eastAsia="仿宋" w:cs="仿宋"/>
          <w:color w:val="auto"/>
          <w:highlight w:val="none"/>
          <w:lang w:eastAsia="zh-CN"/>
        </w:rPr>
        <w:t>承包人申请使用替换工程材料的，替换工程材料的材质、档次不得低于原设计明确的材质、档次，并作为变更事项报经监理人同意、发包人批准后方可实施，但合同价格不予调整。</w:t>
      </w:r>
    </w:p>
    <w:p>
      <w:pPr>
        <w:spacing w:line="360" w:lineRule="auto"/>
        <w:rPr>
          <w:rFonts w:ascii="仿宋" w:hAnsi="仿宋" w:eastAsia="仿宋"/>
          <w:b/>
          <w:bCs/>
          <w:color w:val="auto"/>
          <w:highlight w:val="none"/>
          <w:lang w:eastAsia="zh-CN"/>
        </w:rPr>
      </w:pPr>
      <w:bookmarkStart w:id="795" w:name="_Toc25004"/>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8</w:t>
      </w:r>
      <w:bookmarkEnd w:id="79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12864" behindDoc="0" locked="0" layoutInCell="1" allowOverlap="1">
                <wp:simplePos x="0" y="0"/>
                <wp:positionH relativeFrom="column">
                  <wp:posOffset>-114300</wp:posOffset>
                </wp:positionH>
                <wp:positionV relativeFrom="paragraph">
                  <wp:posOffset>30480</wp:posOffset>
                </wp:positionV>
                <wp:extent cx="822325" cy="714375"/>
                <wp:effectExtent l="0" t="0" r="0" b="0"/>
                <wp:wrapNone/>
                <wp:docPr id="151" name="文本框 894"/>
                <wp:cNvGraphicFramePr/>
                <a:graphic xmlns:a="http://schemas.openxmlformats.org/drawingml/2006/main">
                  <a:graphicData uri="http://schemas.microsoft.com/office/word/2010/wordprocessingShape">
                    <wps:wsp>
                      <wps:cNvSpPr txBox="1"/>
                      <wps:spPr>
                        <a:xfrm>
                          <a:off x="0" y="0"/>
                          <a:ext cx="822325" cy="71437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采购工程材料和工程设备使用前的检验</w:t>
                            </w:r>
                          </w:p>
                        </w:txbxContent>
                      </wps:txbx>
                      <wps:bodyPr wrap="square" upright="1"/>
                    </wps:wsp>
                  </a:graphicData>
                </a:graphic>
              </wp:anchor>
            </w:drawing>
          </mc:Choice>
          <mc:Fallback>
            <w:pict>
              <v:shape id="文本框 894" o:spid="_x0000_s1026" o:spt="202" type="#_x0000_t202" style="position:absolute;left:0pt;margin-left:-9pt;margin-top:2.4pt;height:56.25pt;width:64.75pt;z-index:251812864;mso-width-relative:page;mso-height-relative:page;" filled="f" stroked="f" coordsize="21600,21600" o:gfxdata="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rorTC1gAAAAkBAAAPAAAAAAAAAAEAIAAAACIAAABkcnMvZG93bnJldi54bWxQSwECFAAU&#10;AAAACACHTuJA9MwRU7oBAABfAwAADgAAAAAAAAABACAAAAAlAQAAZHJzL2Uyb0RvYy54bWxQSwUG&#10;AAAAAAYABgBZAQAAUQ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采购工程材料和工程设备使用前的检验</w:t>
                      </w:r>
                    </w:p>
                  </w:txbxContent>
                </v:textbox>
              </v:shape>
            </w:pict>
          </mc:Fallback>
        </mc:AlternateContent>
      </w:r>
      <w:r>
        <w:rPr>
          <w:rFonts w:hint="eastAsia" w:ascii="仿宋" w:hAnsi="仿宋" w:eastAsia="仿宋" w:cs="仿宋"/>
          <w:color w:val="auto"/>
          <w:highlight w:val="none"/>
          <w:lang w:eastAsia="zh-CN"/>
        </w:rPr>
        <w:t>承包人采购的工程材料和工程设备在使用前，应会同监理人进行检验试验，查验工程材料合格证明和产品合格证书。合同双方当事人应做好检验书面记录，并要求指定人选及时办理签认手续。不合格的，禁止在合同工程中使用。</w:t>
      </w:r>
    </w:p>
    <w:p>
      <w:pPr>
        <w:spacing w:line="360" w:lineRule="auto"/>
        <w:rPr>
          <w:rFonts w:ascii="仿宋" w:hAnsi="仿宋" w:eastAsia="仿宋"/>
          <w:b/>
          <w:bCs/>
          <w:color w:val="auto"/>
          <w:highlight w:val="none"/>
          <w:lang w:eastAsia="zh-CN"/>
        </w:rPr>
      </w:pPr>
      <w:bookmarkStart w:id="796" w:name="_Toc14474"/>
      <w:r>
        <w:rPr>
          <w:color w:val="auto"/>
          <w:highlight w:val="none"/>
        </w:rPr>
        <mc:AlternateContent>
          <mc:Choice Requires="wps">
            <w:drawing>
              <wp:anchor distT="0" distB="0" distL="114300" distR="114300" simplePos="0" relativeHeight="252037120" behindDoc="0" locked="0" layoutInCell="1" allowOverlap="1">
                <wp:simplePos x="0" y="0"/>
                <wp:positionH relativeFrom="column">
                  <wp:posOffset>-114300</wp:posOffset>
                </wp:positionH>
                <wp:positionV relativeFrom="paragraph">
                  <wp:posOffset>207010</wp:posOffset>
                </wp:positionV>
                <wp:extent cx="775335" cy="610235"/>
                <wp:effectExtent l="0" t="0" r="0" b="0"/>
                <wp:wrapNone/>
                <wp:docPr id="370" name="文本框 895"/>
                <wp:cNvGraphicFramePr/>
                <a:graphic xmlns:a="http://schemas.openxmlformats.org/drawingml/2006/main">
                  <a:graphicData uri="http://schemas.microsoft.com/office/word/2010/wordprocessingShape">
                    <wps:wsp>
                      <wps:cNvSpPr txBox="1"/>
                      <wps:spPr>
                        <a:xfrm>
                          <a:off x="0" y="0"/>
                          <a:ext cx="775335" cy="61023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禁止指定采购工程材料和工程设备</w:t>
                            </w:r>
                          </w:p>
                        </w:txbxContent>
                      </wps:txbx>
                      <wps:bodyPr wrap="square" upright="1"/>
                    </wps:wsp>
                  </a:graphicData>
                </a:graphic>
              </wp:anchor>
            </w:drawing>
          </mc:Choice>
          <mc:Fallback>
            <w:pict>
              <v:shape id="文本框 895" o:spid="_x0000_s1026" o:spt="202" type="#_x0000_t202" style="position:absolute;left:0pt;margin-left:-9pt;margin-top:16.3pt;height:48.05pt;width:61.05pt;z-index:252037120;mso-width-relative:page;mso-height-relative:page;" filled="f" stroked="f" coordsize="21600,21600" o:gfxdata="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xuGOLNgAAAAKAQAADwAAAAAAAAABACAAAAAiAAAAZHJzL2Rvd25yZXYueG1sUEsBAhQA&#10;FAAAAAgAh07iQKk1+2q5AQAAXwMAAA4AAAAAAAAAAQAgAAAAJwEAAGRycy9lMm9Eb2MueG1sUEsF&#10;BgAAAAAGAAYAWQEAAFI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禁止指定采购工程材料和工程设备</w:t>
                      </w:r>
                    </w:p>
                  </w:txbxContent>
                </v:textbox>
              </v:shape>
            </w:pict>
          </mc:Fallback>
        </mc:AlternateContent>
      </w:r>
      <w:r>
        <w:rPr>
          <w:rFonts w:hint="eastAsia" w:ascii="仿宋" w:hAnsi="仿宋" w:eastAsia="仿宋" w:cs="仿宋"/>
          <w:b/>
          <w:bCs/>
          <w:color w:val="auto"/>
          <w:highlight w:val="none"/>
          <w:lang w:eastAsia="zh-CN"/>
        </w:rPr>
        <w:t>56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9</w:t>
      </w:r>
      <w:bookmarkEnd w:id="79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承包人采购工程材料和工程设备的，除专用条款另有约定外，发包人不得指定生产厂家或供应商。</w:t>
      </w:r>
    </w:p>
    <w:p>
      <w:pPr>
        <w:pStyle w:val="7"/>
        <w:adjustRightInd w:val="0"/>
        <w:snapToGrid w:val="0"/>
        <w:spacing w:line="360" w:lineRule="auto"/>
        <w:ind w:firstLine="0"/>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797" w:name="_Toc30614"/>
      <w:bookmarkStart w:id="798" w:name="_Toc11511"/>
      <w:bookmarkStart w:id="799" w:name="_Toc300"/>
      <w:bookmarkStart w:id="800" w:name="_Toc15749"/>
      <w:bookmarkStart w:id="801" w:name="_Toc22862"/>
      <w:bookmarkStart w:id="802" w:name="_Toc11996"/>
      <w:bookmarkStart w:id="803" w:name="_Toc10024"/>
      <w:bookmarkStart w:id="804" w:name="_Toc11879"/>
      <w:r>
        <w:rPr>
          <w:rFonts w:ascii="仿宋" w:hAnsi="仿宋" w:eastAsia="仿宋" w:cs="仿宋"/>
          <w:bCs w:val="0"/>
          <w:color w:val="auto"/>
          <w:sz w:val="24"/>
          <w:szCs w:val="24"/>
          <w:highlight w:val="none"/>
          <w:lang w:eastAsia="zh-CN"/>
        </w:rPr>
        <w:t>5</w:t>
      </w:r>
      <w:r>
        <w:rPr>
          <w:rFonts w:hint="eastAsia" w:ascii="仿宋" w:hAnsi="仿宋" w:eastAsia="仿宋" w:cs="仿宋"/>
          <w:bCs w:val="0"/>
          <w:color w:val="auto"/>
          <w:sz w:val="24"/>
          <w:szCs w:val="24"/>
          <w:highlight w:val="none"/>
          <w:lang w:eastAsia="zh-CN"/>
        </w:rPr>
        <w:t>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设备及工器具的验收、工程材料和工程设备的检验试验</w:t>
      </w:r>
      <w:bookmarkEnd w:id="797"/>
      <w:bookmarkEnd w:id="798"/>
      <w:bookmarkEnd w:id="799"/>
      <w:bookmarkEnd w:id="800"/>
      <w:bookmarkEnd w:id="801"/>
      <w:bookmarkEnd w:id="802"/>
      <w:bookmarkEnd w:id="803"/>
      <w:bookmarkEnd w:id="804"/>
    </w:p>
    <w:p>
      <w:pPr>
        <w:pStyle w:val="7"/>
        <w:adjustRightInd w:val="0"/>
        <w:snapToGrid w:val="0"/>
        <w:spacing w:line="360" w:lineRule="auto"/>
        <w:ind w:firstLine="0"/>
        <w:rPr>
          <w:rFonts w:ascii="仿宋" w:hAnsi="仿宋" w:eastAsia="仿宋" w:cs="仿宋"/>
          <w:b/>
          <w:bCs/>
          <w:color w:val="auto"/>
          <w:highlight w:val="none"/>
          <w:lang w:eastAsia="zh-CN"/>
        </w:rPr>
      </w:pPr>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rPr>
        <mc:AlternateContent>
          <mc:Choice Requires="wps">
            <w:drawing>
              <wp:anchor distT="0" distB="0" distL="114300" distR="114300" simplePos="0" relativeHeight="251975680" behindDoc="0" locked="0" layoutInCell="1" allowOverlap="1">
                <wp:simplePos x="0" y="0"/>
                <wp:positionH relativeFrom="column">
                  <wp:posOffset>-114300</wp:posOffset>
                </wp:positionH>
                <wp:positionV relativeFrom="paragraph">
                  <wp:posOffset>635</wp:posOffset>
                </wp:positionV>
                <wp:extent cx="851535" cy="518795"/>
                <wp:effectExtent l="0" t="0" r="0" b="0"/>
                <wp:wrapNone/>
                <wp:docPr id="310" name="文本框 1130"/>
                <wp:cNvGraphicFramePr/>
                <a:graphic xmlns:a="http://schemas.openxmlformats.org/drawingml/2006/main">
                  <a:graphicData uri="http://schemas.microsoft.com/office/word/2010/wordprocessingShape">
                    <wps:wsp>
                      <wps:cNvSpPr txBox="1"/>
                      <wps:spPr>
                        <a:xfrm>
                          <a:off x="0" y="0"/>
                          <a:ext cx="851535" cy="518795"/>
                        </a:xfrm>
                        <a:prstGeom prst="rect">
                          <a:avLst/>
                        </a:prstGeom>
                        <a:noFill/>
                        <a:ln>
                          <a:noFill/>
                        </a:ln>
                      </wps:spPr>
                      <wps:txbx>
                        <w:txbxContent>
                          <w:p>
                            <w:pPr>
                              <w:spacing w:line="200" w:lineRule="exact"/>
                              <w:rPr>
                                <w:rFonts w:ascii="楷体_GB2312" w:hAnsi="宋体" w:eastAsia="楷体_GB2312"/>
                                <w:b/>
                                <w:bCs/>
                                <w:color w:val="000000"/>
                                <w:sz w:val="18"/>
                                <w:szCs w:val="18"/>
                              </w:rPr>
                            </w:pPr>
                            <w:r>
                              <w:rPr>
                                <w:rFonts w:hint="eastAsia" w:ascii="楷体_GB2312" w:hAnsi="宋体" w:eastAsia="楷体_GB2312"/>
                                <w:b/>
                                <w:bCs/>
                                <w:color w:val="000000"/>
                                <w:sz w:val="18"/>
                                <w:szCs w:val="18"/>
                              </w:rPr>
                              <w:t>设备及工器具的验收</w:t>
                            </w:r>
                          </w:p>
                        </w:txbxContent>
                      </wps:txbx>
                      <wps:bodyPr wrap="square" upright="1"/>
                    </wps:wsp>
                  </a:graphicData>
                </a:graphic>
              </wp:anchor>
            </w:drawing>
          </mc:Choice>
          <mc:Fallback>
            <w:pict>
              <v:shape id="文本框 1130" o:spid="_x0000_s1026" o:spt="202" type="#_x0000_t202" style="position:absolute;left:0pt;margin-left:-9pt;margin-top:0.05pt;height:40.85pt;width:67.05pt;z-index:251975680;mso-width-relative:page;mso-height-relative:page;" filled="f" stroked="f" coordsize="21600,21600" o:gfxdata="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HdgdK3TAAAABwEAAA8AAAAAAAAAAQAgAAAAIgAAAGRycy9kb3ducmV2LnhtbFBLAQIUABQAAAAI&#10;AIdO4kCRTFNNuQEAAGADAAAOAAAAAAAAAAEAIAAAACIBAABkcnMvZTJvRG9jLnhtbFBLBQYAAAAA&#10;BgAGAFkBAABNBQAAAAA=&#10;">
                <v:fill on="f" focussize="0,0"/>
                <v:stroke on="f"/>
                <v:imagedata o:title=""/>
                <o:lock v:ext="edit" aspectratio="f"/>
                <v:textbox>
                  <w:txbxContent>
                    <w:p>
                      <w:pPr>
                        <w:spacing w:line="200" w:lineRule="exact"/>
                        <w:rPr>
                          <w:rFonts w:ascii="楷体_GB2312" w:hAnsi="宋体" w:eastAsia="楷体_GB2312"/>
                          <w:b/>
                          <w:bCs/>
                          <w:color w:val="000000"/>
                          <w:sz w:val="18"/>
                          <w:szCs w:val="18"/>
                        </w:rPr>
                      </w:pPr>
                      <w:r>
                        <w:rPr>
                          <w:rFonts w:hint="eastAsia" w:ascii="楷体_GB2312" w:hAnsi="宋体" w:eastAsia="楷体_GB2312"/>
                          <w:b/>
                          <w:bCs/>
                          <w:color w:val="000000"/>
                          <w:sz w:val="18"/>
                          <w:szCs w:val="18"/>
                        </w:rPr>
                        <w:t>设备及工器具的验收</w:t>
                      </w:r>
                    </w:p>
                  </w:txbxContent>
                </v:textbox>
              </v:shape>
            </w:pict>
          </mc:Fallback>
        </mc:AlternateContent>
      </w:r>
      <w:r>
        <w:rPr>
          <w:rFonts w:hint="eastAsia" w:ascii="仿宋" w:hAnsi="仿宋" w:eastAsia="仿宋" w:cs="仿宋"/>
          <w:color w:val="auto"/>
          <w:highlight w:val="none"/>
          <w:lang w:eastAsia="zh-CN"/>
        </w:rPr>
        <w:t>承包人购置的设备及工器具全部到场安放、组装完毕后，发包人应及时组织设备及工器具验收或试车，承包人应参与验收或试车，并为发包人开展相关验收或试车工作提供便利和协助。除专用条款另有约定外，验收程序可遵照本通用条款第57.2款～第57.7款约定执行，试车程序可遵照本通用条款第62条“工程试车”约定执行。</w:t>
      </w:r>
    </w:p>
    <w:p>
      <w:pPr>
        <w:spacing w:line="360" w:lineRule="auto"/>
        <w:rPr>
          <w:rFonts w:ascii="仿宋" w:hAnsi="仿宋" w:eastAsia="仿宋" w:cs="仿宋"/>
          <w:b/>
          <w:bCs/>
          <w:color w:val="auto"/>
          <w:highlight w:val="none"/>
          <w:lang w:eastAsia="zh-CN"/>
        </w:rPr>
      </w:pPr>
      <w:bookmarkStart w:id="805" w:name="_Toc16990"/>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2</w:t>
      </w:r>
      <w:bookmarkEnd w:id="80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13888" behindDoc="0" locked="0" layoutInCell="1" allowOverlap="1">
                <wp:simplePos x="0" y="0"/>
                <wp:positionH relativeFrom="column">
                  <wp:posOffset>-114300</wp:posOffset>
                </wp:positionH>
                <wp:positionV relativeFrom="paragraph">
                  <wp:posOffset>635</wp:posOffset>
                </wp:positionV>
                <wp:extent cx="766445" cy="536575"/>
                <wp:effectExtent l="0" t="0" r="0" b="0"/>
                <wp:wrapNone/>
                <wp:docPr id="152" name="文本框 896"/>
                <wp:cNvGraphicFramePr/>
                <a:graphic xmlns:a="http://schemas.openxmlformats.org/drawingml/2006/main">
                  <a:graphicData uri="http://schemas.microsoft.com/office/word/2010/wordprocessingShape">
                    <wps:wsp>
                      <wps:cNvSpPr txBox="1"/>
                      <wps:spPr>
                        <a:xfrm>
                          <a:off x="0" y="0"/>
                          <a:ext cx="766445" cy="536575"/>
                        </a:xfrm>
                        <a:prstGeom prst="rect">
                          <a:avLst/>
                        </a:prstGeom>
                        <a:noFill/>
                        <a:ln>
                          <a:noFill/>
                        </a:ln>
                      </wps:spPr>
                      <wps:txb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进入现场检验试验</w:t>
                            </w:r>
                          </w:p>
                        </w:txbxContent>
                      </wps:txbx>
                      <wps:bodyPr wrap="square" upright="1"/>
                    </wps:wsp>
                  </a:graphicData>
                </a:graphic>
              </wp:anchor>
            </w:drawing>
          </mc:Choice>
          <mc:Fallback>
            <w:pict>
              <v:shape id="文本框 896" o:spid="_x0000_s1026" o:spt="202" type="#_x0000_t202" style="position:absolute;left:0pt;margin-left:-9pt;margin-top:0.05pt;height:42.25pt;width:60.35pt;z-index:251813888;mso-width-relative:page;mso-height-relative:page;" filled="f" stroked="f" coordsize="21600,21600" o:gfxdata="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adYKy9QAAAAHAQAADwAAAAAAAAABACAAAAAiAAAAZHJzL2Rvd25yZXYueG1sUEsBAhQAFAAA&#10;AAgAh07iQIT97gu6AQAAXwMAAA4AAAAAAAAAAQAgAAAAIwEAAGRycy9lMm9Eb2MueG1sUEsFBgAA&#10;AAAGAAYAWQEAAE8FAAAAAA==&#10;">
                <v:fill on="f" focussize="0,0"/>
                <v:stroke on="f"/>
                <v:imagedata o:title=""/>
                <o:lock v:ext="edit" aspectratio="f"/>
                <v:textbox>
                  <w:txbxContent>
                    <w:p>
                      <w:pPr>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进入现场检验试验</w:t>
                      </w:r>
                    </w:p>
                  </w:txbxContent>
                </v:textbox>
              </v:shape>
            </w:pict>
          </mc:Fallback>
        </mc:AlternateContent>
      </w:r>
      <w:r>
        <w:rPr>
          <w:rFonts w:hint="eastAsia" w:ascii="仿宋" w:hAnsi="仿宋" w:eastAsia="仿宋" w:cs="仿宋"/>
          <w:color w:val="auto"/>
          <w:highlight w:val="none"/>
          <w:lang w:eastAsia="zh-CN"/>
        </w:rPr>
        <w:t>监理人及其委派的代表可进入施工场地、工程材料和工程设备的制造、加工或制配车间等场所参加工程材料和工程设备等产品的检验试验。承包人应为他们进入上述场所及开展相关工作提供便利和协助。</w:t>
      </w:r>
    </w:p>
    <w:p>
      <w:pPr>
        <w:spacing w:line="360" w:lineRule="auto"/>
        <w:rPr>
          <w:rFonts w:ascii="仿宋" w:hAnsi="仿宋" w:eastAsia="仿宋" w:cs="仿宋"/>
          <w:b/>
          <w:bCs/>
          <w:color w:val="auto"/>
          <w:highlight w:val="none"/>
          <w:u w:val="dotted"/>
          <w:lang w:eastAsia="zh-CN"/>
        </w:rPr>
      </w:pPr>
      <w:bookmarkStart w:id="806" w:name="_Toc14797"/>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3</w:t>
      </w:r>
      <w:bookmarkEnd w:id="80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1814912" behindDoc="0" locked="0" layoutInCell="1" allowOverlap="1">
                <wp:simplePos x="0" y="0"/>
                <wp:positionH relativeFrom="column">
                  <wp:posOffset>-114300</wp:posOffset>
                </wp:positionH>
                <wp:positionV relativeFrom="paragraph">
                  <wp:posOffset>154305</wp:posOffset>
                </wp:positionV>
                <wp:extent cx="832485" cy="1264920"/>
                <wp:effectExtent l="0" t="0" r="0" b="0"/>
                <wp:wrapNone/>
                <wp:docPr id="153" name="文本框 897"/>
                <wp:cNvGraphicFramePr/>
                <a:graphic xmlns:a="http://schemas.openxmlformats.org/drawingml/2006/main">
                  <a:graphicData uri="http://schemas.microsoft.com/office/word/2010/wordprocessingShape">
                    <wps:wsp>
                      <wps:cNvSpPr txBox="1"/>
                      <wps:spPr>
                        <a:xfrm>
                          <a:off x="0" y="0"/>
                          <a:ext cx="832485" cy="126492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工程材料和工程设备的见证取样与不见证取样检验试验</w:t>
                            </w:r>
                          </w:p>
                        </w:txbxContent>
                      </wps:txbx>
                      <wps:bodyPr wrap="square" upright="1"/>
                    </wps:wsp>
                  </a:graphicData>
                </a:graphic>
              </wp:anchor>
            </w:drawing>
          </mc:Choice>
          <mc:Fallback>
            <w:pict>
              <v:shape id="文本框 897" o:spid="_x0000_s1026" o:spt="202" type="#_x0000_t202" style="position:absolute;left:0pt;margin-left:-9pt;margin-top:12.15pt;height:99.6pt;width:65.55pt;z-index:251814912;mso-width-relative:page;mso-height-relative:page;" filled="f" stroked="f" coordsize="21600,21600" o:gfxdata="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H1xzKbXAAAACgEAAA8AAAAAAAAAAQAgAAAAIgAAAGRycy9kb3ducmV2LnhtbFBLAQIU&#10;ABQAAAAIAIdO4kBghe7muwEAAGADAAAOAAAAAAAAAAEAIAAAACYBAABkcnMvZTJvRG9jLnhtbFBL&#10;BQYAAAAABgAGAFkBAABTBQ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工程材料和工程设备的见证取样与不见证取样检验试验</w:t>
                      </w:r>
                    </w:p>
                  </w:txbxContent>
                </v:textbox>
              </v:shape>
            </w:pict>
          </mc:Fallback>
        </mc:AlternateContent>
      </w:r>
      <w:r>
        <w:rPr>
          <w:rFonts w:hint="eastAsia" w:ascii="仿宋" w:hAnsi="仿宋" w:eastAsia="仿宋" w:cs="仿宋"/>
          <w:color w:val="auto"/>
          <w:highlight w:val="none"/>
          <w:lang w:eastAsia="zh-CN"/>
        </w:rPr>
        <w:t>工程材料和工程设备等产品的检验试验见证取样和不见证取样的要求：</w:t>
      </w:r>
    </w:p>
    <w:p>
      <w:pPr>
        <w:widowControl w:val="0"/>
        <w:adjustRightInd w:val="0"/>
        <w:snapToGrid w:val="0"/>
        <w:spacing w:line="360" w:lineRule="auto"/>
        <w:ind w:left="1850" w:leftChars="771"/>
        <w:jc w:val="both"/>
        <w:rPr>
          <w:rFonts w:ascii="仿宋" w:hAnsi="仿宋" w:eastAsia="仿宋"/>
          <w:b/>
          <w:bCs/>
          <w:color w:val="auto"/>
          <w:highlight w:val="none"/>
          <w:lang w:eastAsia="zh-CN"/>
        </w:rPr>
      </w:pPr>
      <w:r>
        <w:rPr>
          <w:rFonts w:hint="eastAsia" w:ascii="仿宋" w:hAnsi="仿宋" w:eastAsia="仿宋" w:cs="仿宋"/>
          <w:color w:val="auto"/>
          <w:highlight w:val="none"/>
          <w:lang w:eastAsia="zh-CN"/>
        </w:rPr>
        <w:t>（1）作为工程质量验收依据的工程材料、工程设备、装配式构件检测，应当由发包人委托的检测机构检测，不得违规减少依法应由发包人委托的检测项目和数量，非发包人委托的检测机构出具的检测报告不得作为工程质量验收依据。</w:t>
      </w:r>
    </w:p>
    <w:p>
      <w:pPr>
        <w:widowControl w:val="0"/>
        <w:adjustRightInd w:val="0"/>
        <w:snapToGrid w:val="0"/>
        <w:spacing w:line="360" w:lineRule="auto"/>
        <w:ind w:left="1850" w:leftChars="771"/>
        <w:jc w:val="both"/>
        <w:rPr>
          <w:color w:val="auto"/>
          <w:highlight w:val="none"/>
          <w:lang w:eastAsia="zh-CN"/>
        </w:rPr>
      </w:pPr>
      <w:r>
        <w:rPr>
          <w:rFonts w:hint="eastAsia" w:ascii="仿宋" w:hAnsi="仿宋" w:eastAsia="仿宋" w:cs="仿宋"/>
          <w:color w:val="auto"/>
          <w:highlight w:val="none"/>
          <w:lang w:eastAsia="zh-CN"/>
        </w:rPr>
        <w:t>（2）对于见证取样、送检或试验工作，必须是监理人或其委派的代表在场时进行，监理人或其委派的代表未发出延期指令也未能按时到场的，承包人必须停止取样、送检或试验工作并通知发包人代表；由此增加的费用和（或）延误的工期由发包人承担，并向承包人支付合理利润。</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（3）标准规范规定、结构安全要求或合同约定需要进行见证取样检验试验的工程材料和工程设备等产品，承包人应在取样前至少提前</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小时通知监理人参加，并在监理人的见证下现场取样，同时送至具有相应资质等级的质量检测机构进行检验试验。</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4）标准与规范没要求或合同没约定进行见证取样检验试验的工程材料和工程设备等产品，承包人和监理人应按照合同约定进行工程材料和工程设备等产品的检验试验。承包人和监理人应事先协商确定检验试验的时间和地点，并按时到场参加检验试验。如果监理人或其委派的代表不能按时到场参加的，监理人应至少提前</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小时发出延期检验试验指令并书面说明理由，延期不得超过</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如果监理人或其委派的代表未发出延期指令也未能按时到场检验试验，承包人可自行检验试验，并认为该检验试验是经监理人同意下完成的；检验试验完成后，承包人应立即向监理人提交检验试验结果的有效证据，监理人应予认可。</w:t>
      </w:r>
    </w:p>
    <w:p>
      <w:pPr>
        <w:spacing w:line="360" w:lineRule="auto"/>
        <w:rPr>
          <w:rFonts w:ascii="仿宋" w:hAnsi="仿宋" w:eastAsia="仿宋"/>
          <w:color w:val="auto"/>
          <w:highlight w:val="none"/>
          <w:lang w:eastAsia="zh-CN"/>
        </w:rPr>
      </w:pPr>
      <w:bookmarkStart w:id="807" w:name="_Toc15753"/>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4</w:t>
      </w:r>
      <w:bookmarkEnd w:id="80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15936" behindDoc="0" locked="0" layoutInCell="1" allowOverlap="1">
                <wp:simplePos x="0" y="0"/>
                <wp:positionH relativeFrom="column">
                  <wp:posOffset>-66675</wp:posOffset>
                </wp:positionH>
                <wp:positionV relativeFrom="paragraph">
                  <wp:posOffset>11430</wp:posOffset>
                </wp:positionV>
                <wp:extent cx="814070" cy="473710"/>
                <wp:effectExtent l="0" t="0" r="0" b="0"/>
                <wp:wrapNone/>
                <wp:docPr id="154" name="文本框 898"/>
                <wp:cNvGraphicFramePr/>
                <a:graphic xmlns:a="http://schemas.openxmlformats.org/drawingml/2006/main">
                  <a:graphicData uri="http://schemas.microsoft.com/office/word/2010/wordprocessingShape">
                    <wps:wsp>
                      <wps:cNvSpPr txBox="1"/>
                      <wps:spPr>
                        <a:xfrm>
                          <a:off x="0" y="0"/>
                          <a:ext cx="814070" cy="47371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工程材料和工程设备的使用</w:t>
                            </w:r>
                          </w:p>
                        </w:txbxContent>
                      </wps:txbx>
                      <wps:bodyPr wrap="square" upright="1"/>
                    </wps:wsp>
                  </a:graphicData>
                </a:graphic>
              </wp:anchor>
            </w:drawing>
          </mc:Choice>
          <mc:Fallback>
            <w:pict>
              <v:shape id="文本框 898" o:spid="_x0000_s1026" o:spt="202" type="#_x0000_t202" style="position:absolute;left:0pt;margin-left:-5.25pt;margin-top:0.9pt;height:37.3pt;width:64.1pt;z-index:251815936;mso-width-relative:page;mso-height-relative:page;" filled="f" stroked="f" coordsize="21600,21600" o:gfxdata="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npZb6dUAAAAIAQAADwAAAAAAAAABACAAAAAiAAAAZHJzL2Rvd25yZXYueG1sUEsBAhQAFAAA&#10;AAgAh07iQGGysV65AQAAXwMAAA4AAAAAAAAAAQAgAAAAJAEAAGRycy9lMm9Eb2MueG1sUEsFBgAA&#10;AAAGAAYAWQEAAE8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工程材料和工程设备的使用</w:t>
                      </w:r>
                    </w:p>
                  </w:txbxContent>
                </v:textbox>
              </v:shape>
            </w:pict>
          </mc:Fallback>
        </mc:AlternateContent>
      </w:r>
      <w:r>
        <w:rPr>
          <w:rFonts w:hint="eastAsia" w:ascii="仿宋" w:hAnsi="仿宋" w:eastAsia="仿宋" w:cs="仿宋"/>
          <w:color w:val="auto"/>
          <w:highlight w:val="none"/>
          <w:lang w:eastAsia="zh-CN"/>
        </w:rPr>
        <w:t>工程材料和工程设备等产品检验试验合格的，可在合同工程中使用。工程材料和工程设备等产品检验试验不合格的，禁止在合同工程中使用，并及时清出施工场地。</w:t>
      </w:r>
    </w:p>
    <w:p>
      <w:pPr>
        <w:spacing w:line="360" w:lineRule="auto"/>
        <w:rPr>
          <w:rFonts w:ascii="仿宋" w:hAnsi="仿宋" w:eastAsia="仿宋"/>
          <w:color w:val="auto"/>
          <w:highlight w:val="none"/>
          <w:u w:val="dotted"/>
          <w:lang w:eastAsia="zh-CN"/>
        </w:rPr>
      </w:pPr>
      <w:bookmarkStart w:id="808" w:name="_Toc9196"/>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5</w:t>
      </w:r>
      <w:bookmarkEnd w:id="80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16960" behindDoc="0" locked="0" layoutInCell="1" allowOverlap="1">
                <wp:simplePos x="0" y="0"/>
                <wp:positionH relativeFrom="column">
                  <wp:posOffset>-114300</wp:posOffset>
                </wp:positionH>
                <wp:positionV relativeFrom="paragraph">
                  <wp:posOffset>15240</wp:posOffset>
                </wp:positionV>
                <wp:extent cx="861695" cy="748030"/>
                <wp:effectExtent l="0" t="0" r="0" b="0"/>
                <wp:wrapNone/>
                <wp:docPr id="155" name="文本框 899"/>
                <wp:cNvGraphicFramePr/>
                <a:graphic xmlns:a="http://schemas.openxmlformats.org/drawingml/2006/main">
                  <a:graphicData uri="http://schemas.microsoft.com/office/word/2010/wordprocessingShape">
                    <wps:wsp>
                      <wps:cNvSpPr txBox="1"/>
                      <wps:spPr>
                        <a:xfrm>
                          <a:off x="0" y="0"/>
                          <a:ext cx="861695" cy="74803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工程材料和工程设备的检验试验费用</w:t>
                            </w:r>
                          </w:p>
                        </w:txbxContent>
                      </wps:txbx>
                      <wps:bodyPr wrap="square" upright="1"/>
                    </wps:wsp>
                  </a:graphicData>
                </a:graphic>
              </wp:anchor>
            </w:drawing>
          </mc:Choice>
          <mc:Fallback>
            <w:pict>
              <v:shape id="文本框 899" o:spid="_x0000_s1026" o:spt="202" type="#_x0000_t202" style="position:absolute;left:0pt;margin-left:-9pt;margin-top:1.2pt;height:58.9pt;width:67.85pt;z-index:251816960;mso-width-relative:page;mso-height-relative:page;" filled="f" stroked="f" coordsize="21600,21600" o:gfxdata="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v1yM01gAAAAkBAAAPAAAAAAAAAAEAIAAAACIAAABkcnMvZG93bnJldi54bWxQSwECFAAU&#10;AAAACACHTuJAvXZfUroBAABfAwAADgAAAAAAAAABACAAAAAlAQAAZHJzL2Uyb0RvYy54bWxQSwUG&#10;AAAAAAYABgBZAQAAUQ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工程材料和工程设备的检验试验费用</w:t>
                      </w:r>
                    </w:p>
                  </w:txbxContent>
                </v:textbox>
              </v:shape>
            </w:pict>
          </mc:Fallback>
        </mc:AlternateContent>
      </w:r>
      <w:r>
        <w:rPr>
          <w:rFonts w:hint="eastAsia" w:ascii="仿宋" w:hAnsi="仿宋" w:eastAsia="仿宋" w:cs="仿宋"/>
          <w:color w:val="auto"/>
          <w:highlight w:val="none"/>
          <w:lang w:eastAsia="zh-CN"/>
        </w:rPr>
        <w:t>除合同价格已包括外，工程材料和工程设备等产品的检验试验费，按照实际发生的费用计算。</w:t>
      </w:r>
    </w:p>
    <w:p>
      <w:pPr>
        <w:widowControl w:val="0"/>
        <w:adjustRightInd w:val="0"/>
        <w:snapToGrid w:val="0"/>
        <w:spacing w:line="360" w:lineRule="auto"/>
        <w:ind w:left="1850" w:leftChars="771"/>
        <w:jc w:val="both"/>
        <w:rPr>
          <w:rFonts w:ascii="仿宋" w:hAnsi="仿宋" w:eastAsia="仿宋" w:cs="仿宋"/>
          <w:strike/>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）现场使用前工程材料和工程设备等产品的检验试验，发包人供应的，检验试验费由发包人承担；承包人采购的，检验试验费由承包人承担。</w:t>
      </w:r>
    </w:p>
    <w:p>
      <w:pPr>
        <w:widowControl w:val="0"/>
        <w:adjustRightInd w:val="0"/>
        <w:snapToGrid w:val="0"/>
        <w:spacing w:line="360" w:lineRule="auto"/>
        <w:ind w:left="1850" w:leftChars="771"/>
        <w:jc w:val="both"/>
        <w:rPr>
          <w:rFonts w:ascii="仿宋" w:hAnsi="仿宋" w:eastAsia="仿宋"/>
          <w:b/>
          <w:bCs/>
          <w:color w:val="auto"/>
          <w:highlight w:val="none"/>
          <w:lang w:eastAsia="zh-CN"/>
        </w:rPr>
      </w:pPr>
      <w:r>
        <w:rPr>
          <w:rFonts w:hint="eastAsia" w:ascii="仿宋" w:hAnsi="仿宋" w:eastAsia="仿宋" w:cs="仿宋"/>
          <w:color w:val="auto"/>
          <w:highlight w:val="none"/>
          <w:lang w:eastAsia="zh-CN"/>
        </w:rPr>
        <w:t>（2）作为工程质量验收依据的工程材料、工程设备、装配式构件检测，依法应由发包人委托的，发包人应按时足额支付检测费用；承包人自行委托的检测机构出具的检测报告不得作为工程质量验收依据，其费用由承包人自行承担。</w:t>
      </w:r>
    </w:p>
    <w:p>
      <w:pPr>
        <w:spacing w:line="360" w:lineRule="auto"/>
        <w:rPr>
          <w:rFonts w:ascii="仿宋" w:hAnsi="仿宋" w:eastAsia="仿宋"/>
          <w:b/>
          <w:bCs/>
          <w:color w:val="auto"/>
          <w:highlight w:val="none"/>
          <w:lang w:eastAsia="zh-CN"/>
        </w:rPr>
      </w:pPr>
      <w:bookmarkStart w:id="809" w:name="_Toc19693"/>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6</w:t>
      </w:r>
      <w:bookmarkEnd w:id="80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17984" behindDoc="0" locked="0" layoutInCell="1" allowOverlap="1">
                <wp:simplePos x="0" y="0"/>
                <wp:positionH relativeFrom="column">
                  <wp:posOffset>-114300</wp:posOffset>
                </wp:positionH>
                <wp:positionV relativeFrom="paragraph">
                  <wp:posOffset>8255</wp:posOffset>
                </wp:positionV>
                <wp:extent cx="784860" cy="558800"/>
                <wp:effectExtent l="0" t="0" r="0" b="0"/>
                <wp:wrapNone/>
                <wp:docPr id="156" name="文本框 900"/>
                <wp:cNvGraphicFramePr/>
                <a:graphic xmlns:a="http://schemas.openxmlformats.org/drawingml/2006/main">
                  <a:graphicData uri="http://schemas.microsoft.com/office/word/2010/wordprocessingShape">
                    <wps:wsp>
                      <wps:cNvSpPr txBox="1"/>
                      <wps:spPr>
                        <a:xfrm>
                          <a:off x="0" y="0"/>
                          <a:ext cx="784860" cy="55880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再次检验试验及其费用承担</w:t>
                            </w:r>
                          </w:p>
                        </w:txbxContent>
                      </wps:txbx>
                      <wps:bodyPr wrap="square" upright="1"/>
                    </wps:wsp>
                  </a:graphicData>
                </a:graphic>
              </wp:anchor>
            </w:drawing>
          </mc:Choice>
          <mc:Fallback>
            <w:pict>
              <v:shape id="文本框 900" o:spid="_x0000_s1026" o:spt="202" type="#_x0000_t202" style="position:absolute;left:0pt;margin-left:-9pt;margin-top:0.65pt;height:44pt;width:61.8pt;z-index:251817984;mso-width-relative:page;mso-height-relative:page;" filled="f" stroked="f" coordsize="21600,21600" o:gfxdata="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FL+UoPVAAAACAEAAA8AAAAAAAAAAQAgAAAAIgAAAGRycy9kb3ducmV2LnhtbFBLAQIUABQAAAAI&#10;AIdO4kAG33UvtwEAAF8DAAAOAAAAAAAAAAEAIAAAACQBAABkcnMvZTJvRG9jLnhtbFBLBQYAAAAA&#10;BgAGAFkBAABNBQ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再次检验试验及其费用承担</w:t>
                      </w:r>
                    </w:p>
                  </w:txbxContent>
                </v:textbox>
              </v:shape>
            </w:pict>
          </mc:Fallback>
        </mc:AlternateContent>
      </w:r>
      <w:r>
        <w:rPr>
          <w:rFonts w:hint="eastAsia" w:ascii="仿宋" w:hAnsi="仿宋" w:eastAsia="仿宋" w:cs="仿宋"/>
          <w:color w:val="auto"/>
          <w:highlight w:val="none"/>
          <w:lang w:eastAsia="zh-CN"/>
        </w:rPr>
        <w:t>监理人对承包人自行检验试验结果有疑问的，可要求承包人共同对工程材料和工程设备等再次检验试验。</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）合格的，再次检验试验费和（或）延误的工期由发包人承担，并向承包人支付合理利润。</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）不合格的，发包人供应的，再次检验试验费和（或）延误的工期由发包人承担，并向承包人支付合理利润；承包人采购的，再次检验试验费和（或）延误的工期由承包人承担。</w:t>
      </w:r>
    </w:p>
    <w:p>
      <w:pPr>
        <w:spacing w:line="360" w:lineRule="auto"/>
        <w:rPr>
          <w:rFonts w:ascii="仿宋" w:hAnsi="仿宋" w:eastAsia="仿宋"/>
          <w:color w:val="auto"/>
          <w:highlight w:val="none"/>
          <w:lang w:eastAsia="zh-CN"/>
        </w:rPr>
      </w:pPr>
      <w:bookmarkStart w:id="810" w:name="_Toc27295"/>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color w:val="auto"/>
          <w:highlight w:val="none"/>
        </w:rPr>
        <mc:AlternateContent>
          <mc:Choice Requires="wps">
            <w:drawing>
              <wp:anchor distT="0" distB="0" distL="114300" distR="114300" simplePos="0" relativeHeight="251819008" behindDoc="0" locked="0" layoutInCell="1" allowOverlap="1">
                <wp:simplePos x="0" y="0"/>
                <wp:positionH relativeFrom="column">
                  <wp:posOffset>-114300</wp:posOffset>
                </wp:positionH>
                <wp:positionV relativeFrom="paragraph">
                  <wp:posOffset>245110</wp:posOffset>
                </wp:positionV>
                <wp:extent cx="814070" cy="576580"/>
                <wp:effectExtent l="0" t="0" r="0" b="0"/>
                <wp:wrapNone/>
                <wp:docPr id="157" name="文本框 901"/>
                <wp:cNvGraphicFramePr/>
                <a:graphic xmlns:a="http://schemas.openxmlformats.org/drawingml/2006/main">
                  <a:graphicData uri="http://schemas.microsoft.com/office/word/2010/wordprocessingShape">
                    <wps:wsp>
                      <wps:cNvSpPr txBox="1"/>
                      <wps:spPr>
                        <a:xfrm>
                          <a:off x="0" y="0"/>
                          <a:ext cx="814070" cy="57658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工程材料和工程设备质量有争议的处理</w:t>
                            </w:r>
                          </w:p>
                        </w:txbxContent>
                      </wps:txbx>
                      <wps:bodyPr wrap="square" upright="1"/>
                    </wps:wsp>
                  </a:graphicData>
                </a:graphic>
              </wp:anchor>
            </w:drawing>
          </mc:Choice>
          <mc:Fallback>
            <w:pict>
              <v:shape id="文本框 901" o:spid="_x0000_s1026" o:spt="202" type="#_x0000_t202" style="position:absolute;left:0pt;margin-left:-9pt;margin-top:19.3pt;height:45.4pt;width:64.1pt;z-index:251819008;mso-width-relative:page;mso-height-relative:page;" filled="f" stroked="f" coordsize="21600,21600" o:gfxdata="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xN1u9NgAAAAKAQAADwAAAAAAAAABACAAAAAiAAAAZHJzL2Rvd25yZXYueG1sUEsBAhQA&#10;FAAAAAgAh07iQMNJneG5AQAAXwMAAA4AAAAAAAAAAQAgAAAAJwEAAGRycy9lMm9Eb2MueG1sUEsF&#10;BgAAAAAGAAYAWQEAAFIFA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工程材料和工程设备质量有争议的处理</w:t>
                      </w:r>
                    </w:p>
                  </w:txbxContent>
                </v:textbox>
              </v:shape>
            </w:pict>
          </mc:Fallback>
        </mc:AlternateContent>
      </w:r>
      <w:bookmarkEnd w:id="810"/>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合同双方当事人对工程材料和工程设备等产品质量有争议的，所需的检验试验费由责任方承担。双方均有责任的，由双方根据其责任划分分别承担。</w:t>
      </w:r>
    </w:p>
    <w:p>
      <w:pPr>
        <w:pStyle w:val="7"/>
        <w:adjustRightInd w:val="0"/>
        <w:snapToGrid w:val="0"/>
        <w:spacing w:line="360" w:lineRule="auto"/>
        <w:ind w:firstLine="0"/>
        <w:rPr>
          <w:rFonts w:ascii="仿宋" w:hAnsi="仿宋" w:eastAsia="仿宋" w:cs="仿宋"/>
          <w:color w:val="auto"/>
          <w:highlight w:val="none"/>
          <w:u w:val="single"/>
          <w:lang w:eastAsia="zh-CN"/>
        </w:rPr>
      </w:pPr>
      <w:r>
        <w:rPr>
          <w:rFonts w:ascii="仿宋" w:hAnsi="仿宋" w:eastAsia="仿宋" w:cs="仿宋"/>
          <w:b/>
          <w:bCs/>
          <w:color w:val="auto"/>
          <w:highlight w:val="none"/>
          <w:u w:val="single"/>
          <w:lang w:eastAsia="zh-CN"/>
        </w:rPr>
        <w:t xml:space="preserve">                                                                                  </w:t>
      </w:r>
      <w:r>
        <w:rPr>
          <w:rFonts w:ascii="仿宋" w:hAnsi="仿宋" w:eastAsia="仿宋" w:cs="仿宋"/>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11" w:name="_Toc2190"/>
      <w:bookmarkStart w:id="812" w:name="_Toc8672"/>
      <w:bookmarkStart w:id="813" w:name="_Toc24341"/>
      <w:bookmarkStart w:id="814" w:name="_Toc19902"/>
      <w:bookmarkStart w:id="815" w:name="_Toc10420"/>
      <w:bookmarkStart w:id="816" w:name="_Toc14987"/>
      <w:bookmarkStart w:id="817" w:name="_Toc29214"/>
      <w:bookmarkStart w:id="818" w:name="_Toc3131"/>
      <w:r>
        <w:rPr>
          <w:rFonts w:ascii="仿宋" w:hAnsi="仿宋" w:eastAsia="仿宋" w:cs="仿宋"/>
          <w:bCs w:val="0"/>
          <w:color w:val="auto"/>
          <w:sz w:val="24"/>
          <w:szCs w:val="24"/>
          <w:highlight w:val="none"/>
          <w:lang w:eastAsia="zh-CN"/>
        </w:rPr>
        <w:t>5</w:t>
      </w:r>
      <w:r>
        <w:rPr>
          <w:rFonts w:hint="eastAsia" w:ascii="仿宋" w:hAnsi="仿宋" w:eastAsia="仿宋" w:cs="仿宋"/>
          <w:bCs w:val="0"/>
          <w:color w:val="auto"/>
          <w:sz w:val="24"/>
          <w:szCs w:val="24"/>
          <w:highlight w:val="none"/>
          <w:lang w:eastAsia="zh-CN"/>
        </w:rPr>
        <w:t>8</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施工设备和临时设施</w:t>
      </w:r>
      <w:bookmarkEnd w:id="811"/>
      <w:bookmarkEnd w:id="812"/>
      <w:bookmarkEnd w:id="813"/>
      <w:bookmarkEnd w:id="814"/>
      <w:bookmarkEnd w:id="815"/>
      <w:bookmarkEnd w:id="816"/>
      <w:bookmarkEnd w:id="817"/>
      <w:bookmarkEnd w:id="818"/>
    </w:p>
    <w:p>
      <w:pPr>
        <w:spacing w:line="360" w:lineRule="auto"/>
        <w:rPr>
          <w:rFonts w:ascii="仿宋" w:hAnsi="仿宋" w:eastAsia="仿宋" w:cs="仿宋"/>
          <w:b/>
          <w:bCs/>
          <w:color w:val="auto"/>
          <w:highlight w:val="none"/>
          <w:lang w:eastAsia="zh-CN"/>
        </w:rPr>
      </w:pPr>
      <w:bookmarkStart w:id="819" w:name="_Toc3020"/>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.1</w:t>
      </w:r>
      <w:bookmarkEnd w:id="819"/>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0032" behindDoc="0" locked="0" layoutInCell="1" allowOverlap="1">
                <wp:simplePos x="0" y="0"/>
                <wp:positionH relativeFrom="column">
                  <wp:posOffset>-73660</wp:posOffset>
                </wp:positionH>
                <wp:positionV relativeFrom="paragraph">
                  <wp:posOffset>5715</wp:posOffset>
                </wp:positionV>
                <wp:extent cx="831215" cy="579120"/>
                <wp:effectExtent l="0" t="0" r="0" b="0"/>
                <wp:wrapNone/>
                <wp:docPr id="158" name="文本框 902"/>
                <wp:cNvGraphicFramePr/>
                <a:graphic xmlns:a="http://schemas.openxmlformats.org/drawingml/2006/main">
                  <a:graphicData uri="http://schemas.microsoft.com/office/word/2010/wordprocessingShape">
                    <wps:wsp>
                      <wps:cNvSpPr txBox="1"/>
                      <wps:spPr>
                        <a:xfrm>
                          <a:off x="0" y="0"/>
                          <a:ext cx="831215" cy="57912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承包人配置的施工设备和临时设施</w:t>
                            </w:r>
                          </w:p>
                        </w:txbxContent>
                      </wps:txbx>
                      <wps:bodyPr wrap="square" upright="1"/>
                    </wps:wsp>
                  </a:graphicData>
                </a:graphic>
              </wp:anchor>
            </w:drawing>
          </mc:Choice>
          <mc:Fallback>
            <w:pict>
              <v:shape id="文本框 902" o:spid="_x0000_s1026" o:spt="202" type="#_x0000_t202" style="position:absolute;left:0pt;margin-left:-5.8pt;margin-top:0.45pt;height:45.6pt;width:65.45pt;z-index:251820032;mso-width-relative:page;mso-height-relative:page;" filled="f" stroked="f" coordsize="21600,21600" o:gfxdata="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v8jKF0wAAAAcBAAAPAAAAAAAAAAEAIAAAACIAAABkcnMvZG93bnJldi54bWxQSwECFAAUAAAA&#10;CACHTuJAZRNJo7oBAABfAwAADgAAAAAAAAABACAAAAAiAQAAZHJzL2Uyb0RvYy54bWxQSwUGAAAA&#10;AAYABgBZAQAATg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承包人配置的施工设备和临时设施</w:t>
                      </w:r>
                    </w:p>
                  </w:txbxContent>
                </v:textbox>
              </v:shape>
            </w:pict>
          </mc:Fallback>
        </mc:AlternateContent>
      </w:r>
      <w:r>
        <w:rPr>
          <w:rFonts w:hint="eastAsia" w:ascii="仿宋" w:hAnsi="仿宋" w:eastAsia="仿宋" w:cs="仿宋"/>
          <w:color w:val="auto"/>
          <w:highlight w:val="none"/>
          <w:lang w:eastAsia="zh-CN"/>
        </w:rPr>
        <w:t>承包人应按合同工程进度计划的要求，及时配置施工设备和修建临时设施。除专用条款另有约定外，承包人应自行承担修建临时设施的费用。需要临时占地的，发包人应办理其申请手续并承担相应费用。</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进入施工场地的承包人施工设备，需经监理人核查后才能投入使用。承包人更换合同约定范围施工设备的，应经监理人同意并由其报发包人批准后方可实施。</w:t>
      </w:r>
    </w:p>
    <w:p>
      <w:pPr>
        <w:spacing w:line="360" w:lineRule="auto"/>
        <w:rPr>
          <w:rFonts w:ascii="仿宋" w:hAnsi="仿宋" w:eastAsia="仿宋"/>
          <w:color w:val="auto"/>
          <w:highlight w:val="none"/>
          <w:lang w:eastAsia="zh-CN"/>
        </w:rPr>
      </w:pPr>
      <w:bookmarkStart w:id="820" w:name="_Toc233"/>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.2</w:t>
      </w:r>
      <w:bookmarkEnd w:id="820"/>
      <w:r>
        <w:rPr>
          <w:rFonts w:ascii="仿宋" w:hAnsi="仿宋" w:eastAsia="仿宋" w:cs="仿宋"/>
          <w:b/>
          <w:bCs/>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038144" behindDoc="0" locked="0" layoutInCell="1" allowOverlap="1">
                <wp:simplePos x="0" y="0"/>
                <wp:positionH relativeFrom="column">
                  <wp:posOffset>-66675</wp:posOffset>
                </wp:positionH>
                <wp:positionV relativeFrom="paragraph">
                  <wp:posOffset>18415</wp:posOffset>
                </wp:positionV>
                <wp:extent cx="844550" cy="526415"/>
                <wp:effectExtent l="0" t="0" r="0" b="0"/>
                <wp:wrapNone/>
                <wp:docPr id="371" name="文本框 903"/>
                <wp:cNvGraphicFramePr/>
                <a:graphic xmlns:a="http://schemas.openxmlformats.org/drawingml/2006/main">
                  <a:graphicData uri="http://schemas.microsoft.com/office/word/2010/wordprocessingShape">
                    <wps:wsp>
                      <wps:cNvSpPr txBox="1"/>
                      <wps:spPr>
                        <a:xfrm>
                          <a:off x="0" y="0"/>
                          <a:ext cx="844550" cy="526415"/>
                        </a:xfrm>
                        <a:prstGeom prst="rect">
                          <a:avLst/>
                        </a:prstGeom>
                        <a:noFill/>
                        <a:ln>
                          <a:noFill/>
                        </a:ln>
                      </wps:spPr>
                      <wps:txbx>
                        <w:txbxContent>
                          <w:p>
                            <w:pPr>
                              <w:spacing w:line="200" w:lineRule="exact"/>
                              <w:rPr>
                                <w:sz w:val="18"/>
                                <w:szCs w:val="18"/>
                                <w:lang w:eastAsia="zh-CN"/>
                              </w:rPr>
                            </w:pPr>
                            <w:r>
                              <w:rPr>
                                <w:rFonts w:hint="eastAsia" w:ascii="楷体_GB2312" w:hAnsi="宋体" w:eastAsia="楷体_GB2312" w:cs="楷体_GB2312"/>
                                <w:b/>
                                <w:bCs/>
                                <w:color w:val="000000"/>
                                <w:sz w:val="18"/>
                                <w:szCs w:val="18"/>
                                <w:lang w:eastAsia="zh-CN"/>
                              </w:rPr>
                              <w:t>发包人提供的施工设备和临时设施</w:t>
                            </w:r>
                          </w:p>
                        </w:txbxContent>
                      </wps:txbx>
                      <wps:bodyPr wrap="square" upright="1"/>
                    </wps:wsp>
                  </a:graphicData>
                </a:graphic>
              </wp:anchor>
            </w:drawing>
          </mc:Choice>
          <mc:Fallback>
            <w:pict>
              <v:shape id="文本框 903" o:spid="_x0000_s1026" o:spt="202" type="#_x0000_t202" style="position:absolute;left:0pt;margin-left:-5.25pt;margin-top:1.45pt;height:41.45pt;width:66.5pt;z-index:252038144;mso-width-relative:page;mso-height-relative:page;" filled="f" stroked="f" coordsize="21600,21600" o:gfxdata="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G/7TVrVAAAACAEAAA8AAAAAAAAAAQAgAAAAIgAAAGRycy9kb3ducmV2LnhtbFBLAQIUABQA&#10;AAAIAIdO4kA1XkrRugEAAF8DAAAOAAAAAAAAAAEAIAAAACQBAABkcnMvZTJvRG9jLnhtbFBLBQYA&#10;AAAABgAGAFkBAABQBQAAAAA=&#10;">
                <v:fill on="f" focussize="0,0"/>
                <v:stroke on="f"/>
                <v:imagedata o:title=""/>
                <o:lock v:ext="edit" aspectratio="f"/>
                <v:textbox>
                  <w:txbxContent>
                    <w:p>
                      <w:pPr>
                        <w:spacing w:line="200" w:lineRule="exact"/>
                        <w:rPr>
                          <w:sz w:val="18"/>
                          <w:szCs w:val="18"/>
                          <w:lang w:eastAsia="zh-CN"/>
                        </w:rPr>
                      </w:pPr>
                      <w:r>
                        <w:rPr>
                          <w:rFonts w:hint="eastAsia" w:ascii="楷体_GB2312" w:hAnsi="宋体" w:eastAsia="楷体_GB2312" w:cs="楷体_GB2312"/>
                          <w:b/>
                          <w:bCs/>
                          <w:color w:val="000000"/>
                          <w:sz w:val="18"/>
                          <w:szCs w:val="18"/>
                          <w:lang w:eastAsia="zh-CN"/>
                        </w:rPr>
                        <w:t>发包人提供的施工设备和临时设施</w:t>
                      </w:r>
                    </w:p>
                  </w:txbxContent>
                </v:textbox>
              </v:shape>
            </w:pict>
          </mc:Fallback>
        </mc:AlternateContent>
      </w:r>
      <w:r>
        <w:rPr>
          <w:rFonts w:hint="eastAsia" w:ascii="仿宋" w:hAnsi="仿宋" w:eastAsia="仿宋" w:cs="仿宋"/>
          <w:color w:val="auto"/>
          <w:highlight w:val="none"/>
          <w:lang w:eastAsia="zh-CN"/>
        </w:rPr>
        <w:t>如果发包人提供施工设备或临时设施的，合同双方当事人应在专用条款中约定施工设备或临时设施的品种、规格、型号和提供的时间、地点等内容。</w:t>
      </w:r>
    </w:p>
    <w:p>
      <w:pPr>
        <w:spacing w:line="360" w:lineRule="auto"/>
        <w:rPr>
          <w:rFonts w:ascii="仿宋" w:hAnsi="仿宋" w:eastAsia="仿宋"/>
          <w:b/>
          <w:bCs/>
          <w:color w:val="auto"/>
          <w:highlight w:val="none"/>
          <w:lang w:eastAsia="zh-CN"/>
        </w:rPr>
      </w:pPr>
      <w:bookmarkStart w:id="821" w:name="_Toc8979"/>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.3</w:t>
      </w:r>
      <w:bookmarkEnd w:id="82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1056" behindDoc="0" locked="0" layoutInCell="1" allowOverlap="1">
                <wp:simplePos x="0" y="0"/>
                <wp:positionH relativeFrom="column">
                  <wp:posOffset>-73660</wp:posOffset>
                </wp:positionH>
                <wp:positionV relativeFrom="paragraph">
                  <wp:posOffset>8890</wp:posOffset>
                </wp:positionV>
                <wp:extent cx="796925" cy="509905"/>
                <wp:effectExtent l="0" t="0" r="0" b="0"/>
                <wp:wrapNone/>
                <wp:docPr id="159" name="文本框 904"/>
                <wp:cNvGraphicFramePr/>
                <a:graphic xmlns:a="http://schemas.openxmlformats.org/drawingml/2006/main">
                  <a:graphicData uri="http://schemas.microsoft.com/office/word/2010/wordprocessingShape">
                    <wps:wsp>
                      <wps:cNvSpPr txBox="1"/>
                      <wps:spPr>
                        <a:xfrm>
                          <a:off x="0" y="0"/>
                          <a:ext cx="796925" cy="50990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承包人增加或更换施工设备</w:t>
                            </w:r>
                          </w:p>
                        </w:txbxContent>
                      </wps:txbx>
                      <wps:bodyPr wrap="square" upright="1"/>
                    </wps:wsp>
                  </a:graphicData>
                </a:graphic>
              </wp:anchor>
            </w:drawing>
          </mc:Choice>
          <mc:Fallback>
            <w:pict>
              <v:shape id="文本框 904" o:spid="_x0000_s1026" o:spt="202" type="#_x0000_t202" style="position:absolute;left:0pt;margin-left:-5.8pt;margin-top:0.7pt;height:40.15pt;width:62.75pt;z-index:251821056;mso-width-relative:page;mso-height-relative:page;" filled="f" stroked="f" coordsize="21600,21600" o:gfxdata="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GWMvDTWAAAACAEAAA8AAAAAAAAAAQAgAAAAIgAAAGRycy9kb3ducmV2LnhtbFBLAQIUABQA&#10;AAAIAIdO4kDos2tVuQEAAF8DAAAOAAAAAAAAAAEAIAAAACUBAABkcnMvZTJvRG9jLnhtbFBLBQYA&#10;AAAABgAGAFkBAABQBQ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承包人增加或更换施工设备</w:t>
                      </w:r>
                    </w:p>
                  </w:txbxContent>
                </v:textbox>
              </v:shape>
            </w:pict>
          </mc:Fallback>
        </mc:AlternateContent>
      </w:r>
      <w:r>
        <w:rPr>
          <w:rFonts w:hint="eastAsia" w:ascii="仿宋" w:hAnsi="仿宋" w:eastAsia="仿宋" w:cs="仿宋"/>
          <w:color w:val="auto"/>
          <w:highlight w:val="none"/>
          <w:lang w:eastAsia="zh-CN"/>
        </w:rPr>
        <w:t>如果承包人使用的施工设备不能满足合同工程进度计划和（或）质量要求的，监理人有权要求承包人增加或更换施工设备，承包人应及时增加或更换，由此增加的费用和（或）延误的工期由承包人承担。</w:t>
      </w:r>
    </w:p>
    <w:p>
      <w:pPr>
        <w:spacing w:line="360" w:lineRule="auto"/>
        <w:rPr>
          <w:rFonts w:ascii="仿宋" w:hAnsi="仿宋" w:eastAsia="仿宋"/>
          <w:b/>
          <w:bCs/>
          <w:color w:val="auto"/>
          <w:highlight w:val="none"/>
          <w:lang w:eastAsia="zh-CN"/>
        </w:rPr>
      </w:pPr>
      <w:bookmarkStart w:id="822" w:name="_Toc4997"/>
      <w:r>
        <w:rPr>
          <w:rFonts w:ascii="仿宋" w:hAnsi="仿宋" w:eastAsia="仿宋" w:cs="仿宋"/>
          <w:b/>
          <w:bCs/>
          <w:color w:val="auto"/>
          <w:highlight w:val="none"/>
          <w:lang w:eastAsia="zh-CN"/>
        </w:rPr>
        <w:t>5</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.4</w:t>
      </w:r>
      <w:bookmarkEnd w:id="82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运至施工现场的施工设备和在施工现场修建的临时设施，均应视为专门用于实施合同工程。除经监理人同意并由其报发包人批准，承包人可根据合同工程进度计划撤走闲置的施工设备</w:t>
      </w:r>
      <w:r>
        <w:rPr>
          <w:color w:val="auto"/>
          <w:highlight w:val="none"/>
        </w:rPr>
        <mc:AlternateContent>
          <mc:Choice Requires="wps">
            <w:drawing>
              <wp:anchor distT="0" distB="0" distL="114300" distR="114300" simplePos="0" relativeHeight="251822080" behindDoc="0" locked="0" layoutInCell="1" allowOverlap="1">
                <wp:simplePos x="0" y="0"/>
                <wp:positionH relativeFrom="column">
                  <wp:posOffset>-114300</wp:posOffset>
                </wp:positionH>
                <wp:positionV relativeFrom="paragraph">
                  <wp:posOffset>46355</wp:posOffset>
                </wp:positionV>
                <wp:extent cx="813435" cy="595630"/>
                <wp:effectExtent l="0" t="0" r="0" b="0"/>
                <wp:wrapNone/>
                <wp:docPr id="160" name="文本框 905"/>
                <wp:cNvGraphicFramePr/>
                <a:graphic xmlns:a="http://schemas.openxmlformats.org/drawingml/2006/main">
                  <a:graphicData uri="http://schemas.microsoft.com/office/word/2010/wordprocessingShape">
                    <wps:wsp>
                      <wps:cNvSpPr txBox="1"/>
                      <wps:spPr>
                        <a:xfrm>
                          <a:off x="0" y="0"/>
                          <a:ext cx="813435" cy="595630"/>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施工设备和临时设施的使用要求</w:t>
                            </w:r>
                          </w:p>
                        </w:txbxContent>
                      </wps:txbx>
                      <wps:bodyPr wrap="square" upright="1"/>
                    </wps:wsp>
                  </a:graphicData>
                </a:graphic>
              </wp:anchor>
            </w:drawing>
          </mc:Choice>
          <mc:Fallback>
            <w:pict>
              <v:shape id="文本框 905" o:spid="_x0000_s1026" o:spt="202" type="#_x0000_t202" style="position:absolute;left:0pt;margin-left:-9pt;margin-top:3.65pt;height:46.9pt;width:64.05pt;z-index:251822080;mso-width-relative:page;mso-height-relative:page;" filled="f" stroked="f" coordsize="21600,21600" o:gfxdata="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gFBgPVAAAACQEAAA8AAAAAAAAAAQAgAAAAIgAAAGRycy9kb3ducmV2LnhtbFBLAQIUABQA&#10;AAAIAIdO4kCEmfbcugEAAF8DAAAOAAAAAAAAAAEAIAAAACQBAABkcnMvZTJvRG9jLnhtbFBLBQYA&#10;AAAABgAGAFkBAABQBQ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施工设备和临时设施的使用要求</w:t>
                      </w:r>
                    </w:p>
                  </w:txbxContent>
                </v:textbox>
              </v:shape>
            </w:pict>
          </mc:Fallback>
        </mc:AlternateContent>
      </w:r>
      <w:r>
        <w:rPr>
          <w:rFonts w:hint="eastAsia" w:ascii="仿宋" w:hAnsi="仿宋" w:eastAsia="仿宋" w:cs="仿宋"/>
          <w:color w:val="auto"/>
          <w:highlight w:val="none"/>
          <w:lang w:eastAsia="zh-CN"/>
        </w:rPr>
        <w:t>外，承包人不得将上述施工设备和临时设施中的任何部分运出施工场地或挪作他用。</w:t>
      </w:r>
    </w:p>
    <w:p>
      <w:pPr>
        <w:pStyle w:val="22"/>
        <w:tabs>
          <w:tab w:val="left" w:pos="54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23" w:name="_Toc14140"/>
      <w:bookmarkStart w:id="824" w:name="_Toc21609"/>
      <w:bookmarkStart w:id="825" w:name="_Toc17655"/>
      <w:bookmarkStart w:id="826" w:name="_Toc13052"/>
      <w:bookmarkStart w:id="827" w:name="_Toc22574"/>
      <w:bookmarkStart w:id="828" w:name="_Toc9331"/>
      <w:bookmarkStart w:id="829" w:name="_Toc2528"/>
      <w:bookmarkStart w:id="830" w:name="_Toc21732"/>
      <w:r>
        <w:rPr>
          <w:rFonts w:hint="eastAsia" w:ascii="仿宋" w:hAnsi="仿宋" w:eastAsia="仿宋" w:cs="仿宋"/>
          <w:bCs w:val="0"/>
          <w:color w:val="auto"/>
          <w:sz w:val="24"/>
          <w:szCs w:val="24"/>
          <w:highlight w:val="none"/>
          <w:lang w:eastAsia="zh-CN"/>
        </w:rPr>
        <w:t>★59</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工程质量检查</w:t>
      </w:r>
      <w:bookmarkEnd w:id="823"/>
      <w:bookmarkEnd w:id="824"/>
      <w:bookmarkEnd w:id="825"/>
      <w:bookmarkEnd w:id="826"/>
      <w:bookmarkEnd w:id="827"/>
      <w:bookmarkEnd w:id="828"/>
      <w:bookmarkEnd w:id="829"/>
      <w:bookmarkEnd w:id="830"/>
    </w:p>
    <w:p>
      <w:pPr>
        <w:spacing w:line="360" w:lineRule="auto"/>
        <w:rPr>
          <w:rFonts w:ascii="仿宋" w:hAnsi="仿宋" w:eastAsia="仿宋" w:cs="仿宋"/>
          <w:b/>
          <w:bCs/>
          <w:color w:val="auto"/>
          <w:highlight w:val="none"/>
          <w:lang w:eastAsia="zh-CN"/>
        </w:rPr>
      </w:pPr>
      <w:bookmarkStart w:id="831" w:name="_Toc8383"/>
      <w:r>
        <w:rPr>
          <w:rFonts w:hint="eastAsia" w:ascii="仿宋" w:hAnsi="仿宋" w:eastAsia="仿宋" w:cs="仿宋"/>
          <w:b/>
          <w:bCs/>
          <w:color w:val="auto"/>
          <w:highlight w:val="none"/>
          <w:lang w:eastAsia="zh-CN"/>
        </w:rPr>
        <w:t>59</w:t>
      </w:r>
      <w:r>
        <w:rPr>
          <w:rFonts w:ascii="仿宋" w:hAnsi="仿宋" w:eastAsia="仿宋" w:cs="仿宋"/>
          <w:b/>
          <w:bCs/>
          <w:color w:val="auto"/>
          <w:highlight w:val="none"/>
          <w:lang w:eastAsia="zh-CN"/>
        </w:rPr>
        <w:t>.1</w:t>
      </w:r>
      <w:bookmarkEnd w:id="831"/>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3104" behindDoc="0" locked="0" layoutInCell="1" allowOverlap="1">
                <wp:simplePos x="0" y="0"/>
                <wp:positionH relativeFrom="column">
                  <wp:posOffset>-73660</wp:posOffset>
                </wp:positionH>
                <wp:positionV relativeFrom="paragraph">
                  <wp:posOffset>5715</wp:posOffset>
                </wp:positionV>
                <wp:extent cx="782955" cy="556895"/>
                <wp:effectExtent l="0" t="0" r="0" b="0"/>
                <wp:wrapNone/>
                <wp:docPr id="161" name="文本框 906"/>
                <wp:cNvGraphicFramePr/>
                <a:graphic xmlns:a="http://schemas.openxmlformats.org/drawingml/2006/main">
                  <a:graphicData uri="http://schemas.microsoft.com/office/word/2010/wordprocessingShape">
                    <wps:wsp>
                      <wps:cNvSpPr txBox="1"/>
                      <wps:spPr>
                        <a:xfrm>
                          <a:off x="0" y="0"/>
                          <a:ext cx="782955" cy="556895"/>
                        </a:xfrm>
                        <a:prstGeom prst="rect">
                          <a:avLst/>
                        </a:prstGeom>
                        <a:noFill/>
                        <a:ln>
                          <a:noFill/>
                        </a:ln>
                      </wps:spPr>
                      <wps:txb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承包人对工程质量检查的义务</w:t>
                            </w:r>
                          </w:p>
                        </w:txbxContent>
                      </wps:txbx>
                      <wps:bodyPr wrap="square" upright="1"/>
                    </wps:wsp>
                  </a:graphicData>
                </a:graphic>
              </wp:anchor>
            </w:drawing>
          </mc:Choice>
          <mc:Fallback>
            <w:pict>
              <v:shape id="文本框 906" o:spid="_x0000_s1026" o:spt="202" type="#_x0000_t202" style="position:absolute;left:0pt;margin-left:-5.8pt;margin-top:0.45pt;height:43.85pt;width:61.65pt;z-index:251823104;mso-width-relative:page;mso-height-relative:page;" filled="f" stroked="f" coordsize="21600,21600" o:gfxdata="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p2S1r0wAAAAcBAAAPAAAAAAAAAAEAIAAAACIAAABkcnMvZG93bnJldi54bWxQSwECFAAUAAAA&#10;CACHTuJAMgAcsLoBAABfAwAADgAAAAAAAAABACAAAAAiAQAAZHJzL2Uyb0RvYy54bWxQSwUGAAAA&#10;AAYABgBZAQAATgUAAAAA&#10;">
                <v:fill on="f" focussize="0,0"/>
                <v:stroke on="f"/>
                <v:imagedata o:title=""/>
                <o:lock v:ext="edit" aspectratio="f"/>
                <v:textbox>
                  <w:txbxContent>
                    <w:p>
                      <w:pPr>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承包人对工程质量检查的义务</w:t>
                      </w:r>
                    </w:p>
                  </w:txbxContent>
                </v:textbox>
              </v:shape>
            </w:pict>
          </mc:Fallback>
        </mc:AlternateContent>
      </w:r>
      <w:r>
        <w:rPr>
          <w:rFonts w:hint="eastAsia" w:ascii="仿宋" w:hAnsi="仿宋" w:eastAsia="仿宋" w:cs="仿宋"/>
          <w:color w:val="auto"/>
          <w:highlight w:val="none"/>
          <w:lang w:eastAsia="zh-CN"/>
        </w:rPr>
        <w:t>承包人应按照标准与规范、设计要求以及监理人依据合同约定发出的指令施工，确保工程质量，随时接受监理工程师的检查，并为监理工程师的检查（包括监理工程师到施工场地，或合同约定的其他地方察看和查阅施工原始记录等）提供便利和协助。</w:t>
      </w:r>
    </w:p>
    <w:p>
      <w:pPr>
        <w:spacing w:line="360" w:lineRule="auto"/>
        <w:rPr>
          <w:rFonts w:ascii="仿宋" w:hAnsi="仿宋" w:eastAsia="仿宋"/>
          <w:b/>
          <w:bCs/>
          <w:color w:val="auto"/>
          <w:highlight w:val="none"/>
          <w:lang w:eastAsia="zh-CN"/>
        </w:rPr>
      </w:pPr>
      <w:bookmarkStart w:id="832" w:name="_Toc26104"/>
      <w:r>
        <w:rPr>
          <w:rFonts w:hint="eastAsia" w:ascii="仿宋" w:hAnsi="仿宋" w:eastAsia="仿宋" w:cs="仿宋"/>
          <w:b/>
          <w:bCs/>
          <w:color w:val="auto"/>
          <w:highlight w:val="none"/>
          <w:lang w:eastAsia="zh-CN"/>
        </w:rPr>
        <w:t>59</w:t>
      </w:r>
      <w:r>
        <w:rPr>
          <w:rFonts w:ascii="仿宋" w:hAnsi="仿宋" w:eastAsia="仿宋" w:cs="仿宋"/>
          <w:b/>
          <w:bCs/>
          <w:color w:val="auto"/>
          <w:highlight w:val="none"/>
          <w:lang w:eastAsia="zh-CN"/>
        </w:rPr>
        <w:t>.2</w:t>
      </w:r>
      <w:bookmarkEnd w:id="83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4128" behindDoc="0" locked="0" layoutInCell="1" allowOverlap="1">
                <wp:simplePos x="0" y="0"/>
                <wp:positionH relativeFrom="column">
                  <wp:posOffset>-73660</wp:posOffset>
                </wp:positionH>
                <wp:positionV relativeFrom="paragraph">
                  <wp:posOffset>8890</wp:posOffset>
                </wp:positionV>
                <wp:extent cx="824865" cy="556895"/>
                <wp:effectExtent l="0" t="0" r="0" b="0"/>
                <wp:wrapNone/>
                <wp:docPr id="162" name="文本框 907"/>
                <wp:cNvGraphicFramePr/>
                <a:graphic xmlns:a="http://schemas.openxmlformats.org/drawingml/2006/main">
                  <a:graphicData uri="http://schemas.microsoft.com/office/word/2010/wordprocessingShape">
                    <wps:wsp>
                      <wps:cNvSpPr txBox="1"/>
                      <wps:spPr>
                        <a:xfrm>
                          <a:off x="0" y="0"/>
                          <a:ext cx="824865" cy="556895"/>
                        </a:xfrm>
                        <a:prstGeom prst="rect">
                          <a:avLst/>
                        </a:prstGeom>
                        <a:noFill/>
                        <a:ln>
                          <a:noFill/>
                        </a:ln>
                      </wps:spPr>
                      <wps:txbx>
                        <w:txbxContent>
                          <w:p>
                            <w:pPr>
                              <w:spacing w:line="24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工程质量检查的要求</w:t>
                            </w:r>
                          </w:p>
                        </w:txbxContent>
                      </wps:txbx>
                      <wps:bodyPr wrap="square" upright="1"/>
                    </wps:wsp>
                  </a:graphicData>
                </a:graphic>
              </wp:anchor>
            </w:drawing>
          </mc:Choice>
          <mc:Fallback>
            <w:pict>
              <v:shape id="文本框 907" o:spid="_x0000_s1026" o:spt="202" type="#_x0000_t202" style="position:absolute;left:0pt;margin-left:-5.8pt;margin-top:0.7pt;height:43.85pt;width:64.95pt;z-index:251824128;mso-width-relative:page;mso-height-relative:page;" filled="f" stroked="f" coordsize="21600,21600" o:gfxdata="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ANeUCTVAAAACAEAAA8AAAAAAAAAAQAgAAAAIgAAAGRycy9kb3ducmV2LnhtbFBLAQIUABQA&#10;AAAIAIdO4kBs0jBf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工程质量检查的要求</w:t>
                      </w:r>
                    </w:p>
                  </w:txbxContent>
                </v:textbox>
              </v:shape>
            </w:pict>
          </mc:Fallback>
        </mc:AlternateContent>
      </w:r>
      <w:r>
        <w:rPr>
          <w:rFonts w:hint="eastAsia" w:ascii="仿宋" w:hAnsi="仿宋" w:eastAsia="仿宋" w:cs="仿宋"/>
          <w:color w:val="auto"/>
          <w:highlight w:val="none"/>
          <w:lang w:eastAsia="zh-CN"/>
        </w:rPr>
        <w:t>承包人应按照合同约定对合同工程的所有部位及其施工工艺进行全过程的质量检查，并做好详细记录，编制工程质量报表，提交监理人核实并由其报发包人审批。发包人应通知监理人及时对合同工程的所有部位及其施工工艺进行检查；发现质量不合格的，监理人应迅速向承包人发出书面指令，通知承包人立即拆除和重新施工。即使经监理人检查，也不能免除承包人按照合同约定应承担的任何责任和应履行的任何义务。</w:t>
      </w:r>
    </w:p>
    <w:p>
      <w:pPr>
        <w:spacing w:line="360" w:lineRule="auto"/>
        <w:rPr>
          <w:rFonts w:ascii="仿宋" w:hAnsi="仿宋" w:eastAsia="仿宋"/>
          <w:b/>
          <w:bCs/>
          <w:color w:val="auto"/>
          <w:highlight w:val="none"/>
          <w:lang w:eastAsia="zh-CN"/>
        </w:rPr>
      </w:pPr>
      <w:bookmarkStart w:id="833" w:name="_Toc20962"/>
      <w:r>
        <w:rPr>
          <w:rFonts w:hint="eastAsia" w:ascii="仿宋" w:hAnsi="仿宋" w:eastAsia="仿宋" w:cs="仿宋"/>
          <w:b/>
          <w:bCs/>
          <w:color w:val="auto"/>
          <w:highlight w:val="none"/>
          <w:lang w:eastAsia="zh-CN"/>
        </w:rPr>
        <w:t>59</w:t>
      </w:r>
      <w:r>
        <w:rPr>
          <w:rFonts w:ascii="仿宋" w:hAnsi="仿宋" w:eastAsia="仿宋" w:cs="仿宋"/>
          <w:b/>
          <w:bCs/>
          <w:color w:val="auto"/>
          <w:highlight w:val="none"/>
          <w:lang w:eastAsia="zh-CN"/>
        </w:rPr>
        <w:t>.3</w:t>
      </w:r>
      <w:bookmarkEnd w:id="83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5152" behindDoc="0" locked="0" layoutInCell="1" allowOverlap="1">
                <wp:simplePos x="0" y="0"/>
                <wp:positionH relativeFrom="column">
                  <wp:posOffset>-73660</wp:posOffset>
                </wp:positionH>
                <wp:positionV relativeFrom="paragraph">
                  <wp:posOffset>8890</wp:posOffset>
                </wp:positionV>
                <wp:extent cx="844550" cy="576580"/>
                <wp:effectExtent l="0" t="0" r="0" b="0"/>
                <wp:wrapNone/>
                <wp:docPr id="163" name="文本框 908"/>
                <wp:cNvGraphicFramePr/>
                <a:graphic xmlns:a="http://schemas.openxmlformats.org/drawingml/2006/main">
                  <a:graphicData uri="http://schemas.microsoft.com/office/word/2010/wordprocessingShape">
                    <wps:wsp>
                      <wps:cNvSpPr txBox="1"/>
                      <wps:spPr>
                        <a:xfrm>
                          <a:off x="0" y="0"/>
                          <a:ext cx="844550" cy="57658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工程质量不达标准的处理和责任</w:t>
                            </w:r>
                          </w:p>
                        </w:txbxContent>
                      </wps:txbx>
                      <wps:bodyPr wrap="square" upright="1"/>
                    </wps:wsp>
                  </a:graphicData>
                </a:graphic>
              </wp:anchor>
            </w:drawing>
          </mc:Choice>
          <mc:Fallback>
            <w:pict>
              <v:shape id="文本框 908" o:spid="_x0000_s1026" o:spt="202" type="#_x0000_t202" style="position:absolute;left:0pt;margin-left:-5.8pt;margin-top:0.7pt;height:45.4pt;width:66.5pt;z-index:251825152;mso-width-relative:page;mso-height-relative:page;" filled="f" stroked="f" coordsize="21600,21600" o:gfxdata="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U/hpUdQAAAAIAQAADwAAAAAAAAABACAAAAAiAAAAZHJzL2Rvd25yZXYueG1sUEsBAhQAFAAA&#10;AAgAh07iQGb04Lu6AQAAXwMAAA4AAAAAAAAAAQAgAAAAIw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工程质量不达标准的处理和责任</w:t>
                      </w:r>
                    </w:p>
                  </w:txbxContent>
                </v:textbox>
              </v:shape>
            </w:pict>
          </mc:Fallback>
        </mc:AlternateContent>
      </w:r>
      <w:r>
        <w:rPr>
          <w:rFonts w:hint="eastAsia" w:ascii="仿宋" w:hAnsi="仿宋" w:eastAsia="仿宋" w:cs="仿宋"/>
          <w:color w:val="auto"/>
          <w:highlight w:val="none"/>
          <w:lang w:eastAsia="zh-CN"/>
        </w:rPr>
        <w:t>发现工程质量达不到合同约定验收标准，承包人应拆除和重新施工，直到符合合同约定验收标准为止。因承包人的原因达不到合同约定验收标准的，由此增加的费用和（或）延误的工期由承包人承担；因发包人的原因达不到合同约定验收标准的，包括承包人拆除和重新施工费用在内的由此增加的费用和（或）延误的工期由发包人承担，并向承包人支付合理利润。</w:t>
      </w:r>
    </w:p>
    <w:p>
      <w:pPr>
        <w:spacing w:line="360" w:lineRule="auto"/>
        <w:rPr>
          <w:rFonts w:ascii="仿宋" w:hAnsi="仿宋" w:eastAsia="仿宋"/>
          <w:b/>
          <w:bCs/>
          <w:color w:val="auto"/>
          <w:highlight w:val="none"/>
          <w:lang w:eastAsia="zh-CN"/>
        </w:rPr>
      </w:pPr>
      <w:bookmarkStart w:id="834" w:name="_Toc20500"/>
      <w:r>
        <w:rPr>
          <w:rFonts w:hint="eastAsia" w:ascii="仿宋" w:hAnsi="仿宋" w:eastAsia="仿宋" w:cs="仿宋"/>
          <w:b/>
          <w:bCs/>
          <w:color w:val="auto"/>
          <w:highlight w:val="none"/>
          <w:lang w:eastAsia="zh-CN"/>
        </w:rPr>
        <w:t>59</w:t>
      </w:r>
      <w:r>
        <w:rPr>
          <w:rFonts w:ascii="仿宋" w:hAnsi="仿宋" w:eastAsia="仿宋" w:cs="仿宋"/>
          <w:b/>
          <w:bCs/>
          <w:color w:val="auto"/>
          <w:highlight w:val="none"/>
          <w:lang w:eastAsia="zh-CN"/>
        </w:rPr>
        <w:t>.4</w:t>
      </w:r>
      <w:bookmarkEnd w:id="83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6176" behindDoc="0" locked="0" layoutInCell="1" allowOverlap="1">
                <wp:simplePos x="0" y="0"/>
                <wp:positionH relativeFrom="column">
                  <wp:posOffset>-114300</wp:posOffset>
                </wp:positionH>
                <wp:positionV relativeFrom="paragraph">
                  <wp:posOffset>46355</wp:posOffset>
                </wp:positionV>
                <wp:extent cx="784860" cy="437515"/>
                <wp:effectExtent l="0" t="0" r="0" b="0"/>
                <wp:wrapNone/>
                <wp:docPr id="164" name="文本框 909"/>
                <wp:cNvGraphicFramePr/>
                <a:graphic xmlns:a="http://schemas.openxmlformats.org/drawingml/2006/main">
                  <a:graphicData uri="http://schemas.microsoft.com/office/word/2010/wordprocessingShape">
                    <wps:wsp>
                      <wps:cNvSpPr txBox="1"/>
                      <wps:spPr>
                        <a:xfrm>
                          <a:off x="0" y="0"/>
                          <a:ext cx="784860" cy="43751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质量检查不得影响施工</w:t>
                            </w:r>
                          </w:p>
                        </w:txbxContent>
                      </wps:txbx>
                      <wps:bodyPr wrap="square" upright="1"/>
                    </wps:wsp>
                  </a:graphicData>
                </a:graphic>
              </wp:anchor>
            </w:drawing>
          </mc:Choice>
          <mc:Fallback>
            <w:pict>
              <v:shape id="文本框 909" o:spid="_x0000_s1026" o:spt="202" type="#_x0000_t202" style="position:absolute;left:0pt;margin-left:-9pt;margin-top:3.65pt;height:34.45pt;width:61.8pt;z-index:251826176;mso-width-relative:page;mso-height-relative:page;" filled="f" stroked="f" coordsize="21600,21600" o:gfxdata="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X/+NDVAAAACAEAAA8AAAAAAAAAAQAgAAAAIgAAAGRycy9kb3ducmV2LnhtbFBLAQIUABQA&#10;AAAIAIdO4kCsB2Ij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质量检查不得影响施工</w:t>
                      </w:r>
                    </w:p>
                  </w:txbxContent>
                </v:textbox>
              </v:shape>
            </w:pict>
          </mc:Fallback>
        </mc:AlternateContent>
      </w:r>
      <w:r>
        <w:rPr>
          <w:rFonts w:hint="eastAsia" w:ascii="仿宋" w:hAnsi="仿宋" w:eastAsia="仿宋" w:cs="仿宋"/>
          <w:color w:val="auto"/>
          <w:highlight w:val="none"/>
          <w:lang w:eastAsia="zh-CN"/>
        </w:rPr>
        <w:t>监理人对合同工程质量的检查，不得影响承包人的正常施工。如影响施工正常进行，承包人应向发包人、监理人发出书面改正通知；监理人应及时予以改正，否则承包人有权提出并得到补偿。</w:t>
      </w:r>
    </w:p>
    <w:p>
      <w:pPr>
        <w:spacing w:line="360" w:lineRule="auto"/>
        <w:rPr>
          <w:rFonts w:ascii="仿宋" w:hAnsi="仿宋" w:eastAsia="仿宋"/>
          <w:b/>
          <w:bCs/>
          <w:color w:val="auto"/>
          <w:highlight w:val="none"/>
          <w:lang w:eastAsia="zh-CN"/>
        </w:rPr>
      </w:pPr>
      <w:bookmarkStart w:id="835" w:name="_Toc29086"/>
      <w:r>
        <w:rPr>
          <w:rFonts w:hint="eastAsia" w:ascii="仿宋" w:hAnsi="仿宋" w:eastAsia="仿宋" w:cs="仿宋"/>
          <w:b/>
          <w:bCs/>
          <w:color w:val="auto"/>
          <w:highlight w:val="none"/>
          <w:lang w:eastAsia="zh-CN"/>
        </w:rPr>
        <w:t>59</w:t>
      </w:r>
      <w:r>
        <w:rPr>
          <w:rFonts w:ascii="仿宋" w:hAnsi="仿宋" w:eastAsia="仿宋" w:cs="仿宋"/>
          <w:b/>
          <w:bCs/>
          <w:color w:val="auto"/>
          <w:highlight w:val="none"/>
          <w:lang w:eastAsia="zh-CN"/>
        </w:rPr>
        <w:t>.5</w:t>
      </w:r>
      <w:bookmarkEnd w:id="83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827200" behindDoc="0" locked="0" layoutInCell="1" allowOverlap="1">
                <wp:simplePos x="0" y="0"/>
                <wp:positionH relativeFrom="column">
                  <wp:posOffset>-114300</wp:posOffset>
                </wp:positionH>
                <wp:positionV relativeFrom="paragraph">
                  <wp:posOffset>46355</wp:posOffset>
                </wp:positionV>
                <wp:extent cx="803910" cy="628015"/>
                <wp:effectExtent l="0" t="0" r="0" b="0"/>
                <wp:wrapNone/>
                <wp:docPr id="165" name="文本框 910"/>
                <wp:cNvGraphicFramePr/>
                <a:graphic xmlns:a="http://schemas.openxmlformats.org/drawingml/2006/main">
                  <a:graphicData uri="http://schemas.microsoft.com/office/word/2010/wordprocessingShape">
                    <wps:wsp>
                      <wps:cNvSpPr txBox="1"/>
                      <wps:spPr>
                        <a:xfrm>
                          <a:off x="0" y="0"/>
                          <a:ext cx="803910" cy="62801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现场工艺试验</w:t>
                            </w:r>
                          </w:p>
                        </w:txbxContent>
                      </wps:txbx>
                      <wps:bodyPr wrap="square" upright="1"/>
                    </wps:wsp>
                  </a:graphicData>
                </a:graphic>
              </wp:anchor>
            </w:drawing>
          </mc:Choice>
          <mc:Fallback>
            <w:pict>
              <v:shape id="文本框 910" o:spid="_x0000_s1026" o:spt="202" type="#_x0000_t202" style="position:absolute;left:0pt;margin-left:-9pt;margin-top:3.65pt;height:49.45pt;width:63.3pt;z-index:251827200;mso-width-relative:page;mso-height-relative:page;" filled="f" stroked="f" coordsize="21600,21600" o:gfxdata="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PvwodfWAAAACQEAAA8AAAAAAAAAAQAgAAAAIgAAAGRycy9kb3ducmV2LnhtbFBLAQIUABQAAAAI&#10;AIdO4kBa1/5stgEAAF8DAAAOAAAAAAAAAAEAIAAAACUBAABkcnMvZTJvRG9jLnhtbFBLBQYAAAAA&#10;BgAGAFkBAABN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现场工艺试验</w:t>
                      </w:r>
                    </w:p>
                  </w:txbxContent>
                </v:textbox>
              </v:shape>
            </w:pict>
          </mc:Fallback>
        </mc:AlternateContent>
      </w:r>
      <w:r>
        <w:rPr>
          <w:rFonts w:hint="eastAsia" w:ascii="仿宋" w:hAnsi="仿宋" w:eastAsia="仿宋" w:cs="仿宋"/>
          <w:color w:val="auto"/>
          <w:highlight w:val="none"/>
          <w:lang w:eastAsia="zh-CN"/>
        </w:rPr>
        <w:t>如合同有约定或监理人发出书面指令，承包人应进行现场工艺试验。监理人报发包人批准后，认为有必要进行大型现场工艺试验的，承包人应根据监理人提出的书面要求，编制工艺试验措施计划，提交监理人确认并由其报发包人审批。除工程量清单中已经列有此类工作的支付项目和额度外，由此增加的费用和（或）延误的工期由发包人承担。</w:t>
      </w:r>
    </w:p>
    <w:p>
      <w:pPr>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36" w:name="_Toc9364"/>
      <w:bookmarkStart w:id="837" w:name="_Toc12057"/>
      <w:bookmarkStart w:id="838" w:name="_Toc5940"/>
      <w:bookmarkStart w:id="839" w:name="_Toc29599"/>
      <w:bookmarkStart w:id="840" w:name="_Toc16551"/>
      <w:bookmarkStart w:id="841" w:name="_Toc845"/>
      <w:bookmarkStart w:id="842" w:name="_Toc1754"/>
      <w:bookmarkStart w:id="843" w:name="_Toc12638"/>
      <w:r>
        <w:rPr>
          <w:rFonts w:hint="eastAsia" w:ascii="仿宋" w:hAnsi="仿宋" w:eastAsia="仿宋" w:cs="仿宋"/>
          <w:bCs w:val="0"/>
          <w:color w:val="auto"/>
          <w:sz w:val="24"/>
          <w:szCs w:val="24"/>
          <w:highlight w:val="none"/>
          <w:lang w:eastAsia="zh-CN"/>
        </w:rPr>
        <w:t>★60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隐蔽工程和中间验收</w:t>
      </w:r>
      <w:bookmarkEnd w:id="836"/>
      <w:bookmarkEnd w:id="837"/>
      <w:bookmarkEnd w:id="838"/>
      <w:bookmarkEnd w:id="839"/>
      <w:bookmarkEnd w:id="840"/>
      <w:bookmarkEnd w:id="841"/>
      <w:bookmarkEnd w:id="842"/>
      <w:bookmarkEnd w:id="843"/>
    </w:p>
    <w:p>
      <w:pPr>
        <w:pStyle w:val="7"/>
        <w:tabs>
          <w:tab w:val="left" w:pos="1320"/>
        </w:tabs>
        <w:adjustRightInd w:val="0"/>
        <w:snapToGrid w:val="0"/>
        <w:spacing w:line="360" w:lineRule="auto"/>
        <w:ind w:firstLine="0"/>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60</w:t>
      </w:r>
      <w:r>
        <w:rPr>
          <w:rFonts w:ascii="仿宋" w:hAnsi="仿宋" w:eastAsia="仿宋" w:cs="仿宋"/>
          <w:b/>
          <w:bCs/>
          <w:color w:val="auto"/>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8224" behindDoc="0" locked="0" layoutInCell="1" allowOverlap="1">
                <wp:simplePos x="0" y="0"/>
                <wp:positionH relativeFrom="column">
                  <wp:posOffset>-73660</wp:posOffset>
                </wp:positionH>
                <wp:positionV relativeFrom="paragraph">
                  <wp:posOffset>17780</wp:posOffset>
                </wp:positionV>
                <wp:extent cx="796290" cy="570230"/>
                <wp:effectExtent l="0" t="0" r="0" b="0"/>
                <wp:wrapNone/>
                <wp:docPr id="166" name="文本框 911"/>
                <wp:cNvGraphicFramePr/>
                <a:graphic xmlns:a="http://schemas.openxmlformats.org/drawingml/2006/main">
                  <a:graphicData uri="http://schemas.microsoft.com/office/word/2010/wordprocessingShape">
                    <wps:wsp>
                      <wps:cNvSpPr txBox="1"/>
                      <wps:spPr>
                        <a:xfrm>
                          <a:off x="0" y="0"/>
                          <a:ext cx="796290" cy="57023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隐蔽工程和中间验收的通知</w:t>
                            </w:r>
                          </w:p>
                        </w:txbxContent>
                      </wps:txbx>
                      <wps:bodyPr wrap="square" upright="1"/>
                    </wps:wsp>
                  </a:graphicData>
                </a:graphic>
              </wp:anchor>
            </w:drawing>
          </mc:Choice>
          <mc:Fallback>
            <w:pict>
              <v:shape id="文本框 911" o:spid="_x0000_s1026" o:spt="202" type="#_x0000_t202" style="position:absolute;left:0pt;margin-left:-5.8pt;margin-top:1.4pt;height:44.9pt;width:62.7pt;z-index:251828224;mso-width-relative:page;mso-height-relative:page;" filled="f" stroked="f" coordsize="21600,21600" o:gfxdata="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8Q8wr9UAAAAIAQAADwAAAAAAAAABACAAAAAiAAAAZHJzL2Rvd25yZXYueG1sUEsBAhQAFAAA&#10;AAgAh07iQMLs7D+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隐蔽工程和中间验收的通知</w:t>
                      </w:r>
                    </w:p>
                  </w:txbxContent>
                </v:textbox>
              </v:shape>
            </w:pict>
          </mc:Fallback>
        </mc:AlternateContent>
      </w:r>
      <w:r>
        <w:rPr>
          <w:rFonts w:hint="eastAsia" w:ascii="仿宋" w:hAnsi="仿宋" w:eastAsia="仿宋" w:cs="仿宋"/>
          <w:color w:val="auto"/>
          <w:highlight w:val="none"/>
          <w:lang w:eastAsia="zh-CN"/>
        </w:rPr>
        <w:t>没有经监理人验收同意，任何分部分项工程均不得覆盖或隐蔽。隐蔽工程覆盖前或中间验收部位具备专用条款约定的验收条件时，承包人应进行自检，并在隐蔽或中间验收前</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向监理人提出隐蔽工程或中间验收申请，通知监理人验收。通知的内容包括工程隐蔽或中间验收的内容、时间、地点，以及自检记录和必要的验收资料。承包人应准备施工记录、验收表格，并提供必要的资料和协助。</w:t>
      </w:r>
    </w:p>
    <w:p>
      <w:pPr>
        <w:spacing w:line="360" w:lineRule="auto"/>
        <w:rPr>
          <w:rFonts w:ascii="仿宋" w:hAnsi="仿宋" w:eastAsia="仿宋"/>
          <w:color w:val="auto"/>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2039168" behindDoc="0" locked="0" layoutInCell="1" allowOverlap="1">
                <wp:simplePos x="0" y="0"/>
                <wp:positionH relativeFrom="column">
                  <wp:posOffset>-114300</wp:posOffset>
                </wp:positionH>
                <wp:positionV relativeFrom="paragraph">
                  <wp:posOffset>281940</wp:posOffset>
                </wp:positionV>
                <wp:extent cx="785495" cy="464820"/>
                <wp:effectExtent l="0" t="0" r="0" b="0"/>
                <wp:wrapNone/>
                <wp:docPr id="372" name="文本框 912"/>
                <wp:cNvGraphicFramePr/>
                <a:graphic xmlns:a="http://schemas.openxmlformats.org/drawingml/2006/main">
                  <a:graphicData uri="http://schemas.microsoft.com/office/word/2010/wordprocessingShape">
                    <wps:wsp>
                      <wps:cNvSpPr txBox="1"/>
                      <wps:spPr>
                        <a:xfrm>
                          <a:off x="0" y="0"/>
                          <a:ext cx="785495" cy="46482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参加验收的限制</w:t>
                            </w:r>
                          </w:p>
                        </w:txbxContent>
                      </wps:txbx>
                      <wps:bodyPr wrap="square" upright="1"/>
                    </wps:wsp>
                  </a:graphicData>
                </a:graphic>
              </wp:anchor>
            </w:drawing>
          </mc:Choice>
          <mc:Fallback>
            <w:pict>
              <v:shape id="文本框 912" o:spid="_x0000_s1026" o:spt="202" type="#_x0000_t202" style="position:absolute;left:0pt;margin-left:-9pt;margin-top:22.2pt;height:36.6pt;width:61.85pt;z-index:252039168;mso-width-relative:page;mso-height-relative:page;" filled="f" stroked="f" coordsize="21600,21600" o:gfxdata="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mVjZ6dgAAAAKAQAADwAAAAAAAAABACAAAAAiAAAAZHJzL2Rvd25yZXYueG1sUEsB&#10;AhQAFAAAAAgAh07iQPhP5ZS8AQAAXwMAAA4AAAAAAAAAAQAgAAAAJwEAAGRycy9lMm9Eb2MueG1s&#10;UEsFBgAAAAAGAAYAWQEAAFU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参加验收的限制</w:t>
                      </w:r>
                    </w:p>
                  </w:txbxContent>
                </v:textbox>
              </v:shape>
            </w:pict>
          </mc:Fallback>
        </mc:AlternateContent>
      </w:r>
      <w:r>
        <w:rPr>
          <w:rFonts w:hint="eastAsia" w:ascii="仿宋" w:hAnsi="仿宋" w:eastAsia="仿宋" w:cs="仿宋"/>
          <w:b/>
          <w:bCs/>
          <w:color w:val="auto"/>
          <w:highlight w:val="none"/>
          <w:lang w:eastAsia="zh-CN"/>
        </w:rPr>
        <w:t>60</w:t>
      </w:r>
      <w:r>
        <w:rPr>
          <w:rFonts w:ascii="仿宋" w:hAnsi="仿宋" w:eastAsia="仿宋" w:cs="仿宋"/>
          <w:b/>
          <w:bCs/>
          <w:color w:val="auto"/>
          <w:highlight w:val="none"/>
          <w:lang w:eastAsia="zh-CN"/>
        </w:rPr>
        <w:t xml:space="preserve">.2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如果监理人不能按时参加验收，应至少提前</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小时发出延期验收指令并书面说明理由，延期不得超过</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小时。如果监理人或其委派的代表未发出延期验收指令也未到场验收，承包人必须停止验收并通知发包人代表；由此增加的费用和（或）延误的工期由发包人承担，并向承包人支付合理利润。</w:t>
      </w:r>
    </w:p>
    <w:p>
      <w:pPr>
        <w:spacing w:line="360" w:lineRule="auto"/>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29248" behindDoc="0" locked="0" layoutInCell="1" allowOverlap="1">
                <wp:simplePos x="0" y="0"/>
                <wp:positionH relativeFrom="column">
                  <wp:posOffset>-114300</wp:posOffset>
                </wp:positionH>
                <wp:positionV relativeFrom="paragraph">
                  <wp:posOffset>300355</wp:posOffset>
                </wp:positionV>
                <wp:extent cx="813435" cy="624840"/>
                <wp:effectExtent l="0" t="0" r="0" b="0"/>
                <wp:wrapNone/>
                <wp:docPr id="167" name="文本框 913"/>
                <wp:cNvGraphicFramePr/>
                <a:graphic xmlns:a="http://schemas.openxmlformats.org/drawingml/2006/main">
                  <a:graphicData uri="http://schemas.microsoft.com/office/word/2010/wordprocessingShape">
                    <wps:wsp>
                      <wps:cNvSpPr txBox="1"/>
                      <wps:spPr>
                        <a:xfrm>
                          <a:off x="0" y="0"/>
                          <a:ext cx="813435" cy="62484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验收结果的确认</w:t>
                            </w:r>
                          </w:p>
                        </w:txbxContent>
                      </wps:txbx>
                      <wps:bodyPr wrap="square" upright="1"/>
                    </wps:wsp>
                  </a:graphicData>
                </a:graphic>
              </wp:anchor>
            </w:drawing>
          </mc:Choice>
          <mc:Fallback>
            <w:pict>
              <v:shape id="文本框 913" o:spid="_x0000_s1026" o:spt="202" type="#_x0000_t202" style="position:absolute;left:0pt;margin-left:-9pt;margin-top:23.65pt;height:49.2pt;width:64.05pt;z-index:251829248;mso-width-relative:page;mso-height-relative:page;" filled="f" stroked="f" coordsize="21600,21600" o:gfxdata="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Yxa5DdcAAAAKAQAADwAAAAAAAAABACAAAAAiAAAAZHJzL2Rvd25yZXYueG1sUEsBAhQA&#10;FAAAAAgAh07iQI2Lq0W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验收结果的确认</w:t>
                      </w:r>
                    </w:p>
                  </w:txbxContent>
                </v:textbox>
              </v:shape>
            </w:pict>
          </mc:Fallback>
        </mc:AlternateContent>
      </w:r>
      <w:r>
        <w:rPr>
          <w:rFonts w:hint="eastAsia" w:ascii="仿宋" w:hAnsi="仿宋" w:eastAsia="仿宋" w:cs="仿宋"/>
          <w:b/>
          <w:bCs/>
          <w:color w:val="auto"/>
          <w:highlight w:val="none"/>
          <w:lang w:eastAsia="zh-CN"/>
        </w:rPr>
        <w:t>60</w:t>
      </w:r>
      <w:r>
        <w:rPr>
          <w:rFonts w:ascii="仿宋" w:hAnsi="仿宋" w:eastAsia="仿宋" w:cs="仿宋"/>
          <w:b/>
          <w:bCs/>
          <w:color w:val="auto"/>
          <w:highlight w:val="none"/>
          <w:lang w:eastAsia="zh-CN"/>
        </w:rPr>
        <w:t xml:space="preserve">.3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验收合格的，监理工程师应在验收记录上签字，并形成验收文件，承包人可进行隐蔽或继续施工。验收合格</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小时后，监理工程师仍不在验收记录上签字，视为监理工程师已认可验收记录。</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验收不合格的，承包人应按照监理人的指令修改后重新验收，由此增加的费用和（或）延误的工期由承包人承担。</w:t>
      </w:r>
    </w:p>
    <w:p>
      <w:pPr>
        <w:spacing w:line="360" w:lineRule="auto"/>
        <w:rPr>
          <w:rFonts w:ascii="仿宋" w:hAnsi="仿宋" w:eastAsia="仿宋"/>
          <w:color w:val="auto"/>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2040192" behindDoc="0" locked="0" layoutInCell="1" allowOverlap="1">
                <wp:simplePos x="0" y="0"/>
                <wp:positionH relativeFrom="column">
                  <wp:posOffset>-114300</wp:posOffset>
                </wp:positionH>
                <wp:positionV relativeFrom="paragraph">
                  <wp:posOffset>245110</wp:posOffset>
                </wp:positionV>
                <wp:extent cx="804545" cy="401320"/>
                <wp:effectExtent l="0" t="0" r="0" b="0"/>
                <wp:wrapNone/>
                <wp:docPr id="373" name="文本框 914"/>
                <wp:cNvGraphicFramePr/>
                <a:graphic xmlns:a="http://schemas.openxmlformats.org/drawingml/2006/main">
                  <a:graphicData uri="http://schemas.microsoft.com/office/word/2010/wordprocessingShape">
                    <wps:wsp>
                      <wps:cNvSpPr txBox="1"/>
                      <wps:spPr>
                        <a:xfrm>
                          <a:off x="0" y="0"/>
                          <a:ext cx="804545" cy="40132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隐蔽工程的拍摄或照相</w:t>
                            </w:r>
                          </w:p>
                        </w:txbxContent>
                      </wps:txbx>
                      <wps:bodyPr wrap="square" upright="1"/>
                    </wps:wsp>
                  </a:graphicData>
                </a:graphic>
              </wp:anchor>
            </w:drawing>
          </mc:Choice>
          <mc:Fallback>
            <w:pict>
              <v:shape id="文本框 914" o:spid="_x0000_s1026" o:spt="202" type="#_x0000_t202" style="position:absolute;left:0pt;margin-left:-9pt;margin-top:19.3pt;height:31.6pt;width:63.35pt;z-index:252040192;mso-width-relative:page;mso-height-relative:page;" filled="f" stroked="f" coordsize="21600,21600" o:gfxdata="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K81ZvjXAAAACgEAAA8AAAAAAAAAAQAgAAAAIgAAAGRycy9kb3ducmV2LnhtbFBLAQIU&#10;ABQAAAAIAIdO4kDErm1DuwEAAF8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隐蔽工程的拍摄或照相</w:t>
                      </w:r>
                    </w:p>
                  </w:txbxContent>
                </v:textbox>
              </v:shape>
            </w:pict>
          </mc:Fallback>
        </mc:AlternateContent>
      </w:r>
      <w:r>
        <w:rPr>
          <w:rFonts w:hint="eastAsia" w:ascii="仿宋" w:hAnsi="仿宋" w:eastAsia="仿宋" w:cs="仿宋"/>
          <w:b/>
          <w:bCs/>
          <w:color w:val="auto"/>
          <w:highlight w:val="none"/>
          <w:lang w:eastAsia="zh-CN"/>
        </w:rPr>
        <w:t>60</w:t>
      </w:r>
      <w:r>
        <w:rPr>
          <w:rFonts w:ascii="仿宋" w:hAnsi="仿宋" w:eastAsia="仿宋" w:cs="仿宋"/>
          <w:b/>
          <w:bCs/>
          <w:color w:val="auto"/>
          <w:highlight w:val="none"/>
          <w:lang w:eastAsia="zh-CN"/>
        </w:rPr>
        <w:t xml:space="preserve">.4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color w:val="auto"/>
          <w:highlight w:val="none"/>
          <w:lang w:eastAsia="zh-CN"/>
        </w:rPr>
      </w:pPr>
      <w:r>
        <w:rPr>
          <w:rFonts w:hint="eastAsia" w:ascii="仿宋" w:hAnsi="仿宋" w:eastAsia="仿宋" w:cs="仿宋"/>
          <w:color w:val="auto"/>
          <w:highlight w:val="none"/>
          <w:lang w:eastAsia="zh-CN"/>
        </w:rPr>
        <w:t>如监理工程师有指令，承包人应对隐蔽工程进行拍摄或照相，保证监理工程师能充分检查和测量隐蔽的工程。</w:t>
      </w:r>
    </w:p>
    <w:p>
      <w:pPr>
        <w:spacing w:line="360" w:lineRule="auto"/>
        <w:rPr>
          <w:rFonts w:ascii="仿宋" w:hAnsi="仿宋" w:eastAsia="仿宋"/>
          <w:b/>
          <w:bCs/>
          <w:color w:val="auto"/>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2041216" behindDoc="0" locked="0" layoutInCell="1" allowOverlap="1">
                <wp:simplePos x="0" y="0"/>
                <wp:positionH relativeFrom="column">
                  <wp:posOffset>-114300</wp:posOffset>
                </wp:positionH>
                <wp:positionV relativeFrom="paragraph">
                  <wp:posOffset>245110</wp:posOffset>
                </wp:positionV>
                <wp:extent cx="575945" cy="249555"/>
                <wp:effectExtent l="0" t="0" r="0" b="0"/>
                <wp:wrapNone/>
                <wp:docPr id="374" name="文本框 915"/>
                <wp:cNvGraphicFramePr/>
                <a:graphic xmlns:a="http://schemas.openxmlformats.org/drawingml/2006/main">
                  <a:graphicData uri="http://schemas.microsoft.com/office/word/2010/wordprocessingShape">
                    <wps:wsp>
                      <wps:cNvSpPr txBox="1"/>
                      <wps:spPr>
                        <a:xfrm>
                          <a:off x="0" y="0"/>
                          <a:ext cx="575945" cy="249555"/>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承包人私自隐蔽</w:t>
                            </w:r>
                          </w:p>
                        </w:txbxContent>
                      </wps:txbx>
                      <wps:bodyPr wrap="square" upright="1"/>
                    </wps:wsp>
                  </a:graphicData>
                </a:graphic>
              </wp:anchor>
            </w:drawing>
          </mc:Choice>
          <mc:Fallback>
            <w:pict>
              <v:shape id="文本框 915" o:spid="_x0000_s1026" o:spt="202" type="#_x0000_t202" style="position:absolute;left:0pt;margin-left:-9pt;margin-top:19.3pt;height:19.65pt;width:45.35pt;z-index:252041216;mso-width-relative:page;mso-height-relative:page;" filled="f" stroked="f" coordsize="21600,21600" o:gfxdata="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CRiQ73XAAAACAEAAA8AAAAAAAAAAQAgAAAAIgAAAGRycy9kb3ducmV2LnhtbFBLAQIU&#10;ABQAAAAIAIdO4kBbx/oJuwEAAF8DAAAOAAAAAAAAAAEAIAAAACYBAABkcnMvZTJvRG9jLnhtbFBL&#10;BQYAAAAABgAGAFkBAABTBQ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承包人私自隐蔽</w:t>
                      </w:r>
                    </w:p>
                  </w:txbxContent>
                </v:textbox>
              </v:shape>
            </w:pict>
          </mc:Fallback>
        </mc:AlternateContent>
      </w:r>
      <w:r>
        <w:rPr>
          <w:rFonts w:hint="eastAsia" w:ascii="仿宋" w:hAnsi="仿宋" w:eastAsia="仿宋" w:cs="仿宋"/>
          <w:b/>
          <w:bCs/>
          <w:color w:val="auto"/>
          <w:highlight w:val="none"/>
          <w:lang w:eastAsia="zh-CN"/>
        </w:rPr>
        <w:t>60</w:t>
      </w:r>
      <w:r>
        <w:rPr>
          <w:rFonts w:ascii="仿宋" w:hAnsi="仿宋" w:eastAsia="仿宋" w:cs="仿宋"/>
          <w:b/>
          <w:bCs/>
          <w:color w:val="auto"/>
          <w:highlight w:val="none"/>
          <w:lang w:eastAsia="zh-CN"/>
        </w:rPr>
        <w:t xml:space="preserve">.5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承包人未通知监理工程师到场验收，私自将隐蔽工程覆盖的，监理工程师有权指令承包人进行钻孔探测或剥露验收，由此增加的费用和（或）延误的工期由承包人承担。</w:t>
      </w:r>
    </w:p>
    <w:p>
      <w:pPr>
        <w:pStyle w:val="7"/>
        <w:adjustRightInd w:val="0"/>
        <w:snapToGrid w:val="0"/>
        <w:spacing w:line="360" w:lineRule="auto"/>
        <w:ind w:firstLine="0"/>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4"/>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44" w:name="_Toc28088"/>
      <w:bookmarkStart w:id="845" w:name="_Toc12945"/>
      <w:bookmarkStart w:id="846" w:name="_Toc31987"/>
      <w:bookmarkStart w:id="847" w:name="_Toc19031"/>
      <w:bookmarkStart w:id="848" w:name="_Toc27107"/>
      <w:bookmarkStart w:id="849" w:name="_Toc30520"/>
      <w:bookmarkStart w:id="850" w:name="_Toc12349"/>
      <w:bookmarkStart w:id="851" w:name="_Toc195"/>
      <w:r>
        <w:rPr>
          <w:rFonts w:hint="eastAsia" w:ascii="仿宋" w:hAnsi="仿宋" w:eastAsia="仿宋" w:cs="仿宋"/>
          <w:bCs w:val="0"/>
          <w:color w:val="auto"/>
          <w:sz w:val="24"/>
          <w:szCs w:val="24"/>
          <w:highlight w:val="none"/>
          <w:lang w:eastAsia="zh-CN"/>
        </w:rPr>
        <w:t>★61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重新验收和额外检查检验</w:t>
      </w:r>
      <w:bookmarkEnd w:id="844"/>
      <w:bookmarkEnd w:id="845"/>
      <w:bookmarkEnd w:id="846"/>
      <w:bookmarkEnd w:id="847"/>
      <w:bookmarkEnd w:id="848"/>
      <w:bookmarkEnd w:id="849"/>
      <w:bookmarkEnd w:id="850"/>
      <w:bookmarkEnd w:id="851"/>
    </w:p>
    <w:p>
      <w:pPr>
        <w:pStyle w:val="7"/>
        <w:adjustRightInd w:val="0"/>
        <w:snapToGrid w:val="0"/>
        <w:spacing w:line="360" w:lineRule="auto"/>
        <w:ind w:firstLine="0"/>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61</w:t>
      </w:r>
      <w:r>
        <w:rPr>
          <w:rFonts w:ascii="仿宋" w:hAnsi="仿宋" w:eastAsia="仿宋" w:cs="仿宋"/>
          <w:b/>
          <w:bCs/>
          <w:color w:val="auto"/>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2042240" behindDoc="0" locked="0" layoutInCell="1" allowOverlap="1">
                <wp:simplePos x="0" y="0"/>
                <wp:positionH relativeFrom="column">
                  <wp:posOffset>-114300</wp:posOffset>
                </wp:positionH>
                <wp:positionV relativeFrom="paragraph">
                  <wp:posOffset>65405</wp:posOffset>
                </wp:positionV>
                <wp:extent cx="817245" cy="521970"/>
                <wp:effectExtent l="0" t="0" r="0" b="0"/>
                <wp:wrapNone/>
                <wp:docPr id="375" name="文本框 916"/>
                <wp:cNvGraphicFramePr/>
                <a:graphic xmlns:a="http://schemas.openxmlformats.org/drawingml/2006/main">
                  <a:graphicData uri="http://schemas.microsoft.com/office/word/2010/wordprocessingShape">
                    <wps:wsp>
                      <wps:cNvSpPr txBox="1"/>
                      <wps:spPr>
                        <a:xfrm>
                          <a:off x="0" y="0"/>
                          <a:ext cx="817245" cy="52197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重新验收</w:t>
                            </w:r>
                          </w:p>
                        </w:txbxContent>
                      </wps:txbx>
                      <wps:bodyPr wrap="square" upright="1"/>
                    </wps:wsp>
                  </a:graphicData>
                </a:graphic>
              </wp:anchor>
            </w:drawing>
          </mc:Choice>
          <mc:Fallback>
            <w:pict>
              <v:shape id="文本框 916" o:spid="_x0000_s1026" o:spt="202" type="#_x0000_t202" style="position:absolute;left:0pt;margin-left:-9pt;margin-top:5.15pt;height:41.1pt;width:64.35pt;z-index:252042240;mso-width-relative:page;mso-height-relative:page;" filled="f" stroked="f" coordsize="21600,21600" o:gfxdata="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KwJlItYAAAAJAQAADwAAAAAAAAABACAAAAAiAAAAZHJzL2Rvd25yZXYueG1sUEsBAhQA&#10;FAAAAAgAh07iQBPLvhG7AQAAXw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重新验收</w:t>
                      </w:r>
                    </w:p>
                  </w:txbxContent>
                </v:textbox>
              </v:shape>
            </w:pict>
          </mc:Fallback>
        </mc:AlternateContent>
      </w:r>
      <w:r>
        <w:rPr>
          <w:rFonts w:hint="eastAsia" w:ascii="仿宋" w:hAnsi="仿宋" w:eastAsia="仿宋" w:cs="仿宋"/>
          <w:color w:val="auto"/>
          <w:highlight w:val="none"/>
          <w:lang w:eastAsia="zh-CN"/>
        </w:rPr>
        <w:t>当监理工程师对已经覆盖的隐蔽工程有疑问，要求重新验收时，承包人应按照要求对已覆盖的部位进行钻孔探测或剥露，并在验收后重新覆盖恢复原状。验收合格的，由此增加的费用和（或）延误的工期由发包人承担，并向承包人支付合理利润；验收不合格的，承包人应按照监理工程师的指令重新返工，直到验收合格为止，由此增加的费用和（或）延误的工期由承包人承担。</w:t>
      </w:r>
    </w:p>
    <w:p>
      <w:pPr>
        <w:pStyle w:val="7"/>
        <w:tabs>
          <w:tab w:val="left" w:pos="540"/>
          <w:tab w:val="left" w:pos="720"/>
        </w:tabs>
        <w:adjustRightInd w:val="0"/>
        <w:snapToGrid w:val="0"/>
        <w:spacing w:line="360" w:lineRule="auto"/>
        <w:ind w:firstLine="0"/>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62</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30272" behindDoc="0" locked="0" layoutInCell="1" allowOverlap="1">
                <wp:simplePos x="0" y="0"/>
                <wp:positionH relativeFrom="column">
                  <wp:posOffset>-114300</wp:posOffset>
                </wp:positionH>
                <wp:positionV relativeFrom="paragraph">
                  <wp:posOffset>7620</wp:posOffset>
                </wp:positionV>
                <wp:extent cx="791210" cy="528320"/>
                <wp:effectExtent l="0" t="0" r="0" b="0"/>
                <wp:wrapNone/>
                <wp:docPr id="168" name="文本框 917"/>
                <wp:cNvGraphicFramePr/>
                <a:graphic xmlns:a="http://schemas.openxmlformats.org/drawingml/2006/main">
                  <a:graphicData uri="http://schemas.microsoft.com/office/word/2010/wordprocessingShape">
                    <wps:wsp>
                      <wps:cNvSpPr txBox="1"/>
                      <wps:spPr>
                        <a:xfrm>
                          <a:off x="0" y="0"/>
                          <a:ext cx="791210" cy="52832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额外检查检验</w:t>
                            </w:r>
                          </w:p>
                        </w:txbxContent>
                      </wps:txbx>
                      <wps:bodyPr wrap="square" upright="1"/>
                    </wps:wsp>
                  </a:graphicData>
                </a:graphic>
              </wp:anchor>
            </w:drawing>
          </mc:Choice>
          <mc:Fallback>
            <w:pict>
              <v:shape id="文本框 917" o:spid="_x0000_s1026" o:spt="202" type="#_x0000_t202" style="position:absolute;left:0pt;margin-left:-9pt;margin-top:0.6pt;height:41.6pt;width:62.3pt;z-index:251830272;mso-width-relative:page;mso-height-relative:page;" filled="f" stroked="f" coordsize="21600,21600" o:gfxdata="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BqCT6NUAAAAIAQAADwAAAAAAAAABACAAAAAiAAAAZHJzL2Rvd25yZXYueG1sUEsBAhQAFAAA&#10;AAgAh07iQNlrgXm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额外检查检验</w:t>
                      </w:r>
                    </w:p>
                  </w:txbxContent>
                </v:textbox>
              </v:shape>
            </w:pict>
          </mc:Fallback>
        </mc:AlternateContent>
      </w:r>
      <w:r>
        <w:rPr>
          <w:rFonts w:hint="eastAsia" w:ascii="仿宋" w:hAnsi="仿宋" w:eastAsia="仿宋" w:cs="仿宋"/>
          <w:color w:val="auto"/>
          <w:highlight w:val="none"/>
          <w:lang w:eastAsia="zh-CN"/>
        </w:rPr>
        <w:t>当监理工程师指令承包人进行合同中没有约定的检查检验，以核实合同工程某一部位或某种工程材料和工程设备等产品是否有缺陷时，承包人应按照要求进行检查检验。存在缺陷的，分别按照第</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7.7款、第59</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款约定处理；没有缺陷的，检查检验的费用和（或）延误的工期由发包人承担，并向承包人支付合理利润。</w:t>
      </w:r>
    </w:p>
    <w:p>
      <w:pPr>
        <w:adjustRightInd w:val="0"/>
        <w:snapToGrid w:val="0"/>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52" w:name="_Toc14295"/>
      <w:bookmarkStart w:id="853" w:name="_Toc21836"/>
      <w:bookmarkStart w:id="854" w:name="_Toc1654"/>
      <w:bookmarkStart w:id="855" w:name="_Toc17005"/>
      <w:bookmarkStart w:id="856" w:name="_Toc15226"/>
      <w:bookmarkStart w:id="857" w:name="_Toc31773"/>
      <w:bookmarkStart w:id="858" w:name="_Toc18116"/>
      <w:bookmarkStart w:id="859" w:name="_Toc7475"/>
      <w:r>
        <w:rPr>
          <w:rFonts w:hint="eastAsia" w:ascii="仿宋" w:hAnsi="仿宋" w:eastAsia="仿宋" w:cs="仿宋"/>
          <w:bCs w:val="0"/>
          <w:color w:val="auto"/>
          <w:sz w:val="24"/>
          <w:szCs w:val="24"/>
          <w:highlight w:val="none"/>
          <w:lang w:eastAsia="zh-CN"/>
        </w:rPr>
        <w:t>62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工程试车</w:t>
      </w:r>
      <w:bookmarkEnd w:id="852"/>
      <w:bookmarkEnd w:id="853"/>
      <w:bookmarkEnd w:id="854"/>
      <w:bookmarkEnd w:id="855"/>
      <w:bookmarkEnd w:id="856"/>
      <w:bookmarkEnd w:id="857"/>
      <w:bookmarkEnd w:id="858"/>
      <w:bookmarkEnd w:id="859"/>
    </w:p>
    <w:p>
      <w:pPr>
        <w:rPr>
          <w:rFonts w:ascii="仿宋" w:hAnsi="仿宋" w:eastAsia="仿宋"/>
          <w:b/>
          <w:bCs/>
          <w:color w:val="auto"/>
          <w:highlight w:val="none"/>
          <w:lang w:eastAsia="zh-CN"/>
        </w:rPr>
      </w:pPr>
      <w:bookmarkStart w:id="860" w:name="_Toc32034"/>
      <w:r>
        <w:rPr>
          <w:rFonts w:hint="eastAsia" w:ascii="仿宋" w:hAnsi="仿宋" w:eastAsia="仿宋" w:cs="仿宋"/>
          <w:b/>
          <w:bCs/>
          <w:color w:val="auto"/>
          <w:highlight w:val="none"/>
          <w:lang w:eastAsia="zh-CN"/>
        </w:rPr>
        <w:t>62</w:t>
      </w:r>
      <w:r>
        <w:rPr>
          <w:rFonts w:ascii="仿宋" w:hAnsi="仿宋" w:eastAsia="仿宋" w:cs="仿宋"/>
          <w:b/>
          <w:bCs/>
          <w:color w:val="auto"/>
          <w:highlight w:val="none"/>
          <w:lang w:eastAsia="zh-CN"/>
        </w:rPr>
        <w:t>.1</w:t>
      </w:r>
      <w:bookmarkEnd w:id="860"/>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31296" behindDoc="0" locked="0" layoutInCell="1" allowOverlap="1">
                <wp:simplePos x="0" y="0"/>
                <wp:positionH relativeFrom="column">
                  <wp:posOffset>-114300</wp:posOffset>
                </wp:positionH>
                <wp:positionV relativeFrom="paragraph">
                  <wp:posOffset>16510</wp:posOffset>
                </wp:positionV>
                <wp:extent cx="846455" cy="300355"/>
                <wp:effectExtent l="0" t="0" r="0" b="0"/>
                <wp:wrapNone/>
                <wp:docPr id="169" name="文本框 918"/>
                <wp:cNvGraphicFramePr/>
                <a:graphic xmlns:a="http://schemas.openxmlformats.org/drawingml/2006/main">
                  <a:graphicData uri="http://schemas.microsoft.com/office/word/2010/wordprocessingShape">
                    <wps:wsp>
                      <wps:cNvSpPr txBox="1"/>
                      <wps:spPr>
                        <a:xfrm>
                          <a:off x="0" y="0"/>
                          <a:ext cx="846455" cy="300355"/>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试车内容</w:t>
                            </w:r>
                          </w:p>
                        </w:txbxContent>
                      </wps:txbx>
                      <wps:bodyPr wrap="square" upright="1"/>
                    </wps:wsp>
                  </a:graphicData>
                </a:graphic>
              </wp:anchor>
            </w:drawing>
          </mc:Choice>
          <mc:Fallback>
            <w:pict>
              <v:shape id="文本框 918" o:spid="_x0000_s1026" o:spt="202" type="#_x0000_t202" style="position:absolute;left:0pt;margin-left:-9pt;margin-top:1.3pt;height:23.65pt;width:66.65pt;z-index:251831296;mso-width-relative:page;mso-height-relative:page;" filled="f" stroked="f" coordsize="21600,21600" o:gfxdata="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Knyx1LWAAAACAEAAA8AAAAAAAAAAQAgAAAAIgAAAGRycy9kb3ducmV2LnhtbFBLAQIUABQA&#10;AAAIAIdO4kCmvPrQuQEAAF8DAAAOAAAAAAAAAAEAIAAAACUBAABkcnMvZTJvRG9jLnhtbFBLBQYA&#10;AAAABgAGAFkBAABQBQ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试车内容</w:t>
                      </w:r>
                    </w:p>
                  </w:txbxContent>
                </v:textbox>
              </v:shape>
            </w:pict>
          </mc:Fallback>
        </mc:AlternateContent>
      </w:r>
      <w:r>
        <w:rPr>
          <w:rFonts w:hint="eastAsia" w:ascii="仿宋" w:hAnsi="仿宋" w:eastAsia="仿宋" w:cs="仿宋"/>
          <w:color w:val="auto"/>
          <w:highlight w:val="none"/>
          <w:lang w:eastAsia="zh-CN"/>
        </w:rPr>
        <w:t>按照合同约定需要试车的，试车的内容应与承包人承包的安装范围相一致。</w:t>
      </w:r>
    </w:p>
    <w:p>
      <w:pPr>
        <w:spacing w:line="360" w:lineRule="auto"/>
        <w:rPr>
          <w:rFonts w:ascii="仿宋" w:hAnsi="仿宋" w:eastAsia="仿宋" w:cs="仿宋"/>
          <w:b/>
          <w:bCs/>
          <w:color w:val="auto"/>
          <w:highlight w:val="none"/>
          <w:u w:val="dotted"/>
          <w:lang w:eastAsia="zh-CN"/>
        </w:rPr>
      </w:pPr>
      <w:bookmarkStart w:id="861" w:name="_Toc28883"/>
      <w:r>
        <w:rPr>
          <w:rFonts w:hint="eastAsia" w:ascii="仿宋" w:hAnsi="仿宋" w:eastAsia="仿宋" w:cs="仿宋"/>
          <w:b/>
          <w:bCs/>
          <w:color w:val="auto"/>
          <w:highlight w:val="none"/>
          <w:lang w:eastAsia="zh-CN"/>
        </w:rPr>
        <w:t>62</w:t>
      </w:r>
      <w:r>
        <w:rPr>
          <w:rFonts w:ascii="仿宋" w:hAnsi="仿宋" w:eastAsia="仿宋" w:cs="仿宋"/>
          <w:b/>
          <w:bCs/>
          <w:color w:val="auto"/>
          <w:highlight w:val="none"/>
          <w:lang w:eastAsia="zh-CN"/>
        </w:rPr>
        <w:t>.2</w:t>
      </w:r>
      <w:bookmarkEnd w:id="86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发包人应为承包人试车提供便利和协助</w:t>
      </w:r>
      <w:r>
        <w:rPr>
          <w:color w:val="auto"/>
          <w:highlight w:val="none"/>
        </w:rPr>
        <mc:AlternateContent>
          <mc:Choice Requires="wps">
            <w:drawing>
              <wp:anchor distT="0" distB="0" distL="114300" distR="114300" simplePos="0" relativeHeight="251832320" behindDoc="0" locked="0" layoutInCell="1" allowOverlap="1">
                <wp:simplePos x="0" y="0"/>
                <wp:positionH relativeFrom="column">
                  <wp:posOffset>-114300</wp:posOffset>
                </wp:positionH>
                <wp:positionV relativeFrom="paragraph">
                  <wp:posOffset>3175</wp:posOffset>
                </wp:positionV>
                <wp:extent cx="785495" cy="504190"/>
                <wp:effectExtent l="0" t="0" r="0" b="0"/>
                <wp:wrapNone/>
                <wp:docPr id="170" name="文本框 919"/>
                <wp:cNvGraphicFramePr/>
                <a:graphic xmlns:a="http://schemas.openxmlformats.org/drawingml/2006/main">
                  <a:graphicData uri="http://schemas.microsoft.com/office/word/2010/wordprocessingShape">
                    <wps:wsp>
                      <wps:cNvSpPr txBox="1"/>
                      <wps:spPr>
                        <a:xfrm>
                          <a:off x="0" y="0"/>
                          <a:ext cx="785495" cy="504190"/>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单机试车的通知和限制</w:t>
                            </w:r>
                          </w:p>
                        </w:txbxContent>
                      </wps:txbx>
                      <wps:bodyPr wrap="square" upright="1"/>
                    </wps:wsp>
                  </a:graphicData>
                </a:graphic>
              </wp:anchor>
            </w:drawing>
          </mc:Choice>
          <mc:Fallback>
            <w:pict>
              <v:shape id="文本框 919" o:spid="_x0000_s1026" o:spt="202" type="#_x0000_t202" style="position:absolute;left:0pt;margin-left:-9pt;margin-top:0.25pt;height:39.7pt;width:61.85pt;z-index:251832320;mso-width-relative:page;mso-height-relative:page;" filled="f" stroked="f" coordsize="21600,21600" o:gfxdata="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OBiiE7VAAAABwEAAA8AAAAAAAAAAQAgAAAAIgAAAGRycy9kb3ducmV2LnhtbFBLAQIUABQA&#10;AAAIAIdO4kAnmvgPugEAAF8DAAAOAAAAAAAAAAEAIAAAACQBAABkcnMvZTJvRG9jLnhtbFBLBQYA&#10;AAAABgAGAFkBAABQ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单机试车的通知和限制</w:t>
                      </w:r>
                    </w:p>
                  </w:txbxContent>
                </v:textbox>
              </v:shape>
            </w:pict>
          </mc:Fallback>
        </mc:AlternateContent>
      </w:r>
      <w:r>
        <w:rPr>
          <w:rFonts w:hint="eastAsia" w:ascii="仿宋" w:hAnsi="仿宋" w:eastAsia="仿宋" w:cs="仿宋"/>
          <w:color w:val="auto"/>
          <w:highlight w:val="none"/>
          <w:lang w:eastAsia="zh-CN"/>
        </w:rPr>
        <w:t>，设备安装工程具备单机无负荷试车条件时，承包人应组织试车，并在试车前</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小时以书面形式通知监理人。通知包括试车内容、时间和地点。承包人应自行准备试车记录。</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监理人不能按时参加试车的，应在开始试车前至少提前</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小时发出延期试车指令并书面说明理由，延期不能超过</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小时。监理人未发出延期试车指令也未能按时参加试车的，承包人可自行试车，并认为试车是经监理人同意下完成的。试车完成后，承包人应立即向监理人提交试车记录，监理人应予认可。</w:t>
      </w:r>
    </w:p>
    <w:p>
      <w:pPr>
        <w:spacing w:line="360" w:lineRule="auto"/>
        <w:rPr>
          <w:rFonts w:ascii="仿宋" w:hAnsi="仿宋" w:eastAsia="仿宋" w:cs="仿宋"/>
          <w:color w:val="auto"/>
          <w:highlight w:val="none"/>
          <w:u w:val="dotted"/>
          <w:lang w:eastAsia="zh-CN"/>
        </w:rPr>
      </w:pPr>
      <w:bookmarkStart w:id="862" w:name="_Toc18884"/>
      <w:r>
        <w:rPr>
          <w:rFonts w:hint="eastAsia" w:ascii="仿宋" w:hAnsi="仿宋" w:eastAsia="仿宋" w:cs="仿宋"/>
          <w:b/>
          <w:bCs/>
          <w:color w:val="auto"/>
          <w:highlight w:val="none"/>
          <w:lang w:eastAsia="zh-CN"/>
        </w:rPr>
        <w:t>62</w:t>
      </w:r>
      <w:r>
        <w:rPr>
          <w:rFonts w:ascii="仿宋" w:hAnsi="仿宋" w:eastAsia="仿宋" w:cs="仿宋"/>
          <w:b/>
          <w:bCs/>
          <w:color w:val="auto"/>
          <w:highlight w:val="none"/>
          <w:lang w:eastAsia="zh-CN"/>
        </w:rPr>
        <w:t>.3</w:t>
      </w:r>
      <w:bookmarkEnd w:id="862"/>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33344" behindDoc="0" locked="0" layoutInCell="1" allowOverlap="1">
                <wp:simplePos x="0" y="0"/>
                <wp:positionH relativeFrom="column">
                  <wp:posOffset>-73660</wp:posOffset>
                </wp:positionH>
                <wp:positionV relativeFrom="paragraph">
                  <wp:posOffset>635</wp:posOffset>
                </wp:positionV>
                <wp:extent cx="824865" cy="601345"/>
                <wp:effectExtent l="0" t="0" r="0" b="0"/>
                <wp:wrapNone/>
                <wp:docPr id="171" name="文本框 920"/>
                <wp:cNvGraphicFramePr/>
                <a:graphic xmlns:a="http://schemas.openxmlformats.org/drawingml/2006/main">
                  <a:graphicData uri="http://schemas.microsoft.com/office/word/2010/wordprocessingShape">
                    <wps:wsp>
                      <wps:cNvSpPr txBox="1"/>
                      <wps:spPr>
                        <a:xfrm>
                          <a:off x="0" y="0"/>
                          <a:ext cx="824865" cy="601345"/>
                        </a:xfrm>
                        <a:prstGeom prst="rect">
                          <a:avLst/>
                        </a:prstGeom>
                        <a:noFill/>
                        <a:ln>
                          <a:noFill/>
                        </a:ln>
                      </wps:spPr>
                      <wps:txb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单机试车结果的确认</w:t>
                            </w:r>
                          </w:p>
                        </w:txbxContent>
                      </wps:txbx>
                      <wps:bodyPr wrap="square" upright="1"/>
                    </wps:wsp>
                  </a:graphicData>
                </a:graphic>
              </wp:anchor>
            </w:drawing>
          </mc:Choice>
          <mc:Fallback>
            <w:pict>
              <v:shape id="文本框 920" o:spid="_x0000_s1026" o:spt="202" type="#_x0000_t202" style="position:absolute;left:0pt;margin-left:-5.8pt;margin-top:0.05pt;height:47.35pt;width:64.95pt;z-index:251833344;mso-width-relative:page;mso-height-relative:page;" filled="f" stroked="f" coordsize="21600,21600" o:gfxdata="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S+R67TAAAABwEAAA8AAAAAAAAAAQAgAAAAIgAAAGRycy9kb3ducmV2LnhtbFBLAQIUABQAAAAI&#10;AIdO4kDghbf/uQEAAF8DAAAOAAAAAAAAAAEAIAAAACIBAABkcnMvZTJvRG9jLnhtbFBLBQYAAAAA&#10;BgAGAFkBAABNBQAAAAA=&#10;">
                <v:fill on="f" focussize="0,0"/>
                <v:stroke on="f"/>
                <v:imagedata o:title=""/>
                <o:lock v:ext="edit" aspectratio="f"/>
                <v:textbox>
                  <w:txbxContent>
                    <w:p>
                      <w:pPr>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单机试车结果的确认</w:t>
                      </w:r>
                    </w:p>
                  </w:txbxContent>
                </v:textbox>
              </v:shape>
            </w:pict>
          </mc:Fallback>
        </mc:AlternateContent>
      </w:r>
      <w:r>
        <w:rPr>
          <w:rFonts w:hint="eastAsia" w:ascii="仿宋" w:hAnsi="仿宋" w:eastAsia="仿宋" w:cs="仿宋"/>
          <w:color w:val="auto"/>
          <w:highlight w:val="none"/>
          <w:lang w:eastAsia="zh-CN"/>
        </w:rPr>
        <w:t>单机试车合格，监理工程师应在试车记录上签字，承包人可继续施工或申请办理竣工验收手续。单机试车合格</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小时后，监理工程师仍不在试车记录上签字的，视为监理工程师已认可试车记录。</w:t>
      </w:r>
    </w:p>
    <w:p>
      <w:pPr>
        <w:spacing w:line="360" w:lineRule="auto"/>
        <w:rPr>
          <w:rFonts w:ascii="仿宋" w:hAnsi="仿宋" w:eastAsia="仿宋" w:cs="仿宋"/>
          <w:b/>
          <w:bCs/>
          <w:color w:val="auto"/>
          <w:highlight w:val="none"/>
          <w:u w:val="dotted"/>
          <w:lang w:eastAsia="zh-CN"/>
        </w:rPr>
      </w:pPr>
      <w:bookmarkStart w:id="863" w:name="_Toc13716"/>
      <w:r>
        <w:rPr>
          <w:rFonts w:hint="eastAsia" w:ascii="仿宋" w:hAnsi="仿宋" w:eastAsia="仿宋" w:cs="仿宋"/>
          <w:b/>
          <w:bCs/>
          <w:color w:val="auto"/>
          <w:highlight w:val="none"/>
          <w:lang w:eastAsia="zh-CN"/>
        </w:rPr>
        <w:t>62</w:t>
      </w:r>
      <w:r>
        <w:rPr>
          <w:rFonts w:ascii="仿宋" w:hAnsi="仿宋" w:eastAsia="仿宋" w:cs="仿宋"/>
          <w:b/>
          <w:bCs/>
          <w:color w:val="auto"/>
          <w:highlight w:val="none"/>
          <w:lang w:eastAsia="zh-CN"/>
        </w:rPr>
        <w:t>.4</w:t>
      </w:r>
      <w:bookmarkEnd w:id="86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34368" behindDoc="0" locked="0" layoutInCell="1" allowOverlap="1">
                <wp:simplePos x="0" y="0"/>
                <wp:positionH relativeFrom="column">
                  <wp:posOffset>-73660</wp:posOffset>
                </wp:positionH>
                <wp:positionV relativeFrom="paragraph">
                  <wp:posOffset>11430</wp:posOffset>
                </wp:positionV>
                <wp:extent cx="844550" cy="662305"/>
                <wp:effectExtent l="0" t="0" r="0" b="0"/>
                <wp:wrapNone/>
                <wp:docPr id="172" name="文本框 921"/>
                <wp:cNvGraphicFramePr/>
                <a:graphic xmlns:a="http://schemas.openxmlformats.org/drawingml/2006/main">
                  <a:graphicData uri="http://schemas.microsoft.com/office/word/2010/wordprocessingShape">
                    <wps:wsp>
                      <wps:cNvSpPr txBox="1"/>
                      <wps:spPr>
                        <a:xfrm>
                          <a:off x="0" y="0"/>
                          <a:ext cx="844550" cy="662305"/>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联动试车通知和结果的确认</w:t>
                            </w:r>
                          </w:p>
                        </w:txbxContent>
                      </wps:txbx>
                      <wps:bodyPr wrap="square" upright="1"/>
                    </wps:wsp>
                  </a:graphicData>
                </a:graphic>
              </wp:anchor>
            </w:drawing>
          </mc:Choice>
          <mc:Fallback>
            <w:pict>
              <v:shape id="文本框 921" o:spid="_x0000_s1026" o:spt="202" type="#_x0000_t202" style="position:absolute;left:0pt;margin-left:-5.8pt;margin-top:0.9pt;height:52.15pt;width:66.5pt;z-index:251834368;mso-width-relative:page;mso-height-relative:page;" filled="f" stroked="f" coordsize="21600,21600" o:gfxdata="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iSwRnNUAAAAJAQAADwAAAAAAAAABACAAAAAiAAAAZHJzL2Rvd25yZXYueG1sUEsBAhQAFAAA&#10;AAgAh07iQPAuAAK5AQAAXwMAAA4AAAAAAAAAAQAgAAAAJAEAAGRycy9lMm9Eb2MueG1sUEsFBgAA&#10;AAAGAAYAWQEAAE8FA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联动试车通知和结果的确认</w:t>
                      </w:r>
                    </w:p>
                  </w:txbxContent>
                </v:textbox>
              </v:shape>
            </w:pict>
          </mc:Fallback>
        </mc:AlternateContent>
      </w:r>
      <w:r>
        <w:rPr>
          <w:rFonts w:hint="eastAsia" w:ascii="仿宋" w:hAnsi="仿宋" w:eastAsia="仿宋" w:cs="仿宋"/>
          <w:color w:val="auto"/>
          <w:highlight w:val="none"/>
          <w:lang w:eastAsia="zh-CN"/>
        </w:rPr>
        <w:t>设备安装工程具备联动无负荷试车条件时，发包人应组织试车，并在试车前</w:t>
      </w:r>
      <w:r>
        <w:rPr>
          <w:rFonts w:ascii="仿宋" w:hAnsi="仿宋" w:eastAsia="仿宋" w:cs="仿宋"/>
          <w:color w:val="auto"/>
          <w:highlight w:val="none"/>
          <w:lang w:eastAsia="zh-CN"/>
        </w:rPr>
        <w:t>48</w:t>
      </w:r>
      <w:r>
        <w:rPr>
          <w:rFonts w:hint="eastAsia" w:ascii="仿宋" w:hAnsi="仿宋" w:eastAsia="仿宋" w:cs="仿宋"/>
          <w:color w:val="auto"/>
          <w:highlight w:val="none"/>
          <w:lang w:eastAsia="zh-CN"/>
        </w:rPr>
        <w:t>小时以书面形式通知承包人。通知包括试车内容、时间、地点和对承包人的要求，承包人应按照要求做好准备工作。试车合格，合同双方当事人均应在试车记录上签字。</w:t>
      </w:r>
    </w:p>
    <w:p>
      <w:pPr>
        <w:spacing w:line="360" w:lineRule="auto"/>
        <w:rPr>
          <w:rFonts w:ascii="仿宋" w:hAnsi="仿宋" w:eastAsia="仿宋" w:cs="仿宋"/>
          <w:b/>
          <w:bCs/>
          <w:color w:val="auto"/>
          <w:highlight w:val="none"/>
          <w:u w:val="dotted"/>
          <w:lang w:eastAsia="zh-CN"/>
        </w:rPr>
      </w:pPr>
      <w:bookmarkStart w:id="864" w:name="_Toc5680"/>
      <w:r>
        <w:rPr>
          <w:rFonts w:hint="eastAsia" w:ascii="仿宋" w:hAnsi="仿宋" w:eastAsia="仿宋" w:cs="仿宋"/>
          <w:b/>
          <w:bCs/>
          <w:color w:val="auto"/>
          <w:highlight w:val="none"/>
          <w:lang w:eastAsia="zh-CN"/>
        </w:rPr>
        <w:t>62</w:t>
      </w:r>
      <w:r>
        <w:rPr>
          <w:rFonts w:ascii="仿宋" w:hAnsi="仿宋" w:eastAsia="仿宋" w:cs="仿宋"/>
          <w:b/>
          <w:bCs/>
          <w:color w:val="auto"/>
          <w:highlight w:val="none"/>
          <w:lang w:eastAsia="zh-CN"/>
        </w:rPr>
        <w:t>.5</w:t>
      </w:r>
      <w:bookmarkEnd w:id="86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835392" behindDoc="0" locked="0" layoutInCell="1" allowOverlap="1">
                <wp:simplePos x="0" y="0"/>
                <wp:positionH relativeFrom="column">
                  <wp:posOffset>-114300</wp:posOffset>
                </wp:positionH>
                <wp:positionV relativeFrom="paragraph">
                  <wp:posOffset>-6350</wp:posOffset>
                </wp:positionV>
                <wp:extent cx="831850" cy="667385"/>
                <wp:effectExtent l="0" t="0" r="0" b="0"/>
                <wp:wrapNone/>
                <wp:docPr id="173" name="文本框 922"/>
                <wp:cNvGraphicFramePr/>
                <a:graphic xmlns:a="http://schemas.openxmlformats.org/drawingml/2006/main">
                  <a:graphicData uri="http://schemas.microsoft.com/office/word/2010/wordprocessingShape">
                    <wps:wsp>
                      <wps:cNvSpPr txBox="1"/>
                      <wps:spPr>
                        <a:xfrm>
                          <a:off x="0" y="0"/>
                          <a:ext cx="831850" cy="667385"/>
                        </a:xfrm>
                        <a:prstGeom prst="rect">
                          <a:avLst/>
                        </a:prstGeom>
                        <a:noFill/>
                        <a:ln>
                          <a:noFill/>
                        </a:ln>
                      </wps:spPr>
                      <wps:txbx>
                        <w:txbxContent>
                          <w:p>
                            <w:pPr>
                              <w:spacing w:line="240" w:lineRule="exact"/>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试车费用和不达要求处理</w:t>
                            </w:r>
                          </w:p>
                        </w:txbxContent>
                      </wps:txbx>
                      <wps:bodyPr wrap="square" upright="1"/>
                    </wps:wsp>
                  </a:graphicData>
                </a:graphic>
              </wp:anchor>
            </w:drawing>
          </mc:Choice>
          <mc:Fallback>
            <w:pict>
              <v:shape id="文本框 922" o:spid="_x0000_s1026" o:spt="202" type="#_x0000_t202" style="position:absolute;left:0pt;margin-left:-9pt;margin-top:-0.5pt;height:52.55pt;width:65.5pt;z-index:251835392;mso-width-relative:page;mso-height-relative:page;" filled="f" stroked="f" coordsize="21600,21600" o:gfxdata="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ZngT5tUAAAAKAQAADwAAAAAAAAABACAAAAAiAAAAZHJzL2Rvd25yZXYueG1sUEsBAhQAFAAA&#10;AAgAh07iQO3YVKm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sz w:val="18"/>
                          <w:szCs w:val="18"/>
                          <w:lang w:eastAsia="zh-CN"/>
                        </w:rPr>
                      </w:pPr>
                      <w:r>
                        <w:rPr>
                          <w:rFonts w:hint="eastAsia" w:ascii="楷体_GB2312" w:hAnsi="宋体" w:eastAsia="楷体_GB2312" w:cs="楷体_GB2312"/>
                          <w:b/>
                          <w:bCs/>
                          <w:color w:val="000000"/>
                          <w:sz w:val="18"/>
                          <w:szCs w:val="18"/>
                          <w:lang w:eastAsia="zh-CN"/>
                        </w:rPr>
                        <w:t>试车费用和不达要求处理</w:t>
                      </w:r>
                    </w:p>
                  </w:txbxContent>
                </v:textbox>
              </v:shape>
            </w:pict>
          </mc:Fallback>
        </mc:AlternateContent>
      </w:r>
      <w:r>
        <w:rPr>
          <w:rFonts w:hint="eastAsia" w:ascii="仿宋" w:hAnsi="仿宋" w:eastAsia="仿宋" w:cs="仿宋"/>
          <w:color w:val="auto"/>
          <w:highlight w:val="none"/>
          <w:lang w:eastAsia="zh-CN"/>
        </w:rPr>
        <w:t>试车费用，除已含在合同价格外，由发包人承担。试车达不到验收要求的，按照下列约定处理：</w:t>
      </w:r>
    </w:p>
    <w:p>
      <w:pPr>
        <w:widowControl w:val="0"/>
        <w:numPr>
          <w:ilvl w:val="0"/>
          <w:numId w:val="12"/>
        </w:numPr>
        <w:tabs>
          <w:tab w:val="left" w:pos="1080"/>
          <w:tab w:val="left" w:pos="1620"/>
        </w:tabs>
        <w:adjustRightInd w:val="0"/>
        <w:snapToGrid w:val="0"/>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由于设计原因试车达不到验收要求，发包人应要求设计人修改设计，承包人按照修改后的设计重新安装。发包人承担修改设计、拆除及重新安装的全部费用和延误的工期。</w:t>
      </w:r>
    </w:p>
    <w:p>
      <w:pPr>
        <w:widowControl w:val="0"/>
        <w:numPr>
          <w:ilvl w:val="0"/>
          <w:numId w:val="12"/>
        </w:numPr>
        <w:tabs>
          <w:tab w:val="left" w:pos="1080"/>
          <w:tab w:val="left" w:pos="1620"/>
        </w:tabs>
        <w:adjustRightInd w:val="0"/>
        <w:snapToGrid w:val="0"/>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由于设备制造质量原因试车达不到验收要求，由该责任方重新购置或修理，承包人负责拆除和重新安装。设备由承包人采购的，由承包人承担修理或重新采购、拆除及重新安装的费用和延误的工期；设备由发包人供应的，发包人承担上述各项费用和延误的工期。</w:t>
      </w:r>
    </w:p>
    <w:p>
      <w:pPr>
        <w:widowControl w:val="0"/>
        <w:numPr>
          <w:ilvl w:val="0"/>
          <w:numId w:val="12"/>
        </w:numPr>
        <w:tabs>
          <w:tab w:val="left" w:pos="1080"/>
          <w:tab w:val="left" w:pos="1620"/>
        </w:tabs>
        <w:adjustRightInd w:val="0"/>
        <w:snapToGrid w:val="0"/>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由于承包人施工原因试车达不到验收要求，承包人应按照监理人要求重新安装和试车，并承担拆除、重新安装和重新试车的费用和延误的工期。</w:t>
      </w:r>
    </w:p>
    <w:p>
      <w:pPr>
        <w:spacing w:line="360" w:lineRule="auto"/>
        <w:rPr>
          <w:rFonts w:ascii="仿宋" w:hAnsi="仿宋" w:eastAsia="仿宋" w:cs="仿宋"/>
          <w:b/>
          <w:bCs/>
          <w:color w:val="auto"/>
          <w:highlight w:val="none"/>
          <w:u w:val="dotted"/>
          <w:lang w:eastAsia="zh-CN"/>
        </w:rPr>
      </w:pPr>
      <w:bookmarkStart w:id="865" w:name="_Toc12391"/>
      <w:r>
        <w:rPr>
          <w:rFonts w:hint="eastAsia" w:ascii="仿宋" w:hAnsi="仿宋" w:eastAsia="仿宋" w:cs="仿宋"/>
          <w:b/>
          <w:bCs/>
          <w:color w:val="auto"/>
          <w:highlight w:val="none"/>
          <w:lang w:eastAsia="zh-CN"/>
        </w:rPr>
        <w:t>62</w:t>
      </w:r>
      <w:r>
        <w:rPr>
          <w:rFonts w:ascii="仿宋" w:hAnsi="仿宋" w:eastAsia="仿宋" w:cs="仿宋"/>
          <w:b/>
          <w:bCs/>
          <w:color w:val="auto"/>
          <w:highlight w:val="none"/>
          <w:lang w:eastAsia="zh-CN"/>
        </w:rPr>
        <w:t>.6</w:t>
      </w:r>
      <w:bookmarkEnd w:id="86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33"/>
        <w:widowControl w:val="0"/>
        <w:adjustRightInd w:val="0"/>
        <w:snapToGrid w:val="0"/>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36416" behindDoc="0" locked="0" layoutInCell="1" allowOverlap="1">
                <wp:simplePos x="0" y="0"/>
                <wp:positionH relativeFrom="column">
                  <wp:posOffset>-114300</wp:posOffset>
                </wp:positionH>
                <wp:positionV relativeFrom="paragraph">
                  <wp:posOffset>10160</wp:posOffset>
                </wp:positionV>
                <wp:extent cx="751205" cy="491490"/>
                <wp:effectExtent l="0" t="0" r="0" b="0"/>
                <wp:wrapNone/>
                <wp:docPr id="174" name="文本框 923"/>
                <wp:cNvGraphicFramePr/>
                <a:graphic xmlns:a="http://schemas.openxmlformats.org/drawingml/2006/main">
                  <a:graphicData uri="http://schemas.microsoft.com/office/word/2010/wordprocessingShape">
                    <wps:wsp>
                      <wps:cNvSpPr txBox="1"/>
                      <wps:spPr>
                        <a:xfrm>
                          <a:off x="0" y="0"/>
                          <a:ext cx="751205" cy="49149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投料试车</w:t>
                            </w:r>
                          </w:p>
                        </w:txbxContent>
                      </wps:txbx>
                      <wps:bodyPr wrap="square" upright="1"/>
                    </wps:wsp>
                  </a:graphicData>
                </a:graphic>
              </wp:anchor>
            </w:drawing>
          </mc:Choice>
          <mc:Fallback>
            <w:pict>
              <v:shape id="文本框 923" o:spid="_x0000_s1026" o:spt="202" type="#_x0000_t202" style="position:absolute;left:0pt;margin-left:-9pt;margin-top:0.8pt;height:38.7pt;width:59.15pt;z-index:251836416;mso-width-relative:page;mso-height-relative:page;" filled="f" stroked="f" coordsize="21600,21600" o:gfxdata="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oCnsnVAAAACAEAAA8AAAAAAAAAAQAgAAAAIgAAAGRycy9kb3ducmV2LnhtbFBLAQIUABQA&#10;AAAIAIdO4kDv75F2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eastAsia="楷体_GB2312" w:cs="楷体_GB2312"/>
                          <w:b/>
                          <w:bCs/>
                          <w:color w:val="000000"/>
                          <w:sz w:val="18"/>
                          <w:szCs w:val="18"/>
                        </w:rPr>
                        <w:t>投料试车</w:t>
                      </w:r>
                    </w:p>
                  </w:txbxContent>
                </v:textbox>
              </v:shape>
            </w:pict>
          </mc:Fallback>
        </mc:AlternateContent>
      </w:r>
      <w:r>
        <w:rPr>
          <w:rFonts w:hint="eastAsia" w:ascii="仿宋" w:hAnsi="仿宋" w:eastAsia="仿宋" w:cs="仿宋"/>
          <w:color w:val="auto"/>
          <w:highlight w:val="none"/>
          <w:lang w:eastAsia="zh-CN"/>
        </w:rPr>
        <w:t>投料试车应在永久工程竣工验收后，由发包人负责。如果发包人要求在永久工程竣工验收前进行试车或需要承包人配合时，应事先取得承包人同意，并另行签订补充协议。</w:t>
      </w:r>
    </w:p>
    <w:p>
      <w:pPr>
        <w:pStyle w:val="7"/>
        <w:adjustRightInd w:val="0"/>
        <w:snapToGrid w:val="0"/>
        <w:spacing w:line="360" w:lineRule="auto"/>
        <w:ind w:firstLine="0"/>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4"/>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66" w:name="_Toc32170"/>
      <w:bookmarkStart w:id="867" w:name="_Toc26364"/>
      <w:bookmarkStart w:id="868" w:name="_Toc5808"/>
      <w:bookmarkStart w:id="869" w:name="_Toc21325"/>
      <w:bookmarkStart w:id="870" w:name="_Toc11404"/>
      <w:bookmarkStart w:id="871" w:name="_Toc1749"/>
      <w:bookmarkStart w:id="872" w:name="_Toc10983"/>
      <w:bookmarkStart w:id="873" w:name="_Toc24469"/>
      <w:r>
        <w:rPr>
          <w:rFonts w:hint="eastAsia" w:ascii="仿宋" w:hAnsi="仿宋" w:eastAsia="仿宋" w:cs="仿宋"/>
          <w:bCs w:val="0"/>
          <w:color w:val="auto"/>
          <w:sz w:val="24"/>
          <w:szCs w:val="24"/>
          <w:highlight w:val="none"/>
          <w:lang w:eastAsia="zh-CN"/>
        </w:rPr>
        <w:t>★63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工程变更</w:t>
      </w:r>
      <w:bookmarkEnd w:id="866"/>
      <w:bookmarkEnd w:id="867"/>
      <w:bookmarkEnd w:id="868"/>
      <w:bookmarkEnd w:id="869"/>
      <w:bookmarkEnd w:id="870"/>
      <w:bookmarkEnd w:id="871"/>
      <w:bookmarkEnd w:id="872"/>
      <w:bookmarkEnd w:id="873"/>
    </w:p>
    <w:p>
      <w:pPr>
        <w:pStyle w:val="22"/>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63</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37440" behindDoc="0" locked="0" layoutInCell="1" allowOverlap="1">
                <wp:simplePos x="0" y="0"/>
                <wp:positionH relativeFrom="column">
                  <wp:posOffset>-114300</wp:posOffset>
                </wp:positionH>
                <wp:positionV relativeFrom="paragraph">
                  <wp:posOffset>1270</wp:posOffset>
                </wp:positionV>
                <wp:extent cx="809625" cy="405765"/>
                <wp:effectExtent l="0" t="0" r="0" b="0"/>
                <wp:wrapNone/>
                <wp:docPr id="175" name="文本框 924"/>
                <wp:cNvGraphicFramePr/>
                <a:graphic xmlns:a="http://schemas.openxmlformats.org/drawingml/2006/main">
                  <a:graphicData uri="http://schemas.microsoft.com/office/word/2010/wordprocessingShape">
                    <wps:wsp>
                      <wps:cNvSpPr txBox="1"/>
                      <wps:spPr>
                        <a:xfrm>
                          <a:off x="0" y="0"/>
                          <a:ext cx="809625" cy="40576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工程变更权限</w:t>
                            </w:r>
                          </w:p>
                        </w:txbxContent>
                      </wps:txbx>
                      <wps:bodyPr wrap="square" upright="1"/>
                    </wps:wsp>
                  </a:graphicData>
                </a:graphic>
              </wp:anchor>
            </w:drawing>
          </mc:Choice>
          <mc:Fallback>
            <w:pict>
              <v:shape id="文本框 924" o:spid="_x0000_s1026" o:spt="202" type="#_x0000_t202" style="position:absolute;left:0pt;margin-left:-9pt;margin-top:0.1pt;height:31.95pt;width:63.75pt;z-index:251837440;mso-width-relative:page;mso-height-relative:page;" filled="f" stroked="f" coordsize="21600,21600" o:gfxdata="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IfNy5NUAAAAHAQAADwAAAAAAAAABACAAAAAiAAAAZHJzL2Rvd25yZXYueG1sUEsBAhQAFAAA&#10;AAgAh07iQEQtaEy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工程变更权限</w:t>
                      </w:r>
                    </w:p>
                  </w:txbxContent>
                </v:textbox>
              </v:shape>
            </w:pict>
          </mc:Fallback>
        </mc:AlternateContent>
      </w:r>
      <w:r>
        <w:rPr>
          <w:rFonts w:hint="eastAsia" w:ascii="仿宋" w:hAnsi="仿宋" w:eastAsia="仿宋" w:cs="仿宋"/>
          <w:color w:val="auto"/>
          <w:sz w:val="24"/>
          <w:szCs w:val="24"/>
          <w:highlight w:val="none"/>
          <w:lang w:eastAsia="zh-CN"/>
        </w:rPr>
        <w:t>合同履行期间，经发包人批准，监理人可按照第63</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款约定的变更程序向承包人发出变更指令，承包人应按照合同约定实施变更工作。</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没有经发包人批准也没有监理人的工程变更指令，承包人应按照合同约定施工，无权对合同工程作出任何变更。</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工程量偏差不属于工程变更，该项工程量增减不需要任何指令。</w:t>
      </w:r>
    </w:p>
    <w:p>
      <w:pPr>
        <w:pStyle w:val="22"/>
        <w:adjustRightInd w:val="0"/>
        <w:snapToGrid w:val="0"/>
        <w:spacing w:line="360" w:lineRule="auto"/>
        <w:rPr>
          <w:rFonts w:ascii="仿宋" w:hAnsi="仿宋" w:eastAsia="仿宋" w:cs="仿宋"/>
          <w:color w:val="auto"/>
          <w:sz w:val="24"/>
          <w:szCs w:val="24"/>
          <w:highlight w:val="none"/>
          <w:u w:val="dotted"/>
          <w:lang w:eastAsia="zh-CN"/>
        </w:rPr>
      </w:pPr>
      <w:r>
        <w:rPr>
          <w:color w:val="auto"/>
          <w:highlight w:val="none"/>
        </w:rPr>
        <mc:AlternateContent>
          <mc:Choice Requires="wps">
            <w:drawing>
              <wp:anchor distT="0" distB="0" distL="114300" distR="114300" simplePos="0" relativeHeight="251838464" behindDoc="0" locked="0" layoutInCell="1" allowOverlap="1">
                <wp:simplePos x="0" y="0"/>
                <wp:positionH relativeFrom="column">
                  <wp:posOffset>-114300</wp:posOffset>
                </wp:positionH>
                <wp:positionV relativeFrom="paragraph">
                  <wp:posOffset>283845</wp:posOffset>
                </wp:positionV>
                <wp:extent cx="842645" cy="735965"/>
                <wp:effectExtent l="0" t="0" r="0" b="0"/>
                <wp:wrapNone/>
                <wp:docPr id="176" name="文本框 925"/>
                <wp:cNvGraphicFramePr/>
                <a:graphic xmlns:a="http://schemas.openxmlformats.org/drawingml/2006/main">
                  <a:graphicData uri="http://schemas.microsoft.com/office/word/2010/wordprocessingShape">
                    <wps:wsp>
                      <wps:cNvSpPr txBox="1"/>
                      <wps:spPr>
                        <a:xfrm>
                          <a:off x="0" y="0"/>
                          <a:ext cx="842645" cy="73596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工程变更内容</w:t>
                            </w:r>
                          </w:p>
                        </w:txbxContent>
                      </wps:txbx>
                      <wps:bodyPr wrap="square" upright="1"/>
                    </wps:wsp>
                  </a:graphicData>
                </a:graphic>
              </wp:anchor>
            </w:drawing>
          </mc:Choice>
          <mc:Fallback>
            <w:pict>
              <v:shape id="文本框 925" o:spid="_x0000_s1026" o:spt="202" type="#_x0000_t202" style="position:absolute;left:0pt;margin-left:-9pt;margin-top:22.35pt;height:57.95pt;width:66.35pt;z-index:251838464;mso-width-relative:page;mso-height-relative:page;" filled="f" stroked="f" coordsize="21600,21600" o:gfxdata="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Hn18ZNYAAAAKAQAADwAAAAAAAAABACAAAAAiAAAAZHJzL2Rvd25yZXYueG1sUEsBAhQA&#10;FAAAAAgAh07iQGRb2ri7AQAAXw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工程变更内容</w:t>
                      </w:r>
                    </w:p>
                  </w:txbxContent>
                </v:textbox>
              </v:shape>
            </w:pict>
          </mc:Fallback>
        </mc:AlternateContent>
      </w:r>
      <w:r>
        <w:rPr>
          <w:rFonts w:hint="eastAsia" w:ascii="仿宋" w:hAnsi="仿宋" w:eastAsia="仿宋" w:cs="仿宋"/>
          <w:b/>
          <w:bCs/>
          <w:color w:val="auto"/>
          <w:sz w:val="24"/>
          <w:szCs w:val="24"/>
          <w:highlight w:val="none"/>
          <w:lang w:eastAsia="zh-CN"/>
        </w:rPr>
        <w:t>63</w:t>
      </w:r>
      <w:r>
        <w:rPr>
          <w:rFonts w:ascii="仿宋" w:hAnsi="仿宋" w:eastAsia="仿宋" w:cs="仿宋"/>
          <w:b/>
          <w:bCs/>
          <w:color w:val="auto"/>
          <w:sz w:val="24"/>
          <w:szCs w:val="24"/>
          <w:highlight w:val="none"/>
          <w:lang w:eastAsia="zh-CN"/>
        </w:rPr>
        <w:t xml:space="preserve">.2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合同履行期间，对比经发包</w:t>
      </w:r>
      <w:r>
        <w:rPr>
          <w:rFonts w:ascii="仿宋" w:hAnsi="仿宋" w:eastAsia="仿宋" w:cs="仿宋"/>
          <w:color w:val="auto"/>
          <w:sz w:val="24"/>
          <w:szCs w:val="24"/>
          <w:highlight w:val="none"/>
          <w:lang w:eastAsia="zh-CN"/>
        </w:rPr>
        <w:t>人</w:t>
      </w:r>
      <w:r>
        <w:rPr>
          <w:rFonts w:hint="eastAsia" w:ascii="仿宋" w:hAnsi="仿宋" w:eastAsia="仿宋" w:cs="仿宋"/>
          <w:color w:val="auto"/>
          <w:sz w:val="24"/>
          <w:szCs w:val="24"/>
          <w:highlight w:val="none"/>
          <w:lang w:eastAsia="zh-CN"/>
        </w:rPr>
        <w:t>批准的施工图设计文件，发包人可对合同工程或其任何部分的形式、质量或数量作出变更。发生下列情形之一，应按照本条约定进行变更。</w:t>
      </w:r>
    </w:p>
    <w:p>
      <w:pPr>
        <w:pStyle w:val="22"/>
        <w:widowControl w:val="0"/>
        <w:numPr>
          <w:ilvl w:val="0"/>
          <w:numId w:val="13"/>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改变合同工程中任何工程数量（不含工程量的偏差）；</w:t>
      </w:r>
    </w:p>
    <w:p>
      <w:pPr>
        <w:pStyle w:val="22"/>
        <w:widowControl w:val="0"/>
        <w:numPr>
          <w:ilvl w:val="0"/>
          <w:numId w:val="13"/>
        </w:numPr>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删减任何工作，但删减的工作不能转由发包人或其他人实施；</w:t>
      </w:r>
    </w:p>
    <w:p>
      <w:pPr>
        <w:pStyle w:val="22"/>
        <w:widowControl w:val="0"/>
        <w:numPr>
          <w:ilvl w:val="0"/>
          <w:numId w:val="13"/>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改变任何工作内容的性质、质量或其他特征；</w:t>
      </w:r>
    </w:p>
    <w:p>
      <w:pPr>
        <w:pStyle w:val="22"/>
        <w:widowControl w:val="0"/>
        <w:numPr>
          <w:ilvl w:val="0"/>
          <w:numId w:val="13"/>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改变工程任何部分的标高、基线、位置和</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或</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尺寸；</w:t>
      </w:r>
    </w:p>
    <w:p>
      <w:pPr>
        <w:pStyle w:val="22"/>
        <w:widowControl w:val="0"/>
        <w:numPr>
          <w:ilvl w:val="0"/>
          <w:numId w:val="13"/>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为完成永久工程所必须的任何额外工作；</w:t>
      </w:r>
    </w:p>
    <w:p>
      <w:pPr>
        <w:pStyle w:val="22"/>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但对合同工程工期、质量标准等进行实质性变更的，应在作出变更前，与承包人签订补充协议书，作为本合同的补充文件。</w:t>
      </w:r>
    </w:p>
    <w:p>
      <w:pPr>
        <w:pStyle w:val="22"/>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63</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39488" behindDoc="0" locked="0" layoutInCell="1" allowOverlap="1">
                <wp:simplePos x="0" y="0"/>
                <wp:positionH relativeFrom="column">
                  <wp:posOffset>-114300</wp:posOffset>
                </wp:positionH>
                <wp:positionV relativeFrom="paragraph">
                  <wp:posOffset>15875</wp:posOffset>
                </wp:positionV>
                <wp:extent cx="832485" cy="664210"/>
                <wp:effectExtent l="0" t="0" r="0" b="0"/>
                <wp:wrapNone/>
                <wp:docPr id="177" name="文本框 926"/>
                <wp:cNvGraphicFramePr/>
                <a:graphic xmlns:a="http://schemas.openxmlformats.org/drawingml/2006/main">
                  <a:graphicData uri="http://schemas.microsoft.com/office/word/2010/wordprocessingShape">
                    <wps:wsp>
                      <wps:cNvSpPr txBox="1"/>
                      <wps:spPr>
                        <a:xfrm>
                          <a:off x="0" y="0"/>
                          <a:ext cx="832485" cy="66421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工程变更程序</w:t>
                            </w:r>
                          </w:p>
                        </w:txbxContent>
                      </wps:txbx>
                      <wps:bodyPr wrap="square" upright="1"/>
                    </wps:wsp>
                  </a:graphicData>
                </a:graphic>
              </wp:anchor>
            </w:drawing>
          </mc:Choice>
          <mc:Fallback>
            <w:pict>
              <v:shape id="文本框 926" o:spid="_x0000_s1026" o:spt="202" type="#_x0000_t202" style="position:absolute;left:0pt;margin-left:-9pt;margin-top:1.25pt;height:52.3pt;width:65.55pt;z-index:251839488;mso-width-relative:page;mso-height-relative:page;" filled="f" stroked="f" coordsize="21600,21600" o:gfxdata="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6I3XQNcAAAAJAQAADwAAAAAAAAABACAAAAAiAAAAZHJzL2Rvd25yZXYueG1sUEsBAhQA&#10;FAAAAAgAh07iQFvdEXa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工程变更程序</w:t>
                      </w:r>
                    </w:p>
                  </w:txbxContent>
                </v:textbox>
              </v:shape>
            </w:pict>
          </mc:Fallback>
        </mc:AlternateContent>
      </w:r>
      <w:r>
        <w:rPr>
          <w:rFonts w:hint="eastAsia" w:ascii="仿宋" w:hAnsi="仿宋" w:eastAsia="仿宋" w:cs="仿宋"/>
          <w:color w:val="auto"/>
          <w:sz w:val="24"/>
          <w:szCs w:val="24"/>
          <w:highlight w:val="none"/>
          <w:lang w:eastAsia="zh-CN"/>
        </w:rPr>
        <w:t>合同工程发生变更，合同双方当事人以及设计顾问人、监理人、造价咨询人应遵循下列程序实施工程变更的相关工作。</w:t>
      </w:r>
    </w:p>
    <w:p>
      <w:pPr>
        <w:pStyle w:val="22"/>
        <w:widowControl w:val="0"/>
        <w:numPr>
          <w:ilvl w:val="0"/>
          <w:numId w:val="14"/>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合同工程可能发生或发生工程变更时，监理人或承包人可依据下列情况及时提出。</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① 合同工程可能发生第63</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款所列情形的，监理人可向承包人发出变更意向书，明确发包人要求和采用的标准规范等资料。承包人应在收到变更意向书后的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天内，向监理人书面提交包括拟实施变更工作的计划、措施、竣工时间、修改内容、变更图纸和所需金额等在内的实施方案。发包人应在收到实施方案后的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天内予以答复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②同意承包人提交的实施方案的，监理人应至少提前</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天以书面形式向承包人发出变更指令，明确发包人要求和采用的标准规范等资料，及批准的实施方案。</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③ 若承包人收到监理人的变更意向书后认为难以实施此项变更的，应立即通知监理人，说明原因并附详细依据。监理人与合同双方当事人协商后确定撤销、改变或不改变原变更意向书。</w:t>
      </w:r>
    </w:p>
    <w:p>
      <w:pPr>
        <w:pStyle w:val="22"/>
        <w:widowControl w:val="0"/>
        <w:numPr>
          <w:ilvl w:val="0"/>
          <w:numId w:val="14"/>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承包人应在收到监理人发出变更指令或变更意向书后的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天内，向发包人提交工程变更报告，并抄送监理人、造价咨询人。报告内容应包括变更原因、根据第79条约定详细开列变更工作的价格组成和依据，并附变更的施工设计图纸及其相关说明。</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变更工作影响工期的，承包人应提出调整工期的要求。发包人认为有必要时，可要求承包人提交提前或者延长工期的施工进度计划或相应施工措施等资料。</w:t>
      </w:r>
    </w:p>
    <w:p>
      <w:pPr>
        <w:pStyle w:val="22"/>
        <w:widowControl w:val="0"/>
        <w:numPr>
          <w:ilvl w:val="0"/>
          <w:numId w:val="14"/>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发包人在收到承包人工程变更报告后，应通知监理人、造价咨询人及时对报告内容予以核实，并在收到报告后的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天内予以确定或提出修改意见。发包人在收到承包人工程变更报告后的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天内未确定也未提出修改意见的，视为承包人提交的工程变更报告已被认可。</w:t>
      </w:r>
    </w:p>
    <w:p>
      <w:pPr>
        <w:pStyle w:val="22"/>
        <w:widowControl w:val="0"/>
        <w:numPr>
          <w:ilvl w:val="0"/>
          <w:numId w:val="14"/>
        </w:numPr>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承包人应在发包人确定工程变更报告后的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天内，按照监理人发出的变更指令及时组织实施变更工作。否则，由此引起的损失和（或）延误的工期由承包人承担。</w:t>
      </w:r>
    </w:p>
    <w:p>
      <w:pPr>
        <w:pStyle w:val="22"/>
        <w:widowControl w:val="0"/>
        <w:numPr>
          <w:ilvl w:val="0"/>
          <w:numId w:val="14"/>
        </w:numPr>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工程变更技术审核：合同工程发生第63</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款所列情形，监理人在批准或指示工程变更前，其变更图纸（若有）应先通过设计顾问人的技术审核。</w:t>
      </w:r>
    </w:p>
    <w:p>
      <w:pPr>
        <w:pStyle w:val="22"/>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63</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40512" behindDoc="0" locked="0" layoutInCell="1" allowOverlap="1">
                <wp:simplePos x="0" y="0"/>
                <wp:positionH relativeFrom="column">
                  <wp:posOffset>-114300</wp:posOffset>
                </wp:positionH>
                <wp:positionV relativeFrom="paragraph">
                  <wp:posOffset>7620</wp:posOffset>
                </wp:positionV>
                <wp:extent cx="785495" cy="550545"/>
                <wp:effectExtent l="0" t="0" r="0" b="0"/>
                <wp:wrapNone/>
                <wp:docPr id="178" name="文本框 927"/>
                <wp:cNvGraphicFramePr/>
                <a:graphic xmlns:a="http://schemas.openxmlformats.org/drawingml/2006/main">
                  <a:graphicData uri="http://schemas.microsoft.com/office/word/2010/wordprocessingShape">
                    <wps:wsp>
                      <wps:cNvSpPr txBox="1"/>
                      <wps:spPr>
                        <a:xfrm>
                          <a:off x="0" y="0"/>
                          <a:ext cx="785495" cy="55054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承包人提出工程变更建议</w:t>
                            </w:r>
                          </w:p>
                        </w:txbxContent>
                      </wps:txbx>
                      <wps:bodyPr wrap="square" upright="1"/>
                    </wps:wsp>
                  </a:graphicData>
                </a:graphic>
              </wp:anchor>
            </w:drawing>
          </mc:Choice>
          <mc:Fallback>
            <w:pict>
              <v:shape id="文本框 927" o:spid="_x0000_s1026" o:spt="202" type="#_x0000_t202" style="position:absolute;left:0pt;margin-left:-9pt;margin-top:0.6pt;height:43.35pt;width:61.85pt;z-index:251840512;mso-width-relative:page;mso-height-relative:page;" filled="f" stroked="f" coordsize="21600,21600" o:gfxdata="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lWFDHNUAAAAIAQAADwAAAAAAAAABACAAAAAiAAAAZHJzL2Rvd25yZXYueG1sUEsBAhQAFAAA&#10;AAgAh07iQPyFnZy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承包人提出工程变更建议</w:t>
                      </w:r>
                    </w:p>
                  </w:txbxContent>
                </v:textbox>
              </v:shape>
            </w:pict>
          </mc:Fallback>
        </mc:AlternateContent>
      </w:r>
      <w:r>
        <w:rPr>
          <w:rFonts w:hint="eastAsia" w:ascii="仿宋" w:hAnsi="仿宋" w:eastAsia="仿宋" w:cs="仿宋"/>
          <w:color w:val="auto"/>
          <w:sz w:val="24"/>
          <w:szCs w:val="24"/>
          <w:highlight w:val="none"/>
          <w:lang w:eastAsia="zh-CN"/>
        </w:rPr>
        <w:t>合同履行期间，承包人可提出工程变更建议。变更建议应以书面形式向设计顾问人、监理人和造价咨询人提出，同时抄送发包人，详细说明变更的原因、变更方案、变更预算及合同价格的增减情况，并附必要的施工设计图纸及其说明等资料。变更建议被采纳的，设计顾问人、监理人和造价咨询人应按照第63</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款约定向承包人发出变更指令。</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发包人采纳承包人的建议，给发包人带来降低合同价格、缩短工期或产生显著工程经济效益等利益的，发包人应按照国家有关规定并在专用条款中约定的计算方法予以奖励。</w:t>
      </w:r>
    </w:p>
    <w:p>
      <w:pPr>
        <w:spacing w:line="360" w:lineRule="auto"/>
        <w:rPr>
          <w:rFonts w:ascii="仿宋" w:hAnsi="仿宋" w:eastAsia="仿宋" w:cs="仿宋"/>
          <w:b/>
          <w:bCs/>
          <w:color w:val="auto"/>
          <w:highlight w:val="none"/>
          <w:u w:val="dotted"/>
          <w:lang w:eastAsia="zh-CN"/>
        </w:rPr>
      </w:pPr>
      <w:r>
        <w:rPr>
          <w:rFonts w:hint="eastAsia" w:ascii="仿宋" w:hAnsi="仿宋" w:eastAsia="仿宋" w:cs="仿宋"/>
          <w:b/>
          <w:bCs/>
          <w:color w:val="auto"/>
          <w:highlight w:val="none"/>
          <w:lang w:eastAsia="zh-CN"/>
        </w:rPr>
        <w:t>63</w:t>
      </w:r>
      <w:r>
        <w:rPr>
          <w:rFonts w:ascii="仿宋" w:hAnsi="仿宋" w:eastAsia="仿宋" w:cs="仿宋"/>
          <w:b/>
          <w:bCs/>
          <w:color w:val="auto"/>
          <w:highlight w:val="none"/>
          <w:lang w:eastAsia="zh-CN"/>
        </w:rPr>
        <w:t xml:space="preserve">.5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841536" behindDoc="0" locked="0" layoutInCell="1" allowOverlap="1">
                <wp:simplePos x="0" y="0"/>
                <wp:positionH relativeFrom="column">
                  <wp:posOffset>-114300</wp:posOffset>
                </wp:positionH>
                <wp:positionV relativeFrom="paragraph">
                  <wp:posOffset>15240</wp:posOffset>
                </wp:positionV>
                <wp:extent cx="832485" cy="909955"/>
                <wp:effectExtent l="0" t="0" r="0" b="0"/>
                <wp:wrapNone/>
                <wp:docPr id="179" name="文本框 928"/>
                <wp:cNvGraphicFramePr/>
                <a:graphic xmlns:a="http://schemas.openxmlformats.org/drawingml/2006/main">
                  <a:graphicData uri="http://schemas.microsoft.com/office/word/2010/wordprocessingShape">
                    <wps:wsp>
                      <wps:cNvSpPr txBox="1"/>
                      <wps:spPr>
                        <a:xfrm>
                          <a:off x="0" y="0"/>
                          <a:ext cx="832485" cy="90995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工程变更导致合同价格和工期的调整</w:t>
                            </w:r>
                          </w:p>
                        </w:txbxContent>
                      </wps:txbx>
                      <wps:bodyPr wrap="square" upright="1"/>
                    </wps:wsp>
                  </a:graphicData>
                </a:graphic>
              </wp:anchor>
            </w:drawing>
          </mc:Choice>
          <mc:Fallback>
            <w:pict>
              <v:shape id="文本框 928" o:spid="_x0000_s1026" o:spt="202" type="#_x0000_t202" style="position:absolute;left:0pt;margin-left:-9pt;margin-top:1.2pt;height:71.65pt;width:65.55pt;z-index:251841536;mso-width-relative:page;mso-height-relative:page;" filled="f" stroked="f" coordsize="21600,21600" o:gfxdata="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T48yF1wAAAAkBAAAPAAAAAAAAAAEAIAAAACIAAABkcnMvZG93bnJldi54bWxQSwECFAAU&#10;AAAACACHTuJAuMH2ib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工程变更导致合同价格和工期的调整</w:t>
                      </w:r>
                    </w:p>
                  </w:txbxContent>
                </v:textbox>
              </v:shape>
            </w:pict>
          </mc:Fallback>
        </mc:AlternateContent>
      </w:r>
      <w:r>
        <w:rPr>
          <w:rFonts w:hint="eastAsia" w:ascii="仿宋" w:hAnsi="仿宋" w:eastAsia="仿宋" w:cs="仿宋"/>
          <w:color w:val="auto"/>
          <w:highlight w:val="none"/>
          <w:lang w:eastAsia="zh-CN"/>
        </w:rPr>
        <w:t>工程变更不应使合同作废或无效。</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工程变更分为可调价变更和不可调价变更。其中，不可调价变更是指采用总价合同形式的工程项目（子项目）且不符合第69.3款约定条件的变更，此类变更应参照第79条约定或本项目的预算编制规则确定变更预算，作为投资控制的依据，但不作为合同价格调整的依据；其他可调价变更应按照第79条约定确定变更的工程款，作为合同价格调整的依据。影响工期的，工期应相应调整。但由于下列原因引起的变更，承包人无权要求任何额外或附加的费用，工期也不予顺延：</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（1）为了便于组织施工而采取的技术措施变更或临时工程变更；</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）为了施工安全、避免干扰等原因而采取的技术措施变更或临时工程变更；</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（3）因承包人违约、过错或承包人引起的其他变更。</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4"/>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74" w:name="_Toc30143"/>
      <w:bookmarkStart w:id="875" w:name="_Toc17544"/>
      <w:bookmarkStart w:id="876" w:name="_Toc7913"/>
      <w:bookmarkStart w:id="877" w:name="_Toc11067"/>
      <w:bookmarkStart w:id="878" w:name="_Toc14841"/>
      <w:bookmarkStart w:id="879" w:name="_Toc26857"/>
      <w:bookmarkStart w:id="880" w:name="_Toc4013"/>
      <w:bookmarkStart w:id="881" w:name="_Toc28193"/>
      <w:r>
        <w:rPr>
          <w:rFonts w:hint="eastAsia" w:ascii="仿宋" w:hAnsi="仿宋" w:eastAsia="仿宋" w:cs="仿宋"/>
          <w:bCs w:val="0"/>
          <w:color w:val="auto"/>
          <w:sz w:val="24"/>
          <w:szCs w:val="24"/>
          <w:highlight w:val="none"/>
          <w:lang w:eastAsia="zh-CN"/>
        </w:rPr>
        <w:t>64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竣工验收条件</w:t>
      </w:r>
      <w:bookmarkEnd w:id="874"/>
      <w:bookmarkEnd w:id="875"/>
      <w:bookmarkEnd w:id="876"/>
      <w:bookmarkEnd w:id="877"/>
      <w:bookmarkEnd w:id="878"/>
      <w:bookmarkEnd w:id="879"/>
      <w:bookmarkEnd w:id="880"/>
      <w:bookmarkEnd w:id="881"/>
    </w:p>
    <w:p>
      <w:pPr>
        <w:pStyle w:val="7"/>
        <w:adjustRightInd w:val="0"/>
        <w:snapToGrid w:val="0"/>
        <w:spacing w:line="360" w:lineRule="auto"/>
        <w:ind w:firstLine="0"/>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64</w:t>
      </w:r>
      <w:r>
        <w:rPr>
          <w:rFonts w:ascii="仿宋" w:hAnsi="仿宋" w:eastAsia="仿宋" w:cs="仿宋"/>
          <w:b/>
          <w:bCs/>
          <w:color w:val="auto"/>
          <w:highlight w:val="none"/>
          <w:lang w:eastAsia="zh-CN"/>
        </w:rPr>
        <w:t>.1</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42560" behindDoc="0" locked="0" layoutInCell="1" allowOverlap="1">
                <wp:simplePos x="0" y="0"/>
                <wp:positionH relativeFrom="column">
                  <wp:posOffset>-114300</wp:posOffset>
                </wp:positionH>
                <wp:positionV relativeFrom="paragraph">
                  <wp:posOffset>12700</wp:posOffset>
                </wp:positionV>
                <wp:extent cx="813435" cy="617855"/>
                <wp:effectExtent l="0" t="0" r="0" b="0"/>
                <wp:wrapNone/>
                <wp:docPr id="180" name="文本框 929"/>
                <wp:cNvGraphicFramePr/>
                <a:graphic xmlns:a="http://schemas.openxmlformats.org/drawingml/2006/main">
                  <a:graphicData uri="http://schemas.microsoft.com/office/word/2010/wordprocessingShape">
                    <wps:wsp>
                      <wps:cNvSpPr txBox="1"/>
                      <wps:spPr>
                        <a:xfrm>
                          <a:off x="0" y="0"/>
                          <a:ext cx="813435" cy="61785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竣工验收条件</w:t>
                            </w:r>
                          </w:p>
                        </w:txbxContent>
                      </wps:txbx>
                      <wps:bodyPr wrap="square" upright="1"/>
                    </wps:wsp>
                  </a:graphicData>
                </a:graphic>
              </wp:anchor>
            </w:drawing>
          </mc:Choice>
          <mc:Fallback>
            <w:pict>
              <v:shape id="文本框 929" o:spid="_x0000_s1026" o:spt="202" type="#_x0000_t202" style="position:absolute;left:0pt;margin-left:-9pt;margin-top:1pt;height:48.65pt;width:64.05pt;z-index:251842560;mso-width-relative:page;mso-height-relative:page;" filled="f" stroked="f" coordsize="21600,21600" o:gfxdata="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Zr7mU1gAAAAgBAAAPAAAAAAAAAAEAIAAAACIAAABkcnMvZG93bnJldi54bWxQSwECFAAU&#10;AAAACACHTuJAU0o+aLoBAABf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竣工验收条件</w:t>
                      </w:r>
                    </w:p>
                  </w:txbxContent>
                </v:textbox>
              </v:shape>
            </w:pict>
          </mc:Fallback>
        </mc:AlternateContent>
      </w:r>
      <w:r>
        <w:rPr>
          <w:rFonts w:hint="eastAsia" w:ascii="仿宋" w:hAnsi="仿宋" w:eastAsia="仿宋" w:cs="仿宋"/>
          <w:color w:val="auto"/>
          <w:highlight w:val="none"/>
          <w:lang w:eastAsia="zh-CN"/>
        </w:rPr>
        <w:t>承包人实施、完成合同工程的全部工作内容，经自检评定并符合下列条件的，则认为合同工程已具备竣工验收条件。</w:t>
      </w:r>
    </w:p>
    <w:p>
      <w:pPr>
        <w:widowControl w:val="0"/>
        <w:numPr>
          <w:ilvl w:val="0"/>
          <w:numId w:val="15"/>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除监理人同意列入缺陷责任期内完成的尾工（甩项）工程和缺陷修补工作外，包括合同约定的试验、检验和验收等工作在内的合同范围内全部工作均已完成，并符合施工设计图纸和合同约定的要求；</w:t>
      </w:r>
    </w:p>
    <w:p>
      <w:pPr>
        <w:widowControl w:val="0"/>
        <w:numPr>
          <w:ilvl w:val="0"/>
          <w:numId w:val="15"/>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已按照合同约定的内容和份数备齐了符合国家或行业、省要求的竣工资料（质量控制资料等）；</w:t>
      </w:r>
    </w:p>
    <w:p>
      <w:pPr>
        <w:widowControl w:val="0"/>
        <w:numPr>
          <w:ilvl w:val="0"/>
          <w:numId w:val="15"/>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已按照监理人的指令编制了在缺陷责任期内完成的尾工（甩项）工程和缺陷修补工作清单，以及相应的实施计划；</w:t>
      </w:r>
    </w:p>
    <w:p>
      <w:pPr>
        <w:widowControl w:val="0"/>
        <w:numPr>
          <w:ilvl w:val="0"/>
          <w:numId w:val="15"/>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监理人要求在竣工验收前应完成的其他工作：</w:t>
      </w:r>
    </w:p>
    <w:p>
      <w:pPr>
        <w:widowControl w:val="0"/>
        <w:numPr>
          <w:ilvl w:val="0"/>
          <w:numId w:val="15"/>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监理人要求提交的竣工验收资料清单；</w:t>
      </w:r>
    </w:p>
    <w:p>
      <w:pPr>
        <w:widowControl w:val="0"/>
        <w:numPr>
          <w:ilvl w:val="0"/>
          <w:numId w:val="15"/>
        </w:numPr>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竣工资料应当符合国家或行业、省关于基本建设项目档案资料管理的有关规定；发包人对基本建设项目档案资料管理有具体要求的，由合同双方在专用条款中约定。</w:t>
      </w:r>
    </w:p>
    <w:p>
      <w:pPr>
        <w:spacing w:line="360" w:lineRule="auto"/>
        <w:rPr>
          <w:rFonts w:ascii="仿宋" w:hAnsi="仿宋" w:eastAsia="仿宋"/>
          <w:color w:val="auto"/>
          <w:highlight w:val="none"/>
          <w:lang w:eastAsia="zh-CN"/>
        </w:rPr>
      </w:pPr>
      <w:bookmarkStart w:id="882" w:name="_Toc9505"/>
      <w:r>
        <w:rPr>
          <w:rFonts w:hint="eastAsia" w:ascii="仿宋" w:hAnsi="仿宋" w:eastAsia="仿宋" w:cs="仿宋"/>
          <w:b/>
          <w:bCs/>
          <w:color w:val="auto"/>
          <w:highlight w:val="none"/>
          <w:lang w:eastAsia="zh-CN"/>
        </w:rPr>
        <w:t>64</w:t>
      </w:r>
      <w:r>
        <w:rPr>
          <w:rFonts w:ascii="仿宋" w:hAnsi="仿宋" w:eastAsia="仿宋" w:cs="仿宋"/>
          <w:b/>
          <w:bCs/>
          <w:color w:val="auto"/>
          <w:highlight w:val="none"/>
          <w:lang w:eastAsia="zh-CN"/>
        </w:rPr>
        <w:t>.2</w:t>
      </w:r>
      <w:bookmarkEnd w:id="882"/>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7"/>
        <w:widowControl w:val="0"/>
        <w:adjustRightInd w:val="0"/>
        <w:snapToGrid w:val="0"/>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w:t>
      </w:r>
      <w:r>
        <w:rPr>
          <w:color w:val="auto"/>
          <w:highlight w:val="none"/>
        </w:rPr>
        <mc:AlternateContent>
          <mc:Choice Requires="wps">
            <w:drawing>
              <wp:anchor distT="0" distB="0" distL="114300" distR="114300" simplePos="0" relativeHeight="251843584" behindDoc="0" locked="0" layoutInCell="1" allowOverlap="1">
                <wp:simplePos x="0" y="0"/>
                <wp:positionH relativeFrom="column">
                  <wp:posOffset>-114300</wp:posOffset>
                </wp:positionH>
                <wp:positionV relativeFrom="paragraph">
                  <wp:posOffset>12700</wp:posOffset>
                </wp:positionV>
                <wp:extent cx="831850" cy="579120"/>
                <wp:effectExtent l="0" t="0" r="0" b="0"/>
                <wp:wrapNone/>
                <wp:docPr id="181" name="文本框 930"/>
                <wp:cNvGraphicFramePr/>
                <a:graphic xmlns:a="http://schemas.openxmlformats.org/drawingml/2006/main">
                  <a:graphicData uri="http://schemas.microsoft.com/office/word/2010/wordprocessingShape">
                    <wps:wsp>
                      <wps:cNvSpPr txBox="1"/>
                      <wps:spPr>
                        <a:xfrm>
                          <a:off x="0" y="0"/>
                          <a:ext cx="831850" cy="579120"/>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提交竣工验收申请报告</w:t>
                            </w:r>
                          </w:p>
                        </w:txbxContent>
                      </wps:txbx>
                      <wps:bodyPr wrap="square" upright="1"/>
                    </wps:wsp>
                  </a:graphicData>
                </a:graphic>
              </wp:anchor>
            </w:drawing>
          </mc:Choice>
          <mc:Fallback>
            <w:pict>
              <v:shape id="文本框 930" o:spid="_x0000_s1026" o:spt="202" type="#_x0000_t202" style="position:absolute;left:0pt;margin-left:-9pt;margin-top:1pt;height:45.6pt;width:65.5pt;z-index:251843584;mso-width-relative:page;mso-height-relative:page;" filled="f" stroked="f" coordsize="21600,21600" o:gfxdata="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Zkxx41QAAAAgBAAAPAAAAAAAAAAEAIAAAACIAAABkcnMvZG93bnJldi54bWxQSwECFAAUAAAA&#10;CACHTuJAqEpfbbgBAABfAwAADgAAAAAAAAABACAAAAAkAQAAZHJzL2Uyb0RvYy54bWxQSwUGAAAA&#10;AAYABgBZAQAATgU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提交竣工验收申请报告</w:t>
                      </w:r>
                    </w:p>
                  </w:txbxContent>
                </v:textbox>
              </v:shape>
            </w:pict>
          </mc:Fallback>
        </mc:AlternateContent>
      </w:r>
      <w:r>
        <w:rPr>
          <w:rFonts w:hint="eastAsia" w:ascii="仿宋" w:hAnsi="仿宋" w:eastAsia="仿宋" w:cs="仿宋"/>
          <w:color w:val="auto"/>
          <w:highlight w:val="none"/>
          <w:lang w:eastAsia="zh-CN"/>
        </w:rPr>
        <w:t>认为合同工程具备竣工验收条件的，应按照国家或行业、省规定的工程竣工验收技术资料格式和要求，及时向发包人提交竣工验收申请报告和符合要求的完整竣工资料，合同双方当事人应按照第65条约定进行验收。</w:t>
      </w:r>
    </w:p>
    <w:p>
      <w:pPr>
        <w:spacing w:line="360" w:lineRule="auto"/>
        <w:rPr>
          <w:rFonts w:ascii="仿宋" w:hAnsi="仿宋" w:eastAsia="仿宋"/>
          <w:b/>
          <w:bCs/>
          <w:color w:val="auto"/>
          <w:highlight w:val="none"/>
          <w:lang w:eastAsia="zh-CN"/>
        </w:rPr>
      </w:pPr>
      <w:bookmarkStart w:id="883" w:name="_Toc5775"/>
      <w:r>
        <w:rPr>
          <w:rFonts w:hint="eastAsia" w:ascii="仿宋" w:hAnsi="仿宋" w:eastAsia="仿宋" w:cs="仿宋"/>
          <w:b/>
          <w:bCs/>
          <w:color w:val="auto"/>
          <w:highlight w:val="none"/>
          <w:lang w:eastAsia="zh-CN"/>
        </w:rPr>
        <w:t>64</w:t>
      </w:r>
      <w:r>
        <w:rPr>
          <w:rFonts w:ascii="仿宋" w:hAnsi="仿宋" w:eastAsia="仿宋" w:cs="仿宋"/>
          <w:b/>
          <w:bCs/>
          <w:color w:val="auto"/>
          <w:highlight w:val="none"/>
          <w:lang w:eastAsia="zh-CN"/>
        </w:rPr>
        <w:t>.3</w:t>
      </w:r>
      <w:bookmarkEnd w:id="88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7"/>
        <w:adjustRightInd w:val="0"/>
        <w:snapToGrid w:val="0"/>
        <w:spacing w:line="360" w:lineRule="auto"/>
        <w:ind w:left="1850" w:leftChars="771" w:firstLine="0"/>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44608" behindDoc="0" locked="0" layoutInCell="1" allowOverlap="1">
                <wp:simplePos x="0" y="0"/>
                <wp:positionH relativeFrom="column">
                  <wp:posOffset>-114300</wp:posOffset>
                </wp:positionH>
                <wp:positionV relativeFrom="paragraph">
                  <wp:posOffset>38735</wp:posOffset>
                </wp:positionV>
                <wp:extent cx="759460" cy="569595"/>
                <wp:effectExtent l="0" t="0" r="0" b="0"/>
                <wp:wrapNone/>
                <wp:docPr id="182" name="文本框 931"/>
                <wp:cNvGraphicFramePr/>
                <a:graphic xmlns:a="http://schemas.openxmlformats.org/drawingml/2006/main">
                  <a:graphicData uri="http://schemas.microsoft.com/office/word/2010/wordprocessingShape">
                    <wps:wsp>
                      <wps:cNvSpPr txBox="1"/>
                      <wps:spPr>
                        <a:xfrm>
                          <a:off x="0" y="0"/>
                          <a:ext cx="759460" cy="56959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竣工验收条件的限制</w:t>
                            </w:r>
                          </w:p>
                        </w:txbxContent>
                      </wps:txbx>
                      <wps:bodyPr wrap="square" upright="1"/>
                    </wps:wsp>
                  </a:graphicData>
                </a:graphic>
              </wp:anchor>
            </w:drawing>
          </mc:Choice>
          <mc:Fallback>
            <w:pict>
              <v:shape id="文本框 931" o:spid="_x0000_s1026" o:spt="202" type="#_x0000_t202" style="position:absolute;left:0pt;margin-left:-9pt;margin-top:3.05pt;height:44.85pt;width:59.8pt;z-index:251844608;mso-width-relative:page;mso-height-relative:page;" filled="f" stroked="f" coordsize="21600,21600" o:gfxdata="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vpPKbVAAAACAEAAA8AAAAAAAAAAQAgAAAAIgAAAGRycy9kb3ducmV2LnhtbFBLAQIUABQA&#10;AAAIAIdO4kALouAC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竣工验收条件的限制</w:t>
                      </w:r>
                    </w:p>
                  </w:txbxContent>
                </v:textbox>
              </v:shape>
            </w:pict>
          </mc:Fallback>
        </mc:AlternateContent>
      </w:r>
      <w:r>
        <w:rPr>
          <w:rFonts w:hint="eastAsia" w:ascii="仿宋" w:hAnsi="仿宋" w:eastAsia="仿宋" w:cs="仿宋"/>
          <w:color w:val="auto"/>
          <w:highlight w:val="none"/>
          <w:lang w:eastAsia="zh-CN"/>
        </w:rPr>
        <w:t>如果承包人不按照规定提交竣工资料或提交的资料不符合要求，则认为合同工程尚未具备竣工验收条件。</w:t>
      </w:r>
    </w:p>
    <w:p>
      <w:pPr>
        <w:adjustRightInd w:val="0"/>
        <w:snapToGrid w:val="0"/>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4"/>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884" w:name="_Toc23843"/>
      <w:bookmarkStart w:id="885" w:name="_Toc18290"/>
      <w:bookmarkStart w:id="886" w:name="_Toc31668"/>
      <w:bookmarkStart w:id="887" w:name="_Toc469"/>
      <w:bookmarkStart w:id="888" w:name="_Toc16094"/>
      <w:bookmarkStart w:id="889" w:name="_Toc11578"/>
      <w:bookmarkStart w:id="890" w:name="_Toc20074"/>
      <w:bookmarkStart w:id="891" w:name="_Toc11998"/>
      <w:r>
        <w:rPr>
          <w:rFonts w:hint="eastAsia" w:ascii="仿宋" w:hAnsi="仿宋" w:eastAsia="仿宋" w:cs="仿宋"/>
          <w:bCs w:val="0"/>
          <w:color w:val="auto"/>
          <w:sz w:val="24"/>
          <w:szCs w:val="24"/>
          <w:highlight w:val="none"/>
          <w:lang w:eastAsia="zh-CN"/>
        </w:rPr>
        <w:t>65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竣工验收</w:t>
      </w:r>
      <w:bookmarkEnd w:id="884"/>
      <w:bookmarkEnd w:id="885"/>
      <w:bookmarkEnd w:id="886"/>
      <w:bookmarkEnd w:id="887"/>
      <w:bookmarkEnd w:id="888"/>
      <w:bookmarkEnd w:id="889"/>
      <w:bookmarkEnd w:id="890"/>
      <w:bookmarkEnd w:id="891"/>
    </w:p>
    <w:p>
      <w:pPr>
        <w:tabs>
          <w:tab w:val="left" w:pos="1620"/>
        </w:tabs>
        <w:adjustRightInd w:val="0"/>
        <w:snapToGrid w:val="0"/>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w:t>
      </w:r>
      <w:r>
        <w:rPr>
          <w:color w:val="auto"/>
          <w:highlight w:val="none"/>
        </w:rPr>
        <mc:AlternateContent>
          <mc:Choice Requires="wps">
            <w:drawing>
              <wp:anchor distT="0" distB="0" distL="114300" distR="114300" simplePos="0" relativeHeight="252043264" behindDoc="0" locked="0" layoutInCell="1" allowOverlap="1">
                <wp:simplePos x="0" y="0"/>
                <wp:positionH relativeFrom="column">
                  <wp:posOffset>-114300</wp:posOffset>
                </wp:positionH>
                <wp:positionV relativeFrom="paragraph">
                  <wp:posOffset>257810</wp:posOffset>
                </wp:positionV>
                <wp:extent cx="825500" cy="569595"/>
                <wp:effectExtent l="0" t="0" r="0" b="0"/>
                <wp:wrapNone/>
                <wp:docPr id="376" name="文本框 932"/>
                <wp:cNvGraphicFramePr/>
                <a:graphic xmlns:a="http://schemas.openxmlformats.org/drawingml/2006/main">
                  <a:graphicData uri="http://schemas.microsoft.com/office/word/2010/wordprocessingShape">
                    <wps:wsp>
                      <wps:cNvSpPr txBox="1"/>
                      <wps:spPr>
                        <a:xfrm>
                          <a:off x="0" y="0"/>
                          <a:ext cx="825500" cy="56959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竣工验收标准</w:t>
                            </w:r>
                          </w:p>
                        </w:txbxContent>
                      </wps:txbx>
                      <wps:bodyPr wrap="square" upright="1"/>
                    </wps:wsp>
                  </a:graphicData>
                </a:graphic>
              </wp:anchor>
            </w:drawing>
          </mc:Choice>
          <mc:Fallback>
            <w:pict>
              <v:shape id="文本框 932" o:spid="_x0000_s1026" o:spt="202" type="#_x0000_t202" style="position:absolute;left:0pt;margin-left:-9pt;margin-top:20.3pt;height:44.85pt;width:65pt;z-index:252043264;mso-width-relative:page;mso-height-relative:page;" filled="f" stroked="f" coordsize="21600,21600" o:gfxdata="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fvv2Z1wAAAAoBAAAPAAAAAAAAAAEAIAAAACIAAABkcnMvZG93bnJldi54bWxQSwECFAAU&#10;AAAACACHTuJAEHagG7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竣工验收标准</w:t>
                      </w:r>
                    </w:p>
                  </w:txbxContent>
                </v:textbox>
              </v:shape>
            </w:pict>
          </mc:Fallback>
        </mc:AlternateContent>
      </w:r>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.1</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合同双方当事人应在专用条款中约定合同工程竣工验收标准，但约定的竣工验收标准应符合国家或行业、省的有关规定。</w:t>
      </w:r>
    </w:p>
    <w:p>
      <w:pPr>
        <w:widowControl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合同工程需要进行国家验收的，国家验收是竣工验收的一部分。</w:t>
      </w:r>
    </w:p>
    <w:p>
      <w:pPr>
        <w:tabs>
          <w:tab w:val="left" w:pos="1620"/>
        </w:tabs>
        <w:adjustRightInd w:val="0"/>
        <w:snapToGrid w:val="0"/>
        <w:spacing w:line="360" w:lineRule="auto"/>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044288" behindDoc="0" locked="0" layoutInCell="1" allowOverlap="1">
                <wp:simplePos x="0" y="0"/>
                <wp:positionH relativeFrom="column">
                  <wp:posOffset>-114300</wp:posOffset>
                </wp:positionH>
                <wp:positionV relativeFrom="paragraph">
                  <wp:posOffset>372110</wp:posOffset>
                </wp:positionV>
                <wp:extent cx="825500" cy="532130"/>
                <wp:effectExtent l="0" t="0" r="0" b="0"/>
                <wp:wrapNone/>
                <wp:docPr id="377" name="文本框 933"/>
                <wp:cNvGraphicFramePr/>
                <a:graphic xmlns:a="http://schemas.openxmlformats.org/drawingml/2006/main">
                  <a:graphicData uri="http://schemas.microsoft.com/office/word/2010/wordprocessingShape">
                    <wps:wsp>
                      <wps:cNvSpPr txBox="1"/>
                      <wps:spPr>
                        <a:xfrm>
                          <a:off x="0" y="0"/>
                          <a:ext cx="825500" cy="53213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核查竣工验收条件</w:t>
                            </w:r>
                          </w:p>
                        </w:txbxContent>
                      </wps:txbx>
                      <wps:bodyPr wrap="square" upright="1"/>
                    </wps:wsp>
                  </a:graphicData>
                </a:graphic>
              </wp:anchor>
            </w:drawing>
          </mc:Choice>
          <mc:Fallback>
            <w:pict>
              <v:shape id="文本框 933" o:spid="_x0000_s1026" o:spt="202" type="#_x0000_t202" style="position:absolute;left:0pt;margin-left:-9pt;margin-top:29.3pt;height:41.9pt;width:65pt;z-index:252044288;mso-width-relative:page;mso-height-relative:page;" filled="f" stroked="f" coordsize="21600,21600" o:gfxdata="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80AonYAAAACgEAAA8AAAAAAAAAAQAgAAAAIgAAAGRycy9kb3ducmV2LnhtbFBLAQIU&#10;ABQAAAAIAIdO4kAWyFs9ugEAAF8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核查竣工验收条件</w:t>
                      </w:r>
                    </w:p>
                  </w:txbxContent>
                </v:textbox>
              </v:shape>
            </w:pict>
          </mc:Fallback>
        </mc:AlternateContent>
      </w:r>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.2</w:t>
      </w:r>
      <w:r>
        <w:rPr>
          <w:rFonts w:ascii="仿宋" w:hAnsi="仿宋" w:eastAsia="仿宋" w:cs="仿宋"/>
          <w:color w:val="auto"/>
          <w:highlight w:val="none"/>
          <w:u w:val="dotted"/>
          <w:lang w:eastAsia="zh-CN"/>
        </w:rPr>
        <w:t xml:space="preserve">                                                              </w:t>
      </w:r>
      <w:r>
        <w:rPr>
          <w:rFonts w:hint="eastAsia" w:ascii="仿宋" w:hAnsi="仿宋" w:eastAsia="仿宋" w:cs="仿宋"/>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发包人收到承包人按照第64</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款约定提交的竣工验收申请报告后，应及时通知监理人核查合同工程是否具备竣工验收条件。</w:t>
      </w:r>
    </w:p>
    <w:p>
      <w:pPr>
        <w:widowControl w:val="0"/>
        <w:numPr>
          <w:ilvl w:val="0"/>
          <w:numId w:val="16"/>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经核查未具备竣工验收条件的，监理人应在收到竣工验收申请报告后的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通知承包人，指出在颁发接收证书前承包人应进一步完成的工作内容。承包人对监理人提出的有关工程质量和工程数量方面的问题，应在接到监理人通知后的14天内完成整改。承包人完成监理人通知的全部工作内容后，应再次提交竣工验收申请报告，直至监理人同意为止。</w:t>
      </w:r>
    </w:p>
    <w:p>
      <w:pPr>
        <w:widowControl w:val="0"/>
        <w:numPr>
          <w:ilvl w:val="0"/>
          <w:numId w:val="16"/>
        </w:numPr>
        <w:spacing w:line="360" w:lineRule="auto"/>
        <w:ind w:left="1850" w:leftChars="771" w:firstLine="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经核查已具备竣工验收条件的，监理人应在收到竣工验收申请报告后的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天内书面提请发包人组织合同工程验收。</w:t>
      </w:r>
    </w:p>
    <w:p>
      <w:pPr>
        <w:spacing w:line="360" w:lineRule="auto"/>
        <w:rPr>
          <w:rFonts w:ascii="仿宋" w:hAnsi="仿宋" w:eastAsia="仿宋"/>
          <w:b/>
          <w:bCs/>
          <w:color w:val="auto"/>
          <w:highlight w:val="none"/>
          <w:lang w:eastAsia="zh-CN"/>
        </w:rPr>
      </w:pPr>
      <w:bookmarkStart w:id="892" w:name="_Toc5023"/>
      <w:r>
        <w:rPr>
          <w:color w:val="auto"/>
          <w:highlight w:val="none"/>
        </w:rPr>
        <mc:AlternateContent>
          <mc:Choice Requires="wps">
            <w:drawing>
              <wp:anchor distT="0" distB="0" distL="114300" distR="114300" simplePos="0" relativeHeight="252045312" behindDoc="0" locked="0" layoutInCell="1" allowOverlap="1">
                <wp:simplePos x="0" y="0"/>
                <wp:positionH relativeFrom="column">
                  <wp:posOffset>-114300</wp:posOffset>
                </wp:positionH>
                <wp:positionV relativeFrom="paragraph">
                  <wp:posOffset>340360</wp:posOffset>
                </wp:positionV>
                <wp:extent cx="796925" cy="646430"/>
                <wp:effectExtent l="0" t="0" r="0" b="0"/>
                <wp:wrapNone/>
                <wp:docPr id="378" name="文本框 934"/>
                <wp:cNvGraphicFramePr/>
                <a:graphic xmlns:a="http://schemas.openxmlformats.org/drawingml/2006/main">
                  <a:graphicData uri="http://schemas.microsoft.com/office/word/2010/wordprocessingShape">
                    <wps:wsp>
                      <wps:cNvSpPr txBox="1"/>
                      <wps:spPr>
                        <a:xfrm>
                          <a:off x="0" y="0"/>
                          <a:ext cx="796925" cy="64643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完成验收和确认</w:t>
                            </w:r>
                          </w:p>
                        </w:txbxContent>
                      </wps:txbx>
                      <wps:bodyPr wrap="square" upright="1"/>
                    </wps:wsp>
                  </a:graphicData>
                </a:graphic>
              </wp:anchor>
            </w:drawing>
          </mc:Choice>
          <mc:Fallback>
            <w:pict>
              <v:shape id="文本框 934" o:spid="_x0000_s1026" o:spt="202" type="#_x0000_t202" style="position:absolute;left:0pt;margin-left:-9pt;margin-top:26.8pt;height:50.9pt;width:62.75pt;z-index:252045312;mso-width-relative:page;mso-height-relative:page;" filled="f" stroked="f" coordsize="21600,21600" o:gfxdata="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Ne6fgLXAAAACgEAAA8AAAAAAAAAAQAgAAAAIgAAAGRycy9kb3ducmV2LnhtbFBLAQIU&#10;ABQAAAAIAIdO4kB5xcVHuwEAAF8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完成验收和确认</w:t>
                      </w:r>
                    </w:p>
                  </w:txbxContent>
                </v:textbox>
              </v:shape>
            </w:pict>
          </mc:Fallback>
        </mc:AlternateContent>
      </w:r>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.3</w:t>
      </w:r>
      <w:bookmarkEnd w:id="89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经监理人按照第65</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款约定核查合同工程已具备竣工验收条件的，发包人应在收到监理人书面提请后的</w:t>
      </w:r>
      <w:r>
        <w:rPr>
          <w:rFonts w:ascii="仿宋" w:hAnsi="仿宋" w:eastAsia="仿宋" w:cs="仿宋"/>
          <w:color w:val="auto"/>
          <w:highlight w:val="none"/>
          <w:lang w:eastAsia="zh-CN"/>
        </w:rPr>
        <w:t>28</w:t>
      </w:r>
      <w:r>
        <w:rPr>
          <w:rFonts w:hint="eastAsia" w:ascii="仿宋" w:hAnsi="仿宋" w:eastAsia="仿宋" w:cs="仿宋"/>
          <w:color w:val="auto"/>
          <w:highlight w:val="none"/>
          <w:lang w:eastAsia="zh-CN"/>
        </w:rPr>
        <w:t>天内，根据合同约定的竣工验收标准和施工设计图纸等文件，按照第22</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款约定组织验收各方完成合同工程验收，并在竣工验收后</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天内予以确认或提出修改意见。</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竣工验收完成后，承包人应及时向发包人提交竣工验收记录。竣工验收合格的，发包人及参加验收各方应及时在竣工验收记录上签字，并由监理人会同参加验收各方形成合同工程竣工验收报告。</w:t>
      </w:r>
    </w:p>
    <w:p>
      <w:pPr>
        <w:spacing w:line="360" w:lineRule="auto"/>
        <w:rPr>
          <w:rFonts w:ascii="仿宋" w:hAnsi="仿宋" w:eastAsia="仿宋"/>
          <w:color w:val="auto"/>
          <w:highlight w:val="none"/>
          <w:lang w:eastAsia="zh-CN"/>
        </w:rPr>
      </w:pPr>
      <w:bookmarkStart w:id="893" w:name="_Toc32546"/>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.4</w:t>
      </w:r>
      <w:bookmarkEnd w:id="893"/>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adjustRightInd w:val="0"/>
        <w:snapToGrid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45632" behindDoc="0" locked="0" layoutInCell="1" allowOverlap="1">
                <wp:simplePos x="0" y="0"/>
                <wp:positionH relativeFrom="column">
                  <wp:posOffset>-114300</wp:posOffset>
                </wp:positionH>
                <wp:positionV relativeFrom="paragraph">
                  <wp:posOffset>19685</wp:posOffset>
                </wp:positionV>
                <wp:extent cx="844550" cy="549910"/>
                <wp:effectExtent l="0" t="0" r="0" b="0"/>
                <wp:wrapNone/>
                <wp:docPr id="183" name="文本框 935"/>
                <wp:cNvGraphicFramePr/>
                <a:graphic xmlns:a="http://schemas.openxmlformats.org/drawingml/2006/main">
                  <a:graphicData uri="http://schemas.microsoft.com/office/word/2010/wordprocessingShape">
                    <wps:wsp>
                      <wps:cNvSpPr txBox="1"/>
                      <wps:spPr>
                        <a:xfrm>
                          <a:off x="0" y="0"/>
                          <a:ext cx="844550" cy="54991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组织验收的限制</w:t>
                            </w:r>
                          </w:p>
                        </w:txbxContent>
                      </wps:txbx>
                      <wps:bodyPr wrap="square" upright="1"/>
                    </wps:wsp>
                  </a:graphicData>
                </a:graphic>
              </wp:anchor>
            </w:drawing>
          </mc:Choice>
          <mc:Fallback>
            <w:pict>
              <v:shape id="文本框 935" o:spid="_x0000_s1026" o:spt="202" type="#_x0000_t202" style="position:absolute;left:0pt;margin-left:-9pt;margin-top:1.55pt;height:43.3pt;width:66.5pt;z-index:251845632;mso-width-relative:page;mso-height-relative:page;" filled="f" stroked="f" coordsize="21600,21600" o:gfxdata="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EfwZZ7VAAAACAEAAA8AAAAAAAAAAQAgAAAAIgAAAGRycy9kb3ducmV2LnhtbFBLAQIUABQA&#10;AAAIAIdO4kAac3to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组织验收的限制</w:t>
                      </w:r>
                    </w:p>
                  </w:txbxContent>
                </v:textbox>
              </v:shape>
            </w:pict>
          </mc:Fallback>
        </mc:AlternateContent>
      </w:r>
      <w:r>
        <w:rPr>
          <w:rFonts w:hint="eastAsia" w:ascii="仿宋" w:hAnsi="仿宋" w:eastAsia="仿宋" w:cs="仿宋"/>
          <w:color w:val="auto"/>
          <w:highlight w:val="none"/>
          <w:lang w:eastAsia="zh-CN"/>
        </w:rPr>
        <w:t>发包人未按照第65</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款约定完成合同工程验收，或验收后</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天内未予确认也未提出修改意见，视为承包人提交的竣工验收申请报告已被认可。</w:t>
      </w:r>
    </w:p>
    <w:p>
      <w:pPr>
        <w:adjustRightInd w:val="0"/>
        <w:snapToGrid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竣工验收申请报告被认可，则表明已完成合同工程，视为竣工验收合格，但由于不可抗力事项致使发包人不能完成验收的除外。</w:t>
      </w:r>
    </w:p>
    <w:p>
      <w:pPr>
        <w:spacing w:line="360" w:lineRule="auto"/>
        <w:rPr>
          <w:rFonts w:ascii="仿宋" w:hAnsi="仿宋" w:eastAsia="仿宋"/>
          <w:b/>
          <w:bCs/>
          <w:color w:val="auto"/>
          <w:highlight w:val="none"/>
          <w:lang w:eastAsia="zh-CN"/>
        </w:rPr>
      </w:pPr>
      <w:bookmarkStart w:id="894" w:name="_Toc18131"/>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.5</w:t>
      </w:r>
      <w:bookmarkEnd w:id="89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46656" behindDoc="0" locked="0" layoutInCell="1" allowOverlap="1">
                <wp:simplePos x="0" y="0"/>
                <wp:positionH relativeFrom="column">
                  <wp:posOffset>-114300</wp:posOffset>
                </wp:positionH>
                <wp:positionV relativeFrom="paragraph">
                  <wp:posOffset>19685</wp:posOffset>
                </wp:positionV>
                <wp:extent cx="842645" cy="487680"/>
                <wp:effectExtent l="0" t="0" r="0" b="0"/>
                <wp:wrapNone/>
                <wp:docPr id="184" name="文本框 936"/>
                <wp:cNvGraphicFramePr/>
                <a:graphic xmlns:a="http://schemas.openxmlformats.org/drawingml/2006/main">
                  <a:graphicData uri="http://schemas.microsoft.com/office/word/2010/wordprocessingShape">
                    <wps:wsp>
                      <wps:cNvSpPr txBox="1"/>
                      <wps:spPr>
                        <a:xfrm>
                          <a:off x="0" y="0"/>
                          <a:ext cx="842645" cy="48768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不组织验收的责任</w:t>
                            </w:r>
                          </w:p>
                        </w:txbxContent>
                      </wps:txbx>
                      <wps:bodyPr wrap="square" upright="1"/>
                    </wps:wsp>
                  </a:graphicData>
                </a:graphic>
              </wp:anchor>
            </w:drawing>
          </mc:Choice>
          <mc:Fallback>
            <w:pict>
              <v:shape id="文本框 936" o:spid="_x0000_s1026" o:spt="202" type="#_x0000_t202" style="position:absolute;left:0pt;margin-left:-9pt;margin-top:1.55pt;height:38.4pt;width:66.35pt;z-index:251846656;mso-width-relative:page;mso-height-relative:page;" filled="f" stroked="f" coordsize="21600,21600" o:gfxdata="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k0m2V1gAAAAgBAAAPAAAAAAAAAAEAIAAAACIAAABkcnMvZG93bnJldi54bWxQSwECFAAU&#10;AAAACACHTuJAz2/HRboBAABf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不组织验收的责任</w:t>
                      </w:r>
                    </w:p>
                  </w:txbxContent>
                </v:textbox>
              </v:shape>
            </w:pict>
          </mc:Fallback>
        </mc:AlternateContent>
      </w:r>
      <w:r>
        <w:rPr>
          <w:rFonts w:hint="eastAsia" w:ascii="仿宋" w:hAnsi="仿宋" w:eastAsia="仿宋" w:cs="仿宋"/>
          <w:color w:val="auto"/>
          <w:highlight w:val="none"/>
          <w:lang w:eastAsia="zh-CN"/>
        </w:rPr>
        <w:t>发包人未按照第65</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款约定完成合同工程验收，从收到监理人书面提请组织</w:t>
      </w:r>
      <w:r>
        <w:rPr>
          <w:rFonts w:ascii="仿宋" w:hAnsi="仿宋" w:eastAsia="仿宋" w:cs="仿宋"/>
          <w:color w:val="auto"/>
          <w:highlight w:val="none"/>
          <w:lang w:eastAsia="zh-CN"/>
        </w:rPr>
        <w:t>合同工程验收</w:t>
      </w:r>
      <w:r>
        <w:rPr>
          <w:rFonts w:hint="eastAsia" w:ascii="仿宋" w:hAnsi="仿宋" w:eastAsia="仿宋" w:cs="仿宋"/>
          <w:color w:val="auto"/>
          <w:highlight w:val="none"/>
          <w:lang w:eastAsia="zh-CN"/>
        </w:rPr>
        <w:t>后的第</w:t>
      </w:r>
      <w:r>
        <w:rPr>
          <w:rFonts w:ascii="仿宋" w:hAnsi="仿宋" w:eastAsia="仿宋" w:cs="仿宋"/>
          <w:color w:val="auto"/>
          <w:highlight w:val="none"/>
          <w:lang w:eastAsia="zh-CN"/>
        </w:rPr>
        <w:t>29</w:t>
      </w:r>
      <w:r>
        <w:rPr>
          <w:rFonts w:hint="eastAsia" w:ascii="仿宋" w:hAnsi="仿宋" w:eastAsia="仿宋" w:cs="仿宋"/>
          <w:color w:val="auto"/>
          <w:highlight w:val="none"/>
          <w:lang w:eastAsia="zh-CN"/>
        </w:rPr>
        <w:t>天起承担合同工程照管责任和其他一切意外责任。</w:t>
      </w:r>
    </w:p>
    <w:p>
      <w:pPr>
        <w:spacing w:line="360" w:lineRule="auto"/>
        <w:rPr>
          <w:rFonts w:ascii="仿宋" w:hAnsi="仿宋" w:eastAsia="仿宋"/>
          <w:color w:val="auto"/>
          <w:highlight w:val="none"/>
          <w:lang w:eastAsia="zh-CN"/>
        </w:rPr>
      </w:pPr>
      <w:bookmarkStart w:id="895" w:name="_Toc11911"/>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.6</w:t>
      </w:r>
      <w:bookmarkEnd w:id="895"/>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1" w:leftChars="771" w:hanging="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竣工</w:t>
      </w:r>
      <w:r>
        <w:rPr>
          <w:color w:val="auto"/>
          <w:highlight w:val="none"/>
        </w:rPr>
        <mc:AlternateContent>
          <mc:Choice Requires="wps">
            <w:drawing>
              <wp:anchor distT="0" distB="0" distL="114300" distR="114300" simplePos="0" relativeHeight="251847680" behindDoc="0" locked="0" layoutInCell="1" allowOverlap="1">
                <wp:simplePos x="0" y="0"/>
                <wp:positionH relativeFrom="column">
                  <wp:posOffset>-114300</wp:posOffset>
                </wp:positionH>
                <wp:positionV relativeFrom="paragraph">
                  <wp:posOffset>4445</wp:posOffset>
                </wp:positionV>
                <wp:extent cx="699770" cy="410210"/>
                <wp:effectExtent l="0" t="0" r="0" b="0"/>
                <wp:wrapNone/>
                <wp:docPr id="185" name="文本框 937"/>
                <wp:cNvGraphicFramePr/>
                <a:graphic xmlns:a="http://schemas.openxmlformats.org/drawingml/2006/main">
                  <a:graphicData uri="http://schemas.microsoft.com/office/word/2010/wordprocessingShape">
                    <wps:wsp>
                      <wps:cNvSpPr txBox="1"/>
                      <wps:spPr>
                        <a:xfrm>
                          <a:off x="0" y="0"/>
                          <a:ext cx="699770" cy="41021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接收工程</w:t>
                            </w:r>
                          </w:p>
                        </w:txbxContent>
                      </wps:txbx>
                      <wps:bodyPr wrap="square" upright="1"/>
                    </wps:wsp>
                  </a:graphicData>
                </a:graphic>
              </wp:anchor>
            </w:drawing>
          </mc:Choice>
          <mc:Fallback>
            <w:pict>
              <v:shape id="文本框 937" o:spid="_x0000_s1026" o:spt="202" type="#_x0000_t202" style="position:absolute;left:0pt;margin-left:-9pt;margin-top:0.35pt;height:32.3pt;width:55.1pt;z-index:251847680;mso-width-relative:page;mso-height-relative:page;" filled="f" stroked="f" coordsize="21600,21600" o:gfxdata="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sfMUbVAAAABgEAAA8AAAAAAAAAAQAgAAAAIgAAAGRycy9kb3ducmV2LnhtbFBLAQIUABQA&#10;AAAIAIdO4kD5cJRcugEAAF8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接收工程</w:t>
                      </w:r>
                    </w:p>
                  </w:txbxContent>
                </v:textbox>
              </v:shape>
            </w:pict>
          </mc:Fallback>
        </mc:AlternateContent>
      </w:r>
      <w:r>
        <w:rPr>
          <w:rFonts w:hint="eastAsia" w:ascii="仿宋" w:hAnsi="仿宋" w:eastAsia="仿宋" w:cs="仿宋"/>
          <w:color w:val="auto"/>
          <w:highlight w:val="none"/>
          <w:lang w:eastAsia="zh-CN"/>
        </w:rPr>
        <w:t>验收合格的，发包人应接收工程，并在收到承包人提交的竣工验收申请报告后的</w:t>
      </w:r>
      <w:r>
        <w:rPr>
          <w:rFonts w:ascii="仿宋" w:hAnsi="仿宋" w:eastAsia="仿宋" w:cs="仿宋"/>
          <w:color w:val="auto"/>
          <w:highlight w:val="none"/>
          <w:lang w:eastAsia="zh-CN"/>
        </w:rPr>
        <w:t>56</w:t>
      </w:r>
      <w:r>
        <w:rPr>
          <w:rFonts w:hint="eastAsia" w:ascii="仿宋" w:hAnsi="仿宋" w:eastAsia="仿宋" w:cs="仿宋"/>
          <w:color w:val="auto"/>
          <w:highlight w:val="none"/>
          <w:lang w:eastAsia="zh-CN"/>
        </w:rPr>
        <w:t>天内向承包人颁发工程接收证书。</w:t>
      </w:r>
    </w:p>
    <w:p>
      <w:pPr>
        <w:widowControl w:val="0"/>
        <w:spacing w:line="360" w:lineRule="auto"/>
        <w:ind w:left="1851" w:leftChars="771" w:hanging="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竣工验收后，发包人同意接收工程但提出限期整修和完善要求的，发包人应缓发工程接收证书。承包人整修和完善工作完成后，监理人核查达到要求的，发包人应向承包人颁发工程接收证书。</w:t>
      </w:r>
    </w:p>
    <w:p>
      <w:pPr>
        <w:widowControl w:val="0"/>
        <w:spacing w:line="360" w:lineRule="auto"/>
        <w:ind w:left="1850" w:leftChars="771" w:firstLine="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竣工验收后，发包人不同意接收工程的，发包人或监理人应按照竣工验收提出的修改意见发出指令，要求承包人对合同工程不合格部分返工重做或补救处理，并承担由此产生的费用。承包人在完成合同工程不合格部分的返工重做或补救处理后，应再次提交竣工验收申请报告。</w:t>
      </w:r>
    </w:p>
    <w:p>
      <w:pPr>
        <w:spacing w:line="360" w:lineRule="auto"/>
        <w:rPr>
          <w:rFonts w:ascii="仿宋" w:hAnsi="仿宋" w:eastAsia="仿宋"/>
          <w:b/>
          <w:bCs/>
          <w:color w:val="auto"/>
          <w:highlight w:val="none"/>
          <w:lang w:eastAsia="zh-CN"/>
        </w:rPr>
      </w:pPr>
      <w:bookmarkStart w:id="896" w:name="_Toc25288"/>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.7</w:t>
      </w:r>
      <w:bookmarkEnd w:id="89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48704" behindDoc="0" locked="0" layoutInCell="1" allowOverlap="1">
                <wp:simplePos x="0" y="0"/>
                <wp:positionH relativeFrom="column">
                  <wp:posOffset>-114300</wp:posOffset>
                </wp:positionH>
                <wp:positionV relativeFrom="paragraph">
                  <wp:posOffset>4445</wp:posOffset>
                </wp:positionV>
                <wp:extent cx="822960" cy="448945"/>
                <wp:effectExtent l="0" t="0" r="0" b="0"/>
                <wp:wrapNone/>
                <wp:docPr id="186" name="文本框 938"/>
                <wp:cNvGraphicFramePr/>
                <a:graphic xmlns:a="http://schemas.openxmlformats.org/drawingml/2006/main">
                  <a:graphicData uri="http://schemas.microsoft.com/office/word/2010/wordprocessingShape">
                    <wps:wsp>
                      <wps:cNvSpPr txBox="1"/>
                      <wps:spPr>
                        <a:xfrm>
                          <a:off x="0" y="0"/>
                          <a:ext cx="822960" cy="448945"/>
                        </a:xfrm>
                        <a:prstGeom prst="rect">
                          <a:avLst/>
                        </a:prstGeom>
                        <a:noFill/>
                        <a:ln>
                          <a:noFill/>
                        </a:ln>
                      </wps:spPr>
                      <wps:txbx>
                        <w:txbxContent>
                          <w:p>
                            <w:pPr>
                              <w:spacing w:line="240" w:lineRule="exact"/>
                              <w:rPr>
                                <w:rFonts w:ascii="宋体"/>
                                <w:sz w:val="18"/>
                                <w:szCs w:val="18"/>
                              </w:rPr>
                            </w:pPr>
                            <w:r>
                              <w:rPr>
                                <w:rFonts w:hint="eastAsia" w:ascii="楷体_GB2312" w:hAnsi="宋体" w:eastAsia="楷体_GB2312" w:cs="楷体_GB2312"/>
                                <w:b/>
                                <w:bCs/>
                                <w:color w:val="000000"/>
                                <w:sz w:val="18"/>
                                <w:szCs w:val="18"/>
                              </w:rPr>
                              <w:t>竣工日期的写明</w:t>
                            </w:r>
                          </w:p>
                        </w:txbxContent>
                      </wps:txbx>
                      <wps:bodyPr wrap="square" upright="1"/>
                    </wps:wsp>
                  </a:graphicData>
                </a:graphic>
              </wp:anchor>
            </w:drawing>
          </mc:Choice>
          <mc:Fallback>
            <w:pict>
              <v:shape id="文本框 938" o:spid="_x0000_s1026" o:spt="202" type="#_x0000_t202" style="position:absolute;left:0pt;margin-left:-9pt;margin-top:0.35pt;height:35.35pt;width:64.8pt;z-index:251848704;mso-width-relative:page;mso-height-relative:page;" filled="f" stroked="f" coordsize="21600,21600" o:gfxdata="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XvbQe1AAAAAcBAAAPAAAAAAAAAAEAIAAAACIAAABkcnMvZG93bnJldi54bWxQSwECFAAUAAAA&#10;CACHTuJAkOZAcbkBAABfAwAADgAAAAAAAAABACAAAAAjAQAAZHJzL2Uyb0RvYy54bWxQSwUGAAAA&#10;AAYABgBZAQAATgUAAAAA&#10;">
                <v:fill on="f" focussize="0,0"/>
                <v:stroke on="f"/>
                <v:imagedata o:title=""/>
                <o:lock v:ext="edit" aspectratio="f"/>
                <v:textbox>
                  <w:txbxContent>
                    <w:p>
                      <w:pPr>
                        <w:spacing w:line="240" w:lineRule="exact"/>
                        <w:rPr>
                          <w:rFonts w:ascii="宋体"/>
                          <w:sz w:val="18"/>
                          <w:szCs w:val="18"/>
                        </w:rPr>
                      </w:pPr>
                      <w:r>
                        <w:rPr>
                          <w:rFonts w:hint="eastAsia" w:ascii="楷体_GB2312" w:hAnsi="宋体" w:eastAsia="楷体_GB2312" w:cs="楷体_GB2312"/>
                          <w:b/>
                          <w:bCs/>
                          <w:color w:val="000000"/>
                          <w:sz w:val="18"/>
                          <w:szCs w:val="18"/>
                        </w:rPr>
                        <w:t>竣工日期的写明</w:t>
                      </w:r>
                    </w:p>
                  </w:txbxContent>
                </v:textbox>
              </v:shape>
            </w:pict>
          </mc:Fallback>
        </mc:AlternateContent>
      </w:r>
      <w:r>
        <w:rPr>
          <w:rFonts w:hint="eastAsia" w:ascii="仿宋" w:hAnsi="仿宋" w:eastAsia="仿宋" w:cs="仿宋"/>
          <w:color w:val="auto"/>
          <w:highlight w:val="none"/>
          <w:lang w:eastAsia="zh-CN"/>
        </w:rPr>
        <w:t>竣工验收合格的合同工程，发包人应按照第45</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款约定在工程接收证书上写明合同工程的实际竣工日期。</w:t>
      </w:r>
    </w:p>
    <w:p>
      <w:pPr>
        <w:spacing w:line="360" w:lineRule="auto"/>
        <w:rPr>
          <w:rFonts w:ascii="仿宋" w:hAnsi="仿宋" w:eastAsia="仿宋"/>
          <w:b/>
          <w:bCs/>
          <w:color w:val="auto"/>
          <w:highlight w:val="none"/>
          <w:lang w:eastAsia="zh-CN"/>
        </w:rPr>
      </w:pPr>
      <w:bookmarkStart w:id="897" w:name="_Toc19674"/>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.8</w:t>
      </w:r>
      <w:bookmarkEnd w:id="89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adjustRightInd w:val="0"/>
        <w:snapToGrid w:val="0"/>
        <w:spacing w:line="360" w:lineRule="auto"/>
        <w:ind w:left="1850" w:leftChars="771"/>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49728" behindDoc="0" locked="0" layoutInCell="1" allowOverlap="1">
                <wp:simplePos x="0" y="0"/>
                <wp:positionH relativeFrom="column">
                  <wp:posOffset>-114300</wp:posOffset>
                </wp:positionH>
                <wp:positionV relativeFrom="paragraph">
                  <wp:posOffset>4445</wp:posOffset>
                </wp:positionV>
                <wp:extent cx="775970" cy="826135"/>
                <wp:effectExtent l="0" t="0" r="0" b="0"/>
                <wp:wrapNone/>
                <wp:docPr id="187" name="文本框 939"/>
                <wp:cNvGraphicFramePr/>
                <a:graphic xmlns:a="http://schemas.openxmlformats.org/drawingml/2006/main">
                  <a:graphicData uri="http://schemas.microsoft.com/office/word/2010/wordprocessingShape">
                    <wps:wsp>
                      <wps:cNvSpPr txBox="1"/>
                      <wps:spPr>
                        <a:xfrm>
                          <a:off x="0" y="0"/>
                          <a:ext cx="775970" cy="82613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单项工程或工程部位验收</w:t>
                            </w:r>
                          </w:p>
                        </w:txbxContent>
                      </wps:txbx>
                      <wps:bodyPr wrap="square" upright="1"/>
                    </wps:wsp>
                  </a:graphicData>
                </a:graphic>
              </wp:anchor>
            </w:drawing>
          </mc:Choice>
          <mc:Fallback>
            <w:pict>
              <v:shape id="文本框 939" o:spid="_x0000_s1026" o:spt="202" type="#_x0000_t202" style="position:absolute;left:0pt;margin-left:-9pt;margin-top:0.35pt;height:65.05pt;width:61.1pt;z-index:251849728;mso-width-relative:page;mso-height-relative:page;" filled="f" stroked="f" coordsize="21600,21600" o:gfxdata="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FDCNUTWAAAACAEAAA8AAAAAAAAAAQAgAAAAIgAAAGRycy9kb3ducmV2LnhtbFBLAQIUABQA&#10;AAAIAIdO4kAZRAxruQEAAF8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单项工程或工程部位验收</w:t>
                      </w:r>
                    </w:p>
                  </w:txbxContent>
                </v:textbox>
              </v:shape>
            </w:pict>
          </mc:Fallback>
        </mc:AlternateContent>
      </w:r>
      <w:r>
        <w:rPr>
          <w:rFonts w:hint="eastAsia" w:ascii="仿宋" w:hAnsi="仿宋" w:eastAsia="仿宋" w:cs="仿宋"/>
          <w:color w:val="auto"/>
          <w:highlight w:val="none"/>
          <w:lang w:eastAsia="zh-CN"/>
        </w:rPr>
        <w:t>发包人要求某一单项工程或任一工程部位提前办理竣工验收的，应与承包人签订单项工程或工程部位竣工验收协议，作为本合同的附件。</w:t>
      </w:r>
    </w:p>
    <w:p>
      <w:pPr>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发包人根据合同工程进度计划安排，在全部工程竣工前需要使用已经竣工的单项工程或工程部位时，或承包人提出经发包人同意时，可进行单项工程或工程部位验收。验收的程序可参照第64条和本条上述相关条款约定进行。验收合格后，发包人应向承包人颁发单项工程或工程部位接收证书，并负责照管。单项工程或工程部位的验收成果和结论，作为全部工程竣工验收申请报告的附件。</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）发包人在全部工程竣工前，使用已接收的单项工程或工程部位导致承包人费用增加的，发包人应承担由此增加的费用和（或）延误的工期，并向承包人支付合理利润。</w:t>
      </w:r>
    </w:p>
    <w:p>
      <w:pPr>
        <w:spacing w:line="360" w:lineRule="auto"/>
        <w:rPr>
          <w:rFonts w:ascii="仿宋" w:hAnsi="仿宋" w:eastAsia="仿宋"/>
          <w:b/>
          <w:bCs/>
          <w:color w:val="auto"/>
          <w:highlight w:val="none"/>
          <w:lang w:eastAsia="zh-CN"/>
        </w:rPr>
      </w:pPr>
      <w:bookmarkStart w:id="898" w:name="_Toc24398"/>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.9</w:t>
      </w:r>
      <w:bookmarkEnd w:id="89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50752" behindDoc="0" locked="0" layoutInCell="1" allowOverlap="1">
                <wp:simplePos x="0" y="0"/>
                <wp:positionH relativeFrom="column">
                  <wp:posOffset>-114300</wp:posOffset>
                </wp:positionH>
                <wp:positionV relativeFrom="paragraph">
                  <wp:posOffset>3810</wp:posOffset>
                </wp:positionV>
                <wp:extent cx="775970" cy="428625"/>
                <wp:effectExtent l="0" t="0" r="0" b="0"/>
                <wp:wrapNone/>
                <wp:docPr id="188" name="文本框 940"/>
                <wp:cNvGraphicFramePr/>
                <a:graphic xmlns:a="http://schemas.openxmlformats.org/drawingml/2006/main">
                  <a:graphicData uri="http://schemas.microsoft.com/office/word/2010/wordprocessingShape">
                    <wps:wsp>
                      <wps:cNvSpPr txBox="1"/>
                      <wps:spPr>
                        <a:xfrm>
                          <a:off x="0" y="0"/>
                          <a:ext cx="775970" cy="428625"/>
                        </a:xfrm>
                        <a:prstGeom prst="rect">
                          <a:avLst/>
                        </a:prstGeom>
                        <a:noFill/>
                        <a:ln>
                          <a:noFill/>
                        </a:ln>
                      </wps:spPr>
                      <wps:txbx>
                        <w:txbxContent>
                          <w:p>
                            <w:pPr>
                              <w:spacing w:line="24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施工期</w:t>
                            </w:r>
                            <w:r>
                              <w:rPr>
                                <w:rFonts w:hint="eastAsia" w:ascii="楷体_GB2312" w:hAnsi="宋体" w:eastAsia="楷体_GB2312" w:cs="楷体_GB2312"/>
                                <w:b/>
                                <w:bCs/>
                                <w:color w:val="000000"/>
                                <w:sz w:val="18"/>
                                <w:szCs w:val="18"/>
                                <w:lang w:eastAsia="zh-CN"/>
                              </w:rPr>
                              <w:t>间</w:t>
                            </w:r>
                            <w:r>
                              <w:rPr>
                                <w:rFonts w:hint="eastAsia" w:ascii="楷体_GB2312" w:hAnsi="宋体" w:eastAsia="楷体_GB2312" w:cs="楷体_GB2312"/>
                                <w:b/>
                                <w:bCs/>
                                <w:color w:val="000000"/>
                                <w:sz w:val="18"/>
                                <w:szCs w:val="18"/>
                              </w:rPr>
                              <w:t>运行</w:t>
                            </w:r>
                          </w:p>
                        </w:txbxContent>
                      </wps:txbx>
                      <wps:bodyPr wrap="square" upright="1"/>
                    </wps:wsp>
                  </a:graphicData>
                </a:graphic>
              </wp:anchor>
            </w:drawing>
          </mc:Choice>
          <mc:Fallback>
            <w:pict>
              <v:shape id="文本框 940" o:spid="_x0000_s1026" o:spt="202" type="#_x0000_t202" style="position:absolute;left:0pt;margin-left:-9pt;margin-top:0.3pt;height:33.75pt;width:61.1pt;z-index:251850752;mso-width-relative:page;mso-height-relative:page;" filled="f" stroked="f" coordsize="21600,21600" o:gfxdata="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FoxDNfUAAAABwEAAA8AAAAAAAAAAQAgAAAAIgAAAGRycy9kb3ducmV2LnhtbFBLAQIUABQAAAAI&#10;AIdO4kB3X5gduAEAAF8DAAAOAAAAAAAAAAEAIAAAACMBAABkcnMvZTJvRG9jLnhtbFBLBQYAAAAA&#10;BgAGAFkBAABNBQAAAAA=&#10;">
                <v:fill on="f" focussize="0,0"/>
                <v:stroke on="f"/>
                <v:imagedata o:title=""/>
                <o:lock v:ext="edit" aspectratio="f"/>
                <v:textbox>
                  <w:txbxContent>
                    <w:p>
                      <w:pPr>
                        <w:spacing w:line="240" w:lineRule="exact"/>
                        <w:rPr>
                          <w:rFonts w:ascii="楷体_GB2312" w:hAnsi="宋体" w:eastAsia="楷体_GB2312"/>
                          <w:sz w:val="18"/>
                          <w:szCs w:val="18"/>
                        </w:rPr>
                      </w:pPr>
                      <w:r>
                        <w:rPr>
                          <w:rFonts w:hint="eastAsia" w:ascii="楷体_GB2312" w:hAnsi="宋体" w:eastAsia="楷体_GB2312" w:cs="楷体_GB2312"/>
                          <w:b/>
                          <w:bCs/>
                          <w:color w:val="000000"/>
                          <w:sz w:val="18"/>
                          <w:szCs w:val="18"/>
                        </w:rPr>
                        <w:t>施工期</w:t>
                      </w:r>
                      <w:r>
                        <w:rPr>
                          <w:rFonts w:hint="eastAsia" w:ascii="楷体_GB2312" w:hAnsi="宋体" w:eastAsia="楷体_GB2312" w:cs="楷体_GB2312"/>
                          <w:b/>
                          <w:bCs/>
                          <w:color w:val="000000"/>
                          <w:sz w:val="18"/>
                          <w:szCs w:val="18"/>
                          <w:lang w:eastAsia="zh-CN"/>
                        </w:rPr>
                        <w:t>间</w:t>
                      </w:r>
                      <w:r>
                        <w:rPr>
                          <w:rFonts w:hint="eastAsia" w:ascii="楷体_GB2312" w:hAnsi="宋体" w:eastAsia="楷体_GB2312" w:cs="楷体_GB2312"/>
                          <w:b/>
                          <w:bCs/>
                          <w:color w:val="000000"/>
                          <w:sz w:val="18"/>
                          <w:szCs w:val="18"/>
                        </w:rPr>
                        <w:t>运行</w:t>
                      </w:r>
                    </w:p>
                  </w:txbxContent>
                </v:textbox>
              </v:shape>
            </w:pict>
          </mc:Fallback>
        </mc:AlternateContent>
      </w:r>
      <w:r>
        <w:rPr>
          <w:rFonts w:hint="eastAsia" w:ascii="仿宋" w:hAnsi="仿宋" w:eastAsia="仿宋" w:cs="仿宋"/>
          <w:color w:val="auto"/>
          <w:highlight w:val="none"/>
          <w:lang w:eastAsia="zh-CN"/>
        </w:rPr>
        <w:t>合同工程尚未全部竣工（其中某项或某几项单项工程或工程部位已竣工），根据合同约定需要在施工期间运行的，应由发包人按照第65</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款约定验收合格，并确保安全后，才能投入施工期运行。</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在施工期运行中，发现单项工程或工程部位存在缺陷或损坏的，由承包人按照第66</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款约定进行修复。</w:t>
      </w:r>
    </w:p>
    <w:p>
      <w:pPr>
        <w:spacing w:line="360" w:lineRule="auto"/>
        <w:rPr>
          <w:rFonts w:ascii="仿宋" w:hAnsi="仿宋" w:eastAsia="仿宋"/>
          <w:b/>
          <w:bCs/>
          <w:color w:val="auto"/>
          <w:highlight w:val="none"/>
          <w:lang w:eastAsia="zh-CN"/>
        </w:rPr>
      </w:pPr>
      <w:bookmarkStart w:id="899" w:name="_Toc18024"/>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.10</w:t>
      </w:r>
      <w:bookmarkEnd w:id="89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51776" behindDoc="0" locked="0" layoutInCell="1" allowOverlap="1">
                <wp:simplePos x="0" y="0"/>
                <wp:positionH relativeFrom="column">
                  <wp:posOffset>-114300</wp:posOffset>
                </wp:positionH>
                <wp:positionV relativeFrom="paragraph">
                  <wp:posOffset>3810</wp:posOffset>
                </wp:positionV>
                <wp:extent cx="813435" cy="286385"/>
                <wp:effectExtent l="0" t="0" r="0" b="0"/>
                <wp:wrapNone/>
                <wp:docPr id="189" name="文本框 941"/>
                <wp:cNvGraphicFramePr/>
                <a:graphic xmlns:a="http://schemas.openxmlformats.org/drawingml/2006/main">
                  <a:graphicData uri="http://schemas.microsoft.com/office/word/2010/wordprocessingShape">
                    <wps:wsp>
                      <wps:cNvSpPr txBox="1"/>
                      <wps:spPr>
                        <a:xfrm>
                          <a:off x="0" y="0"/>
                          <a:ext cx="813435" cy="28638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竣工清场</w:t>
                            </w:r>
                          </w:p>
                        </w:txbxContent>
                      </wps:txbx>
                      <wps:bodyPr wrap="square" upright="1"/>
                    </wps:wsp>
                  </a:graphicData>
                </a:graphic>
              </wp:anchor>
            </w:drawing>
          </mc:Choice>
          <mc:Fallback>
            <w:pict>
              <v:shape id="文本框 941" o:spid="_x0000_s1026" o:spt="202" type="#_x0000_t202" style="position:absolute;left:0pt;margin-left:-9pt;margin-top:0.3pt;height:22.55pt;width:64.05pt;z-index:251851776;mso-width-relative:page;mso-height-relative:page;" filled="f" stroked="f" coordsize="21600,21600" o:gfxdata="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Cj0BztQAAAAHAQAADwAAAAAAAAABACAAAAAiAAAAZHJzL2Rvd25yZXYueG1sUEsBAhQAFAAA&#10;AAgAh07iQHrS0rC6AQAAXwMAAA4AAAAAAAAAAQAgAAAAIw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竣工清场</w:t>
                      </w:r>
                    </w:p>
                  </w:txbxContent>
                </v:textbox>
              </v:shape>
            </w:pict>
          </mc:Fallback>
        </mc:AlternateContent>
      </w:r>
      <w:r>
        <w:rPr>
          <w:rFonts w:hint="eastAsia" w:ascii="仿宋" w:hAnsi="仿宋" w:eastAsia="仿宋" w:cs="仿宋"/>
          <w:color w:val="auto"/>
          <w:highlight w:val="none"/>
          <w:lang w:eastAsia="zh-CN"/>
        </w:rPr>
        <w:t>专用条款没有约定的，工程接收证书颁发后，承包人应按照下列要求对施工场地进行清理，直至监理人检验合格为止。竣工清场费用由承包人承担。</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）施工场地内残留的垃圾已全部清除出场；</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）临时设施已拆除，场地已按照合同约定进行清理、平整或复原；</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）按照合同约定应撤离的承包人施工设备和剩余的工程材料，包括废弃的施工设备和工程材料，已按照计划撤离施工场地；</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）建筑物周边及其附近道路、河道的施工堆积物，已按照监理人指令全部清理；</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）监理人指令的其他场地清理工作已全部完成。</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如承包人未按照监理人的要求恢复临时占地，或者场地清理未达到合同约定的，发包人可自行或委托第三方恢复或清理，所发生的费用从应支付或将支付给承包人的款项中扣除。</w:t>
      </w:r>
    </w:p>
    <w:p>
      <w:pPr>
        <w:spacing w:line="360" w:lineRule="auto"/>
        <w:rPr>
          <w:rFonts w:ascii="仿宋" w:hAnsi="仿宋" w:eastAsia="仿宋"/>
          <w:b/>
          <w:bCs/>
          <w:color w:val="auto"/>
          <w:highlight w:val="none"/>
          <w:lang w:eastAsia="zh-CN"/>
        </w:rPr>
      </w:pPr>
      <w:bookmarkStart w:id="900" w:name="_Toc17518"/>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.11</w:t>
      </w:r>
      <w:bookmarkEnd w:id="90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52800" behindDoc="0" locked="0" layoutInCell="1" allowOverlap="1">
                <wp:simplePos x="0" y="0"/>
                <wp:positionH relativeFrom="column">
                  <wp:posOffset>-114300</wp:posOffset>
                </wp:positionH>
                <wp:positionV relativeFrom="paragraph">
                  <wp:posOffset>3810</wp:posOffset>
                </wp:positionV>
                <wp:extent cx="775970" cy="514350"/>
                <wp:effectExtent l="0" t="0" r="0" b="0"/>
                <wp:wrapNone/>
                <wp:docPr id="190" name="文本框 942"/>
                <wp:cNvGraphicFramePr/>
                <a:graphic xmlns:a="http://schemas.openxmlformats.org/drawingml/2006/main">
                  <a:graphicData uri="http://schemas.microsoft.com/office/word/2010/wordprocessingShape">
                    <wps:wsp>
                      <wps:cNvSpPr txBox="1"/>
                      <wps:spPr>
                        <a:xfrm>
                          <a:off x="0" y="0"/>
                          <a:ext cx="775970" cy="51435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施工队伍的撤离</w:t>
                            </w:r>
                          </w:p>
                        </w:txbxContent>
                      </wps:txbx>
                      <wps:bodyPr wrap="square" upright="1"/>
                    </wps:wsp>
                  </a:graphicData>
                </a:graphic>
              </wp:anchor>
            </w:drawing>
          </mc:Choice>
          <mc:Fallback>
            <w:pict>
              <v:shape id="文本框 942" o:spid="_x0000_s1026" o:spt="202" type="#_x0000_t202" style="position:absolute;left:0pt;margin-left:-9pt;margin-top:0.3pt;height:40.5pt;width:61.1pt;z-index:251852800;mso-width-relative:page;mso-height-relative:page;" filled="f" stroked="f" coordsize="21600,21600" o:gfxdata="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VVtBttUAAAAHAQAADwAAAAAAAAABACAAAAAiAAAAZHJzL2Rvd25yZXYueG1sUEsBAhQAFAAA&#10;AAgAh07iQIdEktC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施工队伍的撤离</w:t>
                      </w:r>
                    </w:p>
                  </w:txbxContent>
                </v:textbox>
              </v:shape>
            </w:pict>
          </mc:Fallback>
        </mc:AlternateContent>
      </w:r>
      <w:r>
        <w:rPr>
          <w:rFonts w:hint="eastAsia" w:ascii="仿宋" w:hAnsi="仿宋" w:eastAsia="仿宋" w:cs="仿宋"/>
          <w:color w:val="auto"/>
          <w:highlight w:val="none"/>
          <w:lang w:eastAsia="zh-CN"/>
        </w:rPr>
        <w:t>工程接收证书颁发后的</w:t>
      </w:r>
      <w:r>
        <w:rPr>
          <w:rFonts w:ascii="仿宋" w:hAnsi="仿宋" w:eastAsia="仿宋" w:cs="仿宋"/>
          <w:color w:val="auto"/>
          <w:highlight w:val="none"/>
          <w:lang w:eastAsia="zh-CN"/>
        </w:rPr>
        <w:t>56</w:t>
      </w:r>
      <w:r>
        <w:rPr>
          <w:rFonts w:hint="eastAsia" w:ascii="仿宋" w:hAnsi="仿宋" w:eastAsia="仿宋" w:cs="仿宋"/>
          <w:color w:val="auto"/>
          <w:highlight w:val="none"/>
          <w:lang w:eastAsia="zh-CN"/>
        </w:rPr>
        <w:t>天内，除经监理人同意需在缺陷责任期内继续工作的人员、使用的施工设备和临时设施外，其余的人员、施工设备和临时设施均应撤离施工场地或拆除。除专用条款另有约定外，缺陷责任期满时，承包人的人员和施工设备应全部撤离施工场地。</w:t>
      </w:r>
    </w:p>
    <w:p>
      <w:pPr>
        <w:spacing w:line="360" w:lineRule="auto"/>
        <w:rPr>
          <w:rFonts w:ascii="仿宋" w:hAnsi="仿宋" w:eastAsia="仿宋" w:cs="仿宋"/>
          <w:color w:val="auto"/>
          <w:highlight w:val="none"/>
          <w:lang w:eastAsia="zh-CN"/>
        </w:rPr>
      </w:pPr>
      <w:bookmarkStart w:id="901" w:name="_Toc17486"/>
      <w:r>
        <w:rPr>
          <w:color w:val="auto"/>
          <w:highlight w:val="none"/>
        </w:rPr>
        <mc:AlternateContent>
          <mc:Choice Requires="wps">
            <w:drawing>
              <wp:anchor distT="0" distB="0" distL="114300" distR="114300" simplePos="0" relativeHeight="252046336" behindDoc="0" locked="0" layoutInCell="1" allowOverlap="1">
                <wp:simplePos x="0" y="0"/>
                <wp:positionH relativeFrom="column">
                  <wp:posOffset>-66675</wp:posOffset>
                </wp:positionH>
                <wp:positionV relativeFrom="paragraph">
                  <wp:posOffset>213360</wp:posOffset>
                </wp:positionV>
                <wp:extent cx="775970" cy="676910"/>
                <wp:effectExtent l="0" t="0" r="0" b="0"/>
                <wp:wrapNone/>
                <wp:docPr id="379" name="文本框 943"/>
                <wp:cNvGraphicFramePr/>
                <a:graphic xmlns:a="http://schemas.openxmlformats.org/drawingml/2006/main">
                  <a:graphicData uri="http://schemas.microsoft.com/office/word/2010/wordprocessingShape">
                    <wps:wsp>
                      <wps:cNvSpPr txBox="1"/>
                      <wps:spPr>
                        <a:xfrm>
                          <a:off x="0" y="0"/>
                          <a:ext cx="775970" cy="67691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使用未验收或验收未通过工程的责任</w:t>
                            </w:r>
                          </w:p>
                        </w:txbxContent>
                      </wps:txbx>
                      <wps:bodyPr wrap="square" upright="1"/>
                    </wps:wsp>
                  </a:graphicData>
                </a:graphic>
              </wp:anchor>
            </w:drawing>
          </mc:Choice>
          <mc:Fallback>
            <w:pict>
              <v:shape id="文本框 943" o:spid="_x0000_s1026" o:spt="202" type="#_x0000_t202" style="position:absolute;left:0pt;margin-left:-5.25pt;margin-top:16.8pt;height:53.3pt;width:61.1pt;z-index:252046336;mso-width-relative:page;mso-height-relative:page;" filled="f" stroked="f" coordsize="21600,21600" o:gfxdata="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Ecs8dcAAAAKAQAADwAAAAAAAAABACAAAAAiAAAAZHJzL2Rvd25yZXYueG1sUEsBAhQA&#10;FAAAAAgAh07iQLIx3Z2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使用未验收或验收未通过工程的责任</w:t>
                      </w:r>
                    </w:p>
                  </w:txbxContent>
                </v:textbox>
              </v:shape>
            </w:pict>
          </mc:Fallback>
        </mc:AlternateContent>
      </w:r>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.12</w:t>
      </w:r>
      <w:bookmarkEnd w:id="901"/>
      <w:r>
        <w:rPr>
          <w:rFonts w:ascii="仿宋" w:hAnsi="仿宋" w:eastAsia="仿宋" w:cs="仿宋"/>
          <w:color w:val="auto"/>
          <w:highlight w:val="none"/>
          <w:u w:val="dotted"/>
          <w:lang w:eastAsia="zh-CN"/>
        </w:rPr>
        <w:t xml:space="preserve">                                                                                </w:t>
      </w:r>
    </w:p>
    <w:p>
      <w:pPr>
        <w:pStyle w:val="33"/>
        <w:widowControl w:val="0"/>
        <w:adjustRightInd w:val="0"/>
        <w:snapToGrid w:val="0"/>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合同工程未经竣工验收或竣工验收不合格的，发包人不得使用。发包人强行使用的，由此发生的质量问题及其他问题，由发包人承担责任。</w:t>
      </w:r>
    </w:p>
    <w:p>
      <w:pPr>
        <w:spacing w:line="360" w:lineRule="auto"/>
        <w:rPr>
          <w:rFonts w:ascii="仿宋" w:hAnsi="仿宋" w:eastAsia="仿宋"/>
          <w:b/>
          <w:bCs/>
          <w:color w:val="auto"/>
          <w:highlight w:val="none"/>
          <w:lang w:eastAsia="zh-CN"/>
        </w:rPr>
      </w:pPr>
      <w:bookmarkStart w:id="902" w:name="_Toc23300"/>
      <w:r>
        <w:rPr>
          <w:rFonts w:hint="eastAsia" w:ascii="仿宋" w:hAnsi="仿宋" w:eastAsia="仿宋" w:cs="仿宋"/>
          <w:b/>
          <w:bCs/>
          <w:color w:val="auto"/>
          <w:highlight w:val="none"/>
          <w:lang w:eastAsia="zh-CN"/>
        </w:rPr>
        <w:t>65</w:t>
      </w:r>
      <w:r>
        <w:rPr>
          <w:rFonts w:ascii="仿宋" w:hAnsi="仿宋" w:eastAsia="仿宋" w:cs="仿宋"/>
          <w:b/>
          <w:bCs/>
          <w:color w:val="auto"/>
          <w:highlight w:val="none"/>
          <w:lang w:eastAsia="zh-CN"/>
        </w:rPr>
        <w:t>.13</w:t>
      </w:r>
      <w:bookmarkEnd w:id="902"/>
      <w:r>
        <w:rPr>
          <w:rFonts w:ascii="仿宋" w:hAnsi="仿宋" w:eastAsia="仿宋" w:cs="仿宋"/>
          <w:b/>
          <w:bCs/>
          <w:color w:val="auto"/>
          <w:highlight w:val="none"/>
          <w:u w:val="dotted"/>
          <w:lang w:eastAsia="zh-CN"/>
        </w:rPr>
        <w:t xml:space="preserve">                                                                                </w:t>
      </w:r>
    </w:p>
    <w:p>
      <w:pPr>
        <w:pStyle w:val="33"/>
        <w:adjustRightInd w:val="0"/>
        <w:snapToGrid w:val="0"/>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53824" behindDoc="0" locked="0" layoutInCell="1" allowOverlap="1">
                <wp:simplePos x="0" y="0"/>
                <wp:positionH relativeFrom="column">
                  <wp:posOffset>-114300</wp:posOffset>
                </wp:positionH>
                <wp:positionV relativeFrom="paragraph">
                  <wp:posOffset>13335</wp:posOffset>
                </wp:positionV>
                <wp:extent cx="756920" cy="588645"/>
                <wp:effectExtent l="0" t="0" r="0" b="0"/>
                <wp:wrapNone/>
                <wp:docPr id="191" name="文本框 944"/>
                <wp:cNvGraphicFramePr/>
                <a:graphic xmlns:a="http://schemas.openxmlformats.org/drawingml/2006/main">
                  <a:graphicData uri="http://schemas.microsoft.com/office/word/2010/wordprocessingShape">
                    <wps:wsp>
                      <wps:cNvSpPr txBox="1"/>
                      <wps:spPr>
                        <a:xfrm>
                          <a:off x="0" y="0"/>
                          <a:ext cx="756920" cy="588645"/>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工程竣工质量争议的责任</w:t>
                            </w:r>
                          </w:p>
                        </w:txbxContent>
                      </wps:txbx>
                      <wps:bodyPr wrap="square" upright="1"/>
                    </wps:wsp>
                  </a:graphicData>
                </a:graphic>
              </wp:anchor>
            </w:drawing>
          </mc:Choice>
          <mc:Fallback>
            <w:pict>
              <v:shape id="文本框 944" o:spid="_x0000_s1026" o:spt="202" type="#_x0000_t202" style="position:absolute;left:0pt;margin-left:-9pt;margin-top:1.05pt;height:46.35pt;width:59.6pt;z-index:251853824;mso-width-relative:page;mso-height-relative:page;" filled="f" stroked="f" coordsize="21600,21600" o:gfxdata="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d+9JzNUAAAAIAQAADwAAAAAAAAABACAAAAAiAAAAZHJzL2Rvd25yZXYueG1sUEsBAhQAFAAA&#10;AAgAh07iQN5U0X+5AQAAXw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eastAsia="楷体_GB2312" w:cs="楷体_GB2312"/>
                          <w:b/>
                          <w:bCs/>
                          <w:color w:val="000000"/>
                          <w:sz w:val="18"/>
                          <w:szCs w:val="18"/>
                          <w:lang w:eastAsia="zh-CN"/>
                        </w:rPr>
                        <w:t>工程竣工质量争议的责任</w:t>
                      </w:r>
                    </w:p>
                  </w:txbxContent>
                </v:textbox>
              </v:shape>
            </w:pict>
          </mc:Fallback>
        </mc:AlternateContent>
      </w:r>
      <w:r>
        <w:rPr>
          <w:rFonts w:hint="eastAsia" w:ascii="仿宋" w:hAnsi="仿宋" w:eastAsia="仿宋" w:cs="仿宋"/>
          <w:color w:val="auto"/>
          <w:highlight w:val="none"/>
          <w:lang w:eastAsia="zh-CN"/>
        </w:rPr>
        <w:t>合同工程竣工验收时发生工程质量争议，经第91</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款约定调解或认定工程质量符合合同约定的，由发包人承担由此增加的费用和（或）延误的工期。</w:t>
      </w:r>
    </w:p>
    <w:p>
      <w:pPr>
        <w:adjustRightInd w:val="0"/>
        <w:snapToGrid w:val="0"/>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4"/>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03" w:name="_Toc1220"/>
      <w:bookmarkStart w:id="904" w:name="_Toc31788"/>
      <w:bookmarkStart w:id="905" w:name="_Toc29127"/>
      <w:bookmarkStart w:id="906" w:name="_Toc159"/>
      <w:bookmarkStart w:id="907" w:name="_Toc28953"/>
      <w:bookmarkStart w:id="908" w:name="_Toc21114"/>
      <w:bookmarkStart w:id="909" w:name="_Toc23704"/>
      <w:bookmarkStart w:id="910" w:name="_Toc31806"/>
      <w:r>
        <w:rPr>
          <w:rFonts w:hint="eastAsia" w:ascii="仿宋" w:hAnsi="仿宋" w:eastAsia="仿宋" w:cs="仿宋"/>
          <w:bCs w:val="0"/>
          <w:color w:val="auto"/>
          <w:sz w:val="24"/>
          <w:szCs w:val="24"/>
          <w:highlight w:val="none"/>
          <w:lang w:eastAsia="zh-CN"/>
        </w:rPr>
        <w:t>66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缺陷责任与质量保修</w:t>
      </w:r>
      <w:bookmarkEnd w:id="903"/>
      <w:bookmarkEnd w:id="904"/>
      <w:bookmarkEnd w:id="905"/>
      <w:bookmarkEnd w:id="906"/>
      <w:bookmarkEnd w:id="907"/>
      <w:bookmarkEnd w:id="908"/>
      <w:bookmarkEnd w:id="909"/>
      <w:bookmarkEnd w:id="910"/>
    </w:p>
    <w:p>
      <w:pPr>
        <w:adjustRightInd w:val="0"/>
        <w:snapToGrid w:val="0"/>
        <w:spacing w:line="360" w:lineRule="auto"/>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47360" behindDoc="0" locked="0" layoutInCell="1" allowOverlap="1">
                <wp:simplePos x="0" y="0"/>
                <wp:positionH relativeFrom="column">
                  <wp:posOffset>-114300</wp:posOffset>
                </wp:positionH>
                <wp:positionV relativeFrom="paragraph">
                  <wp:posOffset>287020</wp:posOffset>
                </wp:positionV>
                <wp:extent cx="771525" cy="546100"/>
                <wp:effectExtent l="0" t="0" r="0" b="0"/>
                <wp:wrapNone/>
                <wp:docPr id="380" name="文本框 945"/>
                <wp:cNvGraphicFramePr/>
                <a:graphic xmlns:a="http://schemas.openxmlformats.org/drawingml/2006/main">
                  <a:graphicData uri="http://schemas.microsoft.com/office/word/2010/wordprocessingShape">
                    <wps:wsp>
                      <wps:cNvSpPr txBox="1"/>
                      <wps:spPr>
                        <a:xfrm>
                          <a:off x="0" y="0"/>
                          <a:ext cx="771525" cy="54610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缺陷责任期</w:t>
                            </w:r>
                          </w:p>
                          <w:p>
                            <w:pPr>
                              <w:spacing w:line="240" w:lineRule="exact"/>
                              <w:rPr>
                                <w:rFonts w:ascii="宋体"/>
                                <w:sz w:val="18"/>
                                <w:szCs w:val="18"/>
                              </w:rPr>
                            </w:pPr>
                            <w:r>
                              <w:rPr>
                                <w:rFonts w:hint="eastAsia" w:ascii="楷体_GB2312" w:hAnsi="宋体" w:eastAsia="楷体_GB2312" w:cs="楷体_GB2312"/>
                                <w:b/>
                                <w:bCs/>
                                <w:color w:val="000000"/>
                                <w:sz w:val="18"/>
                                <w:szCs w:val="18"/>
                              </w:rPr>
                              <w:t>计算</w:t>
                            </w:r>
                          </w:p>
                        </w:txbxContent>
                      </wps:txbx>
                      <wps:bodyPr wrap="square" upright="1"/>
                    </wps:wsp>
                  </a:graphicData>
                </a:graphic>
              </wp:anchor>
            </w:drawing>
          </mc:Choice>
          <mc:Fallback>
            <w:pict>
              <v:shape id="文本框 945" o:spid="_x0000_s1026" o:spt="202" type="#_x0000_t202" style="position:absolute;left:0pt;margin-left:-9pt;margin-top:22.6pt;height:43pt;width:60.75pt;z-index:252047360;mso-width-relative:page;mso-height-relative:page;" filled="f" stroked="f" coordsize="21600,21600" o:gfxdata="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SYBbL2AAAAAoBAAAPAAAAAAAAAAEAIAAAACIAAABkcnMvZG93bnJldi54bWxQSwEC&#10;FAAUAAAACACHTuJAbBdgirsBAABf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缺陷责任期</w:t>
                      </w:r>
                    </w:p>
                    <w:p>
                      <w:pPr>
                        <w:spacing w:line="240" w:lineRule="exact"/>
                        <w:rPr>
                          <w:rFonts w:ascii="宋体"/>
                          <w:sz w:val="18"/>
                          <w:szCs w:val="18"/>
                        </w:rPr>
                      </w:pPr>
                      <w:r>
                        <w:rPr>
                          <w:rFonts w:hint="eastAsia" w:ascii="楷体_GB2312" w:hAnsi="宋体" w:eastAsia="楷体_GB2312" w:cs="楷体_GB2312"/>
                          <w:b/>
                          <w:bCs/>
                          <w:color w:val="000000"/>
                          <w:sz w:val="18"/>
                          <w:szCs w:val="18"/>
                        </w:rPr>
                        <w:t>计算</w:t>
                      </w:r>
                    </w:p>
                  </w:txbxContent>
                </v:textbox>
              </v:shape>
            </w:pict>
          </mc:Fallback>
        </mc:AlternateContent>
      </w:r>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.1</w:t>
      </w:r>
    </w:p>
    <w:p>
      <w:pPr>
        <w:pStyle w:val="33"/>
        <w:adjustRightInd w:val="0"/>
        <w:snapToGrid w:val="0"/>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合同双方当事人应在专用条款中约定缺陷责任期。</w:t>
      </w:r>
    </w:p>
    <w:p>
      <w:pPr>
        <w:pStyle w:val="33"/>
        <w:adjustRightInd w:val="0"/>
        <w:snapToGrid w:val="0"/>
        <w:ind w:left="1850" w:leftChars="771"/>
        <w:jc w:val="both"/>
        <w:rPr>
          <w:rFonts w:ascii="仿宋" w:hAnsi="仿宋" w:eastAsia="仿宋"/>
          <w:b/>
          <w:bCs/>
          <w:color w:val="auto"/>
          <w:highlight w:val="none"/>
          <w:lang w:eastAsia="zh-CN"/>
        </w:rPr>
      </w:pPr>
      <w:r>
        <w:rPr>
          <w:rFonts w:hint="eastAsia" w:ascii="仿宋" w:hAnsi="仿宋" w:eastAsia="仿宋" w:cs="仿宋"/>
          <w:color w:val="auto"/>
          <w:highlight w:val="none"/>
          <w:lang w:eastAsia="zh-CN"/>
        </w:rPr>
        <w:t>缺陷责任期自实际通过竣工验收之日起计算。在全部工程竣工验收前，已经发包人提前验收的单项工程，其缺陷责任期的起算日期相应提前。</w:t>
      </w:r>
    </w:p>
    <w:p>
      <w:pPr>
        <w:spacing w:line="360" w:lineRule="auto"/>
        <w:rPr>
          <w:rFonts w:ascii="仿宋" w:hAnsi="仿宋" w:eastAsia="仿宋"/>
          <w:b/>
          <w:bCs/>
          <w:color w:val="auto"/>
          <w:highlight w:val="none"/>
          <w:lang w:eastAsia="zh-CN"/>
        </w:rPr>
      </w:pPr>
      <w:bookmarkStart w:id="911" w:name="_Toc22228"/>
      <w:r>
        <w:rPr>
          <w:color w:val="auto"/>
          <w:highlight w:val="none"/>
        </w:rPr>
        <mc:AlternateContent>
          <mc:Choice Requires="wps">
            <w:drawing>
              <wp:anchor distT="0" distB="0" distL="114300" distR="114300" simplePos="0" relativeHeight="252048384" behindDoc="0" locked="0" layoutInCell="1" allowOverlap="1">
                <wp:simplePos x="0" y="0"/>
                <wp:positionH relativeFrom="column">
                  <wp:posOffset>-114300</wp:posOffset>
                </wp:positionH>
                <wp:positionV relativeFrom="paragraph">
                  <wp:posOffset>287020</wp:posOffset>
                </wp:positionV>
                <wp:extent cx="838200" cy="451485"/>
                <wp:effectExtent l="0" t="0" r="0" b="0"/>
                <wp:wrapNone/>
                <wp:docPr id="381" name="文本框 946"/>
                <wp:cNvGraphicFramePr/>
                <a:graphic xmlns:a="http://schemas.openxmlformats.org/drawingml/2006/main">
                  <a:graphicData uri="http://schemas.microsoft.com/office/word/2010/wordprocessingShape">
                    <wps:wsp>
                      <wps:cNvSpPr txBox="1"/>
                      <wps:spPr>
                        <a:xfrm>
                          <a:off x="0" y="0"/>
                          <a:ext cx="838200" cy="45148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缺陷责任期</w:t>
                            </w:r>
                          </w:p>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延长</w:t>
                            </w:r>
                          </w:p>
                        </w:txbxContent>
                      </wps:txbx>
                      <wps:bodyPr wrap="square" upright="1"/>
                    </wps:wsp>
                  </a:graphicData>
                </a:graphic>
              </wp:anchor>
            </w:drawing>
          </mc:Choice>
          <mc:Fallback>
            <w:pict>
              <v:shape id="文本框 946" o:spid="_x0000_s1026" o:spt="202" type="#_x0000_t202" style="position:absolute;left:0pt;margin-left:-9pt;margin-top:22.6pt;height:35.55pt;width:66pt;z-index:252048384;mso-width-relative:page;mso-height-relative:page;" filled="f" stroked="f" coordsize="21600,21600" o:gfxdata="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OKQQ0NcAAAAKAQAADwAAAAAAAAABACAAAAAiAAAAZHJzL2Rvd25yZXYueG1sUEsBAhQA&#10;FAAAAAgAh07iQL6g8x66AQAAXw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缺陷责任期</w:t>
                      </w:r>
                    </w:p>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延长</w:t>
                      </w:r>
                    </w:p>
                  </w:txbxContent>
                </v:textbox>
              </v:shape>
            </w:pict>
          </mc:Fallback>
        </mc:AlternateContent>
      </w:r>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.2</w:t>
      </w:r>
      <w:bookmarkEnd w:id="91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由于承包人原因造成某项缺陷或损坏使某项工程或工程设备不能按照原定目标使用而需要再次检查、检验和修复的，发包人有权要求承包人相应延长缺陷责任期，但缺陷责任期最长不超过</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年。</w:t>
      </w:r>
    </w:p>
    <w:p>
      <w:pPr>
        <w:spacing w:line="360" w:lineRule="auto"/>
        <w:rPr>
          <w:rFonts w:ascii="仿宋" w:hAnsi="仿宋" w:eastAsia="仿宋"/>
          <w:b/>
          <w:bCs/>
          <w:color w:val="auto"/>
          <w:highlight w:val="none"/>
          <w:lang w:eastAsia="zh-CN"/>
        </w:rPr>
      </w:pPr>
      <w:bookmarkStart w:id="912" w:name="_Toc28278"/>
      <w:r>
        <w:rPr>
          <w:color w:val="auto"/>
          <w:highlight w:val="none"/>
        </w:rPr>
        <mc:AlternateContent>
          <mc:Choice Requires="wps">
            <w:drawing>
              <wp:anchor distT="0" distB="0" distL="114300" distR="114300" simplePos="0" relativeHeight="252049408" behindDoc="0" locked="0" layoutInCell="1" allowOverlap="1">
                <wp:simplePos x="0" y="0"/>
                <wp:positionH relativeFrom="column">
                  <wp:posOffset>-114300</wp:posOffset>
                </wp:positionH>
                <wp:positionV relativeFrom="paragraph">
                  <wp:posOffset>287020</wp:posOffset>
                </wp:positionV>
                <wp:extent cx="742950" cy="441325"/>
                <wp:effectExtent l="0" t="0" r="0" b="0"/>
                <wp:wrapNone/>
                <wp:docPr id="382" name="文本框 947"/>
                <wp:cNvGraphicFramePr/>
                <a:graphic xmlns:a="http://schemas.openxmlformats.org/drawingml/2006/main">
                  <a:graphicData uri="http://schemas.microsoft.com/office/word/2010/wordprocessingShape">
                    <wps:wsp>
                      <wps:cNvSpPr txBox="1"/>
                      <wps:spPr>
                        <a:xfrm>
                          <a:off x="0" y="0"/>
                          <a:ext cx="742950" cy="44132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缺陷责任</w:t>
                            </w:r>
                          </w:p>
                        </w:txbxContent>
                      </wps:txbx>
                      <wps:bodyPr wrap="square" upright="1"/>
                    </wps:wsp>
                  </a:graphicData>
                </a:graphic>
              </wp:anchor>
            </w:drawing>
          </mc:Choice>
          <mc:Fallback>
            <w:pict>
              <v:shape id="文本框 947" o:spid="_x0000_s1026" o:spt="202" type="#_x0000_t202" style="position:absolute;left:0pt;margin-left:-9pt;margin-top:22.6pt;height:34.75pt;width:58.5pt;z-index:252049408;mso-width-relative:page;mso-height-relative:page;" filled="f" stroked="f" coordsize="21600,21600" o:gfxdata="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Yx6b+1gAAAAkBAAAPAAAAAAAAAAEAIAAAACIAAABkcnMvZG93bnJldi54bWxQSwECFAAU&#10;AAAACACHTuJApDLV3LoBAABf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缺陷责任</w:t>
                      </w:r>
                    </w:p>
                  </w:txbxContent>
                </v:textbox>
              </v:shape>
            </w:pict>
          </mc:Fallback>
        </mc:AlternateContent>
      </w:r>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.3</w:t>
      </w:r>
      <w:bookmarkEnd w:id="91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33"/>
        <w:widowControl w:val="0"/>
        <w:adjustRightInd w:val="0"/>
        <w:snapToGrid w:val="0"/>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合同工程存在某项缺陷或损坏的，合同双方当事人应按照下列约定承担缺陷责任以及由此产生的费用。</w:t>
      </w:r>
    </w:p>
    <w:p>
      <w:pPr>
        <w:pStyle w:val="33"/>
        <w:widowControl w:val="0"/>
        <w:adjustRightInd w:val="0"/>
        <w:snapToGrid w:val="0"/>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）承包人应在缺陷责任期内对已交付使用的工程承担缺陷责任。</w:t>
      </w:r>
    </w:p>
    <w:p>
      <w:pPr>
        <w:pStyle w:val="33"/>
        <w:widowControl w:val="0"/>
        <w:adjustRightInd w:val="0"/>
        <w:snapToGrid w:val="0"/>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）缺陷责任期内，发包人对已接收使用的工程负责日常维护工作。发包人在使用过程中，发现已接收的工程存在新的缺陷或已修复的缺陷部位或部件又遭损坏的，应及时通知承包人修复，承包人应在收到通知后的</w:t>
      </w:r>
      <w:r>
        <w:rPr>
          <w:rFonts w:ascii="仿宋" w:hAnsi="仿宋" w:eastAsia="仿宋" w:cs="仿宋"/>
          <w:color w:val="auto"/>
          <w:highlight w:val="none"/>
          <w:lang w:eastAsia="zh-CN"/>
        </w:rPr>
        <w:t>7</w:t>
      </w:r>
      <w:r>
        <w:rPr>
          <w:rFonts w:hint="eastAsia" w:ascii="仿宋" w:hAnsi="仿宋" w:eastAsia="仿宋" w:cs="仿宋"/>
          <w:color w:val="auto"/>
          <w:highlight w:val="none"/>
          <w:lang w:eastAsia="zh-CN"/>
        </w:rPr>
        <w:t>天内派人修复，直至检验合格为止。承包人未能在约定时间内修复的，发包人可自行或委托第三方修复，所需费用和利润按照本款第（</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）点约定办理。</w:t>
      </w:r>
    </w:p>
    <w:p>
      <w:pPr>
        <w:pStyle w:val="33"/>
        <w:widowControl w:val="0"/>
        <w:adjustRightInd w:val="0"/>
        <w:snapToGrid w:val="0"/>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监理人应会同承包人共同查清缺陷和（或）损坏的原因，并由造价咨询人提出或核实由此发生的费用。经查明，因承包人原因造成的，由承包人承担修复和查验的费用；因发包人的原因造成的，发包人承担修复和查验的费用，并向承包人支付合理利润。</w:t>
      </w:r>
    </w:p>
    <w:p>
      <w:pPr>
        <w:spacing w:line="360" w:lineRule="auto"/>
        <w:rPr>
          <w:rFonts w:ascii="仿宋" w:hAnsi="仿宋" w:eastAsia="仿宋"/>
          <w:b/>
          <w:bCs/>
          <w:color w:val="auto"/>
          <w:highlight w:val="none"/>
          <w:lang w:eastAsia="zh-CN"/>
        </w:rPr>
      </w:pPr>
      <w:bookmarkStart w:id="913" w:name="_Toc32142"/>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.4</w:t>
      </w:r>
      <w:bookmarkEnd w:id="91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33"/>
        <w:widowControl w:val="0"/>
        <w:adjustRightInd w:val="0"/>
        <w:snapToGrid w:val="0"/>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2050432" behindDoc="0" locked="0" layoutInCell="1" allowOverlap="1">
                <wp:simplePos x="0" y="0"/>
                <wp:positionH relativeFrom="column">
                  <wp:posOffset>-104775</wp:posOffset>
                </wp:positionH>
                <wp:positionV relativeFrom="paragraph">
                  <wp:posOffset>9525</wp:posOffset>
                </wp:positionV>
                <wp:extent cx="836295" cy="517525"/>
                <wp:effectExtent l="0" t="0" r="0" b="0"/>
                <wp:wrapNone/>
                <wp:docPr id="383" name="文本框 948"/>
                <wp:cNvGraphicFramePr/>
                <a:graphic xmlns:a="http://schemas.openxmlformats.org/drawingml/2006/main">
                  <a:graphicData uri="http://schemas.microsoft.com/office/word/2010/wordprocessingShape">
                    <wps:wsp>
                      <wps:cNvSpPr txBox="1"/>
                      <wps:spPr>
                        <a:xfrm>
                          <a:off x="0" y="0"/>
                          <a:ext cx="836295" cy="51752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重新检（试）验</w:t>
                            </w:r>
                          </w:p>
                        </w:txbxContent>
                      </wps:txbx>
                      <wps:bodyPr wrap="square" upright="1"/>
                    </wps:wsp>
                  </a:graphicData>
                </a:graphic>
              </wp:anchor>
            </w:drawing>
          </mc:Choice>
          <mc:Fallback>
            <w:pict>
              <v:shape id="文本框 948" o:spid="_x0000_s1026" o:spt="202" type="#_x0000_t202" style="position:absolute;left:0pt;margin-left:-8.25pt;margin-top:0.75pt;height:40.75pt;width:65.85pt;z-index:252050432;mso-width-relative:page;mso-height-relative:page;" filled="f" stroked="f" coordsize="21600,21600" o:gfxdata="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T4npK1QAAAAgBAAAPAAAAAAAAAAEAIAAAACIAAABkcnMvZG93bnJldi54bWxQSwECFAAU&#10;AAAACACHTuJARVx6ZrsBAABfAwAADgAAAAAAAAABACAAAAAk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重新检（试）验</w:t>
                      </w:r>
                    </w:p>
                  </w:txbxContent>
                </v:textbox>
              </v:shape>
            </w:pict>
          </mc:Fallback>
        </mc:AlternateContent>
      </w:r>
      <w:r>
        <w:rPr>
          <w:rFonts w:hint="eastAsia" w:ascii="仿宋" w:hAnsi="仿宋" w:eastAsia="仿宋" w:cs="仿宋"/>
          <w:color w:val="auto"/>
          <w:highlight w:val="none"/>
          <w:lang w:eastAsia="zh-CN"/>
        </w:rPr>
        <w:t>任何一项缺陷或损坏修复后，经检查证明其影响了工程或工程设备的使用性能，承包人应按照第61条约定重新检（试）验，重新检（试）验的费用由责任方承担。</w:t>
      </w:r>
    </w:p>
    <w:p>
      <w:pPr>
        <w:spacing w:line="360" w:lineRule="auto"/>
        <w:rPr>
          <w:rFonts w:ascii="仿宋" w:hAnsi="仿宋" w:eastAsia="仿宋"/>
          <w:b/>
          <w:bCs/>
          <w:color w:val="auto"/>
          <w:highlight w:val="none"/>
          <w:lang w:eastAsia="zh-CN"/>
        </w:rPr>
      </w:pPr>
      <w:bookmarkStart w:id="914" w:name="_Toc14236"/>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.5</w:t>
      </w:r>
      <w:bookmarkEnd w:id="91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2051456" behindDoc="0" locked="0" layoutInCell="1" allowOverlap="1">
                <wp:simplePos x="0" y="0"/>
                <wp:positionH relativeFrom="column">
                  <wp:posOffset>-114300</wp:posOffset>
                </wp:positionH>
                <wp:positionV relativeFrom="paragraph">
                  <wp:posOffset>40640</wp:posOffset>
                </wp:positionV>
                <wp:extent cx="838200" cy="419735"/>
                <wp:effectExtent l="0" t="0" r="0" b="0"/>
                <wp:wrapNone/>
                <wp:docPr id="384" name="文本框 949"/>
                <wp:cNvGraphicFramePr/>
                <a:graphic xmlns:a="http://schemas.openxmlformats.org/drawingml/2006/main">
                  <a:graphicData uri="http://schemas.microsoft.com/office/word/2010/wordprocessingShape">
                    <wps:wsp>
                      <wps:cNvSpPr txBox="1"/>
                      <wps:spPr>
                        <a:xfrm>
                          <a:off x="0" y="0"/>
                          <a:ext cx="838200" cy="419735"/>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承包人的进入权</w:t>
                            </w:r>
                          </w:p>
                        </w:txbxContent>
                      </wps:txbx>
                      <wps:bodyPr wrap="square" upright="1"/>
                    </wps:wsp>
                  </a:graphicData>
                </a:graphic>
              </wp:anchor>
            </w:drawing>
          </mc:Choice>
          <mc:Fallback>
            <w:pict>
              <v:shape id="文本框 949" o:spid="_x0000_s1026" o:spt="202" type="#_x0000_t202" style="position:absolute;left:0pt;margin-left:-9pt;margin-top:3.2pt;height:33.05pt;width:66pt;z-index:252051456;mso-width-relative:page;mso-height-relative:page;" filled="f" stroked="f" coordsize="21600,21600" o:gfxdata="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f0oDW1QAAAAgBAAAPAAAAAAAAAAEAIAAAACIAAABkcnMvZG93bnJldi54bWxQSwECFAAU&#10;AAAACACHTuJAIikmW7sBAABfAwAADgAAAAAAAAABACAAAAAk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承包人的进入权</w:t>
                      </w:r>
                    </w:p>
                  </w:txbxContent>
                </v:textbox>
              </v:shape>
            </w:pict>
          </mc:Fallback>
        </mc:AlternateContent>
      </w:r>
      <w:r>
        <w:rPr>
          <w:rFonts w:hint="eastAsia" w:ascii="仿宋" w:hAnsi="仿宋" w:eastAsia="仿宋" w:cs="仿宋"/>
          <w:color w:val="auto"/>
          <w:highlight w:val="none"/>
          <w:lang w:eastAsia="zh-CN"/>
        </w:rPr>
        <w:t>缺陷责任期内承包人为缺陷修复工作需要，有权进入工程现场，但应遵守发包人的保安和保密等规定。</w:t>
      </w:r>
    </w:p>
    <w:p>
      <w:pPr>
        <w:spacing w:line="360" w:lineRule="auto"/>
        <w:rPr>
          <w:rFonts w:ascii="仿宋" w:hAnsi="仿宋" w:eastAsia="仿宋"/>
          <w:b/>
          <w:bCs/>
          <w:color w:val="auto"/>
          <w:highlight w:val="none"/>
          <w:lang w:eastAsia="zh-CN"/>
        </w:rPr>
      </w:pPr>
      <w:bookmarkStart w:id="915" w:name="_Toc19809"/>
      <w:r>
        <w:rPr>
          <w:color w:val="auto"/>
          <w:highlight w:val="none"/>
        </w:rPr>
        <mc:AlternateContent>
          <mc:Choice Requires="wps">
            <w:drawing>
              <wp:anchor distT="0" distB="0" distL="114300" distR="114300" simplePos="0" relativeHeight="252052480" behindDoc="0" locked="0" layoutInCell="1" allowOverlap="1">
                <wp:simplePos x="0" y="0"/>
                <wp:positionH relativeFrom="column">
                  <wp:posOffset>-95250</wp:posOffset>
                </wp:positionH>
                <wp:positionV relativeFrom="paragraph">
                  <wp:posOffset>259080</wp:posOffset>
                </wp:positionV>
                <wp:extent cx="790575" cy="546100"/>
                <wp:effectExtent l="0" t="0" r="0" b="0"/>
                <wp:wrapNone/>
                <wp:docPr id="385" name="文本框 950"/>
                <wp:cNvGraphicFramePr/>
                <a:graphic xmlns:a="http://schemas.openxmlformats.org/drawingml/2006/main">
                  <a:graphicData uri="http://schemas.microsoft.com/office/word/2010/wordprocessingShape">
                    <wps:wsp>
                      <wps:cNvSpPr txBox="1"/>
                      <wps:spPr>
                        <a:xfrm>
                          <a:off x="0" y="0"/>
                          <a:ext cx="790575" cy="546100"/>
                        </a:xfrm>
                        <a:prstGeom prst="rect">
                          <a:avLst/>
                        </a:prstGeom>
                        <a:noFill/>
                        <a:ln>
                          <a:noFill/>
                        </a:ln>
                      </wps:spPr>
                      <wps:txb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颁发缺陷责任期终止证书</w:t>
                            </w:r>
                          </w:p>
                        </w:txbxContent>
                      </wps:txbx>
                      <wps:bodyPr wrap="square" upright="1"/>
                    </wps:wsp>
                  </a:graphicData>
                </a:graphic>
              </wp:anchor>
            </w:drawing>
          </mc:Choice>
          <mc:Fallback>
            <w:pict>
              <v:shape id="文本框 950" o:spid="_x0000_s1026" o:spt="202" type="#_x0000_t202" style="position:absolute;left:0pt;margin-left:-7.5pt;margin-top:20.4pt;height:43pt;width:62.25pt;z-index:252052480;mso-width-relative:page;mso-height-relative:page;" filled="f" stroked="f" coordsize="21600,21600" o:gfxdata="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tj3Fj1wAAAAoBAAAPAAAAAAAAAAEAIAAAACIAAABkcnMvZG93bnJldi54bWxQSwECFAAU&#10;AAAACACHTuJAu1cQy7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颁发缺陷责任期终止证书</w:t>
                      </w:r>
                    </w:p>
                  </w:txbxContent>
                </v:textbox>
              </v:shape>
            </w:pict>
          </mc:Fallback>
        </mc:AlternateContent>
      </w:r>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.6</w:t>
      </w:r>
      <w:bookmarkEnd w:id="91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b/>
          <w:bCs/>
          <w:color w:val="auto"/>
          <w:highlight w:val="none"/>
          <w:lang w:eastAsia="zh-CN"/>
        </w:rPr>
      </w:pPr>
      <w:r>
        <w:rPr>
          <w:rFonts w:hint="eastAsia" w:ascii="仿宋" w:hAnsi="仿宋" w:eastAsia="仿宋" w:cs="仿宋"/>
          <w:color w:val="auto"/>
          <w:highlight w:val="none"/>
          <w:lang w:eastAsia="zh-CN"/>
        </w:rPr>
        <w:t>在专用条款约定的缺陷责任期（包括第66</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款延长的期限）终止后的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天内，发包人应向承包人颁发缺陷责任期终止证书，并返还相应的质量保证金。</w:t>
      </w:r>
    </w:p>
    <w:p>
      <w:pPr>
        <w:spacing w:line="360" w:lineRule="auto"/>
        <w:rPr>
          <w:rFonts w:ascii="仿宋" w:hAnsi="仿宋" w:eastAsia="仿宋"/>
          <w:b/>
          <w:bCs/>
          <w:color w:val="auto"/>
          <w:highlight w:val="none"/>
          <w:lang w:eastAsia="zh-CN"/>
        </w:rPr>
      </w:pPr>
      <w:bookmarkStart w:id="916" w:name="_Toc4724"/>
      <w:r>
        <w:rPr>
          <w:color w:val="auto"/>
          <w:highlight w:val="none"/>
        </w:rPr>
        <mc:AlternateContent>
          <mc:Choice Requires="wps">
            <w:drawing>
              <wp:anchor distT="0" distB="0" distL="114300" distR="114300" simplePos="0" relativeHeight="252053504" behindDoc="0" locked="0" layoutInCell="1" allowOverlap="1">
                <wp:simplePos x="0" y="0"/>
                <wp:positionH relativeFrom="column">
                  <wp:posOffset>-114300</wp:posOffset>
                </wp:positionH>
                <wp:positionV relativeFrom="paragraph">
                  <wp:posOffset>287020</wp:posOffset>
                </wp:positionV>
                <wp:extent cx="762000" cy="594360"/>
                <wp:effectExtent l="0" t="0" r="0" b="0"/>
                <wp:wrapNone/>
                <wp:docPr id="386" name="文本框 951"/>
                <wp:cNvGraphicFramePr/>
                <a:graphic xmlns:a="http://schemas.openxmlformats.org/drawingml/2006/main">
                  <a:graphicData uri="http://schemas.microsoft.com/office/word/2010/wordprocessingShape">
                    <wps:wsp>
                      <wps:cNvSpPr txBox="1"/>
                      <wps:spPr>
                        <a:xfrm>
                          <a:off x="0" y="0"/>
                          <a:ext cx="762000" cy="59436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签订工程质量保修书</w:t>
                            </w:r>
                          </w:p>
                        </w:txbxContent>
                      </wps:txbx>
                      <wps:bodyPr wrap="square" upright="1"/>
                    </wps:wsp>
                  </a:graphicData>
                </a:graphic>
              </wp:anchor>
            </w:drawing>
          </mc:Choice>
          <mc:Fallback>
            <w:pict>
              <v:shape id="文本框 951" o:spid="_x0000_s1026" o:spt="202" type="#_x0000_t202" style="position:absolute;left:0pt;margin-left:-9pt;margin-top:22.6pt;height:46.8pt;width:60pt;z-index:252053504;mso-width-relative:page;mso-height-relative:page;" filled="f" stroked="f" coordsize="21600,21600" o:gfxdata="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fRtoq2AAAAAoBAAAPAAAAAAAAAAEAIAAAACIAAABkcnMvZG93bnJldi54bWxQSwEC&#10;FAAUAAAACACHTuJA50MuFbsBAABf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签订工程质量保修书</w:t>
                      </w:r>
                    </w:p>
                  </w:txbxContent>
                </v:textbox>
              </v:shape>
            </w:pict>
          </mc:Fallback>
        </mc:AlternateContent>
      </w:r>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.7</w:t>
      </w:r>
      <w:bookmarkEnd w:id="91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合同双方当事人应根据法律的有关规定，在承包人向发包人提交竣工验收申请报告前，共同签署合同工程质量保修书，作为本合同的附件。工程质量保修书应具体明确质量保修范围、期限、责任和费用等事项。</w:t>
      </w:r>
    </w:p>
    <w:p>
      <w:pPr>
        <w:spacing w:line="360" w:lineRule="auto"/>
        <w:rPr>
          <w:rFonts w:ascii="仿宋" w:hAnsi="仿宋" w:eastAsia="仿宋"/>
          <w:color w:val="auto"/>
          <w:highlight w:val="none"/>
          <w:lang w:eastAsia="zh-CN"/>
        </w:rPr>
      </w:pPr>
      <w:bookmarkStart w:id="917" w:name="_Toc31105"/>
      <w:r>
        <w:rPr>
          <w:color w:val="auto"/>
          <w:highlight w:val="none"/>
        </w:rPr>
        <mc:AlternateContent>
          <mc:Choice Requires="wps">
            <w:drawing>
              <wp:anchor distT="0" distB="0" distL="114300" distR="114300" simplePos="0" relativeHeight="252054528" behindDoc="0" locked="0" layoutInCell="1" allowOverlap="1">
                <wp:simplePos x="0" y="0"/>
                <wp:positionH relativeFrom="column">
                  <wp:posOffset>-114300</wp:posOffset>
                </wp:positionH>
                <wp:positionV relativeFrom="paragraph">
                  <wp:posOffset>287020</wp:posOffset>
                </wp:positionV>
                <wp:extent cx="781050" cy="641350"/>
                <wp:effectExtent l="0" t="0" r="0" b="0"/>
                <wp:wrapNone/>
                <wp:docPr id="387" name="文本框 952"/>
                <wp:cNvGraphicFramePr/>
                <a:graphic xmlns:a="http://schemas.openxmlformats.org/drawingml/2006/main">
                  <a:graphicData uri="http://schemas.microsoft.com/office/word/2010/wordprocessingShape">
                    <wps:wsp>
                      <wps:cNvSpPr txBox="1"/>
                      <wps:spPr>
                        <a:xfrm>
                          <a:off x="0" y="0"/>
                          <a:ext cx="781050" cy="641350"/>
                        </a:xfrm>
                        <a:prstGeom prst="rect">
                          <a:avLst/>
                        </a:prstGeom>
                        <a:noFill/>
                        <a:ln>
                          <a:noFill/>
                        </a:ln>
                      </wps:spPr>
                      <wps:txb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质量保修期计算</w:t>
                            </w:r>
                          </w:p>
                        </w:txbxContent>
                      </wps:txbx>
                      <wps:bodyPr wrap="square" upright="1"/>
                    </wps:wsp>
                  </a:graphicData>
                </a:graphic>
              </wp:anchor>
            </w:drawing>
          </mc:Choice>
          <mc:Fallback>
            <w:pict>
              <v:shape id="文本框 952" o:spid="_x0000_s1026" o:spt="202" type="#_x0000_t202" style="position:absolute;left:0pt;margin-left:-9pt;margin-top:22.6pt;height:50.5pt;width:61.5pt;z-index:252054528;mso-width-relative:page;mso-height-relative:page;" filled="f" stroked="f" coordsize="21600,21600" o:gfxdata="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pmbbV1wAAAAoBAAAPAAAAAAAAAAEAIAAAACIAAABkcnMvZG93bnJldi54bWxQSwECFAAU&#10;AAAACACHTuJA5oszEbkBAABfAwAADgAAAAAAAAABACAAAAAmAQAAZHJzL2Uyb0RvYy54bWxQSwUG&#10;AAAAAAYABgBZAQAAUQUAAAAA&#10;">
                <v:fill on="f" focussize="0,0"/>
                <v:stroke on="f"/>
                <v:imagedata o:title=""/>
                <o:lock v:ext="edit" aspectratio="f"/>
                <v:textbox>
                  <w:txbxContent>
                    <w:p>
                      <w:pPr>
                        <w:spacing w:line="24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质量保修期计算</w:t>
                      </w:r>
                    </w:p>
                  </w:txbxContent>
                </v:textbox>
              </v:shape>
            </w:pict>
          </mc:Fallback>
        </mc:AlternateContent>
      </w:r>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.8</w:t>
      </w:r>
      <w:bookmarkEnd w:id="917"/>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r>
        <w:rPr>
          <w:rFonts w:hint="eastAsia" w:ascii="仿宋" w:hAnsi="仿宋" w:eastAsia="仿宋" w:cs="仿宋"/>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合同双方当事人应在专用条款和合同工程质量保修书中约定质量保修期，但不得低于《房屋建筑工程质量保修办法》第七条以及《建设工程质量管理条例》第四十条规定的最低保修期限。</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质量保修期自竣工验收</w:t>
      </w:r>
      <w:r>
        <w:rPr>
          <w:rFonts w:ascii="仿宋" w:hAnsi="仿宋" w:eastAsia="仿宋" w:cs="仿宋"/>
          <w:color w:val="auto"/>
          <w:highlight w:val="none"/>
          <w:lang w:eastAsia="zh-CN"/>
        </w:rPr>
        <w:t>合格</w:t>
      </w:r>
      <w:r>
        <w:rPr>
          <w:rFonts w:hint="eastAsia" w:ascii="仿宋" w:hAnsi="仿宋" w:eastAsia="仿宋" w:cs="仿宋"/>
          <w:color w:val="auto"/>
          <w:highlight w:val="none"/>
          <w:lang w:eastAsia="zh-CN"/>
        </w:rPr>
        <w:t>之日起计算。在全部工程竣工验收前，已经发包人提前验收的单项工程，其质量保修期的起算日期相应提前。</w:t>
      </w:r>
    </w:p>
    <w:p>
      <w:pPr>
        <w:spacing w:line="360" w:lineRule="auto"/>
        <w:rPr>
          <w:rFonts w:ascii="仿宋" w:hAnsi="仿宋" w:eastAsia="仿宋" w:cs="仿宋"/>
          <w:b/>
          <w:bCs/>
          <w:color w:val="auto"/>
          <w:highlight w:val="none"/>
          <w:u w:val="dotted"/>
          <w:lang w:eastAsia="zh-CN"/>
        </w:rPr>
      </w:pPr>
      <w:bookmarkStart w:id="918" w:name="_Toc1338"/>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.9</w:t>
      </w:r>
      <w:bookmarkEnd w:id="91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54848" behindDoc="0" locked="0" layoutInCell="1" allowOverlap="1">
                <wp:simplePos x="0" y="0"/>
                <wp:positionH relativeFrom="column">
                  <wp:posOffset>-73660</wp:posOffset>
                </wp:positionH>
                <wp:positionV relativeFrom="paragraph">
                  <wp:posOffset>15240</wp:posOffset>
                </wp:positionV>
                <wp:extent cx="774700" cy="487045"/>
                <wp:effectExtent l="0" t="0" r="0" b="0"/>
                <wp:wrapNone/>
                <wp:docPr id="192" name="文本框 953"/>
                <wp:cNvGraphicFramePr/>
                <a:graphic xmlns:a="http://schemas.openxmlformats.org/drawingml/2006/main">
                  <a:graphicData uri="http://schemas.microsoft.com/office/word/2010/wordprocessingShape">
                    <wps:wsp>
                      <wps:cNvSpPr txBox="1"/>
                      <wps:spPr>
                        <a:xfrm>
                          <a:off x="0" y="0"/>
                          <a:ext cx="774700" cy="487045"/>
                        </a:xfrm>
                        <a:prstGeom prst="rect">
                          <a:avLst/>
                        </a:prstGeom>
                        <a:noFill/>
                        <a:ln>
                          <a:noFill/>
                        </a:ln>
                      </wps:spPr>
                      <wps:txb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工程质量保修</w:t>
                            </w:r>
                          </w:p>
                        </w:txbxContent>
                      </wps:txbx>
                      <wps:bodyPr wrap="square" upright="1"/>
                    </wps:wsp>
                  </a:graphicData>
                </a:graphic>
              </wp:anchor>
            </w:drawing>
          </mc:Choice>
          <mc:Fallback>
            <w:pict>
              <v:shape id="文本框 953" o:spid="_x0000_s1026" o:spt="202" type="#_x0000_t202" style="position:absolute;left:0pt;margin-left:-5.8pt;margin-top:1.2pt;height:38.35pt;width:61pt;z-index:251854848;mso-width-relative:page;mso-height-relative:page;" filled="f" stroked="f" coordsize="21600,21600" o:gfxdata="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I0Be7dUAAAAIAQAADwAAAAAAAAABACAAAAAiAAAAZHJzL2Rvd25yZXYueG1sUEsBAhQAFAAA&#10;AAgAh07iQACUh8q5AQAAXwMAAA4AAAAAAAAAAQAgAAAAJAEAAGRycy9lMm9Eb2MueG1sUEsFBgAA&#10;AAAGAAYAWQEAAE8FAAAAAA==&#10;">
                <v:fill on="f" focussize="0,0"/>
                <v:stroke on="f"/>
                <v:imagedata o:title=""/>
                <o:lock v:ext="edit" aspectratio="f"/>
                <v:textbox>
                  <w:txbxContent>
                    <w:p>
                      <w:pPr>
                        <w:rPr>
                          <w:rFonts w:ascii="楷体_GB2312" w:hAnsi="宋体" w:eastAsia="楷体_GB2312"/>
                          <w:sz w:val="18"/>
                          <w:szCs w:val="18"/>
                        </w:rPr>
                      </w:pPr>
                      <w:r>
                        <w:rPr>
                          <w:rFonts w:hint="eastAsia" w:ascii="楷体_GB2312" w:hAnsi="宋体" w:eastAsia="楷体_GB2312" w:cs="楷体_GB2312"/>
                          <w:b/>
                          <w:bCs/>
                          <w:color w:val="000000"/>
                          <w:sz w:val="18"/>
                          <w:szCs w:val="18"/>
                        </w:rPr>
                        <w:t>工程质量保修</w:t>
                      </w:r>
                    </w:p>
                  </w:txbxContent>
                </v:textbox>
              </v:shape>
            </w:pict>
          </mc:Fallback>
        </mc:AlternateContent>
      </w:r>
      <w:r>
        <w:rPr>
          <w:rFonts w:hint="eastAsia" w:ascii="仿宋" w:hAnsi="仿宋" w:eastAsia="仿宋" w:cs="仿宋"/>
          <w:color w:val="auto"/>
          <w:highlight w:val="none"/>
          <w:lang w:eastAsia="zh-CN"/>
        </w:rPr>
        <w:t>承包人应在质量保修期内对交付发包人使用的合同工程承担质量保修责任。合同工程出现质量问题的，承包人应立即实施保修；承包人保修工作完成后，发包人应及时组织验收。发生紧急抢修事故的，承包人应在接到通知后立即到达事故现场抢修。</w:t>
      </w:r>
    </w:p>
    <w:p>
      <w:pPr>
        <w:spacing w:line="360" w:lineRule="auto"/>
        <w:rPr>
          <w:rFonts w:ascii="仿宋" w:hAnsi="仿宋" w:eastAsia="仿宋" w:cs="仿宋"/>
          <w:color w:val="auto"/>
          <w:highlight w:val="none"/>
          <w:u w:val="dotted"/>
          <w:lang w:eastAsia="zh-CN"/>
        </w:rPr>
      </w:pPr>
      <w:bookmarkStart w:id="919" w:name="_Toc13407"/>
      <w:r>
        <w:rPr>
          <w:color w:val="auto"/>
          <w:highlight w:val="none"/>
        </w:rPr>
        <mc:AlternateContent>
          <mc:Choice Requires="wps">
            <w:drawing>
              <wp:anchor distT="0" distB="0" distL="114300" distR="114300" simplePos="0" relativeHeight="252055552" behindDoc="0" locked="0" layoutInCell="1" allowOverlap="1">
                <wp:simplePos x="0" y="0"/>
                <wp:positionH relativeFrom="column">
                  <wp:posOffset>-66675</wp:posOffset>
                </wp:positionH>
                <wp:positionV relativeFrom="paragraph">
                  <wp:posOffset>208915</wp:posOffset>
                </wp:positionV>
                <wp:extent cx="784860" cy="626745"/>
                <wp:effectExtent l="0" t="0" r="0" b="0"/>
                <wp:wrapNone/>
                <wp:docPr id="388" name="文本框 954"/>
                <wp:cNvGraphicFramePr/>
                <a:graphic xmlns:a="http://schemas.openxmlformats.org/drawingml/2006/main">
                  <a:graphicData uri="http://schemas.microsoft.com/office/word/2010/wordprocessingShape">
                    <wps:wsp>
                      <wps:cNvSpPr txBox="1"/>
                      <wps:spPr>
                        <a:xfrm>
                          <a:off x="0" y="0"/>
                          <a:ext cx="784860" cy="626745"/>
                        </a:xfrm>
                        <a:prstGeom prst="rect">
                          <a:avLst/>
                        </a:prstGeom>
                        <a:noFill/>
                        <a:ln>
                          <a:noFill/>
                        </a:ln>
                      </wps:spPr>
                      <wps:txb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修复质量缺陷以外的费用</w:t>
                            </w:r>
                          </w:p>
                        </w:txbxContent>
                      </wps:txbx>
                      <wps:bodyPr wrap="square" upright="1"/>
                    </wps:wsp>
                  </a:graphicData>
                </a:graphic>
              </wp:anchor>
            </w:drawing>
          </mc:Choice>
          <mc:Fallback>
            <w:pict>
              <v:shape id="文本框 954" o:spid="_x0000_s1026" o:spt="202" type="#_x0000_t202" style="position:absolute;left:0pt;margin-left:-5.25pt;margin-top:16.45pt;height:49.35pt;width:61.8pt;z-index:252055552;mso-width-relative:page;mso-height-relative:page;" filled="f" stroked="f" coordsize="21600,21600" o:gfxdata="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RXJrstcAAAAKAQAADwAAAAAAAAABACAAAAAiAAAAZHJzL2Rvd25yZXYueG1sUEsBAhQA&#10;FAAAAAgAh07iQDg8U+K6AQAAXwMAAA4AAAAAAAAAAQAgAAAAJgEAAGRycy9lMm9Eb2MueG1sUEsF&#10;BgAAAAAGAAYAWQEAAFIFAAAAAA==&#10;">
                <v:fill on="f" focussize="0,0"/>
                <v:stroke on="f"/>
                <v:imagedata o:title=""/>
                <o:lock v:ext="edit" aspectratio="f"/>
                <v:textbox>
                  <w:txbxContent>
                    <w:p>
                      <w:pPr>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修复质量缺陷以外的费用</w:t>
                      </w:r>
                    </w:p>
                  </w:txbxContent>
                </v:textbox>
              </v:shape>
            </w:pict>
          </mc:Fallback>
        </mc:AlternateContent>
      </w:r>
      <w:r>
        <w:rPr>
          <w:rFonts w:hint="eastAsia" w:ascii="仿宋" w:hAnsi="仿宋" w:eastAsia="仿宋" w:cs="仿宋"/>
          <w:b/>
          <w:bCs/>
          <w:color w:val="auto"/>
          <w:highlight w:val="none"/>
          <w:lang w:eastAsia="zh-CN"/>
        </w:rPr>
        <w:t>66</w:t>
      </w:r>
      <w:r>
        <w:rPr>
          <w:rFonts w:ascii="仿宋" w:hAnsi="仿宋" w:eastAsia="仿宋" w:cs="仿宋"/>
          <w:b/>
          <w:bCs/>
          <w:color w:val="auto"/>
          <w:highlight w:val="none"/>
          <w:lang w:eastAsia="zh-CN"/>
        </w:rPr>
        <w:t>.10</w:t>
      </w:r>
      <w:bookmarkEnd w:id="919"/>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承包人修复属于质量缺陷以外的费用，由责任方承担。</w:t>
      </w:r>
    </w:p>
    <w:p>
      <w:pPr>
        <w:adjustRightInd w:val="0"/>
        <w:snapToGrid w:val="0"/>
        <w:spacing w:line="360" w:lineRule="auto"/>
        <w:rPr>
          <w:rFonts w:ascii="仿宋" w:hAnsi="仿宋" w:eastAsia="仿宋" w:cs="仿宋"/>
          <w:color w:val="auto"/>
          <w:highlight w:val="none"/>
          <w:u w:val="single"/>
          <w:lang w:eastAsia="zh-CN"/>
        </w:rPr>
      </w:pPr>
      <w:r>
        <w:rPr>
          <w:rFonts w:ascii="仿宋" w:hAnsi="仿宋" w:eastAsia="仿宋" w:cs="仿宋"/>
          <w:b/>
          <w:bCs/>
          <w:color w:val="auto"/>
          <w:highlight w:val="none"/>
          <w:u w:val="single"/>
          <w:lang w:eastAsia="zh-CN"/>
        </w:rPr>
        <w:t xml:space="preserve">                                                                                 </w:t>
      </w:r>
      <w:r>
        <w:rPr>
          <w:rFonts w:ascii="仿宋" w:hAnsi="仿宋" w:eastAsia="仿宋" w:cs="仿宋"/>
          <w:color w:val="auto"/>
          <w:highlight w:val="none"/>
          <w:u w:val="single"/>
          <w:lang w:eastAsia="zh-CN"/>
        </w:rPr>
        <w:t xml:space="preserve">     </w:t>
      </w:r>
    </w:p>
    <w:p>
      <w:pPr>
        <w:tabs>
          <w:tab w:val="left" w:pos="1620"/>
        </w:tabs>
        <w:adjustRightInd w:val="0"/>
        <w:snapToGrid w:val="0"/>
        <w:spacing w:line="360" w:lineRule="auto"/>
        <w:jc w:val="center"/>
        <w:outlineLvl w:val="1"/>
        <w:rPr>
          <w:color w:val="auto"/>
          <w:highlight w:val="none"/>
          <w:lang w:eastAsia="zh-CN"/>
        </w:rPr>
      </w:pPr>
      <w:bookmarkStart w:id="920" w:name="_Toc18953"/>
      <w:bookmarkStart w:id="921" w:name="_Toc1074"/>
      <w:bookmarkStart w:id="922" w:name="_Toc2767"/>
      <w:bookmarkStart w:id="923" w:name="_Toc22524"/>
      <w:bookmarkStart w:id="924" w:name="_Toc29102"/>
      <w:bookmarkStart w:id="925" w:name="_Toc26327"/>
      <w:bookmarkStart w:id="926" w:name="_Toc15873"/>
      <w:bookmarkStart w:id="927" w:name="_Toc15665"/>
      <w:r>
        <w:rPr>
          <w:rFonts w:hint="eastAsia" w:ascii="仿宋" w:hAnsi="仿宋" w:eastAsia="仿宋" w:cs="仿宋"/>
          <w:b/>
          <w:bCs/>
          <w:color w:val="auto"/>
          <w:highlight w:val="none"/>
          <w:lang w:eastAsia="zh-CN"/>
        </w:rPr>
        <w:t>七、合同价格</w:t>
      </w:r>
      <w:bookmarkEnd w:id="920"/>
      <w:bookmarkEnd w:id="921"/>
      <w:bookmarkEnd w:id="922"/>
      <w:bookmarkEnd w:id="923"/>
      <w:bookmarkEnd w:id="924"/>
      <w:bookmarkEnd w:id="925"/>
      <w:bookmarkEnd w:id="926"/>
      <w:bookmarkEnd w:id="927"/>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28" w:name="_Toc5111"/>
      <w:bookmarkStart w:id="929" w:name="_Toc32361"/>
      <w:bookmarkStart w:id="930" w:name="_Toc17311"/>
      <w:bookmarkStart w:id="931" w:name="_Toc8934"/>
      <w:bookmarkStart w:id="932" w:name="_Toc6464"/>
      <w:bookmarkStart w:id="933" w:name="_Toc22294"/>
      <w:bookmarkStart w:id="934" w:name="_Toc24061"/>
      <w:bookmarkStart w:id="935" w:name="_Toc24903"/>
      <w:r>
        <w:rPr>
          <w:rFonts w:ascii="仿宋" w:hAnsi="仿宋" w:eastAsia="仿宋" w:cs="仿宋"/>
          <w:bCs w:val="0"/>
          <w:color w:val="auto"/>
          <w:sz w:val="24"/>
          <w:szCs w:val="24"/>
          <w:highlight w:val="none"/>
          <w:lang w:eastAsia="zh-CN"/>
        </w:rPr>
        <w:t>6</w:t>
      </w:r>
      <w:r>
        <w:rPr>
          <w:rFonts w:hint="eastAsia" w:ascii="仿宋" w:hAnsi="仿宋" w:eastAsia="仿宋" w:cs="仿宋"/>
          <w:bCs w:val="0"/>
          <w:color w:val="auto"/>
          <w:sz w:val="24"/>
          <w:szCs w:val="24"/>
          <w:highlight w:val="none"/>
          <w:lang w:eastAsia="zh-CN"/>
        </w:rPr>
        <w:t>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资金计划和安排</w:t>
      </w:r>
      <w:bookmarkEnd w:id="928"/>
      <w:bookmarkEnd w:id="929"/>
      <w:bookmarkEnd w:id="930"/>
      <w:bookmarkEnd w:id="931"/>
      <w:bookmarkEnd w:id="932"/>
      <w:bookmarkEnd w:id="933"/>
      <w:bookmarkEnd w:id="934"/>
      <w:bookmarkEnd w:id="935"/>
    </w:p>
    <w:p>
      <w:pPr>
        <w:pStyle w:val="22"/>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6</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b/>
          <w:bCs/>
          <w:color w:val="auto"/>
          <w:highlight w:val="none"/>
          <w:lang w:eastAsia="zh-CN"/>
        </w:rPr>
      </w:pPr>
      <w:r>
        <w:rPr>
          <w:color w:val="auto"/>
          <w:highlight w:val="none"/>
        </w:rPr>
        <mc:AlternateContent>
          <mc:Choice Requires="wps">
            <w:drawing>
              <wp:anchor distT="0" distB="0" distL="114300" distR="114300" simplePos="0" relativeHeight="251856896" behindDoc="0" locked="0" layoutInCell="1" allowOverlap="1">
                <wp:simplePos x="0" y="0"/>
                <wp:positionH relativeFrom="column">
                  <wp:posOffset>-133350</wp:posOffset>
                </wp:positionH>
                <wp:positionV relativeFrom="paragraph">
                  <wp:posOffset>68580</wp:posOffset>
                </wp:positionV>
                <wp:extent cx="842645" cy="556895"/>
                <wp:effectExtent l="0" t="0" r="0" b="0"/>
                <wp:wrapNone/>
                <wp:docPr id="194" name="文本框 957"/>
                <wp:cNvGraphicFramePr/>
                <a:graphic xmlns:a="http://schemas.openxmlformats.org/drawingml/2006/main">
                  <a:graphicData uri="http://schemas.microsoft.com/office/word/2010/wordprocessingShape">
                    <wps:wsp>
                      <wps:cNvSpPr txBox="1"/>
                      <wps:spPr>
                        <a:xfrm>
                          <a:off x="0" y="0"/>
                          <a:ext cx="842645" cy="556895"/>
                        </a:xfrm>
                        <a:prstGeom prst="rect">
                          <a:avLst/>
                        </a:prstGeom>
                        <a:noFill/>
                        <a:ln>
                          <a:noFill/>
                        </a:ln>
                      </wps:spPr>
                      <wps:txbx>
                        <w:txbxContent>
                          <w:p>
                            <w:pPr>
                              <w:pStyle w:val="2"/>
                              <w:spacing w:line="22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承包人提交资金需求计划书</w:t>
                            </w:r>
                          </w:p>
                        </w:txbxContent>
                      </wps:txbx>
                      <wps:bodyPr wrap="square" upright="1"/>
                    </wps:wsp>
                  </a:graphicData>
                </a:graphic>
              </wp:anchor>
            </w:drawing>
          </mc:Choice>
          <mc:Fallback>
            <w:pict>
              <v:shape id="文本框 957" o:spid="_x0000_s1026" o:spt="202" type="#_x0000_t202" style="position:absolute;left:0pt;margin-left:-10.5pt;margin-top:5.4pt;height:43.85pt;width:66.35pt;z-index:251856896;mso-width-relative:page;mso-height-relative:page;" filled="f" stroked="f" coordsize="21600,21600" o:gfxdata="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IZAr1/WAAAACQEAAA8AAAAAAAAAAQAgAAAAIgAAAGRycy9kb3ducmV2LnhtbFBLAQIUABQA&#10;AAAIAIdO4kBc4fPPuQEAAF8DAAAOAAAAAAAAAAEAIAAAACUBAABkcnMvZTJvRG9jLnhtbFBLBQYA&#10;AAAABgAGAFkBAABQBQAAAAA=&#10;">
                <v:fill on="f" focussize="0,0"/>
                <v:stroke on="f"/>
                <v:imagedata o:title=""/>
                <o:lock v:ext="edit" aspectratio="f"/>
                <v:textbox>
                  <w:txbxContent>
                    <w:p>
                      <w:pPr>
                        <w:pStyle w:val="2"/>
                        <w:spacing w:line="22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承包人提交资金需求计划书</w:t>
                      </w:r>
                    </w:p>
                  </w:txbxContent>
                </v:textbox>
              </v:shape>
            </w:pict>
          </mc:Fallback>
        </mc:AlternateContent>
      </w:r>
      <w:r>
        <w:rPr>
          <w:rFonts w:hint="eastAsia" w:ascii="仿宋" w:hAnsi="仿宋" w:eastAsia="仿宋" w:cs="仿宋"/>
          <w:color w:val="auto"/>
          <w:highlight w:val="none"/>
          <w:lang w:eastAsia="zh-CN"/>
        </w:rPr>
        <w:t>勘察、设计等工作进度及工程进度计划被批准后，承包人应向发包人提交一份合同工程资金需求计划书；勘察、设计等工作进度及工程进度计划更新后，承包人应及时向发包人提交一份更新后的工程资金需求计划书。</w:t>
      </w:r>
    </w:p>
    <w:p>
      <w:pPr>
        <w:pStyle w:val="22"/>
        <w:adjustRightInd w:val="0"/>
        <w:snapToGrid w:val="0"/>
        <w:spacing w:line="360" w:lineRule="auto"/>
        <w:ind w:left="1617" w:hanging="1617" w:hangingChars="671"/>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6</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1857920" behindDoc="0" locked="0" layoutInCell="1" allowOverlap="1">
                <wp:simplePos x="0" y="0"/>
                <wp:positionH relativeFrom="column">
                  <wp:posOffset>-114300</wp:posOffset>
                </wp:positionH>
                <wp:positionV relativeFrom="paragraph">
                  <wp:posOffset>34290</wp:posOffset>
                </wp:positionV>
                <wp:extent cx="756920" cy="587375"/>
                <wp:effectExtent l="0" t="0" r="0" b="0"/>
                <wp:wrapNone/>
                <wp:docPr id="195" name="文本框 958"/>
                <wp:cNvGraphicFramePr/>
                <a:graphic xmlns:a="http://schemas.openxmlformats.org/drawingml/2006/main">
                  <a:graphicData uri="http://schemas.microsoft.com/office/word/2010/wordprocessingShape">
                    <wps:wsp>
                      <wps:cNvSpPr txBox="1"/>
                      <wps:spPr>
                        <a:xfrm>
                          <a:off x="0" y="0"/>
                          <a:ext cx="756920" cy="587375"/>
                        </a:xfrm>
                        <a:prstGeom prst="rect">
                          <a:avLst/>
                        </a:prstGeom>
                        <a:noFill/>
                        <a:ln>
                          <a:noFill/>
                        </a:ln>
                      </wps:spPr>
                      <wps:txbx>
                        <w:txbxContent>
                          <w:p>
                            <w:pPr>
                              <w:pStyle w:val="2"/>
                              <w:spacing w:line="22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发包人提供资金安排证据</w:t>
                            </w:r>
                          </w:p>
                        </w:txbxContent>
                      </wps:txbx>
                      <wps:bodyPr wrap="square" upright="1"/>
                    </wps:wsp>
                  </a:graphicData>
                </a:graphic>
              </wp:anchor>
            </w:drawing>
          </mc:Choice>
          <mc:Fallback>
            <w:pict>
              <v:shape id="文本框 958" o:spid="_x0000_s1026" o:spt="202" type="#_x0000_t202" style="position:absolute;left:0pt;margin-left:-9pt;margin-top:2.7pt;height:46.25pt;width:59.6pt;z-index:251857920;mso-width-relative:page;mso-height-relative:page;" filled="f" stroked="f" coordsize="21600,21600" o:gfxdata="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jHEC3WAAAACAEAAA8AAAAAAAAAAQAgAAAAIgAAAGRycy9kb3ducmV2LnhtbFBLAQIUABQA&#10;AAAIAIdO4kDV5FhBuQEAAF8DAAAOAAAAAAAAAAEAIAAAACUBAABkcnMvZTJvRG9jLnhtbFBLBQYA&#10;AAAABgAGAFkBAABQBQAAAAA=&#10;">
                <v:fill on="f" focussize="0,0"/>
                <v:stroke on="f"/>
                <v:imagedata o:title=""/>
                <o:lock v:ext="edit" aspectratio="f"/>
                <v:textbox>
                  <w:txbxContent>
                    <w:p>
                      <w:pPr>
                        <w:pStyle w:val="2"/>
                        <w:spacing w:line="22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发包人提供资金安排证据</w:t>
                      </w:r>
                    </w:p>
                  </w:txbxContent>
                </v:textbox>
              </v:shape>
            </w:pict>
          </mc:Fallback>
        </mc:AlternateContent>
      </w:r>
      <w:r>
        <w:rPr>
          <w:rFonts w:hint="eastAsia" w:ascii="仿宋" w:hAnsi="仿宋" w:eastAsia="仿宋" w:cs="仿宋"/>
          <w:color w:val="auto"/>
          <w:highlight w:val="none"/>
          <w:lang w:eastAsia="zh-CN"/>
        </w:rPr>
        <w:t>发包人在收到承包人提交的工程资金需求计划书后</w:t>
      </w:r>
      <w:r>
        <w:rPr>
          <w:rFonts w:ascii="仿宋" w:hAnsi="仿宋" w:eastAsia="仿宋" w:cs="仿宋"/>
          <w:color w:val="auto"/>
          <w:highlight w:val="none"/>
          <w:lang w:eastAsia="zh-CN"/>
        </w:rPr>
        <w:t>28</w:t>
      </w:r>
      <w:r>
        <w:rPr>
          <w:rFonts w:hint="eastAsia" w:ascii="仿宋" w:hAnsi="仿宋" w:eastAsia="仿宋" w:cs="仿宋"/>
          <w:color w:val="auto"/>
          <w:highlight w:val="none"/>
          <w:lang w:eastAsia="zh-CN"/>
        </w:rPr>
        <w:t>天内，应根据合同约定提供已做出资金安排的合理证据，表明自己有能力按照第83条约定支付合同价款。如果发包人对资金安排作出任何变更时，应及时将变更的详情通知承包人。</w:t>
      </w:r>
    </w:p>
    <w:p>
      <w:pPr>
        <w:spacing w:line="360" w:lineRule="auto"/>
        <w:rPr>
          <w:color w:val="auto"/>
          <w:highlight w:val="none"/>
          <w:lang w:eastAsia="zh-CN"/>
        </w:rPr>
      </w:pPr>
      <w:r>
        <w:rPr>
          <w:rFonts w:ascii="仿宋" w:hAnsi="仿宋" w:eastAsia="仿宋" w:cs="仿宋"/>
          <w:b/>
          <w:bCs/>
          <w:color w:val="auto"/>
          <w:highlight w:val="none"/>
          <w:u w:val="single"/>
          <w:lang w:eastAsia="zh-CN"/>
        </w:rPr>
        <w:t xml:space="preserve">                                                                                 </w:t>
      </w:r>
      <w:r>
        <w:rPr>
          <w:rFonts w:ascii="仿宋" w:hAnsi="仿宋" w:eastAsia="仿宋" w:cs="仿宋"/>
          <w:color w:val="auto"/>
          <w:highlight w:val="none"/>
          <w:u w:val="single"/>
          <w:lang w:eastAsia="zh-CN"/>
        </w:rPr>
        <w:t xml:space="preserve">    </w:t>
      </w:r>
    </w:p>
    <w:p>
      <w:pPr>
        <w:pStyle w:val="5"/>
        <w:tabs>
          <w:tab w:val="left" w:pos="360"/>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36" w:name="_Toc2999"/>
      <w:bookmarkStart w:id="937" w:name="_Toc1658"/>
      <w:bookmarkStart w:id="938" w:name="_Toc30121"/>
      <w:bookmarkStart w:id="939" w:name="_Toc5393"/>
      <w:bookmarkStart w:id="940" w:name="_Toc29346"/>
      <w:bookmarkStart w:id="941" w:name="_Toc1965"/>
      <w:bookmarkStart w:id="942" w:name="_Toc11532"/>
      <w:bookmarkStart w:id="943" w:name="_Toc22724"/>
      <w:r>
        <w:rPr>
          <w:rFonts w:hint="eastAsia" w:ascii="仿宋" w:hAnsi="仿宋" w:eastAsia="仿宋" w:cs="仿宋"/>
          <w:bCs w:val="0"/>
          <w:color w:val="auto"/>
          <w:sz w:val="24"/>
          <w:szCs w:val="24"/>
          <w:highlight w:val="none"/>
          <w:lang w:eastAsia="zh-CN"/>
        </w:rPr>
        <w:t>68</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联合体牵头人项目管理费</w:t>
      </w:r>
      <w:bookmarkEnd w:id="936"/>
      <w:bookmarkEnd w:id="937"/>
      <w:bookmarkEnd w:id="938"/>
      <w:bookmarkEnd w:id="939"/>
      <w:bookmarkEnd w:id="940"/>
      <w:bookmarkEnd w:id="941"/>
      <w:bookmarkEnd w:id="942"/>
      <w:bookmarkEnd w:id="943"/>
    </w:p>
    <w:p>
      <w:pPr>
        <w:widowControl w:val="0"/>
        <w:spacing w:line="360" w:lineRule="auto"/>
        <w:ind w:left="1850" w:leftChars="771"/>
        <w:jc w:val="both"/>
        <w:rPr>
          <w:rFonts w:ascii="仿宋" w:hAnsi="仿宋" w:eastAsia="仿宋" w:cs="仿宋"/>
          <w:color w:val="auto"/>
          <w:highlight w:val="none"/>
          <w:lang w:eastAsia="zh-CN"/>
        </w:rPr>
      </w:pPr>
      <w:bookmarkStart w:id="944" w:name="OLE_LINK1"/>
      <w:bookmarkStart w:id="945" w:name="OLE_LINK2"/>
      <w:r>
        <w:rPr>
          <w:rFonts w:ascii="仿宋" w:hAnsi="仿宋" w:eastAsia="仿宋" w:cs="仿宋"/>
          <w:color w:val="auto"/>
          <w:highlight w:val="none"/>
        </w:rPr>
        <mc:AlternateContent>
          <mc:Choice Requires="wps">
            <w:drawing>
              <wp:anchor distT="0" distB="0" distL="114300" distR="114300" simplePos="0" relativeHeight="252103680" behindDoc="0" locked="0" layoutInCell="1" allowOverlap="1">
                <wp:simplePos x="0" y="0"/>
                <wp:positionH relativeFrom="column">
                  <wp:posOffset>-114300</wp:posOffset>
                </wp:positionH>
                <wp:positionV relativeFrom="paragraph">
                  <wp:posOffset>27305</wp:posOffset>
                </wp:positionV>
                <wp:extent cx="785495" cy="1016000"/>
                <wp:effectExtent l="0" t="0" r="0" b="0"/>
                <wp:wrapNone/>
                <wp:docPr id="435" name="文本框 9"/>
                <wp:cNvGraphicFramePr/>
                <a:graphic xmlns:a="http://schemas.openxmlformats.org/drawingml/2006/main">
                  <a:graphicData uri="http://schemas.microsoft.com/office/word/2010/wordprocessingShape">
                    <wps:wsp>
                      <wps:cNvSpPr txBox="1"/>
                      <wps:spPr>
                        <a:xfrm>
                          <a:off x="0" y="0"/>
                          <a:ext cx="785495" cy="1016000"/>
                        </a:xfrm>
                        <a:prstGeom prst="rect">
                          <a:avLst/>
                        </a:prstGeom>
                        <a:noFill/>
                        <a:ln>
                          <a:noFill/>
                        </a:ln>
                      </wps:spPr>
                      <wps:txb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牵头人项目管理费的约定</w:t>
                            </w:r>
                          </w:p>
                        </w:txbxContent>
                      </wps:txbx>
                      <wps:bodyPr wrap="square" upright="1"/>
                    </wps:wsp>
                  </a:graphicData>
                </a:graphic>
              </wp:anchor>
            </w:drawing>
          </mc:Choice>
          <mc:Fallback>
            <w:pict>
              <v:shape id="文本框 9" o:spid="_x0000_s1026" o:spt="202" type="#_x0000_t202" style="position:absolute;left:0pt;margin-left:-9pt;margin-top:2.15pt;height:80pt;width:61.85pt;z-index:252103680;mso-width-relative:page;mso-height-relative:page;" filled="f" stroked="f" coordsize="21600,21600" o:gfxdata="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EgFjq1gAAAAkBAAAPAAAAAAAAAAEAIAAAACIAAABkcnMvZG93bnJldi54bWxQSwECFAAU&#10;AAAACACHTuJAikPik7oBAABeAwAADgAAAAAAAAABACAAAAAlAQAAZHJzL2Uyb0RvYy54bWxQSwUG&#10;AAAAAAYABgBZAQAAUQUAAAAA&#10;">
                <v:fill on="f" focussize="0,0"/>
                <v:stroke on="f"/>
                <v:imagedata o:title=""/>
                <o:lock v:ext="edit" aspectratio="f"/>
                <v:textbox>
                  <w:txbxContent>
                    <w:p>
                      <w:pPr>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牵头人项目管理费的约定</w:t>
                      </w:r>
                    </w:p>
                  </w:txbxContent>
                </v:textbox>
              </v:shape>
            </w:pict>
          </mc:Fallback>
        </mc:AlternateContent>
      </w:r>
      <w:r>
        <w:rPr>
          <w:rFonts w:hint="eastAsia" w:ascii="仿宋" w:hAnsi="仿宋" w:eastAsia="仿宋" w:cs="仿宋"/>
          <w:color w:val="auto"/>
          <w:highlight w:val="none"/>
          <w:lang w:eastAsia="zh-CN"/>
        </w:rPr>
        <w:t>承包人为联合体时，联合体牵头人对联合体各成员负责组织、管理和协调方面的工作。牵头人项目管理费的金额由合同双方当事人在本合同协议书中约定，该费用已包含在合同总价中，发包人不另行增加该费用。</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牵头人项目管理费由发包人直接支付给联合体牵头人并从合同总价中扣除，支付时间、支付比例在专用条款中约定。</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合同履行期间，若牵头人及其授权的承包人代表不作为或存在过错，发包人有权部分或全部扣除该费用，并追究相关责任，扣除金额或比例在专用条款中约定。</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牵头人项目管理费由</w:t>
      </w:r>
      <w:r>
        <w:rPr>
          <w:rFonts w:ascii="仿宋" w:hAnsi="仿宋" w:eastAsia="仿宋" w:cs="仿宋"/>
          <w:color w:val="auto"/>
          <w:highlight w:val="none"/>
          <w:lang w:eastAsia="zh-CN"/>
        </w:rPr>
        <w:t>联合体</w:t>
      </w:r>
      <w:r>
        <w:rPr>
          <w:rFonts w:hint="eastAsia" w:ascii="仿宋" w:hAnsi="仿宋" w:eastAsia="仿宋" w:cs="仿宋"/>
          <w:color w:val="auto"/>
          <w:highlight w:val="none"/>
          <w:lang w:eastAsia="zh-CN"/>
        </w:rPr>
        <w:t>各</w:t>
      </w:r>
      <w:r>
        <w:rPr>
          <w:rFonts w:ascii="仿宋" w:hAnsi="仿宋" w:eastAsia="仿宋" w:cs="仿宋"/>
          <w:color w:val="auto"/>
          <w:highlight w:val="none"/>
          <w:lang w:eastAsia="zh-CN"/>
        </w:rPr>
        <w:t>成员</w:t>
      </w:r>
      <w:r>
        <w:rPr>
          <w:rFonts w:hint="eastAsia" w:ascii="仿宋" w:hAnsi="仿宋" w:eastAsia="仿宋" w:cs="仿宋"/>
          <w:color w:val="auto"/>
          <w:highlight w:val="none"/>
          <w:lang w:eastAsia="zh-CN"/>
        </w:rPr>
        <w:t>单位分摊，联合体各成员单位分摊的金额、计费方式、支付方式以及违约处罚方式，由联合体各成员单位在联合体承包协议书中约定。</w:t>
      </w:r>
    </w:p>
    <w:bookmarkEnd w:id="944"/>
    <w:bookmarkEnd w:id="945"/>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46" w:name="_Toc22603"/>
      <w:bookmarkStart w:id="947" w:name="_Toc5735"/>
      <w:bookmarkStart w:id="948" w:name="_Toc24136"/>
      <w:bookmarkStart w:id="949" w:name="_Toc3880"/>
      <w:bookmarkStart w:id="950" w:name="_Toc24349"/>
      <w:bookmarkStart w:id="951" w:name="_Toc15709"/>
      <w:bookmarkStart w:id="952" w:name="_Toc15348"/>
      <w:bookmarkStart w:id="953" w:name="_Toc13150"/>
      <w:r>
        <w:rPr>
          <w:rFonts w:hint="eastAsia" w:ascii="仿宋" w:hAnsi="仿宋" w:eastAsia="仿宋" w:cs="仿宋"/>
          <w:bCs w:val="0"/>
          <w:color w:val="auto"/>
          <w:sz w:val="24"/>
          <w:szCs w:val="24"/>
          <w:highlight w:val="none"/>
          <w:lang w:eastAsia="zh-CN"/>
        </w:rPr>
        <w:t>★69</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合同价格的约定与调整</w:t>
      </w:r>
      <w:bookmarkEnd w:id="946"/>
      <w:bookmarkEnd w:id="947"/>
      <w:bookmarkEnd w:id="948"/>
      <w:bookmarkEnd w:id="949"/>
      <w:bookmarkEnd w:id="950"/>
      <w:bookmarkEnd w:id="951"/>
      <w:bookmarkEnd w:id="952"/>
      <w:bookmarkEnd w:id="953"/>
    </w:p>
    <w:p>
      <w:pPr>
        <w:pStyle w:val="22"/>
        <w:adjustRightInd w:val="0"/>
        <w:snapToGrid w:val="0"/>
        <w:spacing w:line="360" w:lineRule="auto"/>
        <w:ind w:left="1446" w:hanging="1446" w:hangingChars="600"/>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69</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2099584" behindDoc="0" locked="0" layoutInCell="1" allowOverlap="1">
                <wp:simplePos x="0" y="0"/>
                <wp:positionH relativeFrom="column">
                  <wp:posOffset>-114300</wp:posOffset>
                </wp:positionH>
                <wp:positionV relativeFrom="paragraph">
                  <wp:posOffset>57150</wp:posOffset>
                </wp:positionV>
                <wp:extent cx="825500" cy="596265"/>
                <wp:effectExtent l="0" t="0" r="0" b="0"/>
                <wp:wrapNone/>
                <wp:docPr id="431" name="文本框 982"/>
                <wp:cNvGraphicFramePr/>
                <a:graphic xmlns:a="http://schemas.openxmlformats.org/drawingml/2006/main">
                  <a:graphicData uri="http://schemas.microsoft.com/office/word/2010/wordprocessingShape">
                    <wps:wsp>
                      <wps:cNvSpPr txBox="1"/>
                      <wps:spPr>
                        <a:xfrm>
                          <a:off x="0" y="0"/>
                          <a:ext cx="825500" cy="59626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约定合同价格</w:t>
                            </w:r>
                          </w:p>
                        </w:txbxContent>
                      </wps:txbx>
                      <wps:bodyPr wrap="square" upright="1"/>
                    </wps:wsp>
                  </a:graphicData>
                </a:graphic>
              </wp:anchor>
            </w:drawing>
          </mc:Choice>
          <mc:Fallback>
            <w:pict>
              <v:shape id="文本框 982" o:spid="_x0000_s1026" o:spt="202" type="#_x0000_t202" style="position:absolute;left:0pt;margin-left:-9pt;margin-top:4.5pt;height:46.95pt;width:65pt;z-index:252099584;mso-width-relative:page;mso-height-relative:page;" filled="f" stroked="f" coordsize="21600,21600" o:gfxdata="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Gt9kFNUAAAAJAQAADwAAAAAAAAABACAAAAAiAAAAZHJzL2Rvd25yZXYueG1sUEsBAhQAFAAA&#10;AAgAh07iQKLVDVy5AQAAXwMAAA4AAAAAAAAAAQAgAAAAJAEAAGRycy9lMm9Eb2MueG1sUEsFBgAA&#10;AAAGAAYAWQEAAE8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约定合同价格</w:t>
                      </w:r>
                    </w:p>
                  </w:txbxContent>
                </v:textbox>
              </v:shape>
            </w:pict>
          </mc:Fallback>
        </mc:AlternateContent>
      </w:r>
      <w:r>
        <w:rPr>
          <w:rFonts w:hint="eastAsia" w:ascii="仿宋" w:hAnsi="仿宋" w:eastAsia="仿宋" w:cs="仿宋"/>
          <w:color w:val="auto"/>
          <w:highlight w:val="none"/>
          <w:lang w:eastAsia="zh-CN"/>
        </w:rPr>
        <w:t>合同双方当事人应在本合同协议书中约定合同总价及其中包括的工程勘察费（如果有）、工程设计费、BIM技术应用费、设备及工器具购置费（如果有）、建筑安装工程费及其他服务费用等各分项费用总价。</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招标发包工程的合同总价由合同双方当事人依据中标通知书的中标价格在本合同协议书中约定。直接发包工程的合同总价由合同双方当事人结合市场行情协商确定，也可参照基准日期前本地造价管理机构发布的价格指导文件协商，在本合同协议书中约定。</w:t>
      </w:r>
    </w:p>
    <w:p>
      <w:pPr>
        <w:spacing w:line="360" w:lineRule="auto"/>
        <w:rPr>
          <w:rFonts w:ascii="仿宋" w:hAnsi="仿宋" w:eastAsia="仿宋" w:cs="仿宋"/>
          <w:color w:val="auto"/>
          <w:highlight w:val="none"/>
          <w:u w:val="dotted"/>
          <w:lang w:eastAsia="zh-CN"/>
        </w:rPr>
      </w:pPr>
      <w:bookmarkStart w:id="954" w:name="_Toc10655"/>
      <w:r>
        <w:rPr>
          <w:rFonts w:hint="eastAsia" w:ascii="仿宋" w:hAnsi="仿宋" w:eastAsia="仿宋" w:cs="仿宋"/>
          <w:b/>
          <w:bCs/>
          <w:color w:val="auto"/>
          <w:highlight w:val="none"/>
          <w:lang w:eastAsia="zh-CN"/>
        </w:rPr>
        <w:t>69</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2</w:t>
      </w:r>
      <w:bookmarkEnd w:id="954"/>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100608" behindDoc="0" locked="0" layoutInCell="1" allowOverlap="1">
                <wp:simplePos x="0" y="0"/>
                <wp:positionH relativeFrom="column">
                  <wp:posOffset>-178435</wp:posOffset>
                </wp:positionH>
                <wp:positionV relativeFrom="paragraph">
                  <wp:posOffset>96520</wp:posOffset>
                </wp:positionV>
                <wp:extent cx="836930" cy="798830"/>
                <wp:effectExtent l="0" t="0" r="0" b="0"/>
                <wp:wrapNone/>
                <wp:docPr id="432" name="文本框 983"/>
                <wp:cNvGraphicFramePr/>
                <a:graphic xmlns:a="http://schemas.openxmlformats.org/drawingml/2006/main">
                  <a:graphicData uri="http://schemas.microsoft.com/office/word/2010/wordprocessingShape">
                    <wps:wsp>
                      <wps:cNvSpPr txBox="1"/>
                      <wps:spPr>
                        <a:xfrm>
                          <a:off x="0" y="0"/>
                          <a:ext cx="836930" cy="798830"/>
                        </a:xfrm>
                        <a:prstGeom prst="rect">
                          <a:avLst/>
                        </a:prstGeom>
                        <a:noFill/>
                        <a:ln>
                          <a:noFill/>
                        </a:ln>
                      </wps:spPr>
                      <wps:txbx>
                        <w:txbxContent>
                          <w:p>
                            <w:pPr>
                              <w:pStyle w:val="17"/>
                              <w:spacing w:line="200" w:lineRule="exact"/>
                              <w:rPr>
                                <w:rFonts w:ascii="楷体_GB2312" w:hAnsi="宋体" w:eastAsia="楷体_GB2312"/>
                                <w:b/>
                                <w:bCs/>
                                <w:sz w:val="18"/>
                                <w:szCs w:val="18"/>
                              </w:rPr>
                            </w:pPr>
                            <w:r>
                              <w:rPr>
                                <w:rFonts w:hint="eastAsia" w:ascii="楷体_GB2312" w:hAnsi="宋体" w:eastAsia="楷体_GB2312" w:cs="楷体_GB2312"/>
                                <w:b/>
                                <w:bCs/>
                                <w:sz w:val="18"/>
                                <w:szCs w:val="18"/>
                              </w:rPr>
                              <w:t>合同价格的形式</w:t>
                            </w:r>
                          </w:p>
                        </w:txbxContent>
                      </wps:txbx>
                      <wps:bodyPr wrap="square" upright="1"/>
                    </wps:wsp>
                  </a:graphicData>
                </a:graphic>
              </wp:anchor>
            </w:drawing>
          </mc:Choice>
          <mc:Fallback>
            <w:pict>
              <v:shape id="文本框 983" o:spid="_x0000_s1026" o:spt="202" type="#_x0000_t202" style="position:absolute;left:0pt;margin-left:-14.05pt;margin-top:7.6pt;height:62.9pt;width:65.9pt;z-index:252100608;mso-width-relative:page;mso-height-relative:page;" filled="f" stroked="f" coordsize="21600,21600" o:gfxdata="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uDO9i1wAAAAoBAAAPAAAAAAAAAAEAIAAAACIAAABkcnMvZG93bnJldi54bWxQSwECFAAU&#10;AAAACACHTuJA+Fv3qrkBAABfAwAADgAAAAAAAAABACAAAAAm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sz w:val="18"/>
                          <w:szCs w:val="18"/>
                        </w:rPr>
                      </w:pPr>
                      <w:r>
                        <w:rPr>
                          <w:rFonts w:hint="eastAsia" w:ascii="楷体_GB2312" w:hAnsi="宋体" w:eastAsia="楷体_GB2312" w:cs="楷体_GB2312"/>
                          <w:b/>
                          <w:bCs/>
                          <w:sz w:val="18"/>
                          <w:szCs w:val="18"/>
                        </w:rPr>
                        <w:t>合同价格的形式</w:t>
                      </w:r>
                    </w:p>
                  </w:txbxContent>
                </v:textbox>
              </v:shape>
            </w:pict>
          </mc:Fallback>
        </mc:AlternateContent>
      </w:r>
      <w:r>
        <w:rPr>
          <w:rFonts w:hint="eastAsia" w:ascii="仿宋" w:hAnsi="仿宋" w:eastAsia="仿宋"/>
          <w:color w:val="auto"/>
          <w:highlight w:val="none"/>
          <w:lang w:eastAsia="zh-CN"/>
        </w:rPr>
        <w:t>项目工程总承包应当采用总价合同，但特殊专项费用或受后续施工影响较大的可变因素较多的子项工程可采用单价合同或其他合同价格形式。发包</w:t>
      </w:r>
      <w:r>
        <w:rPr>
          <w:rFonts w:ascii="仿宋" w:hAnsi="仿宋" w:eastAsia="仿宋"/>
          <w:color w:val="auto"/>
          <w:highlight w:val="none"/>
          <w:lang w:eastAsia="zh-CN"/>
        </w:rPr>
        <w:t>人、</w:t>
      </w:r>
      <w:r>
        <w:rPr>
          <w:rFonts w:hint="eastAsia" w:ascii="仿宋" w:hAnsi="仿宋" w:eastAsia="仿宋"/>
          <w:color w:val="auto"/>
          <w:highlight w:val="none"/>
          <w:lang w:eastAsia="zh-CN"/>
        </w:rPr>
        <w:t>承</w:t>
      </w:r>
      <w:r>
        <w:rPr>
          <w:rFonts w:ascii="仿宋" w:hAnsi="仿宋" w:eastAsia="仿宋"/>
          <w:color w:val="auto"/>
          <w:highlight w:val="none"/>
          <w:lang w:eastAsia="zh-CN"/>
        </w:rPr>
        <w:t>包人</w:t>
      </w:r>
      <w:r>
        <w:rPr>
          <w:rFonts w:hint="eastAsia" w:ascii="仿宋" w:hAnsi="仿宋" w:eastAsia="仿宋"/>
          <w:color w:val="auto"/>
          <w:highlight w:val="none"/>
          <w:lang w:eastAsia="zh-CN"/>
        </w:rPr>
        <w:t>结合第72条约定的计量和计价规则在专用条款第72条中约定适用范围</w:t>
      </w:r>
      <w:r>
        <w:rPr>
          <w:rFonts w:hint="eastAsia" w:ascii="仿宋" w:hAnsi="仿宋" w:eastAsia="仿宋" w:cs="仿宋"/>
          <w:color w:val="auto"/>
          <w:highlight w:val="none"/>
          <w:lang w:eastAsia="zh-CN"/>
        </w:rPr>
        <w:t>：</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总价合同</w:t>
      </w: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总价合同是指合同当事人约定以</w:t>
      </w:r>
      <w:r>
        <w:rPr>
          <w:rFonts w:hint="eastAsia" w:ascii="仿宋" w:hAnsi="仿宋" w:eastAsia="仿宋" w:cs="仿宋"/>
          <w:color w:val="auto"/>
          <w:highlight w:val="none"/>
          <w:lang w:eastAsia="zh-CN"/>
        </w:rPr>
        <w:t>发包人提供的项目基础资料、发包人要求、标准规范、合同价格清单</w:t>
      </w:r>
      <w:r>
        <w:rPr>
          <w:rFonts w:ascii="仿宋" w:hAnsi="仿宋" w:eastAsia="仿宋" w:cs="仿宋"/>
          <w:color w:val="auto"/>
          <w:highlight w:val="none"/>
          <w:lang w:eastAsia="zh-CN"/>
        </w:rPr>
        <w:t>及有关条件进行合同价格计算、调整和确认的建设工程</w:t>
      </w:r>
      <w:r>
        <w:rPr>
          <w:rFonts w:hint="eastAsia" w:ascii="仿宋" w:hAnsi="仿宋" w:eastAsia="仿宋" w:cs="仿宋"/>
          <w:color w:val="auto"/>
          <w:highlight w:val="none"/>
          <w:lang w:eastAsia="zh-CN"/>
        </w:rPr>
        <w:t>总承包</w:t>
      </w:r>
      <w:r>
        <w:rPr>
          <w:rFonts w:ascii="仿宋" w:hAnsi="仿宋" w:eastAsia="仿宋" w:cs="仿宋"/>
          <w:color w:val="auto"/>
          <w:highlight w:val="none"/>
          <w:lang w:eastAsia="zh-CN"/>
        </w:rPr>
        <w:t>合同，</w:t>
      </w:r>
      <w:r>
        <w:rPr>
          <w:rFonts w:hint="eastAsia" w:ascii="仿宋" w:hAnsi="仿宋" w:eastAsia="仿宋" w:cs="仿宋"/>
          <w:color w:val="auto"/>
          <w:highlight w:val="none"/>
          <w:lang w:eastAsia="zh-CN"/>
        </w:rPr>
        <w:t>除合同约定允许调整的事项外，合同总价不予调整。</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）总价合同＋部分单价合同。其中</w:t>
      </w:r>
      <w:r>
        <w:rPr>
          <w:rFonts w:ascii="仿宋" w:hAnsi="仿宋" w:eastAsia="仿宋" w:cs="仿宋"/>
          <w:color w:val="auto"/>
          <w:highlight w:val="none"/>
          <w:lang w:eastAsia="zh-CN"/>
        </w:rPr>
        <w:t>单价合同是指合同当事人约定以</w:t>
      </w:r>
      <w:r>
        <w:rPr>
          <w:rFonts w:hint="eastAsia" w:ascii="仿宋" w:hAnsi="仿宋" w:eastAsia="仿宋" w:cs="仿宋"/>
          <w:color w:val="auto"/>
          <w:highlight w:val="none"/>
          <w:lang w:eastAsia="zh-CN"/>
        </w:rPr>
        <w:t>合同价格</w:t>
      </w:r>
      <w:r>
        <w:rPr>
          <w:rFonts w:ascii="仿宋" w:hAnsi="仿宋" w:eastAsia="仿宋" w:cs="仿宋"/>
          <w:color w:val="auto"/>
          <w:highlight w:val="none"/>
          <w:lang w:eastAsia="zh-CN"/>
        </w:rPr>
        <w:t>清单及其综合单价进行合同价格计算、调整和确认的建设工程</w:t>
      </w:r>
      <w:r>
        <w:rPr>
          <w:rFonts w:hint="eastAsia" w:ascii="仿宋" w:hAnsi="仿宋" w:eastAsia="仿宋" w:cs="仿宋"/>
          <w:color w:val="auto"/>
          <w:highlight w:val="none"/>
          <w:lang w:eastAsia="zh-CN"/>
        </w:rPr>
        <w:t>总承包</w:t>
      </w:r>
      <w:r>
        <w:rPr>
          <w:rFonts w:ascii="仿宋" w:hAnsi="仿宋" w:eastAsia="仿宋" w:cs="仿宋"/>
          <w:color w:val="auto"/>
          <w:highlight w:val="none"/>
          <w:lang w:eastAsia="zh-CN"/>
        </w:rPr>
        <w:t>合同，</w:t>
      </w:r>
      <w:r>
        <w:rPr>
          <w:rFonts w:hint="eastAsia" w:ascii="仿宋" w:hAnsi="仿宋" w:eastAsia="仿宋" w:cs="仿宋"/>
          <w:color w:val="auto"/>
          <w:highlight w:val="none"/>
          <w:lang w:eastAsia="zh-CN"/>
        </w:rPr>
        <w:t>除合同约定可以调整的事项外，工作量或工程量按实计算，综合</w:t>
      </w:r>
      <w:r>
        <w:rPr>
          <w:rFonts w:ascii="仿宋" w:hAnsi="仿宋" w:eastAsia="仿宋" w:cs="仿宋"/>
          <w:color w:val="auto"/>
          <w:highlight w:val="none"/>
          <w:lang w:eastAsia="zh-CN"/>
        </w:rPr>
        <w:t>单价不</w:t>
      </w:r>
      <w:r>
        <w:rPr>
          <w:rFonts w:hint="eastAsia" w:ascii="仿宋" w:hAnsi="仿宋" w:eastAsia="仿宋" w:cs="仿宋"/>
          <w:color w:val="auto"/>
          <w:highlight w:val="none"/>
          <w:lang w:eastAsia="zh-CN"/>
        </w:rPr>
        <w:t>予</w:t>
      </w:r>
      <w:r>
        <w:rPr>
          <w:rFonts w:ascii="仿宋" w:hAnsi="仿宋" w:eastAsia="仿宋" w:cs="仿宋"/>
          <w:color w:val="auto"/>
          <w:highlight w:val="none"/>
          <w:lang w:eastAsia="zh-CN"/>
        </w:rPr>
        <w:t>调整。</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（3）</w:t>
      </w:r>
      <w:r>
        <w:rPr>
          <w:rFonts w:ascii="仿宋" w:hAnsi="仿宋" w:eastAsia="仿宋" w:cs="仿宋"/>
          <w:color w:val="auto"/>
          <w:highlight w:val="none"/>
          <w:lang w:eastAsia="zh-CN"/>
        </w:rPr>
        <w:t>其它价格形式</w:t>
      </w: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合同当事人在专用条款中约定其他合同价格形式</w:t>
      </w:r>
      <w:r>
        <w:rPr>
          <w:rFonts w:hint="eastAsia" w:ascii="仿宋" w:hAnsi="仿宋" w:eastAsia="仿宋" w:cs="仿宋"/>
          <w:color w:val="auto"/>
          <w:highlight w:val="none"/>
          <w:lang w:eastAsia="zh-CN"/>
        </w:rPr>
        <w:t>及合同价格的计算依据、计算方法</w:t>
      </w:r>
      <w:r>
        <w:rPr>
          <w:rFonts w:ascii="仿宋" w:hAnsi="仿宋" w:eastAsia="仿宋" w:cs="仿宋"/>
          <w:color w:val="auto"/>
          <w:highlight w:val="none"/>
          <w:lang w:eastAsia="zh-CN"/>
        </w:rPr>
        <w:t>。</w:t>
      </w:r>
    </w:p>
    <w:p>
      <w:pPr>
        <w:spacing w:line="360" w:lineRule="auto"/>
        <w:rPr>
          <w:rFonts w:ascii="仿宋" w:hAnsi="仿宋" w:eastAsia="仿宋"/>
          <w:b/>
          <w:bCs/>
          <w:color w:val="auto"/>
          <w:highlight w:val="none"/>
          <w:lang w:eastAsia="zh-CN"/>
        </w:rPr>
      </w:pPr>
      <w:bookmarkStart w:id="955" w:name="_Toc18982"/>
      <w:r>
        <w:rPr>
          <w:rFonts w:hint="eastAsia" w:ascii="仿宋" w:hAnsi="仿宋" w:eastAsia="仿宋" w:cs="仿宋"/>
          <w:b/>
          <w:bCs/>
          <w:color w:val="auto"/>
          <w:highlight w:val="none"/>
          <w:lang w:eastAsia="zh-CN"/>
        </w:rPr>
        <w:t>69</w:t>
      </w:r>
      <w:r>
        <w:rPr>
          <w:rFonts w:ascii="仿宋" w:hAnsi="仿宋" w:eastAsia="仿宋" w:cs="仿宋"/>
          <w:b/>
          <w:bCs/>
          <w:color w:val="auto"/>
          <w:highlight w:val="none"/>
          <w:lang w:eastAsia="zh-CN"/>
        </w:rPr>
        <w:t>.3</w:t>
      </w:r>
      <w:bookmarkEnd w:id="95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spacing w:line="360" w:lineRule="auto"/>
        <w:ind w:left="1850" w:leftChars="771"/>
        <w:jc w:val="both"/>
        <w:rPr>
          <w:rFonts w:ascii="仿宋" w:hAnsi="仿宋" w:eastAsia="仿宋" w:cs="仿宋"/>
          <w:color w:val="auto"/>
          <w:highlight w:val="none"/>
          <w:lang w:eastAsia="zh-CN"/>
        </w:rPr>
      </w:pPr>
      <w:r>
        <w:rPr>
          <w:rFonts w:ascii="仿宋" w:hAnsi="仿宋" w:eastAsia="仿宋" w:cs="仿宋"/>
          <w:color w:val="auto"/>
          <w:highlight w:val="none"/>
        </w:rPr>
        <mc:AlternateContent>
          <mc:Choice Requires="wps">
            <w:drawing>
              <wp:anchor distT="0" distB="0" distL="114300" distR="114300" simplePos="0" relativeHeight="252101632" behindDoc="0" locked="0" layoutInCell="1" allowOverlap="1">
                <wp:simplePos x="0" y="0"/>
                <wp:positionH relativeFrom="column">
                  <wp:posOffset>-114300</wp:posOffset>
                </wp:positionH>
                <wp:positionV relativeFrom="paragraph">
                  <wp:posOffset>5080</wp:posOffset>
                </wp:positionV>
                <wp:extent cx="822960" cy="652145"/>
                <wp:effectExtent l="0" t="0" r="0" b="0"/>
                <wp:wrapNone/>
                <wp:docPr id="433" name="文本框 984"/>
                <wp:cNvGraphicFramePr/>
                <a:graphic xmlns:a="http://schemas.openxmlformats.org/drawingml/2006/main">
                  <a:graphicData uri="http://schemas.microsoft.com/office/word/2010/wordprocessingShape">
                    <wps:wsp>
                      <wps:cNvSpPr txBox="1"/>
                      <wps:spPr>
                        <a:xfrm>
                          <a:off x="0" y="0"/>
                          <a:ext cx="822960" cy="65214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合同价格的调整事项</w:t>
                            </w:r>
                          </w:p>
                        </w:txbxContent>
                      </wps:txbx>
                      <wps:bodyPr wrap="square" upright="1"/>
                    </wps:wsp>
                  </a:graphicData>
                </a:graphic>
              </wp:anchor>
            </w:drawing>
          </mc:Choice>
          <mc:Fallback>
            <w:pict>
              <v:shape id="文本框 984" o:spid="_x0000_s1026" o:spt="202" type="#_x0000_t202" style="position:absolute;left:0pt;margin-left:-9pt;margin-top:0.4pt;height:51.35pt;width:64.8pt;z-index:252101632;mso-width-relative:page;mso-height-relative:page;" filled="f" stroked="f" coordsize="21600,21600" o:gfxdata="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G7140HVAAAACAEAAA8AAAAAAAAAAQAgAAAAIgAAAGRycy9kb3ducmV2LnhtbFBLAQIUABQA&#10;AAAIAIdO4kAZMxKcugEAAF8DAAAOAAAAAAAAAAEAIAAAACQ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合同价格的调整事项</w:t>
                      </w:r>
                    </w:p>
                  </w:txbxContent>
                </v:textbox>
              </v:shape>
            </w:pict>
          </mc:Fallback>
        </mc:AlternateContent>
      </w:r>
      <w:r>
        <w:rPr>
          <w:rFonts w:hint="eastAsia" w:ascii="仿宋" w:hAnsi="仿宋" w:eastAsia="仿宋" w:cs="仿宋"/>
          <w:color w:val="auto"/>
          <w:highlight w:val="none"/>
          <w:lang w:eastAsia="zh-CN"/>
        </w:rPr>
        <w:t>合同双方当事人应明确合同价格的调整事项。除专用条款另有约定外，允许调整事项应包括：</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（1）因国家法律、法规、政策变化引起的合同价格的变化；</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（2）因下列原因导致的可调价变更：</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① 合同执行期间（含勘察期、设计期和施工期）发包人要求或发包时合同基础资料本身缺陷导致的重大调整（包括功能变化、规模调整、主要标准变化等，具体在专用条款中明确可量化的指标），造成的工程费用增减。</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② 合同执行期间（含勘察期、设计期和施工期）承包人不可预见的重大地质变化（相对于发包人提供的地质初勘资料，具体在专用条款中明确可量化的指标），造成的工程费用增减。</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③ 合同执行期间（含勘察期、设计期和施工期），因不可抗力导致工程费增减的，在扣减保险理赔金额后，按剩余金额调整合同价格。</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（3）主要工程材料、工程设备、人工价格与基准日期价格相比，波动幅度超过专用条款约定幅度的部分；</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（4）非承包人原因产生的费用索赔、现场签证、赶工措施费等有关工程费用；</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（5）专用条款约定给予承包人的奖励金额；</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（6）专用条款约定的其他调整事项。</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本款调整事项应分别按照第78条至第82条的约定调整合同价格。</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69</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合同履行期间，</w:t>
      </w:r>
      <w:r>
        <w:rPr>
          <w:color w:val="auto"/>
          <w:highlight w:val="none"/>
        </w:rPr>
        <mc:AlternateContent>
          <mc:Choice Requires="wps">
            <w:drawing>
              <wp:anchor distT="0" distB="0" distL="114300" distR="114300" simplePos="0" relativeHeight="252102656" behindDoc="0" locked="0" layoutInCell="1" allowOverlap="1">
                <wp:simplePos x="0" y="0"/>
                <wp:positionH relativeFrom="column">
                  <wp:posOffset>-114300</wp:posOffset>
                </wp:positionH>
                <wp:positionV relativeFrom="paragraph">
                  <wp:posOffset>5080</wp:posOffset>
                </wp:positionV>
                <wp:extent cx="832485" cy="603885"/>
                <wp:effectExtent l="0" t="0" r="0" b="0"/>
                <wp:wrapNone/>
                <wp:docPr id="434" name="文本框 985"/>
                <wp:cNvGraphicFramePr/>
                <a:graphic xmlns:a="http://schemas.openxmlformats.org/drawingml/2006/main">
                  <a:graphicData uri="http://schemas.microsoft.com/office/word/2010/wordprocessingShape">
                    <wps:wsp>
                      <wps:cNvSpPr txBox="1"/>
                      <wps:spPr>
                        <a:xfrm>
                          <a:off x="0" y="0"/>
                          <a:ext cx="832485" cy="603885"/>
                        </a:xfrm>
                        <a:prstGeom prst="rect">
                          <a:avLst/>
                        </a:prstGeom>
                        <a:noFill/>
                        <a:ln>
                          <a:noFill/>
                        </a:ln>
                      </wps:spPr>
                      <wps:txbx>
                        <w:txbxContent>
                          <w:p>
                            <w:pPr>
                              <w:pStyle w:val="17"/>
                              <w:spacing w:line="200" w:lineRule="exact"/>
                              <w:rPr>
                                <w:rFonts w:ascii="宋体"/>
                                <w:sz w:val="18"/>
                                <w:szCs w:val="18"/>
                              </w:rPr>
                            </w:pPr>
                            <w:r>
                              <w:rPr>
                                <w:rFonts w:hint="eastAsia" w:ascii="楷体_GB2312" w:hAnsi="宋体" w:eastAsia="楷体_GB2312" w:cs="楷体_GB2312"/>
                                <w:b/>
                                <w:bCs/>
                                <w:color w:val="000000"/>
                                <w:sz w:val="18"/>
                                <w:szCs w:val="18"/>
                              </w:rPr>
                              <w:t>调整合同价格</w:t>
                            </w:r>
                          </w:p>
                        </w:txbxContent>
                      </wps:txbx>
                      <wps:bodyPr wrap="square" upright="1"/>
                    </wps:wsp>
                  </a:graphicData>
                </a:graphic>
              </wp:anchor>
            </w:drawing>
          </mc:Choice>
          <mc:Fallback>
            <w:pict>
              <v:shape id="文本框 985" o:spid="_x0000_s1026" o:spt="202" type="#_x0000_t202" style="position:absolute;left:0pt;margin-left:-9pt;margin-top:0.4pt;height:47.55pt;width:65.55pt;z-index:252102656;mso-width-relative:page;mso-height-relative:page;" filled="f" stroked="f" coordsize="21600,21600" o:gfxdata="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65BNJ1AAAAAcBAAAPAAAAAAAAAAEAIAAAACIAAABkcnMvZG93bnJldi54bWxQSwECFAAUAAAA&#10;CACHTuJAevr7oLkBAABfAwAADgAAAAAAAAABACAAAAAjAQAAZHJzL2Uyb0RvYy54bWxQSwUGAAAA&#10;AAYABgBZAQAATgUAAAAA&#10;">
                <v:fill on="f" focussize="0,0"/>
                <v:stroke on="f"/>
                <v:imagedata o:title=""/>
                <o:lock v:ext="edit" aspectratio="f"/>
                <v:textbox>
                  <w:txbxContent>
                    <w:p>
                      <w:pPr>
                        <w:pStyle w:val="17"/>
                        <w:spacing w:line="200" w:lineRule="exact"/>
                        <w:rPr>
                          <w:rFonts w:ascii="宋体"/>
                          <w:sz w:val="18"/>
                          <w:szCs w:val="18"/>
                        </w:rPr>
                      </w:pPr>
                      <w:r>
                        <w:rPr>
                          <w:rFonts w:hint="eastAsia" w:ascii="楷体_GB2312" w:hAnsi="宋体" w:eastAsia="楷体_GB2312" w:cs="楷体_GB2312"/>
                          <w:b/>
                          <w:bCs/>
                          <w:color w:val="000000"/>
                          <w:sz w:val="18"/>
                          <w:szCs w:val="18"/>
                        </w:rPr>
                        <w:t>调整合同价格</w:t>
                      </w:r>
                    </w:p>
                  </w:txbxContent>
                </v:textbox>
              </v:shape>
            </w:pict>
          </mc:Fallback>
        </mc:AlternateContent>
      </w:r>
      <w:r>
        <w:rPr>
          <w:rFonts w:hint="eastAsia" w:ascii="仿宋" w:hAnsi="仿宋" w:eastAsia="仿宋" w:cs="仿宋"/>
          <w:color w:val="auto"/>
          <w:sz w:val="24"/>
          <w:szCs w:val="24"/>
          <w:highlight w:val="none"/>
          <w:lang w:eastAsia="zh-CN"/>
        </w:rPr>
        <w:t>出现第69</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3款约定调整合同价格事项的，合同双方当事人应调整合同价格。除费用索赔、现场签证事项分别按照第80条、第81条约定外，调整合同价格的提出、核实、确认与支付等事项，由合同双方当事人按照第70条约定办理。</w:t>
      </w:r>
    </w:p>
    <w:p>
      <w:pPr>
        <w:spacing w:line="360" w:lineRule="auto"/>
        <w:rPr>
          <w:color w:val="auto"/>
          <w:highlight w:val="none"/>
          <w:lang w:eastAsia="zh-CN" w:bidi="ar-SA"/>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56" w:name="_Toc32622"/>
      <w:bookmarkStart w:id="957" w:name="_Toc24271"/>
      <w:bookmarkStart w:id="958" w:name="_Toc4601"/>
      <w:bookmarkStart w:id="959" w:name="_Toc15006"/>
      <w:bookmarkStart w:id="960" w:name="_Toc24446"/>
      <w:bookmarkStart w:id="961" w:name="_Toc25217"/>
      <w:bookmarkStart w:id="962" w:name="_Toc26717"/>
      <w:bookmarkStart w:id="963" w:name="_Toc24694"/>
      <w:r>
        <w:rPr>
          <w:rFonts w:hint="eastAsia" w:ascii="仿宋" w:hAnsi="仿宋" w:eastAsia="仿宋" w:cs="仿宋"/>
          <w:bCs w:val="0"/>
          <w:color w:val="auto"/>
          <w:sz w:val="24"/>
          <w:szCs w:val="24"/>
          <w:highlight w:val="none"/>
          <w:lang w:eastAsia="zh-CN"/>
        </w:rPr>
        <w:t>★70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合同价格调整程序</w:t>
      </w:r>
      <w:bookmarkEnd w:id="956"/>
      <w:bookmarkEnd w:id="957"/>
      <w:bookmarkEnd w:id="958"/>
      <w:bookmarkEnd w:id="959"/>
      <w:bookmarkEnd w:id="960"/>
      <w:bookmarkEnd w:id="961"/>
      <w:bookmarkEnd w:id="962"/>
      <w:bookmarkEnd w:id="963"/>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70</w:t>
      </w:r>
      <w:r>
        <w:rPr>
          <w:rFonts w:ascii="仿宋" w:hAnsi="仿宋" w:eastAsia="仿宋" w:cs="仿宋"/>
          <w:b/>
          <w:bCs/>
          <w:color w:val="auto"/>
          <w:sz w:val="24"/>
          <w:szCs w:val="24"/>
          <w:highlight w:val="none"/>
          <w:lang w:eastAsia="zh-CN"/>
        </w:rPr>
        <w:t>.</w:t>
      </w:r>
      <w:r>
        <w:rPr>
          <w:rFonts w:hint="eastAsia"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2107776" behindDoc="0" locked="0" layoutInCell="1" allowOverlap="1">
                <wp:simplePos x="0" y="0"/>
                <wp:positionH relativeFrom="column">
                  <wp:posOffset>-58420</wp:posOffset>
                </wp:positionH>
                <wp:positionV relativeFrom="paragraph">
                  <wp:posOffset>65405</wp:posOffset>
                </wp:positionV>
                <wp:extent cx="794385" cy="598805"/>
                <wp:effectExtent l="0" t="0" r="0" b="0"/>
                <wp:wrapNone/>
                <wp:docPr id="439" name="文本框 1024"/>
                <wp:cNvGraphicFramePr/>
                <a:graphic xmlns:a="http://schemas.openxmlformats.org/drawingml/2006/main">
                  <a:graphicData uri="http://schemas.microsoft.com/office/word/2010/wordprocessingShape">
                    <wps:wsp>
                      <wps:cNvSpPr txBox="1"/>
                      <wps:spPr>
                        <a:xfrm>
                          <a:off x="0" y="0"/>
                          <a:ext cx="794385" cy="598805"/>
                        </a:xfrm>
                        <a:prstGeom prst="rect">
                          <a:avLst/>
                        </a:prstGeom>
                        <a:noFill/>
                        <a:ln>
                          <a:noFill/>
                        </a:ln>
                      </wps:spPr>
                      <wps:txbx>
                        <w:txbxContent>
                          <w:p>
                            <w:pPr>
                              <w:pStyle w:val="36"/>
                              <w:spacing w:line="200" w:lineRule="exact"/>
                              <w:rPr>
                                <w:rFonts w:ascii="宋体" w:hAnsi="宋体" w:eastAsia="宋体"/>
                                <w:sz w:val="18"/>
                                <w:szCs w:val="18"/>
                                <w:lang w:eastAsia="zh-CN"/>
                              </w:rPr>
                            </w:pPr>
                            <w:r>
                              <w:rPr>
                                <w:rFonts w:hint="eastAsia" w:ascii="楷体_GB2312" w:hAnsi="宋体" w:cs="楷体_GB2312"/>
                                <w:sz w:val="18"/>
                                <w:szCs w:val="18"/>
                                <w:lang w:eastAsia="zh-CN"/>
                              </w:rPr>
                              <w:t>合同价格调增报告的提出</w:t>
                            </w:r>
                          </w:p>
                        </w:txbxContent>
                      </wps:txbx>
                      <wps:bodyPr wrap="square" upright="1"/>
                    </wps:wsp>
                  </a:graphicData>
                </a:graphic>
              </wp:anchor>
            </w:drawing>
          </mc:Choice>
          <mc:Fallback>
            <w:pict>
              <v:shape id="文本框 1024" o:spid="_x0000_s1026" o:spt="202" type="#_x0000_t202" style="position:absolute;left:0pt;margin-left:-4.6pt;margin-top:5.15pt;height:47.15pt;width:62.55pt;z-index:252107776;mso-width-relative:page;mso-height-relative:page;" filled="f" stroked="f" coordsize="21600,21600" o:gfxdata="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csuax9UAAAAJAQAADwAAAAAAAAABACAAAAAiAAAAZHJzL2Rvd25yZXYueG1sUEsBAhQA&#10;FAAAAAgAh07iQK2Z7t28AQAAYAMAAA4AAAAAAAAAAQAgAAAAJAEAAGRycy9lMm9Eb2MueG1sUEsF&#10;BgAAAAAGAAYAWQEAAFIFAAAAAA==&#10;">
                <v:fill on="f" focussize="0,0"/>
                <v:stroke on="f"/>
                <v:imagedata o:title=""/>
                <o:lock v:ext="edit" aspectratio="f"/>
                <v:textbox>
                  <w:txbxContent>
                    <w:p>
                      <w:pPr>
                        <w:pStyle w:val="36"/>
                        <w:spacing w:line="200" w:lineRule="exact"/>
                        <w:rPr>
                          <w:rFonts w:ascii="宋体" w:hAnsi="宋体" w:eastAsia="宋体"/>
                          <w:sz w:val="18"/>
                          <w:szCs w:val="18"/>
                          <w:lang w:eastAsia="zh-CN"/>
                        </w:rPr>
                      </w:pPr>
                      <w:r>
                        <w:rPr>
                          <w:rFonts w:hint="eastAsia" w:ascii="楷体_GB2312" w:hAnsi="宋体" w:cs="楷体_GB2312"/>
                          <w:sz w:val="18"/>
                          <w:szCs w:val="18"/>
                          <w:lang w:eastAsia="zh-CN"/>
                        </w:rPr>
                        <w:t>合同价格调增报告的提出</w:t>
                      </w:r>
                    </w:p>
                  </w:txbxContent>
                </v:textbox>
              </v:shape>
            </w:pict>
          </mc:Fallback>
        </mc:AlternateContent>
      </w:r>
      <w:r>
        <w:rPr>
          <w:rFonts w:hint="eastAsia" w:ascii="仿宋" w:hAnsi="仿宋" w:eastAsia="仿宋" w:cs="仿宋"/>
          <w:color w:val="auto"/>
          <w:sz w:val="24"/>
          <w:szCs w:val="24"/>
          <w:highlight w:val="none"/>
          <w:lang w:eastAsia="zh-CN"/>
        </w:rPr>
        <w:t>出现合同价格调增事项后的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天内，承包人应向监理人、造价咨询人提交合同价格调增报告，并附上相关资料。如承包人在出现合同价格调增事项后的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天内未提交合同价格调增报告的，则造价咨询人可在报发包人批准后，根据实际情况决定是否调整合同价格以及调整的金额。</w:t>
      </w:r>
    </w:p>
    <w:p>
      <w:pPr>
        <w:pStyle w:val="22"/>
        <w:adjustRightInd w:val="0"/>
        <w:snapToGrid w:val="0"/>
        <w:spacing w:line="360" w:lineRule="auto"/>
        <w:rPr>
          <w:rFonts w:ascii="仿宋" w:hAnsi="仿宋" w:eastAsia="仿宋" w:cs="仿宋"/>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70.2</w:t>
      </w:r>
      <w:r>
        <w:rPr>
          <w:rFonts w:ascii="仿宋" w:hAnsi="仿宋" w:eastAsia="仿宋" w:cs="仿宋"/>
          <w:color w:val="auto"/>
          <w:sz w:val="24"/>
          <w:szCs w:val="24"/>
          <w:highlight w:val="none"/>
          <w:u w:val="dotted"/>
          <w:lang w:eastAsia="zh-CN"/>
        </w:rPr>
        <w:t xml:space="preserve">                                                  </w:t>
      </w:r>
      <w:r>
        <w:rPr>
          <w:rFonts w:hint="eastAsia" w:ascii="仿宋" w:hAnsi="仿宋" w:eastAsia="仿宋" w:cs="仿宋"/>
          <w:color w:val="auto"/>
          <w:sz w:val="24"/>
          <w:szCs w:val="24"/>
          <w:highlight w:val="none"/>
          <w:u w:val="dotted"/>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sz w:val="24"/>
          <w:szCs w:val="24"/>
          <w:highlight w:val="none"/>
        </w:rPr>
        <mc:AlternateContent>
          <mc:Choice Requires="wps">
            <w:drawing>
              <wp:anchor distT="0" distB="0" distL="114300" distR="114300" simplePos="0" relativeHeight="252104704" behindDoc="0" locked="0" layoutInCell="1" allowOverlap="1">
                <wp:simplePos x="0" y="0"/>
                <wp:positionH relativeFrom="column">
                  <wp:posOffset>-114300</wp:posOffset>
                </wp:positionH>
                <wp:positionV relativeFrom="paragraph">
                  <wp:posOffset>34290</wp:posOffset>
                </wp:positionV>
                <wp:extent cx="808990" cy="653415"/>
                <wp:effectExtent l="0" t="0" r="0" b="0"/>
                <wp:wrapNone/>
                <wp:docPr id="436" name="文本框 1025"/>
                <wp:cNvGraphicFramePr/>
                <a:graphic xmlns:a="http://schemas.openxmlformats.org/drawingml/2006/main">
                  <a:graphicData uri="http://schemas.microsoft.com/office/word/2010/wordprocessingShape">
                    <wps:wsp>
                      <wps:cNvSpPr txBox="1"/>
                      <wps:spPr>
                        <a:xfrm>
                          <a:off x="0" y="0"/>
                          <a:ext cx="808990" cy="653415"/>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调增价款的核实</w:t>
                            </w:r>
                          </w:p>
                        </w:txbxContent>
                      </wps:txbx>
                      <wps:bodyPr wrap="square" upright="1"/>
                    </wps:wsp>
                  </a:graphicData>
                </a:graphic>
              </wp:anchor>
            </w:drawing>
          </mc:Choice>
          <mc:Fallback>
            <w:pict>
              <v:shape id="文本框 1025" o:spid="_x0000_s1026" o:spt="202" type="#_x0000_t202" style="position:absolute;left:0pt;margin-left:-9pt;margin-top:2.7pt;height:51.45pt;width:63.7pt;z-index:252104704;mso-width-relative:page;mso-height-relative:page;" filled="f" stroked="f" coordsize="21600,21600" o:gfxdata="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gIyFjdYAAAAJAQAADwAAAAAAAAABACAAAAAiAAAAZHJzL2Rvd25yZXYueG1sUEsBAhQA&#10;FAAAAAgAh07iQFcoo2G7AQAAYAMAAA4AAAAAAAAAAQAgAAAAJQEAAGRycy9lMm9Eb2MueG1sUEsF&#10;BgAAAAAGAAYAWQEAAFIFA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调增价款的核实</w:t>
                      </w:r>
                    </w:p>
                  </w:txbxContent>
                </v:textbox>
              </v:shape>
            </w:pict>
          </mc:Fallback>
        </mc:AlternateContent>
      </w:r>
      <w:r>
        <w:rPr>
          <w:rFonts w:hint="eastAsia" w:ascii="仿宋" w:hAnsi="仿宋" w:eastAsia="仿宋" w:cs="仿宋"/>
          <w:color w:val="auto"/>
          <w:sz w:val="24"/>
          <w:szCs w:val="24"/>
          <w:highlight w:val="none"/>
          <w:lang w:eastAsia="zh-CN"/>
        </w:rPr>
        <w:t>监理人、造价咨询人应在收到合同价格调增报告及相关资料之日起</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天内对其核实，并予以确认或提出协商意见。造价咨询人在收到合同价格调增报告之日起</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天内未确认也未提出协商意见的，视为承包人提交的合同价格调增报告已被认可。造价咨询人提出协商意见的，合同双方当事人应在承包人收到协商意见后的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进行协商确定；协商未能达成一致的，由造价咨询人暂定调增的合同价格，通知承包人并抄报发包人。出现暂定结果的，只要不实质影响合同双方当事人履约的，合同双方当事人应实施该结果，直到其被改变为止。</w:t>
      </w:r>
    </w:p>
    <w:p>
      <w:pPr>
        <w:pStyle w:val="22"/>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70.3</w:t>
      </w:r>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sz w:val="24"/>
          <w:szCs w:val="24"/>
          <w:highlight w:val="none"/>
        </w:rPr>
        <mc:AlternateContent>
          <mc:Choice Requires="wps">
            <w:drawing>
              <wp:anchor distT="0" distB="0" distL="114300" distR="114300" simplePos="0" relativeHeight="252105728" behindDoc="0" locked="0" layoutInCell="1" allowOverlap="1">
                <wp:simplePos x="0" y="0"/>
                <wp:positionH relativeFrom="column">
                  <wp:posOffset>-114300</wp:posOffset>
                </wp:positionH>
                <wp:positionV relativeFrom="paragraph">
                  <wp:posOffset>34290</wp:posOffset>
                </wp:positionV>
                <wp:extent cx="762000" cy="463550"/>
                <wp:effectExtent l="0" t="0" r="0" b="0"/>
                <wp:wrapNone/>
                <wp:docPr id="437" name="文本框 1026"/>
                <wp:cNvGraphicFramePr/>
                <a:graphic xmlns:a="http://schemas.openxmlformats.org/drawingml/2006/main">
                  <a:graphicData uri="http://schemas.microsoft.com/office/word/2010/wordprocessingShape">
                    <wps:wsp>
                      <wps:cNvSpPr txBox="1"/>
                      <wps:spPr>
                        <a:xfrm>
                          <a:off x="0" y="0"/>
                          <a:ext cx="762000" cy="463550"/>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调增价款的支付</w:t>
                            </w:r>
                          </w:p>
                        </w:txbxContent>
                      </wps:txbx>
                      <wps:bodyPr wrap="square" upright="1"/>
                    </wps:wsp>
                  </a:graphicData>
                </a:graphic>
              </wp:anchor>
            </w:drawing>
          </mc:Choice>
          <mc:Fallback>
            <w:pict>
              <v:shape id="文本框 1026" o:spid="_x0000_s1026" o:spt="202" type="#_x0000_t202" style="position:absolute;left:0pt;margin-left:-9pt;margin-top:2.7pt;height:36.5pt;width:60pt;z-index:252105728;mso-width-relative:page;mso-height-relative:page;" filled="f" stroked="f" coordsize="21600,21600" o:gfxdata="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zGq1q1QAAAAgBAAAPAAAAAAAAAAEAIAAAACIAAABkcnMvZG93bnJldi54bWxQSwECFAAU&#10;AAAACACHTuJAwb07vrsBAABgAwAADgAAAAAAAAABACAAAAAkAQAAZHJzL2Uyb0RvYy54bWxQSwUG&#10;AAAAAAYABgBZAQAAUQU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调增价款的支付</w:t>
                      </w:r>
                    </w:p>
                  </w:txbxContent>
                </v:textbox>
              </v:shape>
            </w:pict>
          </mc:Fallback>
        </mc:AlternateContent>
      </w:r>
      <w:r>
        <w:rPr>
          <w:rFonts w:hint="eastAsia" w:ascii="仿宋" w:hAnsi="仿宋" w:eastAsia="仿宋" w:cs="仿宋"/>
          <w:color w:val="auto"/>
          <w:sz w:val="24"/>
          <w:szCs w:val="24"/>
          <w:highlight w:val="none"/>
          <w:lang w:eastAsia="zh-CN"/>
        </w:rPr>
        <w:t>经合同双方当事人确认或造价咨询人暂定调增的合同价格，作为追加合同价格，与工程进度款或结算款同期支付。</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70.4</w:t>
      </w:r>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spacing w:line="360" w:lineRule="auto"/>
        <w:ind w:left="1850" w:leftChars="771" w:firstLine="2"/>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2106752" behindDoc="0" locked="0" layoutInCell="1" allowOverlap="1">
                <wp:simplePos x="0" y="0"/>
                <wp:positionH relativeFrom="column">
                  <wp:posOffset>-66675</wp:posOffset>
                </wp:positionH>
                <wp:positionV relativeFrom="paragraph">
                  <wp:posOffset>5715</wp:posOffset>
                </wp:positionV>
                <wp:extent cx="815340" cy="473075"/>
                <wp:effectExtent l="0" t="0" r="0" b="0"/>
                <wp:wrapNone/>
                <wp:docPr id="438" name="文本框 1027"/>
                <wp:cNvGraphicFramePr/>
                <a:graphic xmlns:a="http://schemas.openxmlformats.org/drawingml/2006/main">
                  <a:graphicData uri="http://schemas.microsoft.com/office/word/2010/wordprocessingShape">
                    <wps:wsp>
                      <wps:cNvSpPr txBox="1"/>
                      <wps:spPr>
                        <a:xfrm>
                          <a:off x="0" y="0"/>
                          <a:ext cx="815340" cy="473075"/>
                        </a:xfrm>
                        <a:prstGeom prst="rect">
                          <a:avLst/>
                        </a:prstGeom>
                        <a:noFill/>
                        <a:ln>
                          <a:noFill/>
                        </a:ln>
                      </wps:spPr>
                      <wps:txb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合同价格调减事项的处理</w:t>
                            </w:r>
                          </w:p>
                        </w:txbxContent>
                      </wps:txbx>
                      <wps:bodyPr wrap="square" upright="1"/>
                    </wps:wsp>
                  </a:graphicData>
                </a:graphic>
              </wp:anchor>
            </w:drawing>
          </mc:Choice>
          <mc:Fallback>
            <w:pict>
              <v:shape id="文本框 1027" o:spid="_x0000_s1026" o:spt="202" type="#_x0000_t202" style="position:absolute;left:0pt;margin-left:-5.25pt;margin-top:0.45pt;height:37.25pt;width:64.2pt;z-index:252106752;mso-width-relative:page;mso-height-relative:page;" filled="f" stroked="f" coordsize="21600,21600" o:gfxdata="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UK6S4dQAAAAHAQAADwAAAAAAAAABACAAAAAiAAAAZHJzL2Rvd25yZXYueG1sUEsBAhQAFAAA&#10;AAgAh07iQPXs3ie6AQAAYAMAAA4AAAAAAAAAAQAgAAAAIwEAAGRycy9lMm9Eb2MueG1sUEsFBgAA&#10;AAAGAAYAWQEAAE8FAAAAAA==&#10;">
                <v:fill on="f" focussize="0,0"/>
                <v:stroke on="f"/>
                <v:imagedata o:title=""/>
                <o:lock v:ext="edit" aspectratio="f"/>
                <v:textbo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合同价格调减事项的处理</w:t>
                      </w:r>
                    </w:p>
                  </w:txbxContent>
                </v:textbox>
              </v:shape>
            </w:pict>
          </mc:Fallback>
        </mc:AlternateContent>
      </w:r>
      <w:r>
        <w:rPr>
          <w:rFonts w:hint="eastAsia" w:ascii="仿宋" w:hAnsi="仿宋" w:eastAsia="仿宋" w:cs="仿宋"/>
          <w:color w:val="auto"/>
          <w:highlight w:val="none"/>
          <w:lang w:eastAsia="zh-CN"/>
        </w:rPr>
        <w:t>出现合同价格调减事项时，发包人可按照本条约定的时限和要求，向承包人提交合同价格调减报告以及调减的金额，但调减的金额应按照实际确定。</w:t>
      </w:r>
    </w:p>
    <w:p>
      <w:pPr>
        <w:pStyle w:val="22"/>
        <w:tabs>
          <w:tab w:val="left" w:pos="180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64" w:name="_Toc14006"/>
      <w:bookmarkStart w:id="965" w:name="_Toc10796"/>
      <w:bookmarkStart w:id="966" w:name="_Toc9261"/>
      <w:bookmarkStart w:id="967" w:name="_Toc22976"/>
      <w:bookmarkStart w:id="968" w:name="_Toc15223"/>
      <w:bookmarkStart w:id="969" w:name="_Toc25549"/>
      <w:bookmarkStart w:id="970" w:name="_Toc20921"/>
      <w:bookmarkStart w:id="971" w:name="_Toc31122"/>
      <w:r>
        <w:rPr>
          <w:rFonts w:hint="eastAsia" w:ascii="仿宋" w:hAnsi="仿宋" w:eastAsia="仿宋" w:cs="仿宋"/>
          <w:bCs w:val="0"/>
          <w:color w:val="auto"/>
          <w:sz w:val="24"/>
          <w:szCs w:val="24"/>
          <w:highlight w:val="none"/>
          <w:lang w:eastAsia="zh-CN"/>
        </w:rPr>
        <w:t>★71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工作量或工程量</w:t>
      </w:r>
      <w:bookmarkEnd w:id="964"/>
      <w:bookmarkEnd w:id="965"/>
      <w:bookmarkEnd w:id="966"/>
      <w:bookmarkEnd w:id="967"/>
      <w:bookmarkEnd w:id="968"/>
      <w:bookmarkEnd w:id="969"/>
      <w:bookmarkEnd w:id="970"/>
      <w:bookmarkEnd w:id="971"/>
    </w:p>
    <w:p>
      <w:pPr>
        <w:pStyle w:val="22"/>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71</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858944" behindDoc="0" locked="0" layoutInCell="1" allowOverlap="1">
                <wp:simplePos x="0" y="0"/>
                <wp:positionH relativeFrom="column">
                  <wp:posOffset>-114300</wp:posOffset>
                </wp:positionH>
                <wp:positionV relativeFrom="paragraph">
                  <wp:posOffset>75565</wp:posOffset>
                </wp:positionV>
                <wp:extent cx="832485" cy="537845"/>
                <wp:effectExtent l="0" t="0" r="0" b="0"/>
                <wp:wrapNone/>
                <wp:docPr id="196" name="文本框 959"/>
                <wp:cNvGraphicFramePr/>
                <a:graphic xmlns:a="http://schemas.openxmlformats.org/drawingml/2006/main">
                  <a:graphicData uri="http://schemas.microsoft.com/office/word/2010/wordprocessingShape">
                    <wps:wsp>
                      <wps:cNvSpPr txBox="1"/>
                      <wps:spPr>
                        <a:xfrm>
                          <a:off x="0" y="0"/>
                          <a:ext cx="832485" cy="537845"/>
                        </a:xfrm>
                        <a:prstGeom prst="rect">
                          <a:avLst/>
                        </a:prstGeom>
                        <a:noFill/>
                        <a:ln>
                          <a:noFill/>
                        </a:ln>
                      </wps:spPr>
                      <wps:txbx>
                        <w:txbxContent>
                          <w:p>
                            <w:pPr>
                              <w:pStyle w:val="2"/>
                              <w:spacing w:line="22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清单工程量包括的工作内容</w:t>
                            </w:r>
                          </w:p>
                        </w:txbxContent>
                      </wps:txbx>
                      <wps:bodyPr wrap="square" upright="1"/>
                    </wps:wsp>
                  </a:graphicData>
                </a:graphic>
              </wp:anchor>
            </w:drawing>
          </mc:Choice>
          <mc:Fallback>
            <w:pict>
              <v:shape id="文本框 959" o:spid="_x0000_s1026" o:spt="202" type="#_x0000_t202" style="position:absolute;left:0pt;margin-left:-9pt;margin-top:5.95pt;height:42.35pt;width:65.55pt;z-index:251858944;mso-width-relative:page;mso-height-relative:page;" filled="f" stroked="f" coordsize="21600,21600" o:gfxdata="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hPJlw1gAAAAkBAAAPAAAAAAAAAAEAIAAAACIAAABkcnMvZG93bnJldi54bWxQSwECFAAU&#10;AAAACACHTuJApDdag7oBAABfAwAADgAAAAAAAAABACAAAAAlAQAAZHJzL2Uyb0RvYy54bWxQSwUG&#10;AAAAAAYABgBZAQAAUQUAAAAA&#10;">
                <v:fill on="f" focussize="0,0"/>
                <v:stroke on="f"/>
                <v:imagedata o:title=""/>
                <o:lock v:ext="edit" aspectratio="f"/>
                <v:textbox>
                  <w:txbxContent>
                    <w:p>
                      <w:pPr>
                        <w:pStyle w:val="2"/>
                        <w:spacing w:line="22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清单工程量包括的工作内容</w:t>
                      </w:r>
                    </w:p>
                  </w:txbxContent>
                </v:textbox>
              </v:shape>
            </w:pict>
          </mc:Fallback>
        </mc:AlternateContent>
      </w:r>
      <w:r>
        <w:rPr>
          <w:rFonts w:hint="eastAsia" w:ascii="仿宋" w:hAnsi="仿宋" w:eastAsia="仿宋" w:cs="仿宋"/>
          <w:color w:val="auto"/>
          <w:sz w:val="24"/>
          <w:szCs w:val="24"/>
          <w:highlight w:val="none"/>
          <w:lang w:eastAsia="zh-CN"/>
        </w:rPr>
        <w:t>合同价格清单包括勘察项目清单（如果有）、设计项目清单、BIM技术应用项目清单、设备及工器具购置项目清单（如果有）、建筑安装工程工程量清单及其它服务项目清单（如果有）。</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除专用条款另有约定外，合同价格清单中开列的工作量和工程量应包括由承包人完成合同工程总承包范围内的所有工作和工程内容。其任何遗漏或错误，既不能使合同无效，也不能免除承包人按照发包人要求、标准与规范、项目基础资料等实施、完成和保修合同工程的任何责任。合同履行过程中，如果合同约定允许的调整事项发生，可按约定增加或减少合同价格。</w:t>
      </w:r>
    </w:p>
    <w:p>
      <w:pPr>
        <w:spacing w:line="360" w:lineRule="auto"/>
        <w:rPr>
          <w:rFonts w:ascii="仿宋" w:hAnsi="仿宋" w:eastAsia="仿宋"/>
          <w:b/>
          <w:bCs/>
          <w:color w:val="auto"/>
          <w:highlight w:val="none"/>
          <w:lang w:eastAsia="zh-CN"/>
        </w:rPr>
      </w:pPr>
      <w:bookmarkStart w:id="972" w:name="_Toc7410"/>
      <w:r>
        <w:rPr>
          <w:rFonts w:hint="eastAsia" w:ascii="仿宋" w:hAnsi="仿宋" w:eastAsia="仿宋" w:cs="仿宋"/>
          <w:b/>
          <w:bCs/>
          <w:color w:val="auto"/>
          <w:highlight w:val="none"/>
          <w:lang w:eastAsia="zh-CN"/>
        </w:rPr>
        <w:t>71</w:t>
      </w:r>
      <w:r>
        <w:rPr>
          <w:rFonts w:ascii="仿宋" w:hAnsi="仿宋" w:eastAsia="仿宋" w:cs="仿宋"/>
          <w:b/>
          <w:bCs/>
          <w:color w:val="auto"/>
          <w:highlight w:val="none"/>
          <w:lang w:eastAsia="zh-CN"/>
        </w:rPr>
        <w:t>.2</w:t>
      </w:r>
      <w:bookmarkEnd w:id="97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59968" behindDoc="0" locked="0" layoutInCell="1" allowOverlap="1">
                <wp:simplePos x="0" y="0"/>
                <wp:positionH relativeFrom="column">
                  <wp:posOffset>-114300</wp:posOffset>
                </wp:positionH>
                <wp:positionV relativeFrom="paragraph">
                  <wp:posOffset>11430</wp:posOffset>
                </wp:positionV>
                <wp:extent cx="762635" cy="628015"/>
                <wp:effectExtent l="0" t="0" r="0" b="0"/>
                <wp:wrapNone/>
                <wp:docPr id="197" name="文本框 960"/>
                <wp:cNvGraphicFramePr/>
                <a:graphic xmlns:a="http://schemas.openxmlformats.org/drawingml/2006/main">
                  <a:graphicData uri="http://schemas.microsoft.com/office/word/2010/wordprocessingShape">
                    <wps:wsp>
                      <wps:cNvSpPr txBox="1"/>
                      <wps:spPr>
                        <a:xfrm>
                          <a:off x="0" y="0"/>
                          <a:ext cx="762635" cy="628015"/>
                        </a:xfrm>
                        <a:prstGeom prst="rect">
                          <a:avLst/>
                        </a:prstGeom>
                        <a:noFill/>
                        <a:ln>
                          <a:noFill/>
                        </a:ln>
                      </wps:spPr>
                      <wps:txbx>
                        <w:txbxContent>
                          <w:p>
                            <w:pPr>
                              <w:pStyle w:val="2"/>
                              <w:spacing w:line="220" w:lineRule="exact"/>
                              <w:rPr>
                                <w:rFonts w:ascii="楷体_GB2312" w:hAnsi="宋体" w:eastAsia="楷体_GB2312"/>
                                <w:b/>
                                <w:bCs/>
                                <w:sz w:val="18"/>
                                <w:szCs w:val="18"/>
                              </w:rPr>
                            </w:pPr>
                            <w:r>
                              <w:rPr>
                                <w:rFonts w:hint="eastAsia" w:ascii="楷体_GB2312" w:hAnsi="宋体" w:eastAsia="楷体_GB2312" w:cs="楷体_GB2312"/>
                                <w:b/>
                                <w:bCs/>
                                <w:sz w:val="18"/>
                                <w:szCs w:val="18"/>
                              </w:rPr>
                              <w:t>清单的工程量</w:t>
                            </w:r>
                          </w:p>
                        </w:txbxContent>
                      </wps:txbx>
                      <wps:bodyPr wrap="square" upright="1"/>
                    </wps:wsp>
                  </a:graphicData>
                </a:graphic>
              </wp:anchor>
            </w:drawing>
          </mc:Choice>
          <mc:Fallback>
            <w:pict>
              <v:shape id="文本框 960" o:spid="_x0000_s1026" o:spt="202" type="#_x0000_t202" style="position:absolute;left:0pt;margin-left:-9pt;margin-top:0.9pt;height:49.45pt;width:60.05pt;z-index:251859968;mso-width-relative:page;mso-height-relative:page;" filled="f" stroked="f" coordsize="21600,21600" o:gfxdata="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fbFHNUAAAAJAQAADwAAAAAAAAABACAAAAAiAAAAZHJzL2Rvd25yZXYueG1sUEsBAhQAFAAA&#10;AAgAh07iQDGdmSy5AQAAXwMAAA4AAAAAAAAAAQAgAAAAJAEAAGRycy9lMm9Eb2MueG1sUEsFBgAA&#10;AAAGAAYAWQEAAE8FAAAAAA==&#10;">
                <v:fill on="f" focussize="0,0"/>
                <v:stroke on="f"/>
                <v:imagedata o:title=""/>
                <o:lock v:ext="edit" aspectratio="f"/>
                <v:textbox>
                  <w:txbxContent>
                    <w:p>
                      <w:pPr>
                        <w:pStyle w:val="2"/>
                        <w:spacing w:line="220" w:lineRule="exact"/>
                        <w:rPr>
                          <w:rFonts w:ascii="楷体_GB2312" w:hAnsi="宋体" w:eastAsia="楷体_GB2312"/>
                          <w:b/>
                          <w:bCs/>
                          <w:sz w:val="18"/>
                          <w:szCs w:val="18"/>
                        </w:rPr>
                      </w:pPr>
                      <w:r>
                        <w:rPr>
                          <w:rFonts w:hint="eastAsia" w:ascii="楷体_GB2312" w:hAnsi="宋体" w:eastAsia="楷体_GB2312" w:cs="楷体_GB2312"/>
                          <w:b/>
                          <w:bCs/>
                          <w:sz w:val="18"/>
                          <w:szCs w:val="18"/>
                        </w:rPr>
                        <w:t>清单的工程量</w:t>
                      </w:r>
                    </w:p>
                  </w:txbxContent>
                </v:textbox>
              </v:shape>
            </w:pict>
          </mc:Fallback>
        </mc:AlternateContent>
      </w:r>
      <w:r>
        <w:rPr>
          <w:rFonts w:hint="eastAsia" w:ascii="仿宋" w:hAnsi="仿宋" w:eastAsia="仿宋" w:cs="仿宋"/>
          <w:color w:val="auto"/>
          <w:highlight w:val="none"/>
          <w:lang w:eastAsia="zh-CN"/>
        </w:rPr>
        <w:t>合同价格清单中开列的工作量或工程量是根据发包人要求、标准与规范、项目基础资料等计列的工程量，不能作为承包人履行合同义务中应予完成合同工程的实际或准确工程量。</w:t>
      </w:r>
      <w:r>
        <w:rPr>
          <w:rFonts w:hint="eastAsia" w:ascii="仿宋" w:hAnsi="仿宋" w:eastAsia="仿宋"/>
          <w:color w:val="auto"/>
          <w:highlight w:val="none"/>
          <w:lang w:eastAsia="zh-CN"/>
        </w:rPr>
        <w:t>合同价格清单中列出的任何工作量和价格数据仅限用于变更和支付的参考资料，而不能用于其他目的。</w:t>
      </w:r>
    </w:p>
    <w:p>
      <w:pPr>
        <w:pStyle w:val="22"/>
        <w:widowControl w:val="0"/>
        <w:adjustRightInd w:val="0"/>
        <w:snapToGrid w:val="0"/>
        <w:spacing w:line="360" w:lineRule="auto"/>
        <w:ind w:left="1850" w:leftChars="771"/>
        <w:jc w:val="both"/>
        <w:rPr>
          <w:rFonts w:ascii="仿宋" w:hAnsi="仿宋" w:eastAsia="仿宋" w:cs="仿宋"/>
          <w:b/>
          <w:bCs/>
          <w:color w:val="auto"/>
          <w:sz w:val="24"/>
          <w:szCs w:val="24"/>
          <w:highlight w:val="none"/>
          <w:lang w:eastAsia="zh-CN"/>
        </w:rPr>
      </w:pPr>
      <w:r>
        <w:rPr>
          <w:rFonts w:hint="eastAsia" w:ascii="仿宋" w:hAnsi="仿宋" w:eastAsia="仿宋"/>
          <w:color w:val="auto"/>
          <w:sz w:val="24"/>
          <w:szCs w:val="24"/>
          <w:highlight w:val="none"/>
          <w:lang w:eastAsia="zh-CN"/>
        </w:rPr>
        <w:t>承包人应按审查批准或备案的设计施工图、发包人要求、标准、规范等实施、完成并保修合同工程，不得以合同价格清单项目特征错误、描述不清、清单漏项、工作量偏差、工程量偏差等原因增减工作内容，也不免除承包人履行工程总承包合同应承担的责任。</w:t>
      </w:r>
    </w:p>
    <w:p>
      <w:pPr>
        <w:pStyle w:val="22"/>
        <w:tabs>
          <w:tab w:val="left" w:pos="1800"/>
        </w:tabs>
        <w:adjustRightInd w:val="0"/>
        <w:snapToGrid w:val="0"/>
        <w:spacing w:line="360" w:lineRule="auto"/>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73" w:name="_Toc27236"/>
      <w:bookmarkStart w:id="974" w:name="_Toc30961"/>
      <w:bookmarkStart w:id="975" w:name="_Toc5753"/>
      <w:bookmarkStart w:id="976" w:name="_Toc477"/>
      <w:bookmarkStart w:id="977" w:name="_Toc5106"/>
      <w:bookmarkStart w:id="978" w:name="_Toc5281"/>
      <w:bookmarkStart w:id="979" w:name="_Toc28688"/>
      <w:bookmarkStart w:id="980" w:name="_Toc27477"/>
      <w:r>
        <w:rPr>
          <w:rFonts w:hint="eastAsia" w:ascii="仿宋" w:hAnsi="仿宋" w:eastAsia="仿宋" w:cs="仿宋"/>
          <w:bCs w:val="0"/>
          <w:color w:val="auto"/>
          <w:sz w:val="24"/>
          <w:szCs w:val="24"/>
          <w:highlight w:val="none"/>
          <w:lang w:eastAsia="zh-CN"/>
        </w:rPr>
        <w:t>★72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计量和计价</w:t>
      </w:r>
      <w:bookmarkEnd w:id="973"/>
      <w:bookmarkEnd w:id="974"/>
      <w:bookmarkEnd w:id="975"/>
      <w:bookmarkEnd w:id="976"/>
      <w:bookmarkEnd w:id="977"/>
      <w:bookmarkEnd w:id="978"/>
      <w:bookmarkEnd w:id="979"/>
      <w:bookmarkEnd w:id="980"/>
    </w:p>
    <w:p>
      <w:pPr>
        <w:rPr>
          <w:rFonts w:ascii="仿宋" w:hAnsi="仿宋" w:eastAsia="仿宋" w:cs="仿宋"/>
          <w:b/>
          <w:bCs/>
          <w:color w:val="auto"/>
          <w:highlight w:val="none"/>
          <w:lang w:eastAsia="zh-CN"/>
        </w:rPr>
      </w:pPr>
      <w:bookmarkStart w:id="981" w:name="_Toc28023"/>
      <w:r>
        <w:rPr>
          <w:rFonts w:hint="eastAsia" w:ascii="仿宋" w:hAnsi="仿宋" w:eastAsia="仿宋" w:cs="仿宋"/>
          <w:b/>
          <w:bCs/>
          <w:color w:val="auto"/>
          <w:highlight w:val="none"/>
          <w:lang w:eastAsia="zh-CN"/>
        </w:rPr>
        <w:t>72</w:t>
      </w:r>
      <w:r>
        <w:rPr>
          <w:rFonts w:ascii="仿宋" w:hAnsi="仿宋" w:eastAsia="仿宋" w:cs="仿宋"/>
          <w:b/>
          <w:bCs/>
          <w:color w:val="auto"/>
          <w:highlight w:val="none"/>
          <w:lang w:eastAsia="zh-CN"/>
        </w:rPr>
        <w:t>.1</w:t>
      </w:r>
      <w:bookmarkEnd w:id="981"/>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860992" behindDoc="0" locked="0" layoutInCell="1" allowOverlap="1">
                <wp:simplePos x="0" y="0"/>
                <wp:positionH relativeFrom="column">
                  <wp:posOffset>-114300</wp:posOffset>
                </wp:positionH>
                <wp:positionV relativeFrom="paragraph">
                  <wp:posOffset>12700</wp:posOffset>
                </wp:positionV>
                <wp:extent cx="842645" cy="556260"/>
                <wp:effectExtent l="0" t="0" r="0" b="0"/>
                <wp:wrapNone/>
                <wp:docPr id="198" name="文本框 961"/>
                <wp:cNvGraphicFramePr/>
                <a:graphic xmlns:a="http://schemas.openxmlformats.org/drawingml/2006/main">
                  <a:graphicData uri="http://schemas.microsoft.com/office/word/2010/wordprocessingShape">
                    <wps:wsp>
                      <wps:cNvSpPr txBox="1"/>
                      <wps:spPr>
                        <a:xfrm>
                          <a:off x="0" y="0"/>
                          <a:ext cx="842645" cy="556260"/>
                        </a:xfrm>
                        <a:prstGeom prst="rect">
                          <a:avLst/>
                        </a:prstGeom>
                        <a:noFill/>
                        <a:ln>
                          <a:noFill/>
                        </a:ln>
                      </wps:spPr>
                      <wps:txbx>
                        <w:txbxContent>
                          <w:p>
                            <w:pPr>
                              <w:pStyle w:val="2"/>
                              <w:spacing w:line="220" w:lineRule="exact"/>
                              <w:rPr>
                                <w:rFonts w:ascii="楷体_GB2312" w:hAnsi="宋体" w:eastAsia="楷体_GB2312"/>
                                <w:b/>
                                <w:bCs/>
                                <w:sz w:val="18"/>
                                <w:szCs w:val="18"/>
                              </w:rPr>
                            </w:pPr>
                            <w:r>
                              <w:rPr>
                                <w:rFonts w:hint="eastAsia" w:ascii="楷体_GB2312" w:hAnsi="宋体" w:eastAsia="楷体_GB2312" w:cs="楷体_GB2312"/>
                                <w:b/>
                                <w:bCs/>
                                <w:sz w:val="18"/>
                                <w:szCs w:val="18"/>
                              </w:rPr>
                              <w:t>计量和计价的依据</w:t>
                            </w:r>
                          </w:p>
                        </w:txbxContent>
                      </wps:txbx>
                      <wps:bodyPr wrap="square" upright="1"/>
                    </wps:wsp>
                  </a:graphicData>
                </a:graphic>
              </wp:anchor>
            </w:drawing>
          </mc:Choice>
          <mc:Fallback>
            <w:pict>
              <v:shape id="文本框 961" o:spid="_x0000_s1026" o:spt="202" type="#_x0000_t202" style="position:absolute;left:0pt;margin-left:-9pt;margin-top:1pt;height:43.8pt;width:66.35pt;z-index:251860992;mso-width-relative:page;mso-height-relative:page;" filled="f" stroked="f" coordsize="21600,21600" o:gfxdata="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OCGeP1gAAAAgBAAAPAAAAAAAAAAEAIAAAACIAAABkcnMvZG93bnJldi54bWxQSwECFAAU&#10;AAAACACHTuJAg7cuN7oBAABfAwAADgAAAAAAAAABACAAAAAlAQAAZHJzL2Uyb0RvYy54bWxQSwUG&#10;AAAAAAYABgBZAQAAUQUAAAAA&#10;">
                <v:fill on="f" focussize="0,0"/>
                <v:stroke on="f"/>
                <v:imagedata o:title=""/>
                <o:lock v:ext="edit" aspectratio="f"/>
                <v:textbox>
                  <w:txbxContent>
                    <w:p>
                      <w:pPr>
                        <w:pStyle w:val="2"/>
                        <w:spacing w:line="220" w:lineRule="exact"/>
                        <w:rPr>
                          <w:rFonts w:ascii="楷体_GB2312" w:hAnsi="宋体" w:eastAsia="楷体_GB2312"/>
                          <w:b/>
                          <w:bCs/>
                          <w:sz w:val="18"/>
                          <w:szCs w:val="18"/>
                        </w:rPr>
                      </w:pPr>
                      <w:r>
                        <w:rPr>
                          <w:rFonts w:hint="eastAsia" w:ascii="楷体_GB2312" w:hAnsi="宋体" w:eastAsia="楷体_GB2312" w:cs="楷体_GB2312"/>
                          <w:b/>
                          <w:bCs/>
                          <w:sz w:val="18"/>
                          <w:szCs w:val="18"/>
                        </w:rPr>
                        <w:t>计量和计价的依据</w:t>
                      </w:r>
                    </w:p>
                  </w:txbxContent>
                </v:textbox>
              </v:shape>
            </w:pict>
          </mc:Fallback>
        </mc:AlternateContent>
      </w:r>
      <w:r>
        <w:rPr>
          <w:rFonts w:hint="eastAsia" w:ascii="仿宋" w:hAnsi="仿宋" w:eastAsia="仿宋" w:cs="仿宋"/>
          <w:color w:val="auto"/>
          <w:sz w:val="24"/>
          <w:szCs w:val="24"/>
          <w:highlight w:val="none"/>
          <w:lang w:eastAsia="zh-CN"/>
        </w:rPr>
        <w:t>72.1.1工程勘察费（如果有）的计量规则与计价办法，由合同当事人在专用条款中约定。专用条款中没有约定的，应结合市场行情，参照基准日期前相关价格指导文件，由双方协商确定。招标发包工程，按承包人的投标文件及有效澄清文件、招标文件规定的报价要求及相关澄清文件执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72.1.2工程设计费的计量规则与计价办法，由合同当事人在专用条款中约定。专用条款中没有约定的，应结合市场行情，参照基准日期前国家、行业颁布的指导价文件或省级物价主管部门批准的收费文件，由双方协商确定。招标发包工程以承包人的投标文件及有效澄清文件、招标文件规定的报价要求及相关澄清文件执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72.1.3 BIM技术应用费的计量规则与计价办法，由合同当事人在专用条款中约定。专用条款中没有约定的，应结合市场行情，参照基准日期前国家、行业颁布的指导价文件或省级物价主管部门批准的收费文件，由双方协商确定。招标发包工程以承包人的投标文件及有效澄清文件、招标文件规定的报价要求及相关澄清文件执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72.1.4设备及工器具购置费（如果有）的计量规则与计价办法，由合同当事人在专用条款中约定。招标发包工程以承包人的投标文件及有效澄清文件、招标文件规定的报价要求及相关澄清文件执行。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72.1.5建筑安装工程费的工程量计算规则和计价办法，由合同当事人在专用条款中约定。专用条款中没有约定的，应结合市场行情，参照基准日期前国家、行业相关规范、标准、定额及当地发布的政府指导价，由双方协商确定。招标发包工程以承包人的投标文件及有效的澄清文件、招标文件规定的报价要求及相关澄清文件执行。</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72.1.6其它服务项目费用（如果有）的计量规则和计价办法，由合同当事人在专用条款中约定。专用条款中没有约定的，应结合市场行情，参照基准日期前国家、行业颁布的指导价文件或省级物价主管部门批准的收费文件，由双方协商确定。招标发包工程以承包人的投标文件及有效澄清文件、招标文件规定的报价要求及相关澄清文件执行。</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72</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62016" behindDoc="0" locked="0" layoutInCell="1" allowOverlap="1">
                <wp:simplePos x="0" y="0"/>
                <wp:positionH relativeFrom="column">
                  <wp:posOffset>-114300</wp:posOffset>
                </wp:positionH>
                <wp:positionV relativeFrom="paragraph">
                  <wp:posOffset>50800</wp:posOffset>
                </wp:positionV>
                <wp:extent cx="823595" cy="489585"/>
                <wp:effectExtent l="0" t="0" r="0" b="0"/>
                <wp:wrapNone/>
                <wp:docPr id="199" name="文本框 962"/>
                <wp:cNvGraphicFramePr/>
                <a:graphic xmlns:a="http://schemas.openxmlformats.org/drawingml/2006/main">
                  <a:graphicData uri="http://schemas.microsoft.com/office/word/2010/wordprocessingShape">
                    <wps:wsp>
                      <wps:cNvSpPr txBox="1"/>
                      <wps:spPr>
                        <a:xfrm>
                          <a:off x="0" y="0"/>
                          <a:ext cx="823595" cy="489585"/>
                        </a:xfrm>
                        <a:prstGeom prst="rect">
                          <a:avLst/>
                        </a:prstGeom>
                        <a:noFill/>
                        <a:ln>
                          <a:noFill/>
                        </a:ln>
                      </wps:spPr>
                      <wps:txbx>
                        <w:txbxContent>
                          <w:p>
                            <w:pPr>
                              <w:pStyle w:val="2"/>
                              <w:spacing w:line="220" w:lineRule="exact"/>
                              <w:rPr>
                                <w:rFonts w:ascii="楷体_GB2312" w:hAnsi="宋体" w:eastAsia="楷体_GB2312"/>
                                <w:b/>
                                <w:bCs/>
                                <w:sz w:val="18"/>
                                <w:szCs w:val="18"/>
                              </w:rPr>
                            </w:pPr>
                            <w:r>
                              <w:rPr>
                                <w:rFonts w:hint="eastAsia" w:ascii="楷体_GB2312" w:hAnsi="宋体" w:eastAsia="楷体_GB2312" w:cs="楷体_GB2312"/>
                                <w:b/>
                                <w:bCs/>
                                <w:sz w:val="18"/>
                                <w:szCs w:val="18"/>
                              </w:rPr>
                              <w:t>计量和计价的要求</w:t>
                            </w:r>
                          </w:p>
                        </w:txbxContent>
                      </wps:txbx>
                      <wps:bodyPr wrap="square" upright="1"/>
                    </wps:wsp>
                  </a:graphicData>
                </a:graphic>
              </wp:anchor>
            </w:drawing>
          </mc:Choice>
          <mc:Fallback>
            <w:pict>
              <v:shape id="文本框 962" o:spid="_x0000_s1026" o:spt="202" type="#_x0000_t202" style="position:absolute;left:0pt;margin-left:-9pt;margin-top:4pt;height:38.55pt;width:64.85pt;z-index:251862016;mso-width-relative:page;mso-height-relative:page;" filled="f" stroked="f" coordsize="21600,21600" o:gfxdata="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xjI6F9QAAAAIAQAADwAAAAAAAAABACAAAAAiAAAAZHJzL2Rvd25yZXYueG1sUEsBAhQAFAAA&#10;AAgAh07iQMMwkwq6AQAAXwMAAA4AAAAAAAAAAQAgAAAAIwEAAGRycy9lMm9Eb2MueG1sUEsFBgAA&#10;AAAGAAYAWQEAAE8FAAAAAA==&#10;">
                <v:fill on="f" focussize="0,0"/>
                <v:stroke on="f"/>
                <v:imagedata o:title=""/>
                <o:lock v:ext="edit" aspectratio="f"/>
                <v:textbox>
                  <w:txbxContent>
                    <w:p>
                      <w:pPr>
                        <w:pStyle w:val="2"/>
                        <w:spacing w:line="220" w:lineRule="exact"/>
                        <w:rPr>
                          <w:rFonts w:ascii="楷体_GB2312" w:hAnsi="宋体" w:eastAsia="楷体_GB2312"/>
                          <w:b/>
                          <w:bCs/>
                          <w:sz w:val="18"/>
                          <w:szCs w:val="18"/>
                        </w:rPr>
                      </w:pPr>
                      <w:r>
                        <w:rPr>
                          <w:rFonts w:hint="eastAsia" w:ascii="楷体_GB2312" w:hAnsi="宋体" w:eastAsia="楷体_GB2312" w:cs="楷体_GB2312"/>
                          <w:b/>
                          <w:bCs/>
                          <w:sz w:val="18"/>
                          <w:szCs w:val="18"/>
                        </w:rPr>
                        <w:t>计量和计价的要求</w:t>
                      </w:r>
                    </w:p>
                  </w:txbxContent>
                </v:textbox>
              </v:shape>
            </w:pict>
          </mc:Fallback>
        </mc:AlternateContent>
      </w:r>
      <w:r>
        <w:rPr>
          <w:rFonts w:hint="eastAsia" w:ascii="仿宋" w:hAnsi="仿宋" w:eastAsia="仿宋" w:cs="仿宋"/>
          <w:color w:val="auto"/>
          <w:sz w:val="24"/>
          <w:szCs w:val="24"/>
          <w:highlight w:val="none"/>
          <w:lang w:eastAsia="zh-CN"/>
        </w:rPr>
        <w:t>合同双方当事人应按照专用条款约定的计量规则、计价办法、计价依据、允许调整事项及合同价格调整办法，进行工程计量和计价。</w:t>
      </w:r>
    </w:p>
    <w:p>
      <w:pPr>
        <w:pStyle w:val="22"/>
        <w:adjustRightInd w:val="0"/>
        <w:snapToGrid w:val="0"/>
        <w:spacing w:line="360" w:lineRule="auto"/>
        <w:ind w:left="1850" w:leftChars="771"/>
        <w:rPr>
          <w:color w:val="auto"/>
          <w:highlight w:val="none"/>
          <w:lang w:eastAsia="zh-CN"/>
        </w:rPr>
      </w:pPr>
      <w:r>
        <w:rPr>
          <w:rFonts w:hint="eastAsia" w:ascii="仿宋" w:hAnsi="仿宋" w:eastAsia="仿宋" w:cs="仿宋"/>
          <w:color w:val="auto"/>
          <w:sz w:val="24"/>
          <w:szCs w:val="24"/>
          <w:highlight w:val="none"/>
          <w:lang w:eastAsia="zh-CN"/>
        </w:rPr>
        <w:t>监理人、造价咨询人负责工程计量和计价的核实工作。</w:t>
      </w:r>
    </w:p>
    <w:p>
      <w:pPr>
        <w:spacing w:line="360" w:lineRule="auto"/>
        <w:rPr>
          <w:rFonts w:ascii="仿宋" w:hAnsi="仿宋" w:eastAsia="仿宋"/>
          <w:b/>
          <w:bCs/>
          <w:color w:val="auto"/>
          <w:highlight w:val="none"/>
          <w:lang w:eastAsia="zh-CN"/>
        </w:rPr>
      </w:pPr>
      <w:bookmarkStart w:id="982" w:name="_Toc15382"/>
      <w:r>
        <w:rPr>
          <w:color w:val="auto"/>
          <w:highlight w:val="none"/>
        </w:rPr>
        <mc:AlternateContent>
          <mc:Choice Requires="wps">
            <w:drawing>
              <wp:anchor distT="0" distB="0" distL="114300" distR="114300" simplePos="0" relativeHeight="251863040" behindDoc="0" locked="0" layoutInCell="1" allowOverlap="1">
                <wp:simplePos x="0" y="0"/>
                <wp:positionH relativeFrom="column">
                  <wp:posOffset>-95250</wp:posOffset>
                </wp:positionH>
                <wp:positionV relativeFrom="paragraph">
                  <wp:posOffset>247015</wp:posOffset>
                </wp:positionV>
                <wp:extent cx="851535" cy="650875"/>
                <wp:effectExtent l="0" t="0" r="0" b="0"/>
                <wp:wrapNone/>
                <wp:docPr id="200" name="文本框 963"/>
                <wp:cNvGraphicFramePr/>
                <a:graphic xmlns:a="http://schemas.openxmlformats.org/drawingml/2006/main">
                  <a:graphicData uri="http://schemas.microsoft.com/office/word/2010/wordprocessingShape">
                    <wps:wsp>
                      <wps:cNvSpPr txBox="1"/>
                      <wps:spPr>
                        <a:xfrm>
                          <a:off x="0" y="0"/>
                          <a:ext cx="851535" cy="650875"/>
                        </a:xfrm>
                        <a:prstGeom prst="rect">
                          <a:avLst/>
                        </a:prstGeom>
                        <a:noFill/>
                        <a:ln>
                          <a:noFill/>
                        </a:ln>
                      </wps:spPr>
                      <wps:txb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已完工作或工程款额报告的提交和核实</w:t>
                            </w:r>
                          </w:p>
                        </w:txbxContent>
                      </wps:txbx>
                      <wps:bodyPr wrap="square" upright="1"/>
                    </wps:wsp>
                  </a:graphicData>
                </a:graphic>
              </wp:anchor>
            </w:drawing>
          </mc:Choice>
          <mc:Fallback>
            <w:pict>
              <v:shape id="文本框 963" o:spid="_x0000_s1026" o:spt="202" type="#_x0000_t202" style="position:absolute;left:0pt;margin-left:-7.5pt;margin-top:19.45pt;height:51.25pt;width:67.05pt;z-index:251863040;mso-width-relative:page;mso-height-relative:page;" filled="f" stroked="f" coordsize="21600,21600" o:gfxdata="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08imr1wAAAAoBAAAPAAAAAAAAAAEAIAAAACIAAABkcnMvZG93bnJldi54bWxQSwECFAAU&#10;AAAACACHTuJAZxdFqrkBAABfAwAADgAAAAAAAAABACAAAAAm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已完工作或工程款额报告的提交和核实</w:t>
                      </w:r>
                    </w:p>
                  </w:txbxContent>
                </v:textbox>
              </v:shape>
            </w:pict>
          </mc:Fallback>
        </mc:AlternateContent>
      </w:r>
      <w:r>
        <w:rPr>
          <w:rFonts w:hint="eastAsia" w:ascii="仿宋" w:hAnsi="仿宋" w:eastAsia="仿宋" w:cs="仿宋"/>
          <w:b/>
          <w:bCs/>
          <w:color w:val="auto"/>
          <w:highlight w:val="none"/>
          <w:lang w:eastAsia="zh-CN"/>
        </w:rPr>
        <w:t>72</w:t>
      </w:r>
      <w:r>
        <w:rPr>
          <w:rFonts w:ascii="仿宋" w:hAnsi="仿宋" w:eastAsia="仿宋" w:cs="仿宋"/>
          <w:b/>
          <w:bCs/>
          <w:color w:val="auto"/>
          <w:highlight w:val="none"/>
          <w:lang w:eastAsia="zh-CN"/>
        </w:rPr>
        <w:t>.3</w:t>
      </w:r>
      <w:bookmarkEnd w:id="98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承包人应按照第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款约定向造价咨询人提交已完工作或工程款额报告。监理人、造价咨询人应在收到报告后的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天内核实工作量或工程量，并将核实结果通知承包人、抄报发包人，作为计价和支付的依据。</w:t>
      </w:r>
    </w:p>
    <w:p>
      <w:pPr>
        <w:pStyle w:val="22"/>
        <w:adjustRightInd w:val="0"/>
        <w:snapToGrid w:val="0"/>
        <w:spacing w:line="360" w:lineRule="auto"/>
        <w:rPr>
          <w:color w:val="auto"/>
          <w:highlight w:val="none"/>
          <w:lang w:eastAsia="zh-CN"/>
        </w:rPr>
      </w:pPr>
      <w:r>
        <w:rPr>
          <w:rFonts w:hint="eastAsia" w:ascii="仿宋" w:hAnsi="仿宋" w:eastAsia="仿宋" w:cs="仿宋"/>
          <w:b/>
          <w:bCs/>
          <w:color w:val="auto"/>
          <w:sz w:val="24"/>
          <w:szCs w:val="24"/>
          <w:highlight w:val="none"/>
          <w:lang w:eastAsia="zh-CN"/>
        </w:rPr>
        <w:t>72</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64064" behindDoc="0" locked="0" layoutInCell="1" allowOverlap="1">
                <wp:simplePos x="0" y="0"/>
                <wp:positionH relativeFrom="column">
                  <wp:posOffset>-114300</wp:posOffset>
                </wp:positionH>
                <wp:positionV relativeFrom="paragraph">
                  <wp:posOffset>50165</wp:posOffset>
                </wp:positionV>
                <wp:extent cx="827405" cy="527685"/>
                <wp:effectExtent l="0" t="0" r="0" b="0"/>
                <wp:wrapNone/>
                <wp:docPr id="201" name="文本框 964"/>
                <wp:cNvGraphicFramePr/>
                <a:graphic xmlns:a="http://schemas.openxmlformats.org/drawingml/2006/main">
                  <a:graphicData uri="http://schemas.microsoft.com/office/word/2010/wordprocessingShape">
                    <wps:wsp>
                      <wps:cNvSpPr txBox="1"/>
                      <wps:spPr>
                        <a:xfrm>
                          <a:off x="0" y="0"/>
                          <a:ext cx="827405" cy="527685"/>
                        </a:xfrm>
                        <a:prstGeom prst="rect">
                          <a:avLst/>
                        </a:prstGeom>
                        <a:noFill/>
                        <a:ln>
                          <a:noFill/>
                        </a:ln>
                      </wps:spPr>
                      <wps:txb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现场计量</w:t>
                            </w:r>
                          </w:p>
                        </w:txbxContent>
                      </wps:txbx>
                      <wps:bodyPr wrap="square" upright="1"/>
                    </wps:wsp>
                  </a:graphicData>
                </a:graphic>
              </wp:anchor>
            </w:drawing>
          </mc:Choice>
          <mc:Fallback>
            <w:pict>
              <v:shape id="文本框 964" o:spid="_x0000_s1026" o:spt="202" type="#_x0000_t202" style="position:absolute;left:0pt;margin-left:-9pt;margin-top:3.95pt;height:41.55pt;width:65.15pt;z-index:251864064;mso-width-relative:page;mso-height-relative:page;" filled="f" stroked="f" coordsize="21600,21600" o:gfxdata="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hFzR/1gAAAAgBAAAPAAAAAAAAAAEAIAAAACIAAABkcnMvZG93bnJldi54bWxQSwECFAAU&#10;AAAACACHTuJAggYDdLoBAABfAwAADgAAAAAAAAABACAAAAAlAQAAZHJzL2Uyb0RvYy54bWxQSwUG&#10;AAAAAAYABgBZAQAAUQUAAAAA&#10;">
                <v:fill on="f" focussize="0,0"/>
                <v:stroke on="f"/>
                <v:imagedata o:title=""/>
                <o:lock v:ext="edit" aspectratio="f"/>
                <v:textbox>
                  <w:txbxContent>
                    <w:p>
                      <w:pPr>
                        <w:rPr>
                          <w:rFonts w:ascii="楷体_GB2312" w:hAnsi="宋体" w:eastAsia="楷体_GB2312" w:cs="楷体_GB2312"/>
                          <w:b/>
                          <w:bCs/>
                          <w:color w:val="000000"/>
                          <w:sz w:val="18"/>
                          <w:szCs w:val="18"/>
                        </w:rPr>
                      </w:pPr>
                      <w:r>
                        <w:rPr>
                          <w:rFonts w:hint="eastAsia" w:ascii="楷体_GB2312" w:hAnsi="宋体" w:eastAsia="楷体_GB2312" w:cs="楷体_GB2312"/>
                          <w:b/>
                          <w:bCs/>
                          <w:color w:val="000000"/>
                          <w:sz w:val="18"/>
                          <w:szCs w:val="18"/>
                        </w:rPr>
                        <w:t>现场计量</w:t>
                      </w:r>
                    </w:p>
                  </w:txbxContent>
                </v:textbox>
              </v:shape>
            </w:pict>
          </mc:Fallback>
        </mc:AlternateContent>
      </w:r>
      <w:r>
        <w:rPr>
          <w:rFonts w:hint="eastAsia" w:ascii="仿宋" w:hAnsi="仿宋" w:eastAsia="仿宋" w:cs="仿宋"/>
          <w:color w:val="auto"/>
          <w:sz w:val="24"/>
          <w:szCs w:val="24"/>
          <w:highlight w:val="none"/>
          <w:lang w:eastAsia="zh-CN"/>
        </w:rPr>
        <w:t>当造价咨询人进行现场计量时，应在计量前</w:t>
      </w:r>
      <w:r>
        <w:rPr>
          <w:rFonts w:ascii="仿宋" w:hAnsi="仿宋" w:eastAsia="仿宋" w:cs="仿宋"/>
          <w:color w:val="auto"/>
          <w:sz w:val="24"/>
          <w:szCs w:val="24"/>
          <w:highlight w:val="none"/>
          <w:lang w:eastAsia="zh-CN"/>
        </w:rPr>
        <w:t>24</w:t>
      </w:r>
      <w:r>
        <w:rPr>
          <w:rFonts w:hint="eastAsia" w:ascii="仿宋" w:hAnsi="仿宋" w:eastAsia="仿宋" w:cs="仿宋"/>
          <w:color w:val="auto"/>
          <w:sz w:val="24"/>
          <w:szCs w:val="24"/>
          <w:highlight w:val="none"/>
          <w:lang w:eastAsia="zh-CN"/>
        </w:rPr>
        <w:t>小时通知承包人，承包人应为计量提供便利条件并派人参加。承包人收到通知后不派人参加计量，视为认可计量结果。造价咨询人不按照约定时间通知承包人，致使承包人未能派人参加计量，计量结果无效。</w:t>
      </w:r>
    </w:p>
    <w:p>
      <w:pPr>
        <w:spacing w:line="360" w:lineRule="auto"/>
        <w:rPr>
          <w:rFonts w:ascii="仿宋" w:hAnsi="仿宋" w:eastAsia="仿宋"/>
          <w:b/>
          <w:bCs/>
          <w:color w:val="auto"/>
          <w:highlight w:val="none"/>
          <w:lang w:eastAsia="zh-CN"/>
        </w:rPr>
      </w:pPr>
      <w:bookmarkStart w:id="983" w:name="_Toc14982"/>
      <w:r>
        <w:rPr>
          <w:rFonts w:hint="eastAsia" w:ascii="仿宋" w:hAnsi="仿宋" w:eastAsia="仿宋" w:cs="仿宋"/>
          <w:b/>
          <w:bCs/>
          <w:color w:val="auto"/>
          <w:highlight w:val="none"/>
          <w:lang w:eastAsia="zh-CN"/>
        </w:rPr>
        <w:t>72</w:t>
      </w:r>
      <w:r>
        <w:rPr>
          <w:rFonts w:ascii="仿宋" w:hAnsi="仿宋" w:eastAsia="仿宋" w:cs="仿宋"/>
          <w:b/>
          <w:bCs/>
          <w:color w:val="auto"/>
          <w:highlight w:val="none"/>
          <w:lang w:eastAsia="zh-CN"/>
        </w:rPr>
        <w:t>.5</w:t>
      </w:r>
      <w:bookmarkEnd w:id="98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65088" behindDoc="0" locked="0" layoutInCell="1" allowOverlap="1">
                <wp:simplePos x="0" y="0"/>
                <wp:positionH relativeFrom="column">
                  <wp:posOffset>-114300</wp:posOffset>
                </wp:positionH>
                <wp:positionV relativeFrom="paragraph">
                  <wp:posOffset>44450</wp:posOffset>
                </wp:positionV>
                <wp:extent cx="775335" cy="598170"/>
                <wp:effectExtent l="0" t="0" r="0" b="0"/>
                <wp:wrapNone/>
                <wp:docPr id="202" name="文本框 965"/>
                <wp:cNvGraphicFramePr/>
                <a:graphic xmlns:a="http://schemas.openxmlformats.org/drawingml/2006/main">
                  <a:graphicData uri="http://schemas.microsoft.com/office/word/2010/wordprocessingShape">
                    <wps:wsp>
                      <wps:cNvSpPr txBox="1"/>
                      <wps:spPr>
                        <a:xfrm>
                          <a:off x="0" y="0"/>
                          <a:ext cx="775335" cy="598170"/>
                        </a:xfrm>
                        <a:prstGeom prst="rect">
                          <a:avLst/>
                        </a:prstGeom>
                        <a:noFill/>
                        <a:ln>
                          <a:noFill/>
                        </a:ln>
                      </wps:spPr>
                      <wps:txb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收到已完工作或工程款额报告的限制</w:t>
                            </w:r>
                          </w:p>
                        </w:txbxContent>
                      </wps:txbx>
                      <wps:bodyPr wrap="square" upright="1"/>
                    </wps:wsp>
                  </a:graphicData>
                </a:graphic>
              </wp:anchor>
            </w:drawing>
          </mc:Choice>
          <mc:Fallback>
            <w:pict>
              <v:shape id="文本框 965" o:spid="_x0000_s1026" o:spt="202" type="#_x0000_t202" style="position:absolute;left:0pt;margin-left:-9pt;margin-top:3.5pt;height:47.1pt;width:61.05pt;z-index:251865088;mso-width-relative:page;mso-height-relative:page;" filled="f" stroked="f" coordsize="21600,21600" o:gfxdata="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Cg9P5HWAAAACQEAAA8AAAAAAAAAAQAgAAAAIgAAAGRycy9kb3ducmV2LnhtbFBLAQIU&#10;ABQAAAAIAIdO4kB/IqfcvAEAAF8DAAAOAAAAAAAAAAEAIAAAACUBAABkcnMvZTJvRG9jLnhtbFBL&#10;BQYAAAAABgAGAFkBAABT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收到已完工作或工程款额报告的限制</w:t>
                      </w:r>
                    </w:p>
                  </w:txbxContent>
                </v:textbox>
              </v:shape>
            </w:pict>
          </mc:Fallback>
        </mc:AlternateContent>
      </w:r>
      <w:r>
        <w:rPr>
          <w:rFonts w:hint="eastAsia" w:ascii="仿宋" w:hAnsi="仿宋" w:eastAsia="仿宋" w:cs="仿宋"/>
          <w:color w:val="auto"/>
          <w:sz w:val="24"/>
          <w:szCs w:val="24"/>
          <w:highlight w:val="none"/>
          <w:lang w:eastAsia="zh-CN"/>
        </w:rPr>
        <w:t>造价咨询人收到承包人按照第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款约定提交的已完工作或工程款额报告后</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天内，未进行计量或未向承包人通知计量结果的，从第</w:t>
      </w:r>
      <w:r>
        <w:rPr>
          <w:rFonts w:ascii="仿宋" w:hAnsi="仿宋" w:eastAsia="仿宋" w:cs="仿宋"/>
          <w:color w:val="auto"/>
          <w:sz w:val="24"/>
          <w:szCs w:val="24"/>
          <w:highlight w:val="none"/>
          <w:lang w:eastAsia="zh-CN"/>
        </w:rPr>
        <w:t>15</w:t>
      </w:r>
      <w:r>
        <w:rPr>
          <w:rFonts w:hint="eastAsia" w:ascii="仿宋" w:hAnsi="仿宋" w:eastAsia="仿宋" w:cs="仿宋"/>
          <w:color w:val="auto"/>
          <w:sz w:val="24"/>
          <w:szCs w:val="24"/>
          <w:highlight w:val="none"/>
          <w:lang w:eastAsia="zh-CN"/>
        </w:rPr>
        <w:t>天起，承包人报告中开列的工作量或工程量即视为被确认，作为计价和支付的依据。</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72</w:t>
      </w:r>
      <w:r>
        <w:rPr>
          <w:rFonts w:ascii="仿宋" w:hAnsi="仿宋" w:eastAsia="仿宋" w:cs="仿宋"/>
          <w:b/>
          <w:bCs/>
          <w:color w:val="auto"/>
          <w:highlight w:val="none"/>
          <w:lang w:eastAsia="zh-CN"/>
        </w:rPr>
        <w:t xml:space="preserve">.6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66112" behindDoc="0" locked="0" layoutInCell="1" allowOverlap="1">
                <wp:simplePos x="0" y="0"/>
                <wp:positionH relativeFrom="column">
                  <wp:posOffset>-114300</wp:posOffset>
                </wp:positionH>
                <wp:positionV relativeFrom="paragraph">
                  <wp:posOffset>45720</wp:posOffset>
                </wp:positionV>
                <wp:extent cx="832485" cy="550545"/>
                <wp:effectExtent l="0" t="0" r="0" b="0"/>
                <wp:wrapNone/>
                <wp:docPr id="203" name="文本框 966"/>
                <wp:cNvGraphicFramePr/>
                <a:graphic xmlns:a="http://schemas.openxmlformats.org/drawingml/2006/main">
                  <a:graphicData uri="http://schemas.microsoft.com/office/word/2010/wordprocessingShape">
                    <wps:wsp>
                      <wps:cNvSpPr txBox="1"/>
                      <wps:spPr>
                        <a:xfrm>
                          <a:off x="0" y="0"/>
                          <a:ext cx="832485" cy="55054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复核计量结果</w:t>
                            </w:r>
                          </w:p>
                        </w:txbxContent>
                      </wps:txbx>
                      <wps:bodyPr wrap="square" upright="1"/>
                    </wps:wsp>
                  </a:graphicData>
                </a:graphic>
              </wp:anchor>
            </w:drawing>
          </mc:Choice>
          <mc:Fallback>
            <w:pict>
              <v:shape id="文本框 966" o:spid="_x0000_s1026" o:spt="202" type="#_x0000_t202" style="position:absolute;left:0pt;margin-left:-9pt;margin-top:3.6pt;height:43.35pt;width:65.55pt;z-index:251866112;mso-width-relative:page;mso-height-relative:page;" filled="f" stroked="f" coordsize="21600,21600" o:gfxdata="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VSj1gAAAAgBAAAPAAAAAAAAAAEAIAAAACIAAABkcnMvZG93bnJldi54bWxQSwECFAAU&#10;AAAACACHTuJAB5xhEboBAABfAwAADgAAAAAAAAABACAAAAAl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复核计量结果</w:t>
                      </w:r>
                    </w:p>
                  </w:txbxContent>
                </v:textbox>
              </v:shape>
            </w:pict>
          </mc:Fallback>
        </mc:AlternateContent>
      </w:r>
      <w:r>
        <w:rPr>
          <w:rFonts w:hint="eastAsia" w:ascii="仿宋" w:hAnsi="仿宋" w:eastAsia="仿宋" w:cs="仿宋"/>
          <w:color w:val="auto"/>
          <w:sz w:val="24"/>
          <w:szCs w:val="24"/>
          <w:highlight w:val="none"/>
          <w:lang w:eastAsia="zh-CN"/>
        </w:rPr>
        <w:t>如果承包人认为造价咨询人的计量结果有误，应在收到计量结果通知后的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造价咨询人提出书面意见，并附上其认为正确的计量结果和详细的计算过程等资料。造价咨询人收到书面意见后，应立即会同承包人对计量结果进行复核，并在签发支付证书前确定计量结果，同时通知承包人、抄报发包人。承包人对复核计量结果仍有异议或发包人对计量结果有异议的，按照第91条约定处理。</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72</w:t>
      </w:r>
      <w:r>
        <w:rPr>
          <w:rFonts w:ascii="仿宋" w:hAnsi="仿宋" w:eastAsia="仿宋" w:cs="仿宋"/>
          <w:b/>
          <w:bCs/>
          <w:color w:val="auto"/>
          <w:highlight w:val="none"/>
          <w:lang w:eastAsia="zh-CN"/>
        </w:rPr>
        <w:t xml:space="preserve">.7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67136" behindDoc="0" locked="0" layoutInCell="1" allowOverlap="1">
                <wp:simplePos x="0" y="0"/>
                <wp:positionH relativeFrom="column">
                  <wp:posOffset>-114300</wp:posOffset>
                </wp:positionH>
                <wp:positionV relativeFrom="paragraph">
                  <wp:posOffset>36195</wp:posOffset>
                </wp:positionV>
                <wp:extent cx="788670" cy="433705"/>
                <wp:effectExtent l="0" t="0" r="0" b="0"/>
                <wp:wrapNone/>
                <wp:docPr id="204" name="文本框 967"/>
                <wp:cNvGraphicFramePr/>
                <a:graphic xmlns:a="http://schemas.openxmlformats.org/drawingml/2006/main">
                  <a:graphicData uri="http://schemas.microsoft.com/office/word/2010/wordprocessingShape">
                    <wps:wsp>
                      <wps:cNvSpPr txBox="1"/>
                      <wps:spPr>
                        <a:xfrm>
                          <a:off x="0" y="0"/>
                          <a:ext cx="788670" cy="43370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不予计量</w:t>
                            </w:r>
                          </w:p>
                        </w:txbxContent>
                      </wps:txbx>
                      <wps:bodyPr wrap="square" upright="1"/>
                    </wps:wsp>
                  </a:graphicData>
                </a:graphic>
              </wp:anchor>
            </w:drawing>
          </mc:Choice>
          <mc:Fallback>
            <w:pict>
              <v:shape id="文本框 967" o:spid="_x0000_s1026" o:spt="202" type="#_x0000_t202" style="position:absolute;left:0pt;margin-left:-9pt;margin-top:2.85pt;height:34.15pt;width:62.1pt;z-index:251867136;mso-width-relative:page;mso-height-relative:page;" filled="f" stroked="f" coordsize="21600,21600" o:gfxdata="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KT3O/VAAAACAEAAA8AAAAAAAAAAQAgAAAAIgAAAGRycy9kb3ducmV2LnhtbFBLAQIUABQA&#10;AAAIAIdO4kCGSHGWugEAAF8DAAAOAAAAAAAAAAEAIAAAACQ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不予计量</w:t>
                      </w:r>
                    </w:p>
                  </w:txbxContent>
                </v:textbox>
              </v:shape>
            </w:pict>
          </mc:Fallback>
        </mc:AlternateContent>
      </w:r>
      <w:r>
        <w:rPr>
          <w:rFonts w:hint="eastAsia" w:ascii="仿宋" w:hAnsi="仿宋" w:eastAsia="仿宋" w:cs="仿宋"/>
          <w:color w:val="auto"/>
          <w:sz w:val="24"/>
          <w:szCs w:val="24"/>
          <w:highlight w:val="none"/>
          <w:lang w:eastAsia="zh-CN"/>
        </w:rPr>
        <w:t>对承包人超出总承包范围的工程内容、服务内容或因承包人的原因造成返工的工作量或工程量，造价工程师均不予计量。</w:t>
      </w:r>
    </w:p>
    <w:p>
      <w:pPr>
        <w:spacing w:line="360" w:lineRule="auto"/>
        <w:rPr>
          <w:rFonts w:ascii="仿宋" w:hAnsi="仿宋" w:eastAsia="仿宋"/>
          <w:b/>
          <w:bCs/>
          <w:color w:val="auto"/>
          <w:highlight w:val="none"/>
          <w:lang w:eastAsia="zh-CN"/>
        </w:rPr>
      </w:pPr>
      <w:bookmarkStart w:id="984" w:name="_Toc13755"/>
      <w:r>
        <w:rPr>
          <w:rFonts w:hint="eastAsia" w:ascii="仿宋" w:hAnsi="仿宋" w:eastAsia="仿宋" w:cs="仿宋"/>
          <w:b/>
          <w:bCs/>
          <w:color w:val="auto"/>
          <w:highlight w:val="none"/>
          <w:lang w:eastAsia="zh-CN"/>
        </w:rPr>
        <w:t>72</w:t>
      </w:r>
      <w:r>
        <w:rPr>
          <w:rFonts w:ascii="仿宋" w:hAnsi="仿宋" w:eastAsia="仿宋" w:cs="仿宋"/>
          <w:b/>
          <w:bCs/>
          <w:color w:val="auto"/>
          <w:highlight w:val="none"/>
          <w:lang w:eastAsia="zh-CN"/>
        </w:rPr>
        <w:t>.8</w:t>
      </w:r>
      <w:bookmarkEnd w:id="98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68160" behindDoc="0" locked="0" layoutInCell="1" allowOverlap="1">
                <wp:simplePos x="0" y="0"/>
                <wp:positionH relativeFrom="column">
                  <wp:posOffset>-114300</wp:posOffset>
                </wp:positionH>
                <wp:positionV relativeFrom="paragraph">
                  <wp:posOffset>24130</wp:posOffset>
                </wp:positionV>
                <wp:extent cx="785495" cy="501650"/>
                <wp:effectExtent l="0" t="0" r="0" b="0"/>
                <wp:wrapNone/>
                <wp:docPr id="205" name="文本框 968"/>
                <wp:cNvGraphicFramePr/>
                <a:graphic xmlns:a="http://schemas.openxmlformats.org/drawingml/2006/main">
                  <a:graphicData uri="http://schemas.microsoft.com/office/word/2010/wordprocessingShape">
                    <wps:wsp>
                      <wps:cNvSpPr txBox="1"/>
                      <wps:spPr>
                        <a:xfrm>
                          <a:off x="0" y="0"/>
                          <a:ext cx="785495" cy="50165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各项工作价款的计算</w:t>
                            </w:r>
                          </w:p>
                        </w:txbxContent>
                      </wps:txbx>
                      <wps:bodyPr wrap="square" upright="1"/>
                    </wps:wsp>
                  </a:graphicData>
                </a:graphic>
              </wp:anchor>
            </w:drawing>
          </mc:Choice>
          <mc:Fallback>
            <w:pict>
              <v:shape id="文本框 968" o:spid="_x0000_s1026" o:spt="202" type="#_x0000_t202" style="position:absolute;left:0pt;margin-left:-9pt;margin-top:1.9pt;height:39.5pt;width:61.85pt;z-index:251868160;mso-width-relative:page;mso-height-relative:page;" filled="f" stroked="f" coordsize="21600,21600" o:gfxdata="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OgHirvVAAAACAEAAA8AAAAAAAAAAQAgAAAAIgAAAGRycy9kb3ducmV2LnhtbFBLAQIUABQA&#10;AAAIAIdO4kBHw5Z9ugEAAF8DAAAOAAAAAAAAAAEAIAAAACQ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各项工作价款的计算</w:t>
                      </w:r>
                    </w:p>
                  </w:txbxContent>
                </v:textbox>
              </v:shape>
            </w:pict>
          </mc:Fallback>
        </mc:AlternateContent>
      </w:r>
      <w:r>
        <w:rPr>
          <w:rFonts w:hint="eastAsia" w:ascii="仿宋" w:hAnsi="仿宋" w:eastAsia="仿宋" w:cs="仿宋"/>
          <w:color w:val="auto"/>
          <w:sz w:val="24"/>
          <w:szCs w:val="24"/>
          <w:highlight w:val="none"/>
          <w:lang w:eastAsia="zh-CN"/>
        </w:rPr>
        <w:t>除按照第78条至第82条约定所做的调整外，应按照合同约定的该项工作的单价（费率），并按照本条约定计量得到的工作量或工程量与适用的单价（费率）的乘积确定该项工作的价款。造价咨询人根据各个支付期所有各项工作的价款计算该支付期工程款或服务费，并将各支付期的价款汇总计算合同价格。但专用条款约定总价包干的项目，其各支付期计算的价款及累计金额，不得超过合同约定的资金支付计划相应支付节点的金额及累计金额，且各支付期汇总金额不得超过合同约定的总价及允许调整金额。</w:t>
      </w:r>
    </w:p>
    <w:p>
      <w:pPr>
        <w:pStyle w:val="22"/>
        <w:tabs>
          <w:tab w:val="left" w:pos="162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85" w:name="_Toc26293"/>
      <w:bookmarkStart w:id="986" w:name="_Toc13432"/>
      <w:bookmarkStart w:id="987" w:name="_Toc22194"/>
      <w:bookmarkStart w:id="988" w:name="_Toc31910"/>
      <w:bookmarkStart w:id="989" w:name="_Toc16923"/>
      <w:bookmarkStart w:id="990" w:name="_Toc4415"/>
      <w:bookmarkStart w:id="991" w:name="_Toc27555"/>
      <w:bookmarkStart w:id="992" w:name="_Toc28354"/>
      <w:r>
        <w:rPr>
          <w:rFonts w:hint="eastAsia" w:ascii="仿宋" w:hAnsi="仿宋" w:eastAsia="仿宋" w:cs="仿宋"/>
          <w:bCs w:val="0"/>
          <w:color w:val="auto"/>
          <w:sz w:val="24"/>
          <w:szCs w:val="24"/>
          <w:highlight w:val="none"/>
          <w:lang w:eastAsia="zh-CN"/>
        </w:rPr>
        <w:t>★73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暂列金额</w:t>
      </w:r>
      <w:bookmarkEnd w:id="985"/>
      <w:bookmarkEnd w:id="986"/>
      <w:bookmarkEnd w:id="987"/>
      <w:bookmarkEnd w:id="988"/>
      <w:bookmarkEnd w:id="989"/>
      <w:bookmarkEnd w:id="990"/>
      <w:bookmarkEnd w:id="991"/>
      <w:bookmarkEnd w:id="992"/>
    </w:p>
    <w:p>
      <w:pPr>
        <w:rPr>
          <w:rFonts w:ascii="仿宋" w:hAnsi="仿宋" w:eastAsia="仿宋" w:cs="仿宋"/>
          <w:b/>
          <w:bCs/>
          <w:color w:val="auto"/>
          <w:highlight w:val="none"/>
          <w:lang w:eastAsia="zh-CN"/>
        </w:rPr>
      </w:pPr>
      <w:bookmarkStart w:id="993" w:name="_Toc19770"/>
      <w:r>
        <w:rPr>
          <w:rFonts w:hint="eastAsia" w:ascii="仿宋" w:hAnsi="仿宋" w:eastAsia="仿宋" w:cs="仿宋"/>
          <w:b/>
          <w:bCs/>
          <w:color w:val="auto"/>
          <w:highlight w:val="none"/>
          <w:lang w:eastAsia="zh-CN"/>
        </w:rPr>
        <w:t>73</w:t>
      </w:r>
      <w:r>
        <w:rPr>
          <w:rFonts w:ascii="仿宋" w:hAnsi="仿宋" w:eastAsia="仿宋" w:cs="仿宋"/>
          <w:b/>
          <w:bCs/>
          <w:color w:val="auto"/>
          <w:highlight w:val="none"/>
          <w:lang w:eastAsia="zh-CN"/>
        </w:rPr>
        <w:t>.1</w:t>
      </w:r>
      <w:bookmarkEnd w:id="993"/>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869184" behindDoc="0" locked="0" layoutInCell="1" allowOverlap="1">
                <wp:simplePos x="0" y="0"/>
                <wp:positionH relativeFrom="column">
                  <wp:posOffset>-114300</wp:posOffset>
                </wp:positionH>
                <wp:positionV relativeFrom="paragraph">
                  <wp:posOffset>45720</wp:posOffset>
                </wp:positionV>
                <wp:extent cx="790575" cy="470535"/>
                <wp:effectExtent l="0" t="0" r="0" b="0"/>
                <wp:wrapNone/>
                <wp:docPr id="206" name="文本框 969"/>
                <wp:cNvGraphicFramePr/>
                <a:graphic xmlns:a="http://schemas.openxmlformats.org/drawingml/2006/main">
                  <a:graphicData uri="http://schemas.microsoft.com/office/word/2010/wordprocessingShape">
                    <wps:wsp>
                      <wps:cNvSpPr txBox="1"/>
                      <wps:spPr>
                        <a:xfrm>
                          <a:off x="0" y="0"/>
                          <a:ext cx="790575" cy="47053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暂列金额的用途</w:t>
                            </w:r>
                          </w:p>
                        </w:txbxContent>
                      </wps:txbx>
                      <wps:bodyPr wrap="square" upright="1"/>
                    </wps:wsp>
                  </a:graphicData>
                </a:graphic>
              </wp:anchor>
            </w:drawing>
          </mc:Choice>
          <mc:Fallback>
            <w:pict>
              <v:shape id="文本框 969" o:spid="_x0000_s1026" o:spt="202" type="#_x0000_t202" style="position:absolute;left:0pt;margin-left:-9pt;margin-top:3.6pt;height:37.05pt;width:62.25pt;z-index:251869184;mso-width-relative:page;mso-height-relative:page;" filled="f" stroked="f" coordsize="21600,21600" o:gfxdata="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RqHGO1gAAAAgBAAAPAAAAAAAAAAEAIAAAACIAAABkcnMvZG93bnJldi54bWxQSwECFAAU&#10;AAAACACHTuJAbOpyt7oBAABfAwAADgAAAAAAAAABACAAAAAl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暂列金额的用途</w:t>
                      </w:r>
                    </w:p>
                  </w:txbxContent>
                </v:textbox>
              </v:shape>
            </w:pict>
          </mc:Fallback>
        </mc:AlternateContent>
      </w:r>
      <w:r>
        <w:rPr>
          <w:rFonts w:hint="eastAsia" w:ascii="仿宋" w:hAnsi="仿宋" w:eastAsia="仿宋" w:cs="仿宋"/>
          <w:color w:val="auto"/>
          <w:highlight w:val="none"/>
          <w:lang w:eastAsia="zh-CN"/>
        </w:rPr>
        <w:t>合同双方当事人应在专用条款中明确合同价格清单中开列的暂列金额。</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暂列金额是用于实施合同工程的任一增加部分，或用于提供不可预见的工程材料和工程设备，或用于工程变更等允许调整事项发生的工程款调增，以及经确认的索赔、现场签证，或用于提供相关服务或意外事项的一笔款项。</w:t>
      </w:r>
    </w:p>
    <w:p>
      <w:pPr>
        <w:spacing w:line="360" w:lineRule="auto"/>
        <w:rPr>
          <w:rFonts w:ascii="仿宋" w:hAnsi="仿宋" w:eastAsia="仿宋"/>
          <w:b/>
          <w:bCs/>
          <w:color w:val="auto"/>
          <w:highlight w:val="none"/>
          <w:lang w:eastAsia="zh-CN"/>
        </w:rPr>
      </w:pPr>
      <w:bookmarkStart w:id="994" w:name="_Toc32231"/>
      <w:r>
        <w:rPr>
          <w:rFonts w:hint="eastAsia" w:ascii="仿宋" w:hAnsi="仿宋" w:eastAsia="仿宋" w:cs="仿宋"/>
          <w:b/>
          <w:bCs/>
          <w:color w:val="auto"/>
          <w:highlight w:val="none"/>
          <w:lang w:eastAsia="zh-CN"/>
        </w:rPr>
        <w:t>73</w:t>
      </w:r>
      <w:r>
        <w:rPr>
          <w:rFonts w:ascii="仿宋" w:hAnsi="仿宋" w:eastAsia="仿宋" w:cs="仿宋"/>
          <w:b/>
          <w:bCs/>
          <w:color w:val="auto"/>
          <w:highlight w:val="none"/>
          <w:lang w:eastAsia="zh-CN"/>
        </w:rPr>
        <w:t>.2</w:t>
      </w:r>
      <w:bookmarkEnd w:id="99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870208" behindDoc="0" locked="0" layoutInCell="1" allowOverlap="1">
                <wp:simplePos x="0" y="0"/>
                <wp:positionH relativeFrom="column">
                  <wp:posOffset>-133350</wp:posOffset>
                </wp:positionH>
                <wp:positionV relativeFrom="paragraph">
                  <wp:posOffset>99695</wp:posOffset>
                </wp:positionV>
                <wp:extent cx="857250" cy="537845"/>
                <wp:effectExtent l="0" t="0" r="0" b="0"/>
                <wp:wrapNone/>
                <wp:docPr id="207" name="文本框 970"/>
                <wp:cNvGraphicFramePr/>
                <a:graphic xmlns:a="http://schemas.openxmlformats.org/drawingml/2006/main">
                  <a:graphicData uri="http://schemas.microsoft.com/office/word/2010/wordprocessingShape">
                    <wps:wsp>
                      <wps:cNvSpPr txBox="1"/>
                      <wps:spPr>
                        <a:xfrm>
                          <a:off x="0" y="0"/>
                          <a:ext cx="857250" cy="53784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暂列金额的核实与支付</w:t>
                            </w:r>
                          </w:p>
                        </w:txbxContent>
                      </wps:txbx>
                      <wps:bodyPr wrap="square" upright="1"/>
                    </wps:wsp>
                  </a:graphicData>
                </a:graphic>
              </wp:anchor>
            </w:drawing>
          </mc:Choice>
          <mc:Fallback>
            <w:pict>
              <v:shape id="文本框 970" o:spid="_x0000_s1026" o:spt="202" type="#_x0000_t202" style="position:absolute;left:0pt;margin-left:-10.5pt;margin-top:7.85pt;height:42.35pt;width:67.5pt;z-index:251870208;mso-width-relative:page;mso-height-relative:page;" filled="f" stroked="f" coordsize="21600,21600" o:gfxdata="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8gVETNYAAAAKAQAADwAAAAAAAAABACAAAAAiAAAAZHJzL2Rvd25yZXYueG1sUEsBAhQAFAAA&#10;AAgAh07iQAMAmNy4AQAAXwMAAA4AAAAAAAAAAQAgAAAAJQEAAGRycy9lMm9Eb2MueG1sUEsFBgAA&#10;AAAGAAYAWQEAAE8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暂列金额的核实与支付</w:t>
                      </w:r>
                    </w:p>
                  </w:txbxContent>
                </v:textbox>
              </v:shape>
            </w:pict>
          </mc:Fallback>
        </mc:AlternateContent>
      </w:r>
      <w:r>
        <w:rPr>
          <w:rFonts w:hint="eastAsia" w:ascii="仿宋" w:hAnsi="仿宋" w:eastAsia="仿宋" w:cs="仿宋"/>
          <w:color w:val="auto"/>
          <w:sz w:val="24"/>
          <w:szCs w:val="24"/>
          <w:highlight w:val="none"/>
          <w:lang w:eastAsia="zh-CN"/>
        </w:rPr>
        <w:t>经发包人批准后，监理人应就承包人实施第73</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款约定的工作发出书面指令。承包人应就此项指令提出所需价款，经造价咨询人核实并由其报发包人确认后，向承包人支付相关款项。</w:t>
      </w:r>
    </w:p>
    <w:p>
      <w:pPr>
        <w:spacing w:line="360" w:lineRule="auto"/>
        <w:rPr>
          <w:rFonts w:ascii="仿宋" w:hAnsi="仿宋" w:eastAsia="仿宋"/>
          <w:b/>
          <w:bCs/>
          <w:color w:val="auto"/>
          <w:highlight w:val="none"/>
          <w:lang w:eastAsia="zh-CN"/>
        </w:rPr>
      </w:pPr>
      <w:bookmarkStart w:id="995" w:name="_Toc3441"/>
      <w:r>
        <w:rPr>
          <w:rFonts w:hint="eastAsia" w:ascii="仿宋" w:hAnsi="仿宋" w:eastAsia="仿宋" w:cs="仿宋"/>
          <w:b/>
          <w:bCs/>
          <w:color w:val="auto"/>
          <w:highlight w:val="none"/>
          <w:lang w:eastAsia="zh-CN"/>
        </w:rPr>
        <w:t>73</w:t>
      </w:r>
      <w:r>
        <w:rPr>
          <w:rFonts w:ascii="仿宋" w:hAnsi="仿宋" w:eastAsia="仿宋" w:cs="仿宋"/>
          <w:b/>
          <w:bCs/>
          <w:color w:val="auto"/>
          <w:highlight w:val="none"/>
          <w:lang w:eastAsia="zh-CN"/>
        </w:rPr>
        <w:t>.3</w:t>
      </w:r>
      <w:bookmarkEnd w:id="995"/>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71232" behindDoc="0" locked="0" layoutInCell="1" allowOverlap="1">
                <wp:simplePos x="0" y="0"/>
                <wp:positionH relativeFrom="column">
                  <wp:posOffset>-114300</wp:posOffset>
                </wp:positionH>
                <wp:positionV relativeFrom="paragraph">
                  <wp:posOffset>15875</wp:posOffset>
                </wp:positionV>
                <wp:extent cx="831850" cy="459105"/>
                <wp:effectExtent l="0" t="0" r="0" b="0"/>
                <wp:wrapNone/>
                <wp:docPr id="208" name="文本框 971"/>
                <wp:cNvGraphicFramePr/>
                <a:graphic xmlns:a="http://schemas.openxmlformats.org/drawingml/2006/main">
                  <a:graphicData uri="http://schemas.microsoft.com/office/word/2010/wordprocessingShape">
                    <wps:wsp>
                      <wps:cNvSpPr txBox="1"/>
                      <wps:spPr>
                        <a:xfrm>
                          <a:off x="0" y="0"/>
                          <a:ext cx="831850" cy="45910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提供暂列金额支付票据</w:t>
                            </w:r>
                          </w:p>
                        </w:txbxContent>
                      </wps:txbx>
                      <wps:bodyPr wrap="square" upright="1"/>
                    </wps:wsp>
                  </a:graphicData>
                </a:graphic>
              </wp:anchor>
            </w:drawing>
          </mc:Choice>
          <mc:Fallback>
            <w:pict>
              <v:shape id="文本框 971" o:spid="_x0000_s1026" o:spt="202" type="#_x0000_t202" style="position:absolute;left:0pt;margin-left:-9pt;margin-top:1.25pt;height:36.15pt;width:65.5pt;z-index:251871232;mso-width-relative:page;mso-height-relative:page;" filled="f" stroked="f" coordsize="21600,21600" o:gfxdata="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zK6imtUAAAAIAQAADwAAAAAAAAABACAAAAAiAAAAZHJzL2Rvd25yZXYueG1sUEsBAhQAFAAA&#10;AAgAh07iQF67uNu5AQAAXwMAAA4AAAAAAAAAAQAgAAAAJAEAAGRycy9lMm9Eb2MueG1sUEsFBgAA&#10;AAAGAAYAWQEAAE8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提供暂列金额支付票据</w:t>
                      </w:r>
                    </w:p>
                  </w:txbxContent>
                </v:textbox>
              </v:shape>
            </w:pict>
          </mc:Fallback>
        </mc:AlternateContent>
      </w:r>
      <w:r>
        <w:rPr>
          <w:rFonts w:hint="eastAsia" w:ascii="仿宋" w:hAnsi="仿宋" w:eastAsia="仿宋" w:cs="仿宋"/>
          <w:color w:val="auto"/>
          <w:sz w:val="24"/>
          <w:szCs w:val="24"/>
          <w:highlight w:val="none"/>
          <w:lang w:eastAsia="zh-CN"/>
        </w:rPr>
        <w:t>造价咨询人有要求时，承包人应提供使用暂列金额支付项目的所有报价单、发票、账单或收据。</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996" w:name="_Toc30140"/>
      <w:bookmarkStart w:id="997" w:name="_Toc27292"/>
      <w:bookmarkStart w:id="998" w:name="_Toc1216"/>
      <w:bookmarkStart w:id="999" w:name="_Toc19343"/>
      <w:bookmarkStart w:id="1000" w:name="_Toc6165"/>
      <w:bookmarkStart w:id="1001" w:name="_Toc7746"/>
      <w:bookmarkStart w:id="1002" w:name="_Toc23194"/>
      <w:bookmarkStart w:id="1003" w:name="_Toc6838"/>
      <w:r>
        <w:rPr>
          <w:rFonts w:hint="eastAsia" w:ascii="仿宋" w:hAnsi="仿宋" w:eastAsia="仿宋" w:cs="仿宋"/>
          <w:bCs w:val="0"/>
          <w:color w:val="auto"/>
          <w:sz w:val="24"/>
          <w:szCs w:val="24"/>
          <w:highlight w:val="none"/>
          <w:lang w:eastAsia="zh-CN"/>
        </w:rPr>
        <w:t>★74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计日工</w:t>
      </w:r>
      <w:bookmarkEnd w:id="996"/>
      <w:bookmarkEnd w:id="997"/>
      <w:bookmarkEnd w:id="998"/>
      <w:bookmarkEnd w:id="999"/>
      <w:bookmarkEnd w:id="1000"/>
      <w:bookmarkEnd w:id="1001"/>
      <w:bookmarkEnd w:id="1002"/>
      <w:bookmarkEnd w:id="1003"/>
    </w:p>
    <w:p>
      <w:pPr>
        <w:pStyle w:val="22"/>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74</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72256" behindDoc="0" locked="0" layoutInCell="1" allowOverlap="1">
                <wp:simplePos x="0" y="0"/>
                <wp:positionH relativeFrom="column">
                  <wp:posOffset>-114300</wp:posOffset>
                </wp:positionH>
                <wp:positionV relativeFrom="paragraph">
                  <wp:posOffset>15875</wp:posOffset>
                </wp:positionV>
                <wp:extent cx="794385" cy="424815"/>
                <wp:effectExtent l="0" t="0" r="0" b="0"/>
                <wp:wrapNone/>
                <wp:docPr id="209" name="文本框 972"/>
                <wp:cNvGraphicFramePr/>
                <a:graphic xmlns:a="http://schemas.openxmlformats.org/drawingml/2006/main">
                  <a:graphicData uri="http://schemas.microsoft.com/office/word/2010/wordprocessingShape">
                    <wps:wsp>
                      <wps:cNvSpPr txBox="1"/>
                      <wps:spPr>
                        <a:xfrm>
                          <a:off x="0" y="0"/>
                          <a:ext cx="794385" cy="42481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计日工单价的用途</w:t>
                            </w:r>
                          </w:p>
                        </w:txbxContent>
                      </wps:txbx>
                      <wps:bodyPr wrap="square" upright="1"/>
                    </wps:wsp>
                  </a:graphicData>
                </a:graphic>
              </wp:anchor>
            </w:drawing>
          </mc:Choice>
          <mc:Fallback>
            <w:pict>
              <v:shape id="文本框 972" o:spid="_x0000_s1026" o:spt="202" type="#_x0000_t202" style="position:absolute;left:0pt;margin-left:-9pt;margin-top:1.25pt;height:33.45pt;width:62.55pt;z-index:251872256;mso-width-relative:page;mso-height-relative:page;" filled="f" stroked="f" coordsize="21600,21600" o:gfxdata="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iQ28WNYAAAAIAQAADwAAAAAAAAABACAAAAAiAAAAZHJzL2Rvd25yZXYueG1sUEsBAhQA&#10;FAAAAAgAh07iQPgFgOG7AQAAXwMAAA4AAAAAAAAAAQAgAAAAJQ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计日工单价的用途</w:t>
                      </w:r>
                    </w:p>
                  </w:txbxContent>
                </v:textbox>
              </v:shape>
            </w:pict>
          </mc:Fallback>
        </mc:AlternateContent>
      </w:r>
      <w:r>
        <w:rPr>
          <w:rFonts w:hint="eastAsia" w:ascii="仿宋" w:hAnsi="仿宋" w:eastAsia="仿宋" w:cs="仿宋"/>
          <w:color w:val="auto"/>
          <w:sz w:val="24"/>
          <w:szCs w:val="24"/>
          <w:highlight w:val="none"/>
          <w:lang w:eastAsia="zh-CN"/>
        </w:rPr>
        <w:t>计日工单价是用于承包人实施发包人要求的合同以外零星工作项目所需的人工单价、工程材料单价、工程设备单价和施工设备机械台班单价。</w:t>
      </w:r>
    </w:p>
    <w:p>
      <w:pPr>
        <w:pStyle w:val="22"/>
        <w:adjustRightInd w:val="0"/>
        <w:snapToGrid w:val="0"/>
        <w:spacing w:line="480" w:lineRule="auto"/>
        <w:rPr>
          <w:rFonts w:ascii="仿宋" w:hAnsi="仿宋" w:eastAsia="仿宋"/>
          <w:color w:val="auto"/>
          <w:sz w:val="24"/>
          <w:szCs w:val="24"/>
          <w:highlight w:val="none"/>
          <w:lang w:eastAsia="zh-CN"/>
        </w:rPr>
      </w:pPr>
      <w:r>
        <w:rPr>
          <w:rFonts w:hint="eastAsia" w:ascii="仿宋" w:hAnsi="仿宋" w:eastAsia="仿宋" w:cs="仿宋"/>
          <w:b/>
          <w:bCs/>
          <w:color w:val="auto"/>
          <w:sz w:val="24"/>
          <w:szCs w:val="24"/>
          <w:highlight w:val="none"/>
          <w:lang w:eastAsia="zh-CN"/>
        </w:rPr>
        <w:t>74</w:t>
      </w:r>
      <w:r>
        <w:rPr>
          <w:rFonts w:ascii="仿宋" w:hAnsi="仿宋" w:eastAsia="仿宋" w:cs="仿宋"/>
          <w:b/>
          <w:bCs/>
          <w:color w:val="auto"/>
          <w:sz w:val="24"/>
          <w:szCs w:val="24"/>
          <w:highlight w:val="none"/>
          <w:lang w:eastAsia="zh-CN"/>
        </w:rPr>
        <w:t xml:space="preserve">.2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经发包人批准后，监理人应就使用计日工项目发出书面指令。</w:t>
      </w:r>
      <w:r>
        <w:rPr>
          <w:color w:val="auto"/>
          <w:highlight w:val="none"/>
        </w:rPr>
        <mc:AlternateContent>
          <mc:Choice Requires="wps">
            <w:drawing>
              <wp:anchor distT="0" distB="0" distL="114300" distR="114300" simplePos="0" relativeHeight="251873280" behindDoc="0" locked="0" layoutInCell="1" allowOverlap="1">
                <wp:simplePos x="0" y="0"/>
                <wp:positionH relativeFrom="column">
                  <wp:posOffset>-114300</wp:posOffset>
                </wp:positionH>
                <wp:positionV relativeFrom="paragraph">
                  <wp:posOffset>14605</wp:posOffset>
                </wp:positionV>
                <wp:extent cx="861060" cy="506730"/>
                <wp:effectExtent l="0" t="0" r="0" b="0"/>
                <wp:wrapNone/>
                <wp:docPr id="210" name="文本框 973"/>
                <wp:cNvGraphicFramePr/>
                <a:graphic xmlns:a="http://schemas.openxmlformats.org/drawingml/2006/main">
                  <a:graphicData uri="http://schemas.microsoft.com/office/word/2010/wordprocessingShape">
                    <wps:wsp>
                      <wps:cNvSpPr txBox="1"/>
                      <wps:spPr>
                        <a:xfrm>
                          <a:off x="0" y="0"/>
                          <a:ext cx="861060" cy="50673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计日工的确认</w:t>
                            </w:r>
                          </w:p>
                        </w:txbxContent>
                      </wps:txbx>
                      <wps:bodyPr wrap="square" upright="1"/>
                    </wps:wsp>
                  </a:graphicData>
                </a:graphic>
              </wp:anchor>
            </w:drawing>
          </mc:Choice>
          <mc:Fallback>
            <w:pict>
              <v:shape id="文本框 973" o:spid="_x0000_s1026" o:spt="202" type="#_x0000_t202" style="position:absolute;left:0pt;margin-left:-9pt;margin-top:1.15pt;height:39.9pt;width:67.8pt;z-index:251873280;mso-width-relative:page;mso-height-relative:page;" filled="f" stroked="f" coordsize="21600,21600" o:gfxdata="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KV/mf/VAAAACAEAAA8AAAAAAAAAAQAgAAAAIgAAAGRycy9kb3ducmV2LnhtbFBLAQIUABQA&#10;AAAIAIdO4kDnovdUugEAAF8DAAAOAAAAAAAAAAEAIAAAACQ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计日工的确认</w:t>
                      </w:r>
                    </w:p>
                  </w:txbxContent>
                </v:textbox>
              </v:shape>
            </w:pict>
          </mc:Fallback>
        </mc:AlternateContent>
      </w:r>
      <w:r>
        <w:rPr>
          <w:rFonts w:hint="eastAsia" w:ascii="仿宋" w:hAnsi="仿宋" w:eastAsia="仿宋" w:cs="仿宋"/>
          <w:color w:val="auto"/>
          <w:sz w:val="24"/>
          <w:szCs w:val="24"/>
          <w:highlight w:val="none"/>
          <w:lang w:eastAsia="zh-CN"/>
        </w:rPr>
        <w:t>任一按照计日工方式计价的工作，承包人应在该项工作实施结束后的</w:t>
      </w:r>
      <w:r>
        <w:rPr>
          <w:rFonts w:ascii="仿宋" w:hAnsi="仿宋" w:eastAsia="仿宋" w:cs="仿宋"/>
          <w:color w:val="auto"/>
          <w:sz w:val="24"/>
          <w:szCs w:val="24"/>
          <w:highlight w:val="none"/>
          <w:lang w:eastAsia="zh-CN"/>
        </w:rPr>
        <w:t>24</w:t>
      </w:r>
      <w:r>
        <w:rPr>
          <w:rFonts w:hint="eastAsia" w:ascii="仿宋" w:hAnsi="仿宋" w:eastAsia="仿宋" w:cs="仿宋"/>
          <w:color w:val="auto"/>
          <w:sz w:val="24"/>
          <w:szCs w:val="24"/>
          <w:highlight w:val="none"/>
          <w:lang w:eastAsia="zh-CN"/>
        </w:rPr>
        <w:t>小时内，向监理人提交有计日工记录的现场签证报告一式两份。</w:t>
      </w:r>
    </w:p>
    <w:p>
      <w:pPr>
        <w:pStyle w:val="22"/>
        <w:adjustRightInd w:val="0"/>
        <w:snapToGrid w:val="0"/>
        <w:spacing w:line="360" w:lineRule="auto"/>
        <w:ind w:left="1800" w:leftChars="750"/>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当此工作持续进行时，承包人应每天向监理人提交当天计日工记录完毕的现场签证报告。监理人在收到承包人提交现场签证报告后的</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天内予以确认并由其报发包人批准后，将其中一份返还给承包人，作为计日工计价和支付的依据。监理人逾期未确认也未提出修改意见的，视为承包人提交的现场签证报告已被认可。</w:t>
      </w:r>
    </w:p>
    <w:p>
      <w:pPr>
        <w:spacing w:line="360" w:lineRule="auto"/>
        <w:rPr>
          <w:rFonts w:ascii="仿宋" w:hAnsi="仿宋" w:eastAsia="仿宋"/>
          <w:b/>
          <w:bCs/>
          <w:color w:val="auto"/>
          <w:highlight w:val="none"/>
          <w:lang w:eastAsia="zh-CN"/>
        </w:rPr>
      </w:pPr>
      <w:bookmarkStart w:id="1004" w:name="_Toc27830"/>
      <w:r>
        <w:rPr>
          <w:rFonts w:hint="eastAsia" w:ascii="仿宋" w:hAnsi="仿宋" w:eastAsia="仿宋" w:cs="仿宋"/>
          <w:b/>
          <w:bCs/>
          <w:color w:val="auto"/>
          <w:highlight w:val="none"/>
          <w:lang w:eastAsia="zh-CN"/>
        </w:rPr>
        <w:t>74</w:t>
      </w:r>
      <w:r>
        <w:rPr>
          <w:rFonts w:ascii="仿宋" w:hAnsi="仿宋" w:eastAsia="仿宋" w:cs="仿宋"/>
          <w:b/>
          <w:bCs/>
          <w:color w:val="auto"/>
          <w:highlight w:val="none"/>
          <w:lang w:eastAsia="zh-CN"/>
        </w:rPr>
        <w:t>.3</w:t>
      </w:r>
      <w:bookmarkEnd w:id="100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74304" behindDoc="0" locked="0" layoutInCell="1" allowOverlap="1">
                <wp:simplePos x="0" y="0"/>
                <wp:positionH relativeFrom="column">
                  <wp:posOffset>-114300</wp:posOffset>
                </wp:positionH>
                <wp:positionV relativeFrom="paragraph">
                  <wp:posOffset>5080</wp:posOffset>
                </wp:positionV>
                <wp:extent cx="823595" cy="496570"/>
                <wp:effectExtent l="0" t="0" r="0" b="0"/>
                <wp:wrapNone/>
                <wp:docPr id="211" name="文本框 974"/>
                <wp:cNvGraphicFramePr/>
                <a:graphic xmlns:a="http://schemas.openxmlformats.org/drawingml/2006/main">
                  <a:graphicData uri="http://schemas.microsoft.com/office/word/2010/wordprocessingShape">
                    <wps:wsp>
                      <wps:cNvSpPr txBox="1"/>
                      <wps:spPr>
                        <a:xfrm>
                          <a:off x="0" y="0"/>
                          <a:ext cx="823595" cy="49657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计日工的支付</w:t>
                            </w:r>
                          </w:p>
                        </w:txbxContent>
                      </wps:txbx>
                      <wps:bodyPr wrap="square" upright="1"/>
                    </wps:wsp>
                  </a:graphicData>
                </a:graphic>
              </wp:anchor>
            </w:drawing>
          </mc:Choice>
          <mc:Fallback>
            <w:pict>
              <v:shape id="文本框 974" o:spid="_x0000_s1026" o:spt="202" type="#_x0000_t202" style="position:absolute;left:0pt;margin-left:-9pt;margin-top:0.4pt;height:39.1pt;width:64.85pt;z-index:251874304;mso-width-relative:page;mso-height-relative:page;" filled="f" stroked="f" coordsize="21600,21600" o:gfxdata="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B75so1AAAAAcBAAAPAAAAAAAAAAEAIAAAACIAAABkcnMvZG93bnJldi54bWxQSwECFAAU&#10;AAAACACHTuJA6WwHTrwBAABfAwAADgAAAAAAAAABACAAAAAj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计日工的支付</w:t>
                      </w:r>
                    </w:p>
                  </w:txbxContent>
                </v:textbox>
              </v:shape>
            </w:pict>
          </mc:Fallback>
        </mc:AlternateContent>
      </w:r>
      <w:r>
        <w:rPr>
          <w:rFonts w:hint="eastAsia" w:ascii="仿宋" w:hAnsi="仿宋" w:eastAsia="仿宋" w:cs="仿宋"/>
          <w:color w:val="auto"/>
          <w:sz w:val="24"/>
          <w:szCs w:val="24"/>
          <w:highlight w:val="none"/>
          <w:lang w:eastAsia="zh-CN"/>
        </w:rPr>
        <w:t>计日工工作，应从暂列金额中支付。造价咨询人应按照监理人确认的现场签证报告核实该类项目的数量，并根据核实的数量和合同价格清单中填报的计日工单价的乘积计算应付价款，经合同双方当事人确认后，与工程进度款同期支付。</w:t>
      </w:r>
    </w:p>
    <w:p>
      <w:pPr>
        <w:pStyle w:val="22"/>
        <w:adjustRightInd w:val="0"/>
        <w:snapToGrid w:val="0"/>
        <w:spacing w:line="360" w:lineRule="auto"/>
        <w:ind w:left="1850" w:leftChars="771"/>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每个支付期末，承包人应按照第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款约定向发包人提交本期间所有计日工记录的签证汇总表，以说明本期间自己认为有权得到的计日工费用。</w:t>
      </w:r>
    </w:p>
    <w:p>
      <w:pPr>
        <w:pStyle w:val="22"/>
        <w:tabs>
          <w:tab w:val="left" w:pos="540"/>
        </w:tabs>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05" w:name="_Toc26288"/>
      <w:bookmarkStart w:id="1006" w:name="_Toc15514"/>
      <w:bookmarkStart w:id="1007" w:name="_Toc21087"/>
      <w:bookmarkStart w:id="1008" w:name="_Toc3813"/>
      <w:bookmarkStart w:id="1009" w:name="_Toc16173"/>
      <w:bookmarkStart w:id="1010" w:name="_Toc14925"/>
      <w:bookmarkStart w:id="1011" w:name="_Toc9851"/>
      <w:bookmarkStart w:id="1012" w:name="_Toc24862"/>
      <w:r>
        <w:rPr>
          <w:rFonts w:hint="eastAsia" w:ascii="仿宋" w:hAnsi="仿宋" w:eastAsia="仿宋" w:cs="仿宋"/>
          <w:bCs w:val="0"/>
          <w:color w:val="auto"/>
          <w:sz w:val="24"/>
          <w:szCs w:val="24"/>
          <w:highlight w:val="none"/>
          <w:lang w:eastAsia="zh-CN"/>
        </w:rPr>
        <w:t>★75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暂估价</w:t>
      </w:r>
      <w:bookmarkEnd w:id="1005"/>
      <w:bookmarkEnd w:id="1006"/>
      <w:bookmarkEnd w:id="1007"/>
      <w:bookmarkEnd w:id="1008"/>
      <w:bookmarkEnd w:id="1009"/>
      <w:bookmarkEnd w:id="1010"/>
      <w:bookmarkEnd w:id="1011"/>
      <w:bookmarkEnd w:id="1012"/>
    </w:p>
    <w:p>
      <w:pPr>
        <w:pStyle w:val="22"/>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2056576" behindDoc="0" locked="0" layoutInCell="1" allowOverlap="1">
                <wp:simplePos x="0" y="0"/>
                <wp:positionH relativeFrom="column">
                  <wp:posOffset>-133350</wp:posOffset>
                </wp:positionH>
                <wp:positionV relativeFrom="paragraph">
                  <wp:posOffset>320040</wp:posOffset>
                </wp:positionV>
                <wp:extent cx="784225" cy="932180"/>
                <wp:effectExtent l="0" t="0" r="0" b="0"/>
                <wp:wrapNone/>
                <wp:docPr id="389" name="文本框 975"/>
                <wp:cNvGraphicFramePr/>
                <a:graphic xmlns:a="http://schemas.openxmlformats.org/drawingml/2006/main">
                  <a:graphicData uri="http://schemas.microsoft.com/office/word/2010/wordprocessingShape">
                    <wps:wsp>
                      <wps:cNvSpPr txBox="1"/>
                      <wps:spPr>
                        <a:xfrm>
                          <a:off x="0" y="0"/>
                          <a:ext cx="784225" cy="932180"/>
                        </a:xfrm>
                        <a:prstGeom prst="rect">
                          <a:avLst/>
                        </a:prstGeom>
                        <a:noFill/>
                        <a:ln>
                          <a:noFill/>
                        </a:ln>
                      </wps:spPr>
                      <wps:txbx>
                        <w:txbxContent>
                          <w:p>
                            <w:pPr>
                              <w:pStyle w:val="17"/>
                              <w:spacing w:line="20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依法必须招标的工程材料、工程设备或专业工程暂估价的约定</w:t>
                            </w:r>
                          </w:p>
                          <w:p>
                            <w:pPr>
                              <w:rPr>
                                <w:rFonts w:ascii="楷体_GB2312" w:hAnsi="宋体" w:eastAsia="楷体_GB2312"/>
                                <w:b/>
                                <w:bCs/>
                                <w:color w:val="000000"/>
                                <w:sz w:val="18"/>
                                <w:szCs w:val="18"/>
                                <w:lang w:eastAsia="zh-CN"/>
                              </w:rPr>
                            </w:pPr>
                          </w:p>
                          <w:p>
                            <w:pPr>
                              <w:rPr>
                                <w:sz w:val="18"/>
                                <w:szCs w:val="18"/>
                                <w:lang w:eastAsia="zh-CN"/>
                              </w:rPr>
                            </w:pPr>
                          </w:p>
                        </w:txbxContent>
                      </wps:txbx>
                      <wps:bodyPr wrap="square" upright="1"/>
                    </wps:wsp>
                  </a:graphicData>
                </a:graphic>
              </wp:anchor>
            </w:drawing>
          </mc:Choice>
          <mc:Fallback>
            <w:pict>
              <v:shape id="文本框 975" o:spid="_x0000_s1026" o:spt="202" type="#_x0000_t202" style="position:absolute;left:0pt;margin-left:-10.5pt;margin-top:25.2pt;height:73.4pt;width:61.75pt;z-index:252056576;mso-width-relative:page;mso-height-relative:page;" filled="f" stroked="f" coordsize="21600,21600" o:gfxdata="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Tg+bTdgAAAAKAQAADwAAAAAAAAABACAAAAAiAAAAZHJzL2Rvd25yZXYueG1sUEsB&#10;AhQAFAAAAAgAh07iQDYORN+8AQAAXwMAAA4AAAAAAAAAAQAgAAAAJwEAAGRycy9lMm9Eb2MueG1s&#10;UEsFBgAAAAAGAAYAWQEAAFUFAAAAAA==&#10;">
                <v:fill on="f" focussize="0,0"/>
                <v:stroke on="f"/>
                <v:imagedata o:title=""/>
                <o:lock v:ext="edit" aspectratio="f"/>
                <v:textbox>
                  <w:txbxContent>
                    <w:p>
                      <w:pPr>
                        <w:pStyle w:val="17"/>
                        <w:spacing w:line="200" w:lineRule="exact"/>
                        <w:rPr>
                          <w:rFonts w:ascii="楷体_GB2312" w:hAnsi="宋体" w:eastAsia="楷体_GB2312" w:cs="楷体_GB2312"/>
                          <w:b/>
                          <w:bCs/>
                          <w:color w:val="000000"/>
                          <w:sz w:val="18"/>
                          <w:szCs w:val="18"/>
                          <w:lang w:eastAsia="zh-CN"/>
                        </w:rPr>
                      </w:pPr>
                      <w:r>
                        <w:rPr>
                          <w:rFonts w:hint="eastAsia" w:ascii="楷体_GB2312" w:hAnsi="宋体" w:eastAsia="楷体_GB2312" w:cs="楷体_GB2312"/>
                          <w:b/>
                          <w:bCs/>
                          <w:color w:val="000000"/>
                          <w:sz w:val="18"/>
                          <w:szCs w:val="18"/>
                          <w:lang w:eastAsia="zh-CN"/>
                        </w:rPr>
                        <w:t>依法必须招标的工程材料、工程设备或专业工程暂估价的约定</w:t>
                      </w:r>
                    </w:p>
                    <w:p>
                      <w:pPr>
                        <w:rPr>
                          <w:rFonts w:ascii="楷体_GB2312" w:hAnsi="宋体" w:eastAsia="楷体_GB2312"/>
                          <w:b/>
                          <w:bCs/>
                          <w:color w:val="000000"/>
                          <w:sz w:val="18"/>
                          <w:szCs w:val="18"/>
                          <w:lang w:eastAsia="zh-CN"/>
                        </w:rPr>
                      </w:pPr>
                    </w:p>
                    <w:p>
                      <w:pPr>
                        <w:rPr>
                          <w:sz w:val="18"/>
                          <w:szCs w:val="18"/>
                          <w:lang w:eastAsia="zh-CN"/>
                        </w:rPr>
                      </w:pPr>
                    </w:p>
                  </w:txbxContent>
                </v:textbox>
              </v:shape>
            </w:pict>
          </mc:Fallback>
        </mc:AlternateContent>
      </w:r>
      <w:r>
        <w:rPr>
          <w:rFonts w:hint="eastAsia" w:ascii="仿宋" w:hAnsi="仿宋" w:eastAsia="仿宋" w:cs="仿宋"/>
          <w:b/>
          <w:bCs/>
          <w:color w:val="auto"/>
          <w:sz w:val="24"/>
          <w:szCs w:val="24"/>
          <w:highlight w:val="none"/>
          <w:lang w:eastAsia="zh-CN"/>
        </w:rPr>
        <w:t>75</w:t>
      </w:r>
      <w:r>
        <w:rPr>
          <w:rFonts w:ascii="仿宋" w:hAnsi="仿宋" w:eastAsia="仿宋" w:cs="仿宋"/>
          <w:b/>
          <w:bCs/>
          <w:color w:val="auto"/>
          <w:sz w:val="24"/>
          <w:szCs w:val="24"/>
          <w:highlight w:val="none"/>
          <w:lang w:eastAsia="zh-CN"/>
        </w:rPr>
        <w:t>.1</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在合同价格清单中给定暂估价的工程材料、工程设备或专业工程，达到依法必须招标的规模、标准的，由承包人作为招标主体会同发包人共同选择供应商或分包人。合同双方当事人应在专用条款中约定各自的权利和义务。供应商或分包人的中标价格以及相应的税金等其他费用，应代替</w:t>
      </w:r>
      <w:r>
        <w:rPr>
          <w:rFonts w:ascii="仿宋" w:hAnsi="仿宋" w:eastAsia="仿宋" w:cs="仿宋"/>
          <w:color w:val="auto"/>
          <w:sz w:val="24"/>
          <w:szCs w:val="24"/>
          <w:highlight w:val="none"/>
          <w:lang w:eastAsia="zh-CN"/>
        </w:rPr>
        <w:t>暂估价</w:t>
      </w:r>
      <w:r>
        <w:rPr>
          <w:rFonts w:hint="eastAsia" w:ascii="仿宋" w:hAnsi="仿宋" w:eastAsia="仿宋" w:cs="仿宋"/>
          <w:color w:val="auto"/>
          <w:sz w:val="24"/>
          <w:szCs w:val="24"/>
          <w:highlight w:val="none"/>
          <w:lang w:eastAsia="zh-CN"/>
        </w:rPr>
        <w:t>计入合同价格。</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75</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75328" behindDoc="0" locked="0" layoutInCell="1" allowOverlap="1">
                <wp:simplePos x="0" y="0"/>
                <wp:positionH relativeFrom="column">
                  <wp:posOffset>-114300</wp:posOffset>
                </wp:positionH>
                <wp:positionV relativeFrom="paragraph">
                  <wp:posOffset>42545</wp:posOffset>
                </wp:positionV>
                <wp:extent cx="857250" cy="982345"/>
                <wp:effectExtent l="0" t="0" r="0" b="0"/>
                <wp:wrapNone/>
                <wp:docPr id="212" name="文本框 976"/>
                <wp:cNvGraphicFramePr/>
                <a:graphic xmlns:a="http://schemas.openxmlformats.org/drawingml/2006/main">
                  <a:graphicData uri="http://schemas.microsoft.com/office/word/2010/wordprocessingShape">
                    <wps:wsp>
                      <wps:cNvSpPr txBox="1"/>
                      <wps:spPr>
                        <a:xfrm>
                          <a:off x="0" y="0"/>
                          <a:ext cx="857250" cy="982345"/>
                        </a:xfrm>
                        <a:prstGeom prst="rect">
                          <a:avLst/>
                        </a:prstGeom>
                        <a:noFill/>
                        <a:ln>
                          <a:noFill/>
                        </a:ln>
                      </wps:spPr>
                      <wps:txbx>
                        <w:txbxContent>
                          <w:p>
                            <w:pPr>
                              <w:pStyle w:val="17"/>
                              <w:spacing w:line="200" w:lineRule="exact"/>
                              <w:rPr>
                                <w:lang w:eastAsia="zh-CN"/>
                              </w:rPr>
                            </w:pPr>
                            <w:r>
                              <w:rPr>
                                <w:rFonts w:hint="eastAsia" w:ascii="楷体_GB2312" w:hAnsi="宋体" w:eastAsia="楷体_GB2312" w:cs="楷体_GB2312"/>
                                <w:b/>
                                <w:bCs/>
                                <w:color w:val="000000"/>
                                <w:sz w:val="18"/>
                                <w:szCs w:val="18"/>
                                <w:lang w:eastAsia="zh-CN"/>
                              </w:rPr>
                              <w:t>依法不需要招标的工程材料和工程设备暂估价的约定</w:t>
                            </w:r>
                          </w:p>
                        </w:txbxContent>
                      </wps:txbx>
                      <wps:bodyPr wrap="square" upright="1"/>
                    </wps:wsp>
                  </a:graphicData>
                </a:graphic>
              </wp:anchor>
            </w:drawing>
          </mc:Choice>
          <mc:Fallback>
            <w:pict>
              <v:shape id="文本框 976" o:spid="_x0000_s1026" o:spt="202" type="#_x0000_t202" style="position:absolute;left:0pt;margin-left:-9pt;margin-top:3.35pt;height:77.35pt;width:67.5pt;z-index:251875328;mso-width-relative:page;mso-height-relative:page;" filled="f" stroked="f" coordsize="21600,21600" o:gfxdata="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50rnb1gAAAAkBAAAPAAAAAAAAAAEAIAAAACIAAABkcnMvZG93bnJldi54bWxQSwECFAAU&#10;AAAACACHTuJAhsna1boBAABfAwAADgAAAAAAAAABACAAAAAlAQAAZHJzL2Uyb0RvYy54bWxQSwUG&#10;AAAAAAYABgBZAQAAUQUAAAAA&#10;">
                <v:fill on="f" focussize="0,0"/>
                <v:stroke on="f"/>
                <v:imagedata o:title=""/>
                <o:lock v:ext="edit" aspectratio="f"/>
                <v:textbox>
                  <w:txbxContent>
                    <w:p>
                      <w:pPr>
                        <w:pStyle w:val="17"/>
                        <w:spacing w:line="200" w:lineRule="exact"/>
                        <w:rPr>
                          <w:lang w:eastAsia="zh-CN"/>
                        </w:rPr>
                      </w:pPr>
                      <w:r>
                        <w:rPr>
                          <w:rFonts w:hint="eastAsia" w:ascii="楷体_GB2312" w:hAnsi="宋体" w:eastAsia="楷体_GB2312" w:cs="楷体_GB2312"/>
                          <w:b/>
                          <w:bCs/>
                          <w:color w:val="000000"/>
                          <w:sz w:val="18"/>
                          <w:szCs w:val="18"/>
                          <w:lang w:eastAsia="zh-CN"/>
                        </w:rPr>
                        <w:t>依法不需要招标的工程材料和工程设备暂估价的约定</w:t>
                      </w:r>
                    </w:p>
                  </w:txbxContent>
                </v:textbox>
              </v:shape>
            </w:pict>
          </mc:Fallback>
        </mc:AlternateContent>
      </w:r>
      <w:r>
        <w:rPr>
          <w:rFonts w:hint="eastAsia" w:ascii="仿宋" w:hAnsi="仿宋" w:eastAsia="仿宋" w:cs="仿宋"/>
          <w:color w:val="auto"/>
          <w:sz w:val="24"/>
          <w:szCs w:val="24"/>
          <w:highlight w:val="none"/>
          <w:lang w:eastAsia="zh-CN"/>
        </w:rPr>
        <w:t>发包人在合同价格清单中给定暂估价的工程材料和工程设备，未达到依法必须招标的规模、标准的，由承包人按照第56条约定采购。经监理人、造价咨询人确认的工程材料和工程设备价格以及相应的税金等其他费用，应代替</w:t>
      </w:r>
      <w:r>
        <w:rPr>
          <w:rFonts w:ascii="仿宋" w:hAnsi="仿宋" w:eastAsia="仿宋" w:cs="仿宋"/>
          <w:color w:val="auto"/>
          <w:sz w:val="24"/>
          <w:szCs w:val="24"/>
          <w:highlight w:val="none"/>
          <w:lang w:eastAsia="zh-CN"/>
        </w:rPr>
        <w:t>暂估价</w:t>
      </w:r>
      <w:r>
        <w:rPr>
          <w:rFonts w:hint="eastAsia" w:ascii="仿宋" w:hAnsi="仿宋" w:eastAsia="仿宋" w:cs="仿宋"/>
          <w:color w:val="auto"/>
          <w:sz w:val="24"/>
          <w:szCs w:val="24"/>
          <w:highlight w:val="none"/>
          <w:lang w:eastAsia="zh-CN"/>
        </w:rPr>
        <w:t>计入合同价格。</w:t>
      </w:r>
    </w:p>
    <w:p>
      <w:pPr>
        <w:pStyle w:val="22"/>
        <w:adjustRightInd w:val="0"/>
        <w:snapToGrid w:val="0"/>
        <w:spacing w:line="360" w:lineRule="auto"/>
        <w:rPr>
          <w:rFonts w:ascii="仿宋" w:hAnsi="仿宋" w:eastAsia="仿宋"/>
          <w:b/>
          <w:bCs/>
          <w:color w:val="auto"/>
          <w:sz w:val="24"/>
          <w:szCs w:val="24"/>
          <w:highlight w:val="none"/>
          <w:lang w:eastAsia="zh-CN"/>
        </w:rPr>
      </w:pPr>
      <w:bookmarkStart w:id="1013" w:name="_Toc27828"/>
      <w:r>
        <w:rPr>
          <w:rFonts w:hint="eastAsia" w:ascii="仿宋" w:hAnsi="仿宋" w:eastAsia="仿宋" w:cs="仿宋"/>
          <w:b/>
          <w:bCs/>
          <w:color w:val="auto"/>
          <w:sz w:val="24"/>
          <w:szCs w:val="24"/>
          <w:highlight w:val="none"/>
          <w:lang w:eastAsia="zh-CN"/>
        </w:rPr>
        <w:t>75</w:t>
      </w:r>
      <w:r>
        <w:rPr>
          <w:rFonts w:ascii="仿宋" w:hAnsi="仿宋" w:eastAsia="仿宋" w:cs="仿宋"/>
          <w:b/>
          <w:bCs/>
          <w:color w:val="auto"/>
          <w:sz w:val="24"/>
          <w:szCs w:val="24"/>
          <w:highlight w:val="none"/>
          <w:lang w:eastAsia="zh-CN"/>
        </w:rPr>
        <w:t>.3</w:t>
      </w:r>
      <w:bookmarkEnd w:id="1013"/>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876352" behindDoc="0" locked="0" layoutInCell="1" allowOverlap="1">
                <wp:simplePos x="0" y="0"/>
                <wp:positionH relativeFrom="column">
                  <wp:posOffset>-66675</wp:posOffset>
                </wp:positionH>
                <wp:positionV relativeFrom="paragraph">
                  <wp:posOffset>71755</wp:posOffset>
                </wp:positionV>
                <wp:extent cx="845820" cy="819785"/>
                <wp:effectExtent l="0" t="0" r="0" b="0"/>
                <wp:wrapNone/>
                <wp:docPr id="213" name="文本框 977"/>
                <wp:cNvGraphicFramePr/>
                <a:graphic xmlns:a="http://schemas.openxmlformats.org/drawingml/2006/main">
                  <a:graphicData uri="http://schemas.microsoft.com/office/word/2010/wordprocessingShape">
                    <wps:wsp>
                      <wps:cNvSpPr txBox="1"/>
                      <wps:spPr>
                        <a:xfrm>
                          <a:off x="0" y="0"/>
                          <a:ext cx="845820" cy="819785"/>
                        </a:xfrm>
                        <a:prstGeom prst="rect">
                          <a:avLst/>
                        </a:prstGeom>
                        <a:noFill/>
                        <a:ln>
                          <a:noFill/>
                        </a:ln>
                      </wps:spPr>
                      <wps:txb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依法不需要招标的专业工程暂估价的约定</w:t>
                            </w:r>
                          </w:p>
                        </w:txbxContent>
                      </wps:txbx>
                      <wps:bodyPr wrap="square" upright="1"/>
                    </wps:wsp>
                  </a:graphicData>
                </a:graphic>
              </wp:anchor>
            </w:drawing>
          </mc:Choice>
          <mc:Fallback>
            <w:pict>
              <v:shape id="文本框 977" o:spid="_x0000_s1026" o:spt="202" type="#_x0000_t202" style="position:absolute;left:0pt;margin-left:-5.25pt;margin-top:5.65pt;height:64.55pt;width:66.6pt;z-index:251876352;mso-width-relative:page;mso-height-relative:page;" filled="f" stroked="f" coordsize="21600,21600" o:gfxdata="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7KmIPtcAAAAKAQAADwAAAAAAAAABACAAAAAiAAAAZHJzL2Rvd25yZXYueG1sUEsBAhQA&#10;FAAAAAgAh07iQOZG/mC6AQAAXwMAAA4AAAAAAAAAAQAgAAAAJg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依法不需要招标的专业工程暂估价的约定</w:t>
                      </w:r>
                    </w:p>
                  </w:txbxContent>
                </v:textbox>
              </v:shape>
            </w:pict>
          </mc:Fallback>
        </mc:AlternateContent>
      </w:r>
      <w:r>
        <w:rPr>
          <w:rFonts w:hint="eastAsia" w:ascii="仿宋" w:hAnsi="仿宋" w:eastAsia="仿宋" w:cs="仿宋"/>
          <w:color w:val="auto"/>
          <w:sz w:val="24"/>
          <w:szCs w:val="24"/>
          <w:highlight w:val="none"/>
          <w:lang w:eastAsia="zh-CN"/>
        </w:rPr>
        <w:t>发包人在合同价格清单中给定暂估价的专业工程，未达到依法必须招标的规模及标准的，除专用条款另有约定外，由造价咨询人与承包人按照第79.3款约定确定专业工程价格。经确认的专业工程价格以及相应的税金等其他费用，应代替</w:t>
      </w:r>
      <w:r>
        <w:rPr>
          <w:rFonts w:ascii="仿宋" w:hAnsi="仿宋" w:eastAsia="仿宋" w:cs="仿宋"/>
          <w:color w:val="auto"/>
          <w:sz w:val="24"/>
          <w:szCs w:val="24"/>
          <w:highlight w:val="none"/>
          <w:lang w:eastAsia="zh-CN"/>
        </w:rPr>
        <w:t>暂估价</w:t>
      </w:r>
      <w:r>
        <w:rPr>
          <w:rFonts w:hint="eastAsia" w:ascii="仿宋" w:hAnsi="仿宋" w:eastAsia="仿宋" w:cs="仿宋"/>
          <w:color w:val="auto"/>
          <w:sz w:val="24"/>
          <w:szCs w:val="24"/>
          <w:highlight w:val="none"/>
          <w:lang w:eastAsia="zh-CN"/>
        </w:rPr>
        <w:t>计入合同价格。</w:t>
      </w:r>
    </w:p>
    <w:p>
      <w:pPr>
        <w:pStyle w:val="22"/>
        <w:tabs>
          <w:tab w:val="left" w:pos="3038"/>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14" w:name="_Toc20647"/>
      <w:bookmarkStart w:id="1015" w:name="_Toc7719"/>
      <w:bookmarkStart w:id="1016" w:name="_Toc21800"/>
      <w:bookmarkStart w:id="1017" w:name="_Toc28272"/>
      <w:bookmarkStart w:id="1018" w:name="_Toc15822"/>
      <w:bookmarkStart w:id="1019" w:name="_Toc23801"/>
      <w:bookmarkStart w:id="1020" w:name="_Toc24093"/>
      <w:bookmarkStart w:id="1021" w:name="_Toc23869"/>
      <w:r>
        <w:rPr>
          <w:rFonts w:hint="eastAsia" w:ascii="仿宋" w:hAnsi="仿宋" w:eastAsia="仿宋" w:cs="仿宋"/>
          <w:bCs w:val="0"/>
          <w:color w:val="auto"/>
          <w:sz w:val="24"/>
          <w:szCs w:val="24"/>
          <w:highlight w:val="none"/>
          <w:lang w:eastAsia="zh-CN"/>
        </w:rPr>
        <w:t>★76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提前竣工奖与误期赔偿费</w:t>
      </w:r>
      <w:bookmarkEnd w:id="1014"/>
      <w:bookmarkEnd w:id="1015"/>
      <w:bookmarkEnd w:id="1016"/>
      <w:bookmarkEnd w:id="1017"/>
      <w:bookmarkEnd w:id="1018"/>
      <w:bookmarkEnd w:id="1019"/>
      <w:bookmarkEnd w:id="1020"/>
      <w:bookmarkEnd w:id="1021"/>
    </w:p>
    <w:p>
      <w:pPr>
        <w:rPr>
          <w:rFonts w:ascii="仿宋" w:hAnsi="仿宋" w:eastAsia="仿宋" w:cs="仿宋"/>
          <w:b/>
          <w:bCs/>
          <w:color w:val="auto"/>
          <w:highlight w:val="none"/>
          <w:lang w:eastAsia="zh-CN"/>
        </w:rPr>
      </w:pPr>
      <w:bookmarkStart w:id="1022" w:name="_Toc23082"/>
      <w:r>
        <w:rPr>
          <w:rFonts w:hint="eastAsia" w:ascii="仿宋" w:hAnsi="仿宋" w:eastAsia="仿宋" w:cs="仿宋"/>
          <w:b/>
          <w:bCs/>
          <w:color w:val="auto"/>
          <w:highlight w:val="none"/>
          <w:lang w:eastAsia="zh-CN"/>
        </w:rPr>
        <w:t>76</w:t>
      </w:r>
      <w:r>
        <w:rPr>
          <w:rFonts w:ascii="仿宋" w:hAnsi="仿宋" w:eastAsia="仿宋" w:cs="仿宋"/>
          <w:b/>
          <w:bCs/>
          <w:color w:val="auto"/>
          <w:highlight w:val="none"/>
          <w:lang w:eastAsia="zh-CN"/>
        </w:rPr>
        <w:t>.1</w:t>
      </w:r>
      <w:bookmarkEnd w:id="1022"/>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77376" behindDoc="0" locked="0" layoutInCell="1" allowOverlap="1">
                <wp:simplePos x="0" y="0"/>
                <wp:positionH relativeFrom="column">
                  <wp:posOffset>-114300</wp:posOffset>
                </wp:positionH>
                <wp:positionV relativeFrom="paragraph">
                  <wp:posOffset>30480</wp:posOffset>
                </wp:positionV>
                <wp:extent cx="800100" cy="415925"/>
                <wp:effectExtent l="0" t="0" r="0" b="0"/>
                <wp:wrapNone/>
                <wp:docPr id="214" name="文本框 978"/>
                <wp:cNvGraphicFramePr/>
                <a:graphic xmlns:a="http://schemas.openxmlformats.org/drawingml/2006/main">
                  <a:graphicData uri="http://schemas.microsoft.com/office/word/2010/wordprocessingShape">
                    <wps:wsp>
                      <wps:cNvSpPr txBox="1"/>
                      <wps:spPr>
                        <a:xfrm>
                          <a:off x="0" y="0"/>
                          <a:ext cx="800100" cy="41592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提前竣工奖</w:t>
                            </w:r>
                          </w:p>
                        </w:txbxContent>
                      </wps:txbx>
                      <wps:bodyPr wrap="square" upright="1"/>
                    </wps:wsp>
                  </a:graphicData>
                </a:graphic>
              </wp:anchor>
            </w:drawing>
          </mc:Choice>
          <mc:Fallback>
            <w:pict>
              <v:shape id="文本框 978" o:spid="_x0000_s1026" o:spt="202" type="#_x0000_t202" style="position:absolute;left:0pt;margin-left:-9pt;margin-top:2.4pt;height:32.75pt;width:63pt;z-index:251877376;mso-width-relative:page;mso-height-relative:page;" filled="f" stroked="f" coordsize="21600,21600" o:gfxdata="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q4x71AAAAAgBAAAPAAAAAAAAAAEAIAAAACIAAABkcnMvZG93bnJldi54bWxQSwECFAAUAAAA&#10;CACHTuJAQuF2fLkBAABfAwAADgAAAAAAAAABACAAAAAjAQAAZHJzL2Uyb0RvYy54bWxQSwUGAAAA&#10;AAYABgBZAQAATg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提前竣工奖</w:t>
                      </w:r>
                    </w:p>
                  </w:txbxContent>
                </v:textbox>
              </v:shape>
            </w:pict>
          </mc:Fallback>
        </mc:AlternateContent>
      </w:r>
      <w:r>
        <w:rPr>
          <w:rFonts w:hint="eastAsia" w:ascii="仿宋" w:hAnsi="仿宋" w:eastAsia="仿宋" w:cs="仿宋"/>
          <w:color w:val="auto"/>
          <w:sz w:val="24"/>
          <w:szCs w:val="24"/>
          <w:highlight w:val="none"/>
          <w:lang w:eastAsia="zh-CN"/>
        </w:rPr>
        <w:t>合同双方当事人可在专用条款中约定提前竣工奖，明确每日历天应奖额度。约定提前竣工奖的，如果承包人的实际竣工日期早于计划竣工日期，承包人有权向发包人提出并得到提前竣工天数和专用条款约定的每日历天应奖额度的乘积计算的提前竣工奖。除专用条款另有约定外，提前竣工奖的最高限额为合同价格的</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。提前竣工奖列入竣工结算文件中，与结算款一并支付。</w:t>
      </w:r>
    </w:p>
    <w:p>
      <w:pPr>
        <w:rPr>
          <w:rFonts w:ascii="仿宋" w:hAnsi="仿宋" w:eastAsia="仿宋"/>
          <w:b/>
          <w:bCs/>
          <w:color w:val="auto"/>
          <w:highlight w:val="none"/>
          <w:lang w:eastAsia="zh-CN"/>
        </w:rPr>
      </w:pPr>
      <w:bookmarkStart w:id="1023" w:name="_Toc21897"/>
      <w:r>
        <w:rPr>
          <w:rFonts w:hint="eastAsia" w:ascii="仿宋" w:hAnsi="仿宋" w:eastAsia="仿宋" w:cs="仿宋"/>
          <w:b/>
          <w:bCs/>
          <w:color w:val="auto"/>
          <w:highlight w:val="none"/>
          <w:lang w:eastAsia="zh-CN"/>
        </w:rPr>
        <w:t>76</w:t>
      </w:r>
      <w:r>
        <w:rPr>
          <w:rFonts w:ascii="仿宋" w:hAnsi="仿宋" w:eastAsia="仿宋" w:cs="仿宋"/>
          <w:b/>
          <w:bCs/>
          <w:color w:val="auto"/>
          <w:highlight w:val="none"/>
          <w:lang w:eastAsia="zh-CN"/>
        </w:rPr>
        <w:t>.2</w:t>
      </w:r>
      <w:bookmarkEnd w:id="102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460" w:lineRule="exact"/>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78400" behindDoc="0" locked="0" layoutInCell="1" allowOverlap="1">
                <wp:simplePos x="0" y="0"/>
                <wp:positionH relativeFrom="column">
                  <wp:posOffset>-114300</wp:posOffset>
                </wp:positionH>
                <wp:positionV relativeFrom="paragraph">
                  <wp:posOffset>16510</wp:posOffset>
                </wp:positionV>
                <wp:extent cx="785495" cy="466090"/>
                <wp:effectExtent l="0" t="0" r="0" b="0"/>
                <wp:wrapNone/>
                <wp:docPr id="215" name="文本框 979"/>
                <wp:cNvGraphicFramePr/>
                <a:graphic xmlns:a="http://schemas.openxmlformats.org/drawingml/2006/main">
                  <a:graphicData uri="http://schemas.microsoft.com/office/word/2010/wordprocessingShape">
                    <wps:wsp>
                      <wps:cNvSpPr txBox="1"/>
                      <wps:spPr>
                        <a:xfrm>
                          <a:off x="0" y="0"/>
                          <a:ext cx="785495" cy="46609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误期赔偿费</w:t>
                            </w:r>
                          </w:p>
                        </w:txbxContent>
                      </wps:txbx>
                      <wps:bodyPr wrap="square" upright="1"/>
                    </wps:wsp>
                  </a:graphicData>
                </a:graphic>
              </wp:anchor>
            </w:drawing>
          </mc:Choice>
          <mc:Fallback>
            <w:pict>
              <v:shape id="文本框 979" o:spid="_x0000_s1026" o:spt="202" type="#_x0000_t202" style="position:absolute;left:0pt;margin-left:-9pt;margin-top:1.3pt;height:36.7pt;width:61.85pt;z-index:251878400;mso-width-relative:page;mso-height-relative:page;" filled="f" stroked="f" coordsize="21600,21600" o:gfxdata="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1y9DidYAAAAIAQAADwAAAAAAAAABACAAAAAiAAAAZHJzL2Rvd25yZXYueG1sUEsBAhQA&#10;FAAAAAgAh07iQGWNuF+7AQAAXwMAAA4AAAAAAAAAAQAgAAAAJQ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误期赔偿费</w:t>
                      </w:r>
                    </w:p>
                  </w:txbxContent>
                </v:textbox>
              </v:shape>
            </w:pict>
          </mc:Fallback>
        </mc:AlternateContent>
      </w:r>
      <w:r>
        <w:rPr>
          <w:rFonts w:hint="eastAsia" w:ascii="仿宋" w:hAnsi="仿宋" w:eastAsia="仿宋" w:cs="仿宋"/>
          <w:color w:val="auto"/>
          <w:sz w:val="24"/>
          <w:szCs w:val="24"/>
          <w:highlight w:val="none"/>
          <w:lang w:eastAsia="zh-CN"/>
        </w:rPr>
        <w:t>合同双方当事人应在专用条款中约定勘察（如果有）、设计、BIM技术应用、设备及工器具购置（如果有）、施工等各阶段工期及合同总工期的误期赔偿费，明确每日历天应赔额度。如果承包人的实际进度迟于计划进度，发包人有权向承包人索取并得到实际延误天数和专用条款约定的每日历天应赔额度的乘积计算的误期赔偿费。除专用条款另有约定外，误期赔偿费的最高限额为合同价格的</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。误期赔偿费列入进度支付文件或竣工结算文件中，在进度款或结算款中扣除。</w:t>
      </w:r>
    </w:p>
    <w:p>
      <w:pPr>
        <w:pStyle w:val="22"/>
        <w:widowControl w:val="0"/>
        <w:adjustRightInd w:val="0"/>
        <w:snapToGrid w:val="0"/>
        <w:spacing w:line="460" w:lineRule="exact"/>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果在工程竣工之前，合同工程内的某单项工程已通过了竣工验收或某项服务已通过合同约定的质量标准或发包人要求，且该单项工程接收证书中标明的竣工日期并未延误或某项服务的书面证明并未延误，而是合同工程的其他部分产生了工期延误，则误期赔偿费应按照已颁发工程接收证书的单位项工程造价或某项服务占合同价格的比例幅度予以扣减。</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24" w:name="_Toc15706"/>
      <w:bookmarkStart w:id="1025" w:name="_Toc22838"/>
      <w:bookmarkStart w:id="1026" w:name="_Toc21941"/>
      <w:bookmarkStart w:id="1027" w:name="_Toc692"/>
      <w:bookmarkStart w:id="1028" w:name="_Toc25799"/>
      <w:bookmarkStart w:id="1029" w:name="_Toc1926"/>
      <w:bookmarkStart w:id="1030" w:name="_Toc10757"/>
      <w:bookmarkStart w:id="1031" w:name="_Toc19502"/>
      <w:r>
        <w:rPr>
          <w:rFonts w:hint="eastAsia" w:ascii="仿宋" w:hAnsi="仿宋" w:eastAsia="仿宋" w:cs="仿宋"/>
          <w:bCs w:val="0"/>
          <w:color w:val="auto"/>
          <w:sz w:val="24"/>
          <w:szCs w:val="24"/>
          <w:highlight w:val="none"/>
          <w:lang w:eastAsia="zh-CN"/>
        </w:rPr>
        <w:t>★77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优质优价费用</w:t>
      </w:r>
      <w:bookmarkEnd w:id="1024"/>
      <w:bookmarkEnd w:id="1025"/>
      <w:bookmarkEnd w:id="1026"/>
      <w:bookmarkEnd w:id="1027"/>
      <w:bookmarkEnd w:id="1028"/>
      <w:bookmarkEnd w:id="1029"/>
      <w:bookmarkEnd w:id="1030"/>
      <w:bookmarkEnd w:id="1031"/>
    </w:p>
    <w:p>
      <w:pPr>
        <w:rPr>
          <w:rFonts w:ascii="仿宋" w:hAnsi="仿宋" w:eastAsia="仿宋" w:cs="仿宋"/>
          <w:b/>
          <w:bCs/>
          <w:color w:val="auto"/>
          <w:highlight w:val="none"/>
          <w:lang w:eastAsia="zh-CN"/>
        </w:rPr>
      </w:pPr>
      <w:bookmarkStart w:id="1032" w:name="_Toc3293"/>
      <w:r>
        <w:rPr>
          <w:rFonts w:hint="eastAsia" w:ascii="仿宋" w:hAnsi="仿宋" w:eastAsia="仿宋" w:cs="仿宋"/>
          <w:b/>
          <w:bCs/>
          <w:color w:val="auto"/>
          <w:highlight w:val="none"/>
          <w:lang w:eastAsia="zh-CN"/>
        </w:rPr>
        <w:t>77</w:t>
      </w:r>
      <w:r>
        <w:rPr>
          <w:rFonts w:ascii="仿宋" w:hAnsi="仿宋" w:eastAsia="仿宋" w:cs="仿宋"/>
          <w:b/>
          <w:bCs/>
          <w:color w:val="auto"/>
          <w:highlight w:val="none"/>
          <w:lang w:eastAsia="zh-CN"/>
        </w:rPr>
        <w:t>.1</w:t>
      </w:r>
      <w:bookmarkEnd w:id="1032"/>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79424" behindDoc="0" locked="0" layoutInCell="1" allowOverlap="1">
                <wp:simplePos x="0" y="0"/>
                <wp:positionH relativeFrom="column">
                  <wp:posOffset>-114300</wp:posOffset>
                </wp:positionH>
                <wp:positionV relativeFrom="paragraph">
                  <wp:posOffset>30480</wp:posOffset>
                </wp:positionV>
                <wp:extent cx="818515" cy="511175"/>
                <wp:effectExtent l="0" t="0" r="0" b="0"/>
                <wp:wrapNone/>
                <wp:docPr id="216" name="文本框 980"/>
                <wp:cNvGraphicFramePr/>
                <a:graphic xmlns:a="http://schemas.openxmlformats.org/drawingml/2006/main">
                  <a:graphicData uri="http://schemas.microsoft.com/office/word/2010/wordprocessingShape">
                    <wps:wsp>
                      <wps:cNvSpPr txBox="1"/>
                      <wps:spPr>
                        <a:xfrm>
                          <a:off x="0" y="0"/>
                          <a:ext cx="818515" cy="51117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lang w:eastAsia="zh-CN"/>
                              </w:rPr>
                              <w:t>优质优价费用</w:t>
                            </w:r>
                            <w:r>
                              <w:rPr>
                                <w:rFonts w:hint="eastAsia" w:ascii="楷体_GB2312" w:hAnsi="宋体" w:eastAsia="楷体_GB2312" w:cs="楷体_GB2312"/>
                                <w:b/>
                                <w:bCs/>
                                <w:color w:val="000000"/>
                                <w:sz w:val="18"/>
                                <w:szCs w:val="18"/>
                              </w:rPr>
                              <w:t>的约定</w:t>
                            </w:r>
                          </w:p>
                        </w:txbxContent>
                      </wps:txbx>
                      <wps:bodyPr wrap="square" upright="1"/>
                    </wps:wsp>
                  </a:graphicData>
                </a:graphic>
              </wp:anchor>
            </w:drawing>
          </mc:Choice>
          <mc:Fallback>
            <w:pict>
              <v:shape id="文本框 980" o:spid="_x0000_s1026" o:spt="202" type="#_x0000_t202" style="position:absolute;left:0pt;margin-left:-9pt;margin-top:2.4pt;height:40.25pt;width:64.45pt;z-index:251879424;mso-width-relative:page;mso-height-relative:page;" filled="f" stroked="f" coordsize="21600,21600" o:gfxdata="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ICLXe1QAAAAgBAAAPAAAAAAAAAAEAIAAAACIAAABkcnMvZG93bnJldi54bWxQSwECFAAUAAAA&#10;CACHTuJAM4SMAbgBAABfAwAADgAAAAAAAAABACAAAAAkAQAAZHJzL2Uyb0RvYy54bWxQSwUGAAAA&#10;AAYABgBZAQAATg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lang w:eastAsia="zh-CN"/>
                        </w:rPr>
                        <w:t>优质优价费用</w:t>
                      </w:r>
                      <w:r>
                        <w:rPr>
                          <w:rFonts w:hint="eastAsia" w:ascii="楷体_GB2312" w:hAnsi="宋体" w:eastAsia="楷体_GB2312" w:cs="楷体_GB2312"/>
                          <w:b/>
                          <w:bCs/>
                          <w:color w:val="000000"/>
                          <w:sz w:val="18"/>
                          <w:szCs w:val="18"/>
                        </w:rPr>
                        <w:t>的约定</w:t>
                      </w:r>
                    </w:p>
                  </w:txbxContent>
                </v:textbox>
              </v:shape>
            </w:pict>
          </mc:Fallback>
        </mc:AlternateContent>
      </w:r>
      <w:r>
        <w:rPr>
          <w:rFonts w:hint="eastAsia" w:ascii="仿宋" w:hAnsi="仿宋" w:eastAsia="仿宋" w:cs="仿宋"/>
          <w:color w:val="auto"/>
          <w:sz w:val="24"/>
          <w:szCs w:val="24"/>
          <w:highlight w:val="none"/>
          <w:lang w:eastAsia="zh-CN"/>
        </w:rPr>
        <w:t>合同双方当事人可在专用条款中约定优质优价费用，明确合同优质优价费用的计算方法。约定优质优价费用的，如果承包人实施、完成合同质量高于国家规定或合同约定的质量验收合格标准的，承包人有权向发包人提出并得到专用条款约定的优质优价费用。</w:t>
      </w:r>
    </w:p>
    <w:p>
      <w:pPr>
        <w:spacing w:line="360" w:lineRule="auto"/>
        <w:rPr>
          <w:rFonts w:ascii="仿宋" w:hAnsi="仿宋" w:eastAsia="仿宋"/>
          <w:b/>
          <w:bCs/>
          <w:color w:val="auto"/>
          <w:highlight w:val="none"/>
          <w:lang w:eastAsia="zh-CN"/>
        </w:rPr>
      </w:pPr>
      <w:bookmarkStart w:id="1033" w:name="_Toc14393"/>
      <w:r>
        <w:rPr>
          <w:rFonts w:hint="eastAsia" w:ascii="仿宋" w:hAnsi="仿宋" w:eastAsia="仿宋" w:cs="仿宋"/>
          <w:b/>
          <w:bCs/>
          <w:color w:val="auto"/>
          <w:highlight w:val="none"/>
          <w:lang w:eastAsia="zh-CN"/>
        </w:rPr>
        <w:t>77</w:t>
      </w:r>
      <w:r>
        <w:rPr>
          <w:rFonts w:ascii="仿宋" w:hAnsi="仿宋" w:eastAsia="仿宋" w:cs="仿宋"/>
          <w:b/>
          <w:bCs/>
          <w:color w:val="auto"/>
          <w:highlight w:val="none"/>
          <w:lang w:eastAsia="zh-CN"/>
        </w:rPr>
        <w:t>.2</w:t>
      </w:r>
      <w:bookmarkEnd w:id="103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880448" behindDoc="0" locked="0" layoutInCell="1" allowOverlap="1">
                <wp:simplePos x="0" y="0"/>
                <wp:positionH relativeFrom="column">
                  <wp:posOffset>-114300</wp:posOffset>
                </wp:positionH>
                <wp:positionV relativeFrom="paragraph">
                  <wp:posOffset>12065</wp:posOffset>
                </wp:positionV>
                <wp:extent cx="775335" cy="800100"/>
                <wp:effectExtent l="0" t="0" r="0" b="0"/>
                <wp:wrapNone/>
                <wp:docPr id="217" name="文本框 981"/>
                <wp:cNvGraphicFramePr/>
                <a:graphic xmlns:a="http://schemas.openxmlformats.org/drawingml/2006/main">
                  <a:graphicData uri="http://schemas.microsoft.com/office/word/2010/wordprocessingShape">
                    <wps:wsp>
                      <wps:cNvSpPr txBox="1"/>
                      <wps:spPr>
                        <a:xfrm>
                          <a:off x="0" y="0"/>
                          <a:ext cx="775335" cy="800100"/>
                        </a:xfrm>
                        <a:prstGeom prst="rect">
                          <a:avLst/>
                        </a:prstGeom>
                        <a:noFill/>
                        <a:ln>
                          <a:noFill/>
                        </a:ln>
                      </wps:spPr>
                      <wps:txb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优质优价费用计提与支付</w:t>
                            </w:r>
                          </w:p>
                        </w:txbxContent>
                      </wps:txbx>
                      <wps:bodyPr wrap="square" upright="1"/>
                    </wps:wsp>
                  </a:graphicData>
                </a:graphic>
              </wp:anchor>
            </w:drawing>
          </mc:Choice>
          <mc:Fallback>
            <w:pict>
              <v:shape id="文本框 981" o:spid="_x0000_s1026" o:spt="202" type="#_x0000_t202" style="position:absolute;left:0pt;margin-left:-9pt;margin-top:0.95pt;height:63pt;width:61.05pt;z-index:251880448;mso-width-relative:page;mso-height-relative:page;" filled="f" stroked="f" coordsize="21600,21600" o:gfxdata="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DgKmc1gAAAAkBAAAPAAAAAAAAAAEAIAAAACIAAABkcnMvZG93bnJldi54bWxQSwECFAAU&#10;AAAACACHTuJAqnUHcLoBAABfAwAADgAAAAAAAAABACAAAAAl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优质优价费用计提与支付</w:t>
                      </w:r>
                    </w:p>
                  </w:txbxContent>
                </v:textbox>
              </v:shape>
            </w:pict>
          </mc:Fallback>
        </mc:AlternateContent>
      </w:r>
      <w:r>
        <w:rPr>
          <w:rFonts w:hint="eastAsia" w:ascii="仿宋" w:hAnsi="仿宋" w:eastAsia="仿宋" w:cs="仿宋"/>
          <w:color w:val="auto"/>
          <w:sz w:val="24"/>
          <w:szCs w:val="24"/>
          <w:highlight w:val="none"/>
          <w:lang w:eastAsia="zh-CN"/>
        </w:rPr>
        <w:t>除专用条款另有约定外，工程质量的国家级质量奖、省级质量奖、市级质量奖、其他质量奖项的优质优价费用，按照招标发包工程的中标通知书日期（直接发包工程按合同签订日期）同时期执行的省、市有关的工程优质费计费标准计算。当合同工程同时获得上述多个奖项的，工程优质费只按最高奖项的额度计算。工程勘察设计及其它优质优价费用的计算标准在专用条款中约定，每一奖项只按最高奖项的额度计算。优质优价费用计入竣工结算文件中，与竣工结算款一并支付。在竣工结算后且在专用条款约定时间内获得优质奖项的，发包人应在获得奖项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天内支付；超过约定时间后获得的，发包人有权不予支付。</w:t>
      </w:r>
    </w:p>
    <w:p>
      <w:pPr>
        <w:pStyle w:val="22"/>
        <w:tabs>
          <w:tab w:val="left" w:pos="348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34" w:name="_Toc469384053"/>
      <w:bookmarkStart w:id="1035" w:name="_Toc19944"/>
      <w:bookmarkStart w:id="1036" w:name="_Toc30507"/>
      <w:bookmarkStart w:id="1037" w:name="_Toc17499"/>
      <w:bookmarkStart w:id="1038" w:name="_Toc17608"/>
      <w:bookmarkStart w:id="1039" w:name="_Toc2415"/>
      <w:bookmarkStart w:id="1040" w:name="_Toc3777"/>
      <w:bookmarkStart w:id="1041" w:name="_Toc14740"/>
      <w:bookmarkStart w:id="1042" w:name="_Toc30466"/>
      <w:r>
        <w:rPr>
          <w:rFonts w:hint="eastAsia" w:ascii="仿宋" w:hAnsi="仿宋" w:eastAsia="仿宋" w:cs="仿宋"/>
          <w:bCs w:val="0"/>
          <w:color w:val="auto"/>
          <w:sz w:val="24"/>
          <w:szCs w:val="24"/>
          <w:highlight w:val="none"/>
          <w:lang w:eastAsia="zh-CN"/>
        </w:rPr>
        <w:t>★78</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后继法律变化</w:t>
      </w:r>
      <w:bookmarkEnd w:id="1034"/>
      <w:r>
        <w:rPr>
          <w:rFonts w:hint="eastAsia" w:ascii="仿宋" w:hAnsi="仿宋" w:eastAsia="仿宋" w:cs="仿宋"/>
          <w:bCs w:val="0"/>
          <w:color w:val="auto"/>
          <w:sz w:val="24"/>
          <w:szCs w:val="24"/>
          <w:highlight w:val="none"/>
          <w:lang w:eastAsia="zh-CN"/>
        </w:rPr>
        <w:t>引起的价格调整</w:t>
      </w:r>
      <w:bookmarkEnd w:id="1035"/>
      <w:bookmarkEnd w:id="1036"/>
      <w:bookmarkEnd w:id="1037"/>
      <w:bookmarkEnd w:id="1038"/>
      <w:bookmarkEnd w:id="1039"/>
      <w:bookmarkEnd w:id="1040"/>
      <w:bookmarkEnd w:id="1041"/>
      <w:bookmarkEnd w:id="1042"/>
    </w:p>
    <w:p>
      <w:pPr>
        <w:rPr>
          <w:rFonts w:ascii="仿宋" w:hAnsi="仿宋" w:eastAsia="仿宋" w:cs="仿宋"/>
          <w:b/>
          <w:bCs/>
          <w:color w:val="auto"/>
          <w:highlight w:val="none"/>
          <w:lang w:eastAsia="zh-CN"/>
        </w:rPr>
      </w:pPr>
      <w:bookmarkStart w:id="1043" w:name="_Toc24565"/>
      <w:r>
        <w:rPr>
          <w:color w:val="auto"/>
          <w:highlight w:val="none"/>
        </w:rPr>
        <mc:AlternateContent>
          <mc:Choice Requires="wps">
            <w:drawing>
              <wp:anchor distT="0" distB="0" distL="114300" distR="114300" simplePos="0" relativeHeight="252057600" behindDoc="0" locked="0" layoutInCell="1" allowOverlap="1">
                <wp:simplePos x="0" y="0"/>
                <wp:positionH relativeFrom="column">
                  <wp:posOffset>-133350</wp:posOffset>
                </wp:positionH>
                <wp:positionV relativeFrom="paragraph">
                  <wp:posOffset>273685</wp:posOffset>
                </wp:positionV>
                <wp:extent cx="812800" cy="608330"/>
                <wp:effectExtent l="0" t="0" r="0" b="0"/>
                <wp:wrapNone/>
                <wp:docPr id="390" name="文本框 986"/>
                <wp:cNvGraphicFramePr/>
                <a:graphic xmlns:a="http://schemas.openxmlformats.org/drawingml/2006/main">
                  <a:graphicData uri="http://schemas.microsoft.com/office/word/2010/wordprocessingShape">
                    <wps:wsp>
                      <wps:cNvSpPr txBox="1"/>
                      <wps:spPr>
                        <a:xfrm>
                          <a:off x="0" y="0"/>
                          <a:ext cx="812800" cy="608330"/>
                        </a:xfrm>
                        <a:prstGeom prst="rect">
                          <a:avLst/>
                        </a:prstGeom>
                        <a:noFill/>
                        <a:ln>
                          <a:noFill/>
                        </a:ln>
                      </wps:spPr>
                      <wps:txb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后继法律变化的价款调整</w:t>
                            </w:r>
                          </w:p>
                        </w:txbxContent>
                      </wps:txbx>
                      <wps:bodyPr wrap="square" upright="1"/>
                    </wps:wsp>
                  </a:graphicData>
                </a:graphic>
              </wp:anchor>
            </w:drawing>
          </mc:Choice>
          <mc:Fallback>
            <w:pict>
              <v:shape id="文本框 986" o:spid="_x0000_s1026" o:spt="202" type="#_x0000_t202" style="position:absolute;left:0pt;margin-left:-10.5pt;margin-top:21.55pt;height:47.9pt;width:64pt;z-index:252057600;mso-width-relative:page;mso-height-relative:page;" filled="f" stroked="f" coordsize="21600,21600" o:gfxdata="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6FAyE1wAAAAoBAAAPAAAAAAAAAAEAIAAAACIAAABkcnMvZG93bnJldi54bWxQSwECFAAU&#10;AAAACACHTuJAT9rz+rkBAABfAwAADgAAAAAAAAABACAAAAAm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后继法律变化的价款调整</w:t>
                      </w:r>
                    </w:p>
                  </w:txbxContent>
                </v:textbox>
              </v:shape>
            </w:pict>
          </mc:Fallback>
        </mc:AlternateContent>
      </w:r>
      <w:r>
        <w:rPr>
          <w:rFonts w:hint="eastAsia" w:ascii="仿宋" w:hAnsi="仿宋" w:eastAsia="仿宋" w:cs="仿宋"/>
          <w:b/>
          <w:bCs/>
          <w:color w:val="auto"/>
          <w:highlight w:val="none"/>
          <w:lang w:eastAsia="zh-CN"/>
        </w:rPr>
        <w:t>78</w:t>
      </w:r>
      <w:r>
        <w:rPr>
          <w:rFonts w:ascii="仿宋" w:hAnsi="仿宋" w:eastAsia="仿宋" w:cs="仿宋"/>
          <w:b/>
          <w:bCs/>
          <w:color w:val="auto"/>
          <w:highlight w:val="none"/>
          <w:lang w:eastAsia="zh-CN"/>
        </w:rPr>
        <w:t>.1</w:t>
      </w:r>
      <w:bookmarkEnd w:id="1043"/>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合同履行期间，出现国家或省颁布的法律和政策在合同工程基准日期后发生变化，且因执行上述法律和政策引起除第82条约定以外的合同价格增减事项的，合同双方当事人应调整合同价格。</w:t>
      </w:r>
    </w:p>
    <w:p>
      <w:pPr>
        <w:spacing w:line="360" w:lineRule="auto"/>
        <w:rPr>
          <w:rFonts w:ascii="仿宋" w:hAnsi="仿宋" w:eastAsia="仿宋" w:cs="仿宋"/>
          <w:b/>
          <w:bCs/>
          <w:color w:val="auto"/>
          <w:highlight w:val="none"/>
          <w:u w:val="dotted"/>
          <w:lang w:eastAsia="zh-CN"/>
        </w:rPr>
      </w:pPr>
      <w:bookmarkStart w:id="1044" w:name="_Toc8596"/>
      <w:r>
        <w:rPr>
          <w:rFonts w:hint="eastAsia" w:ascii="仿宋" w:hAnsi="仿宋" w:eastAsia="仿宋" w:cs="仿宋"/>
          <w:b/>
          <w:bCs/>
          <w:color w:val="auto"/>
          <w:highlight w:val="none"/>
          <w:lang w:eastAsia="zh-CN"/>
        </w:rPr>
        <w:t>78</w:t>
      </w:r>
      <w:r>
        <w:rPr>
          <w:rFonts w:ascii="仿宋" w:hAnsi="仿宋" w:eastAsia="仿宋" w:cs="仿宋"/>
          <w:b/>
          <w:bCs/>
          <w:color w:val="auto"/>
          <w:highlight w:val="none"/>
          <w:lang w:eastAsia="zh-CN"/>
        </w:rPr>
        <w:t>.2</w:t>
      </w:r>
      <w:bookmarkEnd w:id="104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81472" behindDoc="0" locked="0" layoutInCell="1" allowOverlap="1">
                <wp:simplePos x="0" y="0"/>
                <wp:positionH relativeFrom="column">
                  <wp:posOffset>-114300</wp:posOffset>
                </wp:positionH>
                <wp:positionV relativeFrom="paragraph">
                  <wp:posOffset>15875</wp:posOffset>
                </wp:positionV>
                <wp:extent cx="775970" cy="417830"/>
                <wp:effectExtent l="0" t="0" r="0" b="0"/>
                <wp:wrapNone/>
                <wp:docPr id="218" name="文本框 987"/>
                <wp:cNvGraphicFramePr/>
                <a:graphic xmlns:a="http://schemas.openxmlformats.org/drawingml/2006/main">
                  <a:graphicData uri="http://schemas.microsoft.com/office/word/2010/wordprocessingShape">
                    <wps:wsp>
                      <wps:cNvSpPr txBox="1"/>
                      <wps:spPr>
                        <a:xfrm>
                          <a:off x="0" y="0"/>
                          <a:ext cx="775970" cy="41783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调整价款的方法</w:t>
                            </w:r>
                          </w:p>
                        </w:txbxContent>
                      </wps:txbx>
                      <wps:bodyPr wrap="square" upright="1"/>
                    </wps:wsp>
                  </a:graphicData>
                </a:graphic>
              </wp:anchor>
            </w:drawing>
          </mc:Choice>
          <mc:Fallback>
            <w:pict>
              <v:shape id="文本框 987" o:spid="_x0000_s1026" o:spt="202" type="#_x0000_t202" style="position:absolute;left:0pt;margin-left:-9pt;margin-top:1.25pt;height:32.9pt;width:61.1pt;z-index:251881472;mso-width-relative:page;mso-height-relative:page;" filled="f" stroked="f" coordsize="21600,21600" o:gfxdata="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gl6/G1gAAAAgBAAAPAAAAAAAAAAEAIAAAACIAAABkcnMvZG93bnJldi54bWxQSwECFAAU&#10;AAAACACHTuJAE3aS5roBAABfAwAADgAAAAAAAAABACAAAAAlAQAAZHJzL2Uyb0RvYy54bWxQSwUG&#10;AAAAAAYABgBZAQAAUQ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调整价款的方法</w:t>
                      </w:r>
                    </w:p>
                  </w:txbxContent>
                </v:textbox>
              </v:shape>
            </w:pict>
          </mc:Fallback>
        </mc:AlternateContent>
      </w:r>
      <w:r>
        <w:rPr>
          <w:rFonts w:hint="eastAsia" w:ascii="仿宋" w:hAnsi="仿宋" w:eastAsia="仿宋" w:cs="仿宋"/>
          <w:color w:val="auto"/>
          <w:sz w:val="24"/>
          <w:szCs w:val="24"/>
          <w:highlight w:val="none"/>
          <w:lang w:eastAsia="zh-CN"/>
        </w:rPr>
        <w:t>发生第78</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款情况的，应根据合同工程实际情况，按照上述法律和政策规定计算调整的合同价格。</w:t>
      </w:r>
    </w:p>
    <w:p>
      <w:pPr>
        <w:tabs>
          <w:tab w:val="left" w:pos="1620"/>
        </w:tabs>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45" w:name="_Toc20221"/>
      <w:bookmarkStart w:id="1046" w:name="_Toc19706"/>
      <w:bookmarkStart w:id="1047" w:name="_Toc13093"/>
      <w:bookmarkStart w:id="1048" w:name="_Toc17217"/>
      <w:bookmarkStart w:id="1049" w:name="_Toc32706"/>
      <w:bookmarkStart w:id="1050" w:name="_Toc75"/>
      <w:bookmarkStart w:id="1051" w:name="_Toc20541"/>
      <w:bookmarkStart w:id="1052" w:name="_Toc17165"/>
      <w:r>
        <w:rPr>
          <w:rFonts w:hint="eastAsia" w:ascii="仿宋" w:hAnsi="仿宋" w:eastAsia="仿宋" w:cs="仿宋"/>
          <w:bCs w:val="0"/>
          <w:color w:val="auto"/>
          <w:sz w:val="24"/>
          <w:szCs w:val="24"/>
          <w:highlight w:val="none"/>
          <w:lang w:eastAsia="zh-CN"/>
        </w:rPr>
        <w:t>★79</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 xml:space="preserve"> 可调价变更定价</w:t>
      </w:r>
      <w:bookmarkEnd w:id="1045"/>
      <w:bookmarkEnd w:id="1046"/>
      <w:bookmarkEnd w:id="1047"/>
      <w:bookmarkEnd w:id="1048"/>
      <w:bookmarkEnd w:id="1049"/>
      <w:bookmarkEnd w:id="1050"/>
      <w:bookmarkEnd w:id="1051"/>
      <w:bookmarkEnd w:id="1052"/>
    </w:p>
    <w:p>
      <w:pPr>
        <w:pStyle w:val="22"/>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2109824" behindDoc="0" locked="0" layoutInCell="1" allowOverlap="1">
                <wp:simplePos x="0" y="0"/>
                <wp:positionH relativeFrom="column">
                  <wp:posOffset>-133350</wp:posOffset>
                </wp:positionH>
                <wp:positionV relativeFrom="paragraph">
                  <wp:posOffset>266065</wp:posOffset>
                </wp:positionV>
                <wp:extent cx="781050" cy="482600"/>
                <wp:effectExtent l="0" t="0" r="0" b="0"/>
                <wp:wrapNone/>
                <wp:docPr id="441" name="文本框 995"/>
                <wp:cNvGraphicFramePr/>
                <a:graphic xmlns:a="http://schemas.openxmlformats.org/drawingml/2006/main">
                  <a:graphicData uri="http://schemas.microsoft.com/office/word/2010/wordprocessingShape">
                    <wps:wsp>
                      <wps:cNvSpPr txBox="1"/>
                      <wps:spPr>
                        <a:xfrm>
                          <a:off x="0" y="0"/>
                          <a:ext cx="781050" cy="482600"/>
                        </a:xfrm>
                        <a:prstGeom prst="rect">
                          <a:avLst/>
                        </a:prstGeom>
                        <a:noFill/>
                        <a:ln>
                          <a:noFill/>
                        </a:ln>
                      </wps:spPr>
                      <wps:txb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可调价工程变更的价款调整</w:t>
                            </w:r>
                          </w:p>
                        </w:txbxContent>
                      </wps:txbx>
                      <wps:bodyPr wrap="square" upright="1"/>
                    </wps:wsp>
                  </a:graphicData>
                </a:graphic>
              </wp:anchor>
            </w:drawing>
          </mc:Choice>
          <mc:Fallback>
            <w:pict>
              <v:shape id="文本框 995" o:spid="_x0000_s1026" o:spt="202" type="#_x0000_t202" style="position:absolute;left:0pt;margin-left:-10.5pt;margin-top:20.95pt;height:38pt;width:61.5pt;z-index:252109824;mso-width-relative:page;mso-height-relative:page;" filled="f" stroked="f" coordsize="21600,21600" o:gfxdata="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6I74NNcAAAAKAQAADwAAAAAAAAABACAAAAAiAAAAZHJzL2Rvd25yZXYueG1sUEsBAhQA&#10;FAAAAAgAh07iQHD3G7C6AQAAXwMAAA4AAAAAAAAAAQAgAAAAJg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可调价工程变更的价款调整</w:t>
                      </w:r>
                    </w:p>
                  </w:txbxContent>
                </v:textbox>
              </v:shape>
            </w:pict>
          </mc:Fallback>
        </mc:AlternateContent>
      </w:r>
      <w:r>
        <w:rPr>
          <w:rFonts w:hint="eastAsia" w:ascii="仿宋" w:hAnsi="仿宋" w:eastAsia="仿宋" w:cs="仿宋"/>
          <w:b/>
          <w:bCs/>
          <w:color w:val="auto"/>
          <w:sz w:val="24"/>
          <w:szCs w:val="24"/>
          <w:highlight w:val="none"/>
          <w:lang w:eastAsia="zh-CN"/>
        </w:rPr>
        <w:t>79</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合同履行期间，出现第63条工程变更事项且符合第69.3款可调价条件的，合同双方当事人应调整合同价格。</w:t>
      </w:r>
    </w:p>
    <w:p>
      <w:pPr>
        <w:spacing w:line="360" w:lineRule="auto"/>
        <w:rPr>
          <w:rFonts w:ascii="仿宋" w:hAnsi="仿宋" w:eastAsia="仿宋" w:cs="仿宋"/>
          <w:b/>
          <w:bCs/>
          <w:color w:val="auto"/>
          <w:highlight w:val="none"/>
          <w:lang w:eastAsia="zh-CN"/>
        </w:rPr>
      </w:pPr>
      <w:bookmarkStart w:id="1053" w:name="_Toc18705"/>
      <w:r>
        <w:rPr>
          <w:color w:val="auto"/>
          <w:highlight w:val="none"/>
        </w:rPr>
        <mc:AlternateContent>
          <mc:Choice Requires="wps">
            <w:drawing>
              <wp:anchor distT="0" distB="0" distL="114300" distR="114300" simplePos="0" relativeHeight="252108800" behindDoc="0" locked="0" layoutInCell="1" allowOverlap="1">
                <wp:simplePos x="0" y="0"/>
                <wp:positionH relativeFrom="column">
                  <wp:posOffset>-114300</wp:posOffset>
                </wp:positionH>
                <wp:positionV relativeFrom="paragraph">
                  <wp:posOffset>302895</wp:posOffset>
                </wp:positionV>
                <wp:extent cx="823595" cy="750570"/>
                <wp:effectExtent l="0" t="0" r="0" b="0"/>
                <wp:wrapNone/>
                <wp:docPr id="440" name="文本框 1328"/>
                <wp:cNvGraphicFramePr/>
                <a:graphic xmlns:a="http://schemas.openxmlformats.org/drawingml/2006/main">
                  <a:graphicData uri="http://schemas.microsoft.com/office/word/2010/wordprocessingShape">
                    <wps:wsp>
                      <wps:cNvSpPr txBox="1"/>
                      <wps:spPr>
                        <a:xfrm>
                          <a:off x="0" y="0"/>
                          <a:ext cx="823595" cy="750570"/>
                        </a:xfrm>
                        <a:prstGeom prst="rect">
                          <a:avLst/>
                        </a:prstGeom>
                        <a:noFill/>
                        <a:ln>
                          <a:noFill/>
                        </a:ln>
                      </wps:spPr>
                      <wps:txb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可调价变更工作项目的定价</w:t>
                            </w:r>
                          </w:p>
                        </w:txbxContent>
                      </wps:txbx>
                      <wps:bodyPr wrap="square" upright="1"/>
                    </wps:wsp>
                  </a:graphicData>
                </a:graphic>
              </wp:anchor>
            </w:drawing>
          </mc:Choice>
          <mc:Fallback>
            <w:pict>
              <v:shape id="文本框 1328" o:spid="_x0000_s1026" o:spt="202" type="#_x0000_t202" style="position:absolute;left:0pt;margin-left:-9pt;margin-top:23.85pt;height:59.1pt;width:64.85pt;z-index:252108800;mso-width-relative:page;mso-height-relative:page;" filled="f" stroked="f" coordsize="21600,21600" o:gfxdata="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F2A6HXWAAAACgEAAA8AAAAAAAAAAQAgAAAAIgAAAGRycy9kb3ducmV2LnhtbFBLAQIU&#10;ABQAAAAIAIdO4kD/0oPBvAEAAGADAAAOAAAAAAAAAAEAIAAAACUBAABkcnMvZTJvRG9jLnhtbFBL&#10;BQYAAAAABgAGAFkBAABTBQAAAAA=&#10;">
                <v:fill on="f" focussize="0,0"/>
                <v:stroke on="f"/>
                <v:imagedata o:title=""/>
                <o:lock v:ext="edit" aspectratio="f"/>
                <v:textbo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可调价变更工作项目的定价</w:t>
                      </w:r>
                    </w:p>
                  </w:txbxContent>
                </v:textbox>
              </v:shape>
            </w:pict>
          </mc:Fallback>
        </mc:AlternateContent>
      </w:r>
      <w:r>
        <w:rPr>
          <w:rFonts w:hint="eastAsia" w:ascii="仿宋" w:hAnsi="仿宋" w:eastAsia="仿宋" w:cs="仿宋"/>
          <w:b/>
          <w:bCs/>
          <w:color w:val="auto"/>
          <w:highlight w:val="none"/>
          <w:lang w:eastAsia="zh-CN"/>
        </w:rPr>
        <w:t>79.2</w:t>
      </w:r>
      <w:bookmarkEnd w:id="105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除专用条款另有约定外，非承包人原因，工程勘察、工程设计、BIM技术应用、设备及工器具购置等总承包工作内容发生变更，其增加或减少的工作项目单价按下列方法确定：</w:t>
      </w:r>
    </w:p>
    <w:p>
      <w:pPr>
        <w:pStyle w:val="22"/>
        <w:widowControl w:val="0"/>
        <w:numPr>
          <w:ilvl w:val="1"/>
          <w:numId w:val="17"/>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bookmarkStart w:id="1054" w:name="OLE_LINK11"/>
      <w:bookmarkStart w:id="1055" w:name="OLE_LINK10"/>
      <w:r>
        <w:rPr>
          <w:rFonts w:hint="eastAsia" w:ascii="仿宋" w:hAnsi="仿宋" w:eastAsia="仿宋" w:cs="仿宋"/>
          <w:color w:val="auto"/>
          <w:sz w:val="24"/>
          <w:szCs w:val="24"/>
          <w:highlight w:val="none"/>
          <w:lang w:eastAsia="zh-CN"/>
        </w:rPr>
        <w:t>合同价格清单中已有相同清单项目的，按照相同清单项目的单价确定</w:t>
      </w:r>
      <w:r>
        <w:rPr>
          <w:rFonts w:ascii="仿宋" w:hAnsi="仿宋" w:eastAsia="仿宋" w:cs="仿宋"/>
          <w:color w:val="auto"/>
          <w:sz w:val="24"/>
          <w:szCs w:val="24"/>
          <w:highlight w:val="none"/>
          <w:lang w:eastAsia="zh-CN"/>
        </w:rPr>
        <w:t>;</w:t>
      </w:r>
    </w:p>
    <w:p>
      <w:pPr>
        <w:pStyle w:val="22"/>
        <w:widowControl w:val="0"/>
        <w:numPr>
          <w:ilvl w:val="1"/>
          <w:numId w:val="17"/>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合同价格清单中没有相同、只有类似清单项目的，参照类似清单项目的单价调整确定</w:t>
      </w:r>
      <w:r>
        <w:rPr>
          <w:rFonts w:ascii="仿宋" w:hAnsi="仿宋" w:eastAsia="仿宋" w:cs="仿宋"/>
          <w:color w:val="auto"/>
          <w:sz w:val="24"/>
          <w:szCs w:val="24"/>
          <w:highlight w:val="none"/>
          <w:lang w:eastAsia="zh-CN"/>
        </w:rPr>
        <w:t>;</w:t>
      </w:r>
    </w:p>
    <w:p>
      <w:pPr>
        <w:pStyle w:val="22"/>
        <w:widowControl w:val="0"/>
        <w:numPr>
          <w:ilvl w:val="1"/>
          <w:numId w:val="17"/>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价格清单中没有相同也没有类似清单项目的，其计价依据、计量规则和计价办法、由合同双方当事人在专用条款中约定。可调价变更工作项目应包含合理的利润，专用条款约定的计价依据、计价办法中不含利润的，可按通用条款约定的利润率计算利润；</w:t>
      </w:r>
    </w:p>
    <w:bookmarkEnd w:id="1054"/>
    <w:bookmarkEnd w:id="1055"/>
    <w:p>
      <w:pPr>
        <w:pStyle w:val="22"/>
        <w:widowControl w:val="0"/>
        <w:numPr>
          <w:ilvl w:val="1"/>
          <w:numId w:val="17"/>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关于“类似清单项目”的认定原则在合同专用条款中约定。</w:t>
      </w:r>
    </w:p>
    <w:p>
      <w:pPr>
        <w:spacing w:line="360" w:lineRule="auto"/>
        <w:rPr>
          <w:rFonts w:ascii="仿宋" w:hAnsi="仿宋" w:eastAsia="仿宋" w:cs="仿宋"/>
          <w:b/>
          <w:bCs/>
          <w:color w:val="auto"/>
          <w:highlight w:val="none"/>
          <w:lang w:eastAsia="zh-CN"/>
        </w:rPr>
      </w:pPr>
      <w:bookmarkStart w:id="1056" w:name="_Toc11960"/>
      <w:r>
        <w:rPr>
          <w:rFonts w:hint="eastAsia" w:ascii="仿宋" w:hAnsi="仿宋" w:eastAsia="仿宋" w:cs="仿宋"/>
          <w:b/>
          <w:bCs/>
          <w:color w:val="auto"/>
          <w:highlight w:val="none"/>
          <w:lang w:eastAsia="zh-CN"/>
        </w:rPr>
        <w:t>79.3</w:t>
      </w:r>
      <w:bookmarkEnd w:id="105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82496" behindDoc="0" locked="0" layoutInCell="1" allowOverlap="1">
                <wp:simplePos x="0" y="0"/>
                <wp:positionH relativeFrom="column">
                  <wp:posOffset>-114300</wp:posOffset>
                </wp:positionH>
                <wp:positionV relativeFrom="paragraph">
                  <wp:posOffset>6350</wp:posOffset>
                </wp:positionV>
                <wp:extent cx="831850" cy="563245"/>
                <wp:effectExtent l="0" t="0" r="0" b="0"/>
                <wp:wrapNone/>
                <wp:docPr id="219" name="文本框 996"/>
                <wp:cNvGraphicFramePr/>
                <a:graphic xmlns:a="http://schemas.openxmlformats.org/drawingml/2006/main">
                  <a:graphicData uri="http://schemas.microsoft.com/office/word/2010/wordprocessingShape">
                    <wps:wsp>
                      <wps:cNvSpPr txBox="1"/>
                      <wps:spPr>
                        <a:xfrm>
                          <a:off x="0" y="0"/>
                          <a:ext cx="831850" cy="563245"/>
                        </a:xfrm>
                        <a:prstGeom prst="rect">
                          <a:avLst/>
                        </a:prstGeom>
                        <a:noFill/>
                        <a:ln>
                          <a:noFill/>
                        </a:ln>
                      </wps:spPr>
                      <wps:txb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可调价变更实体项目的定价</w:t>
                            </w:r>
                          </w:p>
                        </w:txbxContent>
                      </wps:txbx>
                      <wps:bodyPr wrap="square" upright="1"/>
                    </wps:wsp>
                  </a:graphicData>
                </a:graphic>
              </wp:anchor>
            </w:drawing>
          </mc:Choice>
          <mc:Fallback>
            <w:pict>
              <v:shape id="文本框 996" o:spid="_x0000_s1026" o:spt="202" type="#_x0000_t202" style="position:absolute;left:0pt;margin-left:-9pt;margin-top:0.5pt;height:44.35pt;width:65.5pt;z-index:251882496;mso-width-relative:page;mso-height-relative:page;" filled="f" stroked="f" coordsize="21600,21600" o:gfxdata="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OMCONTVAAAACAEAAA8AAAAAAAAAAQAgAAAAIgAAAGRycy9kb3ducmV2LnhtbFBLAQIUABQA&#10;AAAIAIdO4kBpjQ/RugEAAF8DAAAOAAAAAAAAAAEAIAAAACQ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可调价变更实体项目的定价</w:t>
                      </w:r>
                    </w:p>
                  </w:txbxContent>
                </v:textbox>
              </v:shape>
            </w:pict>
          </mc:Fallback>
        </mc:AlternateContent>
      </w:r>
      <w:r>
        <w:rPr>
          <w:rFonts w:hint="eastAsia" w:ascii="仿宋" w:hAnsi="仿宋" w:eastAsia="仿宋" w:cs="仿宋"/>
          <w:color w:val="auto"/>
          <w:sz w:val="24"/>
          <w:szCs w:val="24"/>
          <w:highlight w:val="none"/>
          <w:lang w:eastAsia="zh-CN"/>
        </w:rPr>
        <w:t>除专用条款另有约定外，符合第69.3款约定可调价条件的实体项目变更，其增加或减少的实体项目单价按下列方法确定：</w:t>
      </w:r>
    </w:p>
    <w:p>
      <w:pPr>
        <w:pStyle w:val="22"/>
        <w:widowControl w:val="0"/>
        <w:numPr>
          <w:ilvl w:val="1"/>
          <w:numId w:val="18"/>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合同价格清单中已有相同清单项目的，按照相同清单项目的单价确定</w:t>
      </w:r>
      <w:r>
        <w:rPr>
          <w:rFonts w:ascii="仿宋" w:hAnsi="仿宋" w:eastAsia="仿宋" w:cs="仿宋"/>
          <w:color w:val="auto"/>
          <w:sz w:val="24"/>
          <w:szCs w:val="24"/>
          <w:highlight w:val="none"/>
          <w:lang w:eastAsia="zh-CN"/>
        </w:rPr>
        <w:t>;</w:t>
      </w:r>
    </w:p>
    <w:p>
      <w:pPr>
        <w:pStyle w:val="22"/>
        <w:widowControl w:val="0"/>
        <w:numPr>
          <w:ilvl w:val="1"/>
          <w:numId w:val="18"/>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合同价格清单中没有相同、只有类似清单项目的，参照类似清单项目的单价调整确定</w:t>
      </w:r>
      <w:r>
        <w:rPr>
          <w:rFonts w:ascii="仿宋" w:hAnsi="仿宋" w:eastAsia="仿宋" w:cs="仿宋"/>
          <w:color w:val="auto"/>
          <w:sz w:val="24"/>
          <w:szCs w:val="24"/>
          <w:highlight w:val="none"/>
          <w:lang w:eastAsia="zh-CN"/>
        </w:rPr>
        <w:t>;</w:t>
      </w:r>
    </w:p>
    <w:p>
      <w:pPr>
        <w:pStyle w:val="22"/>
        <w:widowControl w:val="0"/>
        <w:numPr>
          <w:ilvl w:val="1"/>
          <w:numId w:val="18"/>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价格清单中没有相同也没有类似清单项目的，其计价依据、计量规则和计价办法、由合同双方当事人在专用条款中约定。可调价变更实体项目应包含合理的利润，专用条款约定的计价依据、计价办法中不含利润的，可按通用条款约定的利润率计算利润；</w:t>
      </w:r>
    </w:p>
    <w:p>
      <w:pPr>
        <w:pStyle w:val="22"/>
        <w:widowControl w:val="0"/>
        <w:numPr>
          <w:ilvl w:val="1"/>
          <w:numId w:val="18"/>
        </w:numPr>
        <w:tabs>
          <w:tab w:val="clear" w:pos="3285"/>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关于“类似清单项目”的认定原则在合同专用条款中约定。</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79</w:t>
      </w:r>
      <w:r>
        <w:rPr>
          <w:rFonts w:ascii="仿宋" w:hAnsi="仿宋" w:eastAsia="仿宋" w:cs="仿宋"/>
          <w:b/>
          <w:bCs/>
          <w:color w:val="auto"/>
          <w:sz w:val="24"/>
          <w:szCs w:val="24"/>
          <w:highlight w:val="none"/>
          <w:lang w:eastAsia="zh-CN"/>
        </w:rPr>
        <w:t>.</w:t>
      </w:r>
      <w:r>
        <w:rPr>
          <w:rFonts w:hint="eastAsia" w:ascii="仿宋" w:hAnsi="仿宋" w:eastAsia="仿宋" w:cs="仿宋"/>
          <w:b/>
          <w:bCs/>
          <w:color w:val="auto"/>
          <w:sz w:val="24"/>
          <w:szCs w:val="24"/>
          <w:highlight w:val="none"/>
          <w:lang w:eastAsia="zh-CN"/>
        </w:rPr>
        <w:t>4</w:t>
      </w:r>
      <w:r>
        <w:rPr>
          <w:rFonts w:ascii="仿宋" w:hAnsi="仿宋" w:eastAsia="仿宋" w:cs="仿宋"/>
          <w:b/>
          <w:bCs/>
          <w:color w:val="auto"/>
          <w:sz w:val="24"/>
          <w:szCs w:val="24"/>
          <w:highlight w:val="none"/>
          <w:lang w:eastAsia="zh-CN"/>
        </w:rPr>
        <w:t xml:space="preserve">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83520" behindDoc="0" locked="0" layoutInCell="1" allowOverlap="1">
                <wp:simplePos x="0" y="0"/>
                <wp:positionH relativeFrom="column">
                  <wp:posOffset>-114300</wp:posOffset>
                </wp:positionH>
                <wp:positionV relativeFrom="paragraph">
                  <wp:posOffset>45720</wp:posOffset>
                </wp:positionV>
                <wp:extent cx="861060" cy="553085"/>
                <wp:effectExtent l="0" t="0" r="0" b="0"/>
                <wp:wrapNone/>
                <wp:docPr id="220" name="文本框 997"/>
                <wp:cNvGraphicFramePr/>
                <a:graphic xmlns:a="http://schemas.openxmlformats.org/drawingml/2006/main">
                  <a:graphicData uri="http://schemas.microsoft.com/office/word/2010/wordprocessingShape">
                    <wps:wsp>
                      <wps:cNvSpPr txBox="1"/>
                      <wps:spPr>
                        <a:xfrm>
                          <a:off x="0" y="0"/>
                          <a:ext cx="861060" cy="553085"/>
                        </a:xfrm>
                        <a:prstGeom prst="rect">
                          <a:avLst/>
                        </a:prstGeom>
                        <a:noFill/>
                        <a:ln>
                          <a:noFill/>
                        </a:ln>
                      </wps:spPr>
                      <wps:txb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可调价变更措施项目的定价</w:t>
                            </w:r>
                          </w:p>
                        </w:txbxContent>
                      </wps:txbx>
                      <wps:bodyPr wrap="square" upright="1"/>
                    </wps:wsp>
                  </a:graphicData>
                </a:graphic>
              </wp:anchor>
            </w:drawing>
          </mc:Choice>
          <mc:Fallback>
            <w:pict>
              <v:shape id="文本框 997" o:spid="_x0000_s1026" o:spt="202" type="#_x0000_t202" style="position:absolute;left:0pt;margin-left:-9pt;margin-top:3.6pt;height:43.55pt;width:67.8pt;z-index:251883520;mso-width-relative:page;mso-height-relative:page;" filled="f" stroked="f" coordsize="21600,21600" o:gfxdata="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CryB+vWAAAACAEAAA8AAAAAAAAAAQAgAAAAIgAAAGRycy9kb3ducmV2LnhtbFBLAQIUABQA&#10;AAAIAIdO4kB1Q08buQEAAF8DAAAOAAAAAAAAAAEAIAAAACU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可调价变更措施项目的定价</w:t>
                      </w:r>
                    </w:p>
                  </w:txbxContent>
                </v:textbox>
              </v:shape>
            </w:pict>
          </mc:Fallback>
        </mc:AlternateContent>
      </w:r>
      <w:r>
        <w:rPr>
          <w:rFonts w:hint="eastAsia" w:ascii="仿宋" w:hAnsi="仿宋" w:eastAsia="仿宋" w:cs="仿宋"/>
          <w:color w:val="auto"/>
          <w:sz w:val="24"/>
          <w:szCs w:val="24"/>
          <w:highlight w:val="none"/>
          <w:lang w:eastAsia="zh-CN"/>
        </w:rPr>
        <w:t>除专用条款另有约定外，符合第69.3款约定可调价条件的变更，引起措施项目发生变化的，合同不利一方当事人有权提出调整措施项目费。提出调整措施项目费的，应事先将拟实施的方案提交另一方当事人确认，并详细说明与原方案措施项目相比的变化情况。拟实施的方案，经合同双方当事人确认后执行。该情况下，增加或减少的措施项目费按下列约定计算：</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ascii="仿宋" w:hAnsi="仿宋" w:eastAsia="仿宋" w:cs="仿宋"/>
          <w:color w:val="auto"/>
          <w:sz w:val="24"/>
          <w:szCs w:val="24"/>
          <w:highlight w:val="none"/>
          <w:lang w:eastAsia="zh-CN"/>
        </w:rPr>
        <w:t xml:space="preserve">(1) </w:t>
      </w:r>
      <w:r>
        <w:rPr>
          <w:rFonts w:hint="eastAsia" w:ascii="仿宋" w:hAnsi="仿宋" w:eastAsia="仿宋" w:cs="仿宋"/>
          <w:color w:val="auto"/>
          <w:sz w:val="24"/>
          <w:szCs w:val="24"/>
          <w:highlight w:val="none"/>
          <w:lang w:eastAsia="zh-CN"/>
        </w:rPr>
        <w:t>绿色施工安全防护费，执行政府的相关计费文件规定的单价或费率，按照实际发生变化的措施项目计算确定。</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 xml:space="preserve"> 凡可计算工程量的措施项目，其单价按照第79.3款约定确定。</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 xml:space="preserve"> 凡按系数计算的措施项目费，除本款第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点情形外，执行合同价格清单中标明的计费基础和系数计算确定。</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如果不利一方当事人未按本款约定事先将拟实施的方案提交给另一方当事人，则认为工程变更不引起措施项目费的调整或不利一方当事人放弃调整措施项目费的权利。</w:t>
      </w:r>
    </w:p>
    <w:p>
      <w:pPr>
        <w:spacing w:line="360" w:lineRule="auto"/>
        <w:rPr>
          <w:rFonts w:ascii="仿宋" w:hAnsi="仿宋" w:eastAsia="仿宋"/>
          <w:b/>
          <w:bCs/>
          <w:color w:val="auto"/>
          <w:highlight w:val="none"/>
          <w:lang w:eastAsia="zh-CN"/>
        </w:rPr>
      </w:pPr>
      <w:bookmarkStart w:id="1057" w:name="_Toc12720"/>
      <w:r>
        <w:rPr>
          <w:rFonts w:hint="eastAsia" w:ascii="仿宋" w:hAnsi="仿宋" w:eastAsia="仿宋" w:cs="仿宋"/>
          <w:b/>
          <w:bCs/>
          <w:color w:val="auto"/>
          <w:highlight w:val="none"/>
          <w:lang w:eastAsia="zh-CN"/>
        </w:rPr>
        <w:t>79</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5</w:t>
      </w:r>
      <w:bookmarkEnd w:id="105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84544" behindDoc="0" locked="0" layoutInCell="1" allowOverlap="1">
                <wp:simplePos x="0" y="0"/>
                <wp:positionH relativeFrom="column">
                  <wp:posOffset>-114300</wp:posOffset>
                </wp:positionH>
                <wp:positionV relativeFrom="paragraph">
                  <wp:posOffset>45720</wp:posOffset>
                </wp:positionV>
                <wp:extent cx="775970" cy="393065"/>
                <wp:effectExtent l="0" t="0" r="0" b="0"/>
                <wp:wrapNone/>
                <wp:docPr id="221" name="文本框 999"/>
                <wp:cNvGraphicFramePr/>
                <a:graphic xmlns:a="http://schemas.openxmlformats.org/drawingml/2006/main">
                  <a:graphicData uri="http://schemas.microsoft.com/office/word/2010/wordprocessingShape">
                    <wps:wsp>
                      <wps:cNvSpPr txBox="1"/>
                      <wps:spPr>
                        <a:xfrm>
                          <a:off x="0" y="0"/>
                          <a:ext cx="775970" cy="39306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删减工作或工程的补偿</w:t>
                            </w:r>
                          </w:p>
                        </w:txbxContent>
                      </wps:txbx>
                      <wps:bodyPr wrap="square" upright="1"/>
                    </wps:wsp>
                  </a:graphicData>
                </a:graphic>
              </wp:anchor>
            </w:drawing>
          </mc:Choice>
          <mc:Fallback>
            <w:pict>
              <v:shape id="文本框 999" o:spid="_x0000_s1026" o:spt="202" type="#_x0000_t202" style="position:absolute;left:0pt;margin-left:-9pt;margin-top:3.6pt;height:30.95pt;width:61.1pt;z-index:251884544;mso-width-relative:page;mso-height-relative:page;" filled="f" stroked="f" coordsize="21600,21600" o:gfxdata="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B7Ib2XWAAAACAEAAA8AAAAAAAAAAQAgAAAAIgAAAGRycy9kb3ducmV2LnhtbFBLAQIUABQA&#10;AAAIAIdO4kB6jN6EuQEAAF8DAAAOAAAAAAAAAAEAIAAAACU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删减工作或工程的补偿</w:t>
                      </w:r>
                    </w:p>
                  </w:txbxContent>
                </v:textbox>
              </v:shape>
            </w:pict>
          </mc:Fallback>
        </mc:AlternateContent>
      </w:r>
      <w:r>
        <w:rPr>
          <w:rFonts w:hint="eastAsia" w:ascii="仿宋" w:hAnsi="仿宋" w:eastAsia="仿宋" w:cs="仿宋"/>
          <w:color w:val="auto"/>
          <w:sz w:val="24"/>
          <w:szCs w:val="24"/>
          <w:highlight w:val="none"/>
          <w:lang w:eastAsia="zh-CN"/>
        </w:rPr>
        <w:t>如果因为非承包人原因删减了合同中的某项原定工作或工程，致使承包人发生的费用或</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和</w:t>
      </w:r>
      <w:r>
        <w:rPr>
          <w:rFonts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eastAsia="zh-CN"/>
        </w:rPr>
        <w:t>得到的收益不能被包括在其他已支付或应支付的项目中，也未被包含在任何替代的工作或工程中，则承包人有权按照本条约定提出并得到补偿。</w:t>
      </w:r>
    </w:p>
    <w:p>
      <w:pPr>
        <w:tabs>
          <w:tab w:val="left" w:pos="1620"/>
        </w:tabs>
        <w:spacing w:line="360" w:lineRule="auto"/>
        <w:rPr>
          <w:rFonts w:ascii="仿宋" w:hAnsi="仿宋" w:eastAsia="仿宋"/>
          <w:b/>
          <w:bCs/>
          <w:color w:val="auto"/>
          <w:highlight w:val="none"/>
          <w:u w:val="single"/>
          <w:lang w:eastAsia="zh-CN"/>
        </w:rPr>
      </w:pPr>
      <w:r>
        <w:rPr>
          <w:rFonts w:ascii="仿宋" w:hAnsi="仿宋" w:eastAsia="仿宋" w:cs="仿宋"/>
          <w:b/>
          <w:bCs/>
          <w:color w:val="auto"/>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58" w:name="_Toc22801"/>
      <w:bookmarkStart w:id="1059" w:name="_Toc13941"/>
      <w:bookmarkStart w:id="1060" w:name="_Toc19956"/>
      <w:bookmarkStart w:id="1061" w:name="_Toc29129"/>
      <w:bookmarkStart w:id="1062" w:name="_Toc32693"/>
      <w:bookmarkStart w:id="1063" w:name="_Toc8913"/>
      <w:bookmarkStart w:id="1064" w:name="_Toc31577"/>
      <w:bookmarkStart w:id="1065" w:name="_Toc11735"/>
      <w:r>
        <w:rPr>
          <w:rFonts w:hint="eastAsia" w:ascii="仿宋" w:hAnsi="仿宋" w:eastAsia="仿宋" w:cs="仿宋"/>
          <w:bCs w:val="0"/>
          <w:color w:val="auto"/>
          <w:sz w:val="24"/>
          <w:szCs w:val="24"/>
          <w:highlight w:val="none"/>
          <w:lang w:eastAsia="zh-CN"/>
        </w:rPr>
        <w:t>★80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费用索赔</w:t>
      </w:r>
      <w:bookmarkEnd w:id="1058"/>
      <w:bookmarkEnd w:id="1059"/>
      <w:bookmarkEnd w:id="1060"/>
      <w:bookmarkEnd w:id="1061"/>
      <w:bookmarkEnd w:id="1062"/>
      <w:bookmarkEnd w:id="1063"/>
      <w:bookmarkEnd w:id="1064"/>
      <w:bookmarkEnd w:id="1065"/>
    </w:p>
    <w:p>
      <w:pPr>
        <w:pStyle w:val="22"/>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1885568" behindDoc="0" locked="0" layoutInCell="1" allowOverlap="1">
                <wp:simplePos x="0" y="0"/>
                <wp:positionH relativeFrom="column">
                  <wp:posOffset>-114300</wp:posOffset>
                </wp:positionH>
                <wp:positionV relativeFrom="paragraph">
                  <wp:posOffset>207010</wp:posOffset>
                </wp:positionV>
                <wp:extent cx="813435" cy="391795"/>
                <wp:effectExtent l="0" t="0" r="0" b="0"/>
                <wp:wrapNone/>
                <wp:docPr id="222" name="文本框 1003"/>
                <wp:cNvGraphicFramePr/>
                <a:graphic xmlns:a="http://schemas.openxmlformats.org/drawingml/2006/main">
                  <a:graphicData uri="http://schemas.microsoft.com/office/word/2010/wordprocessingShape">
                    <wps:wsp>
                      <wps:cNvSpPr txBox="1"/>
                      <wps:spPr>
                        <a:xfrm>
                          <a:off x="0" y="0"/>
                          <a:ext cx="813435" cy="39179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索赔的价款调整</w:t>
                            </w:r>
                          </w:p>
                        </w:txbxContent>
                      </wps:txbx>
                      <wps:bodyPr wrap="square" upright="1"/>
                    </wps:wsp>
                  </a:graphicData>
                </a:graphic>
              </wp:anchor>
            </w:drawing>
          </mc:Choice>
          <mc:Fallback>
            <w:pict>
              <v:shape id="文本框 1003" o:spid="_x0000_s1026" o:spt="202" type="#_x0000_t202" style="position:absolute;left:0pt;margin-left:-9pt;margin-top:16.3pt;height:30.85pt;width:64.05pt;z-index:251885568;mso-width-relative:page;mso-height-relative:page;" filled="f" stroked="f" coordsize="21600,21600" o:gfxdata="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SkBIw1wAAAAkBAAAPAAAAAAAAAAEAIAAAACIAAABkcnMvZG93bnJldi54bWxQSwEC&#10;FAAUAAAACACHTuJATpG4j7wBAABgAwAADgAAAAAAAAABACAAAAAmAQAAZHJzL2Uyb0RvYy54bWxQ&#10;SwUGAAAAAAYABgBZAQAAVA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索赔的价款调整</w:t>
                      </w:r>
                    </w:p>
                  </w:txbxContent>
                </v:textbox>
              </v:shape>
            </w:pict>
          </mc:Fallback>
        </mc:AlternateContent>
      </w:r>
      <w:r>
        <w:rPr>
          <w:rFonts w:hint="eastAsia" w:ascii="仿宋" w:hAnsi="仿宋" w:eastAsia="仿宋" w:cs="仿宋"/>
          <w:b/>
          <w:bCs/>
          <w:color w:val="auto"/>
          <w:sz w:val="24"/>
          <w:szCs w:val="24"/>
          <w:highlight w:val="none"/>
          <w:lang w:eastAsia="zh-CN"/>
        </w:rPr>
        <w:t>80</w:t>
      </w:r>
      <w:r>
        <w:rPr>
          <w:rFonts w:ascii="仿宋" w:hAnsi="仿宋" w:eastAsia="仿宋" w:cs="仿宋"/>
          <w:b/>
          <w:bCs/>
          <w:color w:val="auto"/>
          <w:sz w:val="24"/>
          <w:szCs w:val="24"/>
          <w:highlight w:val="none"/>
          <w:lang w:eastAsia="zh-CN"/>
        </w:rPr>
        <w:t>.1</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合同履行期间，出现费用索赔事项的，合同双方当事人应调整合同价格。</w:t>
      </w:r>
    </w:p>
    <w:p>
      <w:pPr>
        <w:spacing w:line="360" w:lineRule="auto"/>
        <w:rPr>
          <w:rFonts w:ascii="仿宋" w:hAnsi="仿宋" w:eastAsia="仿宋" w:cs="仿宋"/>
          <w:b/>
          <w:bCs/>
          <w:color w:val="auto"/>
          <w:highlight w:val="none"/>
          <w:lang w:eastAsia="zh-CN"/>
        </w:rPr>
      </w:pPr>
      <w:bookmarkStart w:id="1066" w:name="_Toc20195"/>
      <w:r>
        <w:rPr>
          <w:rFonts w:hint="eastAsia" w:ascii="仿宋" w:hAnsi="仿宋" w:eastAsia="仿宋" w:cs="仿宋"/>
          <w:b/>
          <w:bCs/>
          <w:color w:val="auto"/>
          <w:highlight w:val="none"/>
          <w:lang w:eastAsia="zh-CN"/>
        </w:rPr>
        <w:t>80</w:t>
      </w:r>
      <w:r>
        <w:rPr>
          <w:rFonts w:ascii="仿宋" w:hAnsi="仿宋" w:eastAsia="仿宋" w:cs="仿宋"/>
          <w:b/>
          <w:bCs/>
          <w:color w:val="auto"/>
          <w:highlight w:val="none"/>
          <w:lang w:eastAsia="zh-CN"/>
        </w:rPr>
        <w:t>.2</w:t>
      </w:r>
      <w:bookmarkEnd w:id="106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86592" behindDoc="0" locked="0" layoutInCell="1" allowOverlap="1">
                <wp:simplePos x="0" y="0"/>
                <wp:positionH relativeFrom="column">
                  <wp:posOffset>-114300</wp:posOffset>
                </wp:positionH>
                <wp:positionV relativeFrom="paragraph">
                  <wp:posOffset>15875</wp:posOffset>
                </wp:positionV>
                <wp:extent cx="775970" cy="363220"/>
                <wp:effectExtent l="0" t="0" r="0" b="0"/>
                <wp:wrapNone/>
                <wp:docPr id="223" name="文本框 1004"/>
                <wp:cNvGraphicFramePr/>
                <a:graphic xmlns:a="http://schemas.openxmlformats.org/drawingml/2006/main">
                  <a:graphicData uri="http://schemas.microsoft.com/office/word/2010/wordprocessingShape">
                    <wps:wsp>
                      <wps:cNvSpPr txBox="1"/>
                      <wps:spPr>
                        <a:xfrm>
                          <a:off x="0" y="0"/>
                          <a:ext cx="775970" cy="36322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发出索赔意向书</w:t>
                            </w:r>
                          </w:p>
                        </w:txbxContent>
                      </wps:txbx>
                      <wps:bodyPr wrap="square" upright="1"/>
                    </wps:wsp>
                  </a:graphicData>
                </a:graphic>
              </wp:anchor>
            </w:drawing>
          </mc:Choice>
          <mc:Fallback>
            <w:pict>
              <v:shape id="文本框 1004" o:spid="_x0000_s1026" o:spt="202" type="#_x0000_t202" style="position:absolute;left:0pt;margin-left:-9pt;margin-top:1.25pt;height:28.6pt;width:61.1pt;z-index:251886592;mso-width-relative:page;mso-height-relative:page;" filled="f" stroked="f" coordsize="21600,21600" o:gfxdata="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JyO+MdYAAAAIAQAADwAAAAAAAAABACAAAAAiAAAAZHJzL2Rvd25yZXYueG1sUEsBAhQA&#10;FAAAAAgAh07iQGnodfO7AQAAYAMAAA4AAAAAAAAAAQAgAAAAJQ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发出索赔意向书</w:t>
                      </w:r>
                    </w:p>
                  </w:txbxContent>
                </v:textbox>
              </v:shape>
            </w:pict>
          </mc:Fallback>
        </mc:AlternateContent>
      </w:r>
      <w:r>
        <w:rPr>
          <w:rFonts w:hint="eastAsia" w:ascii="仿宋" w:hAnsi="仿宋" w:eastAsia="仿宋" w:cs="仿宋"/>
          <w:color w:val="auto"/>
          <w:sz w:val="24"/>
          <w:szCs w:val="24"/>
          <w:highlight w:val="none"/>
          <w:lang w:eastAsia="zh-CN"/>
        </w:rPr>
        <w:t>如果承包人根据合同约定提出任何费用或其它形式的损失索赔时，应在该索赔事项发生之后的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天内向监理人、造价咨询人发出索赔意向书，并抄送发包人。</w:t>
      </w:r>
    </w:p>
    <w:p>
      <w:pPr>
        <w:spacing w:line="360" w:lineRule="auto"/>
        <w:rPr>
          <w:rFonts w:ascii="仿宋" w:hAnsi="仿宋" w:eastAsia="仿宋"/>
          <w:b/>
          <w:bCs/>
          <w:color w:val="auto"/>
          <w:highlight w:val="none"/>
          <w:lang w:eastAsia="zh-CN"/>
        </w:rPr>
      </w:pPr>
      <w:bookmarkStart w:id="1067" w:name="_Toc23897"/>
      <w:r>
        <w:rPr>
          <w:rFonts w:hint="eastAsia" w:ascii="仿宋" w:hAnsi="仿宋" w:eastAsia="仿宋" w:cs="仿宋"/>
          <w:b/>
          <w:bCs/>
          <w:color w:val="auto"/>
          <w:highlight w:val="none"/>
          <w:lang w:eastAsia="zh-CN"/>
        </w:rPr>
        <w:t>80</w:t>
      </w:r>
      <w:r>
        <w:rPr>
          <w:rFonts w:ascii="仿宋" w:hAnsi="仿宋" w:eastAsia="仿宋" w:cs="仿宋"/>
          <w:b/>
          <w:bCs/>
          <w:color w:val="auto"/>
          <w:highlight w:val="none"/>
          <w:lang w:eastAsia="zh-CN"/>
        </w:rPr>
        <w:t>.3</w:t>
      </w:r>
      <w:bookmarkEnd w:id="106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87616" behindDoc="0" locked="0" layoutInCell="1" allowOverlap="1">
                <wp:simplePos x="0" y="0"/>
                <wp:positionH relativeFrom="column">
                  <wp:posOffset>-114300</wp:posOffset>
                </wp:positionH>
                <wp:positionV relativeFrom="paragraph">
                  <wp:posOffset>635</wp:posOffset>
                </wp:positionV>
                <wp:extent cx="823595" cy="490220"/>
                <wp:effectExtent l="0" t="0" r="0" b="0"/>
                <wp:wrapNone/>
                <wp:docPr id="224" name="文本框 1005"/>
                <wp:cNvGraphicFramePr/>
                <a:graphic xmlns:a="http://schemas.openxmlformats.org/drawingml/2006/main">
                  <a:graphicData uri="http://schemas.microsoft.com/office/word/2010/wordprocessingShape">
                    <wps:wsp>
                      <wps:cNvSpPr txBox="1"/>
                      <wps:spPr>
                        <a:xfrm>
                          <a:off x="0" y="0"/>
                          <a:ext cx="823595" cy="49022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索赔记录的保存和审查</w:t>
                            </w:r>
                          </w:p>
                        </w:txbxContent>
                      </wps:txbx>
                      <wps:bodyPr wrap="square" upright="1"/>
                    </wps:wsp>
                  </a:graphicData>
                </a:graphic>
              </wp:anchor>
            </w:drawing>
          </mc:Choice>
          <mc:Fallback>
            <w:pict>
              <v:shape id="文本框 1005" o:spid="_x0000_s1026" o:spt="202" type="#_x0000_t202" style="position:absolute;left:0pt;margin-left:-9pt;margin-top:0.05pt;height:38.6pt;width:64.85pt;z-index:251887616;mso-width-relative:page;mso-height-relative:page;" filled="f" stroked="f" coordsize="21600,21600" o:gfxdata="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RH5XfUAAAABwEAAA8AAAAAAAAAAQAgAAAAIgAAAGRycy9kb3ducmV2LnhtbFBLAQIUABQA&#10;AAAIAIdO4kA3+5CeuwEAAGADAAAOAAAAAAAAAAEAIAAAACM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索赔记录的保存和审查</w:t>
                      </w:r>
                    </w:p>
                  </w:txbxContent>
                </v:textbox>
              </v:shape>
            </w:pict>
          </mc:Fallback>
        </mc:AlternateContent>
      </w:r>
      <w:r>
        <w:rPr>
          <w:rFonts w:hint="eastAsia" w:ascii="仿宋" w:hAnsi="仿宋" w:eastAsia="仿宋" w:cs="仿宋"/>
          <w:color w:val="auto"/>
          <w:sz w:val="24"/>
          <w:szCs w:val="24"/>
          <w:highlight w:val="none"/>
          <w:lang w:eastAsia="zh-CN"/>
        </w:rPr>
        <w:t>在索赔事项发生时，承包人应保存当时的记录，作为申请索赔的凭证。造价咨询人在接到索赔意向书时，无需确认是否属于发包人责任，应先审查记录并可要求承包人进一步作好补充记录。承包人应配合造价咨询人审查其记录，在造价咨询人有要求时，应当向造价咨询人提供记录的复印件。</w:t>
      </w:r>
    </w:p>
    <w:p>
      <w:pPr>
        <w:spacing w:line="360" w:lineRule="auto"/>
        <w:rPr>
          <w:rFonts w:ascii="仿宋" w:hAnsi="仿宋" w:eastAsia="仿宋"/>
          <w:color w:val="auto"/>
          <w:highlight w:val="none"/>
          <w:lang w:eastAsia="zh-CN"/>
        </w:rPr>
      </w:pPr>
      <w:r>
        <w:rPr>
          <w:rFonts w:hint="eastAsia" w:ascii="仿宋" w:hAnsi="仿宋" w:eastAsia="仿宋" w:cs="仿宋"/>
          <w:b/>
          <w:bCs/>
          <w:color w:val="auto"/>
          <w:highlight w:val="none"/>
          <w:lang w:eastAsia="zh-CN"/>
        </w:rPr>
        <w:t>80</w:t>
      </w:r>
      <w:r>
        <w:rPr>
          <w:rFonts w:ascii="仿宋" w:hAnsi="仿宋" w:eastAsia="仿宋" w:cs="仿宋"/>
          <w:b/>
          <w:bCs/>
          <w:color w:val="auto"/>
          <w:highlight w:val="none"/>
          <w:lang w:eastAsia="zh-CN"/>
        </w:rPr>
        <w:t xml:space="preserve">.4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88640" behindDoc="0" locked="0" layoutInCell="1" allowOverlap="1">
                <wp:simplePos x="0" y="0"/>
                <wp:positionH relativeFrom="column">
                  <wp:posOffset>-114300</wp:posOffset>
                </wp:positionH>
                <wp:positionV relativeFrom="paragraph">
                  <wp:posOffset>5080</wp:posOffset>
                </wp:positionV>
                <wp:extent cx="800100" cy="501650"/>
                <wp:effectExtent l="0" t="0" r="0" b="0"/>
                <wp:wrapNone/>
                <wp:docPr id="225" name="文本框 1006"/>
                <wp:cNvGraphicFramePr/>
                <a:graphic xmlns:a="http://schemas.openxmlformats.org/drawingml/2006/main">
                  <a:graphicData uri="http://schemas.microsoft.com/office/word/2010/wordprocessingShape">
                    <wps:wsp>
                      <wps:cNvSpPr txBox="1"/>
                      <wps:spPr>
                        <a:xfrm>
                          <a:off x="0" y="0"/>
                          <a:ext cx="800100" cy="50165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提交费用索赔报告</w:t>
                            </w:r>
                          </w:p>
                        </w:txbxContent>
                      </wps:txbx>
                      <wps:bodyPr wrap="square" upright="1"/>
                    </wps:wsp>
                  </a:graphicData>
                </a:graphic>
              </wp:anchor>
            </w:drawing>
          </mc:Choice>
          <mc:Fallback>
            <w:pict>
              <v:shape id="文本框 1006" o:spid="_x0000_s1026" o:spt="202" type="#_x0000_t202" style="position:absolute;left:0pt;margin-left:-9pt;margin-top:0.4pt;height:39.5pt;width:63pt;z-index:251888640;mso-width-relative:page;mso-height-relative:page;" filled="f" stroked="f" coordsize="21600,21600" o:gfxdata="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k3jynNMAAAAHAQAADwAAAAAAAAABACAAAAAiAAAAZHJzL2Rvd25yZXYueG1sUEsBAhQAFAAAAAgA&#10;h07iQDlvTAW4AQAAYAMAAA4AAAAAAAAAAQAgAAAAIgEAAGRycy9lMm9Eb2MueG1sUEsFBgAAAAAG&#10;AAYAWQEAAEw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提交费用索赔报告</w:t>
                      </w:r>
                    </w:p>
                  </w:txbxContent>
                </v:textbox>
              </v:shape>
            </w:pict>
          </mc:Fallback>
        </mc:AlternateContent>
      </w:r>
      <w:r>
        <w:rPr>
          <w:rFonts w:hint="eastAsia" w:ascii="仿宋" w:hAnsi="仿宋" w:eastAsia="仿宋" w:cs="仿宋"/>
          <w:color w:val="auto"/>
          <w:sz w:val="24"/>
          <w:szCs w:val="24"/>
          <w:highlight w:val="none"/>
          <w:lang w:eastAsia="zh-CN"/>
        </w:rPr>
        <w:t>在发出索赔意向书后的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天内，承包人应向造价咨询人提交费用索赔报告和有关资料。如果索赔事项持续进行，承包人应每隔</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天向造价咨询人发出索赔意向书，在索赔事项终结后的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天内，提交最终费用索赔报告和有关资料。</w:t>
      </w:r>
    </w:p>
    <w:p>
      <w:pPr>
        <w:spacing w:line="360" w:lineRule="auto"/>
        <w:rPr>
          <w:rFonts w:ascii="仿宋" w:hAnsi="仿宋" w:eastAsia="仿宋"/>
          <w:b/>
          <w:bCs/>
          <w:color w:val="auto"/>
          <w:highlight w:val="none"/>
          <w:lang w:eastAsia="zh-CN"/>
        </w:rPr>
      </w:pPr>
      <w:bookmarkStart w:id="1068" w:name="_Toc1734"/>
      <w:r>
        <w:rPr>
          <w:rFonts w:hint="eastAsia" w:ascii="仿宋" w:hAnsi="仿宋" w:eastAsia="仿宋" w:cs="仿宋"/>
          <w:b/>
          <w:bCs/>
          <w:color w:val="auto"/>
          <w:highlight w:val="none"/>
          <w:lang w:eastAsia="zh-CN"/>
        </w:rPr>
        <w:t>80</w:t>
      </w:r>
      <w:r>
        <w:rPr>
          <w:rFonts w:ascii="仿宋" w:hAnsi="仿宋" w:eastAsia="仿宋" w:cs="仿宋"/>
          <w:b/>
          <w:bCs/>
          <w:color w:val="auto"/>
          <w:highlight w:val="none"/>
          <w:lang w:eastAsia="zh-CN"/>
        </w:rPr>
        <w:t>.5</w:t>
      </w:r>
      <w:bookmarkEnd w:id="106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b/>
          <w:bCs/>
          <w:color w:val="auto"/>
          <w:sz w:val="24"/>
          <w:szCs w:val="24"/>
          <w:highlight w:val="none"/>
          <w:lang w:eastAsia="zh-CN"/>
        </w:rPr>
      </w:pPr>
      <w:r>
        <w:rPr>
          <w:rFonts w:ascii="仿宋" w:hAnsi="仿宋" w:eastAsia="仿宋" w:cs="仿宋"/>
          <w:b/>
          <w:bCs/>
          <w:color w:val="auto"/>
          <w:highlight w:val="none"/>
        </w:rPr>
        <mc:AlternateContent>
          <mc:Choice Requires="wps">
            <w:drawing>
              <wp:anchor distT="0" distB="0" distL="114300" distR="114300" simplePos="0" relativeHeight="252058624" behindDoc="0" locked="0" layoutInCell="1" allowOverlap="1">
                <wp:simplePos x="0" y="0"/>
                <wp:positionH relativeFrom="column">
                  <wp:posOffset>-47625</wp:posOffset>
                </wp:positionH>
                <wp:positionV relativeFrom="paragraph">
                  <wp:posOffset>15875</wp:posOffset>
                </wp:positionV>
                <wp:extent cx="845820" cy="327025"/>
                <wp:effectExtent l="0" t="0" r="0" b="0"/>
                <wp:wrapNone/>
                <wp:docPr id="391" name="文本框 1007"/>
                <wp:cNvGraphicFramePr/>
                <a:graphic xmlns:a="http://schemas.openxmlformats.org/drawingml/2006/main">
                  <a:graphicData uri="http://schemas.microsoft.com/office/word/2010/wordprocessingShape">
                    <wps:wsp>
                      <wps:cNvSpPr txBox="1"/>
                      <wps:spPr>
                        <a:xfrm>
                          <a:off x="0" y="0"/>
                          <a:ext cx="845820" cy="32702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无权索赔</w:t>
                            </w:r>
                          </w:p>
                        </w:txbxContent>
                      </wps:txbx>
                      <wps:bodyPr wrap="square" upright="1"/>
                    </wps:wsp>
                  </a:graphicData>
                </a:graphic>
              </wp:anchor>
            </w:drawing>
          </mc:Choice>
          <mc:Fallback>
            <w:pict>
              <v:shape id="文本框 1007" o:spid="_x0000_s1026" o:spt="202" type="#_x0000_t202" style="position:absolute;left:0pt;margin-left:-3.75pt;margin-top:1.25pt;height:25.75pt;width:66.6pt;z-index:252058624;mso-width-relative:page;mso-height-relative:page;" filled="f" stroked="f" coordsize="21600,21600" o:gfxdata="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HwfNAtQAAAAHAQAADwAAAAAAAAABACAAAAAiAAAAZHJzL2Rvd25yZXYueG1sUEsBAhQAFAAA&#10;AAgAh07iQPghkM+6AQAAYAMAAA4AAAAAAAAAAQAgAAAAIwEAAGRycy9lMm9Eb2MueG1sUEsFBgAA&#10;AAAGAAYAWQEAAE8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无权索赔</w:t>
                      </w:r>
                    </w:p>
                  </w:txbxContent>
                </v:textbox>
              </v:shape>
            </w:pict>
          </mc:Fallback>
        </mc:AlternateContent>
      </w:r>
      <w:r>
        <w:rPr>
          <w:rFonts w:hint="eastAsia" w:ascii="仿宋" w:hAnsi="仿宋" w:eastAsia="仿宋" w:cs="仿宋"/>
          <w:color w:val="auto"/>
          <w:sz w:val="24"/>
          <w:szCs w:val="24"/>
          <w:highlight w:val="none"/>
          <w:lang w:eastAsia="zh-CN"/>
        </w:rPr>
        <w:t>如果承包人提出的索赔未能遵守第80</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款至第80</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款约定，则承包人无权获得索赔或只限于获得由造价咨询人按照提供记录予以核实的部分款额。</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80</w:t>
      </w:r>
      <w:r>
        <w:rPr>
          <w:rFonts w:ascii="仿宋" w:hAnsi="仿宋" w:eastAsia="仿宋" w:cs="仿宋"/>
          <w:b/>
          <w:bCs/>
          <w:color w:val="auto"/>
          <w:highlight w:val="none"/>
          <w:lang w:eastAsia="zh-CN"/>
        </w:rPr>
        <w:t xml:space="preserve">.6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889664" behindDoc="0" locked="0" layoutInCell="1" allowOverlap="1">
                <wp:simplePos x="0" y="0"/>
                <wp:positionH relativeFrom="column">
                  <wp:posOffset>-114300</wp:posOffset>
                </wp:positionH>
                <wp:positionV relativeFrom="paragraph">
                  <wp:posOffset>8255</wp:posOffset>
                </wp:positionV>
                <wp:extent cx="823595" cy="494665"/>
                <wp:effectExtent l="0" t="0" r="0" b="0"/>
                <wp:wrapNone/>
                <wp:docPr id="226" name="文本框 1008"/>
                <wp:cNvGraphicFramePr/>
                <a:graphic xmlns:a="http://schemas.openxmlformats.org/drawingml/2006/main">
                  <a:graphicData uri="http://schemas.microsoft.com/office/word/2010/wordprocessingShape">
                    <wps:wsp>
                      <wps:cNvSpPr txBox="1"/>
                      <wps:spPr>
                        <a:xfrm>
                          <a:off x="0" y="0"/>
                          <a:ext cx="823595" cy="494665"/>
                        </a:xfrm>
                        <a:prstGeom prst="rect">
                          <a:avLst/>
                        </a:prstGeom>
                        <a:noFill/>
                        <a:ln>
                          <a:noFill/>
                        </a:ln>
                      </wps:spPr>
                      <wps:txb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核实费用索赔报告的限制</w:t>
                            </w:r>
                          </w:p>
                        </w:txbxContent>
                      </wps:txbx>
                      <wps:bodyPr wrap="square" upright="1"/>
                    </wps:wsp>
                  </a:graphicData>
                </a:graphic>
              </wp:anchor>
            </w:drawing>
          </mc:Choice>
          <mc:Fallback>
            <w:pict>
              <v:shape id="文本框 1008" o:spid="_x0000_s1026" o:spt="202" type="#_x0000_t202" style="position:absolute;left:0pt;margin-left:-9pt;margin-top:0.65pt;height:38.95pt;width:64.85pt;z-index:251889664;mso-width-relative:page;mso-height-relative:page;" filled="f" stroked="f" coordsize="21600,21600" o:gfxdata="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XH+RPWAAAACAEAAA8AAAAAAAAAAQAgAAAAIgAAAGRycy9kb3ducmV2LnhtbFBLAQIU&#10;ABQAAAAIAIdO4kDq/k5rvAEAAGADAAAOAAAAAAAAAAEAIAAAACUBAABkcnMvZTJvRG9jLnhtbFBL&#10;BQYAAAAABgAGAFkBAABT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核实费用索赔报告的限制</w:t>
                      </w:r>
                    </w:p>
                  </w:txbxContent>
                </v:textbox>
              </v:shape>
            </w:pict>
          </mc:Fallback>
        </mc:AlternateContent>
      </w:r>
      <w:r>
        <w:rPr>
          <w:rFonts w:hint="eastAsia" w:ascii="仿宋" w:hAnsi="仿宋" w:eastAsia="仿宋" w:cs="仿宋"/>
          <w:color w:val="auto"/>
          <w:sz w:val="24"/>
          <w:szCs w:val="24"/>
          <w:highlight w:val="none"/>
          <w:lang w:eastAsia="zh-CN"/>
        </w:rPr>
        <w:t>造价咨询人应在收到承包人提交的费用索赔报告和有关资料后的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予以核实或要求承包人进一步补充索赔理由和证据，并与合同双方当事人协商确定承包人有权获得的全部或部分的索赔款额；协商不能达成一致的，由造价咨询人暂定，通知承包人并抄报发包人。如果造价咨询人在约定期限内未予答复也未对承包人作出进一步要求，视为该费用索赔报告已经被认可。</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80</w:t>
      </w:r>
      <w:r>
        <w:rPr>
          <w:rFonts w:ascii="仿宋" w:hAnsi="仿宋" w:eastAsia="仿宋" w:cs="仿宋"/>
          <w:b/>
          <w:bCs/>
          <w:color w:val="auto"/>
          <w:highlight w:val="none"/>
          <w:lang w:eastAsia="zh-CN"/>
        </w:rPr>
        <w:t xml:space="preserve">.7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0688" behindDoc="0" locked="0" layoutInCell="1" allowOverlap="1">
                <wp:simplePos x="0" y="0"/>
                <wp:positionH relativeFrom="column">
                  <wp:posOffset>-114300</wp:posOffset>
                </wp:positionH>
                <wp:positionV relativeFrom="paragraph">
                  <wp:posOffset>38735</wp:posOffset>
                </wp:positionV>
                <wp:extent cx="589915" cy="325755"/>
                <wp:effectExtent l="0" t="0" r="0" b="0"/>
                <wp:wrapNone/>
                <wp:docPr id="227" name="文本框 1009"/>
                <wp:cNvGraphicFramePr/>
                <a:graphic xmlns:a="http://schemas.openxmlformats.org/drawingml/2006/main">
                  <a:graphicData uri="http://schemas.microsoft.com/office/word/2010/wordprocessingShape">
                    <wps:wsp>
                      <wps:cNvSpPr txBox="1"/>
                      <wps:spPr>
                        <a:xfrm>
                          <a:off x="0" y="0"/>
                          <a:ext cx="589915" cy="32575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反索赔</w:t>
                            </w:r>
                          </w:p>
                        </w:txbxContent>
                      </wps:txbx>
                      <wps:bodyPr wrap="square" upright="1"/>
                    </wps:wsp>
                  </a:graphicData>
                </a:graphic>
              </wp:anchor>
            </w:drawing>
          </mc:Choice>
          <mc:Fallback>
            <w:pict>
              <v:shape id="文本框 1009" o:spid="_x0000_s1026" o:spt="202" type="#_x0000_t202" style="position:absolute;left:0pt;margin-left:-9pt;margin-top:3.05pt;height:25.65pt;width:46.45pt;z-index:251890688;mso-width-relative:page;mso-height-relative:page;" filled="f" stroked="f" coordsize="21600,21600" o:gfxdata="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JpHlLtYAAAAHAQAADwAAAAAAAAABACAAAAAiAAAAZHJzL2Rvd25yZXYueG1sUEsBAhQA&#10;FAAAAAgAh07iQP4LS6u7AQAAYAMAAA4AAAAAAAAAAQAgAAAAJQ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反索赔</w:t>
                      </w:r>
                    </w:p>
                  </w:txbxContent>
                </v:textbox>
              </v:shape>
            </w:pict>
          </mc:Fallback>
        </mc:AlternateContent>
      </w:r>
      <w:r>
        <w:rPr>
          <w:rFonts w:hint="eastAsia" w:ascii="仿宋" w:hAnsi="仿宋" w:eastAsia="仿宋" w:cs="仿宋"/>
          <w:color w:val="auto"/>
          <w:sz w:val="24"/>
          <w:szCs w:val="24"/>
          <w:highlight w:val="none"/>
          <w:lang w:eastAsia="zh-CN"/>
        </w:rPr>
        <w:t>承包人未能按照合同约定履行各项义务或发生错误，给发包人造成损失，发包人可按照本条约定的时限和要求向承包人提出索赔。</w:t>
      </w:r>
    </w:p>
    <w:p>
      <w:pPr>
        <w:spacing w:line="360" w:lineRule="auto"/>
        <w:rPr>
          <w:rFonts w:ascii="仿宋" w:hAnsi="仿宋" w:eastAsia="仿宋"/>
          <w:b/>
          <w:bCs/>
          <w:color w:val="auto"/>
          <w:highlight w:val="none"/>
          <w:lang w:eastAsia="zh-CN"/>
        </w:rPr>
      </w:pPr>
      <w:bookmarkStart w:id="1069" w:name="_Toc16129"/>
      <w:r>
        <w:rPr>
          <w:rFonts w:hint="eastAsia" w:ascii="仿宋" w:hAnsi="仿宋" w:eastAsia="仿宋" w:cs="仿宋"/>
          <w:b/>
          <w:bCs/>
          <w:color w:val="auto"/>
          <w:highlight w:val="none"/>
          <w:lang w:eastAsia="zh-CN"/>
        </w:rPr>
        <w:t>80</w:t>
      </w:r>
      <w:r>
        <w:rPr>
          <w:rFonts w:ascii="仿宋" w:hAnsi="仿宋" w:eastAsia="仿宋" w:cs="仿宋"/>
          <w:b/>
          <w:bCs/>
          <w:color w:val="auto"/>
          <w:highlight w:val="none"/>
          <w:lang w:eastAsia="zh-CN"/>
        </w:rPr>
        <w:t>.8</w:t>
      </w:r>
      <w:bookmarkEnd w:id="106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1712" behindDoc="0" locked="0" layoutInCell="1" allowOverlap="1">
                <wp:simplePos x="0" y="0"/>
                <wp:positionH relativeFrom="column">
                  <wp:posOffset>-114300</wp:posOffset>
                </wp:positionH>
                <wp:positionV relativeFrom="paragraph">
                  <wp:posOffset>18415</wp:posOffset>
                </wp:positionV>
                <wp:extent cx="775970" cy="487045"/>
                <wp:effectExtent l="0" t="0" r="0" b="0"/>
                <wp:wrapNone/>
                <wp:docPr id="228" name="文本框 1010"/>
                <wp:cNvGraphicFramePr/>
                <a:graphic xmlns:a="http://schemas.openxmlformats.org/drawingml/2006/main">
                  <a:graphicData uri="http://schemas.microsoft.com/office/word/2010/wordprocessingShape">
                    <wps:wsp>
                      <wps:cNvSpPr txBox="1"/>
                      <wps:spPr>
                        <a:xfrm>
                          <a:off x="0" y="0"/>
                          <a:ext cx="775970" cy="48704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调整价格的确认与支付</w:t>
                            </w:r>
                          </w:p>
                        </w:txbxContent>
                      </wps:txbx>
                      <wps:bodyPr wrap="square" upright="1"/>
                    </wps:wsp>
                  </a:graphicData>
                </a:graphic>
              </wp:anchor>
            </w:drawing>
          </mc:Choice>
          <mc:Fallback>
            <w:pict>
              <v:shape id="文本框 1010" o:spid="_x0000_s1026" o:spt="202" type="#_x0000_t202" style="position:absolute;left:0pt;margin-left:-9pt;margin-top:1.45pt;height:38.35pt;width:61.1pt;z-index:251891712;mso-width-relative:page;mso-height-relative:page;" filled="f" stroked="f" coordsize="21600,21600" o:gfxdata="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tLaErWAAAACAEAAA8AAAAAAAAAAQAgAAAAIgAAAGRycy9kb3ducmV2LnhtbFBLAQIUABQA&#10;AAAIAIdO4kBjTcTPuQEAAGADAAAOAAAAAAAAAAEAIAAAACUBAABkcnMvZTJvRG9jLnhtbFBLBQYA&#10;AAAABgAGAFkBAABQ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调整价格的确认与支付</w:t>
                      </w:r>
                    </w:p>
                  </w:txbxContent>
                </v:textbox>
              </v:shape>
            </w:pict>
          </mc:Fallback>
        </mc:AlternateContent>
      </w:r>
      <w:r>
        <w:rPr>
          <w:rFonts w:hint="eastAsia" w:ascii="仿宋" w:hAnsi="仿宋" w:eastAsia="仿宋" w:cs="仿宋"/>
          <w:color w:val="auto"/>
          <w:sz w:val="24"/>
          <w:szCs w:val="24"/>
          <w:highlight w:val="none"/>
          <w:lang w:eastAsia="zh-CN"/>
        </w:rPr>
        <w:t>费用索赔报告被认可，则表明该事项已索赔成功，合同双方当事人应确认由此引起调整的合同价格，并作为追加（减）合同价格，与工程进度款或结算款同期支付。</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70" w:name="_Toc13094"/>
      <w:bookmarkStart w:id="1071" w:name="_Toc11991"/>
      <w:bookmarkStart w:id="1072" w:name="_Toc23066"/>
      <w:bookmarkStart w:id="1073" w:name="_Toc13485"/>
      <w:bookmarkStart w:id="1074" w:name="_Toc2386"/>
      <w:bookmarkStart w:id="1075" w:name="_Toc17902"/>
      <w:bookmarkStart w:id="1076" w:name="_Toc7595"/>
      <w:bookmarkStart w:id="1077" w:name="_Toc12"/>
      <w:r>
        <w:rPr>
          <w:rFonts w:hint="eastAsia" w:ascii="仿宋" w:hAnsi="仿宋" w:eastAsia="仿宋" w:cs="仿宋"/>
          <w:bCs w:val="0"/>
          <w:color w:val="auto"/>
          <w:sz w:val="24"/>
          <w:szCs w:val="24"/>
          <w:highlight w:val="none"/>
          <w:lang w:eastAsia="zh-CN"/>
        </w:rPr>
        <w:t>★81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现场签证价格的确定</w:t>
      </w:r>
      <w:bookmarkEnd w:id="1070"/>
      <w:bookmarkEnd w:id="1071"/>
      <w:bookmarkEnd w:id="1072"/>
      <w:bookmarkEnd w:id="1073"/>
      <w:bookmarkEnd w:id="1074"/>
      <w:bookmarkEnd w:id="1075"/>
      <w:bookmarkEnd w:id="1076"/>
      <w:bookmarkEnd w:id="1077"/>
    </w:p>
    <w:p>
      <w:pPr>
        <w:widowControl w:val="0"/>
        <w:rPr>
          <w:rFonts w:ascii="仿宋" w:hAnsi="仿宋" w:eastAsia="仿宋"/>
          <w:b/>
          <w:bCs/>
          <w:color w:val="auto"/>
          <w:highlight w:val="none"/>
          <w:u w:val="dotted"/>
          <w:lang w:eastAsia="zh-CN"/>
        </w:rPr>
      </w:pPr>
      <w:bookmarkStart w:id="1078" w:name="_Toc10855"/>
      <w:r>
        <w:rPr>
          <w:rFonts w:hint="eastAsia" w:ascii="仿宋" w:hAnsi="仿宋" w:eastAsia="仿宋" w:cs="仿宋"/>
          <w:b/>
          <w:bCs/>
          <w:color w:val="auto"/>
          <w:highlight w:val="none"/>
          <w:lang w:eastAsia="zh-CN"/>
        </w:rPr>
        <w:t>81</w:t>
      </w:r>
      <w:r>
        <w:rPr>
          <w:rFonts w:ascii="仿宋" w:hAnsi="仿宋" w:eastAsia="仿宋" w:cs="仿宋"/>
          <w:b/>
          <w:bCs/>
          <w:color w:val="auto"/>
          <w:highlight w:val="none"/>
          <w:lang w:eastAsia="zh-CN"/>
        </w:rPr>
        <w:t>.1</w:t>
      </w:r>
      <w:bookmarkEnd w:id="1078"/>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2736" behindDoc="0" locked="0" layoutInCell="1" allowOverlap="1">
                <wp:simplePos x="0" y="0"/>
                <wp:positionH relativeFrom="column">
                  <wp:posOffset>-114300</wp:posOffset>
                </wp:positionH>
                <wp:positionV relativeFrom="paragraph">
                  <wp:posOffset>69850</wp:posOffset>
                </wp:positionV>
                <wp:extent cx="785495" cy="389255"/>
                <wp:effectExtent l="0" t="0" r="0" b="0"/>
                <wp:wrapNone/>
                <wp:docPr id="229" name="文本框 1011"/>
                <wp:cNvGraphicFramePr/>
                <a:graphic xmlns:a="http://schemas.openxmlformats.org/drawingml/2006/main">
                  <a:graphicData uri="http://schemas.microsoft.com/office/word/2010/wordprocessingShape">
                    <wps:wsp>
                      <wps:cNvSpPr txBox="1"/>
                      <wps:spPr>
                        <a:xfrm>
                          <a:off x="0" y="0"/>
                          <a:ext cx="785495" cy="38925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现场签证的价格调整</w:t>
                            </w:r>
                          </w:p>
                          <w:p/>
                        </w:txbxContent>
                      </wps:txbx>
                      <wps:bodyPr wrap="square" upright="1"/>
                    </wps:wsp>
                  </a:graphicData>
                </a:graphic>
              </wp:anchor>
            </w:drawing>
          </mc:Choice>
          <mc:Fallback>
            <w:pict>
              <v:shape id="文本框 1011" o:spid="_x0000_s1026" o:spt="202" type="#_x0000_t202" style="position:absolute;left:0pt;margin-left:-9pt;margin-top:5.5pt;height:30.65pt;width:61.85pt;z-index:251892736;mso-width-relative:page;mso-height-relative:page;" filled="f" stroked="f" coordsize="21600,21600" o:gfxdata="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CS5A+zXAAAACQEAAA8AAAAAAAAAAQAgAAAAIgAAAGRycy9kb3ducmV2LnhtbFBLAQIU&#10;ABQAAAAIAIdO4kDzFUXtuwEAAGADAAAOAAAAAAAAAAEAIAAAACYBAABkcnMvZTJvRG9jLnhtbFBL&#10;BQYAAAAABgAGAFkBAABTBQ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现场签证的价格调整</w:t>
                      </w:r>
                    </w:p>
                    <w:p/>
                  </w:txbxContent>
                </v:textbox>
              </v:shape>
            </w:pict>
          </mc:Fallback>
        </mc:AlternateContent>
      </w:r>
      <w:r>
        <w:rPr>
          <w:rFonts w:hint="eastAsia" w:ascii="仿宋" w:hAnsi="仿宋" w:eastAsia="仿宋" w:cs="仿宋"/>
          <w:color w:val="auto"/>
          <w:sz w:val="24"/>
          <w:szCs w:val="24"/>
          <w:highlight w:val="none"/>
          <w:lang w:eastAsia="zh-CN"/>
        </w:rPr>
        <w:t>合同履行期间，由于非承包人责任产生的现场签证费用，合同双方当事人应调整合同价格。</w:t>
      </w:r>
    </w:p>
    <w:p>
      <w:pPr>
        <w:spacing w:line="360" w:lineRule="auto"/>
        <w:rPr>
          <w:rFonts w:ascii="仿宋" w:hAnsi="仿宋" w:eastAsia="仿宋"/>
          <w:b/>
          <w:bCs/>
          <w:color w:val="auto"/>
          <w:highlight w:val="none"/>
          <w:lang w:eastAsia="zh-CN"/>
        </w:rPr>
      </w:pPr>
      <w:bookmarkStart w:id="1079" w:name="_Toc25531"/>
      <w:r>
        <w:rPr>
          <w:rFonts w:hint="eastAsia" w:ascii="仿宋" w:hAnsi="仿宋" w:eastAsia="仿宋" w:cs="仿宋"/>
          <w:b/>
          <w:bCs/>
          <w:color w:val="auto"/>
          <w:highlight w:val="none"/>
          <w:lang w:eastAsia="zh-CN"/>
        </w:rPr>
        <w:t>81</w:t>
      </w:r>
      <w:r>
        <w:rPr>
          <w:rFonts w:ascii="仿宋" w:hAnsi="仿宋" w:eastAsia="仿宋" w:cs="仿宋"/>
          <w:b/>
          <w:bCs/>
          <w:color w:val="auto"/>
          <w:highlight w:val="none"/>
          <w:lang w:eastAsia="zh-CN"/>
        </w:rPr>
        <w:t>.2</w:t>
      </w:r>
      <w:bookmarkEnd w:id="107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48" w:leftChars="770" w:firstLine="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3760" behindDoc="0" locked="0" layoutInCell="1" allowOverlap="1">
                <wp:simplePos x="0" y="0"/>
                <wp:positionH relativeFrom="column">
                  <wp:posOffset>-114300</wp:posOffset>
                </wp:positionH>
                <wp:positionV relativeFrom="paragraph">
                  <wp:posOffset>18415</wp:posOffset>
                </wp:positionV>
                <wp:extent cx="850900" cy="615315"/>
                <wp:effectExtent l="0" t="0" r="0" b="0"/>
                <wp:wrapNone/>
                <wp:docPr id="230" name="文本框 1012"/>
                <wp:cNvGraphicFramePr/>
                <a:graphic xmlns:a="http://schemas.openxmlformats.org/drawingml/2006/main">
                  <a:graphicData uri="http://schemas.microsoft.com/office/word/2010/wordprocessingShape">
                    <wps:wsp>
                      <wps:cNvSpPr txBox="1"/>
                      <wps:spPr>
                        <a:xfrm>
                          <a:off x="0" y="0"/>
                          <a:ext cx="850900" cy="615315"/>
                        </a:xfrm>
                        <a:prstGeom prst="rect">
                          <a:avLst/>
                        </a:prstGeom>
                        <a:noFill/>
                        <a:ln>
                          <a:noFill/>
                        </a:ln>
                      </wps:spPr>
                      <wps:txbx>
                        <w:txbxContent>
                          <w:p>
                            <w:pPr>
                              <w:pStyle w:val="17"/>
                              <w:spacing w:line="200" w:lineRule="exact"/>
                            </w:pPr>
                            <w:r>
                              <w:rPr>
                                <w:rFonts w:hint="eastAsia" w:ascii="楷体_GB2312" w:hAnsi="宋体" w:eastAsia="楷体_GB2312" w:cs="楷体_GB2312"/>
                                <w:b/>
                                <w:bCs/>
                                <w:color w:val="000000"/>
                                <w:sz w:val="18"/>
                                <w:szCs w:val="18"/>
                              </w:rPr>
                              <w:t>现场签证的提出</w:t>
                            </w:r>
                          </w:p>
                        </w:txbxContent>
                      </wps:txbx>
                      <wps:bodyPr wrap="square" upright="1"/>
                    </wps:wsp>
                  </a:graphicData>
                </a:graphic>
              </wp:anchor>
            </w:drawing>
          </mc:Choice>
          <mc:Fallback>
            <w:pict>
              <v:shape id="文本框 1012" o:spid="_x0000_s1026" o:spt="202" type="#_x0000_t202" style="position:absolute;left:0pt;margin-left:-9pt;margin-top:1.45pt;height:48.45pt;width:67pt;z-index:251893760;mso-width-relative:page;mso-height-relative:page;" filled="f" stroked="f" coordsize="21600,21600" o:gfxdata="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AUSusNUAAAAIAQAADwAAAAAAAAABACAAAAAiAAAAZHJzL2Rvd25yZXYueG1sUEsBAhQAFAAA&#10;AAgAh07iQFe2eiO5AQAAYAMAAA4AAAAAAAAAAQAgAAAAJAEAAGRycy9lMm9Eb2MueG1sUEsFBgAA&#10;AAAGAAYAWQEAAE8FAAAAAA==&#10;">
                <v:fill on="f" focussize="0,0"/>
                <v:stroke on="f"/>
                <v:imagedata o:title=""/>
                <o:lock v:ext="edit" aspectratio="f"/>
                <v:textbox>
                  <w:txbxContent>
                    <w:p>
                      <w:pPr>
                        <w:pStyle w:val="17"/>
                        <w:spacing w:line="200" w:lineRule="exact"/>
                      </w:pPr>
                      <w:r>
                        <w:rPr>
                          <w:rFonts w:hint="eastAsia" w:ascii="楷体_GB2312" w:hAnsi="宋体" w:eastAsia="楷体_GB2312" w:cs="楷体_GB2312"/>
                          <w:b/>
                          <w:bCs/>
                          <w:color w:val="000000"/>
                          <w:sz w:val="18"/>
                          <w:szCs w:val="18"/>
                        </w:rPr>
                        <w:t>现场签证的提出</w:t>
                      </w:r>
                    </w:p>
                  </w:txbxContent>
                </v:textbox>
              </v:shape>
            </w:pict>
          </mc:Fallback>
        </mc:AlternateContent>
      </w:r>
      <w:r>
        <w:rPr>
          <w:rFonts w:hint="eastAsia" w:ascii="仿宋" w:hAnsi="仿宋" w:eastAsia="仿宋" w:cs="仿宋"/>
          <w:color w:val="auto"/>
          <w:sz w:val="24"/>
          <w:szCs w:val="24"/>
          <w:highlight w:val="none"/>
          <w:lang w:eastAsia="zh-CN"/>
        </w:rPr>
        <w:t>承包人应发包人要求完成合同以外的零星项目、非承包人责任事项等工作的，发包人应通知监理人及时以书面形式向承包人发出工作指令，提供所需的相关资料；承包人在收到监理人书面通知后，应及时向发包人提出现场签证要求。</w:t>
      </w:r>
    </w:p>
    <w:p>
      <w:pPr>
        <w:spacing w:line="360" w:lineRule="auto"/>
        <w:rPr>
          <w:rFonts w:ascii="仿宋" w:hAnsi="仿宋" w:eastAsia="仿宋"/>
          <w:b/>
          <w:bCs/>
          <w:color w:val="auto"/>
          <w:highlight w:val="none"/>
          <w:lang w:eastAsia="zh-CN"/>
        </w:rPr>
      </w:pPr>
      <w:bookmarkStart w:id="1080" w:name="_Toc19460"/>
      <w:r>
        <w:rPr>
          <w:rFonts w:hint="eastAsia" w:ascii="仿宋" w:hAnsi="仿宋" w:eastAsia="仿宋" w:cs="仿宋"/>
          <w:b/>
          <w:bCs/>
          <w:color w:val="auto"/>
          <w:highlight w:val="none"/>
          <w:lang w:eastAsia="zh-CN"/>
        </w:rPr>
        <w:t>81</w:t>
      </w:r>
      <w:r>
        <w:rPr>
          <w:rFonts w:ascii="仿宋" w:hAnsi="仿宋" w:eastAsia="仿宋" w:cs="仿宋"/>
          <w:b/>
          <w:bCs/>
          <w:color w:val="auto"/>
          <w:highlight w:val="none"/>
          <w:lang w:eastAsia="zh-CN"/>
        </w:rPr>
        <w:t>.3</w:t>
      </w:r>
      <w:bookmarkEnd w:id="108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4784" behindDoc="0" locked="0" layoutInCell="1" allowOverlap="1">
                <wp:simplePos x="0" y="0"/>
                <wp:positionH relativeFrom="column">
                  <wp:posOffset>-114300</wp:posOffset>
                </wp:positionH>
                <wp:positionV relativeFrom="paragraph">
                  <wp:posOffset>5080</wp:posOffset>
                </wp:positionV>
                <wp:extent cx="804545" cy="530860"/>
                <wp:effectExtent l="0" t="0" r="0" b="0"/>
                <wp:wrapNone/>
                <wp:docPr id="231" name="文本框 1013"/>
                <wp:cNvGraphicFramePr/>
                <a:graphic xmlns:a="http://schemas.openxmlformats.org/drawingml/2006/main">
                  <a:graphicData uri="http://schemas.microsoft.com/office/word/2010/wordprocessingShape">
                    <wps:wsp>
                      <wps:cNvSpPr txBox="1"/>
                      <wps:spPr>
                        <a:xfrm>
                          <a:off x="0" y="0"/>
                          <a:ext cx="804545" cy="530860"/>
                        </a:xfrm>
                        <a:prstGeom prst="rect">
                          <a:avLst/>
                        </a:prstGeom>
                        <a:noFill/>
                        <a:ln>
                          <a:noFill/>
                        </a:ln>
                      </wps:spPr>
                      <wps:txbx>
                        <w:txbxContent>
                          <w:p>
                            <w:pPr>
                              <w:pStyle w:val="17"/>
                              <w:spacing w:line="200" w:lineRule="exact"/>
                            </w:pPr>
                            <w:r>
                              <w:rPr>
                                <w:rFonts w:hint="eastAsia" w:ascii="楷体_GB2312" w:hAnsi="宋体" w:eastAsia="楷体_GB2312" w:cs="楷体_GB2312"/>
                                <w:b/>
                                <w:bCs/>
                                <w:color w:val="000000"/>
                                <w:sz w:val="18"/>
                                <w:szCs w:val="18"/>
                              </w:rPr>
                              <w:t>现场签证报告的确认</w:t>
                            </w:r>
                          </w:p>
                        </w:txbxContent>
                      </wps:txbx>
                      <wps:bodyPr wrap="square" upright="1"/>
                    </wps:wsp>
                  </a:graphicData>
                </a:graphic>
              </wp:anchor>
            </w:drawing>
          </mc:Choice>
          <mc:Fallback>
            <w:pict>
              <v:shape id="文本框 1013" o:spid="_x0000_s1026" o:spt="202" type="#_x0000_t202" style="position:absolute;left:0pt;margin-left:-9pt;margin-top:0.4pt;height:41.8pt;width:63.35pt;z-index:251894784;mso-width-relative:page;mso-height-relative:page;" filled="f" stroked="f" coordsize="21600,21600" o:gfxdata="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PGnqlTTAAAABwEAAA8AAAAAAAAAAQAgAAAAIgAAAGRycy9kb3ducmV2LnhtbFBLAQIUABQA&#10;AAAIAIdO4kBp006XvAEAAGADAAAOAAAAAAAAAAEAIAAAACIBAABkcnMvZTJvRG9jLnhtbFBLBQYA&#10;AAAABgAGAFkBAABQBQAAAAA=&#10;">
                <v:fill on="f" focussize="0,0"/>
                <v:stroke on="f"/>
                <v:imagedata o:title=""/>
                <o:lock v:ext="edit" aspectratio="f"/>
                <v:textbox>
                  <w:txbxContent>
                    <w:p>
                      <w:pPr>
                        <w:pStyle w:val="17"/>
                        <w:spacing w:line="200" w:lineRule="exact"/>
                      </w:pPr>
                      <w:r>
                        <w:rPr>
                          <w:rFonts w:hint="eastAsia" w:ascii="楷体_GB2312" w:hAnsi="宋体" w:eastAsia="楷体_GB2312" w:cs="楷体_GB2312"/>
                          <w:b/>
                          <w:bCs/>
                          <w:color w:val="000000"/>
                          <w:sz w:val="18"/>
                          <w:szCs w:val="18"/>
                        </w:rPr>
                        <w:t>现场签证报告的确认</w:t>
                      </w:r>
                    </w:p>
                  </w:txbxContent>
                </v:textbox>
              </v:shape>
            </w:pict>
          </mc:Fallback>
        </mc:AlternateContent>
      </w:r>
      <w:r>
        <w:rPr>
          <w:rFonts w:hint="eastAsia" w:ascii="仿宋" w:hAnsi="仿宋" w:eastAsia="仿宋" w:cs="仿宋"/>
          <w:color w:val="auto"/>
          <w:sz w:val="24"/>
          <w:szCs w:val="24"/>
          <w:highlight w:val="none"/>
          <w:lang w:eastAsia="zh-CN"/>
        </w:rPr>
        <w:t>除专用条款另有约定外，承包人应在收到监理人书面通知后的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天内，向发包人提交现场签证报告，并抄送监理人、造价咨询人。发包人在收到承包人的现场签证报告后，应通知监理人、造价咨询人对报告内容予以核实，并在收到现场签证报告后的</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小时内予以确认或提出修改意见。发包人在收到承包人现场签证报告后的</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小时内未确认也未提出修改意见的，视为承包人提交的现场签证报告已被认可。</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81</w:t>
      </w:r>
      <w:r>
        <w:rPr>
          <w:rFonts w:ascii="仿宋" w:hAnsi="仿宋" w:eastAsia="仿宋" w:cs="仿宋"/>
          <w:b/>
          <w:bCs/>
          <w:color w:val="auto"/>
          <w:highlight w:val="none"/>
          <w:lang w:eastAsia="zh-CN"/>
        </w:rPr>
        <w:t xml:space="preserve">.4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5808" behindDoc="0" locked="0" layoutInCell="1" allowOverlap="1">
                <wp:simplePos x="0" y="0"/>
                <wp:positionH relativeFrom="column">
                  <wp:posOffset>-114300</wp:posOffset>
                </wp:positionH>
                <wp:positionV relativeFrom="paragraph">
                  <wp:posOffset>34290</wp:posOffset>
                </wp:positionV>
                <wp:extent cx="813435" cy="530860"/>
                <wp:effectExtent l="0" t="0" r="0" b="0"/>
                <wp:wrapNone/>
                <wp:docPr id="232" name="文本框 1014"/>
                <wp:cNvGraphicFramePr/>
                <a:graphic xmlns:a="http://schemas.openxmlformats.org/drawingml/2006/main">
                  <a:graphicData uri="http://schemas.microsoft.com/office/word/2010/wordprocessingShape">
                    <wps:wsp>
                      <wps:cNvSpPr txBox="1"/>
                      <wps:spPr>
                        <a:xfrm>
                          <a:off x="0" y="0"/>
                          <a:ext cx="813435" cy="530860"/>
                        </a:xfrm>
                        <a:prstGeom prst="rect">
                          <a:avLst/>
                        </a:prstGeom>
                        <a:noFill/>
                        <a:ln>
                          <a:noFill/>
                        </a:ln>
                      </wps:spPr>
                      <wps:txbx>
                        <w:txbxContent>
                          <w:p>
                            <w:pPr>
                              <w:pStyle w:val="17"/>
                              <w:spacing w:line="200" w:lineRule="exact"/>
                            </w:pPr>
                            <w:r>
                              <w:rPr>
                                <w:rFonts w:hint="eastAsia" w:ascii="楷体_GB2312" w:hAnsi="宋体" w:eastAsia="楷体_GB2312" w:cs="楷体_GB2312"/>
                                <w:b/>
                                <w:bCs/>
                                <w:color w:val="000000"/>
                                <w:sz w:val="18"/>
                                <w:szCs w:val="18"/>
                              </w:rPr>
                              <w:t>现场签证的要求</w:t>
                            </w:r>
                          </w:p>
                          <w:p/>
                        </w:txbxContent>
                      </wps:txbx>
                      <wps:bodyPr wrap="square" upright="1"/>
                    </wps:wsp>
                  </a:graphicData>
                </a:graphic>
              </wp:anchor>
            </w:drawing>
          </mc:Choice>
          <mc:Fallback>
            <w:pict>
              <v:shape id="文本框 1014" o:spid="_x0000_s1026" o:spt="202" type="#_x0000_t202" style="position:absolute;left:0pt;margin-left:-9pt;margin-top:2.7pt;height:41.8pt;width:64.05pt;z-index:251895808;mso-width-relative:page;mso-height-relative:page;" filled="f" stroked="f" coordsize="21600,21600" o:gfxdata="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mm1ek1QAAAAgBAAAPAAAAAAAAAAEAIAAAACIAAABkcnMvZG93bnJldi54bWxQSwECFAAU&#10;AAAACACHTuJACDdpKrsBAABgAwAADgAAAAAAAAABACAAAAAkAQAAZHJzL2Uyb0RvYy54bWxQSwUG&#10;AAAAAAYABgBZAQAAUQUAAAAA&#10;">
                <v:fill on="f" focussize="0,0"/>
                <v:stroke on="f"/>
                <v:imagedata o:title=""/>
                <o:lock v:ext="edit" aspectratio="f"/>
                <v:textbox>
                  <w:txbxContent>
                    <w:p>
                      <w:pPr>
                        <w:pStyle w:val="17"/>
                        <w:spacing w:line="200" w:lineRule="exact"/>
                      </w:pPr>
                      <w:r>
                        <w:rPr>
                          <w:rFonts w:hint="eastAsia" w:ascii="楷体_GB2312" w:hAnsi="宋体" w:eastAsia="楷体_GB2312" w:cs="楷体_GB2312"/>
                          <w:b/>
                          <w:bCs/>
                          <w:color w:val="000000"/>
                          <w:sz w:val="18"/>
                          <w:szCs w:val="18"/>
                        </w:rPr>
                        <w:t>现场签证的要求</w:t>
                      </w:r>
                    </w:p>
                    <w:p/>
                  </w:txbxContent>
                </v:textbox>
              </v:shape>
            </w:pict>
          </mc:Fallback>
        </mc:AlternateContent>
      </w:r>
      <w:r>
        <w:rPr>
          <w:rFonts w:hint="eastAsia" w:ascii="仿宋" w:hAnsi="仿宋" w:eastAsia="仿宋" w:cs="仿宋"/>
          <w:color w:val="auto"/>
          <w:sz w:val="24"/>
          <w:szCs w:val="24"/>
          <w:highlight w:val="none"/>
          <w:lang w:eastAsia="zh-CN"/>
        </w:rPr>
        <w:t>计日工有相应单价或合同中有适用单价的项目，合同双方当事人仅在现场签证报告中列明完成该类项目所需的人工、工程材料、工程设备和施工设备机械台班的数量。</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计日工没有相应单价或合同中没有适用单价的项目，合同双方当事人应在现场签证报告中列明完成这类项目所需的人工、工程材料、工程设备和施工设备机械台班的数量和单价。</w:t>
      </w:r>
    </w:p>
    <w:p>
      <w:pPr>
        <w:spacing w:line="360" w:lineRule="auto"/>
        <w:rPr>
          <w:rFonts w:ascii="仿宋" w:hAnsi="仿宋" w:eastAsia="仿宋"/>
          <w:b/>
          <w:bCs/>
          <w:color w:val="auto"/>
          <w:highlight w:val="none"/>
          <w:lang w:eastAsia="zh-CN"/>
        </w:rPr>
      </w:pPr>
      <w:bookmarkStart w:id="1081" w:name="_Toc15503"/>
      <w:r>
        <w:rPr>
          <w:rFonts w:hint="eastAsia" w:ascii="仿宋" w:hAnsi="仿宋" w:eastAsia="仿宋" w:cs="仿宋"/>
          <w:b/>
          <w:bCs/>
          <w:color w:val="auto"/>
          <w:highlight w:val="none"/>
          <w:lang w:eastAsia="zh-CN"/>
        </w:rPr>
        <w:t>81</w:t>
      </w:r>
      <w:r>
        <w:rPr>
          <w:rFonts w:ascii="仿宋" w:hAnsi="仿宋" w:eastAsia="仿宋" w:cs="仿宋"/>
          <w:b/>
          <w:bCs/>
          <w:color w:val="auto"/>
          <w:highlight w:val="none"/>
          <w:lang w:eastAsia="zh-CN"/>
        </w:rPr>
        <w:t>.5</w:t>
      </w:r>
      <w:bookmarkEnd w:id="108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6832" behindDoc="0" locked="0" layoutInCell="1" allowOverlap="1">
                <wp:simplePos x="0" y="0"/>
                <wp:positionH relativeFrom="column">
                  <wp:posOffset>-114300</wp:posOffset>
                </wp:positionH>
                <wp:positionV relativeFrom="paragraph">
                  <wp:posOffset>77470</wp:posOffset>
                </wp:positionV>
                <wp:extent cx="823595" cy="492760"/>
                <wp:effectExtent l="0" t="0" r="0" b="0"/>
                <wp:wrapNone/>
                <wp:docPr id="233" name="文本框 1015"/>
                <wp:cNvGraphicFramePr/>
                <a:graphic xmlns:a="http://schemas.openxmlformats.org/drawingml/2006/main">
                  <a:graphicData uri="http://schemas.microsoft.com/office/word/2010/wordprocessingShape">
                    <wps:wsp>
                      <wps:cNvSpPr txBox="1"/>
                      <wps:spPr>
                        <a:xfrm>
                          <a:off x="0" y="0"/>
                          <a:ext cx="823595" cy="492760"/>
                        </a:xfrm>
                        <a:prstGeom prst="rect">
                          <a:avLst/>
                        </a:prstGeom>
                        <a:noFill/>
                        <a:ln>
                          <a:noFill/>
                        </a:ln>
                      </wps:spPr>
                      <wps:txbx>
                        <w:txbxContent>
                          <w:p>
                            <w:pPr>
                              <w:pStyle w:val="17"/>
                              <w:spacing w:line="200" w:lineRule="exact"/>
                              <w:rPr>
                                <w:rFonts w:eastAsia="楷体_GB2312"/>
                                <w:b/>
                                <w:bCs/>
                                <w:sz w:val="18"/>
                                <w:szCs w:val="18"/>
                              </w:rPr>
                            </w:pPr>
                            <w:r>
                              <w:rPr>
                                <w:rFonts w:hint="eastAsia" w:ascii="楷体_GB2312" w:hAnsi="宋体" w:eastAsia="楷体_GB2312" w:cs="楷体_GB2312"/>
                                <w:b/>
                                <w:bCs/>
                                <w:color w:val="000000"/>
                                <w:sz w:val="18"/>
                                <w:szCs w:val="18"/>
                              </w:rPr>
                              <w:t>现场签证工作的实施</w:t>
                            </w:r>
                          </w:p>
                          <w:p/>
                        </w:txbxContent>
                      </wps:txbx>
                      <wps:bodyPr wrap="square" upright="1"/>
                    </wps:wsp>
                  </a:graphicData>
                </a:graphic>
              </wp:anchor>
            </w:drawing>
          </mc:Choice>
          <mc:Fallback>
            <w:pict>
              <v:shape id="文本框 1015" o:spid="_x0000_s1026" o:spt="202" type="#_x0000_t202" style="position:absolute;left:0pt;margin-left:-9pt;margin-top:6.1pt;height:38.8pt;width:64.85pt;z-index:251896832;mso-width-relative:page;mso-height-relative:page;" filled="f" stroked="f" coordsize="21600,21600" o:gfxdata="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Fi7L21gAAAAkBAAAPAAAAAAAAAAEAIAAAACIAAABkcnMvZG93bnJldi54bWxQSwEC&#10;FAAUAAAACACHTuJAZWW54r0BAABgAwAADgAAAAAAAAABACAAAAAlAQAAZHJzL2Uyb0RvYy54bWxQ&#10;SwUGAAAAAAYABgBZAQAAVAUAAAAA&#10;">
                <v:fill on="f" focussize="0,0"/>
                <v:stroke on="f"/>
                <v:imagedata o:title=""/>
                <o:lock v:ext="edit" aspectratio="f"/>
                <v:textbox>
                  <w:txbxContent>
                    <w:p>
                      <w:pPr>
                        <w:pStyle w:val="17"/>
                        <w:spacing w:line="200" w:lineRule="exact"/>
                        <w:rPr>
                          <w:rFonts w:eastAsia="楷体_GB2312"/>
                          <w:b/>
                          <w:bCs/>
                          <w:sz w:val="18"/>
                          <w:szCs w:val="18"/>
                        </w:rPr>
                      </w:pPr>
                      <w:r>
                        <w:rPr>
                          <w:rFonts w:hint="eastAsia" w:ascii="楷体_GB2312" w:hAnsi="宋体" w:eastAsia="楷体_GB2312" w:cs="楷体_GB2312"/>
                          <w:b/>
                          <w:bCs/>
                          <w:color w:val="000000"/>
                          <w:sz w:val="18"/>
                          <w:szCs w:val="18"/>
                        </w:rPr>
                        <w:t>现场签证工作的实施</w:t>
                      </w:r>
                    </w:p>
                    <w:p/>
                  </w:txbxContent>
                </v:textbox>
              </v:shape>
            </w:pict>
          </mc:Fallback>
        </mc:AlternateContent>
      </w:r>
      <w:r>
        <w:rPr>
          <w:rFonts w:hint="eastAsia" w:ascii="仿宋" w:hAnsi="仿宋" w:eastAsia="仿宋" w:cs="仿宋"/>
          <w:color w:val="auto"/>
          <w:sz w:val="24"/>
          <w:szCs w:val="24"/>
          <w:highlight w:val="none"/>
          <w:lang w:eastAsia="zh-CN"/>
        </w:rPr>
        <w:t>承包人应在发包人确认现场签证报告后的</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小时内，按照监理人发出的工作指令及时组织实施相关工作。否则，由此引起的损失和（或）延误的工期由承包人承担。</w:t>
      </w:r>
    </w:p>
    <w:p>
      <w:pPr>
        <w:spacing w:line="360" w:lineRule="auto"/>
        <w:rPr>
          <w:rFonts w:ascii="仿宋" w:hAnsi="仿宋" w:eastAsia="仿宋" w:cs="仿宋"/>
          <w:b/>
          <w:bCs/>
          <w:color w:val="auto"/>
          <w:highlight w:val="none"/>
          <w:u w:val="dotted"/>
          <w:lang w:eastAsia="zh-CN"/>
        </w:rPr>
      </w:pPr>
      <w:r>
        <w:rPr>
          <w:rFonts w:hint="eastAsia" w:ascii="仿宋" w:hAnsi="仿宋" w:eastAsia="仿宋" w:cs="仿宋"/>
          <w:b/>
          <w:bCs/>
          <w:color w:val="auto"/>
          <w:highlight w:val="none"/>
          <w:lang w:eastAsia="zh-CN"/>
        </w:rPr>
        <w:t>81</w:t>
      </w:r>
      <w:r>
        <w:rPr>
          <w:rFonts w:ascii="仿宋" w:hAnsi="仿宋" w:eastAsia="仿宋" w:cs="仿宋"/>
          <w:b/>
          <w:bCs/>
          <w:color w:val="auto"/>
          <w:highlight w:val="none"/>
          <w:lang w:eastAsia="zh-CN"/>
        </w:rPr>
        <w:t xml:space="preserve">.6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7856" behindDoc="0" locked="0" layoutInCell="1" allowOverlap="1">
                <wp:simplePos x="0" y="0"/>
                <wp:positionH relativeFrom="column">
                  <wp:posOffset>-114300</wp:posOffset>
                </wp:positionH>
                <wp:positionV relativeFrom="paragraph">
                  <wp:posOffset>77470</wp:posOffset>
                </wp:positionV>
                <wp:extent cx="785495" cy="425450"/>
                <wp:effectExtent l="0" t="0" r="0" b="0"/>
                <wp:wrapNone/>
                <wp:docPr id="234" name="文本框 1016"/>
                <wp:cNvGraphicFramePr/>
                <a:graphic xmlns:a="http://schemas.openxmlformats.org/drawingml/2006/main">
                  <a:graphicData uri="http://schemas.microsoft.com/office/word/2010/wordprocessingShape">
                    <wps:wsp>
                      <wps:cNvSpPr txBox="1"/>
                      <wps:spPr>
                        <a:xfrm>
                          <a:off x="0" y="0"/>
                          <a:ext cx="785495" cy="425450"/>
                        </a:xfrm>
                        <a:prstGeom prst="rect">
                          <a:avLst/>
                        </a:prstGeom>
                        <a:noFill/>
                        <a:ln>
                          <a:noFill/>
                        </a:ln>
                      </wps:spPr>
                      <wps:txbx>
                        <w:txbxContent>
                          <w:p>
                            <w:r>
                              <w:rPr>
                                <w:rFonts w:hint="eastAsia" w:ascii="楷体_GB2312" w:hAnsi="宋体" w:eastAsia="楷体_GB2312" w:cs="楷体_GB2312"/>
                                <w:b/>
                                <w:bCs/>
                                <w:color w:val="000000"/>
                                <w:sz w:val="18"/>
                                <w:szCs w:val="18"/>
                              </w:rPr>
                              <w:t>现场签证的限制</w:t>
                            </w:r>
                          </w:p>
                        </w:txbxContent>
                      </wps:txbx>
                      <wps:bodyPr wrap="square" upright="1"/>
                    </wps:wsp>
                  </a:graphicData>
                </a:graphic>
              </wp:anchor>
            </w:drawing>
          </mc:Choice>
          <mc:Fallback>
            <w:pict>
              <v:shape id="文本框 1016" o:spid="_x0000_s1026" o:spt="202" type="#_x0000_t202" style="position:absolute;left:0pt;margin-left:-9pt;margin-top:6.1pt;height:33.5pt;width:61.85pt;z-index:251897856;mso-width-relative:page;mso-height-relative:page;" filled="f" stroked="f" coordsize="21600,21600" o:gfxdata="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A8yYqLWAAAACQEAAA8AAAAAAAAAAQAgAAAAIgAAAGRycy9kb3ducmV2LnhtbFBLAQIU&#10;ABQAAAAIAIdO4kAgZ7uavAEAAGADAAAOAAAAAAAAAAEAIAAAACUBAABkcnMvZTJvRG9jLnhtbFBL&#10;BQYAAAAABgAGAFkBAABTBQAAAAA=&#10;">
                <v:fill on="f" focussize="0,0"/>
                <v:stroke on="f"/>
                <v:imagedata o:title=""/>
                <o:lock v:ext="edit" aspectratio="f"/>
                <v:textbox>
                  <w:txbxContent>
                    <w:p>
                      <w:r>
                        <w:rPr>
                          <w:rFonts w:hint="eastAsia" w:ascii="楷体_GB2312" w:hAnsi="宋体" w:eastAsia="楷体_GB2312" w:cs="楷体_GB2312"/>
                          <w:b/>
                          <w:bCs/>
                          <w:color w:val="000000"/>
                          <w:sz w:val="18"/>
                          <w:szCs w:val="18"/>
                        </w:rPr>
                        <w:t>现场签证的限制</w:t>
                      </w:r>
                    </w:p>
                  </w:txbxContent>
                </v:textbox>
              </v:shape>
            </w:pict>
          </mc:Fallback>
        </mc:AlternateContent>
      </w:r>
      <w:r>
        <w:rPr>
          <w:rFonts w:hint="eastAsia" w:ascii="仿宋" w:hAnsi="仿宋" w:eastAsia="仿宋" w:cs="仿宋"/>
          <w:color w:val="auto"/>
          <w:sz w:val="24"/>
          <w:szCs w:val="24"/>
          <w:highlight w:val="none"/>
          <w:lang w:eastAsia="zh-CN"/>
        </w:rPr>
        <w:t>合同工程发生现场签证事项，未经发包人签证、确认，承包人便擅自实施相关工作的，除非征得发包人同意，否则发生的费用由承包人承担。</w:t>
      </w:r>
    </w:p>
    <w:p>
      <w:pPr>
        <w:spacing w:line="360" w:lineRule="auto"/>
        <w:rPr>
          <w:rFonts w:ascii="仿宋" w:hAnsi="仿宋" w:eastAsia="仿宋" w:cs="仿宋"/>
          <w:b/>
          <w:bCs/>
          <w:color w:val="auto"/>
          <w:highlight w:val="none"/>
          <w:u w:val="dotted"/>
          <w:lang w:eastAsia="zh-CN"/>
        </w:rPr>
      </w:pPr>
      <w:bookmarkStart w:id="1082" w:name="_Toc31791"/>
      <w:r>
        <w:rPr>
          <w:rFonts w:hint="eastAsia" w:ascii="仿宋" w:hAnsi="仿宋" w:eastAsia="仿宋" w:cs="仿宋"/>
          <w:b/>
          <w:bCs/>
          <w:color w:val="auto"/>
          <w:highlight w:val="none"/>
          <w:lang w:eastAsia="zh-CN"/>
        </w:rPr>
        <w:t>81</w:t>
      </w:r>
      <w:r>
        <w:rPr>
          <w:rFonts w:ascii="仿宋" w:hAnsi="仿宋" w:eastAsia="仿宋" w:cs="仿宋"/>
          <w:b/>
          <w:bCs/>
          <w:color w:val="auto"/>
          <w:highlight w:val="none"/>
          <w:lang w:eastAsia="zh-CN"/>
        </w:rPr>
        <w:t>.7</w:t>
      </w:r>
      <w:bookmarkEnd w:id="108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898880" behindDoc="0" locked="0" layoutInCell="1" allowOverlap="1">
                <wp:simplePos x="0" y="0"/>
                <wp:positionH relativeFrom="column">
                  <wp:posOffset>-114300</wp:posOffset>
                </wp:positionH>
                <wp:positionV relativeFrom="paragraph">
                  <wp:posOffset>77470</wp:posOffset>
                </wp:positionV>
                <wp:extent cx="861695" cy="463550"/>
                <wp:effectExtent l="0" t="0" r="0" b="0"/>
                <wp:wrapNone/>
                <wp:docPr id="235" name="文本框 1017"/>
                <wp:cNvGraphicFramePr/>
                <a:graphic xmlns:a="http://schemas.openxmlformats.org/drawingml/2006/main">
                  <a:graphicData uri="http://schemas.microsoft.com/office/word/2010/wordprocessingShape">
                    <wps:wsp>
                      <wps:cNvSpPr txBox="1"/>
                      <wps:spPr>
                        <a:xfrm>
                          <a:off x="0" y="0"/>
                          <a:ext cx="861695" cy="463550"/>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价格确认与支付</w:t>
                            </w:r>
                          </w:p>
                          <w:p>
                            <w:pPr>
                              <w:pStyle w:val="22"/>
                              <w:adjustRightInd w:val="0"/>
                              <w:snapToGrid w:val="0"/>
                              <w:rPr>
                                <w:rFonts w:ascii="Times New Roman" w:hAnsi="Times New Roman" w:eastAsia="楷体_GB2312"/>
                                <w:b/>
                                <w:bCs/>
                                <w:sz w:val="18"/>
                                <w:szCs w:val="18"/>
                              </w:rPr>
                            </w:pPr>
                          </w:p>
                          <w:p>
                            <w:pPr>
                              <w:pStyle w:val="22"/>
                              <w:adjustRightInd w:val="0"/>
                              <w:snapToGrid w:val="0"/>
                              <w:spacing w:line="360" w:lineRule="auto"/>
                              <w:rPr>
                                <w:rFonts w:ascii="Times New Roman" w:hAnsi="Times New Roman" w:eastAsia="楷体_GB2312"/>
                                <w:b/>
                                <w:bCs/>
                                <w:sz w:val="18"/>
                                <w:szCs w:val="18"/>
                              </w:rPr>
                            </w:pPr>
                          </w:p>
                          <w:p/>
                        </w:txbxContent>
                      </wps:txbx>
                      <wps:bodyPr wrap="square" upright="1"/>
                    </wps:wsp>
                  </a:graphicData>
                </a:graphic>
              </wp:anchor>
            </w:drawing>
          </mc:Choice>
          <mc:Fallback>
            <w:pict>
              <v:shape id="文本框 1017" o:spid="_x0000_s1026" o:spt="202" type="#_x0000_t202" style="position:absolute;left:0pt;margin-left:-9pt;margin-top:6.1pt;height:36.5pt;width:67.85pt;z-index:251898880;mso-width-relative:page;mso-height-relative:page;" filled="f" stroked="f" coordsize="21600,21600" o:gfxdata="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Uoy1d1wAAAAkBAAAPAAAAAAAAAAEAIAAAACIAAABkcnMvZG93bnJldi54bWxQSwEC&#10;FAAUAAAACACHTuJA+jNRSrwBAABgAwAADgAAAAAAAAABACAAAAAmAQAAZHJzL2Uyb0RvYy54bWxQ&#10;SwUGAAAAAAYABgBZAQAAVA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价格确认与支付</w:t>
                      </w:r>
                    </w:p>
                    <w:p>
                      <w:pPr>
                        <w:pStyle w:val="22"/>
                        <w:adjustRightInd w:val="0"/>
                        <w:snapToGrid w:val="0"/>
                        <w:rPr>
                          <w:rFonts w:ascii="Times New Roman" w:hAnsi="Times New Roman" w:eastAsia="楷体_GB2312"/>
                          <w:b/>
                          <w:bCs/>
                          <w:sz w:val="18"/>
                          <w:szCs w:val="18"/>
                        </w:rPr>
                      </w:pPr>
                    </w:p>
                    <w:p>
                      <w:pPr>
                        <w:pStyle w:val="22"/>
                        <w:adjustRightInd w:val="0"/>
                        <w:snapToGrid w:val="0"/>
                        <w:spacing w:line="360" w:lineRule="auto"/>
                        <w:rPr>
                          <w:rFonts w:ascii="Times New Roman" w:hAnsi="Times New Roman" w:eastAsia="楷体_GB2312"/>
                          <w:b/>
                          <w:bCs/>
                          <w:sz w:val="18"/>
                          <w:szCs w:val="18"/>
                        </w:rPr>
                      </w:pPr>
                    </w:p>
                    <w:p/>
                  </w:txbxContent>
                </v:textbox>
              </v:shape>
            </w:pict>
          </mc:Fallback>
        </mc:AlternateContent>
      </w:r>
      <w:r>
        <w:rPr>
          <w:rFonts w:hint="eastAsia" w:ascii="仿宋" w:hAnsi="仿宋" w:eastAsia="仿宋" w:cs="仿宋"/>
          <w:color w:val="auto"/>
          <w:sz w:val="24"/>
          <w:szCs w:val="24"/>
          <w:highlight w:val="none"/>
          <w:lang w:eastAsia="zh-CN"/>
        </w:rPr>
        <w:t>现场签证工作完成后的</w:t>
      </w:r>
      <w:r>
        <w:rPr>
          <w:rFonts w:ascii="仿宋" w:hAnsi="仿宋" w:eastAsia="仿宋" w:cs="仿宋"/>
          <w:color w:val="auto"/>
          <w:sz w:val="24"/>
          <w:szCs w:val="24"/>
          <w:highlight w:val="none"/>
          <w:lang w:eastAsia="zh-CN"/>
        </w:rPr>
        <w:t>48</w:t>
      </w:r>
      <w:r>
        <w:rPr>
          <w:rFonts w:hint="eastAsia" w:ascii="仿宋" w:hAnsi="仿宋" w:eastAsia="仿宋" w:cs="仿宋"/>
          <w:color w:val="auto"/>
          <w:sz w:val="24"/>
          <w:szCs w:val="24"/>
          <w:highlight w:val="none"/>
          <w:lang w:eastAsia="zh-CN"/>
        </w:rPr>
        <w:t>小时内，合同双方当事人应确认由此引起调整的合同价格，并作为追加合同价格，与工程进度款同期支付。</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83" w:name="_Toc26899"/>
      <w:bookmarkStart w:id="1084" w:name="_Toc25914"/>
      <w:bookmarkStart w:id="1085" w:name="_Toc19936"/>
      <w:bookmarkStart w:id="1086" w:name="_Toc32238"/>
      <w:bookmarkStart w:id="1087" w:name="_Toc15767"/>
      <w:bookmarkStart w:id="1088" w:name="_Toc28332"/>
      <w:bookmarkStart w:id="1089" w:name="_Toc368"/>
      <w:bookmarkStart w:id="1090" w:name="_Toc6629"/>
      <w:r>
        <w:rPr>
          <w:rFonts w:hint="eastAsia" w:ascii="仿宋" w:hAnsi="仿宋" w:eastAsia="仿宋" w:cs="仿宋"/>
          <w:bCs w:val="0"/>
          <w:color w:val="auto"/>
          <w:sz w:val="24"/>
          <w:szCs w:val="24"/>
          <w:highlight w:val="none"/>
          <w:lang w:eastAsia="zh-CN"/>
        </w:rPr>
        <w:t>★82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物价涨落的价格调整</w:t>
      </w:r>
      <w:bookmarkEnd w:id="1083"/>
      <w:bookmarkEnd w:id="1084"/>
      <w:bookmarkEnd w:id="1085"/>
      <w:bookmarkEnd w:id="1086"/>
      <w:bookmarkEnd w:id="1087"/>
      <w:bookmarkEnd w:id="1088"/>
      <w:bookmarkEnd w:id="1089"/>
      <w:bookmarkEnd w:id="1090"/>
    </w:p>
    <w:p>
      <w:pPr>
        <w:pStyle w:val="22"/>
        <w:widowControl w:val="0"/>
        <w:adjustRightInd w:val="0"/>
        <w:snapToGrid w:val="0"/>
        <w:spacing w:line="360" w:lineRule="auto"/>
        <w:rPr>
          <w:rFonts w:ascii="仿宋" w:hAnsi="仿宋" w:eastAsia="仿宋" w:cs="仿宋"/>
          <w:b/>
          <w:bCs/>
          <w:color w:val="auto"/>
          <w:sz w:val="24"/>
          <w:szCs w:val="24"/>
          <w:highlight w:val="none"/>
          <w:lang w:eastAsia="zh-CN"/>
        </w:rPr>
      </w:pPr>
      <w:r>
        <w:rPr>
          <w:b/>
          <w:color w:val="auto"/>
          <w:highlight w:val="none"/>
        </w:rPr>
        <mc:AlternateContent>
          <mc:Choice Requires="wps">
            <w:drawing>
              <wp:anchor distT="0" distB="0" distL="114300" distR="114300" simplePos="0" relativeHeight="252059648" behindDoc="0" locked="0" layoutInCell="1" allowOverlap="1">
                <wp:simplePos x="0" y="0"/>
                <wp:positionH relativeFrom="column">
                  <wp:posOffset>-114300</wp:posOffset>
                </wp:positionH>
                <wp:positionV relativeFrom="paragraph">
                  <wp:posOffset>274320</wp:posOffset>
                </wp:positionV>
                <wp:extent cx="850900" cy="551815"/>
                <wp:effectExtent l="0" t="0" r="0" b="0"/>
                <wp:wrapNone/>
                <wp:docPr id="392" name="文本框 1018"/>
                <wp:cNvGraphicFramePr/>
                <a:graphic xmlns:a="http://schemas.openxmlformats.org/drawingml/2006/main">
                  <a:graphicData uri="http://schemas.microsoft.com/office/word/2010/wordprocessingShape">
                    <wps:wsp>
                      <wps:cNvSpPr txBox="1"/>
                      <wps:spPr>
                        <a:xfrm>
                          <a:off x="0" y="0"/>
                          <a:ext cx="850900" cy="55181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物价涨落的价格调整</w:t>
                            </w:r>
                          </w:p>
                        </w:txbxContent>
                      </wps:txbx>
                      <wps:bodyPr wrap="square" upright="1"/>
                    </wps:wsp>
                  </a:graphicData>
                </a:graphic>
              </wp:anchor>
            </w:drawing>
          </mc:Choice>
          <mc:Fallback>
            <w:pict>
              <v:shape id="文本框 1018" o:spid="_x0000_s1026" o:spt="202" type="#_x0000_t202" style="position:absolute;left:0pt;margin-left:-9pt;margin-top:21.6pt;height:43.45pt;width:67pt;z-index:252059648;mso-width-relative:page;mso-height-relative:page;" filled="f" stroked="f" coordsize="21600,21600" o:gfxdata="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54ycmdcAAAAKAQAADwAAAAAAAAABACAAAAAiAAAAZHJzL2Rvd25yZXYueG1sUEsBAhQA&#10;FAAAAAgAh07iQLAIsMO6AQAAYAMAAA4AAAAAAAAAAQAgAAAAJg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物价涨落的价格调整</w:t>
                      </w:r>
                    </w:p>
                  </w:txbxContent>
                </v:textbox>
              </v:shape>
            </w:pict>
          </mc:Fallback>
        </mc:AlternateContent>
      </w:r>
      <w:r>
        <w:rPr>
          <w:rFonts w:hint="eastAsia" w:ascii="仿宋" w:hAnsi="仿宋" w:eastAsia="仿宋" w:cs="仿宋"/>
          <w:b/>
          <w:bCs/>
          <w:color w:val="auto"/>
          <w:sz w:val="24"/>
          <w:szCs w:val="24"/>
          <w:highlight w:val="none"/>
          <w:lang w:eastAsia="zh-CN"/>
        </w:rPr>
        <w:t>82</w:t>
      </w:r>
      <w:r>
        <w:rPr>
          <w:rFonts w:ascii="仿宋" w:hAnsi="仿宋" w:eastAsia="仿宋" w:cs="仿宋"/>
          <w:b/>
          <w:bCs/>
          <w:color w:val="auto"/>
          <w:sz w:val="24"/>
          <w:szCs w:val="24"/>
          <w:highlight w:val="none"/>
          <w:lang w:eastAsia="zh-CN"/>
        </w:rPr>
        <w:t>.1</w:t>
      </w:r>
    </w:p>
    <w:p>
      <w:pPr>
        <w:pStyle w:val="22"/>
        <w:widowControl w:val="0"/>
        <w:adjustRightInd w:val="0"/>
        <w:snapToGrid w:val="0"/>
        <w:spacing w:line="420" w:lineRule="exact"/>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履行期间，除专用合同条款另有约定外，市场价格波动超过合同当事人约定的涨跌幅度，合同价格应当调整。因承包人责任造成的工期延误期间的价格上涨，其差价不予调整，价格下跌的价差相应扣减。合同当事人可以在专用条款中约定按第82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款选择一种方式对合同价格进行调整。</w:t>
      </w:r>
    </w:p>
    <w:p>
      <w:pPr>
        <w:pStyle w:val="22"/>
        <w:widowControl w:val="0"/>
        <w:tabs>
          <w:tab w:val="left" w:pos="540"/>
        </w:tabs>
        <w:adjustRightInd w:val="0"/>
        <w:snapToGrid w:val="0"/>
        <w:spacing w:line="360" w:lineRule="auto"/>
        <w:rPr>
          <w:rFonts w:ascii="仿宋" w:hAnsi="仿宋" w:eastAsia="仿宋" w:cs="仿宋"/>
          <w:b/>
          <w:bCs/>
          <w:color w:val="auto"/>
          <w:sz w:val="24"/>
          <w:szCs w:val="24"/>
          <w:highlight w:val="none"/>
          <w:u w:val="dotted"/>
          <w:lang w:eastAsia="zh-CN"/>
        </w:rPr>
      </w:pPr>
      <w:r>
        <w:rPr>
          <w:color w:val="auto"/>
          <w:highlight w:val="none"/>
        </w:rPr>
        <mc:AlternateContent>
          <mc:Choice Requires="wps">
            <w:drawing>
              <wp:anchor distT="0" distB="0" distL="114300" distR="114300" simplePos="0" relativeHeight="252060672" behindDoc="0" locked="0" layoutInCell="1" allowOverlap="1">
                <wp:simplePos x="0" y="0"/>
                <wp:positionH relativeFrom="column">
                  <wp:posOffset>-66675</wp:posOffset>
                </wp:positionH>
                <wp:positionV relativeFrom="paragraph">
                  <wp:posOffset>295275</wp:posOffset>
                </wp:positionV>
                <wp:extent cx="813435" cy="647065"/>
                <wp:effectExtent l="0" t="0" r="0" b="0"/>
                <wp:wrapNone/>
                <wp:docPr id="393" name="文本框 1019"/>
                <wp:cNvGraphicFramePr/>
                <a:graphic xmlns:a="http://schemas.openxmlformats.org/drawingml/2006/main">
                  <a:graphicData uri="http://schemas.microsoft.com/office/word/2010/wordprocessingShape">
                    <wps:wsp>
                      <wps:cNvSpPr txBox="1"/>
                      <wps:spPr>
                        <a:xfrm>
                          <a:off x="0" y="0"/>
                          <a:ext cx="813435" cy="647065"/>
                        </a:xfrm>
                        <a:prstGeom prst="rect">
                          <a:avLst/>
                        </a:prstGeom>
                        <a:noFill/>
                        <a:ln>
                          <a:noFill/>
                        </a:ln>
                      </wps:spPr>
                      <wps:txb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人工费的调整方法</w:t>
                            </w:r>
                          </w:p>
                        </w:txbxContent>
                      </wps:txbx>
                      <wps:bodyPr wrap="square" upright="1"/>
                    </wps:wsp>
                  </a:graphicData>
                </a:graphic>
              </wp:anchor>
            </w:drawing>
          </mc:Choice>
          <mc:Fallback>
            <w:pict>
              <v:shape id="文本框 1019" o:spid="_x0000_s1026" o:spt="202" type="#_x0000_t202" style="position:absolute;left:0pt;margin-left:-5.25pt;margin-top:23.25pt;height:50.95pt;width:64.05pt;z-index:252060672;mso-width-relative:page;mso-height-relative:page;" filled="f" stroked="f" coordsize="21600,21600" o:gfxdata="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OvGjf1wAAAAoBAAAPAAAAAAAAAAEAIAAAACIAAABkcnMvZG93bnJldi54bWxQSwEC&#10;FAAUAAAACACHTuJAdNAgP7wBAABgAwAADgAAAAAAAAABACAAAAAmAQAAZHJzL2Uyb0RvYy54bWxQ&#10;SwUGAAAAAAYABgBZAQAAVAU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rPr>
                      </w:pPr>
                      <w:r>
                        <w:rPr>
                          <w:rFonts w:hint="eastAsia" w:ascii="楷体_GB2312" w:hAnsi="宋体" w:eastAsia="楷体_GB2312" w:cs="楷体_GB2312"/>
                          <w:b/>
                          <w:bCs/>
                          <w:color w:val="000000"/>
                          <w:sz w:val="18"/>
                          <w:szCs w:val="18"/>
                        </w:rPr>
                        <w:t>人工费的调整方法</w:t>
                      </w:r>
                    </w:p>
                  </w:txbxContent>
                </v:textbox>
              </v:shape>
            </w:pict>
          </mc:Fallback>
        </mc:AlternateContent>
      </w:r>
      <w:r>
        <w:rPr>
          <w:rFonts w:hint="eastAsia" w:ascii="仿宋" w:hAnsi="仿宋" w:eastAsia="仿宋" w:cs="仿宋"/>
          <w:b/>
          <w:bCs/>
          <w:color w:val="auto"/>
          <w:sz w:val="24"/>
          <w:szCs w:val="24"/>
          <w:highlight w:val="none"/>
          <w:lang w:eastAsia="zh-CN"/>
        </w:rPr>
        <w:t>82</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420" w:lineRule="exact"/>
        <w:ind w:left="1850" w:leftChars="771"/>
        <w:jc w:val="both"/>
        <w:rPr>
          <w:color w:val="auto"/>
          <w:highlight w:val="none"/>
          <w:lang w:eastAsia="zh-CN"/>
        </w:rPr>
      </w:pPr>
      <w:r>
        <w:rPr>
          <w:rFonts w:hint="eastAsia" w:ascii="仿宋" w:hAnsi="仿宋" w:eastAsia="仿宋" w:cs="仿宋"/>
          <w:color w:val="auto"/>
          <w:sz w:val="24"/>
          <w:szCs w:val="24"/>
          <w:highlight w:val="none"/>
          <w:lang w:eastAsia="zh-CN"/>
        </w:rPr>
        <w:t>执行第82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种方式：采用本地造价管理机构发布的价格指导文件进行价格调整”约定的</w:t>
      </w:r>
      <w:r>
        <w:rPr>
          <w:rFonts w:hint="eastAsia"/>
          <w:color w:val="auto"/>
          <w:highlight w:val="none"/>
          <w:lang w:eastAsia="zh-CN"/>
        </w:rPr>
        <w:t>，</w:t>
      </w:r>
      <w:r>
        <w:rPr>
          <w:rFonts w:hint="eastAsia" w:ascii="仿宋" w:hAnsi="仿宋" w:eastAsia="仿宋" w:cs="仿宋"/>
          <w:color w:val="auto"/>
          <w:sz w:val="24"/>
          <w:szCs w:val="24"/>
          <w:highlight w:val="none"/>
          <w:lang w:eastAsia="zh-CN"/>
        </w:rPr>
        <w:t>合同当事人应按文件规定调整合同价格，但承包人对人工费或人工单价的报价高于发布价格的除外；或由合同当事人在专用条款中约定人工费、人工单价调整条件。</w:t>
      </w:r>
    </w:p>
    <w:p>
      <w:pPr>
        <w:pStyle w:val="22"/>
        <w:widowControl w:val="0"/>
        <w:tabs>
          <w:tab w:val="left" w:pos="540"/>
        </w:tabs>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82</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widowControl w:val="0"/>
        <w:spacing w:line="360" w:lineRule="auto"/>
        <w:ind w:left="1850" w:leftChars="771"/>
        <w:jc w:val="both"/>
        <w:rPr>
          <w:rFonts w:eastAsia="仿宋_GB2312"/>
          <w:color w:val="auto"/>
          <w:sz w:val="30"/>
          <w:szCs w:val="30"/>
          <w:highlight w:val="none"/>
          <w:lang w:eastAsia="zh-CN"/>
        </w:rPr>
      </w:pPr>
      <w:r>
        <w:rPr>
          <w:rFonts w:hint="eastAsia" w:ascii="仿宋" w:hAnsi="仿宋" w:eastAsia="仿宋" w:cs="仿宋"/>
          <w:color w:val="auto"/>
          <w:highlight w:val="none"/>
          <w:lang w:eastAsia="zh-CN"/>
        </w:rPr>
        <w:t>第</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种方式：采用本地造价管理机构发布的价格指导文件进行价格调整。</w:t>
      </w:r>
    </w:p>
    <w:p>
      <w:pPr>
        <w:widowControl w:val="0"/>
        <w:spacing w:line="360" w:lineRule="auto"/>
        <w:ind w:left="1850" w:leftChars="771"/>
        <w:jc w:val="both"/>
        <w:rPr>
          <w:color w:val="auto"/>
          <w:highlight w:val="none"/>
          <w:lang w:eastAsia="zh-CN"/>
        </w:rPr>
      </w:pPr>
      <w:r>
        <w:rPr>
          <w:rFonts w:hint="eastAsia" w:ascii="仿宋" w:hAnsi="仿宋" w:eastAsia="仿宋" w:cs="仿宋"/>
          <w:color w:val="auto"/>
          <w:highlight w:val="none"/>
          <w:lang w:eastAsia="zh-CN"/>
        </w:rPr>
        <w:t>合同履行期间，因人工、工程材料、工程设备和施工机具台班价格波动影响合同</w:t>
      </w:r>
      <w:r>
        <w:rPr>
          <w:color w:val="auto"/>
          <w:highlight w:val="none"/>
        </w:rPr>
        <mc:AlternateContent>
          <mc:Choice Requires="wps">
            <w:drawing>
              <wp:anchor distT="0" distB="0" distL="114300" distR="114300" simplePos="0" relativeHeight="251899904" behindDoc="0" locked="0" layoutInCell="1" allowOverlap="1">
                <wp:simplePos x="0" y="0"/>
                <wp:positionH relativeFrom="column">
                  <wp:posOffset>-47625</wp:posOffset>
                </wp:positionH>
                <wp:positionV relativeFrom="paragraph">
                  <wp:posOffset>66675</wp:posOffset>
                </wp:positionV>
                <wp:extent cx="785495" cy="1030605"/>
                <wp:effectExtent l="0" t="0" r="0" b="0"/>
                <wp:wrapNone/>
                <wp:docPr id="236" name="文本框 1020"/>
                <wp:cNvGraphicFramePr/>
                <a:graphic xmlns:a="http://schemas.openxmlformats.org/drawingml/2006/main">
                  <a:graphicData uri="http://schemas.microsoft.com/office/word/2010/wordprocessingShape">
                    <wps:wsp>
                      <wps:cNvSpPr txBox="1"/>
                      <wps:spPr>
                        <a:xfrm>
                          <a:off x="0" y="0"/>
                          <a:ext cx="785495" cy="1030605"/>
                        </a:xfrm>
                        <a:prstGeom prst="rect">
                          <a:avLst/>
                        </a:prstGeom>
                        <a:noFill/>
                        <a:ln>
                          <a:noFill/>
                        </a:ln>
                      </wps:spPr>
                      <wps:txb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承包人采购工程材料和工程设备的材料设备费、施工机具使用费调整方法</w:t>
                            </w:r>
                          </w:p>
                        </w:txbxContent>
                      </wps:txbx>
                      <wps:bodyPr wrap="square" upright="1"/>
                    </wps:wsp>
                  </a:graphicData>
                </a:graphic>
              </wp:anchor>
            </w:drawing>
          </mc:Choice>
          <mc:Fallback>
            <w:pict>
              <v:shape id="文本框 1020" o:spid="_x0000_s1026" o:spt="202" type="#_x0000_t202" style="position:absolute;left:0pt;margin-left:-3.75pt;margin-top:5.25pt;height:81.15pt;width:61.85pt;z-index:251899904;mso-width-relative:page;mso-height-relative:page;" filled="f" stroked="f" coordsize="21600,21600" o:gfxdata="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XWby79YAAAAJAQAADwAAAAAAAAABACAAAAAiAAAAZHJzL2Rvd25yZXYueG1sUEsBAhQA&#10;FAAAAAgAh07iQBsaKPu7AQAAYQMAAA4AAAAAAAAAAQAgAAAAJQEAAGRycy9lMm9Eb2MueG1sUEsF&#10;BgAAAAAGAAYAWQEAAFIFAAAAAA==&#10;">
                <v:fill on="f" focussize="0,0"/>
                <v:stroke on="f"/>
                <v:imagedata o:title=""/>
                <o:lock v:ext="edit" aspectratio="f"/>
                <v:textbox>
                  <w:txbxContent>
                    <w:p>
                      <w:pPr>
                        <w:pStyle w:val="17"/>
                        <w:spacing w:line="200" w:lineRule="exact"/>
                        <w:rPr>
                          <w:rFonts w:ascii="楷体_GB2312" w:hAnsi="宋体" w:eastAsia="楷体_GB2312"/>
                          <w:b/>
                          <w:bCs/>
                          <w:color w:val="000000"/>
                          <w:sz w:val="18"/>
                          <w:szCs w:val="18"/>
                          <w:lang w:eastAsia="zh-CN"/>
                        </w:rPr>
                      </w:pPr>
                      <w:r>
                        <w:rPr>
                          <w:rFonts w:hint="eastAsia" w:ascii="楷体_GB2312" w:hAnsi="宋体" w:eastAsia="楷体_GB2312" w:cs="楷体_GB2312"/>
                          <w:b/>
                          <w:bCs/>
                          <w:color w:val="000000"/>
                          <w:sz w:val="18"/>
                          <w:szCs w:val="18"/>
                          <w:lang w:eastAsia="zh-CN"/>
                        </w:rPr>
                        <w:t>承包人采购工程材料和工程设备的材料设备费、施工机具使用费调整方法</w:t>
                      </w:r>
                    </w:p>
                  </w:txbxContent>
                </v:textbox>
              </v:shape>
            </w:pict>
          </mc:Fallback>
        </mc:AlternateContent>
      </w:r>
      <w:r>
        <w:rPr>
          <w:rFonts w:hint="eastAsia" w:ascii="仿宋" w:hAnsi="仿宋" w:eastAsia="仿宋" w:cs="仿宋"/>
          <w:color w:val="auto"/>
          <w:highlight w:val="none"/>
          <w:lang w:eastAsia="zh-CN"/>
        </w:rPr>
        <w:t>价格时，人工、施工机具使用费按照文件规定进行调整；需要进行价格调整的工程材料、工程设备，其单价和采购数量应由发包人审批，审批</w:t>
      </w:r>
      <w:r>
        <w:rPr>
          <w:rFonts w:ascii="仿宋" w:hAnsi="仿宋" w:eastAsia="仿宋" w:cs="仿宋"/>
          <w:color w:val="auto"/>
          <w:highlight w:val="none"/>
          <w:lang w:eastAsia="zh-CN"/>
        </w:rPr>
        <w:t>文件</w:t>
      </w:r>
      <w:r>
        <w:rPr>
          <w:rFonts w:hint="eastAsia" w:ascii="仿宋" w:hAnsi="仿宋" w:eastAsia="仿宋" w:cs="仿宋"/>
          <w:color w:val="auto"/>
          <w:highlight w:val="none"/>
          <w:lang w:eastAsia="zh-CN"/>
        </w:rPr>
        <w:t>作为调整合同价格的依据。</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）工程材料、工程设备价格调整按照发包人提供的基准价格，按以下约定</w:t>
      </w:r>
      <w:r>
        <w:rPr>
          <w:rFonts w:ascii="仿宋" w:hAnsi="仿宋" w:eastAsia="仿宋" w:cs="仿宋"/>
          <w:color w:val="auto"/>
          <w:highlight w:val="none"/>
          <w:lang w:eastAsia="zh-CN"/>
        </w:rPr>
        <w:t>:</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①承包人在合同价格清单中载明工程材料、工程设备单价低于基准价格的：除专用合同条款另有约定外，合同履行期间工程材料、工程设备单价涨幅以基准价格为基础超</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时，或工程材料、工程设备单价跌幅以在合同价格清单中载明工程材料单价、工程设备为基础超过</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时，其超过</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%以上的部分据实调整（示例：涨跌幅为</w:t>
      </w:r>
      <w:r>
        <w:rPr>
          <w:rFonts w:ascii="仿宋" w:hAnsi="仿宋" w:eastAsia="仿宋" w:cs="仿宋"/>
          <w:color w:val="auto"/>
          <w:highlight w:val="none"/>
          <w:lang w:eastAsia="zh-CN"/>
        </w:rPr>
        <w:t>6</w:t>
      </w:r>
      <w:r>
        <w:rPr>
          <w:rFonts w:hint="eastAsia" w:ascii="仿宋" w:hAnsi="仿宋" w:eastAsia="仿宋" w:cs="仿宋"/>
          <w:color w:val="auto"/>
          <w:highlight w:val="none"/>
          <w:lang w:eastAsia="zh-CN"/>
        </w:rPr>
        <w:t>%的，据实调整的部分为1%，下同）。</w:t>
      </w:r>
    </w:p>
    <w:p>
      <w:pPr>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②承包人在合同价格清单中载明工程材料、工程设备单价高于基准价格的：除专用合同条款另有约定外，合同履行期间工程材料、工程设备单价跌幅以基准价格为基础超过</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时，或工程材料、工程设备单价涨幅以在合同价格清单中载明工程材料单价、工程设备为基础超过</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时，其超过</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%以上的部分据实调整。</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③承包人在合同价格清单中载明工程材料、工程设备单价等于基准价格的：除专用合同条款另有约定外，合同履行期间工程材料、工程设备单价涨跌幅以基准价格为基础超过±</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时，其超过±</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%以上的部分据实调整。</w:t>
      </w:r>
    </w:p>
    <w:p>
      <w:pPr>
        <w:spacing w:line="360" w:lineRule="auto"/>
        <w:ind w:left="1850" w:leftChars="771"/>
        <w:jc w:val="both"/>
        <w:rPr>
          <w:rFonts w:eastAsia="仿宋"/>
          <w:color w:val="auto"/>
          <w:sz w:val="30"/>
          <w:szCs w:val="30"/>
          <w:highlight w:val="none"/>
          <w:lang w:eastAsia="zh"/>
        </w:rPr>
      </w:pPr>
      <w:r>
        <w:rPr>
          <w:rFonts w:hint="eastAsia" w:ascii="仿宋" w:hAnsi="仿宋" w:eastAsia="仿宋" w:cs="仿宋"/>
          <w:color w:val="auto"/>
          <w:highlight w:val="none"/>
          <w:lang w:eastAsia="zh-CN"/>
        </w:rPr>
        <w:t>前述基准价格是指由发包人在招标文件或专用合同条款中给定的工程材料、工程设备的价格，该价格原则上应当按照本地造价管理机构发布的价格指导文件编制。如本地造价管理机构价格指导文件没有发布的工程材料、工程设备，由发包人在招标文件或专用合同条款中给定基准价，并明确该基准价格的计算依据、计算方式以及工程材料单价涨跌幅的确定方法。</w:t>
      </w:r>
    </w:p>
    <w:p>
      <w:pPr>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施工机具台班单价发生变化超过本地造价管理机构发布的价格指导文件规定的幅度时，按规定调整合同价格。如本地造价管理机构价格指导文件没有发布施工机具台班单价变化幅度的，由发包人在招标文件或专用合同条款中明确可以调整合同价格的变化幅度，以及变化幅度、施工机具台班单价的计算依据、计算方式。</w:t>
      </w:r>
    </w:p>
    <w:p>
      <w:pPr>
        <w:spacing w:line="360" w:lineRule="auto"/>
        <w:ind w:left="1850" w:leftChars="771"/>
        <w:jc w:val="both"/>
        <w:rPr>
          <w:color w:val="auto"/>
          <w:highlight w:val="none"/>
          <w:lang w:eastAsia="zh-CN"/>
        </w:rPr>
      </w:pPr>
      <w:r>
        <w:rPr>
          <w:rFonts w:hint="eastAsia" w:ascii="仿宋" w:hAnsi="仿宋" w:eastAsia="仿宋" w:cs="仿宋"/>
          <w:color w:val="auto"/>
          <w:highlight w:val="none"/>
          <w:lang w:eastAsia="zh-CN"/>
        </w:rPr>
        <w:t>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种方式：专用合同条款约定的其他方式。</w:t>
      </w:r>
    </w:p>
    <w:p>
      <w:pPr>
        <w:pStyle w:val="22"/>
        <w:widowControl w:val="0"/>
        <w:tabs>
          <w:tab w:val="left" w:pos="540"/>
        </w:tabs>
        <w:adjustRightInd w:val="0"/>
        <w:snapToGrid w:val="0"/>
        <w:spacing w:line="360" w:lineRule="auto"/>
        <w:rPr>
          <w:rFonts w:ascii="仿宋" w:hAnsi="仿宋" w:eastAsia="仿宋" w:cs="仿宋"/>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82</w:t>
      </w:r>
      <w:r>
        <w:rPr>
          <w:rFonts w:ascii="仿宋" w:hAnsi="仿宋" w:eastAsia="仿宋" w:cs="仿宋"/>
          <w:b/>
          <w:bCs/>
          <w:color w:val="auto"/>
          <w:sz w:val="24"/>
          <w:szCs w:val="24"/>
          <w:highlight w:val="none"/>
          <w:lang w:eastAsia="zh-CN"/>
        </w:rPr>
        <w:t>.4</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rPr>
        <mc:AlternateContent>
          <mc:Choice Requires="wps">
            <w:drawing>
              <wp:anchor distT="0" distB="0" distL="114300" distR="114300" simplePos="0" relativeHeight="252110848" behindDoc="0" locked="0" layoutInCell="1" allowOverlap="1">
                <wp:simplePos x="0" y="0"/>
                <wp:positionH relativeFrom="column">
                  <wp:posOffset>-102235</wp:posOffset>
                </wp:positionH>
                <wp:positionV relativeFrom="paragraph">
                  <wp:posOffset>79375</wp:posOffset>
                </wp:positionV>
                <wp:extent cx="776605" cy="972820"/>
                <wp:effectExtent l="0" t="0" r="0" b="0"/>
                <wp:wrapNone/>
                <wp:docPr id="442" name="文本框 1022"/>
                <wp:cNvGraphicFramePr/>
                <a:graphic xmlns:a="http://schemas.openxmlformats.org/drawingml/2006/main">
                  <a:graphicData uri="http://schemas.microsoft.com/office/word/2010/wordprocessingShape">
                    <wps:wsp>
                      <wps:cNvSpPr txBox="1"/>
                      <wps:spPr>
                        <a:xfrm>
                          <a:off x="0" y="0"/>
                          <a:ext cx="776605" cy="972820"/>
                        </a:xfrm>
                        <a:prstGeom prst="rect">
                          <a:avLst/>
                        </a:prstGeom>
                        <a:noFill/>
                        <a:ln>
                          <a:noFill/>
                        </a:ln>
                      </wps:spPr>
                      <wps:txb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承包人采购工程材料和工程设备的调价限制</w:t>
                            </w:r>
                          </w:p>
                        </w:txbxContent>
                      </wps:txbx>
                      <wps:bodyPr wrap="square" upright="1"/>
                    </wps:wsp>
                  </a:graphicData>
                </a:graphic>
              </wp:anchor>
            </w:drawing>
          </mc:Choice>
          <mc:Fallback>
            <w:pict>
              <v:shape id="文本框 1022" o:spid="_x0000_s1026" o:spt="202" type="#_x0000_t202" style="position:absolute;left:0pt;margin-left:-8.05pt;margin-top:6.25pt;height:76.6pt;width:61.15pt;z-index:252110848;mso-width-relative:page;mso-height-relative:page;" filled="f" stroked="f" coordsize="21600,21600" o:gfxdata="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PDZeLvWAAAACgEAAA8AAAAAAAAAAQAgAAAAIgAAAGRycy9kb3ducmV2LnhtbFBLAQIU&#10;ABQAAAAIAIdO4kCD8dMCvAEAAGADAAAOAAAAAAAAAAEAIAAAACUBAABkcnMvZTJvRG9jLnhtbFBL&#10;BQYAAAAABgAGAFkBAABTBQAAAAA=&#10;">
                <v:fill on="f" focussize="0,0"/>
                <v:stroke on="f"/>
                <v:imagedata o:title=""/>
                <o:lock v:ext="edit" aspectratio="f"/>
                <v:textbo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承包人采购工程材料和工程设备的调价限制</w:t>
                      </w:r>
                    </w:p>
                  </w:txbxContent>
                </v:textbox>
              </v:shape>
            </w:pict>
          </mc:Fallback>
        </mc:AlternateContent>
      </w:r>
      <w:r>
        <w:rPr>
          <w:rFonts w:hint="eastAsia" w:ascii="仿宋" w:hAnsi="仿宋" w:eastAsia="仿宋" w:cs="仿宋"/>
          <w:color w:val="auto"/>
          <w:sz w:val="24"/>
          <w:szCs w:val="24"/>
          <w:highlight w:val="none"/>
          <w:lang w:eastAsia="zh-CN"/>
        </w:rPr>
        <w:t>执行第82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种方式：采用</w:t>
      </w:r>
      <w:r>
        <w:rPr>
          <w:rFonts w:hint="eastAsia" w:ascii="仿宋" w:hAnsi="仿宋" w:eastAsia="仿宋" w:cs="仿宋"/>
          <w:color w:val="auto"/>
          <w:sz w:val="24"/>
          <w:szCs w:val="24"/>
          <w:highlight w:val="none"/>
          <w:lang w:eastAsia="zh-CN" w:bidi="en-US"/>
        </w:rPr>
        <w:t>工本地造价管理机构发布的价格指导文件</w:t>
      </w:r>
      <w:r>
        <w:rPr>
          <w:rFonts w:hint="eastAsia" w:ascii="仿宋" w:hAnsi="仿宋" w:eastAsia="仿宋" w:cs="仿宋"/>
          <w:color w:val="auto"/>
          <w:sz w:val="24"/>
          <w:szCs w:val="24"/>
          <w:highlight w:val="none"/>
          <w:lang w:eastAsia="zh-CN"/>
        </w:rPr>
        <w:t>进行价格调整”约定的，承包人应在采购工程材料前将采购数量和新的工程材料单价报发包人核对，发包人确认用于工程时，发包人应确认采购工程材料的数量和单价。发包人在收到承包人报送的确认资料后7天内不予答复的视为认可，作为调整合同价格的依据。未经发包人事先核对，承包人自行采购工程材料的，发包人有权不予调整合同价格。</w:t>
      </w:r>
    </w:p>
    <w:p>
      <w:pPr>
        <w:pStyle w:val="22"/>
        <w:widowControl w:val="0"/>
        <w:tabs>
          <w:tab w:val="left" w:pos="540"/>
        </w:tabs>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82</w:t>
      </w:r>
      <w:r>
        <w:rPr>
          <w:rFonts w:ascii="仿宋" w:hAnsi="仿宋" w:eastAsia="仿宋" w:cs="仿宋"/>
          <w:b/>
          <w:bCs/>
          <w:color w:val="auto"/>
          <w:sz w:val="24"/>
          <w:szCs w:val="24"/>
          <w:highlight w:val="none"/>
          <w:lang w:eastAsia="zh-CN"/>
        </w:rPr>
        <w:t xml:space="preserve">.5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420" w:lineRule="exact"/>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00928" behindDoc="0" locked="0" layoutInCell="1" allowOverlap="1">
                <wp:simplePos x="0" y="0"/>
                <wp:positionH relativeFrom="column">
                  <wp:posOffset>-114300</wp:posOffset>
                </wp:positionH>
                <wp:positionV relativeFrom="paragraph">
                  <wp:posOffset>15875</wp:posOffset>
                </wp:positionV>
                <wp:extent cx="804545" cy="532130"/>
                <wp:effectExtent l="0" t="0" r="0" b="0"/>
                <wp:wrapNone/>
                <wp:docPr id="237" name="文本框 1022"/>
                <wp:cNvGraphicFramePr/>
                <a:graphic xmlns:a="http://schemas.openxmlformats.org/drawingml/2006/main">
                  <a:graphicData uri="http://schemas.microsoft.com/office/word/2010/wordprocessingShape">
                    <wps:wsp>
                      <wps:cNvSpPr txBox="1"/>
                      <wps:spPr>
                        <a:xfrm>
                          <a:off x="0" y="0"/>
                          <a:ext cx="804545" cy="532130"/>
                        </a:xfrm>
                        <a:prstGeom prst="rect">
                          <a:avLst/>
                        </a:prstGeom>
                        <a:noFill/>
                        <a:ln>
                          <a:noFill/>
                        </a:ln>
                      </wps:spPr>
                      <wps:txb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发包人供应材料设备的价格调整</w:t>
                            </w:r>
                          </w:p>
                        </w:txbxContent>
                      </wps:txbx>
                      <wps:bodyPr wrap="square" upright="1"/>
                    </wps:wsp>
                  </a:graphicData>
                </a:graphic>
              </wp:anchor>
            </w:drawing>
          </mc:Choice>
          <mc:Fallback>
            <w:pict>
              <v:shape id="文本框 1022" o:spid="_x0000_s1026" o:spt="202" type="#_x0000_t202" style="position:absolute;left:0pt;margin-left:-9pt;margin-top:1.25pt;height:41.9pt;width:63.35pt;z-index:251900928;mso-width-relative:page;mso-height-relative:page;" filled="f" stroked="f" coordsize="21600,21600" o:gfxdata="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C+8LQjWAAAACAEAAA8AAAAAAAAAAQAgAAAAIgAAAGRycy9kb3ducmV2LnhtbFBLAQIU&#10;ABQAAAAIAIdO4kDiwSE3vAEAAGADAAAOAAAAAAAAAAEAIAAAACUBAABkcnMvZTJvRG9jLnhtbFBL&#10;BQYAAAAABgAGAFkBAABTBQAAAAA=&#10;">
                <v:fill on="f" focussize="0,0"/>
                <v:stroke on="f"/>
                <v:imagedata o:title=""/>
                <o:lock v:ext="edit" aspectratio="f"/>
                <v:textbo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发包人供应材料设备的价格调整</w:t>
                      </w:r>
                    </w:p>
                  </w:txbxContent>
                </v:textbox>
              </v:shape>
            </w:pict>
          </mc:Fallback>
        </mc:AlternateContent>
      </w:r>
      <w:r>
        <w:rPr>
          <w:rFonts w:hint="eastAsia" w:ascii="仿宋" w:hAnsi="仿宋" w:eastAsia="仿宋" w:cs="仿宋"/>
          <w:color w:val="auto"/>
          <w:sz w:val="24"/>
          <w:szCs w:val="24"/>
          <w:highlight w:val="none"/>
          <w:lang w:eastAsia="zh-CN"/>
        </w:rPr>
        <w:t>发包人供应工程材料和工程设备的，由发包人按照实际变化调整，列入合同工程的建筑安装工程费内。</w:t>
      </w:r>
    </w:p>
    <w:p>
      <w:pPr>
        <w:pStyle w:val="22"/>
        <w:adjustRightInd w:val="0"/>
        <w:snapToGrid w:val="0"/>
        <w:spacing w:line="360" w:lineRule="auto"/>
        <w:rPr>
          <w:rFonts w:ascii="仿宋" w:hAnsi="仿宋" w:eastAsia="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091" w:name="_Toc29384"/>
      <w:bookmarkStart w:id="1092" w:name="_Toc23247"/>
      <w:bookmarkStart w:id="1093" w:name="_Toc7772"/>
      <w:bookmarkStart w:id="1094" w:name="_Toc9872"/>
      <w:bookmarkStart w:id="1095" w:name="_Toc29683"/>
      <w:bookmarkStart w:id="1096" w:name="_Toc23267"/>
      <w:bookmarkStart w:id="1097" w:name="_Toc26622"/>
      <w:bookmarkStart w:id="1098" w:name="_Toc29094"/>
      <w:r>
        <w:rPr>
          <w:rFonts w:hint="eastAsia" w:ascii="仿宋" w:hAnsi="仿宋" w:eastAsia="仿宋" w:cs="仿宋"/>
          <w:bCs w:val="0"/>
          <w:color w:val="auto"/>
          <w:sz w:val="24"/>
          <w:szCs w:val="24"/>
          <w:highlight w:val="none"/>
          <w:lang w:eastAsia="zh-CN"/>
        </w:rPr>
        <w:t>★83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支付事项</w:t>
      </w:r>
      <w:bookmarkEnd w:id="1091"/>
      <w:bookmarkEnd w:id="1092"/>
      <w:bookmarkEnd w:id="1093"/>
      <w:bookmarkEnd w:id="1094"/>
      <w:bookmarkEnd w:id="1095"/>
      <w:bookmarkEnd w:id="1096"/>
      <w:bookmarkEnd w:id="1097"/>
      <w:bookmarkEnd w:id="1098"/>
    </w:p>
    <w:p>
      <w:pPr>
        <w:pStyle w:val="22"/>
        <w:widowControl w:val="0"/>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83</w:t>
      </w:r>
      <w:r>
        <w:rPr>
          <w:rFonts w:ascii="仿宋" w:hAnsi="仿宋" w:eastAsia="仿宋" w:cs="仿宋"/>
          <w:b/>
          <w:bCs/>
          <w:color w:val="auto"/>
          <w:sz w:val="24"/>
          <w:szCs w:val="24"/>
          <w:highlight w:val="none"/>
          <w:lang w:eastAsia="zh-CN"/>
        </w:rPr>
        <w:t>.1</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01952" behindDoc="0" locked="0" layoutInCell="1" allowOverlap="1">
                <wp:simplePos x="0" y="0"/>
                <wp:positionH relativeFrom="column">
                  <wp:posOffset>-114300</wp:posOffset>
                </wp:positionH>
                <wp:positionV relativeFrom="paragraph">
                  <wp:posOffset>21590</wp:posOffset>
                </wp:positionV>
                <wp:extent cx="843280" cy="558800"/>
                <wp:effectExtent l="0" t="0" r="0" b="0"/>
                <wp:wrapNone/>
                <wp:docPr id="238" name="文本框 1028"/>
                <wp:cNvGraphicFramePr/>
                <a:graphic xmlns:a="http://schemas.openxmlformats.org/drawingml/2006/main">
                  <a:graphicData uri="http://schemas.microsoft.com/office/word/2010/wordprocessingShape">
                    <wps:wsp>
                      <wps:cNvSpPr txBox="1"/>
                      <wps:spPr>
                        <a:xfrm>
                          <a:off x="0" y="0"/>
                          <a:ext cx="843280" cy="558800"/>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支付合同价款</w:t>
                            </w:r>
                          </w:p>
                        </w:txbxContent>
                      </wps:txbx>
                      <wps:bodyPr wrap="square" upright="1"/>
                    </wps:wsp>
                  </a:graphicData>
                </a:graphic>
              </wp:anchor>
            </w:drawing>
          </mc:Choice>
          <mc:Fallback>
            <w:pict>
              <v:shape id="文本框 1028" o:spid="_x0000_s1026" o:spt="202" type="#_x0000_t202" style="position:absolute;left:0pt;margin-left:-9pt;margin-top:1.7pt;height:44pt;width:66.4pt;z-index:251901952;mso-width-relative:page;mso-height-relative:page;" filled="f" stroked="f" coordsize="21600,21600" o:gfxdata="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FeEJVHVAAAACAEAAA8AAAAAAAAAAQAgAAAAIgAAAGRycy9kb3ducmV2LnhtbFBLAQIUABQA&#10;AAAIAIdO4kAdnHRCugEAAGADAAAOAAAAAAAAAAEAIAAAACQBAABkcnMvZTJvRG9jLnhtbFBLBQYA&#10;AAAABgAGAFkBAABQBQ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支付合同价款</w:t>
                      </w:r>
                    </w:p>
                  </w:txbxContent>
                </v:textbox>
              </v:shape>
            </w:pict>
          </mc:Fallback>
        </mc:AlternateContent>
      </w:r>
      <w:r>
        <w:rPr>
          <w:rFonts w:hint="eastAsia" w:ascii="仿宋" w:hAnsi="仿宋" w:eastAsia="仿宋" w:cs="仿宋"/>
          <w:color w:val="auto"/>
          <w:highlight w:val="none"/>
          <w:lang w:eastAsia="zh-CN"/>
        </w:rPr>
        <w:t>发包人应按照下列约定向承包人支付工程勘察费、工程设计费、BIM技术应用费、设备及工器具购置费、建筑安装工程费及其他各种款项：</w:t>
      </w:r>
    </w:p>
    <w:p>
      <w:pPr>
        <w:widowControl w:val="0"/>
        <w:numPr>
          <w:ilvl w:val="1"/>
          <w:numId w:val="1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预付款按照第84条的约定支付；</w:t>
      </w:r>
    </w:p>
    <w:p>
      <w:pPr>
        <w:widowControl w:val="0"/>
        <w:numPr>
          <w:ilvl w:val="1"/>
          <w:numId w:val="1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绿色施工安全防护费按照第</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5条约定支付；</w:t>
      </w:r>
    </w:p>
    <w:p>
      <w:pPr>
        <w:widowControl w:val="0"/>
        <w:numPr>
          <w:ilvl w:val="1"/>
          <w:numId w:val="1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进度款按照第</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6条的约定支付；</w:t>
      </w:r>
    </w:p>
    <w:p>
      <w:pPr>
        <w:widowControl w:val="0"/>
        <w:numPr>
          <w:ilvl w:val="1"/>
          <w:numId w:val="1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结算款按照第</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8条的约定支付；</w:t>
      </w:r>
      <w:r>
        <w:rPr>
          <w:rFonts w:ascii="仿宋" w:hAnsi="仿宋" w:eastAsia="仿宋" w:cs="仿宋"/>
          <w:color w:val="auto"/>
          <w:highlight w:val="none"/>
          <w:lang w:eastAsia="zh-CN"/>
        </w:rPr>
        <w:t xml:space="preserve"> </w:t>
      </w:r>
    </w:p>
    <w:p>
      <w:pPr>
        <w:widowControl w:val="0"/>
        <w:numPr>
          <w:ilvl w:val="1"/>
          <w:numId w:val="1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质量保证金按照第89条的约定支付；</w:t>
      </w:r>
    </w:p>
    <w:p>
      <w:pPr>
        <w:widowControl w:val="0"/>
        <w:numPr>
          <w:ilvl w:val="1"/>
          <w:numId w:val="1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最终清算款按照第90条的约定支付。</w:t>
      </w:r>
    </w:p>
    <w:p>
      <w:pPr>
        <w:spacing w:line="360" w:lineRule="auto"/>
        <w:rPr>
          <w:rFonts w:ascii="仿宋" w:hAnsi="仿宋" w:eastAsia="仿宋"/>
          <w:b/>
          <w:bCs/>
          <w:color w:val="auto"/>
          <w:highlight w:val="none"/>
          <w:lang w:eastAsia="zh-CN"/>
        </w:rPr>
      </w:pPr>
      <w:bookmarkStart w:id="1099" w:name="_Toc21140"/>
      <w:r>
        <w:rPr>
          <w:rFonts w:hint="eastAsia" w:ascii="仿宋" w:hAnsi="仿宋" w:eastAsia="仿宋" w:cs="仿宋"/>
          <w:b/>
          <w:bCs/>
          <w:color w:val="auto"/>
          <w:highlight w:val="none"/>
          <w:lang w:eastAsia="zh-CN"/>
        </w:rPr>
        <w:t>83</w:t>
      </w:r>
      <w:r>
        <w:rPr>
          <w:rFonts w:ascii="仿宋" w:hAnsi="仿宋" w:eastAsia="仿宋" w:cs="仿宋"/>
          <w:b/>
          <w:bCs/>
          <w:color w:val="auto"/>
          <w:highlight w:val="none"/>
          <w:lang w:eastAsia="zh-CN"/>
        </w:rPr>
        <w:t>.2</w:t>
      </w:r>
      <w:bookmarkEnd w:id="109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02976" behindDoc="0" locked="0" layoutInCell="1" allowOverlap="1">
                <wp:simplePos x="0" y="0"/>
                <wp:positionH relativeFrom="column">
                  <wp:posOffset>-114300</wp:posOffset>
                </wp:positionH>
                <wp:positionV relativeFrom="paragraph">
                  <wp:posOffset>43815</wp:posOffset>
                </wp:positionV>
                <wp:extent cx="785495" cy="517525"/>
                <wp:effectExtent l="0" t="0" r="0" b="0"/>
                <wp:wrapNone/>
                <wp:docPr id="239" name="文本框 1029"/>
                <wp:cNvGraphicFramePr/>
                <a:graphic xmlns:a="http://schemas.openxmlformats.org/drawingml/2006/main">
                  <a:graphicData uri="http://schemas.microsoft.com/office/word/2010/wordprocessingShape">
                    <wps:wsp>
                      <wps:cNvSpPr txBox="1"/>
                      <wps:spPr>
                        <a:xfrm>
                          <a:off x="0" y="0"/>
                          <a:ext cx="785495" cy="517525"/>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延迟支付的利息计算</w:t>
                            </w:r>
                          </w:p>
                        </w:txbxContent>
                      </wps:txbx>
                      <wps:bodyPr wrap="square" upright="1"/>
                    </wps:wsp>
                  </a:graphicData>
                </a:graphic>
              </wp:anchor>
            </w:drawing>
          </mc:Choice>
          <mc:Fallback>
            <w:pict>
              <v:shape id="文本框 1029" o:spid="_x0000_s1026" o:spt="202" type="#_x0000_t202" style="position:absolute;left:0pt;margin-left:-9pt;margin-top:3.45pt;height:40.75pt;width:61.85pt;z-index:251902976;mso-width-relative:page;mso-height-relative:page;" filled="f" stroked="f" coordsize="21600,21600" o:gfxdata="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IQihXfWAAAACAEAAA8AAAAAAAAAAQAgAAAAIgAAAGRycy9kb3ducmV2LnhtbFBLAQIU&#10;ABQAAAAIAIdO4kAD69jLvAEAAGADAAAOAAAAAAAAAAEAIAAAACUBAABkcnMvZTJvRG9jLnhtbFBL&#10;BQYAAAAABgAGAFkBAABTBQ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延迟支付的利息计算</w:t>
                      </w:r>
                    </w:p>
                  </w:txbxContent>
                </v:textbox>
              </v:shape>
            </w:pict>
          </mc:Fallback>
        </mc:AlternateContent>
      </w:r>
      <w:r>
        <w:rPr>
          <w:rFonts w:hint="eastAsia" w:ascii="仿宋" w:hAnsi="仿宋" w:eastAsia="仿宋" w:cs="仿宋"/>
          <w:color w:val="auto"/>
          <w:sz w:val="24"/>
          <w:szCs w:val="24"/>
          <w:highlight w:val="none"/>
          <w:lang w:eastAsia="zh-CN"/>
        </w:rPr>
        <w:t>如果发包人延迟支付款项，则承包人有权按照专用条款约定的利率计算和得到利息。计息时间从应支付之日起直到该笔延迟款额支付之日止。除专用条款另有约定外，利息的利率按照全国银行间同业拆借中心公布的贷款市场报价利率（LPR）计算。</w:t>
      </w:r>
    </w:p>
    <w:p>
      <w:pPr>
        <w:widowControl w:val="0"/>
        <w:spacing w:line="360" w:lineRule="auto"/>
        <w:rPr>
          <w:rFonts w:ascii="仿宋" w:hAnsi="仿宋" w:eastAsia="仿宋"/>
          <w:b/>
          <w:bCs/>
          <w:color w:val="auto"/>
          <w:highlight w:val="none"/>
          <w:lang w:eastAsia="zh-CN"/>
        </w:rPr>
      </w:pPr>
      <w:bookmarkStart w:id="1100" w:name="_Toc20610"/>
      <w:r>
        <w:rPr>
          <w:rFonts w:hint="eastAsia" w:ascii="仿宋" w:hAnsi="仿宋" w:eastAsia="仿宋" w:cs="仿宋"/>
          <w:b/>
          <w:bCs/>
          <w:color w:val="auto"/>
          <w:highlight w:val="none"/>
          <w:lang w:eastAsia="zh-CN"/>
        </w:rPr>
        <w:t>83</w:t>
      </w:r>
      <w:r>
        <w:rPr>
          <w:rFonts w:ascii="仿宋" w:hAnsi="仿宋" w:eastAsia="仿宋" w:cs="仿宋"/>
          <w:b/>
          <w:bCs/>
          <w:color w:val="auto"/>
          <w:highlight w:val="none"/>
          <w:lang w:eastAsia="zh-CN"/>
        </w:rPr>
        <w:t>.3</w:t>
      </w:r>
      <w:bookmarkEnd w:id="110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04000" behindDoc="0" locked="0" layoutInCell="1" allowOverlap="1">
                <wp:simplePos x="0" y="0"/>
                <wp:positionH relativeFrom="column">
                  <wp:posOffset>-114300</wp:posOffset>
                </wp:positionH>
                <wp:positionV relativeFrom="paragraph">
                  <wp:posOffset>4445</wp:posOffset>
                </wp:positionV>
                <wp:extent cx="785495" cy="532765"/>
                <wp:effectExtent l="0" t="0" r="0" b="0"/>
                <wp:wrapNone/>
                <wp:docPr id="240" name="文本框 1030"/>
                <wp:cNvGraphicFramePr/>
                <a:graphic xmlns:a="http://schemas.openxmlformats.org/drawingml/2006/main">
                  <a:graphicData uri="http://schemas.microsoft.com/office/word/2010/wordprocessingShape">
                    <wps:wsp>
                      <wps:cNvSpPr txBox="1"/>
                      <wps:spPr>
                        <a:xfrm>
                          <a:off x="0" y="0"/>
                          <a:ext cx="785495" cy="532765"/>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承包人提供支付凭证</w:t>
                            </w:r>
                          </w:p>
                        </w:txbxContent>
                      </wps:txbx>
                      <wps:bodyPr wrap="square" upright="1"/>
                    </wps:wsp>
                  </a:graphicData>
                </a:graphic>
              </wp:anchor>
            </w:drawing>
          </mc:Choice>
          <mc:Fallback>
            <w:pict>
              <v:shape id="文本框 1030" o:spid="_x0000_s1026" o:spt="202" type="#_x0000_t202" style="position:absolute;left:0pt;margin-left:-9pt;margin-top:0.35pt;height:41.95pt;width:61.85pt;z-index:251904000;mso-width-relative:page;mso-height-relative:page;" filled="f" stroked="f" coordsize="21600,21600" o:gfxdata="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bSwwbVAAAABwEAAA8AAAAAAAAAAQAgAAAAIgAAAGRycy9kb3ducmV2LnhtbFBLAQIUABQA&#10;AAAIAIdO4kB9kGUeugEAAGADAAAOAAAAAAAAAAEAIAAAACQBAABkcnMvZTJvRG9jLnhtbFBLBQYA&#10;AAAABgAGAFkBAABQBQ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承包人提供支付凭证</w:t>
                      </w:r>
                    </w:p>
                  </w:txbxContent>
                </v:textbox>
              </v:shape>
            </w:pict>
          </mc:Fallback>
        </mc:AlternateContent>
      </w:r>
      <w:r>
        <w:rPr>
          <w:rFonts w:hint="eastAsia" w:ascii="仿宋" w:hAnsi="仿宋" w:eastAsia="仿宋" w:cs="仿宋"/>
          <w:color w:val="auto"/>
          <w:sz w:val="24"/>
          <w:szCs w:val="24"/>
          <w:highlight w:val="none"/>
          <w:lang w:eastAsia="zh-CN"/>
        </w:rPr>
        <w:t>发包人或受其委托的造价咨询人有权要求，承包人向发包人或造价咨询人提供其对雇员劳务工资、分包人已完工程款以及工程材料和工程设备供应商货款的支付凭证。如果承包人未能提供上述凭证，视为承包人未向雇员、分包人、供应商支付相关款项。</w:t>
      </w:r>
    </w:p>
    <w:p>
      <w:pPr>
        <w:pStyle w:val="22"/>
        <w:widowControl w:val="0"/>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83</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05024" behindDoc="0" locked="0" layoutInCell="1" allowOverlap="1">
                <wp:simplePos x="0" y="0"/>
                <wp:positionH relativeFrom="column">
                  <wp:posOffset>-114300</wp:posOffset>
                </wp:positionH>
                <wp:positionV relativeFrom="paragraph">
                  <wp:posOffset>22225</wp:posOffset>
                </wp:positionV>
                <wp:extent cx="823595" cy="631825"/>
                <wp:effectExtent l="0" t="0" r="0" b="0"/>
                <wp:wrapNone/>
                <wp:docPr id="241" name="文本框 1031"/>
                <wp:cNvGraphicFramePr/>
                <a:graphic xmlns:a="http://schemas.openxmlformats.org/drawingml/2006/main">
                  <a:graphicData uri="http://schemas.microsoft.com/office/word/2010/wordprocessingShape">
                    <wps:wsp>
                      <wps:cNvSpPr txBox="1"/>
                      <wps:spPr>
                        <a:xfrm>
                          <a:off x="0" y="0"/>
                          <a:ext cx="823595" cy="631825"/>
                        </a:xfrm>
                        <a:prstGeom prst="rect">
                          <a:avLst/>
                        </a:prstGeom>
                        <a:noFill/>
                        <a:ln>
                          <a:noFill/>
                        </a:ln>
                      </wps:spPr>
                      <wps:txb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承包人未按约定支付款项的限制</w:t>
                            </w:r>
                          </w:p>
                        </w:txbxContent>
                      </wps:txbx>
                      <wps:bodyPr wrap="square" upright="1"/>
                    </wps:wsp>
                  </a:graphicData>
                </a:graphic>
              </wp:anchor>
            </w:drawing>
          </mc:Choice>
          <mc:Fallback>
            <w:pict>
              <v:shape id="文本框 1031" o:spid="_x0000_s1026" o:spt="202" type="#_x0000_t202" style="position:absolute;left:0pt;margin-left:-9pt;margin-top:1.75pt;height:49.75pt;width:64.85pt;z-index:251905024;mso-width-relative:page;mso-height-relative:page;" filled="f" stroked="f" coordsize="21600,21600" o:gfxdata="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A2n45fXAAAACQEAAA8AAAAAAAAAAQAgAAAAIgAAAGRycy9kb3ducmV2LnhtbFBLAQIU&#10;ABQAAAAIAIdO4kAqO63buwEAAGADAAAOAAAAAAAAAAEAIAAAACYBAABkcnMvZTJvRG9jLnhtbFBL&#10;BQYAAAAABgAGAFkBAABTBQAAAAA=&#10;">
                <v:fill on="f" focussize="0,0"/>
                <v:stroke on="f"/>
                <v:imagedata o:title=""/>
                <o:lock v:ext="edit" aspectratio="f"/>
                <v:textbo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承包人未按约定支付款项的限制</w:t>
                      </w:r>
                    </w:p>
                  </w:txbxContent>
                </v:textbox>
              </v:shape>
            </w:pict>
          </mc:Fallback>
        </mc:AlternateContent>
      </w:r>
      <w:r>
        <w:rPr>
          <w:rFonts w:hint="eastAsia" w:ascii="仿宋" w:hAnsi="仿宋" w:eastAsia="仿宋" w:cs="仿宋"/>
          <w:color w:val="auto"/>
          <w:sz w:val="24"/>
          <w:szCs w:val="24"/>
          <w:highlight w:val="none"/>
          <w:lang w:eastAsia="zh-CN"/>
        </w:rPr>
        <w:t>如果承包人未按照雇员劳务合同和政府有关规定支付雇员劳务工资，或未按照分包合同支付分包人工程款，或未按照购销合同支付工程材料和工程设备供应商货款，均视为承包人违约。若在造价咨询人书面通知改正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天内，承包人仍未采取措施补救的，发包人可在不损害承包人其他权利的前提下，实施下列工作：</w:t>
      </w:r>
    </w:p>
    <w:p>
      <w:pPr>
        <w:pStyle w:val="22"/>
        <w:widowControl w:val="0"/>
        <w:numPr>
          <w:ilvl w:val="0"/>
          <w:numId w:val="20"/>
        </w:numPr>
        <w:tabs>
          <w:tab w:val="left" w:pos="960"/>
          <w:tab w:val="left" w:pos="216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立即停止向承包人支付应付的款项；</w:t>
      </w:r>
    </w:p>
    <w:p>
      <w:pPr>
        <w:pStyle w:val="22"/>
        <w:widowControl w:val="0"/>
        <w:numPr>
          <w:ilvl w:val="0"/>
          <w:numId w:val="20"/>
        </w:numPr>
        <w:tabs>
          <w:tab w:val="left" w:pos="960"/>
          <w:tab w:val="left" w:pos="2160"/>
        </w:tabs>
        <w:adjustRightInd w:val="0"/>
        <w:snapToGrid w:val="0"/>
        <w:spacing w:line="360" w:lineRule="auto"/>
        <w:ind w:left="1849" w:leftChars="770" w:hanging="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在相应支付期应付的工程款范围内，直接向雇员、分包人和工程材料供应商、工程设备供应商支付承包人应付的款项。</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发包人在实施上述工作后的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天内应以书面形式通知承包人，抄送造价咨询人。造价咨询人在签发下期支付证书时，应扣除已由发包人直接支付的款项。由于上述工作原因发生的费用由承包人承担；给发包人造成损失的，承包人应予赔偿。</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01" w:name="_Toc6609"/>
      <w:bookmarkStart w:id="1102" w:name="_Toc15945"/>
      <w:bookmarkStart w:id="1103" w:name="_Toc7084"/>
      <w:bookmarkStart w:id="1104" w:name="_Toc5222"/>
      <w:bookmarkStart w:id="1105" w:name="_Toc23217"/>
      <w:bookmarkStart w:id="1106" w:name="_Toc17667"/>
      <w:bookmarkStart w:id="1107" w:name="_Toc16535"/>
      <w:bookmarkStart w:id="1108" w:name="_Toc1668"/>
      <w:r>
        <w:rPr>
          <w:rFonts w:hint="eastAsia" w:ascii="仿宋" w:hAnsi="仿宋" w:eastAsia="仿宋" w:cs="仿宋"/>
          <w:bCs w:val="0"/>
          <w:color w:val="auto"/>
          <w:sz w:val="24"/>
          <w:szCs w:val="24"/>
          <w:highlight w:val="none"/>
          <w:lang w:eastAsia="zh-CN"/>
        </w:rPr>
        <w:t>★84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预付款</w:t>
      </w:r>
      <w:bookmarkEnd w:id="1101"/>
      <w:bookmarkEnd w:id="1102"/>
      <w:bookmarkEnd w:id="1103"/>
      <w:bookmarkEnd w:id="1104"/>
      <w:bookmarkEnd w:id="1105"/>
      <w:bookmarkEnd w:id="1106"/>
      <w:bookmarkEnd w:id="1107"/>
      <w:bookmarkEnd w:id="1108"/>
    </w:p>
    <w:p>
      <w:pPr>
        <w:pStyle w:val="22"/>
        <w:widowControl w:val="0"/>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2061696" behindDoc="0" locked="0" layoutInCell="1" allowOverlap="1">
                <wp:simplePos x="0" y="0"/>
                <wp:positionH relativeFrom="column">
                  <wp:posOffset>-114300</wp:posOffset>
                </wp:positionH>
                <wp:positionV relativeFrom="paragraph">
                  <wp:posOffset>226695</wp:posOffset>
                </wp:positionV>
                <wp:extent cx="863600" cy="353060"/>
                <wp:effectExtent l="0" t="0" r="0" b="0"/>
                <wp:wrapNone/>
                <wp:docPr id="394" name="文本框 1032"/>
                <wp:cNvGraphicFramePr/>
                <a:graphic xmlns:a="http://schemas.openxmlformats.org/drawingml/2006/main">
                  <a:graphicData uri="http://schemas.microsoft.com/office/word/2010/wordprocessingShape">
                    <wps:wsp>
                      <wps:cNvSpPr txBox="1"/>
                      <wps:spPr>
                        <a:xfrm>
                          <a:off x="0" y="0"/>
                          <a:ext cx="863600" cy="353060"/>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预付款的约定</w:t>
                            </w:r>
                          </w:p>
                          <w:p>
                            <w:pPr>
                              <w:pStyle w:val="36"/>
                              <w:spacing w:line="200" w:lineRule="exact"/>
                              <w:rPr>
                                <w:rFonts w:ascii="楷体_GB2312" w:hAnsi="宋体"/>
                                <w:sz w:val="18"/>
                                <w:szCs w:val="18"/>
                              </w:rPr>
                            </w:pPr>
                            <w:r>
                              <w:rPr>
                                <w:rFonts w:hint="eastAsia" w:ascii="楷体_GB2312" w:hAnsi="宋体" w:cs="楷体_GB2312"/>
                                <w:sz w:val="18"/>
                                <w:szCs w:val="18"/>
                              </w:rPr>
                              <w:t>及管理</w:t>
                            </w:r>
                          </w:p>
                        </w:txbxContent>
                      </wps:txbx>
                      <wps:bodyPr wrap="square" upright="1"/>
                    </wps:wsp>
                  </a:graphicData>
                </a:graphic>
              </wp:anchor>
            </w:drawing>
          </mc:Choice>
          <mc:Fallback>
            <w:pict>
              <v:shape id="文本框 1032" o:spid="_x0000_s1026" o:spt="202" type="#_x0000_t202" style="position:absolute;left:0pt;margin-left:-9pt;margin-top:17.85pt;height:27.8pt;width:68pt;z-index:252061696;mso-width-relative:page;mso-height-relative:page;" filled="f" stroked="f" coordsize="21600,21600" o:gfxdata="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Lg752dYAAAAJAQAADwAAAAAAAAABACAAAAAiAAAAZHJzL2Rvd25yZXYueG1sUEsBAhQA&#10;FAAAAAgAh07iQDnT0om7AQAAYAMAAA4AAAAAAAAAAQAgAAAAJQEAAGRycy9lMm9Eb2MueG1sUEsF&#10;BgAAAAAGAAYAWQEAAFIFA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预付款的约定</w:t>
                      </w:r>
                    </w:p>
                    <w:p>
                      <w:pPr>
                        <w:pStyle w:val="36"/>
                        <w:spacing w:line="200" w:lineRule="exact"/>
                        <w:rPr>
                          <w:rFonts w:ascii="楷体_GB2312" w:hAnsi="宋体"/>
                          <w:sz w:val="18"/>
                          <w:szCs w:val="18"/>
                        </w:rPr>
                      </w:pPr>
                      <w:r>
                        <w:rPr>
                          <w:rFonts w:hint="eastAsia" w:ascii="楷体_GB2312" w:hAnsi="宋体" w:cs="楷体_GB2312"/>
                          <w:sz w:val="18"/>
                          <w:szCs w:val="18"/>
                        </w:rPr>
                        <w:t>及管理</w:t>
                      </w:r>
                    </w:p>
                  </w:txbxContent>
                </v:textbox>
              </v:shape>
            </w:pict>
          </mc:Fallback>
        </mc:AlternateContent>
      </w:r>
      <w:r>
        <w:rPr>
          <w:rFonts w:hint="eastAsia" w:ascii="仿宋" w:hAnsi="仿宋" w:eastAsia="仿宋" w:cs="仿宋"/>
          <w:b/>
          <w:bCs/>
          <w:color w:val="auto"/>
          <w:sz w:val="24"/>
          <w:szCs w:val="24"/>
          <w:highlight w:val="none"/>
          <w:lang w:eastAsia="zh-CN"/>
        </w:rPr>
        <w:t>84</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除专用条款另有约定外，合同双方当事人应约定预付款，并在专用条款中明确预付款金额、支付办法和抵扣方式。</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预付款专款专用，承包人应在财务账目中标明专用于合同工程勘察（如果有）、设计、BIM技术应用、设备及工器具购置（如果有），以及采购工程材料、工程设备、施工设备、修建临时设施以及组织施工队伍进场等所需的款项，不得挪作他用。除专用条款另有约定外，预付款的预付比例不低于（含本数）合同价格（扣除暂列金额、暂估价、绿色安全防护措施费等）的</w:t>
      </w:r>
      <w:r>
        <w:rPr>
          <w:rFonts w:ascii="仿宋" w:hAnsi="仿宋" w:eastAsia="仿宋" w:cs="仿宋"/>
          <w:color w:val="auto"/>
          <w:sz w:val="24"/>
          <w:szCs w:val="24"/>
          <w:highlight w:val="none"/>
          <w:lang w:eastAsia="zh-CN"/>
        </w:rPr>
        <w:t>10%</w:t>
      </w:r>
      <w:r>
        <w:rPr>
          <w:rFonts w:hint="eastAsia" w:ascii="仿宋" w:hAnsi="仿宋" w:eastAsia="仿宋" w:cs="仿宋"/>
          <w:color w:val="auto"/>
          <w:sz w:val="24"/>
          <w:szCs w:val="24"/>
          <w:highlight w:val="none"/>
          <w:lang w:eastAsia="zh-CN"/>
        </w:rPr>
        <w:t>，不高于（含本数）合同价格（扣除暂列金额、暂估价、绿色安全防护措施费等）的</w:t>
      </w:r>
      <w:r>
        <w:rPr>
          <w:rFonts w:ascii="仿宋" w:hAnsi="仿宋" w:eastAsia="仿宋" w:cs="仿宋"/>
          <w:color w:val="auto"/>
          <w:sz w:val="24"/>
          <w:szCs w:val="24"/>
          <w:highlight w:val="none"/>
          <w:lang w:eastAsia="zh-CN"/>
        </w:rPr>
        <w:t>30%</w:t>
      </w:r>
      <w:r>
        <w:rPr>
          <w:rFonts w:hint="eastAsia" w:ascii="仿宋" w:hAnsi="仿宋" w:eastAsia="仿宋" w:cs="仿宋"/>
          <w:color w:val="auto"/>
          <w:sz w:val="24"/>
          <w:szCs w:val="24"/>
          <w:highlight w:val="none"/>
          <w:lang w:eastAsia="zh-CN"/>
        </w:rPr>
        <w:t>。</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84</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06048" behindDoc="0" locked="0" layoutInCell="1" allowOverlap="1">
                <wp:simplePos x="0" y="0"/>
                <wp:positionH relativeFrom="column">
                  <wp:posOffset>-114300</wp:posOffset>
                </wp:positionH>
                <wp:positionV relativeFrom="paragraph">
                  <wp:posOffset>19685</wp:posOffset>
                </wp:positionV>
                <wp:extent cx="765810" cy="629285"/>
                <wp:effectExtent l="0" t="0" r="0" b="0"/>
                <wp:wrapNone/>
                <wp:docPr id="242" name="文本框 1033"/>
                <wp:cNvGraphicFramePr/>
                <a:graphic xmlns:a="http://schemas.openxmlformats.org/drawingml/2006/main">
                  <a:graphicData uri="http://schemas.microsoft.com/office/word/2010/wordprocessingShape">
                    <wps:wsp>
                      <wps:cNvSpPr txBox="1"/>
                      <wps:spPr>
                        <a:xfrm>
                          <a:off x="0" y="0"/>
                          <a:ext cx="765810" cy="629285"/>
                        </a:xfrm>
                        <a:prstGeom prst="rect">
                          <a:avLst/>
                        </a:prstGeom>
                        <a:noFill/>
                        <a:ln>
                          <a:noFill/>
                        </a:ln>
                      </wps:spPr>
                      <wps:txb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预付款支付申请的提交、核实与支付</w:t>
                            </w:r>
                          </w:p>
                        </w:txbxContent>
                      </wps:txbx>
                      <wps:bodyPr wrap="square" upright="1"/>
                    </wps:wsp>
                  </a:graphicData>
                </a:graphic>
              </wp:anchor>
            </w:drawing>
          </mc:Choice>
          <mc:Fallback>
            <w:pict>
              <v:shape id="文本框 1033" o:spid="_x0000_s1026" o:spt="202" type="#_x0000_t202" style="position:absolute;left:0pt;margin-left:-9pt;margin-top:1.55pt;height:49.55pt;width:60.3pt;z-index:251906048;mso-width-relative:page;mso-height-relative:page;" filled="f" stroked="f" coordsize="21600,21600" o:gfxdata="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Hy5vnDVAAAACQEAAA8AAAAAAAAAAQAgAAAAIgAAAGRycy9kb3ducmV2LnhtbFBLAQIUABQA&#10;AAAIAIdO4kDoV5rYugEAAGADAAAOAAAAAAAAAAEAIAAAACQBAABkcnMvZTJvRG9jLnhtbFBLBQYA&#10;AAAABgAGAFkBAABQBQAAAAA=&#10;">
                <v:fill on="f" focussize="0,0"/>
                <v:stroke on="f"/>
                <v:imagedata o:title=""/>
                <o:lock v:ext="edit" aspectratio="f"/>
                <v:textbo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预付款支付申请的提交、核实与支付</w:t>
                      </w:r>
                    </w:p>
                  </w:txbxContent>
                </v:textbox>
              </v:shape>
            </w:pict>
          </mc:Fallback>
        </mc:AlternateContent>
      </w:r>
      <w:r>
        <w:rPr>
          <w:rFonts w:hint="eastAsia" w:ascii="仿宋" w:hAnsi="仿宋" w:eastAsia="仿宋" w:cs="仿宋"/>
          <w:color w:val="auto"/>
          <w:sz w:val="24"/>
          <w:szCs w:val="24"/>
          <w:highlight w:val="none"/>
          <w:lang w:eastAsia="zh-CN"/>
        </w:rPr>
        <w:t>承包人在完成下列工作后，应在专用条款约定的期限内向造价咨询人提交预付款支付申请，并抄送发包人。</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）签订本合同；</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）按照第32</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款约定提供履约担保；</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）向发包人提供与预付款等额的预付款保函的正本。</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造价咨询人应对支付申请进行核实，并在收到支付申请后的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天内报发包人确认后向发包人发出支付证书，同时抄送承包人。</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发包人在造价咨询人签发支付证书后的28天内向承包人支付预付款，并通知造价咨询人。</w:t>
      </w:r>
    </w:p>
    <w:p>
      <w:pPr>
        <w:spacing w:line="360" w:lineRule="auto"/>
        <w:rPr>
          <w:rFonts w:ascii="仿宋" w:hAnsi="仿宋" w:eastAsia="仿宋"/>
          <w:b/>
          <w:bCs/>
          <w:color w:val="auto"/>
          <w:highlight w:val="none"/>
          <w:lang w:eastAsia="zh-CN"/>
        </w:rPr>
      </w:pPr>
      <w:bookmarkStart w:id="1109" w:name="_Toc4585"/>
      <w:r>
        <w:rPr>
          <w:rFonts w:hint="eastAsia" w:ascii="仿宋" w:hAnsi="仿宋" w:eastAsia="仿宋" w:cs="仿宋"/>
          <w:b/>
          <w:bCs/>
          <w:color w:val="auto"/>
          <w:highlight w:val="none"/>
          <w:lang w:eastAsia="zh-CN"/>
        </w:rPr>
        <w:t>84</w:t>
      </w:r>
      <w:r>
        <w:rPr>
          <w:rFonts w:ascii="仿宋" w:hAnsi="仿宋" w:eastAsia="仿宋" w:cs="仿宋"/>
          <w:b/>
          <w:bCs/>
          <w:color w:val="auto"/>
          <w:highlight w:val="none"/>
          <w:lang w:eastAsia="zh-CN"/>
        </w:rPr>
        <w:t>.3</w:t>
      </w:r>
      <w:bookmarkEnd w:id="110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07072" behindDoc="0" locked="0" layoutInCell="1" allowOverlap="1">
                <wp:simplePos x="0" y="0"/>
                <wp:positionH relativeFrom="column">
                  <wp:posOffset>-114300</wp:posOffset>
                </wp:positionH>
                <wp:positionV relativeFrom="paragraph">
                  <wp:posOffset>10795</wp:posOffset>
                </wp:positionV>
                <wp:extent cx="794385" cy="662305"/>
                <wp:effectExtent l="0" t="0" r="0" b="0"/>
                <wp:wrapNone/>
                <wp:docPr id="243" name="文本框 1034"/>
                <wp:cNvGraphicFramePr/>
                <a:graphic xmlns:a="http://schemas.openxmlformats.org/drawingml/2006/main">
                  <a:graphicData uri="http://schemas.microsoft.com/office/word/2010/wordprocessingShape">
                    <wps:wsp>
                      <wps:cNvSpPr txBox="1"/>
                      <wps:spPr>
                        <a:xfrm>
                          <a:off x="0" y="0"/>
                          <a:ext cx="794385" cy="662305"/>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预付款支付的限制</w:t>
                            </w:r>
                          </w:p>
                        </w:txbxContent>
                      </wps:txbx>
                      <wps:bodyPr wrap="square" upright="1"/>
                    </wps:wsp>
                  </a:graphicData>
                </a:graphic>
              </wp:anchor>
            </w:drawing>
          </mc:Choice>
          <mc:Fallback>
            <w:pict>
              <v:shape id="文本框 1034" o:spid="_x0000_s1026" o:spt="202" type="#_x0000_t202" style="position:absolute;left:0pt;margin-left:-9pt;margin-top:0.85pt;height:52.15pt;width:62.55pt;z-index:251907072;mso-width-relative:page;mso-height-relative:page;" filled="f" stroked="f" coordsize="21600,21600" o:gfxdata="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DefJQ7UAAAACQEAAA8AAAAAAAAAAQAgAAAAIgAAAGRycy9kb3ducmV2LnhtbFBLAQIUABQA&#10;AAAIAIdO4kAP9nb3uwEAAGADAAAOAAAAAAAAAAEAIAAAACMBAABkcnMvZTJvRG9jLnhtbFBLBQYA&#10;AAAABgAGAFkBAABQBQ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预付款支付的限制</w:t>
                      </w:r>
                    </w:p>
                  </w:txbxContent>
                </v:textbox>
              </v:shape>
            </w:pict>
          </mc:Fallback>
        </mc:AlternateContent>
      </w:r>
      <w:r>
        <w:rPr>
          <w:rFonts w:hint="eastAsia" w:ascii="仿宋" w:hAnsi="仿宋" w:eastAsia="仿宋" w:cs="仿宋"/>
          <w:color w:val="auto"/>
          <w:sz w:val="24"/>
          <w:szCs w:val="24"/>
          <w:highlight w:val="none"/>
          <w:lang w:eastAsia="zh-CN"/>
        </w:rPr>
        <w:t>发包人没有按时支付预付款的，承包人应在付款期满后的7天内向发包人发出要求支付的通知；发包人收到通知后仍不按要求支付，承包人可在发出通知</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天后暂停勘察（如果有）、设计、BIM技术应用、设备及工器具购置（如果有）或施工。发包人可与承包人协商签订延期支付协议，经承包人同意后可延期支付，承包人有权按照第83</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款约定获得延期支付的利息。发包人承担由此增加的费用和（或）延误的工期，并向承包人支付合理利润。</w:t>
      </w:r>
    </w:p>
    <w:p>
      <w:pPr>
        <w:pStyle w:val="22"/>
        <w:tabs>
          <w:tab w:val="left" w:pos="1320"/>
        </w:tabs>
        <w:adjustRightInd w:val="0"/>
        <w:snapToGrid w:val="0"/>
        <w:spacing w:line="360" w:lineRule="auto"/>
        <w:rPr>
          <w:rFonts w:ascii="仿宋" w:hAnsi="仿宋" w:eastAsia="仿宋"/>
          <w:color w:val="auto"/>
          <w:sz w:val="24"/>
          <w:szCs w:val="24"/>
          <w:highlight w:val="none"/>
          <w:lang w:eastAsia="zh-CN"/>
        </w:rPr>
      </w:pPr>
      <w:r>
        <w:rPr>
          <w:rFonts w:hint="eastAsia" w:ascii="仿宋" w:hAnsi="仿宋" w:eastAsia="仿宋" w:cs="仿宋"/>
          <w:b/>
          <w:bCs/>
          <w:color w:val="auto"/>
          <w:sz w:val="24"/>
          <w:szCs w:val="24"/>
          <w:highlight w:val="none"/>
          <w:lang w:eastAsia="zh-CN"/>
        </w:rPr>
        <w:t>84</w:t>
      </w:r>
      <w:r>
        <w:rPr>
          <w:rFonts w:ascii="仿宋" w:hAnsi="仿宋" w:eastAsia="仿宋" w:cs="仿宋"/>
          <w:b/>
          <w:bCs/>
          <w:color w:val="auto"/>
          <w:sz w:val="24"/>
          <w:szCs w:val="24"/>
          <w:highlight w:val="none"/>
          <w:lang w:eastAsia="zh-CN"/>
        </w:rPr>
        <w:t xml:space="preserve">.4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08096" behindDoc="0" locked="0" layoutInCell="1" allowOverlap="1">
                <wp:simplePos x="0" y="0"/>
                <wp:positionH relativeFrom="column">
                  <wp:posOffset>-114300</wp:posOffset>
                </wp:positionH>
                <wp:positionV relativeFrom="paragraph">
                  <wp:posOffset>46355</wp:posOffset>
                </wp:positionV>
                <wp:extent cx="866140" cy="457200"/>
                <wp:effectExtent l="0" t="0" r="0" b="0"/>
                <wp:wrapNone/>
                <wp:docPr id="244" name="文本框 1035"/>
                <wp:cNvGraphicFramePr/>
                <a:graphic xmlns:a="http://schemas.openxmlformats.org/drawingml/2006/main">
                  <a:graphicData uri="http://schemas.microsoft.com/office/word/2010/wordprocessingShape">
                    <wps:wsp>
                      <wps:cNvSpPr txBox="1"/>
                      <wps:spPr>
                        <a:xfrm>
                          <a:off x="0" y="0"/>
                          <a:ext cx="866140" cy="457200"/>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预付款的扣回</w:t>
                            </w:r>
                          </w:p>
                        </w:txbxContent>
                      </wps:txbx>
                      <wps:bodyPr wrap="square" upright="1"/>
                    </wps:wsp>
                  </a:graphicData>
                </a:graphic>
              </wp:anchor>
            </w:drawing>
          </mc:Choice>
          <mc:Fallback>
            <w:pict>
              <v:shape id="文本框 1035" o:spid="_x0000_s1026" o:spt="202" type="#_x0000_t202" style="position:absolute;left:0pt;margin-left:-9pt;margin-top:3.65pt;height:36pt;width:68.2pt;z-index:251908096;mso-width-relative:page;mso-height-relative:page;" filled="f" stroked="f" coordsize="21600,21600" o:gfxdata="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bAVfP1gAAAAgBAAAPAAAAAAAAAAEAIAAAACIAAABkcnMvZG93bnJldi54bWxQSwECFAAU&#10;AAAACACHTuJAej3GpLoBAABgAwAADgAAAAAAAAABACAAAAAlAQAAZHJzL2Uyb0RvYy54bWxQSwUG&#10;AAAAAAYABgBZAQAAUQU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预付款的扣回</w:t>
                      </w:r>
                    </w:p>
                  </w:txbxContent>
                </v:textbox>
              </v:shape>
            </w:pict>
          </mc:Fallback>
        </mc:AlternateContent>
      </w:r>
      <w:r>
        <w:rPr>
          <w:rFonts w:hint="eastAsia" w:ascii="仿宋" w:hAnsi="仿宋" w:eastAsia="仿宋" w:cs="仿宋"/>
          <w:color w:val="auto"/>
          <w:sz w:val="24"/>
          <w:szCs w:val="24"/>
          <w:highlight w:val="none"/>
          <w:lang w:eastAsia="zh-CN"/>
        </w:rPr>
        <w:t>预付款应从每支付期应支付给承包人的进度款中扣回，直到扣回的金额达到专用条款约定的预付款金额为止。造价咨询人应依据专用条款约定的抵扣方式，在签发支付证书时从应支付给承包人的款项中扣回。</w:t>
      </w:r>
    </w:p>
    <w:p>
      <w:pPr>
        <w:spacing w:line="360" w:lineRule="auto"/>
        <w:rPr>
          <w:rFonts w:ascii="仿宋" w:hAnsi="仿宋" w:eastAsia="仿宋"/>
          <w:b/>
          <w:bCs/>
          <w:color w:val="auto"/>
          <w:highlight w:val="none"/>
          <w:lang w:eastAsia="zh-CN"/>
        </w:rPr>
      </w:pPr>
      <w:bookmarkStart w:id="1110" w:name="_Toc9269"/>
      <w:r>
        <w:rPr>
          <w:rFonts w:hint="eastAsia" w:ascii="仿宋" w:hAnsi="仿宋" w:eastAsia="仿宋" w:cs="仿宋"/>
          <w:b/>
          <w:bCs/>
          <w:color w:val="auto"/>
          <w:highlight w:val="none"/>
          <w:lang w:eastAsia="zh-CN"/>
        </w:rPr>
        <w:t>84</w:t>
      </w:r>
      <w:r>
        <w:rPr>
          <w:rFonts w:ascii="仿宋" w:hAnsi="仿宋" w:eastAsia="仿宋" w:cs="仿宋"/>
          <w:b/>
          <w:bCs/>
          <w:color w:val="auto"/>
          <w:highlight w:val="none"/>
          <w:lang w:eastAsia="zh-CN"/>
        </w:rPr>
        <w:t>.5</w:t>
      </w:r>
      <w:bookmarkEnd w:id="111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09120" behindDoc="0" locked="0" layoutInCell="1" allowOverlap="1">
                <wp:simplePos x="0" y="0"/>
                <wp:positionH relativeFrom="column">
                  <wp:posOffset>-114300</wp:posOffset>
                </wp:positionH>
                <wp:positionV relativeFrom="paragraph">
                  <wp:posOffset>13335</wp:posOffset>
                </wp:positionV>
                <wp:extent cx="832485" cy="627380"/>
                <wp:effectExtent l="0" t="0" r="0" b="0"/>
                <wp:wrapNone/>
                <wp:docPr id="245" name="文本框 1036"/>
                <wp:cNvGraphicFramePr/>
                <a:graphic xmlns:a="http://schemas.openxmlformats.org/drawingml/2006/main">
                  <a:graphicData uri="http://schemas.microsoft.com/office/word/2010/wordprocessingShape">
                    <wps:wsp>
                      <wps:cNvSpPr txBox="1"/>
                      <wps:spPr>
                        <a:xfrm>
                          <a:off x="0" y="0"/>
                          <a:ext cx="832485" cy="627380"/>
                        </a:xfrm>
                        <a:prstGeom prst="rect">
                          <a:avLst/>
                        </a:prstGeom>
                        <a:noFill/>
                        <a:ln>
                          <a:noFill/>
                        </a:ln>
                      </wps:spPr>
                      <wps:txb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预付款保函的有效与退还</w:t>
                            </w:r>
                          </w:p>
                        </w:txbxContent>
                      </wps:txbx>
                      <wps:bodyPr wrap="square" upright="1"/>
                    </wps:wsp>
                  </a:graphicData>
                </a:graphic>
              </wp:anchor>
            </w:drawing>
          </mc:Choice>
          <mc:Fallback>
            <w:pict>
              <v:shape id="文本框 1036" o:spid="_x0000_s1026" o:spt="202" type="#_x0000_t202" style="position:absolute;left:0pt;margin-left:-9pt;margin-top:1.05pt;height:49.4pt;width:65.55pt;z-index:251909120;mso-width-relative:page;mso-height-relative:page;" filled="f" stroked="f" coordsize="21600,21600" o:gfxdata="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QWBhxtYAAAAJAQAADwAAAAAAAAABACAAAAAiAAAAZHJzL2Rvd25yZXYueG1sUEsBAhQA&#10;FAAAAAgAh07iQDZNnOG7AQAAYAMAAA4AAAAAAAAAAQAgAAAAJQEAAGRycy9lMm9Eb2MueG1sUEsF&#10;BgAAAAAGAAYAWQEAAFIFAAAAAA==&#10;">
                <v:fill on="f" focussize="0,0"/>
                <v:stroke on="f"/>
                <v:imagedata o:title=""/>
                <o:lock v:ext="edit" aspectratio="f"/>
                <v:textbox>
                  <w:txbxContent>
                    <w:p>
                      <w:pPr>
                        <w:pStyle w:val="36"/>
                        <w:spacing w:line="200" w:lineRule="exact"/>
                        <w:rPr>
                          <w:rFonts w:ascii="楷体_GB2312" w:hAnsi="宋体"/>
                          <w:sz w:val="18"/>
                          <w:szCs w:val="18"/>
                          <w:lang w:eastAsia="zh-CN"/>
                        </w:rPr>
                      </w:pPr>
                      <w:r>
                        <w:rPr>
                          <w:rFonts w:hint="eastAsia" w:ascii="楷体_GB2312" w:hAnsi="宋体" w:cs="楷体_GB2312"/>
                          <w:sz w:val="18"/>
                          <w:szCs w:val="18"/>
                          <w:lang w:eastAsia="zh-CN"/>
                        </w:rPr>
                        <w:t>预付款保函的有效与退还</w:t>
                      </w:r>
                    </w:p>
                  </w:txbxContent>
                </v:textbox>
              </v:shape>
            </w:pict>
          </mc:Fallback>
        </mc:AlternateContent>
      </w:r>
      <w:r>
        <w:rPr>
          <w:rFonts w:hint="eastAsia" w:ascii="仿宋" w:hAnsi="仿宋" w:eastAsia="仿宋" w:cs="仿宋"/>
          <w:color w:val="auto"/>
          <w:sz w:val="24"/>
          <w:szCs w:val="24"/>
          <w:highlight w:val="none"/>
          <w:lang w:eastAsia="zh-CN"/>
        </w:rPr>
        <w:t>承包人应保持预付款保函在预付款全部扣回之前一直有效。发包人应在预付款扣完后的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天内将预付款保函退还承包人，并不得向承包人收取预付款的任何利息。</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11" w:name="_Toc22067"/>
      <w:bookmarkStart w:id="1112" w:name="_Toc28414"/>
      <w:bookmarkStart w:id="1113" w:name="_Toc7472"/>
      <w:bookmarkStart w:id="1114" w:name="_Toc15677"/>
      <w:bookmarkStart w:id="1115" w:name="_Toc31026"/>
      <w:bookmarkStart w:id="1116" w:name="_Toc5594"/>
      <w:bookmarkStart w:id="1117" w:name="_Toc2935"/>
      <w:bookmarkStart w:id="1118" w:name="_Toc7613"/>
      <w:r>
        <w:rPr>
          <w:rFonts w:hint="eastAsia" w:ascii="仿宋" w:hAnsi="仿宋" w:eastAsia="仿宋" w:cs="仿宋"/>
          <w:bCs w:val="0"/>
          <w:color w:val="auto"/>
          <w:sz w:val="24"/>
          <w:szCs w:val="24"/>
          <w:highlight w:val="none"/>
          <w:lang w:eastAsia="zh-CN"/>
        </w:rPr>
        <w:t>★85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绿色施工安全防护费</w:t>
      </w:r>
      <w:bookmarkEnd w:id="1111"/>
      <w:bookmarkEnd w:id="1112"/>
      <w:bookmarkEnd w:id="1113"/>
      <w:bookmarkEnd w:id="1114"/>
      <w:bookmarkEnd w:id="1115"/>
      <w:bookmarkEnd w:id="1116"/>
      <w:bookmarkEnd w:id="1117"/>
      <w:bookmarkEnd w:id="1118"/>
    </w:p>
    <w:p>
      <w:pPr>
        <w:widowControl w:val="0"/>
        <w:rPr>
          <w:rFonts w:ascii="仿宋" w:hAnsi="仿宋" w:eastAsia="仿宋" w:cs="仿宋"/>
          <w:b/>
          <w:bCs/>
          <w:color w:val="auto"/>
          <w:highlight w:val="none"/>
          <w:lang w:eastAsia="zh-CN"/>
        </w:rPr>
      </w:pPr>
      <w:bookmarkStart w:id="1119" w:name="_Toc2466"/>
      <w:r>
        <w:rPr>
          <w:rFonts w:hint="eastAsia" w:ascii="仿宋" w:hAnsi="仿宋" w:eastAsia="仿宋" w:cs="仿宋"/>
          <w:b/>
          <w:bCs/>
          <w:color w:val="auto"/>
          <w:highlight w:val="none"/>
          <w:lang w:eastAsia="zh-CN"/>
        </w:rPr>
        <w:t>85</w:t>
      </w:r>
      <w:r>
        <w:rPr>
          <w:rFonts w:ascii="仿宋" w:hAnsi="仿宋" w:eastAsia="仿宋" w:cs="仿宋"/>
          <w:b/>
          <w:bCs/>
          <w:color w:val="auto"/>
          <w:highlight w:val="none"/>
          <w:lang w:eastAsia="zh-CN"/>
        </w:rPr>
        <w:t>.1</w:t>
      </w:r>
      <w:bookmarkEnd w:id="1119"/>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0144" behindDoc="0" locked="0" layoutInCell="1" allowOverlap="1">
                <wp:simplePos x="0" y="0"/>
                <wp:positionH relativeFrom="column">
                  <wp:posOffset>-114300</wp:posOffset>
                </wp:positionH>
                <wp:positionV relativeFrom="paragraph">
                  <wp:posOffset>17780</wp:posOffset>
                </wp:positionV>
                <wp:extent cx="809625" cy="495300"/>
                <wp:effectExtent l="0" t="0" r="0" b="0"/>
                <wp:wrapNone/>
                <wp:docPr id="246" name="文本框 1037"/>
                <wp:cNvGraphicFramePr/>
                <a:graphic xmlns:a="http://schemas.openxmlformats.org/drawingml/2006/main">
                  <a:graphicData uri="http://schemas.microsoft.com/office/word/2010/wordprocessingShape">
                    <wps:wsp>
                      <wps:cNvSpPr txBox="1"/>
                      <wps:spPr>
                        <a:xfrm>
                          <a:off x="0" y="0"/>
                          <a:ext cx="809625" cy="495300"/>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内容、范围和金额</w:t>
                            </w:r>
                          </w:p>
                        </w:txbxContent>
                      </wps:txbx>
                      <wps:bodyPr wrap="square" upright="1"/>
                    </wps:wsp>
                  </a:graphicData>
                </a:graphic>
              </wp:anchor>
            </w:drawing>
          </mc:Choice>
          <mc:Fallback>
            <w:pict>
              <v:shape id="文本框 1037" o:spid="_x0000_s1026" o:spt="202" type="#_x0000_t202" style="position:absolute;left:0pt;margin-left:-9pt;margin-top:1.4pt;height:39pt;width:63.75pt;z-index:251910144;mso-width-relative:page;mso-height-relative:page;" filled="f" stroked="f" coordsize="21600,21600" o:gfxdata="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VM1CfVAAAACAEAAA8AAAAAAAAAAQAgAAAAIgAAAGRycy9kb3ducmV2LnhtbFBLAQIU&#10;ABQAAAAIAIdO4kDxMhUwvQEAAGADAAAOAAAAAAAAAAEAIAAAACQBAABkcnMvZTJvRG9jLnhtbFBL&#10;BQYAAAAABgAGAFkBAABTBQ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内容、范围和金额</w:t>
                      </w:r>
                    </w:p>
                  </w:txbxContent>
                </v:textbox>
              </v:shape>
            </w:pict>
          </mc:Fallback>
        </mc:AlternateContent>
      </w:r>
      <w:r>
        <w:rPr>
          <w:rFonts w:hint="eastAsia" w:ascii="仿宋" w:hAnsi="仿宋" w:eastAsia="仿宋" w:cs="仿宋"/>
          <w:color w:val="auto"/>
          <w:sz w:val="24"/>
          <w:szCs w:val="24"/>
          <w:highlight w:val="none"/>
          <w:lang w:eastAsia="zh-CN"/>
        </w:rPr>
        <w:t>合同双方当事人应在专用条款中约定绿色施工安全防护费的内容、范围和金额，并按照第52条约定实施绿色施工安全防护。除专用条款另有约定外，绿色施工安全防护费的内容和范围，应以省、市</w:t>
      </w:r>
      <w:r>
        <w:rPr>
          <w:rFonts w:ascii="仿宋" w:hAnsi="仿宋" w:eastAsia="仿宋" w:cs="仿宋"/>
          <w:color w:val="auto"/>
          <w:sz w:val="24"/>
          <w:szCs w:val="24"/>
          <w:highlight w:val="none"/>
          <w:lang w:eastAsia="zh-CN"/>
        </w:rPr>
        <w:t>建设</w:t>
      </w:r>
      <w:r>
        <w:rPr>
          <w:rFonts w:hint="eastAsia" w:ascii="仿宋" w:hAnsi="仿宋" w:eastAsia="仿宋" w:cs="仿宋"/>
          <w:color w:val="auto"/>
          <w:sz w:val="24"/>
          <w:szCs w:val="24"/>
          <w:highlight w:val="none"/>
          <w:lang w:eastAsia="zh-CN"/>
        </w:rPr>
        <w:t>行政主管</w:t>
      </w:r>
      <w:r>
        <w:rPr>
          <w:rFonts w:ascii="仿宋" w:hAnsi="仿宋" w:eastAsia="仿宋" w:cs="仿宋"/>
          <w:color w:val="auto"/>
          <w:sz w:val="24"/>
          <w:szCs w:val="24"/>
          <w:highlight w:val="none"/>
          <w:lang w:eastAsia="zh-CN"/>
        </w:rPr>
        <w:t>部门</w:t>
      </w:r>
      <w:r>
        <w:rPr>
          <w:rFonts w:hint="eastAsia" w:ascii="仿宋" w:hAnsi="仿宋" w:eastAsia="仿宋" w:cs="仿宋"/>
          <w:color w:val="auto"/>
          <w:sz w:val="24"/>
          <w:szCs w:val="24"/>
          <w:highlight w:val="none"/>
          <w:lang w:eastAsia="zh-CN"/>
        </w:rPr>
        <w:t>的相关文件规定为准。</w:t>
      </w:r>
    </w:p>
    <w:p>
      <w:pPr>
        <w:spacing w:line="360" w:lineRule="auto"/>
        <w:rPr>
          <w:rFonts w:ascii="仿宋" w:hAnsi="仿宋" w:eastAsia="仿宋" w:cs="仿宋"/>
          <w:color w:val="auto"/>
          <w:highlight w:val="none"/>
          <w:u w:val="dotted"/>
          <w:lang w:eastAsia="zh-CN"/>
        </w:rPr>
      </w:pPr>
      <w:bookmarkStart w:id="1120" w:name="_Toc1917"/>
      <w:r>
        <w:rPr>
          <w:rFonts w:hint="eastAsia" w:ascii="仿宋" w:hAnsi="仿宋" w:eastAsia="仿宋" w:cs="仿宋"/>
          <w:b/>
          <w:bCs/>
          <w:color w:val="auto"/>
          <w:highlight w:val="none"/>
          <w:lang w:eastAsia="zh-CN"/>
        </w:rPr>
        <w:t>85</w:t>
      </w:r>
      <w:r>
        <w:rPr>
          <w:rFonts w:ascii="仿宋" w:hAnsi="仿宋" w:eastAsia="仿宋" w:cs="仿宋"/>
          <w:b/>
          <w:bCs/>
          <w:color w:val="auto"/>
          <w:highlight w:val="none"/>
          <w:lang w:eastAsia="zh-CN"/>
        </w:rPr>
        <w:t>.2</w:t>
      </w:r>
      <w:bookmarkEnd w:id="1120"/>
      <w:r>
        <w:rPr>
          <w:rFonts w:ascii="仿宋" w:hAnsi="仿宋" w:eastAsia="仿宋" w:cs="仿宋"/>
          <w:b/>
          <w:bCs/>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1168" behindDoc="0" locked="0" layoutInCell="1" allowOverlap="1">
                <wp:simplePos x="0" y="0"/>
                <wp:positionH relativeFrom="column">
                  <wp:posOffset>-114300</wp:posOffset>
                </wp:positionH>
                <wp:positionV relativeFrom="paragraph">
                  <wp:posOffset>34290</wp:posOffset>
                </wp:positionV>
                <wp:extent cx="870585" cy="648970"/>
                <wp:effectExtent l="0" t="0" r="0" b="0"/>
                <wp:wrapNone/>
                <wp:docPr id="247" name="文本框 1038"/>
                <wp:cNvGraphicFramePr/>
                <a:graphic xmlns:a="http://schemas.openxmlformats.org/drawingml/2006/main">
                  <a:graphicData uri="http://schemas.microsoft.com/office/word/2010/wordprocessingShape">
                    <wps:wsp>
                      <wps:cNvSpPr txBox="1"/>
                      <wps:spPr>
                        <a:xfrm>
                          <a:off x="0" y="0"/>
                          <a:ext cx="870585" cy="648970"/>
                        </a:xfrm>
                        <a:prstGeom prst="rect">
                          <a:avLst/>
                        </a:prstGeom>
                        <a:noFill/>
                        <a:ln>
                          <a:noFill/>
                        </a:ln>
                      </wps:spPr>
                      <wps:txbx>
                        <w:txbxContent>
                          <w:p>
                            <w:pPr>
                              <w:pStyle w:val="36"/>
                              <w:spacing w:line="200" w:lineRule="exact"/>
                              <w:rPr>
                                <w:rFonts w:ascii="楷体_GB2312" w:hAnsi="宋体"/>
                                <w:sz w:val="18"/>
                                <w:szCs w:val="18"/>
                              </w:rPr>
                            </w:pPr>
                            <w:r>
                              <w:rPr>
                                <w:rFonts w:hint="eastAsia" w:ascii="楷体_GB2312" w:hAnsi="宋体" w:cs="楷体_GB2312"/>
                                <w:sz w:val="18"/>
                                <w:szCs w:val="18"/>
                              </w:rPr>
                              <w:t>支付申请的提交与核实</w:t>
                            </w:r>
                          </w:p>
                        </w:txbxContent>
                      </wps:txbx>
                      <wps:bodyPr wrap="square" upright="1"/>
                    </wps:wsp>
                  </a:graphicData>
                </a:graphic>
              </wp:anchor>
            </w:drawing>
          </mc:Choice>
          <mc:Fallback>
            <w:pict>
              <v:shape id="文本框 1038" o:spid="_x0000_s1026" o:spt="202" type="#_x0000_t202" style="position:absolute;left:0pt;margin-left:-9pt;margin-top:2.7pt;height:51.1pt;width:68.55pt;z-index:251911168;mso-width-relative:page;mso-height-relative:page;" filled="f" stroked="f" coordsize="21600,21600" o:gfxdata="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6m5L01wAAAAkBAAAPAAAAAAAAAAEAIAAAACIAAABkcnMvZG93bnJldi54bWxQSwEC&#10;FAAUAAAACACHTuJAFvWdybwBAABgAwAADgAAAAAAAAABACAAAAAmAQAAZHJzL2Uyb0RvYy54bWxQ&#10;SwUGAAAAAAYABgBZAQAAVAUAAAAA&#10;">
                <v:fill on="f" focussize="0,0"/>
                <v:stroke on="f"/>
                <v:imagedata o:title=""/>
                <o:lock v:ext="edit" aspectratio="f"/>
                <v:textbox>
                  <w:txbxContent>
                    <w:p>
                      <w:pPr>
                        <w:pStyle w:val="36"/>
                        <w:spacing w:line="200" w:lineRule="exact"/>
                        <w:rPr>
                          <w:rFonts w:ascii="楷体_GB2312" w:hAnsi="宋体"/>
                          <w:sz w:val="18"/>
                          <w:szCs w:val="18"/>
                        </w:rPr>
                      </w:pPr>
                      <w:r>
                        <w:rPr>
                          <w:rFonts w:hint="eastAsia" w:ascii="楷体_GB2312" w:hAnsi="宋体" w:cs="楷体_GB2312"/>
                          <w:sz w:val="18"/>
                          <w:szCs w:val="18"/>
                        </w:rPr>
                        <w:t>支付申请的提交与核实</w:t>
                      </w:r>
                    </w:p>
                  </w:txbxContent>
                </v:textbox>
              </v:shape>
            </w:pict>
          </mc:Fallback>
        </mc:AlternateContent>
      </w:r>
      <w:r>
        <w:rPr>
          <w:rFonts w:hint="eastAsia" w:ascii="仿宋" w:hAnsi="仿宋" w:eastAsia="仿宋" w:cs="仿宋"/>
          <w:color w:val="auto"/>
          <w:sz w:val="24"/>
          <w:szCs w:val="24"/>
          <w:highlight w:val="none"/>
          <w:lang w:eastAsia="zh-CN"/>
        </w:rPr>
        <w:t>专用条款没有约定的，承包人应在接到监理人按照第41</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款约定发出开工令后的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天内向造价咨询人提交绿色施工安全防护费支付申请，并抄送发包人。造价咨询人应对支付申请进行核实，并在收到支付申请后的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天内报发包人确认后向发包人发出支付证书，同时抄送承包人。</w:t>
      </w:r>
    </w:p>
    <w:p>
      <w:pPr>
        <w:spacing w:line="360" w:lineRule="auto"/>
        <w:rPr>
          <w:rFonts w:ascii="仿宋" w:hAnsi="仿宋" w:eastAsia="仿宋"/>
          <w:b/>
          <w:bCs/>
          <w:color w:val="auto"/>
          <w:highlight w:val="none"/>
          <w:lang w:eastAsia="zh-CN"/>
        </w:rPr>
      </w:pPr>
      <w:bookmarkStart w:id="1121" w:name="_Toc10328"/>
      <w:r>
        <w:rPr>
          <w:rFonts w:hint="eastAsia" w:ascii="仿宋" w:hAnsi="仿宋" w:eastAsia="仿宋" w:cs="仿宋"/>
          <w:b/>
          <w:bCs/>
          <w:color w:val="auto"/>
          <w:highlight w:val="none"/>
          <w:lang w:eastAsia="zh-CN"/>
        </w:rPr>
        <w:t>85</w:t>
      </w:r>
      <w:r>
        <w:rPr>
          <w:rFonts w:ascii="仿宋" w:hAnsi="仿宋" w:eastAsia="仿宋" w:cs="仿宋"/>
          <w:b/>
          <w:bCs/>
          <w:color w:val="auto"/>
          <w:highlight w:val="none"/>
          <w:lang w:eastAsia="zh-CN"/>
        </w:rPr>
        <w:t>.3</w:t>
      </w:r>
      <w:bookmarkEnd w:id="112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合同双方当事人应按照建设行政主管部门的规定，在专用条款中约定绿色施工安全防护费的支付办法和抵扣方式。除专用条款另有约定外，</w:t>
      </w: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2192" behindDoc="0" locked="0" layoutInCell="1" allowOverlap="1">
                <wp:simplePos x="0" y="0"/>
                <wp:positionH relativeFrom="column">
                  <wp:posOffset>-114300</wp:posOffset>
                </wp:positionH>
                <wp:positionV relativeFrom="paragraph">
                  <wp:posOffset>71755</wp:posOffset>
                </wp:positionV>
                <wp:extent cx="790575" cy="421005"/>
                <wp:effectExtent l="0" t="0" r="0" b="0"/>
                <wp:wrapNone/>
                <wp:docPr id="248" name="文本框 1039"/>
                <wp:cNvGraphicFramePr/>
                <a:graphic xmlns:a="http://schemas.openxmlformats.org/drawingml/2006/main">
                  <a:graphicData uri="http://schemas.microsoft.com/office/word/2010/wordprocessingShape">
                    <wps:wsp>
                      <wps:cNvSpPr txBox="1"/>
                      <wps:spPr>
                        <a:xfrm>
                          <a:off x="0" y="0"/>
                          <a:ext cx="790575" cy="421005"/>
                        </a:xfrm>
                        <a:prstGeom prst="rect">
                          <a:avLst/>
                        </a:prstGeom>
                        <a:noFill/>
                        <a:ln>
                          <a:noFill/>
                        </a:ln>
                      </wps:spPr>
                      <wps:txbx>
                        <w:txbxContent>
                          <w:p>
                            <w:pPr>
                              <w:rPr>
                                <w:rFonts w:ascii="楷体_GB2312" w:hAnsi="宋体" w:eastAsia="楷体_GB2312"/>
                                <w:b/>
                                <w:bCs/>
                                <w:sz w:val="18"/>
                                <w:szCs w:val="18"/>
                              </w:rPr>
                            </w:pPr>
                            <w:r>
                              <w:rPr>
                                <w:rFonts w:hint="eastAsia" w:ascii="楷体_GB2312" w:hAnsi="宋体" w:eastAsia="楷体_GB2312" w:cs="楷体_GB2312"/>
                                <w:b/>
                                <w:bCs/>
                                <w:sz w:val="18"/>
                                <w:szCs w:val="18"/>
                              </w:rPr>
                              <w:t>费用支付</w:t>
                            </w:r>
                          </w:p>
                        </w:txbxContent>
                      </wps:txbx>
                      <wps:bodyPr wrap="square" upright="1"/>
                    </wps:wsp>
                  </a:graphicData>
                </a:graphic>
              </wp:anchor>
            </w:drawing>
          </mc:Choice>
          <mc:Fallback>
            <w:pict>
              <v:shape id="文本框 1039" o:spid="_x0000_s1026" o:spt="202" type="#_x0000_t202" style="position:absolute;left:0pt;margin-left:-9pt;margin-top:5.65pt;height:33.15pt;width:62.25pt;z-index:251912192;mso-width-relative:page;mso-height-relative:page;" filled="f" stroked="f" coordsize="21600,21600" o:gfxdata="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NquJULXAAAACQEAAA8AAAAAAAAAAQAgAAAAIgAAAGRycy9kb3ducmV2LnhtbFBLAQIU&#10;ABQAAAAIAIdO4kCbuZ6WuwEAAGADAAAOAAAAAAAAAAEAIAAAACYBAABkcnMvZTJvRG9jLnhtbFBL&#10;BQYAAAAABgAGAFkBAABTBQAAAAA=&#10;">
                <v:fill on="f" focussize="0,0"/>
                <v:stroke on="f"/>
                <v:imagedata o:title=""/>
                <o:lock v:ext="edit" aspectratio="f"/>
                <v:textbox>
                  <w:txbxContent>
                    <w:p>
                      <w:pPr>
                        <w:rPr>
                          <w:rFonts w:ascii="楷体_GB2312" w:hAnsi="宋体" w:eastAsia="楷体_GB2312"/>
                          <w:b/>
                          <w:bCs/>
                          <w:sz w:val="18"/>
                          <w:szCs w:val="18"/>
                        </w:rPr>
                      </w:pPr>
                      <w:r>
                        <w:rPr>
                          <w:rFonts w:hint="eastAsia" w:ascii="楷体_GB2312" w:hAnsi="宋体" w:eastAsia="楷体_GB2312" w:cs="楷体_GB2312"/>
                          <w:b/>
                          <w:bCs/>
                          <w:sz w:val="18"/>
                          <w:szCs w:val="18"/>
                        </w:rPr>
                        <w:t>费用支付</w:t>
                      </w:r>
                    </w:p>
                  </w:txbxContent>
                </v:textbox>
              </v:shape>
            </w:pict>
          </mc:Fallback>
        </mc:AlternateContent>
      </w:r>
      <w:r>
        <w:rPr>
          <w:rFonts w:hint="eastAsia" w:ascii="仿宋" w:hAnsi="仿宋" w:eastAsia="仿宋" w:cs="仿宋"/>
          <w:color w:val="auto"/>
          <w:sz w:val="24"/>
          <w:szCs w:val="24"/>
          <w:highlight w:val="none"/>
          <w:lang w:eastAsia="zh-CN"/>
        </w:rPr>
        <w:t>发包人应在造价咨询人签发支付证书后的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天内向承包人支付绿色施工安全防护费，并保证在工程开工后的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天内支付绿色施工安全防护费金额的</w:t>
      </w:r>
      <w:r>
        <w:rPr>
          <w:rFonts w:ascii="仿宋" w:hAnsi="仿宋" w:eastAsia="仿宋" w:cs="仿宋"/>
          <w:color w:val="auto"/>
          <w:sz w:val="24"/>
          <w:szCs w:val="24"/>
          <w:highlight w:val="none"/>
          <w:lang w:eastAsia="zh-CN"/>
        </w:rPr>
        <w:t>50%</w:t>
      </w:r>
      <w:r>
        <w:rPr>
          <w:rFonts w:hint="eastAsia" w:ascii="仿宋" w:hAnsi="仿宋" w:eastAsia="仿宋" w:cs="仿宋"/>
          <w:color w:val="auto"/>
          <w:sz w:val="24"/>
          <w:szCs w:val="24"/>
          <w:highlight w:val="none"/>
          <w:lang w:eastAsia="zh-CN"/>
        </w:rPr>
        <w:t>，同时通知造价咨询人。其余部分与进度款同期支付。</w:t>
      </w:r>
    </w:p>
    <w:p>
      <w:pPr>
        <w:spacing w:line="360" w:lineRule="auto"/>
        <w:rPr>
          <w:rFonts w:ascii="仿宋" w:hAnsi="仿宋" w:eastAsia="仿宋"/>
          <w:b/>
          <w:bCs/>
          <w:color w:val="auto"/>
          <w:highlight w:val="none"/>
          <w:lang w:eastAsia="zh-CN"/>
        </w:rPr>
      </w:pPr>
      <w:bookmarkStart w:id="1122" w:name="_Toc27893"/>
      <w:r>
        <w:rPr>
          <w:rFonts w:hint="eastAsia" w:ascii="仿宋" w:hAnsi="仿宋" w:eastAsia="仿宋" w:cs="仿宋"/>
          <w:b/>
          <w:bCs/>
          <w:color w:val="auto"/>
          <w:highlight w:val="none"/>
          <w:lang w:eastAsia="zh-CN"/>
        </w:rPr>
        <w:t>85</w:t>
      </w:r>
      <w:r>
        <w:rPr>
          <w:rFonts w:ascii="仿宋" w:hAnsi="仿宋" w:eastAsia="仿宋" w:cs="仿宋"/>
          <w:b/>
          <w:bCs/>
          <w:color w:val="auto"/>
          <w:highlight w:val="none"/>
          <w:lang w:eastAsia="zh-CN"/>
        </w:rPr>
        <w:t>.4</w:t>
      </w:r>
      <w:bookmarkEnd w:id="112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3216" behindDoc="0" locked="0" layoutInCell="1" allowOverlap="1">
                <wp:simplePos x="0" y="0"/>
                <wp:positionH relativeFrom="column">
                  <wp:posOffset>-114300</wp:posOffset>
                </wp:positionH>
                <wp:positionV relativeFrom="paragraph">
                  <wp:posOffset>10795</wp:posOffset>
                </wp:positionV>
                <wp:extent cx="727710" cy="480060"/>
                <wp:effectExtent l="0" t="0" r="0" b="0"/>
                <wp:wrapNone/>
                <wp:docPr id="249" name="文本框 1040"/>
                <wp:cNvGraphicFramePr/>
                <a:graphic xmlns:a="http://schemas.openxmlformats.org/drawingml/2006/main">
                  <a:graphicData uri="http://schemas.microsoft.com/office/word/2010/wordprocessingShape">
                    <wps:wsp>
                      <wps:cNvSpPr txBox="1"/>
                      <wps:spPr>
                        <a:xfrm>
                          <a:off x="0" y="0"/>
                          <a:ext cx="727710" cy="480060"/>
                        </a:xfrm>
                        <a:prstGeom prst="rect">
                          <a:avLst/>
                        </a:prstGeom>
                        <a:noFill/>
                        <a:ln>
                          <a:noFill/>
                        </a:ln>
                      </wps:spPr>
                      <wps:txbx>
                        <w:txbxContent>
                          <w:p>
                            <w:pPr>
                              <w:rPr>
                                <w:rFonts w:ascii="楷体_GB2312" w:hAnsi="宋体" w:eastAsia="楷体_GB2312"/>
                                <w:b/>
                                <w:bCs/>
                                <w:sz w:val="18"/>
                                <w:szCs w:val="18"/>
                              </w:rPr>
                            </w:pPr>
                            <w:r>
                              <w:rPr>
                                <w:rFonts w:hint="eastAsia" w:ascii="楷体_GB2312" w:hAnsi="宋体" w:eastAsia="楷体_GB2312" w:cs="楷体_GB2312"/>
                                <w:b/>
                                <w:bCs/>
                                <w:sz w:val="18"/>
                                <w:szCs w:val="18"/>
                              </w:rPr>
                              <w:t>支付限制</w:t>
                            </w:r>
                          </w:p>
                        </w:txbxContent>
                      </wps:txbx>
                      <wps:bodyPr wrap="square" upright="1"/>
                    </wps:wsp>
                  </a:graphicData>
                </a:graphic>
              </wp:anchor>
            </w:drawing>
          </mc:Choice>
          <mc:Fallback>
            <w:pict>
              <v:shape id="文本框 1040" o:spid="_x0000_s1026" o:spt="202" type="#_x0000_t202" style="position:absolute;left:0pt;margin-left:-9pt;margin-top:0.85pt;height:37.8pt;width:57.3pt;z-index:251913216;mso-width-relative:page;mso-height-relative:page;" filled="f" stroked="f" coordsize="21600,21600" o:gfxdata="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Bz35PNYAAAAHAQAADwAAAAAAAAABACAAAAAiAAAAZHJzL2Rvd25yZXYueG1sUEsBAhQAFAAA&#10;AAgAh07iQPDGS5+4AQAAYAMAAA4AAAAAAAAAAQAgAAAAJQEAAGRycy9lMm9Eb2MueG1sUEsFBgAA&#10;AAAGAAYAWQEAAE8FAAAAAA==&#10;">
                <v:fill on="f" focussize="0,0"/>
                <v:stroke on="f"/>
                <v:imagedata o:title=""/>
                <o:lock v:ext="edit" aspectratio="f"/>
                <v:textbox>
                  <w:txbxContent>
                    <w:p>
                      <w:pPr>
                        <w:rPr>
                          <w:rFonts w:ascii="楷体_GB2312" w:hAnsi="宋体" w:eastAsia="楷体_GB2312"/>
                          <w:b/>
                          <w:bCs/>
                          <w:sz w:val="18"/>
                          <w:szCs w:val="18"/>
                        </w:rPr>
                      </w:pPr>
                      <w:r>
                        <w:rPr>
                          <w:rFonts w:hint="eastAsia" w:ascii="楷体_GB2312" w:hAnsi="宋体" w:eastAsia="楷体_GB2312" w:cs="楷体_GB2312"/>
                          <w:b/>
                          <w:bCs/>
                          <w:sz w:val="18"/>
                          <w:szCs w:val="18"/>
                        </w:rPr>
                        <w:t>支付限制</w:t>
                      </w:r>
                    </w:p>
                  </w:txbxContent>
                </v:textbox>
              </v:shape>
            </w:pict>
          </mc:Fallback>
        </mc:AlternateContent>
      </w:r>
      <w:r>
        <w:rPr>
          <w:rFonts w:hint="eastAsia" w:ascii="仿宋" w:hAnsi="仿宋" w:eastAsia="仿宋" w:cs="仿宋"/>
          <w:color w:val="auto"/>
          <w:sz w:val="24"/>
          <w:szCs w:val="24"/>
          <w:highlight w:val="none"/>
          <w:lang w:eastAsia="zh-CN"/>
        </w:rPr>
        <w:t>发包人没有按时支付绿色施工安全防护费的，承包人应在付款期满后的7天内向发包人发出要求支付的通知；发包人收到通知后仍不按要求支付，承包人可在发出通知</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天后暂停施工。发包人应承担由此增加的费用和（或）延误的工期，并向承包人支付合理利润。</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85</w:t>
      </w:r>
      <w:r>
        <w:rPr>
          <w:rFonts w:ascii="仿宋" w:hAnsi="仿宋" w:eastAsia="仿宋" w:cs="仿宋"/>
          <w:b/>
          <w:bCs/>
          <w:color w:val="auto"/>
          <w:highlight w:val="none"/>
          <w:lang w:eastAsia="zh-CN"/>
        </w:rPr>
        <w:t xml:space="preserve">.5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4240" behindDoc="0" locked="0" layoutInCell="1" allowOverlap="1">
                <wp:simplePos x="0" y="0"/>
                <wp:positionH relativeFrom="column">
                  <wp:posOffset>-114300</wp:posOffset>
                </wp:positionH>
                <wp:positionV relativeFrom="paragraph">
                  <wp:posOffset>1905</wp:posOffset>
                </wp:positionV>
                <wp:extent cx="718820" cy="400685"/>
                <wp:effectExtent l="0" t="0" r="0" b="0"/>
                <wp:wrapNone/>
                <wp:docPr id="250" name="文本框 1041"/>
                <wp:cNvGraphicFramePr/>
                <a:graphic xmlns:a="http://schemas.openxmlformats.org/drawingml/2006/main">
                  <a:graphicData uri="http://schemas.microsoft.com/office/word/2010/wordprocessingShape">
                    <wps:wsp>
                      <wps:cNvSpPr txBox="1"/>
                      <wps:spPr>
                        <a:xfrm>
                          <a:off x="0" y="0"/>
                          <a:ext cx="718820" cy="400685"/>
                        </a:xfrm>
                        <a:prstGeom prst="rect">
                          <a:avLst/>
                        </a:prstGeom>
                        <a:noFill/>
                        <a:ln>
                          <a:noFill/>
                        </a:ln>
                      </wps:spPr>
                      <wps:txbx>
                        <w:txbxContent>
                          <w:p>
                            <w:pPr>
                              <w:spacing w:line="240" w:lineRule="exact"/>
                              <w:rPr>
                                <w:rFonts w:ascii="宋体"/>
                              </w:rPr>
                            </w:pPr>
                            <w:r>
                              <w:rPr>
                                <w:rFonts w:hint="eastAsia" w:ascii="楷体_GB2312" w:hAnsi="宋体" w:eastAsia="楷体_GB2312" w:cs="楷体_GB2312"/>
                                <w:b/>
                                <w:bCs/>
                                <w:sz w:val="18"/>
                                <w:szCs w:val="18"/>
                              </w:rPr>
                              <w:t>管理要求</w:t>
                            </w:r>
                          </w:p>
                        </w:txbxContent>
                      </wps:txbx>
                      <wps:bodyPr wrap="square" upright="1"/>
                    </wps:wsp>
                  </a:graphicData>
                </a:graphic>
              </wp:anchor>
            </w:drawing>
          </mc:Choice>
          <mc:Fallback>
            <w:pict>
              <v:shape id="文本框 1041" o:spid="_x0000_s1026" o:spt="202" type="#_x0000_t202" style="position:absolute;left:0pt;margin-left:-9pt;margin-top:0.15pt;height:31.55pt;width:56.6pt;z-index:251914240;mso-width-relative:page;mso-height-relative:page;" filled="f" stroked="f" coordsize="21600,21600" o:gfxdata="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0qb8E1QAAAAYBAAAPAAAAAAAAAAEAIAAAACIAAABkcnMvZG93bnJldi54bWxQSwECFAAUAAAA&#10;CACHTuJAmVqUqLgBAABgAwAADgAAAAAAAAABACAAAAAkAQAAZHJzL2Uyb0RvYy54bWxQSwUGAAAA&#10;AAYABgBZAQAATgUAAAAA&#10;">
                <v:fill on="f" focussize="0,0"/>
                <v:stroke on="f"/>
                <v:imagedata o:title=""/>
                <o:lock v:ext="edit" aspectratio="f"/>
                <v:textbox>
                  <w:txbxContent>
                    <w:p>
                      <w:pPr>
                        <w:spacing w:line="240" w:lineRule="exact"/>
                        <w:rPr>
                          <w:rFonts w:ascii="宋体"/>
                        </w:rPr>
                      </w:pPr>
                      <w:r>
                        <w:rPr>
                          <w:rFonts w:hint="eastAsia" w:ascii="楷体_GB2312" w:hAnsi="宋体" w:eastAsia="楷体_GB2312" w:cs="楷体_GB2312"/>
                          <w:b/>
                          <w:bCs/>
                          <w:sz w:val="18"/>
                          <w:szCs w:val="18"/>
                        </w:rPr>
                        <w:t>管理要求</w:t>
                      </w:r>
                    </w:p>
                  </w:txbxContent>
                </v:textbox>
              </v:shape>
            </w:pict>
          </mc:Fallback>
        </mc:AlternateContent>
      </w:r>
      <w:r>
        <w:rPr>
          <w:rFonts w:hint="eastAsia" w:ascii="仿宋" w:hAnsi="仿宋" w:eastAsia="仿宋" w:cs="仿宋"/>
          <w:color w:val="auto"/>
          <w:sz w:val="24"/>
          <w:szCs w:val="24"/>
          <w:highlight w:val="none"/>
          <w:lang w:eastAsia="zh-CN"/>
        </w:rPr>
        <w:t>绿色施工安全防护费专款专用，承包人应在财务账目中单独列项备查，不得挪作他用，否则造价咨询人有权责令其限期改正；逾期未改正的，可以责令其暂停施工，由此造成的损失和延误的工期由承包人承担。</w:t>
      </w:r>
    </w:p>
    <w:p>
      <w:pPr>
        <w:spacing w:line="360" w:lineRule="auto"/>
        <w:rPr>
          <w:rFonts w:ascii="仿宋" w:hAnsi="仿宋" w:eastAsia="仿宋"/>
          <w:color w:val="auto"/>
          <w:highlight w:val="none"/>
          <w:lang w:eastAsia="zh-CN"/>
        </w:rPr>
      </w:pPr>
      <w:r>
        <w:rPr>
          <w:rFonts w:hint="eastAsia" w:ascii="仿宋" w:hAnsi="仿宋" w:eastAsia="仿宋" w:cs="仿宋"/>
          <w:b/>
          <w:bCs/>
          <w:color w:val="auto"/>
          <w:highlight w:val="none"/>
          <w:lang w:eastAsia="zh-CN"/>
        </w:rPr>
        <w:t>85</w:t>
      </w:r>
      <w:r>
        <w:rPr>
          <w:rFonts w:ascii="仿宋" w:hAnsi="仿宋" w:eastAsia="仿宋" w:cs="仿宋"/>
          <w:b/>
          <w:bCs/>
          <w:color w:val="auto"/>
          <w:highlight w:val="none"/>
          <w:lang w:eastAsia="zh-CN"/>
        </w:rPr>
        <w:t xml:space="preserve">.6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2062720" behindDoc="0" locked="0" layoutInCell="1" allowOverlap="1">
                <wp:simplePos x="0" y="0"/>
                <wp:positionH relativeFrom="column">
                  <wp:posOffset>-95250</wp:posOffset>
                </wp:positionH>
                <wp:positionV relativeFrom="paragraph">
                  <wp:posOffset>11430</wp:posOffset>
                </wp:positionV>
                <wp:extent cx="813435" cy="630555"/>
                <wp:effectExtent l="0" t="0" r="0" b="0"/>
                <wp:wrapNone/>
                <wp:docPr id="395" name="文本框 1042"/>
                <wp:cNvGraphicFramePr/>
                <a:graphic xmlns:a="http://schemas.openxmlformats.org/drawingml/2006/main">
                  <a:graphicData uri="http://schemas.microsoft.com/office/word/2010/wordprocessingShape">
                    <wps:wsp>
                      <wps:cNvSpPr txBox="1"/>
                      <wps:spPr>
                        <a:xfrm>
                          <a:off x="0" y="0"/>
                          <a:ext cx="813435" cy="630555"/>
                        </a:xfrm>
                        <a:prstGeom prst="rect">
                          <a:avLst/>
                        </a:prstGeom>
                        <a:noFill/>
                        <a:ln>
                          <a:noFill/>
                        </a:ln>
                      </wps:spPr>
                      <wps:txbx>
                        <w:txbxContent>
                          <w:p>
                            <w:pPr>
                              <w:pStyle w:val="17"/>
                              <w:spacing w:line="200" w:lineRule="exact"/>
                              <w:rPr>
                                <w:rFonts w:ascii="楷体" w:hAnsi="楷体" w:eastAsia="楷体"/>
                                <w:b/>
                                <w:bCs/>
                                <w:sz w:val="18"/>
                                <w:szCs w:val="18"/>
                                <w:lang w:eastAsia="zh-CN"/>
                              </w:rPr>
                            </w:pPr>
                            <w:r>
                              <w:rPr>
                                <w:rFonts w:hint="eastAsia" w:ascii="楷体" w:hAnsi="楷体" w:eastAsia="楷体" w:cs="楷体"/>
                                <w:b/>
                                <w:bCs/>
                                <w:sz w:val="18"/>
                                <w:szCs w:val="18"/>
                                <w:lang w:eastAsia="zh-CN"/>
                              </w:rPr>
                              <w:t>工程</w:t>
                            </w:r>
                            <w:r>
                              <w:rPr>
                                <w:rFonts w:hint="eastAsia" w:ascii="楷体" w:hAnsi="楷体" w:eastAsia="楷体" w:cs="楷体"/>
                                <w:b/>
                                <w:bCs/>
                                <w:caps/>
                                <w:sz w:val="18"/>
                                <w:szCs w:val="18"/>
                                <w:lang w:eastAsia="zh-CN"/>
                              </w:rPr>
                              <w:t>文明工地增加费</w:t>
                            </w:r>
                            <w:r>
                              <w:rPr>
                                <w:rFonts w:hint="eastAsia" w:ascii="楷体" w:hAnsi="楷体" w:eastAsia="楷体" w:cs="楷体"/>
                                <w:b/>
                                <w:bCs/>
                                <w:sz w:val="18"/>
                                <w:szCs w:val="18"/>
                                <w:lang w:eastAsia="zh-CN"/>
                              </w:rPr>
                              <w:t>计提与支付</w:t>
                            </w:r>
                          </w:p>
                        </w:txbxContent>
                      </wps:txbx>
                      <wps:bodyPr wrap="square" upright="1"/>
                    </wps:wsp>
                  </a:graphicData>
                </a:graphic>
              </wp:anchor>
            </w:drawing>
          </mc:Choice>
          <mc:Fallback>
            <w:pict>
              <v:shape id="文本框 1042" o:spid="_x0000_s1026" o:spt="202" type="#_x0000_t202" style="position:absolute;left:0pt;margin-left:-7.5pt;margin-top:0.9pt;height:49.65pt;width:64.05pt;z-index:252062720;mso-width-relative:page;mso-height-relative:page;" filled="f" stroked="f" coordsize="21600,21600" o:gfxdata="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wuoufUAAAACQEAAA8AAAAAAAAAAQAgAAAAIgAAAGRycy9kb3ducmV2LnhtbFBLAQIUABQA&#10;AAAIAIdO4kBnCuD+uwEAAGADAAAOAAAAAAAAAAEAIAAAACMBAABkcnMvZTJvRG9jLnhtbFBLBQYA&#10;AAAABgAGAFkBAABQBQAAAAA=&#10;">
                <v:fill on="f" focussize="0,0"/>
                <v:stroke on="f"/>
                <v:imagedata o:title=""/>
                <o:lock v:ext="edit" aspectratio="f"/>
                <v:textbox>
                  <w:txbxContent>
                    <w:p>
                      <w:pPr>
                        <w:pStyle w:val="17"/>
                        <w:spacing w:line="200" w:lineRule="exact"/>
                        <w:rPr>
                          <w:rFonts w:ascii="楷体" w:hAnsi="楷体" w:eastAsia="楷体"/>
                          <w:b/>
                          <w:bCs/>
                          <w:sz w:val="18"/>
                          <w:szCs w:val="18"/>
                          <w:lang w:eastAsia="zh-CN"/>
                        </w:rPr>
                      </w:pPr>
                      <w:r>
                        <w:rPr>
                          <w:rFonts w:hint="eastAsia" w:ascii="楷体" w:hAnsi="楷体" w:eastAsia="楷体" w:cs="楷体"/>
                          <w:b/>
                          <w:bCs/>
                          <w:sz w:val="18"/>
                          <w:szCs w:val="18"/>
                          <w:lang w:eastAsia="zh-CN"/>
                        </w:rPr>
                        <w:t>工程</w:t>
                      </w:r>
                      <w:r>
                        <w:rPr>
                          <w:rFonts w:hint="eastAsia" w:ascii="楷体" w:hAnsi="楷体" w:eastAsia="楷体" w:cs="楷体"/>
                          <w:b/>
                          <w:bCs/>
                          <w:caps/>
                          <w:sz w:val="18"/>
                          <w:szCs w:val="18"/>
                          <w:lang w:eastAsia="zh-CN"/>
                        </w:rPr>
                        <w:t>文明工地增加费</w:t>
                      </w:r>
                      <w:r>
                        <w:rPr>
                          <w:rFonts w:hint="eastAsia" w:ascii="楷体" w:hAnsi="楷体" w:eastAsia="楷体" w:cs="楷体"/>
                          <w:b/>
                          <w:bCs/>
                          <w:sz w:val="18"/>
                          <w:szCs w:val="18"/>
                          <w:lang w:eastAsia="zh-CN"/>
                        </w:rPr>
                        <w:t>计提与支付</w:t>
                      </w:r>
                    </w:p>
                  </w:txbxContent>
                </v:textbox>
              </v:shape>
            </w:pict>
          </mc:Fallback>
        </mc:AlternateContent>
      </w:r>
      <w:r>
        <w:rPr>
          <w:rFonts w:hint="eastAsia" w:ascii="仿宋" w:hAnsi="仿宋" w:eastAsia="仿宋" w:cs="仿宋"/>
          <w:color w:val="auto"/>
          <w:sz w:val="24"/>
          <w:szCs w:val="24"/>
          <w:highlight w:val="none"/>
          <w:lang w:eastAsia="zh-CN"/>
        </w:rPr>
        <w:t>除专用条款另有约定外，获得省、市级或其它级别文明工地的文明工地增加费，招标发包工程按照中标通知书日期（直接发包工程按照合同签订日期）的同时期省、市</w:t>
      </w:r>
      <w:r>
        <w:rPr>
          <w:rFonts w:ascii="仿宋" w:hAnsi="仿宋" w:eastAsia="仿宋" w:cs="仿宋"/>
          <w:color w:val="auto"/>
          <w:sz w:val="24"/>
          <w:szCs w:val="24"/>
          <w:highlight w:val="none"/>
          <w:lang w:eastAsia="zh-CN"/>
        </w:rPr>
        <w:t>建设</w:t>
      </w:r>
      <w:r>
        <w:rPr>
          <w:rFonts w:hint="eastAsia" w:ascii="仿宋" w:hAnsi="仿宋" w:eastAsia="仿宋" w:cs="仿宋"/>
          <w:color w:val="auto"/>
          <w:sz w:val="24"/>
          <w:szCs w:val="24"/>
          <w:highlight w:val="none"/>
          <w:lang w:eastAsia="zh-CN"/>
        </w:rPr>
        <w:t>行政主管</w:t>
      </w:r>
      <w:r>
        <w:rPr>
          <w:rFonts w:ascii="仿宋" w:hAnsi="仿宋" w:eastAsia="仿宋" w:cs="仿宋"/>
          <w:color w:val="auto"/>
          <w:sz w:val="24"/>
          <w:szCs w:val="24"/>
          <w:highlight w:val="none"/>
          <w:lang w:eastAsia="zh-CN"/>
        </w:rPr>
        <w:t>部门</w:t>
      </w:r>
      <w:r>
        <w:rPr>
          <w:rFonts w:hint="eastAsia" w:ascii="仿宋" w:hAnsi="仿宋" w:eastAsia="仿宋" w:cs="仿宋"/>
          <w:color w:val="auto"/>
          <w:sz w:val="24"/>
          <w:szCs w:val="24"/>
          <w:highlight w:val="none"/>
          <w:lang w:eastAsia="zh-CN"/>
        </w:rPr>
        <w:t>的相关文件规定计算。当合同工程同时获得上述多个奖项的，文明工地增加费只按最高奖项的额度计算。文明工地增加费计入竣工结算中，与竣工结算款一并支付。在竣工结算后获得奖项的，发包人应在获得奖项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天内支付。</w:t>
      </w:r>
    </w:p>
    <w:p>
      <w:pPr>
        <w:pStyle w:val="22"/>
        <w:tabs>
          <w:tab w:val="left" w:pos="162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23" w:name="_Toc6393"/>
      <w:bookmarkStart w:id="1124" w:name="_Toc5983"/>
      <w:bookmarkStart w:id="1125" w:name="_Toc23999"/>
      <w:bookmarkStart w:id="1126" w:name="_Toc15670"/>
      <w:bookmarkStart w:id="1127" w:name="_Toc12941"/>
      <w:bookmarkStart w:id="1128" w:name="_Toc2133"/>
      <w:bookmarkStart w:id="1129" w:name="_Toc23067"/>
      <w:bookmarkStart w:id="1130" w:name="_Toc25415"/>
      <w:r>
        <w:rPr>
          <w:rFonts w:hint="eastAsia" w:ascii="仿宋" w:hAnsi="仿宋" w:eastAsia="仿宋" w:cs="仿宋"/>
          <w:bCs w:val="0"/>
          <w:color w:val="auto"/>
          <w:sz w:val="24"/>
          <w:szCs w:val="24"/>
          <w:highlight w:val="none"/>
          <w:lang w:eastAsia="zh-CN"/>
        </w:rPr>
        <w:t>★86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进度款</w:t>
      </w:r>
      <w:bookmarkEnd w:id="1123"/>
      <w:bookmarkEnd w:id="1124"/>
      <w:bookmarkEnd w:id="1125"/>
      <w:bookmarkEnd w:id="1126"/>
      <w:bookmarkEnd w:id="1127"/>
      <w:bookmarkEnd w:id="1128"/>
      <w:bookmarkEnd w:id="1129"/>
      <w:bookmarkEnd w:id="1130"/>
    </w:p>
    <w:p>
      <w:pPr>
        <w:pStyle w:val="22"/>
        <w:widowControl w:val="0"/>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86</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5264" behindDoc="0" locked="0" layoutInCell="1" allowOverlap="1">
                <wp:simplePos x="0" y="0"/>
                <wp:positionH relativeFrom="column">
                  <wp:posOffset>-114300</wp:posOffset>
                </wp:positionH>
                <wp:positionV relativeFrom="paragraph">
                  <wp:posOffset>8255</wp:posOffset>
                </wp:positionV>
                <wp:extent cx="775970" cy="680085"/>
                <wp:effectExtent l="0" t="0" r="0" b="0"/>
                <wp:wrapNone/>
                <wp:docPr id="251" name="文本框 1043"/>
                <wp:cNvGraphicFramePr/>
                <a:graphic xmlns:a="http://schemas.openxmlformats.org/drawingml/2006/main">
                  <a:graphicData uri="http://schemas.microsoft.com/office/word/2010/wordprocessingShape">
                    <wps:wsp>
                      <wps:cNvSpPr txBox="1"/>
                      <wps:spPr>
                        <a:xfrm>
                          <a:off x="0" y="0"/>
                          <a:ext cx="775970" cy="680085"/>
                        </a:xfrm>
                        <a:prstGeom prst="rect">
                          <a:avLst/>
                        </a:prstGeom>
                        <a:noFill/>
                        <a:ln>
                          <a:noFill/>
                        </a:ln>
                      </wps:spPr>
                      <wps:txbx>
                        <w:txbxContent>
                          <w:p>
                            <w:pPr>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约定支付期限、比例和提交支付申请</w:t>
                            </w:r>
                          </w:p>
                        </w:txbxContent>
                      </wps:txbx>
                      <wps:bodyPr wrap="square" upright="1"/>
                    </wps:wsp>
                  </a:graphicData>
                </a:graphic>
              </wp:anchor>
            </w:drawing>
          </mc:Choice>
          <mc:Fallback>
            <w:pict>
              <v:shape id="文本框 1043" o:spid="_x0000_s1026" o:spt="202" type="#_x0000_t202" style="position:absolute;left:0pt;margin-left:-9pt;margin-top:0.65pt;height:53.55pt;width:61.1pt;z-index:251915264;mso-width-relative:page;mso-height-relative:page;" filled="f" stroked="f" coordsize="21600,21600" o:gfxdata="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EbjMDfVAAAACQEAAA8AAAAAAAAAAQAgAAAAIgAAAGRycy9kb3ducmV2LnhtbFBLAQIUABQA&#10;AAAIAIdO4kDARAz5ugEAAGADAAAOAAAAAAAAAAEAIAAAACQBAABkcnMvZTJvRG9jLnhtbFBLBQYA&#10;AAAABgAGAFkBAABQBQAAAAA=&#10;">
                <v:fill on="f" focussize="0,0"/>
                <v:stroke on="f"/>
                <v:imagedata o:title=""/>
                <o:lock v:ext="edit" aspectratio="f"/>
                <v:textbox>
                  <w:txbxContent>
                    <w:p>
                      <w:pPr>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约定支付期限、比例和提交支付申请</w:t>
                      </w:r>
                    </w:p>
                  </w:txbxContent>
                </v:textbox>
              </v:shape>
            </w:pict>
          </mc:Fallback>
        </mc:AlternateContent>
      </w:r>
      <w:r>
        <w:rPr>
          <w:rFonts w:hint="eastAsia" w:ascii="仿宋" w:hAnsi="仿宋" w:eastAsia="仿宋" w:cs="仿宋"/>
          <w:color w:val="auto"/>
          <w:sz w:val="24"/>
          <w:szCs w:val="24"/>
          <w:highlight w:val="none"/>
          <w:lang w:eastAsia="zh-CN"/>
        </w:rPr>
        <w:t>合同双方当事人应在专用条款中明确进度款的支付期限及比例。专用条款没有约定期限的，支付期限以月为单位。涉及政府投资资金的工程，支付期限、支付方法等需调整的，应在专用条款中约定。</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承包人应在每个支付期结束后的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天内向造价咨询人提交由承包人代表签署的支付申请和已完工作或工程款额报告一式四份，详细说明此支付期间自己认为有权得到的款项，包括分包人已完工程款，同时抄送发包人。该支付申请的内容包括：</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rPr>
      </w:pPr>
      <w:r>
        <w:rPr>
          <w:rFonts w:hint="eastAsia" w:ascii="仿宋" w:hAnsi="仿宋" w:eastAsia="仿宋" w:cs="仿宋"/>
          <w:color w:val="auto"/>
          <w:sz w:val="24"/>
          <w:szCs w:val="24"/>
          <w:highlight w:val="none"/>
        </w:rPr>
        <w:t>已完工作或工程款；</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已实际支付的工作或工程款；</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本期间完成的工作或工程款；</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本期间完成的计日工费用；</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根据第78条至第82条约定本期间已确认的调整价款；</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本期间暂列金额的使用情况；</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根据第76条约定本期间应扣除的误期赔偿费；</w:t>
      </w:r>
    </w:p>
    <w:p>
      <w:pPr>
        <w:pStyle w:val="22"/>
        <w:widowControl w:val="0"/>
        <w:numPr>
          <w:ilvl w:val="0"/>
          <w:numId w:val="21"/>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根据第84条本期间应扣回的预付款；</w:t>
      </w:r>
    </w:p>
    <w:p>
      <w:pPr>
        <w:pStyle w:val="22"/>
        <w:widowControl w:val="0"/>
        <w:numPr>
          <w:ilvl w:val="0"/>
          <w:numId w:val="21"/>
        </w:numPr>
        <w:tabs>
          <w:tab w:val="left" w:pos="216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5条约定本期间应支付或扣回的绿色施工安全防护费；</w:t>
      </w:r>
    </w:p>
    <w:p>
      <w:pPr>
        <w:pStyle w:val="22"/>
        <w:widowControl w:val="0"/>
        <w:numPr>
          <w:ilvl w:val="0"/>
          <w:numId w:val="21"/>
        </w:numPr>
        <w:tabs>
          <w:tab w:val="left" w:pos="216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根据第89条本期间应扣留的质量保证金；</w:t>
      </w:r>
    </w:p>
    <w:p>
      <w:pPr>
        <w:pStyle w:val="22"/>
        <w:widowControl w:val="0"/>
        <w:numPr>
          <w:ilvl w:val="0"/>
          <w:numId w:val="21"/>
        </w:numPr>
        <w:tabs>
          <w:tab w:val="left" w:pos="2160"/>
        </w:tabs>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olor w:val="auto"/>
          <w:sz w:val="24"/>
          <w:szCs w:val="24"/>
          <w:highlight w:val="none"/>
          <w:lang w:eastAsia="zh-CN"/>
        </w:rPr>
        <w:t>根据</w:t>
      </w:r>
      <w:r>
        <w:rPr>
          <w:rFonts w:hint="eastAsia" w:ascii="仿宋" w:hAnsi="仿宋" w:eastAsia="仿宋" w:cs="仿宋"/>
          <w:color w:val="auto"/>
          <w:sz w:val="24"/>
          <w:szCs w:val="24"/>
          <w:highlight w:val="none"/>
          <w:lang w:eastAsia="zh-CN"/>
        </w:rPr>
        <w:t>合同约定，本期间应支付或扣留（回）的其他款项；</w:t>
      </w:r>
    </w:p>
    <w:p>
      <w:pPr>
        <w:pStyle w:val="22"/>
        <w:widowControl w:val="0"/>
        <w:numPr>
          <w:ilvl w:val="0"/>
          <w:numId w:val="21"/>
        </w:numPr>
        <w:tabs>
          <w:tab w:val="left" w:pos="2160"/>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olor w:val="auto"/>
          <w:sz w:val="24"/>
          <w:szCs w:val="24"/>
          <w:highlight w:val="none"/>
          <w:lang w:eastAsia="zh-CN"/>
        </w:rPr>
        <w:t>本期</w:t>
      </w:r>
      <w:r>
        <w:rPr>
          <w:rFonts w:hint="eastAsia" w:ascii="仿宋" w:hAnsi="仿宋" w:eastAsia="仿宋" w:cs="仿宋"/>
          <w:color w:val="auto"/>
          <w:sz w:val="24"/>
          <w:szCs w:val="24"/>
          <w:highlight w:val="none"/>
          <w:lang w:eastAsia="zh-CN"/>
        </w:rPr>
        <w:t>间应支付的进度款。</w:t>
      </w:r>
    </w:p>
    <w:p>
      <w:pPr>
        <w:pStyle w:val="22"/>
        <w:tabs>
          <w:tab w:val="left" w:pos="1320"/>
        </w:tabs>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86</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6288" behindDoc="0" locked="0" layoutInCell="1" allowOverlap="1">
                <wp:simplePos x="0" y="0"/>
                <wp:positionH relativeFrom="column">
                  <wp:posOffset>-114300</wp:posOffset>
                </wp:positionH>
                <wp:positionV relativeFrom="paragraph">
                  <wp:posOffset>0</wp:posOffset>
                </wp:positionV>
                <wp:extent cx="756920" cy="584200"/>
                <wp:effectExtent l="0" t="0" r="0" b="0"/>
                <wp:wrapNone/>
                <wp:docPr id="252" name="文本框 1045"/>
                <wp:cNvGraphicFramePr/>
                <a:graphic xmlns:a="http://schemas.openxmlformats.org/drawingml/2006/main">
                  <a:graphicData uri="http://schemas.microsoft.com/office/word/2010/wordprocessingShape">
                    <wps:wsp>
                      <wps:cNvSpPr txBox="1"/>
                      <wps:spPr>
                        <a:xfrm>
                          <a:off x="0" y="0"/>
                          <a:ext cx="756920" cy="584200"/>
                        </a:xfrm>
                        <a:prstGeom prst="rect">
                          <a:avLst/>
                        </a:prstGeom>
                        <a:noFill/>
                        <a:ln>
                          <a:noFill/>
                        </a:ln>
                      </wps:spPr>
                      <wps:txbx>
                        <w:txbxContent>
                          <w:p>
                            <w:pPr>
                              <w:rPr>
                                <w:rFonts w:ascii="楷体_GB2312" w:hAnsi="宋体" w:eastAsia="楷体_GB2312"/>
                                <w:b/>
                                <w:bCs/>
                                <w:sz w:val="18"/>
                                <w:szCs w:val="18"/>
                              </w:rPr>
                            </w:pPr>
                            <w:r>
                              <w:rPr>
                                <w:rFonts w:hint="eastAsia" w:ascii="楷体_GB2312" w:hAnsi="宋体" w:eastAsia="楷体_GB2312" w:cs="楷体_GB2312"/>
                                <w:b/>
                                <w:bCs/>
                                <w:sz w:val="18"/>
                                <w:szCs w:val="18"/>
                              </w:rPr>
                              <w:t>签发期中支付证书</w:t>
                            </w:r>
                          </w:p>
                        </w:txbxContent>
                      </wps:txbx>
                      <wps:bodyPr wrap="square" upright="1"/>
                    </wps:wsp>
                  </a:graphicData>
                </a:graphic>
              </wp:anchor>
            </w:drawing>
          </mc:Choice>
          <mc:Fallback>
            <w:pict>
              <v:shape id="文本框 1045" o:spid="_x0000_s1026" o:spt="202" type="#_x0000_t202" style="position:absolute;left:0pt;margin-left:-9pt;margin-top:0pt;height:46pt;width:59.6pt;z-index:251916288;mso-width-relative:page;mso-height-relative:page;" filled="f" stroked="f" coordsize="21600,21600" o:gfxdata="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IdgTNXVAAAABwEAAA8AAAAAAAAAAQAgAAAAIgAAAGRycy9kb3ducmV2LnhtbFBLAQIUABQA&#10;AAAIAIdO4kDlgolLugEAAGADAAAOAAAAAAAAAAEAIAAAACQBAABkcnMvZTJvRG9jLnhtbFBLBQYA&#10;AAAABgAGAFkBAABQBQAAAAA=&#10;">
                <v:fill on="f" focussize="0,0"/>
                <v:stroke on="f"/>
                <v:imagedata o:title=""/>
                <o:lock v:ext="edit" aspectratio="f"/>
                <v:textbox>
                  <w:txbxContent>
                    <w:p>
                      <w:pPr>
                        <w:rPr>
                          <w:rFonts w:ascii="楷体_GB2312" w:hAnsi="宋体" w:eastAsia="楷体_GB2312"/>
                          <w:b/>
                          <w:bCs/>
                          <w:sz w:val="18"/>
                          <w:szCs w:val="18"/>
                        </w:rPr>
                      </w:pPr>
                      <w:r>
                        <w:rPr>
                          <w:rFonts w:hint="eastAsia" w:ascii="楷体_GB2312" w:hAnsi="宋体" w:eastAsia="楷体_GB2312" w:cs="楷体_GB2312"/>
                          <w:b/>
                          <w:bCs/>
                          <w:sz w:val="18"/>
                          <w:szCs w:val="18"/>
                        </w:rPr>
                        <w:t>签发期中支付证书</w:t>
                      </w:r>
                    </w:p>
                  </w:txbxContent>
                </v:textbox>
              </v:shape>
            </w:pict>
          </mc:Fallback>
        </mc:AlternateContent>
      </w:r>
      <w:r>
        <w:rPr>
          <w:rFonts w:hint="eastAsia" w:ascii="仿宋" w:hAnsi="仿宋" w:eastAsia="仿宋" w:cs="仿宋"/>
          <w:color w:val="auto"/>
          <w:sz w:val="24"/>
          <w:szCs w:val="24"/>
          <w:highlight w:val="none"/>
          <w:lang w:eastAsia="zh-CN"/>
        </w:rPr>
        <w:t>造价咨询人在收到第86.1款所述资料后，应按照第72条约定进行计量，并根据计量结果和合同约定对资料内容予以核实。在收到上述资料后的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天内报发包人确认后向发包人签发期中支付证书，同时抄送承包人。</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如果该支付期间应支付金额少于专用条款约定的期中支付证书的最低限额时，造价咨询人不必按照本款开具任何支付证书，但应通知发包人和承包人。上述款额转期结算，直到应支付的款额累计达到专用条款约定的期中支付证书的最低限额为止。</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造价咨询人签发期中支付证书，不应视为发包人已同意、批准或接受了承包人完成该部分工作。</w:t>
      </w:r>
    </w:p>
    <w:p>
      <w:pPr>
        <w:widowControl w:val="0"/>
        <w:spacing w:line="360" w:lineRule="auto"/>
        <w:rPr>
          <w:rFonts w:ascii="仿宋" w:hAnsi="仿宋" w:eastAsia="仿宋"/>
          <w:b/>
          <w:bCs/>
          <w:color w:val="auto"/>
          <w:highlight w:val="none"/>
          <w:lang w:eastAsia="zh-CN"/>
        </w:rPr>
      </w:pPr>
      <w:bookmarkStart w:id="1131" w:name="_Toc12014"/>
      <w:r>
        <w:rPr>
          <w:rFonts w:hint="eastAsia" w:ascii="仿宋" w:hAnsi="仿宋" w:eastAsia="仿宋" w:cs="仿宋"/>
          <w:b/>
          <w:bCs/>
          <w:color w:val="auto"/>
          <w:highlight w:val="none"/>
          <w:lang w:eastAsia="zh-CN"/>
        </w:rPr>
        <w:t>86</w:t>
      </w:r>
      <w:r>
        <w:rPr>
          <w:rFonts w:ascii="仿宋" w:hAnsi="仿宋" w:eastAsia="仿宋" w:cs="仿宋"/>
          <w:b/>
          <w:bCs/>
          <w:color w:val="auto"/>
          <w:highlight w:val="none"/>
          <w:lang w:eastAsia="zh-CN"/>
        </w:rPr>
        <w:t>.3</w:t>
      </w:r>
      <w:bookmarkEnd w:id="113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7312" behindDoc="0" locked="0" layoutInCell="1" allowOverlap="1">
                <wp:simplePos x="0" y="0"/>
                <wp:positionH relativeFrom="column">
                  <wp:posOffset>-114300</wp:posOffset>
                </wp:positionH>
                <wp:positionV relativeFrom="paragraph">
                  <wp:posOffset>6350</wp:posOffset>
                </wp:positionV>
                <wp:extent cx="819150" cy="406400"/>
                <wp:effectExtent l="0" t="0" r="0" b="0"/>
                <wp:wrapNone/>
                <wp:docPr id="253" name="文本框 1046"/>
                <wp:cNvGraphicFramePr/>
                <a:graphic xmlns:a="http://schemas.openxmlformats.org/drawingml/2006/main">
                  <a:graphicData uri="http://schemas.microsoft.com/office/word/2010/wordprocessingShape">
                    <wps:wsp>
                      <wps:cNvSpPr txBox="1"/>
                      <wps:spPr>
                        <a:xfrm>
                          <a:off x="0" y="0"/>
                          <a:ext cx="819150" cy="406400"/>
                        </a:xfrm>
                        <a:prstGeom prst="rect">
                          <a:avLst/>
                        </a:prstGeom>
                        <a:noFill/>
                        <a:ln>
                          <a:noFill/>
                        </a:ln>
                      </wps:spPr>
                      <wps:txbx>
                        <w:txbxContent>
                          <w:p>
                            <w:pPr>
                              <w:rPr>
                                <w:rFonts w:ascii="楷体_GB2312" w:hAnsi="宋体" w:eastAsia="楷体_GB2312"/>
                                <w:b/>
                                <w:bCs/>
                                <w:sz w:val="18"/>
                                <w:szCs w:val="18"/>
                              </w:rPr>
                            </w:pPr>
                            <w:r>
                              <w:rPr>
                                <w:rFonts w:hint="eastAsia" w:ascii="楷体_GB2312" w:hAnsi="宋体" w:eastAsia="楷体_GB2312" w:cs="楷体_GB2312"/>
                                <w:b/>
                                <w:bCs/>
                                <w:sz w:val="18"/>
                                <w:szCs w:val="18"/>
                              </w:rPr>
                              <w:t>进度款支付</w:t>
                            </w:r>
                          </w:p>
                        </w:txbxContent>
                      </wps:txbx>
                      <wps:bodyPr wrap="square" upright="1"/>
                    </wps:wsp>
                  </a:graphicData>
                </a:graphic>
              </wp:anchor>
            </w:drawing>
          </mc:Choice>
          <mc:Fallback>
            <w:pict>
              <v:shape id="文本框 1046" o:spid="_x0000_s1026" o:spt="202" type="#_x0000_t202" style="position:absolute;left:0pt;margin-left:-9pt;margin-top:0.5pt;height:32pt;width:64.5pt;z-index:251917312;mso-width-relative:page;mso-height-relative:page;" filled="f" stroked="f" coordsize="21600,21600" o:gfxdata="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lClJ3UAAAACAEAAA8AAAAAAAAAAQAgAAAAIgAAAGRycy9kb3ducmV2LnhtbFBLAQIUABQA&#10;AAAIAIdO4kB6HCXauwEAAGADAAAOAAAAAAAAAAEAIAAAACMBAABkcnMvZTJvRG9jLnhtbFBLBQYA&#10;AAAABgAGAFkBAABQBQAAAAA=&#10;">
                <v:fill on="f" focussize="0,0"/>
                <v:stroke on="f"/>
                <v:imagedata o:title=""/>
                <o:lock v:ext="edit" aspectratio="f"/>
                <v:textbox>
                  <w:txbxContent>
                    <w:p>
                      <w:pPr>
                        <w:rPr>
                          <w:rFonts w:ascii="楷体_GB2312" w:hAnsi="宋体" w:eastAsia="楷体_GB2312"/>
                          <w:b/>
                          <w:bCs/>
                          <w:sz w:val="18"/>
                          <w:szCs w:val="18"/>
                        </w:rPr>
                      </w:pPr>
                      <w:r>
                        <w:rPr>
                          <w:rFonts w:hint="eastAsia" w:ascii="楷体_GB2312" w:hAnsi="宋体" w:eastAsia="楷体_GB2312" w:cs="楷体_GB2312"/>
                          <w:b/>
                          <w:bCs/>
                          <w:sz w:val="18"/>
                          <w:szCs w:val="18"/>
                        </w:rPr>
                        <w:t>进度款支付</w:t>
                      </w:r>
                    </w:p>
                  </w:txbxContent>
                </v:textbox>
              </v:shape>
            </w:pict>
          </mc:Fallback>
        </mc:AlternateContent>
      </w:r>
      <w:r>
        <w:rPr>
          <w:rFonts w:hint="eastAsia" w:ascii="仿宋" w:hAnsi="仿宋" w:eastAsia="仿宋" w:cs="仿宋"/>
          <w:color w:val="auto"/>
          <w:sz w:val="24"/>
          <w:szCs w:val="24"/>
          <w:highlight w:val="none"/>
          <w:lang w:eastAsia="zh-CN"/>
        </w:rPr>
        <w:t>发包人应在造价咨询人签发期中支付证书后的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天内，按照期中支付证书列明的金额向承包人支付进度款，并通知造价咨询人。</w:t>
      </w:r>
    </w:p>
    <w:p>
      <w:pPr>
        <w:widowControl w:val="0"/>
        <w:spacing w:line="360" w:lineRule="auto"/>
        <w:rPr>
          <w:rFonts w:ascii="仿宋" w:hAnsi="仿宋" w:eastAsia="仿宋"/>
          <w:color w:val="auto"/>
          <w:highlight w:val="none"/>
          <w:lang w:eastAsia="zh-CN"/>
        </w:rPr>
      </w:pPr>
      <w:r>
        <w:rPr>
          <w:rFonts w:hint="eastAsia" w:ascii="仿宋" w:hAnsi="仿宋" w:eastAsia="仿宋" w:cs="仿宋"/>
          <w:b/>
          <w:bCs/>
          <w:color w:val="auto"/>
          <w:highlight w:val="none"/>
          <w:lang w:eastAsia="zh-CN"/>
        </w:rPr>
        <w:t>86</w:t>
      </w:r>
      <w:r>
        <w:rPr>
          <w:rFonts w:ascii="仿宋" w:hAnsi="仿宋" w:eastAsia="仿宋" w:cs="仿宋"/>
          <w:b/>
          <w:bCs/>
          <w:color w:val="auto"/>
          <w:highlight w:val="none"/>
          <w:lang w:eastAsia="zh-CN"/>
        </w:rPr>
        <w:t>.4</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8336" behindDoc="0" locked="0" layoutInCell="1" allowOverlap="1">
                <wp:simplePos x="0" y="0"/>
                <wp:positionH relativeFrom="column">
                  <wp:posOffset>-114300</wp:posOffset>
                </wp:positionH>
                <wp:positionV relativeFrom="paragraph">
                  <wp:posOffset>8255</wp:posOffset>
                </wp:positionV>
                <wp:extent cx="842645" cy="693420"/>
                <wp:effectExtent l="0" t="0" r="0" b="0"/>
                <wp:wrapNone/>
                <wp:docPr id="254" name="文本框 1047"/>
                <wp:cNvGraphicFramePr/>
                <a:graphic xmlns:a="http://schemas.openxmlformats.org/drawingml/2006/main">
                  <a:graphicData uri="http://schemas.microsoft.com/office/word/2010/wordprocessingShape">
                    <wps:wsp>
                      <wps:cNvSpPr txBox="1"/>
                      <wps:spPr>
                        <a:xfrm>
                          <a:off x="0" y="0"/>
                          <a:ext cx="842645" cy="693420"/>
                        </a:xfrm>
                        <a:prstGeom prst="rect">
                          <a:avLst/>
                        </a:prstGeom>
                        <a:noFill/>
                        <a:ln>
                          <a:noFill/>
                        </a:ln>
                      </wps:spPr>
                      <wps:txbx>
                        <w:txbxContent>
                          <w:p>
                            <w:pPr>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签发期中支付证书的限制</w:t>
                            </w:r>
                          </w:p>
                        </w:txbxContent>
                      </wps:txbx>
                      <wps:bodyPr wrap="square" upright="1"/>
                    </wps:wsp>
                  </a:graphicData>
                </a:graphic>
              </wp:anchor>
            </w:drawing>
          </mc:Choice>
          <mc:Fallback>
            <w:pict>
              <v:shape id="文本框 1047" o:spid="_x0000_s1026" o:spt="202" type="#_x0000_t202" style="position:absolute;left:0pt;margin-left:-9pt;margin-top:0.65pt;height:54.6pt;width:66.35pt;z-index:251918336;mso-width-relative:page;mso-height-relative:page;" filled="f" stroked="f" coordsize="21600,21600" o:gfxdata="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U9zR2dUAAAAJAQAADwAAAAAAAAABACAAAAAiAAAAZHJzL2Rvd25yZXYueG1sUEsBAhQA&#10;FAAAAAgAh07iQPja1Ta8AQAAYAMAAA4AAAAAAAAAAQAgAAAAJAEAAGRycy9lMm9Eb2MueG1sUEsF&#10;BgAAAAAGAAYAWQEAAFIFAAAAAA==&#10;">
                <v:fill on="f" focussize="0,0"/>
                <v:stroke on="f"/>
                <v:imagedata o:title=""/>
                <o:lock v:ext="edit" aspectratio="f"/>
                <v:textbox>
                  <w:txbxContent>
                    <w:p>
                      <w:pPr>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签发期中支付证书的限制</w:t>
                      </w:r>
                    </w:p>
                  </w:txbxContent>
                </v:textbox>
              </v:shape>
            </w:pict>
          </mc:Fallback>
        </mc:AlternateContent>
      </w:r>
      <w:r>
        <w:rPr>
          <w:rFonts w:hint="eastAsia" w:ascii="仿宋" w:hAnsi="仿宋" w:eastAsia="仿宋" w:cs="仿宋"/>
          <w:color w:val="auto"/>
          <w:sz w:val="24"/>
          <w:szCs w:val="24"/>
          <w:highlight w:val="none"/>
          <w:lang w:eastAsia="zh-CN"/>
        </w:rPr>
        <w:t>如果造价咨询人未在第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款约定的期限内签发期中支付证书的，则视为承包人提交的支付申请已被认可，承包人应及时向发包人发出要求支付的通知。发包人应在收到通知后的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天内，按照承包人支付申请列明的金额向承包人支付进度款。</w:t>
      </w:r>
    </w:p>
    <w:p>
      <w:pPr>
        <w:widowControl w:val="0"/>
        <w:spacing w:line="360" w:lineRule="auto"/>
        <w:rPr>
          <w:rFonts w:ascii="仿宋" w:hAnsi="仿宋" w:eastAsia="仿宋"/>
          <w:b/>
          <w:bCs/>
          <w:color w:val="auto"/>
          <w:highlight w:val="none"/>
          <w:lang w:eastAsia="zh-CN"/>
        </w:rPr>
      </w:pPr>
      <w:bookmarkStart w:id="1132" w:name="_Toc6512"/>
      <w:r>
        <w:rPr>
          <w:rFonts w:hint="eastAsia" w:ascii="仿宋" w:hAnsi="仿宋" w:eastAsia="仿宋" w:cs="仿宋"/>
          <w:b/>
          <w:bCs/>
          <w:color w:val="auto"/>
          <w:highlight w:val="none"/>
          <w:lang w:eastAsia="zh-CN"/>
        </w:rPr>
        <w:t>86</w:t>
      </w:r>
      <w:r>
        <w:rPr>
          <w:rFonts w:ascii="仿宋" w:hAnsi="仿宋" w:eastAsia="仿宋" w:cs="仿宋"/>
          <w:b/>
          <w:bCs/>
          <w:color w:val="auto"/>
          <w:highlight w:val="none"/>
          <w:lang w:eastAsia="zh-CN"/>
        </w:rPr>
        <w:t>.5</w:t>
      </w:r>
      <w:bookmarkEnd w:id="113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19360" behindDoc="0" locked="0" layoutInCell="1" allowOverlap="1">
                <wp:simplePos x="0" y="0"/>
                <wp:positionH relativeFrom="column">
                  <wp:posOffset>-114300</wp:posOffset>
                </wp:positionH>
                <wp:positionV relativeFrom="paragraph">
                  <wp:posOffset>12065</wp:posOffset>
                </wp:positionV>
                <wp:extent cx="823595" cy="635000"/>
                <wp:effectExtent l="0" t="0" r="0" b="0"/>
                <wp:wrapNone/>
                <wp:docPr id="255" name="文本框 1048"/>
                <wp:cNvGraphicFramePr/>
                <a:graphic xmlns:a="http://schemas.openxmlformats.org/drawingml/2006/main">
                  <a:graphicData uri="http://schemas.microsoft.com/office/word/2010/wordprocessingShape">
                    <wps:wsp>
                      <wps:cNvSpPr txBox="1"/>
                      <wps:spPr>
                        <a:xfrm>
                          <a:off x="0" y="0"/>
                          <a:ext cx="823595" cy="635000"/>
                        </a:xfrm>
                        <a:prstGeom prst="rect">
                          <a:avLst/>
                        </a:prstGeom>
                        <a:noFill/>
                        <a:ln>
                          <a:noFill/>
                        </a:ln>
                      </wps:spPr>
                      <wps:txbx>
                        <w:txbxContent>
                          <w:p>
                            <w:pPr>
                              <w:rPr>
                                <w:rFonts w:ascii="楷体_GB2312" w:hAnsi="宋体" w:eastAsia="楷体_GB2312"/>
                                <w:b/>
                                <w:bCs/>
                                <w:sz w:val="18"/>
                                <w:szCs w:val="18"/>
                              </w:rPr>
                            </w:pPr>
                            <w:r>
                              <w:rPr>
                                <w:rFonts w:hint="eastAsia" w:ascii="楷体_GB2312" w:hAnsi="宋体" w:eastAsia="楷体_GB2312" w:cs="楷体_GB2312"/>
                                <w:b/>
                                <w:bCs/>
                                <w:sz w:val="18"/>
                                <w:szCs w:val="18"/>
                              </w:rPr>
                              <w:t>进度款支付的限制</w:t>
                            </w:r>
                          </w:p>
                        </w:txbxContent>
                      </wps:txbx>
                      <wps:bodyPr wrap="square" upright="1"/>
                    </wps:wsp>
                  </a:graphicData>
                </a:graphic>
              </wp:anchor>
            </w:drawing>
          </mc:Choice>
          <mc:Fallback>
            <w:pict>
              <v:shape id="文本框 1048" o:spid="_x0000_s1026" o:spt="202" type="#_x0000_t202" style="position:absolute;left:0pt;margin-left:-9pt;margin-top:0.95pt;height:50pt;width:64.85pt;z-index:251919360;mso-width-relative:page;mso-height-relative:page;" filled="f" stroked="f" coordsize="21600,21600" o:gfxdata="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YSvvx1QAAAAkBAAAPAAAAAAAAAAEAIAAAACIAAABkcnMvZG93bnJldi54bWxQSwECFAAU&#10;AAAACACHTuJAzsoaZ7sBAABgAwAADgAAAAAAAAABACAAAAAkAQAAZHJzL2Uyb0RvYy54bWxQSwUG&#10;AAAAAAYABgBZAQAAUQUAAAAA&#10;">
                <v:fill on="f" focussize="0,0"/>
                <v:stroke on="f"/>
                <v:imagedata o:title=""/>
                <o:lock v:ext="edit" aspectratio="f"/>
                <v:textbox>
                  <w:txbxContent>
                    <w:p>
                      <w:pPr>
                        <w:rPr>
                          <w:rFonts w:ascii="楷体_GB2312" w:hAnsi="宋体" w:eastAsia="楷体_GB2312"/>
                          <w:b/>
                          <w:bCs/>
                          <w:sz w:val="18"/>
                          <w:szCs w:val="18"/>
                        </w:rPr>
                      </w:pPr>
                      <w:r>
                        <w:rPr>
                          <w:rFonts w:hint="eastAsia" w:ascii="楷体_GB2312" w:hAnsi="宋体" w:eastAsia="楷体_GB2312" w:cs="楷体_GB2312"/>
                          <w:b/>
                          <w:bCs/>
                          <w:sz w:val="18"/>
                          <w:szCs w:val="18"/>
                        </w:rPr>
                        <w:t>进度款支付的限制</w:t>
                      </w:r>
                    </w:p>
                  </w:txbxContent>
                </v:textbox>
              </v:shape>
            </w:pict>
          </mc:Fallback>
        </mc:AlternateContent>
      </w:r>
      <w:r>
        <w:rPr>
          <w:rFonts w:hint="eastAsia" w:ascii="仿宋" w:hAnsi="仿宋" w:eastAsia="仿宋" w:cs="仿宋"/>
          <w:color w:val="auto"/>
          <w:sz w:val="24"/>
          <w:szCs w:val="24"/>
          <w:highlight w:val="none"/>
          <w:lang w:eastAsia="zh-CN"/>
        </w:rPr>
        <w:t>发包人未按照第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款和第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6</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款约定支付进度款的，承包人应及时向发包人发出要求支付的通知；发包人收到通知后仍不按要求支付的，可与承包人协商签订延期支付协议，经承包人同意后可延期支付，承包人有权按照第83</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款约定获得延期支付的利息。</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发包人未按照合同约定支付进度款，合同双方当事人又未达成延期支付协议，导致无法继续工作或施工的，承包人可停止工作或施工。发包人应承担由此增加的费用和（或）延误的工期，并向承包人支付合理利润。</w:t>
      </w:r>
    </w:p>
    <w:p>
      <w:pPr>
        <w:widowControl w:val="0"/>
        <w:spacing w:line="360" w:lineRule="auto"/>
        <w:rPr>
          <w:rFonts w:ascii="仿宋" w:hAnsi="仿宋" w:eastAsia="仿宋"/>
          <w:color w:val="auto"/>
          <w:highlight w:val="none"/>
          <w:lang w:eastAsia="zh-CN"/>
        </w:rPr>
      </w:pPr>
      <w:r>
        <w:rPr>
          <w:rFonts w:hint="eastAsia" w:ascii="仿宋" w:hAnsi="仿宋" w:eastAsia="仿宋" w:cs="仿宋"/>
          <w:b/>
          <w:bCs/>
          <w:color w:val="auto"/>
          <w:highlight w:val="none"/>
          <w:lang w:eastAsia="zh-CN"/>
        </w:rPr>
        <w:t>86</w:t>
      </w:r>
      <w:r>
        <w:rPr>
          <w:rFonts w:ascii="仿宋" w:hAnsi="仿宋" w:eastAsia="仿宋" w:cs="仿宋"/>
          <w:b/>
          <w:bCs/>
          <w:color w:val="auto"/>
          <w:highlight w:val="none"/>
          <w:lang w:eastAsia="zh-CN"/>
        </w:rPr>
        <w:t>.6</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20384" behindDoc="0" locked="0" layoutInCell="1" allowOverlap="1">
                <wp:simplePos x="0" y="0"/>
                <wp:positionH relativeFrom="column">
                  <wp:posOffset>-114300</wp:posOffset>
                </wp:positionH>
                <wp:positionV relativeFrom="paragraph">
                  <wp:posOffset>15875</wp:posOffset>
                </wp:positionV>
                <wp:extent cx="789940" cy="424815"/>
                <wp:effectExtent l="0" t="0" r="0" b="0"/>
                <wp:wrapNone/>
                <wp:docPr id="256" name="文本框 1049"/>
                <wp:cNvGraphicFramePr/>
                <a:graphic xmlns:a="http://schemas.openxmlformats.org/drawingml/2006/main">
                  <a:graphicData uri="http://schemas.microsoft.com/office/word/2010/wordprocessingShape">
                    <wps:wsp>
                      <wps:cNvSpPr txBox="1"/>
                      <wps:spPr>
                        <a:xfrm>
                          <a:off x="0" y="0"/>
                          <a:ext cx="789940" cy="424815"/>
                        </a:xfrm>
                        <a:prstGeom prst="rect">
                          <a:avLst/>
                        </a:prstGeom>
                        <a:noFill/>
                        <a:ln>
                          <a:noFill/>
                        </a:ln>
                      </wps:spPr>
                      <wps:txbx>
                        <w:txbxContent>
                          <w:p>
                            <w:pPr>
                              <w:rPr>
                                <w:rFonts w:ascii="楷体_GB2312" w:hAnsi="宋体" w:eastAsia="楷体_GB2312"/>
                                <w:b/>
                                <w:bCs/>
                                <w:sz w:val="18"/>
                                <w:szCs w:val="18"/>
                              </w:rPr>
                            </w:pPr>
                            <w:r>
                              <w:rPr>
                                <w:rFonts w:hint="eastAsia" w:ascii="楷体_GB2312" w:hAnsi="宋体" w:eastAsia="楷体_GB2312" w:cs="楷体_GB2312"/>
                                <w:b/>
                                <w:bCs/>
                                <w:sz w:val="18"/>
                                <w:szCs w:val="18"/>
                              </w:rPr>
                              <w:t>修正支付证书</w:t>
                            </w:r>
                          </w:p>
                        </w:txbxContent>
                      </wps:txbx>
                      <wps:bodyPr wrap="square" upright="1"/>
                    </wps:wsp>
                  </a:graphicData>
                </a:graphic>
              </wp:anchor>
            </w:drawing>
          </mc:Choice>
          <mc:Fallback>
            <w:pict>
              <v:shape id="文本框 1049" o:spid="_x0000_s1026" o:spt="202" type="#_x0000_t202" style="position:absolute;left:0pt;margin-left:-9pt;margin-top:1.25pt;height:33.45pt;width:62.2pt;z-index:251920384;mso-width-relative:page;mso-height-relative:page;" filled="f" stroked="f" coordsize="21600,21600" o:gfxdata="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kIDEVtYAAAAIAQAADwAAAAAAAAABACAAAAAiAAAAZHJzL2Rvd25yZXYueG1sUEsBAhQA&#10;FAAAAAgAh07iQAC6RXO7AQAAYAMAAA4AAAAAAAAAAQAgAAAAJQEAAGRycy9lMm9Eb2MueG1sUEsF&#10;BgAAAAAGAAYAWQEAAFIFAAAAAA==&#10;">
                <v:fill on="f" focussize="0,0"/>
                <v:stroke on="f"/>
                <v:imagedata o:title=""/>
                <o:lock v:ext="edit" aspectratio="f"/>
                <v:textbox>
                  <w:txbxContent>
                    <w:p>
                      <w:pPr>
                        <w:rPr>
                          <w:rFonts w:ascii="楷体_GB2312" w:hAnsi="宋体" w:eastAsia="楷体_GB2312"/>
                          <w:b/>
                          <w:bCs/>
                          <w:sz w:val="18"/>
                          <w:szCs w:val="18"/>
                        </w:rPr>
                      </w:pPr>
                      <w:r>
                        <w:rPr>
                          <w:rFonts w:hint="eastAsia" w:ascii="楷体_GB2312" w:hAnsi="宋体" w:eastAsia="楷体_GB2312" w:cs="楷体_GB2312"/>
                          <w:b/>
                          <w:bCs/>
                          <w:sz w:val="18"/>
                          <w:szCs w:val="18"/>
                        </w:rPr>
                        <w:t>修正支付证书</w:t>
                      </w:r>
                    </w:p>
                  </w:txbxContent>
                </v:textbox>
              </v:shape>
            </w:pict>
          </mc:Fallback>
        </mc:AlternateContent>
      </w:r>
      <w:r>
        <w:rPr>
          <w:rFonts w:hint="eastAsia" w:ascii="仿宋" w:hAnsi="仿宋" w:eastAsia="仿宋" w:cs="仿宋"/>
          <w:color w:val="auto"/>
          <w:sz w:val="24"/>
          <w:szCs w:val="24"/>
          <w:highlight w:val="none"/>
          <w:lang w:eastAsia="zh-CN"/>
        </w:rPr>
        <w:t>发现以前签发的任何支付证书有错、漏或重复的，造价咨询人有权在期中支付证书中修正以前签发的任何支付证书，承包人也有权提出修正申请。经合同双方当事人复核同意修正的，应在该支付期的进度款中支付或扣除。如果总承包范围内的工作、工程或其任何部分没有达到质量要求，造价咨询人有权按照合同约定处理，并在任何期中支付证书中扣除相应价款。</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33" w:name="_Toc28517"/>
      <w:bookmarkStart w:id="1134" w:name="_Toc11905"/>
      <w:bookmarkStart w:id="1135" w:name="_Toc11593"/>
      <w:bookmarkStart w:id="1136" w:name="_Toc10633"/>
      <w:bookmarkStart w:id="1137" w:name="_Toc4940"/>
      <w:bookmarkStart w:id="1138" w:name="_Toc29064"/>
      <w:bookmarkStart w:id="1139" w:name="_Toc8987"/>
      <w:bookmarkStart w:id="1140" w:name="_Toc17732"/>
      <w:r>
        <w:rPr>
          <w:rFonts w:hint="eastAsia" w:ascii="仿宋" w:hAnsi="仿宋" w:eastAsia="仿宋" w:cs="仿宋"/>
          <w:bCs w:val="0"/>
          <w:color w:val="auto"/>
          <w:sz w:val="24"/>
          <w:szCs w:val="24"/>
          <w:highlight w:val="none"/>
          <w:lang w:eastAsia="zh-CN"/>
        </w:rPr>
        <w:t>★</w:t>
      </w:r>
      <w:r>
        <w:rPr>
          <w:rFonts w:ascii="仿宋" w:hAnsi="仿宋" w:eastAsia="仿宋" w:cs="仿宋"/>
          <w:bCs w:val="0"/>
          <w:color w:val="auto"/>
          <w:sz w:val="24"/>
          <w:szCs w:val="24"/>
          <w:highlight w:val="none"/>
          <w:lang w:eastAsia="zh-CN"/>
        </w:rPr>
        <w:t>8</w:t>
      </w:r>
      <w:r>
        <w:rPr>
          <w:rFonts w:hint="eastAsia" w:ascii="仿宋" w:hAnsi="仿宋" w:eastAsia="仿宋" w:cs="仿宋"/>
          <w:bCs w:val="0"/>
          <w:color w:val="auto"/>
          <w:sz w:val="24"/>
          <w:szCs w:val="24"/>
          <w:highlight w:val="none"/>
          <w:lang w:eastAsia="zh-CN"/>
        </w:rPr>
        <w:t>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竣工结算</w:t>
      </w:r>
      <w:bookmarkEnd w:id="1133"/>
      <w:bookmarkEnd w:id="1134"/>
      <w:bookmarkEnd w:id="1135"/>
      <w:bookmarkEnd w:id="1136"/>
      <w:bookmarkEnd w:id="1137"/>
      <w:bookmarkEnd w:id="1138"/>
      <w:bookmarkEnd w:id="1139"/>
      <w:bookmarkEnd w:id="1140"/>
    </w:p>
    <w:p>
      <w:pPr>
        <w:widowControl w:val="0"/>
        <w:rPr>
          <w:rFonts w:ascii="仿宋" w:hAnsi="仿宋" w:eastAsia="仿宋" w:cs="仿宋"/>
          <w:b/>
          <w:bCs/>
          <w:color w:val="auto"/>
          <w:highlight w:val="none"/>
          <w:lang w:eastAsia="zh-CN"/>
        </w:rPr>
      </w:pPr>
      <w:bookmarkStart w:id="1141" w:name="_Toc29029"/>
      <w:r>
        <w:rPr>
          <w:rFonts w:ascii="仿宋" w:hAnsi="仿宋" w:eastAsia="仿宋" w:cs="仿宋"/>
          <w:b/>
          <w:bCs/>
          <w:color w:val="auto"/>
          <w:highlight w:val="none"/>
          <w:lang w:eastAsia="zh-CN"/>
        </w:rPr>
        <w:t>8</w:t>
      </w:r>
      <w:r>
        <w:rPr>
          <w:rFonts w:hint="eastAsia" w:ascii="仿宋" w:hAnsi="仿宋" w:eastAsia="仿宋" w:cs="仿宋"/>
          <w:b/>
          <w:bCs/>
          <w:color w:val="auto"/>
          <w:highlight w:val="none"/>
          <w:lang w:eastAsia="zh-CN"/>
        </w:rPr>
        <w:t>7</w:t>
      </w:r>
      <w:r>
        <w:rPr>
          <w:rFonts w:ascii="仿宋" w:hAnsi="仿宋" w:eastAsia="仿宋" w:cs="仿宋"/>
          <w:b/>
          <w:bCs/>
          <w:color w:val="auto"/>
          <w:highlight w:val="none"/>
          <w:lang w:eastAsia="zh-CN"/>
        </w:rPr>
        <w:t>.1</w:t>
      </w:r>
      <w:bookmarkEnd w:id="1141"/>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ascii="仿宋" w:hAnsi="仿宋" w:eastAsia="仿宋" w:cs="仿宋"/>
          <w:color w:val="auto"/>
          <w:sz w:val="24"/>
          <w:szCs w:val="24"/>
          <w:highlight w:val="none"/>
          <w:lang w:eastAsia="zh-CN"/>
        </w:rPr>
        <mc:AlternateContent>
          <mc:Choice Requires="wps">
            <w:drawing>
              <wp:anchor distT="0" distB="0" distL="114300" distR="114300" simplePos="0" relativeHeight="251921408" behindDoc="0" locked="0" layoutInCell="1" allowOverlap="1">
                <wp:simplePos x="0" y="0"/>
                <wp:positionH relativeFrom="column">
                  <wp:posOffset>-114300</wp:posOffset>
                </wp:positionH>
                <wp:positionV relativeFrom="paragraph">
                  <wp:posOffset>38735</wp:posOffset>
                </wp:positionV>
                <wp:extent cx="756920" cy="467995"/>
                <wp:effectExtent l="0" t="0" r="0" b="0"/>
                <wp:wrapNone/>
                <wp:docPr id="257" name="文本框 1050"/>
                <wp:cNvGraphicFramePr/>
                <a:graphic xmlns:a="http://schemas.openxmlformats.org/drawingml/2006/main">
                  <a:graphicData uri="http://schemas.microsoft.com/office/word/2010/wordprocessingShape">
                    <wps:wsp>
                      <wps:cNvSpPr txBox="1"/>
                      <wps:spPr>
                        <a:xfrm>
                          <a:off x="0" y="0"/>
                          <a:ext cx="756920" cy="46799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约定结算程序和期限</w:t>
                            </w:r>
                          </w:p>
                        </w:txbxContent>
                      </wps:txbx>
                      <wps:bodyPr wrap="square" upright="1"/>
                    </wps:wsp>
                  </a:graphicData>
                </a:graphic>
              </wp:anchor>
            </w:drawing>
          </mc:Choice>
          <mc:Fallback>
            <w:pict>
              <v:shape id="文本框 1050" o:spid="_x0000_s1026" o:spt="202" type="#_x0000_t202" style="position:absolute;left:0pt;margin-left:-9pt;margin-top:3.05pt;height:36.85pt;width:59.6pt;z-index:251921408;mso-width-relative:page;mso-height-relative:page;" filled="f" stroked="f" coordsize="21600,21600" o:gfxdata="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1bOEx9UAAAAIAQAADwAAAAAAAAABACAAAAAiAAAAZHJzL2Rvd25yZXYueG1sUEsBAhQAFAAA&#10;AAgAh07iQNQ1EU65AQAAYA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约定结算程序和期限</w:t>
                      </w:r>
                    </w:p>
                  </w:txbxContent>
                </v:textbox>
              </v:shape>
            </w:pict>
          </mc:Fallback>
        </mc:AlternateContent>
      </w:r>
      <w:r>
        <w:rPr>
          <w:rFonts w:hint="eastAsia" w:ascii="仿宋" w:hAnsi="仿宋" w:eastAsia="仿宋" w:cs="仿宋"/>
          <w:color w:val="auto"/>
          <w:sz w:val="24"/>
          <w:szCs w:val="24"/>
          <w:highlight w:val="none"/>
          <w:lang w:eastAsia="zh-CN"/>
        </w:rPr>
        <w:t>合同双方当事人应遵守法律或规范在专用条款中明确办理竣工结算的程序和时限。专用条款没有约定的，竣工结算按照第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款至第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款约定办理。</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过程结算是指在建设工程总承包合同范围内，合同双方当事人结合项目实际，依据合同约定的支付周期或工程进度节点，对已完成的勘察（如果有）、设计、BIM技术应用、设备及工器具购置（如果有）和施工阶段的主要工作、分部工程或标志性节点形象工程的价款进行的计算、调整、确认和支付等活动。实施过程结算的，合同双方当事人应在合同专用</w:t>
      </w:r>
      <w:r>
        <w:rPr>
          <w:rFonts w:ascii="仿宋" w:hAnsi="仿宋" w:eastAsia="仿宋" w:cs="仿宋"/>
          <w:color w:val="auto"/>
          <w:sz w:val="24"/>
          <w:szCs w:val="24"/>
          <w:highlight w:val="none"/>
          <w:lang w:eastAsia="zh-CN"/>
        </w:rPr>
        <w:t>条款</w:t>
      </w:r>
      <w:r>
        <w:rPr>
          <w:rFonts w:hint="eastAsia" w:ascii="仿宋" w:hAnsi="仿宋" w:eastAsia="仿宋" w:cs="仿宋"/>
          <w:color w:val="auto"/>
          <w:sz w:val="24"/>
          <w:szCs w:val="24"/>
          <w:highlight w:val="none"/>
          <w:lang w:eastAsia="zh-CN"/>
        </w:rPr>
        <w:t>中约定过程结算的支付周期或完成进度节点，进行工作或工程价款结算和支付的依据、程序和方法，明确合同履行过程工作或工程价款的计量、计价、支付等事项。过程结算节点可根据总承包范围、工作内容、工程特点、工作界面、工程界面、工期及分部（工程）验收需要等由发承包双方在合同专用</w:t>
      </w:r>
      <w:r>
        <w:rPr>
          <w:rFonts w:ascii="仿宋" w:hAnsi="仿宋" w:eastAsia="仿宋" w:cs="仿宋"/>
          <w:color w:val="auto"/>
          <w:sz w:val="24"/>
          <w:szCs w:val="24"/>
          <w:highlight w:val="none"/>
          <w:lang w:eastAsia="zh-CN"/>
        </w:rPr>
        <w:t>条款</w:t>
      </w:r>
      <w:r>
        <w:rPr>
          <w:rFonts w:hint="eastAsia" w:ascii="仿宋" w:hAnsi="仿宋" w:eastAsia="仿宋" w:cs="仿宋"/>
          <w:color w:val="auto"/>
          <w:sz w:val="24"/>
          <w:szCs w:val="24"/>
          <w:highlight w:val="none"/>
          <w:lang w:eastAsia="zh-CN"/>
        </w:rPr>
        <w:t>中约定。过程结算文件是工程竣工结算文件的重要内容与组成部分。</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在办理竣工结算期间，发包人按照第83条约定应向承包人支付的工程款及其他款项不停止。</w:t>
      </w:r>
    </w:p>
    <w:p>
      <w:pPr>
        <w:pStyle w:val="22"/>
        <w:adjustRightInd w:val="0"/>
        <w:snapToGrid w:val="0"/>
        <w:spacing w:line="36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lang w:eastAsia="zh-CN"/>
        </w:rPr>
        <w:t>8</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22432" behindDoc="0" locked="0" layoutInCell="1" allowOverlap="1">
                <wp:simplePos x="0" y="0"/>
                <wp:positionH relativeFrom="column">
                  <wp:posOffset>-114300</wp:posOffset>
                </wp:positionH>
                <wp:positionV relativeFrom="paragraph">
                  <wp:posOffset>23495</wp:posOffset>
                </wp:positionV>
                <wp:extent cx="776605" cy="584200"/>
                <wp:effectExtent l="0" t="0" r="0" b="0"/>
                <wp:wrapNone/>
                <wp:docPr id="258" name="文本框 1051"/>
                <wp:cNvGraphicFramePr/>
                <a:graphic xmlns:a="http://schemas.openxmlformats.org/drawingml/2006/main">
                  <a:graphicData uri="http://schemas.microsoft.com/office/word/2010/wordprocessingShape">
                    <wps:wsp>
                      <wps:cNvSpPr txBox="1"/>
                      <wps:spPr>
                        <a:xfrm>
                          <a:off x="0" y="0"/>
                          <a:ext cx="776605" cy="58420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递交结算文件及其限制</w:t>
                            </w:r>
                          </w:p>
                        </w:txbxContent>
                      </wps:txbx>
                      <wps:bodyPr wrap="square" upright="1"/>
                    </wps:wsp>
                  </a:graphicData>
                </a:graphic>
              </wp:anchor>
            </w:drawing>
          </mc:Choice>
          <mc:Fallback>
            <w:pict>
              <v:shape id="文本框 1051" o:spid="_x0000_s1026" o:spt="202" type="#_x0000_t202" style="position:absolute;left:0pt;margin-left:-9pt;margin-top:1.85pt;height:46pt;width:61.15pt;z-index:251922432;mso-width-relative:page;mso-height-relative:page;" filled="f" stroked="f" coordsize="21600,21600" o:gfxdata="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0sG/K1gAAAAgBAAAPAAAAAAAAAAEAIAAAACIAAABkcnMvZG93bnJldi54bWxQSwECFAAU&#10;AAAACACHTuJAfJ50ELoBAABg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递交结算文件及其限制</w:t>
                      </w:r>
                    </w:p>
                  </w:txbxContent>
                </v:textbox>
              </v:shape>
            </w:pict>
          </mc:Fallback>
        </mc:AlternateContent>
      </w:r>
      <w:r>
        <w:rPr>
          <w:rFonts w:hint="eastAsia" w:ascii="仿宋" w:hAnsi="仿宋" w:eastAsia="仿宋" w:cs="仿宋"/>
          <w:color w:val="auto"/>
          <w:sz w:val="24"/>
          <w:szCs w:val="24"/>
          <w:highlight w:val="none"/>
          <w:lang w:eastAsia="zh-CN"/>
        </w:rPr>
        <w:t>承包人应在提交竣工验收申请报告前编制完成竣工结算文件，并在提交竣工验收申请报告的同时向造价咨询人递交竣工结算文件。竣工结算文件清单由双方在专用条款中约定。</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未在本款约定的时间内递交竣工结算文件，经发包人催促后仍未递交或没有明确答复的，造价咨询人可根据自己掌握的资料编制竣工结算文件，在报经发包人批准后，作为办理竣工结算和支付结算款的依据，承包人应予以认可。</w:t>
      </w:r>
    </w:p>
    <w:p>
      <w:pPr>
        <w:pStyle w:val="22"/>
        <w:adjustRightInd w:val="0"/>
        <w:snapToGrid w:val="0"/>
        <w:spacing w:line="360" w:lineRule="auto"/>
        <w:rPr>
          <w:rFonts w:ascii="仿宋" w:hAnsi="仿宋" w:eastAsia="仿宋"/>
          <w:b/>
          <w:bCs/>
          <w:color w:val="auto"/>
          <w:sz w:val="24"/>
          <w:szCs w:val="24"/>
          <w:highlight w:val="none"/>
          <w:u w:val="single"/>
          <w:lang w:eastAsia="zh-CN"/>
        </w:rPr>
      </w:pPr>
      <w:r>
        <w:rPr>
          <w:rFonts w:ascii="仿宋" w:hAnsi="仿宋" w:eastAsia="仿宋" w:cs="仿宋"/>
          <w:b/>
          <w:bCs/>
          <w:color w:val="auto"/>
          <w:sz w:val="24"/>
          <w:szCs w:val="24"/>
          <w:highlight w:val="none"/>
          <w:lang w:eastAsia="zh-CN"/>
        </w:rPr>
        <w:t>8</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23456" behindDoc="0" locked="0" layoutInCell="1" allowOverlap="1">
                <wp:simplePos x="0" y="0"/>
                <wp:positionH relativeFrom="column">
                  <wp:posOffset>-114300</wp:posOffset>
                </wp:positionH>
                <wp:positionV relativeFrom="paragraph">
                  <wp:posOffset>38735</wp:posOffset>
                </wp:positionV>
                <wp:extent cx="794385" cy="491490"/>
                <wp:effectExtent l="0" t="0" r="0" b="0"/>
                <wp:wrapNone/>
                <wp:docPr id="259" name="文本框 1052"/>
                <wp:cNvGraphicFramePr/>
                <a:graphic xmlns:a="http://schemas.openxmlformats.org/drawingml/2006/main">
                  <a:graphicData uri="http://schemas.microsoft.com/office/word/2010/wordprocessingShape">
                    <wps:wsp>
                      <wps:cNvSpPr txBox="1"/>
                      <wps:spPr>
                        <a:xfrm>
                          <a:off x="0" y="0"/>
                          <a:ext cx="794385" cy="49149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核实结算文件及其限制</w:t>
                            </w:r>
                          </w:p>
                        </w:txbxContent>
                      </wps:txbx>
                      <wps:bodyPr wrap="square" upright="1"/>
                    </wps:wsp>
                  </a:graphicData>
                </a:graphic>
              </wp:anchor>
            </w:drawing>
          </mc:Choice>
          <mc:Fallback>
            <w:pict>
              <v:shape id="文本框 1052" o:spid="_x0000_s1026" o:spt="202" type="#_x0000_t202" style="position:absolute;left:0pt;margin-left:-9pt;margin-top:3.05pt;height:38.7pt;width:62.55pt;z-index:251923456;mso-width-relative:page;mso-height-relative:page;" filled="f" stroked="f" coordsize="21600,21600" o:gfxdata="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3L4dd1gAAAAgBAAAPAAAAAAAAAAEAIAAAACIAAABkcnMvZG93bnJldi54bWxQSwEC&#10;FAAUAAAACACHTuJARGZfyr0BAABgAwAADgAAAAAAAAABACAAAAAlAQAAZHJzL2Uyb0RvYy54bWxQ&#10;SwUGAAAAAAYABgBZAQAAVA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核实结算文件及其限制</w:t>
                      </w:r>
                    </w:p>
                  </w:txbxContent>
                </v:textbox>
              </v:shape>
            </w:pict>
          </mc:Fallback>
        </mc:AlternateContent>
      </w:r>
      <w:r>
        <w:rPr>
          <w:rFonts w:hint="eastAsia" w:ascii="仿宋" w:hAnsi="仿宋" w:eastAsia="仿宋" w:cs="仿宋"/>
          <w:color w:val="auto"/>
          <w:sz w:val="24"/>
          <w:szCs w:val="24"/>
          <w:highlight w:val="none"/>
          <w:lang w:eastAsia="zh-CN"/>
        </w:rPr>
        <w:t>造价咨询人应在收到承包人按照第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款约定递交的竣工结算文件后的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天内予以核实，并向承包人提出完整的核实意见（包括进一步补充资料和修改结算文件），同时抄报发包人。承包人在收到核实意见后的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天内按照造价咨询人提出的合理要求补充资料，修改竣工结算文件，并再次递交给造价咨询人。</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造价咨询人在收到竣工结算文件后的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天内，不核实竣工结算或未提出核实意见的，视为承包人递交的竣工结算已被认可。</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承包人在收到造价咨询人提出的核实意见后的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天内，不确认也未提出异议的，视为造价咨询人提出的核实意见已被认可，竣工结算办理完毕。</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对组成合同价格任一部分的过程结算计量计价有争议的，争议部分按第91.4款约定进行调解或认定，若合同双方或一方当事人在收到争议调解或认定机构的书面结果后明确表示不同意，或在28天内没有书面确认，任何一方均可向广州建设工程仲裁院提出仲裁申请。仲裁机构对争议部分裁决的价款与无争议部分的过程结算价款之和，即作为该合同价格组成部分的阶段结算价款。</w:t>
      </w:r>
    </w:p>
    <w:p>
      <w:pPr>
        <w:pStyle w:val="22"/>
        <w:adjustRightInd w:val="0"/>
        <w:snapToGrid w:val="0"/>
        <w:spacing w:line="360" w:lineRule="auto"/>
        <w:rPr>
          <w:rFonts w:ascii="仿宋" w:hAnsi="仿宋" w:eastAsia="仿宋"/>
          <w:b/>
          <w:bCs/>
          <w:color w:val="auto"/>
          <w:sz w:val="24"/>
          <w:szCs w:val="24"/>
          <w:highlight w:val="none"/>
          <w:u w:val="single"/>
          <w:lang w:eastAsia="zh-CN"/>
        </w:rPr>
      </w:pPr>
      <w:r>
        <w:rPr>
          <w:rFonts w:ascii="仿宋" w:hAnsi="仿宋" w:eastAsia="仿宋" w:cs="仿宋"/>
          <w:b/>
          <w:bCs/>
          <w:color w:val="auto"/>
          <w:sz w:val="24"/>
          <w:szCs w:val="24"/>
          <w:highlight w:val="none"/>
          <w:lang w:eastAsia="zh-CN"/>
        </w:rPr>
        <w:t>8</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 xml:space="preserve">.4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u w:val="single"/>
          <w:lang w:eastAsia="zh-CN"/>
        </w:rPr>
      </w:pPr>
      <w:r>
        <w:rPr>
          <w:color w:val="auto"/>
          <w:highlight w:val="none"/>
        </w:rPr>
        <mc:AlternateContent>
          <mc:Choice Requires="wps">
            <w:drawing>
              <wp:anchor distT="0" distB="0" distL="114300" distR="114300" simplePos="0" relativeHeight="251924480" behindDoc="0" locked="0" layoutInCell="1" allowOverlap="1">
                <wp:simplePos x="0" y="0"/>
                <wp:positionH relativeFrom="column">
                  <wp:posOffset>-114300</wp:posOffset>
                </wp:positionH>
                <wp:positionV relativeFrom="paragraph">
                  <wp:posOffset>15875</wp:posOffset>
                </wp:positionV>
                <wp:extent cx="832485" cy="822325"/>
                <wp:effectExtent l="0" t="0" r="0" b="0"/>
                <wp:wrapNone/>
                <wp:docPr id="260" name="文本框 1053"/>
                <wp:cNvGraphicFramePr/>
                <a:graphic xmlns:a="http://schemas.openxmlformats.org/drawingml/2006/main">
                  <a:graphicData uri="http://schemas.microsoft.com/office/word/2010/wordprocessingShape">
                    <wps:wsp>
                      <wps:cNvSpPr txBox="1"/>
                      <wps:spPr>
                        <a:xfrm>
                          <a:off x="0" y="0"/>
                          <a:ext cx="832485" cy="82232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复核再次递交结算文件</w:t>
                            </w:r>
                          </w:p>
                        </w:txbxContent>
                      </wps:txbx>
                      <wps:bodyPr wrap="square" upright="1"/>
                    </wps:wsp>
                  </a:graphicData>
                </a:graphic>
              </wp:anchor>
            </w:drawing>
          </mc:Choice>
          <mc:Fallback>
            <w:pict>
              <v:shape id="文本框 1053" o:spid="_x0000_s1026" o:spt="202" type="#_x0000_t202" style="position:absolute;left:0pt;margin-left:-9pt;margin-top:1.25pt;height:64.75pt;width:65.55pt;z-index:251924480;mso-width-relative:page;mso-height-relative:page;" filled="f" stroked="f" coordsize="21600,21600" o:gfxdata="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ExfocfWAAAACQEAAA8AAAAAAAAAAQAgAAAAIgAAAGRycy9kb3ducmV2LnhtbFBLAQIUABQA&#10;AAAIAIdO4kD4870buQEAAGA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复核再次递交结算文件</w:t>
                      </w:r>
                    </w:p>
                  </w:txbxContent>
                </v:textbox>
              </v:shape>
            </w:pict>
          </mc:Fallback>
        </mc:AlternateContent>
      </w:r>
      <w:r>
        <w:rPr>
          <w:rFonts w:hint="eastAsia" w:ascii="仿宋" w:hAnsi="仿宋" w:eastAsia="仿宋" w:cs="仿宋"/>
          <w:color w:val="auto"/>
          <w:sz w:val="24"/>
          <w:szCs w:val="24"/>
          <w:highlight w:val="none"/>
          <w:lang w:eastAsia="zh-CN"/>
        </w:rPr>
        <w:t>造价咨询人应在收到承包人按照第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款约定再次递交的竣工结算文件后的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天内予以复核，并将复核结果通知承包人、抄报发包人。</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）经复核无误的，除属于第91条约定的争议外，发包人应在</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天内在竣工结算文件上签字确认，竣工结算办理完毕。</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u w:val="singl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）经复核认为有误的：无误部分按照本款第</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点约定办理不完全竣工结算；有误部分由造价咨询人与合同双方当事人协商解决，或按照第91条约定处理。</w:t>
      </w:r>
    </w:p>
    <w:p>
      <w:pPr>
        <w:pStyle w:val="22"/>
        <w:adjustRightInd w:val="0"/>
        <w:snapToGrid w:val="0"/>
        <w:spacing w:line="360" w:lineRule="auto"/>
        <w:rPr>
          <w:rFonts w:ascii="仿宋" w:hAnsi="仿宋" w:eastAsia="仿宋"/>
          <w:color w:val="auto"/>
          <w:sz w:val="24"/>
          <w:szCs w:val="24"/>
          <w:highlight w:val="none"/>
          <w:lang w:eastAsia="zh-CN"/>
        </w:rPr>
      </w:pPr>
      <w:r>
        <w:rPr>
          <w:rFonts w:ascii="仿宋" w:hAnsi="仿宋" w:eastAsia="仿宋" w:cs="仿宋"/>
          <w:b/>
          <w:bCs/>
          <w:color w:val="auto"/>
          <w:sz w:val="24"/>
          <w:szCs w:val="24"/>
          <w:highlight w:val="none"/>
          <w:lang w:eastAsia="zh-CN"/>
        </w:rPr>
        <w:t>8</w:t>
      </w:r>
      <w:r>
        <w:rPr>
          <w:rFonts w:hint="eastAsia" w:ascii="仿宋" w:hAnsi="仿宋" w:eastAsia="仿宋" w:cs="仿宋"/>
          <w:b/>
          <w:bCs/>
          <w:color w:val="auto"/>
          <w:sz w:val="24"/>
          <w:szCs w:val="24"/>
          <w:highlight w:val="none"/>
          <w:lang w:eastAsia="zh-CN"/>
        </w:rPr>
        <w:t>7</w:t>
      </w:r>
      <w:r>
        <w:rPr>
          <w:rFonts w:ascii="仿宋" w:hAnsi="仿宋" w:eastAsia="仿宋" w:cs="仿宋"/>
          <w:b/>
          <w:bCs/>
          <w:color w:val="auto"/>
          <w:sz w:val="24"/>
          <w:szCs w:val="24"/>
          <w:highlight w:val="none"/>
          <w:lang w:eastAsia="zh-CN"/>
        </w:rPr>
        <w:t>.5</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25504" behindDoc="0" locked="0" layoutInCell="1" allowOverlap="1">
                <wp:simplePos x="0" y="0"/>
                <wp:positionH relativeFrom="column">
                  <wp:posOffset>-114300</wp:posOffset>
                </wp:positionH>
                <wp:positionV relativeFrom="paragraph">
                  <wp:posOffset>5715</wp:posOffset>
                </wp:positionV>
                <wp:extent cx="737235" cy="354330"/>
                <wp:effectExtent l="0" t="0" r="0" b="0"/>
                <wp:wrapNone/>
                <wp:docPr id="261" name="文本框 1054"/>
                <wp:cNvGraphicFramePr/>
                <a:graphic xmlns:a="http://schemas.openxmlformats.org/drawingml/2006/main">
                  <a:graphicData uri="http://schemas.microsoft.com/office/word/2010/wordprocessingShape">
                    <wps:wsp>
                      <wps:cNvSpPr txBox="1"/>
                      <wps:spPr>
                        <a:xfrm>
                          <a:off x="0" y="0"/>
                          <a:ext cx="737235" cy="35433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交付工程</w:t>
                            </w:r>
                          </w:p>
                        </w:txbxContent>
                      </wps:txbx>
                      <wps:bodyPr wrap="square" upright="1"/>
                    </wps:wsp>
                  </a:graphicData>
                </a:graphic>
              </wp:anchor>
            </w:drawing>
          </mc:Choice>
          <mc:Fallback>
            <w:pict>
              <v:shape id="文本框 1054" o:spid="_x0000_s1026" o:spt="202" type="#_x0000_t202" style="position:absolute;left:0pt;margin-left:-9pt;margin-top:0.45pt;height:27.9pt;width:58.05pt;z-index:251925504;mso-width-relative:page;mso-height-relative:page;" filled="f" stroked="f" coordsize="21600,21600" o:gfxdata="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NzkswNUAAAAGAQAADwAAAAAAAAABACAAAAAiAAAAZHJzL2Rvd25yZXYueG1sUEsBAhQA&#10;FAAAAAgAh07iQJPIypy8AQAAYAMAAA4AAAAAAAAAAQAgAAAAJA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交付工程</w:t>
                      </w:r>
                    </w:p>
                  </w:txbxContent>
                </v:textbox>
              </v:shape>
            </w:pict>
          </mc:Fallback>
        </mc:AlternateContent>
      </w:r>
      <w:r>
        <w:rPr>
          <w:rFonts w:hint="eastAsia" w:ascii="仿宋" w:hAnsi="仿宋" w:eastAsia="仿宋" w:cs="仿宋"/>
          <w:color w:val="auto"/>
          <w:sz w:val="24"/>
          <w:szCs w:val="24"/>
          <w:highlight w:val="none"/>
          <w:lang w:eastAsia="zh-CN"/>
        </w:rPr>
        <w:t>发包人应在已核实无误的竣工结算文件上签名确认，拒不签认的，承包人可不交付竣工工程。</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承包人未及时递交竣工结算文件的，发包人要求交付竣工工程，承包人应当交付；发包人不要求交付竣工工程，承包人承担照管永久工程责任。</w:t>
      </w:r>
    </w:p>
    <w:p>
      <w:pPr>
        <w:pStyle w:val="22"/>
        <w:adjustRightInd w:val="0"/>
        <w:snapToGrid w:val="0"/>
        <w:spacing w:line="360" w:lineRule="auto"/>
        <w:rPr>
          <w:rFonts w:ascii="仿宋" w:hAnsi="仿宋" w:eastAsia="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42" w:name="_Toc25631"/>
      <w:bookmarkStart w:id="1143" w:name="_Toc22324"/>
      <w:bookmarkStart w:id="1144" w:name="_Toc24273"/>
      <w:bookmarkStart w:id="1145" w:name="_Toc30906"/>
      <w:bookmarkStart w:id="1146" w:name="_Toc52"/>
      <w:bookmarkStart w:id="1147" w:name="_Toc20939"/>
      <w:bookmarkStart w:id="1148" w:name="_Toc17862"/>
      <w:bookmarkStart w:id="1149" w:name="_Toc25570"/>
      <w:r>
        <w:rPr>
          <w:rFonts w:hint="eastAsia" w:ascii="仿宋" w:hAnsi="仿宋" w:eastAsia="仿宋" w:cs="仿宋"/>
          <w:bCs w:val="0"/>
          <w:color w:val="auto"/>
          <w:sz w:val="24"/>
          <w:szCs w:val="24"/>
          <w:highlight w:val="none"/>
          <w:lang w:eastAsia="zh-CN"/>
        </w:rPr>
        <w:t>★</w:t>
      </w:r>
      <w:r>
        <w:rPr>
          <w:rFonts w:ascii="仿宋" w:hAnsi="仿宋" w:eastAsia="仿宋" w:cs="仿宋"/>
          <w:bCs w:val="0"/>
          <w:color w:val="auto"/>
          <w:sz w:val="24"/>
          <w:szCs w:val="24"/>
          <w:highlight w:val="none"/>
          <w:lang w:eastAsia="zh-CN"/>
        </w:rPr>
        <w:t>8</w:t>
      </w:r>
      <w:r>
        <w:rPr>
          <w:rFonts w:hint="eastAsia" w:ascii="仿宋" w:hAnsi="仿宋" w:eastAsia="仿宋" w:cs="仿宋"/>
          <w:bCs w:val="0"/>
          <w:color w:val="auto"/>
          <w:sz w:val="24"/>
          <w:szCs w:val="24"/>
          <w:highlight w:val="none"/>
          <w:lang w:eastAsia="zh-CN"/>
        </w:rPr>
        <w:t>8</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结算款</w:t>
      </w:r>
      <w:bookmarkEnd w:id="1142"/>
      <w:bookmarkEnd w:id="1143"/>
      <w:bookmarkEnd w:id="1144"/>
      <w:bookmarkEnd w:id="1145"/>
      <w:bookmarkEnd w:id="1146"/>
      <w:bookmarkEnd w:id="1147"/>
      <w:bookmarkEnd w:id="1148"/>
      <w:bookmarkEnd w:id="1149"/>
    </w:p>
    <w:p>
      <w:pPr>
        <w:rPr>
          <w:rFonts w:ascii="仿宋" w:hAnsi="仿宋" w:eastAsia="仿宋" w:cs="仿宋"/>
          <w:color w:val="auto"/>
          <w:highlight w:val="none"/>
          <w:lang w:eastAsia="zh-CN"/>
        </w:rPr>
      </w:pPr>
      <w:bookmarkStart w:id="1150" w:name="_Toc26261"/>
      <w:r>
        <w:rPr>
          <w:rFonts w:ascii="仿宋" w:hAnsi="仿宋" w:eastAsia="仿宋" w:cs="仿宋"/>
          <w:b/>
          <w:bCs/>
          <w:color w:val="auto"/>
          <w:highlight w:val="none"/>
          <w:lang w:eastAsia="zh-CN"/>
        </w:rPr>
        <w:t>8</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.1</w:t>
      </w:r>
      <w:bookmarkEnd w:id="1150"/>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26528" behindDoc="0" locked="0" layoutInCell="1" allowOverlap="1">
                <wp:simplePos x="0" y="0"/>
                <wp:positionH relativeFrom="column">
                  <wp:posOffset>-114300</wp:posOffset>
                </wp:positionH>
                <wp:positionV relativeFrom="paragraph">
                  <wp:posOffset>36195</wp:posOffset>
                </wp:positionV>
                <wp:extent cx="861060" cy="612140"/>
                <wp:effectExtent l="0" t="0" r="0" b="0"/>
                <wp:wrapNone/>
                <wp:docPr id="262" name="文本框 1055"/>
                <wp:cNvGraphicFramePr/>
                <a:graphic xmlns:a="http://schemas.openxmlformats.org/drawingml/2006/main">
                  <a:graphicData uri="http://schemas.microsoft.com/office/word/2010/wordprocessingShape">
                    <wps:wsp>
                      <wps:cNvSpPr txBox="1"/>
                      <wps:spPr>
                        <a:xfrm>
                          <a:off x="0" y="0"/>
                          <a:ext cx="861060" cy="61214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提交竣工支付申请</w:t>
                            </w:r>
                          </w:p>
                        </w:txbxContent>
                      </wps:txbx>
                      <wps:bodyPr wrap="square" upright="1"/>
                    </wps:wsp>
                  </a:graphicData>
                </a:graphic>
              </wp:anchor>
            </w:drawing>
          </mc:Choice>
          <mc:Fallback>
            <w:pict>
              <v:shape id="文本框 1055" o:spid="_x0000_s1026" o:spt="202" type="#_x0000_t202" style="position:absolute;left:0pt;margin-left:-9pt;margin-top:2.85pt;height:48.2pt;width:67.8pt;z-index:251926528;mso-width-relative:page;mso-height-relative:page;" filled="f" stroked="f" coordsize="21600,21600" o:gfxdata="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Jhnz9NcAAAAJAQAADwAAAAAAAAABACAAAAAiAAAAZHJzL2Rvd25yZXYueG1sUEsBAhQA&#10;FAAAAAgAh07iQGoJBsO6AQAAYA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提交竣工支付申请</w:t>
                      </w:r>
                    </w:p>
                  </w:txbxContent>
                </v:textbox>
              </v:shape>
            </w:pict>
          </mc:Fallback>
        </mc:AlternateContent>
      </w:r>
      <w:r>
        <w:rPr>
          <w:rFonts w:hint="eastAsia" w:ascii="仿宋" w:hAnsi="仿宋" w:eastAsia="仿宋" w:cs="仿宋"/>
          <w:color w:val="auto"/>
          <w:sz w:val="24"/>
          <w:szCs w:val="24"/>
          <w:highlight w:val="none"/>
          <w:lang w:eastAsia="zh-CN"/>
        </w:rPr>
        <w:t>合同双方当事人应在专用条款中明确结算款的支付时限。专用条款没有约定的，结算款支付按照第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款至第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款约定办理。涉及政府投资资金的工程，支付期、支付方法等需调整的，应在专用条款中约定。</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在向造价咨询人递交竣工结算文件时，根据国家、省规定的格式向造价咨询人递交由承包人代表签认的竣工结算支付申请和竣工结算款额报告一式四份，并附上完整的结算资料，详细列出下列内容，同时抄送发包人、监理人各一份。</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）根据合同完成总承包范围内所有工作和全部工程的竣工结算总价；</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）根据合同约定发包人应付的剩余所有款项，包括工程勘察费、工程设计费、BIM技术应用费、设备及工器具购置费（如果有）和建筑安装工程费等应付未付金额。</w:t>
      </w:r>
    </w:p>
    <w:p>
      <w:pPr>
        <w:spacing w:line="360" w:lineRule="auto"/>
        <w:rPr>
          <w:rFonts w:ascii="仿宋" w:hAnsi="仿宋" w:eastAsia="仿宋"/>
          <w:b/>
          <w:bCs/>
          <w:color w:val="auto"/>
          <w:highlight w:val="none"/>
          <w:u w:val="single"/>
          <w:lang w:eastAsia="zh-CN"/>
        </w:rPr>
      </w:pPr>
      <w:bookmarkStart w:id="1151" w:name="_Toc25185"/>
      <w:r>
        <w:rPr>
          <w:rFonts w:ascii="仿宋" w:hAnsi="仿宋" w:eastAsia="仿宋" w:cs="仿宋"/>
          <w:b/>
          <w:bCs/>
          <w:color w:val="auto"/>
          <w:highlight w:val="none"/>
          <w:lang w:eastAsia="zh-CN"/>
        </w:rPr>
        <w:t>8</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.2</w:t>
      </w:r>
      <w:bookmarkEnd w:id="115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u w:val="single"/>
          <w:lang w:eastAsia="zh-CN"/>
        </w:rPr>
      </w:pPr>
      <w:r>
        <w:rPr>
          <w:color w:val="auto"/>
          <w:highlight w:val="none"/>
        </w:rPr>
        <mc:AlternateContent>
          <mc:Choice Requires="wps">
            <w:drawing>
              <wp:anchor distT="0" distB="0" distL="114300" distR="114300" simplePos="0" relativeHeight="251927552" behindDoc="0" locked="0" layoutInCell="1" allowOverlap="1">
                <wp:simplePos x="0" y="0"/>
                <wp:positionH relativeFrom="column">
                  <wp:posOffset>-114300</wp:posOffset>
                </wp:positionH>
                <wp:positionV relativeFrom="paragraph">
                  <wp:posOffset>15875</wp:posOffset>
                </wp:positionV>
                <wp:extent cx="842645" cy="622935"/>
                <wp:effectExtent l="0" t="0" r="0" b="0"/>
                <wp:wrapNone/>
                <wp:docPr id="263" name="文本框 1056"/>
                <wp:cNvGraphicFramePr/>
                <a:graphic xmlns:a="http://schemas.openxmlformats.org/drawingml/2006/main">
                  <a:graphicData uri="http://schemas.microsoft.com/office/word/2010/wordprocessingShape">
                    <wps:wsp>
                      <wps:cNvSpPr txBox="1"/>
                      <wps:spPr>
                        <a:xfrm>
                          <a:off x="0" y="0"/>
                          <a:ext cx="842645" cy="62293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签发竣工结算支付证书</w:t>
                            </w:r>
                          </w:p>
                        </w:txbxContent>
                      </wps:txbx>
                      <wps:bodyPr wrap="square" upright="1"/>
                    </wps:wsp>
                  </a:graphicData>
                </a:graphic>
              </wp:anchor>
            </w:drawing>
          </mc:Choice>
          <mc:Fallback>
            <w:pict>
              <v:shape id="文本框 1056" o:spid="_x0000_s1026" o:spt="202" type="#_x0000_t202" style="position:absolute;left:0pt;margin-left:-9pt;margin-top:1.25pt;height:49.05pt;width:66.35pt;z-index:251927552;mso-width-relative:page;mso-height-relative:page;" filled="f" stroked="f" coordsize="21600,21600" o:gfxdata="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w6d3HNYAAAAJAQAADwAAAAAAAAABACAAAAAiAAAAZHJzL2Rvd25yZXYueG1sUEsBAhQA&#10;FAAAAAgAh07iQLFlo1u7AQAAYA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签发竣工结算支付证书</w:t>
                      </w:r>
                    </w:p>
                  </w:txbxContent>
                </v:textbox>
              </v:shape>
            </w:pict>
          </mc:Fallback>
        </mc:AlternateContent>
      </w:r>
      <w:r>
        <w:rPr>
          <w:rFonts w:hint="eastAsia" w:ascii="仿宋" w:hAnsi="仿宋" w:eastAsia="仿宋" w:cs="仿宋"/>
          <w:color w:val="auto"/>
          <w:sz w:val="24"/>
          <w:szCs w:val="24"/>
          <w:highlight w:val="none"/>
          <w:lang w:eastAsia="zh-CN"/>
        </w:rPr>
        <w:t>造价咨询人在收到第89.1款所述资料后，应按照第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款约定核实竣工结算文件，并在发包人签字确认竣工结算文件后的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天内，向发包人签发竣工结算支付证书，同时抄送承包人。</w:t>
      </w:r>
    </w:p>
    <w:p>
      <w:pPr>
        <w:spacing w:line="360" w:lineRule="auto"/>
        <w:rPr>
          <w:rFonts w:ascii="仿宋" w:hAnsi="仿宋" w:eastAsia="仿宋"/>
          <w:color w:val="auto"/>
          <w:highlight w:val="none"/>
          <w:lang w:eastAsia="zh-CN"/>
        </w:rPr>
      </w:pPr>
      <w:bookmarkStart w:id="1152" w:name="_Toc27666"/>
      <w:r>
        <w:rPr>
          <w:rFonts w:ascii="仿宋" w:hAnsi="仿宋" w:eastAsia="仿宋" w:cs="仿宋"/>
          <w:b/>
          <w:bCs/>
          <w:color w:val="auto"/>
          <w:highlight w:val="none"/>
          <w:lang w:eastAsia="zh-CN"/>
        </w:rPr>
        <w:t>8</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.3</w:t>
      </w:r>
      <w:bookmarkEnd w:id="1152"/>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28576" behindDoc="0" locked="0" layoutInCell="1" allowOverlap="1">
                <wp:simplePos x="0" y="0"/>
                <wp:positionH relativeFrom="column">
                  <wp:posOffset>-114300</wp:posOffset>
                </wp:positionH>
                <wp:positionV relativeFrom="paragraph">
                  <wp:posOffset>5715</wp:posOffset>
                </wp:positionV>
                <wp:extent cx="832485" cy="459105"/>
                <wp:effectExtent l="0" t="0" r="0" b="0"/>
                <wp:wrapNone/>
                <wp:docPr id="264" name="文本框 1057"/>
                <wp:cNvGraphicFramePr/>
                <a:graphic xmlns:a="http://schemas.openxmlformats.org/drawingml/2006/main">
                  <a:graphicData uri="http://schemas.microsoft.com/office/word/2010/wordprocessingShape">
                    <wps:wsp>
                      <wps:cNvSpPr txBox="1"/>
                      <wps:spPr>
                        <a:xfrm>
                          <a:off x="0" y="0"/>
                          <a:ext cx="832485" cy="45910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竣工结算款支付</w:t>
                            </w:r>
                          </w:p>
                        </w:txbxContent>
                      </wps:txbx>
                      <wps:bodyPr wrap="square" upright="1"/>
                    </wps:wsp>
                  </a:graphicData>
                </a:graphic>
              </wp:anchor>
            </w:drawing>
          </mc:Choice>
          <mc:Fallback>
            <w:pict>
              <v:shape id="文本框 1057" o:spid="_x0000_s1026" o:spt="202" type="#_x0000_t202" style="position:absolute;left:0pt;margin-left:-9pt;margin-top:0.45pt;height:36.15pt;width:65.55pt;z-index:251928576;mso-width-relative:page;mso-height-relative:page;" filled="f" stroked="f" coordsize="21600,21600" o:gfxdata="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OY6eCHVAAAABwEAAA8AAAAAAAAAAQAgAAAAIgAAAGRycy9kb3ducmV2LnhtbFBLAQIUABQA&#10;AAAIAIdO4kCZUj2gugEAAGA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竣工结算款支付</w:t>
                      </w:r>
                    </w:p>
                  </w:txbxContent>
                </v:textbox>
              </v:shape>
            </w:pict>
          </mc:Fallback>
        </mc:AlternateContent>
      </w:r>
      <w:r>
        <w:rPr>
          <w:rFonts w:hint="eastAsia" w:ascii="仿宋" w:hAnsi="仿宋" w:eastAsia="仿宋" w:cs="仿宋"/>
          <w:color w:val="auto"/>
          <w:sz w:val="24"/>
          <w:szCs w:val="24"/>
          <w:highlight w:val="none"/>
          <w:lang w:eastAsia="zh-CN"/>
        </w:rPr>
        <w:t>发包人应在造价咨询人签发竣工结算支付证书后的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天内，按照竣工结算支付证书列明的金额向承包人支付结算款，并通知造价咨询人。</w:t>
      </w:r>
    </w:p>
    <w:p>
      <w:pPr>
        <w:spacing w:line="360" w:lineRule="auto"/>
        <w:rPr>
          <w:rFonts w:ascii="仿宋" w:hAnsi="仿宋" w:eastAsia="仿宋"/>
          <w:b/>
          <w:bCs/>
          <w:color w:val="auto"/>
          <w:highlight w:val="none"/>
          <w:lang w:eastAsia="zh-CN"/>
        </w:rPr>
      </w:pPr>
      <w:r>
        <w:rPr>
          <w:rFonts w:ascii="仿宋" w:hAnsi="仿宋" w:eastAsia="仿宋" w:cs="仿宋"/>
          <w:b/>
          <w:bCs/>
          <w:color w:val="auto"/>
          <w:highlight w:val="none"/>
          <w:lang w:eastAsia="zh-CN"/>
        </w:rPr>
        <w:t>8</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 xml:space="preserve">.4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29600" behindDoc="0" locked="0" layoutInCell="1" allowOverlap="1">
                <wp:simplePos x="0" y="0"/>
                <wp:positionH relativeFrom="column">
                  <wp:posOffset>-66675</wp:posOffset>
                </wp:positionH>
                <wp:positionV relativeFrom="paragraph">
                  <wp:posOffset>12065</wp:posOffset>
                </wp:positionV>
                <wp:extent cx="764540" cy="579120"/>
                <wp:effectExtent l="0" t="0" r="0" b="0"/>
                <wp:wrapNone/>
                <wp:docPr id="265" name="文本框 1058"/>
                <wp:cNvGraphicFramePr/>
                <a:graphic xmlns:a="http://schemas.openxmlformats.org/drawingml/2006/main">
                  <a:graphicData uri="http://schemas.microsoft.com/office/word/2010/wordprocessingShape">
                    <wps:wsp>
                      <wps:cNvSpPr txBox="1"/>
                      <wps:spPr>
                        <a:xfrm>
                          <a:off x="0" y="0"/>
                          <a:ext cx="764540" cy="579120"/>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签发竣工结算支付证书的限制</w:t>
                            </w:r>
                          </w:p>
                        </w:txbxContent>
                      </wps:txbx>
                      <wps:bodyPr wrap="square" upright="1"/>
                    </wps:wsp>
                  </a:graphicData>
                </a:graphic>
              </wp:anchor>
            </w:drawing>
          </mc:Choice>
          <mc:Fallback>
            <w:pict>
              <v:shape id="文本框 1058" o:spid="_x0000_s1026" o:spt="202" type="#_x0000_t202" style="position:absolute;left:0pt;margin-left:-5.25pt;margin-top:0.95pt;height:45.6pt;width:60.2pt;z-index:251929600;mso-width-relative:page;mso-height-relative:page;" filled="f" stroked="f" coordsize="21600,21600" o:gfxdata="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GnK6/UAAAACAEAAA8AAAAAAAAAAQAgAAAAIgAAAGRycy9kb3ducmV2LnhtbFBLAQIUABQA&#10;AAAIAIdO4kBowotyuwEAAGADAAAOAAAAAAAAAAEAIAAAACM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签发竣工结算支付证书的限制</w:t>
                      </w:r>
                    </w:p>
                  </w:txbxContent>
                </v:textbox>
              </v:shape>
            </w:pict>
          </mc:Fallback>
        </mc:AlternateContent>
      </w:r>
      <w:r>
        <w:rPr>
          <w:rFonts w:hint="eastAsia" w:ascii="仿宋" w:hAnsi="仿宋" w:eastAsia="仿宋" w:cs="仿宋"/>
          <w:color w:val="auto"/>
          <w:sz w:val="24"/>
          <w:szCs w:val="24"/>
          <w:highlight w:val="none"/>
          <w:lang w:eastAsia="zh-CN"/>
        </w:rPr>
        <w:t>如果造价咨询人未在第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款约定的期限内签发竣工结算支付证书的，则视为承包人提交的竣工支付申请已被认可，承包人应及时向发包人发出要求支付竣工结算款的通知。发包人应在收到通知后的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天内，按照承包人支付申请列明的金额向承包人支付竣工结算款。</w:t>
      </w:r>
    </w:p>
    <w:p>
      <w:pPr>
        <w:spacing w:line="360" w:lineRule="auto"/>
        <w:rPr>
          <w:rFonts w:ascii="仿宋" w:hAnsi="仿宋" w:eastAsia="仿宋"/>
          <w:b/>
          <w:bCs/>
          <w:color w:val="auto"/>
          <w:highlight w:val="none"/>
          <w:lang w:eastAsia="zh-CN"/>
        </w:rPr>
      </w:pPr>
      <w:r>
        <w:rPr>
          <w:rFonts w:ascii="仿宋" w:hAnsi="仿宋" w:eastAsia="仿宋" w:cs="仿宋"/>
          <w:b/>
          <w:bCs/>
          <w:color w:val="auto"/>
          <w:highlight w:val="none"/>
          <w:lang w:eastAsia="zh-CN"/>
        </w:rPr>
        <w:t>8</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 xml:space="preserve">.5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30624" behindDoc="0" locked="0" layoutInCell="1" allowOverlap="1">
                <wp:simplePos x="0" y="0"/>
                <wp:positionH relativeFrom="column">
                  <wp:posOffset>-114300</wp:posOffset>
                </wp:positionH>
                <wp:positionV relativeFrom="paragraph">
                  <wp:posOffset>58420</wp:posOffset>
                </wp:positionV>
                <wp:extent cx="756920" cy="580390"/>
                <wp:effectExtent l="0" t="0" r="0" b="0"/>
                <wp:wrapNone/>
                <wp:docPr id="266" name="文本框 1059"/>
                <wp:cNvGraphicFramePr/>
                <a:graphic xmlns:a="http://schemas.openxmlformats.org/drawingml/2006/main">
                  <a:graphicData uri="http://schemas.microsoft.com/office/word/2010/wordprocessingShape">
                    <wps:wsp>
                      <wps:cNvSpPr txBox="1"/>
                      <wps:spPr>
                        <a:xfrm>
                          <a:off x="0" y="0"/>
                          <a:ext cx="756920" cy="58039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竣工结算款支付的限制</w:t>
                            </w:r>
                          </w:p>
                        </w:txbxContent>
                      </wps:txbx>
                      <wps:bodyPr wrap="square" upright="1"/>
                    </wps:wsp>
                  </a:graphicData>
                </a:graphic>
              </wp:anchor>
            </w:drawing>
          </mc:Choice>
          <mc:Fallback>
            <w:pict>
              <v:shape id="文本框 1059" o:spid="_x0000_s1026" o:spt="202" type="#_x0000_t202" style="position:absolute;left:0pt;margin-left:-9pt;margin-top:4.6pt;height:45.7pt;width:59.6pt;z-index:251930624;mso-width-relative:page;mso-height-relative:page;" filled="f" stroked="f" coordsize="21600,21600" o:gfxdata="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B5Zafd1QAAAAkBAAAPAAAAAAAAAAEAIAAAACIAAABkcnMvZG93bnJldi54bWxQSwECFAAU&#10;AAAACACHTuJATEYJcbsBAABgAwAADgAAAAAAAAABACAAAAAk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竣工结算款支付的限制</w:t>
                      </w:r>
                    </w:p>
                  </w:txbxContent>
                </v:textbox>
              </v:shape>
            </w:pict>
          </mc:Fallback>
        </mc:AlternateContent>
      </w:r>
      <w:r>
        <w:rPr>
          <w:rFonts w:hint="eastAsia" w:ascii="仿宋" w:hAnsi="仿宋" w:eastAsia="仿宋" w:cs="仿宋"/>
          <w:color w:val="auto"/>
          <w:sz w:val="24"/>
          <w:szCs w:val="24"/>
          <w:highlight w:val="none"/>
          <w:lang w:eastAsia="zh-CN"/>
        </w:rPr>
        <w:t>发包人未按照第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款和第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8</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款约定支付竣工结算款的，承包人可催告发包人支付竣工结算款，如双方达成延期支付协议，承包人有权按照第83</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款约定获得延期支付的利息。</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发包人在收到竣工结算支付证书后的</w:t>
      </w:r>
      <w:r>
        <w:rPr>
          <w:rFonts w:ascii="仿宋" w:hAnsi="仿宋" w:eastAsia="仿宋" w:cs="仿宋"/>
          <w:color w:val="auto"/>
          <w:sz w:val="24"/>
          <w:szCs w:val="24"/>
          <w:highlight w:val="none"/>
          <w:lang w:eastAsia="zh-CN"/>
        </w:rPr>
        <w:t>56</w:t>
      </w:r>
      <w:r>
        <w:rPr>
          <w:rFonts w:hint="eastAsia" w:ascii="仿宋" w:hAnsi="仿宋" w:eastAsia="仿宋" w:cs="仿宋"/>
          <w:color w:val="auto"/>
          <w:sz w:val="24"/>
          <w:szCs w:val="24"/>
          <w:highlight w:val="none"/>
          <w:lang w:eastAsia="zh-CN"/>
        </w:rPr>
        <w:t>天内仍未支付竣工结算款，合同双方当事人又未达成延期支付协议的，除法律另有规定外，承包人可与发包人协商将该永久工程折价，也可直接向人民法院申请将该永久工程依法拍卖。承包人就该永久工程折价或拍卖的价款优先受偿。</w:t>
      </w:r>
    </w:p>
    <w:p>
      <w:pPr>
        <w:pStyle w:val="22"/>
        <w:adjustRightInd w:val="0"/>
        <w:snapToGrid w:val="0"/>
        <w:spacing w:line="360" w:lineRule="auto"/>
        <w:rPr>
          <w:rFonts w:ascii="仿宋" w:hAnsi="仿宋" w:eastAsia="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53" w:name="_Toc701"/>
      <w:bookmarkStart w:id="1154" w:name="_Toc14019"/>
      <w:bookmarkStart w:id="1155" w:name="_Toc257"/>
      <w:bookmarkStart w:id="1156" w:name="_Toc31743"/>
      <w:bookmarkStart w:id="1157" w:name="_Toc25995"/>
      <w:bookmarkStart w:id="1158" w:name="_Toc14399"/>
      <w:bookmarkStart w:id="1159" w:name="_Toc18797"/>
      <w:bookmarkStart w:id="1160" w:name="_Toc13255"/>
      <w:r>
        <w:rPr>
          <w:rFonts w:hint="eastAsia" w:ascii="仿宋" w:hAnsi="仿宋" w:eastAsia="仿宋" w:cs="仿宋"/>
          <w:bCs w:val="0"/>
          <w:color w:val="auto"/>
          <w:sz w:val="24"/>
          <w:szCs w:val="24"/>
          <w:highlight w:val="none"/>
          <w:lang w:eastAsia="zh-CN"/>
        </w:rPr>
        <w:t>★89</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质量保证金</w:t>
      </w:r>
      <w:bookmarkEnd w:id="1153"/>
      <w:bookmarkEnd w:id="1154"/>
      <w:bookmarkEnd w:id="1155"/>
      <w:bookmarkEnd w:id="1156"/>
      <w:bookmarkEnd w:id="1157"/>
      <w:bookmarkEnd w:id="1158"/>
      <w:bookmarkEnd w:id="1159"/>
      <w:bookmarkEnd w:id="1160"/>
    </w:p>
    <w:p>
      <w:pPr>
        <w:rPr>
          <w:rFonts w:ascii="仿宋" w:hAnsi="仿宋" w:eastAsia="仿宋" w:cs="仿宋"/>
          <w:b/>
          <w:bCs/>
          <w:color w:val="auto"/>
          <w:highlight w:val="none"/>
          <w:lang w:eastAsia="zh-CN"/>
        </w:rPr>
      </w:pPr>
      <w:bookmarkStart w:id="1161" w:name="_Toc32434"/>
      <w:r>
        <w:rPr>
          <w:rFonts w:hint="eastAsia" w:ascii="仿宋" w:hAnsi="仿宋" w:eastAsia="仿宋" w:cs="仿宋"/>
          <w:b/>
          <w:bCs/>
          <w:color w:val="auto"/>
          <w:highlight w:val="none"/>
          <w:lang w:eastAsia="zh-CN"/>
        </w:rPr>
        <w:t>89</w:t>
      </w:r>
      <w:r>
        <w:rPr>
          <w:rFonts w:ascii="仿宋" w:hAnsi="仿宋" w:eastAsia="仿宋" w:cs="仿宋"/>
          <w:b/>
          <w:bCs/>
          <w:color w:val="auto"/>
          <w:highlight w:val="none"/>
          <w:lang w:eastAsia="zh-CN"/>
        </w:rPr>
        <w:t>.1</w:t>
      </w:r>
      <w:bookmarkEnd w:id="1161"/>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31648" behindDoc="0" locked="0" layoutInCell="1" allowOverlap="1">
                <wp:simplePos x="0" y="0"/>
                <wp:positionH relativeFrom="column">
                  <wp:posOffset>-114300</wp:posOffset>
                </wp:positionH>
                <wp:positionV relativeFrom="paragraph">
                  <wp:posOffset>8255</wp:posOffset>
                </wp:positionV>
                <wp:extent cx="756920" cy="610235"/>
                <wp:effectExtent l="0" t="0" r="0" b="0"/>
                <wp:wrapNone/>
                <wp:docPr id="267" name="文本框 1060"/>
                <wp:cNvGraphicFramePr/>
                <a:graphic xmlns:a="http://schemas.openxmlformats.org/drawingml/2006/main">
                  <a:graphicData uri="http://schemas.microsoft.com/office/word/2010/wordprocessingShape">
                    <wps:wsp>
                      <wps:cNvSpPr txBox="1"/>
                      <wps:spPr>
                        <a:xfrm>
                          <a:off x="0" y="0"/>
                          <a:ext cx="756920" cy="610235"/>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质量保证金的用途和限制</w:t>
                            </w:r>
                          </w:p>
                        </w:txbxContent>
                      </wps:txbx>
                      <wps:bodyPr wrap="square" upright="1"/>
                    </wps:wsp>
                  </a:graphicData>
                </a:graphic>
              </wp:anchor>
            </w:drawing>
          </mc:Choice>
          <mc:Fallback>
            <w:pict>
              <v:shape id="文本框 1060" o:spid="_x0000_s1026" o:spt="202" type="#_x0000_t202" style="position:absolute;left:0pt;margin-left:-9pt;margin-top:0.65pt;height:48.05pt;width:59.6pt;z-index:251931648;mso-width-relative:page;mso-height-relative:page;" filled="f" stroked="f" coordsize="21600,21600" o:gfxdata="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Ei2CjWAAAACAEAAA8AAAAAAAAAAQAgAAAAIgAAAGRycy9kb3ducmV2LnhtbFBLAQIUABQA&#10;AAAIAIdO4kApY0hLuQEAAGA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质量保证金的用途和限制</w:t>
                      </w:r>
                    </w:p>
                  </w:txbxContent>
                </v:textbox>
              </v:shape>
            </w:pict>
          </mc:Fallback>
        </mc:AlternateContent>
      </w:r>
      <w:r>
        <w:rPr>
          <w:rFonts w:hint="eastAsia" w:ascii="仿宋" w:hAnsi="仿宋" w:eastAsia="仿宋" w:cs="仿宋"/>
          <w:color w:val="auto"/>
          <w:sz w:val="24"/>
          <w:szCs w:val="24"/>
          <w:highlight w:val="none"/>
          <w:lang w:eastAsia="zh-CN"/>
        </w:rPr>
        <w:t>质量保证金用于承包人对合同工程质量的担保。承包人未按照法律有关规定和合同约定履行质量保修义务的，发包人有权从质量保证金中扣留用于质量保修的各项支出。</w:t>
      </w:r>
    </w:p>
    <w:p>
      <w:pPr>
        <w:spacing w:line="360" w:lineRule="auto"/>
        <w:rPr>
          <w:rFonts w:ascii="仿宋" w:hAnsi="仿宋" w:eastAsia="仿宋"/>
          <w:b/>
          <w:bCs/>
          <w:color w:val="auto"/>
          <w:highlight w:val="none"/>
          <w:lang w:eastAsia="zh-CN"/>
        </w:rPr>
      </w:pPr>
      <w:bookmarkStart w:id="1162" w:name="_Toc3328"/>
      <w:r>
        <w:rPr>
          <w:rFonts w:hint="eastAsia" w:ascii="仿宋" w:hAnsi="仿宋" w:eastAsia="仿宋" w:cs="仿宋"/>
          <w:b/>
          <w:bCs/>
          <w:color w:val="auto"/>
          <w:highlight w:val="none"/>
          <w:lang w:eastAsia="zh-CN"/>
        </w:rPr>
        <w:t>89</w:t>
      </w:r>
      <w:r>
        <w:rPr>
          <w:rFonts w:ascii="仿宋" w:hAnsi="仿宋" w:eastAsia="仿宋" w:cs="仿宋"/>
          <w:b/>
          <w:bCs/>
          <w:color w:val="auto"/>
          <w:highlight w:val="none"/>
          <w:lang w:eastAsia="zh-CN"/>
        </w:rPr>
        <w:t>.2</w:t>
      </w:r>
      <w:bookmarkEnd w:id="116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932672" behindDoc="0" locked="0" layoutInCell="1" allowOverlap="1">
                <wp:simplePos x="0" y="0"/>
                <wp:positionH relativeFrom="column">
                  <wp:posOffset>-66675</wp:posOffset>
                </wp:positionH>
                <wp:positionV relativeFrom="paragraph">
                  <wp:posOffset>8255</wp:posOffset>
                </wp:positionV>
                <wp:extent cx="804545" cy="612140"/>
                <wp:effectExtent l="0" t="0" r="0" b="0"/>
                <wp:wrapNone/>
                <wp:docPr id="268" name="文本框 1061"/>
                <wp:cNvGraphicFramePr/>
                <a:graphic xmlns:a="http://schemas.openxmlformats.org/drawingml/2006/main">
                  <a:graphicData uri="http://schemas.microsoft.com/office/word/2010/wordprocessingShape">
                    <wps:wsp>
                      <wps:cNvSpPr txBox="1"/>
                      <wps:spPr>
                        <a:xfrm>
                          <a:off x="0" y="0"/>
                          <a:ext cx="804545" cy="612140"/>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质量保证金的约定与扣留</w:t>
                            </w:r>
                          </w:p>
                        </w:txbxContent>
                      </wps:txbx>
                      <wps:bodyPr wrap="square" upright="1"/>
                    </wps:wsp>
                  </a:graphicData>
                </a:graphic>
              </wp:anchor>
            </w:drawing>
          </mc:Choice>
          <mc:Fallback>
            <w:pict>
              <v:shape id="文本框 1061" o:spid="_x0000_s1026" o:spt="202" type="#_x0000_t202" style="position:absolute;left:0pt;margin-left:-5.25pt;margin-top:0.65pt;height:48.2pt;width:63.35pt;z-index:251932672;mso-width-relative:page;mso-height-relative:page;" filled="f" stroked="f" coordsize="21600,21600" o:gfxdata="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IYJ3m1gAAAAgBAAAPAAAAAAAAAAEAIAAAACIAAABkcnMvZG93bnJldi54bWxQSwECFAAU&#10;AAAACACHTuJA9lu7rLoBAABg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质量保证金的约定与扣留</w:t>
                      </w:r>
                    </w:p>
                  </w:txbxContent>
                </v:textbox>
              </v:shape>
            </w:pict>
          </mc:Fallback>
        </mc:AlternateContent>
      </w:r>
      <w:r>
        <w:rPr>
          <w:rFonts w:hint="eastAsia" w:ascii="仿宋" w:hAnsi="仿宋" w:eastAsia="仿宋" w:cs="仿宋"/>
          <w:color w:val="auto"/>
          <w:sz w:val="24"/>
          <w:szCs w:val="24"/>
          <w:highlight w:val="none"/>
          <w:lang w:eastAsia="zh-CN"/>
        </w:rPr>
        <w:t>89.2.1质量保证金预留方式</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除专用合同条款另有约定外，质量保证金的预留方式原则上采用银行保函、担保、保险等方式。</w:t>
      </w:r>
    </w:p>
    <w:p>
      <w:pPr>
        <w:pStyle w:val="22"/>
        <w:widowControl w:val="0"/>
        <w:adjustRightInd w:val="0"/>
        <w:snapToGrid w:val="0"/>
        <w:spacing w:line="360" w:lineRule="auto"/>
        <w:ind w:left="1850" w:leftChars="771"/>
        <w:jc w:val="both"/>
        <w:rPr>
          <w:rFonts w:ascii="仿宋" w:hAnsi="仿宋" w:eastAsia="仿宋" w:cs="仿宋"/>
          <w:color w:val="auto"/>
          <w:sz w:val="24"/>
          <w:highlight w:val="none"/>
          <w:lang w:eastAsia="zh-CN"/>
        </w:rPr>
      </w:pPr>
      <w:r>
        <w:rPr>
          <w:rFonts w:hint="eastAsia" w:ascii="仿宋" w:hAnsi="仿宋" w:eastAsia="仿宋" w:cs="仿宋"/>
          <w:color w:val="auto"/>
          <w:sz w:val="24"/>
          <w:highlight w:val="none"/>
          <w:lang w:eastAsia="zh-CN"/>
        </w:rPr>
        <w:t>89.2.2质量保证金预留比例</w:t>
      </w:r>
    </w:p>
    <w:p>
      <w:pPr>
        <w:pStyle w:val="22"/>
        <w:widowControl w:val="0"/>
        <w:adjustRightInd w:val="0"/>
        <w:snapToGrid w:val="0"/>
        <w:spacing w:line="360" w:lineRule="auto"/>
        <w:ind w:left="1850" w:leftChars="77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highlight w:val="none"/>
          <w:lang w:eastAsia="zh-CN"/>
        </w:rPr>
        <w:t>发包人累计预留的质量保证金不得超过合同价格中建筑安装工程费、设备及工器具购置费（如果有）部分结算总额的3％。如承包人在发包人签发竣工付款证书后28天内提交质量保证金保函、担保或保险，发包人应同时退还扣留的作为质量保证金的工程价款；保函、担保或保险金额不得超过合同价格中建筑安装工程费、设备及工器具购置费（如果有）部分结算总额的3%。</w:t>
      </w:r>
    </w:p>
    <w:p>
      <w:pPr>
        <w:spacing w:line="360" w:lineRule="auto"/>
        <w:rPr>
          <w:rFonts w:ascii="仿宋" w:hAnsi="仿宋" w:eastAsia="仿宋"/>
          <w:b/>
          <w:bCs/>
          <w:color w:val="auto"/>
          <w:highlight w:val="none"/>
          <w:lang w:eastAsia="zh-CN"/>
        </w:rPr>
      </w:pPr>
      <w:bookmarkStart w:id="1163" w:name="_Toc8069"/>
      <w:r>
        <w:rPr>
          <w:rFonts w:hint="eastAsia" w:ascii="仿宋" w:hAnsi="仿宋" w:eastAsia="仿宋" w:cs="仿宋"/>
          <w:b/>
          <w:bCs/>
          <w:color w:val="auto"/>
          <w:highlight w:val="none"/>
          <w:lang w:eastAsia="zh-CN"/>
        </w:rPr>
        <w:t>89</w:t>
      </w:r>
      <w:r>
        <w:rPr>
          <w:rFonts w:ascii="仿宋" w:hAnsi="仿宋" w:eastAsia="仿宋" w:cs="仿宋"/>
          <w:b/>
          <w:bCs/>
          <w:color w:val="auto"/>
          <w:highlight w:val="none"/>
          <w:lang w:eastAsia="zh-CN"/>
        </w:rPr>
        <w:t>.3</w:t>
      </w:r>
      <w:bookmarkEnd w:id="1163"/>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rPr>
          <w:rFonts w:ascii="仿宋" w:hAnsi="仿宋" w:eastAsia="仿宋" w:cs="仿宋"/>
          <w:color w:val="auto"/>
          <w:sz w:val="24"/>
          <w:szCs w:val="24"/>
          <w:highlight w:val="none"/>
          <w:lang w:eastAsia="zh-CN"/>
        </w:rPr>
      </w:pPr>
      <w:r>
        <w:rPr>
          <w:color w:val="auto"/>
          <w:highlight w:val="none"/>
        </w:rPr>
        <mc:AlternateContent>
          <mc:Choice Requires="wps">
            <w:drawing>
              <wp:anchor distT="0" distB="0" distL="114300" distR="114300" simplePos="0" relativeHeight="251933696" behindDoc="0" locked="0" layoutInCell="1" allowOverlap="1">
                <wp:simplePos x="0" y="0"/>
                <wp:positionH relativeFrom="column">
                  <wp:posOffset>-114300</wp:posOffset>
                </wp:positionH>
                <wp:positionV relativeFrom="paragraph">
                  <wp:posOffset>45720</wp:posOffset>
                </wp:positionV>
                <wp:extent cx="765810" cy="624205"/>
                <wp:effectExtent l="0" t="0" r="0" b="0"/>
                <wp:wrapNone/>
                <wp:docPr id="269" name="文本框 1062"/>
                <wp:cNvGraphicFramePr/>
                <a:graphic xmlns:a="http://schemas.openxmlformats.org/drawingml/2006/main">
                  <a:graphicData uri="http://schemas.microsoft.com/office/word/2010/wordprocessingShape">
                    <wps:wsp>
                      <wps:cNvSpPr txBox="1"/>
                      <wps:spPr>
                        <a:xfrm>
                          <a:off x="0" y="0"/>
                          <a:ext cx="765810" cy="62420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质量保证金返还</w:t>
                            </w:r>
                          </w:p>
                        </w:txbxContent>
                      </wps:txbx>
                      <wps:bodyPr wrap="square" upright="1"/>
                    </wps:wsp>
                  </a:graphicData>
                </a:graphic>
              </wp:anchor>
            </w:drawing>
          </mc:Choice>
          <mc:Fallback>
            <w:pict>
              <v:shape id="文本框 1062" o:spid="_x0000_s1026" o:spt="202" type="#_x0000_t202" style="position:absolute;left:0pt;margin-left:-9pt;margin-top:3.6pt;height:49.15pt;width:60.3pt;z-index:251933696;mso-width-relative:page;mso-height-relative:page;" filled="f" stroked="f" coordsize="21600,21600" o:gfxdata="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I9WFdrWAAAACQEAAA8AAAAAAAAAAQAgAAAAIgAAAGRycy9kb3ducmV2LnhtbFBLAQIUABQA&#10;AAAIAIdO4kBhap4kuQEAAGADAAAOAAAAAAAAAAEAIAAAACU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质量保证金返还</w:t>
                      </w:r>
                    </w:p>
                  </w:txbxContent>
                </v:textbox>
              </v:shape>
            </w:pict>
          </mc:Fallback>
        </mc:AlternateContent>
      </w:r>
      <w:r>
        <w:rPr>
          <w:rFonts w:hint="eastAsia" w:ascii="仿宋" w:hAnsi="仿宋" w:eastAsia="仿宋" w:cs="仿宋"/>
          <w:color w:val="auto"/>
          <w:sz w:val="24"/>
          <w:szCs w:val="24"/>
          <w:highlight w:val="none"/>
          <w:lang w:eastAsia="zh-CN"/>
        </w:rPr>
        <w:t>缺陷责任期（包括第67</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款延长的期限）满时，承包人应向发包人申请到期应返还的剩余质量保证金金额。发包人如无异议，应在缺陷责任期满后的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将剩余的质量保证金返还给承包人。逾期返还的，除专用条款另有约定外，从逾期之日起，按照全国银行间同业拆借中心公布的贷款市场报价利率（LPR）计付利息，并承担违约责任。剩余质量保证金的返还，并不能免除承包人按照合同约定应承担的质量保修责任和应履行的质量保修义务。</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89</w:t>
      </w:r>
      <w:r>
        <w:rPr>
          <w:rFonts w:ascii="仿宋" w:hAnsi="仿宋" w:eastAsia="仿宋" w:cs="仿宋"/>
          <w:b/>
          <w:bCs/>
          <w:color w:val="auto"/>
          <w:highlight w:val="none"/>
          <w:lang w:eastAsia="zh-CN"/>
        </w:rPr>
        <w:t xml:space="preserve">.4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34720" behindDoc="0" locked="0" layoutInCell="1" allowOverlap="1">
                <wp:simplePos x="0" y="0"/>
                <wp:positionH relativeFrom="column">
                  <wp:posOffset>-114300</wp:posOffset>
                </wp:positionH>
                <wp:positionV relativeFrom="paragraph">
                  <wp:posOffset>45720</wp:posOffset>
                </wp:positionV>
                <wp:extent cx="775970" cy="548640"/>
                <wp:effectExtent l="0" t="0" r="0" b="0"/>
                <wp:wrapNone/>
                <wp:docPr id="270" name="文本框 1063"/>
                <wp:cNvGraphicFramePr/>
                <a:graphic xmlns:a="http://schemas.openxmlformats.org/drawingml/2006/main">
                  <a:graphicData uri="http://schemas.microsoft.com/office/word/2010/wordprocessingShape">
                    <wps:wsp>
                      <wps:cNvSpPr txBox="1"/>
                      <wps:spPr>
                        <a:xfrm>
                          <a:off x="0" y="0"/>
                          <a:ext cx="775970" cy="54864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质量保证金扣留</w:t>
                            </w:r>
                          </w:p>
                        </w:txbxContent>
                      </wps:txbx>
                      <wps:bodyPr wrap="square" upright="1"/>
                    </wps:wsp>
                  </a:graphicData>
                </a:graphic>
              </wp:anchor>
            </w:drawing>
          </mc:Choice>
          <mc:Fallback>
            <w:pict>
              <v:shape id="文本框 1063" o:spid="_x0000_s1026" o:spt="202" type="#_x0000_t202" style="position:absolute;left:0pt;margin-left:-9pt;margin-top:3.6pt;height:43.2pt;width:61.1pt;z-index:251934720;mso-width-relative:page;mso-height-relative:page;" filled="f" stroked="f" coordsize="21600,21600" o:gfxdata="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RWxRNNYAAAAIAQAADwAAAAAAAAABACAAAAAiAAAAZHJzL2Rvd25yZXYueG1sUEsBAhQA&#10;FAAAAAgAh07iQIKbaTq7AQAAYA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质量保证金扣留</w:t>
                      </w:r>
                    </w:p>
                  </w:txbxContent>
                </v:textbox>
              </v:shape>
            </w:pict>
          </mc:Fallback>
        </mc:AlternateContent>
      </w:r>
      <w:r>
        <w:rPr>
          <w:rFonts w:hint="eastAsia" w:ascii="仿宋" w:hAnsi="仿宋" w:eastAsia="仿宋" w:cs="仿宋"/>
          <w:color w:val="auto"/>
          <w:sz w:val="24"/>
          <w:szCs w:val="24"/>
          <w:highlight w:val="none"/>
          <w:lang w:eastAsia="zh-CN"/>
        </w:rPr>
        <w:t>缺陷责任期（包括第66</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款延长的期限）届满时，承包人没有全面</w:t>
      </w:r>
      <w:r>
        <w:rPr>
          <w:rFonts w:ascii="仿宋" w:hAnsi="仿宋" w:eastAsia="仿宋" w:cs="仿宋"/>
          <w:color w:val="auto"/>
          <w:sz w:val="24"/>
          <w:szCs w:val="24"/>
          <w:highlight w:val="none"/>
          <w:lang w:eastAsia="zh-CN"/>
        </w:rPr>
        <w:t>履行</w:t>
      </w:r>
      <w:r>
        <w:rPr>
          <w:rFonts w:hint="eastAsia" w:ascii="仿宋" w:hAnsi="仿宋" w:eastAsia="仿宋" w:cs="仿宋"/>
          <w:color w:val="auto"/>
          <w:sz w:val="24"/>
          <w:szCs w:val="24"/>
          <w:highlight w:val="none"/>
          <w:lang w:eastAsia="zh-CN"/>
        </w:rPr>
        <w:t>缺陷修复责任的，发包人有权扣留承包人未履行</w:t>
      </w:r>
      <w:r>
        <w:rPr>
          <w:rFonts w:ascii="仿宋" w:hAnsi="仿宋" w:eastAsia="仿宋" w:cs="仿宋"/>
          <w:color w:val="auto"/>
          <w:sz w:val="24"/>
          <w:szCs w:val="24"/>
          <w:highlight w:val="none"/>
          <w:lang w:eastAsia="zh-CN"/>
        </w:rPr>
        <w:t>部分相应质量保证金</w:t>
      </w:r>
      <w:r>
        <w:rPr>
          <w:rFonts w:hint="eastAsia" w:ascii="仿宋" w:hAnsi="仿宋" w:eastAsia="仿宋" w:cs="仿宋"/>
          <w:color w:val="auto"/>
          <w:sz w:val="24"/>
          <w:szCs w:val="24"/>
          <w:highlight w:val="none"/>
          <w:lang w:eastAsia="zh-CN"/>
        </w:rPr>
        <w:t>，并有权根据第66</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款约定要求延长缺陷责任期，直到完成剩余工作为止。</w:t>
      </w:r>
    </w:p>
    <w:p>
      <w:pPr>
        <w:pStyle w:val="22"/>
        <w:adjustRightInd w:val="0"/>
        <w:snapToGrid w:val="0"/>
        <w:spacing w:line="360" w:lineRule="auto"/>
        <w:rPr>
          <w:rFonts w:ascii="仿宋" w:hAnsi="仿宋" w:eastAsia="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64" w:name="_Toc21585"/>
      <w:bookmarkStart w:id="1165" w:name="_Toc5669"/>
      <w:bookmarkStart w:id="1166" w:name="_Toc24400"/>
      <w:bookmarkStart w:id="1167" w:name="_Toc11715"/>
      <w:bookmarkStart w:id="1168" w:name="_Toc26427"/>
      <w:bookmarkStart w:id="1169" w:name="_Toc13411"/>
      <w:bookmarkStart w:id="1170" w:name="_Toc20751"/>
      <w:bookmarkStart w:id="1171" w:name="_Toc13116"/>
      <w:r>
        <w:rPr>
          <w:rFonts w:hint="eastAsia" w:ascii="仿宋" w:hAnsi="仿宋" w:eastAsia="仿宋" w:cs="仿宋"/>
          <w:bCs w:val="0"/>
          <w:color w:val="auto"/>
          <w:sz w:val="24"/>
          <w:szCs w:val="24"/>
          <w:highlight w:val="none"/>
          <w:lang w:eastAsia="zh-CN"/>
        </w:rPr>
        <w:t>90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最终清算款</w:t>
      </w:r>
      <w:bookmarkEnd w:id="1164"/>
      <w:bookmarkEnd w:id="1165"/>
      <w:bookmarkEnd w:id="1166"/>
      <w:bookmarkEnd w:id="1167"/>
      <w:bookmarkEnd w:id="1168"/>
      <w:bookmarkEnd w:id="1169"/>
      <w:bookmarkEnd w:id="1170"/>
      <w:bookmarkEnd w:id="1171"/>
    </w:p>
    <w:p>
      <w:pPr>
        <w:rPr>
          <w:rFonts w:ascii="仿宋" w:hAnsi="仿宋" w:eastAsia="仿宋" w:cs="仿宋"/>
          <w:b/>
          <w:bCs/>
          <w:color w:val="auto"/>
          <w:highlight w:val="none"/>
          <w:lang w:eastAsia="zh-CN"/>
        </w:rPr>
      </w:pPr>
      <w:bookmarkStart w:id="1172" w:name="_Toc28312"/>
      <w:r>
        <w:rPr>
          <w:rFonts w:hint="eastAsia" w:ascii="仿宋" w:hAnsi="仿宋" w:eastAsia="仿宋" w:cs="仿宋"/>
          <w:b/>
          <w:bCs/>
          <w:color w:val="auto"/>
          <w:highlight w:val="none"/>
          <w:lang w:eastAsia="zh-CN"/>
        </w:rPr>
        <w:t>90</w:t>
      </w:r>
      <w:r>
        <w:rPr>
          <w:rFonts w:ascii="仿宋" w:hAnsi="仿宋" w:eastAsia="仿宋" w:cs="仿宋"/>
          <w:b/>
          <w:bCs/>
          <w:color w:val="auto"/>
          <w:highlight w:val="none"/>
          <w:lang w:eastAsia="zh-CN"/>
        </w:rPr>
        <w:t>.1</w:t>
      </w:r>
      <w:bookmarkEnd w:id="1172"/>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35744" behindDoc="0" locked="0" layoutInCell="1" allowOverlap="1">
                <wp:simplePos x="0" y="0"/>
                <wp:positionH relativeFrom="column">
                  <wp:posOffset>-114300</wp:posOffset>
                </wp:positionH>
                <wp:positionV relativeFrom="paragraph">
                  <wp:posOffset>74295</wp:posOffset>
                </wp:positionV>
                <wp:extent cx="756920" cy="659130"/>
                <wp:effectExtent l="0" t="0" r="0" b="0"/>
                <wp:wrapNone/>
                <wp:docPr id="271" name="文本框 1064"/>
                <wp:cNvGraphicFramePr/>
                <a:graphic xmlns:a="http://schemas.openxmlformats.org/drawingml/2006/main">
                  <a:graphicData uri="http://schemas.microsoft.com/office/word/2010/wordprocessingShape">
                    <wps:wsp>
                      <wps:cNvSpPr txBox="1"/>
                      <wps:spPr>
                        <a:xfrm>
                          <a:off x="0" y="0"/>
                          <a:ext cx="756920" cy="65913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提交最终清算支付申请</w:t>
                            </w:r>
                          </w:p>
                        </w:txbxContent>
                      </wps:txbx>
                      <wps:bodyPr wrap="square" upright="1"/>
                    </wps:wsp>
                  </a:graphicData>
                </a:graphic>
              </wp:anchor>
            </w:drawing>
          </mc:Choice>
          <mc:Fallback>
            <w:pict>
              <v:shape id="文本框 1064" o:spid="_x0000_s1026" o:spt="202" type="#_x0000_t202" style="position:absolute;left:0pt;margin-left:-9pt;margin-top:5.85pt;height:51.9pt;width:59.6pt;z-index:251935744;mso-width-relative:page;mso-height-relative:page;" filled="f" stroked="f" coordsize="21600,21600" o:gfxdata="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IHfyPPWAAAACgEAAA8AAAAAAAAAAQAgAAAAIgAAAGRycy9kb3ducmV2LnhtbFBLAQIU&#10;ABQAAAAIAIdO4kCIQp0bvAEAAGADAAAOAAAAAAAAAAEAIAAAACU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提交最终清算支付申请</w:t>
                      </w:r>
                    </w:p>
                  </w:txbxContent>
                </v:textbox>
              </v:shape>
            </w:pict>
          </mc:Fallback>
        </mc:AlternateContent>
      </w:r>
      <w:r>
        <w:rPr>
          <w:rFonts w:hint="eastAsia" w:ascii="仿宋" w:hAnsi="仿宋" w:eastAsia="仿宋" w:cs="仿宋"/>
          <w:color w:val="auto"/>
          <w:highlight w:val="none"/>
          <w:lang w:eastAsia="zh-CN"/>
        </w:rPr>
        <w:t>合同双方当事人应在专用条款中明确最终清算款的支付时限。专用条款没有约定的，最终清算款按照第90</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款至第90</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款约定办理。涉及政府投资资金的工程，支付期、支付方法等需调整的，应在专用条款中约定。</w:t>
      </w:r>
    </w:p>
    <w:p>
      <w:pPr>
        <w:widowControl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缺陷责任期终止证书签发后，承包人应按照专用条款约定的份数和期限向造价咨询人提交最终清算支付申请，并提供相关证明材料。发包人对最终清算支付申请有异议的，有权要求承包人进一步修正和提供补充资料。承包人修正后，应再次向造价咨询人提交修正后的最终清算支付申请。</w:t>
      </w:r>
    </w:p>
    <w:p>
      <w:pPr>
        <w:pStyle w:val="22"/>
        <w:tabs>
          <w:tab w:val="left" w:pos="900"/>
        </w:tabs>
        <w:adjustRightInd w:val="0"/>
        <w:snapToGrid w:val="0"/>
        <w:spacing w:line="360" w:lineRule="auto"/>
        <w:rPr>
          <w:rFonts w:ascii="仿宋" w:hAnsi="仿宋" w:eastAsia="仿宋"/>
          <w:color w:val="auto"/>
          <w:sz w:val="24"/>
          <w:szCs w:val="24"/>
          <w:highlight w:val="none"/>
          <w:lang w:eastAsia="zh-CN"/>
        </w:rPr>
      </w:pPr>
      <w:r>
        <w:rPr>
          <w:rFonts w:hint="eastAsia" w:ascii="仿宋" w:hAnsi="仿宋" w:eastAsia="仿宋" w:cs="仿宋"/>
          <w:b/>
          <w:bCs/>
          <w:color w:val="auto"/>
          <w:sz w:val="24"/>
          <w:szCs w:val="24"/>
          <w:highlight w:val="none"/>
          <w:lang w:eastAsia="zh-CN"/>
        </w:rPr>
        <w:t>90</w:t>
      </w:r>
      <w:r>
        <w:rPr>
          <w:rFonts w:ascii="仿宋" w:hAnsi="仿宋" w:eastAsia="仿宋" w:cs="仿宋"/>
          <w:b/>
          <w:bCs/>
          <w:color w:val="auto"/>
          <w:sz w:val="24"/>
          <w:szCs w:val="24"/>
          <w:highlight w:val="none"/>
          <w:lang w:eastAsia="zh-CN"/>
        </w:rPr>
        <w:t>.2</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u w:val="single"/>
          <w:lang w:eastAsia="zh-CN"/>
        </w:rPr>
      </w:pPr>
      <w:r>
        <w:rPr>
          <w:color w:val="auto"/>
          <w:highlight w:val="none"/>
        </w:rPr>
        <mc:AlternateContent>
          <mc:Choice Requires="wps">
            <w:drawing>
              <wp:anchor distT="0" distB="0" distL="114300" distR="114300" simplePos="0" relativeHeight="251936768" behindDoc="0" locked="0" layoutInCell="1" allowOverlap="1">
                <wp:simplePos x="0" y="0"/>
                <wp:positionH relativeFrom="column">
                  <wp:posOffset>-114300</wp:posOffset>
                </wp:positionH>
                <wp:positionV relativeFrom="paragraph">
                  <wp:posOffset>8890</wp:posOffset>
                </wp:positionV>
                <wp:extent cx="762635" cy="577215"/>
                <wp:effectExtent l="0" t="0" r="0" b="0"/>
                <wp:wrapNone/>
                <wp:docPr id="272" name="文本框 1065"/>
                <wp:cNvGraphicFramePr/>
                <a:graphic xmlns:a="http://schemas.openxmlformats.org/drawingml/2006/main">
                  <a:graphicData uri="http://schemas.microsoft.com/office/word/2010/wordprocessingShape">
                    <wps:wsp>
                      <wps:cNvSpPr txBox="1"/>
                      <wps:spPr>
                        <a:xfrm>
                          <a:off x="0" y="0"/>
                          <a:ext cx="762635" cy="577215"/>
                        </a:xfrm>
                        <a:prstGeom prst="rect">
                          <a:avLst/>
                        </a:prstGeom>
                        <a:noFill/>
                        <a:ln>
                          <a:noFill/>
                        </a:ln>
                      </wps:spPr>
                      <wps:txbx>
                        <w:txbxContent>
                          <w:p>
                            <w:pPr>
                              <w:spacing w:line="240" w:lineRule="exact"/>
                              <w:rPr>
                                <w:rFonts w:ascii="宋体"/>
                                <w:b/>
                                <w:bCs/>
                                <w:sz w:val="18"/>
                                <w:szCs w:val="18"/>
                              </w:rPr>
                            </w:pPr>
                            <w:r>
                              <w:rPr>
                                <w:rFonts w:hint="eastAsia" w:ascii="楷体_GB2312" w:hAnsi="宋体" w:eastAsia="楷体_GB2312" w:cs="楷体_GB2312"/>
                                <w:b/>
                                <w:bCs/>
                                <w:sz w:val="18"/>
                                <w:szCs w:val="18"/>
                              </w:rPr>
                              <w:t>签发最终清算支付证书</w:t>
                            </w:r>
                          </w:p>
                        </w:txbxContent>
                      </wps:txbx>
                      <wps:bodyPr wrap="square" upright="1"/>
                    </wps:wsp>
                  </a:graphicData>
                </a:graphic>
              </wp:anchor>
            </w:drawing>
          </mc:Choice>
          <mc:Fallback>
            <w:pict>
              <v:shape id="文本框 1065" o:spid="_x0000_s1026" o:spt="202" type="#_x0000_t202" style="position:absolute;left:0pt;margin-left:-9pt;margin-top:0.7pt;height:45.45pt;width:60.05pt;z-index:251936768;mso-width-relative:page;mso-height-relative:page;" filled="f" stroked="f" coordsize="21600,21600" o:gfxdata="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AhwlqTVAAAACAEAAA8AAAAAAAAAAQAgAAAAIgAAAGRycy9kb3ducmV2LnhtbFBLAQIUABQA&#10;AAAIAIdO4kAjTOaYugEAAGADAAAOAAAAAAAAAAEAIAAAACQBAABkcnMvZTJvRG9jLnhtbFBLBQYA&#10;AAAABgAGAFkBAABQBQAAAAA=&#10;">
                <v:fill on="f" focussize="0,0"/>
                <v:stroke on="f"/>
                <v:imagedata o:title=""/>
                <o:lock v:ext="edit" aspectratio="f"/>
                <v:textbox>
                  <w:txbxContent>
                    <w:p>
                      <w:pPr>
                        <w:spacing w:line="240" w:lineRule="exact"/>
                        <w:rPr>
                          <w:rFonts w:ascii="宋体"/>
                          <w:b/>
                          <w:bCs/>
                          <w:sz w:val="18"/>
                          <w:szCs w:val="18"/>
                        </w:rPr>
                      </w:pPr>
                      <w:r>
                        <w:rPr>
                          <w:rFonts w:hint="eastAsia" w:ascii="楷体_GB2312" w:hAnsi="宋体" w:eastAsia="楷体_GB2312" w:cs="楷体_GB2312"/>
                          <w:b/>
                          <w:bCs/>
                          <w:sz w:val="18"/>
                          <w:szCs w:val="18"/>
                        </w:rPr>
                        <w:t>签发最终清算支付证书</w:t>
                      </w:r>
                    </w:p>
                  </w:txbxContent>
                </v:textbox>
              </v:shape>
            </w:pict>
          </mc:Fallback>
        </mc:AlternateContent>
      </w:r>
      <w:r>
        <w:rPr>
          <w:rFonts w:hint="eastAsia" w:ascii="仿宋" w:hAnsi="仿宋" w:eastAsia="仿宋" w:cs="仿宋"/>
          <w:color w:val="auto"/>
          <w:sz w:val="24"/>
          <w:szCs w:val="24"/>
          <w:highlight w:val="none"/>
          <w:lang w:eastAsia="zh-CN"/>
        </w:rPr>
        <w:t>造价咨询人应在收到最终清算支付申请后的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天内予以计量、核实，并将核实结果通知承包人、抄报发包人。发包人应在收到核实结果后的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天内在最终清算文件上签字确认。造价咨询人应在发包人签字确认最终清算文件后的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天内，向发包人签发最终清算支付证书，同时抄送承包人。</w:t>
      </w:r>
    </w:p>
    <w:p>
      <w:pPr>
        <w:pStyle w:val="22"/>
        <w:tabs>
          <w:tab w:val="left" w:pos="900"/>
        </w:tabs>
        <w:adjustRightInd w:val="0"/>
        <w:snapToGrid w:val="0"/>
        <w:spacing w:line="360" w:lineRule="auto"/>
        <w:rPr>
          <w:rFonts w:ascii="仿宋" w:hAnsi="仿宋" w:eastAsia="仿宋"/>
          <w:color w:val="auto"/>
          <w:sz w:val="24"/>
          <w:szCs w:val="24"/>
          <w:highlight w:val="none"/>
          <w:lang w:eastAsia="zh-CN"/>
        </w:rPr>
      </w:pPr>
      <w:bookmarkStart w:id="1173" w:name="_Toc7893"/>
      <w:r>
        <w:rPr>
          <w:rFonts w:hint="eastAsia" w:ascii="仿宋" w:hAnsi="仿宋" w:eastAsia="仿宋" w:cs="仿宋"/>
          <w:b/>
          <w:bCs/>
          <w:color w:val="auto"/>
          <w:sz w:val="24"/>
          <w:szCs w:val="24"/>
          <w:highlight w:val="none"/>
          <w:lang w:eastAsia="zh-CN"/>
        </w:rPr>
        <w:t>90</w:t>
      </w:r>
      <w:r>
        <w:rPr>
          <w:rFonts w:ascii="仿宋" w:hAnsi="仿宋" w:eastAsia="仿宋" w:cs="仿宋"/>
          <w:b/>
          <w:bCs/>
          <w:color w:val="auto"/>
          <w:sz w:val="24"/>
          <w:szCs w:val="24"/>
          <w:highlight w:val="none"/>
          <w:lang w:eastAsia="zh-CN"/>
        </w:rPr>
        <w:t>.3</w:t>
      </w:r>
      <w:bookmarkEnd w:id="1173"/>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sz w:val="24"/>
          <w:szCs w:val="24"/>
          <w:highlight w:val="none"/>
        </w:rPr>
        <mc:AlternateContent>
          <mc:Choice Requires="wps">
            <w:drawing>
              <wp:anchor distT="0" distB="0" distL="114300" distR="114300" simplePos="0" relativeHeight="252063744" behindDoc="0" locked="0" layoutInCell="1" allowOverlap="1">
                <wp:simplePos x="0" y="0"/>
                <wp:positionH relativeFrom="column">
                  <wp:posOffset>-114300</wp:posOffset>
                </wp:positionH>
                <wp:positionV relativeFrom="paragraph">
                  <wp:posOffset>39370</wp:posOffset>
                </wp:positionV>
                <wp:extent cx="775970" cy="453390"/>
                <wp:effectExtent l="0" t="0" r="0" b="0"/>
                <wp:wrapNone/>
                <wp:docPr id="396" name="文本框 1066"/>
                <wp:cNvGraphicFramePr/>
                <a:graphic xmlns:a="http://schemas.openxmlformats.org/drawingml/2006/main">
                  <a:graphicData uri="http://schemas.microsoft.com/office/word/2010/wordprocessingShape">
                    <wps:wsp>
                      <wps:cNvSpPr txBox="1"/>
                      <wps:spPr>
                        <a:xfrm>
                          <a:off x="0" y="0"/>
                          <a:ext cx="775970" cy="453390"/>
                        </a:xfrm>
                        <a:prstGeom prst="rect">
                          <a:avLst/>
                        </a:prstGeom>
                        <a:noFill/>
                        <a:ln>
                          <a:noFill/>
                        </a:ln>
                      </wps:spPr>
                      <wps:txbx>
                        <w:txbxContent>
                          <w:p>
                            <w:pPr>
                              <w:spacing w:line="240" w:lineRule="exact"/>
                              <w:rPr>
                                <w:rFonts w:ascii="宋体"/>
                                <w:b/>
                                <w:bCs/>
                                <w:sz w:val="18"/>
                                <w:szCs w:val="18"/>
                              </w:rPr>
                            </w:pPr>
                            <w:r>
                              <w:rPr>
                                <w:rFonts w:hint="eastAsia" w:ascii="楷体_GB2312" w:hAnsi="宋体" w:eastAsia="楷体_GB2312" w:cs="楷体_GB2312"/>
                                <w:b/>
                                <w:bCs/>
                                <w:sz w:val="18"/>
                                <w:szCs w:val="18"/>
                              </w:rPr>
                              <w:t>最终清算款支付</w:t>
                            </w:r>
                            <w:r>
                              <w:rPr>
                                <w:rFonts w:ascii="楷体_GB2312" w:hAnsi="宋体" w:eastAsia="楷体_GB2312" w:cs="楷体_GB2312"/>
                                <w:b/>
                                <w:bCs/>
                                <w:sz w:val="18"/>
                                <w:szCs w:val="18"/>
                              </w:rPr>
                              <w:t xml:space="preserve"> </w:t>
                            </w:r>
                          </w:p>
                        </w:txbxContent>
                      </wps:txbx>
                      <wps:bodyPr wrap="square" upright="1"/>
                    </wps:wsp>
                  </a:graphicData>
                </a:graphic>
              </wp:anchor>
            </w:drawing>
          </mc:Choice>
          <mc:Fallback>
            <w:pict>
              <v:shape id="文本框 1066" o:spid="_x0000_s1026" o:spt="202" type="#_x0000_t202" style="position:absolute;left:0pt;margin-left:-9pt;margin-top:3.1pt;height:35.7pt;width:61.1pt;z-index:252063744;mso-width-relative:page;mso-height-relative:page;" filled="f" stroked="f" coordsize="21600,21600" o:gfxdata="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OcgynWAAAACAEAAA8AAAAAAAAAAQAgAAAAIgAAAGRycy9kb3ducmV2LnhtbFBLAQIU&#10;ABQAAAAIAIdO4kCgveo5vAEAAGADAAAOAAAAAAAAAAEAIAAAACUBAABkcnMvZTJvRG9jLnhtbFBL&#10;BQYAAAAABgAGAFkBAABTBQAAAAA=&#10;">
                <v:fill on="f" focussize="0,0"/>
                <v:stroke on="f"/>
                <v:imagedata o:title=""/>
                <o:lock v:ext="edit" aspectratio="f"/>
                <v:textbox>
                  <w:txbxContent>
                    <w:p>
                      <w:pPr>
                        <w:spacing w:line="240" w:lineRule="exact"/>
                        <w:rPr>
                          <w:rFonts w:ascii="宋体"/>
                          <w:b/>
                          <w:bCs/>
                          <w:sz w:val="18"/>
                          <w:szCs w:val="18"/>
                        </w:rPr>
                      </w:pPr>
                      <w:r>
                        <w:rPr>
                          <w:rFonts w:hint="eastAsia" w:ascii="楷体_GB2312" w:hAnsi="宋体" w:eastAsia="楷体_GB2312" w:cs="楷体_GB2312"/>
                          <w:b/>
                          <w:bCs/>
                          <w:sz w:val="18"/>
                          <w:szCs w:val="18"/>
                        </w:rPr>
                        <w:t>最终清算款支付</w:t>
                      </w:r>
                      <w:r>
                        <w:rPr>
                          <w:rFonts w:ascii="楷体_GB2312" w:hAnsi="宋体" w:eastAsia="楷体_GB2312" w:cs="楷体_GB2312"/>
                          <w:b/>
                          <w:bCs/>
                          <w:sz w:val="18"/>
                          <w:szCs w:val="18"/>
                        </w:rPr>
                        <w:t xml:space="preserve"> </w:t>
                      </w:r>
                    </w:p>
                  </w:txbxContent>
                </v:textbox>
              </v:shape>
            </w:pict>
          </mc:Fallback>
        </mc:AlternateContent>
      </w:r>
      <w:r>
        <w:rPr>
          <w:rFonts w:hint="eastAsia" w:ascii="仿宋" w:hAnsi="仿宋" w:eastAsia="仿宋" w:cs="仿宋"/>
          <w:color w:val="auto"/>
          <w:sz w:val="24"/>
          <w:szCs w:val="24"/>
          <w:highlight w:val="none"/>
          <w:lang w:eastAsia="zh-CN"/>
        </w:rPr>
        <w:t>发包人应在造价咨询人签发最终清算支付证书后的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天内，按照最终清算支付证书列明的金额向承包人支付最终清算款，并通知造价咨询人。</w:t>
      </w:r>
    </w:p>
    <w:p>
      <w:pPr>
        <w:pStyle w:val="22"/>
        <w:adjustRightInd w:val="0"/>
        <w:snapToGrid w:val="0"/>
        <w:spacing w:line="480" w:lineRule="auto"/>
        <w:rPr>
          <w:rFonts w:ascii="仿宋" w:hAnsi="仿宋" w:eastAsia="仿宋"/>
          <w:color w:val="auto"/>
          <w:sz w:val="24"/>
          <w:szCs w:val="24"/>
          <w:highlight w:val="none"/>
          <w:lang w:eastAsia="zh-CN"/>
        </w:rPr>
      </w:pPr>
      <w:r>
        <w:rPr>
          <w:rFonts w:hint="eastAsia" w:ascii="仿宋" w:hAnsi="仿宋" w:eastAsia="仿宋" w:cs="仿宋"/>
          <w:b/>
          <w:bCs/>
          <w:color w:val="auto"/>
          <w:sz w:val="24"/>
          <w:szCs w:val="24"/>
          <w:highlight w:val="none"/>
          <w:lang w:eastAsia="zh-CN"/>
        </w:rPr>
        <w:t>90</w:t>
      </w:r>
      <w:r>
        <w:rPr>
          <w:rFonts w:ascii="仿宋" w:hAnsi="仿宋" w:eastAsia="仿宋" w:cs="仿宋"/>
          <w:b/>
          <w:bCs/>
          <w:color w:val="auto"/>
          <w:sz w:val="24"/>
          <w:szCs w:val="24"/>
          <w:highlight w:val="none"/>
          <w:lang w:eastAsia="zh-CN"/>
        </w:rPr>
        <w:t xml:space="preserve">.4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2064768" behindDoc="0" locked="0" layoutInCell="1" allowOverlap="1">
                <wp:simplePos x="0" y="0"/>
                <wp:positionH relativeFrom="column">
                  <wp:posOffset>-114300</wp:posOffset>
                </wp:positionH>
                <wp:positionV relativeFrom="paragraph">
                  <wp:posOffset>53340</wp:posOffset>
                </wp:positionV>
                <wp:extent cx="756920" cy="539115"/>
                <wp:effectExtent l="0" t="0" r="0" b="0"/>
                <wp:wrapNone/>
                <wp:docPr id="397" name="文本框 1067"/>
                <wp:cNvGraphicFramePr/>
                <a:graphic xmlns:a="http://schemas.openxmlformats.org/drawingml/2006/main">
                  <a:graphicData uri="http://schemas.microsoft.com/office/word/2010/wordprocessingShape">
                    <wps:wsp>
                      <wps:cNvSpPr txBox="1"/>
                      <wps:spPr>
                        <a:xfrm>
                          <a:off x="0" y="0"/>
                          <a:ext cx="756920" cy="539115"/>
                        </a:xfrm>
                        <a:prstGeom prst="rect">
                          <a:avLst/>
                        </a:prstGeom>
                        <a:noFill/>
                        <a:ln>
                          <a:noFill/>
                        </a:ln>
                      </wps:spPr>
                      <wps:txbx>
                        <w:txbxContent>
                          <w:p>
                            <w:pPr>
                              <w:spacing w:line="240" w:lineRule="exact"/>
                              <w:rPr>
                                <w:rFonts w:ascii="宋体"/>
                                <w:b/>
                                <w:bCs/>
                                <w:sz w:val="18"/>
                                <w:szCs w:val="18"/>
                                <w:lang w:eastAsia="zh-CN"/>
                              </w:rPr>
                            </w:pPr>
                            <w:r>
                              <w:rPr>
                                <w:rFonts w:hint="eastAsia" w:ascii="楷体_GB2312" w:hAnsi="宋体" w:eastAsia="楷体_GB2312" w:cs="楷体_GB2312"/>
                                <w:b/>
                                <w:bCs/>
                                <w:sz w:val="18"/>
                                <w:szCs w:val="18"/>
                                <w:lang w:eastAsia="zh-CN"/>
                              </w:rPr>
                              <w:t>签发最终清算支付证书限制</w:t>
                            </w:r>
                          </w:p>
                        </w:txbxContent>
                      </wps:txbx>
                      <wps:bodyPr wrap="square" upright="1"/>
                    </wps:wsp>
                  </a:graphicData>
                </a:graphic>
              </wp:anchor>
            </w:drawing>
          </mc:Choice>
          <mc:Fallback>
            <w:pict>
              <v:shape id="文本框 1067" o:spid="_x0000_s1026" o:spt="202" type="#_x0000_t202" style="position:absolute;left:0pt;margin-left:-9pt;margin-top:4.2pt;height:42.45pt;width:59.6pt;z-index:252064768;mso-width-relative:page;mso-height-relative:page;" filled="f" stroked="f" coordsize="21600,21600" o:gfxdata="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y9vtLNYAAAAIAQAADwAAAAAAAAABACAAAAAiAAAAZHJzL2Rvd25yZXYueG1sUEsBAhQA&#10;FAAAAAgAh07iQH73l1K7AQAAYAMAAA4AAAAAAAAAAQAgAAAAJQEAAGRycy9lMm9Eb2MueG1sUEsF&#10;BgAAAAAGAAYAWQEAAFIFAAAAAA==&#10;">
                <v:fill on="f" focussize="0,0"/>
                <v:stroke on="f"/>
                <v:imagedata o:title=""/>
                <o:lock v:ext="edit" aspectratio="f"/>
                <v:textbox>
                  <w:txbxContent>
                    <w:p>
                      <w:pPr>
                        <w:spacing w:line="240" w:lineRule="exact"/>
                        <w:rPr>
                          <w:rFonts w:ascii="宋体"/>
                          <w:b/>
                          <w:bCs/>
                          <w:sz w:val="18"/>
                          <w:szCs w:val="18"/>
                          <w:lang w:eastAsia="zh-CN"/>
                        </w:rPr>
                      </w:pPr>
                      <w:r>
                        <w:rPr>
                          <w:rFonts w:hint="eastAsia" w:ascii="楷体_GB2312" w:hAnsi="宋体" w:eastAsia="楷体_GB2312" w:cs="楷体_GB2312"/>
                          <w:b/>
                          <w:bCs/>
                          <w:sz w:val="18"/>
                          <w:szCs w:val="18"/>
                          <w:lang w:eastAsia="zh-CN"/>
                        </w:rPr>
                        <w:t>签发最终清算支付证书限制</w:t>
                      </w:r>
                    </w:p>
                  </w:txbxContent>
                </v:textbox>
              </v:shape>
            </w:pict>
          </mc:Fallback>
        </mc:AlternateContent>
      </w:r>
      <w:r>
        <w:rPr>
          <w:rFonts w:hint="eastAsia" w:ascii="仿宋" w:hAnsi="仿宋" w:eastAsia="仿宋" w:cs="仿宋"/>
          <w:color w:val="auto"/>
          <w:sz w:val="24"/>
          <w:szCs w:val="24"/>
          <w:highlight w:val="none"/>
          <w:lang w:eastAsia="zh-CN"/>
        </w:rPr>
        <w:t>如果造价咨询人未在第90</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款约定的期限内签发最终清算支付证书的，则视为承包人提交的最终清算支付申请已被认可，承包人应及时向发包人发出要求支付最终清算款的通知。发包人应在收到通知后的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天内，按照承包人提交最终清算支付申请列明的金额向承包人支付最终清算款。</w:t>
      </w:r>
    </w:p>
    <w:p>
      <w:pPr>
        <w:pStyle w:val="22"/>
        <w:adjustRightInd w:val="0"/>
        <w:snapToGrid w:val="0"/>
        <w:spacing w:line="360" w:lineRule="auto"/>
        <w:rPr>
          <w:rFonts w:ascii="仿宋" w:hAnsi="仿宋" w:eastAsia="仿宋"/>
          <w:color w:val="auto"/>
          <w:sz w:val="24"/>
          <w:szCs w:val="24"/>
          <w:highlight w:val="none"/>
          <w:lang w:eastAsia="zh-CN"/>
        </w:rPr>
      </w:pPr>
      <w:r>
        <w:rPr>
          <w:rFonts w:hint="eastAsia" w:ascii="仿宋" w:hAnsi="仿宋" w:eastAsia="仿宋" w:cs="仿宋"/>
          <w:b/>
          <w:bCs/>
          <w:color w:val="auto"/>
          <w:sz w:val="24"/>
          <w:szCs w:val="24"/>
          <w:highlight w:val="none"/>
          <w:lang w:eastAsia="zh-CN"/>
        </w:rPr>
        <w:t>90</w:t>
      </w:r>
      <w:r>
        <w:rPr>
          <w:rFonts w:ascii="仿宋" w:hAnsi="仿宋" w:eastAsia="仿宋" w:cs="仿宋"/>
          <w:b/>
          <w:bCs/>
          <w:color w:val="auto"/>
          <w:sz w:val="24"/>
          <w:szCs w:val="24"/>
          <w:highlight w:val="none"/>
          <w:lang w:eastAsia="zh-CN"/>
        </w:rPr>
        <w:t xml:space="preserve">.5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widowControl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37792" behindDoc="0" locked="0" layoutInCell="1" allowOverlap="1">
                <wp:simplePos x="0" y="0"/>
                <wp:positionH relativeFrom="column">
                  <wp:posOffset>-114300</wp:posOffset>
                </wp:positionH>
                <wp:positionV relativeFrom="paragraph">
                  <wp:posOffset>8255</wp:posOffset>
                </wp:positionV>
                <wp:extent cx="790575" cy="628015"/>
                <wp:effectExtent l="0" t="0" r="0" b="0"/>
                <wp:wrapNone/>
                <wp:docPr id="273" name="文本框 1068"/>
                <wp:cNvGraphicFramePr/>
                <a:graphic xmlns:a="http://schemas.openxmlformats.org/drawingml/2006/main">
                  <a:graphicData uri="http://schemas.microsoft.com/office/word/2010/wordprocessingShape">
                    <wps:wsp>
                      <wps:cNvSpPr txBox="1"/>
                      <wps:spPr>
                        <a:xfrm>
                          <a:off x="0" y="0"/>
                          <a:ext cx="790575" cy="62801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最终清算款支付的限制</w:t>
                            </w:r>
                          </w:p>
                        </w:txbxContent>
                      </wps:txbx>
                      <wps:bodyPr wrap="square" upright="1"/>
                    </wps:wsp>
                  </a:graphicData>
                </a:graphic>
              </wp:anchor>
            </w:drawing>
          </mc:Choice>
          <mc:Fallback>
            <w:pict>
              <v:shape id="文本框 1068" o:spid="_x0000_s1026" o:spt="202" type="#_x0000_t202" style="position:absolute;left:0pt;margin-left:-9pt;margin-top:0.65pt;height:49.45pt;width:62.25pt;z-index:251937792;mso-width-relative:page;mso-height-relative:page;" filled="f" stroked="f" coordsize="21600,21600" o:gfxdata="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Px/MfXVAAAACQEAAA8AAAAAAAAAAQAgAAAAIgAAAGRycy9kb3ducmV2LnhtbFBLAQIUABQA&#10;AAAIAIdO4kDVRgW0ugEAAGA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最终清算款支付的限制</w:t>
                      </w:r>
                    </w:p>
                  </w:txbxContent>
                </v:textbox>
              </v:shape>
            </w:pict>
          </mc:Fallback>
        </mc:AlternateContent>
      </w:r>
      <w:r>
        <w:rPr>
          <w:rFonts w:hint="eastAsia" w:ascii="仿宋" w:hAnsi="仿宋" w:eastAsia="仿宋" w:cs="仿宋"/>
          <w:color w:val="auto"/>
          <w:highlight w:val="none"/>
          <w:lang w:eastAsia="zh-CN"/>
        </w:rPr>
        <w:t>发包人未按照第90</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款和第90</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款约定支付最终清算款的，承包人可催告发包人支付最终清算款，如双方达成延期支付协议，承包人有权按照第83</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款约定获得延期支付的利息。若该永久工程按照第</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8</w:t>
      </w:r>
      <w:r>
        <w:rPr>
          <w:rFonts w:ascii="仿宋" w:hAnsi="仿宋" w:eastAsia="仿宋" w:cs="仿宋"/>
          <w:color w:val="auto"/>
          <w:highlight w:val="none"/>
          <w:lang w:eastAsia="zh-CN"/>
        </w:rPr>
        <w:t>.5</w:t>
      </w:r>
      <w:r>
        <w:rPr>
          <w:rFonts w:hint="eastAsia" w:ascii="仿宋" w:hAnsi="仿宋" w:eastAsia="仿宋" w:cs="仿宋"/>
          <w:color w:val="auto"/>
          <w:highlight w:val="none"/>
          <w:lang w:eastAsia="zh-CN"/>
        </w:rPr>
        <w:t>款约定进行折价或依法拍卖的，承包人就该工程折价或拍卖的价款优先受偿。</w:t>
      </w:r>
    </w:p>
    <w:p>
      <w:pPr>
        <w:pStyle w:val="22"/>
        <w:adjustRightInd w:val="0"/>
        <w:snapToGrid w:val="0"/>
        <w:spacing w:line="360" w:lineRule="auto"/>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2065792" behindDoc="0" locked="0" layoutInCell="1" allowOverlap="1">
                <wp:simplePos x="0" y="0"/>
                <wp:positionH relativeFrom="column">
                  <wp:posOffset>-114300</wp:posOffset>
                </wp:positionH>
                <wp:positionV relativeFrom="paragraph">
                  <wp:posOffset>259715</wp:posOffset>
                </wp:positionV>
                <wp:extent cx="775970" cy="500380"/>
                <wp:effectExtent l="0" t="0" r="0" b="0"/>
                <wp:wrapNone/>
                <wp:docPr id="398" name="文本框 1069"/>
                <wp:cNvGraphicFramePr/>
                <a:graphic xmlns:a="http://schemas.openxmlformats.org/drawingml/2006/main">
                  <a:graphicData uri="http://schemas.microsoft.com/office/word/2010/wordprocessingShape">
                    <wps:wsp>
                      <wps:cNvSpPr txBox="1"/>
                      <wps:spPr>
                        <a:xfrm>
                          <a:off x="0" y="0"/>
                          <a:ext cx="775970" cy="50038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最终清算款争议的处理</w:t>
                            </w:r>
                          </w:p>
                        </w:txbxContent>
                      </wps:txbx>
                      <wps:bodyPr wrap="square" upright="1"/>
                    </wps:wsp>
                  </a:graphicData>
                </a:graphic>
              </wp:anchor>
            </w:drawing>
          </mc:Choice>
          <mc:Fallback>
            <w:pict>
              <v:shape id="文本框 1069" o:spid="_x0000_s1026" o:spt="202" type="#_x0000_t202" style="position:absolute;left:0pt;margin-left:-9pt;margin-top:20.45pt;height:39.4pt;width:61.1pt;z-index:252065792;mso-width-relative:page;mso-height-relative:page;" filled="f" stroked="f" coordsize="21600,21600" o:gfxdata="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UhMq2AAAAAoBAAAPAAAAAAAAAAEAIAAAACIAAABkcnMvZG93bnJldi54bWxQSwEC&#10;FAAUAAAACACHTuJASwF9wLsBAABg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最终清算款争议的处理</w:t>
                      </w:r>
                    </w:p>
                  </w:txbxContent>
                </v:textbox>
              </v:shape>
            </w:pict>
          </mc:Fallback>
        </mc:AlternateContent>
      </w:r>
      <w:r>
        <w:rPr>
          <w:rFonts w:hint="eastAsia" w:ascii="仿宋" w:hAnsi="仿宋" w:eastAsia="仿宋" w:cs="仿宋"/>
          <w:b/>
          <w:bCs/>
          <w:color w:val="auto"/>
          <w:sz w:val="24"/>
          <w:szCs w:val="24"/>
          <w:highlight w:val="none"/>
          <w:lang w:eastAsia="zh-CN"/>
        </w:rPr>
        <w:t>90</w:t>
      </w:r>
      <w:r>
        <w:rPr>
          <w:rFonts w:ascii="仿宋" w:hAnsi="仿宋" w:eastAsia="仿宋" w:cs="仿宋"/>
          <w:b/>
          <w:bCs/>
          <w:color w:val="auto"/>
          <w:sz w:val="24"/>
          <w:szCs w:val="24"/>
          <w:highlight w:val="none"/>
          <w:lang w:eastAsia="zh-CN"/>
        </w:rPr>
        <w:t xml:space="preserve">.6 </w:t>
      </w:r>
      <w:r>
        <w:rPr>
          <w:rFonts w:ascii="仿宋" w:hAnsi="仿宋" w:eastAsia="仿宋" w:cs="仿宋"/>
          <w:color w:val="auto"/>
          <w:sz w:val="24"/>
          <w:szCs w:val="24"/>
          <w:highlight w:val="none"/>
          <w:lang w:eastAsia="zh-CN"/>
        </w:rPr>
        <w:t xml:space="preserve"> </w:t>
      </w:r>
      <w:r>
        <w:rPr>
          <w:rFonts w:ascii="仿宋" w:hAnsi="仿宋" w:eastAsia="仿宋" w:cs="仿宋"/>
          <w:color w:val="auto"/>
          <w:sz w:val="24"/>
          <w:szCs w:val="24"/>
          <w:highlight w:val="none"/>
          <w:u w:val="dotted"/>
          <w:lang w:eastAsia="zh-CN"/>
        </w:rPr>
        <w:t xml:space="preserve">                                                                                </w:t>
      </w:r>
    </w:p>
    <w:p>
      <w:pPr>
        <w:widowControl w:val="0"/>
        <w:spacing w:line="360" w:lineRule="auto"/>
        <w:ind w:left="1850" w:leftChars="771"/>
        <w:rPr>
          <w:rFonts w:ascii="仿宋" w:hAnsi="仿宋" w:eastAsia="仿宋"/>
          <w:color w:val="auto"/>
          <w:highlight w:val="none"/>
          <w:lang w:eastAsia="zh-CN"/>
        </w:rPr>
      </w:pPr>
      <w:r>
        <w:rPr>
          <w:rFonts w:hint="eastAsia" w:ascii="仿宋" w:hAnsi="仿宋" w:eastAsia="仿宋" w:cs="仿宋"/>
          <w:color w:val="auto"/>
          <w:highlight w:val="none"/>
          <w:lang w:eastAsia="zh-CN"/>
        </w:rPr>
        <w:t>承包人对发包人支付的最终清算款有异议的，按照第91条约定的争议处理。</w:t>
      </w:r>
    </w:p>
    <w:p>
      <w:pPr>
        <w:spacing w:line="360" w:lineRule="auto"/>
        <w:rPr>
          <w:color w:val="auto"/>
          <w:highlight w:val="none"/>
          <w:lang w:eastAsia="zh-CN"/>
        </w:rPr>
      </w:pPr>
      <w:r>
        <w:rPr>
          <w:rFonts w:ascii="仿宋" w:hAnsi="仿宋" w:eastAsia="仿宋" w:cs="仿宋"/>
          <w:b/>
          <w:bCs/>
          <w:color w:val="auto"/>
          <w:highlight w:val="none"/>
          <w:u w:val="single"/>
          <w:lang w:eastAsia="zh-CN"/>
        </w:rPr>
        <w:t xml:space="preserve">                                                                                     </w:t>
      </w:r>
    </w:p>
    <w:p>
      <w:pPr>
        <w:pStyle w:val="22"/>
        <w:adjustRightInd w:val="0"/>
        <w:snapToGrid w:val="0"/>
        <w:spacing w:line="360" w:lineRule="auto"/>
        <w:jc w:val="center"/>
        <w:outlineLvl w:val="1"/>
        <w:rPr>
          <w:rFonts w:ascii="仿宋" w:hAnsi="仿宋" w:eastAsia="仿宋"/>
          <w:b/>
          <w:bCs/>
          <w:color w:val="auto"/>
          <w:sz w:val="24"/>
          <w:szCs w:val="24"/>
          <w:highlight w:val="none"/>
          <w:lang w:eastAsia="zh-CN"/>
        </w:rPr>
      </w:pPr>
      <w:bookmarkStart w:id="1174" w:name="_Toc24850"/>
      <w:bookmarkStart w:id="1175" w:name="_Toc25138"/>
      <w:bookmarkStart w:id="1176" w:name="_Toc14526"/>
      <w:bookmarkStart w:id="1177" w:name="_Toc22740"/>
      <w:bookmarkStart w:id="1178" w:name="_Toc15856"/>
      <w:bookmarkStart w:id="1179" w:name="_Toc13175"/>
      <w:bookmarkStart w:id="1180" w:name="_Toc25984"/>
      <w:bookmarkStart w:id="1181" w:name="_Toc21354"/>
      <w:bookmarkStart w:id="1182" w:name="_Toc469384069"/>
      <w:r>
        <w:rPr>
          <w:rFonts w:hint="eastAsia" w:ascii="仿宋" w:hAnsi="仿宋" w:eastAsia="仿宋" w:cs="仿宋"/>
          <w:b/>
          <w:bCs/>
          <w:color w:val="auto"/>
          <w:sz w:val="24"/>
          <w:szCs w:val="24"/>
          <w:highlight w:val="none"/>
          <w:lang w:eastAsia="zh-CN"/>
        </w:rPr>
        <w:t>八、合同争议、解除与终止</w:t>
      </w:r>
      <w:bookmarkEnd w:id="1174"/>
      <w:bookmarkEnd w:id="1175"/>
      <w:bookmarkEnd w:id="1176"/>
      <w:bookmarkEnd w:id="1177"/>
      <w:bookmarkEnd w:id="1178"/>
      <w:bookmarkEnd w:id="1179"/>
      <w:bookmarkEnd w:id="1180"/>
      <w:bookmarkEnd w:id="1181"/>
      <w:bookmarkEnd w:id="1182"/>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83" w:name="_Toc32067"/>
      <w:bookmarkStart w:id="1184" w:name="_Toc469384070"/>
      <w:bookmarkStart w:id="1185" w:name="_Toc30369"/>
      <w:bookmarkStart w:id="1186" w:name="_Toc27512"/>
      <w:bookmarkStart w:id="1187" w:name="_Toc9822"/>
      <w:bookmarkStart w:id="1188" w:name="_Toc28683"/>
      <w:bookmarkStart w:id="1189" w:name="_Toc5923"/>
      <w:bookmarkStart w:id="1190" w:name="_Toc9096"/>
      <w:bookmarkStart w:id="1191" w:name="_Toc14368"/>
      <w:r>
        <w:rPr>
          <w:rFonts w:hint="eastAsia" w:ascii="仿宋" w:hAnsi="仿宋" w:eastAsia="仿宋" w:cs="仿宋"/>
          <w:bCs w:val="0"/>
          <w:color w:val="auto"/>
          <w:sz w:val="24"/>
          <w:szCs w:val="24"/>
          <w:highlight w:val="none"/>
          <w:lang w:eastAsia="zh-CN"/>
        </w:rPr>
        <w:t>91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合同争议</w:t>
      </w:r>
      <w:bookmarkEnd w:id="1183"/>
      <w:bookmarkEnd w:id="1184"/>
      <w:bookmarkEnd w:id="1185"/>
      <w:bookmarkEnd w:id="1186"/>
      <w:bookmarkEnd w:id="1187"/>
      <w:bookmarkEnd w:id="1188"/>
      <w:bookmarkEnd w:id="1189"/>
      <w:bookmarkEnd w:id="1190"/>
      <w:bookmarkEnd w:id="1191"/>
    </w:p>
    <w:p>
      <w:pPr>
        <w:pStyle w:val="22"/>
        <w:adjustRightInd w:val="0"/>
        <w:snapToGrid w:val="0"/>
        <w:rPr>
          <w:rFonts w:ascii="仿宋" w:hAnsi="仿宋" w:eastAsia="仿宋" w:cs="仿宋"/>
          <w:b/>
          <w:bCs/>
          <w:color w:val="auto"/>
          <w:sz w:val="24"/>
          <w:szCs w:val="24"/>
          <w:highlight w:val="none"/>
          <w:lang w:eastAsia="zh-CN"/>
        </w:rPr>
      </w:pPr>
      <w:r>
        <w:rPr>
          <w:b/>
          <w:color w:val="auto"/>
          <w:highlight w:val="none"/>
        </w:rPr>
        <mc:AlternateContent>
          <mc:Choice Requires="wps">
            <w:drawing>
              <wp:anchor distT="0" distB="0" distL="114300" distR="114300" simplePos="0" relativeHeight="252066816" behindDoc="0" locked="0" layoutInCell="1" allowOverlap="1">
                <wp:simplePos x="0" y="0"/>
                <wp:positionH relativeFrom="column">
                  <wp:posOffset>-114300</wp:posOffset>
                </wp:positionH>
                <wp:positionV relativeFrom="paragraph">
                  <wp:posOffset>284480</wp:posOffset>
                </wp:positionV>
                <wp:extent cx="804545" cy="723265"/>
                <wp:effectExtent l="0" t="0" r="0" b="0"/>
                <wp:wrapNone/>
                <wp:docPr id="399" name="文本框 1072"/>
                <wp:cNvGraphicFramePr/>
                <a:graphic xmlns:a="http://schemas.openxmlformats.org/drawingml/2006/main">
                  <a:graphicData uri="http://schemas.microsoft.com/office/word/2010/wordprocessingShape">
                    <wps:wsp>
                      <wps:cNvSpPr txBox="1"/>
                      <wps:spPr>
                        <a:xfrm>
                          <a:off x="0" y="0"/>
                          <a:ext cx="804545" cy="723265"/>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认可暂定结果或产生争议</w:t>
                            </w:r>
                          </w:p>
                        </w:txbxContent>
                      </wps:txbx>
                      <wps:bodyPr wrap="square" upright="1"/>
                    </wps:wsp>
                  </a:graphicData>
                </a:graphic>
              </wp:anchor>
            </w:drawing>
          </mc:Choice>
          <mc:Fallback>
            <w:pict>
              <v:shape id="文本框 1072" o:spid="_x0000_s1026" o:spt="202" type="#_x0000_t202" style="position:absolute;left:0pt;margin-left:-9pt;margin-top:22.4pt;height:56.95pt;width:63.35pt;z-index:252066816;mso-width-relative:page;mso-height-relative:page;" filled="f" stroked="f" coordsize="21600,21600" o:gfxdata="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M0pHXjWAAAACgEAAA8AAAAAAAAAAQAgAAAAIgAAAGRycy9kb3ducmV2LnhtbFBLAQIU&#10;ABQAAAAIAIdO4kCpC0B4vAEAAGADAAAOAAAAAAAAAAEAIAAAACU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认可暂定结果或产生争议</w:t>
                      </w:r>
                    </w:p>
                  </w:txbxContent>
                </v:textbox>
              </v:shape>
            </w:pict>
          </mc:Fallback>
        </mc:AlternateContent>
      </w:r>
      <w:r>
        <w:rPr>
          <w:rFonts w:hint="eastAsia" w:ascii="仿宋" w:hAnsi="仿宋" w:eastAsia="仿宋" w:cs="仿宋"/>
          <w:b/>
          <w:bCs/>
          <w:color w:val="auto"/>
          <w:sz w:val="24"/>
          <w:szCs w:val="24"/>
          <w:highlight w:val="none"/>
          <w:lang w:eastAsia="zh-CN"/>
        </w:rPr>
        <w:t>91</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本合同履行期间，合同双方当事人应在收到监理人或造价咨询人依据合同约定作出暂定结果之后的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对暂定结果予以确认或提出意见。合同双方对暂定结果认可的，应以书面形式予以确认，暂定结果成为最终决定，对合同双方当事人都有约束力；合同双方或一方当事人不同意暂定结果的，应以书面形式向监理人或造价咨询人提出，说明自己认为正确的结果，同时抄送另一方当事人，此时该暂定结果成为争议。除非本合同已解除，在暂定结果不实质影响合同双方当事人履约的前提下，合同双方当事人应实施该结果，直到其被改变为止。</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合同双方当事人在收到监理人或造价咨询人的暂定结果之日起，超过</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天，未对暂定结果予以确认也未提出意见的，视为合同双方当事人已认可暂定结果。</w:t>
      </w:r>
    </w:p>
    <w:p>
      <w:pPr>
        <w:spacing w:line="360" w:lineRule="auto"/>
        <w:rPr>
          <w:rFonts w:ascii="仿宋" w:hAnsi="仿宋" w:eastAsia="仿宋"/>
          <w:b/>
          <w:bCs/>
          <w:color w:val="auto"/>
          <w:highlight w:val="none"/>
          <w:lang w:eastAsia="zh-CN"/>
        </w:rPr>
      </w:pPr>
      <w:bookmarkStart w:id="1192" w:name="_Toc7915"/>
      <w:r>
        <w:rPr>
          <w:rFonts w:hint="eastAsia" w:ascii="仿宋" w:hAnsi="仿宋" w:eastAsia="仿宋" w:cs="仿宋"/>
          <w:b/>
          <w:bCs/>
          <w:color w:val="auto"/>
          <w:highlight w:val="none"/>
          <w:lang w:eastAsia="zh-CN"/>
        </w:rPr>
        <w:t>91</w:t>
      </w:r>
      <w:r>
        <w:rPr>
          <w:rFonts w:ascii="仿宋" w:hAnsi="仿宋" w:eastAsia="仿宋" w:cs="仿宋"/>
          <w:b/>
          <w:bCs/>
          <w:color w:val="auto"/>
          <w:highlight w:val="none"/>
          <w:lang w:eastAsia="zh-CN"/>
        </w:rPr>
        <w:t>.2</w:t>
      </w:r>
      <w:bookmarkEnd w:id="1192"/>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tabs>
          <w:tab w:val="left" w:pos="1320"/>
        </w:tabs>
        <w:adjustRightInd w:val="0"/>
        <w:snapToGrid w:val="0"/>
        <w:spacing w:line="360" w:lineRule="auto"/>
        <w:ind w:left="1920" w:leftChars="800"/>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938816" behindDoc="0" locked="0" layoutInCell="1" allowOverlap="1">
                <wp:simplePos x="0" y="0"/>
                <wp:positionH relativeFrom="column">
                  <wp:posOffset>-114300</wp:posOffset>
                </wp:positionH>
                <wp:positionV relativeFrom="paragraph">
                  <wp:posOffset>26670</wp:posOffset>
                </wp:positionV>
                <wp:extent cx="788035" cy="338455"/>
                <wp:effectExtent l="0" t="0" r="0" b="0"/>
                <wp:wrapNone/>
                <wp:docPr id="274" name="文本框 1073"/>
                <wp:cNvGraphicFramePr/>
                <a:graphic xmlns:a="http://schemas.openxmlformats.org/drawingml/2006/main">
                  <a:graphicData uri="http://schemas.microsoft.com/office/word/2010/wordprocessingShape">
                    <wps:wsp>
                      <wps:cNvSpPr txBox="1"/>
                      <wps:spPr>
                        <a:xfrm>
                          <a:off x="0" y="0"/>
                          <a:ext cx="788035" cy="33845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双方协商</w:t>
                            </w:r>
                          </w:p>
                        </w:txbxContent>
                      </wps:txbx>
                      <wps:bodyPr wrap="square" upright="1"/>
                    </wps:wsp>
                  </a:graphicData>
                </a:graphic>
              </wp:anchor>
            </w:drawing>
          </mc:Choice>
          <mc:Fallback>
            <w:pict>
              <v:shape id="文本框 1073" o:spid="_x0000_s1026" o:spt="202" type="#_x0000_t202" style="position:absolute;left:0pt;margin-left:-9pt;margin-top:2.1pt;height:26.65pt;width:62.05pt;z-index:251938816;mso-width-relative:page;mso-height-relative:page;" filled="f" stroked="f" coordsize="21600,21600" o:gfxdata="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4eR/BNYAAAAIAQAADwAAAAAAAAABACAAAAAiAAAAZHJzL2Rvd25yZXYueG1sUEsBAhQA&#10;FAAAAAgAh07iQH3wSQa7AQAAYA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双方协商</w:t>
                      </w:r>
                    </w:p>
                  </w:txbxContent>
                </v:textbox>
              </v:shape>
            </w:pict>
          </mc:Fallback>
        </mc:AlternateContent>
      </w:r>
      <w:r>
        <w:rPr>
          <w:rFonts w:hint="eastAsia" w:ascii="仿宋" w:hAnsi="仿宋" w:eastAsia="仿宋" w:cs="仿宋"/>
          <w:color w:val="auto"/>
          <w:sz w:val="24"/>
          <w:szCs w:val="24"/>
          <w:highlight w:val="none"/>
          <w:lang w:eastAsia="zh-CN"/>
        </w:rPr>
        <w:t>争议发生后的</w:t>
      </w:r>
      <w:r>
        <w:rPr>
          <w:rFonts w:ascii="仿宋" w:hAnsi="仿宋" w:eastAsia="仿宋" w:cs="仿宋"/>
          <w:color w:val="auto"/>
          <w:sz w:val="24"/>
          <w:szCs w:val="24"/>
          <w:highlight w:val="none"/>
          <w:lang w:eastAsia="zh-CN"/>
        </w:rPr>
        <w:t>14</w:t>
      </w:r>
      <w:r>
        <w:rPr>
          <w:rFonts w:hint="eastAsia" w:ascii="仿宋" w:hAnsi="仿宋" w:eastAsia="仿宋" w:cs="仿宋"/>
          <w:color w:val="auto"/>
          <w:sz w:val="24"/>
          <w:szCs w:val="24"/>
          <w:highlight w:val="none"/>
          <w:lang w:eastAsia="zh-CN"/>
        </w:rPr>
        <w:t>天内，合同双方当事人可进一步进行协商。协商达成一致的，合同双方当事人应签订书面协议，经双方签字并盖章后作为合同补充文件，双方均应遵照执行，并将结果抄送监理人或造价咨询人；协商仍不能达成一致的，按照第91</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款至第91</w:t>
      </w:r>
      <w:r>
        <w:rPr>
          <w:rFonts w:ascii="仿宋" w:hAnsi="仿宋" w:eastAsia="仿宋" w:cs="仿宋"/>
          <w:color w:val="auto"/>
          <w:sz w:val="24"/>
          <w:szCs w:val="24"/>
          <w:highlight w:val="none"/>
          <w:lang w:eastAsia="zh-CN"/>
        </w:rPr>
        <w:t>.6</w:t>
      </w:r>
      <w:r>
        <w:rPr>
          <w:rFonts w:hint="eastAsia" w:ascii="仿宋" w:hAnsi="仿宋" w:eastAsia="仿宋" w:cs="仿宋"/>
          <w:color w:val="auto"/>
          <w:sz w:val="24"/>
          <w:szCs w:val="24"/>
          <w:highlight w:val="none"/>
          <w:lang w:eastAsia="zh-CN"/>
        </w:rPr>
        <w:t>款约定进行调解或认定、仲裁或诉讼。</w:t>
      </w:r>
    </w:p>
    <w:p>
      <w:pPr>
        <w:pStyle w:val="22"/>
        <w:tabs>
          <w:tab w:val="left" w:pos="1320"/>
        </w:tabs>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91</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39840" behindDoc="0" locked="0" layoutInCell="1" allowOverlap="1">
                <wp:simplePos x="0" y="0"/>
                <wp:positionH relativeFrom="column">
                  <wp:posOffset>-114300</wp:posOffset>
                </wp:positionH>
                <wp:positionV relativeFrom="paragraph">
                  <wp:posOffset>11430</wp:posOffset>
                </wp:positionV>
                <wp:extent cx="781050" cy="450850"/>
                <wp:effectExtent l="0" t="0" r="0" b="0"/>
                <wp:wrapNone/>
                <wp:docPr id="275" name="文本框 1074"/>
                <wp:cNvGraphicFramePr/>
                <a:graphic xmlns:a="http://schemas.openxmlformats.org/drawingml/2006/main">
                  <a:graphicData uri="http://schemas.microsoft.com/office/word/2010/wordprocessingShape">
                    <wps:wsp>
                      <wps:cNvSpPr txBox="1"/>
                      <wps:spPr>
                        <a:xfrm>
                          <a:off x="0" y="0"/>
                          <a:ext cx="781050" cy="45085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解决争议方式</w:t>
                            </w:r>
                          </w:p>
                        </w:txbxContent>
                      </wps:txbx>
                      <wps:bodyPr wrap="square" upright="1"/>
                    </wps:wsp>
                  </a:graphicData>
                </a:graphic>
              </wp:anchor>
            </w:drawing>
          </mc:Choice>
          <mc:Fallback>
            <w:pict>
              <v:shape id="文本框 1074" o:spid="_x0000_s1026" o:spt="202" type="#_x0000_t202" style="position:absolute;left:0pt;margin-left:-9pt;margin-top:0.9pt;height:35.5pt;width:61.5pt;z-index:251939840;mso-width-relative:page;mso-height-relative:page;" filled="f" stroked="f" coordsize="21600,21600" o:gfxdata="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5tv/1AAAAAgBAAAPAAAAAAAAAAEAIAAAACIAAABkcnMvZG93bnJldi54bWxQSwECFAAUAAAA&#10;CACHTuJAqJZpAbkBAABgAwAADgAAAAAAAAABACAAAAAjAQAAZHJzL2Uyb0RvYy54bWxQSwUGAAAA&#10;AAYABgBZAQAATg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解决争议方式</w:t>
                      </w:r>
                    </w:p>
                  </w:txbxContent>
                </v:textbox>
              </v:shape>
            </w:pict>
          </mc:Fallback>
        </mc:AlternateContent>
      </w:r>
      <w:r>
        <w:rPr>
          <w:rFonts w:hint="eastAsia" w:ascii="仿宋" w:hAnsi="仿宋" w:eastAsia="仿宋" w:cs="仿宋"/>
          <w:color w:val="auto"/>
          <w:sz w:val="24"/>
          <w:szCs w:val="24"/>
          <w:highlight w:val="none"/>
          <w:lang w:eastAsia="zh-CN"/>
        </w:rPr>
        <w:t>合同双方当事人没有按照第91</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款约定进一步协商的，或虽然协商但未在约定期限内达成一致的，合同双方或一方当事人可在争议发生后的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天内，将争议提交争议调解或认定机构处理，或直接按照专用条款第91</w:t>
      </w:r>
      <w:r>
        <w:rPr>
          <w:rFonts w:ascii="仿宋" w:hAnsi="仿宋" w:eastAsia="仿宋" w:cs="仿宋"/>
          <w:color w:val="auto"/>
          <w:sz w:val="24"/>
          <w:szCs w:val="24"/>
          <w:highlight w:val="none"/>
          <w:lang w:eastAsia="zh-CN"/>
        </w:rPr>
        <w:t>.6</w:t>
      </w:r>
      <w:r>
        <w:rPr>
          <w:rFonts w:hint="eastAsia" w:ascii="仿宋" w:hAnsi="仿宋" w:eastAsia="仿宋" w:cs="仿宋"/>
          <w:color w:val="auto"/>
          <w:sz w:val="24"/>
          <w:szCs w:val="24"/>
          <w:highlight w:val="none"/>
          <w:lang w:eastAsia="zh-CN"/>
        </w:rPr>
        <w:t>款约定提请仲裁或诉讼。</w:t>
      </w:r>
    </w:p>
    <w:p>
      <w:pPr>
        <w:spacing w:line="360" w:lineRule="auto"/>
        <w:rPr>
          <w:rFonts w:ascii="仿宋" w:hAnsi="仿宋" w:eastAsia="仿宋"/>
          <w:color w:val="auto"/>
          <w:highlight w:val="none"/>
          <w:lang w:eastAsia="zh-CN"/>
        </w:rPr>
      </w:pPr>
      <w:bookmarkStart w:id="1193" w:name="_Toc3737"/>
      <w:r>
        <w:rPr>
          <w:rFonts w:hint="eastAsia" w:ascii="仿宋" w:hAnsi="仿宋" w:eastAsia="仿宋" w:cs="仿宋"/>
          <w:b/>
          <w:bCs/>
          <w:color w:val="auto"/>
          <w:highlight w:val="none"/>
          <w:lang w:eastAsia="zh-CN"/>
        </w:rPr>
        <w:t>91</w:t>
      </w:r>
      <w:r>
        <w:rPr>
          <w:rFonts w:ascii="仿宋" w:hAnsi="仿宋" w:eastAsia="仿宋" w:cs="仿宋"/>
          <w:b/>
          <w:bCs/>
          <w:color w:val="auto"/>
          <w:highlight w:val="none"/>
          <w:lang w:eastAsia="zh-CN"/>
        </w:rPr>
        <w:t>.4</w:t>
      </w:r>
      <w:bookmarkEnd w:id="1193"/>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0864" behindDoc="0" locked="0" layoutInCell="1" allowOverlap="1">
                <wp:simplePos x="0" y="0"/>
                <wp:positionH relativeFrom="column">
                  <wp:posOffset>-114300</wp:posOffset>
                </wp:positionH>
                <wp:positionV relativeFrom="paragraph">
                  <wp:posOffset>59690</wp:posOffset>
                </wp:positionV>
                <wp:extent cx="894715" cy="370840"/>
                <wp:effectExtent l="0" t="0" r="0" b="0"/>
                <wp:wrapNone/>
                <wp:docPr id="276" name="文本框 1075"/>
                <wp:cNvGraphicFramePr/>
                <a:graphic xmlns:a="http://schemas.openxmlformats.org/drawingml/2006/main">
                  <a:graphicData uri="http://schemas.microsoft.com/office/word/2010/wordprocessingShape">
                    <wps:wsp>
                      <wps:cNvSpPr txBox="1"/>
                      <wps:spPr>
                        <a:xfrm>
                          <a:off x="0" y="0"/>
                          <a:ext cx="894715" cy="37084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调解或认定</w:t>
                            </w:r>
                          </w:p>
                        </w:txbxContent>
                      </wps:txbx>
                      <wps:bodyPr wrap="square" upright="1"/>
                    </wps:wsp>
                  </a:graphicData>
                </a:graphic>
              </wp:anchor>
            </w:drawing>
          </mc:Choice>
          <mc:Fallback>
            <w:pict>
              <v:shape id="文本框 1075" o:spid="_x0000_s1026" o:spt="202" type="#_x0000_t202" style="position:absolute;left:0pt;margin-left:-9pt;margin-top:4.7pt;height:29.2pt;width:70.45pt;z-index:251940864;mso-width-relative:page;mso-height-relative:page;" filled="f" stroked="f" coordsize="21600,21600" o:gfxdata="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pfdWx1gAAAAgBAAAPAAAAAAAAAAEAIAAAACIAAABkcnMvZG93bnJldi54bWxQSwEC&#10;FAAUAAAACACHTuJALQBRdL0BAABgAwAADgAAAAAAAAABACAAAAAlAQAAZHJzL2Uyb0RvYy54bWxQ&#10;SwUGAAAAAAYABgBZAQAAVA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调解或认定</w:t>
                      </w:r>
                    </w:p>
                  </w:txbxContent>
                </v:textbox>
              </v:shape>
            </w:pict>
          </mc:Fallback>
        </mc:AlternateContent>
      </w:r>
      <w:r>
        <w:rPr>
          <w:rFonts w:hint="eastAsia" w:ascii="仿宋" w:hAnsi="仿宋" w:eastAsia="仿宋" w:cs="仿宋"/>
          <w:color w:val="auto"/>
          <w:sz w:val="24"/>
          <w:szCs w:val="24"/>
          <w:highlight w:val="none"/>
          <w:lang w:eastAsia="zh-CN"/>
        </w:rPr>
        <w:t>争议调解或认定机构在收到争议调解或认定请求后，可组织调查、勘查、计量等工作，合同双方当事人应为其开展工作提供便利和协助。争议调解或认定机构应就争议做出书面调解或认定结果，并通知合同双方当事人。除合同双方当事人认可并在专用条款约定外，下列机构为争议调解或认定机构：</w:t>
      </w:r>
    </w:p>
    <w:p>
      <w:pPr>
        <w:pStyle w:val="22"/>
        <w:widowControl w:val="0"/>
        <w:numPr>
          <w:ilvl w:val="1"/>
          <w:numId w:val="22"/>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建设工程安全监督机构、行业协会或其他第三方调解机构，负责有关工程安全方面争议的调解或认定；</w:t>
      </w:r>
    </w:p>
    <w:p>
      <w:pPr>
        <w:pStyle w:val="22"/>
        <w:widowControl w:val="0"/>
        <w:numPr>
          <w:ilvl w:val="1"/>
          <w:numId w:val="22"/>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建设工程质量监督机构、行业协会或其他第三方调解机构，负责有关工程质量方面争议的调解或认定；</w:t>
      </w:r>
    </w:p>
    <w:p>
      <w:pPr>
        <w:pStyle w:val="22"/>
        <w:widowControl w:val="0"/>
        <w:numPr>
          <w:ilvl w:val="1"/>
          <w:numId w:val="22"/>
        </w:numPr>
        <w:tabs>
          <w:tab w:val="clear" w:pos="3285"/>
        </w:tabs>
        <w:adjustRightInd w:val="0"/>
        <w:snapToGrid w:val="0"/>
        <w:spacing w:line="360" w:lineRule="auto"/>
        <w:ind w:left="1850" w:leftChars="771" w:firstLine="0"/>
        <w:jc w:val="both"/>
        <w:rPr>
          <w:rFonts w:ascii="仿宋" w:hAnsi="仿宋" w:eastAsia="仿宋"/>
          <w:b/>
          <w:bCs/>
          <w:color w:val="auto"/>
          <w:sz w:val="24"/>
          <w:szCs w:val="24"/>
          <w:highlight w:val="none"/>
          <w:lang w:eastAsia="zh-CN"/>
        </w:rPr>
      </w:pPr>
      <w:r>
        <w:rPr>
          <w:rFonts w:hint="eastAsia" w:ascii="仿宋" w:hAnsi="仿宋" w:eastAsia="仿宋" w:cs="仿宋"/>
          <w:color w:val="auto"/>
          <w:sz w:val="24"/>
          <w:szCs w:val="24"/>
          <w:highlight w:val="none"/>
          <w:lang w:eastAsia="zh-CN"/>
        </w:rPr>
        <w:t>建设工程造价管理机构、行业协会或其他第三方调解机构，负责有关工程造价方面争议的调解或认定。</w:t>
      </w:r>
    </w:p>
    <w:p>
      <w:pPr>
        <w:spacing w:line="360" w:lineRule="auto"/>
        <w:rPr>
          <w:rFonts w:ascii="仿宋" w:hAnsi="仿宋" w:eastAsia="仿宋"/>
          <w:b/>
          <w:bCs/>
          <w:color w:val="auto"/>
          <w:highlight w:val="none"/>
          <w:lang w:eastAsia="zh-CN"/>
        </w:rPr>
      </w:pPr>
      <w:bookmarkStart w:id="1194" w:name="_Toc10351"/>
      <w:r>
        <w:rPr>
          <w:rFonts w:hint="eastAsia" w:ascii="仿宋" w:hAnsi="仿宋" w:eastAsia="仿宋" w:cs="仿宋"/>
          <w:b/>
          <w:bCs/>
          <w:color w:val="auto"/>
          <w:highlight w:val="none"/>
          <w:lang w:eastAsia="zh-CN"/>
        </w:rPr>
        <w:t>91</w:t>
      </w:r>
      <w:r>
        <w:rPr>
          <w:rFonts w:ascii="仿宋" w:hAnsi="仿宋" w:eastAsia="仿宋" w:cs="仿宋"/>
          <w:b/>
          <w:bCs/>
          <w:color w:val="auto"/>
          <w:highlight w:val="none"/>
          <w:lang w:eastAsia="zh-CN"/>
        </w:rPr>
        <w:t>.5</w:t>
      </w:r>
      <w:bookmarkEnd w:id="1194"/>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1888" behindDoc="0" locked="0" layoutInCell="1" allowOverlap="1">
                <wp:simplePos x="0" y="0"/>
                <wp:positionH relativeFrom="column">
                  <wp:posOffset>-114300</wp:posOffset>
                </wp:positionH>
                <wp:positionV relativeFrom="paragraph">
                  <wp:posOffset>32385</wp:posOffset>
                </wp:positionV>
                <wp:extent cx="861060" cy="521335"/>
                <wp:effectExtent l="0" t="0" r="0" b="0"/>
                <wp:wrapNone/>
                <wp:docPr id="277" name="文本框 1076"/>
                <wp:cNvGraphicFramePr/>
                <a:graphic xmlns:a="http://schemas.openxmlformats.org/drawingml/2006/main">
                  <a:graphicData uri="http://schemas.microsoft.com/office/word/2010/wordprocessingShape">
                    <wps:wsp>
                      <wps:cNvSpPr txBox="1"/>
                      <wps:spPr>
                        <a:xfrm>
                          <a:off x="0" y="0"/>
                          <a:ext cx="861060" cy="52133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调解或认定结果的确认</w:t>
                            </w:r>
                          </w:p>
                        </w:txbxContent>
                      </wps:txbx>
                      <wps:bodyPr wrap="square" upright="1"/>
                    </wps:wsp>
                  </a:graphicData>
                </a:graphic>
              </wp:anchor>
            </w:drawing>
          </mc:Choice>
          <mc:Fallback>
            <w:pict>
              <v:shape id="文本框 1076" o:spid="_x0000_s1026" o:spt="202" type="#_x0000_t202" style="position:absolute;left:0pt;margin-left:-9pt;margin-top:2.55pt;height:41.05pt;width:67.8pt;z-index:251941888;mso-width-relative:page;mso-height-relative:page;" filled="f" stroked="f" coordsize="21600,21600" o:gfxdata="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n7+ey1gAAAAgBAAAPAAAAAAAAAAEAIAAAACIAAABkcnMvZG93bnJldi54bWxQSwECFAAU&#10;AAAACACHTuJA8qHWuLoBAABg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调解或认定结果的确认</w:t>
                      </w:r>
                    </w:p>
                  </w:txbxContent>
                </v:textbox>
              </v:shape>
            </w:pict>
          </mc:Fallback>
        </mc:AlternateContent>
      </w:r>
      <w:r>
        <w:rPr>
          <w:rFonts w:hint="eastAsia" w:ascii="仿宋" w:hAnsi="仿宋" w:eastAsia="仿宋" w:cs="仿宋"/>
          <w:color w:val="auto"/>
          <w:sz w:val="24"/>
          <w:szCs w:val="24"/>
          <w:highlight w:val="none"/>
          <w:lang w:eastAsia="zh-CN"/>
        </w:rPr>
        <w:t>合同双方当事人应在收到争议调解或认定机构书面结果后的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天内，对调解或认定结果以书面形式予以确认。调解或认定结果经双方签字盖章后作为合同补充文件，双方均应遵照执行。</w:t>
      </w:r>
    </w:p>
    <w:p>
      <w:pPr>
        <w:spacing w:line="360" w:lineRule="auto"/>
        <w:rPr>
          <w:rFonts w:ascii="仿宋" w:hAnsi="仿宋" w:eastAsia="仿宋"/>
          <w:b/>
          <w:bCs/>
          <w:color w:val="auto"/>
          <w:highlight w:val="none"/>
          <w:lang w:eastAsia="zh-CN"/>
        </w:rPr>
      </w:pPr>
      <w:r>
        <w:rPr>
          <w:rFonts w:hint="eastAsia" w:ascii="仿宋" w:hAnsi="仿宋" w:eastAsia="仿宋" w:cs="仿宋"/>
          <w:b/>
          <w:bCs/>
          <w:color w:val="auto"/>
          <w:highlight w:val="none"/>
          <w:lang w:eastAsia="zh-CN"/>
        </w:rPr>
        <w:t>91</w:t>
      </w:r>
      <w:r>
        <w:rPr>
          <w:rFonts w:ascii="仿宋" w:hAnsi="仿宋" w:eastAsia="仿宋" w:cs="仿宋"/>
          <w:b/>
          <w:bCs/>
          <w:color w:val="auto"/>
          <w:highlight w:val="none"/>
          <w:lang w:eastAsia="zh-CN"/>
        </w:rPr>
        <w:t xml:space="preserve">.6  </w:t>
      </w:r>
      <w:r>
        <w:rPr>
          <w:rFonts w:ascii="仿宋" w:hAnsi="仿宋" w:eastAsia="仿宋" w:cs="仿宋"/>
          <w:b/>
          <w:bCs/>
          <w:color w:val="auto"/>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2912" behindDoc="0" locked="0" layoutInCell="1" allowOverlap="1">
                <wp:simplePos x="0" y="0"/>
                <wp:positionH relativeFrom="column">
                  <wp:posOffset>-114300</wp:posOffset>
                </wp:positionH>
                <wp:positionV relativeFrom="paragraph">
                  <wp:posOffset>12065</wp:posOffset>
                </wp:positionV>
                <wp:extent cx="828040" cy="391795"/>
                <wp:effectExtent l="0" t="0" r="0" b="0"/>
                <wp:wrapNone/>
                <wp:docPr id="278" name="文本框 1077"/>
                <wp:cNvGraphicFramePr/>
                <a:graphic xmlns:a="http://schemas.openxmlformats.org/drawingml/2006/main">
                  <a:graphicData uri="http://schemas.microsoft.com/office/word/2010/wordprocessingShape">
                    <wps:wsp>
                      <wps:cNvSpPr txBox="1"/>
                      <wps:spPr>
                        <a:xfrm>
                          <a:off x="0" y="0"/>
                          <a:ext cx="828040" cy="39179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仲裁或诉讼</w:t>
                            </w:r>
                          </w:p>
                        </w:txbxContent>
                      </wps:txbx>
                      <wps:bodyPr wrap="square" upright="1"/>
                    </wps:wsp>
                  </a:graphicData>
                </a:graphic>
              </wp:anchor>
            </w:drawing>
          </mc:Choice>
          <mc:Fallback>
            <w:pict>
              <v:shape id="文本框 1077" o:spid="_x0000_s1026" o:spt="202" type="#_x0000_t202" style="position:absolute;left:0pt;margin-left:-9pt;margin-top:0.95pt;height:30.85pt;width:65.2pt;z-index:251942912;mso-width-relative:page;mso-height-relative:page;" filled="f" stroked="f" coordsize="21600,21600" o:gfxdata="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NbdJALVAAAACAEAAA8AAAAAAAAAAQAgAAAAIgAAAGRycy9kb3ducmV2LnhtbFBLAQIUABQA&#10;AAAIAIdO4kC2nemqugEAAGA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仲裁或诉讼</w:t>
                      </w:r>
                    </w:p>
                  </w:txbxContent>
                </v:textbox>
              </v:shape>
            </w:pict>
          </mc:Fallback>
        </mc:AlternateContent>
      </w:r>
      <w:r>
        <w:rPr>
          <w:rFonts w:hint="eastAsia" w:ascii="仿宋" w:hAnsi="仿宋" w:eastAsia="仿宋" w:cs="仿宋"/>
          <w:color w:val="auto"/>
          <w:sz w:val="24"/>
          <w:szCs w:val="24"/>
          <w:highlight w:val="none"/>
          <w:lang w:eastAsia="zh-CN"/>
        </w:rPr>
        <w:t>若合同双方或一方当事人在收到争议调解或认定机构的书面结果后明确表示不同意，或在</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天内没有书面确认，任何一方均可按照专用条款约定的下列任一种方式解决争议：</w:t>
      </w:r>
    </w:p>
    <w:p>
      <w:pPr>
        <w:pStyle w:val="22"/>
        <w:widowControl w:val="0"/>
        <w:numPr>
          <w:ilvl w:val="1"/>
          <w:numId w:val="23"/>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向约定的仲裁委员会申请仲裁；</w:t>
      </w:r>
    </w:p>
    <w:p>
      <w:pPr>
        <w:pStyle w:val="22"/>
        <w:widowControl w:val="0"/>
        <w:numPr>
          <w:ilvl w:val="1"/>
          <w:numId w:val="23"/>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向有管辖权的人民法院提起诉讼。</w:t>
      </w:r>
    </w:p>
    <w:p>
      <w:pPr>
        <w:pStyle w:val="22"/>
        <w:tabs>
          <w:tab w:val="left" w:pos="1320"/>
        </w:tabs>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91</w:t>
      </w:r>
      <w:r>
        <w:rPr>
          <w:rFonts w:ascii="仿宋" w:hAnsi="仿宋" w:eastAsia="仿宋" w:cs="仿宋"/>
          <w:b/>
          <w:bCs/>
          <w:color w:val="auto"/>
          <w:sz w:val="24"/>
          <w:szCs w:val="24"/>
          <w:highlight w:val="none"/>
          <w:lang w:eastAsia="zh-CN"/>
        </w:rPr>
        <w:t xml:space="preserve">.7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3936" behindDoc="0" locked="0" layoutInCell="1" allowOverlap="1">
                <wp:simplePos x="0" y="0"/>
                <wp:positionH relativeFrom="column">
                  <wp:posOffset>-114300</wp:posOffset>
                </wp:positionH>
                <wp:positionV relativeFrom="paragraph">
                  <wp:posOffset>15875</wp:posOffset>
                </wp:positionV>
                <wp:extent cx="832485" cy="536575"/>
                <wp:effectExtent l="0" t="0" r="0" b="0"/>
                <wp:wrapNone/>
                <wp:docPr id="279" name="文本框 1078"/>
                <wp:cNvGraphicFramePr/>
                <a:graphic xmlns:a="http://schemas.openxmlformats.org/drawingml/2006/main">
                  <a:graphicData uri="http://schemas.microsoft.com/office/word/2010/wordprocessingShape">
                    <wps:wsp>
                      <wps:cNvSpPr txBox="1"/>
                      <wps:spPr>
                        <a:xfrm>
                          <a:off x="0" y="0"/>
                          <a:ext cx="832485" cy="53657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争议期间继续施工</w:t>
                            </w:r>
                          </w:p>
                        </w:txbxContent>
                      </wps:txbx>
                      <wps:bodyPr wrap="square" upright="1"/>
                    </wps:wsp>
                  </a:graphicData>
                </a:graphic>
              </wp:anchor>
            </w:drawing>
          </mc:Choice>
          <mc:Fallback>
            <w:pict>
              <v:shape id="文本框 1078" o:spid="_x0000_s1026" o:spt="202" type="#_x0000_t202" style="position:absolute;left:0pt;margin-left:-9pt;margin-top:1.25pt;height:42.25pt;width:65.55pt;z-index:251943936;mso-width-relative:page;mso-height-relative:page;" filled="f" stroked="f" coordsize="21600,21600" o:gfxdata="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7GozHtYAAAAIAQAADwAAAAAAAAABACAAAAAiAAAAZHJzL2Rvd25yZXYueG1sUEsBAhQA&#10;FAAAAAgAh07iQD13b3m7AQAAYA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争议期间继续施工</w:t>
                      </w:r>
                    </w:p>
                  </w:txbxContent>
                </v:textbox>
              </v:shape>
            </w:pict>
          </mc:Fallback>
        </mc:AlternateContent>
      </w:r>
      <w:r>
        <w:rPr>
          <w:rFonts w:hint="eastAsia" w:ascii="仿宋" w:hAnsi="仿宋" w:eastAsia="仿宋" w:cs="仿宋"/>
          <w:color w:val="auto"/>
          <w:sz w:val="24"/>
          <w:szCs w:val="24"/>
          <w:highlight w:val="none"/>
          <w:lang w:eastAsia="zh-CN"/>
        </w:rPr>
        <w:t>争议期间，除下列情况停止施工外，合同双方当事人应继续履行合同，保持工程连续施工，保护好已完工程：</w:t>
      </w:r>
    </w:p>
    <w:p>
      <w:pPr>
        <w:pStyle w:val="22"/>
        <w:widowControl w:val="0"/>
        <w:numPr>
          <w:ilvl w:val="1"/>
          <w:numId w:val="24"/>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合同双方当事人协商同意；</w:t>
      </w:r>
    </w:p>
    <w:p>
      <w:pPr>
        <w:pStyle w:val="22"/>
        <w:widowControl w:val="0"/>
        <w:numPr>
          <w:ilvl w:val="1"/>
          <w:numId w:val="24"/>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合同一方当事人违约导致合同无法履行；</w:t>
      </w:r>
    </w:p>
    <w:p>
      <w:pPr>
        <w:pStyle w:val="22"/>
        <w:widowControl w:val="0"/>
        <w:numPr>
          <w:ilvl w:val="1"/>
          <w:numId w:val="24"/>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工程造价调解机构调解需要，且合同双方当事人同意；</w:t>
      </w:r>
    </w:p>
    <w:p>
      <w:pPr>
        <w:pStyle w:val="22"/>
        <w:widowControl w:val="0"/>
        <w:numPr>
          <w:ilvl w:val="1"/>
          <w:numId w:val="24"/>
        </w:numPr>
        <w:tabs>
          <w:tab w:val="clear" w:pos="3285"/>
        </w:tabs>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仲裁委员会仲裁需要，且合同双方当事人同意；</w:t>
      </w:r>
    </w:p>
    <w:p>
      <w:pPr>
        <w:pStyle w:val="22"/>
        <w:widowControl w:val="0"/>
        <w:numPr>
          <w:ilvl w:val="1"/>
          <w:numId w:val="24"/>
        </w:numPr>
        <w:tabs>
          <w:tab w:val="clear" w:pos="3285"/>
        </w:tabs>
        <w:adjustRightInd w:val="0"/>
        <w:snapToGrid w:val="0"/>
        <w:spacing w:line="360" w:lineRule="auto"/>
        <w:ind w:left="1850" w:leftChars="771"/>
        <w:jc w:val="both"/>
        <w:rPr>
          <w:color w:val="auto"/>
          <w:highlight w:val="none"/>
          <w:lang w:eastAsia="zh-CN"/>
        </w:rPr>
      </w:pPr>
      <w:r>
        <w:rPr>
          <w:rFonts w:hint="eastAsia" w:ascii="仿宋" w:hAnsi="仿宋" w:eastAsia="仿宋" w:cs="仿宋"/>
          <w:color w:val="auto"/>
          <w:sz w:val="24"/>
          <w:szCs w:val="24"/>
          <w:highlight w:val="none"/>
          <w:lang w:eastAsia="zh-CN"/>
        </w:rPr>
        <w:t>人民法院诉讼需要。</w:t>
      </w:r>
    </w:p>
    <w:p>
      <w:pPr>
        <w:pStyle w:val="22"/>
        <w:tabs>
          <w:tab w:val="left" w:pos="162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195" w:name="_Toc111"/>
      <w:bookmarkStart w:id="1196" w:name="_Toc7322"/>
      <w:bookmarkStart w:id="1197" w:name="_Toc13295"/>
      <w:bookmarkStart w:id="1198" w:name="_Toc6754"/>
      <w:bookmarkStart w:id="1199" w:name="_Toc469384071"/>
      <w:bookmarkStart w:id="1200" w:name="_Toc27272"/>
      <w:bookmarkStart w:id="1201" w:name="_Toc3326"/>
      <w:bookmarkStart w:id="1202" w:name="_Toc29506"/>
      <w:bookmarkStart w:id="1203" w:name="_Toc3294"/>
      <w:r>
        <w:rPr>
          <w:rFonts w:hint="eastAsia" w:ascii="仿宋" w:hAnsi="仿宋" w:eastAsia="仿宋" w:cs="仿宋"/>
          <w:bCs w:val="0"/>
          <w:color w:val="auto"/>
          <w:sz w:val="24"/>
          <w:szCs w:val="24"/>
          <w:highlight w:val="none"/>
          <w:lang w:eastAsia="zh-CN"/>
        </w:rPr>
        <w:t>92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合同解除</w:t>
      </w:r>
      <w:bookmarkEnd w:id="1195"/>
      <w:bookmarkEnd w:id="1196"/>
      <w:bookmarkEnd w:id="1197"/>
      <w:bookmarkEnd w:id="1198"/>
      <w:bookmarkEnd w:id="1199"/>
      <w:bookmarkEnd w:id="1200"/>
      <w:bookmarkEnd w:id="1201"/>
      <w:bookmarkEnd w:id="1202"/>
      <w:bookmarkEnd w:id="1203"/>
    </w:p>
    <w:p>
      <w:pPr>
        <w:rPr>
          <w:rFonts w:ascii="仿宋" w:hAnsi="仿宋" w:eastAsia="仿宋" w:cs="仿宋"/>
          <w:b/>
          <w:bCs/>
          <w:color w:val="auto"/>
          <w:highlight w:val="none"/>
          <w:lang w:eastAsia="zh-CN"/>
        </w:rPr>
      </w:pPr>
      <w:bookmarkStart w:id="1204" w:name="_Toc16164"/>
      <w:r>
        <w:rPr>
          <w:color w:val="auto"/>
          <w:highlight w:val="none"/>
        </w:rPr>
        <mc:AlternateContent>
          <mc:Choice Requires="wps">
            <w:drawing>
              <wp:anchor distT="0" distB="0" distL="114300" distR="114300" simplePos="0" relativeHeight="251944960" behindDoc="0" locked="0" layoutInCell="1" allowOverlap="1">
                <wp:simplePos x="0" y="0"/>
                <wp:positionH relativeFrom="column">
                  <wp:posOffset>-114300</wp:posOffset>
                </wp:positionH>
                <wp:positionV relativeFrom="paragraph">
                  <wp:posOffset>165100</wp:posOffset>
                </wp:positionV>
                <wp:extent cx="790575" cy="450215"/>
                <wp:effectExtent l="0" t="0" r="0" b="0"/>
                <wp:wrapNone/>
                <wp:docPr id="280" name="文本框 1079"/>
                <wp:cNvGraphicFramePr/>
                <a:graphic xmlns:a="http://schemas.openxmlformats.org/drawingml/2006/main">
                  <a:graphicData uri="http://schemas.microsoft.com/office/word/2010/wordprocessingShape">
                    <wps:wsp>
                      <wps:cNvSpPr txBox="1"/>
                      <wps:spPr>
                        <a:xfrm>
                          <a:off x="0" y="0"/>
                          <a:ext cx="790575" cy="45021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协商一致解除</w:t>
                            </w:r>
                          </w:p>
                        </w:txbxContent>
                      </wps:txbx>
                      <wps:bodyPr wrap="square" upright="1"/>
                    </wps:wsp>
                  </a:graphicData>
                </a:graphic>
              </wp:anchor>
            </w:drawing>
          </mc:Choice>
          <mc:Fallback>
            <w:pict>
              <v:shape id="文本框 1079" o:spid="_x0000_s1026" o:spt="202" type="#_x0000_t202" style="position:absolute;left:0pt;margin-left:-9pt;margin-top:13pt;height:35.45pt;width:62.25pt;z-index:251944960;mso-width-relative:page;mso-height-relative:page;" filled="f" stroked="f" coordsize="21600,21600" o:gfxdata="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KQdKKrXAAAACQEAAA8AAAAAAAAAAQAgAAAAIgAAAGRycy9kb3ducmV2LnhtbFBLAQIU&#10;ABQAAAAIAIdO4kAmvG6CuwEAAGA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协商一致解除</w:t>
                      </w:r>
                    </w:p>
                  </w:txbxContent>
                </v:textbox>
              </v:shape>
            </w:pict>
          </mc:Fallback>
        </mc:AlternateContent>
      </w:r>
      <w:r>
        <w:rPr>
          <w:rFonts w:hint="eastAsia" w:ascii="仿宋" w:hAnsi="仿宋" w:eastAsia="仿宋" w:cs="仿宋"/>
          <w:b/>
          <w:bCs/>
          <w:color w:val="auto"/>
          <w:highlight w:val="none"/>
          <w:lang w:eastAsia="zh-CN"/>
        </w:rPr>
        <w:t>92</w:t>
      </w:r>
      <w:r>
        <w:rPr>
          <w:rFonts w:ascii="仿宋" w:hAnsi="仿宋" w:eastAsia="仿宋" w:cs="仿宋"/>
          <w:b/>
          <w:bCs/>
          <w:color w:val="auto"/>
          <w:highlight w:val="none"/>
          <w:lang w:eastAsia="zh-CN"/>
        </w:rPr>
        <w:t>.1</w:t>
      </w:r>
      <w:bookmarkEnd w:id="1204"/>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合同双方当事人协商一致，可以解除合同。</w:t>
      </w:r>
    </w:p>
    <w:p>
      <w:pPr>
        <w:pStyle w:val="22"/>
        <w:tabs>
          <w:tab w:val="left" w:pos="1320"/>
        </w:tabs>
        <w:adjustRightInd w:val="0"/>
        <w:snapToGrid w:val="0"/>
        <w:spacing w:line="360" w:lineRule="auto"/>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2067840" behindDoc="0" locked="0" layoutInCell="1" allowOverlap="1">
                <wp:simplePos x="0" y="0"/>
                <wp:positionH relativeFrom="column">
                  <wp:posOffset>-89535</wp:posOffset>
                </wp:positionH>
                <wp:positionV relativeFrom="paragraph">
                  <wp:posOffset>217170</wp:posOffset>
                </wp:positionV>
                <wp:extent cx="795020" cy="578485"/>
                <wp:effectExtent l="0" t="0" r="0" b="0"/>
                <wp:wrapNone/>
                <wp:docPr id="400" name="文本框 1080"/>
                <wp:cNvGraphicFramePr/>
                <a:graphic xmlns:a="http://schemas.openxmlformats.org/drawingml/2006/main">
                  <a:graphicData uri="http://schemas.microsoft.com/office/word/2010/wordprocessingShape">
                    <wps:wsp>
                      <wps:cNvSpPr txBox="1"/>
                      <wps:spPr>
                        <a:xfrm>
                          <a:off x="0" y="0"/>
                          <a:ext cx="795020" cy="57848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不可抗力导致解除</w:t>
                            </w:r>
                          </w:p>
                        </w:txbxContent>
                      </wps:txbx>
                      <wps:bodyPr wrap="square" upright="1"/>
                    </wps:wsp>
                  </a:graphicData>
                </a:graphic>
              </wp:anchor>
            </w:drawing>
          </mc:Choice>
          <mc:Fallback>
            <w:pict>
              <v:shape id="文本框 1080" o:spid="_x0000_s1026" o:spt="202" type="#_x0000_t202" style="position:absolute;left:0pt;margin-left:-7.05pt;margin-top:17.1pt;height:45.55pt;width:62.6pt;z-index:252067840;mso-width-relative:page;mso-height-relative:page;" filled="f" stroked="f" coordsize="21600,21600" o:gfxdata="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F50UkHXAAAACgEAAA8AAAAAAAAAAQAgAAAAIgAAAGRycy9kb3ducmV2LnhtbFBLAQIUABQA&#10;AAAIAIdO4kDcy4B4uAEAAGADAAAOAAAAAAAAAAEAIAAAACY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不可抗力导致解除</w:t>
                      </w:r>
                    </w:p>
                  </w:txbxContent>
                </v:textbox>
              </v:shape>
            </w:pict>
          </mc:Fallback>
        </mc:AlternateContent>
      </w:r>
      <w:r>
        <w:rPr>
          <w:rFonts w:hint="eastAsia" w:ascii="仿宋" w:hAnsi="仿宋" w:eastAsia="仿宋" w:cs="仿宋"/>
          <w:b/>
          <w:bCs/>
          <w:color w:val="auto"/>
          <w:sz w:val="24"/>
          <w:szCs w:val="24"/>
          <w:highlight w:val="none"/>
          <w:lang w:eastAsia="zh-CN"/>
        </w:rPr>
        <w:t>92</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r>
        <w:rPr>
          <w:rFonts w:ascii="仿宋" w:hAnsi="仿宋" w:eastAsia="仿宋" w:cs="仿宋"/>
          <w:color w:val="auto"/>
          <w:sz w:val="24"/>
          <w:szCs w:val="24"/>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因单次不可抗力导致合同无法履行连续超过84天或累计超过140天的，合同双方当事人有权解除合同。</w:t>
      </w:r>
    </w:p>
    <w:p>
      <w:pPr>
        <w:widowControl w:val="0"/>
        <w:spacing w:line="360" w:lineRule="auto"/>
        <w:rPr>
          <w:rFonts w:ascii="仿宋" w:hAnsi="仿宋" w:eastAsia="仿宋"/>
          <w:color w:val="auto"/>
          <w:highlight w:val="none"/>
          <w:lang w:eastAsia="zh-CN"/>
        </w:rPr>
      </w:pPr>
      <w:bookmarkStart w:id="1205" w:name="_Toc7790"/>
      <w:r>
        <w:rPr>
          <w:rFonts w:hint="eastAsia" w:ascii="仿宋" w:hAnsi="仿宋" w:eastAsia="仿宋" w:cs="仿宋"/>
          <w:b/>
          <w:bCs/>
          <w:color w:val="auto"/>
          <w:highlight w:val="none"/>
          <w:lang w:eastAsia="zh-CN"/>
        </w:rPr>
        <w:t>92</w:t>
      </w:r>
      <w:r>
        <w:rPr>
          <w:rFonts w:ascii="仿宋" w:hAnsi="仿宋" w:eastAsia="仿宋" w:cs="仿宋"/>
          <w:b/>
          <w:bCs/>
          <w:color w:val="auto"/>
          <w:highlight w:val="none"/>
          <w:lang w:eastAsia="zh-CN"/>
        </w:rPr>
        <w:t>.3</w:t>
      </w:r>
      <w:bookmarkEnd w:id="1205"/>
      <w:r>
        <w:rPr>
          <w:rFonts w:ascii="仿宋" w:hAnsi="仿宋" w:eastAsia="仿宋" w:cs="仿宋"/>
          <w:b/>
          <w:bCs/>
          <w:color w:val="auto"/>
          <w:highlight w:val="none"/>
          <w:lang w:eastAsia="zh-CN"/>
        </w:rPr>
        <w:t xml:space="preserve"> </w:t>
      </w:r>
      <w:r>
        <w:rPr>
          <w:rFonts w:ascii="仿宋" w:hAnsi="仿宋" w:eastAsia="仿宋" w:cs="仿宋"/>
          <w:color w:val="auto"/>
          <w:highlight w:val="none"/>
          <w:lang w:eastAsia="zh-CN"/>
        </w:rPr>
        <w:t xml:space="preserve"> </w:t>
      </w:r>
      <w:r>
        <w:rPr>
          <w:rFonts w:ascii="仿宋" w:hAnsi="仿宋" w:eastAsia="仿宋" w:cs="仿宋"/>
          <w:color w:val="auto"/>
          <w:highlight w:val="none"/>
          <w:u w:val="dotted"/>
          <w:lang w:eastAsia="zh-CN"/>
        </w:rPr>
        <w:t xml:space="preserve">                                                                                </w:t>
      </w:r>
    </w:p>
    <w:p>
      <w:pPr>
        <w:pStyle w:val="22"/>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5984" behindDoc="0" locked="0" layoutInCell="1" allowOverlap="1">
                <wp:simplePos x="0" y="0"/>
                <wp:positionH relativeFrom="column">
                  <wp:posOffset>-114300</wp:posOffset>
                </wp:positionH>
                <wp:positionV relativeFrom="paragraph">
                  <wp:posOffset>37465</wp:posOffset>
                </wp:positionV>
                <wp:extent cx="803275" cy="749300"/>
                <wp:effectExtent l="0" t="0" r="0" b="0"/>
                <wp:wrapNone/>
                <wp:docPr id="281" name="文本框 1081"/>
                <wp:cNvGraphicFramePr/>
                <a:graphic xmlns:a="http://schemas.openxmlformats.org/drawingml/2006/main">
                  <a:graphicData uri="http://schemas.microsoft.com/office/word/2010/wordprocessingShape">
                    <wps:wsp>
                      <wps:cNvSpPr txBox="1"/>
                      <wps:spPr>
                        <a:xfrm>
                          <a:off x="0" y="0"/>
                          <a:ext cx="803275" cy="74930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因承包人的原因解除</w:t>
                            </w:r>
                          </w:p>
                        </w:txbxContent>
                      </wps:txbx>
                      <wps:bodyPr wrap="square" upright="1"/>
                    </wps:wsp>
                  </a:graphicData>
                </a:graphic>
              </wp:anchor>
            </w:drawing>
          </mc:Choice>
          <mc:Fallback>
            <w:pict>
              <v:shape id="文本框 1081" o:spid="_x0000_s1026" o:spt="202" type="#_x0000_t202" style="position:absolute;left:0pt;margin-left:-9pt;margin-top:2.95pt;height:59pt;width:63.25pt;z-index:251945984;mso-width-relative:page;mso-height-relative:page;" filled="f" stroked="f" coordsize="21600,21600" o:gfxdata="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BbFkXbXAAAACQEAAA8AAAAAAAAAAQAgAAAAIgAAAGRycy9kb3ducmV2LnhtbFBLAQIU&#10;ABQAAAAIAIdO4kDROu8auwEAAGA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因承包人的原因解除</w:t>
                      </w:r>
                    </w:p>
                  </w:txbxContent>
                </v:textbox>
              </v:shape>
            </w:pict>
          </mc:Fallback>
        </mc:AlternateContent>
      </w:r>
      <w:r>
        <w:rPr>
          <w:rFonts w:hint="eastAsia" w:ascii="仿宋" w:hAnsi="仿宋" w:eastAsia="仿宋" w:cs="仿宋"/>
          <w:color w:val="auto"/>
          <w:sz w:val="24"/>
          <w:szCs w:val="24"/>
          <w:highlight w:val="none"/>
          <w:lang w:eastAsia="zh-CN"/>
        </w:rPr>
        <w:t>承包人有下列情形之一的，发包人可以解除合同：</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承包人未能按照第41</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款约定的开工期限内开展勘察（如果有）、设计、BIM技术应用、设备及工器具购置（如果有）和施工等阶段的总承包范围内工作，经设计顾问人或监理人催告后的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天内仍未开工的；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按照第40条约定的进度计划未标明有停工且监理人也未按照第42</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款约定发出暂停施工令，但承包人停止施工时间持续达</w:t>
      </w:r>
      <w:r>
        <w:rPr>
          <w:rFonts w:ascii="仿宋" w:hAnsi="仿宋" w:eastAsia="仿宋" w:cs="仿宋"/>
          <w:color w:val="auto"/>
          <w:sz w:val="24"/>
          <w:szCs w:val="24"/>
          <w:highlight w:val="none"/>
          <w:lang w:eastAsia="zh-CN"/>
        </w:rPr>
        <w:t>56</w:t>
      </w:r>
      <w:r>
        <w:rPr>
          <w:rFonts w:hint="eastAsia" w:ascii="仿宋" w:hAnsi="仿宋" w:eastAsia="仿宋" w:cs="仿宋"/>
          <w:color w:val="auto"/>
          <w:sz w:val="24"/>
          <w:szCs w:val="24"/>
          <w:highlight w:val="none"/>
          <w:lang w:eastAsia="zh-CN"/>
        </w:rPr>
        <w:t>天或累计停止施工时间达</w:t>
      </w:r>
      <w:r>
        <w:rPr>
          <w:rFonts w:ascii="仿宋" w:hAnsi="仿宋" w:eastAsia="仿宋" w:cs="仿宋"/>
          <w:color w:val="auto"/>
          <w:sz w:val="24"/>
          <w:szCs w:val="24"/>
          <w:highlight w:val="none"/>
          <w:lang w:eastAsia="zh-CN"/>
        </w:rPr>
        <w:t>70</w:t>
      </w:r>
      <w:r>
        <w:rPr>
          <w:rFonts w:hint="eastAsia" w:ascii="仿宋" w:hAnsi="仿宋" w:eastAsia="仿宋" w:cs="仿宋"/>
          <w:color w:val="auto"/>
          <w:sz w:val="24"/>
          <w:szCs w:val="24"/>
          <w:highlight w:val="none"/>
          <w:lang w:eastAsia="zh-CN"/>
        </w:rPr>
        <w:t>天的；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承包人违反第21</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款或第58</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款约定未经监理人批准，擅自将已按照合同约定进入施工现场的施工设备、临时设施、工程材料、工程设备运出施工现场的；</w:t>
      </w:r>
    </w:p>
    <w:p>
      <w:pPr>
        <w:pStyle w:val="22"/>
        <w:widowControl w:val="0"/>
        <w:numPr>
          <w:ilvl w:val="0"/>
          <w:numId w:val="25"/>
        </w:numPr>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承包人拖延完工且能偿付的误期赔偿费已达到专用条款约定最高限额的；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承包人转包工程、违法分包或未经发</w:t>
      </w:r>
      <w:r>
        <w:rPr>
          <w:rFonts w:ascii="仿宋" w:hAnsi="仿宋" w:eastAsia="仿宋" w:cs="仿宋"/>
          <w:color w:val="auto"/>
          <w:sz w:val="24"/>
          <w:szCs w:val="24"/>
          <w:highlight w:val="none"/>
          <w:lang w:eastAsia="zh-CN"/>
        </w:rPr>
        <w:t>包人同意</w:t>
      </w:r>
      <w:r>
        <w:rPr>
          <w:rFonts w:hint="eastAsia" w:ascii="仿宋" w:hAnsi="仿宋" w:eastAsia="仿宋" w:cs="仿宋"/>
          <w:color w:val="auto"/>
          <w:sz w:val="24"/>
          <w:szCs w:val="24"/>
          <w:highlight w:val="none"/>
          <w:lang w:eastAsia="zh-CN"/>
        </w:rPr>
        <w:t>擅自分包工程的；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承包人未按照合同约定或设计顾问人、监理人的指令，经监理人、设计顾问人书面指出后仍未按要求改正的；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承包人履行合同期间有欺诈行为的；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承包人向任何人给付或企图给付任何贿赂、礼品、赏金、回扣或其他贵重物品，以引诱或报偿他人，但给付承包人雇员的奖励则属例外；</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承包人在缺陷责任期内未能对发生的缺陷进行修复，且又拒绝按照监理人指令再进行修补的；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承包人明确表示或以行为表明不履行合同约定主要义务的；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承包人延迟履行合同约定主要义务，经催告后在合理期限内仍未履行的；</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承包人破产或清算的，但以机构重组或联合为目的的除外；</w:t>
      </w:r>
    </w:p>
    <w:p>
      <w:pPr>
        <w:pStyle w:val="22"/>
        <w:widowControl w:val="0"/>
        <w:numPr>
          <w:ilvl w:val="0"/>
          <w:numId w:val="25"/>
        </w:numPr>
        <w:adjustRightInd w:val="0"/>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承包人被认为有严重违反合同的其他违约行为；</w:t>
      </w:r>
    </w:p>
    <w:p>
      <w:pPr>
        <w:pStyle w:val="22"/>
        <w:widowControl w:val="0"/>
        <w:numPr>
          <w:ilvl w:val="0"/>
          <w:numId w:val="25"/>
        </w:numPr>
        <w:adjustRightInd w:val="0"/>
        <w:snapToGrid w:val="0"/>
        <w:spacing w:line="360" w:lineRule="auto"/>
        <w:ind w:left="1850" w:leftChars="771" w:firstLine="0"/>
        <w:jc w:val="both"/>
        <w:rPr>
          <w:rFonts w:ascii="仿宋" w:hAnsi="仿宋" w:eastAsia="仿宋"/>
          <w:color w:val="auto"/>
          <w:sz w:val="24"/>
          <w:szCs w:val="24"/>
          <w:highlight w:val="none"/>
          <w:lang w:eastAsia="zh-CN"/>
        </w:rPr>
      </w:pPr>
      <w:r>
        <w:rPr>
          <w:rFonts w:hint="eastAsia" w:ascii="仿宋" w:hAnsi="仿宋" w:eastAsia="仿宋"/>
          <w:color w:val="auto"/>
          <w:sz w:val="24"/>
          <w:szCs w:val="24"/>
          <w:highlight w:val="none"/>
          <w:lang w:eastAsia="zh-CN"/>
        </w:rPr>
        <w:t>承包人不配合发包人对本合同工程进行检查。</w:t>
      </w:r>
    </w:p>
    <w:p>
      <w:pPr>
        <w:pStyle w:val="22"/>
        <w:widowControl w:val="0"/>
        <w:adjustRightInd w:val="0"/>
        <w:snapToGrid w:val="0"/>
        <w:spacing w:line="360" w:lineRule="auto"/>
        <w:ind w:left="1850" w:leftChars="771"/>
        <w:jc w:val="both"/>
        <w:rPr>
          <w:rFonts w:ascii="仿宋" w:hAnsi="仿宋" w:eastAsia="仿宋"/>
          <w:b/>
          <w:bCs/>
          <w:color w:val="auto"/>
          <w:sz w:val="24"/>
          <w:szCs w:val="24"/>
          <w:highlight w:val="none"/>
          <w:lang w:eastAsia="zh-CN"/>
        </w:rPr>
      </w:pPr>
      <w:r>
        <w:rPr>
          <w:rFonts w:hint="eastAsia" w:ascii="仿宋" w:hAnsi="仿宋" w:eastAsia="仿宋" w:cs="仿宋"/>
          <w:color w:val="auto"/>
          <w:sz w:val="24"/>
          <w:szCs w:val="24"/>
          <w:highlight w:val="none"/>
          <w:lang w:eastAsia="zh-CN"/>
        </w:rPr>
        <w:t>在这种情况下，发包人可自行或委托第三方实施、完成合同工程或其任何部分，并可使用根据第21</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款留下的承包人临时工程，直至永久工程完工为止。</w:t>
      </w:r>
    </w:p>
    <w:p>
      <w:pPr>
        <w:widowControl w:val="0"/>
        <w:spacing w:line="360" w:lineRule="auto"/>
        <w:rPr>
          <w:rFonts w:ascii="仿宋" w:hAnsi="仿宋" w:eastAsia="仿宋"/>
          <w:b/>
          <w:bCs/>
          <w:color w:val="auto"/>
          <w:highlight w:val="none"/>
          <w:lang w:eastAsia="zh-CN"/>
        </w:rPr>
      </w:pPr>
      <w:bookmarkStart w:id="1206" w:name="_Toc8110"/>
      <w:r>
        <w:rPr>
          <w:rFonts w:hint="eastAsia" w:ascii="仿宋" w:hAnsi="仿宋" w:eastAsia="仿宋" w:cs="仿宋"/>
          <w:b/>
          <w:bCs/>
          <w:color w:val="auto"/>
          <w:highlight w:val="none"/>
          <w:lang w:eastAsia="zh-CN"/>
        </w:rPr>
        <w:t>92</w:t>
      </w:r>
      <w:r>
        <w:rPr>
          <w:rFonts w:ascii="仿宋" w:hAnsi="仿宋" w:eastAsia="仿宋" w:cs="仿宋"/>
          <w:b/>
          <w:bCs/>
          <w:color w:val="auto"/>
          <w:highlight w:val="none"/>
          <w:lang w:eastAsia="zh-CN"/>
        </w:rPr>
        <w:t>.4</w:t>
      </w:r>
      <w:bookmarkEnd w:id="120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7008" behindDoc="0" locked="0" layoutInCell="1" allowOverlap="1">
                <wp:simplePos x="0" y="0"/>
                <wp:positionH relativeFrom="column">
                  <wp:posOffset>-114300</wp:posOffset>
                </wp:positionH>
                <wp:positionV relativeFrom="paragraph">
                  <wp:posOffset>29845</wp:posOffset>
                </wp:positionV>
                <wp:extent cx="813435" cy="725805"/>
                <wp:effectExtent l="0" t="0" r="0" b="0"/>
                <wp:wrapNone/>
                <wp:docPr id="282" name="文本框 1082"/>
                <wp:cNvGraphicFramePr/>
                <a:graphic xmlns:a="http://schemas.openxmlformats.org/drawingml/2006/main">
                  <a:graphicData uri="http://schemas.microsoft.com/office/word/2010/wordprocessingShape">
                    <wps:wsp>
                      <wps:cNvSpPr txBox="1"/>
                      <wps:spPr>
                        <a:xfrm>
                          <a:off x="0" y="0"/>
                          <a:ext cx="813435" cy="72580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因发包人的原因解除</w:t>
                            </w:r>
                          </w:p>
                        </w:txbxContent>
                      </wps:txbx>
                      <wps:bodyPr wrap="square" upright="1"/>
                    </wps:wsp>
                  </a:graphicData>
                </a:graphic>
              </wp:anchor>
            </w:drawing>
          </mc:Choice>
          <mc:Fallback>
            <w:pict>
              <v:shape id="文本框 1082" o:spid="_x0000_s1026" o:spt="202" type="#_x0000_t202" style="position:absolute;left:0pt;margin-left:-9pt;margin-top:2.35pt;height:57.15pt;width:64.05pt;z-index:251947008;mso-width-relative:page;mso-height-relative:page;" filled="f" stroked="f" coordsize="21600,21600" o:gfxdata="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Uhl711gAAAAkBAAAPAAAAAAAAAAEAIAAAACIAAABkcnMvZG93bnJldi54bWxQSwECFAAU&#10;AAAACACHTuJASdLdbboBAABg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因发包人的原因解除</w:t>
                      </w:r>
                    </w:p>
                  </w:txbxContent>
                </v:textbox>
              </v:shape>
            </w:pict>
          </mc:Fallback>
        </mc:AlternateContent>
      </w:r>
      <w:r>
        <w:rPr>
          <w:rFonts w:hint="eastAsia" w:ascii="仿宋" w:hAnsi="仿宋" w:eastAsia="仿宋" w:cs="仿宋"/>
          <w:color w:val="auto"/>
          <w:sz w:val="24"/>
          <w:szCs w:val="24"/>
          <w:highlight w:val="none"/>
          <w:lang w:eastAsia="zh-CN"/>
        </w:rPr>
        <w:t>发包人有下列情形之一的，承包人可以解除合同：</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非承包人原因未按照第41</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款约定期限内发出开工令，经承包人催告后</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天内仍未发出开工令的；</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按照第42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款约定非承包人原因造成暂停施工持续</w:t>
      </w:r>
      <w:r>
        <w:rPr>
          <w:rFonts w:ascii="仿宋" w:hAnsi="仿宋" w:eastAsia="仿宋" w:cs="仿宋"/>
          <w:color w:val="auto"/>
          <w:sz w:val="24"/>
          <w:szCs w:val="24"/>
          <w:highlight w:val="none"/>
          <w:lang w:eastAsia="zh-CN"/>
        </w:rPr>
        <w:t>56</w:t>
      </w:r>
      <w:r>
        <w:rPr>
          <w:rFonts w:hint="eastAsia" w:ascii="仿宋" w:hAnsi="仿宋" w:eastAsia="仿宋" w:cs="仿宋"/>
          <w:color w:val="auto"/>
          <w:sz w:val="24"/>
          <w:szCs w:val="24"/>
          <w:highlight w:val="none"/>
          <w:lang w:eastAsia="zh-CN"/>
        </w:rPr>
        <w:t>天以上或累计停工时间超过了</w:t>
      </w:r>
      <w:r>
        <w:rPr>
          <w:rFonts w:ascii="仿宋" w:hAnsi="仿宋" w:eastAsia="仿宋" w:cs="仿宋"/>
          <w:color w:val="auto"/>
          <w:sz w:val="24"/>
          <w:szCs w:val="24"/>
          <w:highlight w:val="none"/>
          <w:lang w:eastAsia="zh-CN"/>
        </w:rPr>
        <w:t>70</w:t>
      </w:r>
      <w:r>
        <w:rPr>
          <w:rFonts w:hint="eastAsia" w:ascii="仿宋" w:hAnsi="仿宋" w:eastAsia="仿宋" w:cs="仿宋"/>
          <w:color w:val="auto"/>
          <w:sz w:val="24"/>
          <w:szCs w:val="24"/>
          <w:highlight w:val="none"/>
          <w:lang w:eastAsia="zh-CN"/>
        </w:rPr>
        <w:t>天的；</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发包人按照第55条约定供应的工程材料和工程设备不符合强制性标准，致使承包人无法施工，经承包人催告后</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天内仍未更换的；</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设计顾问人或监理人未按照合同约定及时发出工作指令，导致承包人无法继续工作或施工的；</w:t>
      </w:r>
      <w:r>
        <w:rPr>
          <w:rFonts w:ascii="仿宋" w:hAnsi="仿宋" w:eastAsia="仿宋" w:cs="仿宋"/>
          <w:color w:val="auto"/>
          <w:sz w:val="24"/>
          <w:szCs w:val="24"/>
          <w:highlight w:val="none"/>
          <w:lang w:eastAsia="zh-CN"/>
        </w:rPr>
        <w:t xml:space="preserve"> </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发包人未按照第83</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款约定向承包人支付工程款，经承包人催告后</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天内仍未支付的；</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发包人无法继续履行、明确表示或以行为表明不履行合同约定主要义务的；</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发包人延迟履行合同约定主要义务，经催告后在合理期限内仍未履行的；</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发包人破产或清算的，但以机构重组或联合为目的的除外；</w:t>
      </w:r>
    </w:p>
    <w:p>
      <w:pPr>
        <w:pStyle w:val="22"/>
        <w:widowControl w:val="0"/>
        <w:numPr>
          <w:ilvl w:val="0"/>
          <w:numId w:val="26"/>
        </w:numPr>
        <w:tabs>
          <w:tab w:val="clear" w:pos="1560"/>
        </w:tabs>
        <w:adjustRightInd w:val="0"/>
        <w:snapToGrid w:val="0"/>
        <w:spacing w:line="360" w:lineRule="auto"/>
        <w:ind w:left="1850" w:leftChars="771" w:firstLine="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发包人被认为有严重违反合同的其他违约行为。</w:t>
      </w:r>
    </w:p>
    <w:p>
      <w:pPr>
        <w:pStyle w:val="22"/>
        <w:tabs>
          <w:tab w:val="left" w:pos="1320"/>
        </w:tabs>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2068864" behindDoc="0" locked="0" layoutInCell="1" allowOverlap="1">
                <wp:simplePos x="0" y="0"/>
                <wp:positionH relativeFrom="column">
                  <wp:posOffset>-114300</wp:posOffset>
                </wp:positionH>
                <wp:positionV relativeFrom="paragraph">
                  <wp:posOffset>202565</wp:posOffset>
                </wp:positionV>
                <wp:extent cx="803910" cy="534035"/>
                <wp:effectExtent l="0" t="0" r="0" b="0"/>
                <wp:wrapNone/>
                <wp:docPr id="401" name="文本框 1083"/>
                <wp:cNvGraphicFramePr/>
                <a:graphic xmlns:a="http://schemas.openxmlformats.org/drawingml/2006/main">
                  <a:graphicData uri="http://schemas.microsoft.com/office/word/2010/wordprocessingShape">
                    <wps:wsp>
                      <wps:cNvSpPr txBox="1"/>
                      <wps:spPr>
                        <a:xfrm>
                          <a:off x="0" y="0"/>
                          <a:ext cx="803910" cy="53403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书面通知合同解除</w:t>
                            </w:r>
                          </w:p>
                        </w:txbxContent>
                      </wps:txbx>
                      <wps:bodyPr wrap="square" upright="1"/>
                    </wps:wsp>
                  </a:graphicData>
                </a:graphic>
              </wp:anchor>
            </w:drawing>
          </mc:Choice>
          <mc:Fallback>
            <w:pict>
              <v:shape id="文本框 1083" o:spid="_x0000_s1026" o:spt="202" type="#_x0000_t202" style="position:absolute;left:0pt;margin-left:-9pt;margin-top:15.95pt;height:42.05pt;width:63.3pt;z-index:252068864;mso-width-relative:page;mso-height-relative:page;" filled="f" stroked="f" coordsize="21600,21600" o:gfxdata="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7zORXNcAAAAKAQAADwAAAAAAAAABACAAAAAiAAAAZHJzL2Rvd25yZXYueG1sUEsBAhQA&#10;FAAAAAgAh07iQEE1+Wm6AQAAYA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书面通知合同解除</w:t>
                      </w:r>
                    </w:p>
                  </w:txbxContent>
                </v:textbox>
              </v:shape>
            </w:pict>
          </mc:Fallback>
        </mc:AlternateContent>
      </w:r>
      <w:r>
        <w:rPr>
          <w:rFonts w:hint="eastAsia" w:ascii="仿宋" w:hAnsi="仿宋" w:eastAsia="仿宋" w:cs="仿宋"/>
          <w:b/>
          <w:bCs/>
          <w:color w:val="auto"/>
          <w:sz w:val="24"/>
          <w:szCs w:val="24"/>
          <w:highlight w:val="none"/>
          <w:lang w:eastAsia="zh-CN"/>
        </w:rPr>
        <w:t>92</w:t>
      </w:r>
      <w:r>
        <w:rPr>
          <w:rFonts w:ascii="仿宋" w:hAnsi="仿宋" w:eastAsia="仿宋" w:cs="仿宋"/>
          <w:b/>
          <w:bCs/>
          <w:color w:val="auto"/>
          <w:sz w:val="24"/>
          <w:szCs w:val="24"/>
          <w:highlight w:val="none"/>
          <w:lang w:eastAsia="zh-CN"/>
        </w:rPr>
        <w:t xml:space="preserve">.5  </w:t>
      </w:r>
      <w:r>
        <w:rPr>
          <w:rFonts w:ascii="仿宋" w:hAnsi="仿宋" w:eastAsia="仿宋" w:cs="仿宋"/>
          <w:b/>
          <w:bCs/>
          <w:color w:val="auto"/>
          <w:sz w:val="24"/>
          <w:szCs w:val="24"/>
          <w:highlight w:val="none"/>
          <w:u w:val="dotted"/>
          <w:lang w:eastAsia="zh-CN"/>
        </w:rPr>
        <w:t xml:space="preserve">                                                                               </w:t>
      </w:r>
    </w:p>
    <w:p>
      <w:pPr>
        <w:pStyle w:val="22"/>
        <w:adjustRightInd w:val="0"/>
        <w:snapToGrid w:val="0"/>
        <w:spacing w:line="360" w:lineRule="auto"/>
        <w:ind w:left="1850" w:leftChars="771"/>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根据第92</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款至第92</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款约定要求解除合同的，解除方应以书面形式向另一方当事人发出解除合同的通知，自通知到达对方时合同解除。对解除合同有争议的，应按照第91条约定处理。</w:t>
      </w:r>
    </w:p>
    <w:p>
      <w:pPr>
        <w:spacing w:line="360" w:lineRule="auto"/>
        <w:rPr>
          <w:rFonts w:ascii="仿宋" w:hAnsi="仿宋" w:eastAsia="仿宋"/>
          <w:b/>
          <w:bCs/>
          <w:color w:val="auto"/>
          <w:highlight w:val="none"/>
          <w:lang w:eastAsia="zh-CN"/>
        </w:rPr>
      </w:pPr>
      <w:bookmarkStart w:id="1207" w:name="_Toc27334"/>
      <w:r>
        <w:rPr>
          <w:rFonts w:hint="eastAsia" w:ascii="仿宋" w:hAnsi="仿宋" w:eastAsia="仿宋" w:cs="仿宋"/>
          <w:b/>
          <w:bCs/>
          <w:color w:val="auto"/>
          <w:highlight w:val="none"/>
          <w:lang w:eastAsia="zh-CN"/>
        </w:rPr>
        <w:t>92</w:t>
      </w:r>
      <w:r>
        <w:rPr>
          <w:rFonts w:ascii="仿宋" w:hAnsi="仿宋" w:eastAsia="仿宋" w:cs="仿宋"/>
          <w:b/>
          <w:bCs/>
          <w:color w:val="auto"/>
          <w:highlight w:val="none"/>
          <w:lang w:eastAsia="zh-CN"/>
        </w:rPr>
        <w:t>.6</w:t>
      </w:r>
      <w:bookmarkEnd w:id="120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8032" behindDoc="0" locked="0" layoutInCell="1" allowOverlap="1">
                <wp:simplePos x="0" y="0"/>
                <wp:positionH relativeFrom="column">
                  <wp:posOffset>-114300</wp:posOffset>
                </wp:positionH>
                <wp:positionV relativeFrom="paragraph">
                  <wp:posOffset>6985</wp:posOffset>
                </wp:positionV>
                <wp:extent cx="794385" cy="582930"/>
                <wp:effectExtent l="0" t="0" r="0" b="0"/>
                <wp:wrapNone/>
                <wp:docPr id="283" name="文本框 1084"/>
                <wp:cNvGraphicFramePr/>
                <a:graphic xmlns:a="http://schemas.openxmlformats.org/drawingml/2006/main">
                  <a:graphicData uri="http://schemas.microsoft.com/office/word/2010/wordprocessingShape">
                    <wps:wsp>
                      <wps:cNvSpPr txBox="1"/>
                      <wps:spPr>
                        <a:xfrm>
                          <a:off x="0" y="0"/>
                          <a:ext cx="794385" cy="582930"/>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合同解除后双方的责任和义务</w:t>
                            </w:r>
                          </w:p>
                        </w:txbxContent>
                      </wps:txbx>
                      <wps:bodyPr wrap="square" upright="1"/>
                    </wps:wsp>
                  </a:graphicData>
                </a:graphic>
              </wp:anchor>
            </w:drawing>
          </mc:Choice>
          <mc:Fallback>
            <w:pict>
              <v:shape id="文本框 1084" o:spid="_x0000_s1026" o:spt="202" type="#_x0000_t202" style="position:absolute;left:0pt;margin-left:-9pt;margin-top:0.55pt;height:45.9pt;width:62.55pt;z-index:251948032;mso-width-relative:page;mso-height-relative:page;" filled="f" stroked="f" coordsize="21600,21600" o:gfxdata="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BfuwXPVAAAACAEAAA8AAAAAAAAAAQAgAAAAIgAAAGRycy9kb3ducmV2LnhtbFBLAQIU&#10;ABQAAAAIAIdO4kBjstYsvQEAAGADAAAOAAAAAAAAAAEAIAAAACQ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合同解除后双方的责任和义务</w:t>
                      </w:r>
                    </w:p>
                  </w:txbxContent>
                </v:textbox>
              </v:shape>
            </w:pict>
          </mc:Fallback>
        </mc:AlternateContent>
      </w:r>
      <w:r>
        <w:rPr>
          <w:rFonts w:hint="eastAsia" w:ascii="仿宋" w:hAnsi="仿宋" w:eastAsia="仿宋" w:cs="仿宋"/>
          <w:color w:val="auto"/>
          <w:sz w:val="24"/>
          <w:szCs w:val="24"/>
          <w:highlight w:val="none"/>
          <w:lang w:eastAsia="zh-CN"/>
        </w:rPr>
        <w:t>合同一旦解除，承包人应立即停止施工，保证现场安全，保护已完工程和已购工程材料、工程设备，尽快撤离现场，并将所有与本合同有关的勘察资料、施工文件、设计文件移交给监理人。发包人应为承包人的撤离提供便利和协助。</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208" w:name="_Toc11921"/>
      <w:bookmarkStart w:id="1209" w:name="_Toc21102"/>
      <w:bookmarkStart w:id="1210" w:name="_Toc7599"/>
      <w:bookmarkStart w:id="1211" w:name="_Toc11401"/>
      <w:bookmarkStart w:id="1212" w:name="_Toc21298"/>
      <w:bookmarkStart w:id="1213" w:name="_Toc469384072"/>
      <w:bookmarkStart w:id="1214" w:name="_Toc29142"/>
      <w:bookmarkStart w:id="1215" w:name="_Toc23783"/>
      <w:bookmarkStart w:id="1216" w:name="_Toc26366"/>
      <w:r>
        <w:rPr>
          <w:rFonts w:hint="eastAsia" w:ascii="仿宋" w:hAnsi="仿宋" w:eastAsia="仿宋" w:cs="仿宋"/>
          <w:bCs w:val="0"/>
          <w:color w:val="auto"/>
          <w:sz w:val="24"/>
          <w:szCs w:val="24"/>
          <w:highlight w:val="none"/>
          <w:lang w:eastAsia="zh-CN"/>
        </w:rPr>
        <w:t>93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合同解除的支付</w:t>
      </w:r>
      <w:bookmarkEnd w:id="1208"/>
      <w:bookmarkEnd w:id="1209"/>
      <w:bookmarkEnd w:id="1210"/>
      <w:bookmarkEnd w:id="1211"/>
      <w:bookmarkEnd w:id="1212"/>
      <w:bookmarkEnd w:id="1213"/>
      <w:bookmarkEnd w:id="1214"/>
      <w:bookmarkEnd w:id="1215"/>
      <w:bookmarkEnd w:id="1216"/>
    </w:p>
    <w:p>
      <w:pPr>
        <w:pStyle w:val="22"/>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2069888" behindDoc="0" locked="0" layoutInCell="1" allowOverlap="1">
                <wp:simplePos x="0" y="0"/>
                <wp:positionH relativeFrom="column">
                  <wp:posOffset>-66675</wp:posOffset>
                </wp:positionH>
                <wp:positionV relativeFrom="paragraph">
                  <wp:posOffset>188595</wp:posOffset>
                </wp:positionV>
                <wp:extent cx="765810" cy="429895"/>
                <wp:effectExtent l="0" t="0" r="0" b="0"/>
                <wp:wrapNone/>
                <wp:docPr id="402" name="文本框 1085"/>
                <wp:cNvGraphicFramePr/>
                <a:graphic xmlns:a="http://schemas.openxmlformats.org/drawingml/2006/main">
                  <a:graphicData uri="http://schemas.microsoft.com/office/word/2010/wordprocessingShape">
                    <wps:wsp>
                      <wps:cNvSpPr txBox="1"/>
                      <wps:spPr>
                        <a:xfrm>
                          <a:off x="0" y="0"/>
                          <a:ext cx="765810" cy="42989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协商一致解除的支付</w:t>
                            </w:r>
                          </w:p>
                        </w:txbxContent>
                      </wps:txbx>
                      <wps:bodyPr wrap="square" upright="1"/>
                    </wps:wsp>
                  </a:graphicData>
                </a:graphic>
              </wp:anchor>
            </w:drawing>
          </mc:Choice>
          <mc:Fallback>
            <w:pict>
              <v:shape id="文本框 1085" o:spid="_x0000_s1026" o:spt="202" type="#_x0000_t202" style="position:absolute;left:0pt;margin-left:-5.25pt;margin-top:14.85pt;height:33.85pt;width:60.3pt;z-index:252069888;mso-width-relative:page;mso-height-relative:page;" filled="f" stroked="f" coordsize="21600,21600" o:gfxdata="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d2XU1dYAAAAJAQAADwAAAAAAAAABACAAAAAiAAAAZHJzL2Rvd25yZXYueG1sUEsBAhQA&#10;FAAAAAgAh07iQHHnKMq7AQAAYA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协商一致解除的支付</w:t>
                      </w:r>
                    </w:p>
                  </w:txbxContent>
                </v:textbox>
              </v:shape>
            </w:pict>
          </mc:Fallback>
        </mc:AlternateContent>
      </w:r>
      <w:r>
        <w:rPr>
          <w:rFonts w:hint="eastAsia" w:ascii="仿宋" w:hAnsi="仿宋" w:eastAsia="仿宋" w:cs="仿宋"/>
          <w:b/>
          <w:bCs/>
          <w:color w:val="auto"/>
          <w:sz w:val="24"/>
          <w:szCs w:val="24"/>
          <w:highlight w:val="none"/>
          <w:lang w:eastAsia="zh-CN"/>
        </w:rPr>
        <w:t>93</w:t>
      </w:r>
      <w:r>
        <w:rPr>
          <w:rFonts w:ascii="仿宋" w:hAnsi="仿宋" w:eastAsia="仿宋" w:cs="仿宋"/>
          <w:b/>
          <w:bCs/>
          <w:color w:val="auto"/>
          <w:sz w:val="24"/>
          <w:szCs w:val="24"/>
          <w:highlight w:val="none"/>
          <w:lang w:eastAsia="zh-CN"/>
        </w:rPr>
        <w:t>.1</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根据第92</w:t>
      </w:r>
      <w:r>
        <w:rPr>
          <w:rFonts w:ascii="仿宋" w:hAnsi="仿宋" w:eastAsia="仿宋" w:cs="仿宋"/>
          <w:color w:val="auto"/>
          <w:sz w:val="24"/>
          <w:szCs w:val="24"/>
          <w:highlight w:val="none"/>
          <w:lang w:eastAsia="zh-CN"/>
        </w:rPr>
        <w:t>.1</w:t>
      </w:r>
      <w:r>
        <w:rPr>
          <w:rFonts w:hint="eastAsia" w:ascii="仿宋" w:hAnsi="仿宋" w:eastAsia="仿宋" w:cs="仿宋"/>
          <w:color w:val="auto"/>
          <w:sz w:val="24"/>
          <w:szCs w:val="24"/>
          <w:highlight w:val="none"/>
          <w:lang w:eastAsia="zh-CN"/>
        </w:rPr>
        <w:t>款约定解除合同的，按照达成的协议办理结算和支付工程款。</w:t>
      </w:r>
    </w:p>
    <w:p>
      <w:pPr>
        <w:spacing w:line="360" w:lineRule="auto"/>
        <w:rPr>
          <w:rFonts w:ascii="仿宋" w:hAnsi="仿宋" w:eastAsia="仿宋"/>
          <w:b/>
          <w:bCs/>
          <w:color w:val="auto"/>
          <w:highlight w:val="none"/>
          <w:lang w:eastAsia="zh-CN"/>
        </w:rPr>
      </w:pPr>
      <w:bookmarkStart w:id="1217" w:name="_Toc12411"/>
      <w:r>
        <w:rPr>
          <w:rFonts w:hint="eastAsia" w:ascii="仿宋" w:hAnsi="仿宋" w:eastAsia="仿宋" w:cs="仿宋"/>
          <w:b/>
          <w:bCs/>
          <w:color w:val="auto"/>
          <w:highlight w:val="none"/>
          <w:lang w:eastAsia="zh-CN"/>
        </w:rPr>
        <w:t>93</w:t>
      </w:r>
      <w:r>
        <w:rPr>
          <w:rFonts w:ascii="仿宋" w:hAnsi="仿宋" w:eastAsia="仿宋" w:cs="仿宋"/>
          <w:b/>
          <w:bCs/>
          <w:color w:val="auto"/>
          <w:highlight w:val="none"/>
          <w:lang w:eastAsia="zh-CN"/>
        </w:rPr>
        <w:t>.2</w:t>
      </w:r>
      <w:bookmarkEnd w:id="121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49056" behindDoc="0" locked="0" layoutInCell="1" allowOverlap="1">
                <wp:simplePos x="0" y="0"/>
                <wp:positionH relativeFrom="column">
                  <wp:posOffset>-114300</wp:posOffset>
                </wp:positionH>
                <wp:positionV relativeFrom="paragraph">
                  <wp:posOffset>15875</wp:posOffset>
                </wp:positionV>
                <wp:extent cx="775970" cy="607060"/>
                <wp:effectExtent l="0" t="0" r="0" b="0"/>
                <wp:wrapNone/>
                <wp:docPr id="284" name="文本框 1086"/>
                <wp:cNvGraphicFramePr/>
                <a:graphic xmlns:a="http://schemas.openxmlformats.org/drawingml/2006/main">
                  <a:graphicData uri="http://schemas.microsoft.com/office/word/2010/wordprocessingShape">
                    <wps:wsp>
                      <wps:cNvSpPr txBox="1"/>
                      <wps:spPr>
                        <a:xfrm>
                          <a:off x="0" y="0"/>
                          <a:ext cx="775970" cy="60706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不可抗力解除的支付</w:t>
                            </w:r>
                          </w:p>
                        </w:txbxContent>
                      </wps:txbx>
                      <wps:bodyPr wrap="square" upright="1"/>
                    </wps:wsp>
                  </a:graphicData>
                </a:graphic>
              </wp:anchor>
            </w:drawing>
          </mc:Choice>
          <mc:Fallback>
            <w:pict>
              <v:shape id="文本框 1086" o:spid="_x0000_s1026" o:spt="202" type="#_x0000_t202" style="position:absolute;left:0pt;margin-left:-9pt;margin-top:1.25pt;height:47.8pt;width:61.1pt;z-index:251949056;mso-width-relative:page;mso-height-relative:page;" filled="f" stroked="f" coordsize="21600,21600" o:gfxdata="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Hg7+1gAAAAgBAAAPAAAAAAAAAAEAIAAAACIAAABkcnMvZG93bnJldi54bWxQSwECFAAU&#10;AAAACACHTuJAwCUvYLoBAABg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不可抗力解除的支付</w:t>
                      </w:r>
                    </w:p>
                  </w:txbxContent>
                </v:textbox>
              </v:shape>
            </w:pict>
          </mc:Fallback>
        </mc:AlternateContent>
      </w:r>
      <w:r>
        <w:rPr>
          <w:rFonts w:hint="eastAsia" w:ascii="仿宋" w:hAnsi="仿宋" w:eastAsia="仿宋" w:cs="仿宋"/>
          <w:color w:val="auto"/>
          <w:sz w:val="24"/>
          <w:szCs w:val="24"/>
          <w:highlight w:val="none"/>
          <w:lang w:eastAsia="zh-CN"/>
        </w:rPr>
        <w:t>根据第92</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款约定解除合同的，发包人应向承包人支付合同解除之日前已完成工程但尚未支付的工程款。此外，发包人还应支付下列款项：</w:t>
      </w:r>
    </w:p>
    <w:p>
      <w:pPr>
        <w:pStyle w:val="22"/>
        <w:widowControl w:val="0"/>
        <w:numPr>
          <w:ilvl w:val="0"/>
          <w:numId w:val="27"/>
        </w:numPr>
        <w:adjustRightInd w:val="0"/>
        <w:snapToGrid w:val="0"/>
        <w:spacing w:line="360" w:lineRule="auto"/>
        <w:ind w:left="2327" w:leftChars="771" w:hanging="477" w:hangingChars="199"/>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已实施或部分实施的措施项目应付款项；</w:t>
      </w:r>
    </w:p>
    <w:p>
      <w:pPr>
        <w:pStyle w:val="22"/>
        <w:widowControl w:val="0"/>
        <w:numPr>
          <w:ilvl w:val="0"/>
          <w:numId w:val="27"/>
        </w:numPr>
        <w:adjustRightInd w:val="0"/>
        <w:snapToGrid w:val="0"/>
        <w:spacing w:line="360" w:lineRule="auto"/>
        <w:ind w:left="1849" w:leftChars="770" w:hanging="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承包人为合同工程合理订购且已交付的工程材料和工程设备货款。发包人一经支付此项货款，该工程材料和工程设备即成为发包人的财产；</w:t>
      </w:r>
    </w:p>
    <w:p>
      <w:pPr>
        <w:pStyle w:val="22"/>
        <w:widowControl w:val="0"/>
        <w:numPr>
          <w:ilvl w:val="0"/>
          <w:numId w:val="27"/>
        </w:numPr>
        <w:adjustRightInd w:val="0"/>
        <w:snapToGrid w:val="0"/>
        <w:spacing w:line="360" w:lineRule="auto"/>
        <w:ind w:left="1849" w:leftChars="770" w:hanging="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承包人为完成合同工程而预期开支的任何合理款项，且该项款项未包括在本款其他各项支付之内；</w:t>
      </w:r>
    </w:p>
    <w:p>
      <w:pPr>
        <w:pStyle w:val="22"/>
        <w:widowControl w:val="0"/>
        <w:numPr>
          <w:ilvl w:val="0"/>
          <w:numId w:val="27"/>
        </w:numPr>
        <w:adjustRightInd w:val="0"/>
        <w:snapToGrid w:val="0"/>
        <w:spacing w:line="360" w:lineRule="auto"/>
        <w:ind w:left="2327" w:leftChars="771" w:hanging="477" w:hangingChars="199"/>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5</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款约定的任何工作应支付的款项；</w:t>
      </w:r>
    </w:p>
    <w:p>
      <w:pPr>
        <w:pStyle w:val="22"/>
        <w:widowControl w:val="0"/>
        <w:numPr>
          <w:ilvl w:val="0"/>
          <w:numId w:val="27"/>
        </w:numPr>
        <w:tabs>
          <w:tab w:val="left" w:pos="1980"/>
        </w:tabs>
        <w:adjustRightInd w:val="0"/>
        <w:snapToGrid w:val="0"/>
        <w:spacing w:line="360" w:lineRule="auto"/>
        <w:ind w:left="1849" w:leftChars="770" w:hanging="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根据第92</w:t>
      </w:r>
      <w:r>
        <w:rPr>
          <w:rFonts w:ascii="仿宋" w:hAnsi="仿宋" w:eastAsia="仿宋" w:cs="仿宋"/>
          <w:color w:val="auto"/>
          <w:sz w:val="24"/>
          <w:szCs w:val="24"/>
          <w:highlight w:val="none"/>
          <w:lang w:eastAsia="zh-CN"/>
        </w:rPr>
        <w:t>.6</w:t>
      </w:r>
      <w:r>
        <w:rPr>
          <w:rFonts w:hint="eastAsia" w:ascii="仿宋" w:hAnsi="仿宋" w:eastAsia="仿宋" w:cs="仿宋"/>
          <w:color w:val="auto"/>
          <w:sz w:val="24"/>
          <w:szCs w:val="24"/>
          <w:highlight w:val="none"/>
          <w:lang w:eastAsia="zh-CN"/>
        </w:rPr>
        <w:t>款约定承包人撤离现场所需的合理款项，包括雇员遣散费和临时工程拆除、施工设备运离现场的款项。</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合同双方当事人按照第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7条、第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8条约定办理结算工程款，但应扣除合同解除之日前发包人向承包人收回的任何款项。如果发包人应扣除的款项超过了应支付的款项，则承包人应在合同解除后的</w:t>
      </w:r>
      <w:r>
        <w:rPr>
          <w:rFonts w:ascii="仿宋" w:hAnsi="仿宋" w:eastAsia="仿宋" w:cs="仿宋"/>
          <w:color w:val="auto"/>
          <w:sz w:val="24"/>
          <w:szCs w:val="24"/>
          <w:highlight w:val="none"/>
          <w:lang w:eastAsia="zh-CN"/>
        </w:rPr>
        <w:t>56</w:t>
      </w:r>
      <w:r>
        <w:rPr>
          <w:rFonts w:hint="eastAsia" w:ascii="仿宋" w:hAnsi="仿宋" w:eastAsia="仿宋" w:cs="仿宋"/>
          <w:color w:val="auto"/>
          <w:sz w:val="24"/>
          <w:szCs w:val="24"/>
          <w:highlight w:val="none"/>
          <w:lang w:eastAsia="zh-CN"/>
        </w:rPr>
        <w:t>天内将其差额退还给发包人。</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93</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950080" behindDoc="0" locked="0" layoutInCell="1" allowOverlap="1">
                <wp:simplePos x="0" y="0"/>
                <wp:positionH relativeFrom="column">
                  <wp:posOffset>-114300</wp:posOffset>
                </wp:positionH>
                <wp:positionV relativeFrom="paragraph">
                  <wp:posOffset>49530</wp:posOffset>
                </wp:positionV>
                <wp:extent cx="765810" cy="560070"/>
                <wp:effectExtent l="0" t="0" r="0" b="0"/>
                <wp:wrapNone/>
                <wp:docPr id="285" name="文本框 1087"/>
                <wp:cNvGraphicFramePr/>
                <a:graphic xmlns:a="http://schemas.openxmlformats.org/drawingml/2006/main">
                  <a:graphicData uri="http://schemas.microsoft.com/office/word/2010/wordprocessingShape">
                    <wps:wsp>
                      <wps:cNvSpPr txBox="1"/>
                      <wps:spPr>
                        <a:xfrm>
                          <a:off x="0" y="0"/>
                          <a:ext cx="765810" cy="56007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因承包人的原因解除的支付</w:t>
                            </w:r>
                          </w:p>
                        </w:txbxContent>
                      </wps:txbx>
                      <wps:bodyPr wrap="square" upright="1"/>
                    </wps:wsp>
                  </a:graphicData>
                </a:graphic>
              </wp:anchor>
            </w:drawing>
          </mc:Choice>
          <mc:Fallback>
            <w:pict>
              <v:shape id="文本框 1087" o:spid="_x0000_s1026" o:spt="202" type="#_x0000_t202" style="position:absolute;left:0pt;margin-left:-9pt;margin-top:3.9pt;height:44.1pt;width:60.3pt;z-index:251950080;mso-width-relative:page;mso-height-relative:page;" filled="f" stroked="f" coordsize="21600,21600" o:gfxdata="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AfMymfVAAAACAEAAA8AAAAAAAAAAQAgAAAAIgAAAGRycy9kb3ducmV2LnhtbFBLAQIUABQA&#10;AAAIAIdO4kDFnS1WugEAAGA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因承包人的原因解除的支付</w:t>
                      </w:r>
                    </w:p>
                  </w:txbxContent>
                </v:textbox>
              </v:shape>
            </w:pict>
          </mc:Fallback>
        </mc:AlternateContent>
      </w:r>
      <w:r>
        <w:rPr>
          <w:rFonts w:hint="eastAsia" w:ascii="仿宋" w:hAnsi="仿宋" w:eastAsia="仿宋" w:cs="仿宋"/>
          <w:color w:val="auto"/>
          <w:sz w:val="24"/>
          <w:szCs w:val="24"/>
          <w:highlight w:val="none"/>
          <w:lang w:eastAsia="zh-CN"/>
        </w:rPr>
        <w:t>根据第92</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款约定解除合同的，发包人暂停向承包人支付任何款项，造价咨询人应在合同解除后</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核实合同解除时承包人已完成的全部工程款以及已运至现场的工程材料和工程设备货款，并扣除误期赔偿费（如果有）和发包人已支付给承包人的各项款项，同时将结果通知承包人并抄报发包人。合同双方当事人应在收到核实结果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天内予以确认或提出意见，并按照第</w:t>
      </w:r>
      <w:r>
        <w:rPr>
          <w:rFonts w:ascii="仿宋" w:hAnsi="仿宋" w:eastAsia="仿宋" w:cs="仿宋"/>
          <w:color w:val="auto"/>
          <w:sz w:val="24"/>
          <w:szCs w:val="24"/>
          <w:highlight w:val="none"/>
          <w:lang w:eastAsia="zh-CN"/>
        </w:rPr>
        <w:t>8</w:t>
      </w:r>
      <w:r>
        <w:rPr>
          <w:rFonts w:hint="eastAsia" w:ascii="仿宋" w:hAnsi="仿宋" w:eastAsia="仿宋" w:cs="仿宋"/>
          <w:color w:val="auto"/>
          <w:sz w:val="24"/>
          <w:szCs w:val="24"/>
          <w:highlight w:val="none"/>
          <w:lang w:eastAsia="zh-CN"/>
        </w:rPr>
        <w:t>7</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款约定办理工程款结算。如果发包人应扣除的款项超过了应支付的款项，则承包人应在合同解除后的</w:t>
      </w:r>
      <w:r>
        <w:rPr>
          <w:rFonts w:ascii="仿宋" w:hAnsi="仿宋" w:eastAsia="仿宋" w:cs="仿宋"/>
          <w:color w:val="auto"/>
          <w:sz w:val="24"/>
          <w:szCs w:val="24"/>
          <w:highlight w:val="none"/>
          <w:lang w:eastAsia="zh-CN"/>
        </w:rPr>
        <w:t>56</w:t>
      </w:r>
      <w:r>
        <w:rPr>
          <w:rFonts w:hint="eastAsia" w:ascii="仿宋" w:hAnsi="仿宋" w:eastAsia="仿宋" w:cs="仿宋"/>
          <w:color w:val="auto"/>
          <w:sz w:val="24"/>
          <w:szCs w:val="24"/>
          <w:highlight w:val="none"/>
          <w:lang w:eastAsia="zh-CN"/>
        </w:rPr>
        <w:t>天内将其差额退还给发包人。</w:t>
      </w:r>
    </w:p>
    <w:p>
      <w:pPr>
        <w:spacing w:line="360" w:lineRule="auto"/>
        <w:rPr>
          <w:rFonts w:ascii="仿宋" w:hAnsi="仿宋" w:eastAsia="仿宋"/>
          <w:b/>
          <w:bCs/>
          <w:color w:val="auto"/>
          <w:highlight w:val="none"/>
          <w:lang w:eastAsia="zh-CN"/>
        </w:rPr>
      </w:pPr>
      <w:bookmarkStart w:id="1218" w:name="_Toc23620"/>
      <w:r>
        <w:rPr>
          <w:color w:val="auto"/>
          <w:highlight w:val="none"/>
        </w:rPr>
        <mc:AlternateContent>
          <mc:Choice Requires="wps">
            <w:drawing>
              <wp:anchor distT="0" distB="0" distL="114300" distR="114300" simplePos="0" relativeHeight="252070912" behindDoc="0" locked="0" layoutInCell="1" allowOverlap="1">
                <wp:simplePos x="0" y="0"/>
                <wp:positionH relativeFrom="column">
                  <wp:posOffset>-114300</wp:posOffset>
                </wp:positionH>
                <wp:positionV relativeFrom="paragraph">
                  <wp:posOffset>259715</wp:posOffset>
                </wp:positionV>
                <wp:extent cx="775970" cy="569595"/>
                <wp:effectExtent l="0" t="0" r="0" b="0"/>
                <wp:wrapNone/>
                <wp:docPr id="403" name="文本框 1088"/>
                <wp:cNvGraphicFramePr/>
                <a:graphic xmlns:a="http://schemas.openxmlformats.org/drawingml/2006/main">
                  <a:graphicData uri="http://schemas.microsoft.com/office/word/2010/wordprocessingShape">
                    <wps:wsp>
                      <wps:cNvSpPr txBox="1"/>
                      <wps:spPr>
                        <a:xfrm>
                          <a:off x="0" y="0"/>
                          <a:ext cx="775970" cy="569595"/>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因发包人的原因解除的支付</w:t>
                            </w:r>
                          </w:p>
                        </w:txbxContent>
                      </wps:txbx>
                      <wps:bodyPr wrap="square" upright="1"/>
                    </wps:wsp>
                  </a:graphicData>
                </a:graphic>
              </wp:anchor>
            </w:drawing>
          </mc:Choice>
          <mc:Fallback>
            <w:pict>
              <v:shape id="文本框 1088" o:spid="_x0000_s1026" o:spt="202" type="#_x0000_t202" style="position:absolute;left:0pt;margin-left:-9pt;margin-top:20.45pt;height:44.85pt;width:61.1pt;z-index:252070912;mso-width-relative:page;mso-height-relative:page;" filled="f" stroked="f" coordsize="21600,21600" o:gfxdata="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K8+ieHXAAAACgEAAA8AAAAAAAAAAQAgAAAAIgAAAGRycy9kb3ducmV2LnhtbFBLAQIU&#10;ABQAAAAIAIdO4kCy8ROGuwEAAGA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因发包人的原因解除的支付</w:t>
                      </w:r>
                    </w:p>
                  </w:txbxContent>
                </v:textbox>
              </v:shape>
            </w:pict>
          </mc:Fallback>
        </mc:AlternateContent>
      </w:r>
      <w:r>
        <w:rPr>
          <w:rFonts w:hint="eastAsia" w:ascii="仿宋" w:hAnsi="仿宋" w:eastAsia="仿宋" w:cs="仿宋"/>
          <w:b/>
          <w:bCs/>
          <w:color w:val="auto"/>
          <w:highlight w:val="none"/>
          <w:lang w:eastAsia="zh-CN"/>
        </w:rPr>
        <w:t>93</w:t>
      </w:r>
      <w:r>
        <w:rPr>
          <w:rFonts w:ascii="仿宋" w:hAnsi="仿宋" w:eastAsia="仿宋" w:cs="仿宋"/>
          <w:b/>
          <w:bCs/>
          <w:color w:val="auto"/>
          <w:highlight w:val="none"/>
          <w:lang w:eastAsia="zh-CN"/>
        </w:rPr>
        <w:t>.4</w:t>
      </w:r>
      <w:bookmarkEnd w:id="121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根据第92</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款约定解除合同的，发包人除应按照第93</w:t>
      </w:r>
      <w:r>
        <w:rPr>
          <w:rFonts w:ascii="仿宋" w:hAnsi="仿宋" w:eastAsia="仿宋" w:cs="仿宋"/>
          <w:color w:val="auto"/>
          <w:sz w:val="24"/>
          <w:szCs w:val="24"/>
          <w:highlight w:val="none"/>
          <w:lang w:eastAsia="zh-CN"/>
        </w:rPr>
        <w:t>.2</w:t>
      </w:r>
      <w:r>
        <w:rPr>
          <w:rFonts w:hint="eastAsia" w:ascii="仿宋" w:hAnsi="仿宋" w:eastAsia="仿宋" w:cs="仿宋"/>
          <w:color w:val="auto"/>
          <w:sz w:val="24"/>
          <w:szCs w:val="24"/>
          <w:highlight w:val="none"/>
          <w:lang w:eastAsia="zh-CN"/>
        </w:rPr>
        <w:t>款约定向承包人支付各项款项外，还应支付给承包人由于解除合同而引起的损失或损害的款项。该笔款项由承包人提出，造价咨询人核实后与合同双方当事人协商确定，并在确定后的</w:t>
      </w:r>
      <w:r>
        <w:rPr>
          <w:rFonts w:ascii="仿宋" w:hAnsi="仿宋" w:eastAsia="仿宋" w:cs="仿宋"/>
          <w:color w:val="auto"/>
          <w:sz w:val="24"/>
          <w:szCs w:val="24"/>
          <w:highlight w:val="none"/>
          <w:lang w:eastAsia="zh-CN"/>
        </w:rPr>
        <w:t>7</w:t>
      </w:r>
      <w:r>
        <w:rPr>
          <w:rFonts w:hint="eastAsia" w:ascii="仿宋" w:hAnsi="仿宋" w:eastAsia="仿宋" w:cs="仿宋"/>
          <w:color w:val="auto"/>
          <w:sz w:val="24"/>
          <w:szCs w:val="24"/>
          <w:highlight w:val="none"/>
          <w:lang w:eastAsia="zh-CN"/>
        </w:rPr>
        <w:t>天内由造价咨询人向发包人签发支付证书，抄送承包人。协商不能达成一致的，按照第91条约定处理。</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219" w:name="_Toc5917"/>
      <w:bookmarkStart w:id="1220" w:name="_Toc850"/>
      <w:bookmarkStart w:id="1221" w:name="_Toc8097"/>
      <w:bookmarkStart w:id="1222" w:name="_Toc469384073"/>
      <w:bookmarkStart w:id="1223" w:name="_Toc27812"/>
      <w:bookmarkStart w:id="1224" w:name="_Toc5132"/>
      <w:bookmarkStart w:id="1225" w:name="_Toc22074"/>
      <w:bookmarkStart w:id="1226" w:name="_Toc7257"/>
      <w:bookmarkStart w:id="1227" w:name="_Toc14924"/>
      <w:r>
        <w:rPr>
          <w:rFonts w:hint="eastAsia" w:ascii="仿宋" w:hAnsi="仿宋" w:eastAsia="仿宋" w:cs="仿宋"/>
          <w:bCs w:val="0"/>
          <w:color w:val="auto"/>
          <w:sz w:val="24"/>
          <w:szCs w:val="24"/>
          <w:highlight w:val="none"/>
          <w:lang w:eastAsia="zh-CN"/>
        </w:rPr>
        <w:t>94</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合同终止</w:t>
      </w:r>
      <w:bookmarkEnd w:id="1219"/>
      <w:bookmarkEnd w:id="1220"/>
      <w:bookmarkEnd w:id="1221"/>
      <w:bookmarkEnd w:id="1222"/>
      <w:bookmarkEnd w:id="1223"/>
      <w:bookmarkEnd w:id="1224"/>
      <w:bookmarkEnd w:id="1225"/>
      <w:bookmarkEnd w:id="1226"/>
      <w:bookmarkEnd w:id="1227"/>
    </w:p>
    <w:p>
      <w:pPr>
        <w:rPr>
          <w:rFonts w:ascii="仿宋" w:hAnsi="仿宋" w:eastAsia="仿宋" w:cs="仿宋"/>
          <w:b/>
          <w:bCs/>
          <w:color w:val="auto"/>
          <w:highlight w:val="none"/>
          <w:lang w:eastAsia="zh-CN"/>
        </w:rPr>
      </w:pPr>
      <w:bookmarkStart w:id="1228" w:name="_Toc21953"/>
      <w:r>
        <w:rPr>
          <w:rFonts w:hint="eastAsia" w:ascii="仿宋" w:hAnsi="仿宋" w:eastAsia="仿宋" w:cs="仿宋"/>
          <w:b/>
          <w:bCs/>
          <w:color w:val="auto"/>
          <w:highlight w:val="none"/>
          <w:lang w:eastAsia="zh-CN"/>
        </w:rPr>
        <w:t>94</w:t>
      </w:r>
      <w:r>
        <w:rPr>
          <w:rFonts w:ascii="仿宋" w:hAnsi="仿宋" w:eastAsia="仿宋" w:cs="仿宋"/>
          <w:b/>
          <w:bCs/>
          <w:color w:val="auto"/>
          <w:highlight w:val="none"/>
          <w:lang w:eastAsia="zh-CN"/>
        </w:rPr>
        <w:t>.1</w:t>
      </w:r>
      <w:bookmarkEnd w:id="1228"/>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51104" behindDoc="0" locked="0" layoutInCell="1" allowOverlap="1">
                <wp:simplePos x="0" y="0"/>
                <wp:positionH relativeFrom="column">
                  <wp:posOffset>-114300</wp:posOffset>
                </wp:positionH>
                <wp:positionV relativeFrom="paragraph">
                  <wp:posOffset>15875</wp:posOffset>
                </wp:positionV>
                <wp:extent cx="832485" cy="440055"/>
                <wp:effectExtent l="0" t="0" r="0" b="0"/>
                <wp:wrapNone/>
                <wp:docPr id="286" name="文本框 1089"/>
                <wp:cNvGraphicFramePr/>
                <a:graphic xmlns:a="http://schemas.openxmlformats.org/drawingml/2006/main">
                  <a:graphicData uri="http://schemas.microsoft.com/office/word/2010/wordprocessingShape">
                    <wps:wsp>
                      <wps:cNvSpPr txBox="1"/>
                      <wps:spPr>
                        <a:xfrm>
                          <a:off x="0" y="0"/>
                          <a:ext cx="832485" cy="44005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合同解除后的终止</w:t>
                            </w:r>
                          </w:p>
                        </w:txbxContent>
                      </wps:txbx>
                      <wps:bodyPr wrap="square" upright="1"/>
                    </wps:wsp>
                  </a:graphicData>
                </a:graphic>
              </wp:anchor>
            </w:drawing>
          </mc:Choice>
          <mc:Fallback>
            <w:pict>
              <v:shape id="文本框 1089" o:spid="_x0000_s1026" o:spt="202" type="#_x0000_t202" style="position:absolute;left:0pt;margin-left:-9pt;margin-top:1.25pt;height:34.65pt;width:65.55pt;z-index:251951104;mso-width-relative:page;mso-height-relative:page;" filled="f" stroked="f" coordsize="21600,21600" o:gfxdata="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JJlpN/WAAAACAEAAA8AAAAAAAAAAQAgAAAAIgAAAGRycy9kb3ducmV2LnhtbFBLAQIU&#10;ABQAAAAIAIdO4kBQ1hYDvAEAAGADAAAOAAAAAAAAAAEAIAAAACU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合同解除后的终止</w:t>
                      </w:r>
                    </w:p>
                  </w:txbxContent>
                </v:textbox>
              </v:shape>
            </w:pict>
          </mc:Fallback>
        </mc:AlternateContent>
      </w:r>
      <w:r>
        <w:rPr>
          <w:rFonts w:hint="eastAsia" w:ascii="仿宋" w:hAnsi="仿宋" w:eastAsia="仿宋" w:cs="仿宋"/>
          <w:color w:val="auto"/>
          <w:sz w:val="24"/>
          <w:szCs w:val="24"/>
          <w:highlight w:val="none"/>
          <w:lang w:eastAsia="zh-CN"/>
        </w:rPr>
        <w:t>合同解除后，除合同双方当事人享有第91条至第93条约定的权利外，本合同的权利</w:t>
      </w:r>
      <w:r>
        <w:rPr>
          <w:rFonts w:ascii="仿宋" w:hAnsi="仿宋" w:eastAsia="仿宋" w:cs="仿宋"/>
          <w:color w:val="auto"/>
          <w:sz w:val="24"/>
          <w:szCs w:val="24"/>
          <w:highlight w:val="none"/>
          <w:lang w:eastAsia="zh-CN"/>
        </w:rPr>
        <w:t>义务</w:t>
      </w:r>
      <w:r>
        <w:rPr>
          <w:rFonts w:hint="eastAsia" w:ascii="仿宋" w:hAnsi="仿宋" w:eastAsia="仿宋" w:cs="仿宋"/>
          <w:color w:val="auto"/>
          <w:sz w:val="24"/>
          <w:szCs w:val="24"/>
          <w:highlight w:val="none"/>
          <w:lang w:eastAsia="zh-CN"/>
        </w:rPr>
        <w:t>关系</w:t>
      </w:r>
      <w:r>
        <w:rPr>
          <w:rFonts w:ascii="仿宋" w:hAnsi="仿宋" w:eastAsia="仿宋" w:cs="仿宋"/>
          <w:color w:val="auto"/>
          <w:sz w:val="24"/>
          <w:szCs w:val="24"/>
          <w:highlight w:val="none"/>
          <w:lang w:eastAsia="zh-CN"/>
        </w:rPr>
        <w:t>终止</w:t>
      </w:r>
      <w:r>
        <w:rPr>
          <w:rFonts w:hint="eastAsia" w:ascii="仿宋" w:hAnsi="仿宋" w:eastAsia="仿宋" w:cs="仿宋"/>
          <w:color w:val="auto"/>
          <w:sz w:val="24"/>
          <w:szCs w:val="24"/>
          <w:highlight w:val="none"/>
          <w:lang w:eastAsia="zh-CN"/>
        </w:rPr>
        <w:t>，但不影响一方当事人在此以前的任何违约而损害另一方当事人应享有的权利，也不影响合同双方当事人履行本合同结算和清算条款的效力。</w:t>
      </w:r>
    </w:p>
    <w:p>
      <w:pPr>
        <w:spacing w:line="360" w:lineRule="auto"/>
        <w:rPr>
          <w:rFonts w:ascii="仿宋" w:hAnsi="仿宋" w:eastAsia="仿宋"/>
          <w:b/>
          <w:bCs/>
          <w:color w:val="auto"/>
          <w:highlight w:val="none"/>
          <w:lang w:eastAsia="zh-CN"/>
        </w:rPr>
      </w:pPr>
      <w:bookmarkStart w:id="1229" w:name="_Toc15914"/>
      <w:r>
        <w:rPr>
          <w:rFonts w:hint="eastAsia" w:ascii="仿宋" w:hAnsi="仿宋" w:eastAsia="仿宋" w:cs="仿宋"/>
          <w:b/>
          <w:bCs/>
          <w:color w:val="auto"/>
          <w:highlight w:val="none"/>
          <w:lang w:eastAsia="zh-CN"/>
        </w:rPr>
        <w:t>94</w:t>
      </w:r>
      <w:r>
        <w:rPr>
          <w:rFonts w:ascii="仿宋" w:hAnsi="仿宋" w:eastAsia="仿宋" w:cs="仿宋"/>
          <w:b/>
          <w:bCs/>
          <w:color w:val="auto"/>
          <w:highlight w:val="none"/>
          <w:lang w:eastAsia="zh-CN"/>
        </w:rPr>
        <w:t>.2</w:t>
      </w:r>
      <w:bookmarkEnd w:id="1229"/>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52128" behindDoc="0" locked="0" layoutInCell="1" allowOverlap="1">
                <wp:simplePos x="0" y="0"/>
                <wp:positionH relativeFrom="column">
                  <wp:posOffset>-114300</wp:posOffset>
                </wp:positionH>
                <wp:positionV relativeFrom="paragraph">
                  <wp:posOffset>635</wp:posOffset>
                </wp:positionV>
                <wp:extent cx="765810" cy="707390"/>
                <wp:effectExtent l="0" t="0" r="0" b="0"/>
                <wp:wrapNone/>
                <wp:docPr id="287" name="文本框 1090"/>
                <wp:cNvGraphicFramePr/>
                <a:graphic xmlns:a="http://schemas.openxmlformats.org/drawingml/2006/main">
                  <a:graphicData uri="http://schemas.microsoft.com/office/word/2010/wordprocessingShape">
                    <wps:wsp>
                      <wps:cNvSpPr txBox="1"/>
                      <wps:spPr>
                        <a:xfrm>
                          <a:off x="0" y="0"/>
                          <a:ext cx="765810" cy="707390"/>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双方履行完全部义务后的终止</w:t>
                            </w:r>
                          </w:p>
                        </w:txbxContent>
                      </wps:txbx>
                      <wps:bodyPr wrap="square" upright="1"/>
                    </wps:wsp>
                  </a:graphicData>
                </a:graphic>
              </wp:anchor>
            </w:drawing>
          </mc:Choice>
          <mc:Fallback>
            <w:pict>
              <v:shape id="文本框 1090" o:spid="_x0000_s1026" o:spt="202" type="#_x0000_t202" style="position:absolute;left:0pt;margin-left:-9pt;margin-top:0.05pt;height:55.7pt;width:60.3pt;z-index:251952128;mso-width-relative:page;mso-height-relative:page;" filled="f" stroked="f" coordsize="21600,21600" o:gfxdata="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HkyydHUAAAACAEAAA8AAAAAAAAAAQAgAAAAIgAAAGRycy9kb3ducmV2LnhtbFBLAQIUABQAAAAI&#10;AIdO4kBvE9IuuAEAAGADAAAOAAAAAAAAAAEAIAAAACMBAABkcnMvZTJvRG9jLnhtbFBLBQYAAAAA&#10;BgAGAFkBAABN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双方履行完全部义务后的终止</w:t>
                      </w:r>
                    </w:p>
                  </w:txbxContent>
                </v:textbox>
              </v:shape>
            </w:pict>
          </mc:Fallback>
        </mc:AlternateContent>
      </w:r>
      <w:r>
        <w:rPr>
          <w:rFonts w:hint="eastAsia" w:ascii="仿宋" w:hAnsi="仿宋" w:eastAsia="仿宋" w:cs="仿宋"/>
          <w:color w:val="auto"/>
          <w:sz w:val="24"/>
          <w:szCs w:val="24"/>
          <w:highlight w:val="none"/>
          <w:lang w:eastAsia="zh-CN"/>
        </w:rPr>
        <w:t>除第66条和第89条约定的质量保修条款外，合同双方当事人履行完本合同全部义务，发包人向承包人支付完竣工结算款，承包人向发包人交付竣工工程后，本合同即告终止。</w:t>
      </w:r>
    </w:p>
    <w:p>
      <w:pPr>
        <w:spacing w:line="360" w:lineRule="auto"/>
        <w:rPr>
          <w:rFonts w:ascii="仿宋" w:hAnsi="仿宋" w:eastAsia="仿宋"/>
          <w:b/>
          <w:bCs/>
          <w:color w:val="auto"/>
          <w:highlight w:val="none"/>
          <w:lang w:eastAsia="zh-CN"/>
        </w:rPr>
      </w:pPr>
      <w:bookmarkStart w:id="1230" w:name="_Toc583"/>
      <w:r>
        <w:rPr>
          <w:rFonts w:hint="eastAsia" w:ascii="仿宋" w:hAnsi="仿宋" w:eastAsia="仿宋" w:cs="仿宋"/>
          <w:b/>
          <w:bCs/>
          <w:color w:val="auto"/>
          <w:highlight w:val="none"/>
          <w:lang w:eastAsia="zh-CN"/>
        </w:rPr>
        <w:t>94</w:t>
      </w:r>
      <w:r>
        <w:rPr>
          <w:rFonts w:ascii="仿宋" w:hAnsi="仿宋" w:eastAsia="仿宋" w:cs="仿宋"/>
          <w:b/>
          <w:bCs/>
          <w:color w:val="auto"/>
          <w:highlight w:val="none"/>
          <w:lang w:eastAsia="zh-CN"/>
        </w:rPr>
        <w:t>.3</w:t>
      </w:r>
      <w:bookmarkEnd w:id="1230"/>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pStyle w:val="22"/>
        <w:widowControl w:val="0"/>
        <w:adjustRightInd w:val="0"/>
        <w:snapToGrid w:val="0"/>
        <w:spacing w:line="360" w:lineRule="auto"/>
        <w:ind w:left="1850" w:leftChars="771"/>
        <w:jc w:val="both"/>
        <w:rPr>
          <w:rFonts w:ascii="仿宋" w:hAnsi="仿宋" w:eastAsia="仿宋"/>
          <w:color w:val="auto"/>
          <w:sz w:val="24"/>
          <w:szCs w:val="24"/>
          <w:highlight w:val="none"/>
          <w:lang w:eastAsia="zh-CN"/>
        </w:rPr>
      </w:pPr>
      <w:r>
        <w:rPr>
          <w:color w:val="auto"/>
          <w:highlight w:val="none"/>
        </w:rPr>
        <mc:AlternateContent>
          <mc:Choice Requires="wps">
            <w:drawing>
              <wp:anchor distT="0" distB="0" distL="114300" distR="114300" simplePos="0" relativeHeight="251953152" behindDoc="0" locked="0" layoutInCell="1" allowOverlap="1">
                <wp:simplePos x="0" y="0"/>
                <wp:positionH relativeFrom="column">
                  <wp:posOffset>-114300</wp:posOffset>
                </wp:positionH>
                <wp:positionV relativeFrom="paragraph">
                  <wp:posOffset>13335</wp:posOffset>
                </wp:positionV>
                <wp:extent cx="832485" cy="565785"/>
                <wp:effectExtent l="0" t="0" r="0" b="0"/>
                <wp:wrapNone/>
                <wp:docPr id="288" name="文本框 1091"/>
                <wp:cNvGraphicFramePr/>
                <a:graphic xmlns:a="http://schemas.openxmlformats.org/drawingml/2006/main">
                  <a:graphicData uri="http://schemas.microsoft.com/office/word/2010/wordprocessingShape">
                    <wps:wsp>
                      <wps:cNvSpPr txBox="1"/>
                      <wps:spPr>
                        <a:xfrm>
                          <a:off x="0" y="0"/>
                          <a:ext cx="832485" cy="56578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合同终止后双方的义务</w:t>
                            </w:r>
                          </w:p>
                        </w:txbxContent>
                      </wps:txbx>
                      <wps:bodyPr wrap="square" upright="1"/>
                    </wps:wsp>
                  </a:graphicData>
                </a:graphic>
              </wp:anchor>
            </w:drawing>
          </mc:Choice>
          <mc:Fallback>
            <w:pict>
              <v:shape id="文本框 1091" o:spid="_x0000_s1026" o:spt="202" type="#_x0000_t202" style="position:absolute;left:0pt;margin-left:-9pt;margin-top:1.05pt;height:44.55pt;width:65.55pt;z-index:251953152;mso-width-relative:page;mso-height-relative:page;" filled="f" stroked="f" coordsize="21600,21600" o:gfxdata="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EqLknVAAAACAEAAA8AAAAAAAAAAQAgAAAAIgAAAGRycy9kb3ducmV2LnhtbFBLAQIUABQA&#10;AAAIAIdO4kDW89qYugEAAGADAAAOAAAAAAAAAAEAIAAAACQBAABkcnMvZTJvRG9jLnhtbFBLBQYA&#10;AAAABgAGAFkBAABQ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合同终止后双方的义务</w:t>
                      </w:r>
                    </w:p>
                  </w:txbxContent>
                </v:textbox>
              </v:shape>
            </w:pict>
          </mc:Fallback>
        </mc:AlternateContent>
      </w:r>
      <w:r>
        <w:rPr>
          <w:rFonts w:hint="eastAsia" w:ascii="仿宋" w:hAnsi="仿宋" w:eastAsia="仿宋" w:cs="仿宋"/>
          <w:color w:val="auto"/>
          <w:sz w:val="24"/>
          <w:szCs w:val="24"/>
          <w:highlight w:val="none"/>
          <w:lang w:eastAsia="zh-CN"/>
        </w:rPr>
        <w:t>本合同的权利义务终止后，合同双方当事人仍应遵循诚实信用原则，继续履行合同约定的通知、协助、保密等义务。</w:t>
      </w:r>
    </w:p>
    <w:p>
      <w:pPr>
        <w:pStyle w:val="22"/>
        <w:adjustRightInd w:val="0"/>
        <w:snapToGrid w:val="0"/>
        <w:spacing w:line="480" w:lineRule="auto"/>
        <w:ind w:right="-238"/>
        <w:rPr>
          <w:rFonts w:ascii="仿宋" w:hAnsi="仿宋" w:eastAsia="仿宋" w:cs="仿宋"/>
          <w:color w:val="auto"/>
          <w:sz w:val="24"/>
          <w:szCs w:val="24"/>
          <w:highlight w:val="none"/>
          <w:u w:val="single"/>
          <w:lang w:eastAsia="zh-CN"/>
        </w:rPr>
      </w:pPr>
      <w:r>
        <w:rPr>
          <w:rFonts w:ascii="仿宋" w:hAnsi="仿宋" w:eastAsia="仿宋" w:cs="仿宋"/>
          <w:color w:val="auto"/>
          <w:sz w:val="24"/>
          <w:szCs w:val="24"/>
          <w:highlight w:val="none"/>
          <w:u w:val="single"/>
          <w:lang w:eastAsia="zh-CN"/>
        </w:rPr>
        <w:t xml:space="preserve">                                                                           </w:t>
      </w:r>
      <w:r>
        <w:rPr>
          <w:rFonts w:hint="eastAsia" w:ascii="仿宋" w:hAnsi="仿宋" w:eastAsia="仿宋" w:cs="仿宋"/>
          <w:color w:val="auto"/>
          <w:sz w:val="24"/>
          <w:szCs w:val="24"/>
          <w:highlight w:val="none"/>
          <w:u w:val="single"/>
          <w:lang w:eastAsia="zh-CN"/>
        </w:rPr>
        <w:t xml:space="preserve">    </w:t>
      </w:r>
      <w:r>
        <w:rPr>
          <w:rFonts w:ascii="仿宋" w:hAnsi="仿宋" w:eastAsia="仿宋" w:cs="仿宋"/>
          <w:color w:val="auto"/>
          <w:sz w:val="24"/>
          <w:szCs w:val="24"/>
          <w:highlight w:val="none"/>
          <w:u w:val="single"/>
          <w:lang w:eastAsia="zh-CN"/>
        </w:rPr>
        <w:t xml:space="preserve">      </w:t>
      </w:r>
    </w:p>
    <w:p>
      <w:pPr>
        <w:pStyle w:val="22"/>
        <w:adjustRightInd w:val="0"/>
        <w:snapToGrid w:val="0"/>
        <w:spacing w:line="360" w:lineRule="auto"/>
        <w:jc w:val="center"/>
        <w:outlineLvl w:val="1"/>
        <w:rPr>
          <w:rFonts w:ascii="仿宋" w:hAnsi="仿宋" w:eastAsia="仿宋" w:cs="仿宋"/>
          <w:b/>
          <w:bCs/>
          <w:color w:val="auto"/>
          <w:sz w:val="24"/>
          <w:szCs w:val="24"/>
          <w:highlight w:val="none"/>
          <w:lang w:eastAsia="zh-CN"/>
        </w:rPr>
      </w:pPr>
      <w:bookmarkStart w:id="1231" w:name="_Toc5253"/>
      <w:bookmarkStart w:id="1232" w:name="_Toc3242"/>
      <w:bookmarkStart w:id="1233" w:name="_Toc20884"/>
      <w:bookmarkStart w:id="1234" w:name="_Toc2304"/>
      <w:bookmarkStart w:id="1235" w:name="_Toc23629"/>
      <w:bookmarkStart w:id="1236" w:name="_Toc16161"/>
      <w:bookmarkStart w:id="1237" w:name="_Toc11727"/>
      <w:bookmarkStart w:id="1238" w:name="_Toc10049"/>
      <w:r>
        <w:rPr>
          <w:rFonts w:hint="eastAsia" w:ascii="仿宋" w:hAnsi="仿宋" w:eastAsia="仿宋" w:cs="仿宋"/>
          <w:b/>
          <w:bCs/>
          <w:color w:val="auto"/>
          <w:sz w:val="24"/>
          <w:szCs w:val="24"/>
          <w:highlight w:val="none"/>
          <w:lang w:eastAsia="zh-CN"/>
        </w:rPr>
        <w:t>九、违约</w:t>
      </w:r>
      <w:bookmarkEnd w:id="1231"/>
      <w:bookmarkEnd w:id="1232"/>
      <w:bookmarkEnd w:id="1233"/>
      <w:bookmarkEnd w:id="1234"/>
      <w:bookmarkEnd w:id="1235"/>
      <w:bookmarkEnd w:id="1236"/>
      <w:bookmarkEnd w:id="1237"/>
      <w:bookmarkEnd w:id="1238"/>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239" w:name="_Toc5492"/>
      <w:bookmarkStart w:id="1240" w:name="_Toc1124"/>
      <w:bookmarkStart w:id="1241" w:name="_Toc12894"/>
      <w:bookmarkStart w:id="1242" w:name="_Toc4587"/>
      <w:bookmarkStart w:id="1243" w:name="_Toc25506"/>
      <w:bookmarkStart w:id="1244" w:name="_Toc29720"/>
      <w:bookmarkStart w:id="1245" w:name="_Toc11381"/>
      <w:bookmarkStart w:id="1246" w:name="_Toc18769"/>
      <w:r>
        <w:rPr>
          <w:rFonts w:hint="eastAsia" w:ascii="仿宋" w:hAnsi="仿宋" w:eastAsia="仿宋" w:cs="仿宋"/>
          <w:bCs w:val="0"/>
          <w:color w:val="auto"/>
          <w:sz w:val="24"/>
          <w:szCs w:val="24"/>
          <w:highlight w:val="none"/>
          <w:lang w:eastAsia="zh-CN"/>
        </w:rPr>
        <w:t>★95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承包人违约</w:t>
      </w:r>
      <w:bookmarkEnd w:id="1239"/>
      <w:bookmarkEnd w:id="1240"/>
      <w:bookmarkEnd w:id="1241"/>
      <w:bookmarkEnd w:id="1242"/>
      <w:bookmarkEnd w:id="1243"/>
      <w:bookmarkEnd w:id="1244"/>
      <w:bookmarkEnd w:id="1245"/>
      <w:bookmarkEnd w:id="1246"/>
    </w:p>
    <w:p>
      <w:pPr>
        <w:rPr>
          <w:rFonts w:ascii="仿宋" w:hAnsi="仿宋" w:eastAsia="仿宋" w:cs="仿宋"/>
          <w:b/>
          <w:bCs/>
          <w:color w:val="auto"/>
          <w:highlight w:val="none"/>
          <w:lang w:eastAsia="zh-CN"/>
        </w:rPr>
      </w:pPr>
      <w:bookmarkStart w:id="1247" w:name="_Toc20371"/>
      <w:r>
        <w:rPr>
          <w:color w:val="auto"/>
          <w:highlight w:val="none"/>
        </w:rPr>
        <mc:AlternateContent>
          <mc:Choice Requires="wps">
            <w:drawing>
              <wp:anchor distT="0" distB="0" distL="114300" distR="114300" simplePos="0" relativeHeight="251966464" behindDoc="0" locked="0" layoutInCell="1" allowOverlap="1">
                <wp:simplePos x="0" y="0"/>
                <wp:positionH relativeFrom="column">
                  <wp:posOffset>-114300</wp:posOffset>
                </wp:positionH>
                <wp:positionV relativeFrom="paragraph">
                  <wp:posOffset>187960</wp:posOffset>
                </wp:positionV>
                <wp:extent cx="775970" cy="459105"/>
                <wp:effectExtent l="0" t="0" r="0" b="0"/>
                <wp:wrapNone/>
                <wp:docPr id="301" name="文本框 1106"/>
                <wp:cNvGraphicFramePr/>
                <a:graphic xmlns:a="http://schemas.openxmlformats.org/drawingml/2006/main">
                  <a:graphicData uri="http://schemas.microsoft.com/office/word/2010/wordprocessingShape">
                    <wps:wsp>
                      <wps:cNvSpPr txBox="1"/>
                      <wps:spPr>
                        <a:xfrm>
                          <a:off x="0" y="0"/>
                          <a:ext cx="775970" cy="459105"/>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rPr>
                              <w:t>承包人</w:t>
                            </w:r>
                            <w:r>
                              <w:rPr>
                                <w:rFonts w:hint="eastAsia" w:ascii="楷体_GB2312" w:hAnsi="宋体" w:eastAsia="楷体_GB2312" w:cs="楷体_GB2312"/>
                                <w:b/>
                                <w:bCs/>
                                <w:sz w:val="18"/>
                                <w:szCs w:val="18"/>
                                <w:lang w:eastAsia="zh-CN"/>
                              </w:rPr>
                              <w:t>违约情形</w:t>
                            </w:r>
                          </w:p>
                        </w:txbxContent>
                      </wps:txbx>
                      <wps:bodyPr wrap="square" upright="1"/>
                    </wps:wsp>
                  </a:graphicData>
                </a:graphic>
              </wp:anchor>
            </w:drawing>
          </mc:Choice>
          <mc:Fallback>
            <w:pict>
              <v:shape id="文本框 1106" o:spid="_x0000_s1026" o:spt="202" type="#_x0000_t202" style="position:absolute;left:0pt;margin-left:-9pt;margin-top:14.8pt;height:36.15pt;width:61.1pt;z-index:251966464;mso-width-relative:page;mso-height-relative:page;" filled="f" stroked="f" coordsize="21600,21600" o:gfxdata="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pu1VEtcAAAAKAQAADwAAAAAAAAABACAAAAAiAAAAZHJzL2Rvd25yZXYueG1sUEsBAhQA&#10;FAAAAAgAh07iQDYv9v+6AQAAYA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rPr>
                        <w:t>承包人</w:t>
                      </w:r>
                      <w:r>
                        <w:rPr>
                          <w:rFonts w:hint="eastAsia" w:ascii="楷体_GB2312" w:hAnsi="宋体" w:eastAsia="楷体_GB2312" w:cs="楷体_GB2312"/>
                          <w:b/>
                          <w:bCs/>
                          <w:sz w:val="18"/>
                          <w:szCs w:val="18"/>
                          <w:lang w:eastAsia="zh-CN"/>
                        </w:rPr>
                        <w:t>违约情形</w:t>
                      </w:r>
                    </w:p>
                  </w:txbxContent>
                </v:textbox>
              </v:shape>
            </w:pict>
          </mc:Fallback>
        </mc:AlternateContent>
      </w:r>
      <w:r>
        <w:rPr>
          <w:rFonts w:hint="eastAsia" w:ascii="仿宋" w:hAnsi="仿宋" w:eastAsia="仿宋" w:cs="仿宋"/>
          <w:b/>
          <w:bCs/>
          <w:color w:val="auto"/>
          <w:highlight w:val="none"/>
          <w:lang w:eastAsia="zh-CN"/>
        </w:rPr>
        <w:t>95</w:t>
      </w:r>
      <w:r>
        <w:rPr>
          <w:rFonts w:ascii="仿宋" w:hAnsi="仿宋" w:eastAsia="仿宋" w:cs="仿宋"/>
          <w:b/>
          <w:bCs/>
          <w:color w:val="auto"/>
          <w:highlight w:val="none"/>
          <w:lang w:eastAsia="zh-CN"/>
        </w:rPr>
        <w:t>.1</w:t>
      </w:r>
      <w:bookmarkEnd w:id="1247"/>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在合同履行过程中发生的下列情形，属于承包人违约：</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承包人的设计、承包人文件、实施和竣工的工程不符合法律以及合同约定；</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ab/>
      </w:r>
      <w:r>
        <w:rPr>
          <w:rFonts w:hint="eastAsia" w:ascii="仿宋" w:hAnsi="仿宋" w:eastAsia="仿宋" w:cs="仿宋"/>
          <w:color w:val="auto"/>
          <w:highlight w:val="none"/>
          <w:lang w:eastAsia="zh-CN"/>
        </w:rPr>
        <w:t>承包人违反合同约定进行转包或违法分包的；</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承包人违反约定采购和使用不合格工程材料或工程设备；</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因承包人原因导致工程质量不符合合同约定的；</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承包人未经工程师批准，擅自将已按合同约定进入施工现场的施工设备、临时设施、工程材料、工程设备撤离施工现场；</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承包人未能按项目进度计划及时完成合同约定的工作，造成工期延误；</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由于承包人原因未能通过竣工试验或竣工后试验的；</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承包人在缺陷责任期及保修期内，未能在合理期限对工程缺陷进行修复，或拒绝按发包人指示进行修复的；</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承包人明确表示或者以其行为表明不履行合同主要义务的；</w:t>
      </w:r>
    </w:p>
    <w:p>
      <w:pPr>
        <w:widowControl w:val="0"/>
        <w:numPr>
          <w:ilvl w:val="1"/>
          <w:numId w:val="28"/>
        </w:numPr>
        <w:tabs>
          <w:tab w:val="clear" w:pos="3285"/>
        </w:tabs>
        <w:adjustRightInd w:val="0"/>
        <w:snapToGrid w:val="0"/>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承包人未能按照合同约定履行其他义务的。</w:t>
      </w:r>
    </w:p>
    <w:p>
      <w:pPr>
        <w:spacing w:line="360" w:lineRule="auto"/>
        <w:rPr>
          <w:rFonts w:ascii="仿宋" w:hAnsi="仿宋" w:eastAsia="仿宋" w:cs="仿宋"/>
          <w:color w:val="auto"/>
          <w:highlight w:val="none"/>
          <w:lang w:eastAsia="zh-CN"/>
        </w:rPr>
      </w:pPr>
      <w:r>
        <w:rPr>
          <w:rFonts w:hint="eastAsia" w:ascii="仿宋" w:hAnsi="仿宋" w:eastAsia="仿宋" w:cs="仿宋"/>
          <w:b/>
          <w:bCs/>
          <w:color w:val="auto"/>
          <w:highlight w:val="none"/>
          <w:lang w:eastAsia="zh-CN"/>
        </w:rPr>
        <w:t>95</w:t>
      </w:r>
      <w:r>
        <w:rPr>
          <w:rFonts w:ascii="仿宋" w:hAnsi="仿宋" w:eastAsia="仿宋" w:cs="仿宋"/>
          <w:b/>
          <w:bCs/>
          <w:color w:val="auto"/>
          <w:highlight w:val="none"/>
          <w:lang w:eastAsia="zh-CN"/>
        </w:rPr>
        <w:t xml:space="preserve">.2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bidi="ar-SA"/>
        </w:rPr>
        <mc:AlternateContent>
          <mc:Choice Requires="wps">
            <w:drawing>
              <wp:anchor distT="0" distB="0" distL="114300" distR="114300" simplePos="0" relativeHeight="252112896" behindDoc="0" locked="0" layoutInCell="1" allowOverlap="1">
                <wp:simplePos x="0" y="0"/>
                <wp:positionH relativeFrom="column">
                  <wp:posOffset>-77470</wp:posOffset>
                </wp:positionH>
                <wp:positionV relativeFrom="paragraph">
                  <wp:posOffset>62230</wp:posOffset>
                </wp:positionV>
                <wp:extent cx="746760" cy="432435"/>
                <wp:effectExtent l="0" t="0" r="0" b="0"/>
                <wp:wrapNone/>
                <wp:docPr id="444" name="文本框 1107"/>
                <wp:cNvGraphicFramePr/>
                <a:graphic xmlns:a="http://schemas.openxmlformats.org/drawingml/2006/main">
                  <a:graphicData uri="http://schemas.microsoft.com/office/word/2010/wordprocessingShape">
                    <wps:wsp>
                      <wps:cNvSpPr txBox="1"/>
                      <wps:spPr>
                        <a:xfrm>
                          <a:off x="0" y="0"/>
                          <a:ext cx="746760" cy="43243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通知改正</w:t>
                            </w:r>
                          </w:p>
                        </w:txbxContent>
                      </wps:txbx>
                      <wps:bodyPr wrap="square" upright="1"/>
                    </wps:wsp>
                  </a:graphicData>
                </a:graphic>
              </wp:anchor>
            </w:drawing>
          </mc:Choice>
          <mc:Fallback>
            <w:pict>
              <v:shape id="文本框 1107" o:spid="_x0000_s1026" o:spt="202" type="#_x0000_t202" style="position:absolute;left:0pt;margin-left:-6.1pt;margin-top:4.9pt;height:34.05pt;width:58.8pt;z-index:252112896;mso-width-relative:page;mso-height-relative:page;" filled="f" stroked="f" coordsize="21600,21600" o:gfxdata="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gKBPu1gAAAAgBAAAPAAAAAAAAAAEAIAAAACIAAABkcnMvZG93bnJldi54bWxQSwECFAAU&#10;AAAACACHTuJAYO+2lboBAABgAwAADgAAAAAAAAABACAAAAAl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通知改正</w:t>
                      </w:r>
                    </w:p>
                  </w:txbxContent>
                </v:textbox>
              </v:shape>
            </w:pict>
          </mc:Fallback>
        </mc:AlternateContent>
      </w:r>
      <w:r>
        <w:rPr>
          <w:rFonts w:hint="eastAsia" w:ascii="仿宋" w:hAnsi="仿宋" w:eastAsia="仿宋" w:cs="仿宋"/>
          <w:color w:val="auto"/>
          <w:highlight w:val="none"/>
          <w:lang w:eastAsia="zh-CN"/>
        </w:rPr>
        <w:t>承包人发生除第95.1款第（7）目、第（9）目约定以外的其他违约情况时，设计顾问人、监理人和造价咨询人可向承包人发出整改通知，要求其在指定的期限内改正。</w:t>
      </w:r>
    </w:p>
    <w:p>
      <w:pPr>
        <w:spacing w:line="360" w:lineRule="auto"/>
        <w:rPr>
          <w:rFonts w:ascii="仿宋" w:hAnsi="仿宋" w:eastAsia="仿宋" w:cs="仿宋"/>
          <w:b/>
          <w:bCs/>
          <w:color w:val="auto"/>
          <w:highlight w:val="none"/>
          <w:u w:val="dotted"/>
          <w:lang w:eastAsia="zh-CN"/>
        </w:rPr>
      </w:pPr>
      <w:r>
        <w:rPr>
          <w:rFonts w:hint="eastAsia" w:ascii="仿宋" w:hAnsi="仿宋" w:eastAsia="仿宋" w:cs="仿宋"/>
          <w:b/>
          <w:bCs/>
          <w:color w:val="auto"/>
          <w:highlight w:val="none"/>
          <w:u w:val="dotted"/>
          <w:lang w:eastAsia="zh-CN" w:bidi="ar-SA"/>
        </w:rPr>
        <mc:AlternateContent>
          <mc:Choice Requires="wps">
            <w:drawing>
              <wp:anchor distT="0" distB="0" distL="114300" distR="114300" simplePos="0" relativeHeight="252113920" behindDoc="0" locked="0" layoutInCell="1" allowOverlap="1">
                <wp:simplePos x="0" y="0"/>
                <wp:positionH relativeFrom="column">
                  <wp:posOffset>-81915</wp:posOffset>
                </wp:positionH>
                <wp:positionV relativeFrom="paragraph">
                  <wp:posOffset>282575</wp:posOffset>
                </wp:positionV>
                <wp:extent cx="794385" cy="518160"/>
                <wp:effectExtent l="0" t="0" r="0" b="0"/>
                <wp:wrapNone/>
                <wp:docPr id="445" name="文本框 1107"/>
                <wp:cNvGraphicFramePr/>
                <a:graphic xmlns:a="http://schemas.openxmlformats.org/drawingml/2006/main">
                  <a:graphicData uri="http://schemas.microsoft.com/office/word/2010/wordprocessingShape">
                    <wps:wsp>
                      <wps:cNvSpPr txBox="1"/>
                      <wps:spPr>
                        <a:xfrm>
                          <a:off x="0" y="0"/>
                          <a:ext cx="794385" cy="518160"/>
                        </a:xfrm>
                        <a:prstGeom prst="rect">
                          <a:avLst/>
                        </a:prstGeom>
                        <a:noFill/>
                        <a:ln>
                          <a:noFill/>
                        </a:ln>
                      </wps:spPr>
                      <wps:txbx>
                        <w:txbxContent>
                          <w:p>
                            <w:pPr>
                              <w:spacing w:line="240" w:lineRule="exact"/>
                              <w:rPr>
                                <w:rFonts w:ascii="楷体_GB2312" w:hAnsi="宋体" w:eastAsia="楷体_GB2312" w:cs="楷体_GB2312"/>
                                <w:b/>
                                <w:bCs/>
                                <w:sz w:val="18"/>
                                <w:szCs w:val="18"/>
                              </w:rPr>
                            </w:pPr>
                            <w:r>
                              <w:rPr>
                                <w:rFonts w:hint="eastAsia" w:ascii="楷体_GB2312" w:hAnsi="宋体" w:eastAsia="楷体_GB2312" w:cs="楷体_GB2312"/>
                                <w:b/>
                                <w:bCs/>
                                <w:sz w:val="18"/>
                                <w:szCs w:val="18"/>
                              </w:rPr>
                              <w:t>承包人</w:t>
                            </w:r>
                            <w:r>
                              <w:rPr>
                                <w:rFonts w:hint="eastAsia" w:ascii="楷体_GB2312" w:hAnsi="宋体" w:eastAsia="楷体_GB2312" w:cs="楷体_GB2312"/>
                                <w:b/>
                                <w:bCs/>
                                <w:sz w:val="18"/>
                                <w:szCs w:val="18"/>
                                <w:lang w:eastAsia="zh-CN"/>
                              </w:rPr>
                              <w:t>违约的责任</w:t>
                            </w:r>
                          </w:p>
                          <w:p>
                            <w:pPr>
                              <w:spacing w:line="240" w:lineRule="exact"/>
                              <w:rPr>
                                <w:rFonts w:ascii="楷体_GB2312" w:hAnsi="宋体" w:eastAsia="楷体_GB2312"/>
                                <w:b/>
                                <w:bCs/>
                                <w:sz w:val="18"/>
                                <w:szCs w:val="18"/>
                                <w:lang w:eastAsia="zh-CN"/>
                              </w:rPr>
                            </w:pPr>
                          </w:p>
                        </w:txbxContent>
                      </wps:txbx>
                      <wps:bodyPr wrap="square" upright="1"/>
                    </wps:wsp>
                  </a:graphicData>
                </a:graphic>
              </wp:anchor>
            </w:drawing>
          </mc:Choice>
          <mc:Fallback>
            <w:pict>
              <v:shape id="文本框 1107" o:spid="_x0000_s1026" o:spt="202" type="#_x0000_t202" style="position:absolute;left:0pt;margin-left:-6.45pt;margin-top:22.25pt;height:40.8pt;width:62.55pt;z-index:252113920;mso-width-relative:page;mso-height-relative:page;" filled="f" stroked="f" coordsize="21600,21600" o:gfxdata="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jAEf81wAAAAoBAAAPAAAAAAAAAAEAIAAAACIAAABkcnMvZG93bnJldi54bWxQSwEC&#10;FAAUAAAACACHTuJAkKhy4rwBAABgAwAADgAAAAAAAAABACAAAAAmAQAAZHJzL2Uyb0RvYy54bWxQ&#10;SwUGAAAAAAYABgBZAQAAVAUAAAAA&#10;">
                <v:fill on="f" focussize="0,0"/>
                <v:stroke on="f"/>
                <v:imagedata o:title=""/>
                <o:lock v:ext="edit" aspectratio="f"/>
                <v:textbox>
                  <w:txbxContent>
                    <w:p>
                      <w:pPr>
                        <w:spacing w:line="240" w:lineRule="exact"/>
                        <w:rPr>
                          <w:rFonts w:ascii="楷体_GB2312" w:hAnsi="宋体" w:eastAsia="楷体_GB2312" w:cs="楷体_GB2312"/>
                          <w:b/>
                          <w:bCs/>
                          <w:sz w:val="18"/>
                          <w:szCs w:val="18"/>
                        </w:rPr>
                      </w:pPr>
                      <w:r>
                        <w:rPr>
                          <w:rFonts w:hint="eastAsia" w:ascii="楷体_GB2312" w:hAnsi="宋体" w:eastAsia="楷体_GB2312" w:cs="楷体_GB2312"/>
                          <w:b/>
                          <w:bCs/>
                          <w:sz w:val="18"/>
                          <w:szCs w:val="18"/>
                        </w:rPr>
                        <w:t>承包人</w:t>
                      </w:r>
                      <w:r>
                        <w:rPr>
                          <w:rFonts w:hint="eastAsia" w:ascii="楷体_GB2312" w:hAnsi="宋体" w:eastAsia="楷体_GB2312" w:cs="楷体_GB2312"/>
                          <w:b/>
                          <w:bCs/>
                          <w:sz w:val="18"/>
                          <w:szCs w:val="18"/>
                          <w:lang w:eastAsia="zh-CN"/>
                        </w:rPr>
                        <w:t>违约的责任</w:t>
                      </w:r>
                    </w:p>
                    <w:p>
                      <w:pPr>
                        <w:spacing w:line="240" w:lineRule="exact"/>
                        <w:rPr>
                          <w:rFonts w:ascii="楷体_GB2312" w:hAnsi="宋体" w:eastAsia="楷体_GB2312"/>
                          <w:b/>
                          <w:bCs/>
                          <w:sz w:val="18"/>
                          <w:szCs w:val="18"/>
                          <w:lang w:eastAsia="zh-CN"/>
                        </w:rPr>
                      </w:pPr>
                    </w:p>
                  </w:txbxContent>
                </v:textbox>
              </v:shape>
            </w:pict>
          </mc:Fallback>
        </mc:AlternateContent>
      </w:r>
      <w:r>
        <w:rPr>
          <w:rFonts w:hint="eastAsia" w:ascii="仿宋" w:hAnsi="仿宋" w:eastAsia="仿宋" w:cs="仿宋"/>
          <w:b/>
          <w:bCs/>
          <w:color w:val="auto"/>
          <w:highlight w:val="none"/>
          <w:lang w:eastAsia="zh-CN"/>
        </w:rPr>
        <w:t>95</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bidi="ar-SA"/>
        </w:rPr>
        <w:t>承包人应承担因其违约行为而增加的费用和（或）延误的工期。此外，合同当事人可在合同专用条款中另行约定承包人违约责任的承担方式和计算方法。</w:t>
      </w:r>
    </w:p>
    <w:p>
      <w:pPr>
        <w:spacing w:line="360" w:lineRule="auto"/>
        <w:rPr>
          <w:rFonts w:ascii="仿宋" w:hAnsi="仿宋" w:eastAsia="仿宋" w:cs="仿宋"/>
          <w:b/>
          <w:bCs/>
          <w:color w:val="auto"/>
          <w:highlight w:val="none"/>
          <w:u w:val="dotted"/>
          <w:lang w:eastAsia="zh-CN"/>
        </w:rPr>
      </w:pPr>
      <w:bookmarkStart w:id="1248" w:name="_Toc8891"/>
      <w:r>
        <w:rPr>
          <w:rFonts w:hint="eastAsia" w:ascii="仿宋" w:hAnsi="仿宋" w:eastAsia="仿宋" w:cs="仿宋"/>
          <w:b/>
          <w:bCs/>
          <w:color w:val="auto"/>
          <w:highlight w:val="none"/>
          <w:lang w:eastAsia="zh-CN"/>
        </w:rPr>
        <w:t>95</w:t>
      </w:r>
      <w:r>
        <w:rPr>
          <w:rFonts w:ascii="仿宋" w:hAnsi="仿宋" w:eastAsia="仿宋" w:cs="仿宋"/>
          <w:b/>
          <w:bCs/>
          <w:color w:val="auto"/>
          <w:highlight w:val="none"/>
          <w:lang w:eastAsia="zh-CN"/>
        </w:rPr>
        <w:t>.</w:t>
      </w:r>
      <w:bookmarkEnd w:id="1248"/>
      <w:r>
        <w:rPr>
          <w:rFonts w:hint="eastAsia" w:ascii="仿宋" w:hAnsi="仿宋" w:eastAsia="仿宋" w:cs="仿宋"/>
          <w:b/>
          <w:bCs/>
          <w:color w:val="auto"/>
          <w:highlight w:val="none"/>
          <w:lang w:eastAsia="zh-CN"/>
        </w:rPr>
        <w:t>4</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color w:val="auto"/>
          <w:highlight w:val="none"/>
        </w:rPr>
        <mc:AlternateContent>
          <mc:Choice Requires="wps">
            <w:drawing>
              <wp:anchor distT="0" distB="0" distL="114300" distR="114300" simplePos="0" relativeHeight="252071936" behindDoc="0" locked="0" layoutInCell="1" allowOverlap="1">
                <wp:simplePos x="0" y="0"/>
                <wp:positionH relativeFrom="column">
                  <wp:posOffset>-114300</wp:posOffset>
                </wp:positionH>
                <wp:positionV relativeFrom="paragraph">
                  <wp:posOffset>20955</wp:posOffset>
                </wp:positionV>
                <wp:extent cx="794385" cy="632460"/>
                <wp:effectExtent l="0" t="0" r="0" b="0"/>
                <wp:wrapNone/>
                <wp:docPr id="404" name="文本框 1107"/>
                <wp:cNvGraphicFramePr/>
                <a:graphic xmlns:a="http://schemas.openxmlformats.org/drawingml/2006/main">
                  <a:graphicData uri="http://schemas.microsoft.com/office/word/2010/wordprocessingShape">
                    <wps:wsp>
                      <wps:cNvSpPr txBox="1"/>
                      <wps:spPr>
                        <a:xfrm>
                          <a:off x="0" y="0"/>
                          <a:ext cx="794385" cy="63246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采购合同权益转让</w:t>
                            </w:r>
                          </w:p>
                          <w:p>
                            <w:pPr>
                              <w:spacing w:line="240" w:lineRule="exact"/>
                              <w:rPr>
                                <w:rFonts w:ascii="楷体_GB2312" w:hAnsi="宋体" w:eastAsia="楷体_GB2312"/>
                                <w:b/>
                                <w:bCs/>
                                <w:sz w:val="18"/>
                                <w:szCs w:val="18"/>
                              </w:rPr>
                            </w:pPr>
                          </w:p>
                        </w:txbxContent>
                      </wps:txbx>
                      <wps:bodyPr wrap="square" upright="1"/>
                    </wps:wsp>
                  </a:graphicData>
                </a:graphic>
              </wp:anchor>
            </w:drawing>
          </mc:Choice>
          <mc:Fallback>
            <w:pict>
              <v:shape id="文本框 1107" o:spid="_x0000_s1026" o:spt="202" type="#_x0000_t202" style="position:absolute;left:0pt;margin-left:-9pt;margin-top:1.65pt;height:49.8pt;width:62.55pt;z-index:252071936;mso-width-relative:page;mso-height-relative:page;" filled="f" stroked="f" coordsize="21600,21600" o:gfxdata="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JQrgw1gAAAAkBAAAPAAAAAAAAAAEAIAAAACIAAABkcnMvZG93bnJldi54bWxQSwEC&#10;FAAUAAAACACHTuJAMJ0Qi70BAABgAwAADgAAAAAAAAABACAAAAAlAQAAZHJzL2Uyb0RvYy54bWxQ&#10;SwUGAAAAAAYABgBZAQAAVA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采购合同权益转让</w:t>
                      </w:r>
                    </w:p>
                    <w:p>
                      <w:pPr>
                        <w:spacing w:line="240" w:lineRule="exact"/>
                        <w:rPr>
                          <w:rFonts w:ascii="楷体_GB2312" w:hAnsi="宋体" w:eastAsia="楷体_GB2312"/>
                          <w:b/>
                          <w:bCs/>
                          <w:sz w:val="18"/>
                          <w:szCs w:val="18"/>
                        </w:rPr>
                      </w:pPr>
                    </w:p>
                  </w:txbxContent>
                </v:textbox>
              </v:shape>
            </w:pict>
          </mc:Fallback>
        </mc:AlternateContent>
      </w:r>
      <w:r>
        <w:rPr>
          <w:rFonts w:hint="eastAsia" w:ascii="仿宋" w:hAnsi="仿宋" w:eastAsia="仿宋" w:cs="仿宋"/>
          <w:color w:val="auto"/>
          <w:highlight w:val="none"/>
          <w:lang w:eastAsia="zh-CN"/>
        </w:rPr>
        <w:t>因承包人违约解除合同的，发包人有权要求承包人将其为实施合同而签订的工程材料和工程设备的采购合同的权益转让给发包人，承包人应在收到解除合同通知后14 天内，协助发包人与采购合同的供应商达成相关的转让协议。</w:t>
      </w:r>
    </w:p>
    <w:p>
      <w:pPr>
        <w:pStyle w:val="22"/>
        <w:adjustRightInd w:val="0"/>
        <w:snapToGrid w:val="0"/>
        <w:spacing w:line="360" w:lineRule="auto"/>
        <w:ind w:right="-238"/>
        <w:rPr>
          <w:rFonts w:ascii="仿宋" w:hAnsi="仿宋" w:eastAsia="仿宋"/>
          <w:color w:val="auto"/>
          <w:highlight w:val="none"/>
          <w:lang w:eastAsia="zh-CN"/>
        </w:rPr>
      </w:pPr>
      <w:r>
        <w:rPr>
          <w:rFonts w:ascii="仿宋" w:hAnsi="仿宋" w:eastAsia="仿宋" w:cs="仿宋"/>
          <w:color w:val="auto"/>
          <w:sz w:val="24"/>
          <w:szCs w:val="24"/>
          <w:highlight w:val="none"/>
          <w:u w:val="single"/>
          <w:lang w:eastAsia="zh-CN"/>
        </w:rPr>
        <w:t xml:space="preserve">                                                               </w:t>
      </w:r>
      <w:r>
        <w:rPr>
          <w:rFonts w:hint="eastAsia" w:ascii="仿宋" w:hAnsi="仿宋" w:eastAsia="仿宋" w:cs="仿宋"/>
          <w:color w:val="auto"/>
          <w:sz w:val="24"/>
          <w:szCs w:val="24"/>
          <w:highlight w:val="none"/>
          <w:u w:val="single"/>
          <w:lang w:eastAsia="zh-CN"/>
        </w:rPr>
        <w:t xml:space="preserve">     </w:t>
      </w:r>
      <w:r>
        <w:rPr>
          <w:rFonts w:ascii="仿宋" w:hAnsi="仿宋" w:eastAsia="仿宋" w:cs="仿宋"/>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249" w:name="_Toc9755"/>
      <w:bookmarkStart w:id="1250" w:name="_Toc29638"/>
      <w:bookmarkStart w:id="1251" w:name="_Toc4730"/>
      <w:bookmarkStart w:id="1252" w:name="_Toc23182"/>
      <w:bookmarkStart w:id="1253" w:name="_Toc29900"/>
      <w:bookmarkStart w:id="1254" w:name="_Toc489260630"/>
      <w:bookmarkStart w:id="1255" w:name="_Toc27489"/>
      <w:bookmarkStart w:id="1256" w:name="_Toc1691"/>
      <w:bookmarkStart w:id="1257" w:name="_Toc648"/>
      <w:r>
        <w:rPr>
          <w:rFonts w:hint="eastAsia" w:ascii="仿宋" w:hAnsi="仿宋" w:eastAsia="仿宋" w:cs="仿宋"/>
          <w:bCs w:val="0"/>
          <w:color w:val="auto"/>
          <w:sz w:val="24"/>
          <w:szCs w:val="24"/>
          <w:highlight w:val="none"/>
          <w:lang w:eastAsia="zh-CN"/>
        </w:rPr>
        <w:t>★96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 xml:space="preserve"> 发包人违约</w:t>
      </w:r>
      <w:bookmarkEnd w:id="1249"/>
      <w:bookmarkEnd w:id="1250"/>
      <w:bookmarkEnd w:id="1251"/>
      <w:bookmarkEnd w:id="1252"/>
      <w:bookmarkEnd w:id="1253"/>
      <w:bookmarkEnd w:id="1254"/>
      <w:bookmarkEnd w:id="1255"/>
      <w:bookmarkEnd w:id="1256"/>
      <w:bookmarkEnd w:id="1257"/>
    </w:p>
    <w:p>
      <w:pPr>
        <w:pStyle w:val="22"/>
        <w:adjustRightInd w:val="0"/>
        <w:snapToGrid w:val="0"/>
        <w:spacing w:line="360" w:lineRule="auto"/>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2072960" behindDoc="0" locked="0" layoutInCell="1" allowOverlap="1">
                <wp:simplePos x="0" y="0"/>
                <wp:positionH relativeFrom="column">
                  <wp:posOffset>-81280</wp:posOffset>
                </wp:positionH>
                <wp:positionV relativeFrom="paragraph">
                  <wp:posOffset>254000</wp:posOffset>
                </wp:positionV>
                <wp:extent cx="813435" cy="629285"/>
                <wp:effectExtent l="0" t="0" r="0" b="0"/>
                <wp:wrapNone/>
                <wp:docPr id="405" name="文本框 1108"/>
                <wp:cNvGraphicFramePr/>
                <a:graphic xmlns:a="http://schemas.openxmlformats.org/drawingml/2006/main">
                  <a:graphicData uri="http://schemas.microsoft.com/office/word/2010/wordprocessingShape">
                    <wps:wsp>
                      <wps:cNvSpPr txBox="1"/>
                      <wps:spPr>
                        <a:xfrm>
                          <a:off x="0" y="0"/>
                          <a:ext cx="813435" cy="62928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发包人违约的情形</w:t>
                            </w:r>
                          </w:p>
                        </w:txbxContent>
                      </wps:txbx>
                      <wps:bodyPr wrap="square" upright="1"/>
                    </wps:wsp>
                  </a:graphicData>
                </a:graphic>
              </wp:anchor>
            </w:drawing>
          </mc:Choice>
          <mc:Fallback>
            <w:pict>
              <v:shape id="文本框 1108" o:spid="_x0000_s1026" o:spt="202" type="#_x0000_t202" style="position:absolute;left:0pt;margin-left:-6.4pt;margin-top:20pt;height:49.55pt;width:64.05pt;z-index:252072960;mso-width-relative:page;mso-height-relative:page;" filled="f" stroked="f" coordsize="21600,21600" o:gfxdata="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25NU+tcAAAAKAQAADwAAAAAAAAABACAAAAAiAAAAZHJzL2Rvd25yZXYueG1sUEsBAhQA&#10;FAAAAAgAh07iQPRLSXK6AQAAYAMAAA4AAAAAAAAAAQAgAAAAJg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发包人违约的情形</w:t>
                      </w:r>
                    </w:p>
                  </w:txbxContent>
                </v:textbox>
              </v:shape>
            </w:pict>
          </mc:Fallback>
        </mc:AlternateContent>
      </w:r>
      <w:r>
        <w:rPr>
          <w:rFonts w:hint="eastAsia" w:ascii="仿宋" w:hAnsi="仿宋" w:eastAsia="仿宋" w:cs="仿宋"/>
          <w:b/>
          <w:bCs/>
          <w:color w:val="auto"/>
          <w:sz w:val="24"/>
          <w:szCs w:val="24"/>
          <w:highlight w:val="none"/>
          <w:lang w:eastAsia="zh-CN"/>
        </w:rPr>
        <w:t>96</w:t>
      </w:r>
      <w:r>
        <w:rPr>
          <w:rFonts w:ascii="仿宋" w:hAnsi="仿宋" w:eastAsia="仿宋" w:cs="仿宋"/>
          <w:b/>
          <w:bCs/>
          <w:color w:val="auto"/>
          <w:sz w:val="24"/>
          <w:szCs w:val="24"/>
          <w:highlight w:val="none"/>
          <w:lang w:eastAsia="zh-CN"/>
        </w:rPr>
        <w:t>.1</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除合同专用条款另有约定外，在合同履行过程中发生的下列情形，属于发包人违约：</w:t>
      </w:r>
    </w:p>
    <w:p>
      <w:pPr>
        <w:widowControl w:val="0"/>
        <w:numPr>
          <w:ilvl w:val="1"/>
          <w:numId w:val="2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因发包人原因导致开始工作日期延误的； </w:t>
      </w:r>
    </w:p>
    <w:p>
      <w:pPr>
        <w:widowControl w:val="0"/>
        <w:numPr>
          <w:ilvl w:val="1"/>
          <w:numId w:val="2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因发包人原因未能按合同约定支付合同价款的；</w:t>
      </w:r>
    </w:p>
    <w:p>
      <w:pPr>
        <w:widowControl w:val="0"/>
        <w:numPr>
          <w:ilvl w:val="1"/>
          <w:numId w:val="2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发包人违反第13.1.1项约定，自行实施被取消的工作或转由他人实施的；</w:t>
      </w:r>
    </w:p>
    <w:p>
      <w:pPr>
        <w:widowControl w:val="0"/>
        <w:numPr>
          <w:ilvl w:val="1"/>
          <w:numId w:val="2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ab/>
      </w:r>
      <w:r>
        <w:rPr>
          <w:rFonts w:hint="eastAsia" w:ascii="仿宋" w:hAnsi="仿宋" w:eastAsia="仿宋" w:cs="仿宋"/>
          <w:color w:val="auto"/>
          <w:highlight w:val="none"/>
          <w:lang w:eastAsia="zh-CN"/>
        </w:rPr>
        <w:t>因发包人违反合同约定造成工程暂停施工的；</w:t>
      </w:r>
    </w:p>
    <w:p>
      <w:pPr>
        <w:widowControl w:val="0"/>
        <w:numPr>
          <w:ilvl w:val="1"/>
          <w:numId w:val="2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监理人无正当理由没有在约定期限内发出复工指示，导致承包人无法复工的；</w:t>
      </w:r>
    </w:p>
    <w:p>
      <w:pPr>
        <w:widowControl w:val="0"/>
        <w:numPr>
          <w:ilvl w:val="1"/>
          <w:numId w:val="29"/>
        </w:numPr>
        <w:tabs>
          <w:tab w:val="clear" w:pos="3285"/>
        </w:tabs>
        <w:spacing w:line="360" w:lineRule="auto"/>
        <w:ind w:left="1850" w:leftChars="771" w:firstLine="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发包人明确表示或者以其行为表明不履行合同主要义务的；</w:t>
      </w:r>
    </w:p>
    <w:p>
      <w:pPr>
        <w:widowControl w:val="0"/>
        <w:numPr>
          <w:ilvl w:val="1"/>
          <w:numId w:val="29"/>
        </w:numPr>
        <w:tabs>
          <w:tab w:val="clear" w:pos="3285"/>
        </w:tabs>
        <w:adjustRightInd w:val="0"/>
        <w:snapToGrid w:val="0"/>
        <w:spacing w:line="360" w:lineRule="auto"/>
        <w:ind w:left="1850" w:leftChars="771" w:firstLine="0"/>
        <w:jc w:val="both"/>
        <w:rPr>
          <w:rFonts w:ascii="仿宋" w:hAnsi="仿宋" w:eastAsia="仿宋"/>
          <w:b/>
          <w:bCs/>
          <w:color w:val="auto"/>
          <w:highlight w:val="none"/>
          <w:lang w:eastAsia="zh-CN"/>
        </w:rPr>
      </w:pPr>
      <w:r>
        <w:rPr>
          <w:rFonts w:hint="eastAsia" w:ascii="仿宋" w:hAnsi="仿宋" w:eastAsia="仿宋" w:cs="仿宋"/>
          <w:color w:val="auto"/>
          <w:highlight w:val="none"/>
          <w:lang w:eastAsia="zh-CN"/>
        </w:rPr>
        <w:tab/>
      </w:r>
      <w:r>
        <w:rPr>
          <w:rFonts w:hint="eastAsia" w:ascii="仿宋" w:hAnsi="仿宋" w:eastAsia="仿宋" w:cs="仿宋"/>
          <w:color w:val="auto"/>
          <w:highlight w:val="none"/>
          <w:lang w:eastAsia="zh-CN"/>
        </w:rPr>
        <w:t>发包人未能按照合同约定履行其他义务的。</w:t>
      </w:r>
    </w:p>
    <w:p>
      <w:pPr>
        <w:spacing w:line="360" w:lineRule="auto"/>
        <w:rPr>
          <w:rFonts w:ascii="仿宋" w:hAnsi="仿宋" w:eastAsia="仿宋" w:cs="仿宋"/>
          <w:b/>
          <w:bCs/>
          <w:color w:val="auto"/>
          <w:highlight w:val="none"/>
          <w:u w:val="dotted"/>
          <w:lang w:eastAsia="zh-CN"/>
        </w:rPr>
      </w:pPr>
      <w:bookmarkStart w:id="1258" w:name="_Toc15582"/>
      <w:r>
        <w:rPr>
          <w:color w:val="auto"/>
          <w:highlight w:val="none"/>
        </w:rPr>
        <mc:AlternateContent>
          <mc:Choice Requires="wps">
            <w:drawing>
              <wp:anchor distT="0" distB="0" distL="114300" distR="114300" simplePos="0" relativeHeight="252073984" behindDoc="0" locked="0" layoutInCell="1" allowOverlap="1">
                <wp:simplePos x="0" y="0"/>
                <wp:positionH relativeFrom="column">
                  <wp:posOffset>-114300</wp:posOffset>
                </wp:positionH>
                <wp:positionV relativeFrom="paragraph">
                  <wp:posOffset>235585</wp:posOffset>
                </wp:positionV>
                <wp:extent cx="775970" cy="547370"/>
                <wp:effectExtent l="0" t="0" r="0" b="0"/>
                <wp:wrapNone/>
                <wp:docPr id="406" name="文本框 1109"/>
                <wp:cNvGraphicFramePr/>
                <a:graphic xmlns:a="http://schemas.openxmlformats.org/drawingml/2006/main">
                  <a:graphicData uri="http://schemas.microsoft.com/office/word/2010/wordprocessingShape">
                    <wps:wsp>
                      <wps:cNvSpPr txBox="1"/>
                      <wps:spPr>
                        <a:xfrm>
                          <a:off x="0" y="0"/>
                          <a:ext cx="775970" cy="54737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lang w:eastAsia="zh-CN"/>
                              </w:rPr>
                              <w:t>通知改正</w:t>
                            </w:r>
                          </w:p>
                        </w:txbxContent>
                      </wps:txbx>
                      <wps:bodyPr wrap="square" upright="1"/>
                    </wps:wsp>
                  </a:graphicData>
                </a:graphic>
              </wp:anchor>
            </w:drawing>
          </mc:Choice>
          <mc:Fallback>
            <w:pict>
              <v:shape id="文本框 1109" o:spid="_x0000_s1026" o:spt="202" type="#_x0000_t202" style="position:absolute;left:0pt;margin-left:-9pt;margin-top:18.55pt;height:43.1pt;width:61.1pt;z-index:252073984;mso-width-relative:page;mso-height-relative:page;" filled="f" stroked="f" coordsize="21600,21600" o:gfxdata="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A0ZQBfYAAAACgEAAA8AAAAAAAAAAQAgAAAAIgAAAGRycy9kb3ducmV2LnhtbFBLAQIU&#10;ABQAAAAIAIdO4kBTz+O7ugEAAGADAAAOAAAAAAAAAAEAIAAAACc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lang w:eastAsia="zh-CN"/>
                        </w:rPr>
                        <w:t>通知改正</w:t>
                      </w:r>
                    </w:p>
                  </w:txbxContent>
                </v:textbox>
              </v:shape>
            </w:pict>
          </mc:Fallback>
        </mc:AlternateContent>
      </w:r>
      <w:r>
        <w:rPr>
          <w:rFonts w:hint="eastAsia" w:ascii="仿宋" w:hAnsi="仿宋" w:eastAsia="仿宋" w:cs="仿宋"/>
          <w:b/>
          <w:bCs/>
          <w:color w:val="auto"/>
          <w:highlight w:val="none"/>
          <w:lang w:eastAsia="zh-CN"/>
        </w:rPr>
        <w:t>96</w:t>
      </w:r>
      <w:r>
        <w:rPr>
          <w:rFonts w:ascii="仿宋" w:hAnsi="仿宋" w:eastAsia="仿宋" w:cs="仿宋"/>
          <w:b/>
          <w:bCs/>
          <w:color w:val="auto"/>
          <w:highlight w:val="none"/>
          <w:lang w:eastAsia="zh-CN"/>
        </w:rPr>
        <w:t>.2</w:t>
      </w:r>
      <w:bookmarkEnd w:id="1258"/>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发生除第96.2款第（6）项以外的违约情况时，承包人可向发包人发出通知，要求发包人采取有效措施纠正违约行为。发包人收到承包人通知后28天内仍不纠正违约行为的，承包人有权暂停相应部位工程实施，并通知设计顾问人、监理人和造价咨询人。</w:t>
      </w:r>
    </w:p>
    <w:p>
      <w:pPr>
        <w:spacing w:line="360" w:lineRule="auto"/>
        <w:rPr>
          <w:rFonts w:ascii="仿宋" w:hAnsi="仿宋" w:eastAsia="仿宋" w:cs="仿宋"/>
          <w:b/>
          <w:bCs/>
          <w:color w:val="auto"/>
          <w:highlight w:val="none"/>
          <w:u w:val="dotted"/>
          <w:lang w:eastAsia="zh-CN"/>
        </w:rPr>
      </w:pPr>
      <w:r>
        <w:rPr>
          <w:color w:val="auto"/>
          <w:highlight w:val="none"/>
        </w:rPr>
        <mc:AlternateContent>
          <mc:Choice Requires="wps">
            <w:drawing>
              <wp:anchor distT="0" distB="0" distL="114300" distR="114300" simplePos="0" relativeHeight="252114944" behindDoc="0" locked="0" layoutInCell="1" allowOverlap="1">
                <wp:simplePos x="0" y="0"/>
                <wp:positionH relativeFrom="column">
                  <wp:posOffset>-114300</wp:posOffset>
                </wp:positionH>
                <wp:positionV relativeFrom="paragraph">
                  <wp:posOffset>235585</wp:posOffset>
                </wp:positionV>
                <wp:extent cx="803910" cy="536575"/>
                <wp:effectExtent l="0" t="0" r="0" b="0"/>
                <wp:wrapNone/>
                <wp:docPr id="446" name="文本框 1109"/>
                <wp:cNvGraphicFramePr/>
                <a:graphic xmlns:a="http://schemas.openxmlformats.org/drawingml/2006/main">
                  <a:graphicData uri="http://schemas.microsoft.com/office/word/2010/wordprocessingShape">
                    <wps:wsp>
                      <wps:cNvSpPr txBox="1"/>
                      <wps:spPr>
                        <a:xfrm>
                          <a:off x="0" y="0"/>
                          <a:ext cx="803910" cy="53657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发包人违约</w:t>
                            </w:r>
                            <w:r>
                              <w:rPr>
                                <w:rFonts w:hint="eastAsia" w:ascii="楷体_GB2312" w:hAnsi="宋体" w:eastAsia="楷体_GB2312" w:cs="楷体_GB2312"/>
                                <w:b/>
                                <w:bCs/>
                                <w:sz w:val="18"/>
                                <w:szCs w:val="18"/>
                                <w:lang w:eastAsia="zh-CN"/>
                              </w:rPr>
                              <w:t>的责任</w:t>
                            </w:r>
                          </w:p>
                        </w:txbxContent>
                      </wps:txbx>
                      <wps:bodyPr wrap="square" upright="1"/>
                    </wps:wsp>
                  </a:graphicData>
                </a:graphic>
              </wp:anchor>
            </w:drawing>
          </mc:Choice>
          <mc:Fallback>
            <w:pict>
              <v:shape id="文本框 1109" o:spid="_x0000_s1026" o:spt="202" type="#_x0000_t202" style="position:absolute;left:0pt;margin-left:-9pt;margin-top:18.55pt;height:42.25pt;width:63.3pt;z-index:252114944;mso-width-relative:page;mso-height-relative:page;" filled="f" stroked="f" coordsize="21600,21600" o:gfxdata="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yxYRzXAAAACgEAAA8AAAAAAAAAAQAgAAAAIgAAAGRycy9kb3ducmV2LnhtbFBLAQIU&#10;ABQAAAAIAIdO4kDsNvzjuwEAAGA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发包人违约</w:t>
                      </w:r>
                      <w:r>
                        <w:rPr>
                          <w:rFonts w:hint="eastAsia" w:ascii="楷体_GB2312" w:hAnsi="宋体" w:eastAsia="楷体_GB2312" w:cs="楷体_GB2312"/>
                          <w:b/>
                          <w:bCs/>
                          <w:sz w:val="18"/>
                          <w:szCs w:val="18"/>
                          <w:lang w:eastAsia="zh-CN"/>
                        </w:rPr>
                        <w:t>的责任</w:t>
                      </w:r>
                    </w:p>
                  </w:txbxContent>
                </v:textbox>
              </v:shape>
            </w:pict>
          </mc:Fallback>
        </mc:AlternateContent>
      </w:r>
      <w:r>
        <w:rPr>
          <w:rFonts w:hint="eastAsia" w:ascii="仿宋" w:hAnsi="仿宋" w:eastAsia="仿宋" w:cs="仿宋"/>
          <w:b/>
          <w:bCs/>
          <w:color w:val="auto"/>
          <w:highlight w:val="none"/>
          <w:lang w:eastAsia="zh-CN"/>
        </w:rPr>
        <w:t>96</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3</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发包人应承担因其违约给承包人增加的费用和（或）延误的工期，并支付承包人合理的利润。此外，合同当事人可在合同专用条款中另行约定发包人违约责任的承担方式和计算方法。</w:t>
      </w:r>
    </w:p>
    <w:p>
      <w:pPr>
        <w:pStyle w:val="22"/>
        <w:adjustRightInd w:val="0"/>
        <w:snapToGrid w:val="0"/>
        <w:spacing w:line="360" w:lineRule="auto"/>
        <w:ind w:right="-238"/>
        <w:rPr>
          <w:rFonts w:ascii="仿宋" w:hAnsi="仿宋" w:eastAsia="仿宋"/>
          <w:color w:val="auto"/>
          <w:highlight w:val="none"/>
          <w:lang w:eastAsia="zh-CN"/>
        </w:rPr>
      </w:pPr>
      <w:r>
        <w:rPr>
          <w:rFonts w:ascii="仿宋" w:hAnsi="仿宋" w:eastAsia="仿宋" w:cs="仿宋"/>
          <w:color w:val="auto"/>
          <w:sz w:val="24"/>
          <w:szCs w:val="24"/>
          <w:highlight w:val="none"/>
          <w:u w:val="single"/>
          <w:lang w:eastAsia="zh-CN"/>
        </w:rPr>
        <w:t xml:space="preserve">                                                               </w:t>
      </w:r>
      <w:r>
        <w:rPr>
          <w:rFonts w:hint="eastAsia" w:ascii="仿宋" w:hAnsi="仿宋" w:eastAsia="仿宋" w:cs="仿宋"/>
          <w:color w:val="auto"/>
          <w:sz w:val="24"/>
          <w:szCs w:val="24"/>
          <w:highlight w:val="none"/>
          <w:u w:val="single"/>
          <w:lang w:eastAsia="zh-CN"/>
        </w:rPr>
        <w:t xml:space="preserve">     </w:t>
      </w:r>
      <w:r>
        <w:rPr>
          <w:rFonts w:ascii="仿宋" w:hAnsi="仿宋" w:eastAsia="仿宋" w:cs="仿宋"/>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259" w:name="_Toc7827"/>
      <w:bookmarkStart w:id="1260" w:name="_Toc5354"/>
      <w:bookmarkStart w:id="1261" w:name="_Toc26809"/>
      <w:bookmarkStart w:id="1262" w:name="_Toc26015"/>
      <w:bookmarkStart w:id="1263" w:name="_Toc24872"/>
      <w:bookmarkStart w:id="1264" w:name="_Toc10907"/>
      <w:bookmarkStart w:id="1265" w:name="_Toc6756"/>
      <w:bookmarkStart w:id="1266" w:name="_Toc4953"/>
      <w:bookmarkStart w:id="1267" w:name="_Toc489260631"/>
      <w:r>
        <w:rPr>
          <w:rFonts w:hint="eastAsia" w:ascii="仿宋" w:hAnsi="仿宋" w:eastAsia="仿宋" w:cs="仿宋"/>
          <w:bCs w:val="0"/>
          <w:color w:val="auto"/>
          <w:sz w:val="24"/>
          <w:szCs w:val="24"/>
          <w:highlight w:val="none"/>
          <w:lang w:eastAsia="zh-CN"/>
        </w:rPr>
        <w:t>★</w:t>
      </w:r>
      <w:r>
        <w:rPr>
          <w:rFonts w:ascii="仿宋" w:hAnsi="仿宋" w:eastAsia="仿宋" w:cs="仿宋"/>
          <w:bCs w:val="0"/>
          <w:color w:val="auto"/>
          <w:sz w:val="24"/>
          <w:szCs w:val="24"/>
          <w:highlight w:val="none"/>
          <w:lang w:eastAsia="zh-CN"/>
        </w:rPr>
        <w:t>9</w:t>
      </w:r>
      <w:r>
        <w:rPr>
          <w:rFonts w:hint="eastAsia" w:ascii="仿宋" w:hAnsi="仿宋" w:eastAsia="仿宋" w:cs="仿宋"/>
          <w:bCs w:val="0"/>
          <w:color w:val="auto"/>
          <w:sz w:val="24"/>
          <w:szCs w:val="24"/>
          <w:highlight w:val="none"/>
          <w:lang w:eastAsia="zh-CN"/>
        </w:rPr>
        <w:t>7</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第三方违约与除外责任</w:t>
      </w:r>
      <w:bookmarkEnd w:id="1259"/>
      <w:bookmarkEnd w:id="1260"/>
      <w:bookmarkEnd w:id="1261"/>
      <w:bookmarkEnd w:id="1262"/>
      <w:bookmarkEnd w:id="1263"/>
      <w:bookmarkEnd w:id="1264"/>
      <w:bookmarkEnd w:id="1265"/>
      <w:bookmarkEnd w:id="1266"/>
      <w:bookmarkEnd w:id="1267"/>
    </w:p>
    <w:p>
      <w:pPr>
        <w:spacing w:line="360" w:lineRule="auto"/>
        <w:rPr>
          <w:rFonts w:ascii="仿宋" w:hAnsi="仿宋" w:eastAsia="仿宋" w:cs="仿宋"/>
          <w:b/>
          <w:bCs/>
          <w:color w:val="auto"/>
          <w:highlight w:val="none"/>
          <w:u w:val="dotted"/>
          <w:lang w:eastAsia="zh-CN"/>
        </w:rPr>
      </w:pPr>
      <w:r>
        <w:rPr>
          <w:color w:val="auto"/>
          <w:highlight w:val="none"/>
        </w:rPr>
        <mc:AlternateContent>
          <mc:Choice Requires="wps">
            <w:drawing>
              <wp:anchor distT="0" distB="0" distL="114300" distR="114300" simplePos="0" relativeHeight="252115968" behindDoc="0" locked="0" layoutInCell="1" allowOverlap="1">
                <wp:simplePos x="0" y="0"/>
                <wp:positionH relativeFrom="column">
                  <wp:posOffset>-114300</wp:posOffset>
                </wp:positionH>
                <wp:positionV relativeFrom="paragraph">
                  <wp:posOffset>235585</wp:posOffset>
                </wp:positionV>
                <wp:extent cx="833120" cy="584835"/>
                <wp:effectExtent l="0" t="0" r="0" b="0"/>
                <wp:wrapNone/>
                <wp:docPr id="447" name="文本框 1109"/>
                <wp:cNvGraphicFramePr/>
                <a:graphic xmlns:a="http://schemas.openxmlformats.org/drawingml/2006/main">
                  <a:graphicData uri="http://schemas.microsoft.com/office/word/2010/wordprocessingShape">
                    <wps:wsp>
                      <wps:cNvSpPr txBox="1"/>
                      <wps:spPr>
                        <a:xfrm>
                          <a:off x="0" y="0"/>
                          <a:ext cx="833120" cy="58483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lang w:eastAsia="zh-CN"/>
                              </w:rPr>
                              <w:t>第三方违约</w:t>
                            </w:r>
                          </w:p>
                        </w:txbxContent>
                      </wps:txbx>
                      <wps:bodyPr wrap="square" upright="1"/>
                    </wps:wsp>
                  </a:graphicData>
                </a:graphic>
              </wp:anchor>
            </w:drawing>
          </mc:Choice>
          <mc:Fallback>
            <w:pict>
              <v:shape id="文本框 1109" o:spid="_x0000_s1026" o:spt="202" type="#_x0000_t202" style="position:absolute;left:0pt;margin-left:-9pt;margin-top:18.55pt;height:46.05pt;width:65.6pt;z-index:252115968;mso-width-relative:page;mso-height-relative:page;" filled="f" stroked="f" coordsize="21600,21600" o:gfxdata="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e07FZ2AAAAAoBAAAPAAAAAAAAAAEAIAAAACIAAABkcnMvZG93bnJldi54bWxQSwEC&#10;FAAUAAAACACHTuJAc1Y5GbsBAABgAwAADgAAAAAAAAABACAAAAAnAQAAZHJzL2Uyb0RvYy54bWxQ&#10;SwUGAAAAAAYABgBZAQAAVA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lang w:eastAsia="zh-CN"/>
                        </w:rPr>
                        <w:t>第三方违约</w:t>
                      </w:r>
                    </w:p>
                  </w:txbxContent>
                </v:textbox>
              </v:shape>
            </w:pict>
          </mc:Fallback>
        </mc:AlternateContent>
      </w:r>
      <w:r>
        <w:rPr>
          <w:rFonts w:hint="eastAsia" w:ascii="仿宋" w:hAnsi="仿宋" w:eastAsia="仿宋" w:cs="仿宋"/>
          <w:b/>
          <w:bCs/>
          <w:color w:val="auto"/>
          <w:highlight w:val="none"/>
          <w:lang w:eastAsia="zh-CN"/>
        </w:rPr>
        <w:t>97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1</w:t>
      </w:r>
    </w:p>
    <w:p>
      <w:pPr>
        <w:widowControl w:val="0"/>
        <w:adjustRightInd w:val="0"/>
        <w:snapToGrid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在履行合同过程中，一方当事人因第三人的原因造成违约的，应当向对方当事人承担违约责任。一方当事人和第三人之间的纠纷，依照法律规定或者按照约定解决。</w:t>
      </w:r>
    </w:p>
    <w:p>
      <w:pPr>
        <w:spacing w:line="360" w:lineRule="auto"/>
        <w:rPr>
          <w:color w:val="auto"/>
          <w:highlight w:val="none"/>
          <w:lang w:eastAsia="zh-CN" w:bidi="ar-SA"/>
        </w:rPr>
      </w:pPr>
      <w:r>
        <w:rPr>
          <w:rFonts w:hint="eastAsia" w:ascii="仿宋" w:hAnsi="仿宋" w:eastAsia="仿宋" w:cs="仿宋"/>
          <w:b/>
          <w:bCs/>
          <w:color w:val="auto"/>
          <w:highlight w:val="none"/>
          <w:lang w:eastAsia="zh-CN"/>
        </w:rPr>
        <w:t>97</w:t>
      </w:r>
      <w:r>
        <w:rPr>
          <w:rFonts w:ascii="仿宋" w:hAnsi="仿宋" w:eastAsia="仿宋" w:cs="仿宋"/>
          <w:b/>
          <w:bCs/>
          <w:color w:val="auto"/>
          <w:highlight w:val="none"/>
          <w:lang w:eastAsia="zh-CN"/>
        </w:rPr>
        <w:t>.</w:t>
      </w:r>
      <w:r>
        <w:rPr>
          <w:rFonts w:hint="eastAsia" w:ascii="仿宋" w:hAnsi="仿宋" w:eastAsia="仿宋" w:cs="仿宋"/>
          <w:b/>
          <w:bCs/>
          <w:color w:val="auto"/>
          <w:highlight w:val="none"/>
          <w:lang w:eastAsia="zh-CN"/>
        </w:rPr>
        <w:t>2</w:t>
      </w:r>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hint="eastAsia" w:ascii="仿宋" w:hAnsi="仿宋" w:eastAsia="仿宋" w:cs="仿宋"/>
          <w:b/>
          <w:bCs/>
          <w:color w:val="auto"/>
          <w:highlight w:val="none"/>
          <w:u w:val="dotted"/>
          <w:lang w:eastAsia="zh-CN"/>
        </w:rPr>
        <w:t xml:space="preserve"> </w:t>
      </w:r>
      <w:r>
        <w:rPr>
          <w:rFonts w:ascii="仿宋" w:hAnsi="仿宋" w:eastAsia="仿宋" w:cs="仿宋"/>
          <w:b/>
          <w:bCs/>
          <w:color w:val="auto"/>
          <w:highlight w:val="none"/>
          <w:u w:val="dotted"/>
          <w:lang w:eastAsia="zh-CN"/>
        </w:rPr>
        <w:t xml:space="preserve">                                 </w:t>
      </w:r>
    </w:p>
    <w:p>
      <w:pPr>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67488" behindDoc="0" locked="0" layoutInCell="1" allowOverlap="1">
                <wp:simplePos x="0" y="0"/>
                <wp:positionH relativeFrom="column">
                  <wp:posOffset>-114300</wp:posOffset>
                </wp:positionH>
                <wp:positionV relativeFrom="paragraph">
                  <wp:posOffset>15875</wp:posOffset>
                </wp:positionV>
                <wp:extent cx="736600" cy="506095"/>
                <wp:effectExtent l="0" t="0" r="0" b="0"/>
                <wp:wrapNone/>
                <wp:docPr id="302" name="文本框 1110"/>
                <wp:cNvGraphicFramePr/>
                <a:graphic xmlns:a="http://schemas.openxmlformats.org/drawingml/2006/main">
                  <a:graphicData uri="http://schemas.microsoft.com/office/word/2010/wordprocessingShape">
                    <wps:wsp>
                      <wps:cNvSpPr txBox="1"/>
                      <wps:spPr>
                        <a:xfrm>
                          <a:off x="0" y="0"/>
                          <a:ext cx="736600" cy="50609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非发、承包人责任</w:t>
                            </w:r>
                          </w:p>
                        </w:txbxContent>
                      </wps:txbx>
                      <wps:bodyPr wrap="square" upright="1"/>
                    </wps:wsp>
                  </a:graphicData>
                </a:graphic>
              </wp:anchor>
            </w:drawing>
          </mc:Choice>
          <mc:Fallback>
            <w:pict>
              <v:shape id="文本框 1110" o:spid="_x0000_s1026" o:spt="202" type="#_x0000_t202" style="position:absolute;left:0pt;margin-left:-9pt;margin-top:1.25pt;height:39.85pt;width:58pt;z-index:251967488;mso-width-relative:page;mso-height-relative:page;" filled="f" stroked="f" coordsize="21600,21600" o:gfxdata="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gC2MY1AAAAAcBAAAPAAAAAAAAAAEAIAAAACIAAABkcnMvZG93bnJldi54bWxQSwECFAAUAAAA&#10;CACHTuJAEBPE+rkBAABgAwAADgAAAAAAAAABACAAAAAjAQAAZHJzL2Uyb0RvYy54bWxQSwUGAAAA&#10;AAYABgBZAQAATg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非发、承包人责任</w:t>
                      </w:r>
                    </w:p>
                  </w:txbxContent>
                </v:textbox>
              </v:shape>
            </w:pict>
          </mc:Fallback>
        </mc:AlternateContent>
      </w:r>
      <w:r>
        <w:rPr>
          <w:rFonts w:hint="eastAsia" w:ascii="仿宋" w:hAnsi="仿宋" w:eastAsia="仿宋" w:cs="仿宋"/>
          <w:color w:val="auto"/>
          <w:highlight w:val="none"/>
          <w:lang w:eastAsia="zh-CN"/>
        </w:rPr>
        <w:t>非承包人的原因，且承包人无过错，而产生的各类损失，承包人不承担赔偿责任。</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因不可抗力导致本合同全部或部分不能履行时，双方各自承担损失。</w:t>
      </w:r>
    </w:p>
    <w:p>
      <w:pPr>
        <w:pStyle w:val="22"/>
        <w:adjustRightInd w:val="0"/>
        <w:snapToGrid w:val="0"/>
        <w:spacing w:line="360" w:lineRule="auto"/>
        <w:ind w:right="-238"/>
        <w:rPr>
          <w:rFonts w:ascii="仿宋" w:hAnsi="仿宋" w:eastAsia="仿宋"/>
          <w:color w:val="auto"/>
          <w:sz w:val="24"/>
          <w:szCs w:val="24"/>
          <w:highlight w:val="none"/>
          <w:u w:val="single"/>
          <w:lang w:eastAsia="zh-CN"/>
        </w:rPr>
      </w:pPr>
      <w:r>
        <w:rPr>
          <w:rFonts w:ascii="仿宋" w:hAnsi="仿宋" w:eastAsia="仿宋" w:cs="仿宋"/>
          <w:color w:val="auto"/>
          <w:sz w:val="24"/>
          <w:szCs w:val="24"/>
          <w:highlight w:val="none"/>
          <w:u w:val="single"/>
          <w:lang w:eastAsia="zh-CN"/>
        </w:rPr>
        <w:t xml:space="preserve">                                                               </w:t>
      </w:r>
      <w:r>
        <w:rPr>
          <w:rFonts w:hint="eastAsia" w:ascii="仿宋" w:hAnsi="仿宋" w:eastAsia="仿宋" w:cs="仿宋"/>
          <w:color w:val="auto"/>
          <w:sz w:val="24"/>
          <w:szCs w:val="24"/>
          <w:highlight w:val="none"/>
          <w:u w:val="single"/>
          <w:lang w:eastAsia="zh-CN"/>
        </w:rPr>
        <w:t xml:space="preserve">     </w:t>
      </w:r>
      <w:r>
        <w:rPr>
          <w:rFonts w:ascii="仿宋" w:hAnsi="仿宋" w:eastAsia="仿宋" w:cs="仿宋"/>
          <w:color w:val="auto"/>
          <w:sz w:val="24"/>
          <w:szCs w:val="24"/>
          <w:highlight w:val="none"/>
          <w:u w:val="single"/>
          <w:lang w:eastAsia="zh-CN"/>
        </w:rPr>
        <w:t xml:space="preserve">                  </w:t>
      </w:r>
    </w:p>
    <w:p>
      <w:pPr>
        <w:pStyle w:val="22"/>
        <w:adjustRightInd w:val="0"/>
        <w:snapToGrid w:val="0"/>
        <w:spacing w:line="360" w:lineRule="auto"/>
        <w:jc w:val="center"/>
        <w:outlineLvl w:val="1"/>
        <w:rPr>
          <w:rFonts w:ascii="仿宋" w:hAnsi="仿宋" w:eastAsia="仿宋"/>
          <w:b/>
          <w:bCs/>
          <w:color w:val="auto"/>
          <w:sz w:val="24"/>
          <w:szCs w:val="24"/>
          <w:highlight w:val="none"/>
          <w:lang w:eastAsia="zh-CN"/>
        </w:rPr>
      </w:pPr>
      <w:bookmarkStart w:id="1268" w:name="_Toc28247"/>
      <w:bookmarkStart w:id="1269" w:name="_Toc4645"/>
      <w:bookmarkStart w:id="1270" w:name="_Toc469384074"/>
      <w:bookmarkStart w:id="1271" w:name="_Toc28802"/>
      <w:bookmarkStart w:id="1272" w:name="_Toc32115"/>
      <w:bookmarkStart w:id="1273" w:name="_Toc12516"/>
      <w:bookmarkStart w:id="1274" w:name="_Toc12887"/>
      <w:bookmarkStart w:id="1275" w:name="_Toc26564"/>
      <w:bookmarkStart w:id="1276" w:name="_Toc29530"/>
      <w:r>
        <w:rPr>
          <w:rFonts w:hint="eastAsia" w:ascii="仿宋" w:hAnsi="仿宋" w:eastAsia="仿宋" w:cs="仿宋"/>
          <w:b/>
          <w:bCs/>
          <w:color w:val="auto"/>
          <w:sz w:val="24"/>
          <w:szCs w:val="24"/>
          <w:highlight w:val="none"/>
          <w:lang w:eastAsia="zh-CN"/>
        </w:rPr>
        <w:t>十、其</w:t>
      </w:r>
      <w:r>
        <w:rPr>
          <w:rFonts w:ascii="仿宋" w:hAnsi="仿宋" w:eastAsia="仿宋" w:cs="仿宋"/>
          <w:b/>
          <w:bCs/>
          <w:color w:val="auto"/>
          <w:sz w:val="24"/>
          <w:szCs w:val="24"/>
          <w:highlight w:val="none"/>
          <w:lang w:eastAsia="zh-CN"/>
        </w:rPr>
        <w:t xml:space="preserve">  </w:t>
      </w:r>
      <w:r>
        <w:rPr>
          <w:rFonts w:hint="eastAsia" w:ascii="仿宋" w:hAnsi="仿宋" w:eastAsia="仿宋" w:cs="仿宋"/>
          <w:b/>
          <w:bCs/>
          <w:color w:val="auto"/>
          <w:sz w:val="24"/>
          <w:szCs w:val="24"/>
          <w:highlight w:val="none"/>
          <w:lang w:eastAsia="zh-CN"/>
        </w:rPr>
        <w:t>他</w:t>
      </w:r>
      <w:bookmarkEnd w:id="1268"/>
      <w:bookmarkEnd w:id="1269"/>
      <w:bookmarkEnd w:id="1270"/>
      <w:bookmarkEnd w:id="1271"/>
      <w:bookmarkEnd w:id="1272"/>
      <w:bookmarkEnd w:id="1273"/>
      <w:bookmarkEnd w:id="1274"/>
      <w:bookmarkEnd w:id="1275"/>
      <w:bookmarkEnd w:id="1276"/>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277" w:name="_Toc3064"/>
      <w:bookmarkStart w:id="1278" w:name="_Toc18192"/>
      <w:bookmarkStart w:id="1279" w:name="_Toc950"/>
      <w:bookmarkStart w:id="1280" w:name="_Toc26527"/>
      <w:bookmarkStart w:id="1281" w:name="_Toc3619"/>
      <w:bookmarkStart w:id="1282" w:name="_Toc25441"/>
      <w:bookmarkStart w:id="1283" w:name="_Toc21592"/>
      <w:bookmarkStart w:id="1284" w:name="_Toc32729"/>
      <w:bookmarkStart w:id="1285" w:name="_Toc469384075"/>
      <w:r>
        <w:rPr>
          <w:rFonts w:ascii="仿宋" w:hAnsi="仿宋" w:eastAsia="仿宋" w:cs="仿宋"/>
          <w:bCs w:val="0"/>
          <w:color w:val="auto"/>
          <w:sz w:val="24"/>
          <w:szCs w:val="24"/>
          <w:highlight w:val="none"/>
          <w:lang w:eastAsia="zh-CN"/>
        </w:rPr>
        <w:t>9</w:t>
      </w:r>
      <w:r>
        <w:rPr>
          <w:rFonts w:hint="eastAsia" w:ascii="仿宋" w:hAnsi="仿宋" w:eastAsia="仿宋" w:cs="仿宋"/>
          <w:bCs w:val="0"/>
          <w:color w:val="auto"/>
          <w:sz w:val="24"/>
          <w:szCs w:val="24"/>
          <w:highlight w:val="none"/>
          <w:lang w:eastAsia="zh-CN"/>
        </w:rPr>
        <w:t>8</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缴纳税费</w:t>
      </w:r>
      <w:bookmarkEnd w:id="1277"/>
      <w:bookmarkEnd w:id="1278"/>
      <w:bookmarkEnd w:id="1279"/>
      <w:bookmarkEnd w:id="1280"/>
      <w:bookmarkEnd w:id="1281"/>
      <w:bookmarkEnd w:id="1282"/>
      <w:bookmarkEnd w:id="1283"/>
      <w:bookmarkEnd w:id="1284"/>
      <w:bookmarkEnd w:id="1285"/>
    </w:p>
    <w:p>
      <w:pPr>
        <w:pStyle w:val="22"/>
        <w:tabs>
          <w:tab w:val="left" w:pos="1320"/>
        </w:tabs>
        <w:adjustRightInd w:val="0"/>
        <w:snapToGrid w:val="0"/>
        <w:spacing w:line="360" w:lineRule="auto"/>
        <w:rPr>
          <w:rFonts w:ascii="仿宋" w:hAnsi="仿宋" w:eastAsia="仿宋" w:cs="仿宋"/>
          <w:b/>
          <w:bCs/>
          <w:color w:val="auto"/>
          <w:sz w:val="24"/>
          <w:szCs w:val="24"/>
          <w:highlight w:val="none"/>
          <w:lang w:eastAsia="zh-CN"/>
        </w:rPr>
      </w:pPr>
      <w:r>
        <w:rPr>
          <w:rFonts w:ascii="仿宋" w:hAnsi="仿宋" w:eastAsia="仿宋" w:cs="仿宋"/>
          <w:b/>
          <w:bCs/>
          <w:color w:val="auto"/>
          <w:sz w:val="24"/>
          <w:szCs w:val="24"/>
          <w:highlight w:val="none"/>
          <w:lang w:eastAsia="zh-CN"/>
        </w:rPr>
        <w:t>9</w:t>
      </w:r>
      <w:r>
        <w:rPr>
          <w:rFonts w:hint="eastAsia" w:ascii="仿宋" w:hAnsi="仿宋" w:eastAsia="仿宋" w:cs="仿宋"/>
          <w:b/>
          <w:bCs/>
          <w:color w:val="auto"/>
          <w:sz w:val="24"/>
          <w:szCs w:val="24"/>
          <w:highlight w:val="none"/>
          <w:lang w:eastAsia="zh-CN"/>
        </w:rPr>
        <w:t>8</w:t>
      </w:r>
      <w:r>
        <w:rPr>
          <w:rFonts w:ascii="仿宋" w:hAnsi="仿宋" w:eastAsia="仿宋" w:cs="仿宋"/>
          <w:b/>
          <w:bCs/>
          <w:color w:val="auto"/>
          <w:sz w:val="24"/>
          <w:szCs w:val="24"/>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w:t>
      </w:r>
      <w:r>
        <w:rPr>
          <w:color w:val="auto"/>
          <w:highlight w:val="none"/>
        </w:rPr>
        <mc:AlternateContent>
          <mc:Choice Requires="wps">
            <w:drawing>
              <wp:anchor distT="0" distB="0" distL="114300" distR="114300" simplePos="0" relativeHeight="251954176" behindDoc="0" locked="0" layoutInCell="1" allowOverlap="1">
                <wp:simplePos x="0" y="0"/>
                <wp:positionH relativeFrom="column">
                  <wp:posOffset>-114300</wp:posOffset>
                </wp:positionH>
                <wp:positionV relativeFrom="paragraph">
                  <wp:posOffset>635</wp:posOffset>
                </wp:positionV>
                <wp:extent cx="813435" cy="466725"/>
                <wp:effectExtent l="0" t="0" r="0" b="0"/>
                <wp:wrapNone/>
                <wp:docPr id="289" name="文本框 1092"/>
                <wp:cNvGraphicFramePr/>
                <a:graphic xmlns:a="http://schemas.openxmlformats.org/drawingml/2006/main">
                  <a:graphicData uri="http://schemas.microsoft.com/office/word/2010/wordprocessingShape">
                    <wps:wsp>
                      <wps:cNvSpPr txBox="1"/>
                      <wps:spPr>
                        <a:xfrm>
                          <a:off x="0" y="0"/>
                          <a:ext cx="813435" cy="46672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约定缴纳一切税费</w:t>
                            </w:r>
                          </w:p>
                        </w:txbxContent>
                      </wps:txbx>
                      <wps:bodyPr wrap="square" upright="1"/>
                    </wps:wsp>
                  </a:graphicData>
                </a:graphic>
              </wp:anchor>
            </w:drawing>
          </mc:Choice>
          <mc:Fallback>
            <w:pict>
              <v:shape id="文本框 1092" o:spid="_x0000_s1026" o:spt="202" type="#_x0000_t202" style="position:absolute;left:0pt;margin-left:-9pt;margin-top:0.05pt;height:36.75pt;width:64.05pt;z-index:251954176;mso-width-relative:page;mso-height-relative:page;" filled="f" stroked="f" coordsize="21600,21600" o:gfxdata="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ANgW661AAAAAcBAAAPAAAAAAAAAAEAIAAAACIAAABkcnMvZG93bnJldi54bWxQSwECFAAU&#10;AAAACACHTuJAgs8TnrwBAABgAwAADgAAAAAAAAABACAAAAAj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约定缴纳一切税费</w:t>
                      </w:r>
                    </w:p>
                  </w:txbxContent>
                </v:textbox>
              </v:shape>
            </w:pict>
          </mc:Fallback>
        </mc:AlternateContent>
      </w:r>
      <w:r>
        <w:rPr>
          <w:rFonts w:hint="eastAsia" w:ascii="仿宋" w:hAnsi="仿宋" w:eastAsia="仿宋" w:cs="仿宋"/>
          <w:color w:val="auto"/>
          <w:highlight w:val="none"/>
          <w:lang w:eastAsia="zh-CN"/>
        </w:rPr>
        <w:t>应按照国家现行税法和有关部门现行规定缴纳合同工程需缴的一切税费。</w:t>
      </w:r>
    </w:p>
    <w:p>
      <w:pPr>
        <w:spacing w:line="360" w:lineRule="auto"/>
        <w:rPr>
          <w:rFonts w:ascii="仿宋" w:hAnsi="仿宋" w:eastAsia="仿宋"/>
          <w:b/>
          <w:bCs/>
          <w:color w:val="auto"/>
          <w:highlight w:val="none"/>
          <w:lang w:eastAsia="zh-CN"/>
        </w:rPr>
      </w:pPr>
      <w:bookmarkStart w:id="1286" w:name="_Toc29240"/>
      <w:r>
        <w:rPr>
          <w:rFonts w:ascii="仿宋" w:hAnsi="仿宋" w:eastAsia="仿宋" w:cs="仿宋"/>
          <w:b/>
          <w:bCs/>
          <w:color w:val="auto"/>
          <w:highlight w:val="none"/>
          <w:lang w:eastAsia="zh-CN"/>
        </w:rPr>
        <w:t>9</w:t>
      </w:r>
      <w:r>
        <w:rPr>
          <w:rFonts w:hint="eastAsia" w:ascii="仿宋" w:hAnsi="仿宋" w:eastAsia="仿宋" w:cs="仿宋"/>
          <w:b/>
          <w:bCs/>
          <w:color w:val="auto"/>
          <w:highlight w:val="none"/>
          <w:lang w:eastAsia="zh-CN"/>
        </w:rPr>
        <w:t>8</w:t>
      </w:r>
      <w:r>
        <w:rPr>
          <w:rFonts w:ascii="仿宋" w:hAnsi="仿宋" w:eastAsia="仿宋" w:cs="仿宋"/>
          <w:b/>
          <w:bCs/>
          <w:color w:val="auto"/>
          <w:highlight w:val="none"/>
          <w:lang w:eastAsia="zh-CN"/>
        </w:rPr>
        <w:t>.2</w:t>
      </w:r>
      <w:bookmarkEnd w:id="128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55200" behindDoc="0" locked="0" layoutInCell="1" allowOverlap="1">
                <wp:simplePos x="0" y="0"/>
                <wp:positionH relativeFrom="column">
                  <wp:posOffset>-114300</wp:posOffset>
                </wp:positionH>
                <wp:positionV relativeFrom="paragraph">
                  <wp:posOffset>32385</wp:posOffset>
                </wp:positionV>
                <wp:extent cx="842645" cy="535305"/>
                <wp:effectExtent l="0" t="0" r="0" b="0"/>
                <wp:wrapNone/>
                <wp:docPr id="290" name="文本框 1093"/>
                <wp:cNvGraphicFramePr/>
                <a:graphic xmlns:a="http://schemas.openxmlformats.org/drawingml/2006/main">
                  <a:graphicData uri="http://schemas.microsoft.com/office/word/2010/wordprocessingShape">
                    <wps:wsp>
                      <wps:cNvSpPr txBox="1"/>
                      <wps:spPr>
                        <a:xfrm>
                          <a:off x="0" y="0"/>
                          <a:ext cx="842645" cy="53530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没交或少交税费的责任</w:t>
                            </w:r>
                          </w:p>
                        </w:txbxContent>
                      </wps:txbx>
                      <wps:bodyPr wrap="square" upright="1"/>
                    </wps:wsp>
                  </a:graphicData>
                </a:graphic>
              </wp:anchor>
            </w:drawing>
          </mc:Choice>
          <mc:Fallback>
            <w:pict>
              <v:shape id="文本框 1093" o:spid="_x0000_s1026" o:spt="202" type="#_x0000_t202" style="position:absolute;left:0pt;margin-left:-9pt;margin-top:2.55pt;height:42.15pt;width:66.35pt;z-index:251955200;mso-width-relative:page;mso-height-relative:page;" filled="f" stroked="f" coordsize="21600,21600" o:gfxdata="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tbORWtYAAAAIAQAADwAAAAAAAAABACAAAAAiAAAAZHJzL2Rvd25yZXYueG1sUEsBAhQA&#10;FAAAAAgAh07iQMn0eU27AQAAYA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没交或少交税费的责任</w:t>
                      </w:r>
                    </w:p>
                  </w:txbxContent>
                </v:textbox>
              </v:shape>
            </w:pict>
          </mc:Fallback>
        </mc:AlternateContent>
      </w:r>
      <w:r>
        <w:rPr>
          <w:rFonts w:hint="eastAsia" w:ascii="仿宋" w:hAnsi="仿宋" w:eastAsia="仿宋" w:cs="仿宋"/>
          <w:color w:val="auto"/>
          <w:highlight w:val="none"/>
          <w:lang w:eastAsia="zh-CN"/>
        </w:rPr>
        <w:t>合同任何一方当事人没交或少交合同工程需缴税费的，违法方应足额补交，并承担相应的法律责任；给另一方当事人造成损失的，违法方应赔偿损失。</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287" w:name="_Toc20721"/>
      <w:bookmarkStart w:id="1288" w:name="_Toc32630"/>
      <w:bookmarkStart w:id="1289" w:name="_Toc11337"/>
      <w:bookmarkStart w:id="1290" w:name="_Toc10942"/>
      <w:bookmarkStart w:id="1291" w:name="_Toc4404"/>
      <w:bookmarkStart w:id="1292" w:name="_Toc469384076"/>
      <w:bookmarkStart w:id="1293" w:name="_Toc5164"/>
      <w:bookmarkStart w:id="1294" w:name="_Toc26665"/>
      <w:bookmarkStart w:id="1295" w:name="_Toc22391"/>
      <w:r>
        <w:rPr>
          <w:rFonts w:hint="eastAsia" w:ascii="仿宋" w:hAnsi="仿宋" w:eastAsia="仿宋" w:cs="仿宋"/>
          <w:bCs w:val="0"/>
          <w:color w:val="auto"/>
          <w:sz w:val="24"/>
          <w:szCs w:val="24"/>
          <w:highlight w:val="none"/>
          <w:lang w:eastAsia="zh-CN"/>
        </w:rPr>
        <w:t>99</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保密要求</w:t>
      </w:r>
      <w:bookmarkEnd w:id="1287"/>
      <w:bookmarkEnd w:id="1288"/>
      <w:bookmarkEnd w:id="1289"/>
      <w:bookmarkEnd w:id="1290"/>
      <w:bookmarkEnd w:id="1291"/>
      <w:bookmarkEnd w:id="1292"/>
      <w:bookmarkEnd w:id="1293"/>
      <w:bookmarkEnd w:id="1294"/>
      <w:bookmarkEnd w:id="1295"/>
    </w:p>
    <w:p>
      <w:pPr>
        <w:pStyle w:val="22"/>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99</w:t>
      </w:r>
      <w:r>
        <w:rPr>
          <w:rFonts w:ascii="仿宋" w:hAnsi="仿宋" w:eastAsia="仿宋" w:cs="仿宋"/>
          <w:b/>
          <w:bCs/>
          <w:color w:val="auto"/>
          <w:sz w:val="24"/>
          <w:szCs w:val="24"/>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56224" behindDoc="0" locked="0" layoutInCell="1" allowOverlap="1">
                <wp:simplePos x="0" y="0"/>
                <wp:positionH relativeFrom="column">
                  <wp:posOffset>-114300</wp:posOffset>
                </wp:positionH>
                <wp:positionV relativeFrom="paragraph">
                  <wp:posOffset>34290</wp:posOffset>
                </wp:positionV>
                <wp:extent cx="813435" cy="592455"/>
                <wp:effectExtent l="0" t="0" r="0" b="0"/>
                <wp:wrapNone/>
                <wp:docPr id="291" name="文本框 1094"/>
                <wp:cNvGraphicFramePr/>
                <a:graphic xmlns:a="http://schemas.openxmlformats.org/drawingml/2006/main">
                  <a:graphicData uri="http://schemas.microsoft.com/office/word/2010/wordprocessingShape">
                    <wps:wsp>
                      <wps:cNvSpPr txBox="1"/>
                      <wps:spPr>
                        <a:xfrm>
                          <a:off x="0" y="0"/>
                          <a:ext cx="813435" cy="592455"/>
                        </a:xfrm>
                        <a:prstGeom prst="rect">
                          <a:avLst/>
                        </a:prstGeom>
                        <a:noFill/>
                        <a:ln>
                          <a:noFill/>
                        </a:ln>
                      </wps:spPr>
                      <wps:txb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提供保密信息和履行保密义务</w:t>
                            </w:r>
                          </w:p>
                        </w:txbxContent>
                      </wps:txbx>
                      <wps:bodyPr wrap="square" upright="1"/>
                    </wps:wsp>
                  </a:graphicData>
                </a:graphic>
              </wp:anchor>
            </w:drawing>
          </mc:Choice>
          <mc:Fallback>
            <w:pict>
              <v:shape id="文本框 1094" o:spid="_x0000_s1026" o:spt="202" type="#_x0000_t202" style="position:absolute;left:0pt;margin-left:-9pt;margin-top:2.7pt;height:46.65pt;width:64.05pt;z-index:251956224;mso-width-relative:page;mso-height-relative:page;" filled="f" stroked="f" coordsize="21600,21600" o:gfxdata="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HWo1BTWAAAACAEAAA8AAAAAAAAAAQAgAAAAIgAAAGRycy9kb3ducmV2LnhtbFBLAQIU&#10;ABQAAAAIAIdO4kBybpDyvAEAAGADAAAOAAAAAAAAAAEAIAAAACU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lang w:eastAsia="zh-CN"/>
                        </w:rPr>
                      </w:pPr>
                      <w:r>
                        <w:rPr>
                          <w:rFonts w:hint="eastAsia" w:ascii="楷体_GB2312" w:hAnsi="宋体" w:eastAsia="楷体_GB2312" w:cs="楷体_GB2312"/>
                          <w:b/>
                          <w:bCs/>
                          <w:sz w:val="18"/>
                          <w:szCs w:val="18"/>
                          <w:lang w:eastAsia="zh-CN"/>
                        </w:rPr>
                        <w:t>提供保密信息和履行保密义务</w:t>
                      </w:r>
                    </w:p>
                  </w:txbxContent>
                </v:textbox>
              </v:shape>
            </w:pict>
          </mc:Fallback>
        </mc:AlternateContent>
      </w:r>
      <w:r>
        <w:rPr>
          <w:rFonts w:hint="eastAsia" w:ascii="仿宋" w:hAnsi="仿宋" w:eastAsia="仿宋" w:cs="仿宋"/>
          <w:color w:val="auto"/>
          <w:highlight w:val="none"/>
          <w:lang w:eastAsia="zh-CN"/>
        </w:rPr>
        <w:t>合同双方当事人应在合同专用条款约定期限内提供保密信息。自收到对方当事人提供的保密信息之日起，应履行保密义务。合同双方当事人履行保密义务，并不因本合同终止而结束。</w:t>
      </w:r>
    </w:p>
    <w:p>
      <w:pPr>
        <w:spacing w:line="360" w:lineRule="auto"/>
        <w:rPr>
          <w:rFonts w:ascii="仿宋" w:hAnsi="仿宋" w:eastAsia="仿宋" w:cs="仿宋"/>
          <w:b/>
          <w:bCs/>
          <w:color w:val="auto"/>
          <w:highlight w:val="none"/>
          <w:u w:val="dotted"/>
          <w:lang w:eastAsia="zh-CN"/>
        </w:rPr>
      </w:pPr>
      <w:bookmarkStart w:id="1296" w:name="_Toc3105"/>
      <w:r>
        <w:rPr>
          <w:rFonts w:hint="eastAsia" w:ascii="仿宋" w:hAnsi="仿宋" w:eastAsia="仿宋" w:cs="仿宋"/>
          <w:b/>
          <w:bCs/>
          <w:color w:val="auto"/>
          <w:highlight w:val="none"/>
          <w:lang w:eastAsia="zh-CN"/>
        </w:rPr>
        <w:t>99</w:t>
      </w:r>
      <w:r>
        <w:rPr>
          <w:rFonts w:ascii="仿宋" w:hAnsi="仿宋" w:eastAsia="仿宋" w:cs="仿宋"/>
          <w:b/>
          <w:bCs/>
          <w:color w:val="auto"/>
          <w:highlight w:val="none"/>
          <w:lang w:eastAsia="zh-CN"/>
        </w:rPr>
        <w:t>.2</w:t>
      </w:r>
      <w:bookmarkEnd w:id="1296"/>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57248" behindDoc="0" locked="0" layoutInCell="1" allowOverlap="1">
                <wp:simplePos x="0" y="0"/>
                <wp:positionH relativeFrom="column">
                  <wp:posOffset>-114300</wp:posOffset>
                </wp:positionH>
                <wp:positionV relativeFrom="paragraph">
                  <wp:posOffset>68580</wp:posOffset>
                </wp:positionV>
                <wp:extent cx="785495" cy="594360"/>
                <wp:effectExtent l="0" t="0" r="0" b="0"/>
                <wp:wrapNone/>
                <wp:docPr id="292" name="文本框 1095"/>
                <wp:cNvGraphicFramePr/>
                <a:graphic xmlns:a="http://schemas.openxmlformats.org/drawingml/2006/main">
                  <a:graphicData uri="http://schemas.microsoft.com/office/word/2010/wordprocessingShape">
                    <wps:wsp>
                      <wps:cNvSpPr txBox="1"/>
                      <wps:spPr>
                        <a:xfrm>
                          <a:off x="0" y="0"/>
                          <a:ext cx="785495" cy="59436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保密信息知悉权限</w:t>
                            </w:r>
                          </w:p>
                        </w:txbxContent>
                      </wps:txbx>
                      <wps:bodyPr wrap="square" upright="1"/>
                    </wps:wsp>
                  </a:graphicData>
                </a:graphic>
              </wp:anchor>
            </w:drawing>
          </mc:Choice>
          <mc:Fallback>
            <w:pict>
              <v:shape id="文本框 1095" o:spid="_x0000_s1026" o:spt="202" type="#_x0000_t202" style="position:absolute;left:0pt;margin-left:-9pt;margin-top:5.4pt;height:46.8pt;width:61.85pt;z-index:251957248;mso-width-relative:page;mso-height-relative:page;" filled="f" stroked="f" coordsize="21600,21600" o:gfxdata="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Pq1h+vWAAAACgEAAA8AAAAAAAAAAQAgAAAAIgAAAGRycy9kb3ducmV2LnhtbFBLAQIU&#10;ABQAAAAIAIdO4kB6i0zAvAEAAGADAAAOAAAAAAAAAAEAIAAAACU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保密信息知悉权限</w:t>
                      </w:r>
                    </w:p>
                  </w:txbxContent>
                </v:textbox>
              </v:shape>
            </w:pict>
          </mc:Fallback>
        </mc:AlternateContent>
      </w:r>
      <w:r>
        <w:rPr>
          <w:rFonts w:hint="eastAsia" w:ascii="仿宋" w:hAnsi="仿宋" w:eastAsia="仿宋" w:cs="仿宋"/>
          <w:color w:val="auto"/>
          <w:highlight w:val="none"/>
          <w:lang w:eastAsia="zh-CN"/>
        </w:rPr>
        <w:t>合同双方当事人仅允许因履行本合同而使用另一方当事人提供的保密信息。除合同双方当事人书面委派履行本合同应知悉保密信息的人员外，合同任何一方当事人不得将另一方当事人相关的或属于另一方当事人所有的保密信息泄露或提供给第三方，也不得超出允许范围从另一方当事人复制、摘录或转移任何保密信息。任何保密信息的公布，均应事先征得提供方的书面同意。</w:t>
      </w:r>
    </w:p>
    <w:p>
      <w:pPr>
        <w:pStyle w:val="22"/>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1958272" behindDoc="0" locked="0" layoutInCell="1" allowOverlap="1">
                <wp:simplePos x="0" y="0"/>
                <wp:positionH relativeFrom="column">
                  <wp:posOffset>-114300</wp:posOffset>
                </wp:positionH>
                <wp:positionV relativeFrom="paragraph">
                  <wp:posOffset>299720</wp:posOffset>
                </wp:positionV>
                <wp:extent cx="790575" cy="525780"/>
                <wp:effectExtent l="0" t="0" r="0" b="0"/>
                <wp:wrapNone/>
                <wp:docPr id="293" name="文本框 1096"/>
                <wp:cNvGraphicFramePr/>
                <a:graphic xmlns:a="http://schemas.openxmlformats.org/drawingml/2006/main">
                  <a:graphicData uri="http://schemas.microsoft.com/office/word/2010/wordprocessingShape">
                    <wps:wsp>
                      <wps:cNvSpPr txBox="1"/>
                      <wps:spPr>
                        <a:xfrm>
                          <a:off x="0" y="0"/>
                          <a:ext cx="790575" cy="52578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签订保密协议</w:t>
                            </w:r>
                          </w:p>
                        </w:txbxContent>
                      </wps:txbx>
                      <wps:bodyPr wrap="square" upright="1"/>
                    </wps:wsp>
                  </a:graphicData>
                </a:graphic>
              </wp:anchor>
            </w:drawing>
          </mc:Choice>
          <mc:Fallback>
            <w:pict>
              <v:shape id="文本框 1096" o:spid="_x0000_s1026" o:spt="202" type="#_x0000_t202" style="position:absolute;left:0pt;margin-left:-9pt;margin-top:23.6pt;height:41.4pt;width:62.25pt;z-index:251958272;mso-width-relative:page;mso-height-relative:page;" filled="f" stroked="f" coordsize="21600,21600" o:gfxdata="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lRvMLtgAAAAKAQAADwAAAAAAAAABACAAAAAiAAAAZHJzL2Rvd25yZXYueG1sUEsB&#10;AhQAFAAAAAgAh07iQCbtela8AQAAYAMAAA4AAAAAAAAAAQAgAAAAJwEAAGRycy9lMm9Eb2MueG1s&#10;UEsFBgAAAAAGAAYAWQEAAFU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签订保密协议</w:t>
                      </w:r>
                    </w:p>
                  </w:txbxContent>
                </v:textbox>
              </v:shape>
            </w:pict>
          </mc:Fallback>
        </mc:AlternateContent>
      </w:r>
      <w:r>
        <w:rPr>
          <w:rFonts w:hint="eastAsia" w:ascii="仿宋" w:hAnsi="仿宋" w:eastAsia="仿宋" w:cs="仿宋"/>
          <w:b/>
          <w:bCs/>
          <w:color w:val="auto"/>
          <w:sz w:val="24"/>
          <w:szCs w:val="24"/>
          <w:highlight w:val="none"/>
          <w:lang w:eastAsia="zh-CN"/>
        </w:rPr>
        <w:t>99</w:t>
      </w:r>
      <w:r>
        <w:rPr>
          <w:rFonts w:ascii="仿宋" w:hAnsi="仿宋" w:eastAsia="仿宋" w:cs="仿宋"/>
          <w:b/>
          <w:bCs/>
          <w:color w:val="auto"/>
          <w:sz w:val="24"/>
          <w:szCs w:val="24"/>
          <w:highlight w:val="none"/>
          <w:lang w:eastAsia="zh-CN"/>
        </w:rPr>
        <w:t xml:space="preserve">.3  </w:t>
      </w:r>
      <w:r>
        <w:rPr>
          <w:rFonts w:ascii="仿宋" w:hAnsi="仿宋" w:eastAsia="仿宋" w:cs="仿宋"/>
          <w:b/>
          <w:bCs/>
          <w:color w:val="auto"/>
          <w:sz w:val="24"/>
          <w:szCs w:val="24"/>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应与履行本合同知悉保密信息的人员签订保密协议，并将其中一份及时提交给另一方当事人。合同双方当事人应以保护自身秘密的谨慎态度采取有效措施保护另一方当事人的保密信息，避免保密信息被不当公开或使用。合同任何一方当事人发现有第三方盗用或滥用另一方当事人保密信息的，应及时通知另一方当事人。</w:t>
      </w:r>
    </w:p>
    <w:p>
      <w:pPr>
        <w:spacing w:line="360" w:lineRule="auto"/>
        <w:rPr>
          <w:rFonts w:ascii="仿宋" w:hAnsi="仿宋" w:eastAsia="仿宋"/>
          <w:b/>
          <w:bCs/>
          <w:color w:val="auto"/>
          <w:highlight w:val="none"/>
          <w:lang w:eastAsia="zh-CN"/>
        </w:rPr>
      </w:pPr>
      <w:bookmarkStart w:id="1297" w:name="_Toc7344"/>
      <w:r>
        <w:rPr>
          <w:rFonts w:hint="eastAsia" w:ascii="仿宋" w:hAnsi="仿宋" w:eastAsia="仿宋" w:cs="仿宋"/>
          <w:b/>
          <w:bCs/>
          <w:color w:val="auto"/>
          <w:highlight w:val="none"/>
          <w:lang w:eastAsia="zh-CN"/>
        </w:rPr>
        <w:t>99</w:t>
      </w:r>
      <w:r>
        <w:rPr>
          <w:rFonts w:ascii="仿宋" w:hAnsi="仿宋" w:eastAsia="仿宋" w:cs="仿宋"/>
          <w:b/>
          <w:bCs/>
          <w:color w:val="auto"/>
          <w:highlight w:val="none"/>
          <w:lang w:eastAsia="zh-CN"/>
        </w:rPr>
        <w:t>.4</w:t>
      </w:r>
      <w:bookmarkEnd w:id="1297"/>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59296" behindDoc="0" locked="0" layoutInCell="1" allowOverlap="1">
                <wp:simplePos x="0" y="0"/>
                <wp:positionH relativeFrom="column">
                  <wp:posOffset>-114300</wp:posOffset>
                </wp:positionH>
                <wp:positionV relativeFrom="paragraph">
                  <wp:posOffset>65405</wp:posOffset>
                </wp:positionV>
                <wp:extent cx="803910" cy="777875"/>
                <wp:effectExtent l="0" t="0" r="0" b="0"/>
                <wp:wrapNone/>
                <wp:docPr id="294" name="文本框 1097"/>
                <wp:cNvGraphicFramePr/>
                <a:graphic xmlns:a="http://schemas.openxmlformats.org/drawingml/2006/main">
                  <a:graphicData uri="http://schemas.microsoft.com/office/word/2010/wordprocessingShape">
                    <wps:wsp>
                      <wps:cNvSpPr txBox="1"/>
                      <wps:spPr>
                        <a:xfrm>
                          <a:off x="0" y="0"/>
                          <a:ext cx="803910" cy="77787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配合政府要求并做好保密工作</w:t>
                            </w:r>
                          </w:p>
                        </w:txbxContent>
                      </wps:txbx>
                      <wps:bodyPr wrap="square" upright="1"/>
                    </wps:wsp>
                  </a:graphicData>
                </a:graphic>
              </wp:anchor>
            </w:drawing>
          </mc:Choice>
          <mc:Fallback>
            <w:pict>
              <v:shape id="文本框 1097" o:spid="_x0000_s1026" o:spt="202" type="#_x0000_t202" style="position:absolute;left:0pt;margin-left:-9pt;margin-top:5.15pt;height:61.25pt;width:63.3pt;z-index:251959296;mso-width-relative:page;mso-height-relative:page;" filled="f" stroked="f" coordsize="21600,21600" o:gfxdata="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P+rtOnXAAAACgEAAA8AAAAAAAAAAQAgAAAAIgAAAGRycy9kb3ducmV2LnhtbFBLAQIU&#10;ABQAAAAIAIdO4kDbPPf0uwEAAGA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配合政府要求并做好保密工作</w:t>
                      </w:r>
                    </w:p>
                  </w:txbxContent>
                </v:textbox>
              </v:shape>
            </w:pict>
          </mc:Fallback>
        </mc:AlternateContent>
      </w:r>
      <w:r>
        <w:rPr>
          <w:rFonts w:hint="eastAsia" w:ascii="仿宋" w:hAnsi="仿宋" w:eastAsia="仿宋" w:cs="仿宋"/>
          <w:color w:val="auto"/>
          <w:highlight w:val="none"/>
          <w:lang w:eastAsia="zh-CN"/>
        </w:rPr>
        <w:t>如果法律或政府执法、监督管理等有要求，合同双方当事人应予配合和支持，并提供需要的保密信息。需提供另一方当事人保密信息的，应立即书面通知另一方当事人，以便另一方当事人及时履行义务。若另一方当事人未能及时作出回应的，除依法应提供另一方当事人信息外，应积极维护另一方当事人合法权益。</w:t>
      </w:r>
    </w:p>
    <w:p>
      <w:pPr>
        <w:pStyle w:val="22"/>
        <w:adjustRightInd w:val="0"/>
        <w:snapToGrid w:val="0"/>
        <w:spacing w:line="360" w:lineRule="auto"/>
        <w:rPr>
          <w:rFonts w:ascii="仿宋" w:hAnsi="仿宋" w:eastAsia="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99</w:t>
      </w:r>
      <w:r>
        <w:rPr>
          <w:rFonts w:ascii="仿宋" w:hAnsi="仿宋" w:eastAsia="仿宋" w:cs="仿宋"/>
          <w:b/>
          <w:bCs/>
          <w:color w:val="auto"/>
          <w:sz w:val="24"/>
          <w:szCs w:val="24"/>
          <w:highlight w:val="none"/>
          <w:lang w:eastAsia="zh-CN"/>
        </w:rPr>
        <w:t xml:space="preserve">.5  </w:t>
      </w:r>
      <w:r>
        <w:rPr>
          <w:rFonts w:ascii="仿宋" w:hAnsi="仿宋" w:eastAsia="仿宋" w:cs="仿宋"/>
          <w:b/>
          <w:bCs/>
          <w:color w:val="auto"/>
          <w:sz w:val="24"/>
          <w:szCs w:val="24"/>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rPr>
      </w:pPr>
      <w:r>
        <w:rPr>
          <w:color w:val="auto"/>
          <w:highlight w:val="none"/>
        </w:rPr>
        <mc:AlternateContent>
          <mc:Choice Requires="wps">
            <w:drawing>
              <wp:anchor distT="0" distB="0" distL="114300" distR="114300" simplePos="0" relativeHeight="251960320" behindDoc="0" locked="0" layoutInCell="1" allowOverlap="1">
                <wp:simplePos x="0" y="0"/>
                <wp:positionH relativeFrom="column">
                  <wp:posOffset>-114300</wp:posOffset>
                </wp:positionH>
                <wp:positionV relativeFrom="paragraph">
                  <wp:posOffset>22225</wp:posOffset>
                </wp:positionV>
                <wp:extent cx="804545" cy="663575"/>
                <wp:effectExtent l="0" t="0" r="0" b="0"/>
                <wp:wrapNone/>
                <wp:docPr id="295" name="文本框 1098"/>
                <wp:cNvGraphicFramePr/>
                <a:graphic xmlns:a="http://schemas.openxmlformats.org/drawingml/2006/main">
                  <a:graphicData uri="http://schemas.microsoft.com/office/word/2010/wordprocessingShape">
                    <wps:wsp>
                      <wps:cNvSpPr txBox="1"/>
                      <wps:spPr>
                        <a:xfrm>
                          <a:off x="0" y="0"/>
                          <a:ext cx="804545" cy="66357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书面说明保密程度</w:t>
                            </w:r>
                          </w:p>
                        </w:txbxContent>
                      </wps:txbx>
                      <wps:bodyPr wrap="square" upright="1"/>
                    </wps:wsp>
                  </a:graphicData>
                </a:graphic>
              </wp:anchor>
            </w:drawing>
          </mc:Choice>
          <mc:Fallback>
            <w:pict>
              <v:shape id="文本框 1098" o:spid="_x0000_s1026" o:spt="202" type="#_x0000_t202" style="position:absolute;left:0pt;margin-left:-9pt;margin-top:1.75pt;height:52.25pt;width:63.35pt;z-index:251960320;mso-width-relative:page;mso-height-relative:page;" filled="f" stroked="f" coordsize="21600,21600" o:gfxdata="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7wypU1QAAAAkBAAAPAAAAAAAAAAEAIAAAACIAAABkcnMvZG93bnJldi54bWxQSwECFAAU&#10;AAAACACHTuJAAopzHbsBAABgAwAADgAAAAAAAAABACAAAAAk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书面说明保密程度</w:t>
                      </w:r>
                    </w:p>
                  </w:txbxContent>
                </v:textbox>
              </v:shape>
            </w:pict>
          </mc:Fallback>
        </mc:AlternateContent>
      </w:r>
      <w:r>
        <w:rPr>
          <w:rFonts w:hint="eastAsia" w:ascii="仿宋" w:hAnsi="仿宋" w:eastAsia="仿宋" w:cs="仿宋"/>
          <w:color w:val="auto"/>
          <w:highlight w:val="none"/>
          <w:lang w:eastAsia="zh-CN"/>
        </w:rPr>
        <w:t>保密信息应由提供方以书面形式说明保密程度；以口头形式提供的，则提供方应在提供后</w:t>
      </w:r>
      <w:r>
        <w:rPr>
          <w:rFonts w:ascii="仿宋" w:hAnsi="仿宋" w:eastAsia="仿宋" w:cs="仿宋"/>
          <w:color w:val="auto"/>
          <w:highlight w:val="none"/>
          <w:lang w:eastAsia="zh-CN"/>
        </w:rPr>
        <w:t>28</w:t>
      </w:r>
      <w:r>
        <w:rPr>
          <w:rFonts w:hint="eastAsia" w:ascii="仿宋" w:hAnsi="仿宋" w:eastAsia="仿宋" w:cs="仿宋"/>
          <w:color w:val="auto"/>
          <w:highlight w:val="none"/>
          <w:lang w:eastAsia="zh-CN"/>
        </w:rPr>
        <w:t>天内以书面形式予以确认。保密信息不但包括合同双方当事人确认的信息，还包括与工程材料和工程设备、价格、工程设计、图纸、技术、工艺和财务等相关信息。</w:t>
      </w:r>
      <w:r>
        <w:rPr>
          <w:rFonts w:hint="eastAsia" w:ascii="仿宋" w:hAnsi="仿宋" w:eastAsia="仿宋" w:cs="仿宋"/>
          <w:color w:val="auto"/>
          <w:highlight w:val="none"/>
        </w:rPr>
        <w:t>但不包括下述信息：</w:t>
      </w:r>
    </w:p>
    <w:p>
      <w:pPr>
        <w:pStyle w:val="22"/>
        <w:widowControl w:val="0"/>
        <w:numPr>
          <w:ilvl w:val="0"/>
          <w:numId w:val="30"/>
        </w:numPr>
        <w:snapToGrid w:val="0"/>
        <w:spacing w:line="360" w:lineRule="auto"/>
        <w:ind w:left="1850" w:leftChars="771" w:firstLine="0"/>
        <w:jc w:val="both"/>
        <w:rPr>
          <w:rFonts w:ascii="仿宋" w:hAnsi="仿宋" w:eastAsia="仿宋"/>
          <w:color w:val="auto"/>
          <w:sz w:val="24"/>
          <w:szCs w:val="24"/>
          <w:highlight w:val="none"/>
          <w:lang w:eastAsia="zh-CN"/>
        </w:rPr>
      </w:pPr>
      <w:bookmarkStart w:id="1298" w:name="_Toc3104"/>
      <w:r>
        <w:rPr>
          <w:rFonts w:hint="eastAsia" w:ascii="仿宋" w:hAnsi="仿宋" w:eastAsia="仿宋" w:cs="仿宋"/>
          <w:color w:val="auto"/>
          <w:sz w:val="24"/>
          <w:szCs w:val="24"/>
          <w:highlight w:val="none"/>
          <w:lang w:eastAsia="zh-CN"/>
        </w:rPr>
        <w:t>提供前已由合同双方当事人所持有的；</w:t>
      </w:r>
      <w:bookmarkEnd w:id="1298"/>
    </w:p>
    <w:p>
      <w:pPr>
        <w:pStyle w:val="22"/>
        <w:widowControl w:val="0"/>
        <w:numPr>
          <w:ilvl w:val="0"/>
          <w:numId w:val="30"/>
        </w:numPr>
        <w:snapToGrid w:val="0"/>
        <w:spacing w:line="360" w:lineRule="auto"/>
        <w:ind w:left="1850" w:leftChars="771" w:firstLine="0"/>
        <w:jc w:val="both"/>
        <w:rPr>
          <w:rFonts w:ascii="仿宋" w:hAnsi="仿宋" w:eastAsia="仿宋" w:cs="仿宋"/>
          <w:color w:val="auto"/>
          <w:sz w:val="24"/>
          <w:szCs w:val="24"/>
          <w:highlight w:val="none"/>
          <w:lang w:eastAsia="zh-CN"/>
        </w:rPr>
      </w:pPr>
      <w:bookmarkStart w:id="1299" w:name="_Toc11051"/>
      <w:r>
        <w:rPr>
          <w:rFonts w:hint="eastAsia" w:ascii="仿宋" w:hAnsi="仿宋" w:eastAsia="仿宋" w:cs="仿宋"/>
          <w:color w:val="auto"/>
          <w:sz w:val="24"/>
          <w:szCs w:val="24"/>
          <w:highlight w:val="none"/>
          <w:lang w:eastAsia="zh-CN"/>
        </w:rPr>
        <w:t>已公开发表或非对方当事人原因向公众公开的；</w:t>
      </w:r>
      <w:bookmarkEnd w:id="1299"/>
    </w:p>
    <w:p>
      <w:pPr>
        <w:pStyle w:val="22"/>
        <w:widowControl w:val="0"/>
        <w:numPr>
          <w:ilvl w:val="0"/>
          <w:numId w:val="30"/>
        </w:numPr>
        <w:snapToGrid w:val="0"/>
        <w:spacing w:line="360" w:lineRule="auto"/>
        <w:ind w:left="1850" w:leftChars="771" w:firstLine="0"/>
        <w:jc w:val="both"/>
        <w:rPr>
          <w:rFonts w:ascii="仿宋" w:hAnsi="仿宋" w:eastAsia="仿宋" w:cs="仿宋"/>
          <w:color w:val="auto"/>
          <w:sz w:val="24"/>
          <w:szCs w:val="24"/>
          <w:highlight w:val="none"/>
          <w:lang w:eastAsia="zh-CN"/>
        </w:rPr>
      </w:pPr>
      <w:bookmarkStart w:id="1300" w:name="_Toc21480"/>
      <w:r>
        <w:rPr>
          <w:rFonts w:hint="eastAsia" w:ascii="仿宋" w:hAnsi="仿宋" w:eastAsia="仿宋" w:cs="仿宋"/>
          <w:color w:val="auto"/>
          <w:sz w:val="24"/>
          <w:szCs w:val="24"/>
          <w:highlight w:val="none"/>
          <w:lang w:eastAsia="zh-CN"/>
        </w:rPr>
        <w:t>已由各相关方书面同意其公开的；</w:t>
      </w:r>
      <w:bookmarkEnd w:id="1300"/>
    </w:p>
    <w:p>
      <w:pPr>
        <w:pStyle w:val="22"/>
        <w:widowControl w:val="0"/>
        <w:numPr>
          <w:ilvl w:val="0"/>
          <w:numId w:val="30"/>
        </w:numPr>
        <w:snapToGrid w:val="0"/>
        <w:spacing w:line="360" w:lineRule="auto"/>
        <w:ind w:left="1850" w:leftChars="771" w:firstLine="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在未获取保密信息前由对方当事人独立开发的；</w:t>
      </w:r>
    </w:p>
    <w:p>
      <w:pPr>
        <w:pStyle w:val="22"/>
        <w:widowControl w:val="0"/>
        <w:numPr>
          <w:ilvl w:val="0"/>
          <w:numId w:val="30"/>
        </w:numPr>
        <w:snapToGrid w:val="0"/>
        <w:spacing w:line="360" w:lineRule="auto"/>
        <w:ind w:left="1850" w:leftChars="771" w:firstLine="0"/>
        <w:jc w:val="both"/>
        <w:rPr>
          <w:rFonts w:ascii="仿宋" w:hAnsi="仿宋" w:eastAsia="仿宋"/>
          <w:color w:val="auto"/>
          <w:sz w:val="24"/>
          <w:szCs w:val="24"/>
          <w:highlight w:val="none"/>
          <w:lang w:eastAsia="zh-CN"/>
        </w:rPr>
      </w:pPr>
      <w:bookmarkStart w:id="1301" w:name="_Toc7745"/>
      <w:r>
        <w:rPr>
          <w:rFonts w:hint="eastAsia" w:ascii="仿宋" w:hAnsi="仿宋" w:eastAsia="仿宋" w:cs="仿宋"/>
          <w:color w:val="auto"/>
          <w:sz w:val="24"/>
          <w:szCs w:val="24"/>
          <w:highlight w:val="none"/>
          <w:lang w:eastAsia="zh-CN"/>
        </w:rPr>
        <w:t>对方当事人从对保密信息不承担保密义务的第三方处合法获得的。</w:t>
      </w:r>
      <w:bookmarkEnd w:id="1301"/>
    </w:p>
    <w:p>
      <w:pPr>
        <w:pStyle w:val="22"/>
        <w:tabs>
          <w:tab w:val="left" w:pos="1620"/>
        </w:tabs>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302" w:name="_Toc7916"/>
      <w:bookmarkStart w:id="1303" w:name="_Toc24227"/>
      <w:bookmarkStart w:id="1304" w:name="_Toc30904"/>
      <w:bookmarkStart w:id="1305" w:name="_Toc469384077"/>
      <w:bookmarkStart w:id="1306" w:name="_Toc8252"/>
      <w:bookmarkStart w:id="1307" w:name="_Toc24522"/>
      <w:bookmarkStart w:id="1308" w:name="_Toc17758"/>
      <w:bookmarkStart w:id="1309" w:name="_Toc28809"/>
      <w:bookmarkStart w:id="1310" w:name="_Toc28431"/>
      <w:r>
        <w:rPr>
          <w:rFonts w:hint="eastAsia" w:ascii="仿宋" w:hAnsi="仿宋" w:eastAsia="仿宋" w:cs="仿宋"/>
          <w:bCs w:val="0"/>
          <w:color w:val="auto"/>
          <w:sz w:val="24"/>
          <w:szCs w:val="24"/>
          <w:highlight w:val="none"/>
          <w:lang w:eastAsia="zh-CN"/>
        </w:rPr>
        <w:t>100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 xml:space="preserve"> 廉政建设</w:t>
      </w:r>
      <w:bookmarkEnd w:id="1302"/>
      <w:bookmarkEnd w:id="1303"/>
      <w:bookmarkEnd w:id="1304"/>
      <w:bookmarkEnd w:id="1305"/>
      <w:bookmarkEnd w:id="1306"/>
      <w:bookmarkEnd w:id="1307"/>
      <w:bookmarkEnd w:id="1308"/>
      <w:bookmarkEnd w:id="1309"/>
      <w:bookmarkEnd w:id="1310"/>
    </w:p>
    <w:p>
      <w:pPr>
        <w:rPr>
          <w:rFonts w:ascii="仿宋" w:hAnsi="仿宋" w:eastAsia="仿宋" w:cs="仿宋"/>
          <w:b/>
          <w:bCs/>
          <w:color w:val="auto"/>
          <w:highlight w:val="none"/>
          <w:lang w:eastAsia="zh-CN"/>
        </w:rPr>
      </w:pPr>
      <w:bookmarkStart w:id="1311" w:name="_Toc13646"/>
      <w:r>
        <w:rPr>
          <w:rFonts w:hint="eastAsia" w:ascii="仿宋" w:hAnsi="仿宋" w:eastAsia="仿宋" w:cs="仿宋"/>
          <w:b/>
          <w:bCs/>
          <w:color w:val="auto"/>
          <w:highlight w:val="none"/>
          <w:lang w:eastAsia="zh-CN"/>
        </w:rPr>
        <w:t>100</w:t>
      </w:r>
      <w:r>
        <w:rPr>
          <w:rFonts w:ascii="仿宋" w:hAnsi="仿宋" w:eastAsia="仿宋" w:cs="仿宋"/>
          <w:b/>
          <w:bCs/>
          <w:color w:val="auto"/>
          <w:highlight w:val="none"/>
          <w:lang w:eastAsia="zh-CN"/>
        </w:rPr>
        <w:t>.1</w:t>
      </w:r>
      <w:bookmarkEnd w:id="1311"/>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61344" behindDoc="0" locked="0" layoutInCell="1" allowOverlap="1">
                <wp:simplePos x="0" y="0"/>
                <wp:positionH relativeFrom="column">
                  <wp:posOffset>-114300</wp:posOffset>
                </wp:positionH>
                <wp:positionV relativeFrom="paragraph">
                  <wp:posOffset>15875</wp:posOffset>
                </wp:positionV>
                <wp:extent cx="894080" cy="396240"/>
                <wp:effectExtent l="0" t="0" r="0" b="0"/>
                <wp:wrapNone/>
                <wp:docPr id="296" name="文本框 1099"/>
                <wp:cNvGraphicFramePr/>
                <a:graphic xmlns:a="http://schemas.openxmlformats.org/drawingml/2006/main">
                  <a:graphicData uri="http://schemas.microsoft.com/office/word/2010/wordprocessingShape">
                    <wps:wsp>
                      <wps:cNvSpPr txBox="1"/>
                      <wps:spPr>
                        <a:xfrm>
                          <a:off x="0" y="0"/>
                          <a:ext cx="894080" cy="39624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廉政建设</w:t>
                            </w:r>
                          </w:p>
                        </w:txbxContent>
                      </wps:txbx>
                      <wps:bodyPr wrap="square" upright="1"/>
                    </wps:wsp>
                  </a:graphicData>
                </a:graphic>
              </wp:anchor>
            </w:drawing>
          </mc:Choice>
          <mc:Fallback>
            <w:pict>
              <v:shape id="文本框 1099" o:spid="_x0000_s1026" o:spt="202" type="#_x0000_t202" style="position:absolute;left:0pt;margin-left:-9pt;margin-top:1.25pt;height:31.2pt;width:70.4pt;z-index:251961344;mso-width-relative:page;mso-height-relative:page;" filled="f" stroked="f" coordsize="21600,21600" o:gfxdata="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Dx7aW01QAAAAgBAAAPAAAAAAAAAAEAIAAAACIAAABkcnMvZG93bnJldi54bWxQSwECFAAU&#10;AAAACACHTuJANV5sS7sBAABgAwAADgAAAAAAAAABACAAAAAkAQAAZHJzL2Uyb0RvYy54bWxQSwUG&#10;AAAAAAYABgBZAQAAUQU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廉政建设</w:t>
                      </w:r>
                    </w:p>
                  </w:txbxContent>
                </v:textbox>
              </v:shape>
            </w:pict>
          </mc:Fallback>
        </mc:AlternateContent>
      </w:r>
      <w:r>
        <w:rPr>
          <w:rFonts w:hint="eastAsia" w:ascii="仿宋" w:hAnsi="仿宋" w:eastAsia="仿宋" w:cs="仿宋"/>
          <w:color w:val="auto"/>
          <w:highlight w:val="none"/>
          <w:lang w:eastAsia="zh-CN"/>
        </w:rPr>
        <w:t>合同双方当事人在签订本合同时，应同时签订廉政合同，作为本合同的附件。合同双方当事人在合同履行期间应遵守有关廉政方面的规定和要求，禁止任何腐败行为。</w:t>
      </w:r>
    </w:p>
    <w:p>
      <w:pPr>
        <w:pStyle w:val="22"/>
        <w:adjustRightInd w:val="0"/>
        <w:snapToGrid w:val="0"/>
        <w:spacing w:line="360" w:lineRule="auto"/>
        <w:rPr>
          <w:rFonts w:ascii="仿宋" w:hAnsi="仿宋" w:eastAsia="仿宋" w:cs="仿宋"/>
          <w:b/>
          <w:bCs/>
          <w:color w:val="auto"/>
          <w:sz w:val="24"/>
          <w:szCs w:val="24"/>
          <w:highlight w:val="none"/>
          <w:u w:val="dotted"/>
          <w:lang w:eastAsia="zh-CN"/>
        </w:rPr>
      </w:pPr>
      <w:r>
        <w:rPr>
          <w:rFonts w:hint="eastAsia" w:ascii="仿宋" w:hAnsi="仿宋" w:eastAsia="仿宋" w:cs="仿宋"/>
          <w:b/>
          <w:bCs/>
          <w:color w:val="auto"/>
          <w:sz w:val="24"/>
          <w:szCs w:val="24"/>
          <w:highlight w:val="none"/>
          <w:lang w:eastAsia="zh-CN"/>
        </w:rPr>
        <w:t>100</w:t>
      </w:r>
      <w:r>
        <w:rPr>
          <w:rFonts w:ascii="仿宋" w:hAnsi="仿宋" w:eastAsia="仿宋" w:cs="仿宋"/>
          <w:b/>
          <w:bCs/>
          <w:color w:val="auto"/>
          <w:sz w:val="24"/>
          <w:szCs w:val="24"/>
          <w:highlight w:val="none"/>
          <w:lang w:eastAsia="zh-CN"/>
        </w:rPr>
        <w:t xml:space="preserve">.2  </w:t>
      </w:r>
      <w:r>
        <w:rPr>
          <w:rFonts w:ascii="仿宋" w:hAnsi="仿宋" w:eastAsia="仿宋" w:cs="仿宋"/>
          <w:b/>
          <w:bCs/>
          <w:color w:val="auto"/>
          <w:sz w:val="24"/>
          <w:szCs w:val="24"/>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62368" behindDoc="0" locked="0" layoutInCell="1" allowOverlap="1">
                <wp:simplePos x="0" y="0"/>
                <wp:positionH relativeFrom="column">
                  <wp:posOffset>-114300</wp:posOffset>
                </wp:positionH>
                <wp:positionV relativeFrom="paragraph">
                  <wp:posOffset>53975</wp:posOffset>
                </wp:positionV>
                <wp:extent cx="807720" cy="408940"/>
                <wp:effectExtent l="0" t="0" r="0" b="0"/>
                <wp:wrapNone/>
                <wp:docPr id="297" name="文本框 1100"/>
                <wp:cNvGraphicFramePr/>
                <a:graphic xmlns:a="http://schemas.openxmlformats.org/drawingml/2006/main">
                  <a:graphicData uri="http://schemas.microsoft.com/office/word/2010/wordprocessingShape">
                    <wps:wsp>
                      <wps:cNvSpPr txBox="1"/>
                      <wps:spPr>
                        <a:xfrm>
                          <a:off x="0" y="0"/>
                          <a:ext cx="807720" cy="40894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违反责任</w:t>
                            </w:r>
                          </w:p>
                        </w:txbxContent>
                      </wps:txbx>
                      <wps:bodyPr wrap="square" upright="1"/>
                    </wps:wsp>
                  </a:graphicData>
                </a:graphic>
              </wp:anchor>
            </w:drawing>
          </mc:Choice>
          <mc:Fallback>
            <w:pict>
              <v:shape id="文本框 1100" o:spid="_x0000_s1026" o:spt="202" type="#_x0000_t202" style="position:absolute;left:0pt;margin-left:-9pt;margin-top:4.25pt;height:32.2pt;width:63.6pt;z-index:251962368;mso-width-relative:page;mso-height-relative:page;" filled="f" stroked="f" coordsize="21600,21600" o:gfxdata="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NMuPf9YAAAAIAQAADwAAAAAAAAABACAAAAAiAAAAZHJzL2Rvd25yZXYueG1sUEsBAhQAFAAA&#10;AAgAh07iQBYrjuG4AQAAYAMAAA4AAAAAAAAAAQAgAAAAJQEAAGRycy9lMm9Eb2MueG1sUEsFBgAA&#10;AAAGAAYAWQEAAE8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违反责任</w:t>
                      </w:r>
                    </w:p>
                  </w:txbxContent>
                </v:textbox>
              </v:shape>
            </w:pict>
          </mc:Fallback>
        </mc:AlternateContent>
      </w:r>
      <w:r>
        <w:rPr>
          <w:rFonts w:hint="eastAsia" w:ascii="仿宋" w:hAnsi="仿宋" w:eastAsia="仿宋" w:cs="仿宋"/>
          <w:color w:val="auto"/>
          <w:highlight w:val="none"/>
          <w:lang w:eastAsia="zh-CN"/>
        </w:rPr>
        <w:t>如果承包人违反廉政建设有关规定，采用不正当手段，贿赂或变相贿赂了包括监理工程师、造价工程师在内的发包人工作人员，以求获得或已获得不当利益的，则发包人除保留追究其工作人员责任外，因承包人上述行为造成发包人损失或工程损害的，承包人应予赔偿，并承担相应的法律责任。发包人有权按照第92</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款约定解除合同，并按照第93</w:t>
      </w: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款约定办理合同解除的支付。</w:t>
      </w:r>
    </w:p>
    <w:p>
      <w:pPr>
        <w:pStyle w:val="22"/>
        <w:adjustRightInd w:val="0"/>
        <w:snapToGrid w:val="0"/>
        <w:spacing w:line="36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312" w:name="_Toc31187"/>
      <w:bookmarkStart w:id="1313" w:name="_Toc469384078"/>
      <w:bookmarkStart w:id="1314" w:name="_Toc2202"/>
      <w:bookmarkStart w:id="1315" w:name="_Toc26291"/>
      <w:bookmarkStart w:id="1316" w:name="_Toc28569"/>
      <w:bookmarkStart w:id="1317" w:name="_Toc14245"/>
      <w:bookmarkStart w:id="1318" w:name="_Toc24631"/>
      <w:bookmarkStart w:id="1319" w:name="_Toc27270"/>
      <w:bookmarkStart w:id="1320" w:name="_Toc4340"/>
      <w:r>
        <w:rPr>
          <w:rFonts w:hint="eastAsia" w:ascii="仿宋" w:hAnsi="仿宋" w:eastAsia="仿宋" w:cs="仿宋"/>
          <w:bCs w:val="0"/>
          <w:color w:val="auto"/>
          <w:sz w:val="24"/>
          <w:szCs w:val="24"/>
          <w:highlight w:val="none"/>
          <w:lang w:eastAsia="zh-CN"/>
        </w:rPr>
        <w:t>101</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禁止转让</w:t>
      </w:r>
      <w:bookmarkEnd w:id="1312"/>
      <w:bookmarkEnd w:id="1313"/>
      <w:bookmarkEnd w:id="1314"/>
      <w:bookmarkEnd w:id="1315"/>
      <w:bookmarkEnd w:id="1316"/>
      <w:bookmarkEnd w:id="1317"/>
      <w:bookmarkEnd w:id="1318"/>
      <w:bookmarkEnd w:id="1319"/>
      <w:bookmarkEnd w:id="1320"/>
    </w:p>
    <w:p>
      <w:pPr>
        <w:pStyle w:val="22"/>
        <w:adjustRightInd w:val="0"/>
        <w:snapToGrid w:val="0"/>
        <w:spacing w:line="360" w:lineRule="auto"/>
        <w:rPr>
          <w:rFonts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101</w:t>
      </w:r>
      <w:r>
        <w:rPr>
          <w:rFonts w:ascii="仿宋" w:hAnsi="仿宋" w:eastAsia="仿宋" w:cs="仿宋"/>
          <w:b/>
          <w:bCs/>
          <w:color w:val="auto"/>
          <w:sz w:val="24"/>
          <w:szCs w:val="24"/>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63392" behindDoc="0" locked="0" layoutInCell="1" allowOverlap="1">
                <wp:simplePos x="0" y="0"/>
                <wp:positionH relativeFrom="column">
                  <wp:posOffset>-114300</wp:posOffset>
                </wp:positionH>
                <wp:positionV relativeFrom="paragraph">
                  <wp:posOffset>15875</wp:posOffset>
                </wp:positionV>
                <wp:extent cx="883920" cy="357505"/>
                <wp:effectExtent l="0" t="0" r="0" b="0"/>
                <wp:wrapNone/>
                <wp:docPr id="298" name="文本框 1101"/>
                <wp:cNvGraphicFramePr/>
                <a:graphic xmlns:a="http://schemas.openxmlformats.org/drawingml/2006/main">
                  <a:graphicData uri="http://schemas.microsoft.com/office/word/2010/wordprocessingShape">
                    <wps:wsp>
                      <wps:cNvSpPr txBox="1"/>
                      <wps:spPr>
                        <a:xfrm>
                          <a:off x="0" y="0"/>
                          <a:ext cx="883920" cy="357505"/>
                        </a:xfrm>
                        <a:prstGeom prst="rect">
                          <a:avLst/>
                        </a:prstGeom>
                        <a:noFill/>
                        <a:ln>
                          <a:noFill/>
                        </a:ln>
                      </wps:spPr>
                      <wps:txbx>
                        <w:txbxContent>
                          <w:p>
                            <w:pPr>
                              <w:spacing w:line="240" w:lineRule="exact"/>
                              <w:rPr>
                                <w:rFonts w:ascii="宋体"/>
                                <w:b/>
                                <w:bCs/>
                                <w:sz w:val="18"/>
                                <w:szCs w:val="18"/>
                              </w:rPr>
                            </w:pPr>
                            <w:r>
                              <w:rPr>
                                <w:rFonts w:hint="eastAsia" w:ascii="楷体_GB2312" w:hAnsi="宋体" w:eastAsia="楷体_GB2312" w:cs="楷体_GB2312"/>
                                <w:b/>
                                <w:bCs/>
                                <w:sz w:val="18"/>
                                <w:szCs w:val="18"/>
                              </w:rPr>
                              <w:t>履行合同</w:t>
                            </w:r>
                          </w:p>
                        </w:txbxContent>
                      </wps:txbx>
                      <wps:bodyPr wrap="square" upright="1"/>
                    </wps:wsp>
                  </a:graphicData>
                </a:graphic>
              </wp:anchor>
            </w:drawing>
          </mc:Choice>
          <mc:Fallback>
            <w:pict>
              <v:shape id="文本框 1101" o:spid="_x0000_s1026" o:spt="202" type="#_x0000_t202" style="position:absolute;left:0pt;margin-left:-9pt;margin-top:1.25pt;height:28.15pt;width:69.6pt;z-index:251963392;mso-width-relative:page;mso-height-relative:page;" filled="f" stroked="f" coordsize="21600,21600" o:gfxdata="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ONSvW1gAAAAgBAAAPAAAAAAAAAAEAIAAAACIAAABkcnMvZG93bnJldi54bWxQSwECFAAU&#10;AAAACACHTuJA8DenKboBAABgAwAADgAAAAAAAAABACAAAAAlAQAAZHJzL2Uyb0RvYy54bWxQSwUG&#10;AAAAAAYABgBZAQAAUQUAAAAA&#10;">
                <v:fill on="f" focussize="0,0"/>
                <v:stroke on="f"/>
                <v:imagedata o:title=""/>
                <o:lock v:ext="edit" aspectratio="f"/>
                <v:textbox>
                  <w:txbxContent>
                    <w:p>
                      <w:pPr>
                        <w:spacing w:line="240" w:lineRule="exact"/>
                        <w:rPr>
                          <w:rFonts w:ascii="宋体"/>
                          <w:b/>
                          <w:bCs/>
                          <w:sz w:val="18"/>
                          <w:szCs w:val="18"/>
                        </w:rPr>
                      </w:pPr>
                      <w:r>
                        <w:rPr>
                          <w:rFonts w:hint="eastAsia" w:ascii="楷体_GB2312" w:hAnsi="宋体" w:eastAsia="楷体_GB2312" w:cs="楷体_GB2312"/>
                          <w:b/>
                          <w:bCs/>
                          <w:sz w:val="18"/>
                          <w:szCs w:val="18"/>
                        </w:rPr>
                        <w:t>履行合同</w:t>
                      </w:r>
                    </w:p>
                  </w:txbxContent>
                </v:textbox>
              </v:shape>
            </w:pict>
          </mc:Fallback>
        </mc:AlternateContent>
      </w:r>
      <w:r>
        <w:rPr>
          <w:rFonts w:hint="eastAsia" w:ascii="仿宋" w:hAnsi="仿宋" w:eastAsia="仿宋" w:cs="仿宋"/>
          <w:color w:val="auto"/>
          <w:highlight w:val="none"/>
          <w:lang w:eastAsia="zh-CN"/>
        </w:rPr>
        <w:t>本合同一经签署，合同双方当事人均应按照本合同约定行使各自的权利、履行各自的义务。</w:t>
      </w:r>
    </w:p>
    <w:p>
      <w:pPr>
        <w:spacing w:line="360" w:lineRule="auto"/>
        <w:rPr>
          <w:rFonts w:ascii="仿宋" w:hAnsi="仿宋" w:eastAsia="仿宋" w:cs="仿宋"/>
          <w:b/>
          <w:bCs/>
          <w:color w:val="auto"/>
          <w:highlight w:val="none"/>
          <w:u w:val="dotted"/>
          <w:lang w:eastAsia="zh-CN"/>
        </w:rPr>
      </w:pPr>
      <w:bookmarkStart w:id="1321" w:name="_Toc8900"/>
      <w:r>
        <w:rPr>
          <w:rFonts w:hint="eastAsia" w:ascii="仿宋" w:hAnsi="仿宋" w:eastAsia="仿宋" w:cs="仿宋"/>
          <w:b/>
          <w:bCs/>
          <w:color w:val="auto"/>
          <w:highlight w:val="none"/>
          <w:lang w:eastAsia="zh-CN"/>
        </w:rPr>
        <w:t>101</w:t>
      </w:r>
      <w:r>
        <w:rPr>
          <w:rFonts w:ascii="仿宋" w:hAnsi="仿宋" w:eastAsia="仿宋" w:cs="仿宋"/>
          <w:b/>
          <w:bCs/>
          <w:color w:val="auto"/>
          <w:highlight w:val="none"/>
          <w:lang w:eastAsia="zh-CN"/>
        </w:rPr>
        <w:t>.2</w:t>
      </w:r>
      <w:bookmarkEnd w:id="132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64416" behindDoc="0" locked="0" layoutInCell="1" allowOverlap="1">
                <wp:simplePos x="0" y="0"/>
                <wp:positionH relativeFrom="column">
                  <wp:posOffset>-114300</wp:posOffset>
                </wp:positionH>
                <wp:positionV relativeFrom="paragraph">
                  <wp:posOffset>98425</wp:posOffset>
                </wp:positionV>
                <wp:extent cx="760095" cy="424180"/>
                <wp:effectExtent l="0" t="0" r="0" b="0"/>
                <wp:wrapNone/>
                <wp:docPr id="299" name="文本框 1102"/>
                <wp:cNvGraphicFramePr/>
                <a:graphic xmlns:a="http://schemas.openxmlformats.org/drawingml/2006/main">
                  <a:graphicData uri="http://schemas.microsoft.com/office/word/2010/wordprocessingShape">
                    <wps:wsp>
                      <wps:cNvSpPr txBox="1"/>
                      <wps:spPr>
                        <a:xfrm>
                          <a:off x="0" y="0"/>
                          <a:ext cx="760095" cy="42418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不得转让</w:t>
                            </w:r>
                          </w:p>
                        </w:txbxContent>
                      </wps:txbx>
                      <wps:bodyPr wrap="square" upright="1"/>
                    </wps:wsp>
                  </a:graphicData>
                </a:graphic>
              </wp:anchor>
            </w:drawing>
          </mc:Choice>
          <mc:Fallback>
            <w:pict>
              <v:shape id="文本框 1102" o:spid="_x0000_s1026" o:spt="202" type="#_x0000_t202" style="position:absolute;left:0pt;margin-left:-9pt;margin-top:7.75pt;height:33.4pt;width:59.85pt;z-index:251964416;mso-width-relative:page;mso-height-relative:page;" filled="f" stroked="f" coordsize="21600,21600" o:gfxdata="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MMYsmXWAAAACQEAAA8AAAAAAAAAAQAgAAAAIgAAAGRycy9kb3ducmV2LnhtbFBLAQIU&#10;ABQAAAAIAIdO4kAKPYsGvAEAAGADAAAOAAAAAAAAAAEAIAAAACU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不得转让</w:t>
                      </w:r>
                    </w:p>
                  </w:txbxContent>
                </v:textbox>
              </v:shape>
            </w:pict>
          </mc:Fallback>
        </mc:AlternateContent>
      </w:r>
      <w:r>
        <w:rPr>
          <w:rFonts w:hint="eastAsia" w:ascii="仿宋" w:hAnsi="仿宋" w:eastAsia="仿宋" w:cs="仿宋"/>
          <w:color w:val="auto"/>
          <w:highlight w:val="none"/>
          <w:lang w:eastAsia="zh-CN"/>
        </w:rPr>
        <w:t>除合同另有约定外，未经另一方当事人同意，合同一方当事人不得将本合同的全部或部分权利、义务转让给第三方。</w:t>
      </w:r>
    </w:p>
    <w:p>
      <w:pPr>
        <w:pStyle w:val="22"/>
        <w:adjustRightInd w:val="0"/>
        <w:snapToGrid w:val="0"/>
        <w:spacing w:line="480" w:lineRule="auto"/>
        <w:rPr>
          <w:rFonts w:ascii="仿宋" w:hAnsi="仿宋" w:eastAsia="仿宋"/>
          <w:b/>
          <w:bCs/>
          <w:color w:val="auto"/>
          <w:sz w:val="24"/>
          <w:szCs w:val="24"/>
          <w:highlight w:val="non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322" w:name="_Toc8960"/>
      <w:bookmarkStart w:id="1323" w:name="_Toc29401"/>
      <w:bookmarkStart w:id="1324" w:name="_Toc469384079"/>
      <w:bookmarkStart w:id="1325" w:name="_Toc13057"/>
      <w:bookmarkStart w:id="1326" w:name="_Toc21826"/>
      <w:bookmarkStart w:id="1327" w:name="_Toc29663"/>
      <w:bookmarkStart w:id="1328" w:name="_Toc23418"/>
      <w:bookmarkStart w:id="1329" w:name="_Toc445"/>
      <w:bookmarkStart w:id="1330" w:name="_Toc5757"/>
      <w:r>
        <w:rPr>
          <w:rFonts w:hint="eastAsia" w:ascii="仿宋" w:hAnsi="仿宋" w:eastAsia="仿宋" w:cs="仿宋"/>
          <w:bCs w:val="0"/>
          <w:color w:val="auto"/>
          <w:sz w:val="24"/>
          <w:szCs w:val="24"/>
          <w:highlight w:val="none"/>
          <w:lang w:eastAsia="zh-CN"/>
        </w:rPr>
        <w:t>102</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合同份数</w:t>
      </w:r>
      <w:bookmarkEnd w:id="1322"/>
      <w:bookmarkEnd w:id="1323"/>
      <w:bookmarkEnd w:id="1324"/>
      <w:bookmarkEnd w:id="1325"/>
      <w:bookmarkEnd w:id="1326"/>
      <w:bookmarkEnd w:id="1327"/>
      <w:bookmarkEnd w:id="1328"/>
      <w:bookmarkEnd w:id="1329"/>
      <w:bookmarkEnd w:id="1330"/>
    </w:p>
    <w:p>
      <w:pPr>
        <w:pStyle w:val="22"/>
        <w:adjustRightInd w:val="0"/>
        <w:snapToGrid w:val="0"/>
        <w:spacing w:line="360" w:lineRule="auto"/>
        <w:ind w:left="1312" w:hanging="1312" w:hangingChars="656"/>
        <w:rPr>
          <w:rFonts w:ascii="仿宋" w:hAnsi="仿宋" w:eastAsia="仿宋" w:cs="仿宋"/>
          <w:b/>
          <w:bCs/>
          <w:color w:val="auto"/>
          <w:sz w:val="24"/>
          <w:szCs w:val="24"/>
          <w:highlight w:val="none"/>
          <w:lang w:eastAsia="zh-CN"/>
        </w:rPr>
      </w:pPr>
      <w:r>
        <w:rPr>
          <w:color w:val="auto"/>
          <w:highlight w:val="none"/>
        </w:rPr>
        <mc:AlternateContent>
          <mc:Choice Requires="wps">
            <w:drawing>
              <wp:anchor distT="0" distB="0" distL="114300" distR="114300" simplePos="0" relativeHeight="252075008" behindDoc="0" locked="0" layoutInCell="1" allowOverlap="1">
                <wp:simplePos x="0" y="0"/>
                <wp:positionH relativeFrom="column">
                  <wp:posOffset>-66675</wp:posOffset>
                </wp:positionH>
                <wp:positionV relativeFrom="paragraph">
                  <wp:posOffset>273685</wp:posOffset>
                </wp:positionV>
                <wp:extent cx="775970" cy="439420"/>
                <wp:effectExtent l="0" t="0" r="0" b="0"/>
                <wp:wrapNone/>
                <wp:docPr id="407" name="文本框 1103"/>
                <wp:cNvGraphicFramePr/>
                <a:graphic xmlns:a="http://schemas.openxmlformats.org/drawingml/2006/main">
                  <a:graphicData uri="http://schemas.microsoft.com/office/word/2010/wordprocessingShape">
                    <wps:wsp>
                      <wps:cNvSpPr txBox="1"/>
                      <wps:spPr>
                        <a:xfrm>
                          <a:off x="0" y="0"/>
                          <a:ext cx="775970" cy="43942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约定提供合同文本</w:t>
                            </w:r>
                          </w:p>
                        </w:txbxContent>
                      </wps:txbx>
                      <wps:bodyPr wrap="square" upright="1"/>
                    </wps:wsp>
                  </a:graphicData>
                </a:graphic>
              </wp:anchor>
            </w:drawing>
          </mc:Choice>
          <mc:Fallback>
            <w:pict>
              <v:shape id="文本框 1103" o:spid="_x0000_s1026" o:spt="202" type="#_x0000_t202" style="position:absolute;left:0pt;margin-left:-5.25pt;margin-top:21.55pt;height:34.6pt;width:61.1pt;z-index:252075008;mso-width-relative:page;mso-height-relative:page;" filled="f" stroked="f" coordsize="21600,21600" o:gfxdata="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zGvfZ9YAAAAKAQAADwAAAAAAAAABACAAAAAiAAAAZHJzL2Rvd25yZXYueG1sUEsBAhQA&#10;FAAAAAgAh07iQLECl+W7AQAAYAMAAA4AAAAAAAAAAQAgAAAAJQEAAGRycy9lMm9Eb2MueG1sUEsF&#10;BgAAAAAGAAYAWQEAAFI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约定提供合同文本</w:t>
                      </w:r>
                    </w:p>
                  </w:txbxContent>
                </v:textbox>
              </v:shape>
            </w:pict>
          </mc:Fallback>
        </mc:AlternateContent>
      </w:r>
      <w:r>
        <w:rPr>
          <w:rFonts w:hint="eastAsia" w:ascii="仿宋" w:hAnsi="仿宋" w:eastAsia="仿宋" w:cs="仿宋"/>
          <w:b/>
          <w:bCs/>
          <w:color w:val="auto"/>
          <w:sz w:val="24"/>
          <w:szCs w:val="24"/>
          <w:highlight w:val="none"/>
          <w:lang w:eastAsia="zh-CN"/>
        </w:rPr>
        <w:t>102</w:t>
      </w:r>
      <w:r>
        <w:rPr>
          <w:rFonts w:ascii="仿宋" w:hAnsi="仿宋" w:eastAsia="仿宋" w:cs="仿宋"/>
          <w:b/>
          <w:bCs/>
          <w:color w:val="auto"/>
          <w:sz w:val="24"/>
          <w:szCs w:val="24"/>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除合同专用条款另有约定外，发包人应按照第102</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款约定的份数免费为承包人提供合同文本。</w:t>
      </w:r>
    </w:p>
    <w:p>
      <w:pPr>
        <w:spacing w:line="360" w:lineRule="auto"/>
        <w:rPr>
          <w:rFonts w:ascii="仿宋" w:hAnsi="仿宋" w:eastAsia="仿宋"/>
          <w:color w:val="auto"/>
          <w:highlight w:val="none"/>
          <w:lang w:eastAsia="zh-CN"/>
        </w:rPr>
      </w:pPr>
      <w:bookmarkStart w:id="1331" w:name="_Toc21966"/>
      <w:r>
        <w:rPr>
          <w:rFonts w:hint="eastAsia" w:ascii="仿宋" w:hAnsi="仿宋" w:eastAsia="仿宋" w:cs="仿宋"/>
          <w:b/>
          <w:bCs/>
          <w:color w:val="auto"/>
          <w:highlight w:val="none"/>
          <w:lang w:eastAsia="zh-CN"/>
        </w:rPr>
        <w:t>102</w:t>
      </w:r>
      <w:r>
        <w:rPr>
          <w:rFonts w:ascii="仿宋" w:hAnsi="仿宋" w:eastAsia="仿宋" w:cs="仿宋"/>
          <w:b/>
          <w:bCs/>
          <w:color w:val="auto"/>
          <w:highlight w:val="none"/>
          <w:lang w:eastAsia="zh-CN"/>
        </w:rPr>
        <w:t>.2</w:t>
      </w:r>
      <w:bookmarkEnd w:id="1331"/>
      <w:r>
        <w:rPr>
          <w:rFonts w:ascii="仿宋" w:hAnsi="仿宋" w:eastAsia="仿宋" w:cs="仿宋"/>
          <w:b/>
          <w:bCs/>
          <w:color w:val="auto"/>
          <w:highlight w:val="none"/>
          <w:lang w:eastAsia="zh-CN"/>
        </w:rPr>
        <w:t xml:space="preserve">  </w:t>
      </w:r>
      <w:r>
        <w:rPr>
          <w:rFonts w:ascii="仿宋" w:hAnsi="仿宋" w:eastAsia="仿宋" w:cs="仿宋"/>
          <w:b/>
          <w:bCs/>
          <w:color w:val="auto"/>
          <w:highlight w:val="none"/>
          <w:u w:val="dotted"/>
          <w:lang w:eastAsia="zh-CN"/>
        </w:rPr>
        <w:t xml:space="preserve"> </w:t>
      </w:r>
      <w:r>
        <w:rPr>
          <w:rFonts w:ascii="仿宋" w:hAnsi="仿宋" w:eastAsia="仿宋" w:cs="仿宋"/>
          <w:color w:val="auto"/>
          <w:highlight w:val="none"/>
          <w:u w:val="dotted"/>
          <w:lang w:eastAsia="zh-CN"/>
        </w:rPr>
        <w:t xml:space="preserve">                                                                              </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color w:val="auto"/>
          <w:highlight w:val="none"/>
        </w:rPr>
        <mc:AlternateContent>
          <mc:Choice Requires="wps">
            <w:drawing>
              <wp:anchor distT="0" distB="0" distL="114300" distR="114300" simplePos="0" relativeHeight="251965440" behindDoc="0" locked="0" layoutInCell="1" allowOverlap="1">
                <wp:simplePos x="0" y="0"/>
                <wp:positionH relativeFrom="column">
                  <wp:posOffset>-114300</wp:posOffset>
                </wp:positionH>
                <wp:positionV relativeFrom="paragraph">
                  <wp:posOffset>8255</wp:posOffset>
                </wp:positionV>
                <wp:extent cx="788670" cy="502285"/>
                <wp:effectExtent l="0" t="0" r="0" b="0"/>
                <wp:wrapNone/>
                <wp:docPr id="300" name="文本框 1104"/>
                <wp:cNvGraphicFramePr/>
                <a:graphic xmlns:a="http://schemas.openxmlformats.org/drawingml/2006/main">
                  <a:graphicData uri="http://schemas.microsoft.com/office/word/2010/wordprocessingShape">
                    <wps:wsp>
                      <wps:cNvSpPr txBox="1"/>
                      <wps:spPr>
                        <a:xfrm>
                          <a:off x="0" y="0"/>
                          <a:ext cx="788670" cy="502285"/>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正副本效力</w:t>
                            </w:r>
                          </w:p>
                        </w:txbxContent>
                      </wps:txbx>
                      <wps:bodyPr wrap="square" upright="1"/>
                    </wps:wsp>
                  </a:graphicData>
                </a:graphic>
              </wp:anchor>
            </w:drawing>
          </mc:Choice>
          <mc:Fallback>
            <w:pict>
              <v:shape id="文本框 1104" o:spid="_x0000_s1026" o:spt="202" type="#_x0000_t202" style="position:absolute;left:0pt;margin-left:-9pt;margin-top:0.65pt;height:39.55pt;width:62.1pt;z-index:251965440;mso-width-relative:page;mso-height-relative:page;" filled="f" stroked="f" coordsize="21600,21600" o:gfxdata="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j/RPUtUAAAAIAQAADwAAAAAAAAABACAAAAAiAAAAZHJzL2Rvd25yZXYueG1sUEsBAhQAFAAA&#10;AAgAh07iQFJK6I+5AQAAYAMAAA4AAAAAAAAAAQAgAAAAJAEAAGRycy9lMm9Eb2MueG1sUEsFBgAA&#10;AAAGAAYAWQEAAE8FA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正副本效力</w:t>
                      </w:r>
                    </w:p>
                  </w:txbxContent>
                </v:textbox>
              </v:shape>
            </w:pict>
          </mc:Fallback>
        </mc:AlternateContent>
      </w:r>
      <w:r>
        <w:rPr>
          <w:rFonts w:hint="eastAsia" w:ascii="仿宋" w:hAnsi="仿宋" w:eastAsia="仿宋" w:cs="仿宋"/>
          <w:color w:val="auto"/>
          <w:highlight w:val="none"/>
          <w:lang w:eastAsia="zh-CN"/>
        </w:rPr>
        <w:t>本合同正、副本份数，由合同双方当事人根据需要在专用条款中约定。正本与副本具有同等效力，当正本与副本不一致时，以正本为准。</w:t>
      </w:r>
    </w:p>
    <w:p>
      <w:pPr>
        <w:pStyle w:val="22"/>
        <w:adjustRightInd w:val="0"/>
        <w:snapToGrid w:val="0"/>
        <w:spacing w:line="480" w:lineRule="auto"/>
        <w:rPr>
          <w:rFonts w:ascii="仿宋" w:hAnsi="仿宋" w:eastAsia="仿宋" w:cs="仿宋"/>
          <w:b/>
          <w:bCs/>
          <w:color w:val="auto"/>
          <w:sz w:val="24"/>
          <w:szCs w:val="24"/>
          <w:highlight w:val="none"/>
          <w:u w:val="single"/>
          <w:lang w:eastAsia="zh-CN"/>
        </w:rPr>
      </w:pPr>
      <w:r>
        <w:rPr>
          <w:rFonts w:ascii="仿宋" w:hAnsi="仿宋" w:eastAsia="仿宋" w:cs="仿宋"/>
          <w:b/>
          <w:bCs/>
          <w:color w:val="auto"/>
          <w:sz w:val="24"/>
          <w:szCs w:val="24"/>
          <w:highlight w:val="none"/>
          <w:u w:val="single"/>
          <w:lang w:eastAsia="zh-CN"/>
        </w:rPr>
        <w:t xml:space="preserve">                                                         </w:t>
      </w:r>
      <w:r>
        <w:rPr>
          <w:rFonts w:hint="eastAsia" w:ascii="仿宋" w:hAnsi="仿宋" w:eastAsia="仿宋" w:cs="仿宋"/>
          <w:b/>
          <w:bCs/>
          <w:color w:val="auto"/>
          <w:sz w:val="24"/>
          <w:szCs w:val="24"/>
          <w:highlight w:val="none"/>
          <w:u w:val="single"/>
          <w:lang w:eastAsia="zh-CN"/>
        </w:rPr>
        <w:t xml:space="preserve">   </w:t>
      </w:r>
      <w:r>
        <w:rPr>
          <w:rFonts w:ascii="仿宋" w:hAnsi="仿宋" w:eastAsia="仿宋" w:cs="仿宋"/>
          <w:b/>
          <w:bCs/>
          <w:color w:val="auto"/>
          <w:sz w:val="24"/>
          <w:szCs w:val="24"/>
          <w:highlight w:val="none"/>
          <w:u w:val="single"/>
          <w:lang w:eastAsia="zh-CN"/>
        </w:rPr>
        <w:t xml:space="preserve">                        </w:t>
      </w:r>
    </w:p>
    <w:p>
      <w:pPr>
        <w:pStyle w:val="5"/>
        <w:tabs>
          <w:tab w:val="left" w:pos="420"/>
        </w:tabs>
        <w:spacing w:before="120" w:beforeLines="50" w:after="120" w:afterLines="50" w:line="360" w:lineRule="auto"/>
        <w:rPr>
          <w:rFonts w:ascii="仿宋" w:hAnsi="仿宋" w:eastAsia="仿宋" w:cs="仿宋"/>
          <w:bCs w:val="0"/>
          <w:color w:val="auto"/>
          <w:sz w:val="24"/>
          <w:szCs w:val="24"/>
          <w:highlight w:val="none"/>
          <w:lang w:eastAsia="zh-CN"/>
        </w:rPr>
      </w:pPr>
      <w:bookmarkStart w:id="1332" w:name="_Toc469384080"/>
      <w:bookmarkStart w:id="1333" w:name="_Toc19793"/>
      <w:bookmarkStart w:id="1334" w:name="_Toc25279"/>
      <w:bookmarkStart w:id="1335" w:name="_Toc8431"/>
      <w:bookmarkStart w:id="1336" w:name="_Toc22335"/>
      <w:bookmarkStart w:id="1337" w:name="_Toc20977"/>
      <w:bookmarkStart w:id="1338" w:name="_Toc26304"/>
      <w:bookmarkStart w:id="1339" w:name="_Toc29471"/>
      <w:bookmarkStart w:id="1340" w:name="_Toc14288"/>
      <w:r>
        <w:rPr>
          <w:rFonts w:hint="eastAsia" w:ascii="仿宋" w:hAnsi="仿宋" w:eastAsia="仿宋" w:cs="仿宋"/>
          <w:bCs w:val="0"/>
          <w:color w:val="auto"/>
          <w:sz w:val="24"/>
          <w:szCs w:val="24"/>
          <w:highlight w:val="none"/>
          <w:lang w:eastAsia="zh-CN"/>
        </w:rPr>
        <w:t>103</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w:t>
      </w:r>
      <w:bookmarkEnd w:id="1332"/>
      <w:r>
        <w:rPr>
          <w:rFonts w:hint="eastAsia" w:ascii="仿宋" w:hAnsi="仿宋" w:eastAsia="仿宋" w:cs="仿宋"/>
          <w:bCs w:val="0"/>
          <w:color w:val="auto"/>
          <w:sz w:val="24"/>
          <w:szCs w:val="24"/>
          <w:highlight w:val="none"/>
          <w:lang w:eastAsia="zh-CN"/>
        </w:rPr>
        <w:t>管理</w:t>
      </w:r>
      <w:bookmarkEnd w:id="1333"/>
      <w:bookmarkEnd w:id="1334"/>
      <w:bookmarkEnd w:id="1335"/>
      <w:bookmarkEnd w:id="1336"/>
      <w:bookmarkEnd w:id="1337"/>
      <w:bookmarkEnd w:id="1338"/>
      <w:bookmarkEnd w:id="1339"/>
      <w:bookmarkEnd w:id="1340"/>
    </w:p>
    <w:p>
      <w:pPr>
        <w:pStyle w:val="22"/>
        <w:adjustRightInd w:val="0"/>
        <w:snapToGrid w:val="0"/>
        <w:spacing w:line="360" w:lineRule="auto"/>
        <w:rPr>
          <w:rFonts w:ascii="仿宋" w:hAnsi="仿宋" w:eastAsia="仿宋"/>
          <w:b/>
          <w:bCs/>
          <w:color w:val="auto"/>
          <w:sz w:val="24"/>
          <w:szCs w:val="24"/>
          <w:highlight w:val="none"/>
          <w:lang w:eastAsia="zh-CN"/>
        </w:rPr>
      </w:pPr>
      <w:r>
        <w:rPr>
          <w:color w:val="auto"/>
          <w:highlight w:val="none"/>
        </w:rPr>
        <mc:AlternateContent>
          <mc:Choice Requires="wps">
            <w:drawing>
              <wp:anchor distT="0" distB="0" distL="114300" distR="114300" simplePos="0" relativeHeight="252076032" behindDoc="0" locked="0" layoutInCell="1" allowOverlap="1">
                <wp:simplePos x="0" y="0"/>
                <wp:positionH relativeFrom="column">
                  <wp:posOffset>-114300</wp:posOffset>
                </wp:positionH>
                <wp:positionV relativeFrom="paragraph">
                  <wp:posOffset>208915</wp:posOffset>
                </wp:positionV>
                <wp:extent cx="796925" cy="361950"/>
                <wp:effectExtent l="0" t="0" r="0" b="0"/>
                <wp:wrapNone/>
                <wp:docPr id="408" name="文本框 1105"/>
                <wp:cNvGraphicFramePr/>
                <a:graphic xmlns:a="http://schemas.openxmlformats.org/drawingml/2006/main">
                  <a:graphicData uri="http://schemas.microsoft.com/office/word/2010/wordprocessingShape">
                    <wps:wsp>
                      <wps:cNvSpPr txBox="1"/>
                      <wps:spPr>
                        <a:xfrm>
                          <a:off x="0" y="0"/>
                          <a:ext cx="796925" cy="361950"/>
                        </a:xfrm>
                        <a:prstGeom prst="rect">
                          <a:avLst/>
                        </a:prstGeom>
                        <a:noFill/>
                        <a:ln>
                          <a:noFill/>
                        </a:ln>
                      </wps:spPr>
                      <wps:txb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合同管理</w:t>
                            </w:r>
                          </w:p>
                        </w:txbxContent>
                      </wps:txbx>
                      <wps:bodyPr wrap="square" upright="1"/>
                    </wps:wsp>
                  </a:graphicData>
                </a:graphic>
              </wp:anchor>
            </w:drawing>
          </mc:Choice>
          <mc:Fallback>
            <w:pict>
              <v:shape id="文本框 1105" o:spid="_x0000_s1026" o:spt="202" type="#_x0000_t202" style="position:absolute;left:0pt;margin-left:-9pt;margin-top:16.45pt;height:28.5pt;width:62.75pt;z-index:252076032;mso-width-relative:page;mso-height-relative:page;" filled="f" stroked="f" coordsize="21600,21600" o:gfxdata="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ODd007XAAAACQEAAA8AAAAAAAAAAQAgAAAAIgAAAGRycy9kb3ducmV2LnhtbFBLAQIU&#10;ABQAAAAIAIdO4kB2xqAtuwEAAGADAAAOAAAAAAAAAAEAIAAAACYBAABkcnMvZTJvRG9jLnhtbFBL&#10;BQYAAAAABgAGAFkBAABTBQAAAAA=&#10;">
                <v:fill on="f" focussize="0,0"/>
                <v:stroke on="f"/>
                <v:imagedata o:title=""/>
                <o:lock v:ext="edit" aspectratio="f"/>
                <v:textbox>
                  <w:txbxContent>
                    <w:p>
                      <w:pPr>
                        <w:spacing w:line="240" w:lineRule="exact"/>
                        <w:rPr>
                          <w:rFonts w:ascii="楷体_GB2312" w:hAnsi="宋体" w:eastAsia="楷体_GB2312"/>
                          <w:b/>
                          <w:bCs/>
                          <w:sz w:val="18"/>
                          <w:szCs w:val="18"/>
                        </w:rPr>
                      </w:pPr>
                      <w:r>
                        <w:rPr>
                          <w:rFonts w:hint="eastAsia" w:ascii="楷体_GB2312" w:hAnsi="宋体" w:eastAsia="楷体_GB2312" w:cs="楷体_GB2312"/>
                          <w:b/>
                          <w:bCs/>
                          <w:sz w:val="18"/>
                          <w:szCs w:val="18"/>
                        </w:rPr>
                        <w:t>合同管理</w:t>
                      </w:r>
                    </w:p>
                  </w:txbxContent>
                </v:textbox>
              </v:shape>
            </w:pict>
          </mc:Fallback>
        </mc:AlternateContent>
      </w:r>
      <w:r>
        <w:rPr>
          <w:rFonts w:hint="eastAsia" w:ascii="仿宋" w:hAnsi="仿宋" w:eastAsia="仿宋" w:cs="仿宋"/>
          <w:b/>
          <w:bCs/>
          <w:color w:val="auto"/>
          <w:sz w:val="24"/>
          <w:szCs w:val="24"/>
          <w:highlight w:val="none"/>
          <w:lang w:eastAsia="zh-CN"/>
        </w:rPr>
        <w:t>103</w:t>
      </w:r>
      <w:r>
        <w:rPr>
          <w:rFonts w:ascii="仿宋" w:hAnsi="仿宋" w:eastAsia="仿宋" w:cs="仿宋"/>
          <w:b/>
          <w:bCs/>
          <w:color w:val="auto"/>
          <w:sz w:val="24"/>
          <w:szCs w:val="24"/>
          <w:highlight w:val="none"/>
          <w:lang w:eastAsia="zh-CN"/>
        </w:rPr>
        <w:t>.1</w:t>
      </w:r>
    </w:p>
    <w:p>
      <w:pPr>
        <w:widowControl w:val="0"/>
        <w:adjustRightInd w:val="0"/>
        <w:snapToGrid w:val="0"/>
        <w:spacing w:line="360" w:lineRule="auto"/>
        <w:ind w:left="1850" w:leftChars="771"/>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合同双方当事人应按照第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5条至第</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9条的职责划分，督促各自人员认真履行合同管理职责，加强合同管理。</w:t>
      </w:r>
    </w:p>
    <w:p>
      <w:pPr>
        <w:widowControl w:val="0"/>
        <w:spacing w:line="360" w:lineRule="auto"/>
        <w:ind w:left="1850" w:leftChars="771"/>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涉及国有资金</w:t>
      </w:r>
      <w:r>
        <w:rPr>
          <w:rFonts w:hint="eastAsia" w:ascii="仿宋" w:hAnsi="仿宋" w:eastAsia="仿宋"/>
          <w:color w:val="auto"/>
          <w:highlight w:val="none"/>
          <w:lang w:eastAsia="zh-CN"/>
        </w:rPr>
        <w:t>投资</w:t>
      </w:r>
      <w:r>
        <w:rPr>
          <w:rFonts w:hint="eastAsia" w:ascii="仿宋" w:hAnsi="仿宋" w:eastAsia="仿宋" w:cs="仿宋"/>
          <w:color w:val="auto"/>
          <w:highlight w:val="none"/>
          <w:lang w:eastAsia="zh-CN"/>
        </w:rPr>
        <w:t>的工程，建设行政主管部门应依据建设行政主管部门存档合同实施合同监督管理；合同双方当事人应随时接受执法人员对本合同的监督管理，并为监督管理活动提供配合和协助。</w:t>
      </w:r>
    </w:p>
    <w:p>
      <w:pPr>
        <w:spacing w:line="360" w:lineRule="auto"/>
        <w:rPr>
          <w:rFonts w:ascii="仿宋" w:hAnsi="仿宋" w:eastAsia="仿宋" w:cs="仿宋"/>
          <w:b/>
          <w:bCs/>
          <w:color w:val="auto"/>
          <w:highlight w:val="none"/>
          <w:u w:val="single"/>
          <w:lang w:eastAsia="zh-CN"/>
        </w:rPr>
      </w:pPr>
      <w:r>
        <w:rPr>
          <w:rFonts w:ascii="仿宋" w:hAnsi="仿宋" w:eastAsia="仿宋" w:cs="仿宋"/>
          <w:b/>
          <w:bCs/>
          <w:color w:val="auto"/>
          <w:highlight w:val="none"/>
          <w:u w:val="single"/>
          <w:lang w:eastAsia="zh-CN"/>
        </w:rPr>
        <w:t xml:space="preserve">                                                         </w:t>
      </w:r>
      <w:r>
        <w:rPr>
          <w:rFonts w:hint="eastAsia" w:ascii="仿宋" w:hAnsi="仿宋" w:eastAsia="仿宋" w:cs="仿宋"/>
          <w:b/>
          <w:bCs/>
          <w:color w:val="auto"/>
          <w:highlight w:val="none"/>
          <w:u w:val="single"/>
          <w:lang w:eastAsia="zh-CN"/>
        </w:rPr>
        <w:t xml:space="preserve">   </w:t>
      </w:r>
      <w:r>
        <w:rPr>
          <w:rFonts w:ascii="仿宋" w:hAnsi="仿宋" w:eastAsia="仿宋" w:cs="仿宋"/>
          <w:b/>
          <w:bCs/>
          <w:color w:val="auto"/>
          <w:highlight w:val="none"/>
          <w:u w:val="single"/>
          <w:lang w:eastAsia="zh-CN"/>
        </w:rPr>
        <w:t xml:space="preserve">                        </w:t>
      </w:r>
    </w:p>
    <w:p>
      <w:pPr>
        <w:spacing w:line="360" w:lineRule="auto"/>
        <w:rPr>
          <w:rFonts w:ascii="仿宋" w:hAnsi="仿宋" w:eastAsia="仿宋" w:cs="仿宋"/>
          <w:b/>
          <w:bCs/>
          <w:color w:val="auto"/>
          <w:highlight w:val="none"/>
          <w:u w:val="single"/>
          <w:lang w:eastAsia="zh-CN"/>
        </w:rPr>
      </w:pPr>
    </w:p>
    <w:p>
      <w:pPr>
        <w:spacing w:line="360" w:lineRule="auto"/>
        <w:rPr>
          <w:color w:val="auto"/>
          <w:highlight w:val="none"/>
          <w:lang w:eastAsia="zh-CN"/>
        </w:rPr>
        <w:sectPr>
          <w:endnotePr>
            <w:numFmt w:val="decimal"/>
          </w:endnotePr>
          <w:pgSz w:w="11905" w:h="16838"/>
          <w:pgMar w:top="850" w:right="1701" w:bottom="850" w:left="1701" w:header="0" w:footer="283" w:gutter="0"/>
          <w:cols w:space="720" w:num="1"/>
        </w:sectPr>
      </w:pPr>
    </w:p>
    <w:bookmarkEnd w:id="230"/>
    <w:p>
      <w:pPr>
        <w:pStyle w:val="3"/>
        <w:tabs>
          <w:tab w:val="left" w:pos="420"/>
        </w:tabs>
        <w:ind w:left="494" w:leftChars="206" w:firstLine="176" w:firstLineChars="49"/>
        <w:jc w:val="center"/>
        <w:rPr>
          <w:rFonts w:hAnsi="宋体"/>
          <w:b w:val="0"/>
          <w:bCs w:val="0"/>
          <w:color w:val="auto"/>
          <w:sz w:val="36"/>
          <w:szCs w:val="36"/>
          <w:highlight w:val="none"/>
          <w:lang w:eastAsia="zh-CN"/>
        </w:rPr>
      </w:pPr>
      <w:bookmarkStart w:id="1341" w:name="_Toc26156"/>
      <w:bookmarkStart w:id="1342" w:name="_Toc23522"/>
      <w:bookmarkStart w:id="1343" w:name="_Toc2751"/>
      <w:bookmarkStart w:id="1344" w:name="_Toc8304"/>
      <w:bookmarkStart w:id="1345" w:name="_Toc28519"/>
      <w:bookmarkStart w:id="1346" w:name="_Toc30607"/>
      <w:bookmarkStart w:id="1347" w:name="_Toc23125"/>
      <w:bookmarkStart w:id="1348" w:name="_Toc9671"/>
      <w:bookmarkStart w:id="1349" w:name="_Toc469384081"/>
      <w:r>
        <w:rPr>
          <w:rFonts w:hint="eastAsia" w:hAnsi="宋体"/>
          <w:b w:val="0"/>
          <w:bCs w:val="0"/>
          <w:color w:val="auto"/>
          <w:sz w:val="36"/>
          <w:szCs w:val="36"/>
          <w:highlight w:val="none"/>
          <w:lang w:eastAsia="zh-CN"/>
        </w:rPr>
        <w:t>第三部分  专用条款</w:t>
      </w:r>
      <w:bookmarkEnd w:id="1341"/>
      <w:bookmarkEnd w:id="1342"/>
      <w:bookmarkEnd w:id="1343"/>
      <w:bookmarkEnd w:id="1344"/>
      <w:bookmarkEnd w:id="1345"/>
      <w:bookmarkEnd w:id="1346"/>
      <w:bookmarkEnd w:id="1347"/>
      <w:bookmarkEnd w:id="1348"/>
    </w:p>
    <w:p>
      <w:pPr>
        <w:jc w:val="center"/>
        <w:rPr>
          <w:rFonts w:ascii="宋体"/>
          <w:b/>
          <w:bCs/>
          <w:color w:val="auto"/>
          <w:highlight w:val="none"/>
          <w:lang w:eastAsia="zh-CN"/>
        </w:rPr>
      </w:pPr>
    </w:p>
    <w:p>
      <w:pPr>
        <w:pStyle w:val="4"/>
        <w:tabs>
          <w:tab w:val="left" w:pos="420"/>
        </w:tabs>
        <w:spacing w:line="360" w:lineRule="auto"/>
        <w:rPr>
          <w:rFonts w:ascii="仿宋" w:hAnsi="仿宋" w:eastAsia="仿宋"/>
          <w:b w:val="0"/>
          <w:bCs w:val="0"/>
          <w:color w:val="auto"/>
          <w:sz w:val="24"/>
          <w:szCs w:val="24"/>
          <w:highlight w:val="none"/>
          <w:lang w:eastAsia="zh-CN"/>
        </w:rPr>
      </w:pPr>
      <w:bookmarkStart w:id="1350" w:name="_Toc1405"/>
      <w:bookmarkStart w:id="1351" w:name="_Toc21846"/>
      <w:bookmarkStart w:id="1352" w:name="_Toc8207"/>
      <w:bookmarkStart w:id="1353" w:name="_Toc13205"/>
      <w:bookmarkStart w:id="1354" w:name="_Toc8150"/>
      <w:bookmarkStart w:id="1355" w:name="_Toc7926"/>
      <w:bookmarkStart w:id="1356" w:name="_Toc32351"/>
      <w:bookmarkStart w:id="1357" w:name="_Toc30300"/>
      <w:r>
        <w:rPr>
          <w:rFonts w:hint="eastAsia" w:ascii="仿宋" w:hAnsi="仿宋" w:eastAsia="仿宋" w:cs="仿宋"/>
          <w:b w:val="0"/>
          <w:bCs w:val="0"/>
          <w:color w:val="auto"/>
          <w:sz w:val="24"/>
          <w:szCs w:val="24"/>
          <w:highlight w:val="none"/>
          <w:lang w:eastAsia="zh-CN"/>
        </w:rPr>
        <w:t>1．  定义</w:t>
      </w:r>
      <w:bookmarkEnd w:id="1350"/>
      <w:bookmarkEnd w:id="1351"/>
      <w:bookmarkEnd w:id="1352"/>
      <w:bookmarkEnd w:id="1353"/>
      <w:bookmarkEnd w:id="1354"/>
      <w:bookmarkEnd w:id="1355"/>
      <w:bookmarkEnd w:id="1356"/>
      <w:bookmarkEnd w:id="1357"/>
    </w:p>
    <w:p>
      <w:pPr>
        <w:autoSpaceDE w:val="0"/>
        <w:autoSpaceDN w:val="0"/>
        <w:adjustRightInd w:val="0"/>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1.3.16利润：</w:t>
      </w:r>
    </w:p>
    <w:p>
      <w:pPr>
        <w:autoSpaceDE w:val="0"/>
        <w:autoSpaceDN w:val="0"/>
        <w:adjustRightInd w:val="0"/>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按通用条款执行</w:t>
      </w:r>
    </w:p>
    <w:p>
      <w:pPr>
        <w:autoSpaceDE w:val="0"/>
        <w:autoSpaceDN w:val="0"/>
        <w:adjustRightInd w:val="0"/>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本合同适用的利润百分比为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autoSpaceDE w:val="0"/>
        <w:autoSpaceDN w:val="0"/>
        <w:adjustRightInd w:val="0"/>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其他：</w:t>
      </w:r>
      <w:r>
        <w:rPr>
          <w:rFonts w:hint="eastAsia" w:ascii="仿宋" w:hAnsi="仿宋" w:eastAsia="仿宋" w:cs="仿宋"/>
          <w:color w:val="auto"/>
          <w:highlight w:val="none"/>
          <w:u w:val="single"/>
          <w:lang w:eastAsia="zh-CN"/>
        </w:rPr>
        <w:t>投标报价已考虑合理利润</w:t>
      </w:r>
    </w:p>
    <w:p>
      <w:pPr>
        <w:autoSpaceDE w:val="0"/>
        <w:autoSpaceDN w:val="0"/>
        <w:adjustRightInd w:val="0"/>
        <w:spacing w:line="360" w:lineRule="auto"/>
        <w:ind w:firstLine="240" w:firstLineChars="100"/>
        <w:rPr>
          <w:rFonts w:hint="eastAsia" w:ascii="仿宋" w:hAnsi="仿宋" w:eastAsia="仿宋" w:cs="仿宋"/>
          <w:color w:val="auto"/>
          <w:highlight w:val="none"/>
          <w:lang w:eastAsia="zh"/>
        </w:rPr>
      </w:pPr>
      <w:r>
        <w:rPr>
          <w:rFonts w:hint="eastAsia" w:ascii="仿宋" w:hAnsi="仿宋" w:eastAsia="仿宋" w:cs="仿宋"/>
          <w:color w:val="auto"/>
          <w:highlight w:val="none"/>
          <w:lang w:eastAsia="zh-CN"/>
        </w:rPr>
        <w:t>1.7.7基准日期：</w:t>
      </w:r>
      <w:r>
        <w:rPr>
          <w:rFonts w:hint="eastAsia" w:ascii="仿宋" w:hAnsi="仿宋" w:eastAsia="仿宋" w:cs="仿宋"/>
          <w:color w:val="auto"/>
          <w:highlight w:val="none"/>
          <w:lang w:eastAsia="zh"/>
        </w:rPr>
        <w:t>施工图预算采用的基准日期价格为第一次施工图审图合格证当月对应的信息价，比如第一次施工图审图合格证日期为2025年5月，则施工图预算采用的信息价为2025年5月份的信息价。若项目分期开发，施工图审图合同证的时间间隔超过6个月以上的，基准日期应分开计算。</w:t>
      </w:r>
    </w:p>
    <w:p>
      <w:pPr>
        <w:autoSpaceDE w:val="0"/>
        <w:autoSpaceDN w:val="0"/>
        <w:adjustRightInd w:val="0"/>
        <w:spacing w:line="360" w:lineRule="auto"/>
        <w:ind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1.10.7  所采用的书面形式包括： </w:t>
      </w:r>
    </w:p>
    <w:p>
      <w:pPr>
        <w:autoSpaceDE w:val="0"/>
        <w:autoSpaceDN w:val="0"/>
        <w:adjustRightInd w:val="0"/>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合同文件；</w:t>
      </w:r>
    </w:p>
    <w:p>
      <w:pPr>
        <w:autoSpaceDE w:val="0"/>
        <w:autoSpaceDN w:val="0"/>
        <w:adjustRightInd w:val="0"/>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信函；</w:t>
      </w:r>
    </w:p>
    <w:p>
      <w:pPr>
        <w:autoSpaceDE w:val="0"/>
        <w:autoSpaceDN w:val="0"/>
        <w:adjustRightInd w:val="0"/>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电报；</w:t>
      </w:r>
    </w:p>
    <w:p>
      <w:pPr>
        <w:autoSpaceDE w:val="0"/>
        <w:autoSpaceDN w:val="0"/>
        <w:adjustRightInd w:val="0"/>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传真；</w:t>
      </w:r>
    </w:p>
    <w:p>
      <w:pPr>
        <w:autoSpaceDE w:val="0"/>
        <w:autoSpaceDN w:val="0"/>
        <w:adjustRightInd w:val="0"/>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会议纪要；</w:t>
      </w:r>
    </w:p>
    <w:p>
      <w:pPr>
        <w:autoSpaceDE w:val="0"/>
        <w:autoSpaceDN w:val="0"/>
        <w:adjustRightInd w:val="0"/>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电子邮件；</w:t>
      </w:r>
    </w:p>
    <w:p>
      <w:pPr>
        <w:autoSpaceDE w:val="0"/>
        <w:autoSpaceDN w:val="0"/>
        <w:adjustRightInd w:val="0"/>
        <w:spacing w:line="360" w:lineRule="auto"/>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 其他：</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rFonts w:ascii="仿宋" w:hAnsi="仿宋" w:eastAsia="仿宋" w:cs="仿宋"/>
          <w:b w:val="0"/>
          <w:bCs w:val="0"/>
          <w:color w:val="auto"/>
          <w:sz w:val="24"/>
          <w:szCs w:val="24"/>
          <w:highlight w:val="none"/>
          <w:lang w:eastAsia="zh-CN"/>
        </w:rPr>
      </w:pPr>
      <w:bookmarkStart w:id="1358" w:name="_Toc15423"/>
      <w:bookmarkStart w:id="1359" w:name="_Toc3882"/>
      <w:bookmarkStart w:id="1360" w:name="_Toc31747"/>
      <w:bookmarkStart w:id="1361" w:name="_Toc6402"/>
      <w:bookmarkStart w:id="1362" w:name="_Toc5113"/>
      <w:bookmarkStart w:id="1363" w:name="_Toc17459"/>
      <w:bookmarkStart w:id="1364" w:name="_Toc22031"/>
      <w:bookmarkStart w:id="1365" w:name="_Toc3380"/>
      <w:r>
        <w:rPr>
          <w:rFonts w:hint="eastAsia" w:ascii="仿宋" w:hAnsi="仿宋" w:eastAsia="仿宋" w:cs="仿宋"/>
          <w:b w:val="0"/>
          <w:bCs w:val="0"/>
          <w:color w:val="auto"/>
          <w:sz w:val="24"/>
          <w:szCs w:val="24"/>
          <w:highlight w:val="none"/>
          <w:lang w:eastAsia="zh-CN"/>
        </w:rPr>
        <w:t>2．  合同文件及解释</w:t>
      </w:r>
      <w:bookmarkEnd w:id="1358"/>
      <w:bookmarkEnd w:id="1359"/>
      <w:bookmarkEnd w:id="1360"/>
      <w:bookmarkEnd w:id="1361"/>
      <w:bookmarkEnd w:id="1362"/>
      <w:bookmarkEnd w:id="1363"/>
      <w:bookmarkEnd w:id="1364"/>
      <w:bookmarkEnd w:id="1365"/>
    </w:p>
    <w:p>
      <w:pPr>
        <w:spacing w:line="360" w:lineRule="auto"/>
        <w:rPr>
          <w:rFonts w:ascii="仿宋" w:hAnsi="仿宋" w:eastAsia="仿宋" w:cs="仿宋"/>
          <w:b/>
          <w:bCs/>
          <w:color w:val="auto"/>
          <w:highlight w:val="none"/>
          <w:lang w:eastAsia="zh-CN"/>
        </w:rPr>
      </w:pPr>
      <w:bookmarkStart w:id="1366" w:name="_Toc20134"/>
      <w:r>
        <w:rPr>
          <w:rFonts w:hint="eastAsia" w:ascii="仿宋" w:hAnsi="仿宋" w:eastAsia="仿宋" w:cs="仿宋"/>
          <w:color w:val="auto"/>
          <w:highlight w:val="none"/>
          <w:lang w:eastAsia="zh-CN"/>
        </w:rPr>
        <w:t xml:space="preserve">2.2 </w:t>
      </w:r>
      <w:r>
        <w:rPr>
          <w:rFonts w:hint="eastAsia" w:ascii="仿宋" w:hAnsi="仿宋" w:eastAsia="仿宋" w:cs="仿宋"/>
          <w:b/>
          <w:bCs/>
          <w:color w:val="auto"/>
          <w:highlight w:val="none"/>
          <w:lang w:eastAsia="zh-CN"/>
        </w:rPr>
        <w:t>合同文件组成及优先顺序</w:t>
      </w:r>
      <w:bookmarkEnd w:id="1366"/>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《发包人要求》修改为《设计任务书》。</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组成合同的各项文件应互相解释，互为说明。解释合同文件的优先顺序如下：</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（1）合同协议书及补充协议；</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（2）中标通知书；</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（3）本合同专用条款；</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（4）投标函及其附件；</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（5）通用合同条款；</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（6）合同附件；</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（7）招标文件及其附件、招标答疑会议纪要等补充文件；</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（8）标准、规范及有关技术文件；</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（9）设计文件、资料和图纸；</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（10）工程量清单（若有）</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（11）双方约定构成合同组成部分的其它文件。</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双方在履行合同过程中形成的双方授权代表在其权限内签署的包括但不限于会议纪要、备忘录、补充文件、变更和洽商等书面形式的文件构成本合同的组成部分，归入到本条的第（11）项中。上述文件互相补充和解释，如有不明确或不一致之处，以合同约定次序在先者为准。通过上述顺序解释仍无法明确的事项，由发包人与承包人协商解决；如协商不成，由发包人按照公平合理和有利于本合同工程建设的原则作出决定，承包人应无条件执行。</w:t>
      </w:r>
    </w:p>
    <w:p>
      <w:pPr>
        <w:pStyle w:val="4"/>
        <w:tabs>
          <w:tab w:val="left" w:pos="420"/>
        </w:tabs>
        <w:spacing w:line="360" w:lineRule="auto"/>
        <w:rPr>
          <w:rFonts w:ascii="仿宋" w:hAnsi="仿宋" w:eastAsia="仿宋" w:cs="仿宋"/>
          <w:b w:val="0"/>
          <w:bCs w:val="0"/>
          <w:color w:val="auto"/>
          <w:sz w:val="24"/>
          <w:szCs w:val="24"/>
          <w:highlight w:val="none"/>
          <w:lang w:eastAsia="zh-CN"/>
        </w:rPr>
      </w:pPr>
      <w:bookmarkStart w:id="1367" w:name="_Toc22312"/>
      <w:bookmarkStart w:id="1368" w:name="_Toc15810"/>
      <w:bookmarkStart w:id="1369" w:name="_Toc22018"/>
      <w:bookmarkStart w:id="1370" w:name="_Toc4041"/>
      <w:bookmarkStart w:id="1371" w:name="_Toc9668"/>
      <w:bookmarkStart w:id="1372" w:name="_Toc18861"/>
      <w:bookmarkStart w:id="1373" w:name="_Toc19687"/>
      <w:bookmarkStart w:id="1374" w:name="_Toc18027"/>
      <w:r>
        <w:rPr>
          <w:rFonts w:hint="eastAsia" w:ascii="仿宋" w:hAnsi="仿宋" w:eastAsia="仿宋" w:cs="仿宋"/>
          <w:b w:val="0"/>
          <w:bCs w:val="0"/>
          <w:color w:val="auto"/>
          <w:sz w:val="24"/>
          <w:szCs w:val="24"/>
          <w:highlight w:val="none"/>
          <w:lang w:eastAsia="zh-CN"/>
        </w:rPr>
        <w:t>4．  语言及适用的法律、标准与规范</w:t>
      </w:r>
      <w:bookmarkEnd w:id="1367"/>
      <w:bookmarkEnd w:id="1368"/>
      <w:bookmarkEnd w:id="1369"/>
      <w:bookmarkEnd w:id="1370"/>
      <w:bookmarkEnd w:id="1371"/>
      <w:bookmarkEnd w:id="1372"/>
      <w:bookmarkEnd w:id="1373"/>
      <w:bookmarkEnd w:id="1374"/>
      <w:r>
        <w:rPr>
          <w:rFonts w:hint="eastAsia" w:ascii="仿宋" w:hAnsi="仿宋" w:eastAsia="仿宋" w:cs="仿宋"/>
          <w:b w:val="0"/>
          <w:bCs w:val="0"/>
          <w:color w:val="auto"/>
          <w:sz w:val="24"/>
          <w:szCs w:val="24"/>
          <w:highlight w:val="none"/>
          <w:lang w:eastAsia="zh-CN"/>
        </w:rPr>
        <w:t xml:space="preserve"> </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4.1 语言文字</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与合同有关的联络应使用的语言：</w:t>
      </w:r>
      <w:r>
        <w:rPr>
          <w:rFonts w:hint="eastAsia" w:ascii="仿宋" w:hAnsi="仿宋" w:eastAsia="仿宋" w:cs="仿宋"/>
          <w:color w:val="auto"/>
          <w:highlight w:val="none"/>
          <w:u w:val="single"/>
          <w:lang w:eastAsia="zh-CN"/>
        </w:rPr>
        <w:t>中国的汉语简体语言文字。</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4.2适用法律</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合同适用的其他规范性文件：</w:t>
      </w:r>
      <w:r>
        <w:rPr>
          <w:rFonts w:hint="eastAsia" w:ascii="仿宋" w:hAnsi="仿宋" w:eastAsia="仿宋" w:cs="仿宋"/>
          <w:color w:val="auto"/>
          <w:highlight w:val="none"/>
          <w:u w:val="single"/>
          <w:lang w:eastAsia="zh-CN"/>
        </w:rPr>
        <w:t>无</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4.3 适用标准与规范</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约定适用的标准、规范的名称：</w:t>
      </w:r>
      <w:r>
        <w:rPr>
          <w:rFonts w:hint="eastAsia" w:ascii="仿宋" w:hAnsi="仿宋" w:eastAsia="仿宋"/>
          <w:color w:val="auto"/>
          <w:highlight w:val="none"/>
          <w:u w:val="single"/>
          <w:lang w:eastAsia="zh-CN"/>
        </w:rPr>
        <w:t>(1)国家、行业、广东省、广州市现行有效的建设项目有关标准、规范及规定。(2)若现行标准、规范不能完全满足本工程施工需要的，由发包人根据本工程的具体情况并参照近期同类项目，组织或聘请专家进行编制、论证并制定配套标准、规范，且经发包人按照有关程序审批后执行。如果承包人需要对实施标准、规范进行研发试验的，或需对施工人员进行特殊培训的，费用已包含在投标报价中，发包人不另行支付。</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375" w:name="_Toc30357"/>
      <w:bookmarkStart w:id="1376" w:name="_Toc5183"/>
      <w:bookmarkStart w:id="1377" w:name="_Toc31534"/>
      <w:bookmarkStart w:id="1378" w:name="_Toc28740"/>
      <w:bookmarkStart w:id="1379" w:name="_Toc3300"/>
      <w:bookmarkStart w:id="1380" w:name="_Toc29211"/>
      <w:bookmarkStart w:id="1381" w:name="_Toc12461"/>
      <w:bookmarkStart w:id="1382" w:name="_Toc23826"/>
      <w:r>
        <w:rPr>
          <w:rFonts w:hint="eastAsia" w:ascii="仿宋" w:hAnsi="仿宋" w:eastAsia="仿宋" w:cs="仿宋"/>
          <w:b w:val="0"/>
          <w:bCs w:val="0"/>
          <w:color w:val="auto"/>
          <w:sz w:val="24"/>
          <w:szCs w:val="24"/>
          <w:highlight w:val="none"/>
          <w:lang w:eastAsia="zh-CN"/>
        </w:rPr>
        <w:t>5.  发包人要求</w:t>
      </w:r>
      <w:bookmarkEnd w:id="1375"/>
      <w:bookmarkEnd w:id="1376"/>
      <w:bookmarkEnd w:id="1377"/>
      <w:bookmarkEnd w:id="1378"/>
      <w:bookmarkEnd w:id="1379"/>
      <w:bookmarkEnd w:id="1380"/>
      <w:bookmarkEnd w:id="1381"/>
      <w:bookmarkEnd w:id="1382"/>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5.1 发包人要求的提供</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勘察要求：</w:t>
      </w:r>
    </w:p>
    <w:p>
      <w:pPr>
        <w:numPr>
          <w:ilvl w:val="0"/>
          <w:numId w:val="31"/>
        </w:numPr>
        <w:spacing w:line="360" w:lineRule="auto"/>
        <w:ind w:firstLine="840"/>
        <w:rPr>
          <w:rFonts w:ascii="仿宋" w:hAnsi="仿宋" w:eastAsia="仿宋"/>
          <w:color w:val="auto"/>
          <w:highlight w:val="none"/>
          <w:lang w:eastAsia="zh-CN"/>
        </w:rPr>
      </w:pPr>
      <w:r>
        <w:rPr>
          <w:rFonts w:hint="eastAsia" w:ascii="仿宋" w:hAnsi="仿宋" w:eastAsia="仿宋" w:cs="仿宋"/>
          <w:color w:val="auto"/>
          <w:highlight w:val="none"/>
          <w:lang w:eastAsia="zh-CN"/>
        </w:rPr>
        <w:t>提供的时间：</w:t>
      </w:r>
      <w:r>
        <w:rPr>
          <w:rFonts w:hint="eastAsia" w:ascii="仿宋" w:hAnsi="仿宋" w:eastAsia="仿宋" w:cs="仿宋"/>
          <w:color w:val="auto"/>
          <w:highlight w:val="none"/>
          <w:u w:val="single"/>
          <w:lang w:eastAsia="zh-CN"/>
        </w:rPr>
        <w:t xml:space="preserve">   中标通知书发放后7个日历天内   </w:t>
      </w:r>
    </w:p>
    <w:p>
      <w:pPr>
        <w:numPr>
          <w:ilvl w:val="0"/>
          <w:numId w:val="31"/>
        </w:numPr>
        <w:spacing w:line="360" w:lineRule="auto"/>
        <w:ind w:firstLine="84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提供的数量：</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1份</w:t>
      </w:r>
      <w:r>
        <w:rPr>
          <w:rFonts w:hint="eastAsia" w:ascii="仿宋" w:hAnsi="仿宋" w:eastAsia="仿宋" w:cs="仿宋"/>
          <w:color w:val="auto"/>
          <w:highlight w:val="none"/>
          <w:u w:val="single"/>
          <w:lang w:eastAsia="zh-CN"/>
        </w:rPr>
        <w:t xml:space="preserve">    </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初步设计与施工图设计要求（适用于可行性研究报告批准或备案后发包）： </w:t>
      </w:r>
    </w:p>
    <w:p>
      <w:pPr>
        <w:numPr>
          <w:ilvl w:val="0"/>
          <w:numId w:val="32"/>
        </w:num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提供的时间：</w:t>
      </w:r>
      <w:r>
        <w:rPr>
          <w:rFonts w:hint="eastAsia" w:ascii="仿宋" w:hAnsi="仿宋" w:eastAsia="仿宋" w:cs="仿宋"/>
          <w:color w:val="auto"/>
          <w:highlight w:val="none"/>
          <w:u w:val="single"/>
          <w:lang w:eastAsia="zh-CN"/>
        </w:rPr>
        <w:t xml:space="preserve"> /  </w:t>
      </w:r>
    </w:p>
    <w:p>
      <w:pPr>
        <w:numPr>
          <w:ilvl w:val="0"/>
          <w:numId w:val="32"/>
        </w:num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提供的数量：</w:t>
      </w:r>
      <w:r>
        <w:rPr>
          <w:rFonts w:hint="eastAsia" w:ascii="仿宋" w:hAnsi="仿宋" w:eastAsia="仿宋" w:cs="仿宋"/>
          <w:color w:val="auto"/>
          <w:highlight w:val="none"/>
          <w:u w:val="single"/>
          <w:lang w:eastAsia="zh-CN"/>
        </w:rPr>
        <w:t xml:space="preserve"> /  </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sym w:font="Wingdings 2" w:char="0052"/>
      </w:r>
      <w:r>
        <w:rPr>
          <w:rFonts w:hint="eastAsia" w:ascii="仿宋" w:hAnsi="仿宋" w:eastAsia="仿宋" w:cs="仿宋"/>
          <w:color w:val="auto"/>
          <w:highlight w:val="none"/>
          <w:lang w:eastAsia="zh-CN"/>
        </w:rPr>
        <w:t xml:space="preserve">  施工图设计要求（适用于初步设计批准或备案后发包）：</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中标通知书发放后</w:t>
      </w:r>
      <w:r>
        <w:rPr>
          <w:rFonts w:hint="eastAsia" w:ascii="仿宋" w:hAnsi="仿宋" w:eastAsia="仿宋" w:cs="仿宋"/>
          <w:color w:val="auto"/>
          <w:highlight w:val="none"/>
          <w:u w:val="single"/>
          <w:lang w:eastAsia="zh"/>
        </w:rPr>
        <w:t>7</w:t>
      </w:r>
      <w:r>
        <w:rPr>
          <w:rFonts w:hint="eastAsia" w:ascii="仿宋" w:hAnsi="仿宋" w:eastAsia="仿宋" w:cs="仿宋"/>
          <w:color w:val="auto"/>
          <w:highlight w:val="none"/>
          <w:u w:val="single"/>
          <w:lang w:eastAsia="zh-CN"/>
        </w:rPr>
        <w:t xml:space="preserve">个日历天内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②提供的数量：</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1份</w:t>
      </w:r>
      <w:r>
        <w:rPr>
          <w:rFonts w:hint="eastAsia" w:ascii="仿宋" w:hAnsi="仿宋" w:eastAsia="仿宋" w:cs="仿宋"/>
          <w:color w:val="auto"/>
          <w:highlight w:val="none"/>
          <w:u w:val="single"/>
          <w:lang w:eastAsia="zh-CN"/>
        </w:rPr>
        <w:t xml:space="preserve">    </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  建筑信息模型（BIM）技术应用要求：</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②提供的数量：</w:t>
      </w:r>
      <w:r>
        <w:rPr>
          <w:rFonts w:hint="eastAsia" w:ascii="仿宋" w:hAnsi="仿宋" w:eastAsia="仿宋" w:cs="仿宋"/>
          <w:color w:val="auto"/>
          <w:highlight w:val="none"/>
          <w:u w:val="single"/>
          <w:lang w:eastAsia="zh-CN"/>
        </w:rPr>
        <w:t xml:space="preserve">    /    </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设备及工器具购置要求：</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②提供的数量：</w:t>
      </w:r>
      <w:r>
        <w:rPr>
          <w:rFonts w:hint="eastAsia" w:ascii="仿宋" w:hAnsi="仿宋" w:eastAsia="仿宋" w:cs="仿宋"/>
          <w:color w:val="auto"/>
          <w:highlight w:val="none"/>
          <w:u w:val="single"/>
          <w:lang w:eastAsia="zh-CN"/>
        </w:rPr>
        <w:t xml:space="preserve">    /    </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发包人要求中不可变更内容的约定：</w:t>
      </w:r>
      <w:r>
        <w:rPr>
          <w:rFonts w:hint="eastAsia" w:ascii="仿宋" w:hAnsi="仿宋" w:eastAsia="仿宋" w:cs="仿宋"/>
          <w:color w:val="auto"/>
          <w:highlight w:val="none"/>
          <w:u w:val="single"/>
          <w:lang w:eastAsia="zh-CN"/>
        </w:rPr>
        <w:t xml:space="preserve">    /    </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发包人的其他要求：</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②提供的数量：</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383" w:name="_Toc17724"/>
      <w:bookmarkStart w:id="1384" w:name="_Toc29302"/>
      <w:bookmarkStart w:id="1385" w:name="_Toc17351"/>
      <w:bookmarkStart w:id="1386" w:name="_Toc8835"/>
      <w:bookmarkStart w:id="1387" w:name="_Toc687"/>
      <w:bookmarkStart w:id="1388" w:name="_Toc2924"/>
      <w:bookmarkStart w:id="1389" w:name="_Toc17867"/>
      <w:bookmarkStart w:id="1390" w:name="_Toc31074"/>
      <w:r>
        <w:rPr>
          <w:rFonts w:hint="eastAsia" w:ascii="仿宋" w:hAnsi="仿宋" w:eastAsia="仿宋" w:cs="仿宋"/>
          <w:b w:val="0"/>
          <w:bCs w:val="0"/>
          <w:color w:val="auto"/>
          <w:sz w:val="24"/>
          <w:szCs w:val="24"/>
          <w:highlight w:val="none"/>
          <w:lang w:eastAsia="zh-CN"/>
        </w:rPr>
        <w:t>6.  项目基础资料的提供</w:t>
      </w:r>
      <w:bookmarkEnd w:id="1383"/>
      <w:bookmarkEnd w:id="1384"/>
      <w:bookmarkEnd w:id="1385"/>
      <w:bookmarkEnd w:id="1386"/>
      <w:bookmarkEnd w:id="1387"/>
      <w:bookmarkEnd w:id="1388"/>
      <w:bookmarkEnd w:id="1389"/>
      <w:bookmarkEnd w:id="1390"/>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6.1发包人提供项目基础资料</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中标通知书发放后7个日历天内</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②提供的数量：</w:t>
      </w:r>
      <w:r>
        <w:rPr>
          <w:rFonts w:hint="eastAsia" w:ascii="仿宋" w:hAnsi="仿宋" w:eastAsia="仿宋" w:cs="仿宋"/>
          <w:color w:val="auto"/>
          <w:highlight w:val="none"/>
          <w:u w:val="single"/>
          <w:lang w:eastAsia="zh-CN"/>
        </w:rPr>
        <w:t>1份；</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□项目基础资料中不可变更数据或资料的约定：</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rFonts w:ascii="仿宋" w:hAnsi="仿宋" w:eastAsia="仿宋" w:cs="仿宋"/>
          <w:b w:val="0"/>
          <w:bCs w:val="0"/>
          <w:color w:val="auto"/>
          <w:sz w:val="24"/>
          <w:szCs w:val="24"/>
          <w:highlight w:val="none"/>
          <w:lang w:eastAsia="zh-CN"/>
        </w:rPr>
      </w:pPr>
      <w:bookmarkStart w:id="1391" w:name="_Toc13002"/>
      <w:bookmarkStart w:id="1392" w:name="_Toc22870"/>
      <w:bookmarkStart w:id="1393" w:name="_Toc24442"/>
      <w:bookmarkStart w:id="1394" w:name="_Toc2670"/>
      <w:bookmarkStart w:id="1395" w:name="_Toc8990"/>
      <w:bookmarkStart w:id="1396" w:name="_Toc21422"/>
      <w:bookmarkStart w:id="1397" w:name="_Toc12264"/>
      <w:bookmarkStart w:id="1398" w:name="_Toc28722"/>
      <w:r>
        <w:rPr>
          <w:rFonts w:hint="eastAsia" w:ascii="仿宋" w:hAnsi="仿宋" w:eastAsia="仿宋" w:cs="仿宋"/>
          <w:b w:val="0"/>
          <w:bCs w:val="0"/>
          <w:color w:val="auto"/>
          <w:sz w:val="24"/>
          <w:szCs w:val="24"/>
          <w:highlight w:val="none"/>
          <w:lang w:eastAsia="zh-CN"/>
        </w:rPr>
        <w:t>7.  勘察报告、设计文件、建筑信息模型（BIM）</w:t>
      </w:r>
      <w:bookmarkEnd w:id="1391"/>
      <w:bookmarkEnd w:id="1392"/>
      <w:bookmarkEnd w:id="1393"/>
      <w:bookmarkEnd w:id="1394"/>
      <w:bookmarkEnd w:id="1395"/>
      <w:bookmarkEnd w:id="1396"/>
      <w:bookmarkEnd w:id="1397"/>
      <w:bookmarkEnd w:id="1398"/>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7.1 承包人提供勘察报告</w:t>
      </w:r>
    </w:p>
    <w:p>
      <w:pPr>
        <w:numPr>
          <w:ilvl w:val="255"/>
          <w:numId w:val="0"/>
        </w:num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提供的时间：</w:t>
      </w:r>
      <w:r>
        <w:rPr>
          <w:rFonts w:hint="eastAsia" w:ascii="仿宋" w:hAnsi="仿宋" w:eastAsia="仿宋" w:cs="仿宋"/>
          <w:color w:val="auto"/>
          <w:highlight w:val="none"/>
          <w:u w:val="single"/>
          <w:lang w:eastAsia="zh-CN"/>
        </w:rPr>
        <w:t xml:space="preserve">    中标通知书发放后</w:t>
      </w:r>
      <w:r>
        <w:rPr>
          <w:rFonts w:hint="eastAsia" w:ascii="仿宋" w:hAnsi="仿宋" w:eastAsia="仿宋" w:cs="仿宋"/>
          <w:color w:val="auto"/>
          <w:highlight w:val="none"/>
          <w:u w:val="single"/>
          <w:lang w:eastAsia="zh"/>
        </w:rPr>
        <w:t>14</w:t>
      </w:r>
      <w:r>
        <w:rPr>
          <w:rFonts w:hint="eastAsia" w:ascii="仿宋" w:hAnsi="仿宋" w:eastAsia="仿宋" w:cs="仿宋"/>
          <w:color w:val="auto"/>
          <w:highlight w:val="none"/>
          <w:u w:val="single"/>
          <w:lang w:eastAsia="zh-CN"/>
        </w:rPr>
        <w:t xml:space="preserve">个日历天内    </w:t>
      </w:r>
    </w:p>
    <w:p>
      <w:pPr>
        <w:numPr>
          <w:ilvl w:val="255"/>
          <w:numId w:val="0"/>
        </w:num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提供的数量：</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4份</w:t>
      </w:r>
      <w:r>
        <w:rPr>
          <w:rFonts w:hint="eastAsia" w:ascii="仿宋" w:hAnsi="仿宋" w:eastAsia="仿宋" w:cs="仿宋"/>
          <w:color w:val="auto"/>
          <w:highlight w:val="none"/>
          <w:u w:val="single"/>
          <w:lang w:eastAsia="zh-CN"/>
        </w:rPr>
        <w:t xml:space="preserve">    </w:t>
      </w:r>
    </w:p>
    <w:p>
      <w:pPr>
        <w:numPr>
          <w:ilvl w:val="255"/>
          <w:numId w:val="0"/>
        </w:num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发包人或设计顾问人答复的时间：</w:t>
      </w:r>
      <w:r>
        <w:rPr>
          <w:rFonts w:hint="eastAsia" w:ascii="仿宋" w:hAnsi="仿宋" w:eastAsia="仿宋" w:cs="仿宋"/>
          <w:color w:val="auto"/>
          <w:highlight w:val="none"/>
          <w:u w:val="single"/>
          <w:lang w:eastAsia="zh-CN"/>
        </w:rPr>
        <w:t xml:space="preserve">    收到文件14个日历天内     </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7.2 承包人提供设计文件</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初步设计文件：</w:t>
      </w:r>
    </w:p>
    <w:p>
      <w:pPr>
        <w:numPr>
          <w:ilvl w:val="255"/>
          <w:numId w:val="0"/>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numPr>
          <w:ilvl w:val="255"/>
          <w:numId w:val="0"/>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②提供的数量：</w:t>
      </w:r>
      <w:r>
        <w:rPr>
          <w:rFonts w:hint="eastAsia" w:ascii="仿宋" w:hAnsi="仿宋" w:eastAsia="仿宋" w:cs="仿宋"/>
          <w:color w:val="auto"/>
          <w:highlight w:val="none"/>
          <w:u w:val="single"/>
          <w:lang w:eastAsia="zh-CN"/>
        </w:rPr>
        <w:t xml:space="preserve">    /    </w:t>
      </w:r>
    </w:p>
    <w:p>
      <w:pPr>
        <w:numPr>
          <w:ilvl w:val="255"/>
          <w:numId w:val="0"/>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③发包人或设计顾问人答复的时间：</w:t>
      </w:r>
      <w:r>
        <w:rPr>
          <w:rFonts w:hint="eastAsia" w:ascii="仿宋" w:hAnsi="仿宋" w:eastAsia="仿宋" w:cs="仿宋"/>
          <w:color w:val="auto"/>
          <w:highlight w:val="none"/>
          <w:u w:val="single"/>
          <w:lang w:eastAsia="zh-CN"/>
        </w:rPr>
        <w:t xml:space="preserve">    /    </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承包人提供施工图设计文件</w:t>
      </w:r>
    </w:p>
    <w:p>
      <w:pPr>
        <w:numPr>
          <w:ilvl w:val="255"/>
          <w:numId w:val="0"/>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初步设计审查批准后30日历天内完成施工图设计，施工图设计文件经审查发现问题后10日历天内完成补充、修改。</w:t>
      </w:r>
    </w:p>
    <w:p>
      <w:pPr>
        <w:numPr>
          <w:ilvl w:val="255"/>
          <w:numId w:val="0"/>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②提供的数量：</w:t>
      </w:r>
      <w:r>
        <w:rPr>
          <w:rFonts w:hint="eastAsia" w:ascii="仿宋" w:hAnsi="仿宋" w:eastAsia="仿宋" w:cs="仿宋"/>
          <w:color w:val="auto"/>
          <w:highlight w:val="none"/>
          <w:u w:val="single"/>
          <w:lang w:eastAsia="zh-CN"/>
        </w:rPr>
        <w:t>按设计任务书要求</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③发包人或设计顾问人答复的时间：</w:t>
      </w:r>
      <w:r>
        <w:rPr>
          <w:rFonts w:hint="eastAsia" w:ascii="仿宋" w:hAnsi="仿宋" w:eastAsia="仿宋" w:cs="仿宋"/>
          <w:color w:val="auto"/>
          <w:highlight w:val="none"/>
          <w:u w:val="single"/>
          <w:lang w:eastAsia="zh-CN"/>
        </w:rPr>
        <w:t>收到文件14个日历天内</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7.3 承包人提供建筑信息模型（BIM）及技术应用（本条不适用）</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勘察</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①提供的时间：</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②发包人或设计顾问人答复的时间：</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设计阶段</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初步设计（适用于可行性研究报告批准后发包）：</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②发包人或设计顾问人答复的时间：</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施工图设计（适用于初步设计批准后或备案发包）</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②发包人或设计顾问人答复的时间：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施工阶段</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深化设计  </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施工方案</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进度管理 </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造价管理 </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质量与安全管理</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装配式建筑生产与施工工艺</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竣工阶段的建筑信息模型（BIM）</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运营维护阶段需要的建筑信息模型（BIM）</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利用BIM信息管理平台进行协调管理的要求：</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其他应用内容及要求：</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发包人的其他要求：</w:t>
      </w:r>
    </w:p>
    <w:p>
      <w:pPr>
        <w:spacing w:line="360" w:lineRule="auto"/>
        <w:ind w:firstLine="1080" w:firstLineChars="450"/>
        <w:rPr>
          <w:rFonts w:ascii="仿宋" w:hAnsi="仿宋" w:eastAsia="仿宋"/>
          <w:color w:val="auto"/>
          <w:highlight w:val="none"/>
          <w:lang w:eastAsia="zh-CN"/>
        </w:rPr>
      </w:pPr>
      <w:r>
        <w:rPr>
          <w:rFonts w:hint="eastAsia" w:ascii="仿宋" w:hAnsi="仿宋" w:eastAsia="仿宋" w:cs="仿宋"/>
          <w:color w:val="auto"/>
          <w:highlight w:val="none"/>
          <w:lang w:eastAsia="zh-CN"/>
        </w:rPr>
        <w:t>①提供的时间：</w:t>
      </w:r>
      <w:r>
        <w:rPr>
          <w:rFonts w:hint="eastAsia" w:ascii="仿宋" w:hAnsi="仿宋" w:eastAsia="仿宋" w:cs="仿宋"/>
          <w:color w:val="auto"/>
          <w:highlight w:val="none"/>
          <w:u w:val="single"/>
          <w:lang w:eastAsia="zh-CN"/>
        </w:rPr>
        <w:t xml:space="preserve">    /    </w:t>
      </w:r>
    </w:p>
    <w:p>
      <w:pPr>
        <w:spacing w:line="360" w:lineRule="auto"/>
        <w:ind w:firstLine="1080" w:firstLineChars="4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②发包人或监理人答复的时间：</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399" w:name="_Toc7094"/>
      <w:bookmarkStart w:id="1400" w:name="_Toc56"/>
      <w:bookmarkStart w:id="1401" w:name="_Toc1164"/>
      <w:bookmarkStart w:id="1402" w:name="_Toc3606"/>
      <w:bookmarkStart w:id="1403" w:name="_Toc22319"/>
      <w:bookmarkStart w:id="1404" w:name="_Toc16508"/>
      <w:bookmarkStart w:id="1405" w:name="_Toc7865"/>
      <w:bookmarkStart w:id="1406" w:name="_Toc24988"/>
      <w:r>
        <w:rPr>
          <w:rFonts w:hint="eastAsia" w:ascii="仿宋" w:hAnsi="仿宋" w:eastAsia="仿宋" w:cs="仿宋"/>
          <w:b w:val="0"/>
          <w:bCs w:val="0"/>
          <w:color w:val="auto"/>
          <w:sz w:val="24"/>
          <w:szCs w:val="24"/>
          <w:highlight w:val="none"/>
          <w:lang w:eastAsia="zh-CN"/>
        </w:rPr>
        <w:t>8.  合同价格的控制原则</w:t>
      </w:r>
      <w:bookmarkEnd w:id="1399"/>
      <w:bookmarkEnd w:id="1400"/>
      <w:bookmarkEnd w:id="1401"/>
      <w:bookmarkEnd w:id="1402"/>
      <w:bookmarkEnd w:id="1403"/>
      <w:bookmarkEnd w:id="1404"/>
      <w:bookmarkEnd w:id="1405"/>
      <w:bookmarkEnd w:id="1406"/>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8.2工程勘察费的控制</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①计价方式：</w:t>
      </w:r>
      <w:r>
        <w:rPr>
          <w:rFonts w:ascii="仿宋" w:hAnsi="仿宋" w:eastAsia="仿宋" w:cs="仿宋"/>
          <w:color w:val="auto"/>
          <w:highlight w:val="none"/>
          <w:u w:val="single"/>
          <w:lang w:eastAsia="zh-CN"/>
        </w:rPr>
        <w:t>（同专用条款72.1.1款）</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②价格控制：</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□不允许超过合同约定的相应价格，相应合同价格即为结算额。</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□不允许超过合同约定的相应合同价格及调整事项。其中，调整事项约定为：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☑另作约定：</w:t>
      </w:r>
      <w:r>
        <w:rPr>
          <w:rFonts w:hint="eastAsia" w:ascii="仿宋" w:hAnsi="仿宋" w:eastAsia="仿宋" w:cs="仿宋"/>
          <w:color w:val="auto"/>
          <w:highlight w:val="none"/>
          <w:lang w:eastAsia="zh"/>
        </w:rPr>
        <w:t>按实际勘察工作量及对应勘察费中标综合单价据实结算</w:t>
      </w:r>
      <w:r>
        <w:rPr>
          <w:rFonts w:hint="eastAsia"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 xml:space="preserve"> </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8.3工程设计费的控制</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①计价方式：</w:t>
      </w:r>
      <w:r>
        <w:rPr>
          <w:rFonts w:hint="eastAsia" w:ascii="仿宋" w:hAnsi="仿宋" w:eastAsia="仿宋" w:cs="仿宋"/>
          <w:color w:val="auto"/>
          <w:highlight w:val="none"/>
          <w:u w:val="single"/>
          <w:lang w:eastAsia="zh-CN"/>
        </w:rPr>
        <w:t>（同专用条款72.1.2款）</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②价格控制：</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□不允许超过合同约定的相应价格，相应合同价格即为结算额。</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□不允许超过合同约定的相应合同价格及调整事项。其中，调整事项约定为：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☑另作约定：</w:t>
      </w:r>
      <w:r>
        <w:rPr>
          <w:rFonts w:hint="eastAsia" w:ascii="仿宋" w:hAnsi="仿宋" w:eastAsia="仿宋" w:cs="仿宋"/>
          <w:color w:val="auto"/>
          <w:highlight w:val="none"/>
          <w:u w:val="single"/>
          <w:lang w:eastAsia="zh-CN"/>
        </w:rPr>
        <w:t>不超过合同约定的相应价格。</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③施工图审查费由发包</w:t>
      </w:r>
      <w:r>
        <w:rPr>
          <w:rFonts w:ascii="仿宋" w:hAnsi="仿宋" w:eastAsia="仿宋" w:cs="仿宋"/>
          <w:color w:val="auto"/>
          <w:highlight w:val="none"/>
          <w:lang w:eastAsia="zh-CN"/>
        </w:rPr>
        <w:t>人</w:t>
      </w:r>
      <w:r>
        <w:rPr>
          <w:rFonts w:hint="eastAsia" w:ascii="仿宋" w:hAnsi="仿宋" w:eastAsia="仿宋" w:cs="仿宋"/>
          <w:color w:val="auto"/>
          <w:highlight w:val="none"/>
          <w:lang w:eastAsia="zh-CN"/>
        </w:rPr>
        <w:t>支付。</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8.4 BIM技术应用费的控制（本条不适用）</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①计价方式：</w:t>
      </w:r>
      <w:r>
        <w:rPr>
          <w:rFonts w:hint="eastAsia" w:ascii="仿宋" w:hAnsi="仿宋" w:eastAsia="仿宋" w:cs="仿宋"/>
          <w:color w:val="auto"/>
          <w:highlight w:val="none"/>
          <w:u w:val="single"/>
          <w:lang w:eastAsia="zh-CN"/>
        </w:rPr>
        <w:t xml:space="preserve">    /    </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②价格控制：</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□不允许超过合同约定的相应价格，相应合同价格即为结算额。</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□不允许超过合同约定的相应合同价格及调整事项。其中，调整事项约定为：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□另作约定：</w:t>
      </w:r>
      <w:r>
        <w:rPr>
          <w:rFonts w:hint="eastAsia" w:ascii="仿宋" w:hAnsi="仿宋" w:eastAsia="仿宋" w:cs="仿宋"/>
          <w:color w:val="auto"/>
          <w:highlight w:val="none"/>
          <w:u w:val="single"/>
          <w:lang w:eastAsia="zh-CN"/>
        </w:rPr>
        <w:t xml:space="preserve">    /    </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8.5建筑安装工程费的控制</w:t>
      </w:r>
    </w:p>
    <w:p>
      <w:pPr>
        <w:spacing w:line="360" w:lineRule="auto"/>
        <w:ind w:firstLine="480" w:firstLineChars="200"/>
        <w:jc w:val="both"/>
        <w:rPr>
          <w:rFonts w:ascii="仿宋" w:hAnsi="仿宋" w:eastAsia="仿宋" w:cs="仿宋"/>
          <w:strike/>
          <w:color w:val="auto"/>
          <w:highlight w:val="none"/>
          <w:lang w:eastAsia="zh-CN"/>
        </w:rPr>
      </w:pPr>
      <w:r>
        <w:rPr>
          <w:rFonts w:hint="eastAsia" w:ascii="仿宋" w:hAnsi="仿宋" w:eastAsia="仿宋" w:cs="仿宋"/>
          <w:color w:val="auto"/>
          <w:highlight w:val="none"/>
          <w:lang w:eastAsia="zh-CN"/>
        </w:rPr>
        <w:t>8.5.3施工图预算控制</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编制规则：</w:t>
      </w:r>
      <w:r>
        <w:rPr>
          <w:rFonts w:hint="eastAsia" w:ascii="仿宋" w:hAnsi="仿宋" w:eastAsia="仿宋" w:cs="仿宋"/>
          <w:color w:val="auto"/>
          <w:highlight w:val="none"/>
          <w:u w:val="single"/>
          <w:lang w:eastAsia="zh-CN"/>
        </w:rPr>
        <w:t>（同专用条款72.1.5款）</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价格控制：</w:t>
      </w:r>
      <w:r>
        <w:rPr>
          <w:rFonts w:hint="eastAsia" w:ascii="仿宋" w:hAnsi="仿宋" w:eastAsia="仿宋" w:cs="仿宋"/>
          <w:color w:val="auto"/>
          <w:highlight w:val="none"/>
          <w:u w:val="single"/>
          <w:lang w:eastAsia="zh-CN"/>
        </w:rPr>
        <w:t>确保下浮后的预算审定金额不超</w:t>
      </w:r>
      <w:r>
        <w:rPr>
          <w:rFonts w:hint="eastAsia" w:ascii="仿宋" w:hAnsi="仿宋" w:eastAsia="仿宋" w:cs="仿宋"/>
          <w:color w:val="auto"/>
          <w:highlight w:val="none"/>
          <w:u w:val="single"/>
          <w:lang w:eastAsia="zh"/>
        </w:rPr>
        <w:t>施工费中标金额</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8.6设备及工器具购置费的控制（本条不适用）</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①计价方式：</w:t>
      </w:r>
      <w:r>
        <w:rPr>
          <w:rFonts w:hint="eastAsia" w:ascii="仿宋" w:hAnsi="仿宋" w:eastAsia="仿宋" w:cs="仿宋"/>
          <w:color w:val="auto"/>
          <w:highlight w:val="none"/>
          <w:u w:val="single"/>
          <w:lang w:eastAsia="zh-CN"/>
        </w:rPr>
        <w:t>（</w:t>
      </w:r>
      <w:r>
        <w:rPr>
          <w:rFonts w:hint="eastAsia" w:ascii="仿宋" w:hAnsi="仿宋" w:eastAsia="仿宋" w:cs="仿宋"/>
          <w:iCs/>
          <w:color w:val="auto"/>
          <w:highlight w:val="none"/>
          <w:u w:val="single"/>
          <w:lang w:eastAsia="zh-CN"/>
        </w:rPr>
        <w:t>同72.1.4款</w:t>
      </w:r>
      <w:r>
        <w:rPr>
          <w:rFonts w:hint="eastAsia" w:ascii="仿宋" w:hAnsi="仿宋" w:eastAsia="仿宋" w:cs="仿宋"/>
          <w:color w:val="auto"/>
          <w:highlight w:val="none"/>
          <w:u w:val="single"/>
          <w:lang w:eastAsia="zh-CN"/>
        </w:rPr>
        <w:t>）</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②价格控制：</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□不允许超过合同约定的相应价格，相应合同价格即为结算额。</w:t>
      </w:r>
    </w:p>
    <w:p>
      <w:pPr>
        <w:spacing w:line="360" w:lineRule="auto"/>
        <w:ind w:left="960" w:leftChars="200" w:hanging="480" w:hanging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□不允许超过合同约定的相应合同价格及调整事项。其中，调整事项约定为：</w:t>
      </w:r>
      <w:r>
        <w:rPr>
          <w:rFonts w:hint="eastAsia" w:ascii="仿宋" w:hAnsi="仿宋" w:eastAsia="仿宋" w:cs="仿宋"/>
          <w:color w:val="auto"/>
          <w:highlight w:val="none"/>
          <w:u w:val="single"/>
          <w:lang w:eastAsia="zh-CN"/>
        </w:rPr>
        <w:t xml:space="preserve">    /    </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□另作约定：</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407" w:name="_Toc16084"/>
      <w:bookmarkStart w:id="1408" w:name="_Toc24875"/>
      <w:bookmarkStart w:id="1409" w:name="_Toc22676"/>
      <w:bookmarkStart w:id="1410" w:name="_Toc12508"/>
      <w:bookmarkStart w:id="1411" w:name="_Toc5242"/>
      <w:bookmarkStart w:id="1412" w:name="_Toc12147"/>
      <w:bookmarkStart w:id="1413" w:name="_Toc10560"/>
      <w:bookmarkStart w:id="1414" w:name="_Toc31776"/>
      <w:r>
        <w:rPr>
          <w:rFonts w:hint="eastAsia" w:ascii="仿宋" w:hAnsi="仿宋" w:eastAsia="仿宋" w:cs="仿宋"/>
          <w:b w:val="0"/>
          <w:bCs w:val="0"/>
          <w:color w:val="auto"/>
          <w:sz w:val="24"/>
          <w:szCs w:val="24"/>
          <w:highlight w:val="none"/>
          <w:lang w:eastAsia="zh-CN"/>
        </w:rPr>
        <w:t>9.  通信联络</w:t>
      </w:r>
      <w:bookmarkEnd w:id="1407"/>
      <w:bookmarkEnd w:id="1408"/>
      <w:bookmarkEnd w:id="1409"/>
      <w:bookmarkEnd w:id="1410"/>
      <w:bookmarkEnd w:id="1411"/>
      <w:bookmarkEnd w:id="1412"/>
      <w:bookmarkEnd w:id="1413"/>
      <w:bookmarkEnd w:id="1414"/>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9.2 发送通讯</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各方通讯地址、收件人及其他送达方式</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①各方通讯地址和收件人：</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发包人：</w:t>
      </w:r>
      <w:r>
        <w:rPr>
          <w:rFonts w:hint="eastAsia" w:ascii="仿宋" w:hAnsi="仿宋" w:eastAsia="仿宋" w:cs="仿宋"/>
          <w:color w:val="auto"/>
          <w:highlight w:val="none"/>
          <w:u w:val="single"/>
          <w:lang w:eastAsia="zh-CN"/>
        </w:rPr>
        <w:t>广州花都城弘建设发展投资有限公司</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广州市花都区秀全街宏发南路11号第四层307号铺</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收件人：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510800</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承包人（单一主体或联合体牵头人）： </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 xml:space="preserve">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收件人：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收件人：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收件人：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设计顾问人：</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收件人：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监理人：</w:t>
      </w:r>
      <w:r>
        <w:rPr>
          <w:rFonts w:hint="eastAsia" w:ascii="仿宋" w:hAnsi="仿宋" w:eastAsia="仿宋" w:cs="仿宋"/>
          <w:color w:val="auto"/>
          <w:highlight w:val="none"/>
          <w:u w:val="single"/>
          <w:lang w:eastAsia="zh-CN"/>
        </w:rPr>
        <w:t xml:space="preserve">  另行告知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收件人：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工程造价咨询人：</w:t>
      </w:r>
      <w:r>
        <w:rPr>
          <w:rFonts w:hint="eastAsia" w:ascii="仿宋" w:hAnsi="仿宋" w:eastAsia="仿宋" w:cs="仿宋"/>
          <w:color w:val="auto"/>
          <w:highlight w:val="none"/>
          <w:u w:val="single"/>
          <w:lang w:eastAsia="zh-CN"/>
        </w:rPr>
        <w:t xml:space="preserve">  另行告知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收件人：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②视为送达的其他方式：</w:t>
      </w:r>
      <w:r>
        <w:rPr>
          <w:rFonts w:hint="eastAsia" w:ascii="仿宋" w:hAnsi="仿宋" w:eastAsia="仿宋" w:cs="仿宋"/>
          <w:color w:val="auto"/>
          <w:highlight w:val="none"/>
          <w:u w:val="single"/>
          <w:lang w:eastAsia="zh-CN"/>
        </w:rPr>
        <w:t>特快专递、挂号信等方式将通讯送至通讯地址的，视为送达。</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415" w:name="_Toc1238"/>
      <w:bookmarkStart w:id="1416" w:name="_Toc24050"/>
      <w:bookmarkStart w:id="1417" w:name="_Toc6436"/>
      <w:bookmarkStart w:id="1418" w:name="_Toc30060"/>
      <w:bookmarkStart w:id="1419" w:name="_Toc340"/>
      <w:bookmarkStart w:id="1420" w:name="_Toc27587"/>
      <w:bookmarkStart w:id="1421" w:name="_Toc24017"/>
      <w:bookmarkStart w:id="1422" w:name="_Toc26811"/>
      <w:r>
        <w:rPr>
          <w:rFonts w:hint="eastAsia" w:ascii="仿宋" w:hAnsi="仿宋" w:eastAsia="仿宋" w:cs="仿宋"/>
          <w:b w:val="0"/>
          <w:bCs w:val="0"/>
          <w:color w:val="auto"/>
          <w:sz w:val="24"/>
          <w:szCs w:val="24"/>
          <w:highlight w:val="none"/>
          <w:lang w:eastAsia="zh-CN"/>
        </w:rPr>
        <w:t>10.  分包</w:t>
      </w:r>
      <w:bookmarkEnd w:id="1415"/>
      <w:bookmarkEnd w:id="1416"/>
      <w:bookmarkEnd w:id="1417"/>
      <w:bookmarkEnd w:id="1418"/>
      <w:bookmarkEnd w:id="1419"/>
      <w:bookmarkEnd w:id="1420"/>
      <w:bookmarkEnd w:id="1421"/>
      <w:bookmarkEnd w:id="1422"/>
    </w:p>
    <w:p>
      <w:pPr>
        <w:spacing w:line="360" w:lineRule="auto"/>
        <w:ind w:left="137" w:leftChars="57"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10.2 分包事项的批准</w:t>
      </w:r>
    </w:p>
    <w:p>
      <w:pPr>
        <w:spacing w:line="360" w:lineRule="auto"/>
        <w:ind w:left="137" w:leftChars="57" w:firstLine="360" w:firstLineChars="150"/>
        <w:jc w:val="both"/>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指定分包事项名称：</w:t>
      </w:r>
      <w:r>
        <w:rPr>
          <w:rFonts w:hint="eastAsia" w:ascii="仿宋" w:hAnsi="仿宋" w:eastAsia="仿宋" w:cs="仿宋"/>
          <w:color w:val="auto"/>
          <w:highlight w:val="none"/>
          <w:u w:val="single"/>
          <w:lang w:eastAsia="zh-CN"/>
        </w:rPr>
        <w:t>无指定分包。</w:t>
      </w:r>
    </w:p>
    <w:p>
      <w:pPr>
        <w:spacing w:line="360" w:lineRule="auto"/>
        <w:ind w:left="137" w:leftChars="57" w:firstLine="120" w:firstLineChars="50"/>
        <w:jc w:val="both"/>
        <w:rPr>
          <w:rFonts w:ascii="仿宋" w:hAnsi="仿宋" w:eastAsia="仿宋" w:cs="仿宋"/>
          <w:color w:val="auto"/>
          <w:highlight w:val="none"/>
          <w:lang w:eastAsia="zh-CN"/>
        </w:rPr>
      </w:pPr>
      <w:r>
        <w:rPr>
          <w:rFonts w:hint="eastAsia" w:ascii="仿宋" w:hAnsi="仿宋" w:eastAsia="仿宋" w:cs="仿宋"/>
          <w:color w:val="auto"/>
          <w:highlight w:val="none"/>
          <w:lang w:eastAsia="zh-CN"/>
        </w:rPr>
        <w:t>10.4 分包合同价款结算与支付</w:t>
      </w:r>
    </w:p>
    <w:p>
      <w:pPr>
        <w:spacing w:line="360" w:lineRule="auto"/>
        <w:ind w:left="137" w:leftChars="57" w:firstLine="360" w:firstLineChars="150"/>
        <w:jc w:val="both"/>
        <w:rPr>
          <w:rFonts w:ascii="仿宋" w:hAnsi="仿宋" w:eastAsia="仿宋"/>
          <w:color w:val="auto"/>
          <w:highlight w:val="none"/>
          <w:lang w:eastAsia="zh-CN"/>
        </w:rPr>
      </w:pPr>
      <w:r>
        <w:rPr>
          <w:rFonts w:hint="eastAsia" w:ascii="仿宋" w:hAnsi="仿宋" w:eastAsia="仿宋" w:cs="仿宋"/>
          <w:color w:val="auto"/>
          <w:highlight w:val="none"/>
          <w:lang w:eastAsia="zh-CN"/>
        </w:rPr>
        <w:t>分包合同价款的支付方式：</w:t>
      </w:r>
      <w:r>
        <w:rPr>
          <w:rFonts w:hint="eastAsia" w:ascii="仿宋" w:hAnsi="仿宋" w:eastAsia="仿宋" w:cs="仿宋"/>
          <w:color w:val="auto"/>
          <w:highlight w:val="none"/>
          <w:u w:val="single"/>
          <w:lang w:eastAsia="zh-CN"/>
        </w:rPr>
        <w:t>分包合同价款由承包人与分包人结算。</w:t>
      </w:r>
    </w:p>
    <w:p>
      <w:pPr>
        <w:pStyle w:val="4"/>
        <w:tabs>
          <w:tab w:val="left" w:pos="420"/>
        </w:tabs>
        <w:spacing w:line="360" w:lineRule="auto"/>
        <w:jc w:val="both"/>
        <w:rPr>
          <w:rFonts w:ascii="仿宋" w:hAnsi="仿宋" w:eastAsia="仿宋" w:cs="仿宋"/>
          <w:b w:val="0"/>
          <w:bCs w:val="0"/>
          <w:color w:val="auto"/>
          <w:sz w:val="24"/>
          <w:szCs w:val="24"/>
          <w:highlight w:val="none"/>
          <w:lang w:eastAsia="zh-CN"/>
        </w:rPr>
      </w:pPr>
      <w:bookmarkStart w:id="1423" w:name="_Toc14695"/>
      <w:bookmarkStart w:id="1424" w:name="_Toc26754"/>
      <w:bookmarkStart w:id="1425" w:name="_Toc4932"/>
      <w:bookmarkStart w:id="1426" w:name="_Toc13623"/>
      <w:bookmarkStart w:id="1427" w:name="_Toc22560"/>
      <w:bookmarkStart w:id="1428" w:name="_Toc13962"/>
      <w:bookmarkStart w:id="1429" w:name="_Toc26443"/>
      <w:bookmarkStart w:id="1430" w:name="_Toc785"/>
      <w:r>
        <w:rPr>
          <w:rFonts w:ascii="仿宋" w:hAnsi="仿宋" w:eastAsia="仿宋" w:cs="仿宋"/>
          <w:b w:val="0"/>
          <w:bCs w:val="0"/>
          <w:color w:val="auto"/>
          <w:sz w:val="24"/>
          <w:szCs w:val="24"/>
          <w:highlight w:val="none"/>
          <w:lang w:eastAsia="zh-CN"/>
        </w:rPr>
        <w:t>1</w:t>
      </w:r>
      <w:r>
        <w:rPr>
          <w:rFonts w:hint="eastAsia" w:ascii="仿宋" w:hAnsi="仿宋" w:eastAsia="仿宋" w:cs="仿宋"/>
          <w:b w:val="0"/>
          <w:bCs w:val="0"/>
          <w:color w:val="auto"/>
          <w:sz w:val="24"/>
          <w:szCs w:val="24"/>
          <w:highlight w:val="none"/>
          <w:lang w:eastAsia="zh-CN"/>
        </w:rPr>
        <w:t>4</w:t>
      </w:r>
      <w:r>
        <w:rPr>
          <w:rFonts w:ascii="仿宋" w:hAnsi="仿宋" w:eastAsia="仿宋" w:cs="仿宋"/>
          <w:b w:val="0"/>
          <w:bCs w:val="0"/>
          <w:color w:val="auto"/>
          <w:sz w:val="24"/>
          <w:szCs w:val="24"/>
          <w:highlight w:val="none"/>
          <w:lang w:eastAsia="zh-CN"/>
        </w:rPr>
        <w:t xml:space="preserve"> </w:t>
      </w:r>
      <w:r>
        <w:rPr>
          <w:rFonts w:hint="eastAsia" w:ascii="仿宋" w:hAnsi="仿宋" w:eastAsia="仿宋" w:cs="仿宋"/>
          <w:b w:val="0"/>
          <w:bCs w:val="0"/>
          <w:color w:val="auto"/>
          <w:sz w:val="24"/>
          <w:szCs w:val="24"/>
          <w:highlight w:val="none"/>
          <w:lang w:eastAsia="zh-CN"/>
        </w:rPr>
        <w:t>文物和地下障碍物</w:t>
      </w:r>
      <w:bookmarkEnd w:id="1423"/>
      <w:bookmarkEnd w:id="1424"/>
      <w:bookmarkEnd w:id="1425"/>
      <w:bookmarkEnd w:id="1426"/>
      <w:bookmarkEnd w:id="1427"/>
      <w:bookmarkEnd w:id="1428"/>
      <w:bookmarkEnd w:id="1429"/>
      <w:bookmarkEnd w:id="1430"/>
    </w:p>
    <w:p>
      <w:pPr>
        <w:spacing w:line="360" w:lineRule="auto"/>
        <w:rPr>
          <w:rFonts w:ascii="仿宋" w:hAnsi="仿宋" w:eastAsia="仿宋" w:cs="仿宋"/>
          <w:color w:val="auto"/>
          <w:highlight w:val="none"/>
          <w:lang w:eastAsia="zh-CN"/>
        </w:rPr>
      </w:pP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4</w:t>
      </w: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 xml:space="preserve"> 文物化石等物品保护</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在施工现场发现的古墓、古建筑遗址等文物、古迹以及其他具有考古、地质研究等价值的遗迹、化石、钱币或物品，属于国家所有。一旦发现上述文物，承包人应立即保护好现场，防止任何人员移动或损坏上述文物，并于</w:t>
      </w:r>
      <w:r>
        <w:rPr>
          <w:rFonts w:ascii="仿宋" w:hAnsi="仿宋" w:eastAsia="仿宋" w:cs="仿宋"/>
          <w:color w:val="auto"/>
          <w:highlight w:val="none"/>
          <w:lang w:eastAsia="zh-CN"/>
        </w:rPr>
        <w:t>4</w:t>
      </w:r>
      <w:r>
        <w:rPr>
          <w:rFonts w:hint="eastAsia" w:ascii="仿宋" w:hAnsi="仿宋" w:eastAsia="仿宋" w:cs="仿宋"/>
          <w:color w:val="auto"/>
          <w:highlight w:val="none"/>
          <w:lang w:eastAsia="zh-CN"/>
        </w:rPr>
        <w:t>小时内以书面形式通知监理人和发包人。监理人应在收到通知后立即指令承包人继续保护好现场，并在收到通知后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报告当地文物管理部门，合同双方当事人应按照文物管理部门的要求采取妥善保护措施。发包人承担由此增加的工期延误，相关费用已包含在投标报价中，发包人不另行计量支付，发包人可以为承包人提供其能力范围内的协助和方便。</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如发现文物后隐瞒不报或报告不及时，导致上述文物丢失或遭受破坏的，由责任方赔偿损失，并承担相应的法律责任</w:t>
      </w:r>
    </w:p>
    <w:p>
      <w:pPr>
        <w:spacing w:line="360" w:lineRule="auto"/>
        <w:rPr>
          <w:rFonts w:ascii="仿宋" w:hAnsi="仿宋" w:eastAsia="仿宋" w:cs="仿宋"/>
          <w:color w:val="auto"/>
          <w:highlight w:val="none"/>
          <w:lang w:eastAsia="zh-CN"/>
        </w:rPr>
      </w:pPr>
      <w:r>
        <w:rPr>
          <w:rFonts w:ascii="仿宋" w:hAnsi="仿宋" w:eastAsia="仿宋" w:cs="仿宋"/>
          <w:color w:val="auto"/>
          <w:highlight w:val="none"/>
          <w:lang w:eastAsia="zh-CN"/>
        </w:rPr>
        <w:t>1</w:t>
      </w:r>
      <w:r>
        <w:rPr>
          <w:rFonts w:hint="eastAsia" w:ascii="仿宋" w:hAnsi="仿宋" w:eastAsia="仿宋" w:cs="仿宋"/>
          <w:color w:val="auto"/>
          <w:highlight w:val="none"/>
          <w:lang w:eastAsia="zh-CN"/>
        </w:rPr>
        <w:t>4</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 xml:space="preserve">地下障碍物处置 </w:t>
      </w:r>
    </w:p>
    <w:p>
      <w:pPr>
        <w:spacing w:line="360" w:lineRule="auto"/>
        <w:ind w:firstLine="480" w:firstLineChars="200"/>
        <w:rPr>
          <w:rFonts w:ascii="仿宋" w:hAnsi="仿宋" w:eastAsia="仿宋" w:cs="仿宋"/>
          <w:color w:val="auto"/>
          <w:highlight w:val="none"/>
          <w:lang w:eastAsia="zh-CN"/>
        </w:rPr>
      </w:pPr>
      <w:r>
        <w:rPr>
          <w:rFonts w:ascii="仿宋" w:hAnsi="仿宋" w:eastAsia="仿宋" w:cs="仿宋"/>
          <w:color w:val="auto"/>
          <w:highlight w:val="none"/>
          <w:lang w:eastAsia="zh-CN"/>
        </w:rPr>
        <w:t>承包人应充分考虑</w:t>
      </w:r>
      <w:r>
        <w:rPr>
          <w:rFonts w:hint="eastAsia" w:ascii="仿宋" w:hAnsi="仿宋" w:eastAsia="仿宋" w:cs="仿宋"/>
          <w:color w:val="auto"/>
          <w:highlight w:val="none"/>
          <w:lang w:eastAsia="zh-CN"/>
        </w:rPr>
        <w:t>障碍物处置本合同已明确或未明确指出的障碍物，应视为承包人在投标报价时已预见其对施工的影响，并已在合同价格中考虑。</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本合同未有明确指出的地下障碍物（发包人招标文件提供的工程量清单没列明或提供的地质资料不能明确反映的），在施工过程遇到时，承包人应于</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小时内以书面形式通知监理人和发包人，并提出处置方案。监理人在收到处置方案后</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小时内予以确认或提出修正方案，并发出施工指令。承包人应按照监理人指令进行施工。并承担由此增加的费用和（或）延误的工期。</w:t>
      </w:r>
    </w:p>
    <w:p>
      <w:pPr>
        <w:pStyle w:val="4"/>
        <w:tabs>
          <w:tab w:val="left" w:pos="420"/>
        </w:tabs>
        <w:spacing w:line="360" w:lineRule="auto"/>
        <w:rPr>
          <w:rFonts w:ascii="仿宋" w:hAnsi="仿宋" w:eastAsia="仿宋" w:cs="仿宋"/>
          <w:color w:val="auto"/>
          <w:sz w:val="24"/>
          <w:szCs w:val="24"/>
          <w:highlight w:val="none"/>
          <w:lang w:eastAsia="zh-CN"/>
        </w:rPr>
      </w:pPr>
      <w:bookmarkStart w:id="1431" w:name="_Toc23510"/>
      <w:bookmarkStart w:id="1432" w:name="_Toc15750"/>
      <w:bookmarkStart w:id="1433" w:name="_Toc19742"/>
      <w:bookmarkStart w:id="1434" w:name="_Toc30225"/>
      <w:bookmarkStart w:id="1435" w:name="_Toc5576"/>
      <w:bookmarkStart w:id="1436" w:name="_Toc10647"/>
      <w:bookmarkStart w:id="1437" w:name="_Toc5426"/>
      <w:bookmarkStart w:id="1438" w:name="_Toc11416"/>
      <w:r>
        <w:rPr>
          <w:rFonts w:hint="eastAsia" w:ascii="仿宋" w:hAnsi="仿宋" w:eastAsia="仿宋" w:cs="仿宋"/>
          <w:b w:val="0"/>
          <w:bCs w:val="0"/>
          <w:color w:val="auto"/>
          <w:sz w:val="24"/>
          <w:szCs w:val="24"/>
          <w:highlight w:val="none"/>
          <w:lang w:eastAsia="zh-CN"/>
        </w:rPr>
        <w:t>16.  交通运输</w:t>
      </w:r>
      <w:bookmarkEnd w:id="1431"/>
      <w:bookmarkEnd w:id="1432"/>
      <w:bookmarkEnd w:id="1433"/>
      <w:bookmarkEnd w:id="1434"/>
      <w:bookmarkEnd w:id="1435"/>
      <w:bookmarkEnd w:id="1436"/>
      <w:bookmarkEnd w:id="1437"/>
      <w:bookmarkEnd w:id="1438"/>
    </w:p>
    <w:p>
      <w:pPr>
        <w:spacing w:line="360" w:lineRule="auto"/>
        <w:rPr>
          <w:rFonts w:ascii="仿宋" w:hAnsi="仿宋" w:eastAsia="仿宋" w:cs="仿宋"/>
          <w:color w:val="auto"/>
          <w:highlight w:val="none"/>
          <w:lang w:eastAsia="zh-CN"/>
        </w:rPr>
      </w:pPr>
      <w:bookmarkStart w:id="1439" w:name="_Toc15287"/>
      <w:r>
        <w:rPr>
          <w:rFonts w:hint="eastAsia" w:ascii="仿宋" w:hAnsi="仿宋" w:eastAsia="仿宋" w:cs="仿宋"/>
          <w:color w:val="auto"/>
          <w:highlight w:val="none"/>
          <w:lang w:eastAsia="zh-CN"/>
        </w:rPr>
        <w:t>16.1 道路通行权和场外设施</w:t>
      </w:r>
      <w:bookmarkEnd w:id="1439"/>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由承包人负责取得出入施工场地的专用和临时道路的通行权，以及取得为实施合同工程所需修建场内外设施的权利，所发生的一切费用由承包人承担，相关费用包括在投标报价内（包括运输超大件或超重件所需的道路和桥梁临时加固改造费用、用地费用和其他有关费用），发包人不另行支付。</w:t>
      </w:r>
    </w:p>
    <w:p>
      <w:pPr>
        <w:spacing w:line="360" w:lineRule="auto"/>
        <w:rPr>
          <w:rFonts w:ascii="仿宋" w:hAnsi="仿宋" w:eastAsia="仿宋" w:cs="仿宋"/>
          <w:color w:val="auto"/>
          <w:highlight w:val="none"/>
          <w:lang w:eastAsia="zh-CN"/>
        </w:rPr>
      </w:pPr>
      <w:bookmarkStart w:id="1440" w:name="_Toc10888"/>
      <w:r>
        <w:rPr>
          <w:rFonts w:hint="eastAsia" w:ascii="仿宋" w:hAnsi="仿宋" w:eastAsia="仿宋" w:cs="仿宋"/>
          <w:color w:val="auto"/>
          <w:highlight w:val="none"/>
          <w:lang w:eastAsia="zh-CN"/>
        </w:rPr>
        <w:t>16.2 场内临时道路和交通设施</w:t>
      </w:r>
      <w:bookmarkEnd w:id="1440"/>
    </w:p>
    <w:p>
      <w:pPr>
        <w:adjustRightInd w:val="0"/>
        <w:snapToGrid w:val="0"/>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修建场内临时道路和交通设施的费用：</w:t>
      </w:r>
      <w:r>
        <w:rPr>
          <w:rFonts w:hint="eastAsia" w:ascii="仿宋" w:hAnsi="仿宋" w:eastAsia="仿宋"/>
          <w:color w:val="auto"/>
          <w:highlight w:val="none"/>
          <w:u w:val="single"/>
          <w:lang w:eastAsia="zh-CN"/>
        </w:rPr>
        <w:t>按通用条款</w:t>
      </w:r>
      <w:r>
        <w:rPr>
          <w:rFonts w:hint="eastAsia" w:ascii="仿宋" w:hAnsi="仿宋" w:eastAsia="仿宋"/>
          <w:color w:val="auto"/>
          <w:highlight w:val="none"/>
          <w:lang w:eastAsia="zh-CN"/>
        </w:rPr>
        <w:t>。</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16.4 超大件和超重件的运输</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运输超大件和超重件的费用：</w:t>
      </w:r>
      <w:r>
        <w:rPr>
          <w:rFonts w:hint="eastAsia" w:ascii="仿宋" w:hAnsi="仿宋" w:eastAsia="仿宋"/>
          <w:color w:val="auto"/>
          <w:highlight w:val="none"/>
          <w:u w:val="single"/>
          <w:lang w:eastAsia="zh-CN"/>
        </w:rPr>
        <w:t>按通用条款</w:t>
      </w:r>
      <w:r>
        <w:rPr>
          <w:rFonts w:hint="eastAsia" w:ascii="仿宋" w:hAnsi="仿宋" w:eastAsia="仿宋"/>
          <w:color w:val="auto"/>
          <w:highlight w:val="none"/>
          <w:lang w:eastAsia="zh-CN"/>
        </w:rPr>
        <w:t>。</w:t>
      </w:r>
    </w:p>
    <w:p>
      <w:pPr>
        <w:adjustRightInd w:val="0"/>
        <w:snapToGrid w:val="0"/>
        <w:spacing w:line="360" w:lineRule="auto"/>
        <w:rPr>
          <w:rFonts w:ascii="仿宋" w:hAnsi="仿宋" w:eastAsia="仿宋"/>
          <w:color w:val="auto"/>
          <w:highlight w:val="none"/>
          <w:lang w:eastAsia="zh-CN"/>
        </w:rPr>
      </w:pPr>
      <w:r>
        <w:rPr>
          <w:rFonts w:hint="eastAsia" w:ascii="仿宋" w:hAnsi="仿宋" w:eastAsia="仿宋"/>
          <w:color w:val="auto"/>
          <w:highlight w:val="none"/>
          <w:lang w:eastAsia="zh-CN"/>
        </w:rPr>
        <w:t>16.5因承包人运输造成施工场地内外公共道路和桥梁损坏的，由承包人承担修复损坏的全部费用和可能引起的赔偿，</w:t>
      </w:r>
      <w:r>
        <w:rPr>
          <w:rFonts w:hint="eastAsia" w:ascii="仿宋" w:hAnsi="仿宋" w:eastAsia="仿宋"/>
          <w:color w:val="auto"/>
          <w:highlight w:val="none"/>
          <w:u w:val="single"/>
          <w:lang w:eastAsia="zh-CN"/>
        </w:rPr>
        <w:t>按通用条款</w:t>
      </w:r>
      <w:r>
        <w:rPr>
          <w:rFonts w:hint="eastAsia" w:ascii="仿宋" w:hAnsi="仿宋" w:eastAsia="仿宋"/>
          <w:color w:val="auto"/>
          <w:highlight w:val="none"/>
          <w:lang w:eastAsia="zh-CN"/>
        </w:rPr>
        <w:t>。</w:t>
      </w:r>
    </w:p>
    <w:p>
      <w:pPr>
        <w:adjustRightInd w:val="0"/>
        <w:snapToGrid w:val="0"/>
        <w:spacing w:line="360" w:lineRule="auto"/>
        <w:rPr>
          <w:rFonts w:ascii="仿宋" w:hAnsi="仿宋" w:eastAsia="仿宋"/>
          <w:color w:val="auto"/>
          <w:highlight w:val="none"/>
          <w:lang w:eastAsia="zh-CN"/>
        </w:rPr>
      </w:pPr>
      <w:r>
        <w:rPr>
          <w:rFonts w:hint="eastAsia" w:ascii="仿宋" w:hAnsi="仿宋" w:eastAsia="仿宋"/>
          <w:color w:val="auto"/>
          <w:highlight w:val="none"/>
          <w:lang w:eastAsia="zh-CN"/>
        </w:rPr>
        <w:t>16.6 上述16.1~16.5所需费用均由承包人承担，且包含已在投标下浮率中，发包人不另行支付。</w:t>
      </w:r>
    </w:p>
    <w:p>
      <w:pPr>
        <w:pStyle w:val="4"/>
        <w:tabs>
          <w:tab w:val="left" w:pos="420"/>
        </w:tabs>
        <w:spacing w:line="360" w:lineRule="auto"/>
        <w:rPr>
          <w:color w:val="auto"/>
          <w:highlight w:val="none"/>
          <w:lang w:eastAsia="zh-CN"/>
        </w:rPr>
      </w:pPr>
      <w:bookmarkStart w:id="1441" w:name="_Toc12531"/>
      <w:bookmarkStart w:id="1442" w:name="_Toc10649"/>
      <w:bookmarkStart w:id="1443" w:name="_Toc16939"/>
      <w:bookmarkStart w:id="1444" w:name="_Toc31133"/>
      <w:bookmarkStart w:id="1445" w:name="_Toc20047"/>
      <w:bookmarkStart w:id="1446" w:name="_Toc31942"/>
      <w:bookmarkStart w:id="1447" w:name="_Toc31349"/>
      <w:bookmarkStart w:id="1448" w:name="_Toc10404"/>
      <w:r>
        <w:rPr>
          <w:rFonts w:hint="eastAsia" w:ascii="仿宋" w:hAnsi="仿宋" w:eastAsia="仿宋" w:cs="仿宋"/>
          <w:b w:val="0"/>
          <w:bCs w:val="0"/>
          <w:color w:val="auto"/>
          <w:sz w:val="24"/>
          <w:szCs w:val="24"/>
          <w:highlight w:val="none"/>
          <w:lang w:eastAsia="zh-CN"/>
        </w:rPr>
        <w:t>17.  专项批准事项的签认</w:t>
      </w:r>
      <w:bookmarkEnd w:id="1441"/>
      <w:bookmarkEnd w:id="1442"/>
      <w:bookmarkEnd w:id="1443"/>
      <w:bookmarkEnd w:id="1444"/>
      <w:bookmarkEnd w:id="1445"/>
      <w:bookmarkEnd w:id="1446"/>
      <w:bookmarkEnd w:id="1447"/>
      <w:bookmarkEnd w:id="1448"/>
    </w:p>
    <w:p>
      <w:pPr>
        <w:spacing w:line="360" w:lineRule="auto"/>
        <w:rPr>
          <w:rFonts w:ascii="仿宋" w:hAnsi="仿宋" w:eastAsia="仿宋" w:cs="仿宋"/>
          <w:color w:val="auto"/>
          <w:highlight w:val="none"/>
          <w:lang w:eastAsia="zh-CN"/>
        </w:rPr>
      </w:pPr>
      <w:bookmarkStart w:id="1449" w:name="_Toc25987"/>
      <w:r>
        <w:rPr>
          <w:rFonts w:hint="eastAsia" w:ascii="仿宋" w:hAnsi="仿宋" w:eastAsia="仿宋" w:cs="仿宋"/>
          <w:color w:val="auto"/>
          <w:highlight w:val="none"/>
          <w:lang w:eastAsia="zh-CN"/>
        </w:rPr>
        <w:t>17.2 专项批准事项签认人的要求</w:t>
      </w:r>
      <w:bookmarkEnd w:id="1449"/>
    </w:p>
    <w:p>
      <w:pPr>
        <w:spacing w:line="360" w:lineRule="auto"/>
        <w:ind w:left="137" w:leftChars="57" w:firstLine="600" w:firstLineChars="250"/>
        <w:rPr>
          <w:rFonts w:ascii="仿宋" w:hAnsi="仿宋" w:eastAsia="仿宋" w:cs="仿宋"/>
          <w:strike/>
          <w:color w:val="auto"/>
          <w:highlight w:val="none"/>
          <w:u w:val="single"/>
          <w:lang w:eastAsia="zh-CN"/>
        </w:rPr>
      </w:pPr>
      <w:r>
        <w:rPr>
          <w:rFonts w:hint="eastAsia" w:ascii="仿宋" w:hAnsi="仿宋" w:eastAsia="仿宋" w:cs="仿宋"/>
          <w:color w:val="auto"/>
          <w:highlight w:val="none"/>
          <w:lang w:eastAsia="zh-CN"/>
        </w:rPr>
        <w:t>专项批准事项的签认人选</w:t>
      </w:r>
      <w:r>
        <w:rPr>
          <w:rFonts w:hint="eastAsia" w:ascii="仿宋" w:hAnsi="仿宋" w:eastAsia="仿宋"/>
          <w:color w:val="auto"/>
          <w:highlight w:val="none"/>
          <w:lang w:eastAsia="zh-CN"/>
        </w:rPr>
        <w:t>：</w:t>
      </w:r>
      <w:r>
        <w:rPr>
          <w:rFonts w:hint="eastAsia" w:ascii="仿宋" w:hAnsi="仿宋" w:eastAsia="仿宋"/>
          <w:color w:val="auto"/>
          <w:highlight w:val="none"/>
          <w:u w:val="single"/>
          <w:lang w:eastAsia="zh-CN"/>
        </w:rPr>
        <w:t>另行告知</w:t>
      </w:r>
    </w:p>
    <w:p>
      <w:pPr>
        <w:pStyle w:val="4"/>
        <w:tabs>
          <w:tab w:val="left" w:pos="420"/>
        </w:tabs>
        <w:spacing w:line="360" w:lineRule="auto"/>
        <w:rPr>
          <w:rFonts w:eastAsia="仿宋"/>
          <w:color w:val="auto"/>
          <w:highlight w:val="none"/>
          <w:lang w:eastAsia="zh-CN"/>
        </w:rPr>
      </w:pPr>
      <w:bookmarkStart w:id="1450" w:name="_Toc9334"/>
      <w:bookmarkStart w:id="1451" w:name="_Toc16719"/>
      <w:bookmarkStart w:id="1452" w:name="_Toc11780"/>
      <w:bookmarkStart w:id="1453" w:name="_Toc3007"/>
      <w:bookmarkStart w:id="1454" w:name="_Toc10972"/>
      <w:bookmarkStart w:id="1455" w:name="_Toc2136"/>
      <w:bookmarkStart w:id="1456" w:name="_Toc20785"/>
      <w:bookmarkStart w:id="1457" w:name="_Toc1955"/>
      <w:r>
        <w:rPr>
          <w:rFonts w:hint="eastAsia" w:ascii="仿宋" w:hAnsi="仿宋" w:eastAsia="仿宋" w:cs="仿宋"/>
          <w:b w:val="0"/>
          <w:bCs w:val="0"/>
          <w:color w:val="auto"/>
          <w:sz w:val="24"/>
          <w:szCs w:val="24"/>
          <w:highlight w:val="none"/>
          <w:lang w:eastAsia="zh-CN"/>
        </w:rPr>
        <w:t>18.  专利技术和知识产权</w:t>
      </w:r>
      <w:bookmarkEnd w:id="1450"/>
      <w:bookmarkEnd w:id="1451"/>
      <w:bookmarkEnd w:id="1452"/>
      <w:bookmarkEnd w:id="1453"/>
      <w:bookmarkEnd w:id="1454"/>
      <w:bookmarkEnd w:id="1455"/>
      <w:bookmarkEnd w:id="1456"/>
      <w:bookmarkEnd w:id="1457"/>
    </w:p>
    <w:p>
      <w:pPr>
        <w:spacing w:line="360" w:lineRule="auto"/>
        <w:ind w:left="240" w:leftChars="100"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18.3版权和知识产权</w:t>
      </w:r>
    </w:p>
    <w:p>
      <w:pPr>
        <w:spacing w:line="360" w:lineRule="auto"/>
        <w:ind w:left="240" w:leftChars="100" w:firstLine="120" w:firstLineChars="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18.3.2 承包人为实施工程所编制的文件，其著作权归属的约定：</w:t>
      </w:r>
      <w:r>
        <w:rPr>
          <w:rFonts w:hint="eastAsia" w:ascii="仿宋" w:hAnsi="仿宋" w:eastAsia="仿宋" w:cs="仿宋"/>
          <w:color w:val="auto"/>
          <w:highlight w:val="none"/>
          <w:u w:val="single"/>
          <w:lang w:eastAsia="zh-CN"/>
        </w:rPr>
        <w:t>除署名权外均</w:t>
      </w:r>
      <w:r>
        <w:rPr>
          <w:rFonts w:hint="eastAsia" w:ascii="仿宋" w:hAnsi="仿宋" w:eastAsia="仿宋" w:cs="仿宋"/>
          <w:color w:val="auto"/>
          <w:highlight w:val="none"/>
          <w:lang w:eastAsia="zh-CN"/>
        </w:rPr>
        <w:t>属于发包人</w:t>
      </w:r>
    </w:p>
    <w:p>
      <w:pPr>
        <w:pStyle w:val="4"/>
        <w:tabs>
          <w:tab w:val="left" w:pos="420"/>
        </w:tabs>
        <w:spacing w:line="360" w:lineRule="auto"/>
        <w:rPr>
          <w:color w:val="auto"/>
          <w:highlight w:val="none"/>
          <w:lang w:eastAsia="zh-CN"/>
        </w:rPr>
      </w:pPr>
      <w:bookmarkStart w:id="1458" w:name="_Toc15643"/>
      <w:bookmarkStart w:id="1459" w:name="_Toc25175"/>
      <w:bookmarkStart w:id="1460" w:name="_Toc890"/>
      <w:bookmarkStart w:id="1461" w:name="_Toc28905"/>
      <w:bookmarkStart w:id="1462" w:name="_Toc16558"/>
      <w:bookmarkStart w:id="1463" w:name="_Toc30035"/>
      <w:bookmarkStart w:id="1464" w:name="_Toc21971"/>
      <w:bookmarkStart w:id="1465" w:name="_Toc11989"/>
      <w:r>
        <w:rPr>
          <w:rFonts w:hint="eastAsia" w:ascii="仿宋" w:hAnsi="仿宋" w:eastAsia="仿宋" w:cs="仿宋"/>
          <w:b w:val="0"/>
          <w:bCs w:val="0"/>
          <w:color w:val="auto"/>
          <w:sz w:val="24"/>
          <w:szCs w:val="24"/>
          <w:highlight w:val="none"/>
          <w:lang w:eastAsia="zh-CN"/>
        </w:rPr>
        <w:t>19.  联合的责任</w:t>
      </w:r>
      <w:bookmarkEnd w:id="1458"/>
      <w:bookmarkEnd w:id="1459"/>
      <w:bookmarkEnd w:id="1460"/>
      <w:bookmarkEnd w:id="1461"/>
      <w:bookmarkEnd w:id="1462"/>
      <w:bookmarkEnd w:id="1463"/>
      <w:bookmarkEnd w:id="1464"/>
      <w:bookmarkEnd w:id="1465"/>
    </w:p>
    <w:p>
      <w:pPr>
        <w:spacing w:line="360" w:lineRule="auto"/>
        <w:ind w:left="240" w:leftChars="100"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19.1联合体的组成及责任</w:t>
      </w:r>
    </w:p>
    <w:p>
      <w:pPr>
        <w:spacing w:line="360" w:lineRule="auto"/>
        <w:ind w:left="240" w:leftChars="100"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联合牵头人的管理责任（按联合体协议填写）</w:t>
      </w:r>
    </w:p>
    <w:p>
      <w:pPr>
        <w:spacing w:line="360" w:lineRule="auto"/>
        <w:ind w:left="240" w:leftChars="100" w:firstLine="360" w:firstLineChars="1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单位为联合体牵头人时的管理责任：</w:t>
      </w:r>
      <w:r>
        <w:rPr>
          <w:rFonts w:hint="eastAsia" w:ascii="仿宋" w:hAnsi="仿宋" w:eastAsia="仿宋" w:cs="仿宋"/>
          <w:color w:val="auto"/>
          <w:highlight w:val="none"/>
          <w:u w:val="single"/>
          <w:lang w:eastAsia="zh-CN"/>
        </w:rPr>
        <w:t xml:space="preserve">   /   </w:t>
      </w:r>
    </w:p>
    <w:p>
      <w:pPr>
        <w:spacing w:line="360" w:lineRule="auto"/>
        <w:ind w:left="240" w:leftChars="1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□设计单位为联合体牵头人时的管理责任：</w:t>
      </w:r>
      <w:r>
        <w:rPr>
          <w:rFonts w:hint="eastAsia" w:ascii="仿宋" w:hAnsi="仿宋" w:eastAsia="仿宋" w:cs="仿宋"/>
          <w:color w:val="auto"/>
          <w:highlight w:val="none"/>
          <w:u w:val="single"/>
          <w:lang w:eastAsia="zh-CN"/>
        </w:rPr>
        <w:t xml:space="preserve">   /   </w:t>
      </w:r>
    </w:p>
    <w:p>
      <w:pPr>
        <w:snapToGrid w:val="0"/>
        <w:spacing w:line="360" w:lineRule="auto"/>
        <w:ind w:left="240" w:leftChars="100" w:firstLine="360" w:firstLineChars="150"/>
        <w:rPr>
          <w:rFonts w:hint="eastAsia" w:ascii="仿宋" w:hAnsi="仿宋" w:eastAsia="仿宋" w:cs="仿宋"/>
          <w:color w:val="auto"/>
          <w:highlight w:val="none"/>
          <w:u w:val="single"/>
          <w:lang w:eastAsia="zh-CN"/>
        </w:rPr>
      </w:pPr>
      <w:r>
        <w:rPr>
          <w:rFonts w:hint="eastAsia" w:ascii="仿宋" w:hAnsi="仿宋" w:eastAsia="仿宋" w:cs="仿宋"/>
          <w:color w:val="auto"/>
          <w:highlight w:val="none"/>
          <w:lang w:eastAsia="zh-CN"/>
        </w:rPr>
        <w:t>□施工单位为联合体牵头人时的管理责任：</w:t>
      </w:r>
      <w:r>
        <w:rPr>
          <w:rFonts w:hint="eastAsia" w:ascii="仿宋" w:hAnsi="仿宋" w:eastAsia="仿宋" w:cs="仿宋"/>
          <w:color w:val="auto"/>
          <w:highlight w:val="none"/>
          <w:u w:val="single"/>
          <w:lang w:eastAsia="zh-CN"/>
        </w:rPr>
        <w:t xml:space="preserve">   /   </w:t>
      </w:r>
    </w:p>
    <w:p>
      <w:pPr>
        <w:snapToGrid w:val="0"/>
        <w:spacing w:line="360" w:lineRule="auto"/>
        <w:ind w:left="240" w:leftChars="100" w:firstLine="360" w:firstLineChars="150"/>
        <w:rPr>
          <w:rFonts w:hint="eastAsia" w:ascii="仿宋" w:hAnsi="仿宋" w:eastAsia="仿宋" w:cs="仿宋"/>
          <w:color w:val="auto"/>
          <w:highlight w:val="none"/>
          <w:u w:val="single"/>
          <w:lang w:eastAsia="zh-CN"/>
        </w:rPr>
      </w:pPr>
      <w:r>
        <w:rPr>
          <w:rFonts w:hint="eastAsia" w:ascii="仿宋" w:hAnsi="仿宋" w:eastAsia="仿宋" w:cs="仿宋"/>
          <w:color w:val="auto"/>
          <w:highlight w:val="none"/>
          <w:lang w:eastAsia="zh-CN"/>
        </w:rPr>
        <w:t>□</w:t>
      </w:r>
      <w:r>
        <w:rPr>
          <w:rFonts w:hint="eastAsia" w:ascii="仿宋" w:hAnsi="仿宋" w:eastAsia="仿宋" w:cs="仿宋"/>
          <w:color w:val="auto"/>
          <w:highlight w:val="none"/>
          <w:lang w:val="en-US" w:eastAsia="zh-CN"/>
        </w:rPr>
        <w:t>运营</w:t>
      </w:r>
      <w:r>
        <w:rPr>
          <w:rFonts w:hint="eastAsia" w:ascii="仿宋" w:hAnsi="仿宋" w:eastAsia="仿宋" w:cs="仿宋"/>
          <w:color w:val="auto"/>
          <w:highlight w:val="none"/>
          <w:lang w:eastAsia="zh-CN"/>
        </w:rPr>
        <w:t>单位为联合体牵头人时的管理责任：</w:t>
      </w:r>
      <w:r>
        <w:rPr>
          <w:rFonts w:hint="eastAsia" w:ascii="仿宋" w:hAnsi="仿宋" w:eastAsia="仿宋" w:cs="仿宋"/>
          <w:color w:val="auto"/>
          <w:highlight w:val="none"/>
          <w:u w:val="single"/>
          <w:lang w:eastAsia="zh-CN"/>
        </w:rPr>
        <w:t xml:space="preserve">   /   </w:t>
      </w:r>
    </w:p>
    <w:p>
      <w:pPr>
        <w:snapToGrid w:val="0"/>
        <w:spacing w:line="360" w:lineRule="auto"/>
        <w:ind w:left="240" w:leftChars="100"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19.3 联合体的内部管理</w:t>
      </w:r>
    </w:p>
    <w:p>
      <w:pPr>
        <w:snapToGrid w:val="0"/>
        <w:spacing w:line="360" w:lineRule="auto"/>
        <w:ind w:left="240" w:leftChars="100"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19.3.6 联合体牵头人因反对成员单位提出的优化建议而不报送发包人审核，发包人有权对牵头人进行经济处罚，其处罚方式的约定：一经发现，</w:t>
      </w:r>
      <w:r>
        <w:rPr>
          <w:rFonts w:hint="eastAsia" w:ascii="仿宋" w:hAnsi="仿宋" w:eastAsia="仿宋" w:cs="仿宋"/>
          <w:color w:val="auto"/>
          <w:highlight w:val="none"/>
          <w:u w:val="single"/>
          <w:lang w:eastAsia="zh-CN"/>
        </w:rPr>
        <w:t>发包人有权从应支付给承包人的款项中扣减优化建议应产生的效益金额。</w:t>
      </w:r>
    </w:p>
    <w:p>
      <w:pPr>
        <w:pStyle w:val="4"/>
        <w:tabs>
          <w:tab w:val="left" w:pos="420"/>
        </w:tabs>
        <w:spacing w:line="360" w:lineRule="auto"/>
        <w:rPr>
          <w:color w:val="auto"/>
          <w:highlight w:val="none"/>
          <w:lang w:eastAsia="zh-CN"/>
        </w:rPr>
      </w:pPr>
      <w:bookmarkStart w:id="1466" w:name="_Toc26620"/>
      <w:bookmarkStart w:id="1467" w:name="_Toc12407"/>
      <w:bookmarkStart w:id="1468" w:name="_Toc3376"/>
      <w:bookmarkStart w:id="1469" w:name="_Toc18104"/>
      <w:bookmarkStart w:id="1470" w:name="_Toc28127"/>
      <w:bookmarkStart w:id="1471" w:name="_Toc14878"/>
      <w:bookmarkStart w:id="1472" w:name="_Toc15134"/>
      <w:bookmarkStart w:id="1473" w:name="_Toc30659"/>
      <w:r>
        <w:rPr>
          <w:rFonts w:hint="eastAsia" w:ascii="仿宋" w:hAnsi="仿宋" w:eastAsia="仿宋" w:cs="仿宋"/>
          <w:b w:val="0"/>
          <w:bCs w:val="0"/>
          <w:color w:val="auto"/>
          <w:sz w:val="24"/>
          <w:szCs w:val="24"/>
          <w:highlight w:val="none"/>
          <w:lang w:eastAsia="zh-CN"/>
        </w:rPr>
        <w:t>22.  发包人</w:t>
      </w:r>
      <w:bookmarkEnd w:id="1466"/>
      <w:bookmarkEnd w:id="1467"/>
      <w:bookmarkEnd w:id="1468"/>
      <w:bookmarkEnd w:id="1469"/>
      <w:bookmarkEnd w:id="1470"/>
      <w:bookmarkEnd w:id="1471"/>
      <w:bookmarkEnd w:id="1472"/>
      <w:bookmarkEnd w:id="1473"/>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22.2 发包人工作</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发包人完成下列工作的约定：</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w:t>
      </w:r>
      <w:bookmarkStart w:id="1474" w:name="_Hlk53305925"/>
      <w:r>
        <w:rPr>
          <w:rFonts w:hint="eastAsia" w:ascii="仿宋" w:hAnsi="仿宋" w:eastAsia="仿宋" w:cs="仿宋"/>
          <w:color w:val="auto"/>
          <w:highlight w:val="none"/>
          <w:lang w:eastAsia="zh-CN"/>
        </w:rPr>
        <w:t>提供标准与规范的时间：</w:t>
      </w:r>
      <w:r>
        <w:rPr>
          <w:rFonts w:hint="eastAsia" w:ascii="仿宋" w:hAnsi="仿宋" w:eastAsia="仿宋"/>
          <w:color w:val="auto"/>
          <w:highlight w:val="none"/>
          <w:u w:val="single"/>
          <w:lang w:eastAsia="zh-CN"/>
        </w:rPr>
        <w:t>发包人不提供，由承包人按国家、省、市标准和规范及设计图纸要求自备。</w:t>
      </w:r>
    </w:p>
    <w:bookmarkEnd w:id="1474"/>
    <w:p>
      <w:pPr>
        <w:spacing w:line="360" w:lineRule="auto"/>
        <w:ind w:left="274" w:leftChars="114" w:firstLine="240" w:firstLineChars="1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（4）办理土地征用、拆迁、平整施工场地等工作的时间：</w:t>
      </w:r>
      <w:r>
        <w:rPr>
          <w:rFonts w:hint="eastAsia" w:ascii="仿宋" w:hAnsi="仿宋" w:eastAsia="仿宋"/>
          <w:color w:val="auto"/>
          <w:highlight w:val="none"/>
          <w:u w:val="single"/>
          <w:lang w:eastAsia="zh-CN"/>
        </w:rPr>
        <w:t>土地征用、拆迁等工作完成时间原则上在开工前；因土地征用和拆迁进度原因不能按时移交场地的，可采取分段方式逐步移交施工场地，采取分段方式逐步移交施工场地的，由承包人自行调整施工安排并承担相应经济成本，工期不作顺延；场地清理、平整等工作由承包人负责办理。</w:t>
      </w:r>
    </w:p>
    <w:p>
      <w:pPr>
        <w:spacing w:line="360" w:lineRule="auto"/>
        <w:ind w:left="274" w:leftChars="114" w:firstLine="240" w:firstLineChars="1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（5）完成施工所需水、电、通讯线路接驳的时间及地点：</w:t>
      </w:r>
      <w:r>
        <w:rPr>
          <w:rFonts w:hint="eastAsia" w:ascii="仿宋" w:hAnsi="仿宋" w:eastAsia="仿宋" w:cs="仿宋"/>
          <w:color w:val="auto"/>
          <w:highlight w:val="none"/>
          <w:u w:val="single"/>
          <w:lang w:eastAsia="zh-CN"/>
        </w:rPr>
        <w:t>承</w:t>
      </w:r>
      <w:r>
        <w:rPr>
          <w:rFonts w:hint="eastAsia" w:ascii="仿宋" w:hAnsi="仿宋" w:eastAsia="仿宋"/>
          <w:color w:val="auto"/>
          <w:highlight w:val="none"/>
          <w:u w:val="single"/>
          <w:lang w:eastAsia="zh-CN"/>
        </w:rPr>
        <w:t>包人应自行解决施工所需的水、电、通讯线路，相关费用已包含在投标报价中，发包人不另行支付。</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（6）开通施工现场与城乡公共道路间的通道的时间：</w:t>
      </w:r>
      <w:r>
        <w:rPr>
          <w:rFonts w:hint="eastAsia" w:ascii="仿宋" w:hAnsi="仿宋" w:eastAsia="仿宋"/>
          <w:color w:val="auto"/>
          <w:highlight w:val="none"/>
          <w:u w:val="single"/>
          <w:lang w:eastAsia="zh-CN"/>
        </w:rPr>
        <w:t>承包人应负责与当地有关部门联系和开通施工场地与现有城乡公共道路之间的临时通道及施工场地内外的主要便道，以适应场地运输的需要，临时道路的开通、养护及由于施工造成第三者损失的费用均由承包人承担，相关费用已包含在投标报价中，发包人不另行支付。</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（7）办理施工所需的有关证件和批准手续的时间：</w:t>
      </w:r>
      <w:r>
        <w:rPr>
          <w:rFonts w:hint="eastAsia" w:ascii="仿宋" w:hAnsi="仿宋" w:eastAsia="仿宋"/>
          <w:color w:val="auto"/>
          <w:highlight w:val="none"/>
          <w:u w:val="single"/>
          <w:lang w:eastAsia="zh-CN"/>
        </w:rPr>
        <w:t>各种报监报建报装申报手续及施工所需许可、证件、批件，包括但不限于办理施工许可证（或临时施工许可）、报监手续、余泥排放证、排水手续、排水接驳、永水永电手续、永水永电接驳、通讯及燃气手续及接驳、水质检测（给水、排水）、排水许可证、占道挖掘城市道路等，均由承包人负责办理，发包人应积极配合承包人，上述报监报建报装过程中需要缴纳的费用根据政府相关规定除明确要求由发包人承担的行政性收费以外，已包含在投标报价中，发包人不另行支付。</w:t>
      </w:r>
    </w:p>
    <w:p>
      <w:pPr>
        <w:spacing w:line="360" w:lineRule="auto"/>
        <w:ind w:left="274" w:leftChars="114"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（8）确定水准点与坐标控制点，组织现场交验的时间：</w:t>
      </w:r>
      <w:r>
        <w:rPr>
          <w:rFonts w:hint="eastAsia" w:ascii="仿宋" w:hAnsi="仿宋" w:eastAsia="仿宋" w:cs="仿宋"/>
          <w:color w:val="auto"/>
          <w:highlight w:val="none"/>
          <w:u w:val="single"/>
          <w:lang w:eastAsia="zh-CN"/>
        </w:rPr>
        <w:t>开工前【3】个工作日交验</w:t>
      </w:r>
      <w:r>
        <w:rPr>
          <w:rFonts w:hint="eastAsia" w:ascii="仿宋" w:hAnsi="仿宋" w:eastAsia="仿宋" w:cs="仿宋"/>
          <w:color w:val="auto"/>
          <w:highlight w:val="none"/>
          <w:lang w:eastAsia="zh-CN"/>
        </w:rPr>
        <w:t>。</w:t>
      </w:r>
    </w:p>
    <w:p>
      <w:pPr>
        <w:adjustRightInd w:val="0"/>
        <w:snapToGrid w:val="0"/>
        <w:spacing w:line="360" w:lineRule="auto"/>
        <w:ind w:firstLine="480" w:firstLineChars="200"/>
        <w:rPr>
          <w:rFonts w:ascii="仿宋" w:hAnsi="仿宋" w:eastAsia="仿宋"/>
          <w:color w:val="auto"/>
          <w:highlight w:val="none"/>
          <w:u w:val="single"/>
          <w:lang w:eastAsia="zh-CN"/>
        </w:rPr>
      </w:pPr>
      <w:bookmarkStart w:id="1475" w:name="_Hlk53308218"/>
      <w:r>
        <w:rPr>
          <w:rFonts w:hint="eastAsia" w:ascii="仿宋" w:hAnsi="仿宋" w:eastAsia="仿宋" w:cs="仿宋"/>
          <w:color w:val="auto"/>
          <w:highlight w:val="none"/>
          <w:lang w:eastAsia="zh-CN"/>
        </w:rPr>
        <w:t>（</w:t>
      </w:r>
      <w:r>
        <w:rPr>
          <w:rFonts w:ascii="仿宋" w:hAnsi="仿宋" w:eastAsia="仿宋" w:cs="仿宋"/>
          <w:color w:val="auto"/>
          <w:highlight w:val="none"/>
          <w:lang w:eastAsia="zh-CN"/>
        </w:rPr>
        <w:t>9</w:t>
      </w:r>
      <w:r>
        <w:rPr>
          <w:rFonts w:hint="eastAsia" w:ascii="仿宋" w:hAnsi="仿宋" w:eastAsia="仿宋" w:cs="仿宋"/>
          <w:color w:val="auto"/>
          <w:highlight w:val="none"/>
          <w:lang w:eastAsia="zh-CN"/>
        </w:rPr>
        <w:t>）协调处理施工场地周围地形关系问题和邻近建筑物等保护工作的约定：</w:t>
      </w:r>
      <w:r>
        <w:rPr>
          <w:rFonts w:hint="eastAsia" w:ascii="仿宋" w:hAnsi="仿宋" w:eastAsia="仿宋"/>
          <w:color w:val="auto"/>
          <w:highlight w:val="none"/>
          <w:u w:val="single"/>
          <w:lang w:eastAsia="zh-CN"/>
        </w:rPr>
        <w:t xml:space="preserve">发包人可以为承包人提供其能力范围内的协助和方便，协调关系及保护工作由承包人负责，所需费用已包含在承包人的投标报价中，发包人不另行支付。  </w:t>
      </w:r>
    </w:p>
    <w:bookmarkEnd w:id="1475"/>
    <w:p>
      <w:pPr>
        <w:pStyle w:val="137"/>
        <w:spacing w:line="360" w:lineRule="auto"/>
        <w:ind w:firstLine="480" w:firstLineChars="200"/>
        <w:rPr>
          <w:rFonts w:ascii="仿宋" w:hAnsi="仿宋" w:eastAsia="仿宋"/>
          <w:color w:val="auto"/>
          <w:highlight w:val="none"/>
        </w:rPr>
      </w:pPr>
      <w:r>
        <w:rPr>
          <w:rFonts w:hint="eastAsia" w:ascii="仿宋" w:hAnsi="仿宋" w:eastAsia="仿宋" w:cs="仿宋"/>
          <w:color w:val="auto"/>
          <w:highlight w:val="none"/>
        </w:rPr>
        <w:t>（</w:t>
      </w:r>
      <w:r>
        <w:rPr>
          <w:rFonts w:ascii="仿宋" w:hAnsi="仿宋" w:eastAsia="仿宋" w:cs="仿宋"/>
          <w:color w:val="auto"/>
          <w:highlight w:val="none"/>
        </w:rPr>
        <w:t>11</w:t>
      </w:r>
      <w:r>
        <w:rPr>
          <w:rFonts w:hint="eastAsia" w:ascii="仿宋" w:hAnsi="仿宋" w:eastAsia="仿宋" w:cs="仿宋"/>
          <w:color w:val="auto"/>
          <w:highlight w:val="none"/>
        </w:rPr>
        <w:t>）其它约定：</w:t>
      </w:r>
      <w:r>
        <w:rPr>
          <w:rFonts w:hint="eastAsia" w:ascii="仿宋" w:hAnsi="仿宋" w:eastAsia="仿宋"/>
          <w:color w:val="auto"/>
          <w:highlight w:val="none"/>
          <w:u w:val="single"/>
        </w:rPr>
        <w:t>发包人组织监理每月对承包人进行考核，包括但不限于安全目标考核、质量目标考核、人员考勤考核、进度目标考核等工作，考核结果作为进度款的支付依据，考核须由总监理工程师及发包人现场项目负责人书面签名确认。</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发包人委托承包人办理的上述工作有：</w:t>
      </w:r>
      <w:r>
        <w:rPr>
          <w:rFonts w:hint="eastAsia" w:ascii="仿宋" w:hAnsi="仿宋" w:eastAsia="仿宋" w:cs="仿宋"/>
          <w:color w:val="auto"/>
          <w:highlight w:val="none"/>
          <w:u w:val="single"/>
          <w:lang w:eastAsia="zh-CN"/>
        </w:rPr>
        <w:t>协助规划报建工程质监登记、合同鉴证、施工许可证、购买印花税等一切施工所需的审批、申领手续以及规划验收、消防验收、环保验收、防雷报建及验收、人防验收、永久用水、永久用电接驳报装及验收、永久路口报建及验收、排水排污报建及验收等工作。</w:t>
      </w:r>
      <w:r>
        <w:rPr>
          <w:rFonts w:ascii="仿宋" w:hAnsi="仿宋" w:eastAsia="仿宋" w:cs="仿宋"/>
          <w:color w:val="auto"/>
          <w:highlight w:val="none"/>
          <w:u w:val="single"/>
          <w:lang w:eastAsia="zh-CN"/>
        </w:rPr>
        <w:t>费用按政策规定各自承担相应部分</w:t>
      </w:r>
      <w:r>
        <w:rPr>
          <w:rFonts w:hint="eastAsia" w:ascii="仿宋" w:hAnsi="仿宋" w:eastAsia="仿宋" w:cs="仿宋"/>
          <w:color w:val="auto"/>
          <w:highlight w:val="none"/>
          <w:u w:val="single"/>
          <w:lang w:eastAsia="zh-CN"/>
        </w:rPr>
        <w:t>。</w:t>
      </w:r>
    </w:p>
    <w:p>
      <w:pPr>
        <w:spacing w:line="360" w:lineRule="auto"/>
        <w:ind w:firstLine="240" w:firstLineChars="100"/>
        <w:rPr>
          <w:rFonts w:ascii="仿宋" w:hAnsi="仿宋" w:eastAsia="仿宋" w:cs="仿宋"/>
          <w:color w:val="auto"/>
          <w:highlight w:val="none"/>
          <w:lang w:eastAsia="zh-CN"/>
        </w:rPr>
      </w:pPr>
      <w:bookmarkStart w:id="1476" w:name="_Toc15645"/>
      <w:r>
        <w:rPr>
          <w:rFonts w:hint="eastAsia" w:ascii="仿宋" w:hAnsi="仿宋" w:eastAsia="仿宋" w:cs="仿宋"/>
          <w:color w:val="auto"/>
          <w:highlight w:val="none"/>
          <w:lang w:eastAsia="zh-CN"/>
        </w:rPr>
        <w:t>22.3 发包人提供施工场地</w:t>
      </w:r>
      <w:bookmarkEnd w:id="1476"/>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提供施工场地的时间：</w:t>
      </w:r>
      <w:r>
        <w:rPr>
          <w:rFonts w:hint="eastAsia" w:ascii="仿宋" w:hAnsi="仿宋" w:eastAsia="仿宋"/>
          <w:color w:val="auto"/>
          <w:highlight w:val="none"/>
          <w:u w:val="single"/>
          <w:lang w:eastAsia="zh-CN"/>
        </w:rPr>
        <w:t>发包人开工前向承包人移交施工现场。</w:t>
      </w:r>
    </w:p>
    <w:p>
      <w:pPr>
        <w:spacing w:line="360" w:lineRule="auto"/>
        <w:ind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22.4 发包人支付款项</w:t>
      </w:r>
    </w:p>
    <w:p>
      <w:pPr>
        <w:spacing w:line="360" w:lineRule="auto"/>
        <w:ind w:left="137" w:leftChars="57"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①工程款支付期限</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按通用条款第85.3款、第86.3款、第88.3款等约定期限支付。</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 另作约定：工程款支付期限按专用条款83款至88款等约定期限支付。</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②工程款支付方式</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 按协议书所注明的银行账户转账。</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 支票支付。</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其他方式：</w:t>
      </w:r>
      <w:r>
        <w:rPr>
          <w:rFonts w:hint="eastAsia" w:ascii="仿宋" w:hAnsi="仿宋" w:eastAsia="仿宋"/>
          <w:color w:val="auto"/>
          <w:highlight w:val="none"/>
          <w:u w:val="single"/>
          <w:lang w:eastAsia="zh-CN"/>
        </w:rPr>
        <w:t>按发包人相关支付程序、制度执行。</w:t>
      </w:r>
    </w:p>
    <w:p>
      <w:pPr>
        <w:pStyle w:val="4"/>
        <w:tabs>
          <w:tab w:val="left" w:pos="420"/>
        </w:tabs>
        <w:spacing w:line="360" w:lineRule="auto"/>
        <w:rPr>
          <w:color w:val="auto"/>
          <w:highlight w:val="none"/>
          <w:lang w:eastAsia="zh-CN"/>
        </w:rPr>
      </w:pPr>
      <w:bookmarkStart w:id="1477" w:name="_Toc2247"/>
      <w:bookmarkStart w:id="1478" w:name="_Toc2005"/>
      <w:bookmarkStart w:id="1479" w:name="_Toc12040"/>
      <w:bookmarkStart w:id="1480" w:name="_Toc26989"/>
      <w:bookmarkStart w:id="1481" w:name="_Toc19240"/>
      <w:bookmarkStart w:id="1482" w:name="_Toc17632"/>
      <w:bookmarkStart w:id="1483" w:name="_Toc22568"/>
      <w:bookmarkStart w:id="1484" w:name="_Toc18297"/>
      <w:r>
        <w:rPr>
          <w:rFonts w:hint="eastAsia" w:ascii="仿宋" w:hAnsi="仿宋" w:eastAsia="仿宋" w:cs="仿宋"/>
          <w:b w:val="0"/>
          <w:bCs w:val="0"/>
          <w:color w:val="auto"/>
          <w:sz w:val="24"/>
          <w:szCs w:val="24"/>
          <w:highlight w:val="none"/>
          <w:lang w:eastAsia="zh-CN"/>
        </w:rPr>
        <w:t>23.  承包人</w:t>
      </w:r>
      <w:bookmarkEnd w:id="1477"/>
      <w:bookmarkEnd w:id="1478"/>
      <w:bookmarkEnd w:id="1479"/>
      <w:bookmarkEnd w:id="1480"/>
      <w:bookmarkEnd w:id="1481"/>
      <w:bookmarkEnd w:id="1482"/>
      <w:bookmarkEnd w:id="1483"/>
      <w:bookmarkEnd w:id="1484"/>
    </w:p>
    <w:p>
      <w:pPr>
        <w:spacing w:line="360" w:lineRule="auto"/>
        <w:ind w:firstLine="240" w:firstLineChars="100"/>
        <w:rPr>
          <w:rFonts w:ascii="仿宋" w:hAnsi="仿宋" w:eastAsia="仿宋"/>
          <w:b/>
          <w:bCs/>
          <w:color w:val="auto"/>
          <w:highlight w:val="none"/>
          <w:lang w:eastAsia="zh-CN"/>
        </w:rPr>
      </w:pPr>
      <w:r>
        <w:rPr>
          <w:rFonts w:hint="eastAsia" w:ascii="仿宋" w:hAnsi="仿宋" w:eastAsia="仿宋" w:cs="仿宋"/>
          <w:color w:val="auto"/>
          <w:highlight w:val="none"/>
          <w:lang w:eastAsia="zh-CN"/>
        </w:rPr>
        <w:t>23.1 遵守法律</w:t>
      </w:r>
    </w:p>
    <w:p>
      <w:pPr>
        <w:spacing w:line="360" w:lineRule="auto"/>
        <w:ind w:left="650" w:leftChars="271"/>
        <w:rPr>
          <w:rFonts w:ascii="仿宋" w:hAnsi="仿宋" w:eastAsia="仿宋"/>
          <w:b/>
          <w:bCs/>
          <w:color w:val="auto"/>
          <w:highlight w:val="none"/>
          <w:lang w:eastAsia="zh-CN"/>
        </w:rPr>
      </w:pPr>
      <w:r>
        <w:rPr>
          <w:rFonts w:hint="eastAsia" w:ascii="仿宋" w:hAnsi="仿宋" w:eastAsia="仿宋" w:cs="仿宋"/>
          <w:color w:val="auto"/>
          <w:highlight w:val="none"/>
          <w:lang w:eastAsia="zh-CN"/>
        </w:rPr>
        <w:t>承包人在本项目中存在通用条款23.1所列行为的，将被拒绝参与发包人后续工程投标。拒绝投标时限：</w:t>
      </w:r>
      <w:r>
        <w:rPr>
          <w:rFonts w:hint="eastAsia" w:ascii="仿宋" w:hAnsi="仿宋" w:eastAsia="仿宋"/>
          <w:color w:val="auto"/>
          <w:highlight w:val="none"/>
          <w:u w:val="single"/>
          <w:lang w:eastAsia="zh-CN"/>
        </w:rPr>
        <w:t>1年</w:t>
      </w:r>
      <w:r>
        <w:rPr>
          <w:rFonts w:hint="eastAsia" w:ascii="仿宋" w:hAnsi="仿宋" w:eastAsia="仿宋" w:cs="仿宋"/>
          <w:color w:val="auto"/>
          <w:highlight w:val="none"/>
          <w:lang w:eastAsia="zh-CN"/>
        </w:rPr>
        <w:t>。</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23.2 承包人工作</w:t>
      </w:r>
    </w:p>
    <w:p>
      <w:pPr>
        <w:spacing w:line="360" w:lineRule="auto"/>
        <w:ind w:left="240" w:leftChars="1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承包人完成下列工作的约定：</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（1）除法律另有规定外，由承包人办理的许可、批准或备案：</w:t>
      </w:r>
      <w:r>
        <w:rPr>
          <w:rFonts w:hint="eastAsia" w:ascii="仿宋" w:hAnsi="仿宋" w:eastAsia="仿宋" w:cs="仿宋"/>
          <w:color w:val="auto"/>
          <w:highlight w:val="none"/>
          <w:u w:val="single"/>
          <w:lang w:eastAsia="zh-CN"/>
        </w:rPr>
        <w:t>按专用条款22.2及其它约定。</w:t>
      </w:r>
    </w:p>
    <w:p>
      <w:pPr>
        <w:spacing w:line="360" w:lineRule="auto"/>
        <w:ind w:left="240" w:leftChars="100"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（7） 提交支付申请和工程款额报告期限</w:t>
      </w:r>
    </w:p>
    <w:p>
      <w:pPr>
        <w:spacing w:line="360" w:lineRule="auto"/>
        <w:ind w:left="240" w:leftChars="100"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按通用条款第80.2款、第81.1款、第83.1款等约定期限提交。</w:t>
      </w:r>
    </w:p>
    <w:p>
      <w:pPr>
        <w:spacing w:line="360" w:lineRule="auto"/>
        <w:ind w:left="240" w:leftChars="100"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（9）向发包人提供施工场地办公和生活的房屋及设施的数量和时间等要求：</w:t>
      </w:r>
      <w:r>
        <w:rPr>
          <w:rFonts w:hint="eastAsia" w:ascii="仿宋" w:hAnsi="仿宋" w:eastAsia="仿宋"/>
          <w:color w:val="auto"/>
          <w:highlight w:val="none"/>
          <w:u w:val="single"/>
          <w:lang w:eastAsia="zh-CN"/>
        </w:rPr>
        <w:t>按发包人要求提供施工场地办公场所，最低包括：发包人代表现场办公室</w:t>
      </w:r>
      <w:r>
        <w:rPr>
          <w:rFonts w:hint="eastAsia" w:ascii="仿宋" w:hAnsi="仿宋" w:eastAsia="仿宋"/>
          <w:color w:val="auto"/>
          <w:highlight w:val="none"/>
          <w:u w:val="single"/>
          <w:lang w:val="en-US" w:eastAsia="zh-CN"/>
        </w:rPr>
        <w:t>三</w:t>
      </w:r>
      <w:r>
        <w:rPr>
          <w:rFonts w:hint="eastAsia" w:ascii="仿宋" w:hAnsi="仿宋" w:eastAsia="仿宋"/>
          <w:color w:val="auto"/>
          <w:highlight w:val="none"/>
          <w:u w:val="single"/>
          <w:lang w:eastAsia="zh-CN"/>
        </w:rPr>
        <w:t>间，工程监理现场办公室三间，样板</w:t>
      </w:r>
      <w:r>
        <w:rPr>
          <w:rFonts w:hint="eastAsia" w:ascii="仿宋" w:hAnsi="仿宋" w:eastAsia="仿宋"/>
          <w:color w:val="auto"/>
          <w:highlight w:val="none"/>
          <w:u w:val="single"/>
          <w:lang w:val="en-US" w:eastAsia="zh-CN"/>
        </w:rPr>
        <w:t>展示</w:t>
      </w:r>
      <w:r>
        <w:rPr>
          <w:rFonts w:hint="eastAsia" w:ascii="仿宋" w:hAnsi="仿宋" w:eastAsia="仿宋"/>
          <w:color w:val="auto"/>
          <w:highlight w:val="none"/>
          <w:u w:val="single"/>
          <w:lang w:eastAsia="zh-CN"/>
        </w:rPr>
        <w:t>间一间，会议室一间。办公室会议室需配备办公桌椅、打印机、空调、投影等基础设施设备及办公用品等，并配备保洁清理等工作人员</w:t>
      </w:r>
      <w:r>
        <w:rPr>
          <w:rFonts w:hint="eastAsia" w:ascii="仿宋" w:hAnsi="仿宋" w:eastAsia="仿宋"/>
          <w:color w:val="auto"/>
          <w:highlight w:val="none"/>
          <w:u w:val="single"/>
          <w:lang w:eastAsia="zh"/>
        </w:rPr>
        <w:t>，</w:t>
      </w:r>
      <w:r>
        <w:rPr>
          <w:rFonts w:hint="eastAsia" w:ascii="仿宋" w:hAnsi="仿宋" w:eastAsia="仿宋"/>
          <w:color w:val="auto"/>
          <w:highlight w:val="none"/>
          <w:u w:val="single"/>
          <w:lang w:eastAsia="zh-CN"/>
        </w:rPr>
        <w:t>相关费用已包含在投标报价中，发包人不另行支付。</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（10）办完施工场地交通、环境保护、施工噪声、绿色施工安全防护等手续的时间：</w:t>
      </w:r>
      <w:r>
        <w:rPr>
          <w:rFonts w:hint="eastAsia" w:ascii="仿宋" w:hAnsi="仿宋" w:eastAsia="仿宋"/>
          <w:color w:val="auto"/>
          <w:highlight w:val="none"/>
          <w:u w:val="single"/>
          <w:lang w:eastAsia="zh-CN"/>
        </w:rPr>
        <w:t>遵守政府部门有关施工场地交通、环境保护、施工噪声、绿色施工安全防护等的管理规定，办理有关手续，并以书面形式通知发包人，且承担相关费用，相关费用已包含在投标报价中，发包人不另行支付。</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（11）做好施工场地地下管线和邻近建筑物、构筑物（包括文物保护建筑）、古树名木保护工作的约定：</w:t>
      </w:r>
      <w:r>
        <w:rPr>
          <w:rFonts w:hint="eastAsia" w:ascii="仿宋" w:hAnsi="仿宋" w:eastAsia="仿宋" w:cs="仿宋"/>
          <w:color w:val="auto"/>
          <w:highlight w:val="none"/>
          <w:u w:val="single"/>
          <w:lang w:eastAsia="zh-CN"/>
        </w:rPr>
        <w:t>合同工程或其某</w:t>
      </w:r>
      <w:r>
        <w:rPr>
          <w:rFonts w:hint="eastAsia" w:ascii="仿宋" w:hAnsi="仿宋" w:eastAsia="仿宋"/>
          <w:color w:val="auto"/>
          <w:highlight w:val="none"/>
          <w:u w:val="single"/>
          <w:lang w:eastAsia="zh-CN"/>
        </w:rPr>
        <w:t>单项工程</w:t>
      </w:r>
      <w:r>
        <w:rPr>
          <w:rFonts w:hint="eastAsia" w:ascii="仿宋" w:hAnsi="仿宋" w:eastAsia="仿宋" w:cs="仿宋"/>
          <w:color w:val="auto"/>
          <w:highlight w:val="none"/>
          <w:u w:val="single"/>
          <w:lang w:eastAsia="zh-CN"/>
        </w:rPr>
        <w:t>已竣工未移交给发包人之前，负责已完工程的照管工作。工程接收证书颁发时尚有部分未竣工工程的，还应负责该未竣工工程的照管工作，直至竣工后移交给发包人为止。照管期间发生损坏的，应予以修复并承担费用；</w:t>
      </w:r>
      <w:r>
        <w:rPr>
          <w:rFonts w:hint="eastAsia" w:ascii="仿宋" w:hAnsi="仿宋" w:eastAsia="仿宋"/>
          <w:color w:val="auto"/>
          <w:highlight w:val="none"/>
          <w:u w:val="single"/>
          <w:lang w:eastAsia="zh-CN"/>
        </w:rPr>
        <w:t>非发包人要求采取特殊保护措施的，承包人按本合同通用条款要求执行，并承担相关费用，相关费用已包含在投标报价中，发包人不另行支付；施工场地及周围的不需迁改的地下管线（包括煤气管道、供水、供气、供电、电讯、油管等）、建筑物、构筑物（含文物保护建筑）、名树名木的保护工作由承包人承担，并且由承包人承担在施工过程造成其损伤而引起的责任和损失。相关费用已包含在投标报价中，发包人不另行计量支付，发包人可以为承包人提供其能力范围内的协助和方便。</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（12）保证施工场地的清洁和做好交工前施工现场清理工作的约定：</w:t>
      </w:r>
      <w:r>
        <w:rPr>
          <w:rFonts w:hint="eastAsia" w:ascii="仿宋" w:hAnsi="仿宋" w:eastAsia="仿宋"/>
          <w:color w:val="auto"/>
          <w:highlight w:val="none"/>
          <w:u w:val="single"/>
          <w:lang w:eastAsia="zh-CN"/>
        </w:rPr>
        <w:t>施工场地清洁卫生的要求：承包人须按发包人批准的施工组织设计进行施工现场布置、放置材料机械及其他设施，完成场地硬体化、排水管道化，及时将施工垃圾、余泥清除干净，采取有效防尘降尘措施，减少施工作业过程扬尘污染，保证施工场地清洁、围蔽符合环境卫生管理的有关规定，若承包人施工场地状况或现状达不到要求，发包人有权委托相关单位进行清理，所需费用从工程进度款中扣除。</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交工前清理现场的要求：工程完工后10天内，承包人应对施工场地进行清理、清洁，并搬走所有施工机械、垃圾及剩余材料，确保移交的工程项目环境洁净、安全卫生。施工场地的清理应达到发包人及监理人的规定及要求。有关费用已包含在投标报价中，发包人不另行支付。</w:t>
      </w:r>
    </w:p>
    <w:p>
      <w:pPr>
        <w:spacing w:line="360" w:lineRule="auto"/>
        <w:ind w:left="240" w:leftChars="100" w:firstLine="120" w:firstLineChars="50"/>
        <w:rPr>
          <w:rFonts w:ascii="仿宋" w:hAnsi="仿宋" w:eastAsia="仿宋" w:cs="仿宋"/>
          <w:color w:val="auto"/>
          <w:highlight w:val="none"/>
          <w:lang w:eastAsia="zh-CN"/>
        </w:rPr>
      </w:pP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（13）提交竣工验收申请报告和竣工结算文件</w:t>
      </w:r>
    </w:p>
    <w:p>
      <w:pPr>
        <w:spacing w:line="360" w:lineRule="auto"/>
        <w:ind w:left="240" w:leftChars="100"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按通用条款第87.2款约定提交。</w:t>
      </w:r>
    </w:p>
    <w:p>
      <w:pPr>
        <w:spacing w:line="360" w:lineRule="auto"/>
        <w:ind w:left="240" w:leftChars="100"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u w:val="single"/>
          <w:lang w:eastAsia="zh-CN"/>
        </w:rPr>
        <w:t>（15）承包人应按发包人要求做好样板引路工作，在每个分部分项工程施工前先行做好样板，经监理、发包人组织验收合格后作为参照标准。相关费用已包含在投标报价中，发包人不另行计量支付。</w:t>
      </w:r>
    </w:p>
    <w:p>
      <w:pPr>
        <w:pStyle w:val="137"/>
        <w:snapToGrid w:val="0"/>
        <w:spacing w:line="360" w:lineRule="auto"/>
        <w:ind w:firstLine="480" w:firstLineChars="200"/>
        <w:rPr>
          <w:rFonts w:ascii="仿宋" w:hAnsi="仿宋" w:eastAsia="仿宋"/>
          <w:color w:val="auto"/>
          <w:highlight w:val="none"/>
        </w:rPr>
      </w:pPr>
      <w:r>
        <w:rPr>
          <w:rFonts w:hint="eastAsia" w:ascii="仿宋" w:hAnsi="仿宋" w:eastAsia="仿宋"/>
          <w:color w:val="auto"/>
          <w:highlight w:val="none"/>
        </w:rPr>
        <w:t>（16）承包人应按工作界面表及发包人要求组织各项验收工作。</w:t>
      </w:r>
    </w:p>
    <w:p>
      <w:pPr>
        <w:spacing w:line="360" w:lineRule="auto"/>
        <w:ind w:left="137" w:leftChars="57"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23.3 承包人实施工作</w:t>
      </w:r>
    </w:p>
    <w:p>
      <w:pPr>
        <w:spacing w:line="360" w:lineRule="auto"/>
        <w:ind w:left="137" w:leftChars="57"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承包人提供施工所需勘察资料、设计文件、劳务、工程材料、工程设备、施工设备和其他物品的约定：</w:t>
      </w:r>
      <w:r>
        <w:rPr>
          <w:rFonts w:hint="eastAsia" w:ascii="仿宋" w:hAnsi="仿宋" w:eastAsia="仿宋" w:cs="仿宋"/>
          <w:color w:val="auto"/>
          <w:highlight w:val="none"/>
          <w:u w:val="single"/>
          <w:lang w:eastAsia="zh-CN"/>
        </w:rPr>
        <w:t>按通用条款。</w:t>
      </w:r>
    </w:p>
    <w:p>
      <w:pPr>
        <w:pStyle w:val="4"/>
        <w:tabs>
          <w:tab w:val="left" w:pos="420"/>
        </w:tabs>
        <w:spacing w:line="360" w:lineRule="auto"/>
        <w:rPr>
          <w:color w:val="auto"/>
          <w:highlight w:val="none"/>
          <w:lang w:eastAsia="zh-CN"/>
        </w:rPr>
      </w:pPr>
      <w:bookmarkStart w:id="1485" w:name="_Toc1050"/>
      <w:bookmarkStart w:id="1486" w:name="_Toc22750"/>
      <w:bookmarkStart w:id="1487" w:name="_Toc23794"/>
      <w:bookmarkStart w:id="1488" w:name="_Toc12118"/>
      <w:bookmarkStart w:id="1489" w:name="_Toc14807"/>
      <w:bookmarkStart w:id="1490" w:name="_Toc19450"/>
      <w:bookmarkStart w:id="1491" w:name="_Toc5722"/>
      <w:bookmarkStart w:id="1492" w:name="_Toc23210"/>
      <w:r>
        <w:rPr>
          <w:rFonts w:hint="eastAsia" w:ascii="仿宋" w:hAnsi="仿宋" w:eastAsia="仿宋" w:cs="仿宋"/>
          <w:b w:val="0"/>
          <w:bCs w:val="0"/>
          <w:color w:val="auto"/>
          <w:sz w:val="24"/>
          <w:szCs w:val="24"/>
          <w:highlight w:val="none"/>
          <w:lang w:eastAsia="zh-CN"/>
        </w:rPr>
        <w:t>24.  现场管理人员任命和更换</w:t>
      </w:r>
      <w:bookmarkEnd w:id="1485"/>
      <w:bookmarkEnd w:id="1486"/>
      <w:bookmarkEnd w:id="1487"/>
      <w:bookmarkEnd w:id="1488"/>
      <w:bookmarkEnd w:id="1489"/>
      <w:bookmarkEnd w:id="1490"/>
      <w:bookmarkEnd w:id="1491"/>
      <w:bookmarkEnd w:id="1492"/>
    </w:p>
    <w:p>
      <w:pPr>
        <w:spacing w:line="360" w:lineRule="auto"/>
        <w:ind w:left="240" w:leftChars="100"/>
        <w:rPr>
          <w:rFonts w:ascii="仿宋" w:hAnsi="仿宋" w:eastAsia="仿宋" w:cs="仿宋"/>
          <w:color w:val="auto"/>
          <w:highlight w:val="none"/>
          <w:lang w:eastAsia="zh-CN"/>
        </w:rPr>
      </w:pPr>
      <w:bookmarkStart w:id="1493" w:name="OLE_LINK13"/>
      <w:bookmarkStart w:id="1494" w:name="OLE_LINK12"/>
      <w:r>
        <w:rPr>
          <w:rFonts w:hint="eastAsia" w:ascii="仿宋" w:hAnsi="仿宋" w:eastAsia="仿宋" w:cs="仿宋"/>
          <w:color w:val="auto"/>
          <w:highlight w:val="none"/>
          <w:lang w:eastAsia="zh-CN"/>
        </w:rPr>
        <w:t>24.1发包人现场管理人员任命和更换</w:t>
      </w:r>
    </w:p>
    <w:p>
      <w:pPr>
        <w:spacing w:line="360" w:lineRule="auto"/>
        <w:ind w:left="240" w:leftChars="1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发包人现场管理人员任命和更换的约定：</w:t>
      </w:r>
    </w:p>
    <w:p>
      <w:pPr>
        <w:spacing w:line="360" w:lineRule="auto"/>
        <w:ind w:left="240" w:leftChars="100"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☑发包人代表：</w:t>
      </w:r>
      <w:r>
        <w:rPr>
          <w:rFonts w:hint="eastAsia" w:ascii="仿宋" w:hAnsi="仿宋" w:eastAsia="仿宋" w:cs="仿宋"/>
          <w:color w:val="auto"/>
          <w:highlight w:val="none"/>
          <w:u w:val="single"/>
          <w:lang w:eastAsia="zh-CN"/>
        </w:rPr>
        <w:t>按通用条款执行</w:t>
      </w:r>
    </w:p>
    <w:p>
      <w:pPr>
        <w:spacing w:line="360" w:lineRule="auto"/>
        <w:ind w:left="240" w:leftChars="100"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□设计顾问人代表：</w:t>
      </w:r>
      <w:r>
        <w:rPr>
          <w:rFonts w:hint="eastAsia" w:ascii="仿宋" w:hAnsi="仿宋" w:eastAsia="仿宋" w:cs="仿宋"/>
          <w:color w:val="auto"/>
          <w:highlight w:val="none"/>
          <w:u w:val="single"/>
          <w:lang w:eastAsia="zh-CN"/>
        </w:rPr>
        <w:t xml:space="preserve">    /    </w:t>
      </w:r>
    </w:p>
    <w:p>
      <w:pPr>
        <w:spacing w:line="360" w:lineRule="auto"/>
        <w:ind w:left="240" w:leftChars="100"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☑监理人代表：</w:t>
      </w:r>
      <w:r>
        <w:rPr>
          <w:rFonts w:hint="eastAsia" w:ascii="仿宋" w:hAnsi="仿宋" w:eastAsia="仿宋" w:cs="仿宋"/>
          <w:color w:val="auto"/>
          <w:highlight w:val="none"/>
          <w:u w:val="single"/>
          <w:lang w:eastAsia="zh-CN"/>
        </w:rPr>
        <w:t>按通用条款执行</w:t>
      </w:r>
    </w:p>
    <w:p>
      <w:pPr>
        <w:spacing w:line="360" w:lineRule="auto"/>
        <w:ind w:left="240" w:leftChars="100"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☑造价咨询人代表：</w:t>
      </w:r>
      <w:r>
        <w:rPr>
          <w:rFonts w:hint="eastAsia" w:ascii="仿宋" w:hAnsi="仿宋" w:eastAsia="仿宋" w:cs="仿宋"/>
          <w:color w:val="auto"/>
          <w:highlight w:val="none"/>
          <w:u w:val="single"/>
          <w:lang w:eastAsia="zh-CN"/>
        </w:rPr>
        <w:t>按通用条款执行</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24.2 承包人代表及专业负责人任命和更换</w:t>
      </w:r>
    </w:p>
    <w:p>
      <w:pPr>
        <w:spacing w:line="360" w:lineRule="auto"/>
        <w:ind w:left="240" w:leftChars="1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承包人代表及专业负责人任命和更换的约定</w:t>
      </w:r>
    </w:p>
    <w:p>
      <w:pPr>
        <w:spacing w:line="360" w:lineRule="auto"/>
        <w:ind w:left="240" w:leftChars="100"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☑承包人代表：</w:t>
      </w:r>
      <w:r>
        <w:rPr>
          <w:rFonts w:hint="eastAsia" w:ascii="仿宋" w:hAnsi="仿宋" w:eastAsia="仿宋" w:cs="仿宋"/>
          <w:color w:val="auto"/>
          <w:highlight w:val="none"/>
          <w:u w:val="single"/>
          <w:lang w:eastAsia="zh-CN"/>
        </w:rPr>
        <w:t>按通用条款执行</w:t>
      </w:r>
    </w:p>
    <w:p>
      <w:pPr>
        <w:spacing w:line="360" w:lineRule="auto"/>
        <w:ind w:left="240" w:leftChars="100"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☑勘察负责人：</w:t>
      </w:r>
      <w:r>
        <w:rPr>
          <w:rFonts w:hint="eastAsia" w:ascii="仿宋" w:hAnsi="仿宋" w:eastAsia="仿宋" w:cs="仿宋"/>
          <w:color w:val="auto"/>
          <w:highlight w:val="none"/>
          <w:u w:val="single"/>
          <w:lang w:eastAsia="zh-CN"/>
        </w:rPr>
        <w:t>按通用条款执行</w:t>
      </w:r>
    </w:p>
    <w:p>
      <w:pPr>
        <w:spacing w:line="360" w:lineRule="auto"/>
        <w:ind w:left="240" w:leftChars="100"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☑设计负责人：</w:t>
      </w:r>
      <w:r>
        <w:rPr>
          <w:rFonts w:hint="eastAsia" w:ascii="仿宋" w:hAnsi="仿宋" w:eastAsia="仿宋" w:cs="仿宋"/>
          <w:color w:val="auto"/>
          <w:highlight w:val="none"/>
          <w:u w:val="single"/>
          <w:lang w:eastAsia="zh-CN"/>
        </w:rPr>
        <w:t>按通用条款执行</w:t>
      </w:r>
    </w:p>
    <w:p>
      <w:pPr>
        <w:spacing w:line="360" w:lineRule="auto"/>
        <w:ind w:left="240" w:leftChars="100"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□BIM技术负责人：</w:t>
      </w:r>
      <w:r>
        <w:rPr>
          <w:rFonts w:hint="eastAsia" w:ascii="仿宋" w:hAnsi="仿宋" w:eastAsia="仿宋" w:cs="仿宋"/>
          <w:color w:val="auto"/>
          <w:highlight w:val="none"/>
          <w:u w:val="single"/>
          <w:lang w:eastAsia="zh-CN"/>
        </w:rPr>
        <w:t xml:space="preserve">    /    </w:t>
      </w:r>
    </w:p>
    <w:p>
      <w:pPr>
        <w:spacing w:line="360" w:lineRule="auto"/>
        <w:ind w:left="240" w:leftChars="100"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□设备及工器具购置负责人：</w:t>
      </w:r>
      <w:r>
        <w:rPr>
          <w:rFonts w:hint="eastAsia" w:ascii="仿宋" w:hAnsi="仿宋" w:eastAsia="仿宋" w:cs="仿宋"/>
          <w:color w:val="auto"/>
          <w:highlight w:val="none"/>
          <w:u w:val="single"/>
          <w:lang w:eastAsia="zh-CN"/>
        </w:rPr>
        <w:t xml:space="preserve">    /    </w:t>
      </w:r>
    </w:p>
    <w:p>
      <w:pPr>
        <w:spacing w:line="360" w:lineRule="auto"/>
        <w:ind w:left="240" w:leftChars="100"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☑施工负责人：</w:t>
      </w:r>
      <w:r>
        <w:rPr>
          <w:rFonts w:hint="eastAsia" w:ascii="仿宋" w:hAnsi="仿宋" w:eastAsia="仿宋" w:cs="仿宋"/>
          <w:color w:val="auto"/>
          <w:highlight w:val="none"/>
          <w:u w:val="single"/>
          <w:lang w:eastAsia="zh-CN"/>
        </w:rPr>
        <w:t>按通用条款执行</w:t>
      </w:r>
    </w:p>
    <w:p>
      <w:pPr>
        <w:adjustRightInd w:val="0"/>
        <w:snapToGrid w:val="0"/>
        <w:spacing w:line="360" w:lineRule="auto"/>
        <w:ind w:firstLine="720" w:firstLineChars="3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☑其他工作负责人：</w:t>
      </w:r>
      <w:r>
        <w:rPr>
          <w:rFonts w:hint="eastAsia" w:ascii="仿宋" w:hAnsi="仿宋" w:eastAsia="仿宋"/>
          <w:color w:val="auto"/>
          <w:highlight w:val="none"/>
          <w:u w:val="single"/>
          <w:lang w:eastAsia="zh-CN"/>
        </w:rPr>
        <w:t>承包人须按照项目法进行施工管理，项目管理机构的设置、主要管理人员的安排应健全、合理，人员安排应与投标文件承诺的相一致。</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1）承包人项目负责人及管理人员在所辖工程施工期间，均须专职在岗，不得兼任其它项目任何职务。承包人如需更换项目负责人及主要管理人员，须提前7天以书面形式上报发包人，征得同意方可执行。发包人不允许承包人项目负责人换人的，承包人不得换人。承包人项目管理人员兼任其它项目任何职务或未经发包人允许而调换的，每违约一项或一人，发包人有权向承包人收取5000元/人次的违约金（违约金在次月进度款中扣除，下同）；项目经理、技术负责人违约的，发包人有权向承包人收取50000元/人次的违约金。承包人项目负责人因特殊情况授权其下属人员履行某项工作职责的，该下属人员应具备履行相应职责的能力，并应提前7天将上述人员的姓名和授权范围书面通知发包人和监理单位，并征得发包人和监理单位的书面同意。</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2）发包人认为承包人项目负责人不称职或无足够能力代表承包人履行合同义务时，发包人有权要求承包人更换项目负责人，每更换一次，承包人需向发包人支付违约金10000元。承包人在接到书面通知后3天内用经发包人认可的人员完成更换。否则，每推迟一天，承包人须向发包人支付违约金1000元。</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3）发包人有权要求承包人调换发包人认为不称职或无足够能力代表承包人履行合同义务的在本项目工作的项目管理人员。承包人以下人员，经发包人要求，须在48小时内调离本工程范围，同时，经发包人批准的合格人员应在48小时内到岗。承包人未按发包人要求调离管理人员的，每天每人次向发包人支付违约金1000元。</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1）发包人确认无法胜任工作者，包括对分部分项工程进度及施工质量达不到合同要求负有责任的施工人员、不熟悉熟练本专业工作的施工人员、工作责任心不强的施工人员等；</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2）不能积极配合发包人正常工作者；</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3）违反发包人或承包人工地现场管理规定者；</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4）无证上岗者(适用于按规定必须有上岗证者)；</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5）与本合同规定名册不符者；</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6）与本工程施工无关的人员。</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24.3设计顾问人代表、监理人代表、造价咨询人代表任命和撤回</w:t>
      </w:r>
    </w:p>
    <w:p>
      <w:pPr>
        <w:spacing w:line="360" w:lineRule="auto"/>
        <w:ind w:left="240" w:leftChars="1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□设计顾问人代表任命和撤回的约定：</w:t>
      </w:r>
      <w:r>
        <w:rPr>
          <w:rFonts w:hint="eastAsia" w:ascii="仿宋" w:hAnsi="仿宋" w:eastAsia="仿宋" w:cs="仿宋"/>
          <w:color w:val="auto"/>
          <w:highlight w:val="none"/>
          <w:u w:val="single"/>
          <w:lang w:eastAsia="zh-CN"/>
        </w:rPr>
        <w:t xml:space="preserve">    /    </w:t>
      </w:r>
    </w:p>
    <w:p>
      <w:pPr>
        <w:spacing w:line="360" w:lineRule="auto"/>
        <w:ind w:left="240" w:leftChars="1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☑监理人代表任命和撤回的约定：</w:t>
      </w:r>
      <w:r>
        <w:rPr>
          <w:rFonts w:hint="eastAsia" w:ascii="仿宋" w:hAnsi="仿宋" w:eastAsia="仿宋" w:cs="仿宋"/>
          <w:color w:val="auto"/>
          <w:highlight w:val="none"/>
          <w:u w:val="single"/>
          <w:lang w:eastAsia="zh-CN"/>
        </w:rPr>
        <w:t>按通用条款执行</w:t>
      </w:r>
    </w:p>
    <w:p>
      <w:pPr>
        <w:spacing w:line="360" w:lineRule="auto"/>
        <w:ind w:left="240" w:leftChars="1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☑造价咨询人代表任命和撤回的约定：</w:t>
      </w:r>
      <w:r>
        <w:rPr>
          <w:rFonts w:hint="eastAsia" w:ascii="仿宋" w:hAnsi="仿宋" w:eastAsia="仿宋" w:cs="仿宋"/>
          <w:color w:val="auto"/>
          <w:highlight w:val="none"/>
          <w:u w:val="single"/>
          <w:lang w:eastAsia="zh-CN"/>
        </w:rPr>
        <w:t>按通用条款执行</w:t>
      </w:r>
    </w:p>
    <w:bookmarkEnd w:id="1493"/>
    <w:bookmarkEnd w:id="1494"/>
    <w:p>
      <w:pPr>
        <w:pStyle w:val="4"/>
        <w:tabs>
          <w:tab w:val="left" w:pos="420"/>
        </w:tabs>
        <w:spacing w:line="360" w:lineRule="auto"/>
        <w:rPr>
          <w:color w:val="auto"/>
          <w:highlight w:val="none"/>
          <w:lang w:eastAsia="zh-CN"/>
        </w:rPr>
      </w:pPr>
      <w:bookmarkStart w:id="1495" w:name="_Toc14269"/>
      <w:bookmarkStart w:id="1496" w:name="_Toc22023"/>
      <w:bookmarkStart w:id="1497" w:name="_Toc19942"/>
      <w:bookmarkStart w:id="1498" w:name="_Toc32217"/>
      <w:bookmarkStart w:id="1499" w:name="_Toc3367"/>
      <w:bookmarkStart w:id="1500" w:name="_Toc6085"/>
      <w:bookmarkStart w:id="1501" w:name="_Toc6585"/>
      <w:bookmarkStart w:id="1502" w:name="_Toc2898"/>
      <w:r>
        <w:rPr>
          <w:rFonts w:hint="eastAsia" w:ascii="仿宋" w:hAnsi="仿宋" w:eastAsia="仿宋" w:cs="仿宋"/>
          <w:b w:val="0"/>
          <w:bCs w:val="0"/>
          <w:color w:val="auto"/>
          <w:sz w:val="24"/>
          <w:szCs w:val="24"/>
          <w:highlight w:val="none"/>
          <w:lang w:eastAsia="zh-CN"/>
        </w:rPr>
        <w:t>25.  发包人代表</w:t>
      </w:r>
      <w:bookmarkEnd w:id="1495"/>
      <w:bookmarkEnd w:id="1496"/>
      <w:bookmarkEnd w:id="1497"/>
      <w:bookmarkEnd w:id="1498"/>
      <w:bookmarkEnd w:id="1499"/>
      <w:bookmarkEnd w:id="1500"/>
      <w:bookmarkEnd w:id="1501"/>
      <w:bookmarkEnd w:id="1502"/>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25.1 发包人对其代表授权</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发包人代表及其权力的限制</w:t>
      </w:r>
    </w:p>
    <w:p>
      <w:pPr>
        <w:numPr>
          <w:ilvl w:val="0"/>
          <w:numId w:val="33"/>
        </w:numPr>
        <w:spacing w:line="360" w:lineRule="auto"/>
        <w:ind w:left="240" w:firstLine="360"/>
        <w:rPr>
          <w:rFonts w:ascii="仿宋" w:hAnsi="仿宋" w:eastAsia="仿宋"/>
          <w:color w:val="auto"/>
          <w:highlight w:val="none"/>
          <w:lang w:eastAsia="zh-CN"/>
        </w:rPr>
      </w:pPr>
      <w:r>
        <w:rPr>
          <w:rFonts w:hint="eastAsia" w:ascii="仿宋" w:hAnsi="仿宋" w:eastAsia="仿宋" w:cs="仿宋"/>
          <w:color w:val="auto"/>
          <w:highlight w:val="none"/>
          <w:lang w:eastAsia="zh-CN"/>
        </w:rPr>
        <w:t>发包人任命（    ）为发包人代表，其通讯方式为：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广州市花都区秀全街宏发南路11号第四层307号铺</w:t>
      </w:r>
    </w:p>
    <w:p>
      <w:pPr>
        <w:spacing w:line="360" w:lineRule="auto"/>
        <w:ind w:left="120" w:firstLine="823" w:firstLineChars="343"/>
        <w:rPr>
          <w:rFonts w:ascii="仿宋" w:hAnsi="仿宋" w:eastAsia="仿宋"/>
          <w:color w:val="auto"/>
          <w:highlight w:val="none"/>
          <w:lang w:eastAsia="zh-CN"/>
        </w:rPr>
      </w:pP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510800</w:t>
      </w:r>
      <w:r>
        <w:rPr>
          <w:rFonts w:hint="eastAsia" w:ascii="仿宋" w:hAnsi="仿宋" w:eastAsia="仿宋" w:cs="仿宋"/>
          <w:color w:val="auto"/>
          <w:highlight w:val="none"/>
          <w:lang w:eastAsia="zh-CN"/>
        </w:rPr>
        <w:t xml:space="preserve"> 联系电话：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  </w:t>
      </w:r>
    </w:p>
    <w:p>
      <w:pPr>
        <w:spacing w:line="360" w:lineRule="auto"/>
        <w:ind w:left="240" w:leftChars="1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②发包人对发包人代表权力做如下限制：</w:t>
      </w:r>
      <w:r>
        <w:rPr>
          <w:rFonts w:hint="eastAsia" w:ascii="仿宋" w:hAnsi="仿宋" w:eastAsia="仿宋" w:cs="仿宋"/>
          <w:color w:val="auto"/>
          <w:highlight w:val="none"/>
          <w:u w:val="single"/>
          <w:lang w:eastAsia="zh-CN"/>
        </w:rPr>
        <w:t>发包人派驻的发包人代表应履行本合同规定的职责。除必须发包人出面的情况外，承包人应负责协调施工期间外界的各种干扰；发包人将在承包人的配合下，充分运用自己对各方面的影响力，尽可能地将外界对工程的干扰减少到最少程度。这种协调并不解除承包人的各项责任与义务。</w:t>
      </w:r>
    </w:p>
    <w:p>
      <w:pPr>
        <w:pStyle w:val="4"/>
        <w:tabs>
          <w:tab w:val="left" w:pos="360"/>
          <w:tab w:val="left" w:pos="420"/>
        </w:tabs>
        <w:spacing w:line="360" w:lineRule="auto"/>
        <w:ind w:firstLine="105"/>
        <w:rPr>
          <w:rFonts w:ascii="仿宋" w:hAnsi="仿宋" w:eastAsia="仿宋" w:cs="仿宋"/>
          <w:b w:val="0"/>
          <w:bCs w:val="0"/>
          <w:i w:val="0"/>
          <w:iCs w:val="0"/>
          <w:color w:val="auto"/>
          <w:sz w:val="24"/>
          <w:szCs w:val="24"/>
          <w:highlight w:val="none"/>
          <w:lang w:eastAsia="zh-CN" w:bidi="en-US"/>
        </w:rPr>
      </w:pPr>
      <w:bookmarkStart w:id="1503" w:name="_Toc8293"/>
      <w:bookmarkStart w:id="1504" w:name="_Toc3174"/>
      <w:bookmarkStart w:id="1505" w:name="_Toc9553"/>
      <w:bookmarkStart w:id="1506" w:name="_Toc25606"/>
      <w:bookmarkStart w:id="1507" w:name="_Toc15668"/>
      <w:bookmarkStart w:id="1508" w:name="_Toc12701"/>
      <w:bookmarkStart w:id="1509" w:name="_Toc18004"/>
      <w:bookmarkStart w:id="1510" w:name="_Toc28889"/>
      <w:r>
        <w:rPr>
          <w:rFonts w:hint="eastAsia" w:ascii="仿宋" w:hAnsi="仿宋" w:eastAsia="仿宋" w:cs="仿宋"/>
          <w:b w:val="0"/>
          <w:bCs w:val="0"/>
          <w:color w:val="auto"/>
          <w:sz w:val="24"/>
          <w:szCs w:val="24"/>
          <w:highlight w:val="none"/>
          <w:lang w:eastAsia="zh-CN"/>
        </w:rPr>
        <w:t>26.  设计顾问人</w:t>
      </w:r>
      <w:r>
        <w:rPr>
          <w:rFonts w:hint="eastAsia" w:ascii="仿宋" w:hAnsi="仿宋" w:eastAsia="仿宋" w:cs="仿宋"/>
          <w:b w:val="0"/>
          <w:bCs w:val="0"/>
          <w:i w:val="0"/>
          <w:iCs w:val="0"/>
          <w:color w:val="auto"/>
          <w:sz w:val="24"/>
          <w:szCs w:val="24"/>
          <w:highlight w:val="none"/>
          <w:lang w:eastAsia="zh-CN" w:bidi="en-US"/>
        </w:rPr>
        <w:t>（本条不适用）</w:t>
      </w:r>
      <w:bookmarkEnd w:id="1503"/>
      <w:bookmarkEnd w:id="1504"/>
      <w:bookmarkEnd w:id="1505"/>
      <w:bookmarkEnd w:id="1506"/>
      <w:bookmarkEnd w:id="1507"/>
      <w:bookmarkEnd w:id="1508"/>
      <w:bookmarkEnd w:id="1509"/>
      <w:bookmarkEnd w:id="1510"/>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26.1 发包人对设计顾问人授权</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负责合同工程的设计顾问人及任命的设计顾问人代表</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①设计顾问人：</w:t>
      </w:r>
      <w:r>
        <w:rPr>
          <w:rFonts w:hint="eastAsia" w:ascii="仿宋" w:hAnsi="仿宋" w:eastAsia="仿宋" w:cs="仿宋"/>
          <w:i/>
          <w:iCs/>
          <w:color w:val="auto"/>
          <w:highlight w:val="none"/>
          <w:u w:val="single"/>
          <w:lang w:eastAsia="zh-CN"/>
        </w:rPr>
        <w:t>（没有独立聘请设计顾问人的，可授权监理人或发包人代表或其他单位行使设计顾问人职权</w:t>
      </w:r>
      <w:r>
        <w:rPr>
          <w:rFonts w:ascii="仿宋" w:hAnsi="仿宋" w:eastAsia="仿宋" w:cs="仿宋"/>
          <w:i/>
          <w:iCs/>
          <w:color w:val="auto"/>
          <w:highlight w:val="none"/>
          <w:u w:val="single"/>
          <w:lang w:eastAsia="zh-CN"/>
        </w:rPr>
        <w:t>，并在本处明确）</w:t>
      </w:r>
      <w:r>
        <w:rPr>
          <w:rFonts w:hint="eastAsia" w:ascii="仿宋" w:hAnsi="仿宋" w:eastAsia="仿宋" w:cs="仿宋"/>
          <w:color w:val="auto"/>
          <w:highlight w:val="none"/>
          <w:lang w:eastAsia="zh-CN"/>
        </w:rPr>
        <w:t>法定代表人：</w:t>
      </w:r>
      <w:r>
        <w:rPr>
          <w:rFonts w:hint="eastAsia" w:ascii="仿宋" w:hAnsi="仿宋" w:eastAsia="仿宋" w:cs="仿宋"/>
          <w:color w:val="auto"/>
          <w:highlight w:val="none"/>
          <w:u w:val="single"/>
          <w:lang w:eastAsia="zh-CN"/>
        </w:rPr>
        <w:t xml:space="preserve">    /    </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②任命（</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）为设计顾问人代表，其通讯方式为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    </w:t>
      </w:r>
    </w:p>
    <w:p>
      <w:pPr>
        <w:spacing w:line="360" w:lineRule="auto"/>
        <w:ind w:left="120" w:firstLine="823" w:firstLineChars="343"/>
        <w:rPr>
          <w:rFonts w:ascii="仿宋" w:hAnsi="仿宋" w:eastAsia="仿宋"/>
          <w:color w:val="auto"/>
          <w:highlight w:val="non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     </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26.3 设计顾问人职权限制</w:t>
      </w:r>
    </w:p>
    <w:p>
      <w:pPr>
        <w:spacing w:line="360" w:lineRule="auto"/>
        <w:ind w:left="240" w:leftChars="100" w:firstLine="240" w:firstLineChars="1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(7)需要发包人批准的其他事项：</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ind w:firstLine="105"/>
        <w:rPr>
          <w:rFonts w:eastAsia="仿宋"/>
          <w:color w:val="auto"/>
          <w:highlight w:val="none"/>
          <w:lang w:eastAsia="zh-CN"/>
        </w:rPr>
      </w:pPr>
      <w:bookmarkStart w:id="1511" w:name="_Toc8620"/>
      <w:bookmarkStart w:id="1512" w:name="_Toc22161"/>
      <w:bookmarkStart w:id="1513" w:name="_Toc25421"/>
      <w:bookmarkStart w:id="1514" w:name="_Toc13659"/>
      <w:bookmarkStart w:id="1515" w:name="_Toc20849"/>
      <w:bookmarkStart w:id="1516" w:name="_Toc2737"/>
      <w:bookmarkStart w:id="1517" w:name="_Toc7241"/>
      <w:bookmarkStart w:id="1518" w:name="_Toc31416"/>
      <w:r>
        <w:rPr>
          <w:rFonts w:hint="eastAsia" w:ascii="仿宋" w:hAnsi="仿宋" w:eastAsia="仿宋" w:cs="仿宋"/>
          <w:b w:val="0"/>
          <w:bCs w:val="0"/>
          <w:color w:val="auto"/>
          <w:sz w:val="24"/>
          <w:szCs w:val="24"/>
          <w:highlight w:val="none"/>
          <w:lang w:eastAsia="zh-CN"/>
        </w:rPr>
        <w:t>27.  监理人</w:t>
      </w:r>
      <w:r>
        <w:rPr>
          <w:rFonts w:hint="eastAsia" w:ascii="仿宋" w:hAnsi="仿宋" w:eastAsia="仿宋" w:cs="仿宋"/>
          <w:b w:val="0"/>
          <w:bCs w:val="0"/>
          <w:i w:val="0"/>
          <w:iCs w:val="0"/>
          <w:color w:val="auto"/>
          <w:sz w:val="24"/>
          <w:szCs w:val="24"/>
          <w:highlight w:val="none"/>
          <w:lang w:eastAsia="zh-CN" w:bidi="en-US"/>
        </w:rPr>
        <w:t>（另行告知）</w:t>
      </w:r>
      <w:bookmarkEnd w:id="1511"/>
      <w:bookmarkEnd w:id="1512"/>
      <w:bookmarkEnd w:id="1513"/>
      <w:bookmarkEnd w:id="1514"/>
      <w:bookmarkEnd w:id="1515"/>
      <w:bookmarkEnd w:id="1516"/>
      <w:bookmarkEnd w:id="1517"/>
      <w:bookmarkEnd w:id="1518"/>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27.1 发包人对监理人授权</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负责合同工程的监理人及任命的监理人代表</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①监理人：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法定代表人：</w:t>
      </w:r>
      <w:r>
        <w:rPr>
          <w:rFonts w:hint="eastAsia" w:ascii="仿宋" w:hAnsi="仿宋" w:eastAsia="仿宋" w:cs="仿宋"/>
          <w:color w:val="auto"/>
          <w:highlight w:val="none"/>
          <w:u w:val="single"/>
          <w:lang w:eastAsia="zh-CN"/>
        </w:rPr>
        <w:t xml:space="preserve">    /    </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②任命（</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）为监理人代表，其通讯方式为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    </w:t>
      </w:r>
    </w:p>
    <w:p>
      <w:pPr>
        <w:spacing w:line="360" w:lineRule="auto"/>
        <w:ind w:left="120" w:firstLine="823" w:firstLineChars="343"/>
        <w:rPr>
          <w:rFonts w:ascii="仿宋" w:hAnsi="仿宋" w:eastAsia="仿宋"/>
          <w:color w:val="auto"/>
          <w:highlight w:val="non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    </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27.3 监理人职权限制</w:t>
      </w:r>
    </w:p>
    <w:p>
      <w:pPr>
        <w:spacing w:line="360" w:lineRule="auto"/>
        <w:ind w:left="240" w:leftChars="100"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(12)需要发包人批准的其他事项：</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pStyle w:val="4"/>
        <w:tabs>
          <w:tab w:val="left" w:pos="420"/>
        </w:tabs>
        <w:spacing w:line="360" w:lineRule="auto"/>
        <w:ind w:firstLine="105"/>
        <w:rPr>
          <w:rFonts w:eastAsia="仿宋"/>
          <w:color w:val="auto"/>
          <w:highlight w:val="none"/>
          <w:lang w:eastAsia="zh-CN"/>
        </w:rPr>
      </w:pPr>
      <w:bookmarkStart w:id="1519" w:name="_Toc27089"/>
      <w:bookmarkStart w:id="1520" w:name="_Toc20485"/>
      <w:bookmarkStart w:id="1521" w:name="_Toc2178"/>
      <w:bookmarkStart w:id="1522" w:name="_Toc1202"/>
      <w:bookmarkStart w:id="1523" w:name="_Toc17419"/>
      <w:bookmarkStart w:id="1524" w:name="_Toc2476"/>
      <w:bookmarkStart w:id="1525" w:name="_Toc6642"/>
      <w:bookmarkStart w:id="1526" w:name="_Toc27157"/>
      <w:r>
        <w:rPr>
          <w:rFonts w:hint="eastAsia" w:ascii="仿宋" w:hAnsi="仿宋" w:eastAsia="仿宋" w:cs="仿宋"/>
          <w:b w:val="0"/>
          <w:bCs w:val="0"/>
          <w:color w:val="auto"/>
          <w:sz w:val="24"/>
          <w:szCs w:val="24"/>
          <w:highlight w:val="none"/>
          <w:lang w:eastAsia="zh-CN"/>
        </w:rPr>
        <w:t>28.  造价咨询人</w:t>
      </w:r>
      <w:r>
        <w:rPr>
          <w:rFonts w:hint="eastAsia" w:ascii="仿宋" w:hAnsi="仿宋" w:eastAsia="仿宋" w:cs="仿宋"/>
          <w:b w:val="0"/>
          <w:bCs w:val="0"/>
          <w:i w:val="0"/>
          <w:iCs w:val="0"/>
          <w:color w:val="auto"/>
          <w:sz w:val="24"/>
          <w:szCs w:val="24"/>
          <w:highlight w:val="none"/>
          <w:lang w:eastAsia="zh-CN" w:bidi="en-US"/>
        </w:rPr>
        <w:t>（另行告知）</w:t>
      </w:r>
      <w:bookmarkEnd w:id="1519"/>
      <w:bookmarkEnd w:id="1520"/>
      <w:bookmarkEnd w:id="1521"/>
      <w:bookmarkEnd w:id="1522"/>
      <w:bookmarkEnd w:id="1523"/>
      <w:bookmarkEnd w:id="1524"/>
      <w:bookmarkEnd w:id="1525"/>
      <w:bookmarkEnd w:id="1526"/>
    </w:p>
    <w:p>
      <w:pPr>
        <w:spacing w:line="360" w:lineRule="auto"/>
        <w:rPr>
          <w:rFonts w:ascii="仿宋" w:hAnsi="仿宋" w:eastAsia="仿宋" w:cs="仿宋"/>
          <w:color w:val="auto"/>
          <w:highlight w:val="none"/>
          <w:lang w:eastAsia="zh-CN"/>
        </w:rPr>
      </w:pPr>
      <w:bookmarkStart w:id="1527" w:name="_Toc9789"/>
      <w:r>
        <w:rPr>
          <w:rFonts w:hint="eastAsia" w:ascii="仿宋" w:hAnsi="仿宋" w:eastAsia="仿宋" w:cs="仿宋"/>
          <w:color w:val="auto"/>
          <w:highlight w:val="none"/>
          <w:lang w:eastAsia="zh-CN"/>
        </w:rPr>
        <w:t>28.1 发包人对造价咨询人授权</w:t>
      </w:r>
      <w:bookmarkEnd w:id="1527"/>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负责合同工程的造价咨询人及任命的造价咨询人代表</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①造价咨询人：</w:t>
      </w:r>
      <w:r>
        <w:rPr>
          <w:rFonts w:hint="eastAsia" w:ascii="仿宋" w:hAnsi="仿宋" w:eastAsia="仿宋" w:cs="仿宋"/>
          <w:i/>
          <w:color w:val="auto"/>
          <w:highlight w:val="none"/>
          <w:u w:val="single"/>
          <w:lang w:eastAsia="zh-CN"/>
        </w:rPr>
        <w:t>（没有独立聘请造价咨询的，可授权监理人或发包人代表或其他单位行使造价咨询人职权，并在本处明确）</w:t>
      </w:r>
      <w:r>
        <w:rPr>
          <w:rFonts w:hint="eastAsia" w:ascii="仿宋" w:hAnsi="仿宋" w:eastAsia="仿宋" w:cs="仿宋"/>
          <w:color w:val="auto"/>
          <w:highlight w:val="none"/>
          <w:lang w:eastAsia="zh-CN"/>
        </w:rPr>
        <w:t>法定代表人：</w:t>
      </w:r>
      <w:r>
        <w:rPr>
          <w:rFonts w:hint="eastAsia" w:ascii="仿宋" w:hAnsi="仿宋" w:eastAsia="仿宋" w:cs="仿宋"/>
          <w:color w:val="auto"/>
          <w:highlight w:val="none"/>
          <w:u w:val="single"/>
          <w:lang w:eastAsia="zh-CN"/>
        </w:rPr>
        <w:t xml:space="preserve">    /    </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②任命（</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）为造价咨询人代表，其通讯方式为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 xml:space="preserve"> 邮政编码：</w:t>
      </w:r>
      <w:r>
        <w:rPr>
          <w:rFonts w:hint="eastAsia" w:ascii="仿宋" w:hAnsi="仿宋" w:eastAsia="仿宋" w:cs="仿宋"/>
          <w:color w:val="auto"/>
          <w:highlight w:val="none"/>
          <w:u w:val="single"/>
          <w:lang w:eastAsia="zh-CN"/>
        </w:rPr>
        <w:t xml:space="preserve">    /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s="仿宋"/>
          <w:color w:val="auto"/>
          <w:highlight w:val="none"/>
          <w:lang w:eastAsia="zh-CN"/>
        </w:rPr>
      </w:pPr>
      <w:bookmarkStart w:id="1528" w:name="_Toc22730"/>
      <w:r>
        <w:rPr>
          <w:rFonts w:hint="eastAsia" w:ascii="仿宋" w:hAnsi="仿宋" w:eastAsia="仿宋" w:cs="仿宋"/>
          <w:color w:val="auto"/>
          <w:highlight w:val="none"/>
          <w:lang w:eastAsia="zh-CN"/>
        </w:rPr>
        <w:t>28.3 造价咨询人职权限制</w:t>
      </w:r>
      <w:bookmarkEnd w:id="1528"/>
    </w:p>
    <w:p>
      <w:pPr>
        <w:spacing w:line="360" w:lineRule="auto"/>
        <w:ind w:left="240" w:leftChars="1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（7）需要发包人批准的其他事项：</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color w:val="auto"/>
          <w:highlight w:val="none"/>
          <w:lang w:eastAsia="zh-CN"/>
        </w:rPr>
      </w:pPr>
      <w:bookmarkStart w:id="1529" w:name="_Toc23810"/>
      <w:bookmarkStart w:id="1530" w:name="_Toc7227"/>
      <w:bookmarkStart w:id="1531" w:name="_Toc20041"/>
      <w:bookmarkStart w:id="1532" w:name="_Toc30085"/>
      <w:bookmarkStart w:id="1533" w:name="_Toc1458"/>
      <w:bookmarkStart w:id="1534" w:name="_Toc30227"/>
      <w:bookmarkStart w:id="1535" w:name="_Toc22125"/>
      <w:bookmarkStart w:id="1536" w:name="_Toc8168"/>
      <w:r>
        <w:rPr>
          <w:rFonts w:hint="eastAsia" w:ascii="仿宋" w:hAnsi="仿宋" w:eastAsia="仿宋" w:cs="仿宋"/>
          <w:b w:val="0"/>
          <w:bCs w:val="0"/>
          <w:color w:val="auto"/>
          <w:sz w:val="24"/>
          <w:szCs w:val="24"/>
          <w:highlight w:val="none"/>
          <w:lang w:eastAsia="zh-CN"/>
        </w:rPr>
        <w:t>29.  承包人代表及其专业负责人</w:t>
      </w:r>
      <w:bookmarkEnd w:id="1529"/>
      <w:bookmarkEnd w:id="1530"/>
      <w:bookmarkEnd w:id="1531"/>
      <w:bookmarkEnd w:id="1532"/>
      <w:bookmarkEnd w:id="1533"/>
      <w:bookmarkEnd w:id="1534"/>
      <w:bookmarkEnd w:id="1535"/>
      <w:bookmarkEnd w:id="1536"/>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29.1 承包人对其代表授权</w:t>
      </w:r>
    </w:p>
    <w:p>
      <w:pPr>
        <w:spacing w:line="360" w:lineRule="auto"/>
        <w:ind w:left="240" w:leftChars="100"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承包人代表：承包人任命（  ）为承包人代表，其通讯方式为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w:t>
      </w:r>
    </w:p>
    <w:p>
      <w:pPr>
        <w:spacing w:line="360" w:lineRule="auto"/>
        <w:ind w:left="240" w:leftChars="100"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☑勘察负责人：承包人任命（ /  ）为勘察负责人，其通讯方式为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 xml:space="preserve"> 邮政编码：</w:t>
      </w:r>
      <w:r>
        <w:rPr>
          <w:rFonts w:hint="eastAsia" w:ascii="仿宋" w:hAnsi="仿宋" w:eastAsia="仿宋" w:cs="仿宋"/>
          <w:color w:val="auto"/>
          <w:highlight w:val="none"/>
          <w:u w:val="single"/>
          <w:lang w:eastAsia="zh-CN"/>
        </w:rPr>
        <w:t xml:space="preserve">  /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  </w:t>
      </w:r>
    </w:p>
    <w:p>
      <w:pPr>
        <w:spacing w:line="360" w:lineRule="auto"/>
        <w:ind w:left="240" w:leftChars="100"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☑设计负责人：承包人任命（ ）为设计负责人，其通讯方式为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 xml:space="preserve"> 邮政编码：</w:t>
      </w:r>
      <w:r>
        <w:rPr>
          <w:rFonts w:hint="eastAsia" w:ascii="仿宋" w:hAnsi="仿宋" w:eastAsia="仿宋" w:cs="仿宋"/>
          <w:color w:val="auto"/>
          <w:highlight w:val="none"/>
          <w:u w:val="single"/>
          <w:lang w:eastAsia="zh-CN"/>
        </w:rPr>
        <w:t xml:space="preserve">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 xml:space="preserve"> 传真号码：</w:t>
      </w:r>
      <w:r>
        <w:rPr>
          <w:rFonts w:hint="eastAsia" w:ascii="仿宋" w:hAnsi="仿宋" w:eastAsia="仿宋" w:cs="仿宋"/>
          <w:color w:val="auto"/>
          <w:highlight w:val="none"/>
          <w:u w:val="single"/>
          <w:lang w:eastAsia="zh-CN"/>
        </w:rPr>
        <w:t xml:space="preserve">        </w:t>
      </w:r>
    </w:p>
    <w:p>
      <w:pPr>
        <w:spacing w:line="360" w:lineRule="auto"/>
        <w:ind w:left="240" w:leftChars="100"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□BIM技术负责人：承包人任命（ / ）为BIM技术负责人，其通讯方式为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  </w:t>
      </w:r>
    </w:p>
    <w:p>
      <w:pPr>
        <w:spacing w:line="360" w:lineRule="auto"/>
        <w:ind w:left="924" w:leftChars="385"/>
        <w:rPr>
          <w:rFonts w:ascii="仿宋" w:hAnsi="仿宋" w:eastAsia="仿宋"/>
          <w:color w:val="auto"/>
          <w:highlight w:val="none"/>
          <w:lang w:eastAsia="zh-CN"/>
        </w:rPr>
      </w:pPr>
      <w:r>
        <w:rPr>
          <w:rFonts w:hint="eastAsia" w:ascii="仿宋" w:hAnsi="仿宋" w:eastAsia="仿宋" w:cs="仿宋"/>
          <w:color w:val="auto"/>
          <w:highlight w:val="none"/>
          <w:lang w:eastAsia="zh-CN"/>
        </w:rPr>
        <w:t>□设备及工器具购置负责人：承包人任命（ / ）为设备及工器具购置负责人，其通讯方式为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传真号码：</w:t>
      </w:r>
      <w:r>
        <w:rPr>
          <w:rFonts w:hint="eastAsia" w:ascii="仿宋" w:hAnsi="仿宋" w:eastAsia="仿宋" w:cs="仿宋"/>
          <w:color w:val="auto"/>
          <w:highlight w:val="none"/>
          <w:u w:val="single"/>
          <w:lang w:eastAsia="zh-CN"/>
        </w:rPr>
        <w:t xml:space="preserve">  /  </w:t>
      </w:r>
    </w:p>
    <w:p>
      <w:pPr>
        <w:spacing w:line="360" w:lineRule="auto"/>
        <w:ind w:left="240" w:leftChars="100"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☑施工负责人：承包人任命（  ）为施工负责人，其通讯方式为</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 xml:space="preserve"> 邮政编码：</w:t>
      </w:r>
      <w:r>
        <w:rPr>
          <w:rFonts w:hint="eastAsia" w:ascii="仿宋" w:hAnsi="仿宋" w:eastAsia="仿宋" w:cs="仿宋"/>
          <w:color w:val="auto"/>
          <w:highlight w:val="none"/>
          <w:u w:val="single"/>
          <w:lang w:eastAsia="zh-CN"/>
        </w:rPr>
        <w:t xml:space="preserve">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 xml:space="preserve"> 传真号码：</w:t>
      </w:r>
      <w:r>
        <w:rPr>
          <w:rFonts w:hint="eastAsia" w:ascii="仿宋" w:hAnsi="仿宋" w:eastAsia="仿宋" w:cs="仿宋"/>
          <w:color w:val="auto"/>
          <w:highlight w:val="none"/>
          <w:u w:val="single"/>
          <w:lang w:eastAsia="zh-CN"/>
        </w:rPr>
        <w:t xml:space="preserve">     </w:t>
      </w:r>
    </w:p>
    <w:p>
      <w:pPr>
        <w:spacing w:line="360" w:lineRule="auto"/>
        <w:ind w:left="240" w:leftChars="100"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☑其他工作负责人：承包人任命（ ）为其他工作负责人，其通讯方式为</w:t>
      </w:r>
    </w:p>
    <w:p>
      <w:pPr>
        <w:spacing w:line="360" w:lineRule="auto"/>
        <w:ind w:left="120" w:firstLine="823" w:firstLineChars="343"/>
        <w:rPr>
          <w:rFonts w:ascii="仿宋" w:hAnsi="仿宋" w:eastAsia="仿宋" w:cs="仿宋"/>
          <w:color w:val="auto"/>
          <w:highlight w:val="none"/>
          <w:lang w:eastAsia="zh-CN"/>
        </w:rPr>
      </w:pPr>
      <w:r>
        <w:rPr>
          <w:rFonts w:hint="eastAsia" w:ascii="仿宋" w:hAnsi="仿宋" w:eastAsia="仿宋" w:cs="仿宋"/>
          <w:color w:val="auto"/>
          <w:highlight w:val="none"/>
          <w:lang w:eastAsia="zh-CN"/>
        </w:rPr>
        <w:t>通讯地址：</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 xml:space="preserve"> </w:t>
      </w:r>
    </w:p>
    <w:p>
      <w:pPr>
        <w:spacing w:line="360" w:lineRule="auto"/>
        <w:ind w:left="120" w:firstLine="823" w:firstLineChars="34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邮政编码：</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联系电话：</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 xml:space="preserve"> 传真号码：</w:t>
      </w:r>
      <w:r>
        <w:rPr>
          <w:rFonts w:hint="eastAsia" w:ascii="仿宋" w:hAnsi="仿宋" w:eastAsia="仿宋" w:cs="仿宋"/>
          <w:color w:val="auto"/>
          <w:highlight w:val="none"/>
          <w:u w:val="single"/>
          <w:lang w:eastAsia="zh-CN"/>
        </w:rPr>
        <w:t xml:space="preserve">    </w:t>
      </w:r>
    </w:p>
    <w:p>
      <w:pPr>
        <w:pStyle w:val="4"/>
        <w:tabs>
          <w:tab w:val="left" w:pos="420"/>
        </w:tabs>
        <w:spacing w:line="360" w:lineRule="auto"/>
        <w:ind w:firstLine="105"/>
        <w:rPr>
          <w:color w:val="auto"/>
          <w:highlight w:val="none"/>
        </w:rPr>
      </w:pPr>
      <w:bookmarkStart w:id="1537" w:name="_Toc22007"/>
      <w:bookmarkStart w:id="1538" w:name="_Toc29275"/>
      <w:bookmarkStart w:id="1539" w:name="_Toc9292"/>
      <w:bookmarkStart w:id="1540" w:name="_Toc22222"/>
      <w:bookmarkStart w:id="1541" w:name="_Toc10179"/>
      <w:bookmarkStart w:id="1542" w:name="_Toc8053"/>
      <w:bookmarkStart w:id="1543" w:name="_Toc4464"/>
      <w:bookmarkStart w:id="1544" w:name="_Toc25635"/>
      <w:r>
        <w:rPr>
          <w:rFonts w:hint="eastAsia" w:ascii="仿宋" w:hAnsi="仿宋" w:eastAsia="仿宋" w:cs="仿宋"/>
          <w:b w:val="0"/>
          <w:bCs w:val="0"/>
          <w:color w:val="auto"/>
          <w:sz w:val="24"/>
          <w:szCs w:val="24"/>
          <w:highlight w:val="none"/>
        </w:rPr>
        <w:t>30.  指定分包人</w:t>
      </w:r>
      <w:bookmarkEnd w:id="1537"/>
      <w:bookmarkEnd w:id="1538"/>
      <w:bookmarkEnd w:id="1539"/>
      <w:bookmarkEnd w:id="1540"/>
      <w:bookmarkEnd w:id="1541"/>
      <w:bookmarkEnd w:id="1542"/>
      <w:bookmarkEnd w:id="1543"/>
      <w:bookmarkEnd w:id="1544"/>
    </w:p>
    <w:p>
      <w:pPr>
        <w:spacing w:line="360" w:lineRule="auto"/>
        <w:rPr>
          <w:rFonts w:ascii="仿宋" w:hAnsi="仿宋" w:eastAsia="仿宋" w:cs="仿宋"/>
          <w:color w:val="auto"/>
          <w:highlight w:val="none"/>
          <w:lang w:eastAsia="zh-CN"/>
        </w:rPr>
      </w:pPr>
      <w:bookmarkStart w:id="1545" w:name="_Toc32745"/>
      <w:r>
        <w:rPr>
          <w:rFonts w:hint="eastAsia" w:ascii="仿宋" w:hAnsi="仿宋" w:eastAsia="仿宋" w:cs="仿宋"/>
          <w:color w:val="auto"/>
          <w:highlight w:val="none"/>
          <w:lang w:eastAsia="zh-CN"/>
        </w:rPr>
        <w:t>30.1 指定分包人工作</w:t>
      </w:r>
      <w:bookmarkEnd w:id="1545"/>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依法指定的分包人</w:t>
      </w:r>
    </w:p>
    <w:p>
      <w:pPr>
        <w:spacing w:line="360" w:lineRule="auto"/>
        <w:ind w:left="240" w:leftChars="100"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（1）实施、完成部分永久工程的分包人：</w:t>
      </w:r>
      <w:r>
        <w:rPr>
          <w:rFonts w:hint="eastAsia" w:ascii="仿宋" w:hAnsi="仿宋" w:eastAsia="仿宋" w:cs="仿宋"/>
          <w:color w:val="auto"/>
          <w:highlight w:val="none"/>
          <w:u w:val="single"/>
          <w:lang w:eastAsia="zh-CN"/>
        </w:rPr>
        <w:t>不指定</w:t>
      </w:r>
    </w:p>
    <w:p>
      <w:pPr>
        <w:spacing w:line="360" w:lineRule="auto"/>
        <w:ind w:left="240" w:leftChars="100"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（2）提供工程材料和工程设备供货的分包人：</w:t>
      </w:r>
      <w:r>
        <w:rPr>
          <w:rFonts w:hint="eastAsia" w:ascii="仿宋" w:hAnsi="仿宋" w:eastAsia="仿宋" w:cs="仿宋"/>
          <w:color w:val="auto"/>
          <w:highlight w:val="none"/>
          <w:u w:val="single"/>
          <w:lang w:eastAsia="zh-CN"/>
        </w:rPr>
        <w:t>不指定</w:t>
      </w:r>
    </w:p>
    <w:p>
      <w:pPr>
        <w:spacing w:line="360" w:lineRule="auto"/>
        <w:ind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（3）提供部分专业服务的分包人：</w:t>
      </w:r>
      <w:r>
        <w:rPr>
          <w:rFonts w:hint="eastAsia" w:ascii="仿宋" w:hAnsi="仿宋" w:eastAsia="仿宋" w:cs="仿宋"/>
          <w:color w:val="auto"/>
          <w:highlight w:val="none"/>
          <w:u w:val="single"/>
          <w:lang w:eastAsia="zh-CN"/>
        </w:rPr>
        <w:t>不指定</w:t>
      </w:r>
    </w:p>
    <w:p>
      <w:pPr>
        <w:pStyle w:val="4"/>
        <w:tabs>
          <w:tab w:val="left" w:pos="420"/>
        </w:tabs>
        <w:spacing w:line="360" w:lineRule="auto"/>
        <w:ind w:firstLine="105"/>
        <w:rPr>
          <w:color w:val="auto"/>
          <w:highlight w:val="none"/>
          <w:lang w:eastAsia="zh-CN"/>
        </w:rPr>
      </w:pPr>
      <w:bookmarkStart w:id="1546" w:name="_Toc30438"/>
      <w:bookmarkStart w:id="1547" w:name="_Toc25642"/>
      <w:bookmarkStart w:id="1548" w:name="_Toc1454"/>
      <w:bookmarkStart w:id="1549" w:name="_Toc16226"/>
      <w:bookmarkStart w:id="1550" w:name="_Toc8386"/>
      <w:bookmarkStart w:id="1551" w:name="_Toc15378"/>
      <w:bookmarkStart w:id="1552" w:name="_Toc25566"/>
      <w:bookmarkStart w:id="1553" w:name="_Toc14771"/>
      <w:r>
        <w:rPr>
          <w:rFonts w:hint="eastAsia" w:ascii="仿宋" w:hAnsi="仿宋" w:eastAsia="仿宋" w:cs="仿宋"/>
          <w:b w:val="0"/>
          <w:bCs w:val="0"/>
          <w:color w:val="auto"/>
          <w:sz w:val="24"/>
          <w:szCs w:val="24"/>
          <w:highlight w:val="none"/>
          <w:lang w:eastAsia="zh-CN"/>
        </w:rPr>
        <w:t>32.  工程担保</w:t>
      </w:r>
      <w:bookmarkEnd w:id="1546"/>
      <w:bookmarkEnd w:id="1547"/>
      <w:bookmarkEnd w:id="1548"/>
      <w:bookmarkEnd w:id="1549"/>
      <w:bookmarkEnd w:id="1550"/>
      <w:bookmarkEnd w:id="1551"/>
      <w:bookmarkEnd w:id="1552"/>
      <w:bookmarkEnd w:id="1553"/>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32.1 承包人提供履约担保的约定</w:t>
      </w:r>
    </w:p>
    <w:p>
      <w:pPr>
        <w:spacing w:line="360" w:lineRule="auto"/>
        <w:ind w:left="240" w:leftChars="100"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承包人应按</w:t>
      </w:r>
      <w:r>
        <w:rPr>
          <w:rFonts w:hint="eastAsia" w:ascii="仿宋" w:hAnsi="仿宋" w:eastAsia="仿宋" w:cs="仿宋"/>
          <w:color w:val="auto"/>
          <w:highlight w:val="none"/>
          <w:lang w:val="en-US" w:eastAsia="zh-CN"/>
        </w:rPr>
        <w:t>建安工程费</w:t>
      </w:r>
      <w:r>
        <w:rPr>
          <w:rFonts w:hint="eastAsia" w:ascii="仿宋" w:hAnsi="仿宋" w:eastAsia="仿宋" w:cs="仿宋"/>
          <w:color w:val="auto"/>
          <w:highlight w:val="none"/>
          <w:lang w:eastAsia="zh-CN"/>
        </w:rPr>
        <w:t>中标价的10%向发包人提供履约担保</w:t>
      </w:r>
    </w:p>
    <w:p>
      <w:pPr>
        <w:spacing w:line="360" w:lineRule="auto"/>
        <w:ind w:left="840" w:leftChars="350"/>
        <w:rPr>
          <w:rFonts w:ascii="仿宋" w:hAnsi="仿宋" w:eastAsia="仿宋"/>
          <w:color w:val="auto"/>
          <w:highlight w:val="none"/>
          <w:lang w:eastAsia="zh-CN"/>
        </w:rPr>
      </w:pPr>
      <w:r>
        <w:rPr>
          <w:rFonts w:hint="eastAsia" w:ascii="仿宋" w:hAnsi="仿宋" w:eastAsia="仿宋" w:cs="仿宋"/>
          <w:color w:val="auto"/>
          <w:highlight w:val="none"/>
          <w:lang w:eastAsia="zh-CN"/>
        </w:rPr>
        <w:t>①履约担保的金额：（大写）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（小写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w:t>
      </w:r>
    </w:p>
    <w:p>
      <w:pPr>
        <w:spacing w:line="360" w:lineRule="auto"/>
        <w:ind w:left="840" w:leftChars="35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②提供履约担保的时间：</w:t>
      </w:r>
    </w:p>
    <w:p>
      <w:pPr>
        <w:spacing w:line="360" w:lineRule="auto"/>
        <w:ind w:firstLine="1068" w:firstLineChars="445"/>
        <w:rPr>
          <w:rFonts w:ascii="仿宋" w:hAnsi="仿宋" w:eastAsia="仿宋"/>
          <w:color w:val="auto"/>
          <w:highlight w:val="none"/>
          <w:lang w:eastAsia="zh-CN"/>
        </w:rPr>
      </w:pPr>
      <w:r>
        <w:rPr>
          <w:rFonts w:hint="eastAsia" w:ascii="仿宋" w:hAnsi="仿宋" w:eastAsia="仿宋" w:cs="仿宋"/>
          <w:color w:val="auto"/>
          <w:highlight w:val="none"/>
          <w:lang w:eastAsia="zh-CN"/>
        </w:rPr>
        <w:t>□ 签订本合同时</w:t>
      </w:r>
    </w:p>
    <w:p>
      <w:pPr>
        <w:spacing w:line="360" w:lineRule="auto"/>
        <w:ind w:firstLine="1068" w:firstLineChars="445"/>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lang w:eastAsia="zh"/>
        </w:rPr>
        <w:t>按发包人要求提供</w:t>
      </w:r>
      <w:r>
        <w:rPr>
          <w:rFonts w:hint="eastAsia" w:ascii="仿宋" w:hAnsi="仿宋" w:eastAsia="仿宋" w:cs="仿宋"/>
          <w:color w:val="auto"/>
          <w:highlight w:val="none"/>
          <w:lang w:eastAsia="zh-CN"/>
        </w:rPr>
        <w:t>。</w:t>
      </w:r>
    </w:p>
    <w:p>
      <w:pPr>
        <w:spacing w:line="360" w:lineRule="auto"/>
        <w:ind w:left="6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③履约担保的形式</w:t>
      </w:r>
    </w:p>
    <w:p>
      <w:pPr>
        <w:spacing w:line="360" w:lineRule="auto"/>
        <w:ind w:left="6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接受现金保证金和银行保函等非现金交易担保方式</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出具履约保函的担保人：</w:t>
      </w:r>
      <w:r>
        <w:rPr>
          <w:rFonts w:hint="eastAsia" w:ascii="仿宋" w:hAnsi="仿宋" w:eastAsia="仿宋" w:cs="仿宋"/>
          <w:color w:val="auto"/>
          <w:highlight w:val="none"/>
          <w:u w:val="single"/>
          <w:lang w:eastAsia="zh-CN"/>
        </w:rPr>
        <w:t>承包人的履约担保以银行保函形式提供的</w:t>
      </w:r>
      <w:r>
        <w:rPr>
          <w:rFonts w:ascii="仿宋" w:hAnsi="仿宋" w:eastAsia="仿宋" w:cs="仿宋"/>
          <w:color w:val="auto"/>
          <w:highlight w:val="none"/>
          <w:u w:val="single"/>
          <w:lang w:eastAsia="zh-CN"/>
        </w:rPr>
        <w:t>，</w:t>
      </w:r>
      <w:r>
        <w:rPr>
          <w:rFonts w:hint="eastAsia" w:ascii="仿宋" w:hAnsi="仿宋" w:eastAsia="仿宋" w:cs="仿宋"/>
          <w:color w:val="auto"/>
          <w:highlight w:val="none"/>
          <w:u w:val="single"/>
          <w:lang w:eastAsia="zh-CN"/>
        </w:rPr>
        <w:t>该银行保函应由在中国注册且营业地点的银行开具，是无条件、不可撤销银行保函，如发现承包人提供虚假银行保函，发包人将取消其中标资格，并追究法律责任。</w:t>
      </w:r>
      <w:r>
        <w:rPr>
          <w:rFonts w:hint="eastAsia" w:ascii="仿宋" w:hAnsi="仿宋" w:eastAsia="仿宋" w:cs="仿宋"/>
          <w:color w:val="auto"/>
          <w:highlight w:val="none"/>
          <w:u w:val="single"/>
          <w:lang w:eastAsia="zh"/>
        </w:rPr>
        <w:t>承包人的履约担保以担保机构保函形式提供的，担保机构</w:t>
      </w:r>
      <w:r>
        <w:rPr>
          <w:rFonts w:hint="eastAsia" w:ascii="仿宋" w:hAnsi="仿宋" w:eastAsia="仿宋" w:cs="仿宋"/>
          <w:color w:val="auto"/>
          <w:highlight w:val="none"/>
          <w:u w:val="single"/>
          <w:lang w:val="en-US" w:eastAsia="zh-CN"/>
        </w:rPr>
        <w:t>及履约保函形式</w:t>
      </w:r>
      <w:r>
        <w:rPr>
          <w:rFonts w:hint="eastAsia" w:ascii="仿宋" w:hAnsi="仿宋" w:eastAsia="仿宋" w:cs="仿宋"/>
          <w:color w:val="auto"/>
          <w:highlight w:val="none"/>
          <w:u w:val="single"/>
          <w:lang w:eastAsia="zh"/>
        </w:rPr>
        <w:t>须经发包人认可后方可出具保函</w:t>
      </w:r>
      <w:r>
        <w:rPr>
          <w:rFonts w:hint="eastAsia" w:ascii="仿宋" w:hAnsi="仿宋" w:eastAsia="仿宋" w:cs="仿宋"/>
          <w:color w:val="auto"/>
          <w:highlight w:val="none"/>
          <w:u w:val="single"/>
          <w:lang w:eastAsia="zh-CN"/>
        </w:rPr>
        <w:t>（履约担保指施工部分，设计</w:t>
      </w:r>
      <w:r>
        <w:rPr>
          <w:rFonts w:hint="eastAsia" w:ascii="仿宋" w:hAnsi="仿宋" w:eastAsia="仿宋" w:cs="仿宋"/>
          <w:color w:val="auto"/>
          <w:highlight w:val="none"/>
          <w:u w:val="single"/>
          <w:lang w:val="en-US" w:eastAsia="zh-CN"/>
        </w:rPr>
        <w:t>和勘察</w:t>
      </w:r>
      <w:r>
        <w:rPr>
          <w:rFonts w:hint="eastAsia" w:ascii="仿宋" w:hAnsi="仿宋" w:eastAsia="仿宋" w:cs="仿宋"/>
          <w:color w:val="auto"/>
          <w:highlight w:val="none"/>
          <w:u w:val="single"/>
          <w:lang w:eastAsia="zh-CN"/>
        </w:rPr>
        <w:t>无需担保）。</w:t>
      </w:r>
    </w:p>
    <w:p>
      <w:pPr>
        <w:spacing w:line="360"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 出具履约担保的担保人：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val="en-US" w:eastAsia="zh-CN"/>
        </w:rPr>
        <w:t>/</w:t>
      </w:r>
      <w:r>
        <w:rPr>
          <w:rFonts w:hint="eastAsia" w:ascii="仿宋" w:hAnsi="仿宋" w:eastAsia="仿宋" w:cs="仿宋"/>
          <w:color w:val="auto"/>
          <w:highlight w:val="none"/>
          <w:u w:val="single"/>
          <w:lang w:eastAsia="zh-CN"/>
        </w:rPr>
        <w:t xml:space="preserve">    </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出具</w:t>
      </w:r>
      <w:r>
        <w:rPr>
          <w:rFonts w:hint="eastAsia" w:ascii="仿宋" w:hAnsi="仿宋" w:eastAsia="仿宋" w:cs="仿宋"/>
          <w:color w:val="auto"/>
          <w:highlight w:val="none"/>
          <w:shd w:val="clear" w:color="auto" w:fill="FFFFFF"/>
          <w:lang w:eastAsia="zh-CN"/>
        </w:rPr>
        <w:t>履约保证保险</w:t>
      </w:r>
      <w:r>
        <w:rPr>
          <w:rFonts w:hint="eastAsia" w:ascii="仿宋" w:hAnsi="仿宋" w:eastAsia="仿宋" w:cs="仿宋"/>
          <w:color w:val="auto"/>
          <w:highlight w:val="none"/>
          <w:lang w:eastAsia="zh-CN"/>
        </w:rPr>
        <w:t>的担保人：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val="en-US" w:eastAsia="zh-CN"/>
        </w:rPr>
        <w:t>/</w:t>
      </w:r>
      <w:r>
        <w:rPr>
          <w:rFonts w:hint="eastAsia" w:ascii="仿宋" w:hAnsi="仿宋" w:eastAsia="仿宋" w:cs="仿宋"/>
          <w:color w:val="auto"/>
          <w:highlight w:val="none"/>
          <w:u w:val="single"/>
          <w:lang w:eastAsia="zh-CN"/>
        </w:rPr>
        <w:t xml:space="preserve">   </w:t>
      </w:r>
    </w:p>
    <w:p>
      <w:pPr>
        <w:spacing w:line="360" w:lineRule="auto"/>
        <w:ind w:firstLine="1080" w:firstLineChars="4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☑其它：</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val="en-US" w:eastAsia="zh-CN"/>
        </w:rPr>
        <w:t>/</w:t>
      </w:r>
      <w:r>
        <w:rPr>
          <w:rFonts w:hint="eastAsia" w:ascii="仿宋" w:hAnsi="仿宋" w:eastAsia="仿宋" w:cs="仿宋"/>
          <w:color w:val="auto"/>
          <w:highlight w:val="none"/>
          <w:u w:val="single"/>
          <w:lang w:eastAsia="zh-CN"/>
        </w:rPr>
        <w:t xml:space="preserve">    </w:t>
      </w:r>
    </w:p>
    <w:p>
      <w:pPr>
        <w:spacing w:line="360" w:lineRule="auto"/>
        <w:ind w:firstLine="1080" w:firstLineChars="450"/>
        <w:rPr>
          <w:rFonts w:ascii="仿宋" w:hAnsi="仿宋" w:eastAsia="仿宋" w:cs="仿宋"/>
          <w:color w:val="auto"/>
          <w:highlight w:val="none"/>
          <w:shd w:val="clear" w:color="auto" w:fill="FFFFFF"/>
          <w:lang w:eastAsia="zh-CN"/>
        </w:rPr>
      </w:pPr>
      <w:r>
        <w:rPr>
          <w:rFonts w:hint="eastAsia" w:ascii="仿宋" w:hAnsi="仿宋" w:eastAsia="仿宋" w:cs="仿宋"/>
          <w:color w:val="auto"/>
          <w:highlight w:val="none"/>
          <w:shd w:val="clear" w:color="auto" w:fill="FFFFFF"/>
          <w:lang w:eastAsia="zh-CN"/>
        </w:rPr>
        <w:t>④履约担保的其它要求</w:t>
      </w:r>
    </w:p>
    <w:p>
      <w:pPr>
        <w:spacing w:line="360" w:lineRule="auto"/>
        <w:ind w:firstLine="480" w:firstLineChars="200"/>
        <w:rPr>
          <w:rFonts w:ascii="仿宋" w:hAnsi="仿宋" w:eastAsia="仿宋" w:cs="仿宋"/>
          <w:color w:val="auto"/>
          <w:highlight w:val="none"/>
          <w:shd w:val="clear" w:color="auto" w:fill="FFFFFF"/>
          <w:lang w:eastAsia="zh-CN"/>
        </w:rPr>
      </w:pPr>
      <w:r>
        <w:rPr>
          <w:rFonts w:hint="eastAsia" w:ascii="仿宋" w:hAnsi="仿宋" w:eastAsia="仿宋" w:cs="仿宋"/>
          <w:color w:val="auto"/>
          <w:highlight w:val="none"/>
          <w:shd w:val="clear" w:color="auto" w:fill="FFFFFF"/>
          <w:lang w:eastAsia="zh-CN"/>
        </w:rPr>
        <w:t>承包人在保函到期前，承包人应提前7天向发包人提交新的保函以替换即将到期的保函，且新提交的保函的期限延长不得少于6个月。如承包人未及时提交的，发包人有权直接要求担保银行</w:t>
      </w:r>
      <w:r>
        <w:rPr>
          <w:rFonts w:hint="eastAsia" w:ascii="仿宋" w:hAnsi="仿宋" w:eastAsia="仿宋" w:cs="仿宋"/>
          <w:color w:val="auto"/>
          <w:highlight w:val="none"/>
          <w:shd w:val="clear" w:color="auto" w:fill="FFFFFF"/>
          <w:lang w:eastAsia="zh"/>
        </w:rPr>
        <w:t>或担保机构</w:t>
      </w:r>
      <w:r>
        <w:rPr>
          <w:rFonts w:hint="eastAsia" w:ascii="仿宋" w:hAnsi="仿宋" w:eastAsia="仿宋" w:cs="仿宋"/>
          <w:color w:val="auto"/>
          <w:highlight w:val="none"/>
          <w:shd w:val="clear" w:color="auto" w:fill="FFFFFF"/>
          <w:lang w:eastAsia="zh-CN"/>
        </w:rPr>
        <w:t>支付其担保的全部金额。</w:t>
      </w:r>
    </w:p>
    <w:p>
      <w:pPr>
        <w:spacing w:line="360" w:lineRule="auto"/>
        <w:ind w:firstLine="480" w:firstLineChars="200"/>
        <w:rPr>
          <w:rFonts w:ascii="仿宋" w:hAnsi="仿宋" w:eastAsia="仿宋" w:cs="仿宋"/>
          <w:color w:val="auto"/>
          <w:highlight w:val="none"/>
          <w:shd w:val="clear" w:color="auto" w:fill="FFFFFF"/>
          <w:lang w:eastAsia="zh-CN"/>
        </w:rPr>
      </w:pPr>
      <w:r>
        <w:rPr>
          <w:rFonts w:hint="eastAsia" w:ascii="仿宋" w:hAnsi="仿宋" w:eastAsia="仿宋" w:cs="仿宋"/>
          <w:color w:val="auto"/>
          <w:highlight w:val="none"/>
          <w:shd w:val="clear" w:color="auto" w:fill="FFFFFF"/>
          <w:lang w:eastAsia="zh-CN"/>
        </w:rPr>
        <w:t>当发生违约情形而导致发包人向担保银行</w:t>
      </w:r>
      <w:r>
        <w:rPr>
          <w:rFonts w:hint="eastAsia" w:ascii="仿宋" w:hAnsi="仿宋" w:eastAsia="仿宋" w:cs="仿宋"/>
          <w:color w:val="auto"/>
          <w:highlight w:val="none"/>
          <w:shd w:val="clear" w:color="auto" w:fill="FFFFFF"/>
          <w:lang w:eastAsia="zh"/>
        </w:rPr>
        <w:t>或担保机构</w:t>
      </w:r>
      <w:r>
        <w:rPr>
          <w:rFonts w:hint="eastAsia" w:ascii="仿宋" w:hAnsi="仿宋" w:eastAsia="仿宋" w:cs="仿宋"/>
          <w:color w:val="auto"/>
          <w:highlight w:val="none"/>
          <w:shd w:val="clear" w:color="auto" w:fill="FFFFFF"/>
          <w:lang w:eastAsia="zh-CN"/>
        </w:rPr>
        <w:t>索赔或因其他原因，而导致履约担保余额少于剩余工程量的10%，或者少于合同总价的2%的，承包人应在收到发包人通知之日起在7天内补充提交履约担保，补足后的担保总金额应相当于剩余工程量的10%，且不得低于合同总价的2%，按两者较高者补充提交。对于未按时限要求补充提交的，发包人有权直接要求担保银行</w:t>
      </w:r>
      <w:r>
        <w:rPr>
          <w:rFonts w:hint="eastAsia" w:ascii="仿宋" w:hAnsi="仿宋" w:eastAsia="仿宋" w:cs="仿宋"/>
          <w:color w:val="auto"/>
          <w:highlight w:val="none"/>
          <w:shd w:val="clear" w:color="auto" w:fill="FFFFFF"/>
          <w:lang w:eastAsia="zh"/>
        </w:rPr>
        <w:t>或担保机构</w:t>
      </w:r>
      <w:r>
        <w:rPr>
          <w:rFonts w:hint="eastAsia" w:ascii="仿宋" w:hAnsi="仿宋" w:eastAsia="仿宋" w:cs="仿宋"/>
          <w:color w:val="auto"/>
          <w:highlight w:val="none"/>
          <w:shd w:val="clear" w:color="auto" w:fill="FFFFFF"/>
          <w:lang w:eastAsia="zh-CN"/>
        </w:rPr>
        <w:t>支付其担保的全部金额并有权解除合同。</w:t>
      </w:r>
    </w:p>
    <w:p>
      <w:pPr>
        <w:spacing w:line="360" w:lineRule="auto"/>
        <w:ind w:firstLine="480" w:firstLineChars="200"/>
        <w:rPr>
          <w:rFonts w:ascii="仿宋" w:hAnsi="仿宋" w:eastAsia="仿宋" w:cs="仿宋"/>
          <w:color w:val="auto"/>
          <w:highlight w:val="none"/>
          <w:shd w:val="clear" w:color="auto" w:fill="FFFFFF"/>
          <w:lang w:eastAsia="zh-CN"/>
        </w:rPr>
      </w:pPr>
      <w:r>
        <w:rPr>
          <w:rFonts w:hint="eastAsia" w:ascii="仿宋" w:hAnsi="仿宋" w:eastAsia="仿宋" w:cs="仿宋"/>
          <w:color w:val="auto"/>
          <w:highlight w:val="none"/>
          <w:shd w:val="clear" w:color="auto" w:fill="FFFFFF"/>
          <w:lang w:eastAsia="zh-CN"/>
        </w:rPr>
        <w:t>承包人应按时足额向雇员支付劳务工资，并不低于当地最低工资标准。对于因承包人拖欠劳务工资而造成群体性示威、游行等，造成一切不良社会影响后果的，发包人有权直接向担保银行</w:t>
      </w:r>
      <w:r>
        <w:rPr>
          <w:rFonts w:hint="eastAsia" w:ascii="仿宋" w:hAnsi="仿宋" w:eastAsia="仿宋" w:cs="仿宋"/>
          <w:color w:val="auto"/>
          <w:highlight w:val="none"/>
          <w:shd w:val="clear" w:color="auto" w:fill="FFFFFF"/>
          <w:lang w:eastAsia="zh"/>
        </w:rPr>
        <w:t>或担保机构</w:t>
      </w:r>
      <w:r>
        <w:rPr>
          <w:rFonts w:hint="eastAsia" w:ascii="仿宋" w:hAnsi="仿宋" w:eastAsia="仿宋" w:cs="仿宋"/>
          <w:color w:val="auto"/>
          <w:highlight w:val="none"/>
          <w:shd w:val="clear" w:color="auto" w:fill="FFFFFF"/>
          <w:lang w:eastAsia="zh-CN"/>
        </w:rPr>
        <w:t>索赔或从应付、将付给承包人的款项中扣除。发包人有权根据承包人的雇员所提供的数据直接将劳务工资支付给承包人雇员，并在应付、将付给承包人的工程款或其他款项中扣除。上述行为对发包人造成损失和（或）导致工期延误的，应赔偿发包人的损失，工期不予顺延。</w:t>
      </w:r>
    </w:p>
    <w:p>
      <w:pPr>
        <w:spacing w:line="360" w:lineRule="auto"/>
        <w:ind w:firstLine="480" w:firstLineChars="200"/>
        <w:rPr>
          <w:rFonts w:ascii="仿宋" w:hAnsi="仿宋" w:eastAsia="仿宋" w:cs="仿宋"/>
          <w:color w:val="auto"/>
          <w:highlight w:val="none"/>
          <w:shd w:val="clear" w:color="auto" w:fill="FFFFFF"/>
          <w:lang w:eastAsia="zh-CN"/>
        </w:rPr>
      </w:pPr>
      <w:r>
        <w:rPr>
          <w:rFonts w:hint="eastAsia" w:ascii="仿宋" w:hAnsi="仿宋" w:eastAsia="仿宋" w:cs="仿宋"/>
          <w:color w:val="auto"/>
          <w:highlight w:val="none"/>
          <w:shd w:val="clear" w:color="auto" w:fill="FFFFFF"/>
          <w:lang w:eastAsia="zh"/>
        </w:rPr>
        <w:t>承包人未按发包人要求提供履约担保的</w:t>
      </w:r>
      <w:r>
        <w:rPr>
          <w:rFonts w:hint="eastAsia" w:ascii="仿宋" w:hAnsi="仿宋" w:eastAsia="仿宋" w:cs="仿宋"/>
          <w:color w:val="auto"/>
          <w:highlight w:val="none"/>
          <w:shd w:val="clear" w:color="auto" w:fill="FFFFFF"/>
          <w:lang w:eastAsia="zh-CN"/>
        </w:rPr>
        <w:t>，发包人有权解除中标通知书，承包人的投标担保</w:t>
      </w:r>
      <w:r>
        <w:rPr>
          <w:rFonts w:hint="eastAsia" w:ascii="仿宋" w:hAnsi="仿宋" w:eastAsia="仿宋" w:cs="仿宋"/>
          <w:color w:val="auto"/>
          <w:highlight w:val="none"/>
          <w:shd w:val="clear" w:color="auto" w:fill="FFFFFF"/>
          <w:lang w:eastAsia="zh"/>
        </w:rPr>
        <w:t>（如有）</w:t>
      </w:r>
      <w:r>
        <w:rPr>
          <w:rFonts w:hint="eastAsia" w:ascii="仿宋" w:hAnsi="仿宋" w:eastAsia="仿宋" w:cs="仿宋"/>
          <w:color w:val="auto"/>
          <w:highlight w:val="none"/>
          <w:shd w:val="clear" w:color="auto" w:fill="FFFFFF"/>
          <w:lang w:eastAsia="zh-CN"/>
        </w:rPr>
        <w:t>不予退还，且依法承担相应法律责任。承包人给发包人造成的损失超过投标担保数额的，还应当对超过部分予以赔偿。</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w:t>
      </w:r>
      <w:bookmarkStart w:id="1554" w:name="_Toc7964"/>
      <w:r>
        <w:rPr>
          <w:rFonts w:hint="eastAsia" w:ascii="仿宋" w:hAnsi="仿宋" w:eastAsia="仿宋" w:cs="仿宋"/>
          <w:color w:val="auto"/>
          <w:highlight w:val="none"/>
          <w:lang w:eastAsia="zh-CN"/>
        </w:rPr>
        <w:t>32.4 发包人提供支付担保</w:t>
      </w:r>
      <w:bookmarkEnd w:id="1554"/>
    </w:p>
    <w:p>
      <w:pPr>
        <w:spacing w:line="360" w:lineRule="auto"/>
        <w:ind w:left="240" w:leftChars="100" w:firstLine="480" w:firstLineChars="200"/>
        <w:rPr>
          <w:color w:val="auto"/>
          <w:highlight w:val="none"/>
          <w:lang w:eastAsia="zh-CN"/>
        </w:rPr>
      </w:pPr>
      <w:r>
        <w:rPr>
          <w:rFonts w:hint="eastAsia" w:ascii="仿宋" w:hAnsi="仿宋" w:eastAsia="仿宋" w:cs="仿宋"/>
          <w:color w:val="auto"/>
          <w:highlight w:val="none"/>
          <w:lang w:eastAsia="zh-CN"/>
        </w:rPr>
        <w:t>□不提供支付担保</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☑发包人提供支付担保的约定</w:t>
      </w:r>
    </w:p>
    <w:p>
      <w:pPr>
        <w:spacing w:line="360" w:lineRule="auto"/>
        <w:ind w:firstLine="849" w:firstLineChars="354"/>
        <w:rPr>
          <w:rFonts w:ascii="仿宋" w:hAnsi="仿宋" w:eastAsia="仿宋" w:cs="仿宋"/>
          <w:color w:val="auto"/>
          <w:highlight w:val="none"/>
          <w:lang w:eastAsia="zh-CN"/>
        </w:rPr>
      </w:pPr>
      <w:bookmarkStart w:id="1555" w:name="_Toc30432"/>
      <w:r>
        <w:rPr>
          <w:rFonts w:hint="eastAsia" w:ascii="仿宋" w:hAnsi="仿宋" w:eastAsia="仿宋" w:cs="仿宋"/>
          <w:color w:val="auto"/>
          <w:highlight w:val="none"/>
          <w:lang w:eastAsia="zh-CN"/>
        </w:rPr>
        <w:t>①支付担保的金额：（大写）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元（小写</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w:t>
      </w:r>
      <w:bookmarkEnd w:id="1555"/>
    </w:p>
    <w:p>
      <w:pPr>
        <w:spacing w:line="360" w:lineRule="auto"/>
        <w:ind w:firstLine="849" w:firstLineChars="354"/>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②提供支付担保的时间：</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□签订本合同时</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☑另作约定：</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向提供履约担保的承包人提供对等的支付担保</w:t>
      </w:r>
    </w:p>
    <w:p>
      <w:pPr>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w:t>
      </w:r>
      <w:bookmarkStart w:id="1556" w:name="_Toc22170"/>
      <w:r>
        <w:rPr>
          <w:rFonts w:hint="eastAsia" w:ascii="仿宋" w:hAnsi="仿宋" w:eastAsia="仿宋" w:cs="仿宋"/>
          <w:color w:val="auto"/>
          <w:highlight w:val="none"/>
          <w:lang w:eastAsia="zh-CN"/>
        </w:rPr>
        <w:t xml:space="preserve"> ③履约担保的形式</w:t>
      </w:r>
      <w:bookmarkEnd w:id="1556"/>
    </w:p>
    <w:p>
      <w:pPr>
        <w:spacing w:line="360" w:lineRule="auto"/>
        <w:ind w:firstLine="1080" w:firstLineChars="4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□出具支付保函的担保人：</w:t>
      </w:r>
      <w:r>
        <w:rPr>
          <w:rFonts w:hint="eastAsia" w:ascii="仿宋" w:hAnsi="仿宋" w:eastAsia="仿宋" w:cs="仿宋"/>
          <w:color w:val="auto"/>
          <w:highlight w:val="none"/>
          <w:u w:val="single"/>
          <w:lang w:eastAsia="zh-CN"/>
        </w:rPr>
        <w:t xml:space="preserve">        </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□出具</w:t>
      </w:r>
      <w:r>
        <w:rPr>
          <w:rFonts w:hint="eastAsia" w:ascii="仿宋" w:hAnsi="仿宋" w:eastAsia="仿宋" w:cs="仿宋"/>
          <w:color w:val="auto"/>
          <w:highlight w:val="none"/>
          <w:shd w:val="clear" w:color="auto" w:fill="FFFFFF"/>
          <w:lang w:eastAsia="zh-CN"/>
        </w:rPr>
        <w:t>支付担保</w:t>
      </w:r>
      <w:r>
        <w:rPr>
          <w:rFonts w:hint="eastAsia" w:ascii="仿宋" w:hAnsi="仿宋" w:eastAsia="仿宋" w:cs="仿宋"/>
          <w:color w:val="auto"/>
          <w:highlight w:val="none"/>
          <w:lang w:eastAsia="zh-CN"/>
        </w:rPr>
        <w:t>的担保人：</w:t>
      </w:r>
      <w:r>
        <w:rPr>
          <w:rFonts w:hint="eastAsia" w:ascii="仿宋" w:hAnsi="仿宋" w:eastAsia="仿宋" w:cs="仿宋"/>
          <w:color w:val="auto"/>
          <w:highlight w:val="none"/>
          <w:u w:val="single"/>
          <w:lang w:eastAsia="zh-CN"/>
        </w:rPr>
        <w:t xml:space="preserve">         </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□出具</w:t>
      </w:r>
      <w:r>
        <w:rPr>
          <w:rFonts w:hint="eastAsia" w:ascii="仿宋" w:hAnsi="仿宋" w:eastAsia="仿宋" w:cs="仿宋"/>
          <w:color w:val="auto"/>
          <w:highlight w:val="none"/>
          <w:shd w:val="clear" w:color="auto" w:fill="FFFFFF"/>
          <w:lang w:eastAsia="zh-CN"/>
        </w:rPr>
        <w:t>支付保证保险</w:t>
      </w:r>
      <w:r>
        <w:rPr>
          <w:rFonts w:hint="eastAsia" w:ascii="仿宋" w:hAnsi="仿宋" w:eastAsia="仿宋" w:cs="仿宋"/>
          <w:color w:val="auto"/>
          <w:highlight w:val="none"/>
          <w:lang w:eastAsia="zh-CN"/>
        </w:rPr>
        <w:t>的担保人：</w:t>
      </w:r>
      <w:r>
        <w:rPr>
          <w:rFonts w:hint="eastAsia" w:ascii="仿宋" w:hAnsi="仿宋" w:eastAsia="仿宋" w:cs="仿宋"/>
          <w:color w:val="auto"/>
          <w:highlight w:val="none"/>
          <w:u w:val="single"/>
          <w:lang w:eastAsia="zh-CN"/>
        </w:rPr>
        <w:t xml:space="preserve">        </w:t>
      </w:r>
    </w:p>
    <w:p>
      <w:pPr>
        <w:spacing w:line="360" w:lineRule="auto"/>
        <w:ind w:firstLine="1080" w:firstLineChars="450"/>
        <w:rPr>
          <w:rFonts w:ascii="仿宋" w:hAnsi="仿宋" w:eastAsia="仿宋" w:cs="仿宋"/>
          <w:color w:val="auto"/>
          <w:highlight w:val="none"/>
          <w:lang w:eastAsia="zh-CN"/>
        </w:rPr>
      </w:pPr>
      <w:r>
        <w:rPr>
          <w:rFonts w:hint="eastAsia" w:ascii="仿宋" w:hAnsi="仿宋" w:eastAsia="仿宋" w:cs="仿宋"/>
          <w:color w:val="auto"/>
          <w:highlight w:val="none"/>
          <w:lang w:eastAsia="zh-CN"/>
        </w:rPr>
        <w:sym w:font="Wingdings 2" w:char="0052"/>
      </w:r>
      <w:r>
        <w:rPr>
          <w:rFonts w:hint="eastAsia" w:ascii="仿宋" w:hAnsi="仿宋" w:eastAsia="仿宋" w:cs="仿宋"/>
          <w:color w:val="auto"/>
          <w:highlight w:val="none"/>
          <w:lang w:eastAsia="zh-CN"/>
        </w:rPr>
        <w:t>其它：</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由发包人自行决定担保形式</w:t>
      </w:r>
      <w:r>
        <w:rPr>
          <w:rFonts w:hint="eastAsia" w:ascii="仿宋" w:hAnsi="仿宋" w:eastAsia="仿宋" w:cs="仿宋"/>
          <w:color w:val="auto"/>
          <w:highlight w:val="none"/>
          <w:u w:val="single"/>
          <w:lang w:eastAsia="zh-CN"/>
        </w:rPr>
        <w:t xml:space="preserve">     </w:t>
      </w:r>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32.8 约定担保事项</w:t>
      </w:r>
    </w:p>
    <w:p>
      <w:pPr>
        <w:spacing w:line="360" w:lineRule="auto"/>
        <w:ind w:firstLine="960" w:firstLineChars="400"/>
        <w:rPr>
          <w:rFonts w:ascii="仿宋" w:hAnsi="仿宋" w:eastAsia="仿宋"/>
          <w:color w:val="auto"/>
          <w:highlight w:val="none"/>
          <w:lang w:eastAsia="zh-CN"/>
        </w:rPr>
      </w:pPr>
      <w:r>
        <w:rPr>
          <w:rFonts w:hint="eastAsia" w:ascii="仿宋" w:hAnsi="仿宋" w:eastAsia="仿宋" w:cs="仿宋"/>
          <w:color w:val="auto"/>
          <w:highlight w:val="none"/>
          <w:lang w:eastAsia="zh-CN"/>
        </w:rPr>
        <w:t>担保内容、方式和责任等事项的约定：</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w:t>
      </w:r>
    </w:p>
    <w:p>
      <w:pPr>
        <w:pStyle w:val="4"/>
        <w:tabs>
          <w:tab w:val="left" w:pos="420"/>
        </w:tabs>
        <w:spacing w:line="360" w:lineRule="auto"/>
        <w:ind w:firstLine="105"/>
        <w:rPr>
          <w:rFonts w:ascii="仿宋" w:hAnsi="仿宋" w:eastAsia="仿宋" w:cs="仿宋"/>
          <w:b w:val="0"/>
          <w:bCs w:val="0"/>
          <w:color w:val="auto"/>
          <w:sz w:val="24"/>
          <w:szCs w:val="24"/>
          <w:highlight w:val="none"/>
          <w:lang w:eastAsia="zh-CN"/>
        </w:rPr>
      </w:pPr>
      <w:bookmarkStart w:id="1557" w:name="_Toc16827"/>
      <w:bookmarkStart w:id="1558" w:name="_Toc15160"/>
      <w:bookmarkStart w:id="1559" w:name="_Toc913"/>
      <w:bookmarkStart w:id="1560" w:name="_Toc20925"/>
      <w:bookmarkStart w:id="1561" w:name="_Toc5401"/>
      <w:bookmarkStart w:id="1562" w:name="_Toc20620"/>
      <w:bookmarkStart w:id="1563" w:name="_Toc17567"/>
      <w:bookmarkStart w:id="1564" w:name="_Toc18576"/>
      <w:r>
        <w:rPr>
          <w:rFonts w:hint="eastAsia" w:ascii="仿宋" w:hAnsi="仿宋" w:eastAsia="仿宋" w:cs="仿宋"/>
          <w:b w:val="0"/>
          <w:bCs w:val="0"/>
          <w:color w:val="auto"/>
          <w:sz w:val="24"/>
          <w:szCs w:val="24"/>
          <w:highlight w:val="none"/>
          <w:lang w:eastAsia="zh-CN"/>
        </w:rPr>
        <w:t>33.发包人风险</w:t>
      </w:r>
      <w:bookmarkEnd w:id="1557"/>
      <w:bookmarkEnd w:id="1558"/>
      <w:bookmarkEnd w:id="1559"/>
      <w:bookmarkEnd w:id="1560"/>
      <w:bookmarkEnd w:id="1561"/>
      <w:bookmarkEnd w:id="1562"/>
      <w:bookmarkEnd w:id="1563"/>
      <w:bookmarkEnd w:id="1564"/>
    </w:p>
    <w:p>
      <w:pPr>
        <w:spacing w:line="360" w:lineRule="auto"/>
        <w:ind w:left="240" w:leftChars="100"/>
        <w:rPr>
          <w:rFonts w:ascii="仿宋" w:hAnsi="仿宋" w:eastAsia="仿宋" w:cs="仿宋"/>
          <w:bCs/>
          <w:color w:val="auto"/>
          <w:highlight w:val="none"/>
          <w:lang w:eastAsia="zh-CN"/>
        </w:rPr>
      </w:pPr>
      <w:r>
        <w:rPr>
          <w:rFonts w:hint="eastAsia" w:ascii="仿宋" w:hAnsi="仿宋" w:eastAsia="仿宋" w:cs="仿宋"/>
          <w:bCs/>
          <w:color w:val="auto"/>
          <w:highlight w:val="none"/>
          <w:lang w:eastAsia="zh-CN"/>
        </w:rPr>
        <w:t>33.2发包人风险</w:t>
      </w:r>
    </w:p>
    <w:p>
      <w:pPr>
        <w:spacing w:line="360" w:lineRule="auto"/>
        <w:ind w:left="240" w:leftChars="100"/>
        <w:rPr>
          <w:rFonts w:ascii="仿宋" w:hAnsi="仿宋" w:eastAsia="仿宋" w:cs="仿宋"/>
          <w:bCs/>
          <w:color w:val="auto"/>
          <w:highlight w:val="none"/>
          <w:lang w:eastAsia="zh-CN"/>
        </w:rPr>
      </w:pPr>
      <w:r>
        <w:rPr>
          <w:rFonts w:hint="eastAsia" w:ascii="仿宋" w:hAnsi="仿宋" w:eastAsia="仿宋" w:cs="仿宋"/>
          <w:bCs/>
          <w:color w:val="auto"/>
          <w:highlight w:val="none"/>
          <w:lang w:eastAsia="zh-CN"/>
        </w:rPr>
        <w:t>（9）其他风险：</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w:t>
      </w:r>
    </w:p>
    <w:p>
      <w:pPr>
        <w:pStyle w:val="4"/>
        <w:tabs>
          <w:tab w:val="left" w:pos="420"/>
        </w:tabs>
        <w:spacing w:line="360" w:lineRule="auto"/>
        <w:ind w:firstLine="105"/>
        <w:rPr>
          <w:color w:val="auto"/>
          <w:highlight w:val="none"/>
          <w:lang w:eastAsia="zh-CN"/>
        </w:rPr>
      </w:pPr>
      <w:bookmarkStart w:id="1565" w:name="_Toc26983"/>
      <w:bookmarkStart w:id="1566" w:name="_Toc21959"/>
      <w:bookmarkStart w:id="1567" w:name="_Toc2854"/>
      <w:bookmarkStart w:id="1568" w:name="_Toc1181"/>
      <w:bookmarkStart w:id="1569" w:name="_Toc30642"/>
      <w:bookmarkStart w:id="1570" w:name="_Toc723"/>
      <w:bookmarkStart w:id="1571" w:name="_Toc32022"/>
      <w:bookmarkStart w:id="1572" w:name="_Toc11357"/>
      <w:r>
        <w:rPr>
          <w:rFonts w:hint="eastAsia" w:ascii="仿宋" w:hAnsi="仿宋" w:eastAsia="仿宋" w:cs="仿宋"/>
          <w:b w:val="0"/>
          <w:bCs w:val="0"/>
          <w:color w:val="auto"/>
          <w:sz w:val="24"/>
          <w:szCs w:val="24"/>
          <w:highlight w:val="none"/>
          <w:lang w:eastAsia="zh-CN"/>
        </w:rPr>
        <w:t>35.  不可抗力</w:t>
      </w:r>
      <w:bookmarkEnd w:id="1565"/>
      <w:bookmarkEnd w:id="1566"/>
      <w:bookmarkEnd w:id="1567"/>
      <w:bookmarkEnd w:id="1568"/>
      <w:bookmarkEnd w:id="1569"/>
      <w:bookmarkEnd w:id="1570"/>
      <w:bookmarkEnd w:id="1571"/>
      <w:bookmarkEnd w:id="1572"/>
    </w:p>
    <w:p>
      <w:pPr>
        <w:spacing w:line="360" w:lineRule="auto"/>
        <w:ind w:left="240" w:leftChars="100"/>
        <w:rPr>
          <w:rFonts w:ascii="仿宋" w:hAnsi="仿宋" w:eastAsia="仿宋" w:cs="仿宋"/>
          <w:color w:val="auto"/>
          <w:highlight w:val="none"/>
          <w:u w:val="single"/>
          <w:lang w:eastAsia="zh-CN"/>
        </w:rPr>
      </w:pPr>
      <w:r>
        <w:rPr>
          <w:rFonts w:hint="eastAsia" w:ascii="仿宋" w:hAnsi="仿宋" w:eastAsia="仿宋" w:cs="仿宋"/>
          <w:bCs/>
          <w:color w:val="auto"/>
          <w:highlight w:val="none"/>
          <w:lang w:eastAsia="zh-CN"/>
        </w:rPr>
        <w:t>35.1</w:t>
      </w:r>
      <w:r>
        <w:rPr>
          <w:rFonts w:hint="eastAsia" w:ascii="仿宋" w:hAnsi="仿宋" w:eastAsia="仿宋" w:cs="仿宋"/>
          <w:color w:val="auto"/>
          <w:highlight w:val="none"/>
          <w:lang w:eastAsia="zh-CN"/>
        </w:rPr>
        <w:t>除通用合同条件约定的不可抗力事件之外，视为不可抗力的其他情形</w:t>
      </w:r>
      <w:r>
        <w:rPr>
          <w:rFonts w:hint="eastAsia" w:ascii="仿宋" w:hAnsi="仿宋" w:eastAsia="仿宋" w:cs="仿宋"/>
          <w:bCs/>
          <w:color w:val="auto"/>
          <w:highlight w:val="none"/>
          <w:lang w:eastAsia="zh-CN"/>
        </w:rPr>
        <w:t>：</w:t>
      </w:r>
      <w:r>
        <w:rPr>
          <w:rFonts w:hint="eastAsia" w:ascii="仿宋" w:hAnsi="仿宋" w:eastAsia="仿宋" w:cs="仿宋"/>
          <w:color w:val="auto"/>
          <w:highlight w:val="none"/>
          <w:u w:val="single"/>
          <w:lang w:eastAsia="zh-CN"/>
        </w:rPr>
        <w:t>国家、省市确认为不可抗力事件的。</w:t>
      </w:r>
    </w:p>
    <w:p>
      <w:pPr>
        <w:pStyle w:val="4"/>
        <w:tabs>
          <w:tab w:val="left" w:pos="420"/>
        </w:tabs>
        <w:rPr>
          <w:rFonts w:ascii="仿宋" w:hAnsi="仿宋" w:eastAsia="仿宋" w:cs="仿宋"/>
          <w:b w:val="0"/>
          <w:bCs w:val="0"/>
          <w:color w:val="auto"/>
          <w:sz w:val="24"/>
          <w:szCs w:val="24"/>
          <w:highlight w:val="none"/>
          <w:lang w:eastAsia="zh-CN"/>
        </w:rPr>
      </w:pPr>
      <w:bookmarkStart w:id="1573" w:name="_Toc15702"/>
      <w:bookmarkStart w:id="1574" w:name="_Toc10714"/>
      <w:bookmarkStart w:id="1575" w:name="_Toc11394"/>
      <w:bookmarkStart w:id="1576" w:name="_Toc20368"/>
      <w:bookmarkStart w:id="1577" w:name="_Toc5050"/>
      <w:bookmarkStart w:id="1578" w:name="_Toc10651"/>
      <w:bookmarkStart w:id="1579" w:name="_Toc25827"/>
      <w:bookmarkStart w:id="1580" w:name="_Toc3432"/>
      <w:r>
        <w:rPr>
          <w:rFonts w:hint="eastAsia" w:ascii="仿宋" w:hAnsi="仿宋" w:eastAsia="仿宋" w:cs="仿宋"/>
          <w:b w:val="0"/>
          <w:bCs w:val="0"/>
          <w:color w:val="auto"/>
          <w:sz w:val="24"/>
          <w:szCs w:val="24"/>
          <w:highlight w:val="none"/>
          <w:lang w:eastAsia="zh-CN"/>
        </w:rPr>
        <w:t>36.  保险</w:t>
      </w:r>
      <w:bookmarkEnd w:id="1573"/>
      <w:bookmarkEnd w:id="1574"/>
      <w:bookmarkEnd w:id="1575"/>
      <w:bookmarkEnd w:id="1576"/>
      <w:bookmarkEnd w:id="1577"/>
      <w:bookmarkEnd w:id="1578"/>
      <w:bookmarkEnd w:id="1579"/>
      <w:bookmarkEnd w:id="1580"/>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36.1 发包人办理保险</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委托承包人办理保险的事项有：</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通用条款第36.1款的第（1）项；</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通用条款第36.1款的第（2）项；</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通用条款第36.1款的第（3）项；</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通用条款第36.1款的第（4）项。</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通用条款第36.1款的第（5）项。</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关于安全生产责任险的约定：</w:t>
      </w:r>
      <w:r>
        <w:rPr>
          <w:rFonts w:hint="eastAsia" w:ascii="仿宋" w:hAnsi="仿宋" w:eastAsia="仿宋"/>
          <w:color w:val="auto"/>
          <w:highlight w:val="none"/>
          <w:u w:val="single"/>
          <w:lang w:eastAsia="zh-CN"/>
        </w:rPr>
        <w:t>由承包人负责办理，发包人提供协助，费用由承包人承担，承包人投标报价时综合考虑</w:t>
      </w:r>
      <w:r>
        <w:rPr>
          <w:rFonts w:hint="eastAsia" w:ascii="仿宋" w:hAnsi="仿宋" w:eastAsia="仿宋" w:cs="仿宋"/>
          <w:color w:val="auto"/>
          <w:highlight w:val="none"/>
          <w:u w:val="single"/>
          <w:lang w:eastAsia="zh-CN"/>
        </w:rPr>
        <w:t>，包含在定额管理费中</w:t>
      </w:r>
      <w:r>
        <w:rPr>
          <w:rFonts w:hint="eastAsia" w:ascii="仿宋" w:hAnsi="仿宋" w:eastAsia="仿宋"/>
          <w:color w:val="auto"/>
          <w:highlight w:val="none"/>
          <w:u w:val="single"/>
          <w:lang w:eastAsia="zh-CN"/>
        </w:rPr>
        <w:t>不单独另行计算</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36.8 投保内容、保险金、保险期限和责任等事项的约定：</w:t>
      </w:r>
      <w:r>
        <w:rPr>
          <w:rFonts w:hint="eastAsia" w:ascii="仿宋" w:hAnsi="仿宋" w:eastAsia="仿宋" w:cs="仿宋"/>
          <w:color w:val="auto"/>
          <w:highlight w:val="none"/>
          <w:u w:val="single"/>
          <w:lang w:eastAsia="zh-CN"/>
        </w:rPr>
        <w:t>保险金，足额投保；保险期限，从开工之日起至工程竣工验收合格之日止。发包人委托承办人办理保险所发生的费用若未包含在定额组价中，均由承包人承担，</w:t>
      </w:r>
      <w:r>
        <w:rPr>
          <w:rFonts w:hint="eastAsia" w:ascii="仿宋" w:hAnsi="仿宋" w:eastAsia="仿宋"/>
          <w:color w:val="auto"/>
          <w:highlight w:val="none"/>
          <w:u w:val="single"/>
          <w:lang w:eastAsia="zh-CN"/>
        </w:rPr>
        <w:t>不单独另行计算</w:t>
      </w:r>
      <w:r>
        <w:rPr>
          <w:rFonts w:hint="eastAsia" w:ascii="仿宋" w:hAnsi="仿宋" w:eastAsia="仿宋" w:cs="仿宋"/>
          <w:color w:val="auto"/>
          <w:highlight w:val="none"/>
          <w:u w:val="single"/>
          <w:lang w:eastAsia="zh-CN"/>
        </w:rPr>
        <w:t>。</w:t>
      </w:r>
    </w:p>
    <w:p>
      <w:pPr>
        <w:pStyle w:val="4"/>
        <w:tabs>
          <w:tab w:val="left" w:pos="420"/>
        </w:tabs>
        <w:spacing w:line="360" w:lineRule="auto"/>
        <w:ind w:firstLine="105"/>
        <w:rPr>
          <w:rFonts w:ascii="仿宋" w:hAnsi="仿宋" w:eastAsia="仿宋" w:cs="仿宋"/>
          <w:b w:val="0"/>
          <w:bCs w:val="0"/>
          <w:color w:val="auto"/>
          <w:sz w:val="24"/>
          <w:szCs w:val="24"/>
          <w:highlight w:val="none"/>
          <w:lang w:eastAsia="zh-CN"/>
        </w:rPr>
      </w:pPr>
      <w:bookmarkStart w:id="1581" w:name="_Toc4664"/>
      <w:bookmarkStart w:id="1582" w:name="_Toc16848"/>
      <w:bookmarkStart w:id="1583" w:name="_Toc18344"/>
      <w:bookmarkStart w:id="1584" w:name="_Toc3845"/>
      <w:bookmarkStart w:id="1585" w:name="_Toc9032"/>
      <w:bookmarkStart w:id="1586" w:name="_Toc2261"/>
      <w:bookmarkStart w:id="1587" w:name="_Toc14439"/>
      <w:bookmarkStart w:id="1588" w:name="_Toc4451"/>
      <w:r>
        <w:rPr>
          <w:rFonts w:hint="eastAsia" w:ascii="仿宋" w:hAnsi="仿宋" w:eastAsia="仿宋" w:cs="仿宋"/>
          <w:b w:val="0"/>
          <w:bCs w:val="0"/>
          <w:color w:val="auto"/>
          <w:sz w:val="24"/>
          <w:szCs w:val="24"/>
          <w:highlight w:val="none"/>
          <w:lang w:eastAsia="zh-CN"/>
        </w:rPr>
        <w:t>37.  工程勘察</w:t>
      </w:r>
      <w:bookmarkEnd w:id="1581"/>
      <w:bookmarkEnd w:id="1582"/>
      <w:bookmarkEnd w:id="1583"/>
      <w:bookmarkEnd w:id="1584"/>
      <w:bookmarkEnd w:id="1585"/>
      <w:bookmarkEnd w:id="1586"/>
      <w:bookmarkEnd w:id="1587"/>
      <w:bookmarkEnd w:id="1588"/>
    </w:p>
    <w:p>
      <w:pPr>
        <w:spacing w:line="360" w:lineRule="auto"/>
        <w:ind w:left="240" w:leftChars="1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37.1 对发包人要求和项目基础资料的核实</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 通用条款第37.1款约定。</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另有约定：</w:t>
      </w:r>
      <w:r>
        <w:rPr>
          <w:rFonts w:hint="eastAsia" w:ascii="仿宋" w:hAnsi="仿宋" w:eastAsia="仿宋" w:cs="仿宋"/>
          <w:color w:val="auto"/>
          <w:highlight w:val="none"/>
          <w:u w:val="single"/>
          <w:lang w:eastAsia="zh-CN"/>
        </w:rPr>
        <w:t xml:space="preserve">    /    </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37.2勘察实施方案与应急预案</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①提供时间：</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②提供数量：</w:t>
      </w:r>
      <w:r>
        <w:rPr>
          <w:rFonts w:hint="eastAsia" w:ascii="仿宋" w:hAnsi="仿宋" w:eastAsia="仿宋" w:cs="仿宋"/>
          <w:color w:val="auto"/>
          <w:highlight w:val="none"/>
          <w:u w:val="single"/>
          <w:lang w:eastAsia="zh-CN"/>
        </w:rPr>
        <w:t xml:space="preserve">    /    </w:t>
      </w:r>
    </w:p>
    <w:p>
      <w:pPr>
        <w:spacing w:line="360" w:lineRule="auto"/>
        <w:ind w:firstLine="480"/>
        <w:rPr>
          <w:rFonts w:ascii="仿宋" w:hAnsi="仿宋" w:eastAsia="仿宋" w:cs="仿宋"/>
          <w:color w:val="auto"/>
          <w:highlight w:val="none"/>
          <w:lang w:eastAsia="zh-CN"/>
        </w:rPr>
      </w:pPr>
      <w:r>
        <w:rPr>
          <w:rFonts w:hint="eastAsia" w:ascii="仿宋" w:hAnsi="仿宋" w:eastAsia="仿宋" w:cs="仿宋"/>
          <w:color w:val="auto"/>
          <w:highlight w:val="none"/>
          <w:lang w:eastAsia="zh-CN"/>
        </w:rPr>
        <w:t>37.4 承包人提供勘察成果</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①提供时间：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以勘察任务书要求及发包人具体要求为准</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②提供方式：</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以勘察任务书要求及发包人具体要求为准</w:t>
      </w:r>
      <w:r>
        <w:rPr>
          <w:rFonts w:hint="eastAsia" w:ascii="仿宋" w:hAnsi="仿宋" w:eastAsia="仿宋" w:cs="仿宋"/>
          <w:color w:val="auto"/>
          <w:highlight w:val="none"/>
          <w:u w:val="single"/>
          <w:lang w:eastAsia="zh-CN"/>
        </w:rPr>
        <w:t xml:space="preserve">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③提供数量：</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以勘察任务书要求及发包人具体要求为准</w:t>
      </w:r>
      <w:r>
        <w:rPr>
          <w:rFonts w:hint="eastAsia" w:ascii="仿宋" w:hAnsi="仿宋" w:eastAsia="仿宋" w:cs="仿宋"/>
          <w:color w:val="auto"/>
          <w:highlight w:val="none"/>
          <w:u w:val="single"/>
          <w:lang w:eastAsia="zh-CN"/>
        </w:rPr>
        <w:t xml:space="preserve">   </w:t>
      </w:r>
    </w:p>
    <w:p>
      <w:pPr>
        <w:pStyle w:val="4"/>
        <w:tabs>
          <w:tab w:val="left" w:pos="420"/>
        </w:tabs>
        <w:spacing w:line="360" w:lineRule="auto"/>
        <w:rPr>
          <w:rFonts w:ascii="仿宋" w:hAnsi="仿宋" w:eastAsia="仿宋" w:cs="仿宋"/>
          <w:b w:val="0"/>
          <w:bCs w:val="0"/>
          <w:color w:val="auto"/>
          <w:sz w:val="24"/>
          <w:szCs w:val="24"/>
          <w:highlight w:val="none"/>
          <w:lang w:eastAsia="zh-CN"/>
        </w:rPr>
      </w:pPr>
      <w:bookmarkStart w:id="1589" w:name="_Toc21803"/>
      <w:bookmarkStart w:id="1590" w:name="_Toc16571"/>
      <w:bookmarkStart w:id="1591" w:name="_Toc21837"/>
      <w:bookmarkStart w:id="1592" w:name="_Toc23521"/>
      <w:bookmarkStart w:id="1593" w:name="_Toc22933"/>
      <w:bookmarkStart w:id="1594" w:name="_Toc16870"/>
      <w:bookmarkStart w:id="1595" w:name="_Toc10131"/>
      <w:bookmarkStart w:id="1596" w:name="_Toc26197"/>
      <w:r>
        <w:rPr>
          <w:rFonts w:hint="eastAsia" w:ascii="仿宋" w:hAnsi="仿宋" w:eastAsia="仿宋" w:cs="仿宋"/>
          <w:b w:val="0"/>
          <w:bCs w:val="0"/>
          <w:color w:val="auto"/>
          <w:sz w:val="24"/>
          <w:szCs w:val="24"/>
          <w:highlight w:val="none"/>
          <w:lang w:eastAsia="zh-CN"/>
        </w:rPr>
        <w:t>38.  工程设计</w:t>
      </w:r>
      <w:bookmarkEnd w:id="1589"/>
      <w:bookmarkEnd w:id="1590"/>
      <w:bookmarkEnd w:id="1591"/>
      <w:bookmarkEnd w:id="1592"/>
      <w:bookmarkEnd w:id="1593"/>
      <w:bookmarkEnd w:id="1594"/>
      <w:bookmarkEnd w:id="1595"/>
      <w:bookmarkEnd w:id="1596"/>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38.1 对发包人要求和项目基础资料的核实</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通用条款第38.1款约定。</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另有约定：</w:t>
      </w:r>
      <w:r>
        <w:rPr>
          <w:rFonts w:hint="eastAsia" w:ascii="仿宋" w:hAnsi="仿宋" w:eastAsia="仿宋" w:cs="仿宋"/>
          <w:color w:val="auto"/>
          <w:highlight w:val="none"/>
          <w:u w:val="single"/>
          <w:lang w:eastAsia="zh-CN"/>
        </w:rPr>
        <w:t xml:space="preserve">    /    </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38.2设计工作内容：包括但不限于以下内容：</w:t>
      </w:r>
    </w:p>
    <w:tbl>
      <w:tblPr>
        <w:tblStyle w:val="40"/>
        <w:tblW w:w="86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9"/>
        <w:gridCol w:w="871"/>
        <w:gridCol w:w="836"/>
        <w:gridCol w:w="869"/>
        <w:gridCol w:w="877"/>
        <w:gridCol w:w="36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54" w:hRule="atLeast"/>
          <w:tblHeader/>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项目名称</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初步设计</w:t>
            </w: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施工图设计</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设计承包管理</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编制竣工图（由施工单位完成）</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建筑设计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结构设计/钢结构设计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室内装修设计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达到最终交付使用的全部室内装修设计。包括但不限于以下内容：</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宿舍楼、厂房公共区域及卫生间，硬装达到施工图深度，软装达到明确选型和采购</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1、室内平面布置方案设计</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2、重点部位效果图</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3、装饰方案扩初图，水电暖通系统、装饰材料</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4、室内装饰硬装、灯光设计、给排水系统、强弱电系统、空调系统、智能化系统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5、室内软装</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注：承包人需配合相关单位完成一次机电的修改、二次机电的相关设计。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人防工程设计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如承包人无人防工程相应的设计资质，则由承包人将地下人防工程委托具备相应资质的单位进行设计。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建筑电气设计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弱电系统设计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包括但不限于以下内容：</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光纤到户系统（四网合一）</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综合布线系统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计算机网络系统（WIFI信号覆盖系统）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卫星电视系统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卫星通讯系统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无线对讲系统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信息发布系统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公共广播系统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电梯五方对讲系统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时钟系统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会议系统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安防综合管理系统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(视频监控系统、出入口控制系统、入侵及紧急报警系统、离线巡更系统)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人行通道闸及访客管理系统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停车场管理系统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车位引导及反向寻车系统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应急响应系统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楼宇设备监控系统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能源管理系统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智能照明系统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客房控制系统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环境监测系统</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平台智慧服务平台</w:t>
            </w:r>
          </w:p>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基于BIM模型的运营管理</w:t>
            </w:r>
          </w:p>
          <w:p>
            <w:pPr>
              <w:pStyle w:val="2"/>
              <w:keepNext w:val="0"/>
              <w:keepLines w:val="0"/>
              <w:widowControl/>
              <w:suppressLineNumbers w:val="0"/>
              <w:spacing w:before="0" w:beforeAutospacing="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
                <w:snapToGrid w:val="0"/>
                <w:color w:val="auto"/>
                <w:szCs w:val="21"/>
                <w:highlight w:val="none"/>
                <w:lang w:eastAsia="zh-CN"/>
              </w:rPr>
              <w:t>（以上所有系统由施工承包方委托供应商或厂家负责深化设计，设计承包方负责审核）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给排水及消防设计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采暖通风与空气调节设计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通信系统设计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绿色建筑建设标准项目</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环保、卫生与节能设计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设备选型意见</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项目用地范围内基础配套设施工程设计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室内外管线综合平衡设计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室外小市政管线综合，室内管线综合（一二次机电管线综合）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室内外体育设施设计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室外市政（道路设计、管线设计、绿地设计、河涌设计）、园林工程设计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室内外标识系统设计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建筑、景观园林泛光照明设计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泛光规划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其他配套专业（包括油烟处理工程、太阳能热水系统、雨水收集系统、发电机组、燃气工程）工程设计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2"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
                <w:snapToGrid w:val="0"/>
                <w:color w:val="auto"/>
                <w:szCs w:val="21"/>
                <w:highlight w:val="none"/>
                <w:lang w:eastAsia="zh-CN"/>
              </w:rPr>
              <w:t>该几项内容由施工承包方委托供应商或厂家负责深化设计，设计承包方负责审核）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红线范围外保证建筑物正常使用的必要的其他专业（包括；外接供水排水管、高低压配电等）工程设计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2" w:firstLineChars="20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
                <w:snapToGrid w:val="0"/>
                <w:color w:val="auto"/>
                <w:szCs w:val="21"/>
                <w:highlight w:val="none"/>
                <w:lang w:eastAsia="zh-CN"/>
              </w:rPr>
              <w:t>红线外供水点、供电点距离本项目地界在合理距离内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trPr>
        <w:tc>
          <w:tcPr>
            <w:tcW w:w="14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lang w:eastAsia="zh-CN"/>
              </w:rPr>
            </w:pPr>
            <w:r>
              <w:rPr>
                <w:rFonts w:hint="eastAsia" w:ascii="仿宋" w:hAnsi="仿宋" w:eastAsia="仿宋" w:cs="仿宋"/>
                <w:bCs/>
                <w:snapToGrid w:val="0"/>
                <w:color w:val="auto"/>
                <w:szCs w:val="21"/>
                <w:highlight w:val="none"/>
                <w:lang w:eastAsia="zh-CN"/>
              </w:rPr>
              <w:t>燃气、BIM（如有）、海绵城市、装配式（如有）等专业深化设计</w:t>
            </w:r>
          </w:p>
        </w:tc>
        <w:tc>
          <w:tcPr>
            <w:tcW w:w="8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p>
        </w:tc>
        <w:tc>
          <w:tcPr>
            <w:tcW w:w="83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6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8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jc w:val="center"/>
              <w:rPr>
                <w:rFonts w:hint="default" w:ascii="仿宋" w:hAnsi="仿宋" w:eastAsia="仿宋" w:cs="仿宋"/>
                <w:bCs/>
                <w:snapToGrid w:val="0"/>
                <w:color w:val="auto"/>
                <w:szCs w:val="21"/>
                <w:highlight w:val="none"/>
              </w:rPr>
            </w:pPr>
            <w:r>
              <w:rPr>
                <w:rFonts w:hint="eastAsia" w:ascii="仿宋" w:hAnsi="仿宋" w:eastAsia="仿宋" w:cs="仿宋"/>
                <w:bCs/>
                <w:snapToGrid w:val="0"/>
                <w:color w:val="auto"/>
                <w:szCs w:val="21"/>
                <w:highlight w:val="none"/>
              </w:rPr>
              <w:t>√</w:t>
            </w:r>
          </w:p>
        </w:tc>
        <w:tc>
          <w:tcPr>
            <w:tcW w:w="368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djustRightInd w:val="0"/>
              <w:snapToGrid w:val="0"/>
              <w:spacing w:before="0" w:beforeAutospacing="0" w:after="0" w:afterAutospacing="0" w:line="400" w:lineRule="exact"/>
              <w:ind w:left="0" w:right="0" w:firstLine="480" w:firstLineChars="200"/>
              <w:jc w:val="center"/>
              <w:rPr>
                <w:rFonts w:hint="default" w:ascii="仿宋" w:hAnsi="仿宋" w:eastAsia="仿宋" w:cs="仿宋"/>
                <w:bCs/>
                <w:snapToGrid w:val="0"/>
                <w:color w:val="auto"/>
                <w:szCs w:val="21"/>
                <w:highlight w:val="none"/>
              </w:rPr>
            </w:pPr>
          </w:p>
        </w:tc>
      </w:tr>
    </w:tbl>
    <w:p>
      <w:pPr>
        <w:spacing w:line="360" w:lineRule="auto"/>
        <w:ind w:left="240" w:leftChars="1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注：以上所有专业设计均应满足国家和各行业规范，地方法规、各行政主管部门的要求和意见。必要时，根据发包人或主管部门要求，各阶段图纸应送相关主管部门审核并取得盖章确认。</w:t>
      </w:r>
      <w:bookmarkStart w:id="1597" w:name="_Hlk77086319"/>
    </w:p>
    <w:bookmarkEnd w:id="1597"/>
    <w:p>
      <w:pPr>
        <w:spacing w:line="360" w:lineRule="auto"/>
        <w:ind w:left="240" w:leftChars="1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本合同设计承包范围的具体描述如下：</w:t>
      </w:r>
    </w:p>
    <w:p>
      <w:pPr>
        <w:spacing w:line="360" w:lineRule="auto"/>
        <w:ind w:left="240" w:leftChars="1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施工图设计（含设计变更）、管线综合、现场指导和配合服务（设计阶段根据工程建设的需要及发包人的要求确定服务时间，施工阶段须按发包人要求进行驻场服务）、相关报建配合（包括所有专业报建。发包人协调，承包人负责技术性工作及事务性工作）、</w:t>
      </w:r>
      <w:r>
        <w:rPr>
          <w:rFonts w:hint="eastAsia" w:ascii="仿宋" w:hAnsi="仿宋" w:eastAsia="仿宋" w:cs="仿宋"/>
          <w:color w:val="auto"/>
          <w:highlight w:val="none"/>
          <w:u w:val="single"/>
          <w:lang w:eastAsia="zh"/>
        </w:rPr>
        <w:t>组织相关专家评审等评审工作、</w:t>
      </w:r>
      <w:r>
        <w:rPr>
          <w:rFonts w:hint="eastAsia" w:ascii="仿宋" w:hAnsi="仿宋" w:eastAsia="仿宋" w:cs="仿宋"/>
          <w:color w:val="auto"/>
          <w:highlight w:val="none"/>
          <w:u w:val="single"/>
          <w:lang w:eastAsia="zh-CN"/>
        </w:rPr>
        <w:t>结算配合服务和保修配合服务。</w:t>
      </w:r>
    </w:p>
    <w:p>
      <w:pPr>
        <w:spacing w:line="360" w:lineRule="auto"/>
        <w:ind w:left="240" w:leftChars="1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注1：上述合同范围内工作所需费用</w:t>
      </w:r>
      <w:r>
        <w:rPr>
          <w:rFonts w:hint="eastAsia" w:ascii="仿宋" w:hAnsi="仿宋" w:eastAsia="仿宋" w:cs="仿宋"/>
          <w:color w:val="auto"/>
          <w:highlight w:val="none"/>
          <w:u w:val="single"/>
          <w:lang w:eastAsia="zh"/>
        </w:rPr>
        <w:t>（含专家费）</w:t>
      </w:r>
      <w:r>
        <w:rPr>
          <w:rFonts w:hint="eastAsia" w:ascii="仿宋" w:hAnsi="仿宋" w:eastAsia="仿宋" w:cs="仿宋"/>
          <w:color w:val="auto"/>
          <w:highlight w:val="none"/>
          <w:u w:val="single"/>
          <w:lang w:eastAsia="zh-CN"/>
        </w:rPr>
        <w:t>均包括在工程设计费中，不单独收费。</w:t>
      </w:r>
    </w:p>
    <w:p>
      <w:pPr>
        <w:spacing w:line="360" w:lineRule="auto"/>
        <w:ind w:left="240" w:leftChars="1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注2：本项目为配合完成合同范围内工作所需辅助测量等辅助性工作费用，已包含在设计费中，不单独计费。</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38.2施工图设计实施方案</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①提供时间：</w:t>
      </w:r>
      <w:r>
        <w:rPr>
          <w:rFonts w:hint="eastAsia" w:ascii="仿宋" w:hAnsi="仿宋" w:eastAsia="仿宋" w:cs="仿宋"/>
          <w:color w:val="auto"/>
          <w:highlight w:val="none"/>
          <w:u w:val="single"/>
          <w:lang w:eastAsia="zh-CN"/>
        </w:rPr>
        <w:t>工程设计工作开始日期3天前</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②提供方式：</w:t>
      </w:r>
      <w:r>
        <w:rPr>
          <w:rFonts w:hint="eastAsia" w:ascii="仿宋" w:hAnsi="仿宋" w:eastAsia="仿宋" w:cs="仿宋"/>
          <w:color w:val="auto"/>
          <w:highlight w:val="none"/>
          <w:u w:val="single"/>
          <w:lang w:eastAsia="zh-CN"/>
        </w:rPr>
        <w:t>书面送达</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③提供数量：</w:t>
      </w:r>
      <w:r>
        <w:rPr>
          <w:rFonts w:hint="eastAsia" w:ascii="仿宋" w:hAnsi="仿宋" w:eastAsia="仿宋" w:cs="仿宋"/>
          <w:color w:val="auto"/>
          <w:highlight w:val="none"/>
          <w:u w:val="single"/>
          <w:lang w:eastAsia="zh-CN"/>
        </w:rPr>
        <w:t>3份</w:t>
      </w:r>
    </w:p>
    <w:p>
      <w:pPr>
        <w:spacing w:line="360" w:lineRule="auto"/>
        <w:ind w:left="240" w:leftChars="1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38.2.1承包人应在工程设计工作开始日期前，编制施工图设计实施方案，并按专用条款约定的方式、数量和时间报发包人审查或备案。发包人在收到承包人实施方案后的14天内予以确定或提出修改意见。</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38.3 设计实施</w:t>
      </w:r>
    </w:p>
    <w:p>
      <w:pPr>
        <w:spacing w:line="360" w:lineRule="auto"/>
        <w:ind w:left="240" w:leftChars="1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38.3.1 </w:t>
      </w:r>
      <w:r>
        <w:rPr>
          <w:rFonts w:ascii="仿宋" w:hAnsi="仿宋" w:eastAsia="仿宋"/>
          <w:color w:val="auto"/>
          <w:highlight w:val="none"/>
          <w:lang w:eastAsia="zh-CN"/>
        </w:rPr>
        <w:t>适用于发包人按单</w:t>
      </w:r>
      <w:r>
        <w:rPr>
          <w:rFonts w:hint="eastAsia" w:ascii="仿宋" w:hAnsi="仿宋" w:eastAsia="仿宋"/>
          <w:color w:val="auto"/>
          <w:highlight w:val="none"/>
          <w:lang w:eastAsia="zh-CN"/>
        </w:rPr>
        <w:t>项</w:t>
      </w:r>
      <w:r>
        <w:rPr>
          <w:rFonts w:ascii="仿宋" w:hAnsi="仿宋" w:eastAsia="仿宋"/>
          <w:color w:val="auto"/>
          <w:highlight w:val="none"/>
          <w:lang w:eastAsia="zh-CN"/>
        </w:rPr>
        <w:t>工程接收和（或）整个工程接收</w:t>
      </w:r>
      <w:r>
        <w:rPr>
          <w:rFonts w:hint="eastAsia" w:ascii="仿宋" w:hAnsi="仿宋" w:eastAsia="仿宋"/>
          <w:color w:val="auto"/>
          <w:highlight w:val="none"/>
          <w:lang w:eastAsia="zh-CN"/>
        </w:rPr>
        <w:t>的标准和规范：</w:t>
      </w:r>
      <w:r>
        <w:rPr>
          <w:rFonts w:hint="eastAsia" w:ascii="仿宋" w:hAnsi="仿宋" w:eastAsia="仿宋" w:cs="仿宋"/>
          <w:color w:val="auto"/>
          <w:highlight w:val="none"/>
          <w:u w:val="single"/>
          <w:lang w:eastAsia="zh-CN"/>
        </w:rPr>
        <w:t>承包人应根据发包人审查批准或备案的设计实施方案、发包人要求指示并遵守有关法律、技术标准进行施工图设计（含软装和宿舍家电家私配置相关设计各项工作，如有）。</w:t>
      </w:r>
    </w:p>
    <w:p>
      <w:pPr>
        <w:spacing w:line="360" w:lineRule="auto"/>
        <w:ind w:firstLine="600" w:firstLineChars="250"/>
        <w:rPr>
          <w:rFonts w:ascii="仿宋" w:hAnsi="仿宋" w:eastAsia="仿宋" w:cs="仿宋"/>
          <w:b/>
          <w:bCs/>
          <w:color w:val="auto"/>
          <w:highlight w:val="none"/>
          <w:lang w:eastAsia="zh-CN"/>
        </w:rPr>
      </w:pPr>
      <w:r>
        <w:rPr>
          <w:rFonts w:hint="eastAsia" w:ascii="仿宋" w:hAnsi="仿宋" w:eastAsia="仿宋" w:cs="仿宋"/>
          <w:color w:val="auto"/>
          <w:highlight w:val="none"/>
          <w:lang w:eastAsia="zh-CN"/>
        </w:rPr>
        <w:t>38.3.4 承包人的设计应满足生产或运营设备的工艺流程、配置要求，需要专利人、供应商或发包人提供资料的约定</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38.3.6 承包人的合理化建议被采纳，节约投资成本显著或预期产生显著的经济效益，发包人按以下约定给予承包人奖励：</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优化设计降低造价奖励：</w:t>
      </w:r>
      <w:r>
        <w:rPr>
          <w:rFonts w:hint="eastAsia" w:ascii="仿宋" w:hAnsi="仿宋" w:eastAsia="仿宋" w:cs="仿宋"/>
          <w:color w:val="auto"/>
          <w:highlight w:val="none"/>
          <w:u w:val="single"/>
          <w:lang w:eastAsia="zh-CN"/>
        </w:rPr>
        <w:t>无奖励</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其它合理化建议奖励：</w:t>
      </w:r>
      <w:r>
        <w:rPr>
          <w:rFonts w:hint="eastAsia" w:ascii="仿宋" w:hAnsi="仿宋" w:eastAsia="仿宋" w:cs="仿宋"/>
          <w:color w:val="auto"/>
          <w:highlight w:val="none"/>
          <w:u w:val="single"/>
          <w:lang w:eastAsia="zh-CN"/>
        </w:rPr>
        <w:t>无奖励</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38.4 设计文件</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38.4.1承包人向发包人提交设计文件的方式、数量、内容要求和时间</w:t>
      </w:r>
    </w:p>
    <w:tbl>
      <w:tblPr>
        <w:tblStyle w:val="40"/>
        <w:tblW w:w="906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1"/>
        <w:gridCol w:w="2556"/>
        <w:gridCol w:w="669"/>
        <w:gridCol w:w="2591"/>
        <w:gridCol w:w="25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trPr>
        <w:tc>
          <w:tcPr>
            <w:tcW w:w="671" w:type="dxa"/>
            <w:vAlign w:val="center"/>
          </w:tcPr>
          <w:p>
            <w:pPr>
              <w:keepNext w:val="0"/>
              <w:keepLines w:val="0"/>
              <w:widowControl/>
              <w:suppressLineNumbers w:val="0"/>
              <w:spacing w:before="0" w:beforeAutospacing="0" w:after="0" w:afterAutospacing="0" w:line="360" w:lineRule="auto"/>
              <w:ind w:left="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序号</w:t>
            </w:r>
          </w:p>
        </w:tc>
        <w:tc>
          <w:tcPr>
            <w:tcW w:w="2556"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资料及文件名称</w:t>
            </w:r>
          </w:p>
        </w:tc>
        <w:tc>
          <w:tcPr>
            <w:tcW w:w="669" w:type="dxa"/>
            <w:vAlign w:val="center"/>
          </w:tcPr>
          <w:p>
            <w:pPr>
              <w:keepNext w:val="0"/>
              <w:keepLines w:val="0"/>
              <w:widowControl/>
              <w:suppressLineNumbers w:val="0"/>
              <w:spacing w:before="0" w:beforeAutospacing="0" w:after="0" w:afterAutospacing="0" w:line="360" w:lineRule="auto"/>
              <w:ind w:left="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份数</w:t>
            </w:r>
          </w:p>
        </w:tc>
        <w:tc>
          <w:tcPr>
            <w:tcW w:w="259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内容要求</w:t>
            </w:r>
          </w:p>
        </w:tc>
        <w:tc>
          <w:tcPr>
            <w:tcW w:w="2574"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提交时间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trPr>
        <w:tc>
          <w:tcPr>
            <w:tcW w:w="67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1</w:t>
            </w:r>
          </w:p>
        </w:tc>
        <w:tc>
          <w:tcPr>
            <w:tcW w:w="2556"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结构超限审查文件（含电子文件）</w:t>
            </w:r>
          </w:p>
        </w:tc>
        <w:tc>
          <w:tcPr>
            <w:tcW w:w="669"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8</w:t>
            </w:r>
          </w:p>
        </w:tc>
        <w:tc>
          <w:tcPr>
            <w:tcW w:w="259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达到结构超限审查文件深度要求</w:t>
            </w:r>
          </w:p>
        </w:tc>
        <w:tc>
          <w:tcPr>
            <w:tcW w:w="2574"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建筑工程设计方案取得审查批复后45天内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
              </w:rPr>
              <w:t>2</w:t>
            </w:r>
          </w:p>
        </w:tc>
        <w:tc>
          <w:tcPr>
            <w:tcW w:w="2556"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施工图设计（含电子文件）</w:t>
            </w:r>
          </w:p>
        </w:tc>
        <w:tc>
          <w:tcPr>
            <w:tcW w:w="669"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10</w:t>
            </w:r>
          </w:p>
        </w:tc>
        <w:tc>
          <w:tcPr>
            <w:tcW w:w="259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达到施工图设计深度要求</w:t>
            </w:r>
          </w:p>
        </w:tc>
        <w:tc>
          <w:tcPr>
            <w:tcW w:w="2574"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初步设计及概算确认后</w:t>
            </w:r>
            <w:r>
              <w:rPr>
                <w:rFonts w:hint="eastAsia" w:ascii="仿宋" w:hAnsi="仿宋" w:eastAsia="仿宋" w:cs="仿宋"/>
                <w:color w:val="auto"/>
                <w:sz w:val="20"/>
                <w:szCs w:val="20"/>
                <w:highlight w:val="none"/>
                <w:lang w:val="en-US" w:eastAsia="zh-CN"/>
              </w:rPr>
              <w:t>30</w:t>
            </w:r>
            <w:r>
              <w:rPr>
                <w:rFonts w:hint="eastAsia" w:ascii="仿宋" w:hAnsi="仿宋" w:eastAsia="仿宋" w:cs="仿宋"/>
                <w:color w:val="auto"/>
                <w:sz w:val="20"/>
                <w:szCs w:val="20"/>
                <w:highlight w:val="none"/>
                <w:lang w:eastAsia="zh-CN"/>
              </w:rPr>
              <w:t>天内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
              </w:rPr>
              <w:t>3</w:t>
            </w:r>
          </w:p>
        </w:tc>
        <w:tc>
          <w:tcPr>
            <w:tcW w:w="2556"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正式施工图（图纸修改和备案工作）</w:t>
            </w:r>
          </w:p>
        </w:tc>
        <w:tc>
          <w:tcPr>
            <w:tcW w:w="669"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12</w:t>
            </w:r>
          </w:p>
        </w:tc>
        <w:tc>
          <w:tcPr>
            <w:tcW w:w="259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取得施工图审查意见</w:t>
            </w:r>
          </w:p>
        </w:tc>
        <w:tc>
          <w:tcPr>
            <w:tcW w:w="2574"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施工图审查意见出具后25天内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0" w:hRule="atLeast"/>
        </w:trPr>
        <w:tc>
          <w:tcPr>
            <w:tcW w:w="67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
              </w:rPr>
              <w:t>4</w:t>
            </w:r>
          </w:p>
        </w:tc>
        <w:tc>
          <w:tcPr>
            <w:tcW w:w="2556"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施工图预算（由施工单位编制）</w:t>
            </w:r>
          </w:p>
        </w:tc>
        <w:tc>
          <w:tcPr>
            <w:tcW w:w="669"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8</w:t>
            </w:r>
          </w:p>
        </w:tc>
        <w:tc>
          <w:tcPr>
            <w:tcW w:w="2591"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达到发包人送审预算要求</w:t>
            </w:r>
          </w:p>
        </w:tc>
        <w:tc>
          <w:tcPr>
            <w:tcW w:w="2574" w:type="dxa"/>
            <w:vAlign w:val="center"/>
          </w:tcPr>
          <w:p>
            <w:pPr>
              <w:keepNext w:val="0"/>
              <w:keepLines w:val="0"/>
              <w:widowControl/>
              <w:suppressLineNumbers w:val="0"/>
              <w:spacing w:before="0" w:beforeAutospacing="0" w:after="0" w:afterAutospacing="0" w:line="360" w:lineRule="auto"/>
              <w:ind w:left="240" w:leftChars="100" w:right="0"/>
              <w:jc w:val="both"/>
              <w:rPr>
                <w:rFonts w:hint="default" w:ascii="仿宋" w:hAnsi="仿宋" w:eastAsia="仿宋" w:cs="仿宋"/>
                <w:color w:val="auto"/>
                <w:sz w:val="20"/>
                <w:szCs w:val="20"/>
                <w:highlight w:val="none"/>
                <w:lang w:eastAsia="zh-CN"/>
              </w:rPr>
            </w:pPr>
            <w:r>
              <w:rPr>
                <w:rFonts w:hint="eastAsia" w:ascii="仿宋" w:hAnsi="仿宋" w:eastAsia="仿宋" w:cs="仿宋"/>
                <w:color w:val="auto"/>
                <w:sz w:val="20"/>
                <w:szCs w:val="20"/>
                <w:highlight w:val="none"/>
                <w:lang w:eastAsia="zh-CN"/>
              </w:rPr>
              <w:t>按发包人要求</w:t>
            </w:r>
          </w:p>
        </w:tc>
      </w:tr>
    </w:tbl>
    <w:p>
      <w:pPr>
        <w:numPr>
          <w:ilvl w:val="255"/>
          <w:numId w:val="0"/>
        </w:numPr>
        <w:spacing w:line="360" w:lineRule="auto"/>
        <w:rPr>
          <w:rFonts w:ascii="仿宋" w:hAnsi="仿宋" w:eastAsia="仿宋"/>
          <w:color w:val="auto"/>
          <w:sz w:val="20"/>
          <w:szCs w:val="20"/>
          <w:highlight w:val="none"/>
          <w:lang w:eastAsia="zh-CN"/>
        </w:rPr>
      </w:pPr>
      <w:r>
        <w:rPr>
          <w:rFonts w:hint="eastAsia" w:ascii="仿宋" w:hAnsi="仿宋" w:eastAsia="仿宋"/>
          <w:color w:val="auto"/>
          <w:sz w:val="20"/>
          <w:szCs w:val="20"/>
          <w:highlight w:val="none"/>
          <w:lang w:eastAsia="zh-CN"/>
        </w:rPr>
        <w:t>注1：当合同条款与《设计任务书》存在交叉或相互矛盾之处时，按两者的较高标准执行。</w:t>
      </w:r>
    </w:p>
    <w:p>
      <w:pPr>
        <w:numPr>
          <w:ilvl w:val="255"/>
          <w:numId w:val="0"/>
        </w:numPr>
        <w:spacing w:line="360" w:lineRule="auto"/>
        <w:rPr>
          <w:rFonts w:ascii="仿宋" w:hAnsi="仿宋" w:eastAsia="仿宋"/>
          <w:color w:val="auto"/>
          <w:highlight w:val="none"/>
          <w:lang w:eastAsia="zh-CN"/>
        </w:rPr>
      </w:pPr>
      <w:r>
        <w:rPr>
          <w:rFonts w:hint="eastAsia" w:ascii="仿宋" w:hAnsi="仿宋" w:eastAsia="仿宋"/>
          <w:color w:val="auto"/>
          <w:sz w:val="20"/>
          <w:szCs w:val="20"/>
          <w:highlight w:val="none"/>
          <w:lang w:eastAsia="zh-CN"/>
        </w:rPr>
        <w:t>注2：所有设计文件送交发包人审核前均需承包人联合体各方盖章认可方为有效。</w:t>
      </w:r>
    </w:p>
    <w:p>
      <w:pPr>
        <w:spacing w:line="360" w:lineRule="auto"/>
        <w:ind w:left="274" w:leftChars="114" w:firstLine="240" w:firstLineChars="100"/>
        <w:rPr>
          <w:rFonts w:ascii="仿宋" w:hAnsi="仿宋" w:eastAsia="仿宋"/>
          <w:color w:val="auto"/>
          <w:highlight w:val="none"/>
          <w:lang w:eastAsia="zh-CN"/>
        </w:rPr>
      </w:pPr>
      <w:r>
        <w:rPr>
          <w:rFonts w:hint="eastAsia" w:ascii="仿宋" w:hAnsi="仿宋" w:eastAsia="仿宋"/>
          <w:color w:val="auto"/>
          <w:highlight w:val="none"/>
          <w:lang w:eastAsia="zh-CN"/>
        </w:rPr>
        <w:t>38.5 装配式建筑（</w:t>
      </w:r>
      <w:r>
        <w:rPr>
          <w:rFonts w:hint="eastAsia" w:ascii="仿宋" w:hAnsi="仿宋" w:eastAsia="仿宋"/>
          <w:color w:val="auto"/>
          <w:highlight w:val="none"/>
          <w:lang w:eastAsia="zh"/>
        </w:rPr>
        <w:t>本条不适用</w:t>
      </w:r>
      <w:r>
        <w:rPr>
          <w:rFonts w:hint="eastAsia" w:ascii="仿宋" w:hAnsi="仿宋" w:eastAsia="仿宋"/>
          <w:color w:val="auto"/>
          <w:highlight w:val="none"/>
          <w:lang w:eastAsia="zh-CN"/>
        </w:rPr>
        <w:t>）</w:t>
      </w:r>
    </w:p>
    <w:p>
      <w:pPr>
        <w:spacing w:line="360" w:lineRule="auto"/>
        <w:ind w:left="684" w:leftChars="285"/>
        <w:rPr>
          <w:rFonts w:ascii="仿宋" w:hAnsi="仿宋" w:eastAsia="仿宋"/>
          <w:color w:val="auto"/>
          <w:highlight w:val="none"/>
          <w:lang w:eastAsia="zh-CN"/>
        </w:rPr>
      </w:pPr>
      <w:r>
        <w:rPr>
          <w:rFonts w:hint="eastAsia" w:ascii="仿宋" w:hAnsi="仿宋" w:eastAsia="仿宋"/>
          <w:color w:val="auto"/>
          <w:highlight w:val="none"/>
          <w:lang w:eastAsia="zh-CN"/>
        </w:rPr>
        <w:t>38.5.1（1）装配式</w:t>
      </w:r>
      <w:r>
        <w:rPr>
          <w:rFonts w:hint="eastAsia" w:ascii="仿宋" w:hAnsi="仿宋" w:eastAsia="仿宋" w:cs="仿宋"/>
          <w:color w:val="auto"/>
          <w:highlight w:val="none"/>
          <w:lang w:eastAsia="zh-CN"/>
        </w:rPr>
        <w:t>建筑采用的</w:t>
      </w:r>
      <w:r>
        <w:rPr>
          <w:rFonts w:hint="eastAsia" w:ascii="仿宋" w:hAnsi="仿宋" w:eastAsia="仿宋"/>
          <w:color w:val="auto"/>
          <w:highlight w:val="none"/>
          <w:lang w:eastAsia="zh-CN"/>
        </w:rPr>
        <w:t>技术标准、规范及要求：</w:t>
      </w:r>
    </w:p>
    <w:p>
      <w:pPr>
        <w:spacing w:line="360" w:lineRule="auto"/>
        <w:ind w:left="1231" w:leftChars="513"/>
        <w:rPr>
          <w:rFonts w:ascii="仿宋" w:hAnsi="仿宋" w:eastAsia="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国家《装配式混凝土建筑技术标准》（GB/T51231-2016）、《装配式钢结构建筑技术标准》（GB/T51232-2016）、《钢筋套筒灌浆连接应用技术规程》（JGJ355-2015）</w:t>
      </w:r>
    </w:p>
    <w:p>
      <w:pPr>
        <w:spacing w:line="360" w:lineRule="auto"/>
        <w:ind w:left="1231" w:leftChars="513"/>
        <w:rPr>
          <w:rFonts w:ascii="仿宋" w:hAnsi="仿宋" w:eastAsia="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《装配式钢结构建筑技术规程》（</w:t>
      </w:r>
      <w:r>
        <w:rPr>
          <w:rFonts w:ascii="仿宋" w:hAnsi="仿宋" w:eastAsia="仿宋"/>
          <w:color w:val="auto"/>
          <w:highlight w:val="none"/>
          <w:lang w:eastAsia="zh-CN"/>
        </w:rPr>
        <w:t>DBJ/T 15-177-2020</w:t>
      </w:r>
      <w:r>
        <w:rPr>
          <w:rFonts w:hint="eastAsia" w:ascii="仿宋" w:hAnsi="仿宋" w:eastAsia="仿宋"/>
          <w:color w:val="auto"/>
          <w:highlight w:val="none"/>
          <w:lang w:eastAsia="zh-CN"/>
        </w:rPr>
        <w:t>）、《装配式混凝土结构工程预制构件生产质量验收规程》（T/GZBC10-2019）、《装配式混凝土结构工程施工质量验收规程》(DB4401/T16-2019)</w:t>
      </w:r>
    </w:p>
    <w:p>
      <w:pPr>
        <w:spacing w:line="360" w:lineRule="auto"/>
        <w:ind w:left="1231" w:leftChars="513"/>
        <w:rPr>
          <w:rFonts w:ascii="仿宋" w:hAnsi="仿宋" w:eastAsia="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《广州市住房和城乡建设委员会关于印发广州市装配式建筑工程质量安全管理指引(试行)的通知》（穗建质[2018]477号）。</w:t>
      </w:r>
    </w:p>
    <w:p>
      <w:pPr>
        <w:spacing w:line="360" w:lineRule="auto"/>
        <w:ind w:left="1231" w:leftChars="51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□其他标准、规范及文件：</w:t>
      </w:r>
      <w:r>
        <w:rPr>
          <w:rFonts w:hint="eastAsia" w:ascii="仿宋" w:hAnsi="仿宋" w:eastAsia="仿宋" w:cs="仿宋"/>
          <w:color w:val="auto"/>
          <w:highlight w:val="none"/>
          <w:u w:val="single"/>
          <w:lang w:eastAsia="zh-CN"/>
        </w:rPr>
        <w:t xml:space="preserve">    /    </w:t>
      </w:r>
    </w:p>
    <w:p>
      <w:pPr>
        <w:spacing w:line="360" w:lineRule="auto"/>
        <w:ind w:left="684" w:leftChars="285"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（2）本项目装配式</w:t>
      </w:r>
      <w:r>
        <w:rPr>
          <w:rFonts w:hint="eastAsia" w:ascii="仿宋" w:hAnsi="仿宋" w:eastAsia="仿宋" w:cs="仿宋"/>
          <w:color w:val="auto"/>
          <w:highlight w:val="none"/>
          <w:lang w:eastAsia="zh-CN"/>
        </w:rPr>
        <w:t>建筑选用的评价</w:t>
      </w:r>
      <w:r>
        <w:rPr>
          <w:rFonts w:hint="eastAsia" w:ascii="仿宋" w:hAnsi="仿宋" w:eastAsia="仿宋"/>
          <w:color w:val="auto"/>
          <w:highlight w:val="none"/>
          <w:lang w:eastAsia="zh-CN"/>
        </w:rPr>
        <w:t>标准：</w:t>
      </w:r>
    </w:p>
    <w:p>
      <w:pPr>
        <w:spacing w:line="360" w:lineRule="auto"/>
        <w:ind w:left="1231" w:leftChars="513"/>
        <w:rPr>
          <w:rFonts w:ascii="仿宋" w:hAnsi="仿宋" w:eastAsia="仿宋" w:cs="仿宋"/>
          <w:color w:val="auto"/>
          <w:highlight w:val="none"/>
          <w:lang w:eastAsia="zh-CN"/>
        </w:rPr>
      </w:pPr>
      <w:r>
        <w:rPr>
          <w:rFonts w:hint="eastAsia" w:ascii="仿宋" w:hAnsi="仿宋" w:eastAsia="仿宋" w:cs="仿宋"/>
          <w:color w:val="auto"/>
          <w:highlight w:val="none"/>
          <w:lang w:eastAsia="zh-CN"/>
        </w:rPr>
        <w:t>□ 国家《装配式混凝土建筑技术标准》（GB/T51231-2016）</w:t>
      </w:r>
    </w:p>
    <w:p>
      <w:pPr>
        <w:spacing w:line="360" w:lineRule="auto"/>
        <w:ind w:left="1231" w:leftChars="513"/>
        <w:rPr>
          <w:rFonts w:ascii="仿宋" w:hAnsi="仿宋" w:eastAsia="仿宋" w:cs="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广东省《装配式建筑评价标准》（DBJ/T15-163-2019）</w:t>
      </w:r>
    </w:p>
    <w:p>
      <w:pPr>
        <w:spacing w:line="360" w:lineRule="auto"/>
        <w:ind w:left="1231" w:leftChars="513"/>
        <w:rPr>
          <w:rFonts w:ascii="仿宋" w:hAnsi="仿宋" w:eastAsia="仿宋" w:cs="仿宋"/>
          <w:color w:val="auto"/>
          <w:highlight w:val="none"/>
          <w:lang w:eastAsia="zh-CN"/>
        </w:rPr>
      </w:pPr>
      <w:r>
        <w:rPr>
          <w:rFonts w:hint="eastAsia" w:ascii="仿宋" w:hAnsi="仿宋" w:eastAsia="仿宋" w:cs="仿宋"/>
          <w:color w:val="auto"/>
          <w:highlight w:val="none"/>
          <w:lang w:eastAsia="zh-CN"/>
        </w:rPr>
        <w:t>各装配式单体工程的名称及装配率（或评价等级）要求：</w:t>
      </w:r>
      <w:r>
        <w:rPr>
          <w:rFonts w:hint="eastAsia" w:ascii="仿宋" w:hAnsi="仿宋" w:eastAsia="仿宋" w:cs="仿宋"/>
          <w:color w:val="auto"/>
          <w:highlight w:val="none"/>
          <w:u w:val="single"/>
          <w:lang w:eastAsia="zh-CN"/>
        </w:rPr>
        <w:t xml:space="preserve">  /  </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38.6 设计审查</w:t>
      </w:r>
    </w:p>
    <w:p>
      <w:pPr>
        <w:spacing w:line="360" w:lineRule="auto"/>
        <w:ind w:left="274" w:leftChars="114" w:firstLine="360" w:firstLineChars="150"/>
        <w:rPr>
          <w:rFonts w:ascii="仿宋" w:hAnsi="仿宋" w:eastAsia="仿宋" w:cs="仿宋"/>
          <w:color w:val="auto"/>
          <w:highlight w:val="none"/>
          <w:u w:val="single"/>
          <w:lang w:eastAsia="zh-CN"/>
        </w:rPr>
      </w:pPr>
      <w:r>
        <w:rPr>
          <w:rFonts w:hint="eastAsia" w:ascii="仿宋" w:hAnsi="仿宋" w:eastAsia="仿宋"/>
          <w:color w:val="auto"/>
          <w:highlight w:val="none"/>
          <w:lang w:eastAsia="zh-CN"/>
        </w:rPr>
        <w:t>38.6.1.1发包人对承包人设计文件审查的范围、内容的约定</w:t>
      </w:r>
      <w:r>
        <w:rPr>
          <w:rFonts w:hint="eastAsia"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发包人有权按国家相关规定聘请施工图设计审查单位，承包人应接受该施工图审查单位按照相关法律、法规和发包人赋予的权利所进行的施工图审查工作。</w:t>
      </w:r>
    </w:p>
    <w:p>
      <w:pPr>
        <w:tabs>
          <w:tab w:val="left" w:pos="4970"/>
        </w:tabs>
        <w:spacing w:line="360" w:lineRule="auto"/>
        <w:ind w:firstLine="600" w:firstLineChars="250"/>
        <w:rPr>
          <w:rFonts w:ascii="仿宋" w:hAnsi="仿宋" w:eastAsia="仿宋" w:cs="仿宋"/>
          <w:color w:val="auto"/>
          <w:highlight w:val="none"/>
          <w:lang w:eastAsia="zh-CN"/>
        </w:rPr>
      </w:pPr>
      <w:r>
        <w:rPr>
          <w:rFonts w:hint="eastAsia" w:ascii="仿宋" w:hAnsi="仿宋" w:eastAsia="仿宋"/>
          <w:color w:val="auto"/>
          <w:highlight w:val="none"/>
          <w:lang w:eastAsia="zh-CN"/>
        </w:rPr>
        <w:t>38.6.1.2发包人对承包人设计文件的审查期限</w:t>
      </w:r>
      <w:r>
        <w:rPr>
          <w:rFonts w:hint="eastAsia" w:ascii="仿宋" w:hAnsi="仿宋" w:eastAsia="仿宋" w:cs="仿宋"/>
          <w:color w:val="auto"/>
          <w:highlight w:val="none"/>
          <w:lang w:eastAsia="zh-CN"/>
        </w:rPr>
        <w:t>：</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通用条款第38.6.1.2款约定；</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另有约定：</w:t>
      </w:r>
      <w:r>
        <w:rPr>
          <w:rFonts w:hint="eastAsia" w:ascii="仿宋" w:hAnsi="仿宋" w:eastAsia="仿宋" w:cs="仿宋"/>
          <w:color w:val="auto"/>
          <w:highlight w:val="none"/>
          <w:u w:val="single"/>
          <w:lang w:eastAsia="zh-CN"/>
        </w:rPr>
        <w:t xml:space="preserve">    /    </w:t>
      </w:r>
    </w:p>
    <w:p>
      <w:pPr>
        <w:tabs>
          <w:tab w:val="left" w:pos="4970"/>
        </w:tabs>
        <w:spacing w:line="360" w:lineRule="auto"/>
        <w:ind w:firstLine="600" w:firstLineChars="250"/>
        <w:rPr>
          <w:rFonts w:ascii="仿宋" w:hAnsi="仿宋" w:eastAsia="仿宋" w:cs="仿宋"/>
          <w:color w:val="auto"/>
          <w:highlight w:val="none"/>
          <w:lang w:eastAsia="zh-CN"/>
        </w:rPr>
      </w:pPr>
      <w:r>
        <w:rPr>
          <w:rFonts w:hint="eastAsia" w:ascii="仿宋" w:hAnsi="仿宋" w:eastAsia="仿宋"/>
          <w:color w:val="auto"/>
          <w:highlight w:val="none"/>
          <w:lang w:eastAsia="zh-CN"/>
        </w:rPr>
        <w:t>38.6.3.2发包人需要组织审查会议的，审查会议的审查形式和时间</w:t>
      </w:r>
      <w:r>
        <w:rPr>
          <w:rFonts w:hint="eastAsia" w:ascii="仿宋" w:hAnsi="仿宋" w:eastAsia="仿宋" w:cs="仿宋"/>
          <w:color w:val="auto"/>
          <w:highlight w:val="none"/>
          <w:lang w:eastAsia="zh-CN"/>
        </w:rPr>
        <w:t>：</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①审查形式：</w:t>
      </w:r>
      <w:r>
        <w:rPr>
          <w:rFonts w:hint="eastAsia" w:ascii="仿宋" w:hAnsi="仿宋" w:eastAsia="仿宋" w:cs="仿宋"/>
          <w:color w:val="auto"/>
          <w:highlight w:val="none"/>
          <w:u w:val="single"/>
          <w:lang w:eastAsia="zh-CN"/>
        </w:rPr>
        <w:t>委托第三方审查</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②审查时间：</w:t>
      </w:r>
      <w:r>
        <w:rPr>
          <w:rFonts w:hint="eastAsia" w:ascii="仿宋" w:hAnsi="仿宋" w:eastAsia="仿宋" w:cs="仿宋"/>
          <w:color w:val="auto"/>
          <w:highlight w:val="none"/>
          <w:u w:val="single"/>
          <w:lang w:eastAsia="zh-CN"/>
        </w:rPr>
        <w:t>按通用条款执行</w:t>
      </w:r>
    </w:p>
    <w:p>
      <w:pPr>
        <w:pStyle w:val="4"/>
        <w:tabs>
          <w:tab w:val="left" w:pos="420"/>
        </w:tabs>
        <w:spacing w:line="360" w:lineRule="auto"/>
        <w:rPr>
          <w:rFonts w:ascii="仿宋" w:hAnsi="仿宋" w:eastAsia="仿宋" w:cs="仿宋"/>
          <w:b w:val="0"/>
          <w:bCs w:val="0"/>
          <w:color w:val="auto"/>
          <w:sz w:val="24"/>
          <w:szCs w:val="24"/>
          <w:highlight w:val="none"/>
          <w:lang w:eastAsia="zh-CN"/>
        </w:rPr>
      </w:pPr>
      <w:bookmarkStart w:id="1598" w:name="_Toc9996"/>
      <w:bookmarkStart w:id="1599" w:name="_Toc9381"/>
      <w:bookmarkStart w:id="1600" w:name="_Toc21704"/>
      <w:bookmarkStart w:id="1601" w:name="_Toc18036"/>
      <w:bookmarkStart w:id="1602" w:name="_Toc29500"/>
      <w:bookmarkStart w:id="1603" w:name="_Toc9773"/>
      <w:bookmarkStart w:id="1604" w:name="_Toc19159"/>
      <w:bookmarkStart w:id="1605" w:name="_Toc5511"/>
      <w:r>
        <w:rPr>
          <w:rFonts w:hint="eastAsia" w:ascii="仿宋" w:hAnsi="仿宋" w:eastAsia="仿宋" w:cs="仿宋"/>
          <w:b w:val="0"/>
          <w:bCs w:val="0"/>
          <w:color w:val="auto"/>
          <w:sz w:val="24"/>
          <w:szCs w:val="24"/>
          <w:highlight w:val="none"/>
          <w:lang w:eastAsia="zh-CN"/>
        </w:rPr>
        <w:t>39.  BIM技术应用</w:t>
      </w:r>
      <w:bookmarkEnd w:id="1598"/>
      <w:r>
        <w:rPr>
          <w:rFonts w:hint="eastAsia" w:ascii="仿宋" w:hAnsi="仿宋" w:eastAsia="仿宋" w:cs="仿宋"/>
          <w:b w:val="0"/>
          <w:bCs w:val="0"/>
          <w:color w:val="auto"/>
          <w:sz w:val="24"/>
          <w:szCs w:val="24"/>
          <w:highlight w:val="none"/>
          <w:lang w:eastAsia="zh-CN"/>
        </w:rPr>
        <w:t>（</w:t>
      </w:r>
      <w:r>
        <w:rPr>
          <w:rFonts w:hint="eastAsia" w:ascii="仿宋" w:hAnsi="仿宋" w:eastAsia="仿宋" w:cs="仿宋"/>
          <w:b w:val="0"/>
          <w:bCs w:val="0"/>
          <w:color w:val="auto"/>
          <w:sz w:val="24"/>
          <w:szCs w:val="24"/>
          <w:highlight w:val="none"/>
          <w:lang w:eastAsia="zh"/>
        </w:rPr>
        <w:t>本条不适用</w:t>
      </w:r>
      <w:r>
        <w:rPr>
          <w:rFonts w:hint="eastAsia" w:ascii="仿宋" w:hAnsi="仿宋" w:eastAsia="仿宋" w:cs="仿宋"/>
          <w:b w:val="0"/>
          <w:bCs w:val="0"/>
          <w:color w:val="auto"/>
          <w:sz w:val="24"/>
          <w:szCs w:val="24"/>
          <w:highlight w:val="none"/>
          <w:lang w:eastAsia="zh-CN"/>
        </w:rPr>
        <w:t>）</w:t>
      </w:r>
      <w:bookmarkEnd w:id="1599"/>
      <w:bookmarkEnd w:id="1600"/>
      <w:bookmarkEnd w:id="1601"/>
      <w:bookmarkEnd w:id="1602"/>
      <w:bookmarkEnd w:id="1603"/>
      <w:bookmarkEnd w:id="1604"/>
      <w:bookmarkEnd w:id="1605"/>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39.1 对发包人要求和项目基础资料的核实</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通用条款第39.1款约定。</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另有约定：</w:t>
      </w:r>
      <w:r>
        <w:rPr>
          <w:rFonts w:hint="eastAsia" w:ascii="仿宋" w:hAnsi="仿宋" w:eastAsia="仿宋" w:cs="仿宋"/>
          <w:color w:val="auto"/>
          <w:highlight w:val="none"/>
          <w:u w:val="single"/>
          <w:lang w:eastAsia="zh-CN"/>
        </w:rPr>
        <w:t xml:space="preserve">    /    </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39.2.1 BIM技术应用工作方案</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①提供时间：</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②提供方式：</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③提供数量：</w:t>
      </w:r>
      <w:r>
        <w:rPr>
          <w:rFonts w:hint="eastAsia" w:ascii="仿宋" w:hAnsi="仿宋" w:eastAsia="仿宋" w:cs="仿宋"/>
          <w:color w:val="auto"/>
          <w:highlight w:val="none"/>
          <w:u w:val="single"/>
          <w:lang w:eastAsia="zh-CN"/>
        </w:rPr>
        <w:t xml:space="preserve">    /    </w:t>
      </w:r>
    </w:p>
    <w:p>
      <w:pPr>
        <w:spacing w:line="360" w:lineRule="auto"/>
        <w:ind w:firstLine="240" w:firstLineChars="100"/>
        <w:rPr>
          <w:rFonts w:ascii="仿宋" w:hAnsi="仿宋" w:eastAsia="仿宋" w:cs="仿宋"/>
          <w:color w:val="auto"/>
          <w:highlight w:val="none"/>
          <w:u w:val="single"/>
          <w:lang w:eastAsia="zh-CN"/>
        </w:rPr>
      </w:pPr>
      <w:r>
        <w:rPr>
          <w:rFonts w:hint="eastAsia" w:ascii="仿宋" w:hAnsi="仿宋" w:eastAsia="仿宋"/>
          <w:color w:val="auto"/>
          <w:highlight w:val="none"/>
          <w:lang w:eastAsia="zh-CN"/>
        </w:rPr>
        <w:t>39.3.1 BIM技术</w:t>
      </w:r>
      <w:r>
        <w:rPr>
          <w:rFonts w:hint="eastAsia" w:ascii="仿宋" w:hAnsi="仿宋" w:eastAsia="仿宋"/>
          <w:color w:val="auto"/>
          <w:highlight w:val="none"/>
          <w:lang w:eastAsia="zh-CN"/>
        </w:rPr>
        <w:tab/>
      </w:r>
      <w:r>
        <w:rPr>
          <w:rFonts w:hint="eastAsia" w:ascii="仿宋" w:hAnsi="仿宋" w:eastAsia="仿宋" w:cs="仿宋"/>
          <w:color w:val="auto"/>
          <w:highlight w:val="none"/>
          <w:lang w:eastAsia="zh-CN"/>
        </w:rPr>
        <w:t>应用内容和要求的约定：</w:t>
      </w:r>
      <w:r>
        <w:rPr>
          <w:rFonts w:hint="eastAsia" w:ascii="仿宋" w:hAnsi="仿宋" w:eastAsia="仿宋" w:cs="仿宋"/>
          <w:color w:val="auto"/>
          <w:highlight w:val="none"/>
          <w:u w:val="single"/>
          <w:lang w:eastAsia="zh-CN"/>
        </w:rPr>
        <w:t xml:space="preserve">    /    </w:t>
      </w:r>
    </w:p>
    <w:p>
      <w:pPr>
        <w:spacing w:line="360" w:lineRule="auto"/>
        <w:ind w:firstLine="240" w:firstLineChars="1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39.3.7 承包人提供运营维护所需建筑信息模型（BIM）的约定：</w:t>
      </w:r>
      <w:r>
        <w:rPr>
          <w:rFonts w:hint="eastAsia" w:ascii="仿宋" w:hAnsi="仿宋" w:eastAsia="仿宋" w:cs="仿宋"/>
          <w:color w:val="auto"/>
          <w:highlight w:val="none"/>
          <w:u w:val="single"/>
          <w:lang w:eastAsia="zh-CN"/>
        </w:rPr>
        <w:t xml:space="preserve">    /    </w:t>
      </w:r>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39.4.1 承包人提供建筑信息模型（BIM）及技术应用成果</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①提供时间：</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②提供方式：</w:t>
      </w:r>
      <w:r>
        <w:rPr>
          <w:rFonts w:hint="eastAsia" w:ascii="仿宋" w:hAnsi="仿宋" w:eastAsia="仿宋" w:cs="仿宋"/>
          <w:color w:val="auto"/>
          <w:highlight w:val="none"/>
          <w:u w:val="single"/>
          <w:lang w:eastAsia="zh-CN"/>
        </w:rPr>
        <w:t xml:space="preserve">    /    </w:t>
      </w:r>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39.6 </w:t>
      </w:r>
      <w:r>
        <w:rPr>
          <w:rFonts w:hint="eastAsia" w:ascii="仿宋" w:hAnsi="仿宋" w:eastAsia="仿宋"/>
          <w:color w:val="auto"/>
          <w:highlight w:val="none"/>
          <w:lang w:eastAsia="zh-CN"/>
        </w:rPr>
        <w:t>BIM技术应用在各阶段应用的建筑信息模（BIM）交付标准的约定：</w:t>
      </w:r>
      <w:r>
        <w:rPr>
          <w:rFonts w:hint="eastAsia" w:ascii="仿宋" w:hAnsi="仿宋" w:eastAsia="仿宋" w:cs="仿宋"/>
          <w:color w:val="auto"/>
          <w:highlight w:val="none"/>
          <w:u w:val="single"/>
          <w:lang w:eastAsia="zh-CN"/>
        </w:rPr>
        <w:t xml:space="preserve">   /   </w:t>
      </w:r>
      <w:r>
        <w:rPr>
          <w:rFonts w:hint="eastAsia" w:ascii="仿宋" w:hAnsi="仿宋" w:eastAsia="仿宋"/>
          <w:color w:val="auto"/>
          <w:highlight w:val="none"/>
          <w:lang w:eastAsia="zh-CN"/>
        </w:rPr>
        <w:t>。</w:t>
      </w:r>
    </w:p>
    <w:p>
      <w:pPr>
        <w:pStyle w:val="4"/>
        <w:numPr>
          <w:ilvl w:val="0"/>
          <w:numId w:val="34"/>
        </w:numPr>
        <w:tabs>
          <w:tab w:val="left" w:pos="420"/>
        </w:tabs>
        <w:spacing w:line="360" w:lineRule="auto"/>
        <w:rPr>
          <w:rFonts w:ascii="仿宋" w:hAnsi="仿宋" w:eastAsia="仿宋" w:cs="仿宋"/>
          <w:b w:val="0"/>
          <w:bCs w:val="0"/>
          <w:color w:val="auto"/>
          <w:sz w:val="24"/>
          <w:szCs w:val="24"/>
          <w:highlight w:val="none"/>
          <w:lang w:eastAsia="zh-CN"/>
        </w:rPr>
      </w:pPr>
      <w:bookmarkStart w:id="1606" w:name="_Toc29246"/>
      <w:r>
        <w:rPr>
          <w:rFonts w:hint="eastAsia" w:ascii="仿宋" w:hAnsi="仿宋" w:eastAsia="仿宋" w:cs="仿宋"/>
          <w:b w:val="0"/>
          <w:bCs w:val="0"/>
          <w:color w:val="auto"/>
          <w:sz w:val="24"/>
          <w:szCs w:val="24"/>
          <w:highlight w:val="none"/>
          <w:lang w:eastAsia="zh-CN"/>
        </w:rPr>
        <w:t xml:space="preserve"> </w:t>
      </w:r>
      <w:bookmarkStart w:id="1607" w:name="_Toc10559"/>
      <w:bookmarkStart w:id="1608" w:name="_Toc12920"/>
      <w:bookmarkStart w:id="1609" w:name="_Toc29"/>
      <w:bookmarkStart w:id="1610" w:name="_Toc11881"/>
      <w:bookmarkStart w:id="1611" w:name="_Toc31897"/>
      <w:bookmarkStart w:id="1612" w:name="_Toc9255"/>
      <w:bookmarkStart w:id="1613" w:name="_Toc2022"/>
      <w:r>
        <w:rPr>
          <w:rFonts w:hint="eastAsia" w:ascii="仿宋" w:hAnsi="仿宋" w:eastAsia="仿宋" w:cs="仿宋"/>
          <w:b w:val="0"/>
          <w:bCs w:val="0"/>
          <w:color w:val="auto"/>
          <w:sz w:val="24"/>
          <w:szCs w:val="24"/>
          <w:highlight w:val="none"/>
          <w:lang w:eastAsia="zh-CN"/>
        </w:rPr>
        <w:t>进度计划和报告</w:t>
      </w:r>
      <w:bookmarkEnd w:id="1606"/>
      <w:bookmarkEnd w:id="1607"/>
      <w:bookmarkEnd w:id="1608"/>
      <w:bookmarkEnd w:id="1609"/>
      <w:bookmarkEnd w:id="1610"/>
      <w:bookmarkEnd w:id="1611"/>
      <w:bookmarkEnd w:id="1612"/>
      <w:bookmarkEnd w:id="1613"/>
    </w:p>
    <w:p>
      <w:pPr>
        <w:numPr>
          <w:ilvl w:val="255"/>
          <w:numId w:val="0"/>
        </w:numPr>
        <w:spacing w:line="360" w:lineRule="auto"/>
        <w:ind w:firstLine="240" w:firstLineChars="100"/>
        <w:rPr>
          <w:color w:val="auto"/>
          <w:highlight w:val="none"/>
          <w:lang w:eastAsia="zh-CN"/>
        </w:rPr>
      </w:pPr>
      <w:r>
        <w:rPr>
          <w:rFonts w:hint="eastAsia" w:ascii="仿宋" w:hAnsi="仿宋" w:eastAsia="仿宋" w:cs="仿宋"/>
          <w:color w:val="auto"/>
          <w:highlight w:val="none"/>
          <w:lang w:eastAsia="zh-CN"/>
        </w:rPr>
        <w:t>40.1承包人应在本合同生效后的14天内，向发包人提交一式三份（或约定其他的份数）工程进度计划，包括勘察工作计划（如有）、施工图设计工作计划、设备及工器具购置工作计划（如有）、施工组织设计和施工进度计划。发包人、设计顾问人或监理人应在收到工程进度计划后的21天内予以确认或提出修改意见。工程进度计划，应对合同工程的总承包范围内的全部工作内容，提出总体上的勘察方法、设计方法、施工方法、施工安排、作业顺序和时间表。合同约定有单项工程的，承包人还应编制单项工程进度计划。</w:t>
      </w:r>
    </w:p>
    <w:p>
      <w:pPr>
        <w:spacing w:line="360" w:lineRule="auto"/>
        <w:rPr>
          <w:rFonts w:ascii="仿宋" w:hAnsi="仿宋" w:eastAsia="仿宋" w:cs="仿宋"/>
          <w:color w:val="auto"/>
          <w:highlight w:val="none"/>
          <w:lang w:eastAsia="zh-CN"/>
        </w:rPr>
      </w:pPr>
      <w:bookmarkStart w:id="1614" w:name="_Toc9737"/>
      <w:r>
        <w:rPr>
          <w:rFonts w:hint="eastAsia" w:ascii="仿宋" w:hAnsi="仿宋" w:eastAsia="仿宋" w:cs="仿宋"/>
          <w:color w:val="auto"/>
          <w:highlight w:val="none"/>
          <w:lang w:eastAsia="zh-CN"/>
        </w:rPr>
        <w:t>40.3 提交工程进度报告和修订进度计划</w:t>
      </w:r>
      <w:bookmarkEnd w:id="1614"/>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承包人编制月勘察进度报告和修订进度计划的约定：</w:t>
      </w:r>
      <w:r>
        <w:rPr>
          <w:rFonts w:hint="eastAsia" w:ascii="仿宋" w:hAnsi="仿宋" w:eastAsia="仿宋" w:cs="仿宋"/>
          <w:color w:val="auto"/>
          <w:highlight w:val="none"/>
          <w:u w:val="single"/>
          <w:lang w:eastAsia="zh-CN"/>
        </w:rPr>
        <w:t>按发包人要求</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承包人编制月初步设计进度报告和修订进度计划的约定：</w:t>
      </w:r>
      <w:r>
        <w:rPr>
          <w:rFonts w:hint="eastAsia" w:ascii="仿宋" w:hAnsi="仿宋" w:eastAsia="仿宋" w:cs="仿宋"/>
          <w:color w:val="auto"/>
          <w:highlight w:val="none"/>
          <w:u w:val="single"/>
          <w:lang w:eastAsia="zh-CN"/>
        </w:rPr>
        <w:t>按发包人要求</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承包人编制月施工图设计进度报告和修订进度计划的约定：</w:t>
      </w:r>
      <w:r>
        <w:rPr>
          <w:rFonts w:hint="eastAsia" w:ascii="仿宋" w:hAnsi="仿宋" w:eastAsia="仿宋" w:cs="仿宋"/>
          <w:color w:val="auto"/>
          <w:highlight w:val="none"/>
          <w:u w:val="single"/>
          <w:lang w:eastAsia="zh-CN"/>
        </w:rPr>
        <w:t>按发包人要求</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承包人编制月BIM技术应用进度报告和修订进度计划的约定：</w:t>
      </w:r>
      <w:r>
        <w:rPr>
          <w:rFonts w:hint="eastAsia" w:ascii="仿宋" w:hAnsi="仿宋" w:eastAsia="仿宋" w:cs="仿宋"/>
          <w:color w:val="auto"/>
          <w:highlight w:val="none"/>
          <w:u w:val="single"/>
          <w:lang w:eastAsia="zh-CN"/>
        </w:rPr>
        <w:t xml:space="preserve">   /   </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 承包人编制月施工进度报告和修订进度计划的约定：</w:t>
      </w:r>
      <w:r>
        <w:rPr>
          <w:rFonts w:hint="eastAsia" w:ascii="仿宋" w:hAnsi="仿宋" w:eastAsia="仿宋"/>
          <w:color w:val="auto"/>
          <w:highlight w:val="none"/>
          <w:lang w:eastAsia="zh-CN"/>
        </w:rPr>
        <w:t>承包人应在开工前7天提交一式两份施工组织设计和合同工程进度计划。经发包人批准后，监理工程师应在收到该设计和计划后的7天内予以确认或提出修改意见。工程进度计划，应对合同工程的全部施工作业提出总体上的施工方法、施工安排、作业顺序和时间表。合同工程进度计划中应明确关键节点。</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每月22日前，承包人应编制本月度施工进度报告、下月度施工进度计划和资金计划一式两份通过监理工程师报送发包人。如承包人未能在约定时间内提供报告或计划的，发包人有权暂缓工程款的支付。</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1.本月施工进度报告至少应包括：</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（1）施工、安装、试验以及其他发包人工作等进展情况的图表和说明；</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（2）材料、设备、货物的采购和制造商名称、地点、进度百分比以及进入现场情况；</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（3）现场签证情况和安全文明施工情况；</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（4）该月出现的质量事故的次数以及补救措施；</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（5）实际进度与计划进度的对比，以及为消除延误正在或准备采取的措施。</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2.下月进度计划至少应包括：</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（1）工程月(季)度整体计划安排；</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（2）施工作业班组人员计划安排；</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（3）材料、设备采购和进场计划；</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（4）分包工程进场计划安排；</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 xml:space="preserve">（5）对工期延误拟采取的针对性措施。 </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承包人编制月设备及工器具购置进度报告和修订进度计划的约定：</w:t>
      </w:r>
      <w:r>
        <w:rPr>
          <w:rFonts w:hint="eastAsia" w:ascii="仿宋" w:hAnsi="仿宋" w:eastAsia="仿宋" w:cs="仿宋"/>
          <w:color w:val="auto"/>
          <w:highlight w:val="none"/>
          <w:u w:val="single"/>
          <w:lang w:eastAsia="zh-CN"/>
        </w:rPr>
        <w:t xml:space="preserve">  /  </w:t>
      </w:r>
    </w:p>
    <w:p>
      <w:pPr>
        <w:spacing w:line="360" w:lineRule="auto"/>
        <w:ind w:left="240" w:leftChars="1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承包人编制月其他服务进度报告和修订进度计划的约定：</w:t>
      </w:r>
      <w:r>
        <w:rPr>
          <w:rFonts w:hint="eastAsia" w:ascii="仿宋" w:hAnsi="仿宋" w:eastAsia="仿宋" w:cs="仿宋"/>
          <w:color w:val="auto"/>
          <w:highlight w:val="none"/>
          <w:u w:val="single"/>
          <w:lang w:eastAsia="zh-CN"/>
        </w:rPr>
        <w:t>按发包人要求</w:t>
      </w:r>
    </w:p>
    <w:p>
      <w:pPr>
        <w:pStyle w:val="4"/>
        <w:tabs>
          <w:tab w:val="left" w:pos="420"/>
        </w:tabs>
        <w:spacing w:line="360" w:lineRule="auto"/>
        <w:ind w:firstLine="105"/>
        <w:rPr>
          <w:color w:val="auto"/>
          <w:highlight w:val="none"/>
          <w:lang w:eastAsia="zh-CN"/>
        </w:rPr>
      </w:pPr>
      <w:bookmarkStart w:id="1615" w:name="_Toc3765"/>
      <w:bookmarkStart w:id="1616" w:name="_Toc1227"/>
      <w:bookmarkStart w:id="1617" w:name="_Toc26945"/>
      <w:bookmarkStart w:id="1618" w:name="_Toc6915"/>
      <w:bookmarkStart w:id="1619" w:name="_Toc32118"/>
      <w:bookmarkStart w:id="1620" w:name="_Toc1839"/>
      <w:bookmarkStart w:id="1621" w:name="_Toc27883"/>
      <w:bookmarkStart w:id="1622" w:name="_Toc15"/>
      <w:r>
        <w:rPr>
          <w:rFonts w:hint="eastAsia" w:ascii="仿宋" w:hAnsi="仿宋" w:eastAsia="仿宋" w:cs="仿宋"/>
          <w:b w:val="0"/>
          <w:bCs w:val="0"/>
          <w:color w:val="auto"/>
          <w:sz w:val="24"/>
          <w:szCs w:val="24"/>
          <w:highlight w:val="none"/>
          <w:lang w:eastAsia="zh-CN"/>
        </w:rPr>
        <w:t>41.  开始工作或开工</w:t>
      </w:r>
      <w:bookmarkEnd w:id="1615"/>
      <w:bookmarkEnd w:id="1616"/>
      <w:bookmarkEnd w:id="1617"/>
      <w:bookmarkEnd w:id="1618"/>
      <w:bookmarkEnd w:id="1619"/>
      <w:bookmarkEnd w:id="1620"/>
      <w:bookmarkEnd w:id="1621"/>
      <w:bookmarkEnd w:id="1622"/>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41.2.1 开始工作</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①发包人签发开始勘察工作指令的时间要求：</w:t>
      </w:r>
    </w:p>
    <w:p>
      <w:pPr>
        <w:spacing w:line="360" w:lineRule="auto"/>
        <w:ind w:left="1200" w:leftChars="5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按通用条款约定的时间。</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☑②发包人签发开始设计工作指令的时间要求：</w:t>
      </w:r>
    </w:p>
    <w:p>
      <w:pPr>
        <w:spacing w:line="360" w:lineRule="auto"/>
        <w:ind w:left="1200" w:leftChars="5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按通用条款约定的时间。</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□③发包人签发开始BIM技术应用工作指令的时间要求：</w:t>
      </w:r>
    </w:p>
    <w:p>
      <w:pPr>
        <w:spacing w:line="360" w:lineRule="auto"/>
        <w:ind w:left="1200" w:leftChars="5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按通用条款约定的时间。</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□④发包人签发开始设备及工器具购置工作指令的时间要求：</w:t>
      </w:r>
    </w:p>
    <w:p>
      <w:pPr>
        <w:spacing w:line="360" w:lineRule="auto"/>
        <w:ind w:left="1200" w:leftChars="5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按通用条款约定的时间。</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42.2.2 开工</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发包人签发开工令的时间要求：</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按通用条款约定的时间。</w:t>
      </w:r>
    </w:p>
    <w:p>
      <w:pPr>
        <w:spacing w:line="360" w:lineRule="auto"/>
        <w:ind w:left="1200" w:leftChars="500"/>
        <w:rPr>
          <w:rFonts w:ascii="仿宋" w:hAnsi="仿宋" w:eastAsia="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olor w:val="auto"/>
          <w:highlight w:val="none"/>
          <w:u w:val="single"/>
          <w:lang w:eastAsia="zh-CN"/>
        </w:rPr>
        <w:t>总监理工程师签发的开工令日期为准。</w:t>
      </w:r>
    </w:p>
    <w:p>
      <w:pPr>
        <w:pStyle w:val="4"/>
        <w:tabs>
          <w:tab w:val="left" w:pos="420"/>
        </w:tabs>
        <w:spacing w:line="360" w:lineRule="auto"/>
        <w:ind w:firstLine="105"/>
        <w:rPr>
          <w:color w:val="auto"/>
          <w:highlight w:val="none"/>
          <w:lang w:eastAsia="zh-CN"/>
        </w:rPr>
      </w:pPr>
      <w:bookmarkStart w:id="1623" w:name="_Toc28870"/>
      <w:bookmarkStart w:id="1624" w:name="_Toc10835"/>
      <w:bookmarkStart w:id="1625" w:name="_Toc30120"/>
      <w:bookmarkStart w:id="1626" w:name="_Toc6267"/>
      <w:bookmarkStart w:id="1627" w:name="_Toc10115"/>
      <w:bookmarkStart w:id="1628" w:name="_Toc11254"/>
      <w:bookmarkStart w:id="1629" w:name="_Toc4200"/>
      <w:bookmarkStart w:id="1630" w:name="_Toc28349"/>
      <w:r>
        <w:rPr>
          <w:rFonts w:hint="eastAsia" w:ascii="仿宋" w:hAnsi="仿宋" w:eastAsia="仿宋" w:cs="仿宋"/>
          <w:b w:val="0"/>
          <w:bCs w:val="0"/>
          <w:color w:val="auto"/>
          <w:sz w:val="24"/>
          <w:szCs w:val="24"/>
          <w:highlight w:val="none"/>
          <w:lang w:eastAsia="zh-CN"/>
        </w:rPr>
        <w:t>42.  暂停工作、暂停施工和复工</w:t>
      </w:r>
      <w:bookmarkEnd w:id="1623"/>
      <w:bookmarkEnd w:id="1624"/>
      <w:bookmarkEnd w:id="1625"/>
      <w:bookmarkEnd w:id="1626"/>
      <w:bookmarkEnd w:id="1627"/>
      <w:bookmarkEnd w:id="1628"/>
      <w:bookmarkEnd w:id="1629"/>
      <w:bookmarkEnd w:id="1630"/>
    </w:p>
    <w:p>
      <w:pPr>
        <w:spacing w:line="360" w:lineRule="auto"/>
        <w:ind w:left="240" w:leftChars="1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42.4 发包人、承包人原因和不可抗力因素造成暂停施工的责任</w:t>
      </w:r>
    </w:p>
    <w:p>
      <w:pPr>
        <w:spacing w:line="360" w:lineRule="auto"/>
        <w:ind w:left="137" w:leftChars="57" w:firstLine="480" w:firstLineChars="200"/>
        <w:rPr>
          <w:rFonts w:ascii="仿宋" w:hAnsi="仿宋" w:eastAsia="仿宋"/>
          <w:strike/>
          <w:color w:val="auto"/>
          <w:highlight w:val="none"/>
          <w:lang w:eastAsia="zh-CN"/>
        </w:rPr>
      </w:pPr>
      <w:r>
        <w:rPr>
          <w:rFonts w:hint="eastAsia" w:ascii="仿宋" w:hAnsi="仿宋" w:eastAsia="仿宋"/>
          <w:color w:val="auto"/>
          <w:highlight w:val="none"/>
          <w:lang w:eastAsia="zh-CN"/>
        </w:rPr>
        <w:t>因发包人的原因造成暂停施工</w:t>
      </w:r>
      <w:r>
        <w:rPr>
          <w:rFonts w:hint="eastAsia" w:ascii="仿宋" w:hAnsi="仿宋" w:eastAsia="仿宋"/>
          <w:color w:val="auto"/>
          <w:highlight w:val="none"/>
          <w:lang w:eastAsia="zh"/>
        </w:rPr>
        <w:t>的</w:t>
      </w:r>
      <w:r>
        <w:rPr>
          <w:rFonts w:hint="eastAsia" w:ascii="仿宋" w:hAnsi="仿宋" w:eastAsia="仿宋"/>
          <w:color w:val="auto"/>
          <w:highlight w:val="none"/>
          <w:lang w:eastAsia="zh-CN"/>
        </w:rPr>
        <w:t>，</w:t>
      </w:r>
      <w:r>
        <w:rPr>
          <w:rFonts w:hint="eastAsia" w:ascii="仿宋" w:hAnsi="仿宋" w:eastAsia="仿宋"/>
          <w:color w:val="auto"/>
          <w:highlight w:val="none"/>
          <w:lang w:val="en-US" w:eastAsia="zh-CN"/>
        </w:rPr>
        <w:t>工期顺延</w:t>
      </w:r>
      <w:r>
        <w:rPr>
          <w:rFonts w:hint="eastAsia" w:ascii="仿宋" w:hAnsi="仿宋" w:eastAsia="仿宋"/>
          <w:color w:val="auto"/>
          <w:highlight w:val="none"/>
          <w:lang w:eastAsia="zh"/>
        </w:rPr>
        <w:t>，承包人</w:t>
      </w:r>
      <w:r>
        <w:rPr>
          <w:rFonts w:hint="eastAsia" w:ascii="仿宋" w:hAnsi="仿宋" w:eastAsia="仿宋"/>
          <w:color w:val="auto"/>
          <w:highlight w:val="none"/>
          <w:lang w:eastAsia="zh-CN"/>
        </w:rPr>
        <w:t>不得要求</w:t>
      </w:r>
      <w:r>
        <w:rPr>
          <w:rFonts w:hint="eastAsia" w:ascii="仿宋" w:hAnsi="仿宋" w:eastAsia="仿宋"/>
          <w:color w:val="auto"/>
          <w:highlight w:val="none"/>
          <w:lang w:eastAsia="zh"/>
        </w:rPr>
        <w:t>发包人</w:t>
      </w:r>
      <w:r>
        <w:rPr>
          <w:rFonts w:hint="eastAsia" w:ascii="仿宋" w:hAnsi="仿宋" w:eastAsia="仿宋"/>
          <w:color w:val="auto"/>
          <w:highlight w:val="none"/>
          <w:lang w:eastAsia="zh-CN"/>
        </w:rPr>
        <w:t>支付任何费用、主张</w:t>
      </w:r>
      <w:r>
        <w:rPr>
          <w:rFonts w:hint="eastAsia" w:ascii="仿宋" w:hAnsi="仿宋" w:eastAsia="仿宋"/>
          <w:color w:val="auto"/>
          <w:highlight w:val="none"/>
          <w:lang w:eastAsia="zh"/>
        </w:rPr>
        <w:t>损害</w:t>
      </w:r>
      <w:r>
        <w:rPr>
          <w:rFonts w:hint="eastAsia" w:ascii="仿宋" w:hAnsi="仿宋" w:eastAsia="仿宋"/>
          <w:color w:val="auto"/>
          <w:highlight w:val="none"/>
          <w:lang w:eastAsia="zh-CN"/>
        </w:rPr>
        <w:t>赔偿</w:t>
      </w:r>
      <w:r>
        <w:rPr>
          <w:rFonts w:hint="eastAsia" w:ascii="仿宋" w:hAnsi="仿宋" w:eastAsia="仿宋"/>
          <w:color w:val="auto"/>
          <w:highlight w:val="none"/>
          <w:lang w:eastAsia="zh"/>
        </w:rPr>
        <w:t>；</w:t>
      </w:r>
      <w:r>
        <w:rPr>
          <w:rFonts w:hint="eastAsia" w:ascii="仿宋" w:hAnsi="仿宋" w:eastAsia="仿宋"/>
          <w:color w:val="auto"/>
          <w:highlight w:val="none"/>
          <w:lang w:eastAsia="zh-CN"/>
        </w:rPr>
        <w:t>因发包人的原因造成暂停施工且引起工期延误的，</w:t>
      </w:r>
      <w:r>
        <w:rPr>
          <w:rFonts w:hint="eastAsia" w:ascii="仿宋" w:hAnsi="仿宋" w:eastAsia="仿宋"/>
          <w:color w:val="auto"/>
          <w:highlight w:val="none"/>
          <w:lang w:eastAsia="zh"/>
        </w:rPr>
        <w:t>发包人不追究承包人工期延误的违约责任</w:t>
      </w:r>
      <w:r>
        <w:rPr>
          <w:rFonts w:hint="eastAsia" w:ascii="仿宋" w:hAnsi="仿宋" w:eastAsia="仿宋"/>
          <w:color w:val="auto"/>
          <w:highlight w:val="none"/>
          <w:lang w:eastAsia="zh-CN"/>
        </w:rPr>
        <w:t>。</w:t>
      </w:r>
    </w:p>
    <w:p>
      <w:pPr>
        <w:pStyle w:val="22"/>
        <w:adjustRightInd w:val="0"/>
        <w:snapToGrid w:val="0"/>
        <w:spacing w:line="360" w:lineRule="auto"/>
        <w:ind w:firstLine="480" w:firstLineChars="200"/>
        <w:rPr>
          <w:rFonts w:ascii="仿宋" w:hAnsi="仿宋" w:eastAsia="仿宋" w:cs="@MingLiU"/>
          <w:color w:val="auto"/>
          <w:sz w:val="24"/>
          <w:szCs w:val="24"/>
          <w:highlight w:val="none"/>
          <w:lang w:eastAsia="zh-CN"/>
        </w:rPr>
      </w:pPr>
      <w:r>
        <w:rPr>
          <w:rFonts w:hint="eastAsia" w:ascii="仿宋" w:hAnsi="仿宋" w:eastAsia="仿宋" w:cs="@MingLiU"/>
          <w:color w:val="auto"/>
          <w:sz w:val="24"/>
          <w:szCs w:val="24"/>
          <w:highlight w:val="none"/>
          <w:lang w:eastAsia="zh-CN"/>
        </w:rPr>
        <w:t>因承包人下列原因造成的暂停施工，增加的费用和（或）延误的工期由承包人承担：</w:t>
      </w:r>
    </w:p>
    <w:p>
      <w:pPr>
        <w:pStyle w:val="22"/>
        <w:adjustRightInd w:val="0"/>
        <w:snapToGrid w:val="0"/>
        <w:spacing w:line="360" w:lineRule="auto"/>
        <w:ind w:firstLine="480" w:firstLineChars="200"/>
        <w:rPr>
          <w:rFonts w:ascii="仿宋" w:hAnsi="仿宋" w:eastAsia="仿宋" w:cs="@MingLiU"/>
          <w:color w:val="auto"/>
          <w:sz w:val="24"/>
          <w:szCs w:val="24"/>
          <w:highlight w:val="none"/>
          <w:lang w:eastAsia="zh-CN"/>
        </w:rPr>
      </w:pPr>
      <w:r>
        <w:rPr>
          <w:rFonts w:hint="eastAsia" w:ascii="仿宋" w:hAnsi="仿宋" w:eastAsia="仿宋" w:cs="@MingLiU"/>
          <w:color w:val="auto"/>
          <w:sz w:val="24"/>
          <w:szCs w:val="24"/>
          <w:highlight w:val="none"/>
          <w:lang w:eastAsia="zh-CN"/>
        </w:rPr>
        <w:t>（1）工作失误或违约造成的；</w:t>
      </w:r>
    </w:p>
    <w:p>
      <w:pPr>
        <w:pStyle w:val="22"/>
        <w:adjustRightInd w:val="0"/>
        <w:snapToGrid w:val="0"/>
        <w:spacing w:line="360" w:lineRule="auto"/>
        <w:ind w:firstLine="480" w:firstLineChars="200"/>
        <w:rPr>
          <w:rFonts w:ascii="仿宋" w:hAnsi="仿宋" w:eastAsia="仿宋" w:cs="@MingLiU"/>
          <w:color w:val="auto"/>
          <w:sz w:val="24"/>
          <w:szCs w:val="24"/>
          <w:highlight w:val="none"/>
          <w:lang w:eastAsia="zh-CN"/>
        </w:rPr>
      </w:pPr>
      <w:r>
        <w:rPr>
          <w:rFonts w:hint="eastAsia" w:ascii="仿宋" w:hAnsi="仿宋" w:eastAsia="仿宋" w:cs="@MingLiU"/>
          <w:color w:val="auto"/>
          <w:sz w:val="24"/>
          <w:szCs w:val="24"/>
          <w:highlight w:val="none"/>
          <w:lang w:eastAsia="zh-CN"/>
        </w:rPr>
        <w:t>（2）为合同工程合理施工和安全保障所必需的；</w:t>
      </w:r>
    </w:p>
    <w:p>
      <w:pPr>
        <w:pStyle w:val="22"/>
        <w:adjustRightInd w:val="0"/>
        <w:snapToGrid w:val="0"/>
        <w:spacing w:line="360" w:lineRule="auto"/>
        <w:ind w:firstLine="480" w:firstLineChars="200"/>
        <w:rPr>
          <w:rFonts w:ascii="仿宋" w:hAnsi="仿宋" w:eastAsia="仿宋" w:cs="@MingLiU"/>
          <w:color w:val="auto"/>
          <w:sz w:val="24"/>
          <w:szCs w:val="24"/>
          <w:highlight w:val="none"/>
          <w:lang w:eastAsia="zh-CN"/>
        </w:rPr>
      </w:pPr>
      <w:r>
        <w:rPr>
          <w:rFonts w:hint="eastAsia" w:ascii="仿宋" w:hAnsi="仿宋" w:eastAsia="仿宋" w:cs="@MingLiU"/>
          <w:color w:val="auto"/>
          <w:sz w:val="24"/>
          <w:szCs w:val="24"/>
          <w:highlight w:val="none"/>
          <w:lang w:eastAsia="zh-CN"/>
        </w:rPr>
        <w:t>（3）施工现场气候条件（除不可抗力获得发包人允许的停工外）导致的；</w:t>
      </w:r>
    </w:p>
    <w:p>
      <w:pPr>
        <w:pStyle w:val="22"/>
        <w:adjustRightInd w:val="0"/>
        <w:snapToGrid w:val="0"/>
        <w:spacing w:line="360" w:lineRule="auto"/>
        <w:ind w:firstLine="480" w:firstLineChars="200"/>
        <w:rPr>
          <w:rFonts w:ascii="仿宋" w:hAnsi="仿宋" w:eastAsia="仿宋" w:cs="@MingLiU"/>
          <w:color w:val="auto"/>
          <w:sz w:val="24"/>
          <w:szCs w:val="24"/>
          <w:highlight w:val="none"/>
          <w:lang w:eastAsia="zh-CN"/>
        </w:rPr>
      </w:pPr>
      <w:r>
        <w:rPr>
          <w:rFonts w:hint="eastAsia" w:ascii="仿宋" w:hAnsi="仿宋" w:eastAsia="仿宋" w:cs="@MingLiU"/>
          <w:color w:val="auto"/>
          <w:sz w:val="24"/>
          <w:szCs w:val="24"/>
          <w:highlight w:val="none"/>
          <w:lang w:eastAsia="zh-CN"/>
        </w:rPr>
        <w:t>（4）擅自停工的；</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（5）承包人原因造成暂停施工的其他原因：</w:t>
      </w:r>
      <w:r>
        <w:rPr>
          <w:rFonts w:hint="eastAsia" w:ascii="仿宋" w:hAnsi="仿宋" w:eastAsia="仿宋"/>
          <w:color w:val="auto"/>
          <w:highlight w:val="none"/>
          <w:u w:val="single"/>
          <w:lang w:eastAsia="zh-CN"/>
        </w:rPr>
        <w:t>承包人未能主动及时地履行其协调、配合服务义务而造成专业承包单位无法开工，承包人应承担由此产生的工期延误等一切损失，并承担违约责任。</w:t>
      </w:r>
    </w:p>
    <w:p>
      <w:pPr>
        <w:pStyle w:val="22"/>
        <w:tabs>
          <w:tab w:val="left" w:pos="1980"/>
        </w:tabs>
        <w:adjustRightInd w:val="0"/>
        <w:snapToGrid w:val="0"/>
        <w:ind w:firstLine="720" w:firstLineChars="300"/>
        <w:rPr>
          <w:rFonts w:ascii="仿宋" w:hAnsi="仿宋" w:eastAsia="仿宋" w:cs="仿宋"/>
          <w:color w:val="auto"/>
          <w:highlight w:val="none"/>
          <w:u w:val="single"/>
          <w:lang w:eastAsia="zh-CN"/>
        </w:rPr>
      </w:pPr>
      <w:r>
        <w:rPr>
          <w:rFonts w:hint="eastAsia" w:ascii="仿宋" w:hAnsi="仿宋" w:eastAsia="仿宋" w:cs="@MingLiU"/>
          <w:color w:val="auto"/>
          <w:sz w:val="24"/>
          <w:szCs w:val="24"/>
          <w:highlight w:val="none"/>
          <w:lang w:eastAsia="zh-CN"/>
        </w:rPr>
        <w:t>因不可抗力因素造成暂停施工的，按照第35条规定处理。</w:t>
      </w:r>
    </w:p>
    <w:p>
      <w:pPr>
        <w:pStyle w:val="7"/>
        <w:rPr>
          <w:color w:val="auto"/>
          <w:highlight w:val="none"/>
          <w:lang w:eastAsia="zh-CN"/>
        </w:rPr>
      </w:pPr>
    </w:p>
    <w:p>
      <w:pPr>
        <w:pStyle w:val="4"/>
        <w:tabs>
          <w:tab w:val="left" w:pos="420"/>
        </w:tabs>
        <w:spacing w:line="360" w:lineRule="auto"/>
        <w:ind w:firstLine="105"/>
        <w:rPr>
          <w:color w:val="auto"/>
          <w:highlight w:val="none"/>
          <w:lang w:eastAsia="zh-CN"/>
        </w:rPr>
      </w:pPr>
      <w:bookmarkStart w:id="1631" w:name="_Toc3807"/>
      <w:bookmarkStart w:id="1632" w:name="_Toc28941"/>
      <w:bookmarkStart w:id="1633" w:name="_Toc23863"/>
      <w:bookmarkStart w:id="1634" w:name="_Toc23263"/>
      <w:bookmarkStart w:id="1635" w:name="_Toc511"/>
      <w:bookmarkStart w:id="1636" w:name="_Toc1205"/>
      <w:bookmarkStart w:id="1637" w:name="_Toc28365"/>
      <w:bookmarkStart w:id="1638" w:name="_Toc10638"/>
      <w:r>
        <w:rPr>
          <w:rFonts w:hint="eastAsia" w:ascii="仿宋" w:hAnsi="仿宋" w:eastAsia="仿宋" w:cs="仿宋"/>
          <w:b w:val="0"/>
          <w:bCs w:val="0"/>
          <w:color w:val="auto"/>
          <w:sz w:val="24"/>
          <w:szCs w:val="24"/>
          <w:highlight w:val="none"/>
          <w:lang w:eastAsia="zh-CN"/>
        </w:rPr>
        <w:t>43.  工期和工期延误</w:t>
      </w:r>
      <w:bookmarkEnd w:id="1631"/>
      <w:bookmarkEnd w:id="1632"/>
      <w:bookmarkEnd w:id="1633"/>
      <w:bookmarkEnd w:id="1634"/>
      <w:bookmarkEnd w:id="1635"/>
      <w:bookmarkEnd w:id="1636"/>
      <w:bookmarkEnd w:id="1637"/>
      <w:bookmarkEnd w:id="1638"/>
    </w:p>
    <w:p>
      <w:pPr>
        <w:spacing w:line="360" w:lineRule="auto"/>
        <w:rPr>
          <w:rFonts w:ascii="仿宋" w:hAnsi="仿宋" w:eastAsia="仿宋" w:cs="仿宋"/>
          <w:color w:val="auto"/>
          <w:highlight w:val="none"/>
          <w:lang w:eastAsia="zh-CN"/>
        </w:rPr>
      </w:pPr>
      <w:bookmarkStart w:id="1639" w:name="_Toc2299"/>
      <w:r>
        <w:rPr>
          <w:rFonts w:hint="eastAsia" w:ascii="仿宋" w:hAnsi="仿宋" w:eastAsia="仿宋" w:cs="仿宋"/>
          <w:color w:val="auto"/>
          <w:highlight w:val="none"/>
          <w:lang w:eastAsia="zh-CN"/>
        </w:rPr>
        <w:t>43.1 工期计算</w:t>
      </w:r>
      <w:bookmarkEnd w:id="1639"/>
    </w:p>
    <w:p>
      <w:pPr>
        <w:spacing w:line="360" w:lineRule="auto"/>
        <w:ind w:left="240" w:left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合同工程的工期约定为（</w:t>
      </w:r>
      <w:r>
        <w:rPr>
          <w:rFonts w:hint="eastAsia" w:ascii="仿宋" w:hAnsi="仿宋" w:eastAsia="仿宋" w:cs="仿宋"/>
          <w:color w:val="auto"/>
          <w:highlight w:val="none"/>
          <w:lang w:eastAsia="zh"/>
        </w:rPr>
        <w:t>639</w:t>
      </w:r>
      <w:r>
        <w:rPr>
          <w:rFonts w:hint="eastAsia" w:ascii="仿宋" w:hAnsi="仿宋" w:eastAsia="仿宋" w:cs="仿宋"/>
          <w:color w:val="auto"/>
          <w:highlight w:val="none"/>
          <w:lang w:eastAsia="zh-CN"/>
        </w:rPr>
        <w:t>）日历天。</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☑43.1.1 本合同工程的勘察工期约定为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60个日历</w:t>
      </w:r>
      <w:r>
        <w:rPr>
          <w:rFonts w:hint="eastAsia" w:ascii="仿宋" w:hAnsi="仿宋" w:eastAsia="仿宋" w:cs="仿宋"/>
          <w:color w:val="auto"/>
          <w:highlight w:val="none"/>
          <w:lang w:eastAsia="zh-CN"/>
        </w:rPr>
        <w:t>天。</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☑43.1.2 本合同工程的设计工期约定为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40</w:t>
      </w:r>
      <w:r>
        <w:rPr>
          <w:rFonts w:hint="eastAsia" w:ascii="仿宋" w:hAnsi="仿宋" w:eastAsia="仿宋" w:cs="仿宋"/>
          <w:color w:val="auto"/>
          <w:highlight w:val="none"/>
          <w:u w:val="single"/>
          <w:lang w:eastAsia="zh-CN"/>
        </w:rPr>
        <w:t>日历</w:t>
      </w:r>
      <w:r>
        <w:rPr>
          <w:rFonts w:hint="eastAsia" w:ascii="仿宋" w:hAnsi="仿宋" w:eastAsia="仿宋" w:cs="仿宋"/>
          <w:color w:val="auto"/>
          <w:highlight w:val="none"/>
          <w:lang w:eastAsia="zh-CN"/>
        </w:rPr>
        <w:t>天。施工图设计工期（</w:t>
      </w:r>
      <w:r>
        <w:rPr>
          <w:rFonts w:hint="eastAsia" w:ascii="仿宋" w:hAnsi="仿宋" w:eastAsia="仿宋" w:cs="仿宋"/>
          <w:color w:val="auto"/>
          <w:highlight w:val="none"/>
          <w:lang w:val="en-US" w:eastAsia="zh-CN"/>
        </w:rPr>
        <w:t>不</w:t>
      </w:r>
      <w:r>
        <w:rPr>
          <w:rFonts w:hint="eastAsia" w:ascii="仿宋" w:hAnsi="仿宋" w:eastAsia="仿宋" w:cs="仿宋"/>
          <w:color w:val="auto"/>
          <w:highlight w:val="none"/>
          <w:lang w:eastAsia="zh-CN"/>
        </w:rPr>
        <w:t>包括审查期）为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4</w:t>
      </w:r>
      <w:r>
        <w:rPr>
          <w:rFonts w:hint="eastAsia" w:ascii="仿宋" w:hAnsi="仿宋" w:eastAsia="仿宋" w:cs="仿宋"/>
          <w:color w:val="auto"/>
          <w:highlight w:val="none"/>
          <w:u w:val="single"/>
          <w:lang w:eastAsia="zh-CN"/>
        </w:rPr>
        <w:t xml:space="preserve">0 </w:t>
      </w:r>
      <w:r>
        <w:rPr>
          <w:rFonts w:hint="eastAsia" w:ascii="仿宋" w:hAnsi="仿宋" w:eastAsia="仿宋" w:cs="仿宋"/>
          <w:color w:val="auto"/>
          <w:highlight w:val="none"/>
          <w:lang w:eastAsia="zh-CN"/>
        </w:rPr>
        <w:t>天。</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□43.1.3 本合同工程的BIM技术应用工期约定为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天。其中 □ 初步设计阶段工期为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天；施工图设计阶段工期为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天；施工阶段工期为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天；竣工验收、结算阶段工期为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 运营维护阶段工期为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□43.1.4 本合同工程的设备及工器具购置工期约定为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☑43.1.5 本合同工程的施工工期约定为</w:t>
      </w:r>
      <w:r>
        <w:rPr>
          <w:rFonts w:hint="eastAsia" w:ascii="仿宋" w:hAnsi="仿宋" w:eastAsia="仿宋" w:cs="仿宋"/>
          <w:color w:val="auto"/>
          <w:highlight w:val="none"/>
          <w:lang w:eastAsia="zh"/>
        </w:rPr>
        <w:t>639</w:t>
      </w:r>
      <w:r>
        <w:rPr>
          <w:rFonts w:hint="eastAsia" w:ascii="仿宋" w:hAnsi="仿宋" w:eastAsia="仿宋" w:cs="仿宋"/>
          <w:color w:val="auto"/>
          <w:highlight w:val="none"/>
          <w:u w:val="single"/>
          <w:lang w:eastAsia="zh-CN"/>
        </w:rPr>
        <w:t>日历</w:t>
      </w:r>
      <w:r>
        <w:rPr>
          <w:rFonts w:hint="eastAsia" w:ascii="仿宋" w:hAnsi="仿宋" w:eastAsia="仿宋" w:cs="仿宋"/>
          <w:color w:val="auto"/>
          <w:highlight w:val="none"/>
          <w:lang w:eastAsia="zh-CN"/>
        </w:rPr>
        <w:t>天。</w:t>
      </w:r>
    </w:p>
    <w:p>
      <w:pPr>
        <w:spacing w:line="360" w:lineRule="auto"/>
        <w:ind w:firstLine="482" w:firstLineChars="200"/>
        <w:rPr>
          <w:rFonts w:ascii="宋体" w:hAnsi="宋体" w:cs="仿宋"/>
          <w:b/>
          <w:bCs/>
          <w:color w:val="auto"/>
          <w:highlight w:val="none"/>
        </w:rPr>
      </w:pPr>
      <w:r>
        <w:rPr>
          <w:rFonts w:hint="eastAsia" w:ascii="宋体" w:hAnsi="宋体" w:cs="仿宋"/>
          <w:b/>
          <w:bCs/>
          <w:color w:val="auto"/>
          <w:highlight w:val="none"/>
        </w:rPr>
        <w:t>关键节点工期表</w:t>
      </w:r>
    </w:p>
    <w:p>
      <w:pPr>
        <w:spacing w:line="360" w:lineRule="auto"/>
        <w:ind w:firstLine="480" w:firstLineChars="20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参照本合同第一补充协议书第七条。</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根据工程实际情况，有权对本工程中的关键节点工期进行适当合理调整，承包人必须采取一切有效措施保证关键节点工期的调整，并不得要求另行增加费用，确因发包人原因导致无法保证关键节点工期的，经承包人书面申请后可顺延相应关键节点工期。本工程赶工措施费用应在投标报价中综合考虑，不另行计算。</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43.2 合同中包括有多个单项工程的，各单项工程的工期约定：</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①单项工程（工程名称）</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，工期约定为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②单项工程（工程名称）</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，工期约定为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天。</w:t>
      </w:r>
    </w:p>
    <w:p>
      <w:pPr>
        <w:widowControl w:val="0"/>
        <w:spacing w:line="360" w:lineRule="auto"/>
        <w:ind w:firstLine="720" w:firstLineChars="300"/>
        <w:jc w:val="both"/>
        <w:rPr>
          <w:color w:val="auto"/>
          <w:highlight w:val="none"/>
          <w:lang w:eastAsia="zh-CN"/>
        </w:rPr>
      </w:pPr>
      <w:r>
        <w:rPr>
          <w:rFonts w:hint="eastAsia" w:ascii="仿宋" w:hAnsi="仿宋" w:eastAsia="仿宋" w:cs="仿宋"/>
          <w:color w:val="auto"/>
          <w:highlight w:val="none"/>
          <w:lang w:eastAsia="zh-CN"/>
        </w:rPr>
        <w:t>43.3</w:t>
      </w:r>
      <w:r>
        <w:rPr>
          <w:rFonts w:hint="eastAsia" w:ascii="仿宋" w:hAnsi="仿宋" w:eastAsia="仿宋"/>
          <w:color w:val="auto"/>
          <w:highlight w:val="none"/>
          <w:lang w:eastAsia="zh-CN"/>
        </w:rPr>
        <w:t>合同履行期间，由于不可抗力造成工期延误的，由承包人提出工期顺延，经监理工程师核实后由合同双方当事人协商确定；协商不能达成一致的，由监理工程师暂定，通知承包人并抄报发包人。</w:t>
      </w:r>
      <w:r>
        <w:rPr>
          <w:rFonts w:hint="eastAsia" w:ascii="仿宋" w:hAnsi="仿宋" w:eastAsia="仿宋" w:cs="仿宋"/>
          <w:color w:val="auto"/>
          <w:highlight w:val="none"/>
          <w:lang w:eastAsia="zh-CN"/>
        </w:rPr>
        <w:t>构成争议的，由合同双方当事人按照第91条约定处理。</w:t>
      </w:r>
    </w:p>
    <w:p>
      <w:pPr>
        <w:pStyle w:val="22"/>
        <w:widowControl w:val="0"/>
        <w:adjustRightInd w:val="0"/>
        <w:snapToGrid w:val="0"/>
        <w:spacing w:line="360" w:lineRule="auto"/>
        <w:ind w:firstLine="480" w:firstLineChars="200"/>
        <w:jc w:val="both"/>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bidi="en-US"/>
        </w:rPr>
        <w:t xml:space="preserve">43.7 </w:t>
      </w:r>
      <w:r>
        <w:rPr>
          <w:rFonts w:hint="eastAsia" w:ascii="仿宋" w:hAnsi="仿宋" w:eastAsia="仿宋" w:cs="仿宋"/>
          <w:color w:val="auto"/>
          <w:sz w:val="24"/>
          <w:szCs w:val="24"/>
          <w:highlight w:val="none"/>
          <w:lang w:eastAsia="zh-CN"/>
        </w:rPr>
        <w:t>发包人、设计顾问人或监理人应在收到承包人按照第43</w:t>
      </w:r>
      <w:r>
        <w:rPr>
          <w:rFonts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eastAsia="zh-CN"/>
        </w:rPr>
        <w:t>款和第43</w:t>
      </w:r>
      <w:r>
        <w:rPr>
          <w:rFonts w:ascii="仿宋" w:hAnsi="仿宋" w:eastAsia="仿宋" w:cs="仿宋"/>
          <w:color w:val="auto"/>
          <w:sz w:val="24"/>
          <w:szCs w:val="24"/>
          <w:highlight w:val="none"/>
          <w:lang w:eastAsia="zh-CN"/>
        </w:rPr>
        <w:t>.5</w:t>
      </w:r>
      <w:r>
        <w:rPr>
          <w:rFonts w:hint="eastAsia" w:ascii="仿宋" w:hAnsi="仿宋" w:eastAsia="仿宋" w:cs="仿宋"/>
          <w:color w:val="auto"/>
          <w:sz w:val="24"/>
          <w:szCs w:val="24"/>
          <w:highlight w:val="none"/>
          <w:lang w:eastAsia="zh-CN"/>
        </w:rPr>
        <w:t>款（发生时）约定提交（最终）工期顺延报告和详细资料后的</w:t>
      </w:r>
      <w:r>
        <w:rPr>
          <w:rFonts w:ascii="仿宋" w:hAnsi="仿宋" w:eastAsia="仿宋" w:cs="仿宋"/>
          <w:color w:val="auto"/>
          <w:sz w:val="24"/>
          <w:szCs w:val="24"/>
          <w:highlight w:val="none"/>
          <w:lang w:eastAsia="zh-CN"/>
        </w:rPr>
        <w:t>28</w:t>
      </w:r>
      <w:r>
        <w:rPr>
          <w:rFonts w:hint="eastAsia" w:ascii="仿宋" w:hAnsi="仿宋" w:eastAsia="仿宋" w:cs="仿宋"/>
          <w:color w:val="auto"/>
          <w:sz w:val="24"/>
          <w:szCs w:val="24"/>
          <w:highlight w:val="none"/>
          <w:lang w:eastAsia="zh-CN"/>
        </w:rPr>
        <w:t>天内，按照第43</w:t>
      </w:r>
      <w:r>
        <w:rPr>
          <w:rFonts w:ascii="仿宋" w:hAnsi="仿宋" w:eastAsia="仿宋" w:cs="仿宋"/>
          <w:color w:val="auto"/>
          <w:sz w:val="24"/>
          <w:szCs w:val="24"/>
          <w:highlight w:val="none"/>
          <w:lang w:eastAsia="zh-CN"/>
        </w:rPr>
        <w:t>.3</w:t>
      </w:r>
      <w:r>
        <w:rPr>
          <w:rFonts w:hint="eastAsia" w:ascii="仿宋" w:hAnsi="仿宋" w:eastAsia="仿宋" w:cs="仿宋"/>
          <w:color w:val="auto"/>
          <w:sz w:val="24"/>
          <w:szCs w:val="24"/>
          <w:highlight w:val="none"/>
          <w:lang w:eastAsia="zh-CN"/>
        </w:rPr>
        <w:t>款约定予以核实，或要求承包人进一步补充顺延工期的理由。合同双方当事人一旦协商确定顺延的工期</w:t>
      </w:r>
      <w:r>
        <w:rPr>
          <w:rFonts w:hint="eastAsia" w:ascii="仿宋" w:hAnsi="仿宋" w:eastAsia="仿宋"/>
          <w:color w:val="auto"/>
          <w:sz w:val="24"/>
          <w:szCs w:val="24"/>
          <w:highlight w:val="none"/>
          <w:lang w:eastAsia="zh-CN"/>
        </w:rPr>
        <w:t>，甲、乙双方不互相追究对方违约责任，乙方不得要求甲方支付任何费用、主张损害赔偿。</w:t>
      </w:r>
    </w:p>
    <w:p>
      <w:pPr>
        <w:pStyle w:val="7"/>
        <w:rPr>
          <w:color w:val="auto"/>
          <w:highlight w:val="none"/>
          <w:lang w:eastAsia="zh-CN"/>
        </w:rPr>
      </w:pP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43.9 赶工措施费</w:t>
      </w:r>
    </w:p>
    <w:p>
      <w:pPr>
        <w:spacing w:line="360" w:lineRule="auto"/>
        <w:ind w:left="821" w:leftChars="342"/>
        <w:rPr>
          <w:rFonts w:ascii="仿宋" w:hAnsi="仿宋" w:eastAsia="仿宋"/>
          <w:color w:val="auto"/>
          <w:highlight w:val="none"/>
          <w:lang w:eastAsia="zh-CN"/>
        </w:rPr>
      </w:pPr>
      <w:r>
        <w:rPr>
          <w:rFonts w:hint="eastAsia" w:ascii="仿宋" w:hAnsi="仿宋" w:eastAsia="仿宋" w:cs="仿宋"/>
          <w:color w:val="auto"/>
          <w:highlight w:val="none"/>
          <w:lang w:eastAsia="zh-CN"/>
        </w:rPr>
        <w:t>□发包人要求的合同工程施工工期小于定额工期的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%时，根据广东省建设工程计价依据规定的赶工措施费率</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%计算；</w:t>
      </w:r>
    </w:p>
    <w:p>
      <w:pPr>
        <w:spacing w:line="360" w:lineRule="auto"/>
        <w:ind w:left="821" w:leftChars="342"/>
        <w:rPr>
          <w:rFonts w:ascii="仿宋" w:hAnsi="仿宋" w:eastAsia="仿宋"/>
          <w:color w:val="auto"/>
          <w:highlight w:val="none"/>
          <w:lang w:eastAsia="zh-CN"/>
        </w:rPr>
      </w:pPr>
      <w:r>
        <w:rPr>
          <w:rFonts w:hint="eastAsia" w:ascii="仿宋" w:hAnsi="仿宋" w:eastAsia="仿宋" w:cs="仿宋"/>
          <w:color w:val="auto"/>
          <w:highlight w:val="none"/>
          <w:lang w:eastAsia="zh-CN"/>
        </w:rPr>
        <w:t>□发包人要求的合同工程施工工期小于定额工期的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%时，根据广州市住房和城乡建设局发布的赶工措施费规定的赶工措施费率</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%计算；</w:t>
      </w:r>
    </w:p>
    <w:p>
      <w:pPr>
        <w:spacing w:line="360" w:lineRule="auto"/>
        <w:ind w:left="821" w:leftChars="342"/>
        <w:rPr>
          <w:rFonts w:ascii="仿宋" w:hAnsi="仿宋" w:eastAsia="仿宋"/>
          <w:color w:val="auto"/>
          <w:highlight w:val="none"/>
          <w:lang w:eastAsia="zh-CN"/>
        </w:rPr>
      </w:pPr>
      <w:r>
        <w:rPr>
          <w:rFonts w:hint="eastAsia" w:ascii="仿宋" w:hAnsi="仿宋" w:eastAsia="仿宋" w:cs="仿宋"/>
          <w:color w:val="auto"/>
          <w:highlight w:val="none"/>
          <w:lang w:eastAsia="zh-CN"/>
        </w:rPr>
        <w:t>□发包人要求的合同工程施工工期小于定额工期的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%时，根据广州市建设工程造价管理站发布的赶工措施费规定的赶工措施费率</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%计算；</w:t>
      </w:r>
    </w:p>
    <w:p>
      <w:pPr>
        <w:spacing w:line="360" w:lineRule="auto"/>
        <w:ind w:left="821" w:leftChars="342"/>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□发包人要求的合同工程施工工期小于定额工期的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%时，发包人、承包人约定赶工措施费率按</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%计算。</w:t>
      </w:r>
    </w:p>
    <w:p>
      <w:pPr>
        <w:spacing w:line="360" w:lineRule="auto"/>
        <w:ind w:left="821" w:leftChars="342"/>
        <w:rPr>
          <w:strike/>
          <w:color w:val="auto"/>
          <w:highlight w:val="none"/>
          <w:lang w:eastAsia="zh-CN"/>
        </w:rPr>
      </w:pPr>
      <w:r>
        <w:rPr>
          <w:rFonts w:hint="eastAsia" w:ascii="仿宋" w:hAnsi="仿宋" w:eastAsia="仿宋" w:cs="仿宋"/>
          <w:color w:val="auto"/>
          <w:highlight w:val="none"/>
          <w:lang w:eastAsia="zh-CN"/>
        </w:rPr>
        <w:t>☑</w:t>
      </w:r>
      <w:r>
        <w:rPr>
          <w:rFonts w:hint="eastAsia" w:ascii="仿宋" w:hAnsi="仿宋" w:eastAsia="仿宋"/>
          <w:color w:val="auto"/>
          <w:highlight w:val="none"/>
          <w:lang w:eastAsia="zh-CN"/>
        </w:rPr>
        <w:t>另作约定：</w:t>
      </w:r>
      <w:r>
        <w:rPr>
          <w:rFonts w:hint="eastAsia" w:ascii="仿宋" w:hAnsi="仿宋" w:eastAsia="仿宋"/>
          <w:color w:val="auto"/>
          <w:highlight w:val="none"/>
          <w:u w:val="single"/>
          <w:lang w:eastAsia="zh-CN"/>
        </w:rPr>
        <w:t>赶工措施费由承包人在报价下浮</w:t>
      </w:r>
      <w:r>
        <w:rPr>
          <w:rFonts w:hint="eastAsia" w:ascii="仿宋" w:hAnsi="仿宋" w:eastAsia="仿宋" w:cs="仿宋"/>
          <w:color w:val="auto"/>
          <w:highlight w:val="none"/>
          <w:u w:val="single"/>
          <w:lang w:eastAsia="zh-CN"/>
        </w:rPr>
        <w:t>率中</w:t>
      </w:r>
      <w:r>
        <w:rPr>
          <w:rFonts w:hint="eastAsia" w:ascii="仿宋" w:hAnsi="仿宋" w:eastAsia="仿宋"/>
          <w:color w:val="auto"/>
          <w:highlight w:val="none"/>
          <w:u w:val="single"/>
          <w:lang w:eastAsia="zh-CN"/>
        </w:rPr>
        <w:t>综合考虑，承包人需根据项目总工期、节点工期要求及现场实际情况进行考虑，包含且不限于各专业工程为满足发包方的工期要求,通过赶工所增加的人工、材料、机械费、劳务损失、加班班次奖金、夜间施工费等，发包人不再另行支付。</w:t>
      </w:r>
    </w:p>
    <w:p>
      <w:pPr>
        <w:pStyle w:val="4"/>
        <w:tabs>
          <w:tab w:val="left" w:pos="420"/>
        </w:tabs>
        <w:spacing w:line="360" w:lineRule="auto"/>
        <w:ind w:firstLine="105"/>
        <w:rPr>
          <w:color w:val="auto"/>
          <w:highlight w:val="none"/>
          <w:lang w:eastAsia="zh-CN"/>
        </w:rPr>
      </w:pPr>
      <w:bookmarkStart w:id="1640" w:name="_Toc31921"/>
      <w:bookmarkStart w:id="1641" w:name="_Toc25368"/>
      <w:bookmarkStart w:id="1642" w:name="_Toc16491"/>
      <w:bookmarkStart w:id="1643" w:name="_Toc1452"/>
      <w:bookmarkStart w:id="1644" w:name="_Toc29652"/>
      <w:bookmarkStart w:id="1645" w:name="_Toc32654"/>
      <w:bookmarkStart w:id="1646" w:name="_Toc22109"/>
      <w:bookmarkStart w:id="1647" w:name="_Toc16426"/>
      <w:r>
        <w:rPr>
          <w:rFonts w:hint="eastAsia" w:ascii="仿宋" w:hAnsi="仿宋" w:eastAsia="仿宋" w:cs="仿宋"/>
          <w:b w:val="0"/>
          <w:bCs w:val="0"/>
          <w:color w:val="auto"/>
          <w:sz w:val="24"/>
          <w:szCs w:val="24"/>
          <w:highlight w:val="none"/>
          <w:lang w:eastAsia="zh-CN"/>
        </w:rPr>
        <w:t>45.  竣工日期</w:t>
      </w:r>
      <w:bookmarkEnd w:id="1640"/>
      <w:bookmarkEnd w:id="1641"/>
      <w:bookmarkEnd w:id="1642"/>
      <w:bookmarkEnd w:id="1643"/>
      <w:bookmarkEnd w:id="1644"/>
      <w:bookmarkEnd w:id="1645"/>
      <w:bookmarkEnd w:id="1646"/>
      <w:bookmarkEnd w:id="1647"/>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45.1 约定计划竣工日期</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计划竣工日期：</w:t>
      </w:r>
      <w:r>
        <w:rPr>
          <w:rFonts w:hint="eastAsia" w:ascii="仿宋" w:hAnsi="仿宋" w:eastAsia="仿宋" w:cs="仿宋"/>
          <w:color w:val="auto"/>
          <w:highlight w:val="none"/>
          <w:u w:val="single"/>
          <w:lang w:eastAsia="zh-CN"/>
        </w:rPr>
        <w:t>202</w:t>
      </w:r>
      <w:r>
        <w:rPr>
          <w:rFonts w:hint="eastAsia" w:ascii="仿宋" w:hAnsi="仿宋" w:eastAsia="仿宋" w:cs="仿宋"/>
          <w:color w:val="auto"/>
          <w:highlight w:val="none"/>
          <w:u w:val="single"/>
          <w:lang w:eastAsia="zh"/>
        </w:rPr>
        <w:t>7</w:t>
      </w:r>
      <w:r>
        <w:rPr>
          <w:rFonts w:hint="eastAsia" w:ascii="仿宋" w:hAnsi="仿宋" w:eastAsia="仿宋" w:cs="仿宋"/>
          <w:color w:val="auto"/>
          <w:highlight w:val="none"/>
          <w:u w:val="single"/>
          <w:lang w:eastAsia="zh-CN"/>
        </w:rPr>
        <w:t>年</w:t>
      </w:r>
      <w:r>
        <w:rPr>
          <w:rFonts w:hint="eastAsia" w:ascii="仿宋" w:hAnsi="仿宋" w:eastAsia="仿宋" w:cs="仿宋"/>
          <w:color w:val="auto"/>
          <w:highlight w:val="none"/>
          <w:u w:val="single"/>
          <w:lang w:eastAsia="zh"/>
        </w:rPr>
        <w:t>2</w:t>
      </w:r>
      <w:r>
        <w:rPr>
          <w:rFonts w:hint="eastAsia" w:ascii="仿宋" w:hAnsi="仿宋" w:eastAsia="仿宋" w:cs="仿宋"/>
          <w:color w:val="auto"/>
          <w:highlight w:val="none"/>
          <w:u w:val="single"/>
          <w:lang w:eastAsia="zh-CN"/>
        </w:rPr>
        <w:t>月</w:t>
      </w:r>
      <w:r>
        <w:rPr>
          <w:rFonts w:hint="eastAsia" w:ascii="仿宋" w:hAnsi="仿宋" w:eastAsia="仿宋" w:cs="仿宋"/>
          <w:color w:val="auto"/>
          <w:highlight w:val="none"/>
          <w:u w:val="single"/>
          <w:lang w:eastAsia="zh"/>
        </w:rPr>
        <w:t>28</w:t>
      </w:r>
      <w:r>
        <w:rPr>
          <w:rFonts w:hint="eastAsia" w:ascii="仿宋" w:hAnsi="仿宋" w:eastAsia="仿宋" w:cs="仿宋"/>
          <w:color w:val="auto"/>
          <w:highlight w:val="none"/>
          <w:u w:val="single"/>
          <w:lang w:eastAsia="zh-CN"/>
        </w:rPr>
        <w:t>日</w:t>
      </w:r>
    </w:p>
    <w:p>
      <w:pPr>
        <w:pStyle w:val="4"/>
        <w:tabs>
          <w:tab w:val="left" w:pos="420"/>
        </w:tabs>
        <w:spacing w:line="360" w:lineRule="auto"/>
        <w:ind w:firstLine="105"/>
        <w:rPr>
          <w:color w:val="auto"/>
          <w:highlight w:val="none"/>
          <w:lang w:eastAsia="zh-CN"/>
        </w:rPr>
      </w:pPr>
      <w:bookmarkStart w:id="1648" w:name="_Toc28725"/>
      <w:bookmarkStart w:id="1649" w:name="_Toc1185"/>
      <w:bookmarkStart w:id="1650" w:name="_Toc19281"/>
      <w:bookmarkStart w:id="1651" w:name="_Toc28283"/>
      <w:bookmarkStart w:id="1652" w:name="_Toc29365"/>
      <w:bookmarkStart w:id="1653" w:name="_Toc27453"/>
      <w:bookmarkStart w:id="1654" w:name="_Toc12280"/>
      <w:bookmarkStart w:id="1655" w:name="_Toc18638"/>
      <w:r>
        <w:rPr>
          <w:rFonts w:hint="eastAsia" w:ascii="仿宋" w:hAnsi="仿宋" w:eastAsia="仿宋" w:cs="仿宋"/>
          <w:b w:val="0"/>
          <w:bCs w:val="0"/>
          <w:color w:val="auto"/>
          <w:sz w:val="24"/>
          <w:szCs w:val="24"/>
          <w:highlight w:val="none"/>
          <w:lang w:eastAsia="zh-CN"/>
        </w:rPr>
        <w:t>★49.  质量标准</w:t>
      </w:r>
      <w:bookmarkEnd w:id="1648"/>
      <w:bookmarkEnd w:id="1649"/>
      <w:bookmarkEnd w:id="1650"/>
      <w:bookmarkEnd w:id="1651"/>
      <w:bookmarkEnd w:id="1652"/>
      <w:bookmarkEnd w:id="1653"/>
      <w:bookmarkEnd w:id="1654"/>
      <w:bookmarkEnd w:id="1655"/>
    </w:p>
    <w:p>
      <w:pPr>
        <w:spacing w:line="360" w:lineRule="auto"/>
        <w:ind w:left="240" w:leftChars="100"/>
        <w:rPr>
          <w:rFonts w:ascii="仿宋" w:hAnsi="仿宋" w:eastAsia="仿宋"/>
          <w:color w:val="auto"/>
          <w:highlight w:val="none"/>
          <w:lang w:eastAsia="zh-CN"/>
        </w:rPr>
      </w:pPr>
      <w:r>
        <w:rPr>
          <w:rFonts w:hint="eastAsia" w:ascii="仿宋" w:hAnsi="仿宋" w:eastAsia="仿宋" w:cs="仿宋"/>
          <w:b/>
          <w:bCs/>
          <w:color w:val="auto"/>
          <w:highlight w:val="none"/>
          <w:lang w:eastAsia="zh-CN"/>
        </w:rPr>
        <w:t>★49</w:t>
      </w:r>
      <w:r>
        <w:rPr>
          <w:rFonts w:hint="eastAsia" w:ascii="仿宋" w:hAnsi="仿宋" w:eastAsia="仿宋" w:cs="仿宋"/>
          <w:color w:val="auto"/>
          <w:highlight w:val="none"/>
          <w:lang w:eastAsia="zh-CN"/>
        </w:rPr>
        <w:t>.1 约定工作质量或工程质量标准</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①勘察工作质量标准与成果验收标准：</w:t>
      </w:r>
      <w:r>
        <w:rPr>
          <w:rFonts w:hint="eastAsia" w:ascii="仿宋" w:hAnsi="仿宋" w:eastAsia="仿宋" w:cs="仿宋"/>
          <w:color w:val="auto"/>
          <w:highlight w:val="none"/>
          <w:u w:val="single"/>
          <w:lang w:eastAsia="zh-CN"/>
        </w:rPr>
        <w:t xml:space="preserve"> </w:t>
      </w:r>
      <w:r>
        <w:rPr>
          <w:rFonts w:hint="eastAsia" w:ascii="仿宋" w:hAnsi="仿宋" w:eastAsia="仿宋"/>
          <w:color w:val="auto"/>
          <w:highlight w:val="none"/>
          <w:u w:val="single"/>
          <w:lang w:eastAsia="zh-CN"/>
        </w:rPr>
        <w:t>见协议书第三条。</w:t>
      </w:r>
      <w:r>
        <w:rPr>
          <w:rFonts w:hint="eastAsia" w:ascii="仿宋" w:hAnsi="仿宋" w:eastAsia="仿宋" w:cs="仿宋"/>
          <w:color w:val="auto"/>
          <w:highlight w:val="none"/>
          <w:u w:val="single"/>
          <w:lang w:eastAsia="zh-CN"/>
        </w:rPr>
        <w:t xml:space="preserve">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②初步设计工作质量标准与成果验收标准：</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③施工图设计工作质量标准与成果验收标准：</w:t>
      </w:r>
      <w:r>
        <w:rPr>
          <w:rFonts w:hint="eastAsia" w:ascii="仿宋" w:hAnsi="仿宋" w:eastAsia="仿宋"/>
          <w:color w:val="auto"/>
          <w:highlight w:val="none"/>
          <w:u w:val="single"/>
          <w:lang w:eastAsia="zh-CN"/>
        </w:rPr>
        <w:t>见协议书第三条。</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④BIM技术应用工作质量标准与成果验收标准：</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⑤设备及工器具购置工作质量标准与验收标准：</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⑥施工质量标准与验收标准</w:t>
      </w:r>
    </w:p>
    <w:p>
      <w:pPr>
        <w:spacing w:line="360" w:lineRule="auto"/>
        <w:ind w:firstLine="1320" w:firstLineChars="5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（a）工程质量标准：</w:t>
      </w:r>
      <w:r>
        <w:rPr>
          <w:rFonts w:hint="eastAsia" w:ascii="仿宋" w:hAnsi="仿宋" w:eastAsia="仿宋"/>
          <w:color w:val="auto"/>
          <w:highlight w:val="none"/>
          <w:u w:val="single"/>
          <w:lang w:eastAsia="zh-CN"/>
        </w:rPr>
        <w:t>见协议书第三条。</w:t>
      </w:r>
    </w:p>
    <w:p>
      <w:pPr>
        <w:spacing w:line="360" w:lineRule="auto"/>
        <w:ind w:firstLine="1320" w:firstLineChars="5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（b）特殊质量标准和要求：</w:t>
      </w:r>
      <w:r>
        <w:rPr>
          <w:rFonts w:hint="eastAsia" w:ascii="仿宋" w:hAnsi="仿宋" w:eastAsia="仿宋" w:cs="仿宋"/>
          <w:color w:val="auto"/>
          <w:highlight w:val="none"/>
          <w:u w:val="single"/>
          <w:lang w:eastAsia="zh-CN"/>
        </w:rPr>
        <w:t xml:space="preserve">    /    </w:t>
      </w:r>
    </w:p>
    <w:p>
      <w:pPr>
        <w:spacing w:line="360" w:lineRule="auto"/>
        <w:ind w:firstLine="1320" w:firstLineChars="550"/>
        <w:rPr>
          <w:rFonts w:ascii="仿宋" w:hAnsi="仿宋" w:eastAsia="仿宋" w:cs="仿宋"/>
          <w:color w:val="auto"/>
          <w:highlight w:val="none"/>
          <w:lang w:eastAsia="zh-CN"/>
        </w:rPr>
      </w:pPr>
      <w:r>
        <w:rPr>
          <w:rFonts w:hint="eastAsia" w:ascii="仿宋" w:hAnsi="仿宋" w:eastAsia="仿宋" w:cs="仿宋"/>
          <w:color w:val="auto"/>
          <w:highlight w:val="none"/>
          <w:lang w:eastAsia="zh-CN"/>
        </w:rPr>
        <w:t>（c）工程质量验收标准：</w:t>
      </w:r>
      <w:r>
        <w:rPr>
          <w:rFonts w:hint="eastAsia" w:ascii="仿宋" w:hAnsi="仿宋" w:eastAsia="仿宋" w:cs="仿宋"/>
          <w:color w:val="auto"/>
          <w:highlight w:val="none"/>
          <w:u w:val="single"/>
          <w:lang w:eastAsia="zh-CN"/>
        </w:rPr>
        <w:t xml:space="preserve">    /    </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（d）装配式建筑质量验收标准：</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《装配式住宅建筑检测技术标准》（JGJ/T485－2019）</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《装配式混凝土建筑工程施工质量验收规程》（T/CCIA/T0008-2019）</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i/>
          <w:iCs/>
          <w:color w:val="auto"/>
          <w:highlight w:val="none"/>
          <w:lang w:eastAsia="zh-CN"/>
        </w:rPr>
      </w:pPr>
      <w:r>
        <w:rPr>
          <w:rFonts w:hint="eastAsia" w:ascii="仿宋" w:hAnsi="仿宋" w:eastAsia="仿宋" w:cs="仿宋"/>
          <w:color w:val="auto"/>
          <w:highlight w:val="none"/>
          <w:lang w:eastAsia="zh-CN"/>
        </w:rPr>
        <w:t>□⑦其它专题标准和要求：</w:t>
      </w:r>
      <w:r>
        <w:rPr>
          <w:rFonts w:hint="eastAsia" w:ascii="仿宋" w:hAnsi="仿宋" w:eastAsia="仿宋" w:cs="仿宋"/>
          <w:color w:val="auto"/>
          <w:highlight w:val="none"/>
          <w:u w:val="single"/>
          <w:lang w:eastAsia="zh-CN"/>
        </w:rPr>
        <w:t xml:space="preserve">    /    </w:t>
      </w:r>
    </w:p>
    <w:p>
      <w:pPr>
        <w:spacing w:line="360" w:lineRule="auto"/>
        <w:ind w:firstLine="424" w:firstLineChars="177"/>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49.3 </w:t>
      </w:r>
      <w:r>
        <w:rPr>
          <w:rFonts w:hint="eastAsia" w:ascii="仿宋" w:hAnsi="仿宋" w:eastAsia="仿宋"/>
          <w:color w:val="auto"/>
          <w:highlight w:val="none"/>
          <w:lang w:eastAsia="zh-CN"/>
        </w:rPr>
        <w:t>承包人应当完善质量管理制度，建立质量控制流程，建立并保持一个有效的工程质量管理体系。</w:t>
      </w:r>
    </w:p>
    <w:p>
      <w:pPr>
        <w:spacing w:line="360" w:lineRule="auto"/>
        <w:ind w:firstLine="424" w:firstLineChars="177"/>
        <w:rPr>
          <w:rFonts w:ascii="仿宋" w:hAnsi="仿宋" w:eastAsia="仿宋"/>
          <w:color w:val="auto"/>
          <w:highlight w:val="none"/>
          <w:lang w:eastAsia="zh-CN"/>
        </w:rPr>
      </w:pPr>
      <w:r>
        <w:rPr>
          <w:rFonts w:hint="eastAsia" w:ascii="仿宋" w:hAnsi="仿宋" w:eastAsia="仿宋"/>
          <w:color w:val="auto"/>
          <w:highlight w:val="none"/>
          <w:lang w:eastAsia="zh-CN"/>
        </w:rPr>
        <w:t>（1）建立完整的质量体系，委派专人负责工程质量管理，现场管理机构、工区（段）设有专职质检人员，班组设质检员，同时附有项目架构人员名单，各类人员必须持有上岗资格证。承包人还应建立并完善各项目质量管理检查制度及企业质量管理文件等。同时，承包人应积极配合工程质量第三方检测工作，并积极采用新材料、新工艺、新技术。</w:t>
      </w:r>
    </w:p>
    <w:p>
      <w:pPr>
        <w:spacing w:line="360" w:lineRule="auto"/>
        <w:ind w:firstLine="424" w:firstLineChars="177"/>
        <w:rPr>
          <w:rFonts w:ascii="仿宋" w:hAnsi="仿宋" w:eastAsia="仿宋"/>
          <w:color w:val="auto"/>
          <w:highlight w:val="none"/>
          <w:u w:val="single"/>
          <w:lang w:eastAsia="zh-CN"/>
        </w:rPr>
      </w:pPr>
      <w:r>
        <w:rPr>
          <w:rFonts w:hint="eastAsia" w:ascii="仿宋" w:hAnsi="仿宋" w:eastAsia="仿宋"/>
          <w:color w:val="auto"/>
          <w:highlight w:val="none"/>
          <w:lang w:eastAsia="zh-CN"/>
        </w:rPr>
        <w:t>（2）承包人提交总监理工程师批准的施工组织设计或者施工方案必须附有完备的工程质量保证措施，包括：</w:t>
      </w:r>
      <w:r>
        <w:rPr>
          <w:rFonts w:hint="eastAsia" w:ascii="仿宋" w:hAnsi="仿宋" w:eastAsia="仿宋"/>
          <w:color w:val="auto"/>
          <w:highlight w:val="none"/>
          <w:u w:val="single"/>
          <w:lang w:eastAsia="zh-CN"/>
        </w:rPr>
        <w:t>工程质量预控措施，工序质量控制点，工程的标准工艺流程图和技术，组织措施，重点分部（项）工程的施工方法，主要分项工程的实物样板、方案，材料、构件、支座、制品试件取样及试验的方法或方案，成品保护的措施和方法，质量报表和质量事故的报告制度等等。</w:t>
      </w:r>
    </w:p>
    <w:p>
      <w:pPr>
        <w:spacing w:line="360" w:lineRule="auto"/>
        <w:ind w:firstLine="424" w:firstLineChars="177"/>
        <w:rPr>
          <w:rFonts w:ascii="仿宋" w:hAnsi="仿宋" w:eastAsia="仿宋"/>
          <w:color w:val="auto"/>
          <w:highlight w:val="none"/>
          <w:lang w:eastAsia="zh-CN"/>
        </w:rPr>
      </w:pPr>
      <w:r>
        <w:rPr>
          <w:rFonts w:hint="eastAsia" w:ascii="仿宋" w:hAnsi="仿宋" w:eastAsia="仿宋"/>
          <w:color w:val="auto"/>
          <w:highlight w:val="none"/>
          <w:lang w:eastAsia="zh-CN"/>
        </w:rPr>
        <w:t>（3）单项工程开工前，承包人必须按要求对职工分级进行技术交底，组织学习有关规程、标准、规范和工艺要求，在施工中必须按规程及工艺进行操作。</w:t>
      </w:r>
      <w:r>
        <w:rPr>
          <w:rFonts w:hint="eastAsia" w:ascii="仿宋" w:hAnsi="仿宋" w:eastAsia="仿宋"/>
          <w:color w:val="auto"/>
          <w:highlight w:val="none"/>
          <w:u w:val="single"/>
          <w:lang w:eastAsia="zh-CN"/>
        </w:rPr>
        <w:t>合同涉及其他标段项目的，按发包人需求标准要求与其他标段项目质量控制规程与工艺一致</w:t>
      </w:r>
      <w:r>
        <w:rPr>
          <w:rFonts w:hint="eastAsia" w:ascii="仿宋" w:hAnsi="仿宋" w:eastAsia="仿宋"/>
          <w:color w:val="auto"/>
          <w:highlight w:val="none"/>
          <w:lang w:eastAsia="zh-CN"/>
        </w:rPr>
        <w:t>。</w:t>
      </w:r>
    </w:p>
    <w:p>
      <w:pPr>
        <w:spacing w:line="360" w:lineRule="auto"/>
        <w:ind w:firstLine="424" w:firstLineChars="177"/>
        <w:rPr>
          <w:rFonts w:ascii="仿宋" w:hAnsi="仿宋" w:eastAsia="仿宋"/>
          <w:color w:val="auto"/>
          <w:highlight w:val="none"/>
          <w:lang w:eastAsia="zh-CN"/>
        </w:rPr>
      </w:pPr>
      <w:r>
        <w:rPr>
          <w:rFonts w:hint="eastAsia" w:ascii="仿宋" w:hAnsi="仿宋" w:eastAsia="仿宋"/>
          <w:color w:val="auto"/>
          <w:highlight w:val="none"/>
          <w:lang w:eastAsia="zh-CN"/>
        </w:rPr>
        <w:t>（4）单项工程和重要部位必须遵循先试验后铺开施工的程序，开工前承包人应熟悉施工图纸和图纸会审、设计变更内容，并完成施工组织设计和必要的施工准备，送总监理工程师审查批准后方可进行实验性施工，完工后由总监理工程师检验，符合要求后才能铺开施工或者批量生产。</w:t>
      </w:r>
    </w:p>
    <w:p>
      <w:pPr>
        <w:pStyle w:val="4"/>
        <w:tabs>
          <w:tab w:val="left" w:pos="420"/>
        </w:tabs>
        <w:spacing w:line="360" w:lineRule="auto"/>
        <w:ind w:left="576" w:hanging="576"/>
        <w:rPr>
          <w:rFonts w:ascii="仿宋" w:hAnsi="仿宋" w:eastAsia="仿宋"/>
          <w:b w:val="0"/>
          <w:bCs w:val="0"/>
          <w:color w:val="auto"/>
          <w:sz w:val="24"/>
          <w:szCs w:val="24"/>
          <w:highlight w:val="none"/>
          <w:lang w:eastAsia="zh-CN"/>
        </w:rPr>
      </w:pPr>
      <w:bookmarkStart w:id="1656" w:name="_Toc346"/>
      <w:bookmarkStart w:id="1657" w:name="_Toc28972"/>
      <w:bookmarkStart w:id="1658" w:name="_Toc6251"/>
      <w:bookmarkStart w:id="1659" w:name="_Toc10364"/>
      <w:bookmarkStart w:id="1660" w:name="_Toc21907"/>
      <w:bookmarkStart w:id="1661" w:name="_Toc18776"/>
      <w:bookmarkStart w:id="1662" w:name="_Toc6715"/>
      <w:bookmarkStart w:id="1663" w:name="_Toc11806"/>
      <w:r>
        <w:rPr>
          <w:rFonts w:hint="eastAsia" w:ascii="仿宋" w:hAnsi="仿宋" w:eastAsia="仿宋" w:cs="仿宋"/>
          <w:b w:val="0"/>
          <w:bCs w:val="0"/>
          <w:color w:val="auto"/>
          <w:sz w:val="24"/>
          <w:szCs w:val="24"/>
          <w:highlight w:val="none"/>
          <w:lang w:eastAsia="zh-CN"/>
        </w:rPr>
        <w:t xml:space="preserve">★50.  </w:t>
      </w:r>
      <w:r>
        <w:rPr>
          <w:rFonts w:hint="eastAsia" w:ascii="仿宋" w:hAnsi="仿宋" w:eastAsia="仿宋" w:cs="仿宋"/>
          <w:b w:val="0"/>
          <w:bCs w:val="0"/>
          <w:i w:val="0"/>
          <w:iCs w:val="0"/>
          <w:color w:val="auto"/>
          <w:sz w:val="24"/>
          <w:szCs w:val="24"/>
          <w:highlight w:val="none"/>
          <w:lang w:eastAsia="zh-CN"/>
        </w:rPr>
        <w:t>工程质量创优</w:t>
      </w:r>
      <w:bookmarkEnd w:id="1656"/>
      <w:bookmarkEnd w:id="1657"/>
      <w:bookmarkEnd w:id="1658"/>
      <w:bookmarkEnd w:id="1659"/>
      <w:bookmarkEnd w:id="1660"/>
      <w:bookmarkEnd w:id="1661"/>
      <w:bookmarkEnd w:id="1662"/>
      <w:bookmarkEnd w:id="1663"/>
    </w:p>
    <w:p>
      <w:pPr>
        <w:autoSpaceDE w:val="0"/>
        <w:autoSpaceDN w:val="0"/>
        <w:adjustRightIn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50.1发包人鼓励承包人实施工程质量创优，本工程的质量创优目标及评价标准为：</w:t>
      </w:r>
    </w:p>
    <w:p>
      <w:pPr>
        <w:autoSpaceDE w:val="0"/>
        <w:autoSpaceDN w:val="0"/>
        <w:adjustRightInd w:val="0"/>
        <w:spacing w:line="360" w:lineRule="auto"/>
        <w:ind w:left="1118" w:leftChars="300" w:hanging="398" w:hangingChars="166"/>
        <w:rPr>
          <w:rFonts w:ascii="仿宋" w:hAnsi="仿宋" w:eastAsia="仿宋" w:cs="仿宋"/>
          <w:color w:val="auto"/>
          <w:highlight w:val="none"/>
          <w:lang w:eastAsia="zh-CN"/>
        </w:rPr>
      </w:pPr>
      <w:r>
        <w:rPr>
          <w:rFonts w:hint="eastAsia" w:ascii="仿宋" w:hAnsi="仿宋" w:eastAsia="仿宋" w:cs="仿宋"/>
          <w:color w:val="auto"/>
          <w:highlight w:val="none"/>
          <w:lang w:eastAsia="zh-CN"/>
        </w:rPr>
        <w:t>□ 市级优秀勘察设计奖（□一等奖 □二等奖 □三等奖 □其它：</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），其评价标准</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olor w:val="auto"/>
          <w:highlight w:val="none"/>
          <w:u w:val="single"/>
          <w:lang w:eastAsia="zh-CN"/>
        </w:rPr>
        <w:t>；</w:t>
      </w:r>
    </w:p>
    <w:p>
      <w:pPr>
        <w:autoSpaceDE w:val="0"/>
        <w:autoSpaceDN w:val="0"/>
        <w:adjustRightInd w:val="0"/>
        <w:spacing w:line="360" w:lineRule="auto"/>
        <w:ind w:left="1118" w:leftChars="300" w:hanging="398" w:hangingChars="166"/>
        <w:rPr>
          <w:rFonts w:ascii="仿宋" w:hAnsi="仿宋" w:eastAsia="仿宋" w:cs="仿宋"/>
          <w:color w:val="auto"/>
          <w:highlight w:val="none"/>
          <w:lang w:eastAsia="zh-CN"/>
        </w:rPr>
      </w:pPr>
      <w:r>
        <w:rPr>
          <w:rFonts w:hint="eastAsia" w:ascii="仿宋" w:hAnsi="仿宋" w:eastAsia="仿宋" w:cs="仿宋"/>
          <w:color w:val="auto"/>
          <w:highlight w:val="none"/>
          <w:lang w:eastAsia="zh-CN"/>
        </w:rPr>
        <w:t>□ 省部级优秀勘察设计奖（□一等奖 □二等奖 □三等奖 □其它：</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），其评价标准</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olor w:val="auto"/>
          <w:highlight w:val="none"/>
          <w:u w:val="single"/>
          <w:lang w:eastAsia="zh-CN"/>
        </w:rPr>
        <w:t>；</w:t>
      </w:r>
    </w:p>
    <w:p>
      <w:pPr>
        <w:autoSpaceDE w:val="0"/>
        <w:autoSpaceDN w:val="0"/>
        <w:adjustRightInd w:val="0"/>
        <w:spacing w:line="360" w:lineRule="auto"/>
        <w:ind w:left="1118" w:leftChars="300" w:hanging="398" w:hangingChars="166"/>
        <w:rPr>
          <w:rFonts w:ascii="仿宋" w:hAnsi="仿宋" w:eastAsia="仿宋" w:cs="仿宋"/>
          <w:color w:val="auto"/>
          <w:highlight w:val="none"/>
          <w:lang w:eastAsia="zh-CN"/>
        </w:rPr>
      </w:pPr>
      <w:r>
        <w:rPr>
          <w:rFonts w:hint="eastAsia" w:ascii="仿宋" w:hAnsi="仿宋" w:eastAsia="仿宋" w:cs="仿宋"/>
          <w:color w:val="auto"/>
          <w:highlight w:val="none"/>
          <w:lang w:eastAsia="zh-CN"/>
        </w:rPr>
        <w:t>□ 国家级优秀勘察设计奖（□金奖 □银奖 □其它：</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），其评价标准</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olor w:val="auto"/>
          <w:highlight w:val="none"/>
          <w:u w:val="single"/>
          <w:lang w:eastAsia="zh-CN"/>
        </w:rPr>
        <w:t>；</w:t>
      </w:r>
    </w:p>
    <w:p>
      <w:pPr>
        <w:autoSpaceDE w:val="0"/>
        <w:autoSpaceDN w:val="0"/>
        <w:adjustRightInd w:val="0"/>
        <w:spacing w:line="360" w:lineRule="auto"/>
        <w:ind w:left="1118" w:leftChars="300" w:hanging="398" w:hangingChars="166"/>
        <w:rPr>
          <w:rFonts w:ascii="仿宋" w:hAnsi="仿宋" w:eastAsia="仿宋"/>
          <w:color w:val="auto"/>
          <w:highlight w:val="none"/>
          <w:lang w:eastAsia="zh-CN"/>
        </w:rPr>
      </w:pPr>
      <w:r>
        <w:rPr>
          <w:rFonts w:hint="eastAsia" w:ascii="仿宋" w:hAnsi="仿宋" w:eastAsia="仿宋" w:cs="仿宋"/>
          <w:color w:val="auto"/>
          <w:highlight w:val="none"/>
          <w:lang w:eastAsia="zh-CN"/>
        </w:rPr>
        <w:t>□ 市级工程优质奖，其评价标准</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olor w:val="auto"/>
          <w:highlight w:val="none"/>
          <w:u w:val="single"/>
          <w:lang w:eastAsia="zh-CN"/>
        </w:rPr>
        <w:t>；</w:t>
      </w:r>
    </w:p>
    <w:p>
      <w:pPr>
        <w:autoSpaceDE w:val="0"/>
        <w:autoSpaceDN w:val="0"/>
        <w:adjustRightInd w:val="0"/>
        <w:spacing w:line="360" w:lineRule="auto"/>
        <w:ind w:left="1118" w:leftChars="300" w:hanging="398" w:hangingChars="166"/>
        <w:rPr>
          <w:rFonts w:ascii="仿宋" w:hAnsi="仿宋" w:eastAsia="仿宋"/>
          <w:color w:val="auto"/>
          <w:highlight w:val="none"/>
          <w:lang w:eastAsia="zh-CN"/>
        </w:rPr>
      </w:pPr>
      <w:r>
        <w:rPr>
          <w:rFonts w:hint="eastAsia" w:ascii="仿宋" w:hAnsi="仿宋" w:eastAsia="仿宋" w:cs="仿宋"/>
          <w:color w:val="auto"/>
          <w:highlight w:val="none"/>
          <w:lang w:eastAsia="zh-CN"/>
        </w:rPr>
        <w:t>□ 省级工程优质奖，其评价标准</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olor w:val="auto"/>
          <w:highlight w:val="none"/>
          <w:u w:val="single"/>
          <w:lang w:eastAsia="zh-CN"/>
        </w:rPr>
        <w:t xml:space="preserve"> </w:t>
      </w:r>
      <w:r>
        <w:rPr>
          <w:rFonts w:hint="eastAsia" w:ascii="仿宋" w:hAnsi="仿宋" w:eastAsia="仿宋" w:cs="仿宋"/>
          <w:color w:val="auto"/>
          <w:highlight w:val="none"/>
          <w:lang w:eastAsia="zh-CN"/>
        </w:rPr>
        <w:t>；</w:t>
      </w:r>
    </w:p>
    <w:p>
      <w:pPr>
        <w:autoSpaceDE w:val="0"/>
        <w:autoSpaceDN w:val="0"/>
        <w:adjustRightInd w:val="0"/>
        <w:spacing w:line="360" w:lineRule="auto"/>
        <w:ind w:left="1118" w:leftChars="300" w:hanging="398" w:hangingChars="166"/>
        <w:rPr>
          <w:rFonts w:ascii="仿宋" w:hAnsi="仿宋" w:eastAsia="仿宋" w:cs="仿宋"/>
          <w:color w:val="auto"/>
          <w:highlight w:val="none"/>
          <w:lang w:eastAsia="zh-CN"/>
        </w:rPr>
      </w:pPr>
      <w:r>
        <w:rPr>
          <w:rFonts w:hint="eastAsia" w:ascii="仿宋" w:hAnsi="仿宋" w:eastAsia="仿宋" w:cs="仿宋"/>
          <w:color w:val="auto"/>
          <w:highlight w:val="none"/>
          <w:lang w:eastAsia="zh-CN"/>
        </w:rPr>
        <w:t>□ 国家级工程优质奖，其评价标准</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autoSpaceDE w:val="0"/>
        <w:autoSpaceDN w:val="0"/>
        <w:adjustRightInd w:val="0"/>
        <w:spacing w:line="360" w:lineRule="auto"/>
        <w:ind w:left="1118" w:leftChars="300" w:hanging="398" w:hangingChars="166"/>
        <w:rPr>
          <w:rFonts w:ascii="仿宋" w:hAnsi="仿宋" w:eastAsia="仿宋"/>
          <w:color w:val="auto"/>
          <w:highlight w:val="none"/>
          <w:lang w:eastAsia="zh-CN"/>
        </w:rPr>
      </w:pPr>
      <w:r>
        <w:rPr>
          <w:rFonts w:hint="eastAsia" w:ascii="仿宋" w:hAnsi="仿宋" w:eastAsia="仿宋"/>
          <w:color w:val="auto"/>
          <w:highlight w:val="none"/>
          <w:lang w:eastAsia="zh-CN"/>
        </w:rPr>
        <w:t>□ 精品工程</w:t>
      </w:r>
      <w:r>
        <w:rPr>
          <w:rFonts w:hint="eastAsia" w:ascii="仿宋" w:hAnsi="仿宋" w:eastAsia="仿宋" w:cs="仿宋"/>
          <w:color w:val="auto"/>
          <w:highlight w:val="none"/>
          <w:lang w:eastAsia="zh-CN"/>
        </w:rPr>
        <w:t>，其评价标准</w:t>
      </w:r>
      <w:r>
        <w:rPr>
          <w:rFonts w:hint="eastAsia" w:ascii="仿宋" w:hAnsi="仿宋" w:eastAsia="仿宋"/>
          <w:color w:val="auto"/>
          <w:highlight w:val="none"/>
          <w:lang w:eastAsia="zh-CN"/>
        </w:rPr>
        <w:t>：</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其它：</w:t>
      </w:r>
      <w:r>
        <w:rPr>
          <w:rFonts w:hint="eastAsia" w:ascii="仿宋" w:hAnsi="仿宋" w:eastAsia="仿宋" w:cs="仿宋"/>
          <w:color w:val="auto"/>
          <w:highlight w:val="none"/>
          <w:u w:val="single"/>
          <w:lang w:eastAsia="zh-CN"/>
        </w:rPr>
        <w:t xml:space="preserve">    /    </w:t>
      </w:r>
    </w:p>
    <w:p>
      <w:pPr>
        <w:adjustRightInd w:val="0"/>
        <w:snapToGrid w:val="0"/>
        <w:spacing w:line="360" w:lineRule="auto"/>
        <w:ind w:firstLine="723" w:firstLineChars="300"/>
        <w:rPr>
          <w:color w:val="auto"/>
          <w:highlight w:val="none"/>
          <w:lang w:eastAsia="zh-CN"/>
        </w:rPr>
      </w:pPr>
      <w:r>
        <w:rPr>
          <w:rFonts w:hint="eastAsia" w:ascii="仿宋" w:hAnsi="仿宋" w:eastAsia="仿宋"/>
          <w:b/>
          <w:bCs/>
          <w:color w:val="auto"/>
          <w:highlight w:val="none"/>
          <w:u w:val="single"/>
          <w:lang w:eastAsia="zh-CN"/>
        </w:rPr>
        <w:t>本项目创优费用由承包人自行考虑，自行承担。</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664" w:name="_Toc29474"/>
      <w:bookmarkStart w:id="1665" w:name="_Toc22412"/>
      <w:bookmarkStart w:id="1666" w:name="_Toc4861"/>
      <w:bookmarkStart w:id="1667" w:name="_Toc7132"/>
      <w:bookmarkStart w:id="1668" w:name="_Toc19391"/>
      <w:bookmarkStart w:id="1669" w:name="_Toc21593"/>
      <w:bookmarkStart w:id="1670" w:name="_Toc20621"/>
      <w:bookmarkStart w:id="1671" w:name="_Toc6903"/>
      <w:r>
        <w:rPr>
          <w:rFonts w:hint="eastAsia" w:ascii="仿宋" w:hAnsi="仿宋" w:eastAsia="仿宋" w:cs="仿宋"/>
          <w:b w:val="0"/>
          <w:bCs w:val="0"/>
          <w:color w:val="auto"/>
          <w:sz w:val="24"/>
          <w:szCs w:val="24"/>
          <w:highlight w:val="none"/>
          <w:lang w:eastAsia="zh-CN"/>
        </w:rPr>
        <w:t>★52.  绿色施工安全防护</w:t>
      </w:r>
      <w:bookmarkEnd w:id="1664"/>
      <w:bookmarkEnd w:id="1665"/>
      <w:bookmarkEnd w:id="1666"/>
      <w:bookmarkEnd w:id="1667"/>
      <w:bookmarkEnd w:id="1668"/>
      <w:bookmarkEnd w:id="1669"/>
      <w:bookmarkEnd w:id="1670"/>
      <w:bookmarkEnd w:id="1671"/>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52.1绿色施工安全防护的要求</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按通用条款的约定。</w:t>
      </w:r>
    </w:p>
    <w:p>
      <w:pPr>
        <w:spacing w:line="360" w:lineRule="auto"/>
        <w:ind w:firstLine="120" w:firstLineChars="5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 另作约定：</w:t>
      </w:r>
      <w:r>
        <w:rPr>
          <w:rFonts w:hint="eastAsia" w:ascii="仿宋" w:hAnsi="仿宋" w:eastAsia="仿宋"/>
          <w:color w:val="auto"/>
          <w:highlight w:val="none"/>
          <w:u w:val="single"/>
          <w:lang w:eastAsia="zh-CN"/>
        </w:rPr>
        <w:t>本合同工程现场文明施工必须严格按照以下文件执行</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1）广州市住房和城乡建设局关于印发广州市建设工程安全文明施工规程（试行版）的通知（穗建质〔2021〕316号）；</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2）《广州市建设工程文明施工管理规定》（广州市人民政府令第62号）；</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3）国家、省市最新颁布的法律法规、规章制度及委建设行政主管部门最新发布的相关文件等。</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承包人必须按照《建筑法》《安全生产法》《建设工程质量管理条例》《广州市建筑条例》《建筑施工安全检查标准》等法规文件的规定，确保安全生产，其考核标准按《建筑工程安全防护、文明施工措施费用及使用管理规定》（建办〔2005〕89号）</w:t>
      </w:r>
      <w:r>
        <w:rPr>
          <w:rStyle w:val="48"/>
          <w:rFonts w:hint="eastAsia" w:ascii="仿宋" w:hAnsi="仿宋" w:eastAsia="仿宋"/>
          <w:color w:val="auto"/>
          <w:sz w:val="24"/>
          <w:szCs w:val="24"/>
          <w:highlight w:val="none"/>
          <w:u w:val="single"/>
          <w:lang w:eastAsia="zh-CN"/>
        </w:rPr>
        <w:t>、《广州市建设工程安全文明施工规程（试行版）》（穗建质〔2021〕316号）</w:t>
      </w:r>
      <w:r>
        <w:rPr>
          <w:rFonts w:hint="eastAsia" w:ascii="仿宋" w:hAnsi="仿宋" w:eastAsia="仿宋"/>
          <w:color w:val="auto"/>
          <w:highlight w:val="none"/>
          <w:u w:val="single"/>
          <w:lang w:eastAsia="zh-CN"/>
        </w:rPr>
        <w:t>的规定执行。</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承包人应在进入现场前提交施工期间的环境保护方案一式二份，经总监理工程师批准后实施。环境保护方案必须包括：施工现场所必需的照明灯光、护板、围护、栅栏、警告标志和值班人员名单，以及建筑垃圾、施工和生活污水、噪音、粉尘的处理排放方案。在实施过程中所采用的材料、设备等应达到总监理工程师和发包人要求。</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承包人应在现场布置足量洒水车，消除扬尘，并达到总监理工程师和发包人要求。</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承包人不按规定使用措施费或安全措施落实不到位，由发包人或相关部门责令其改正，停止措施费划拨，同时提请建设行政主管部门，根据情况追究有关责任，并将承包人和项目经理的不良行为录入企业信誉档案，与其量化考评办法挂钩。由此而引起的一切后果（如工程质量、人员伤亡、发包人的社会负面影响以及造成发包人被他人索赔等）均由承包人承担。</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承包人必须严格按有关法律、法规、规章、条例及本合同的约定等，如有违反承包人应承担相应责任，发包人并有权停止承包人参加发包人组织招标的投标资格，直至承包人按发包人的要求整改完毕为止。</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负责保护、维护本合同段内的一切测量标志、标桩。</w:t>
      </w:r>
    </w:p>
    <w:p>
      <w:pPr>
        <w:spacing w:line="360" w:lineRule="auto"/>
        <w:ind w:firstLine="566" w:firstLineChars="236"/>
        <w:rPr>
          <w:rFonts w:ascii="仿宋" w:hAnsi="仿宋" w:eastAsia="仿宋" w:cs="仿宋"/>
          <w:color w:val="auto"/>
          <w:highlight w:val="none"/>
          <w:u w:val="single"/>
          <w:lang w:eastAsia="zh-CN"/>
        </w:rPr>
      </w:pPr>
      <w:r>
        <w:rPr>
          <w:rFonts w:hint="eastAsia" w:ascii="仿宋" w:hAnsi="仿宋" w:eastAsia="仿宋"/>
          <w:color w:val="auto"/>
          <w:highlight w:val="none"/>
          <w:lang w:eastAsia="zh-CN"/>
        </w:rPr>
        <w:t>树木保护管理：全面落实有关《广州市林业和园林局关于印发&lt;广州市城市树木保护管理规定（试行）&gt;的通知》（穗林业园林规字〔2022〕1号）以及广州市最新的关于树木保护管理的要求。</w:t>
      </w:r>
    </w:p>
    <w:p>
      <w:pPr>
        <w:spacing w:line="360" w:lineRule="auto"/>
        <w:ind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52.2用工实名制、工人工资支付分账管理</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按通用条款的约定以及以下文件规定：</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①《保障农民工工资支付条例》（国务院令第7</w:t>
      </w:r>
      <w:r>
        <w:rPr>
          <w:rFonts w:ascii="仿宋" w:hAnsi="仿宋" w:eastAsia="仿宋" w:cs="仿宋"/>
          <w:color w:val="auto"/>
          <w:highlight w:val="none"/>
          <w:lang w:eastAsia="zh-CN"/>
        </w:rPr>
        <w:t>24</w:t>
      </w:r>
      <w:r>
        <w:rPr>
          <w:rFonts w:hint="eastAsia" w:ascii="仿宋" w:hAnsi="仿宋" w:eastAsia="仿宋" w:cs="仿宋"/>
          <w:color w:val="auto"/>
          <w:highlight w:val="none"/>
          <w:lang w:eastAsia="zh-CN"/>
        </w:rPr>
        <w:t>号）</w:t>
      </w:r>
    </w:p>
    <w:p>
      <w:pPr>
        <w:spacing w:line="360" w:lineRule="auto"/>
        <w:ind w:firstLine="960" w:firstLineChars="400"/>
        <w:rPr>
          <w:rFonts w:ascii="仿宋" w:hAnsi="仿宋" w:eastAsia="仿宋"/>
          <w:color w:val="auto"/>
          <w:highlight w:val="none"/>
          <w:lang w:eastAsia="zh-CN"/>
        </w:rPr>
      </w:pPr>
      <w:r>
        <w:rPr>
          <w:rFonts w:hint="eastAsia" w:ascii="仿宋" w:hAnsi="仿宋" w:eastAsia="仿宋" w:cs="仿宋"/>
          <w:color w:val="auto"/>
          <w:highlight w:val="none"/>
          <w:lang w:eastAsia="zh-CN"/>
        </w:rPr>
        <w:t>②《广东省住房和城乡建设厅关于印发房屋建筑和市政基础设施工程用工实名管理暂行办法的通知》（粤建规范〔2018〕1号）</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③《广州市住房和城乡建设局 广州市人力资源和社会保障局 广州市交通运输局 广州市水务局 广州市林业和园林局 中国人民银行广州分行营业管理部关于印发广州市建设领域工人工资支付分账管理实施细则的通知》（穗建规字【2020】18号）</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④《广州市住房和城乡建设局关于印发广州市建筑施工实名制管理办法的通知》（穗建规字【2020】37号）</w:t>
      </w:r>
    </w:p>
    <w:p>
      <w:pPr>
        <w:adjustRightInd w:val="0"/>
        <w:snapToGrid w:val="0"/>
        <w:spacing w:line="360" w:lineRule="auto"/>
        <w:ind w:firstLine="960" w:firstLineChars="4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⑤其他文件：</w:t>
      </w:r>
      <w:r>
        <w:rPr>
          <w:rFonts w:hint="eastAsia" w:ascii="仿宋" w:hAnsi="仿宋" w:eastAsia="仿宋"/>
          <w:color w:val="auto"/>
          <w:highlight w:val="none"/>
          <w:u w:val="single"/>
          <w:lang w:eastAsia="zh-CN"/>
        </w:rPr>
        <w:t>《</w:t>
      </w:r>
      <w:r>
        <w:rPr>
          <w:rFonts w:hint="eastAsia" w:ascii="仿宋" w:hAnsi="仿宋" w:eastAsia="仿宋" w:cs="@MingLiU"/>
          <w:color w:val="auto"/>
          <w:highlight w:val="none"/>
          <w:u w:val="single"/>
          <w:lang w:eastAsia="zh-CN"/>
        </w:rPr>
        <w:t>广东省住房和城乡建设厅等4部门关于广东省建设工程领域用工实名管理暂行办法</w:t>
      </w:r>
      <w:r>
        <w:rPr>
          <w:rFonts w:hint="eastAsia" w:ascii="仿宋" w:hAnsi="仿宋" w:eastAsia="仿宋"/>
          <w:color w:val="auto"/>
          <w:highlight w:val="none"/>
          <w:u w:val="single"/>
          <w:lang w:eastAsia="zh-CN"/>
        </w:rPr>
        <w:t>》</w:t>
      </w:r>
      <w:r>
        <w:rPr>
          <w:rFonts w:hint="eastAsia" w:ascii="仿宋" w:hAnsi="仿宋" w:eastAsia="仿宋" w:cs="@MingLiU"/>
          <w:color w:val="auto"/>
          <w:highlight w:val="none"/>
          <w:u w:val="single"/>
          <w:lang w:eastAsia="zh-CN"/>
        </w:rPr>
        <w:t>（粤建规范〔2019〕1号）</w:t>
      </w:r>
      <w:r>
        <w:rPr>
          <w:rFonts w:hint="eastAsia" w:ascii="仿宋" w:hAnsi="仿宋" w:eastAsia="仿宋"/>
          <w:color w:val="auto"/>
          <w:highlight w:val="none"/>
          <w:u w:val="single"/>
          <w:lang w:eastAsia="zh-CN"/>
        </w:rPr>
        <w:t>&lt;广州市住房和城乡建设委员会关于转发《广东省住房和城乡建设厅关于房屋建筑和市政基础设施工程用工实名管理暂行办法》的通知&gt;（穗建筑〔2018〕981号）&lt;广州市住房和城乡建设委员会关于实施《广州市建设领域工人工资支付分账管理实施细则》的通知&gt;（穗建筑〔 2017 〕1344号）《广州市住房和城乡建设局 广州市人力资源和社会保障局 广州市交通运输局 广州市水务局 广州市林业和园林局 中国人民银行广州分行营业管理部关于印发广州市建设领域工人工资支付分账管理实施细则的通知》《广州市根治拖欠农民工工资工作领导小组办公室关于广州市建设领域工程项目全面实施农民工工资总包代发制度的通知》《广州市住房和城乡建设局关于落实广州市建设领域工程项目全面实施农民工工资总包代发制度的通知》（穗建筑〔2020〕431号）</w:t>
      </w:r>
    </w:p>
    <w:p>
      <w:pPr>
        <w:spacing w:line="360" w:lineRule="auto"/>
        <w:ind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另作约定：</w:t>
      </w:r>
      <w:r>
        <w:rPr>
          <w:rFonts w:hint="eastAsia" w:ascii="仿宋" w:hAnsi="仿宋" w:eastAsia="仿宋" w:cs="仿宋"/>
          <w:color w:val="auto"/>
          <w:highlight w:val="none"/>
          <w:u w:val="single"/>
          <w:lang w:eastAsia="zh-CN"/>
        </w:rPr>
        <w:t xml:space="preserve">    /    </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52.6 治安管理</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按通用条款的约定。</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 另作约定：</w:t>
      </w:r>
      <w:r>
        <w:rPr>
          <w:rFonts w:hint="eastAsia" w:ascii="仿宋" w:hAnsi="仿宋" w:eastAsia="仿宋"/>
          <w:color w:val="auto"/>
          <w:highlight w:val="none"/>
          <w:u w:val="single"/>
          <w:lang w:eastAsia="zh-CN"/>
        </w:rPr>
        <w:t>发包人和承包人不仅应协助现场治安管理机构或联防组织维护施工场地的社会治安，而且应做好包括有关人员现场生活、居住场所在内的施工场地内从项目开工至移交期间的的治安保卫工作，相关费用已包含在投标报价中，发包人不另行支付。</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由承包人在开工后7天内编制场地治安管理计划，并制定应对突发治安事件的紧急预案，并经监理人、发包人审核后，报发包人备案。如在项目实施过程中，因建设行政主管部门或政府相关主管部门或发包人关于治安管理有最新规定的，从其规定执行，如需涉及增设设施监控管理的，承包人应按有关文件要求执行并承担相关费用，相关费用已包含在投标报价中，发包人不另行支付。</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网络视频监控要求，需满足广州市住房和城乡建设局要求的视频监控及需满足发包人调度使用的远程工地视频监控系统。</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1）承包人必须遵照《关于广州市建筑工地安装视频监控装置的通知》（穗建筑【2006】551号）</w:t>
      </w:r>
      <w:r>
        <w:rPr>
          <w:rStyle w:val="48"/>
          <w:rFonts w:hint="eastAsia" w:ascii="仿宋" w:hAnsi="仿宋" w:eastAsia="仿宋"/>
          <w:color w:val="auto"/>
          <w:sz w:val="24"/>
          <w:szCs w:val="24"/>
          <w:highlight w:val="none"/>
          <w:u w:val="single"/>
          <w:lang w:eastAsia="zh-CN"/>
        </w:rPr>
        <w:t>、</w:t>
      </w:r>
      <w:r>
        <w:rPr>
          <w:rFonts w:hint="eastAsia" w:ascii="仿宋" w:hAnsi="仿宋" w:eastAsia="仿宋"/>
          <w:color w:val="auto"/>
          <w:highlight w:val="none"/>
          <w:u w:val="single"/>
          <w:lang w:eastAsia="zh-CN"/>
        </w:rPr>
        <w:t>《</w:t>
      </w:r>
      <w:r>
        <w:rPr>
          <w:rStyle w:val="48"/>
          <w:rFonts w:hint="eastAsia" w:ascii="仿宋" w:hAnsi="仿宋" w:eastAsia="仿宋"/>
          <w:color w:val="auto"/>
          <w:sz w:val="24"/>
          <w:szCs w:val="24"/>
          <w:highlight w:val="none"/>
          <w:u w:val="single"/>
          <w:lang w:eastAsia="zh-CN"/>
        </w:rPr>
        <w:t>广州市住房和城乡建设局关于加快推进我市建设工程安装视频和扬尘在线监控设备的通知、广州市住房和城乡建设委员会 广州环境保护局 广州市交通委员会 广州林业和园林局广州市水务局广州港务局关于安装扬尘在线监测设备工作的通知、广州市住房和城乡建设局等六部门关于安装扬尘在线监测设备工作的补充通知</w:t>
      </w:r>
      <w:r>
        <w:rPr>
          <w:rFonts w:hint="eastAsia" w:ascii="仿宋" w:hAnsi="仿宋" w:eastAsia="仿宋"/>
          <w:color w:val="auto"/>
          <w:highlight w:val="none"/>
          <w:u w:val="single"/>
          <w:lang w:eastAsia="zh-CN"/>
        </w:rPr>
        <w:t>》</w:t>
      </w:r>
      <w:r>
        <w:rPr>
          <w:rStyle w:val="48"/>
          <w:rFonts w:hint="eastAsia" w:ascii="仿宋" w:hAnsi="仿宋" w:eastAsia="仿宋"/>
          <w:color w:val="auto"/>
          <w:sz w:val="24"/>
          <w:szCs w:val="24"/>
          <w:highlight w:val="none"/>
          <w:u w:val="single"/>
          <w:lang w:eastAsia="zh-CN"/>
        </w:rPr>
        <w:t>（穗建质〔2019〕699号）</w:t>
      </w:r>
      <w:r>
        <w:rPr>
          <w:rFonts w:hint="eastAsia" w:ascii="仿宋" w:hAnsi="仿宋" w:eastAsia="仿宋"/>
          <w:color w:val="auto"/>
          <w:highlight w:val="none"/>
          <w:u w:val="single"/>
          <w:lang w:eastAsia="zh-CN"/>
        </w:rPr>
        <w:t>、《关于全面启动广州市社会治安视频监控系统建设有关问题的通知》（穗视频建字【2006】1号）的要求，建立满足隐蔽工程和关键工序质量监控、安全文明施工监控、验收监控等需要的视频监控系统（以通过发包人验收为准）。</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2）施工现场视频监控的部位应当覆盖以下基本部位包括但不限于：大门及围墙、临时用电设施、深基坑、高支摸体系、附着式升降脚手架（整体提升架或爬架）、外用电梯、塔吊、物料提升机（龙门架、井字架）、施工电梯（货梯）、临时市政道路及人行道等。</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3）承包人应建立视频监控系统资料的收集、查阅、检索等档案系统，并安排专人负责。</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52.8 发包人鼓励创建文明工地，创文明工地目标：</w:t>
      </w:r>
    </w:p>
    <w:p>
      <w:pPr>
        <w:autoSpaceDE w:val="0"/>
        <w:autoSpaceDN w:val="0"/>
        <w:adjustRightInd w:val="0"/>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市级安全文明绿色施工样板工地；</w:t>
      </w:r>
    </w:p>
    <w:p>
      <w:pPr>
        <w:autoSpaceDE w:val="0"/>
        <w:autoSpaceDN w:val="0"/>
        <w:adjustRightInd w:val="0"/>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省级安全文明示范工地；</w:t>
      </w:r>
    </w:p>
    <w:p>
      <w:pPr>
        <w:autoSpaceDE w:val="0"/>
        <w:autoSpaceDN w:val="0"/>
        <w:adjustRightInd w:val="0"/>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国家级安全文明工地；</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广州市建筑业绿色施工示范工程；</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广东省建筑业绿色施工示范工程；</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全国建筑业绿色施工示范工程；</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w:t>
      </w:r>
      <w:r>
        <w:rPr>
          <w:rFonts w:hint="eastAsia" w:ascii="仿宋" w:hAnsi="仿宋" w:eastAsia="仿宋" w:cs="仿宋"/>
          <w:color w:val="auto"/>
          <w:highlight w:val="none"/>
          <w:u w:val="single"/>
          <w:lang w:eastAsia="zh-CN"/>
        </w:rPr>
        <w:t xml:space="preserve">   无   </w:t>
      </w:r>
    </w:p>
    <w:p>
      <w:pPr>
        <w:spacing w:line="360" w:lineRule="auto"/>
        <w:ind w:firstLine="482"/>
        <w:rPr>
          <w:rFonts w:ascii="仿宋" w:hAnsi="仿宋" w:eastAsia="仿宋"/>
          <w:color w:val="auto"/>
          <w:highlight w:val="none"/>
          <w:lang w:eastAsia="zh-CN"/>
        </w:rPr>
      </w:pPr>
      <w:r>
        <w:rPr>
          <w:rFonts w:hint="eastAsia" w:ascii="仿宋" w:hAnsi="仿宋" w:eastAsia="仿宋" w:cs="仿宋"/>
          <w:color w:val="auto"/>
          <w:highlight w:val="none"/>
          <w:lang w:eastAsia="zh-CN"/>
        </w:rPr>
        <w:t>52.9特别安全生产事项</w:t>
      </w:r>
    </w:p>
    <w:p>
      <w:pPr>
        <w:spacing w:line="360" w:lineRule="auto"/>
        <w:ind w:firstLine="720" w:firstLineChars="3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危险性较大分部分项专项工程施工技术措施标准、要求：</w:t>
      </w:r>
      <w:r>
        <w:rPr>
          <w:rFonts w:hint="eastAsia" w:ascii="仿宋" w:hAnsi="仿宋" w:eastAsia="仿宋"/>
          <w:color w:val="auto"/>
          <w:highlight w:val="none"/>
          <w:u w:val="single"/>
          <w:lang w:eastAsia="zh-CN"/>
        </w:rPr>
        <w:t>按《危险性较大分部分项工程安全管理规定》执行</w:t>
      </w:r>
      <w:r>
        <w:rPr>
          <w:rFonts w:hint="eastAsia" w:ascii="仿宋" w:hAnsi="仿宋" w:eastAsia="仿宋" w:cs="仿宋"/>
          <w:color w:val="auto"/>
          <w:highlight w:val="none"/>
          <w:lang w:eastAsia="zh-CN"/>
        </w:rPr>
        <w:t>；</w:t>
      </w:r>
    </w:p>
    <w:p>
      <w:pPr>
        <w:pStyle w:val="4"/>
        <w:tabs>
          <w:tab w:val="left" w:pos="420"/>
        </w:tabs>
        <w:spacing w:line="360" w:lineRule="auto"/>
        <w:ind w:firstLine="105"/>
        <w:rPr>
          <w:color w:val="auto"/>
          <w:highlight w:val="none"/>
          <w:lang w:eastAsia="zh-CN"/>
        </w:rPr>
      </w:pPr>
      <w:bookmarkStart w:id="1672" w:name="_Toc26441"/>
      <w:bookmarkStart w:id="1673" w:name="_Toc3161"/>
      <w:bookmarkStart w:id="1674" w:name="_Toc28692"/>
      <w:bookmarkStart w:id="1675" w:name="_Toc431"/>
      <w:bookmarkStart w:id="1676" w:name="_Toc29399"/>
      <w:bookmarkStart w:id="1677" w:name="_Toc26463"/>
      <w:bookmarkStart w:id="1678" w:name="_Toc5952"/>
      <w:bookmarkStart w:id="1679" w:name="_Toc28962"/>
      <w:r>
        <w:rPr>
          <w:rFonts w:hint="eastAsia" w:ascii="仿宋" w:hAnsi="仿宋" w:eastAsia="仿宋" w:cs="仿宋"/>
          <w:b w:val="0"/>
          <w:bCs w:val="0"/>
          <w:color w:val="auto"/>
          <w:sz w:val="24"/>
          <w:szCs w:val="24"/>
          <w:highlight w:val="none"/>
          <w:lang w:eastAsia="zh-CN"/>
        </w:rPr>
        <w:t>53.  测量放线</w:t>
      </w:r>
      <w:bookmarkEnd w:id="1672"/>
      <w:bookmarkEnd w:id="1673"/>
      <w:bookmarkEnd w:id="1674"/>
      <w:bookmarkEnd w:id="1675"/>
      <w:bookmarkEnd w:id="1676"/>
      <w:bookmarkEnd w:id="1677"/>
      <w:bookmarkEnd w:id="1678"/>
      <w:bookmarkEnd w:id="1679"/>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53.1 测设施工控制网</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承包人提交施工控制网资料的时间：</w:t>
      </w:r>
      <w:r>
        <w:rPr>
          <w:rFonts w:hint="eastAsia" w:ascii="仿宋" w:hAnsi="仿宋" w:eastAsia="仿宋"/>
          <w:color w:val="auto"/>
          <w:highlight w:val="none"/>
          <w:u w:val="single"/>
          <w:lang w:eastAsia="zh-CN"/>
        </w:rPr>
        <w:t>实体工程开工前2天</w:t>
      </w:r>
      <w:r>
        <w:rPr>
          <w:rFonts w:hint="eastAsia" w:ascii="仿宋" w:hAnsi="仿宋" w:eastAsia="仿宋"/>
          <w:color w:val="auto"/>
          <w:highlight w:val="none"/>
          <w:lang w:eastAsia="zh-CN"/>
        </w:rPr>
        <w:t>。</w:t>
      </w:r>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53.4 施工控制网（点）管理与使用</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测量放线误差的约定：</w:t>
      </w:r>
      <w:r>
        <w:rPr>
          <w:rFonts w:hint="eastAsia" w:ascii="仿宋" w:hAnsi="仿宋" w:eastAsia="仿宋"/>
          <w:color w:val="auto"/>
          <w:highlight w:val="none"/>
          <w:u w:val="single"/>
          <w:lang w:eastAsia="zh-CN"/>
        </w:rPr>
        <w:t>按现行规范的规定执行</w:t>
      </w:r>
      <w:r>
        <w:rPr>
          <w:rFonts w:hint="eastAsia" w:ascii="仿宋" w:hAnsi="仿宋" w:eastAsia="仿宋" w:cs="仿宋"/>
          <w:color w:val="auto"/>
          <w:highlight w:val="none"/>
          <w:u w:val="single"/>
          <w:lang w:eastAsia="zh-CN"/>
        </w:rPr>
        <w:t>。</w:t>
      </w:r>
    </w:p>
    <w:p>
      <w:pPr>
        <w:pStyle w:val="4"/>
        <w:tabs>
          <w:tab w:val="left" w:pos="420"/>
        </w:tabs>
        <w:spacing w:line="360" w:lineRule="auto"/>
        <w:ind w:firstLine="105"/>
        <w:rPr>
          <w:color w:val="auto"/>
          <w:highlight w:val="none"/>
          <w:lang w:eastAsia="zh-CN"/>
        </w:rPr>
      </w:pPr>
      <w:bookmarkStart w:id="1680" w:name="_Toc12723"/>
      <w:bookmarkStart w:id="1681" w:name="_Toc15088"/>
      <w:bookmarkStart w:id="1682" w:name="_Toc8964"/>
      <w:bookmarkStart w:id="1683" w:name="_Toc6789"/>
      <w:bookmarkStart w:id="1684" w:name="_Toc13970"/>
      <w:bookmarkStart w:id="1685" w:name="_Toc15985"/>
      <w:bookmarkStart w:id="1686" w:name="_Toc6909"/>
      <w:bookmarkStart w:id="1687" w:name="_Toc29347"/>
      <w:r>
        <w:rPr>
          <w:rFonts w:hint="eastAsia" w:ascii="仿宋" w:hAnsi="仿宋" w:eastAsia="仿宋" w:cs="仿宋"/>
          <w:b w:val="0"/>
          <w:bCs w:val="0"/>
          <w:color w:val="auto"/>
          <w:sz w:val="24"/>
          <w:szCs w:val="24"/>
          <w:highlight w:val="none"/>
          <w:lang w:eastAsia="zh-CN"/>
        </w:rPr>
        <w:t>55.  发包人供应工程材料和工程设备</w:t>
      </w:r>
      <w:bookmarkEnd w:id="1680"/>
      <w:bookmarkEnd w:id="1681"/>
      <w:bookmarkEnd w:id="1682"/>
      <w:bookmarkEnd w:id="1683"/>
      <w:bookmarkEnd w:id="1684"/>
      <w:bookmarkEnd w:id="1685"/>
      <w:bookmarkEnd w:id="1686"/>
      <w:bookmarkEnd w:id="1687"/>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55.1 约定供应的工程材料和工程设备</w:t>
      </w:r>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发包人不供应工程材料和工程设备，本条不适用。</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发包人供应工程材料和工程设备的，应与承包人约定“发包人供应工程材料和工程设备一览表”，作为本合同的附件。</w:t>
      </w:r>
    </w:p>
    <w:p>
      <w:pPr>
        <w:spacing w:line="360" w:lineRule="auto"/>
        <w:rPr>
          <w:rFonts w:ascii="仿宋" w:hAnsi="仿宋" w:eastAsia="仿宋" w:cs="仿宋"/>
          <w:color w:val="auto"/>
          <w:highlight w:val="none"/>
          <w:lang w:eastAsia="zh-CN"/>
        </w:rPr>
      </w:pPr>
      <w:bookmarkStart w:id="1688" w:name="_Toc32448"/>
      <w:r>
        <w:rPr>
          <w:rFonts w:hint="eastAsia" w:ascii="仿宋" w:hAnsi="仿宋" w:eastAsia="仿宋" w:cs="仿宋"/>
          <w:color w:val="auto"/>
          <w:highlight w:val="none"/>
          <w:lang w:eastAsia="zh-CN"/>
        </w:rPr>
        <w:t>55.8 约定结算方式</w:t>
      </w:r>
      <w:bookmarkEnd w:id="1688"/>
    </w:p>
    <w:p>
      <w:pPr>
        <w:spacing w:line="360" w:lineRule="auto"/>
        <w:ind w:firstLine="360" w:firstLineChars="150"/>
        <w:rPr>
          <w:color w:val="auto"/>
          <w:highlight w:val="none"/>
          <w:lang w:eastAsia="zh-CN"/>
        </w:rPr>
      </w:pPr>
      <w:r>
        <w:rPr>
          <w:rFonts w:hint="eastAsia" w:ascii="仿宋" w:hAnsi="仿宋" w:eastAsia="仿宋" w:cs="仿宋"/>
          <w:color w:val="auto"/>
          <w:highlight w:val="none"/>
          <w:lang w:eastAsia="zh-CN"/>
        </w:rPr>
        <w:t>发包人供应工程材料和工程设备的结算方式：</w:t>
      </w:r>
      <w:r>
        <w:rPr>
          <w:rFonts w:hint="eastAsia" w:ascii="仿宋" w:hAnsi="仿宋" w:eastAsia="仿宋" w:cs="仿宋"/>
          <w:color w:val="auto"/>
          <w:highlight w:val="none"/>
          <w:u w:val="single"/>
          <w:lang w:eastAsia="zh-CN"/>
        </w:rPr>
        <w:t>无</w:t>
      </w:r>
    </w:p>
    <w:p>
      <w:pPr>
        <w:pStyle w:val="4"/>
        <w:tabs>
          <w:tab w:val="left" w:pos="420"/>
        </w:tabs>
        <w:spacing w:line="360" w:lineRule="auto"/>
        <w:ind w:firstLine="105"/>
        <w:rPr>
          <w:rFonts w:ascii="仿宋" w:hAnsi="仿宋" w:eastAsia="仿宋" w:cs="仿宋"/>
          <w:b w:val="0"/>
          <w:bCs w:val="0"/>
          <w:color w:val="auto"/>
          <w:sz w:val="24"/>
          <w:szCs w:val="24"/>
          <w:highlight w:val="none"/>
          <w:lang w:eastAsia="zh-CN"/>
        </w:rPr>
      </w:pPr>
      <w:bookmarkStart w:id="1689" w:name="_Toc406"/>
      <w:bookmarkStart w:id="1690" w:name="_Toc27163"/>
      <w:bookmarkStart w:id="1691" w:name="_Toc29392"/>
      <w:bookmarkStart w:id="1692" w:name="_Toc13415"/>
      <w:bookmarkStart w:id="1693" w:name="_Toc9199"/>
      <w:bookmarkStart w:id="1694" w:name="_Toc3676"/>
      <w:bookmarkStart w:id="1695" w:name="_Toc24380"/>
      <w:bookmarkStart w:id="1696" w:name="_Toc18196"/>
      <w:r>
        <w:rPr>
          <w:rFonts w:hint="eastAsia" w:ascii="仿宋" w:hAnsi="仿宋" w:eastAsia="仿宋" w:cs="仿宋"/>
          <w:b w:val="0"/>
          <w:bCs w:val="0"/>
          <w:color w:val="auto"/>
          <w:sz w:val="24"/>
          <w:szCs w:val="24"/>
          <w:highlight w:val="none"/>
          <w:lang w:eastAsia="zh-CN"/>
        </w:rPr>
        <w:t>56.  承包人购置设备及工器具、采购工程材料和工程设备</w:t>
      </w:r>
      <w:bookmarkEnd w:id="1689"/>
      <w:bookmarkEnd w:id="1690"/>
      <w:bookmarkEnd w:id="1691"/>
      <w:bookmarkEnd w:id="1692"/>
      <w:bookmarkEnd w:id="1693"/>
      <w:bookmarkEnd w:id="1694"/>
      <w:bookmarkEnd w:id="1695"/>
      <w:bookmarkEnd w:id="1696"/>
    </w:p>
    <w:p>
      <w:pPr>
        <w:spacing w:line="360" w:lineRule="auto"/>
        <w:ind w:left="240" w:leftChars="1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56.1 承包人购置设备及工器具</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发包人不委托承包人购置设备及工器具，本条不适用。</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发包人委托承包人购置设备及工器具</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①具体内容：</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②购置清单（详见合同附件）：</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③购置要求（详见发包人要求）：</w:t>
      </w:r>
      <w:r>
        <w:rPr>
          <w:rFonts w:hint="eastAsia" w:ascii="仿宋" w:hAnsi="仿宋" w:eastAsia="仿宋" w:cs="仿宋"/>
          <w:color w:val="auto"/>
          <w:highlight w:val="none"/>
          <w:u w:val="single"/>
          <w:lang w:eastAsia="zh-CN"/>
        </w:rPr>
        <w:t xml:space="preserve">    /    </w:t>
      </w:r>
    </w:p>
    <w:p>
      <w:pPr>
        <w:spacing w:line="360" w:lineRule="auto"/>
        <w:ind w:left="240" w:leftChars="100"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56.2 承包人采购工程材料和工程设备</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按通用条款约定，由承包人负责运输和保管。</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运输和保管另作约定：</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通过“广州市集群采购管理服务综合平台”采购：</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采购方式另作约定：</w:t>
      </w:r>
      <w:r>
        <w:rPr>
          <w:rFonts w:hint="eastAsia" w:ascii="仿宋" w:hAnsi="仿宋" w:eastAsia="仿宋" w:cs="仿宋"/>
          <w:color w:val="auto"/>
          <w:highlight w:val="none"/>
          <w:u w:val="single"/>
          <w:lang w:eastAsia="zh-CN"/>
        </w:rPr>
        <w:t xml:space="preserve">    /    </w:t>
      </w:r>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56.3 承包人供货与清点要求</w:t>
      </w:r>
    </w:p>
    <w:p>
      <w:pPr>
        <w:pStyle w:val="137"/>
        <w:spacing w:line="360" w:lineRule="auto"/>
        <w:ind w:firstLine="480" w:firstLineChars="200"/>
        <w:rPr>
          <w:rFonts w:ascii="仿宋" w:hAnsi="仿宋" w:eastAsia="仿宋"/>
          <w:color w:val="auto"/>
          <w:highlight w:val="none"/>
        </w:rPr>
      </w:pPr>
      <w:r>
        <w:rPr>
          <w:rFonts w:hint="eastAsia" w:ascii="仿宋" w:hAnsi="仿宋" w:eastAsia="仿宋" w:cs="仿宋"/>
          <w:color w:val="auto"/>
          <w:highlight w:val="none"/>
        </w:rPr>
        <w:t>承包人供货要求：</w:t>
      </w:r>
      <w:r>
        <w:rPr>
          <w:rFonts w:hint="eastAsia" w:ascii="仿宋" w:hAnsi="仿宋" w:eastAsia="仿宋"/>
          <w:color w:val="auto"/>
          <w:highlight w:val="none"/>
        </w:rPr>
        <w:t>主要材料设备采购计划需报监理单位审核、批准，监理单位同意后报发包人审批。承包人应在确定主要乙供材料设备供应商的7个工作日内，将供应商的清单明细（包括供应商的名称、联系人、联系电话、联系地址等）报监理单位审核、批准，经监理单位同意后报发包人审批且承包人选用主材不应低于投标文件中的标准</w:t>
      </w:r>
      <w:r>
        <w:rPr>
          <w:rFonts w:hint="eastAsia" w:ascii="仿宋" w:hAnsi="仿宋" w:eastAsia="仿宋"/>
          <w:color w:val="auto"/>
          <w:highlight w:val="none"/>
          <w:lang w:val="en-US" w:eastAsia="zh-CN"/>
        </w:rPr>
        <w:t>且承包人应择优选择符合要求的不少于3家材料、设备供应商和样品供发包人确认</w:t>
      </w:r>
      <w:r>
        <w:rPr>
          <w:rFonts w:hint="eastAsia" w:ascii="仿宋" w:hAnsi="仿宋" w:eastAsia="仿宋"/>
          <w:color w:val="auto"/>
          <w:highlight w:val="none"/>
          <w:lang w:eastAsia="zh-CN"/>
        </w:rPr>
        <w:t>。</w:t>
      </w:r>
      <w:r>
        <w:rPr>
          <w:rFonts w:hint="eastAsia" w:ascii="仿宋" w:hAnsi="仿宋" w:eastAsia="仿宋"/>
          <w:color w:val="auto"/>
          <w:highlight w:val="none"/>
        </w:rPr>
        <w:t>发包人有权调整承包人申报的材料设备品牌并择优选用材料设备品牌。供应商须服从监理单位和发包人的管理，并按要求参加相关工作例会。</w:t>
      </w:r>
    </w:p>
    <w:p>
      <w:pPr>
        <w:pStyle w:val="137"/>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承包人负责采购材料、工程设备的，应按照设计和有关标准要求采购，并提供产品合格证明及出厂证明，对材料、工程设备质量负责。</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56.7使用替换材料的申请与批准</w:t>
      </w:r>
    </w:p>
    <w:p>
      <w:pPr>
        <w:adjustRightInd w:val="0"/>
        <w:snapToGrid w:val="0"/>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需要使用替换材料的，应经监理工程师同意并由其报发包人备案后方可实施，由此引起合同价款的增减由造价工程师与合同双方当事人协商确定；协商不能达成一致的，由造价工程师暂定，通知承包人并抄报发包人。</w:t>
      </w:r>
    </w:p>
    <w:p>
      <w:pPr>
        <w:spacing w:line="360" w:lineRule="auto"/>
        <w:ind w:firstLine="840" w:firstLineChars="350"/>
        <w:rPr>
          <w:rFonts w:ascii="仿宋" w:hAnsi="仿宋" w:eastAsia="仿宋" w:cs="仿宋"/>
          <w:color w:val="auto"/>
          <w:highlight w:val="none"/>
          <w:u w:val="single"/>
          <w:lang w:eastAsia="zh-CN"/>
        </w:rPr>
      </w:pPr>
    </w:p>
    <w:p>
      <w:pPr>
        <w:spacing w:line="360" w:lineRule="auto"/>
        <w:ind w:firstLine="600" w:firstLineChars="250"/>
        <w:rPr>
          <w:rFonts w:ascii="仿宋" w:hAnsi="仿宋" w:eastAsia="仿宋" w:cs="仿宋"/>
          <w:color w:val="auto"/>
          <w:highlight w:val="none"/>
          <w:lang w:eastAsia="zh-CN"/>
        </w:rPr>
      </w:pPr>
      <w:bookmarkStart w:id="1697" w:name="_Toc29009"/>
      <w:r>
        <w:rPr>
          <w:rFonts w:hint="eastAsia" w:ascii="仿宋" w:hAnsi="仿宋" w:eastAsia="仿宋" w:cs="仿宋"/>
          <w:color w:val="auto"/>
          <w:highlight w:val="none"/>
          <w:lang w:eastAsia="zh-CN"/>
        </w:rPr>
        <w:t>56.9 禁止指定采购工程材料和工程设备</w:t>
      </w:r>
      <w:bookmarkEnd w:id="1697"/>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发包人依法指定的生产厂家和供应商：</w:t>
      </w:r>
      <w:r>
        <w:rPr>
          <w:rFonts w:hint="eastAsia" w:ascii="仿宋" w:hAnsi="仿宋" w:eastAsia="仿宋" w:cs="仿宋"/>
          <w:color w:val="auto"/>
          <w:highlight w:val="none"/>
          <w:u w:val="single"/>
          <w:lang w:eastAsia="zh-CN"/>
        </w:rPr>
        <w:t>不指定。</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发包人要求的工程材料和工程设备质量标准、质量等级：</w:t>
      </w:r>
      <w:r>
        <w:rPr>
          <w:rFonts w:hint="eastAsia" w:ascii="仿宋" w:hAnsi="仿宋" w:eastAsia="仿宋" w:cs="仿宋"/>
          <w:color w:val="auto"/>
          <w:highlight w:val="none"/>
          <w:u w:val="single"/>
          <w:lang w:eastAsia="zh-CN"/>
        </w:rPr>
        <w:t>无。</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698" w:name="_Toc59"/>
      <w:bookmarkStart w:id="1699" w:name="_Toc11776"/>
      <w:bookmarkStart w:id="1700" w:name="_Toc14952"/>
      <w:bookmarkStart w:id="1701" w:name="_Toc5930"/>
      <w:bookmarkStart w:id="1702" w:name="_Toc25333"/>
      <w:bookmarkStart w:id="1703" w:name="_Toc7442"/>
      <w:bookmarkStart w:id="1704" w:name="_Toc13518"/>
      <w:bookmarkStart w:id="1705" w:name="_Toc9345"/>
      <w:r>
        <w:rPr>
          <w:rFonts w:hint="eastAsia" w:ascii="仿宋" w:hAnsi="仿宋" w:eastAsia="仿宋" w:cs="仿宋"/>
          <w:b w:val="0"/>
          <w:bCs w:val="0"/>
          <w:color w:val="auto"/>
          <w:sz w:val="24"/>
          <w:szCs w:val="24"/>
          <w:highlight w:val="none"/>
          <w:lang w:eastAsia="zh-CN"/>
        </w:rPr>
        <w:t>57.  设备及工器具的验收、工程材料和工程设备的检验试验</w:t>
      </w:r>
      <w:bookmarkEnd w:id="1698"/>
      <w:bookmarkEnd w:id="1699"/>
      <w:bookmarkEnd w:id="1700"/>
      <w:bookmarkEnd w:id="1701"/>
      <w:bookmarkEnd w:id="1702"/>
      <w:bookmarkEnd w:id="1703"/>
      <w:bookmarkEnd w:id="1704"/>
      <w:bookmarkEnd w:id="1705"/>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57.1设备及工器具的验收</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发包人不委托承包人购置设备及工器具，本条不适用。</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发包人委托承包人购置设备及工器具</w:t>
      </w:r>
    </w:p>
    <w:p>
      <w:pPr>
        <w:spacing w:line="360" w:lineRule="auto"/>
        <w:ind w:firstLine="960" w:firstLineChars="4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w:t>
      </w:r>
    </w:p>
    <w:p>
      <w:pPr>
        <w:spacing w:line="360" w:lineRule="auto"/>
        <w:ind w:firstLine="960" w:firstLineChars="400"/>
        <w:rPr>
          <w:rFonts w:ascii="仿宋" w:hAnsi="仿宋" w:eastAsia="仿宋"/>
          <w:b/>
          <w:bCs/>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57.3工程</w:t>
      </w:r>
      <w:r>
        <w:rPr>
          <w:rFonts w:hint="eastAsia" w:ascii="仿宋" w:hAnsi="仿宋" w:eastAsia="仿宋" w:cs="仿宋"/>
          <w:bCs/>
          <w:color w:val="auto"/>
          <w:highlight w:val="none"/>
          <w:lang w:eastAsia="zh-CN"/>
        </w:rPr>
        <w:t>材料和工程设备的见证取样与不见证取样检验试验</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见证取样检验试验的工程材料和工程设备约定：</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①种类：</w:t>
      </w:r>
      <w:r>
        <w:rPr>
          <w:rFonts w:hint="eastAsia" w:ascii="仿宋" w:hAnsi="仿宋" w:eastAsia="仿宋"/>
          <w:color w:val="auto"/>
          <w:highlight w:val="none"/>
          <w:u w:val="single"/>
          <w:lang w:eastAsia="zh-CN"/>
        </w:rPr>
        <w:t>按设计文件及现行的材料检验、试验规定执行。</w:t>
      </w:r>
    </w:p>
    <w:p>
      <w:pPr>
        <w:spacing w:line="360" w:lineRule="auto"/>
        <w:ind w:firstLine="120" w:firstLineChars="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②检测机构：</w:t>
      </w:r>
      <w:r>
        <w:rPr>
          <w:rFonts w:hint="eastAsia" w:ascii="仿宋" w:hAnsi="仿宋" w:eastAsia="仿宋" w:cs="仿宋"/>
          <w:color w:val="auto"/>
          <w:highlight w:val="none"/>
          <w:u w:val="single"/>
          <w:lang w:eastAsia="zh-CN"/>
        </w:rPr>
        <w:t>另行通知。</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（5）按现行相关</w:t>
      </w:r>
      <w:r>
        <w:rPr>
          <w:rFonts w:hint="eastAsia" w:ascii="仿宋" w:hAnsi="仿宋" w:eastAsia="仿宋"/>
          <w:color w:val="auto"/>
          <w:highlight w:val="none"/>
          <w:u w:val="single"/>
          <w:lang w:eastAsia="zh-CN"/>
        </w:rPr>
        <w:t>检验、试验</w:t>
      </w:r>
      <w:r>
        <w:rPr>
          <w:rFonts w:hint="eastAsia" w:ascii="仿宋" w:hAnsi="仿宋" w:eastAsia="仿宋"/>
          <w:color w:val="auto"/>
          <w:highlight w:val="none"/>
          <w:lang w:eastAsia="zh-CN"/>
        </w:rPr>
        <w:t>规定要求，必须由第三方检测机构进行检测的项目，则由发包人委托的第三方检测机构负责实施，承包人必须予以配合，且承包人应向发包人提交检测方案，承包人未按检测方案执行导致发包人检测费用增加的由承包人承担违约责任，违约金额为所增加的检测费用。</w:t>
      </w:r>
    </w:p>
    <w:p>
      <w:pPr>
        <w:pStyle w:val="137"/>
        <w:spacing w:line="360" w:lineRule="auto"/>
        <w:ind w:firstLine="480" w:firstLineChars="200"/>
        <w:jc w:val="both"/>
        <w:rPr>
          <w:rFonts w:ascii="仿宋" w:hAnsi="仿宋" w:eastAsia="仿宋"/>
          <w:color w:val="auto"/>
          <w:highlight w:val="none"/>
        </w:rPr>
      </w:pPr>
      <w:r>
        <w:rPr>
          <w:rFonts w:hint="eastAsia" w:ascii="仿宋" w:hAnsi="仿宋" w:eastAsia="仿宋"/>
          <w:color w:val="auto"/>
          <w:highlight w:val="none"/>
        </w:rPr>
        <w:t>（6）承包人需配合由发包人委托的桩基、结构实体及其他材料（如有）检测等检测项目的检测工作，负责按检测单位要求提供道路、水源、电源、脚手架、场地、钻芯孔回灌封闭所需的材料、大型检测设备的土建配合费以及相关预埋件的埋设、结构实体检测后的恢复工作等准备、配合工作，所发生相关费用由承包人包干负责，有关费用已包含在本合同总价款内。</w:t>
      </w:r>
    </w:p>
    <w:p>
      <w:pPr>
        <w:pStyle w:val="137"/>
        <w:spacing w:line="360" w:lineRule="auto"/>
        <w:ind w:firstLine="480" w:firstLineChars="200"/>
        <w:jc w:val="both"/>
        <w:rPr>
          <w:rFonts w:ascii="仿宋" w:hAnsi="仿宋" w:eastAsia="仿宋"/>
          <w:color w:val="auto"/>
          <w:highlight w:val="none"/>
        </w:rPr>
      </w:pPr>
      <w:r>
        <w:rPr>
          <w:rFonts w:hint="eastAsia" w:ascii="仿宋" w:hAnsi="仿宋" w:eastAsia="仿宋"/>
          <w:color w:val="auto"/>
          <w:highlight w:val="none"/>
        </w:rPr>
        <w:t>承包人提供有关该工程检测所需的相关工程技术资料；现场保障足够的安全措施，符合安全施工要求，保障检测人员及设备的安全；协助检测单位的检测设备进退场，包括但不限于提供场内小型机械设备吊运，安排专人协助检测单位主要检测设备场内搬运等，安排必须的人员配合检测单位工作；负责协调相关方的关系，及时解决现场检测作业时与相关方产生的矛盾。对由于未能协调好相关方关系而影响检测工作的顺利进行，造成相应的经济损失承担责任。承包人在收到进场检测通知后，根据检测单位要求做好配合工作，包括且不限于：提供场地、水、电、检测用梯子、门式架，修筑满足检测要求的临时施工便道、检测用反力板、桩帽，做好挖土方、换填、凿（磨）桩头处理、排水等工作；检测过程中可能造成桩头钢筋、砖胎模、垫层、承台钢筋等损坏，承包人负责修复。承包人对有关该工程检测所需的相关工程技术资料及配合所发生相关费用由承包人负责，所产生的费用已包含在本合同总价款内。</w:t>
      </w:r>
    </w:p>
    <w:p>
      <w:pPr>
        <w:spacing w:line="360" w:lineRule="auto"/>
        <w:ind w:firstLine="480" w:firstLineChars="200"/>
        <w:rPr>
          <w:rFonts w:ascii="仿宋" w:hAnsi="仿宋" w:eastAsia="仿宋"/>
          <w:b/>
          <w:bCs/>
          <w:color w:val="auto"/>
          <w:highlight w:val="none"/>
          <w:lang w:eastAsia="zh-CN"/>
        </w:rPr>
      </w:pPr>
      <w:r>
        <w:rPr>
          <w:rFonts w:hint="eastAsia" w:ascii="仿宋" w:hAnsi="仿宋" w:eastAsia="仿宋"/>
          <w:color w:val="auto"/>
          <w:highlight w:val="none"/>
          <w:lang w:eastAsia="zh-CN"/>
        </w:rPr>
        <w:t>检测单位开展的检测工作不免除承包人平行检测的义务，造成质量安全事故或致使事故损失扩大的，由承包人承担相应的法律责任，发包人保留索赔及解除合同的权力，所发生的相关费用由承包人包干负责，且相关费用已包含在合同总价款内。</w:t>
      </w:r>
    </w:p>
    <w:p>
      <w:pPr>
        <w:pStyle w:val="7"/>
        <w:rPr>
          <w:color w:val="auto"/>
          <w:highlight w:val="none"/>
          <w:lang w:eastAsia="zh-CN"/>
        </w:rPr>
      </w:pPr>
    </w:p>
    <w:p>
      <w:pPr>
        <w:pStyle w:val="4"/>
        <w:tabs>
          <w:tab w:val="left" w:pos="420"/>
        </w:tabs>
        <w:spacing w:line="360" w:lineRule="auto"/>
        <w:rPr>
          <w:rFonts w:ascii="仿宋" w:hAnsi="仿宋" w:eastAsia="仿宋"/>
          <w:b w:val="0"/>
          <w:bCs w:val="0"/>
          <w:color w:val="auto"/>
          <w:sz w:val="24"/>
          <w:szCs w:val="24"/>
          <w:highlight w:val="none"/>
          <w:lang w:eastAsia="zh-CN"/>
        </w:rPr>
      </w:pPr>
      <w:bookmarkStart w:id="1706" w:name="_Toc7142"/>
      <w:bookmarkStart w:id="1707" w:name="_Toc19038"/>
      <w:bookmarkStart w:id="1708" w:name="_Toc25260"/>
      <w:bookmarkStart w:id="1709" w:name="_Toc26915"/>
      <w:bookmarkStart w:id="1710" w:name="_Toc31507"/>
      <w:bookmarkStart w:id="1711" w:name="_Toc16070"/>
      <w:bookmarkStart w:id="1712" w:name="_Toc19707"/>
      <w:bookmarkStart w:id="1713" w:name="_Toc1635"/>
      <w:r>
        <w:rPr>
          <w:rFonts w:hint="eastAsia" w:ascii="仿宋" w:hAnsi="仿宋" w:eastAsia="仿宋" w:cs="仿宋"/>
          <w:b w:val="0"/>
          <w:bCs w:val="0"/>
          <w:color w:val="auto"/>
          <w:sz w:val="24"/>
          <w:szCs w:val="24"/>
          <w:highlight w:val="none"/>
          <w:lang w:eastAsia="zh-CN"/>
        </w:rPr>
        <w:t>58.  施工设备和临时设施</w:t>
      </w:r>
      <w:bookmarkEnd w:id="1706"/>
      <w:bookmarkEnd w:id="1707"/>
      <w:bookmarkEnd w:id="1708"/>
      <w:bookmarkEnd w:id="1709"/>
      <w:bookmarkEnd w:id="1710"/>
      <w:bookmarkEnd w:id="1711"/>
      <w:bookmarkEnd w:id="1712"/>
      <w:bookmarkEnd w:id="1713"/>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58.1 承包人配置的施工设备和临时设施</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按通用条款约定，承包人承担修建临时设施的费用。</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另作约定：</w:t>
      </w:r>
      <w:r>
        <w:rPr>
          <w:rFonts w:hint="eastAsia" w:ascii="仿宋" w:hAnsi="仿宋" w:eastAsia="仿宋"/>
          <w:color w:val="auto"/>
          <w:highlight w:val="none"/>
          <w:u w:val="single"/>
          <w:lang w:eastAsia="zh-CN"/>
        </w:rPr>
        <w:t>承包人因施工需要须在项目红线外临时占（借）地的，由承包人自行负责办理相关申请手续并承担相应费用，相应费用已包含在投标报价中，发包人不另行支付。</w:t>
      </w:r>
    </w:p>
    <w:p>
      <w:pPr>
        <w:spacing w:line="360" w:lineRule="auto"/>
        <w:rPr>
          <w:rFonts w:ascii="仿宋" w:hAnsi="仿宋" w:eastAsia="仿宋" w:cs="仿宋"/>
          <w:color w:val="auto"/>
          <w:highlight w:val="none"/>
          <w:lang w:eastAsia="zh-CN"/>
        </w:rPr>
      </w:pP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w:t>
      </w:r>
      <w:bookmarkStart w:id="1714" w:name="_Toc31018"/>
      <w:r>
        <w:rPr>
          <w:rFonts w:hint="eastAsia" w:ascii="仿宋" w:hAnsi="仿宋" w:eastAsia="仿宋" w:cs="仿宋"/>
          <w:color w:val="auto"/>
          <w:highlight w:val="none"/>
          <w:lang w:eastAsia="zh-CN"/>
        </w:rPr>
        <w:t>58.2 发包人提供的施工设备和临时设施</w:t>
      </w:r>
      <w:bookmarkEnd w:id="1714"/>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发包人提供施工设备和临时设施的约定：</w:t>
      </w:r>
      <w:r>
        <w:rPr>
          <w:rFonts w:hint="eastAsia" w:ascii="仿宋" w:hAnsi="仿宋" w:eastAsia="仿宋"/>
          <w:color w:val="auto"/>
          <w:highlight w:val="none"/>
          <w:u w:val="single"/>
          <w:lang w:eastAsia="zh-CN"/>
        </w:rPr>
        <w:t>不提供。</w:t>
      </w:r>
    </w:p>
    <w:p>
      <w:pPr>
        <w:pStyle w:val="4"/>
        <w:tabs>
          <w:tab w:val="left" w:pos="420"/>
        </w:tabs>
        <w:spacing w:line="360" w:lineRule="auto"/>
        <w:ind w:firstLine="105"/>
        <w:rPr>
          <w:color w:val="auto"/>
          <w:highlight w:val="none"/>
          <w:lang w:eastAsia="zh-CN"/>
        </w:rPr>
      </w:pPr>
      <w:bookmarkStart w:id="1715" w:name="_Toc9131"/>
      <w:bookmarkStart w:id="1716" w:name="_Toc18394"/>
      <w:bookmarkStart w:id="1717" w:name="_Toc26244"/>
      <w:bookmarkStart w:id="1718" w:name="_Toc32313"/>
      <w:bookmarkStart w:id="1719" w:name="_Toc10768"/>
      <w:bookmarkStart w:id="1720" w:name="_Toc4957"/>
      <w:bookmarkStart w:id="1721" w:name="_Toc8421"/>
      <w:bookmarkStart w:id="1722" w:name="_Toc19570"/>
      <w:r>
        <w:rPr>
          <w:rFonts w:hint="eastAsia" w:ascii="仿宋" w:hAnsi="仿宋" w:eastAsia="仿宋" w:cs="仿宋"/>
          <w:bCs w:val="0"/>
          <w:color w:val="auto"/>
          <w:sz w:val="24"/>
          <w:szCs w:val="24"/>
          <w:highlight w:val="none"/>
          <w:lang w:eastAsia="zh-CN"/>
        </w:rPr>
        <w:t>★</w:t>
      </w:r>
      <w:r>
        <w:rPr>
          <w:rFonts w:hint="eastAsia" w:ascii="仿宋" w:hAnsi="仿宋" w:eastAsia="仿宋" w:cs="仿宋"/>
          <w:b w:val="0"/>
          <w:bCs w:val="0"/>
          <w:color w:val="auto"/>
          <w:sz w:val="24"/>
          <w:szCs w:val="24"/>
          <w:highlight w:val="none"/>
          <w:lang w:eastAsia="zh-CN"/>
        </w:rPr>
        <w:t>60.  隐蔽工程和中间验收</w:t>
      </w:r>
      <w:bookmarkEnd w:id="1715"/>
      <w:bookmarkEnd w:id="1716"/>
      <w:bookmarkEnd w:id="1717"/>
      <w:bookmarkEnd w:id="1718"/>
      <w:bookmarkEnd w:id="1719"/>
      <w:bookmarkEnd w:id="1720"/>
      <w:bookmarkEnd w:id="1721"/>
      <w:bookmarkEnd w:id="1722"/>
    </w:p>
    <w:p>
      <w:pPr>
        <w:spacing w:line="360" w:lineRule="auto"/>
        <w:ind w:left="137" w:leftChars="57"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60.1 隐蔽工程或中间验收的通知</w:t>
      </w:r>
    </w:p>
    <w:p>
      <w:pPr>
        <w:spacing w:line="360" w:lineRule="auto"/>
        <w:ind w:left="137" w:leftChars="57"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隐蔽工程或中间验收部位未经专业监理工程师验收合格，不得隐蔽或继续施工，否则该部分工程被视为不合格，由此所产生的返工费用由承包人承担。</w:t>
      </w:r>
    </w:p>
    <w:p>
      <w:pPr>
        <w:spacing w:line="360" w:lineRule="auto"/>
        <w:ind w:left="137" w:leftChars="57"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中间验收的部位有：</w:t>
      </w:r>
      <w:r>
        <w:rPr>
          <w:rFonts w:hint="eastAsia" w:ascii="仿宋" w:hAnsi="仿宋" w:eastAsia="仿宋"/>
          <w:color w:val="auto"/>
          <w:highlight w:val="none"/>
          <w:lang w:eastAsia="zh-CN"/>
        </w:rPr>
        <w:t>建设、监理单位或质监机构根据工程特点及有关规定确认的有关分部（子分部）工程。</w:t>
      </w:r>
    </w:p>
    <w:p>
      <w:pPr>
        <w:pStyle w:val="4"/>
        <w:tabs>
          <w:tab w:val="left" w:pos="420"/>
        </w:tabs>
        <w:spacing w:line="360" w:lineRule="auto"/>
        <w:ind w:firstLine="105"/>
        <w:rPr>
          <w:rFonts w:ascii="仿宋" w:hAnsi="仿宋" w:eastAsia="仿宋"/>
          <w:b w:val="0"/>
          <w:bCs w:val="0"/>
          <w:color w:val="auto"/>
          <w:sz w:val="24"/>
          <w:szCs w:val="24"/>
          <w:highlight w:val="none"/>
          <w:lang w:eastAsia="zh-CN"/>
        </w:rPr>
      </w:pPr>
      <w:bookmarkStart w:id="1723" w:name="_Toc19612"/>
      <w:bookmarkStart w:id="1724" w:name="_Toc31356"/>
      <w:bookmarkStart w:id="1725" w:name="_Toc11982"/>
      <w:bookmarkStart w:id="1726" w:name="_Toc21191"/>
      <w:bookmarkStart w:id="1727" w:name="_Toc13373"/>
      <w:bookmarkStart w:id="1728" w:name="_Toc13780"/>
      <w:bookmarkStart w:id="1729" w:name="_Toc3789"/>
      <w:bookmarkStart w:id="1730" w:name="_Toc6543"/>
      <w:r>
        <w:rPr>
          <w:rFonts w:hint="eastAsia" w:ascii="仿宋" w:hAnsi="仿宋" w:eastAsia="仿宋" w:cs="仿宋"/>
          <w:b w:val="0"/>
          <w:bCs w:val="0"/>
          <w:color w:val="auto"/>
          <w:sz w:val="24"/>
          <w:szCs w:val="24"/>
          <w:highlight w:val="none"/>
          <w:lang w:eastAsia="zh-CN"/>
        </w:rPr>
        <w:t>62. 工程试车</w:t>
      </w:r>
      <w:bookmarkEnd w:id="1723"/>
      <w:bookmarkEnd w:id="1724"/>
      <w:bookmarkEnd w:id="1725"/>
      <w:bookmarkEnd w:id="1726"/>
      <w:bookmarkEnd w:id="1727"/>
      <w:bookmarkEnd w:id="1728"/>
      <w:bookmarkEnd w:id="1729"/>
      <w:bookmarkEnd w:id="1730"/>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62.1 试车内容</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不需要试车的，本条不适用。</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需要试车的，试车的内容和要求：</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ind w:firstLine="105"/>
        <w:rPr>
          <w:rFonts w:ascii="仿宋" w:hAnsi="仿宋" w:eastAsia="仿宋" w:cs="仿宋"/>
          <w:b w:val="0"/>
          <w:bCs w:val="0"/>
          <w:color w:val="auto"/>
          <w:sz w:val="24"/>
          <w:szCs w:val="24"/>
          <w:highlight w:val="none"/>
          <w:lang w:eastAsia="zh-CN"/>
        </w:rPr>
      </w:pPr>
      <w:bookmarkStart w:id="1731" w:name="_Toc20085"/>
      <w:bookmarkStart w:id="1732" w:name="_Toc23226"/>
      <w:bookmarkStart w:id="1733" w:name="_Toc3297"/>
      <w:bookmarkStart w:id="1734" w:name="_Toc16334"/>
      <w:bookmarkStart w:id="1735" w:name="_Toc4757"/>
      <w:bookmarkStart w:id="1736" w:name="_Toc17866"/>
      <w:bookmarkStart w:id="1737" w:name="_Toc23019"/>
      <w:bookmarkStart w:id="1738" w:name="_Toc24107"/>
      <w:r>
        <w:rPr>
          <w:rFonts w:hint="eastAsia" w:ascii="仿宋" w:hAnsi="仿宋" w:eastAsia="仿宋" w:cs="仿宋"/>
          <w:b w:val="0"/>
          <w:bCs w:val="0"/>
          <w:color w:val="auto"/>
          <w:sz w:val="24"/>
          <w:szCs w:val="24"/>
          <w:highlight w:val="none"/>
          <w:lang w:eastAsia="zh-CN"/>
        </w:rPr>
        <w:t>★63. 工程变更</w:t>
      </w:r>
      <w:bookmarkEnd w:id="1731"/>
      <w:bookmarkEnd w:id="1732"/>
      <w:bookmarkEnd w:id="1733"/>
      <w:bookmarkEnd w:id="1734"/>
      <w:bookmarkEnd w:id="1735"/>
      <w:bookmarkEnd w:id="1736"/>
      <w:bookmarkEnd w:id="1737"/>
      <w:bookmarkEnd w:id="1738"/>
    </w:p>
    <w:p>
      <w:pPr>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63.3  工程变更程序</w:t>
      </w:r>
    </w:p>
    <w:p>
      <w:pPr>
        <w:spacing w:line="360" w:lineRule="auto"/>
        <w:ind w:firstLine="360" w:firstLineChars="150"/>
        <w:rPr>
          <w:rFonts w:ascii="仿宋" w:hAnsi="仿宋" w:eastAsia="仿宋"/>
          <w:color w:val="auto"/>
          <w:highlight w:val="none"/>
          <w:lang w:eastAsia="zh-CN"/>
        </w:rPr>
      </w:pPr>
      <w:r>
        <w:rPr>
          <w:rFonts w:hint="eastAsia" w:ascii="仿宋" w:hAnsi="仿宋" w:eastAsia="仿宋"/>
          <w:color w:val="auto"/>
          <w:highlight w:val="none"/>
          <w:lang w:eastAsia="zh-CN"/>
        </w:rPr>
        <w:t>（6）合同工程发生变更（含签证），各方主体应根据发包人建设工程变更和签证管理办法及上级部门要求实施工程变更的相关工作。</w:t>
      </w:r>
    </w:p>
    <w:p>
      <w:pPr>
        <w:spacing w:line="360" w:lineRule="auto"/>
        <w:ind w:firstLine="360" w:firstLineChars="150"/>
        <w:rPr>
          <w:rFonts w:ascii="仿宋" w:hAnsi="仿宋" w:eastAsia="仿宋"/>
          <w:color w:val="auto"/>
          <w:highlight w:val="none"/>
          <w:u w:val="single"/>
          <w:lang w:eastAsia="zh-CN"/>
        </w:rPr>
      </w:pPr>
      <w:r>
        <w:rPr>
          <w:rFonts w:hint="eastAsia" w:ascii="仿宋" w:hAnsi="仿宋" w:eastAsia="仿宋"/>
          <w:color w:val="auto"/>
          <w:highlight w:val="none"/>
          <w:lang w:eastAsia="zh-CN"/>
        </w:rPr>
        <w:t>（7）对于发包人以工程业务联系单和设计变更书面形式明确的变更工程，承包人不得以价格未确定为由拒绝施工。若在发包人通知的期限内开始施工但未在通知的期限内完工的，发包人有权收取该项工程造价的20％作为违约金。若承包人拒绝施工的，发包人有权指定第三方施工，并向承包人收取第三方施工该工程造价不少于20％的违约金。对于此类变更工程，发包人将依据本合同相关条款确定变更工程造价。</w:t>
      </w:r>
    </w:p>
    <w:p>
      <w:pPr>
        <w:pStyle w:val="7"/>
        <w:rPr>
          <w:color w:val="auto"/>
          <w:highlight w:val="none"/>
          <w:lang w:eastAsia="zh-CN"/>
        </w:rPr>
      </w:pP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bookmarkStart w:id="1739" w:name="_Toc287"/>
      <w:r>
        <w:rPr>
          <w:rFonts w:hint="eastAsia" w:ascii="仿宋" w:hAnsi="仿宋" w:eastAsia="仿宋" w:cs="仿宋"/>
          <w:color w:val="auto"/>
          <w:highlight w:val="none"/>
          <w:lang w:eastAsia="zh-CN"/>
        </w:rPr>
        <w:t>63.4 承包人提出工程变更建议</w:t>
      </w:r>
      <w:bookmarkEnd w:id="1739"/>
    </w:p>
    <w:p>
      <w:pPr>
        <w:spacing w:line="360" w:lineRule="auto"/>
        <w:ind w:firstLine="120" w:firstLineChars="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发包人采纳承包人建议带来利益的计奖方法：</w:t>
      </w:r>
      <w:r>
        <w:rPr>
          <w:rFonts w:hint="eastAsia" w:ascii="仿宋" w:hAnsi="仿宋" w:eastAsia="仿宋" w:cs="仿宋"/>
          <w:color w:val="auto"/>
          <w:highlight w:val="none"/>
          <w:u w:val="single"/>
          <w:lang w:eastAsia="zh-CN"/>
        </w:rPr>
        <w:t>无奖励。</w:t>
      </w:r>
    </w:p>
    <w:p>
      <w:pPr>
        <w:pStyle w:val="4"/>
        <w:tabs>
          <w:tab w:val="left" w:pos="420"/>
        </w:tabs>
        <w:spacing w:line="360" w:lineRule="auto"/>
        <w:ind w:firstLine="105"/>
        <w:rPr>
          <w:rFonts w:ascii="仿宋" w:hAnsi="仿宋" w:eastAsia="仿宋"/>
          <w:b w:val="0"/>
          <w:bCs w:val="0"/>
          <w:color w:val="auto"/>
          <w:sz w:val="24"/>
          <w:szCs w:val="24"/>
          <w:highlight w:val="none"/>
          <w:lang w:eastAsia="zh-CN"/>
        </w:rPr>
      </w:pPr>
      <w:bookmarkStart w:id="1740" w:name="_Toc32603"/>
      <w:bookmarkStart w:id="1741" w:name="_Toc20197"/>
      <w:bookmarkStart w:id="1742" w:name="_Toc30329"/>
      <w:bookmarkStart w:id="1743" w:name="_Toc6457"/>
      <w:bookmarkStart w:id="1744" w:name="_Toc8683"/>
      <w:bookmarkStart w:id="1745" w:name="_Toc14851"/>
      <w:bookmarkStart w:id="1746" w:name="_Toc19958"/>
      <w:bookmarkStart w:id="1747" w:name="_Toc16427"/>
      <w:r>
        <w:rPr>
          <w:rFonts w:hint="eastAsia" w:ascii="仿宋" w:hAnsi="仿宋" w:eastAsia="仿宋" w:cs="仿宋"/>
          <w:b w:val="0"/>
          <w:bCs w:val="0"/>
          <w:color w:val="auto"/>
          <w:sz w:val="24"/>
          <w:szCs w:val="24"/>
          <w:highlight w:val="none"/>
          <w:lang w:eastAsia="zh-CN"/>
        </w:rPr>
        <w:t>64. 竣工验收条件</w:t>
      </w:r>
      <w:bookmarkEnd w:id="1740"/>
      <w:bookmarkEnd w:id="1741"/>
      <w:bookmarkEnd w:id="1742"/>
      <w:bookmarkEnd w:id="1743"/>
      <w:bookmarkEnd w:id="1744"/>
      <w:bookmarkEnd w:id="1745"/>
      <w:bookmarkEnd w:id="1746"/>
      <w:bookmarkEnd w:id="1747"/>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64.1 竣工验收条件</w:t>
      </w:r>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（6）竣工资料应当符合基本建设项目档案管理的要求：</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国家档案局、国家计委关于印发《基本建设项目档案资料管理暂行规定》的通知（国档发［1988］4号）；</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广东省档案局实施《基本建设项目档案资料管理暂行规定》细则；</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其它约定：</w:t>
      </w:r>
      <w:r>
        <w:rPr>
          <w:rFonts w:hint="eastAsia" w:ascii="仿宋" w:hAnsi="仿宋" w:eastAsia="仿宋" w:cs="仿宋"/>
          <w:color w:val="auto"/>
          <w:highlight w:val="none"/>
          <w:u w:val="single"/>
          <w:lang w:eastAsia="zh-CN"/>
        </w:rPr>
        <w:t>按发包人要求。</w:t>
      </w:r>
    </w:p>
    <w:p>
      <w:pPr>
        <w:pStyle w:val="4"/>
        <w:tabs>
          <w:tab w:val="left" w:pos="420"/>
        </w:tabs>
        <w:spacing w:line="360" w:lineRule="auto"/>
        <w:ind w:firstLine="105"/>
        <w:rPr>
          <w:color w:val="auto"/>
          <w:highlight w:val="none"/>
          <w:lang w:eastAsia="zh-CN"/>
        </w:rPr>
      </w:pPr>
      <w:bookmarkStart w:id="1748" w:name="_Toc18083"/>
      <w:bookmarkStart w:id="1749" w:name="_Toc4732"/>
      <w:bookmarkStart w:id="1750" w:name="_Toc6870"/>
      <w:bookmarkStart w:id="1751" w:name="_Toc16884"/>
      <w:bookmarkStart w:id="1752" w:name="_Toc29632"/>
      <w:bookmarkStart w:id="1753" w:name="_Toc18487"/>
      <w:bookmarkStart w:id="1754" w:name="_Toc14675"/>
      <w:bookmarkStart w:id="1755" w:name="_Toc30837"/>
      <w:r>
        <w:rPr>
          <w:rFonts w:hint="eastAsia" w:ascii="仿宋" w:hAnsi="仿宋" w:eastAsia="仿宋" w:cs="仿宋"/>
          <w:b w:val="0"/>
          <w:bCs w:val="0"/>
          <w:color w:val="auto"/>
          <w:sz w:val="24"/>
          <w:szCs w:val="24"/>
          <w:highlight w:val="none"/>
          <w:lang w:eastAsia="zh-CN"/>
        </w:rPr>
        <w:t>★65. 竣工验收</w:t>
      </w:r>
      <w:bookmarkEnd w:id="1748"/>
      <w:bookmarkEnd w:id="1749"/>
      <w:bookmarkEnd w:id="1750"/>
      <w:bookmarkEnd w:id="1751"/>
      <w:bookmarkEnd w:id="1752"/>
      <w:bookmarkEnd w:id="1753"/>
      <w:bookmarkEnd w:id="1754"/>
      <w:bookmarkEnd w:id="1755"/>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r>
        <w:rPr>
          <w:rFonts w:hint="eastAsia" w:ascii="仿宋" w:hAnsi="仿宋" w:eastAsia="仿宋" w:cs="仿宋"/>
          <w:b/>
          <w:bCs/>
          <w:color w:val="auto"/>
          <w:highlight w:val="none"/>
          <w:lang w:eastAsia="zh-CN"/>
        </w:rPr>
        <w:t>★</w:t>
      </w:r>
      <w:r>
        <w:rPr>
          <w:rFonts w:hint="eastAsia" w:ascii="仿宋" w:hAnsi="仿宋" w:eastAsia="仿宋" w:cs="仿宋"/>
          <w:color w:val="auto"/>
          <w:highlight w:val="none"/>
          <w:lang w:eastAsia="zh-CN"/>
        </w:rPr>
        <w:t xml:space="preserve"> 65.1 竣工验收标准</w:t>
      </w:r>
    </w:p>
    <w:p>
      <w:pPr>
        <w:spacing w:line="360" w:lineRule="auto"/>
        <w:ind w:firstLine="120" w:firstLineChars="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合同工程竣工验收标准：</w:t>
      </w:r>
      <w:r>
        <w:rPr>
          <w:rFonts w:hint="eastAsia" w:ascii="仿宋" w:hAnsi="仿宋" w:eastAsia="仿宋"/>
          <w:color w:val="auto"/>
          <w:highlight w:val="none"/>
          <w:u w:val="single"/>
          <w:lang w:eastAsia="zh-CN"/>
        </w:rPr>
        <w:t>现行工程竣工验收标准。</w:t>
      </w:r>
    </w:p>
    <w:p>
      <w:pPr>
        <w:numPr>
          <w:ilvl w:val="255"/>
          <w:numId w:val="0"/>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65.4发包人未按照第65.3款约定完成合同工程验收，或验收后14天内未予确认</w:t>
      </w:r>
      <w:r>
        <w:rPr>
          <w:rFonts w:hint="eastAsia" w:ascii="仿宋" w:hAnsi="仿宋" w:eastAsia="仿宋" w:cs="仿宋"/>
          <w:color w:val="auto"/>
          <w:highlight w:val="none"/>
          <w:u w:val="single"/>
          <w:lang w:eastAsia="zh-CN"/>
        </w:rPr>
        <w:t>也未提出修改意见，视为承包人提交的竣工验收申请报告已被认可。竣工验收申请报告被认可，则表明已完成合同工程，视为竣工验收合格，但由于不可抗力事项致使发包人不能完成验收的除外。</w:t>
      </w:r>
    </w:p>
    <w:p>
      <w:pPr>
        <w:spacing w:line="360" w:lineRule="auto"/>
        <w:ind w:firstLine="120" w:firstLineChars="50"/>
        <w:rPr>
          <w:rFonts w:ascii="仿宋" w:hAnsi="仿宋" w:eastAsia="仿宋"/>
          <w:color w:val="auto"/>
          <w:highlight w:val="none"/>
          <w:lang w:eastAsia="zh-CN"/>
        </w:rPr>
      </w:pP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r>
        <w:rPr>
          <w:rFonts w:hint="eastAsia" w:ascii="仿宋" w:hAnsi="仿宋" w:eastAsia="仿宋" w:cs="仿宋"/>
          <w:b/>
          <w:bCs/>
          <w:color w:val="auto"/>
          <w:highlight w:val="none"/>
          <w:lang w:eastAsia="zh-CN"/>
        </w:rPr>
        <w:t>★</w:t>
      </w:r>
      <w:r>
        <w:rPr>
          <w:rFonts w:hint="eastAsia" w:ascii="仿宋" w:hAnsi="仿宋" w:eastAsia="仿宋" w:cs="仿宋"/>
          <w:color w:val="auto"/>
          <w:highlight w:val="none"/>
          <w:lang w:eastAsia="zh-CN"/>
        </w:rPr>
        <w:t>65.8 单项工程和工程部位验收</w:t>
      </w:r>
    </w:p>
    <w:p>
      <w:pPr>
        <w:spacing w:line="360" w:lineRule="auto"/>
        <w:ind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合同工程无单项工程、无工程部位提前验收的，本款不适用。</w:t>
      </w:r>
    </w:p>
    <w:p>
      <w:pPr>
        <w:spacing w:line="360" w:lineRule="auto"/>
        <w:ind w:left="634" w:leftChars="114" w:hanging="360" w:hangingChars="1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合同工程单项工程或工程部位需提前验收的，各单项工程或工程部位的名称、竣工验收时间和范围如下：</w:t>
      </w:r>
    </w:p>
    <w:p>
      <w:pPr>
        <w:spacing w:line="360" w:lineRule="auto"/>
        <w:ind w:left="634" w:leftChars="114" w:hanging="360" w:hangingChars="1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①</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（名称）工程或部位，竣工验收时间为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，其范围包括：</w:t>
      </w:r>
      <w:r>
        <w:rPr>
          <w:rFonts w:hint="eastAsia" w:ascii="仿宋" w:hAnsi="仿宋" w:eastAsia="仿宋" w:cs="仿宋"/>
          <w:color w:val="auto"/>
          <w:highlight w:val="none"/>
          <w:u w:val="single"/>
          <w:lang w:eastAsia="zh-CN"/>
        </w:rPr>
        <w:t xml:space="preserve">    /    </w:t>
      </w:r>
    </w:p>
    <w:p>
      <w:pPr>
        <w:spacing w:line="360" w:lineRule="auto"/>
        <w:ind w:left="720" w:hanging="720" w:hanging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②</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（名称）工程或部位，竣工验收时间为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，其范围包括：</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65.9 施工期运行</w:t>
      </w:r>
    </w:p>
    <w:p>
      <w:pPr>
        <w:spacing w:line="360" w:lineRule="auto"/>
        <w:ind w:firstLine="120" w:firstLineChars="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合同工程无单项工程、无工程部位在施工期运行的，本款不适用。</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合同工程单项工程或工程部位需在施工期运行的，各单项工程或工程部位的名称、运行</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时间如下：</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①</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（名称）工程或部位，运行时间为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②</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（名称）工程或部位，运行时间为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bookmarkStart w:id="1756" w:name="_Toc18461"/>
      <w:r>
        <w:rPr>
          <w:rFonts w:hint="eastAsia" w:ascii="仿宋" w:hAnsi="仿宋" w:eastAsia="仿宋" w:cs="仿宋"/>
          <w:color w:val="auto"/>
          <w:highlight w:val="none"/>
          <w:lang w:eastAsia="zh-CN"/>
        </w:rPr>
        <w:t>65.10 竣工清场</w:t>
      </w:r>
      <w:bookmarkEnd w:id="1756"/>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按通用条款约定。</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另作约定：</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65.11施工队伍的撤离</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按通用条款约定，承包人的人员和施工设备全部撤离施工现场。</w:t>
      </w:r>
    </w:p>
    <w:p>
      <w:pPr>
        <w:spacing w:line="360" w:lineRule="auto"/>
        <w:ind w:firstLine="240" w:firstLineChars="1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 另作约定：</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ind w:firstLine="105"/>
        <w:rPr>
          <w:rFonts w:ascii="仿宋" w:hAnsi="仿宋" w:eastAsia="仿宋"/>
          <w:b w:val="0"/>
          <w:bCs w:val="0"/>
          <w:color w:val="auto"/>
          <w:sz w:val="24"/>
          <w:szCs w:val="24"/>
          <w:highlight w:val="none"/>
          <w:lang w:eastAsia="zh-CN"/>
        </w:rPr>
      </w:pPr>
      <w:bookmarkStart w:id="1757" w:name="_Toc1583"/>
      <w:bookmarkStart w:id="1758" w:name="_Toc8565"/>
      <w:bookmarkStart w:id="1759" w:name="_Toc9568"/>
      <w:bookmarkStart w:id="1760" w:name="_Toc5489"/>
      <w:bookmarkStart w:id="1761" w:name="_Toc17751"/>
      <w:bookmarkStart w:id="1762" w:name="_Toc19926"/>
      <w:bookmarkStart w:id="1763" w:name="_Toc21608"/>
      <w:bookmarkStart w:id="1764" w:name="_Toc9316"/>
      <w:r>
        <w:rPr>
          <w:rFonts w:hint="eastAsia" w:ascii="仿宋" w:hAnsi="仿宋" w:eastAsia="仿宋" w:cs="仿宋"/>
          <w:b w:val="0"/>
          <w:bCs w:val="0"/>
          <w:color w:val="auto"/>
          <w:sz w:val="24"/>
          <w:szCs w:val="24"/>
          <w:highlight w:val="none"/>
          <w:lang w:eastAsia="zh-CN"/>
        </w:rPr>
        <w:t>66.  缺陷责任与质量保修</w:t>
      </w:r>
      <w:bookmarkEnd w:id="1757"/>
      <w:bookmarkEnd w:id="1758"/>
      <w:bookmarkEnd w:id="1759"/>
      <w:bookmarkEnd w:id="1760"/>
      <w:bookmarkEnd w:id="1761"/>
      <w:bookmarkEnd w:id="1762"/>
      <w:bookmarkEnd w:id="1763"/>
      <w:bookmarkEnd w:id="1764"/>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bookmarkStart w:id="1765" w:name="_Toc23091"/>
      <w:r>
        <w:rPr>
          <w:rFonts w:hint="eastAsia" w:ascii="仿宋" w:hAnsi="仿宋" w:eastAsia="仿宋" w:cs="仿宋"/>
          <w:color w:val="auto"/>
          <w:highlight w:val="none"/>
          <w:lang w:eastAsia="zh-CN"/>
        </w:rPr>
        <w:t xml:space="preserve">  66.1 缺陷责任期计算</w:t>
      </w:r>
      <w:bookmarkEnd w:id="1765"/>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缺陷责任期：</w:t>
      </w:r>
      <w:r>
        <w:rPr>
          <w:rFonts w:hint="eastAsia" w:ascii="仿宋" w:hAnsi="仿宋" w:eastAsia="仿宋"/>
          <w:color w:val="auto"/>
          <w:highlight w:val="none"/>
          <w:u w:val="single"/>
          <w:lang w:eastAsia="zh-CN"/>
        </w:rPr>
        <w:t>本合同项下工程项目缺陷责任期为24个月。</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bookmarkStart w:id="1766" w:name="_Toc28346"/>
      <w:r>
        <w:rPr>
          <w:rFonts w:hint="eastAsia" w:ascii="仿宋" w:hAnsi="仿宋" w:eastAsia="仿宋" w:cs="仿宋"/>
          <w:color w:val="auto"/>
          <w:highlight w:val="none"/>
          <w:lang w:eastAsia="zh-CN"/>
        </w:rPr>
        <w:t>66.8 质量保修期计算</w:t>
      </w:r>
      <w:bookmarkEnd w:id="1766"/>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质量保修期：</w:t>
      </w:r>
      <w:r>
        <w:rPr>
          <w:rFonts w:hint="eastAsia" w:ascii="仿宋" w:hAnsi="仿宋" w:eastAsia="仿宋"/>
          <w:color w:val="auto"/>
          <w:highlight w:val="none"/>
          <w:u w:val="single"/>
          <w:lang w:eastAsia="zh-CN"/>
        </w:rPr>
        <w:t>按质量保修书执行。</w:t>
      </w:r>
    </w:p>
    <w:p>
      <w:pPr>
        <w:pStyle w:val="4"/>
        <w:tabs>
          <w:tab w:val="left" w:pos="420"/>
        </w:tabs>
        <w:spacing w:line="360" w:lineRule="auto"/>
        <w:ind w:firstLine="105"/>
        <w:rPr>
          <w:rFonts w:ascii="仿宋" w:hAnsi="仿宋" w:eastAsia="仿宋" w:cs="仿宋"/>
          <w:b w:val="0"/>
          <w:bCs w:val="0"/>
          <w:color w:val="auto"/>
          <w:sz w:val="24"/>
          <w:szCs w:val="24"/>
          <w:highlight w:val="none"/>
          <w:lang w:eastAsia="zh-CN"/>
        </w:rPr>
      </w:pPr>
      <w:bookmarkStart w:id="1767" w:name="_Toc14390"/>
      <w:bookmarkStart w:id="1768" w:name="_Toc30728"/>
      <w:bookmarkStart w:id="1769" w:name="_Toc4284"/>
      <w:bookmarkStart w:id="1770" w:name="_Toc30757"/>
      <w:bookmarkStart w:id="1771" w:name="_Toc9442"/>
      <w:bookmarkStart w:id="1772" w:name="_Toc3282"/>
      <w:bookmarkStart w:id="1773" w:name="_Toc32615"/>
      <w:bookmarkStart w:id="1774" w:name="_Toc19319"/>
      <w:r>
        <w:rPr>
          <w:rFonts w:hint="eastAsia" w:ascii="仿宋" w:hAnsi="仿宋" w:eastAsia="仿宋" w:cs="仿宋"/>
          <w:b w:val="0"/>
          <w:bCs w:val="0"/>
          <w:color w:val="auto"/>
          <w:sz w:val="24"/>
          <w:szCs w:val="24"/>
          <w:highlight w:val="none"/>
          <w:lang w:eastAsia="zh-CN"/>
        </w:rPr>
        <w:t>68.</w:t>
      </w:r>
      <w:r>
        <w:rPr>
          <w:rFonts w:ascii="仿宋" w:hAnsi="仿宋" w:eastAsia="仿宋" w:cs="仿宋"/>
          <w:b w:val="0"/>
          <w:bCs w:val="0"/>
          <w:color w:val="auto"/>
          <w:sz w:val="24"/>
          <w:szCs w:val="24"/>
          <w:highlight w:val="none"/>
          <w:lang w:eastAsia="zh-CN"/>
        </w:rPr>
        <w:t xml:space="preserve"> </w:t>
      </w:r>
      <w:r>
        <w:rPr>
          <w:rFonts w:hint="eastAsia" w:ascii="仿宋" w:hAnsi="仿宋" w:eastAsia="仿宋" w:cs="仿宋"/>
          <w:b w:val="0"/>
          <w:bCs w:val="0"/>
          <w:color w:val="auto"/>
          <w:sz w:val="24"/>
          <w:szCs w:val="24"/>
          <w:highlight w:val="none"/>
          <w:lang w:eastAsia="zh-CN"/>
        </w:rPr>
        <w:t>联合体牵头人项目管理费</w:t>
      </w:r>
      <w:bookmarkEnd w:id="1767"/>
      <w:bookmarkEnd w:id="1768"/>
      <w:bookmarkEnd w:id="1769"/>
      <w:bookmarkEnd w:id="1770"/>
      <w:bookmarkEnd w:id="1771"/>
      <w:bookmarkEnd w:id="1772"/>
      <w:bookmarkEnd w:id="1773"/>
      <w:bookmarkEnd w:id="1774"/>
    </w:p>
    <w:p>
      <w:pPr>
        <w:spacing w:line="360" w:lineRule="auto"/>
        <w:ind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承包人为非联合体的，本条不适用。</w:t>
      </w:r>
    </w:p>
    <w:p>
      <w:pPr>
        <w:spacing w:line="360" w:lineRule="auto"/>
        <w:ind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承包人为联合体的，牵头人项目管理费的约定：</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①联合体牵头人项目管理费的金额</w:t>
      </w:r>
      <w:r>
        <w:rPr>
          <w:rFonts w:hint="eastAsia" w:ascii="仿宋" w:hAnsi="仿宋" w:eastAsia="仿宋" w:cs="仿宋"/>
          <w:color w:val="auto"/>
          <w:highlight w:val="none"/>
          <w:u w:val="single"/>
          <w:lang w:eastAsia="zh-CN"/>
        </w:rPr>
        <w:t xml:space="preserve"> 无 </w:t>
      </w:r>
      <w:r>
        <w:rPr>
          <w:rFonts w:ascii="仿宋" w:hAnsi="仿宋" w:eastAsia="仿宋" w:cs="仿宋"/>
          <w:color w:val="auto"/>
          <w:highlight w:val="none"/>
          <w:lang w:eastAsia="zh-CN"/>
        </w:rPr>
        <w:t>。</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②发包人向承包人支付牵头人项目管理费的时间、比例：</w:t>
      </w:r>
      <w:r>
        <w:rPr>
          <w:rFonts w:hint="eastAsia" w:ascii="仿宋" w:hAnsi="仿宋" w:eastAsia="仿宋" w:cs="仿宋"/>
          <w:color w:val="auto"/>
          <w:highlight w:val="none"/>
          <w:u w:val="single"/>
          <w:lang w:eastAsia="zh-CN"/>
        </w:rPr>
        <w:t xml:space="preserve">    /    </w:t>
      </w:r>
    </w:p>
    <w:p>
      <w:pPr>
        <w:spacing w:line="360" w:lineRule="auto"/>
        <w:ind w:firstLine="720" w:firstLineChars="300"/>
        <w:rPr>
          <w:rFonts w:ascii="仿宋" w:hAnsi="仿宋" w:eastAsia="仿宋" w:cs="仿宋"/>
          <w:b/>
          <w:bCs/>
          <w:color w:val="auto"/>
          <w:highlight w:val="none"/>
          <w:u w:val="single"/>
          <w:lang w:eastAsia="zh-CN"/>
        </w:rPr>
      </w:pPr>
      <w:r>
        <w:rPr>
          <w:rFonts w:hint="eastAsia" w:ascii="仿宋" w:hAnsi="仿宋" w:eastAsia="仿宋" w:cs="仿宋"/>
          <w:color w:val="auto"/>
          <w:highlight w:val="none"/>
          <w:lang w:eastAsia="zh-CN"/>
        </w:rPr>
        <w:t>③牵头人及其授权的承包人代表不作为或存在过错，发包人有权部分或全部扣除该费用，扣除金额或比例：</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ind w:firstLine="105"/>
        <w:rPr>
          <w:rFonts w:ascii="仿宋" w:hAnsi="仿宋" w:eastAsia="仿宋"/>
          <w:b w:val="0"/>
          <w:bCs w:val="0"/>
          <w:color w:val="auto"/>
          <w:sz w:val="24"/>
          <w:szCs w:val="24"/>
          <w:highlight w:val="none"/>
          <w:lang w:eastAsia="zh-CN"/>
        </w:rPr>
      </w:pPr>
      <w:bookmarkStart w:id="1775" w:name="_Toc22301"/>
      <w:bookmarkStart w:id="1776" w:name="_Toc6565"/>
      <w:bookmarkStart w:id="1777" w:name="_Toc14033"/>
      <w:bookmarkStart w:id="1778" w:name="_Toc22721"/>
      <w:bookmarkStart w:id="1779" w:name="_Toc21496"/>
      <w:bookmarkStart w:id="1780" w:name="_Toc7417"/>
      <w:bookmarkStart w:id="1781" w:name="_Toc1687"/>
      <w:bookmarkStart w:id="1782" w:name="_Toc12050"/>
      <w:r>
        <w:rPr>
          <w:rFonts w:hint="eastAsia" w:ascii="仿宋" w:hAnsi="仿宋" w:eastAsia="仿宋" w:cs="仿宋"/>
          <w:b w:val="0"/>
          <w:bCs w:val="0"/>
          <w:color w:val="auto"/>
          <w:sz w:val="24"/>
          <w:szCs w:val="24"/>
          <w:highlight w:val="none"/>
          <w:lang w:eastAsia="zh-CN"/>
        </w:rPr>
        <w:t>★69. 合同价格的约定与调整</w:t>
      </w:r>
      <w:bookmarkEnd w:id="1775"/>
      <w:bookmarkEnd w:id="1776"/>
      <w:bookmarkEnd w:id="1777"/>
      <w:bookmarkEnd w:id="1778"/>
      <w:bookmarkEnd w:id="1779"/>
      <w:bookmarkEnd w:id="1780"/>
      <w:bookmarkEnd w:id="1781"/>
      <w:bookmarkEnd w:id="1782"/>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69.2合同价格的形式</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总价合同。</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总价合同＋部分单价合同。其中，总价合同、单价合同的适用工程范围按专用条款第72条。</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见专用条款72条</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69.3 合同价款的调整事项</w:t>
      </w:r>
    </w:p>
    <w:p>
      <w:pPr>
        <w:spacing w:line="360" w:lineRule="auto"/>
        <w:ind w:firstLine="120" w:firstLineChars="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（2）可调价变更的量化指标。</w:t>
      </w:r>
    </w:p>
    <w:p>
      <w:pPr>
        <w:spacing w:line="360" w:lineRule="auto"/>
        <w:ind w:firstLine="1080" w:firstLineChars="4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不可抗力导致工程费增减额的承担比例：</w:t>
      </w:r>
      <w:r>
        <w:rPr>
          <w:rFonts w:hint="eastAsia" w:ascii="仿宋" w:hAnsi="仿宋" w:eastAsia="仿宋" w:cs="仿宋"/>
          <w:color w:val="auto"/>
          <w:highlight w:val="none"/>
          <w:u w:val="single"/>
          <w:lang w:eastAsia="zh-CN"/>
        </w:rPr>
        <w:t>按通用条款35.3</w:t>
      </w:r>
      <w:r>
        <w:rPr>
          <w:rFonts w:hint="eastAsia" w:ascii="仿宋" w:hAnsi="仿宋" w:eastAsia="仿宋" w:cs="仿宋"/>
          <w:color w:val="auto"/>
          <w:highlight w:val="none"/>
          <w:lang w:eastAsia="zh-CN"/>
        </w:rPr>
        <w:t>。</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（6）其他调整事项：</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w:t>
      </w:r>
    </w:p>
    <w:p>
      <w:pPr>
        <w:pStyle w:val="4"/>
        <w:ind w:firstLine="105"/>
        <w:rPr>
          <w:rFonts w:ascii="仿宋" w:hAnsi="仿宋" w:eastAsia="仿宋" w:cs="仿宋"/>
          <w:bCs w:val="0"/>
          <w:color w:val="auto"/>
          <w:sz w:val="24"/>
          <w:szCs w:val="24"/>
          <w:highlight w:val="none"/>
          <w:lang w:eastAsia="zh-CN"/>
        </w:rPr>
      </w:pPr>
      <w:bookmarkStart w:id="1783" w:name="_Toc14018"/>
      <w:bookmarkStart w:id="1784" w:name="_Toc1629"/>
      <w:bookmarkStart w:id="1785" w:name="_Toc9853"/>
      <w:bookmarkStart w:id="1786" w:name="_Toc19769"/>
      <w:bookmarkStart w:id="1787" w:name="_Toc7693"/>
      <w:bookmarkStart w:id="1788" w:name="_Toc1919"/>
      <w:bookmarkStart w:id="1789" w:name="_Toc22694"/>
      <w:r>
        <w:rPr>
          <w:rFonts w:hint="eastAsia" w:ascii="仿宋" w:hAnsi="仿宋" w:eastAsia="仿宋" w:cs="仿宋"/>
          <w:bCs w:val="0"/>
          <w:color w:val="auto"/>
          <w:sz w:val="24"/>
          <w:szCs w:val="24"/>
          <w:highlight w:val="none"/>
          <w:lang w:eastAsia="zh-CN"/>
        </w:rPr>
        <w:t>★70</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Cs w:val="0"/>
          <w:color w:val="auto"/>
          <w:sz w:val="24"/>
          <w:szCs w:val="24"/>
          <w:highlight w:val="none"/>
          <w:lang w:eastAsia="zh-CN"/>
        </w:rPr>
        <w:t>合同价格调整程序</w:t>
      </w:r>
      <w:bookmarkEnd w:id="1783"/>
      <w:bookmarkEnd w:id="1784"/>
      <w:bookmarkEnd w:id="1785"/>
      <w:bookmarkEnd w:id="1786"/>
      <w:bookmarkEnd w:id="1787"/>
      <w:bookmarkEnd w:id="1788"/>
      <w:bookmarkEnd w:id="1789"/>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70.1合同价格调增报告的提出</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出现合同价格调增事项后的14天内，承包人应向监理人、造价咨询人提交合同价格调增报告，并附上相关资料。如承包人在出现合同价格调增事项后的14天内未提交合同价格调增报告的，则视为承包人放弃该变更价款的申请权力。</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增加70.5调减价款的核实</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承包人应在收到合同价格调减报告及相关资料之日起</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天内对其核实，并予以确认或提出协商意见。承包人在收到合同价格调减报告之日起</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天内未确认也未提出协商意见的，视为发包人提交的合同价格调减报告已被认可。承包人提出协商意见的，合同双方当事人应在发包人收到协商意见后的</w:t>
      </w:r>
      <w:r>
        <w:rPr>
          <w:rFonts w:ascii="仿宋" w:hAnsi="仿宋" w:eastAsia="仿宋" w:cs="仿宋"/>
          <w:color w:val="auto"/>
          <w:highlight w:val="none"/>
          <w:lang w:eastAsia="zh-CN"/>
        </w:rPr>
        <w:t>14</w:t>
      </w:r>
      <w:r>
        <w:rPr>
          <w:rFonts w:hint="eastAsia" w:ascii="仿宋" w:hAnsi="仿宋" w:eastAsia="仿宋" w:cs="仿宋"/>
          <w:color w:val="auto"/>
          <w:highlight w:val="none"/>
          <w:lang w:eastAsia="zh-CN"/>
        </w:rPr>
        <w:t>天内进行协商确定；协商未能达成一致的，由造价咨询人暂定调减的合同价格，通知承包人并抄报发包人。出现暂定结果的，只要不实质影响合同双方当事人履约的，合同双方当事人应实施该结果，直到其被改变为止。</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增加70.6调减价款的扣除</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经合同双方当事人确认或造价咨询人暂定调减的合同价格，作为调减合同价格，在工程进度款或结算款同期扣除。</w:t>
      </w:r>
    </w:p>
    <w:p>
      <w:pPr>
        <w:pStyle w:val="4"/>
        <w:tabs>
          <w:tab w:val="left" w:pos="420"/>
        </w:tabs>
        <w:spacing w:line="360" w:lineRule="auto"/>
        <w:ind w:firstLine="105"/>
        <w:rPr>
          <w:rFonts w:ascii="仿宋" w:hAnsi="仿宋" w:eastAsia="仿宋" w:cs="仿宋"/>
          <w:b w:val="0"/>
          <w:bCs w:val="0"/>
          <w:color w:val="auto"/>
          <w:sz w:val="24"/>
          <w:szCs w:val="24"/>
          <w:highlight w:val="none"/>
          <w:lang w:eastAsia="zh-CN"/>
        </w:rPr>
      </w:pPr>
      <w:bookmarkStart w:id="1790" w:name="_Toc15387"/>
      <w:bookmarkStart w:id="1791" w:name="_Toc26457"/>
      <w:bookmarkStart w:id="1792" w:name="_Toc3150"/>
      <w:bookmarkStart w:id="1793" w:name="_Toc15975"/>
      <w:bookmarkStart w:id="1794" w:name="_Toc29617"/>
      <w:bookmarkStart w:id="1795" w:name="_Toc14217"/>
      <w:bookmarkStart w:id="1796" w:name="_Toc31553"/>
      <w:bookmarkStart w:id="1797" w:name="_Toc25164"/>
      <w:r>
        <w:rPr>
          <w:rFonts w:hint="eastAsia" w:ascii="仿宋" w:hAnsi="仿宋" w:eastAsia="仿宋" w:cs="仿宋"/>
          <w:b w:val="0"/>
          <w:bCs w:val="0"/>
          <w:color w:val="auto"/>
          <w:sz w:val="24"/>
          <w:szCs w:val="24"/>
          <w:highlight w:val="none"/>
          <w:lang w:eastAsia="zh-CN"/>
        </w:rPr>
        <w:t>★71. 工作量或工程量</w:t>
      </w:r>
      <w:bookmarkEnd w:id="1790"/>
      <w:bookmarkEnd w:id="1791"/>
      <w:bookmarkEnd w:id="1792"/>
      <w:bookmarkEnd w:id="1793"/>
      <w:bookmarkEnd w:id="1794"/>
      <w:bookmarkEnd w:id="1795"/>
      <w:bookmarkEnd w:id="1796"/>
      <w:bookmarkEnd w:id="1797"/>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71.1 清单工程量包括的工作内容</w:t>
      </w:r>
    </w:p>
    <w:p>
      <w:pPr>
        <w:spacing w:line="360" w:lineRule="auto"/>
        <w:ind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按通用条款约定。</w:t>
      </w:r>
    </w:p>
    <w:p>
      <w:pPr>
        <w:spacing w:line="360" w:lineRule="auto"/>
        <w:ind w:firstLine="48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 另作约定：</w:t>
      </w:r>
      <w:r>
        <w:rPr>
          <w:rFonts w:hint="eastAsia" w:ascii="仿宋" w:hAnsi="仿宋" w:eastAsia="仿宋" w:cs="仿宋"/>
          <w:color w:val="auto"/>
          <w:highlight w:val="none"/>
          <w:u w:val="single"/>
          <w:lang w:eastAsia="zh-CN"/>
        </w:rPr>
        <w:t xml:space="preserve">    /    </w:t>
      </w:r>
    </w:p>
    <w:p>
      <w:pPr>
        <w:spacing w:line="360" w:lineRule="auto"/>
        <w:ind w:firstLine="480"/>
        <w:rPr>
          <w:rFonts w:ascii="仿宋" w:hAnsi="仿宋" w:eastAsia="仿宋"/>
          <w:color w:val="auto"/>
          <w:highlight w:val="none"/>
          <w:lang w:eastAsia="zh-CN"/>
        </w:rPr>
      </w:pPr>
    </w:p>
    <w:p>
      <w:pPr>
        <w:pStyle w:val="4"/>
        <w:tabs>
          <w:tab w:val="left" w:pos="420"/>
        </w:tabs>
        <w:spacing w:line="360" w:lineRule="auto"/>
        <w:rPr>
          <w:color w:val="auto"/>
          <w:highlight w:val="none"/>
          <w:lang w:eastAsia="zh-CN"/>
        </w:rPr>
      </w:pPr>
      <w:bookmarkStart w:id="1798" w:name="_Toc1949"/>
      <w:bookmarkStart w:id="1799" w:name="_Toc24012"/>
      <w:bookmarkStart w:id="1800" w:name="_Toc28527"/>
      <w:bookmarkStart w:id="1801" w:name="_Toc10756"/>
      <w:bookmarkStart w:id="1802" w:name="_Toc21450"/>
      <w:bookmarkStart w:id="1803" w:name="_Toc4780"/>
      <w:bookmarkStart w:id="1804" w:name="_Toc18447"/>
      <w:bookmarkStart w:id="1805" w:name="_Toc9897"/>
      <w:r>
        <w:rPr>
          <w:rFonts w:hint="eastAsia" w:ascii="仿宋" w:hAnsi="仿宋" w:eastAsia="仿宋" w:cs="仿宋"/>
          <w:b w:val="0"/>
          <w:bCs w:val="0"/>
          <w:color w:val="auto"/>
          <w:sz w:val="24"/>
          <w:szCs w:val="24"/>
          <w:highlight w:val="none"/>
          <w:lang w:eastAsia="zh-CN"/>
        </w:rPr>
        <w:t>★72. 计量和计价</w:t>
      </w:r>
      <w:bookmarkEnd w:id="1798"/>
      <w:bookmarkEnd w:id="1799"/>
      <w:bookmarkEnd w:id="1800"/>
      <w:bookmarkEnd w:id="1801"/>
      <w:bookmarkEnd w:id="1802"/>
      <w:bookmarkEnd w:id="1803"/>
      <w:bookmarkEnd w:id="1804"/>
      <w:bookmarkEnd w:id="1805"/>
    </w:p>
    <w:p>
      <w:pPr>
        <w:spacing w:line="360" w:lineRule="auto"/>
        <w:ind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72.1 计量和计价的依据</w:t>
      </w:r>
    </w:p>
    <w:p>
      <w:pPr>
        <w:spacing w:line="360" w:lineRule="auto"/>
        <w:ind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72.1.1 工程勘察费的计量规则与计价办法（应与第69条选择的合同价格形式对应）</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总价合同：</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计量规则与计价办法：按协议书约定的价格总价包干，除合同约定允许调整的事项外，合同总价不予调整。</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结算价＝协议书约定的相应总价±合同约定的价格调整</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□总价合同＋部分单价合同</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①适用范围：总价合同的范围为</w:t>
      </w:r>
      <w:r>
        <w:rPr>
          <w:rFonts w:hint="eastAsia" w:ascii="仿宋" w:hAnsi="仿宋" w:eastAsia="仿宋" w:cs="仿宋"/>
          <w:color w:val="auto"/>
          <w:highlight w:val="none"/>
          <w:u w:val="single"/>
          <w:lang w:eastAsia="zh-CN"/>
        </w:rPr>
        <w:t xml:space="preserve">    /    ；</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单价合同的范围为：</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②计量规则与计价办法：</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采用总价合同的部分，按协议书约定的价格总价包干，除合同约定允许调整的事项外，合同总价不予调整。</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采用单价合同的部分，按岩土工程勘探工作量（米）综合单价包干，除合同约定可以调整的事项外，工作量或工程量按实计算，综合</w:t>
      </w:r>
      <w:r>
        <w:rPr>
          <w:rFonts w:ascii="仿宋" w:hAnsi="仿宋" w:eastAsia="仿宋" w:cs="仿宋"/>
          <w:color w:val="auto"/>
          <w:highlight w:val="none"/>
          <w:lang w:eastAsia="zh-CN"/>
        </w:rPr>
        <w:t>单价不</w:t>
      </w:r>
      <w:r>
        <w:rPr>
          <w:rFonts w:hint="eastAsia" w:ascii="仿宋" w:hAnsi="仿宋" w:eastAsia="仿宋" w:cs="仿宋"/>
          <w:color w:val="auto"/>
          <w:highlight w:val="none"/>
          <w:lang w:eastAsia="zh-CN"/>
        </w:rPr>
        <w:t>予</w:t>
      </w:r>
      <w:r>
        <w:rPr>
          <w:rFonts w:ascii="仿宋" w:hAnsi="仿宋" w:eastAsia="仿宋" w:cs="仿宋"/>
          <w:color w:val="auto"/>
          <w:highlight w:val="none"/>
          <w:lang w:eastAsia="zh-CN"/>
        </w:rPr>
        <w:t>调整</w:t>
      </w:r>
      <w:r>
        <w:rPr>
          <w:rFonts w:hint="eastAsia" w:ascii="仿宋" w:hAnsi="仿宋" w:eastAsia="仿宋" w:cs="仿宋"/>
          <w:color w:val="auto"/>
          <w:highlight w:val="none"/>
          <w:lang w:eastAsia="zh-CN"/>
        </w:rPr>
        <w:t>。实际工作量或工程量是在满足现行岩土工程勘察规范以及设计需求的条件下，并经设计顾问人及发包人审核确认后的工作量或工程量。工程勘察费为完成本工程所需的所有工程勘察工作的全部实物工作收费、技术工作收费、辅助工作收费（包括但不限于协助办理相关许可、收集资料、拆除障碍物、修通现场作业道路及接通水源和电源、平整场地、勘察材料及加工等）等全部费用，发包人不另行补偿其他费用。各项目勘察工作发生的费用，统一在岩土勘察费中综合考虑。</w:t>
      </w:r>
    </w:p>
    <w:p>
      <w:pPr>
        <w:spacing w:line="360" w:lineRule="auto"/>
        <w:ind w:firstLine="1080" w:firstLineChars="4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结算价＝采用总价合同部分的结算价（A）+采用单价合同的部分的结算价（B）</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其中：A＝协议书约定的相应总价±合同约定的价格调整</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B＝中标综合单价×实际数量</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☑单价合同</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计量规则与计价办法：按岩土工程勘探工作量</w:t>
      </w:r>
      <w:r>
        <w:rPr>
          <w:rFonts w:hint="eastAsia" w:ascii="仿宋" w:hAnsi="仿宋" w:eastAsia="仿宋" w:cs="仿宋"/>
          <w:color w:val="auto"/>
          <w:highlight w:val="none"/>
          <w:lang w:eastAsia="zh"/>
        </w:rPr>
        <w:t>中标</w:t>
      </w:r>
      <w:r>
        <w:rPr>
          <w:rFonts w:hint="eastAsia" w:ascii="仿宋" w:hAnsi="仿宋" w:eastAsia="仿宋" w:cs="仿宋"/>
          <w:color w:val="auto"/>
          <w:highlight w:val="none"/>
          <w:lang w:eastAsia="zh-CN"/>
        </w:rPr>
        <w:t>综合单价包干，除合同约定可以调整的事项外，工作量或工程量按实计算，综合</w:t>
      </w:r>
      <w:r>
        <w:rPr>
          <w:rFonts w:ascii="仿宋" w:hAnsi="仿宋" w:eastAsia="仿宋" w:cs="仿宋"/>
          <w:color w:val="auto"/>
          <w:highlight w:val="none"/>
          <w:lang w:eastAsia="zh-CN"/>
        </w:rPr>
        <w:t>单价不</w:t>
      </w:r>
      <w:r>
        <w:rPr>
          <w:rFonts w:hint="eastAsia" w:ascii="仿宋" w:hAnsi="仿宋" w:eastAsia="仿宋" w:cs="仿宋"/>
          <w:color w:val="auto"/>
          <w:highlight w:val="none"/>
          <w:lang w:eastAsia="zh-CN"/>
        </w:rPr>
        <w:t>予</w:t>
      </w:r>
      <w:r>
        <w:rPr>
          <w:rFonts w:ascii="仿宋" w:hAnsi="仿宋" w:eastAsia="仿宋" w:cs="仿宋"/>
          <w:color w:val="auto"/>
          <w:highlight w:val="none"/>
          <w:lang w:eastAsia="zh-CN"/>
        </w:rPr>
        <w:t>调整</w:t>
      </w:r>
      <w:r>
        <w:rPr>
          <w:rFonts w:hint="eastAsia" w:ascii="仿宋" w:hAnsi="仿宋" w:eastAsia="仿宋" w:cs="仿宋"/>
          <w:color w:val="auto"/>
          <w:highlight w:val="none"/>
          <w:lang w:eastAsia="zh-CN"/>
        </w:rPr>
        <w:t>。实际工作量或工程量是在满足现行岩土工程勘察规范以及设计需求的条件下，并经设计顾问人及发包人审核确认后的工作量或工程量。工程勘察费为完成本工程所需的所有工程勘察工作的全部实物工作收费、技术工作收费、辅助工作收费（包括但不限于协助办理相关许可、收集资料、拆除障碍物、修通现场作业道路及接通水源和电源、平整场地、勘察材料及加工等）等全部费用，发包人不另行补偿其他费用。各项目勘察工作发生的费用，统一在岩土勘察费中综合考虑。</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结算价＝中标综合单价×实际数量</w:t>
      </w:r>
    </w:p>
    <w:p>
      <w:pPr>
        <w:pStyle w:val="22"/>
        <w:rPr>
          <w:color w:val="auto"/>
          <w:highlight w:val="none"/>
          <w:lang w:eastAsia="zh-CN"/>
        </w:rPr>
      </w:pP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s="仿宋"/>
          <w:color w:val="auto"/>
          <w:highlight w:val="none"/>
          <w:lang w:eastAsia="zh-CN"/>
        </w:rPr>
      </w:pPr>
      <w:bookmarkStart w:id="1806" w:name="_Toc16689"/>
      <w:r>
        <w:rPr>
          <w:rFonts w:hint="eastAsia" w:ascii="仿宋" w:hAnsi="仿宋" w:eastAsia="仿宋" w:cs="仿宋"/>
          <w:color w:val="auto"/>
          <w:highlight w:val="none"/>
          <w:lang w:eastAsia="zh-CN"/>
        </w:rPr>
        <w:t>72.1.2 工程设计费的计量规则与计价办法</w:t>
      </w:r>
      <w:bookmarkEnd w:id="1806"/>
    </w:p>
    <w:p>
      <w:pPr>
        <w:spacing w:line="360" w:lineRule="auto"/>
        <w:ind w:firstLine="600" w:firstLineChars="250"/>
        <w:rPr>
          <w:rFonts w:ascii="仿宋" w:hAnsi="仿宋" w:eastAsia="仿宋" w:cs="仿宋"/>
          <w:color w:val="auto"/>
          <w:highlight w:val="none"/>
          <w:lang w:eastAsia="zh-CN"/>
        </w:rPr>
      </w:pPr>
      <w:bookmarkStart w:id="1807" w:name="_Toc15361"/>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总价合同：按协议书约定的价格总价包干，除合同约定允许调整的事项外，总价不予调整。</w:t>
      </w:r>
    </w:p>
    <w:p>
      <w:pPr>
        <w:spacing w:line="460" w:lineRule="exact"/>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sym w:font="Wingdings 2" w:char="0052"/>
      </w:r>
      <w:r>
        <w:rPr>
          <w:rFonts w:hint="eastAsia" w:ascii="仿宋" w:hAnsi="仿宋" w:eastAsia="仿宋" w:cs="仿宋"/>
          <w:color w:val="auto"/>
          <w:highlight w:val="none"/>
          <w:lang w:eastAsia="zh-CN"/>
        </w:rPr>
        <w:t xml:space="preserve">  另作约定：</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工程设计费按中标综合单价</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元/平方米含税包干计算收取</w:t>
      </w:r>
      <w:r>
        <w:rPr>
          <w:rFonts w:hint="eastAsia" w:ascii="仿宋" w:hAnsi="仿宋" w:eastAsia="仿宋" w:cs="仿宋"/>
          <w:color w:val="auto"/>
          <w:highlight w:val="none"/>
          <w:lang w:eastAsia="zh"/>
        </w:rPr>
        <w:t>（</w:t>
      </w:r>
      <w:r>
        <w:rPr>
          <w:rFonts w:hint="eastAsia" w:ascii="仿宋" w:hAnsi="仿宋" w:eastAsia="仿宋" w:cs="仿宋"/>
          <w:bCs w:val="0"/>
          <w:color w:val="auto"/>
          <w:kern w:val="0"/>
          <w:sz w:val="24"/>
          <w:szCs w:val="24"/>
          <w:highlight w:val="none"/>
          <w:u w:val="single"/>
          <w:lang w:val="en-US" w:eastAsia="zh" w:bidi="ar"/>
        </w:rPr>
        <w:t>中标综合单价=设计费中标价/</w:t>
      </w:r>
      <w:r>
        <w:rPr>
          <w:rFonts w:hint="eastAsia" w:ascii="仿宋" w:hAnsi="仿宋" w:eastAsia="仿宋" w:cs="仿宋"/>
          <w:bCs w:val="0"/>
          <w:color w:val="auto"/>
          <w:kern w:val="0"/>
          <w:sz w:val="24"/>
          <w:szCs w:val="24"/>
          <w:highlight w:val="none"/>
          <w:u w:val="single"/>
          <w:lang w:val="en-US" w:eastAsia="zh-CN" w:bidi="ar"/>
        </w:rPr>
        <w:t>暂定建筑面积</w:t>
      </w:r>
      <w:r>
        <w:rPr>
          <w:rFonts w:hint="eastAsia" w:ascii="仿宋" w:hAnsi="仿宋" w:eastAsia="仿宋" w:cs="仿宋"/>
          <w:bCs w:val="0"/>
          <w:color w:val="auto"/>
          <w:kern w:val="0"/>
          <w:sz w:val="24"/>
          <w:szCs w:val="24"/>
          <w:highlight w:val="none"/>
          <w:u w:val="single"/>
          <w:lang w:val="en-US" w:eastAsia="zh" w:bidi="ar"/>
        </w:rPr>
        <w:t>317397.45</w:t>
      </w:r>
      <w:r>
        <w:rPr>
          <w:rFonts w:hint="eastAsia" w:ascii="仿宋" w:hAnsi="仿宋" w:eastAsia="仿宋" w:cs="仿宋"/>
          <w:bCs w:val="0"/>
          <w:color w:val="auto"/>
          <w:kern w:val="0"/>
          <w:sz w:val="24"/>
          <w:szCs w:val="24"/>
          <w:highlight w:val="none"/>
          <w:u w:val="single"/>
          <w:lang w:val="en-US" w:eastAsia="zh-CN" w:bidi="ar"/>
        </w:rPr>
        <w:t>平方米</w:t>
      </w:r>
      <w:r>
        <w:rPr>
          <w:rFonts w:hint="eastAsia" w:ascii="仿宋" w:hAnsi="仿宋" w:eastAsia="仿宋" w:cs="仿宋"/>
          <w:bCs w:val="0"/>
          <w:color w:val="auto"/>
          <w:kern w:val="0"/>
          <w:sz w:val="24"/>
          <w:szCs w:val="24"/>
          <w:highlight w:val="none"/>
          <w:u w:val="single"/>
          <w:lang w:val="en-US" w:eastAsia="zh" w:bidi="ar"/>
        </w:rPr>
        <w:t>）</w:t>
      </w:r>
      <w:r>
        <w:rPr>
          <w:rFonts w:hint="eastAsia" w:ascii="仿宋" w:hAnsi="仿宋" w:eastAsia="仿宋" w:cs="仿宋"/>
          <w:color w:val="auto"/>
          <w:highlight w:val="none"/>
          <w:lang w:eastAsia="zh-CN"/>
        </w:rPr>
        <w:t>，不因国家的税率政策变化而作相应调整，本工程设计费下浮率为：</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
        </w:rPr>
        <w:t xml:space="preserve"> </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%。结算时总价按照工程设计费</w:t>
      </w:r>
      <w:r>
        <w:rPr>
          <w:rFonts w:hint="eastAsia" w:ascii="仿宋" w:hAnsi="仿宋" w:eastAsia="仿宋" w:cs="仿宋"/>
          <w:color w:val="auto"/>
          <w:highlight w:val="none"/>
          <w:lang w:eastAsia="zh"/>
        </w:rPr>
        <w:t>中标综合</w:t>
      </w:r>
      <w:r>
        <w:rPr>
          <w:rFonts w:hint="eastAsia" w:ascii="仿宋" w:hAnsi="仿宋" w:eastAsia="仿宋" w:cs="仿宋"/>
          <w:color w:val="auto"/>
          <w:highlight w:val="none"/>
          <w:lang w:eastAsia="zh-CN"/>
        </w:rPr>
        <w:t>单价乘以《建设工程规划许可证》的建筑面积计算。本项目设计费已包含装修设计费用（装修范围详见设计任务书）。</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本合同工程设计费中标综合单价已包含约定项目对应的全部设计费用、本工程的施工图设计、复杂设计工作，设计文件修改费用（含效果图）、招标配合费用、驻场服务费用、设计调研费、报建、报审、验收费用、人防设计费、燃气工程设计费、外水及外电工程设计费、基坑支护等各类专业专项评审相关费用、专业分包设计、晒图费、设计总承包配合费，装配式建筑设计费、BIM设计费用、营销配合，临时道路设计（含评估）、环境影响备案及验收、其费用也包含了获得绿色建筑建设标准项目咨询费，施工阶段技术人员驻场费以及变更设计等费用等。在合同实施期间设计费中标综合单价不因设计工作量调整及工程造价的变化而变化。本项目建筑主体室内装修、泛光照明的专项方案设计，如设计单位在发包人要求方案完成时间（或合同约定设计时间）逾期30天仍未达到发包人要求或未通过相关规划部门审批，则发包人有权将该专项方案设计工作发包给新的承接单位，违约责任、全部费用以及由此造成的一切损失由承包人承担，发包人有权在支付设计费时直接扣除应当由承包人承担的费用。同时，承包人须配合新的承接单位进行相关工作。</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72.1.3  BIM技术应用费的计量规则与计价办法</w:t>
      </w:r>
      <w:bookmarkEnd w:id="1807"/>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总价合同：按协议书约定的价格总价包干，除合同约定允许调整的事项外，总价不予调整。</w:t>
      </w:r>
    </w:p>
    <w:p>
      <w:pPr>
        <w:spacing w:line="360" w:lineRule="auto"/>
        <w:ind w:firstLine="600" w:firstLineChars="2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72.1.4 设备及工器具购置费的计量规则与计价办法</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总价合同：</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计量规则与计价办法：按协议书约定的价格总价包干，除合同约定允许调整的事项外，合同总价不予调整。</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结算价＝协议书约定的相应总价±合同约定的价格调整</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□总价合同＋部分单价合同</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①适用范围：总价合同的范围为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单价合同的范围为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②计量规则与计价办法：</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采用总价合同的部分，按协议书约定的价格总价包干，除合同约定允许调整的事项外，合同总价不予调整。</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采用单价合同的部分，按合同价格清单约定的综合单价包干，除合同约定可以调整的事项外，工作量或工程量按实计算，综合</w:t>
      </w:r>
      <w:r>
        <w:rPr>
          <w:rFonts w:ascii="仿宋" w:hAnsi="仿宋" w:eastAsia="仿宋" w:cs="仿宋"/>
          <w:color w:val="auto"/>
          <w:highlight w:val="none"/>
          <w:lang w:eastAsia="zh-CN"/>
        </w:rPr>
        <w:t>单价不</w:t>
      </w:r>
      <w:r>
        <w:rPr>
          <w:rFonts w:hint="eastAsia" w:ascii="仿宋" w:hAnsi="仿宋" w:eastAsia="仿宋" w:cs="仿宋"/>
          <w:color w:val="auto"/>
          <w:highlight w:val="none"/>
          <w:lang w:eastAsia="zh-CN"/>
        </w:rPr>
        <w:t>予</w:t>
      </w:r>
      <w:r>
        <w:rPr>
          <w:rFonts w:ascii="仿宋" w:hAnsi="仿宋" w:eastAsia="仿宋" w:cs="仿宋"/>
          <w:color w:val="auto"/>
          <w:highlight w:val="none"/>
          <w:lang w:eastAsia="zh-CN"/>
        </w:rPr>
        <w:t>调整</w:t>
      </w:r>
      <w:r>
        <w:rPr>
          <w:rFonts w:hint="eastAsia" w:ascii="仿宋" w:hAnsi="仿宋" w:eastAsia="仿宋" w:cs="仿宋"/>
          <w:color w:val="auto"/>
          <w:highlight w:val="none"/>
          <w:lang w:eastAsia="zh-CN"/>
        </w:rPr>
        <w:t>。</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结算价＝采用总价合同部分的结算价（A）+采用单价合同的部分的结算价（B）</w:t>
      </w:r>
    </w:p>
    <w:p>
      <w:pPr>
        <w:spacing w:line="360" w:lineRule="auto"/>
        <w:ind w:firstLine="1608" w:firstLineChars="670"/>
        <w:rPr>
          <w:rFonts w:ascii="仿宋" w:hAnsi="仿宋" w:eastAsia="仿宋" w:cs="仿宋"/>
          <w:color w:val="auto"/>
          <w:highlight w:val="none"/>
          <w:lang w:eastAsia="zh-CN"/>
        </w:rPr>
      </w:pPr>
      <w:r>
        <w:rPr>
          <w:rFonts w:hint="eastAsia" w:ascii="仿宋" w:hAnsi="仿宋" w:eastAsia="仿宋" w:cs="仿宋"/>
          <w:color w:val="auto"/>
          <w:highlight w:val="none"/>
          <w:lang w:eastAsia="zh-CN"/>
        </w:rPr>
        <w:t>其中：A＝协议书约定的相应总价±合同约定的价格调整</w:t>
      </w:r>
    </w:p>
    <w:p>
      <w:pPr>
        <w:spacing w:line="360" w:lineRule="auto"/>
        <w:ind w:firstLine="2325" w:firstLineChars="969"/>
        <w:rPr>
          <w:rFonts w:ascii="仿宋" w:hAnsi="仿宋" w:eastAsia="仿宋" w:cs="仿宋"/>
          <w:color w:val="auto"/>
          <w:highlight w:val="none"/>
          <w:lang w:eastAsia="zh-CN"/>
        </w:rPr>
      </w:pPr>
      <w:r>
        <w:rPr>
          <w:rFonts w:hint="eastAsia" w:ascii="仿宋" w:hAnsi="仿宋" w:eastAsia="仿宋" w:cs="仿宋"/>
          <w:color w:val="auto"/>
          <w:highlight w:val="none"/>
          <w:lang w:eastAsia="zh-CN"/>
        </w:rPr>
        <w:t>B＝中标综合单价×实际数量</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s="仿宋"/>
          <w:color w:val="auto"/>
          <w:highlight w:val="none"/>
          <w:lang w:eastAsia="zh-CN"/>
        </w:rPr>
      </w:pPr>
      <w:bookmarkStart w:id="1808" w:name="_Toc24698"/>
      <w:r>
        <w:rPr>
          <w:rFonts w:hint="eastAsia" w:ascii="仿宋" w:hAnsi="仿宋" w:eastAsia="仿宋" w:cs="仿宋"/>
          <w:color w:val="auto"/>
          <w:highlight w:val="none"/>
          <w:lang w:eastAsia="zh-CN"/>
        </w:rPr>
        <w:t xml:space="preserve">72.1.5 </w:t>
      </w:r>
      <w:bookmarkStart w:id="1809" w:name="OLE_LINK6"/>
      <w:bookmarkStart w:id="1810" w:name="OLE_LINK5"/>
      <w:r>
        <w:rPr>
          <w:rFonts w:hint="eastAsia" w:ascii="仿宋" w:hAnsi="仿宋" w:eastAsia="仿宋" w:cs="仿宋"/>
          <w:color w:val="auto"/>
          <w:highlight w:val="none"/>
          <w:lang w:eastAsia="zh-CN"/>
        </w:rPr>
        <w:t>建筑安装工程费</w:t>
      </w:r>
      <w:bookmarkEnd w:id="1809"/>
      <w:bookmarkEnd w:id="1810"/>
      <w:r>
        <w:rPr>
          <w:rFonts w:hint="eastAsia" w:ascii="仿宋" w:hAnsi="仿宋" w:eastAsia="仿宋" w:cs="仿宋"/>
          <w:color w:val="auto"/>
          <w:highlight w:val="none"/>
          <w:lang w:eastAsia="zh-CN"/>
        </w:rPr>
        <w:t>的计量规则与计价办法</w:t>
      </w:r>
      <w:bookmarkEnd w:id="1808"/>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总价合同：</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计量规则与计价办法：按协议书约定的价格总价包干，除合同约定允许调整的事项外，合同总价不予调整。</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结算价＝协议书约定的相应总价±合同约定的价格调整－发包人批准的优化设计降低造价。</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□总价合同＋部分单价合同</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①适用范围：总价合同的范围为</w:t>
      </w:r>
      <w:r>
        <w:rPr>
          <w:rFonts w:hint="eastAsia" w:ascii="仿宋" w:hAnsi="仿宋" w:eastAsia="仿宋" w:cs="仿宋"/>
          <w:color w:val="auto"/>
          <w:highlight w:val="none"/>
          <w:u w:val="single"/>
          <w:lang w:eastAsia="zh-CN"/>
        </w:rPr>
        <w:t xml:space="preserve">    /    ；</w:t>
      </w:r>
    </w:p>
    <w:p>
      <w:pPr>
        <w:spacing w:line="360" w:lineRule="auto"/>
        <w:ind w:firstLine="2280" w:firstLineChars="9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单价合同的范围为</w:t>
      </w:r>
      <w:r>
        <w:rPr>
          <w:rFonts w:hint="eastAsia" w:ascii="仿宋" w:hAnsi="仿宋" w:eastAsia="仿宋" w:cs="仿宋"/>
          <w:color w:val="auto"/>
          <w:highlight w:val="none"/>
          <w:u w:val="single"/>
          <w:lang w:eastAsia="zh-CN"/>
        </w:rPr>
        <w:t xml:space="preserve">    /    。</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②计量规则与计价办法：</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采用总价合同的部分，按协议书约定的价格总价包干，除合同约定允许调整的事项外，合同总价不予调整。</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采用单价合同的部分，按合同价格清单约定的综合单价包干，除合同约定可以调整的事项外，工作量或工程量按实计算，综合</w:t>
      </w:r>
      <w:r>
        <w:rPr>
          <w:rFonts w:ascii="仿宋" w:hAnsi="仿宋" w:eastAsia="仿宋" w:cs="仿宋"/>
          <w:color w:val="auto"/>
          <w:highlight w:val="none"/>
          <w:lang w:eastAsia="zh-CN"/>
        </w:rPr>
        <w:t>单价不</w:t>
      </w:r>
      <w:r>
        <w:rPr>
          <w:rFonts w:hint="eastAsia" w:ascii="仿宋" w:hAnsi="仿宋" w:eastAsia="仿宋" w:cs="仿宋"/>
          <w:color w:val="auto"/>
          <w:highlight w:val="none"/>
          <w:lang w:eastAsia="zh-CN"/>
        </w:rPr>
        <w:t>予</w:t>
      </w:r>
      <w:r>
        <w:rPr>
          <w:rFonts w:ascii="仿宋" w:hAnsi="仿宋" w:eastAsia="仿宋" w:cs="仿宋"/>
          <w:color w:val="auto"/>
          <w:highlight w:val="none"/>
          <w:lang w:eastAsia="zh-CN"/>
        </w:rPr>
        <w:t>调整</w:t>
      </w:r>
      <w:r>
        <w:rPr>
          <w:rFonts w:hint="eastAsia" w:ascii="仿宋" w:hAnsi="仿宋" w:eastAsia="仿宋" w:cs="仿宋"/>
          <w:color w:val="auto"/>
          <w:highlight w:val="none"/>
          <w:lang w:eastAsia="zh-CN"/>
        </w:rPr>
        <w:t>。</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结算价＝采用总价合同部分的结算价（A）+采用单价合同的部分的结算价（B）</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其中：A＝协议书约定的相应总价±合同约定的价格调整－发包人批准的优化设计降低造价</w:t>
      </w:r>
    </w:p>
    <w:p>
      <w:pPr>
        <w:spacing w:line="360" w:lineRule="auto"/>
        <w:ind w:firstLine="1476" w:firstLineChars="615"/>
        <w:rPr>
          <w:rFonts w:ascii="仿宋" w:hAnsi="仿宋" w:eastAsia="仿宋" w:cs="仿宋"/>
          <w:color w:val="auto"/>
          <w:highlight w:val="none"/>
          <w:lang w:eastAsia="zh-CN"/>
        </w:rPr>
      </w:pPr>
      <w:r>
        <w:rPr>
          <w:rFonts w:hint="eastAsia" w:ascii="仿宋" w:hAnsi="仿宋" w:eastAsia="仿宋" w:cs="仿宋"/>
          <w:color w:val="auto"/>
          <w:highlight w:val="none"/>
          <w:lang w:eastAsia="zh-CN"/>
        </w:rPr>
        <w:t>B＝中标综合单价×实际数量±合同约定的价格调整</w:t>
      </w:r>
    </w:p>
    <w:p>
      <w:pPr>
        <w:spacing w:before="120" w:beforeLines="50" w:after="120" w:afterLines="50" w:line="30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1.经审定的施工图预算综合单价作为本工程的最终合同工程量清单综合单价。除合同约定可以调整的事项外，工程量按实计算，结算时综合</w:t>
      </w:r>
      <w:r>
        <w:rPr>
          <w:rFonts w:ascii="仿宋" w:hAnsi="仿宋" w:eastAsia="仿宋" w:cs="仿宋"/>
          <w:color w:val="auto"/>
          <w:highlight w:val="none"/>
          <w:u w:val="single"/>
          <w:lang w:eastAsia="zh-CN"/>
        </w:rPr>
        <w:t>单价不</w:t>
      </w:r>
      <w:r>
        <w:rPr>
          <w:rFonts w:hint="eastAsia" w:ascii="仿宋" w:hAnsi="仿宋" w:eastAsia="仿宋" w:cs="仿宋"/>
          <w:color w:val="auto"/>
          <w:highlight w:val="none"/>
          <w:u w:val="single"/>
          <w:lang w:eastAsia="zh-CN"/>
        </w:rPr>
        <w:t>予</w:t>
      </w:r>
      <w:r>
        <w:rPr>
          <w:rFonts w:ascii="仿宋" w:hAnsi="仿宋" w:eastAsia="仿宋" w:cs="仿宋"/>
          <w:color w:val="auto"/>
          <w:highlight w:val="none"/>
          <w:u w:val="single"/>
          <w:lang w:eastAsia="zh-CN"/>
        </w:rPr>
        <w:t>调整</w:t>
      </w:r>
      <w:r>
        <w:rPr>
          <w:rFonts w:hint="eastAsia" w:ascii="仿宋" w:hAnsi="仿宋" w:eastAsia="仿宋" w:cs="仿宋"/>
          <w:color w:val="auto"/>
          <w:highlight w:val="none"/>
          <w:u w:val="single"/>
          <w:lang w:eastAsia="zh-CN"/>
        </w:rPr>
        <w:t>。</w:t>
      </w:r>
    </w:p>
    <w:p>
      <w:pPr>
        <w:pStyle w:val="2"/>
        <w:ind w:firstLine="720" w:firstLineChars="300"/>
        <w:rPr>
          <w:rFonts w:ascii="仿宋" w:hAnsi="仿宋" w:eastAsia="仿宋" w:cs="仿宋"/>
          <w:color w:val="auto"/>
          <w:highlight w:val="none"/>
          <w:u w:val="single"/>
          <w:lang w:eastAsia="zh-CN" w:bidi="en-US"/>
        </w:rPr>
      </w:pPr>
      <w:r>
        <w:rPr>
          <w:rFonts w:hint="eastAsia" w:ascii="仿宋" w:hAnsi="仿宋" w:eastAsia="仿宋" w:cs="仿宋"/>
          <w:color w:val="auto"/>
          <w:highlight w:val="none"/>
          <w:u w:val="single"/>
          <w:lang w:eastAsia="zh-CN" w:bidi="en-US"/>
        </w:rPr>
        <w:t>(1)分部分项工程量清单包干综合单价=已审批项目施工图预算中的分部分项工程量清单综合单价（或施工图预算编制新增综合单价）</w:t>
      </w:r>
      <w:r>
        <w:rPr>
          <w:rFonts w:hint="eastAsia" w:ascii="仿宋" w:hAnsi="仿宋" w:eastAsia="仿宋" w:cs="仿宋"/>
          <w:color w:val="auto"/>
          <w:highlight w:val="none"/>
          <w:u w:val="single"/>
          <w:lang w:eastAsia="zh" w:bidi="en-US"/>
        </w:rPr>
        <w:t>x (1-合同约定下浮率) x (1-施工费中标下浮率)</w:t>
      </w:r>
      <w:r>
        <w:rPr>
          <w:rFonts w:hint="eastAsia" w:ascii="仿宋" w:hAnsi="仿宋" w:eastAsia="仿宋" w:cs="仿宋"/>
          <w:color w:val="auto"/>
          <w:highlight w:val="none"/>
          <w:u w:val="single"/>
          <w:lang w:eastAsia="zh-CN" w:bidi="en-US"/>
        </w:rPr>
        <w:t>，中标下浮率以投标文件为准。概算清单描述的项目特征与施工图不一致的，预算需新增编制综合单价。</w:t>
      </w:r>
    </w:p>
    <w:p>
      <w:pPr>
        <w:pStyle w:val="2"/>
        <w:ind w:firstLine="720" w:firstLineChars="300"/>
        <w:rPr>
          <w:rFonts w:ascii="仿宋" w:hAnsi="仿宋" w:eastAsia="仿宋" w:cs="仿宋"/>
          <w:color w:val="auto"/>
          <w:highlight w:val="none"/>
          <w:u w:val="single"/>
          <w:lang w:eastAsia="zh-CN" w:bidi="en-US"/>
        </w:rPr>
      </w:pPr>
      <w:r>
        <w:rPr>
          <w:rFonts w:hint="eastAsia" w:ascii="仿宋" w:hAnsi="仿宋" w:eastAsia="仿宋" w:cs="仿宋"/>
          <w:color w:val="auto"/>
          <w:highlight w:val="none"/>
          <w:u w:val="single"/>
          <w:lang w:eastAsia="zh-CN" w:bidi="en-US"/>
        </w:rPr>
        <w:t>分部分项工程费=∑（分部分项工程量清单包干综合单价×工程量），工程量暂以经甲方委托的第三方咨询单位审核的项目施工图预算对应工程量计算，结算依据竣工文件按实计量。</w:t>
      </w:r>
    </w:p>
    <w:p>
      <w:pPr>
        <w:pStyle w:val="2"/>
        <w:ind w:firstLine="720" w:firstLineChars="300"/>
        <w:rPr>
          <w:rFonts w:ascii="仿宋" w:hAnsi="仿宋" w:eastAsia="仿宋" w:cs="仿宋"/>
          <w:color w:val="auto"/>
          <w:highlight w:val="none"/>
          <w:u w:val="single"/>
          <w:lang w:eastAsia="zh-CN" w:bidi="en-US"/>
        </w:rPr>
      </w:pPr>
      <w:r>
        <w:rPr>
          <w:rFonts w:hint="eastAsia" w:ascii="仿宋" w:hAnsi="仿宋" w:eastAsia="仿宋" w:cs="仿宋"/>
          <w:color w:val="auto"/>
          <w:highlight w:val="none"/>
          <w:u w:val="single"/>
          <w:lang w:eastAsia="zh-CN" w:bidi="en-US"/>
        </w:rPr>
        <w:t>（2）措施项目费：单价措施费=已审批项目施工图预算中的措施费单价</w:t>
      </w:r>
      <w:r>
        <w:rPr>
          <w:rFonts w:hint="eastAsia" w:ascii="仿宋" w:hAnsi="仿宋" w:eastAsia="仿宋" w:cs="仿宋"/>
          <w:color w:val="auto"/>
          <w:highlight w:val="none"/>
          <w:u w:val="single"/>
          <w:lang w:eastAsia="zh" w:bidi="en-US"/>
        </w:rPr>
        <w:t>x (1-合同约定下浮率) x (1-施工费中标下浮率)</w:t>
      </w:r>
      <w:r>
        <w:rPr>
          <w:rFonts w:hint="eastAsia" w:ascii="仿宋" w:hAnsi="仿宋" w:eastAsia="仿宋" w:cs="仿宋"/>
          <w:color w:val="auto"/>
          <w:highlight w:val="none"/>
          <w:u w:val="single"/>
          <w:lang w:eastAsia="zh-CN" w:bidi="en-US"/>
        </w:rPr>
        <w:t>×工程量。</w:t>
      </w:r>
    </w:p>
    <w:p>
      <w:pPr>
        <w:pStyle w:val="2"/>
        <w:ind w:firstLine="720" w:firstLineChars="300"/>
        <w:rPr>
          <w:rFonts w:ascii="仿宋" w:hAnsi="仿宋" w:eastAsia="仿宋" w:cs="仿宋"/>
          <w:color w:val="auto"/>
          <w:highlight w:val="none"/>
          <w:u w:val="single"/>
          <w:lang w:eastAsia="zh-CN" w:bidi="en-US"/>
        </w:rPr>
      </w:pPr>
      <w:r>
        <w:rPr>
          <w:rFonts w:hint="eastAsia" w:ascii="仿宋" w:hAnsi="仿宋" w:eastAsia="仿宋" w:cs="仿宋"/>
          <w:color w:val="auto"/>
          <w:highlight w:val="none"/>
          <w:u w:val="single"/>
          <w:lang w:eastAsia="zh-CN" w:bidi="en-US"/>
        </w:rPr>
        <w:t>总价措施费=已审批项目施工图预算对应的总价措施费</w:t>
      </w:r>
      <w:r>
        <w:rPr>
          <w:rFonts w:hint="eastAsia" w:ascii="仿宋" w:hAnsi="仿宋" w:eastAsia="仿宋" w:cs="仿宋"/>
          <w:color w:val="auto"/>
          <w:highlight w:val="none"/>
          <w:u w:val="single"/>
          <w:lang w:eastAsia="zh" w:bidi="en-US"/>
        </w:rPr>
        <w:t>x (1-合同约定下浮率) x (1-施工费中标下浮率)</w:t>
      </w:r>
      <w:r>
        <w:rPr>
          <w:rFonts w:hint="eastAsia" w:ascii="仿宋" w:hAnsi="仿宋" w:eastAsia="仿宋" w:cs="仿宋"/>
          <w:color w:val="auto"/>
          <w:highlight w:val="none"/>
          <w:u w:val="single"/>
          <w:lang w:eastAsia="zh-CN" w:bidi="en-US"/>
        </w:rPr>
        <w:t>。</w:t>
      </w:r>
    </w:p>
    <w:p>
      <w:pPr>
        <w:pStyle w:val="2"/>
        <w:ind w:firstLine="720" w:firstLineChars="300"/>
        <w:rPr>
          <w:rFonts w:ascii="仿宋" w:hAnsi="仿宋" w:eastAsia="仿宋" w:cs="仿宋"/>
          <w:color w:val="auto"/>
          <w:highlight w:val="none"/>
          <w:u w:val="single"/>
          <w:lang w:eastAsia="zh-CN" w:bidi="en-US"/>
        </w:rPr>
      </w:pPr>
      <w:r>
        <w:rPr>
          <w:rFonts w:hint="eastAsia" w:ascii="仿宋" w:hAnsi="仿宋" w:eastAsia="仿宋" w:cs="仿宋"/>
          <w:color w:val="auto"/>
          <w:highlight w:val="none"/>
          <w:u w:val="single"/>
          <w:lang w:eastAsia="zh-CN" w:bidi="en-US"/>
        </w:rPr>
        <w:t>（3）其他项目费=已审批项目施工图预算对应其他项目费</w:t>
      </w:r>
      <w:r>
        <w:rPr>
          <w:rFonts w:hint="eastAsia" w:ascii="仿宋" w:hAnsi="仿宋" w:eastAsia="仿宋" w:cs="仿宋"/>
          <w:color w:val="auto"/>
          <w:highlight w:val="none"/>
          <w:u w:val="single"/>
          <w:lang w:eastAsia="zh" w:bidi="en-US"/>
        </w:rPr>
        <w:t>x (1-合同约定下浮率) x (1-施工费中标下浮率)</w:t>
      </w:r>
      <w:r>
        <w:rPr>
          <w:rFonts w:hint="eastAsia" w:ascii="仿宋" w:hAnsi="仿宋" w:eastAsia="仿宋" w:cs="仿宋"/>
          <w:color w:val="auto"/>
          <w:highlight w:val="none"/>
          <w:u w:val="single"/>
          <w:lang w:eastAsia="zh-CN" w:bidi="en-US"/>
        </w:rPr>
        <w:t>。暂列金额根据工程需要开列，余泥消纳费以有效发票实报实销，纳入工程结算。</w:t>
      </w:r>
    </w:p>
    <w:p>
      <w:pPr>
        <w:pStyle w:val="2"/>
        <w:ind w:firstLine="720" w:firstLineChars="300"/>
        <w:rPr>
          <w:rFonts w:ascii="仿宋" w:hAnsi="仿宋" w:eastAsia="仿宋" w:cs="仿宋"/>
          <w:color w:val="auto"/>
          <w:highlight w:val="none"/>
          <w:u w:val="single"/>
          <w:lang w:eastAsia="zh-CN" w:bidi="en-US"/>
        </w:rPr>
      </w:pPr>
      <w:r>
        <w:rPr>
          <w:rFonts w:hint="eastAsia" w:ascii="仿宋" w:hAnsi="仿宋" w:eastAsia="仿宋" w:cs="仿宋"/>
          <w:color w:val="auto"/>
          <w:highlight w:val="none"/>
          <w:u w:val="single"/>
          <w:lang w:eastAsia="zh-CN" w:bidi="en-US"/>
        </w:rPr>
        <w:t>（4）规费、税金：按规定计取，费率固定不变（市造价站文件规定可调整除外）。</w:t>
      </w:r>
    </w:p>
    <w:p>
      <w:pPr>
        <w:pStyle w:val="2"/>
        <w:ind w:firstLine="720" w:firstLineChars="300"/>
        <w:rPr>
          <w:rFonts w:ascii="仿宋" w:hAnsi="仿宋" w:eastAsia="仿宋" w:cs="仿宋"/>
          <w:color w:val="auto"/>
          <w:highlight w:val="none"/>
          <w:u w:val="single"/>
          <w:lang w:eastAsia="zh-CN" w:bidi="en-US"/>
        </w:rPr>
      </w:pPr>
      <w:r>
        <w:rPr>
          <w:rFonts w:hint="eastAsia" w:ascii="仿宋" w:hAnsi="仿宋" w:eastAsia="仿宋" w:cs="仿宋"/>
          <w:color w:val="auto"/>
          <w:highlight w:val="none"/>
          <w:u w:val="single"/>
          <w:lang w:eastAsia="zh-CN" w:bidi="en-US"/>
        </w:rPr>
        <w:t>（5）施工部分总价=分部分项工程费+措施项目费+其他项目费+规费+税金。</w:t>
      </w:r>
    </w:p>
    <w:p>
      <w:pPr>
        <w:pStyle w:val="2"/>
        <w:rPr>
          <w:color w:val="auto"/>
          <w:highlight w:val="none"/>
          <w:lang w:eastAsia="zh-CN"/>
        </w:rPr>
      </w:pP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2.计量规则：</w:t>
      </w:r>
      <w:r>
        <w:rPr>
          <w:rFonts w:hint="eastAsia" w:ascii="仿宋" w:hAnsi="仿宋" w:eastAsia="仿宋" w:cs="仿宋"/>
          <w:color w:val="auto"/>
          <w:highlight w:val="none"/>
          <w:u w:val="single"/>
          <w:lang w:eastAsia="zh-CN"/>
        </w:rPr>
        <w:t>工程量根据《建设工程工程量清单计价规范》（GB50500-2013）及相应的工程量计算规范、《广东省建设工程计价依据（2018）》相关计价依据规定的工程量计算规则和图纸，结合合同约定进行计算。</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3.计价办法和依据：</w:t>
      </w:r>
      <w:r>
        <w:rPr>
          <w:rFonts w:hint="eastAsia" w:ascii="仿宋" w:hAnsi="仿宋" w:eastAsia="仿宋" w:cs="仿宋"/>
          <w:color w:val="auto"/>
          <w:highlight w:val="none"/>
          <w:u w:val="single"/>
          <w:lang w:eastAsia="zh-CN"/>
        </w:rPr>
        <w:t>采用工程量清单计价方法，根据国家标准《建设工程工程量清单计价规范》（GB50500-2013）、《广东省建设工程计价依据（2018）》、《广东省市政工程综合定额2018》、《广东省园林绿化工程综合定额2018》、《广东省通用安装工程综合定额2018》、《广东省房屋建筑与装饰工程综合定额2018》、《广东省建设工程施工机具台班费用编制规则（2018）》及配套文件，以及广州市花都区颁布的合同约定基准日期建筑工程信息价等有关计价办法的通知。上述定额有修订或新版时，按其规定执行；工程概算、施工图预算编制时当上述定额子目有缺项则参考其它相关定额子目编制补充定额子目。人工、机械价格按合同约定基准日期广州市花都区建设工程造价管理发布的文件执行，同时信息文件中无明确规定的，按定额价计取。材料、设备价格按工程合同约定基准日期广州市花都区住房和城乡建设局发布《花都区建设工程地方材料税前综合价格》和广州市建设工程造价管理站发布《广州地区建设工程常用材料税前综合价格》，未及部分参考《广州地区建设工程材料（设备）厂商价格信息》下浮计算（下浮比例双方协商），材料价格在《广州地区建设工程材料（设备）厂商价格信息》中没有对应的品牌、规格及型号的材料，由承包人通过市场询价（市场询价原则上应在就近工程所在地询价，询价文件应提供3~5份，并且盖有供应商的公章，且单价必须明确是否包税、包运、包安装等影响单价的关键内容）并报给监理单位、造价单位和发包人审核确认，</w:t>
      </w:r>
      <w:r>
        <w:rPr>
          <w:rFonts w:hint="eastAsia" w:ascii="仿宋" w:hAnsi="仿宋" w:eastAsia="仿宋" w:cs="仿宋"/>
          <w:color w:val="auto"/>
          <w:highlight w:val="none"/>
          <w:u w:val="single"/>
          <w:lang w:val="en-US" w:eastAsia="zh-CN"/>
        </w:rPr>
        <w:t>通过市场询价及材料发票确认的材料价格不参与下浮</w:t>
      </w:r>
      <w:r>
        <w:rPr>
          <w:rFonts w:hint="eastAsia" w:ascii="仿宋" w:hAnsi="仿宋" w:eastAsia="仿宋" w:cs="仿宋"/>
          <w:color w:val="auto"/>
          <w:highlight w:val="none"/>
          <w:u w:val="single"/>
          <w:lang w:eastAsia="zh-CN"/>
        </w:rPr>
        <w:t>。取费标准按合同约定基准日期对应的广州市计费文件计算。变更部分综合单价执行合同约定下浮率和中标下浮率，按费率计算的措施项目费及预算包干费不另计算。</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1）综合单价包含以下内容及风险：</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承包人施工图预算应根据发包人要求，按照各个单体和专业工程分别填报工程量、单价及合价，工程量清单应视为含有实施和完成该清单项目所有工作内容，还应包括图纸和规范列明和要求的工作内容、检验试验等，即除税金以外所需的人工、材料、机械、按设计规定和验收规范要求施工单位应进行的测试、试验费用、缺陷修复、管理、保险、利润、房屋监测等全部费用，以及合同及图纸的所有责任、义务和一般风险。其中，原有房屋安全鉴定、房屋监测相关的费用由承包人承担，不单独另行计算。</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2）措施项目费：</w:t>
      </w:r>
      <w:r>
        <w:rPr>
          <w:rFonts w:hint="eastAsia" w:ascii="仿宋" w:hAnsi="仿宋" w:eastAsia="仿宋" w:cs="仿宋"/>
          <w:color w:val="auto"/>
          <w:highlight w:val="none"/>
          <w:u w:val="single"/>
          <w:lang w:eastAsia="zh-CN"/>
        </w:rPr>
        <w:t>措施其他项目中按子目计算的清单项，综合单价包干，工程量按实调整。按费率计算的清单项，总价包干，结算时不做调整。</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3）其它项目：</w:t>
      </w:r>
      <w:r>
        <w:rPr>
          <w:rFonts w:hint="eastAsia" w:ascii="仿宋" w:hAnsi="仿宋" w:eastAsia="仿宋" w:cs="仿宋"/>
          <w:color w:val="auto"/>
          <w:highlight w:val="none"/>
          <w:u w:val="single"/>
          <w:lang w:eastAsia="zh-CN"/>
        </w:rPr>
        <w:t>按《广东省建设工程计价依据（2018）》计算。</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4）规费税金：</w:t>
      </w:r>
      <w:r>
        <w:rPr>
          <w:rFonts w:hint="eastAsia" w:ascii="仿宋" w:hAnsi="仿宋" w:eastAsia="仿宋" w:cs="仿宋"/>
          <w:color w:val="auto"/>
          <w:highlight w:val="none"/>
          <w:u w:val="single"/>
          <w:lang w:eastAsia="zh-CN"/>
        </w:rPr>
        <w:t>按规定计算。</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5）预算审核确定方式</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val="en-US" w:eastAsia="zh-CN"/>
        </w:rPr>
        <w:t>1</w:t>
      </w:r>
      <w:r>
        <w:rPr>
          <w:rFonts w:hint="eastAsia" w:ascii="仿宋" w:hAnsi="仿宋" w:eastAsia="仿宋" w:cs="仿宋"/>
          <w:color w:val="auto"/>
          <w:highlight w:val="none"/>
          <w:u w:val="single"/>
          <w:lang w:eastAsia="zh-CN"/>
        </w:rPr>
        <w:t>）承包人在施工图审查完成后30天内编制施工图预算，并结合合同约定下浮率和施工费中标下浮率计算。当结合下浮率计算后的预算造价超过</w:t>
      </w:r>
      <w:r>
        <w:rPr>
          <w:rFonts w:hint="eastAsia" w:ascii="仿宋" w:hAnsi="仿宋" w:eastAsia="仿宋" w:cs="仿宋"/>
          <w:color w:val="auto"/>
          <w:highlight w:val="none"/>
          <w:u w:val="single"/>
          <w:lang w:eastAsia="zh"/>
        </w:rPr>
        <w:t>中标</w:t>
      </w:r>
      <w:r>
        <w:rPr>
          <w:rFonts w:hint="eastAsia" w:ascii="仿宋" w:hAnsi="仿宋" w:eastAsia="仿宋" w:cs="仿宋"/>
          <w:color w:val="auto"/>
          <w:highlight w:val="none"/>
          <w:u w:val="single"/>
          <w:lang w:eastAsia="zh-CN"/>
        </w:rPr>
        <w:t>建安工程费时，承包人应优化施工图设计，优化内容须经发包人批准，并调整预算造价，直到下浮后的预算造价不超过</w:t>
      </w:r>
      <w:r>
        <w:rPr>
          <w:rFonts w:hint="eastAsia" w:ascii="仿宋" w:hAnsi="仿宋" w:eastAsia="仿宋" w:cs="仿宋"/>
          <w:color w:val="auto"/>
          <w:highlight w:val="none"/>
          <w:u w:val="single"/>
          <w:lang w:eastAsia="zh"/>
        </w:rPr>
        <w:t>中标</w:t>
      </w:r>
      <w:r>
        <w:rPr>
          <w:rFonts w:hint="eastAsia" w:ascii="仿宋" w:hAnsi="仿宋" w:eastAsia="仿宋" w:cs="仿宋"/>
          <w:color w:val="auto"/>
          <w:highlight w:val="none"/>
          <w:u w:val="single"/>
          <w:lang w:eastAsia="zh-CN"/>
        </w:rPr>
        <w:t>建安工程费的造价为止。发包人选定的造价咨询单位收到承包人施工图预算后30天内完成初步审核，出具初步审核意见，承包人对初步审核若有异议，则双方进行对数，双方同意结果后报发包人书面审核，承包人（施工方）应自发包人出具书面审核意见后60天内完成施工图预算确认并加盖签章。因承包人预算送审延迟或对数造成预算送审时间延误产生的后果由承包人承担，因承包人（施工方）责任造成逾期的，每逾期一天，承包人按5万元/天支付违约金。</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val="en-US" w:eastAsia="zh-CN"/>
        </w:rPr>
        <w:t>2</w:t>
      </w:r>
      <w:r>
        <w:rPr>
          <w:rFonts w:hint="eastAsia" w:ascii="仿宋" w:hAnsi="仿宋" w:eastAsia="仿宋" w:cs="仿宋"/>
          <w:color w:val="auto"/>
          <w:highlight w:val="none"/>
          <w:u w:val="single"/>
          <w:lang w:eastAsia="zh-CN"/>
        </w:rPr>
        <w:t>）发包人聘请的造价咨询单位审定的下浮后预算造价、清单单价作为固定综合单价包干的依据，且预算造价中的各项费率在结算时不作调整。</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val="en-US" w:eastAsia="zh-CN"/>
        </w:rPr>
        <w:t>3</w:t>
      </w:r>
      <w:r>
        <w:rPr>
          <w:rFonts w:hint="eastAsia" w:ascii="仿宋" w:hAnsi="仿宋" w:eastAsia="仿宋" w:cs="仿宋"/>
          <w:color w:val="auto"/>
          <w:highlight w:val="none"/>
          <w:u w:val="single"/>
          <w:lang w:eastAsia="zh-CN"/>
        </w:rPr>
        <w:t>）预算或材料价格审核时承包人与发包人聘请的造价咨询单位发生分歧，承包人不得以此作为影响施工的借口，暂停施工或拖延工程进度。如承包人以存在分歧拒绝施工，或者实质上拖延工程进度，由此引起的工期延误由承包人承担。经发包人发出整改指令后一个月内仍未改正的，发包人有权解除合同，承包人除承担工期延误违约责任外，还应赔偿发包人由此带来的一切损失。</w:t>
      </w:r>
    </w:p>
    <w:p>
      <w:pPr>
        <w:spacing w:line="360" w:lineRule="auto"/>
        <w:ind w:firstLine="843" w:firstLineChars="350"/>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4.其他约定：</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发包人向承包人交地后，由承包人负责对建设用地进行维护管理，因承包人维护管理不力或非发包人原因引起地面标高变化导致费用增加的，增加的费用由承包人承担。承包人应结合地质勘察情况及现场条件，充分考虑砂(土)方沉降情况(若有)，按施工图设计文件计算沉降填补工程量。实际沉降填补工程量超过施工图设计文件时，超出部分在综合单价中考虑；实际沉降填补工程量低于施工图设计文件时，按实际沉降填补工程量计算（依据监理人确认的沉降观测数据列表计算）。</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承包人应在投标报价中充分评估本项目可能因包括但不限于施工期间临时停水停电、征地拆迁、工程建设过程中因实际所需临时增加的第三方检验检测等等原因产生的暂停施工风险，并在投标报价中综合考虑由此而导致的停工窝工、工期补回、增加施工、工程照管、防洪排涝以及现场管理等所产生的费用，不单独另行计算。</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承包人应投标报价中充分评估本项目可能因包括但不限于移交、协调等原因产生的照管管养风险，并在投标报价中综合考虑由此而导致的工程照管以及现场管理等所产生的费用，不单独另行计算。</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本合同条款中承包履行义务涉及的风险，或承包人由于自身原因引起合同价款以外的费用增加，不单独另行计算。</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除本合同另有约定可调整外的物价变化、气候变化、保险、工程分包等情况发生的相关费用均由承包人承担，不单独另行计算。</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施工图预算编制费由承包人承担，不单独另行计算。</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项目实施过程中发包人有权对具体实施项目进行调整,并按照上述办法结算。减少的项目无论有无替代，发包人都不予补偿。</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本合同价款中建筑安装工程费部分仅作为签约合同价，实际合同价款待施工图预算经发包人审定后，修正施工费用合同价款，并签订补充协议。</w:t>
      </w:r>
    </w:p>
    <w:p>
      <w:pPr>
        <w:numPr>
          <w:ilvl w:val="0"/>
          <w:numId w:val="35"/>
        </w:num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结算价以最终审定的金额为准（最终结算价格不得超过中标价，如超过的直接以承包人中标价为最终结算价，合同另有约定除外）。</w:t>
      </w:r>
    </w:p>
    <w:p>
      <w:pPr>
        <w:pStyle w:val="7"/>
        <w:rPr>
          <w:color w:val="auto"/>
          <w:highlight w:val="none"/>
          <w:lang w:eastAsia="zh-CN"/>
        </w:rPr>
      </w:pPr>
    </w:p>
    <w:p>
      <w:pPr>
        <w:spacing w:line="360" w:lineRule="auto"/>
        <w:ind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72.1.6 其他服务项目费用的计量规则与计价办法</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按通用条款72.1.6约定。</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color w:val="auto"/>
          <w:highlight w:val="none"/>
          <w:lang w:eastAsia="zh-CN"/>
        </w:rPr>
      </w:pPr>
      <w:bookmarkStart w:id="1811" w:name="_Toc3720"/>
      <w:bookmarkStart w:id="1812" w:name="_Toc15172"/>
      <w:bookmarkStart w:id="1813" w:name="_Toc3693"/>
      <w:bookmarkStart w:id="1814" w:name="_Toc15495"/>
      <w:bookmarkStart w:id="1815" w:name="_Toc19476"/>
      <w:bookmarkStart w:id="1816" w:name="_Toc30574"/>
      <w:bookmarkStart w:id="1817" w:name="_Toc26607"/>
      <w:bookmarkStart w:id="1818" w:name="_Toc31025"/>
      <w:r>
        <w:rPr>
          <w:rFonts w:hint="eastAsia" w:ascii="仿宋" w:hAnsi="仿宋" w:eastAsia="仿宋" w:cs="仿宋"/>
          <w:b w:val="0"/>
          <w:bCs w:val="0"/>
          <w:color w:val="auto"/>
          <w:sz w:val="24"/>
          <w:szCs w:val="24"/>
          <w:highlight w:val="none"/>
          <w:lang w:eastAsia="zh-CN"/>
        </w:rPr>
        <w:t>★73.  暂列金额</w:t>
      </w:r>
      <w:bookmarkEnd w:id="1811"/>
      <w:bookmarkEnd w:id="1812"/>
      <w:bookmarkEnd w:id="1813"/>
      <w:bookmarkEnd w:id="1814"/>
      <w:bookmarkEnd w:id="1815"/>
      <w:bookmarkEnd w:id="1816"/>
      <w:bookmarkEnd w:id="1817"/>
      <w:bookmarkEnd w:id="1818"/>
    </w:p>
    <w:p>
      <w:pPr>
        <w:spacing w:line="360" w:lineRule="auto"/>
        <w:rPr>
          <w:rFonts w:ascii="仿宋" w:hAnsi="仿宋" w:eastAsia="仿宋" w:cs="仿宋"/>
          <w:color w:val="auto"/>
          <w:highlight w:val="none"/>
          <w:lang w:eastAsia="zh-CN"/>
        </w:rPr>
      </w:pPr>
      <w:bookmarkStart w:id="1819" w:name="_Toc26979"/>
      <w:r>
        <w:rPr>
          <w:rFonts w:hint="eastAsia" w:ascii="仿宋" w:hAnsi="仿宋" w:eastAsia="仿宋" w:cs="仿宋"/>
          <w:color w:val="auto"/>
          <w:highlight w:val="none"/>
          <w:lang w:eastAsia="zh-CN"/>
        </w:rPr>
        <w:t>73.1 暂列金额的用途</w:t>
      </w:r>
      <w:bookmarkEnd w:id="1819"/>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暂列金额：指发包人在工程量清单中暂定并包括在合同价款中的一笔款项。主要用于：</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1、业主指令调整及增加事项。</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2、经发包人确认的索赔。</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3、项目实施过程中因政策因素引起的费用变化。</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4、施工图预算确定后，不可预见的所需材料、设备、服务等的采购。</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5、按合同约定工程价款调整。</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6、发包人原因导致的设计变更，不含承包人原因导致的设计变更，设计变更为相对施工蓝图下发之后的变更。</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7、经确认的现场签证（包括以计日工方式支付的金额）。</w:t>
      </w:r>
    </w:p>
    <w:p>
      <w:pPr>
        <w:spacing w:line="360" w:lineRule="auto"/>
        <w:ind w:firstLine="600" w:firstLineChars="25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8、遇溶洞、淤泥等不良地质时，采用加固或换填措施</w:t>
      </w:r>
      <w:r>
        <w:rPr>
          <w:rFonts w:hint="eastAsia" w:ascii="仿宋" w:hAnsi="仿宋" w:eastAsia="仿宋" w:cs="仿宋"/>
          <w:color w:val="auto"/>
          <w:highlight w:val="none"/>
          <w:lang w:eastAsia="zh"/>
        </w:rPr>
        <w:t>等</w:t>
      </w:r>
      <w:r>
        <w:rPr>
          <w:rFonts w:hint="eastAsia" w:ascii="仿宋" w:hAnsi="仿宋" w:eastAsia="仿宋" w:cs="仿宋"/>
          <w:color w:val="auto"/>
          <w:highlight w:val="none"/>
          <w:lang w:eastAsia="zh-CN"/>
        </w:rPr>
        <w:t>费用考虑不足，可用暂列金。</w:t>
      </w:r>
    </w:p>
    <w:p>
      <w:pPr>
        <w:spacing w:line="360" w:lineRule="auto"/>
        <w:ind w:firstLine="600" w:firstLineChars="250"/>
        <w:rPr>
          <w:rFonts w:hint="default"/>
          <w:color w:val="auto"/>
          <w:highlight w:val="none"/>
          <w:lang w:eastAsia="zh-CN"/>
        </w:rPr>
      </w:pPr>
      <w:r>
        <w:rPr>
          <w:rFonts w:hint="eastAsia" w:ascii="仿宋" w:hAnsi="仿宋" w:eastAsia="仿宋" w:cs="仿宋"/>
          <w:color w:val="auto"/>
          <w:highlight w:val="none"/>
          <w:lang w:val="en-US" w:eastAsia="zh-CN"/>
        </w:rPr>
        <w:t>9、其他经发包人确认的情形。</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经发包人书面同意后，承包人才可使用暂列金额，经监理单位、造价咨询单位、发包人书面审核后作为工程价款支付的依据。</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820" w:name="_Toc15658"/>
      <w:bookmarkStart w:id="1821" w:name="_Toc24532"/>
      <w:bookmarkStart w:id="1822" w:name="_Toc5398"/>
      <w:bookmarkStart w:id="1823" w:name="_Toc15455"/>
      <w:bookmarkStart w:id="1824" w:name="_Toc30483"/>
      <w:bookmarkStart w:id="1825" w:name="_Toc16882"/>
      <w:bookmarkStart w:id="1826" w:name="_Toc8610"/>
      <w:bookmarkStart w:id="1827" w:name="_Toc363"/>
      <w:r>
        <w:rPr>
          <w:rFonts w:hint="eastAsia" w:ascii="仿宋" w:hAnsi="仿宋" w:eastAsia="仿宋" w:cs="仿宋"/>
          <w:b w:val="0"/>
          <w:bCs w:val="0"/>
          <w:color w:val="auto"/>
          <w:sz w:val="24"/>
          <w:szCs w:val="24"/>
          <w:highlight w:val="none"/>
          <w:lang w:eastAsia="zh-CN"/>
        </w:rPr>
        <w:t>★75.  暂估价</w:t>
      </w:r>
      <w:bookmarkEnd w:id="1820"/>
      <w:bookmarkEnd w:id="1821"/>
      <w:bookmarkEnd w:id="1822"/>
      <w:bookmarkEnd w:id="1823"/>
      <w:bookmarkEnd w:id="1824"/>
      <w:bookmarkEnd w:id="1825"/>
      <w:bookmarkEnd w:id="1826"/>
      <w:bookmarkEnd w:id="1827"/>
    </w:p>
    <w:p>
      <w:pPr>
        <w:spacing w:line="360" w:lineRule="auto"/>
        <w:ind w:left="240" w:leftChars="100" w:firstLine="241" w:firstLineChars="100"/>
        <w:rPr>
          <w:rFonts w:ascii="仿宋" w:hAnsi="仿宋" w:eastAsia="仿宋"/>
          <w:color w:val="auto"/>
          <w:highlight w:val="none"/>
          <w:lang w:eastAsia="zh-CN"/>
        </w:rPr>
      </w:pPr>
      <w:r>
        <w:rPr>
          <w:rFonts w:hint="eastAsia" w:ascii="仿宋" w:hAnsi="仿宋" w:eastAsia="仿宋" w:cs="仿宋"/>
          <w:b/>
          <w:bCs/>
          <w:color w:val="auto"/>
          <w:highlight w:val="none"/>
          <w:lang w:eastAsia="zh-CN"/>
        </w:rPr>
        <w:t>★75</w:t>
      </w:r>
      <w:r>
        <w:rPr>
          <w:rFonts w:hint="eastAsia" w:ascii="仿宋" w:hAnsi="仿宋" w:eastAsia="仿宋" w:cs="仿宋"/>
          <w:color w:val="auto"/>
          <w:highlight w:val="none"/>
          <w:lang w:eastAsia="zh-CN"/>
        </w:rPr>
        <w:t>.1 依法必须招标的工程材料、工程设备或专业工程暂估价的的约定</w:t>
      </w:r>
    </w:p>
    <w:p>
      <w:pPr>
        <w:spacing w:line="360" w:lineRule="auto"/>
        <w:ind w:left="240" w:leftChars="100"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合同双方当事人的权利、义务</w:t>
      </w:r>
    </w:p>
    <w:p>
      <w:pPr>
        <w:spacing w:line="360" w:lineRule="auto"/>
        <w:ind w:left="240" w:leftChars="100"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工程材料、工程设备：</w:t>
      </w:r>
      <w:r>
        <w:rPr>
          <w:rFonts w:hint="eastAsia" w:ascii="仿宋" w:hAnsi="仿宋" w:eastAsia="仿宋" w:cs="仿宋"/>
          <w:color w:val="auto"/>
          <w:highlight w:val="none"/>
          <w:u w:val="single"/>
          <w:lang w:eastAsia="zh-CN"/>
        </w:rPr>
        <w:t>无</w:t>
      </w:r>
    </w:p>
    <w:p>
      <w:pPr>
        <w:spacing w:line="360" w:lineRule="auto"/>
        <w:ind w:left="240" w:leftChars="100"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专业工程：</w:t>
      </w:r>
      <w:r>
        <w:rPr>
          <w:rFonts w:hint="eastAsia" w:ascii="仿宋" w:hAnsi="仿宋" w:eastAsia="仿宋" w:cs="仿宋"/>
          <w:color w:val="auto"/>
          <w:highlight w:val="none"/>
          <w:u w:val="single"/>
          <w:lang w:eastAsia="zh-CN"/>
        </w:rPr>
        <w:t>无</w:t>
      </w:r>
    </w:p>
    <w:p>
      <w:pPr>
        <w:pStyle w:val="17"/>
        <w:spacing w:line="360" w:lineRule="auto"/>
        <w:ind w:firstLine="482" w:firstLineChars="200"/>
        <w:rPr>
          <w:rFonts w:ascii="仿宋" w:hAnsi="仿宋" w:eastAsia="仿宋" w:cs="仿宋"/>
          <w:color w:val="auto"/>
          <w:sz w:val="24"/>
          <w:szCs w:val="24"/>
          <w:highlight w:val="none"/>
          <w:lang w:eastAsia="zh-CN" w:bidi="en-US"/>
        </w:rPr>
      </w:pPr>
      <w:r>
        <w:rPr>
          <w:rFonts w:hint="eastAsia" w:ascii="仿宋" w:hAnsi="仿宋" w:eastAsia="仿宋" w:cs="仿宋"/>
          <w:b/>
          <w:bCs/>
          <w:color w:val="auto"/>
          <w:sz w:val="24"/>
          <w:szCs w:val="24"/>
          <w:highlight w:val="none"/>
          <w:lang w:eastAsia="zh-CN" w:bidi="en-US"/>
        </w:rPr>
        <w:t xml:space="preserve">75.3 </w:t>
      </w:r>
      <w:r>
        <w:rPr>
          <w:rFonts w:hint="eastAsia" w:ascii="仿宋" w:hAnsi="仿宋" w:eastAsia="仿宋" w:cs="仿宋"/>
          <w:color w:val="auto"/>
          <w:sz w:val="24"/>
          <w:szCs w:val="24"/>
          <w:highlight w:val="none"/>
          <w:lang w:eastAsia="zh-CN" w:bidi="en-US"/>
        </w:rPr>
        <w:t>依法不需要招标的专业工程暂估价的约定</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按通用条款约定，由造价咨询人与承包人确定。</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ind w:firstLine="240" w:firstLineChars="100"/>
        <w:rPr>
          <w:rFonts w:ascii="仿宋" w:hAnsi="仿宋" w:eastAsia="仿宋" w:cs="仿宋"/>
          <w:b w:val="0"/>
          <w:bCs w:val="0"/>
          <w:color w:val="auto"/>
          <w:sz w:val="24"/>
          <w:szCs w:val="24"/>
          <w:highlight w:val="none"/>
          <w:lang w:eastAsia="zh-CN"/>
        </w:rPr>
      </w:pPr>
      <w:bookmarkStart w:id="1828" w:name="_Toc15847"/>
      <w:bookmarkStart w:id="1829" w:name="_Toc25326"/>
      <w:bookmarkStart w:id="1830" w:name="_Toc32387"/>
      <w:bookmarkStart w:id="1831" w:name="_Toc11444"/>
      <w:bookmarkStart w:id="1832" w:name="_Toc30985"/>
      <w:bookmarkStart w:id="1833" w:name="_Toc3072"/>
      <w:bookmarkStart w:id="1834" w:name="_Toc11207"/>
      <w:bookmarkStart w:id="1835" w:name="_Toc14100"/>
      <w:r>
        <w:rPr>
          <w:rFonts w:hint="eastAsia" w:ascii="仿宋" w:hAnsi="仿宋" w:eastAsia="仿宋" w:cs="仿宋"/>
          <w:b w:val="0"/>
          <w:bCs w:val="0"/>
          <w:color w:val="auto"/>
          <w:sz w:val="24"/>
          <w:szCs w:val="24"/>
          <w:highlight w:val="none"/>
          <w:lang w:eastAsia="zh-CN"/>
        </w:rPr>
        <w:t>★76.  提前竣工奖与误期赔偿费</w:t>
      </w:r>
      <w:bookmarkEnd w:id="1828"/>
      <w:bookmarkEnd w:id="1829"/>
      <w:bookmarkEnd w:id="1830"/>
      <w:bookmarkEnd w:id="1831"/>
      <w:bookmarkEnd w:id="1832"/>
      <w:bookmarkEnd w:id="1833"/>
      <w:bookmarkEnd w:id="1834"/>
      <w:bookmarkEnd w:id="1835"/>
    </w:p>
    <w:p>
      <w:pPr>
        <w:spacing w:line="360" w:lineRule="auto"/>
        <w:ind w:left="240" w:leftChars="100"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76.1 提前竣工奖</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①提前竣工奖额度</w:t>
      </w:r>
    </w:p>
    <w:p>
      <w:pPr>
        <w:spacing w:line="360" w:lineRule="auto"/>
        <w:ind w:left="240" w:leftChars="100"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未约定提前竣工奖的，本款不适用。</w:t>
      </w:r>
    </w:p>
    <w:p>
      <w:pPr>
        <w:spacing w:line="360" w:lineRule="auto"/>
        <w:ind w:left="240" w:leftChars="100"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约定提前竣工奖的，每日历天应奖额度为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②提前竣工奖的最高限额</w:t>
      </w:r>
    </w:p>
    <w:p>
      <w:pPr>
        <w:spacing w:line="360" w:lineRule="auto"/>
        <w:ind w:left="240" w:leftChars="100"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按通用条款约定为合同价款的5%，即</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left="240" w:leftChars="100"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本项目不计取提前竣工奖。</w:t>
      </w:r>
    </w:p>
    <w:p>
      <w:pPr>
        <w:spacing w:line="360" w:lineRule="auto"/>
        <w:ind w:left="240" w:leftChars="100"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76.2 误期赔偿费</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① 每日历天应赔偿额度为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left="240" w:leftChars="100"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② 误期赔偿费的最高限额</w:t>
      </w:r>
    </w:p>
    <w:p>
      <w:pPr>
        <w:spacing w:line="360" w:lineRule="auto"/>
        <w:ind w:left="240" w:leftChars="100"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按通用条款约定为合同价款的5%，即</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adjustRightInd w:val="0"/>
        <w:snapToGrid w:val="0"/>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p>
    <w:p>
      <w:pPr>
        <w:adjustRightInd w:val="0"/>
        <w:snapToGrid w:val="0"/>
        <w:spacing w:line="360" w:lineRule="auto"/>
        <w:ind w:firstLine="960" w:firstLineChars="40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①</w:t>
      </w:r>
      <w:r>
        <w:rPr>
          <w:rFonts w:hint="eastAsia" w:ascii="仿宋" w:hAnsi="仿宋" w:eastAsia="仿宋" w:cs="仿宋"/>
          <w:color w:val="auto"/>
          <w:highlight w:val="none"/>
          <w:u w:val="single"/>
          <w:lang w:val="en-US" w:eastAsia="zh-CN"/>
        </w:rPr>
        <w:t>勘察</w:t>
      </w:r>
      <w:r>
        <w:rPr>
          <w:rFonts w:hint="eastAsia" w:ascii="仿宋" w:hAnsi="仿宋" w:eastAsia="仿宋" w:cs="仿宋"/>
          <w:color w:val="auto"/>
          <w:highlight w:val="none"/>
          <w:u w:val="single"/>
          <w:lang w:eastAsia="zh-CN"/>
        </w:rPr>
        <w:t>承包人：</w:t>
      </w:r>
      <w:r>
        <w:rPr>
          <w:rFonts w:hint="eastAsia" w:ascii="仿宋" w:hAnsi="仿宋" w:eastAsia="仿宋" w:cs="仿宋"/>
          <w:color w:val="auto"/>
          <w:highlight w:val="none"/>
          <w:lang w:eastAsia="zh-CN"/>
        </w:rPr>
        <w:t>由于承包人原因造成勘察成果资料质量不合格，不能满足技术要求时，承包人应按发包人要求期限返工，其返工勘察费用及连带责任由承包人承担。承包人未能按本合同约定的时间或发包人审核同意的勘察进度要求提交勘察成果文件的。如果延误工期，</w:t>
      </w:r>
      <w:r>
        <w:rPr>
          <w:rFonts w:hint="eastAsia" w:ascii="仿宋" w:hAnsi="仿宋" w:eastAsia="仿宋"/>
          <w:color w:val="auto"/>
          <w:highlight w:val="none"/>
          <w:u w:val="single"/>
          <w:lang w:eastAsia="zh-CN"/>
        </w:rPr>
        <w:t>每延误一天</w:t>
      </w:r>
      <w:r>
        <w:rPr>
          <w:rFonts w:hint="eastAsia" w:ascii="仿宋" w:hAnsi="仿宋" w:eastAsia="仿宋"/>
          <w:color w:val="auto"/>
          <w:highlight w:val="none"/>
          <w:u w:val="single"/>
          <w:lang w:eastAsia="zh"/>
        </w:rPr>
        <w:t>承包人</w:t>
      </w:r>
      <w:r>
        <w:rPr>
          <w:rFonts w:hint="eastAsia" w:ascii="仿宋" w:hAnsi="仿宋" w:eastAsia="仿宋"/>
          <w:color w:val="auto"/>
          <w:highlight w:val="none"/>
          <w:u w:val="single"/>
          <w:lang w:eastAsia="zh-CN"/>
        </w:rPr>
        <w:t>应支付发包人5000元的违约金</w:t>
      </w:r>
      <w:r>
        <w:rPr>
          <w:rFonts w:hint="eastAsia" w:ascii="仿宋" w:hAnsi="仿宋" w:eastAsia="仿宋"/>
          <w:color w:val="auto"/>
          <w:highlight w:val="none"/>
          <w:u w:val="single"/>
          <w:lang w:eastAsia="zh"/>
        </w:rPr>
        <w:t>，同时应赔偿发包人应工期延误所造成的损失</w:t>
      </w:r>
      <w:r>
        <w:rPr>
          <w:rFonts w:hint="eastAsia" w:ascii="仿宋" w:hAnsi="仿宋" w:eastAsia="仿宋" w:cs="仿宋"/>
          <w:color w:val="auto"/>
          <w:highlight w:val="none"/>
          <w:lang w:eastAsia="zh-CN"/>
        </w:rPr>
        <w:t>。</w:t>
      </w:r>
    </w:p>
    <w:p>
      <w:pPr>
        <w:adjustRightInd w:val="0"/>
        <w:snapToGrid w:val="0"/>
        <w:spacing w:line="360" w:lineRule="auto"/>
        <w:ind w:firstLine="960" w:firstLineChars="400"/>
        <w:rPr>
          <w:rFonts w:ascii="仿宋" w:hAnsi="仿宋" w:eastAsia="仿宋" w:cs="仿宋"/>
          <w:color w:val="auto"/>
          <w:highlight w:val="none"/>
          <w:lang w:eastAsia="zh-CN"/>
        </w:rPr>
      </w:pPr>
      <w:r>
        <w:rPr>
          <w:rFonts w:hint="eastAsia" w:ascii="仿宋" w:hAnsi="仿宋" w:eastAsia="仿宋"/>
          <w:color w:val="auto"/>
          <w:highlight w:val="none"/>
          <w:u w:val="single"/>
          <w:lang w:eastAsia="zh-CN"/>
        </w:rPr>
        <w:t>②</w:t>
      </w:r>
      <w:r>
        <w:rPr>
          <w:rFonts w:hint="eastAsia" w:ascii="仿宋" w:hAnsi="仿宋" w:eastAsia="仿宋" w:cs="仿宋"/>
          <w:color w:val="auto"/>
          <w:highlight w:val="none"/>
          <w:u w:val="single"/>
          <w:lang w:eastAsia="zh-CN"/>
        </w:rPr>
        <w:t>设计承包人：不按发包人要求的时间提供设计图纸、概算等设计文件，或由于设</w:t>
      </w:r>
      <w:r>
        <w:rPr>
          <w:rFonts w:hint="eastAsia" w:ascii="仿宋" w:hAnsi="仿宋" w:eastAsia="仿宋"/>
          <w:color w:val="auto"/>
          <w:highlight w:val="none"/>
          <w:u w:val="single"/>
          <w:lang w:eastAsia="zh-CN"/>
        </w:rPr>
        <w:t>计承包人员原因造成的误期，每延误一天应支付发包人5000元的违约金；</w:t>
      </w:r>
    </w:p>
    <w:p>
      <w:pPr>
        <w:adjustRightInd w:val="0"/>
        <w:snapToGrid w:val="0"/>
        <w:spacing w:line="360" w:lineRule="auto"/>
        <w:ind w:firstLine="960" w:firstLineChars="400"/>
        <w:rPr>
          <w:rFonts w:ascii="仿宋" w:hAnsi="仿宋" w:eastAsia="仿宋"/>
          <w:color w:val="auto"/>
          <w:highlight w:val="none"/>
          <w:u w:val="single"/>
          <w:lang w:eastAsia="zh-CN"/>
        </w:rPr>
      </w:pPr>
      <w:r>
        <w:rPr>
          <w:rFonts w:hint="eastAsia" w:ascii="仿宋" w:hAnsi="仿宋" w:eastAsia="仿宋"/>
          <w:color w:val="auto"/>
          <w:highlight w:val="none"/>
          <w:u w:val="single"/>
          <w:lang w:val="en-US" w:eastAsia="zh-CN"/>
        </w:rPr>
        <w:t>③</w:t>
      </w:r>
      <w:r>
        <w:rPr>
          <w:rFonts w:hint="eastAsia" w:ascii="仿宋" w:hAnsi="仿宋" w:eastAsia="仿宋"/>
          <w:color w:val="auto"/>
          <w:highlight w:val="none"/>
          <w:u w:val="single"/>
          <w:lang w:eastAsia="zh-CN"/>
        </w:rPr>
        <w:t>施工承包人：每日历天应赔付额度：误期是指实际竣工验收工期超出合同工期的天数。由于施工承包人原因造成的误期在15个日历天内的，每延误一天应支付发包人合同总价0.01%的违约金；误期在16—30个日历天内的，每延误一天应支付合同总价0.02%的违约金；误期在31—45个日历天内的，每延误一天应支付合同总价0.03%的违约金；以此类推，以15个日历天为一周期，分段计算并累加，累积赔付金额不超过合同价款的5%。若延期超过90个日历天的，发包人有权单方解除合同，由此造成的损失，全部由施工承包人承担。</w:t>
      </w:r>
    </w:p>
    <w:p>
      <w:pPr>
        <w:spacing w:line="360" w:lineRule="auto"/>
        <w:rPr>
          <w:rFonts w:ascii="仿宋" w:hAnsi="仿宋" w:eastAsia="仿宋" w:cs="仿宋"/>
          <w:color w:val="auto"/>
          <w:highlight w:val="none"/>
          <w:u w:val="single"/>
          <w:lang w:eastAsia="zh-CN"/>
        </w:rPr>
      </w:pPr>
    </w:p>
    <w:p>
      <w:pPr>
        <w:pStyle w:val="4"/>
        <w:tabs>
          <w:tab w:val="left" w:pos="420"/>
        </w:tabs>
        <w:spacing w:line="360" w:lineRule="auto"/>
        <w:rPr>
          <w:rFonts w:ascii="仿宋" w:hAnsi="仿宋" w:eastAsia="仿宋"/>
          <w:b w:val="0"/>
          <w:bCs w:val="0"/>
          <w:color w:val="auto"/>
          <w:sz w:val="24"/>
          <w:szCs w:val="24"/>
          <w:highlight w:val="none"/>
          <w:lang w:eastAsia="zh-CN"/>
        </w:rPr>
      </w:pPr>
      <w:bookmarkStart w:id="1836" w:name="_Toc25897"/>
      <w:bookmarkStart w:id="1837" w:name="_Toc32134"/>
      <w:bookmarkStart w:id="1838" w:name="_Toc10422"/>
      <w:bookmarkStart w:id="1839" w:name="_Toc17073"/>
      <w:bookmarkStart w:id="1840" w:name="_Toc30824"/>
      <w:bookmarkStart w:id="1841" w:name="_Toc25780"/>
      <w:bookmarkStart w:id="1842" w:name="_Toc11011"/>
      <w:bookmarkStart w:id="1843" w:name="_Toc21203"/>
      <w:r>
        <w:rPr>
          <w:rFonts w:hint="eastAsia" w:ascii="仿宋" w:hAnsi="仿宋" w:eastAsia="仿宋" w:cs="仿宋"/>
          <w:b w:val="0"/>
          <w:bCs w:val="0"/>
          <w:color w:val="auto"/>
          <w:sz w:val="24"/>
          <w:szCs w:val="24"/>
          <w:highlight w:val="none"/>
          <w:lang w:eastAsia="zh-CN"/>
        </w:rPr>
        <w:t>★77.  优质优价费用</w:t>
      </w:r>
      <w:bookmarkEnd w:id="1836"/>
      <w:bookmarkEnd w:id="1837"/>
      <w:bookmarkEnd w:id="1838"/>
      <w:bookmarkEnd w:id="1839"/>
      <w:bookmarkEnd w:id="1840"/>
      <w:bookmarkEnd w:id="1841"/>
      <w:bookmarkEnd w:id="1842"/>
      <w:bookmarkEnd w:id="1843"/>
    </w:p>
    <w:p>
      <w:pPr>
        <w:spacing w:line="360" w:lineRule="auto"/>
        <w:ind w:left="240" w:leftChars="1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77.1优质优价费用的约定</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约定优质优价费用的，其计算方法：</w:t>
      </w:r>
      <w:r>
        <w:rPr>
          <w:rFonts w:hint="eastAsia" w:ascii="仿宋" w:hAnsi="仿宋" w:eastAsia="仿宋" w:cs="仿宋"/>
          <w:color w:val="auto"/>
          <w:highlight w:val="none"/>
          <w:u w:val="single"/>
          <w:lang w:eastAsia="zh-CN"/>
        </w:rPr>
        <w:t>本项目不计取优质优价费用。</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77.2 优质优价费用计提与支付</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优质优价费用的计算额度：</w:t>
      </w:r>
    </w:p>
    <w:p>
      <w:pPr>
        <w:spacing w:line="360" w:lineRule="auto"/>
        <w:ind w:left="941" w:leftChars="392"/>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按通用条款约定计算，当合同工程同时获得上述多个奖项的，优质优价费用只按最高奖项的额度计算。国家级质量奖，优质优价费用率为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%，计费基础为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；省级质量奖，优质优价费用率为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%，计费基础为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；市级质量奖，优质优价费用率为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%，计费基础为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；精品工程</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，优质优价费用率为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%，计费基础为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；其它质量奖</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，优质优价费用率为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%，计费基础为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941" w:leftChars="392"/>
        <w:rPr>
          <w:rFonts w:ascii="仿宋" w:hAnsi="仿宋" w:eastAsia="仿宋"/>
          <w:color w:val="auto"/>
          <w:highlight w:val="none"/>
          <w:lang w:eastAsia="zh-CN"/>
        </w:rPr>
      </w:pPr>
      <w:r>
        <w:rPr>
          <w:rFonts w:hint="eastAsia" w:ascii="仿宋" w:hAnsi="仿宋" w:eastAsia="仿宋" w:cs="仿宋"/>
          <w:color w:val="auto"/>
          <w:highlight w:val="none"/>
          <w:lang w:eastAsia="zh-CN"/>
        </w:rPr>
        <w:t>□ 另作约定（工程优质费率参考广东省建设工程计价依据工程优质费、广州市住房和城乡建设局发布的工程优质费率；合同工程同时获得下列多个奖项的，只按最高奖项的额度计算。）：</w:t>
      </w:r>
    </w:p>
    <w:p>
      <w:pPr>
        <w:spacing w:line="360" w:lineRule="auto"/>
        <w:ind w:left="720" w:leftChars="300" w:firstLine="271" w:firstLineChars="113"/>
        <w:rPr>
          <w:rFonts w:ascii="仿宋" w:hAnsi="仿宋" w:eastAsia="仿宋"/>
          <w:color w:val="auto"/>
          <w:highlight w:val="none"/>
          <w:lang w:eastAsia="zh-CN"/>
        </w:rPr>
      </w:pPr>
      <w:r>
        <w:rPr>
          <w:rFonts w:hint="eastAsia" w:ascii="仿宋" w:hAnsi="仿宋" w:eastAsia="仿宋" w:cs="仿宋"/>
          <w:color w:val="auto"/>
          <w:highlight w:val="none"/>
          <w:lang w:eastAsia="zh-CN"/>
        </w:rPr>
        <w:t>国家级质量奖，工程优质费</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w:t>
      </w:r>
    </w:p>
    <w:p>
      <w:pPr>
        <w:spacing w:line="360" w:lineRule="auto"/>
        <w:ind w:left="720" w:leftChars="300" w:firstLine="271" w:firstLineChars="113"/>
        <w:rPr>
          <w:rFonts w:ascii="仿宋" w:hAnsi="仿宋" w:eastAsia="仿宋"/>
          <w:color w:val="auto"/>
          <w:highlight w:val="none"/>
          <w:lang w:eastAsia="zh-CN"/>
        </w:rPr>
      </w:pPr>
      <w:r>
        <w:rPr>
          <w:rFonts w:hint="eastAsia" w:ascii="仿宋" w:hAnsi="仿宋" w:eastAsia="仿宋" w:cs="仿宋"/>
          <w:color w:val="auto"/>
          <w:highlight w:val="none"/>
          <w:lang w:eastAsia="zh-CN"/>
        </w:rPr>
        <w:t>省级质量奖，工程优质费</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w:t>
      </w:r>
    </w:p>
    <w:p>
      <w:pPr>
        <w:spacing w:line="360" w:lineRule="auto"/>
        <w:ind w:left="720" w:leftChars="300" w:firstLine="271" w:firstLineChars="113"/>
        <w:rPr>
          <w:rFonts w:ascii="仿宋" w:hAnsi="仿宋" w:eastAsia="仿宋" w:cs="仿宋"/>
          <w:color w:val="auto"/>
          <w:highlight w:val="none"/>
          <w:lang w:eastAsia="zh-CN"/>
        </w:rPr>
      </w:pPr>
      <w:r>
        <w:rPr>
          <w:rFonts w:hint="eastAsia" w:ascii="仿宋" w:hAnsi="仿宋" w:eastAsia="仿宋" w:cs="仿宋"/>
          <w:color w:val="auto"/>
          <w:highlight w:val="none"/>
          <w:lang w:eastAsia="zh-CN"/>
        </w:rPr>
        <w:t>市级质量奖，工程优质费</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w:t>
      </w:r>
    </w:p>
    <w:p>
      <w:pPr>
        <w:spacing w:line="360" w:lineRule="auto"/>
        <w:ind w:left="720" w:leftChars="300" w:firstLine="271" w:firstLineChars="113"/>
        <w:rPr>
          <w:rFonts w:ascii="仿宋" w:hAnsi="仿宋" w:eastAsia="仿宋" w:cs="仿宋"/>
          <w:color w:val="auto"/>
          <w:highlight w:val="none"/>
          <w:lang w:eastAsia="zh-CN"/>
        </w:rPr>
      </w:pPr>
      <w:r>
        <w:rPr>
          <w:rFonts w:hint="eastAsia" w:ascii="仿宋" w:hAnsi="仿宋" w:eastAsia="仿宋" w:cs="仿宋"/>
          <w:color w:val="auto"/>
          <w:highlight w:val="none"/>
          <w:lang w:eastAsia="zh-CN"/>
        </w:rPr>
        <w:t>精品工程，工程优质费</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w:t>
      </w:r>
    </w:p>
    <w:p>
      <w:pPr>
        <w:spacing w:line="360" w:lineRule="auto"/>
        <w:ind w:left="720" w:leftChars="300" w:firstLine="271" w:firstLineChars="113"/>
        <w:rPr>
          <w:rFonts w:ascii="仿宋" w:hAnsi="仿宋" w:eastAsia="仿宋" w:cs="仿宋"/>
          <w:color w:val="auto"/>
          <w:highlight w:val="none"/>
          <w:lang w:eastAsia="zh-CN"/>
        </w:rPr>
      </w:pPr>
      <w:r>
        <w:rPr>
          <w:rFonts w:hint="eastAsia" w:ascii="仿宋" w:hAnsi="仿宋" w:eastAsia="仿宋" w:cs="仿宋"/>
          <w:color w:val="auto"/>
          <w:highlight w:val="none"/>
          <w:lang w:eastAsia="zh-CN"/>
        </w:rPr>
        <w:t>其它质量奖：工程优质费</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lang w:eastAsia="zh-CN"/>
        </w:rPr>
        <w:t xml:space="preserve"> %</w:t>
      </w:r>
      <w:r>
        <w:rPr>
          <w:rFonts w:hint="eastAsia" w:ascii="仿宋" w:hAnsi="仿宋" w:eastAsia="仿宋" w:cs="仿宋"/>
          <w:color w:val="auto"/>
          <w:highlight w:val="none"/>
          <w:lang w:eastAsia="zh-CN"/>
        </w:rPr>
        <w:t>；</w:t>
      </w:r>
    </w:p>
    <w:p>
      <w:pPr>
        <w:spacing w:line="360" w:lineRule="auto"/>
        <w:ind w:left="941" w:leftChars="392"/>
        <w:rPr>
          <w:rFonts w:ascii="仿宋" w:hAnsi="仿宋" w:eastAsia="仿宋" w:cs="仿宋"/>
          <w:color w:val="auto"/>
          <w:highlight w:val="none"/>
          <w:lang w:eastAsia="zh-CN"/>
        </w:rPr>
      </w:pPr>
      <w:r>
        <w:rPr>
          <w:rFonts w:hint="eastAsia" w:ascii="仿宋" w:hAnsi="仿宋" w:eastAsia="仿宋" w:cs="仿宋"/>
          <w:color w:val="auto"/>
          <w:highlight w:val="none"/>
          <w:lang w:eastAsia="zh-CN"/>
        </w:rPr>
        <w:t>□获得优质奖项的最迟时间限制：竣工结算获批准后后</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年内。</w:t>
      </w:r>
    </w:p>
    <w:p>
      <w:pPr>
        <w:pStyle w:val="4"/>
        <w:tabs>
          <w:tab w:val="left" w:pos="420"/>
        </w:tabs>
        <w:spacing w:line="360" w:lineRule="auto"/>
        <w:rPr>
          <w:rFonts w:ascii="仿宋" w:hAnsi="仿宋" w:eastAsia="仿宋" w:cs="仿宋"/>
          <w:color w:val="auto"/>
          <w:sz w:val="24"/>
          <w:szCs w:val="24"/>
          <w:highlight w:val="none"/>
          <w:lang w:eastAsia="zh-CN"/>
        </w:rPr>
      </w:pPr>
      <w:bookmarkStart w:id="1844" w:name="_Toc22389"/>
      <w:bookmarkStart w:id="1845" w:name="_Toc27332"/>
      <w:bookmarkStart w:id="1846" w:name="_Toc25521"/>
      <w:bookmarkStart w:id="1847" w:name="_Toc10059"/>
      <w:bookmarkStart w:id="1848" w:name="_Toc9859"/>
      <w:bookmarkStart w:id="1849" w:name="_Toc14356"/>
      <w:bookmarkStart w:id="1850" w:name="_Toc14927"/>
      <w:bookmarkStart w:id="1851" w:name="_Toc17614"/>
      <w:r>
        <w:rPr>
          <w:rFonts w:hint="eastAsia" w:ascii="仿宋" w:hAnsi="仿宋" w:eastAsia="仿宋" w:cs="仿宋"/>
          <w:b w:val="0"/>
          <w:bCs w:val="0"/>
          <w:color w:val="auto"/>
          <w:sz w:val="24"/>
          <w:szCs w:val="24"/>
          <w:highlight w:val="none"/>
          <w:lang w:eastAsia="zh-CN"/>
        </w:rPr>
        <w:t>79.  可调价变更定价</w:t>
      </w:r>
      <w:bookmarkEnd w:id="1844"/>
      <w:bookmarkEnd w:id="1845"/>
      <w:bookmarkEnd w:id="1846"/>
      <w:bookmarkEnd w:id="1847"/>
      <w:bookmarkEnd w:id="1848"/>
      <w:bookmarkEnd w:id="1849"/>
      <w:bookmarkEnd w:id="1850"/>
      <w:bookmarkEnd w:id="1851"/>
    </w:p>
    <w:p>
      <w:pPr>
        <w:spacing w:line="360" w:lineRule="auto"/>
        <w:rPr>
          <w:rFonts w:ascii="仿宋" w:hAnsi="仿宋" w:eastAsia="仿宋"/>
          <w:color w:val="auto"/>
          <w:highlight w:val="none"/>
          <w:lang w:eastAsia="zh-CN"/>
        </w:rPr>
      </w:pPr>
      <w:bookmarkStart w:id="1852" w:name="_Toc6987"/>
      <w:r>
        <w:rPr>
          <w:rFonts w:hint="eastAsia" w:ascii="仿宋" w:hAnsi="仿宋" w:eastAsia="仿宋" w:cs="仿宋"/>
          <w:color w:val="auto"/>
          <w:highlight w:val="none"/>
          <w:lang w:eastAsia="zh-CN"/>
        </w:rPr>
        <w:t>79.2 可调价变更工作项目的定价</w:t>
      </w:r>
      <w:bookmarkEnd w:id="1852"/>
      <w:r>
        <w:rPr>
          <w:rFonts w:hint="eastAsia" w:ascii="仿宋" w:hAnsi="仿宋" w:eastAsia="仿宋" w:cs="仿宋"/>
          <w:color w:val="auto"/>
          <w:highlight w:val="none"/>
          <w:lang w:eastAsia="zh-CN"/>
        </w:rPr>
        <w:t>，本条不适用</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□按通用条款第79.2款约定执行。</w:t>
      </w:r>
    </w:p>
    <w:p>
      <w:pPr>
        <w:numPr>
          <w:ilvl w:val="0"/>
          <w:numId w:val="36"/>
        </w:numPr>
        <w:adjustRightInd w:val="0"/>
        <w:snapToGrid w:val="0"/>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合同中没有相同也没有类似清单项目的，其计价依据、计量规则和计价方法：</w:t>
      </w:r>
      <w:r>
        <w:rPr>
          <w:rFonts w:hint="eastAsia" w:ascii="仿宋" w:hAnsi="仿宋" w:eastAsia="仿宋" w:cs="仿宋"/>
          <w:color w:val="auto"/>
          <w:highlight w:val="none"/>
          <w:u w:val="single"/>
          <w:lang w:eastAsia="zh-CN"/>
        </w:rPr>
        <w:t xml:space="preserve">    /    </w:t>
      </w:r>
      <w:bookmarkStart w:id="1853" w:name="_Toc20187"/>
    </w:p>
    <w:p>
      <w:pPr>
        <w:numPr>
          <w:ilvl w:val="0"/>
          <w:numId w:val="36"/>
        </w:numPr>
        <w:adjustRightInd w:val="0"/>
        <w:snapToGrid w:val="0"/>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“类似清单项目”的认定原则：</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□另作约定：</w:t>
      </w:r>
      <w:bookmarkEnd w:id="1853"/>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olor w:val="auto"/>
          <w:highlight w:val="none"/>
          <w:lang w:eastAsia="zh-CN"/>
        </w:rPr>
      </w:pPr>
      <w:bookmarkStart w:id="1854" w:name="_Toc11818"/>
      <w:r>
        <w:rPr>
          <w:rFonts w:hint="eastAsia" w:ascii="仿宋" w:hAnsi="仿宋" w:eastAsia="仿宋" w:cs="仿宋"/>
          <w:color w:val="auto"/>
          <w:highlight w:val="none"/>
          <w:lang w:eastAsia="zh-CN"/>
        </w:rPr>
        <w:t>79.3 可调价变更实体项目的定价</w:t>
      </w:r>
      <w:bookmarkEnd w:id="1854"/>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□按通用条款第79.3款约定执行。</w:t>
      </w:r>
    </w:p>
    <w:p>
      <w:pPr>
        <w:adjustRightInd w:val="0"/>
        <w:snapToGrid w:val="0"/>
        <w:spacing w:line="360" w:lineRule="auto"/>
        <w:ind w:firstLine="480" w:firstLineChars="200"/>
        <w:rPr>
          <w:rFonts w:ascii="仿宋" w:hAnsi="仿宋" w:eastAsia="仿宋"/>
          <w:color w:val="auto"/>
          <w:highlight w:val="none"/>
          <w:lang w:eastAsia="zh-CN"/>
        </w:rPr>
      </w:pPr>
      <w:r>
        <w:rPr>
          <w:rFonts w:ascii="仿宋" w:hAnsi="仿宋" w:eastAsia="仿宋" w:cs="仿宋"/>
          <w:color w:val="auto"/>
          <w:highlight w:val="none"/>
          <w:lang w:eastAsia="zh-CN"/>
        </w:rPr>
        <w:t>(3)</w:t>
      </w:r>
      <w:r>
        <w:rPr>
          <w:rFonts w:hint="eastAsia" w:ascii="仿宋" w:hAnsi="仿宋" w:eastAsia="仿宋" w:cs="仿宋"/>
          <w:color w:val="auto"/>
          <w:highlight w:val="none"/>
          <w:lang w:eastAsia="zh-CN"/>
        </w:rPr>
        <w:t>合同中没有相同也没有类似清单项目的，其计价依据、计量规则和计价方法：</w:t>
      </w:r>
      <w:r>
        <w:rPr>
          <w:rFonts w:hint="eastAsia" w:ascii="仿宋" w:hAnsi="仿宋" w:eastAsia="仿宋"/>
          <w:color w:val="auto"/>
          <w:highlight w:val="none"/>
          <w:u w:val="single"/>
          <w:lang w:eastAsia="zh-CN"/>
        </w:rPr>
        <w:t>按专用条款72组价。其中工料机价格按以下顺序确定：</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①若工程量清单中已有相应的工料机价格，则采用工程量清单中已有的项目的材料价格；</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②若工程量清单中无相应的材料价格，则采用施工期间广州市花都区造价管理部门发布的常用材料综合价格；不属于常用材料的，则采用施工期间地方有关材料厂商价格信息并下浮确定；</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③若工程量清单及施工期间地方有关材料信息价格中均无相应的材料信息价格，则由施工单位根据施工期间广州地区建筑市场价格报发包人审核确定后，作为相应的材料价格。</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olor w:val="auto"/>
          <w:highlight w:val="none"/>
          <w:lang w:eastAsia="zh-CN"/>
        </w:rPr>
        <w:t>工程量清单中的项目在实际施工中没有做的项目，此项目的费用</w:t>
      </w:r>
      <w:r>
        <w:rPr>
          <w:rFonts w:hint="eastAsia" w:ascii="仿宋" w:hAnsi="仿宋" w:eastAsia="仿宋"/>
          <w:color w:val="auto"/>
          <w:highlight w:val="none"/>
          <w:u w:val="single"/>
          <w:lang w:eastAsia="zh-CN"/>
        </w:rPr>
        <w:t>发包人在结算中有权扣除此项费用。</w:t>
      </w:r>
    </w:p>
    <w:p>
      <w:pPr>
        <w:spacing w:line="360" w:lineRule="auto"/>
        <w:ind w:firstLine="840" w:firstLineChars="350"/>
        <w:rPr>
          <w:rFonts w:ascii="仿宋" w:hAnsi="仿宋" w:eastAsia="仿宋" w:cs="仿宋"/>
          <w:color w:val="auto"/>
          <w:highlight w:val="none"/>
          <w:lang w:eastAsia="zh-CN"/>
        </w:rPr>
      </w:pPr>
      <w:bookmarkStart w:id="1855" w:name="_Toc9257"/>
      <w:r>
        <w:rPr>
          <w:rFonts w:hint="eastAsia" w:ascii="仿宋" w:hAnsi="仿宋" w:eastAsia="仿宋" w:cs="仿宋"/>
          <w:color w:val="auto"/>
          <w:highlight w:val="none"/>
          <w:lang w:eastAsia="zh-CN"/>
        </w:rPr>
        <w:t>(4)“类似清单项目”的认定原则：</w:t>
      </w:r>
      <w:r>
        <w:rPr>
          <w:rFonts w:hint="eastAsia" w:ascii="仿宋" w:hAnsi="仿宋" w:eastAsia="仿宋" w:cs="仿宋"/>
          <w:color w:val="auto"/>
          <w:highlight w:val="none"/>
          <w:u w:val="single"/>
          <w:lang w:eastAsia="zh-CN"/>
        </w:rPr>
        <w:t>按相关规定，以审核结果为准。</w:t>
      </w:r>
    </w:p>
    <w:p>
      <w:pPr>
        <w:spacing w:line="360"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□另作约定：</w:t>
      </w:r>
      <w:bookmarkEnd w:id="1855"/>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olor w:val="auto"/>
          <w:highlight w:val="none"/>
          <w:lang w:eastAsia="zh-CN"/>
        </w:rPr>
      </w:pPr>
      <w:bookmarkStart w:id="1856" w:name="_Toc12627"/>
      <w:r>
        <w:rPr>
          <w:rFonts w:hint="eastAsia" w:ascii="仿宋" w:hAnsi="仿宋" w:eastAsia="仿宋" w:cs="仿宋"/>
          <w:color w:val="auto"/>
          <w:highlight w:val="none"/>
          <w:lang w:eastAsia="zh-CN"/>
        </w:rPr>
        <w:t>79.4 可调价变更措施项目的定价</w:t>
      </w:r>
      <w:bookmarkEnd w:id="1856"/>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按通用条款第79.4款约定执行。</w:t>
      </w:r>
    </w:p>
    <w:p>
      <w:pPr>
        <w:adjustRightInd w:val="0"/>
        <w:snapToGrid w:val="0"/>
        <w:spacing w:line="360" w:lineRule="auto"/>
        <w:ind w:firstLine="480" w:firstLineChars="200"/>
        <w:rPr>
          <w:rFonts w:ascii="仿宋" w:hAnsi="仿宋" w:eastAsia="仿宋" w:cs="仿宋"/>
          <w:color w:val="auto"/>
          <w:highlight w:val="none"/>
          <w:u w:val="single"/>
          <w:lang w:eastAsia="zh-CN"/>
        </w:rPr>
      </w:pPr>
      <w:bookmarkStart w:id="1857" w:name="_Toc31634"/>
      <w:r>
        <w:rPr>
          <w:rFonts w:hint="eastAsia" w:ascii="仿宋" w:hAnsi="仿宋" w:eastAsia="仿宋" w:cs="仿宋"/>
          <w:color w:val="auto"/>
          <w:highlight w:val="none"/>
          <w:lang w:eastAsia="zh-CN"/>
        </w:rPr>
        <w:t xml:space="preserve"> ☑ 另作约定：</w:t>
      </w:r>
      <w:bookmarkEnd w:id="1857"/>
      <w:r>
        <w:rPr>
          <w:rFonts w:hint="eastAsia" w:ascii="仿宋" w:hAnsi="仿宋" w:eastAsia="仿宋"/>
          <w:color w:val="auto"/>
          <w:highlight w:val="none"/>
          <w:u w:val="single"/>
          <w:lang w:eastAsia="zh-CN"/>
        </w:rPr>
        <w:t>见专用条款72.1.5</w:t>
      </w:r>
      <w:r>
        <w:rPr>
          <w:rFonts w:hint="eastAsia" w:ascii="仿宋" w:hAnsi="仿宋" w:eastAsia="仿宋"/>
          <w:color w:val="auto"/>
          <w:highlight w:val="none"/>
          <w:lang w:eastAsia="zh-CN"/>
        </w:rPr>
        <w:t>。</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858" w:name="_Toc22564"/>
      <w:bookmarkStart w:id="1859" w:name="_Toc24917"/>
      <w:bookmarkStart w:id="1860" w:name="_Toc22661"/>
      <w:bookmarkStart w:id="1861" w:name="_Toc3417"/>
      <w:bookmarkStart w:id="1862" w:name="_Toc28684"/>
      <w:bookmarkStart w:id="1863" w:name="_Toc2993"/>
      <w:bookmarkStart w:id="1864" w:name="_Toc3981"/>
      <w:bookmarkStart w:id="1865" w:name="_Toc8828"/>
      <w:r>
        <w:rPr>
          <w:rFonts w:hint="eastAsia" w:ascii="仿宋" w:hAnsi="仿宋" w:eastAsia="仿宋" w:cs="仿宋"/>
          <w:b w:val="0"/>
          <w:bCs w:val="0"/>
          <w:color w:val="auto"/>
          <w:sz w:val="24"/>
          <w:szCs w:val="24"/>
          <w:highlight w:val="none"/>
          <w:lang w:eastAsia="zh-CN"/>
        </w:rPr>
        <w:t>★81.  现场签证价格的确定</w:t>
      </w:r>
      <w:bookmarkEnd w:id="1858"/>
      <w:bookmarkEnd w:id="1859"/>
      <w:bookmarkEnd w:id="1860"/>
      <w:bookmarkEnd w:id="1861"/>
      <w:bookmarkEnd w:id="1862"/>
      <w:bookmarkEnd w:id="1863"/>
      <w:bookmarkEnd w:id="1864"/>
      <w:bookmarkEnd w:id="1865"/>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81.3 现场签证报告的确认</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提交现场签证报告的时间：</w:t>
      </w:r>
    </w:p>
    <w:p>
      <w:pPr>
        <w:spacing w:line="360" w:lineRule="auto"/>
        <w:ind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按通用条款的约定的时间提交。</w:t>
      </w:r>
    </w:p>
    <w:p>
      <w:pPr>
        <w:adjustRightInd w:val="0"/>
        <w:snapToGrid w:val="0"/>
        <w:spacing w:line="360" w:lineRule="auto"/>
        <w:ind w:firstLine="480" w:firstLine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 另作约定：1、</w:t>
      </w:r>
      <w:r>
        <w:rPr>
          <w:rFonts w:hint="eastAsia" w:ascii="仿宋" w:hAnsi="仿宋" w:eastAsia="仿宋" w:cs="仿宋"/>
          <w:color w:val="auto"/>
          <w:highlight w:val="none"/>
          <w:u w:val="single"/>
          <w:lang w:eastAsia="zh-CN"/>
        </w:rPr>
        <w:t>按发包人相关制度、程序执行</w:t>
      </w:r>
      <w:r>
        <w:rPr>
          <w:rFonts w:hint="eastAsia" w:ascii="仿宋" w:hAnsi="仿宋" w:eastAsia="仿宋"/>
          <w:color w:val="auto"/>
          <w:highlight w:val="none"/>
          <w:u w:val="single"/>
          <w:lang w:eastAsia="zh-CN"/>
        </w:rPr>
        <w:t>;</w:t>
      </w:r>
    </w:p>
    <w:p>
      <w:pPr>
        <w:adjustRightInd w:val="0"/>
        <w:snapToGrid w:val="0"/>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u w:val="single"/>
          <w:lang w:eastAsia="zh-CN"/>
        </w:rPr>
        <w:t>2、所有涉及本工程的措施项目费用，承包人在施工图预算中均应充分考虑，承包人不应以现有提供的各种条件不满足运输、制作、起吊安装、堆放保管条件为由而要求签证。同时也不应以实际施工条件与招标时发生变化作为索赔任何费用的依据。</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866" w:name="_Toc16657"/>
      <w:bookmarkStart w:id="1867" w:name="_Toc4356"/>
      <w:bookmarkStart w:id="1868" w:name="_Toc20487"/>
      <w:bookmarkStart w:id="1869" w:name="_Toc9406"/>
      <w:bookmarkStart w:id="1870" w:name="_Toc5349"/>
      <w:bookmarkStart w:id="1871" w:name="_Toc1086"/>
      <w:bookmarkStart w:id="1872" w:name="_Toc8665"/>
      <w:bookmarkStart w:id="1873" w:name="_Toc10156"/>
      <w:r>
        <w:rPr>
          <w:rFonts w:hint="eastAsia" w:ascii="仿宋" w:hAnsi="仿宋" w:eastAsia="仿宋" w:cs="仿宋"/>
          <w:b w:val="0"/>
          <w:bCs w:val="0"/>
          <w:color w:val="auto"/>
          <w:sz w:val="24"/>
          <w:szCs w:val="24"/>
          <w:highlight w:val="none"/>
          <w:lang w:eastAsia="zh-CN"/>
        </w:rPr>
        <w:t>★82.  物价涨落的价格调整</w:t>
      </w:r>
      <w:bookmarkEnd w:id="1866"/>
      <w:bookmarkEnd w:id="1867"/>
      <w:bookmarkEnd w:id="1868"/>
      <w:bookmarkEnd w:id="1869"/>
      <w:bookmarkEnd w:id="1870"/>
      <w:bookmarkEnd w:id="1871"/>
      <w:bookmarkEnd w:id="1872"/>
      <w:bookmarkEnd w:id="1873"/>
    </w:p>
    <w:p>
      <w:pPr>
        <w:spacing w:line="360" w:lineRule="auto"/>
        <w:ind w:firstLine="480" w:firstLineChars="200"/>
        <w:rPr>
          <w:rFonts w:eastAsia="仿宋_GB2312"/>
          <w:color w:val="auto"/>
          <w:sz w:val="30"/>
          <w:szCs w:val="30"/>
          <w:highlight w:val="none"/>
          <w:lang w:eastAsia="zh-CN"/>
        </w:rPr>
      </w:pPr>
      <w:r>
        <w:rPr>
          <w:rFonts w:hint="eastAsia" w:ascii="仿宋" w:hAnsi="仿宋" w:eastAsia="仿宋" w:cs="仿宋"/>
          <w:color w:val="auto"/>
          <w:highlight w:val="none"/>
          <w:lang w:eastAsia="zh-CN"/>
        </w:rPr>
        <w:t>82.1 物价涨落的价格调整</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☑按通用条款第82.3款第1种方式对合同价格进行调整。</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□按通用条款第82.3款第2种方式对合同价格进行调整。</w:t>
      </w:r>
    </w:p>
    <w:p>
      <w:pPr>
        <w:spacing w:line="360" w:lineRule="auto"/>
        <w:ind w:firstLine="480" w:firstLineChars="200"/>
        <w:rPr>
          <w:rFonts w:ascii="仿宋" w:hAnsi="仿宋" w:eastAsia="仿宋" w:cs="仿宋"/>
          <w:color w:val="auto"/>
          <w:highlight w:val="none"/>
          <w:lang w:eastAsia="zh-CN"/>
        </w:rPr>
      </w:pPr>
      <w:bookmarkStart w:id="1874" w:name="_Toc16786"/>
      <w:r>
        <w:rPr>
          <w:rFonts w:hint="eastAsia" w:ascii="仿宋" w:hAnsi="仿宋" w:eastAsia="仿宋" w:cs="仿宋"/>
          <w:color w:val="auto"/>
          <w:highlight w:val="none"/>
          <w:lang w:eastAsia="zh-CN"/>
        </w:rPr>
        <w:t>82.2 人工费的调整方法</w:t>
      </w:r>
      <w:bookmarkEnd w:id="1874"/>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☑按通用条款第82.3款第1种方式进行调整。</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82.3 承包人采购工程材料和工程设备的材料设备费、施工机具费调整方法</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☑第1种方式：采用政府信息指导价进行价格调整。</w:t>
      </w:r>
    </w:p>
    <w:p>
      <w:pPr>
        <w:spacing w:line="360" w:lineRule="auto"/>
        <w:ind w:firstLine="1200" w:firstLineChars="500"/>
        <w:rPr>
          <w:rFonts w:eastAsia="仿宋_GB2312"/>
          <w:color w:val="auto"/>
          <w:sz w:val="30"/>
          <w:szCs w:val="30"/>
          <w:highlight w:val="none"/>
          <w:lang w:eastAsia="zh-CN"/>
        </w:rPr>
      </w:pPr>
      <w:r>
        <w:rPr>
          <w:rFonts w:hint="eastAsia" w:ascii="仿宋" w:hAnsi="仿宋" w:eastAsia="仿宋" w:cs="仿宋"/>
          <w:color w:val="auto"/>
          <w:highlight w:val="none"/>
          <w:lang w:eastAsia="zh-CN"/>
        </w:rPr>
        <w:t>（a）允许调整价格的工程材料品种：</w:t>
      </w:r>
      <w:r>
        <w:rPr>
          <w:rFonts w:hint="eastAsia" w:ascii="仿宋" w:hAnsi="仿宋" w:eastAsia="仿宋" w:cs="仿宋"/>
          <w:color w:val="auto"/>
          <w:highlight w:val="none"/>
          <w:u w:val="single"/>
          <w:lang w:eastAsia="zh-CN"/>
        </w:rPr>
        <w:t>商品混凝土、水泥、钢筋及钢结构</w:t>
      </w:r>
      <w:r>
        <w:rPr>
          <w:rFonts w:hint="eastAsia" w:ascii="仿宋" w:hAnsi="仿宋" w:eastAsia="仿宋" w:cs="仿宋"/>
          <w:color w:val="auto"/>
          <w:highlight w:val="none"/>
          <w:lang w:eastAsia="zh-CN"/>
        </w:rPr>
        <w:t>主要型钢构件</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铝材、铜材</w:t>
      </w:r>
      <w:r>
        <w:rPr>
          <w:rFonts w:hint="eastAsia" w:ascii="仿宋" w:hAnsi="仿宋" w:eastAsia="仿宋" w:cs="仿宋"/>
          <w:color w:val="auto"/>
          <w:highlight w:val="none"/>
          <w:u w:val="singl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（b）工程材料单价涨跌幅度:</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合同履行期间工程材料、工程设备单价涨跌幅度按通用条款约定。</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合同履行期间工程材料、工程设备单价涨跌幅度的约定：</w:t>
      </w:r>
    </w:p>
    <w:p>
      <w:pPr>
        <w:spacing w:line="360"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（c）工程材料、工程设备基准价格:</w:t>
      </w:r>
      <w:r>
        <w:rPr>
          <w:rFonts w:hint="eastAsia" w:ascii="仿宋" w:hAnsi="仿宋" w:eastAsia="仿宋" w:cs="仿宋"/>
          <w:color w:val="auto"/>
          <w:highlight w:val="none"/>
          <w:u w:val="single"/>
          <w:lang w:eastAsia="zh-CN"/>
        </w:rPr>
        <w:t>乙方申报施工图预算编制期采用已批复推荐品牌和设计图纸规定的材料种类对应的政府信息指导价报送甲方审核（其中商品混凝土、水泥、钢筋及钢结构主要构件采用已批复的合同约定基准日期对应信息价；铝材、铜材基准价格采用“我的钢铁网”已批复推荐品牌和设计图纸规定的材料种类对应的</w:t>
      </w:r>
      <w:r>
        <w:rPr>
          <w:rFonts w:ascii="仿宋" w:hAnsi="仿宋" w:eastAsia="仿宋" w:cs="仿宋"/>
          <w:color w:val="auto"/>
          <w:highlight w:val="none"/>
          <w:u w:val="single"/>
          <w:lang w:eastAsia="zh-CN"/>
        </w:rPr>
        <w:t>信息价</w:t>
      </w:r>
      <w:r>
        <w:rPr>
          <w:rFonts w:hint="eastAsia" w:ascii="仿宋" w:hAnsi="仿宋" w:eastAsia="仿宋" w:cs="仿宋"/>
          <w:color w:val="auto"/>
          <w:highlight w:val="none"/>
          <w:u w:val="single"/>
          <w:lang w:eastAsia="zh-CN"/>
        </w:rPr>
        <w:t>，铝材、铜材信息价按照“我的钢铁网”已批复推荐品牌和设计图纸规定的材料种类对应的合同约定基准日期的价格为准）。</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（d）工程材料、工程设备基准价格的计算依据、计算方式以及单价涨跌幅的确定方法:</w:t>
      </w:r>
      <w:r>
        <w:rPr>
          <w:rFonts w:hint="eastAsia" w:ascii="仿宋" w:hAnsi="仿宋" w:eastAsia="仿宋" w:cs="仿宋"/>
          <w:color w:val="auto"/>
          <w:highlight w:val="none"/>
          <w:u w:val="single"/>
          <w:lang w:eastAsia="zh-CN"/>
        </w:rPr>
        <w:t>按通用条款执行</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（e）允许调整价格的施工机具品种：</w:t>
      </w:r>
      <w:r>
        <w:rPr>
          <w:rFonts w:hint="eastAsia" w:ascii="仿宋" w:hAnsi="仿宋" w:eastAsia="仿宋" w:cs="仿宋"/>
          <w:color w:val="auto"/>
          <w:highlight w:val="none"/>
          <w:u w:val="single"/>
          <w:lang w:eastAsia="zh-CN"/>
        </w:rPr>
        <w:t>施工机具费不作调整</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（f）可调整合同价格的施工机具台班单价变化幅度：</w:t>
      </w:r>
      <w:r>
        <w:rPr>
          <w:rFonts w:hint="eastAsia" w:ascii="仿宋" w:hAnsi="仿宋" w:eastAsia="仿宋" w:cs="仿宋"/>
          <w:color w:val="auto"/>
          <w:highlight w:val="none"/>
          <w:u w:val="single"/>
          <w:lang w:eastAsia="zh-CN"/>
        </w:rPr>
        <w:t xml:space="preserve">    /    </w:t>
      </w:r>
    </w:p>
    <w:p>
      <w:pPr>
        <w:spacing w:line="360" w:lineRule="auto"/>
        <w:ind w:left="240" w:leftChars="100"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（g）施工机具台班单价变化幅度、台班单价的计算依据、计算方式：</w:t>
      </w:r>
      <w:r>
        <w:rPr>
          <w:rFonts w:hint="eastAsia" w:ascii="仿宋" w:hAnsi="仿宋" w:eastAsia="仿宋" w:cs="仿宋"/>
          <w:color w:val="auto"/>
          <w:highlight w:val="none"/>
          <w:u w:val="single"/>
          <w:lang w:eastAsia="zh-CN"/>
        </w:rPr>
        <w:t xml:space="preserve">    /    </w:t>
      </w:r>
    </w:p>
    <w:p>
      <w:pPr>
        <w:spacing w:line="360" w:lineRule="auto"/>
        <w:ind w:left="240" w:leftChars="100" w:firstLine="960" w:firstLineChars="400"/>
        <w:rPr>
          <w:rFonts w:ascii="仿宋" w:hAnsi="仿宋" w:eastAsia="仿宋" w:cs="仿宋"/>
          <w:color w:val="auto"/>
          <w:highlight w:val="none"/>
          <w:u w:val="single"/>
          <w:lang w:val="zh-CN" w:eastAsia="zh-CN"/>
        </w:rPr>
      </w:pPr>
      <w:r>
        <w:rPr>
          <w:rFonts w:hint="eastAsia" w:ascii="仿宋" w:hAnsi="仿宋" w:eastAsia="仿宋" w:cs="仿宋"/>
          <w:color w:val="auto"/>
          <w:highlight w:val="none"/>
          <w:u w:val="single"/>
          <w:lang w:val="zh-CN" w:eastAsia="zh-CN"/>
        </w:rPr>
        <w:t>（</w:t>
      </w:r>
      <w:r>
        <w:rPr>
          <w:rFonts w:hint="eastAsia" w:ascii="仿宋" w:hAnsi="仿宋" w:eastAsia="仿宋" w:cs="仿宋"/>
          <w:color w:val="auto"/>
          <w:highlight w:val="none"/>
          <w:u w:val="single"/>
          <w:lang w:eastAsia="zh-CN"/>
        </w:rPr>
        <w:t>h</w:t>
      </w:r>
      <w:r>
        <w:rPr>
          <w:rFonts w:hint="eastAsia" w:ascii="仿宋" w:hAnsi="仿宋" w:eastAsia="仿宋" w:cs="仿宋"/>
          <w:color w:val="auto"/>
          <w:highlight w:val="none"/>
          <w:u w:val="single"/>
          <w:lang w:val="zh-CN" w:eastAsia="zh-CN"/>
        </w:rPr>
        <w:t>）结算综合单价=补充协议对应综合单价+价差</w:t>
      </w:r>
    </w:p>
    <w:p>
      <w:pPr>
        <w:spacing w:line="360" w:lineRule="auto"/>
        <w:ind w:left="240" w:leftChars="100" w:firstLine="960" w:firstLineChars="400"/>
        <w:rPr>
          <w:rFonts w:ascii="仿宋" w:hAnsi="仿宋" w:eastAsia="仿宋" w:cs="仿宋"/>
          <w:color w:val="auto"/>
          <w:highlight w:val="none"/>
          <w:u w:val="single"/>
          <w:lang w:val="zh-CN" w:eastAsia="zh-CN"/>
        </w:rPr>
      </w:pPr>
      <w:r>
        <w:rPr>
          <w:rFonts w:hint="eastAsia" w:ascii="仿宋" w:hAnsi="仿宋" w:eastAsia="仿宋" w:cs="仿宋"/>
          <w:color w:val="auto"/>
          <w:highlight w:val="none"/>
          <w:u w:val="single"/>
          <w:lang w:val="zh-CN" w:eastAsia="zh-CN"/>
        </w:rPr>
        <w:t>增幅在+</w:t>
      </w:r>
      <w:r>
        <w:rPr>
          <w:rFonts w:hint="eastAsia" w:ascii="仿宋" w:hAnsi="仿宋" w:eastAsia="仿宋" w:cs="仿宋"/>
          <w:color w:val="auto"/>
          <w:highlight w:val="none"/>
          <w:u w:val="single"/>
          <w:lang w:eastAsia="zh-CN"/>
        </w:rPr>
        <w:t>5</w:t>
      </w:r>
      <w:r>
        <w:rPr>
          <w:rFonts w:hint="eastAsia" w:ascii="仿宋" w:hAnsi="仿宋" w:eastAsia="仿宋" w:cs="仿宋"/>
          <w:color w:val="auto"/>
          <w:highlight w:val="none"/>
          <w:u w:val="single"/>
          <w:lang w:val="zh-CN" w:eastAsia="zh-CN"/>
        </w:rPr>
        <w:t>%以上时：价差＝［（施工期间材料价格/补充协议对应材料价格-1）*100%-</w:t>
      </w:r>
      <w:r>
        <w:rPr>
          <w:rFonts w:hint="eastAsia" w:ascii="仿宋" w:hAnsi="仿宋" w:eastAsia="仿宋" w:cs="仿宋"/>
          <w:color w:val="auto"/>
          <w:highlight w:val="none"/>
          <w:u w:val="single"/>
          <w:lang w:eastAsia="zh-CN"/>
        </w:rPr>
        <w:t>5</w:t>
      </w:r>
      <w:r>
        <w:rPr>
          <w:rFonts w:hint="eastAsia" w:ascii="仿宋" w:hAnsi="仿宋" w:eastAsia="仿宋" w:cs="仿宋"/>
          <w:color w:val="auto"/>
          <w:highlight w:val="none"/>
          <w:u w:val="single"/>
          <w:lang w:val="zh-CN" w:eastAsia="zh-CN"/>
        </w:rPr>
        <w:t>%］</w:t>
      </w:r>
      <w:r>
        <w:rPr>
          <w:rFonts w:hint="eastAsia" w:ascii="仿宋" w:hAnsi="仿宋" w:eastAsia="仿宋" w:cs="仿宋"/>
          <w:color w:val="auto"/>
          <w:highlight w:val="none"/>
          <w:u w:val="single"/>
          <w:lang w:eastAsia="zh-CN"/>
        </w:rPr>
        <w:t>×（1-合同约定下浮率）</w:t>
      </w:r>
      <w:r>
        <w:rPr>
          <w:rFonts w:hint="eastAsia" w:ascii="仿宋" w:hAnsi="仿宋" w:eastAsia="仿宋" w:cs="仿宋"/>
          <w:color w:val="auto"/>
          <w:highlight w:val="none"/>
          <w:u w:val="single"/>
          <w:lang w:eastAsia="zh"/>
        </w:rPr>
        <w:t>x (1-合同约定下浮率) x (1-施工费中标下浮率)</w:t>
      </w: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val="zh-CN" w:eastAsia="zh-CN"/>
        </w:rPr>
        <w:t>补充协议对应材料价格*</w:t>
      </w:r>
      <w:r>
        <w:rPr>
          <w:rFonts w:hint="eastAsia" w:ascii="仿宋" w:hAnsi="仿宋" w:eastAsia="仿宋" w:cs="仿宋"/>
          <w:color w:val="auto"/>
          <w:highlight w:val="none"/>
          <w:u w:val="single"/>
          <w:lang w:eastAsia="zh-CN"/>
        </w:rPr>
        <w:t>清单工程</w:t>
      </w:r>
      <w:r>
        <w:rPr>
          <w:rFonts w:hint="eastAsia" w:ascii="仿宋" w:hAnsi="仿宋" w:eastAsia="仿宋" w:cs="仿宋"/>
          <w:color w:val="auto"/>
          <w:highlight w:val="none"/>
          <w:u w:val="single"/>
          <w:lang w:val="zh-CN" w:eastAsia="zh-CN"/>
        </w:rPr>
        <w:t>量。</w:t>
      </w:r>
    </w:p>
    <w:p>
      <w:pPr>
        <w:spacing w:line="360" w:lineRule="auto"/>
        <w:ind w:left="240" w:leftChars="100" w:firstLine="960" w:firstLineChars="400"/>
        <w:rPr>
          <w:rFonts w:ascii="仿宋" w:hAnsi="仿宋" w:eastAsia="仿宋" w:cs="仿宋"/>
          <w:color w:val="auto"/>
          <w:highlight w:val="none"/>
          <w:u w:val="single"/>
          <w:lang w:val="zh-CN" w:eastAsia="zh-CN"/>
        </w:rPr>
      </w:pPr>
      <w:r>
        <w:rPr>
          <w:rFonts w:hint="eastAsia" w:ascii="仿宋" w:hAnsi="仿宋" w:eastAsia="仿宋" w:cs="仿宋"/>
          <w:color w:val="auto"/>
          <w:highlight w:val="none"/>
          <w:u w:val="single"/>
          <w:lang w:val="zh-CN" w:eastAsia="zh-CN"/>
        </w:rPr>
        <w:t>减幅在-</w:t>
      </w:r>
      <w:r>
        <w:rPr>
          <w:rFonts w:hint="eastAsia" w:ascii="仿宋" w:hAnsi="仿宋" w:eastAsia="仿宋" w:cs="仿宋"/>
          <w:color w:val="auto"/>
          <w:highlight w:val="none"/>
          <w:u w:val="single"/>
          <w:lang w:eastAsia="zh-CN"/>
        </w:rPr>
        <w:t>5</w:t>
      </w:r>
      <w:r>
        <w:rPr>
          <w:rFonts w:hint="eastAsia" w:ascii="仿宋" w:hAnsi="仿宋" w:eastAsia="仿宋" w:cs="仿宋"/>
          <w:color w:val="auto"/>
          <w:highlight w:val="none"/>
          <w:u w:val="single"/>
          <w:lang w:val="zh-CN" w:eastAsia="zh-CN"/>
        </w:rPr>
        <w:t>%以下时：价差＝［（施工期间材料价格/补充协议对应材料价格-1）*100%+</w:t>
      </w:r>
      <w:r>
        <w:rPr>
          <w:rFonts w:hint="eastAsia" w:ascii="仿宋" w:hAnsi="仿宋" w:eastAsia="仿宋" w:cs="仿宋"/>
          <w:color w:val="auto"/>
          <w:highlight w:val="none"/>
          <w:u w:val="single"/>
          <w:lang w:eastAsia="zh-CN"/>
        </w:rPr>
        <w:t>5</w:t>
      </w:r>
      <w:r>
        <w:rPr>
          <w:rFonts w:hint="eastAsia" w:ascii="仿宋" w:hAnsi="仿宋" w:eastAsia="仿宋" w:cs="仿宋"/>
          <w:color w:val="auto"/>
          <w:highlight w:val="none"/>
          <w:u w:val="single"/>
          <w:lang w:val="zh-CN" w:eastAsia="zh-CN"/>
        </w:rPr>
        <w:t>%］</w:t>
      </w:r>
      <w:r>
        <w:rPr>
          <w:rFonts w:hint="eastAsia" w:ascii="仿宋" w:hAnsi="仿宋" w:eastAsia="仿宋" w:cs="仿宋"/>
          <w:color w:val="auto"/>
          <w:highlight w:val="none"/>
          <w:u w:val="single"/>
          <w:lang w:eastAsia="zh-CN"/>
        </w:rPr>
        <w:t>×（1-合同约定下浮率）</w:t>
      </w:r>
      <w:r>
        <w:rPr>
          <w:rFonts w:hint="eastAsia" w:ascii="仿宋" w:hAnsi="仿宋" w:eastAsia="仿宋" w:cs="仿宋"/>
          <w:color w:val="auto"/>
          <w:highlight w:val="none"/>
          <w:u w:val="single"/>
          <w:lang w:eastAsia="zh"/>
        </w:rPr>
        <w:t>x (1-合同约定下浮率) x (1-施工费中标下浮率)</w:t>
      </w:r>
      <w:r>
        <w:rPr>
          <w:rFonts w:hint="eastAsia" w:ascii="仿宋" w:hAnsi="仿宋" w:eastAsia="仿宋" w:cs="仿宋"/>
          <w:color w:val="auto"/>
          <w:highlight w:val="none"/>
          <w:u w:val="single"/>
          <w:lang w:eastAsia="zh-CN"/>
        </w:rPr>
        <w:t>×</w:t>
      </w:r>
      <w:r>
        <w:rPr>
          <w:rFonts w:hint="eastAsia" w:ascii="仿宋" w:hAnsi="仿宋" w:eastAsia="仿宋" w:cs="仿宋"/>
          <w:color w:val="auto"/>
          <w:highlight w:val="none"/>
          <w:u w:val="single"/>
          <w:lang w:val="zh-CN" w:eastAsia="zh-CN"/>
        </w:rPr>
        <w:t>补充协议对应材料价格*</w:t>
      </w:r>
      <w:r>
        <w:rPr>
          <w:rFonts w:hint="eastAsia" w:ascii="仿宋" w:hAnsi="仿宋" w:eastAsia="仿宋" w:cs="仿宋"/>
          <w:color w:val="auto"/>
          <w:highlight w:val="none"/>
          <w:u w:val="single"/>
          <w:lang w:eastAsia="zh-CN"/>
        </w:rPr>
        <w:t>清单工程</w:t>
      </w:r>
      <w:r>
        <w:rPr>
          <w:rFonts w:hint="eastAsia" w:ascii="仿宋" w:hAnsi="仿宋" w:eastAsia="仿宋" w:cs="仿宋"/>
          <w:color w:val="auto"/>
          <w:highlight w:val="none"/>
          <w:u w:val="single"/>
          <w:lang w:val="zh-CN" w:eastAsia="zh-CN"/>
        </w:rPr>
        <w:t>量。</w:t>
      </w:r>
    </w:p>
    <w:p>
      <w:pPr>
        <w:spacing w:line="360" w:lineRule="auto"/>
        <w:ind w:left="240" w:leftChars="100"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val="zh-CN" w:eastAsia="zh-CN"/>
        </w:rPr>
        <w:t>“施工期间材料价格”指施工期对应月度的</w:t>
      </w:r>
      <w:r>
        <w:rPr>
          <w:rFonts w:ascii="仿宋" w:hAnsi="仿宋" w:eastAsia="仿宋" w:cs="仿宋"/>
          <w:color w:val="auto"/>
          <w:highlight w:val="none"/>
          <w:u w:val="single"/>
          <w:lang w:eastAsia="zh-CN"/>
        </w:rPr>
        <w:t>广州</w:t>
      </w:r>
      <w:r>
        <w:rPr>
          <w:rFonts w:hint="eastAsia" w:ascii="仿宋" w:hAnsi="仿宋" w:eastAsia="仿宋" w:cs="仿宋"/>
          <w:color w:val="auto"/>
          <w:highlight w:val="none"/>
          <w:u w:val="single"/>
          <w:lang w:eastAsia="zh-CN"/>
        </w:rPr>
        <w:t>市花都</w:t>
      </w:r>
      <w:r>
        <w:rPr>
          <w:rFonts w:hint="eastAsia" w:ascii="仿宋" w:hAnsi="仿宋" w:eastAsia="仿宋" w:cs="仿宋"/>
          <w:color w:val="auto"/>
          <w:highlight w:val="none"/>
          <w:u w:val="single"/>
          <w:lang w:val="zh-CN" w:eastAsia="zh-CN"/>
        </w:rPr>
        <w:t>地区建设工程常用材料综合价格。</w:t>
      </w:r>
    </w:p>
    <w:p>
      <w:pPr>
        <w:spacing w:line="360" w:lineRule="auto"/>
        <w:ind w:firstLine="640" w:firstLineChars="267"/>
        <w:rPr>
          <w:rFonts w:hint="eastAsia" w:ascii="仿宋" w:hAnsi="仿宋" w:eastAsia="仿宋" w:cs="仿宋"/>
          <w:color w:val="auto"/>
          <w:highlight w:val="none"/>
          <w:lang w:eastAsia="zh-CN"/>
        </w:rPr>
      </w:pPr>
    </w:p>
    <w:p>
      <w:pPr>
        <w:spacing w:line="360" w:lineRule="auto"/>
        <w:ind w:firstLine="640" w:firstLineChars="267"/>
        <w:rPr>
          <w:rFonts w:eastAsia="仿宋_GB2312"/>
          <w:color w:val="auto"/>
          <w:sz w:val="30"/>
          <w:szCs w:val="30"/>
          <w:highlight w:val="none"/>
          <w:lang w:eastAsia="zh-CN"/>
        </w:rPr>
      </w:pPr>
      <w:r>
        <w:rPr>
          <w:rFonts w:hint="eastAsia" w:ascii="仿宋" w:hAnsi="仿宋" w:eastAsia="仿宋" w:cs="仿宋"/>
          <w:color w:val="auto"/>
          <w:highlight w:val="none"/>
          <w:lang w:eastAsia="zh-CN"/>
        </w:rPr>
        <w:t>□ 第2种方式：其他价格调整方式的约定：</w:t>
      </w:r>
      <w:r>
        <w:rPr>
          <w:rFonts w:hint="eastAsia" w:ascii="仿宋" w:hAnsi="仿宋" w:eastAsia="仿宋" w:cs="仿宋"/>
          <w:color w:val="auto"/>
          <w:highlight w:val="none"/>
          <w:u w:val="single"/>
          <w:lang w:eastAsia="zh-CN"/>
        </w:rPr>
        <w:t xml:space="preserve">    /    </w:t>
      </w:r>
    </w:p>
    <w:p>
      <w:pPr>
        <w:pStyle w:val="4"/>
        <w:tabs>
          <w:tab w:val="left" w:pos="420"/>
        </w:tabs>
        <w:spacing w:line="360" w:lineRule="auto"/>
        <w:rPr>
          <w:rFonts w:ascii="仿宋" w:hAnsi="仿宋" w:eastAsia="仿宋" w:cs="仿宋"/>
          <w:b w:val="0"/>
          <w:bCs w:val="0"/>
          <w:color w:val="auto"/>
          <w:sz w:val="24"/>
          <w:szCs w:val="24"/>
          <w:highlight w:val="none"/>
          <w:lang w:eastAsia="zh-CN"/>
        </w:rPr>
      </w:pPr>
      <w:bookmarkStart w:id="1875" w:name="_Toc1637"/>
      <w:bookmarkStart w:id="1876" w:name="_Toc3666"/>
      <w:bookmarkStart w:id="1877" w:name="_Toc18842"/>
      <w:bookmarkStart w:id="1878" w:name="_Toc6324"/>
      <w:bookmarkStart w:id="1879" w:name="_Toc1603"/>
      <w:bookmarkStart w:id="1880" w:name="_Toc15984"/>
      <w:bookmarkStart w:id="1881" w:name="_Toc30559"/>
      <w:bookmarkStart w:id="1882" w:name="_Toc10053"/>
      <w:r>
        <w:rPr>
          <w:rFonts w:hint="eastAsia" w:ascii="仿宋" w:hAnsi="仿宋" w:eastAsia="仿宋" w:cs="仿宋"/>
          <w:bCs w:val="0"/>
          <w:color w:val="auto"/>
          <w:sz w:val="24"/>
          <w:szCs w:val="24"/>
          <w:highlight w:val="none"/>
          <w:lang w:eastAsia="zh-CN"/>
        </w:rPr>
        <w:t>★</w:t>
      </w:r>
      <w:r>
        <w:rPr>
          <w:rFonts w:hint="eastAsia" w:ascii="仿宋" w:hAnsi="仿宋" w:eastAsia="仿宋" w:cs="仿宋"/>
          <w:b w:val="0"/>
          <w:bCs w:val="0"/>
          <w:color w:val="auto"/>
          <w:sz w:val="24"/>
          <w:szCs w:val="24"/>
          <w:highlight w:val="none"/>
          <w:lang w:eastAsia="zh-CN"/>
        </w:rPr>
        <w:t>83. 支付事项</w:t>
      </w:r>
      <w:bookmarkEnd w:id="1875"/>
      <w:bookmarkEnd w:id="1876"/>
      <w:bookmarkEnd w:id="1877"/>
      <w:bookmarkEnd w:id="1878"/>
      <w:bookmarkEnd w:id="1879"/>
      <w:bookmarkEnd w:id="1880"/>
      <w:bookmarkEnd w:id="1881"/>
      <w:bookmarkEnd w:id="1882"/>
    </w:p>
    <w:p>
      <w:pPr>
        <w:spacing w:line="360" w:lineRule="auto"/>
        <w:ind w:right="248"/>
        <w:rPr>
          <w:rFonts w:ascii="仿宋" w:hAnsi="仿宋" w:eastAsia="仿宋"/>
          <w:color w:val="auto"/>
          <w:highlight w:val="none"/>
          <w:lang w:eastAsia="zh-CN"/>
        </w:rPr>
      </w:pPr>
      <w:r>
        <w:rPr>
          <w:rFonts w:hint="eastAsia" w:ascii="仿宋" w:hAnsi="仿宋" w:eastAsia="仿宋"/>
          <w:color w:val="auto"/>
          <w:highlight w:val="none"/>
          <w:lang w:eastAsia="zh-CN"/>
        </w:rPr>
        <w:t>83.1支付合同价款</w:t>
      </w:r>
    </w:p>
    <w:p>
      <w:pPr>
        <w:spacing w:line="360" w:lineRule="auto"/>
        <w:ind w:right="248"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1.本项目承包人向发包人、业主书面报送请款资料及提供相应的等额增值税（</w:t>
      </w:r>
      <w:r>
        <w:rPr>
          <w:rFonts w:hint="eastAsia" w:ascii="仿宋" w:hAnsi="仿宋" w:eastAsia="仿宋"/>
          <w:color w:val="auto"/>
          <w:highlight w:val="none"/>
          <w:lang w:val="en-US" w:eastAsia="zh-CN"/>
        </w:rPr>
        <w:t>专用</w:t>
      </w:r>
      <w:r>
        <w:rPr>
          <w:rFonts w:hint="eastAsia" w:ascii="仿宋" w:hAnsi="仿宋" w:eastAsia="仿宋"/>
          <w:color w:val="auto"/>
          <w:highlight w:val="none"/>
          <w:lang w:eastAsia="zh-CN"/>
        </w:rPr>
        <w:t>）发票，经发包人审核通过后方可支付。本合同约定全部款项由发包人审核通过后向承包人支付。因承包人未及时提供发票等原因致使发包人逾期付款的，责任由承包人承担。</w:t>
      </w:r>
    </w:p>
    <w:p>
      <w:pPr>
        <w:spacing w:line="360" w:lineRule="auto"/>
        <w:ind w:firstLine="480" w:firstLineChars="200"/>
        <w:rPr>
          <w:color w:val="auto"/>
          <w:highlight w:val="none"/>
          <w:lang w:eastAsia="zh-CN"/>
        </w:rPr>
      </w:pPr>
      <w:r>
        <w:rPr>
          <w:rFonts w:hint="eastAsia" w:ascii="仿宋" w:hAnsi="仿宋" w:eastAsia="仿宋"/>
          <w:color w:val="auto"/>
          <w:highlight w:val="none"/>
          <w:lang w:eastAsia="zh-CN"/>
        </w:rPr>
        <w:t>2、工程变更后产生的费用需完成审批流程并签订补充协议后才能随进度款进行申报支付，工程变更增加的进度款支付原则上为批复金额的70%。工程签证增加的费用原则上结算后再进行支付。</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3.发包人有权在出现下列问题暂停支付承包人的工程进度款和尾款，直至相关问题得到纠正或妥善处理为止：</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（1）承包人提交的工程量和质量论证资料不完整或不属实，或未按要求提供相应的计划和报表；</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（2）承包人连续3周未能按计划落实施工且不采取任何赶工措施；</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（3）工程还存在待整改质量问题；</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（4）因承包人原因造成工期滞后，不能满足发包人的要求；</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（5）不服从监理的指令，并因此收到监理的书面警告；</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（6）未按要求提供办理结算的资料，不积极配合结算审计单位办理结算和审计；</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olor w:val="auto"/>
          <w:highlight w:val="none"/>
          <w:lang w:eastAsia="zh-CN"/>
        </w:rPr>
        <w:t>（7）由于竣工资料和工程还存在问题，相关单位不予接收。</w:t>
      </w:r>
    </w:p>
    <w:p>
      <w:pPr>
        <w:rPr>
          <w:color w:val="auto"/>
          <w:highlight w:val="none"/>
          <w:lang w:eastAsia="zh-CN"/>
        </w:rPr>
      </w:pPr>
    </w:p>
    <w:p>
      <w:pPr>
        <w:spacing w:line="360" w:lineRule="auto"/>
        <w:ind w:firstLine="480" w:firstLineChars="200"/>
        <w:rPr>
          <w:rFonts w:ascii="仿宋" w:hAnsi="仿宋" w:eastAsia="仿宋" w:cs="仿宋"/>
          <w:strike/>
          <w:color w:val="auto"/>
          <w:highlight w:val="none"/>
          <w:lang w:eastAsia="zh-CN"/>
        </w:rPr>
      </w:pPr>
      <w:r>
        <w:rPr>
          <w:rFonts w:hint="eastAsia" w:ascii="仿宋" w:hAnsi="仿宋" w:eastAsia="仿宋" w:cs="仿宋"/>
          <w:color w:val="auto"/>
          <w:highlight w:val="none"/>
          <w:lang w:eastAsia="zh-CN"/>
        </w:rPr>
        <w:t>83.2 计算利息的利率</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r>
        <w:rPr>
          <w:rFonts w:hint="eastAsia" w:ascii="仿宋" w:hAnsi="仿宋" w:eastAsia="仿宋" w:cs="仿宋"/>
          <w:color w:val="auto"/>
          <w:highlight w:val="none"/>
          <w:lang w:eastAsia="zh-CN" w:bidi="ar-SA"/>
        </w:rPr>
        <w:t>全国银行间同业拆借中心公布的贷款市场报价利率（LPR）</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另作约定：</w:t>
      </w:r>
      <w:r>
        <w:rPr>
          <w:rFonts w:hint="eastAsia" w:ascii="仿宋" w:hAnsi="仿宋" w:eastAsia="仿宋"/>
          <w:color w:val="auto"/>
          <w:highlight w:val="none"/>
          <w:u w:val="single"/>
          <w:lang w:eastAsia="zh-CN"/>
        </w:rPr>
        <w:t>发包人不进行利息支付。</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883" w:name="_Toc24210"/>
      <w:bookmarkStart w:id="1884" w:name="_Toc7359"/>
      <w:bookmarkStart w:id="1885" w:name="_Toc28792"/>
      <w:bookmarkStart w:id="1886" w:name="_Toc16651"/>
      <w:bookmarkStart w:id="1887" w:name="_Toc31973"/>
      <w:bookmarkStart w:id="1888" w:name="_Toc5513"/>
      <w:bookmarkStart w:id="1889" w:name="_Toc7056"/>
      <w:bookmarkStart w:id="1890" w:name="_Toc26522"/>
      <w:r>
        <w:rPr>
          <w:rFonts w:hint="eastAsia" w:ascii="仿宋" w:hAnsi="仿宋" w:eastAsia="仿宋" w:cs="仿宋"/>
          <w:b w:val="0"/>
          <w:bCs w:val="0"/>
          <w:color w:val="auto"/>
          <w:sz w:val="24"/>
          <w:szCs w:val="24"/>
          <w:highlight w:val="none"/>
          <w:lang w:eastAsia="zh-CN"/>
        </w:rPr>
        <w:t>★84.  预付款</w:t>
      </w:r>
      <w:bookmarkEnd w:id="1883"/>
      <w:bookmarkEnd w:id="1884"/>
      <w:bookmarkEnd w:id="1885"/>
      <w:bookmarkEnd w:id="1886"/>
      <w:bookmarkEnd w:id="1887"/>
      <w:bookmarkEnd w:id="1888"/>
      <w:bookmarkEnd w:id="1889"/>
      <w:bookmarkEnd w:id="1890"/>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84.1 预付款的约定及管理</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 无预付款，本条不适用。</w:t>
      </w:r>
    </w:p>
    <w:p>
      <w:pPr>
        <w:spacing w:line="360" w:lineRule="auto"/>
        <w:ind w:firstLine="840" w:firstLineChars="3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有预付款，其支付办法和抵扣方式，按专用条款第84.2款和第84.4款约定。</w:t>
      </w:r>
    </w:p>
    <w:p>
      <w:pPr>
        <w:spacing w:line="360" w:lineRule="auto"/>
        <w:ind w:firstLine="840" w:firstLineChars="3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另作约定：</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工程勘察费预付款支付比例及金额：</w:t>
      </w:r>
      <w:r>
        <w:rPr>
          <w:rFonts w:hint="eastAsia" w:ascii="仿宋" w:hAnsi="仿宋" w:eastAsia="仿宋"/>
          <w:color w:val="auto"/>
          <w:highlight w:val="none"/>
          <w:lang w:eastAsia="zh"/>
        </w:rPr>
        <w:t>勘察费签约</w:t>
      </w:r>
      <w:r>
        <w:rPr>
          <w:rFonts w:hint="eastAsia" w:ascii="仿宋" w:hAnsi="仿宋" w:eastAsia="仿宋"/>
          <w:color w:val="auto"/>
          <w:highlight w:val="none"/>
          <w:lang w:eastAsia="zh-CN"/>
        </w:rPr>
        <w:t>合同总价的</w:t>
      </w:r>
      <w:r>
        <w:rPr>
          <w:rFonts w:hint="eastAsia" w:ascii="仿宋" w:hAnsi="仿宋" w:eastAsia="仿宋"/>
          <w:color w:val="auto"/>
          <w:highlight w:val="none"/>
          <w:u w:val="single"/>
          <w:lang w:eastAsia="zh-CN"/>
        </w:rPr>
        <w:t>5</w:t>
      </w:r>
      <w:r>
        <w:rPr>
          <w:rFonts w:hint="eastAsia" w:ascii="仿宋" w:hAnsi="仿宋" w:eastAsia="仿宋"/>
          <w:color w:val="auto"/>
          <w:highlight w:val="none"/>
          <w:lang w:eastAsia="zh-CN"/>
        </w:rPr>
        <w:t>%作为预付款，即¥   元（本合同履行后，达到第二次付款条件时，预付款自动转为</w:t>
      </w:r>
      <w:r>
        <w:rPr>
          <w:rFonts w:hint="eastAsia" w:ascii="仿宋" w:hAnsi="仿宋" w:eastAsia="仿宋"/>
          <w:color w:val="auto"/>
          <w:highlight w:val="none"/>
          <w:lang w:val="en-US" w:eastAsia="zh-CN"/>
        </w:rPr>
        <w:t>勘察</w:t>
      </w:r>
      <w:r>
        <w:rPr>
          <w:rFonts w:hint="eastAsia" w:ascii="仿宋" w:hAnsi="仿宋" w:eastAsia="仿宋"/>
          <w:color w:val="auto"/>
          <w:highlight w:val="none"/>
          <w:lang w:eastAsia="zh-CN"/>
        </w:rPr>
        <w:t>费）</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工程设计费预付款支付比例及金额：</w:t>
      </w:r>
      <w:r>
        <w:rPr>
          <w:rFonts w:hint="eastAsia" w:ascii="仿宋" w:hAnsi="仿宋" w:eastAsia="仿宋"/>
          <w:color w:val="auto"/>
          <w:highlight w:val="none"/>
          <w:lang w:eastAsia="zh"/>
        </w:rPr>
        <w:t>设计费签约</w:t>
      </w:r>
      <w:r>
        <w:rPr>
          <w:rFonts w:hint="eastAsia" w:ascii="仿宋" w:hAnsi="仿宋" w:eastAsia="仿宋"/>
          <w:color w:val="auto"/>
          <w:highlight w:val="none"/>
          <w:lang w:eastAsia="zh-CN"/>
        </w:rPr>
        <w:t>合</w:t>
      </w:r>
      <w:r>
        <w:rPr>
          <w:rFonts w:hint="eastAsia" w:ascii="仿宋" w:hAnsi="仿宋" w:eastAsia="仿宋"/>
          <w:color w:val="auto"/>
          <w:highlight w:val="none"/>
          <w:lang w:eastAsia="zh"/>
        </w:rPr>
        <w:t>同</w:t>
      </w:r>
      <w:r>
        <w:rPr>
          <w:rFonts w:hint="eastAsia" w:ascii="仿宋" w:hAnsi="仿宋" w:eastAsia="仿宋"/>
          <w:color w:val="auto"/>
          <w:highlight w:val="none"/>
          <w:lang w:eastAsia="zh-CN"/>
        </w:rPr>
        <w:t>总价的</w:t>
      </w:r>
      <w:r>
        <w:rPr>
          <w:rFonts w:hint="eastAsia" w:ascii="仿宋" w:hAnsi="仿宋" w:eastAsia="仿宋"/>
          <w:color w:val="auto"/>
          <w:highlight w:val="none"/>
          <w:u w:val="single"/>
          <w:lang w:eastAsia="zh-CN"/>
        </w:rPr>
        <w:t>5</w:t>
      </w:r>
      <w:r>
        <w:rPr>
          <w:rFonts w:hint="eastAsia" w:ascii="仿宋" w:hAnsi="仿宋" w:eastAsia="仿宋"/>
          <w:color w:val="auto"/>
          <w:highlight w:val="none"/>
          <w:lang w:eastAsia="zh-CN"/>
        </w:rPr>
        <w:t>%作为预付款，即¥</w:t>
      </w:r>
      <w:r>
        <w:rPr>
          <w:rFonts w:hint="eastAsia" w:ascii="仿宋" w:hAnsi="仿宋" w:eastAsia="仿宋" w:cs="仿宋"/>
          <w:color w:val="auto"/>
          <w:highlight w:val="none"/>
          <w:u w:val="single"/>
          <w:lang w:eastAsia="zh-CN"/>
        </w:rPr>
        <w:t xml:space="preserve">   </w:t>
      </w:r>
      <w:r>
        <w:rPr>
          <w:rFonts w:hint="eastAsia" w:ascii="仿宋" w:hAnsi="仿宋" w:eastAsia="仿宋"/>
          <w:color w:val="auto"/>
          <w:highlight w:val="none"/>
          <w:lang w:eastAsia="zh-CN"/>
        </w:rPr>
        <w:t>元（本合同履行后，达到第二次付款条件时，预付款自动转为设计费）。</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BIM技术应用费预付款支付比例及金额：</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设备及工器具购置费预付款支付比例及金额：</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建筑安装工程费预付款支付比例及金额：</w:t>
      </w:r>
      <w:r>
        <w:rPr>
          <w:rFonts w:hint="eastAsia" w:ascii="仿宋" w:hAnsi="仿宋" w:eastAsia="仿宋" w:cs="仿宋"/>
          <w:color w:val="auto"/>
          <w:highlight w:val="none"/>
          <w:u w:val="single"/>
          <w:lang w:eastAsia="zh-CN"/>
        </w:rPr>
        <w:t>合同</w:t>
      </w:r>
      <w:r>
        <w:rPr>
          <w:rFonts w:hint="eastAsia" w:ascii="仿宋" w:hAnsi="仿宋" w:eastAsia="仿宋"/>
          <w:color w:val="auto"/>
          <w:highlight w:val="none"/>
          <w:u w:val="single"/>
          <w:lang w:eastAsia="zh-CN"/>
        </w:rPr>
        <w:t>建筑安装工程费</w:t>
      </w:r>
      <w:r>
        <w:rPr>
          <w:rFonts w:hint="eastAsia" w:ascii="仿宋" w:hAnsi="仿宋" w:eastAsia="仿宋" w:cs="仿宋"/>
          <w:color w:val="auto"/>
          <w:highlight w:val="none"/>
          <w:u w:val="single"/>
          <w:lang w:eastAsia="zh-CN"/>
        </w:rPr>
        <w:t>不设预付款</w:t>
      </w:r>
      <w:r>
        <w:rPr>
          <w:rFonts w:hint="eastAsia" w:ascii="仿宋" w:hAnsi="仿宋" w:eastAsia="仿宋"/>
          <w:color w:val="auto"/>
          <w:highlight w:val="none"/>
          <w:u w:val="single"/>
          <w:lang w:eastAsia="zh-CN"/>
        </w:rPr>
        <w:t>。</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其他费用预付</w:t>
      </w:r>
      <w:r>
        <w:rPr>
          <w:rFonts w:hint="eastAsia" w:ascii="仿宋" w:hAnsi="仿宋" w:eastAsia="仿宋"/>
          <w:color w:val="auto"/>
          <w:highlight w:val="none"/>
          <w:lang w:eastAsia="zh-CN"/>
        </w:rPr>
        <w:t>款支付比例及金额：</w:t>
      </w:r>
      <w:r>
        <w:rPr>
          <w:rFonts w:hint="eastAsia" w:ascii="仿宋" w:hAnsi="仿宋" w:eastAsia="仿宋" w:cs="仿宋"/>
          <w:color w:val="auto"/>
          <w:highlight w:val="none"/>
          <w:u w:val="single"/>
          <w:lang w:eastAsia="zh-CN"/>
        </w:rPr>
        <w:t xml:space="preserve">    /    </w:t>
      </w:r>
    </w:p>
    <w:p>
      <w:pPr>
        <w:pStyle w:val="22"/>
        <w:adjustRightInd w:val="0"/>
        <w:snapToGrid w:val="0"/>
        <w:spacing w:line="360" w:lineRule="auto"/>
        <w:ind w:firstLine="480" w:firstLineChars="200"/>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eastAsia="zh-CN"/>
        </w:rPr>
        <w:t>84.2 提交预付款支付申请期限：</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按通用条款第84.2款约定。</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ind w:left="480" w:leftChars="2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工程勘察费预付款支付申请期限：</w:t>
      </w:r>
      <w:r>
        <w:rPr>
          <w:rFonts w:hint="eastAsia" w:ascii="仿宋" w:hAnsi="仿宋" w:eastAsia="仿宋"/>
          <w:color w:val="auto"/>
          <w:highlight w:val="none"/>
          <w:u w:val="single"/>
          <w:lang w:eastAsia="zh-CN"/>
        </w:rPr>
        <w:t>合同生效后，承包人按发包人要求办理请款手续后30天内支付。承包人向发包人收取</w:t>
      </w:r>
      <w:r>
        <w:rPr>
          <w:rFonts w:hint="eastAsia" w:ascii="仿宋" w:hAnsi="仿宋" w:eastAsia="仿宋"/>
          <w:color w:val="auto"/>
          <w:highlight w:val="none"/>
          <w:u w:val="single"/>
          <w:lang w:val="en-US" w:eastAsia="zh-CN"/>
        </w:rPr>
        <w:t>勘察</w:t>
      </w:r>
      <w:r>
        <w:rPr>
          <w:rFonts w:hint="eastAsia" w:ascii="仿宋" w:hAnsi="仿宋" w:eastAsia="仿宋"/>
          <w:color w:val="auto"/>
          <w:highlight w:val="none"/>
          <w:u w:val="single"/>
          <w:lang w:eastAsia="zh-CN"/>
        </w:rPr>
        <w:t>预付款时须提供与承包人名称一致的增值税专用发票。</w:t>
      </w:r>
    </w:p>
    <w:p>
      <w:pPr>
        <w:spacing w:line="360" w:lineRule="auto"/>
        <w:ind w:left="480" w:leftChars="200" w:firstLine="360" w:firstLineChars="15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工程设计费预付款支付申请期限：</w:t>
      </w:r>
      <w:r>
        <w:rPr>
          <w:rFonts w:hint="eastAsia" w:ascii="仿宋" w:hAnsi="仿宋" w:eastAsia="仿宋"/>
          <w:color w:val="auto"/>
          <w:highlight w:val="none"/>
          <w:u w:val="single"/>
          <w:lang w:eastAsia="zh-CN"/>
        </w:rPr>
        <w:t>合同生效后，承包人按发包人要求办理请款手续后30天内支付。承包人向发包人收取设计预付款时须提供与承包人名称一致的增值税专用发票。</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BIM技术应用费预付款支付申请期限：</w:t>
      </w:r>
      <w:r>
        <w:rPr>
          <w:rFonts w:hint="eastAsia" w:ascii="仿宋" w:hAnsi="仿宋" w:eastAsia="仿宋" w:cs="仿宋"/>
          <w:color w:val="auto"/>
          <w:highlight w:val="none"/>
          <w:u w:val="single"/>
          <w:lang w:eastAsia="zh-CN"/>
        </w:rPr>
        <w:t xml:space="preserve">    /    </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设备及工器具购置费预付款支付申请期限：</w:t>
      </w:r>
      <w:r>
        <w:rPr>
          <w:rFonts w:hint="eastAsia" w:ascii="仿宋" w:hAnsi="仿宋" w:eastAsia="仿宋" w:cs="仿宋"/>
          <w:color w:val="auto"/>
          <w:highlight w:val="none"/>
          <w:u w:val="single"/>
          <w:lang w:eastAsia="zh-CN"/>
        </w:rPr>
        <w:t xml:space="preserve">    /    </w:t>
      </w:r>
    </w:p>
    <w:p>
      <w:pPr>
        <w:spacing w:line="360" w:lineRule="auto"/>
        <w:ind w:left="480" w:leftChars="2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xml:space="preserve">☑ </w:t>
      </w:r>
      <w:r>
        <w:rPr>
          <w:rFonts w:hint="eastAsia" w:ascii="仿宋" w:hAnsi="仿宋" w:eastAsia="仿宋"/>
          <w:color w:val="auto"/>
          <w:highlight w:val="none"/>
          <w:lang w:eastAsia="zh-CN"/>
        </w:rPr>
        <w:t>建筑安装工程费预付款支付申请期限：</w:t>
      </w:r>
      <w:r>
        <w:rPr>
          <w:rFonts w:hint="eastAsia" w:ascii="仿宋" w:hAnsi="仿宋" w:eastAsia="仿宋"/>
          <w:color w:val="auto"/>
          <w:highlight w:val="none"/>
          <w:u w:val="single"/>
          <w:lang w:eastAsia="zh-CN"/>
        </w:rPr>
        <w:t>合同生效、承包人提供了履约保函及现场具备开工条件且承包人按投标文件规定的主要负责工程施工管理的人员及各职能部门到位，施工机具及生产人员按经发包人审定的计划已经进场</w:t>
      </w:r>
      <w:r>
        <w:rPr>
          <w:rFonts w:hint="eastAsia" w:ascii="仿宋" w:hAnsi="仿宋" w:eastAsia="仿宋" w:cs="仿宋"/>
          <w:color w:val="auto"/>
          <w:highlight w:val="none"/>
          <w:u w:val="single"/>
          <w:lang w:eastAsia="zh-CN"/>
        </w:rPr>
        <w:t>。</w:t>
      </w:r>
    </w:p>
    <w:p>
      <w:pPr>
        <w:spacing w:line="360" w:lineRule="auto"/>
        <w:ind w:left="480" w:leftChars="200" w:firstLine="360" w:firstLineChars="1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其他费用</w:t>
      </w:r>
      <w:r>
        <w:rPr>
          <w:rFonts w:hint="eastAsia" w:ascii="仿宋" w:hAnsi="仿宋" w:eastAsia="仿宋"/>
          <w:color w:val="auto"/>
          <w:highlight w:val="none"/>
          <w:lang w:eastAsia="zh-CN"/>
        </w:rPr>
        <w:t>预付款支付申请期限：</w:t>
      </w:r>
      <w:r>
        <w:rPr>
          <w:rFonts w:hint="eastAsia" w:ascii="仿宋" w:hAnsi="仿宋" w:eastAsia="仿宋" w:cs="仿宋"/>
          <w:color w:val="auto"/>
          <w:highlight w:val="none"/>
          <w:u w:val="single"/>
          <w:lang w:eastAsia="zh-CN"/>
        </w:rPr>
        <w:t xml:space="preserve">    /    </w:t>
      </w:r>
    </w:p>
    <w:p>
      <w:pPr>
        <w:pStyle w:val="22"/>
        <w:adjustRightInd w:val="0"/>
        <w:snapToGrid w:val="0"/>
        <w:spacing w:line="360" w:lineRule="auto"/>
        <w:ind w:firstLine="480" w:firstLineChars="200"/>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84.3 预付款支付的限制</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□按通用条款第84.2款约定。</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☑另作约定：</w:t>
      </w:r>
    </w:p>
    <w:p>
      <w:pPr>
        <w:numPr>
          <w:ilvl w:val="0"/>
          <w:numId w:val="37"/>
        </w:num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发包人没有按时支付预付款的，发包人可与承包人协商签订延期支付协议，经承包人同意后可延期支付，承包人有权按照第83.2款约定获得延期支付的利息。</w:t>
      </w:r>
    </w:p>
    <w:p>
      <w:pPr>
        <w:numPr>
          <w:ilvl w:val="0"/>
          <w:numId w:val="37"/>
        </w:num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承包人收取预付款后，应优先用于按有关规定缴纳工伤保险和办理建筑意外伤害险，专款专用。</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84.4 预付款的扣回</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按通用条款约定。</w:t>
      </w:r>
    </w:p>
    <w:p>
      <w:pPr>
        <w:spacing w:line="360" w:lineRule="auto"/>
        <w:ind w:left="480" w:leftChars="200" w:firstLine="360" w:firstLineChars="15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其它抵扣方式：</w:t>
      </w:r>
      <w:r>
        <w:rPr>
          <w:rFonts w:hint="eastAsia" w:ascii="仿宋" w:hAnsi="仿宋" w:eastAsia="仿宋"/>
          <w:color w:val="auto"/>
          <w:highlight w:val="none"/>
          <w:u w:val="single"/>
          <w:lang w:eastAsia="zh-CN"/>
        </w:rPr>
        <w:t>自第一期施工进度款起，发包人有权在每期应付的施工进度款中按应付施工进度款的</w:t>
      </w:r>
      <w:r>
        <w:rPr>
          <w:rFonts w:hint="eastAsia" w:ascii="仿宋" w:hAnsi="仿宋" w:eastAsia="仿宋"/>
          <w:color w:val="auto"/>
          <w:highlight w:val="none"/>
          <w:u w:val="single"/>
          <w:lang w:eastAsia="zh"/>
        </w:rPr>
        <w:t>30</w:t>
      </w:r>
      <w:r>
        <w:rPr>
          <w:rFonts w:hint="eastAsia" w:ascii="仿宋" w:hAnsi="仿宋" w:eastAsia="仿宋"/>
          <w:color w:val="auto"/>
          <w:highlight w:val="none"/>
          <w:u w:val="single"/>
          <w:lang w:eastAsia="zh-CN"/>
        </w:rPr>
        <w:t>%扣回预付款，直至全部扣回为止。（预付款的扣回指施工部分，</w:t>
      </w:r>
      <w:r>
        <w:rPr>
          <w:rFonts w:hint="eastAsia" w:ascii="仿宋" w:hAnsi="仿宋" w:eastAsia="仿宋"/>
          <w:color w:val="auto"/>
          <w:highlight w:val="none"/>
          <w:u w:val="single"/>
          <w:lang w:eastAsia="zh"/>
        </w:rPr>
        <w:t>勘察及</w:t>
      </w:r>
      <w:r>
        <w:rPr>
          <w:rFonts w:hint="eastAsia" w:ascii="仿宋" w:hAnsi="仿宋" w:eastAsia="仿宋"/>
          <w:color w:val="auto"/>
          <w:highlight w:val="none"/>
          <w:u w:val="single"/>
          <w:lang w:eastAsia="zh-CN"/>
        </w:rPr>
        <w:t>设计</w:t>
      </w:r>
      <w:r>
        <w:rPr>
          <w:rFonts w:hint="eastAsia" w:ascii="仿宋" w:hAnsi="仿宋" w:eastAsia="仿宋"/>
          <w:color w:val="auto"/>
          <w:highlight w:val="none"/>
          <w:u w:val="single"/>
          <w:lang w:eastAsia="zh"/>
        </w:rPr>
        <w:t>预付款</w:t>
      </w:r>
      <w:r>
        <w:rPr>
          <w:rFonts w:hint="eastAsia" w:ascii="仿宋" w:hAnsi="仿宋" w:eastAsia="仿宋"/>
          <w:color w:val="auto"/>
          <w:highlight w:val="none"/>
          <w:u w:val="single"/>
          <w:lang w:eastAsia="zh-CN"/>
        </w:rPr>
        <w:t>无需扣回。）</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891" w:name="_Toc20314"/>
      <w:bookmarkStart w:id="1892" w:name="_Toc6244"/>
      <w:bookmarkStart w:id="1893" w:name="_Toc26122"/>
      <w:bookmarkStart w:id="1894" w:name="_Toc17946"/>
      <w:bookmarkStart w:id="1895" w:name="_Toc8924"/>
      <w:bookmarkStart w:id="1896" w:name="_Toc31799"/>
      <w:bookmarkStart w:id="1897" w:name="_Toc7861"/>
      <w:bookmarkStart w:id="1898" w:name="_Toc25218"/>
      <w:r>
        <w:rPr>
          <w:rFonts w:hint="eastAsia" w:ascii="仿宋" w:hAnsi="仿宋" w:eastAsia="仿宋" w:cs="仿宋"/>
          <w:b w:val="0"/>
          <w:bCs w:val="0"/>
          <w:color w:val="auto"/>
          <w:sz w:val="24"/>
          <w:szCs w:val="24"/>
          <w:highlight w:val="none"/>
          <w:lang w:eastAsia="zh-CN"/>
        </w:rPr>
        <w:t>★85.  绿色施工安全防护费</w:t>
      </w:r>
      <w:bookmarkEnd w:id="1891"/>
      <w:bookmarkEnd w:id="1892"/>
      <w:bookmarkEnd w:id="1893"/>
      <w:bookmarkEnd w:id="1894"/>
      <w:bookmarkEnd w:id="1895"/>
      <w:bookmarkEnd w:id="1896"/>
      <w:bookmarkEnd w:id="1897"/>
      <w:bookmarkEnd w:id="1898"/>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85.1 绿色施工安全防护费的内容、范围和金额</w:t>
      </w:r>
    </w:p>
    <w:p>
      <w:pPr>
        <w:spacing w:line="360" w:lineRule="auto"/>
        <w:ind w:firstLine="720" w:firstLineChars="300"/>
        <w:rPr>
          <w:rFonts w:ascii="仿宋" w:hAnsi="仿宋" w:eastAsia="仿宋"/>
          <w:color w:val="auto"/>
          <w:highlight w:val="none"/>
          <w:lang w:eastAsia="zh-CN"/>
        </w:rPr>
      </w:pPr>
      <w:bookmarkStart w:id="1899" w:name="_Toc6285"/>
      <w:r>
        <w:rPr>
          <w:rFonts w:hint="eastAsia" w:ascii="仿宋" w:hAnsi="仿宋" w:eastAsia="仿宋" w:cs="仿宋"/>
          <w:color w:val="auto"/>
          <w:highlight w:val="none"/>
          <w:lang w:eastAsia="zh-CN"/>
        </w:rPr>
        <w:t>①内容和范围</w:t>
      </w:r>
      <w:bookmarkEnd w:id="1899"/>
    </w:p>
    <w:p>
      <w:pPr>
        <w:spacing w:line="360" w:lineRule="auto"/>
        <w:ind w:left="480" w:leftChars="200"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☑按通用条款的约定，以现行省、市有关文件规定为准。</w:t>
      </w:r>
    </w:p>
    <w:p>
      <w:pPr>
        <w:spacing w:line="360" w:lineRule="auto"/>
        <w:ind w:left="480" w:leftChars="200"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□另作约定：</w:t>
      </w:r>
      <w:r>
        <w:rPr>
          <w:rFonts w:hint="eastAsia" w:ascii="仿宋" w:hAnsi="仿宋" w:eastAsia="仿宋" w:cs="仿宋"/>
          <w:color w:val="auto"/>
          <w:highlight w:val="none"/>
          <w:u w:val="single"/>
          <w:lang w:eastAsia="zh-CN"/>
        </w:rPr>
        <w:t xml:space="preserve">    /    </w:t>
      </w:r>
    </w:p>
    <w:p>
      <w:pPr>
        <w:spacing w:line="360" w:lineRule="auto"/>
        <w:ind w:left="480" w:leftChars="200" w:firstLine="240" w:firstLineChars="100"/>
        <w:rPr>
          <w:rFonts w:ascii="仿宋" w:hAnsi="仿宋" w:eastAsia="仿宋"/>
          <w:color w:val="auto"/>
          <w:highlight w:val="none"/>
          <w:lang w:eastAsia="zh-CN"/>
        </w:rPr>
      </w:pPr>
      <w:r>
        <w:rPr>
          <w:rFonts w:hint="eastAsia" w:ascii="仿宋" w:hAnsi="仿宋" w:eastAsia="仿宋" w:cs="仿宋"/>
          <w:color w:val="auto"/>
          <w:highlight w:val="none"/>
          <w:lang w:eastAsia="zh-CN"/>
        </w:rPr>
        <w:t>②绿色施工安全防护费的总金额为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85.2 支付申请的提交与核实</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按通用条款的约定。</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 xml:space="preserve">    /    </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85.3 费用支付</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绿色施工安全防护费的支付办法和抵扣方式：</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 xml:space="preserve"> 按通用条款的约定。</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绿色施工安全防护措施费</w:t>
      </w:r>
      <w:r>
        <w:rPr>
          <w:rFonts w:hint="eastAsia" w:ascii="仿宋" w:hAnsi="仿宋" w:eastAsia="仿宋" w:cs="仿宋"/>
          <w:color w:val="auto"/>
          <w:highlight w:val="none"/>
          <w:u w:val="single"/>
          <w:lang w:eastAsia="zh"/>
        </w:rPr>
        <w:t>随进度款一起支付</w:t>
      </w:r>
      <w:r>
        <w:rPr>
          <w:rFonts w:hint="eastAsia" w:ascii="仿宋" w:hAnsi="仿宋" w:eastAsia="仿宋" w:cs="仿宋"/>
          <w:color w:val="auto"/>
          <w:highlight w:val="none"/>
          <w:u w:val="single"/>
          <w:lang w:eastAsia="zh-CN"/>
        </w:rPr>
        <w:t>。</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85.4 支付限制</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按通用条款的约定。</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另作约定：发包人没有按时支付绿色施工安全防护费的，承包人应在付款期满后的7天内向发包人发出要求支付的通知。</w:t>
      </w:r>
    </w:p>
    <w:p>
      <w:pPr>
        <w:spacing w:line="360" w:lineRule="auto"/>
        <w:ind w:left="480" w:leftChars="200"/>
        <w:rPr>
          <w:rFonts w:ascii="仿宋" w:hAnsi="仿宋" w:eastAsia="仿宋"/>
          <w:b/>
          <w:bCs/>
          <w:color w:val="auto"/>
          <w:highlight w:val="none"/>
          <w:lang w:eastAsia="zh-CN"/>
        </w:rPr>
      </w:pPr>
      <w:r>
        <w:rPr>
          <w:rFonts w:hint="eastAsia" w:ascii="仿宋" w:hAnsi="仿宋" w:eastAsia="仿宋" w:cs="仿宋"/>
          <w:color w:val="auto"/>
          <w:highlight w:val="none"/>
          <w:lang w:eastAsia="zh-CN"/>
        </w:rPr>
        <w:t>85.6 文明工地增加费</w:t>
      </w:r>
    </w:p>
    <w:p>
      <w:pPr>
        <w:spacing w:line="360" w:lineRule="auto"/>
        <w:ind w:left="480" w:leftChars="200"/>
        <w:rPr>
          <w:rFonts w:ascii="仿宋" w:hAnsi="仿宋" w:eastAsia="仿宋"/>
          <w:color w:val="auto"/>
          <w:highlight w:val="none"/>
          <w:lang w:eastAsia="zh-CN"/>
        </w:rPr>
      </w:pPr>
      <w:r>
        <w:rPr>
          <w:rFonts w:hint="eastAsia" w:ascii="仿宋" w:hAnsi="仿宋" w:eastAsia="仿宋" w:cs="仿宋"/>
          <w:color w:val="auto"/>
          <w:highlight w:val="none"/>
          <w:lang w:eastAsia="zh-CN"/>
        </w:rPr>
        <w:t>文明工地增加费的计算额度：</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按通用条款约定计算。</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不计取文明工地增加费</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900" w:name="_Toc28406"/>
      <w:bookmarkStart w:id="1901" w:name="_Toc11406"/>
      <w:bookmarkStart w:id="1902" w:name="_Toc30209"/>
      <w:bookmarkStart w:id="1903" w:name="_Toc21369"/>
      <w:bookmarkStart w:id="1904" w:name="_Toc28553"/>
      <w:bookmarkStart w:id="1905" w:name="_Toc21991"/>
      <w:bookmarkStart w:id="1906" w:name="_Toc15831"/>
      <w:bookmarkStart w:id="1907" w:name="_Toc11162"/>
      <w:r>
        <w:rPr>
          <w:rFonts w:hint="eastAsia" w:ascii="仿宋" w:hAnsi="仿宋" w:eastAsia="仿宋" w:cs="仿宋"/>
          <w:b w:val="0"/>
          <w:bCs w:val="0"/>
          <w:color w:val="auto"/>
          <w:sz w:val="24"/>
          <w:szCs w:val="24"/>
          <w:highlight w:val="none"/>
          <w:lang w:eastAsia="zh-CN"/>
        </w:rPr>
        <w:t>★86.  进度款</w:t>
      </w:r>
      <w:bookmarkEnd w:id="1900"/>
      <w:bookmarkEnd w:id="1901"/>
      <w:bookmarkEnd w:id="1902"/>
      <w:bookmarkEnd w:id="1903"/>
      <w:bookmarkEnd w:id="1904"/>
      <w:bookmarkEnd w:id="1905"/>
      <w:bookmarkEnd w:id="1906"/>
      <w:bookmarkEnd w:id="1907"/>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86.1约定支付期限和提交支付申请</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勘察</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①支付期限、比例</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 以月为支付周期，支付比例为本月已完工作或工程款的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以季度为支付周期，支付比例为本季度已完工作或工程款的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440" w:leftChars="6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以形象进度为支付周期，支付比例为本形象进度内已完工作或工程款的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%或另行约定，具体约定如下：</w:t>
      </w:r>
      <w:r>
        <w:rPr>
          <w:rFonts w:hint="eastAsia" w:ascii="仿宋" w:hAnsi="仿宋" w:eastAsia="仿宋" w:cs="仿宋"/>
          <w:color w:val="auto"/>
          <w:highlight w:val="none"/>
          <w:u w:val="single"/>
          <w:lang w:eastAsia="zh-CN"/>
        </w:rPr>
        <w:t xml:space="preserve">    /    </w:t>
      </w:r>
    </w:p>
    <w:p>
      <w:pPr>
        <w:spacing w:line="360" w:lineRule="auto"/>
        <w:ind w:left="1440" w:leftChars="600"/>
        <w:rPr>
          <w:rFonts w:hint="eastAsia"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其它方式：</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款：承包人向发包人收取设计款时须提供与承包人名称一致的合法有效等额增值税专用发票。</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款（进度款）的支付方式如下：</w:t>
      </w:r>
    </w:p>
    <w:p>
      <w:pPr>
        <w:spacing w:line="360" w:lineRule="auto"/>
        <w:ind w:left="1200" w:leftChars="50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阶段性任务工作完成后，该项勘察成果资料通过发包人验收，分别累计支付至该项的实际已完成工作量对应勘察费的70%；承包人提交全部项目服务成果报告且勘察费结算</w:t>
      </w:r>
      <w:r>
        <w:rPr>
          <w:rFonts w:hint="eastAsia" w:ascii="仿宋" w:hAnsi="仿宋" w:eastAsia="仿宋" w:cs="仿宋"/>
          <w:color w:val="auto"/>
          <w:highlight w:val="none"/>
          <w:lang w:eastAsia="zh"/>
        </w:rPr>
        <w:t>价</w:t>
      </w:r>
      <w:r>
        <w:rPr>
          <w:rFonts w:hint="eastAsia" w:ascii="仿宋" w:hAnsi="仿宋" w:eastAsia="仿宋" w:cs="仿宋"/>
          <w:color w:val="auto"/>
          <w:highlight w:val="none"/>
          <w:lang w:eastAsia="zh-CN"/>
        </w:rPr>
        <w:t>经发包人审定后，需收取</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结算价100%发票，发包人向承包人支付至勘察费结算价的9</w:t>
      </w:r>
      <w:r>
        <w:rPr>
          <w:rFonts w:hint="eastAsia" w:ascii="仿宋" w:hAnsi="仿宋" w:eastAsia="仿宋" w:cs="仿宋"/>
          <w:color w:val="auto"/>
          <w:highlight w:val="none"/>
          <w:lang w:val="en-US" w:eastAsia="zh-CN"/>
        </w:rPr>
        <w:t>0</w:t>
      </w:r>
      <w:r>
        <w:rPr>
          <w:rFonts w:hint="eastAsia" w:ascii="仿宋" w:hAnsi="仿宋" w:eastAsia="仿宋" w:cs="仿宋"/>
          <w:color w:val="auto"/>
          <w:highlight w:val="none"/>
          <w:lang w:eastAsia="zh-CN"/>
        </w:rPr>
        <w:t>%；剩余的勘察费待工程</w:t>
      </w:r>
      <w:r>
        <w:rPr>
          <w:rFonts w:hint="eastAsia" w:ascii="仿宋" w:hAnsi="仿宋" w:eastAsia="仿宋" w:cs="仿宋"/>
          <w:color w:val="auto"/>
          <w:highlight w:val="none"/>
          <w:lang w:eastAsia="zh"/>
        </w:rPr>
        <w:t>竣工验收通过</w:t>
      </w:r>
      <w:r>
        <w:rPr>
          <w:rFonts w:hint="eastAsia" w:ascii="仿宋" w:hAnsi="仿宋" w:eastAsia="仿宋" w:cs="仿宋"/>
          <w:color w:val="auto"/>
          <w:highlight w:val="none"/>
          <w:lang w:eastAsia="zh-CN"/>
        </w:rPr>
        <w:t>后发包人一次结清（不计利息）。</w:t>
      </w:r>
    </w:p>
    <w:p>
      <w:pPr>
        <w:spacing w:line="360" w:lineRule="auto"/>
        <w:ind w:firstLine="1452" w:firstLineChars="605"/>
        <w:rPr>
          <w:rFonts w:ascii="仿宋" w:hAnsi="仿宋" w:eastAsia="仿宋" w:cs="仿宋"/>
          <w:color w:val="auto"/>
          <w:highlight w:val="none"/>
          <w:lang w:eastAsia="zh-CN"/>
        </w:rPr>
      </w:pPr>
      <w:bookmarkStart w:id="1908" w:name="_Toc32751"/>
      <w:r>
        <w:rPr>
          <w:rFonts w:hint="eastAsia" w:ascii="仿宋" w:hAnsi="仿宋" w:eastAsia="仿宋" w:cs="仿宋"/>
          <w:color w:val="auto"/>
          <w:highlight w:val="none"/>
          <w:lang w:eastAsia="zh-CN"/>
        </w:rPr>
        <w:t>②</w:t>
      </w:r>
      <w:r>
        <w:rPr>
          <w:rFonts w:hint="eastAsia" w:ascii="仿宋" w:hAnsi="仿宋" w:eastAsia="仿宋" w:cs="仿宋"/>
          <w:color w:val="auto"/>
          <w:highlight w:val="none"/>
          <w:lang w:eastAsia="zh-CN"/>
        </w:rPr>
        <w:tab/>
      </w:r>
      <w:r>
        <w:rPr>
          <w:rFonts w:hint="eastAsia" w:ascii="仿宋" w:hAnsi="仿宋" w:eastAsia="仿宋" w:cs="仿宋"/>
          <w:color w:val="auto"/>
          <w:highlight w:val="none"/>
          <w:lang w:eastAsia="zh-CN"/>
        </w:rPr>
        <w:t>政府资金投资工程的支付期、支付办法</w:t>
      </w:r>
      <w:bookmarkEnd w:id="1908"/>
      <w:r>
        <w:rPr>
          <w:rFonts w:hint="eastAsia" w:ascii="仿宋" w:hAnsi="仿宋" w:eastAsia="仿宋" w:cs="仿宋"/>
          <w:color w:val="auto"/>
          <w:highlight w:val="none"/>
          <w:lang w:eastAsia="zh-CN"/>
        </w:rPr>
        <w:t>：</w:t>
      </w:r>
      <w:r>
        <w:rPr>
          <w:rFonts w:hint="eastAsia" w:ascii="仿宋" w:hAnsi="仿宋" w:eastAsia="仿宋" w:cs="仿宋"/>
          <w:color w:val="auto"/>
          <w:highlight w:val="none"/>
          <w:u w:val="single"/>
          <w:lang w:eastAsia="zh-CN"/>
        </w:rPr>
        <w:t xml:space="preserve">    /    </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(11)本期间应支付或扣留（回）的其他款项：</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设计</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①支付期限、比例</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 以月为支付周期，支付比例为本月已完工作或工程款的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以季度为支付周期，支付比例为本季度已完工作或工程款的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440" w:left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以形象进度为支付周期，支付比例为本形象进度内已完工作或工程款的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%或另行约定，具体约定如下：</w:t>
      </w:r>
      <w:r>
        <w:rPr>
          <w:rFonts w:hint="eastAsia" w:ascii="仿宋" w:hAnsi="仿宋" w:eastAsia="仿宋" w:cs="仿宋"/>
          <w:color w:val="auto"/>
          <w:highlight w:val="none"/>
          <w:u w:val="single"/>
          <w:lang w:eastAsia="zh-CN"/>
        </w:rPr>
        <w:t xml:space="preserve">    /    </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其它方式：</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1）设计款：承包人向发包人收取设计款时须提供与承包人名称一致的合法有效等额增值税专用发票。</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2）设计款（进度款）的支付方式如下：</w:t>
      </w:r>
    </w:p>
    <w:tbl>
      <w:tblPr>
        <w:tblStyle w:val="41"/>
        <w:tblW w:w="0" w:type="auto"/>
        <w:tblInd w:w="125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45"/>
        <w:gridCol w:w="1140"/>
        <w:gridCol w:w="2895"/>
        <w:gridCol w:w="21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bCs/>
                <w:color w:val="auto"/>
                <w:highlight w:val="none"/>
              </w:rPr>
            </w:pPr>
            <w:r>
              <w:rPr>
                <w:rFonts w:hint="eastAsia" w:ascii="仿宋" w:hAnsi="仿宋" w:eastAsia="仿宋" w:cs="仿宋"/>
                <w:bCs/>
                <w:color w:val="auto"/>
                <w:highlight w:val="none"/>
              </w:rPr>
              <w:t>付费</w:t>
            </w:r>
          </w:p>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rPr>
              <w:t>次序</w:t>
            </w:r>
          </w:p>
        </w:tc>
        <w:tc>
          <w:tcPr>
            <w:tcW w:w="114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rPr>
              <w:t>占设计费％</w:t>
            </w:r>
          </w:p>
        </w:tc>
        <w:tc>
          <w:tcPr>
            <w:tcW w:w="289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bCs/>
                <w:color w:val="auto"/>
                <w:highlight w:val="none"/>
                <w:lang w:eastAsia="zh-CN"/>
              </w:rPr>
            </w:pPr>
            <w:r>
              <w:rPr>
                <w:rFonts w:hint="eastAsia" w:ascii="仿宋" w:hAnsi="仿宋" w:eastAsia="仿宋" w:cs="仿宋"/>
                <w:bCs/>
                <w:color w:val="auto"/>
                <w:highlight w:val="none"/>
                <w:lang w:eastAsia="zh-CN"/>
              </w:rPr>
              <w:t>付费时间</w:t>
            </w:r>
          </w:p>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(由交付设计文件所定)</w:t>
            </w:r>
          </w:p>
        </w:tc>
        <w:tc>
          <w:tcPr>
            <w:tcW w:w="218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rPr>
              <w:t>第一期</w:t>
            </w:r>
          </w:p>
        </w:tc>
        <w:tc>
          <w:tcPr>
            <w:tcW w:w="114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
              </w:rPr>
              <w:t>5</w:t>
            </w:r>
            <w:r>
              <w:rPr>
                <w:rFonts w:hint="eastAsia" w:ascii="仿宋" w:hAnsi="仿宋" w:eastAsia="仿宋" w:cs="仿宋"/>
                <w:bCs/>
                <w:color w:val="auto"/>
                <w:highlight w:val="none"/>
              </w:rPr>
              <w:t>%</w:t>
            </w:r>
          </w:p>
        </w:tc>
        <w:tc>
          <w:tcPr>
            <w:tcW w:w="2895"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合同签订且设计人按合同约定根据发包人要求办理请款手续30天内，</w:t>
            </w:r>
            <w:r>
              <w:rPr>
                <w:rFonts w:hint="eastAsia" w:ascii="仿宋" w:hAnsi="仿宋" w:eastAsia="仿宋" w:cs="仿宋"/>
                <w:bCs/>
                <w:color w:val="auto"/>
                <w:highlight w:val="none"/>
                <w:lang w:val="en-US" w:eastAsia="zh-CN"/>
              </w:rPr>
              <w:t>支付5%预付款</w:t>
            </w:r>
            <w:r>
              <w:rPr>
                <w:rFonts w:hint="eastAsia" w:ascii="仿宋" w:hAnsi="仿宋" w:eastAsia="仿宋" w:cs="仿宋"/>
                <w:bCs/>
                <w:color w:val="auto"/>
                <w:highlight w:val="none"/>
                <w:lang w:eastAsia="zh-CN"/>
              </w:rPr>
              <w:t>。</w:t>
            </w:r>
          </w:p>
        </w:tc>
        <w:tc>
          <w:tcPr>
            <w:tcW w:w="2180"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支付合同设计费的5%（本合同履行后，达到第二次付款条件时，预付款自动转为设计费）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rPr>
              <w:t>第</w:t>
            </w:r>
            <w:r>
              <w:rPr>
                <w:rFonts w:hint="eastAsia" w:ascii="仿宋" w:hAnsi="仿宋" w:eastAsia="仿宋" w:cs="仿宋"/>
                <w:bCs/>
                <w:color w:val="auto"/>
                <w:highlight w:val="none"/>
                <w:lang w:eastAsia="zh"/>
              </w:rPr>
              <w:t>二</w:t>
            </w:r>
            <w:r>
              <w:rPr>
                <w:rFonts w:hint="eastAsia" w:ascii="仿宋" w:hAnsi="仿宋" w:eastAsia="仿宋" w:cs="仿宋"/>
                <w:bCs/>
                <w:color w:val="auto"/>
                <w:highlight w:val="none"/>
              </w:rPr>
              <w:t>期</w:t>
            </w:r>
          </w:p>
        </w:tc>
        <w:tc>
          <w:tcPr>
            <w:tcW w:w="114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40</w:t>
            </w:r>
            <w:r>
              <w:rPr>
                <w:rFonts w:hint="eastAsia" w:ascii="仿宋" w:hAnsi="仿宋" w:eastAsia="仿宋" w:cs="仿宋"/>
                <w:bCs/>
                <w:color w:val="auto"/>
                <w:highlight w:val="none"/>
              </w:rPr>
              <w:t>％</w:t>
            </w:r>
          </w:p>
        </w:tc>
        <w:tc>
          <w:tcPr>
            <w:tcW w:w="2895"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施工图（除装饰、园林外）完成并通过甲方审核通过，且提交完整的支付申请资料后20个工作日内。</w:t>
            </w:r>
          </w:p>
        </w:tc>
        <w:tc>
          <w:tcPr>
            <w:tcW w:w="2180"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若项目分期开发，可按面积占比分期请款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rPr>
              <w:t>第</w:t>
            </w:r>
            <w:r>
              <w:rPr>
                <w:rFonts w:hint="eastAsia" w:ascii="仿宋" w:hAnsi="仿宋" w:eastAsia="仿宋" w:cs="仿宋"/>
                <w:bCs/>
                <w:color w:val="auto"/>
                <w:highlight w:val="none"/>
                <w:lang w:eastAsia="zh"/>
              </w:rPr>
              <w:t>三</w:t>
            </w:r>
            <w:r>
              <w:rPr>
                <w:rFonts w:hint="eastAsia" w:ascii="仿宋" w:hAnsi="仿宋" w:eastAsia="仿宋" w:cs="仿宋"/>
                <w:bCs/>
                <w:color w:val="auto"/>
                <w:highlight w:val="none"/>
              </w:rPr>
              <w:t>期</w:t>
            </w:r>
          </w:p>
        </w:tc>
        <w:tc>
          <w:tcPr>
            <w:tcW w:w="114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
              </w:rPr>
              <w:t>40</w:t>
            </w:r>
            <w:r>
              <w:rPr>
                <w:rFonts w:hint="eastAsia" w:ascii="仿宋" w:hAnsi="仿宋" w:eastAsia="仿宋" w:cs="仿宋"/>
                <w:bCs/>
                <w:color w:val="auto"/>
                <w:highlight w:val="none"/>
              </w:rPr>
              <w:t>％</w:t>
            </w:r>
          </w:p>
        </w:tc>
        <w:tc>
          <w:tcPr>
            <w:tcW w:w="2895"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专项工程设计文件完成并经发包人确认及通过相应审查，且提交完整的支付申请资料后20个工作日内。</w:t>
            </w:r>
          </w:p>
        </w:tc>
        <w:tc>
          <w:tcPr>
            <w:tcW w:w="2180"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累计支付至：以报建的《建设工程规划许可证》面积</w:t>
            </w:r>
            <w:r>
              <w:rPr>
                <w:rFonts w:hint="eastAsia" w:ascii="仿宋" w:hAnsi="仿宋" w:eastAsia="仿宋" w:cs="仿宋"/>
                <w:bCs/>
                <w:color w:val="auto"/>
                <w:highlight w:val="none"/>
                <w:lang w:val="en-US" w:eastAsia="zh-CN"/>
              </w:rPr>
              <w:t>及中标综合单价</w:t>
            </w:r>
            <w:r>
              <w:rPr>
                <w:rFonts w:hint="eastAsia" w:ascii="仿宋" w:hAnsi="仿宋" w:eastAsia="仿宋" w:cs="仿宋"/>
                <w:bCs/>
                <w:color w:val="auto"/>
                <w:highlight w:val="none"/>
                <w:lang w:eastAsia="zh-CN"/>
              </w:rPr>
              <w:t>计算设计费的85%；若项目分期开发，可按面积占比分期请款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rPr>
              <w:t>第</w:t>
            </w:r>
            <w:r>
              <w:rPr>
                <w:rFonts w:hint="eastAsia" w:ascii="仿宋" w:hAnsi="仿宋" w:eastAsia="仿宋" w:cs="仿宋"/>
                <w:bCs/>
                <w:color w:val="auto"/>
                <w:highlight w:val="none"/>
                <w:lang w:eastAsia="zh"/>
              </w:rPr>
              <w:t>四</w:t>
            </w:r>
            <w:r>
              <w:rPr>
                <w:rFonts w:hint="eastAsia" w:ascii="仿宋" w:hAnsi="仿宋" w:eastAsia="仿宋" w:cs="仿宋"/>
                <w:bCs/>
                <w:color w:val="auto"/>
                <w:highlight w:val="none"/>
              </w:rPr>
              <w:t>期</w:t>
            </w:r>
          </w:p>
        </w:tc>
        <w:tc>
          <w:tcPr>
            <w:tcW w:w="114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5</w:t>
            </w:r>
            <w:r>
              <w:rPr>
                <w:rFonts w:hint="eastAsia" w:ascii="仿宋" w:hAnsi="仿宋" w:eastAsia="仿宋" w:cs="仿宋"/>
                <w:bCs/>
                <w:color w:val="auto"/>
                <w:highlight w:val="none"/>
              </w:rPr>
              <w:t>%</w:t>
            </w:r>
          </w:p>
        </w:tc>
        <w:tc>
          <w:tcPr>
            <w:tcW w:w="2895"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bCs/>
                <w:color w:val="auto"/>
                <w:highlight w:val="none"/>
                <w:lang w:eastAsia="zh-CN"/>
              </w:rPr>
              <w:t>全部工程竣工验收合格，承包人提交完整的支付申请资料，经发包人审核确认并办理设计费结算手续后20个工作日内。</w:t>
            </w:r>
          </w:p>
        </w:tc>
        <w:tc>
          <w:tcPr>
            <w:tcW w:w="2180"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bCs/>
                <w:color w:val="auto"/>
                <w:highlight w:val="none"/>
              </w:rPr>
            </w:pPr>
            <w:r>
              <w:rPr>
                <w:rFonts w:hint="eastAsia" w:ascii="仿宋" w:hAnsi="仿宋" w:eastAsia="仿宋" w:cs="仿宋"/>
                <w:bCs/>
                <w:color w:val="auto"/>
                <w:highlight w:val="none"/>
              </w:rPr>
              <w:t>第</w:t>
            </w:r>
            <w:r>
              <w:rPr>
                <w:rFonts w:hint="eastAsia" w:ascii="仿宋" w:hAnsi="仿宋" w:eastAsia="仿宋" w:cs="仿宋"/>
                <w:bCs/>
                <w:color w:val="auto"/>
                <w:highlight w:val="none"/>
                <w:lang w:eastAsia="zh"/>
              </w:rPr>
              <w:t>五</w:t>
            </w:r>
            <w:r>
              <w:rPr>
                <w:rFonts w:hint="eastAsia" w:ascii="仿宋" w:hAnsi="仿宋" w:eastAsia="仿宋" w:cs="仿宋"/>
                <w:bCs/>
                <w:color w:val="auto"/>
                <w:highlight w:val="none"/>
              </w:rPr>
              <w:t>期</w:t>
            </w:r>
          </w:p>
        </w:tc>
        <w:tc>
          <w:tcPr>
            <w:tcW w:w="114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bCs/>
                <w:color w:val="auto"/>
                <w:highlight w:val="none"/>
                <w:lang w:eastAsia="zh-CN"/>
              </w:rPr>
            </w:pPr>
            <w:r>
              <w:rPr>
                <w:rFonts w:hint="default" w:ascii="仿宋" w:hAnsi="仿宋" w:eastAsia="仿宋" w:cs="仿宋"/>
                <w:bCs/>
                <w:color w:val="auto"/>
                <w:highlight w:val="none"/>
                <w:lang w:eastAsia="zh-CN"/>
              </w:rPr>
              <w:t>7％</w:t>
            </w:r>
          </w:p>
        </w:tc>
        <w:tc>
          <w:tcPr>
            <w:tcW w:w="2895"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bCs/>
                <w:color w:val="auto"/>
                <w:highlight w:val="none"/>
                <w:lang w:eastAsia="zh-CN"/>
              </w:rPr>
            </w:pPr>
            <w:r>
              <w:rPr>
                <w:rFonts w:hint="eastAsia" w:ascii="仿宋" w:hAnsi="仿宋" w:eastAsia="仿宋" w:cs="仿宋"/>
                <w:bCs/>
                <w:color w:val="auto"/>
                <w:highlight w:val="none"/>
                <w:lang w:eastAsia="zh-CN"/>
              </w:rPr>
              <w:t>双方办理设计费结算手续后20个工作日内。</w:t>
            </w:r>
          </w:p>
        </w:tc>
        <w:tc>
          <w:tcPr>
            <w:tcW w:w="2180"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累计支付至：设计费终审结算价的97%，结算尾款3%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5"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bCs/>
                <w:color w:val="auto"/>
                <w:highlight w:val="none"/>
              </w:rPr>
            </w:pPr>
            <w:r>
              <w:rPr>
                <w:rFonts w:hint="eastAsia" w:ascii="仿宋" w:hAnsi="仿宋" w:eastAsia="仿宋" w:cs="仿宋"/>
                <w:bCs/>
                <w:color w:val="auto"/>
                <w:highlight w:val="none"/>
              </w:rPr>
              <w:t>第</w:t>
            </w:r>
            <w:r>
              <w:rPr>
                <w:rFonts w:hint="eastAsia" w:ascii="仿宋" w:hAnsi="仿宋" w:eastAsia="仿宋" w:cs="仿宋"/>
                <w:bCs/>
                <w:color w:val="auto"/>
                <w:highlight w:val="none"/>
                <w:lang w:eastAsia="zh"/>
              </w:rPr>
              <w:t>六</w:t>
            </w:r>
            <w:r>
              <w:rPr>
                <w:rFonts w:hint="eastAsia" w:ascii="仿宋" w:hAnsi="仿宋" w:eastAsia="仿宋" w:cs="仿宋"/>
                <w:bCs/>
                <w:color w:val="auto"/>
                <w:highlight w:val="none"/>
              </w:rPr>
              <w:t>期</w:t>
            </w:r>
          </w:p>
        </w:tc>
        <w:tc>
          <w:tcPr>
            <w:tcW w:w="1140" w:type="dxa"/>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bCs/>
                <w:color w:val="auto"/>
                <w:highlight w:val="none"/>
                <w:lang w:eastAsia="zh-CN"/>
              </w:rPr>
            </w:pPr>
            <w:r>
              <w:rPr>
                <w:rFonts w:hint="default" w:ascii="仿宋" w:hAnsi="仿宋" w:eastAsia="仿宋" w:cs="仿宋"/>
                <w:bCs/>
                <w:color w:val="auto"/>
                <w:highlight w:val="none"/>
                <w:lang w:eastAsia="zh-CN"/>
              </w:rPr>
              <w:t>3％</w:t>
            </w:r>
          </w:p>
        </w:tc>
        <w:tc>
          <w:tcPr>
            <w:tcW w:w="2895"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bCs/>
                <w:color w:val="auto"/>
                <w:highlight w:val="none"/>
                <w:lang w:eastAsia="zh-CN"/>
              </w:rPr>
            </w:pPr>
            <w:r>
              <w:rPr>
                <w:rFonts w:hint="eastAsia" w:ascii="仿宋" w:hAnsi="仿宋" w:eastAsia="仿宋" w:cs="仿宋"/>
                <w:bCs/>
                <w:color w:val="auto"/>
                <w:highlight w:val="none"/>
                <w:lang w:eastAsia="zh-CN"/>
              </w:rPr>
              <w:t>缺陷责任期为竣工后两年，缺陷责任期限届满并提交完整结算资料20个工作日内，设计费全部付清。</w:t>
            </w:r>
          </w:p>
        </w:tc>
        <w:tc>
          <w:tcPr>
            <w:tcW w:w="2180" w:type="dxa"/>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累计支付至：设计费终审结算价的100%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60" w:type="dxa"/>
            <w:gridSpan w:val="4"/>
          </w:tcPr>
          <w:p>
            <w:pPr>
              <w:keepNext w:val="0"/>
              <w:keepLines w:val="0"/>
              <w:widowControl/>
              <w:numPr>
                <w:ilvl w:val="0"/>
                <w:numId w:val="38"/>
              </w:numPr>
              <w:suppressLineNumbers w:val="0"/>
              <w:spacing w:before="0" w:beforeAutospacing="0" w:after="0" w:afterAutospacing="0" w:line="360" w:lineRule="auto"/>
              <w:ind w:left="0" w:right="0"/>
              <w:rPr>
                <w:rFonts w:hint="eastAsia" w:ascii="仿宋" w:hAnsi="仿宋" w:eastAsia="仿宋" w:cs="仿宋"/>
                <w:color w:val="auto"/>
                <w:highlight w:val="none"/>
                <w:lang w:val="en-US" w:eastAsia="zh-CN"/>
              </w:rPr>
            </w:pPr>
            <w:r>
              <w:rPr>
                <w:rFonts w:hint="eastAsia" w:ascii="仿宋" w:hAnsi="仿宋" w:eastAsia="仿宋" w:cs="仿宋"/>
                <w:color w:val="auto"/>
                <w:highlight w:val="none"/>
                <w:lang w:eastAsia="zh"/>
              </w:rPr>
              <w:t>本项目</w:t>
            </w:r>
            <w:r>
              <w:rPr>
                <w:rFonts w:hint="eastAsia" w:ascii="仿宋" w:hAnsi="仿宋" w:eastAsia="仿宋" w:cs="仿宋"/>
                <w:color w:val="auto"/>
                <w:highlight w:val="none"/>
                <w:lang w:val="en-US" w:eastAsia="zh-CN"/>
              </w:rPr>
              <w:t>设计费按中标综合单价     元/平方米含税包干计算收取，不因国家的税率政策变化而作相应调整，中标综合单价=设计费中标价/暂定建筑面积</w:t>
            </w:r>
            <w:r>
              <w:rPr>
                <w:rFonts w:hint="eastAsia" w:ascii="仿宋" w:hAnsi="仿宋" w:eastAsia="仿宋" w:cs="仿宋"/>
                <w:color w:val="auto"/>
                <w:highlight w:val="none"/>
                <w:lang w:val="en-US" w:eastAsia="zh"/>
              </w:rPr>
              <w:t>317397.45</w:t>
            </w:r>
            <w:r>
              <w:rPr>
                <w:rFonts w:hint="eastAsia" w:ascii="仿宋" w:hAnsi="仿宋" w:eastAsia="仿宋" w:cs="仿宋"/>
                <w:color w:val="auto"/>
                <w:highlight w:val="none"/>
                <w:lang w:val="en-US" w:eastAsia="zh-CN"/>
              </w:rPr>
              <w:t>平方米。</w:t>
            </w:r>
          </w:p>
          <w:p>
            <w:pPr>
              <w:keepNext w:val="0"/>
              <w:keepLines w:val="0"/>
              <w:widowControl/>
              <w:numPr>
                <w:ilvl w:val="0"/>
                <w:numId w:val="38"/>
              </w:numPr>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val="en-US" w:eastAsia="zh"/>
              </w:rPr>
              <w:t>《</w:t>
            </w:r>
            <w:r>
              <w:rPr>
                <w:rFonts w:hint="eastAsia" w:ascii="仿宋" w:hAnsi="仿宋" w:eastAsia="仿宋" w:cs="仿宋"/>
                <w:color w:val="auto"/>
                <w:highlight w:val="none"/>
                <w:lang w:val="en-US" w:eastAsia="zh-CN"/>
              </w:rPr>
              <w:t>建设工程规划许可证》</w:t>
            </w:r>
            <w:r>
              <w:rPr>
                <w:rFonts w:hint="eastAsia" w:ascii="仿宋" w:hAnsi="仿宋" w:eastAsia="仿宋" w:cs="仿宋"/>
                <w:color w:val="auto"/>
                <w:highlight w:val="none"/>
                <w:lang w:val="en-US" w:eastAsia="zh"/>
              </w:rPr>
              <w:t>获取前，设计费按设计费签约合同价作为支付依据，</w:t>
            </w:r>
            <w:r>
              <w:rPr>
                <w:rFonts w:hint="eastAsia" w:ascii="仿宋" w:hAnsi="仿宋" w:eastAsia="仿宋" w:cs="仿宋"/>
                <w:color w:val="auto"/>
                <w:highlight w:val="none"/>
                <w:lang w:val="en-US" w:eastAsia="zh-CN"/>
              </w:rPr>
              <w:t>《建设工程规划许可证》</w:t>
            </w:r>
            <w:r>
              <w:rPr>
                <w:rFonts w:hint="eastAsia" w:ascii="仿宋" w:hAnsi="仿宋" w:eastAsia="仿宋" w:cs="仿宋"/>
                <w:color w:val="auto"/>
                <w:highlight w:val="none"/>
                <w:lang w:val="en-US" w:eastAsia="zh"/>
              </w:rPr>
              <w:t>获取后以证载</w:t>
            </w:r>
            <w:r>
              <w:rPr>
                <w:rFonts w:hint="eastAsia" w:ascii="仿宋" w:hAnsi="仿宋" w:eastAsia="仿宋" w:cs="仿宋"/>
                <w:color w:val="auto"/>
                <w:highlight w:val="none"/>
                <w:lang w:val="en-US" w:eastAsia="zh-CN"/>
              </w:rPr>
              <w:t>建筑面积</w:t>
            </w:r>
            <w:r>
              <w:rPr>
                <w:rFonts w:hint="eastAsia" w:ascii="仿宋" w:hAnsi="仿宋" w:eastAsia="仿宋" w:cs="仿宋"/>
                <w:color w:val="auto"/>
                <w:highlight w:val="none"/>
                <w:lang w:val="en-US" w:eastAsia="zh"/>
              </w:rPr>
              <w:t>结合中标综合单价</w:t>
            </w:r>
            <w:r>
              <w:rPr>
                <w:rFonts w:hint="eastAsia" w:ascii="仿宋" w:hAnsi="仿宋" w:eastAsia="仿宋" w:cs="仿宋"/>
                <w:color w:val="auto"/>
                <w:highlight w:val="none"/>
                <w:lang w:val="en-US" w:eastAsia="zh-CN"/>
              </w:rPr>
              <w:t>计算</w:t>
            </w:r>
            <w:r>
              <w:rPr>
                <w:rFonts w:hint="eastAsia" w:ascii="仿宋" w:hAnsi="仿宋" w:eastAsia="仿宋" w:cs="仿宋"/>
                <w:color w:val="auto"/>
                <w:highlight w:val="none"/>
                <w:lang w:val="en-US" w:eastAsia="zh"/>
              </w:rPr>
              <w:t>设计费并作为支付依据</w:t>
            </w:r>
            <w:r>
              <w:rPr>
                <w:rFonts w:hint="eastAsia" w:ascii="仿宋" w:hAnsi="仿宋" w:eastAsia="仿宋" w:cs="仿宋"/>
                <w:color w:val="auto"/>
                <w:highlight w:val="none"/>
                <w:lang w:eastAsia="zh-CN"/>
              </w:rPr>
              <w:t>。</w:t>
            </w:r>
          </w:p>
          <w:p>
            <w:pPr>
              <w:keepNext w:val="0"/>
              <w:keepLines w:val="0"/>
              <w:widowControl/>
              <w:suppressLineNumbers w:val="0"/>
              <w:spacing w:before="0" w:beforeAutospacing="0" w:after="0" w:afterAutospacing="0" w:line="360" w:lineRule="auto"/>
              <w:ind w:left="0" w:right="0"/>
              <w:rPr>
                <w:rFonts w:hint="default" w:ascii="仿宋" w:hAnsi="仿宋" w:cs="仿宋"/>
                <w:color w:val="auto"/>
                <w:highlight w:val="none"/>
                <w:lang w:eastAsia="zh-CN"/>
              </w:rPr>
            </w:pPr>
          </w:p>
        </w:tc>
      </w:tr>
    </w:tbl>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a、发包人可要求设计人取消上述各设计阶段的部分工作内容并调整设计费，发包人无须就该调整承担任何违约责任。设计人未开始该阶段设计工作的，则免收该阶段的设计费用；已开始设计工作的，发包人应根据设计人已进行的实际工作量进行支付。</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b、凡设计人根据合同欠发包人或须付予发包人以及按照合同对设计人进行罚款的款项，发包人可以从下一笔支付款项中，悉数将有关款额扣除。</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c、本项目设计费已包含部分装修设计费用（装修范围详见设计任务书）。</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d、发包人付给设计人的款项为设计人与本项目有关的唯一报酬，设计人在与本项目有关的活动中，或在履行合同义务时，不应为私利而接受佣金、回扣或类似费用，一经发现该部分款项从发包人支付给设计人的费用中扣减。</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②政府资金投资工程的支付期、支付办法：</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(11)本期间应支付或扣留（回）的其他款项：</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施工</w:t>
      </w:r>
    </w:p>
    <w:p>
      <w:pPr>
        <w:spacing w:line="360" w:lineRule="auto"/>
        <w:ind w:firstLine="960" w:firstLineChars="400"/>
        <w:rPr>
          <w:rFonts w:ascii="仿宋" w:hAnsi="仿宋" w:eastAsia="仿宋"/>
          <w:color w:val="auto"/>
          <w:highlight w:val="none"/>
          <w:lang w:eastAsia="zh-CN"/>
        </w:rPr>
      </w:pPr>
      <w:r>
        <w:rPr>
          <w:rFonts w:hint="eastAsia" w:ascii="仿宋" w:hAnsi="仿宋" w:eastAsia="仿宋" w:cs="仿宋"/>
          <w:color w:val="auto"/>
          <w:highlight w:val="none"/>
          <w:lang w:eastAsia="zh-CN"/>
        </w:rPr>
        <w:t>①支付期限、比例</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 以月为支付周期，支付比例为本月已完工作或工程款的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以季度为支付周期，支付比例为本季度已完工作或工程款的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以形象进度为支付周期，支付比例为本形象进度内已完工作或工程款的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%或另行约定，具体约定如下：</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其它方式：</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承包人向发包人收取工程施工款时须提供与承包人名称一致的合法有效等额增值税专用发票。</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工程预算未审定前，发包人累计已支付工程进度款达</w:t>
      </w:r>
      <w:r>
        <w:rPr>
          <w:rFonts w:hint="eastAsia" w:ascii="仿宋" w:hAnsi="仿宋" w:eastAsia="仿宋" w:cs="仿宋"/>
          <w:color w:val="auto"/>
          <w:highlight w:val="none"/>
          <w:lang w:eastAsia="zh"/>
        </w:rPr>
        <w:t>施工费中标价</w:t>
      </w:r>
      <w:r>
        <w:rPr>
          <w:rFonts w:hint="eastAsia" w:ascii="仿宋" w:hAnsi="仿宋" w:eastAsia="仿宋" w:cs="仿宋"/>
          <w:color w:val="auto"/>
          <w:highlight w:val="none"/>
          <w:lang w:eastAsia="zh-CN"/>
        </w:rPr>
        <w:t>的7</w:t>
      </w:r>
      <w:r>
        <w:rPr>
          <w:rFonts w:ascii="仿宋" w:hAnsi="仿宋" w:eastAsia="仿宋" w:cs="仿宋"/>
          <w:color w:val="auto"/>
          <w:highlight w:val="none"/>
          <w:lang w:eastAsia="zh-CN"/>
        </w:rPr>
        <w:t>0%，发包人</w:t>
      </w:r>
      <w:r>
        <w:rPr>
          <w:rFonts w:hint="eastAsia" w:ascii="仿宋" w:hAnsi="仿宋" w:eastAsia="仿宋" w:cs="仿宋"/>
          <w:color w:val="auto"/>
          <w:highlight w:val="none"/>
          <w:lang w:eastAsia="zh-CN"/>
        </w:rPr>
        <w:t>有权</w:t>
      </w:r>
      <w:r>
        <w:rPr>
          <w:rFonts w:ascii="仿宋" w:hAnsi="仿宋" w:eastAsia="仿宋" w:cs="仿宋"/>
          <w:color w:val="auto"/>
          <w:highlight w:val="none"/>
          <w:lang w:eastAsia="zh-CN"/>
        </w:rPr>
        <w:t>暂停工程款支付，直至工程预算审定后才恢复工程进度款支付。</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本项目按月度付款，基本原则如下：</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按月度支付工程款（进度款）方式：</w:t>
      </w:r>
    </w:p>
    <w:p>
      <w:pPr>
        <w:spacing w:line="360" w:lineRule="auto"/>
        <w:ind w:left="1200" w:leftChars="500"/>
        <w:rPr>
          <w:color w:val="auto"/>
          <w:highlight w:val="none"/>
          <w:lang w:eastAsia="zh-CN"/>
        </w:rPr>
      </w:pPr>
      <w:r>
        <w:rPr>
          <w:rFonts w:hint="eastAsia" w:ascii="仿宋" w:hAnsi="仿宋" w:eastAsia="仿宋" w:cs="仿宋"/>
          <w:color w:val="auto"/>
          <w:highlight w:val="none"/>
          <w:lang w:eastAsia="zh-CN"/>
        </w:rPr>
        <w:t>1)施工图预算编制成果（视进度情况分区分阶段报送）未经发包人审定，以</w:t>
      </w:r>
      <w:r>
        <w:rPr>
          <w:rFonts w:hint="eastAsia" w:ascii="仿宋" w:hAnsi="仿宋" w:eastAsia="仿宋" w:cs="仿宋"/>
          <w:color w:val="auto"/>
          <w:highlight w:val="none"/>
          <w:lang w:eastAsia="zh"/>
        </w:rPr>
        <w:t>项目</w:t>
      </w:r>
      <w:r>
        <w:rPr>
          <w:rFonts w:hint="eastAsia" w:ascii="仿宋" w:hAnsi="仿宋" w:eastAsia="仿宋" w:cs="仿宋"/>
          <w:color w:val="auto"/>
          <w:highlight w:val="none"/>
          <w:lang w:eastAsia="zh-CN"/>
        </w:rPr>
        <w:t>概算</w:t>
      </w:r>
      <w:r>
        <w:rPr>
          <w:rFonts w:hint="eastAsia" w:ascii="仿宋" w:hAnsi="仿宋" w:eastAsia="仿宋" w:cs="仿宋"/>
          <w:color w:val="auto"/>
          <w:highlight w:val="none"/>
          <w:lang w:eastAsia="zh"/>
        </w:rPr>
        <w:t>及合同约定下浮率及中标下浮率</w:t>
      </w:r>
      <w:r>
        <w:rPr>
          <w:rFonts w:hint="eastAsia" w:ascii="仿宋" w:hAnsi="仿宋" w:eastAsia="仿宋" w:cs="仿宋"/>
          <w:color w:val="auto"/>
          <w:highlight w:val="none"/>
          <w:lang w:eastAsia="zh-CN"/>
        </w:rPr>
        <w:t>作为拨付工程进度款的依据，按月度支付工程款；</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付款方式如下：</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每月5日之前上报完成工程量报表，经监理审核及发包人书面确认后，工程进度款由发包人付至经审定已完成产值的85%（若有暂定金扣除未计量部分暂定金。人工费和安全措施费随工程进度款按月申报并支付）；</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
        </w:rPr>
        <w:t>2</w:t>
      </w:r>
      <w:r>
        <w:rPr>
          <w:rFonts w:hint="eastAsia" w:ascii="仿宋" w:hAnsi="仿宋" w:eastAsia="仿宋" w:cs="仿宋"/>
          <w:color w:val="auto"/>
          <w:highlight w:val="none"/>
          <w:lang w:eastAsia="zh-CN"/>
        </w:rPr>
        <w:t>)各专业施工图预算经发包人书面审定后，以经发包人确认的各专业施工图预算作为拨付工程进度款的依据，付款方式如下：</w:t>
      </w:r>
    </w:p>
    <w:p>
      <w:pPr>
        <w:spacing w:line="360" w:lineRule="auto"/>
        <w:ind w:left="1200" w:left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承包人每月5日之前上报完成工程量报表，经监理审核及发包人书面确认后，工程进度款由发包人付至经审定已完成产值的88%（若有暂定金扣除未计量部分暂定金。人工费和安全措施费随工程进度款按月申报并支付）；</w:t>
      </w:r>
    </w:p>
    <w:p>
      <w:pPr>
        <w:numPr>
          <w:ilvl w:val="0"/>
          <w:numId w:val="39"/>
        </w:numPr>
        <w:spacing w:line="360" w:lineRule="auto"/>
        <w:ind w:left="1200" w:leftChars="500"/>
        <w:rPr>
          <w:rFonts w:hint="eastAsia" w:ascii="仿宋" w:hAnsi="仿宋" w:eastAsia="仿宋" w:cs="仿宋"/>
          <w:color w:val="auto"/>
          <w:highlight w:val="none"/>
          <w:lang w:eastAsia="zh-CN"/>
        </w:rPr>
      </w:pPr>
      <w:bookmarkStart w:id="2068" w:name="_GoBack"/>
      <w:bookmarkEnd w:id="2068"/>
      <w:r>
        <w:rPr>
          <w:rFonts w:hint="eastAsia" w:ascii="仿宋" w:hAnsi="仿宋" w:eastAsia="仿宋" w:cs="仿宋"/>
          <w:color w:val="auto"/>
          <w:highlight w:val="none"/>
          <w:lang w:eastAsia="zh-CN"/>
        </w:rPr>
        <w:t>完整施工图预算经发包人审定后，工程竣工验收合格并提交竣工验收报告后且发包人收到承包人请款申请及发票后付至经审定总产值的90％（若有暂定金扣除未计量部分暂定金。人工费和安全措施费随工程进度款按月申报并支付）；</w:t>
      </w:r>
    </w:p>
    <w:p>
      <w:pPr>
        <w:spacing w:line="360" w:lineRule="auto"/>
        <w:ind w:left="1200" w:leftChars="500"/>
        <w:rPr>
          <w:lang w:eastAsia="zh-CN"/>
        </w:rPr>
      </w:pPr>
      <w:r>
        <w:rPr>
          <w:rFonts w:hint="eastAsia" w:ascii="仿宋" w:hAnsi="仿宋" w:eastAsia="仿宋" w:cs="仿宋"/>
          <w:color w:val="auto"/>
          <w:highlight w:val="none"/>
          <w:lang w:val="en-US" w:eastAsia="zh-CN"/>
        </w:rPr>
        <w:t>4</w:t>
      </w:r>
      <w:r>
        <w:rPr>
          <w:rFonts w:hint="eastAsia" w:ascii="仿宋" w:hAnsi="仿宋" w:eastAsia="仿宋" w:cs="仿宋"/>
          <w:color w:val="auto"/>
          <w:highlight w:val="none"/>
          <w:lang w:eastAsia="zh-CN"/>
        </w:rPr>
        <w:t>)</w:t>
      </w:r>
      <w:bookmarkStart w:id="1909" w:name="OLE_LINK17"/>
      <w:r>
        <w:rPr>
          <w:rFonts w:hint="eastAsia" w:ascii="仿宋" w:hAnsi="仿宋" w:eastAsia="仿宋" w:cs="仿宋"/>
          <w:color w:val="auto"/>
          <w:highlight w:val="none"/>
          <w:lang w:val="en-US" w:eastAsia="zh-CN"/>
        </w:rPr>
        <w:t>若本项目投资性质变更为财政投资审批制，项目概算及结算须经花都区财政部门审核的，项目结算价未经花都区财政部门审批前，累计支付工程款不得超过施工图预算中建安工程费的80%</w:t>
      </w:r>
      <w:bookmarkEnd w:id="1909"/>
      <w:r>
        <w:rPr>
          <w:rFonts w:hint="eastAsia" w:ascii="仿宋" w:hAnsi="仿宋" w:eastAsia="仿宋" w:cs="仿宋"/>
          <w:color w:val="auto"/>
          <w:highlight w:val="none"/>
          <w:lang w:eastAsia="zh-CN"/>
        </w:rPr>
        <w:t>；</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
        </w:rPr>
        <w:t>4</w:t>
      </w:r>
      <w:r>
        <w:rPr>
          <w:rFonts w:hint="eastAsia" w:ascii="仿宋" w:hAnsi="仿宋" w:eastAsia="仿宋" w:cs="仿宋"/>
          <w:color w:val="auto"/>
          <w:highlight w:val="none"/>
          <w:lang w:eastAsia="zh-CN"/>
        </w:rPr>
        <w:t>)完成移交交付和清理退场、工程结算经发包人书面审定</w:t>
      </w:r>
      <w:r>
        <w:rPr>
          <w:rFonts w:hint="eastAsia" w:ascii="仿宋" w:hAnsi="仿宋" w:eastAsia="仿宋" w:cs="仿宋"/>
          <w:color w:val="auto"/>
          <w:highlight w:val="none"/>
          <w:lang w:val="en-US" w:eastAsia="zh-CN"/>
        </w:rPr>
        <w:t>或花都区财政部门审定并出具结算审核报告（如需）后</w:t>
      </w:r>
      <w:r>
        <w:rPr>
          <w:rFonts w:hint="eastAsia" w:ascii="仿宋" w:hAnsi="仿宋" w:eastAsia="仿宋" w:cs="仿宋"/>
          <w:color w:val="auto"/>
          <w:highlight w:val="none"/>
          <w:lang w:eastAsia="zh-CN"/>
        </w:rPr>
        <w:t>，且发包人收到承包人请款申请及发票后支付至结算价的97%；</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
        </w:rPr>
        <w:t>5</w:t>
      </w:r>
      <w:r>
        <w:rPr>
          <w:rFonts w:hint="eastAsia" w:ascii="仿宋" w:hAnsi="仿宋" w:eastAsia="仿宋" w:cs="仿宋"/>
          <w:color w:val="auto"/>
          <w:highlight w:val="none"/>
          <w:lang w:eastAsia="zh-CN"/>
        </w:rPr>
        <w:t>)工程结算价的3%留作工程质保金，在竣工验收满两年后，如无质量问题，除预留的防水保修金外其余</w:t>
      </w:r>
      <w:r>
        <w:rPr>
          <w:rFonts w:hint="eastAsia" w:ascii="仿宋" w:hAnsi="仿宋" w:eastAsia="仿宋" w:cs="仿宋"/>
          <w:color w:val="auto"/>
          <w:highlight w:val="none"/>
          <w:lang w:val="en-US" w:eastAsia="zh-CN"/>
        </w:rPr>
        <w:t>的</w:t>
      </w:r>
      <w:r>
        <w:rPr>
          <w:rFonts w:hint="eastAsia" w:ascii="仿宋" w:hAnsi="仿宋" w:eastAsia="仿宋" w:cs="仿宋"/>
          <w:color w:val="auto"/>
          <w:highlight w:val="none"/>
          <w:lang w:eastAsia="zh-CN"/>
        </w:rPr>
        <w:t>在14天内无息支付，防水保修金在防水保修期（5年）满后14天内无息支付，其金额为防水工程造价的5%。若有质量问题，发包人每次返还质保金时需扣除发生的维保费用。在缺陷责任期内如出现工程缺陷情况，承包人须于收到发包人的指令起计24小时内派员进行修复有关缺陷，并于修复工程完成后向发包人提交修复报告。若承包人拒绝执行有关工作或逾期未执行，则发包人在发函催告之日起的3个日历天后，可另行雇用其它施工单位执行有关工作，由此涉及的所有开支将由承包人承担并相应扣减其保修金额，发包人不再另行通知。</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施工进度款以监理单位造价工程师审核计量，发包人选定的造价咨询单位和发包人审定确认为准。承包人进场开工后，应依据每日申报的实物工程量完成统计报表在每月5日前统计上月5日至本月4日所发生的工作量，按合同约定的单价和取费标准，计算出已完工程价款，按规定格式编制工程进度款支付申请单报监理单位书面核实确认，并附上隐蔽工程验收记录及发包人要求的其它相关材料（包括但不限于资金使用计划等）作为支持材料。监理单位收到后，应在5天内审核并签署意见后报造价咨询单位及发包人，发包人在20天内书面审批完毕（如遇法定节假日，则审批时间相应顺延），并按照相关的程序办理统一拨付。</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②施工进度款计算公式：</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当期可支付工程进度款＝承包人当期实际完成的工程进度款×按（支付比例要求）%；</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竣工验收后支付至90%。</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③措施项目费及其它项目费均纳入申报当月进度计量计算支付，按（支付比例要求）%支付。</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专业暂估价：专业暂估价=确认工程量×四方（发包人、承包人、监理单位、咨询单位）确认的综合单价。未实施不计取。如已实施，工程量按形象进度确认的工程量，综合单价依据相关规范、设计单位签章出具并经发包人确认的图纸等按实计算。</w:t>
      </w:r>
    </w:p>
    <w:p>
      <w:pPr>
        <w:spacing w:line="360" w:lineRule="auto"/>
        <w:ind w:left="1200" w:leftChars="500"/>
        <w:rPr>
          <w:rFonts w:ascii="仿宋" w:hAnsi="仿宋" w:eastAsia="仿宋" w:cs="仿宋"/>
          <w:color w:val="auto"/>
          <w:highlight w:val="none"/>
          <w:lang w:eastAsia="zh-CN"/>
        </w:rPr>
      </w:pPr>
      <w:r>
        <w:rPr>
          <w:rFonts w:ascii="仿宋" w:hAnsi="仿宋" w:eastAsia="仿宋" w:cs="仿宋"/>
          <w:color w:val="auto"/>
          <w:highlight w:val="none"/>
          <w:lang w:eastAsia="zh-CN"/>
        </w:rPr>
        <w:fldChar w:fldCharType="begin"/>
      </w:r>
      <w:r>
        <w:rPr>
          <w:rFonts w:ascii="仿宋" w:hAnsi="仿宋" w:eastAsia="仿宋" w:cs="仿宋"/>
          <w:color w:val="auto"/>
          <w:highlight w:val="none"/>
          <w:lang w:eastAsia="zh-CN"/>
        </w:rPr>
        <w:instrText xml:space="preserve"> = 5 \* GB3 \* MERGEFORMAT </w:instrText>
      </w:r>
      <w:r>
        <w:rPr>
          <w:rFonts w:ascii="仿宋" w:hAnsi="仿宋" w:eastAsia="仿宋" w:cs="仿宋"/>
          <w:color w:val="auto"/>
          <w:highlight w:val="none"/>
          <w:lang w:eastAsia="zh-CN"/>
        </w:rPr>
        <w:fldChar w:fldCharType="separate"/>
      </w:r>
      <w:r>
        <w:rPr>
          <w:color w:val="auto"/>
          <w:highlight w:val="none"/>
          <w:lang w:eastAsia="zh-CN"/>
        </w:rPr>
        <w:t>⑤</w:t>
      </w:r>
      <w:r>
        <w:rPr>
          <w:rFonts w:ascii="仿宋" w:hAnsi="仿宋" w:eastAsia="仿宋" w:cs="仿宋"/>
          <w:color w:val="auto"/>
          <w:highlight w:val="none"/>
          <w:lang w:eastAsia="zh-CN"/>
        </w:rPr>
        <w:fldChar w:fldCharType="end"/>
      </w:r>
      <w:r>
        <w:rPr>
          <w:rFonts w:hint="eastAsia" w:ascii="仿宋" w:hAnsi="仿宋" w:eastAsia="仿宋" w:cs="仿宋"/>
          <w:color w:val="auto"/>
          <w:highlight w:val="none"/>
          <w:lang w:eastAsia="zh-CN"/>
        </w:rPr>
        <w:t>材料暂估价：未实施不计取。如已实施，依据承包人、监理单位、咨询单位、发包人四方确认后的材料价计算。</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fldChar w:fldCharType="begin"/>
      </w:r>
      <w:r>
        <w:rPr>
          <w:rFonts w:hint="eastAsia" w:ascii="仿宋" w:hAnsi="仿宋" w:eastAsia="仿宋" w:cs="仿宋"/>
          <w:color w:val="auto"/>
          <w:highlight w:val="none"/>
          <w:lang w:eastAsia="zh-CN"/>
        </w:rPr>
        <w:instrText xml:space="preserve"> = 6 \* GB3 \* MERGEFORMAT </w:instrText>
      </w:r>
      <w:r>
        <w:rPr>
          <w:rFonts w:hint="eastAsia" w:ascii="仿宋" w:hAnsi="仿宋" w:eastAsia="仿宋" w:cs="仿宋"/>
          <w:color w:val="auto"/>
          <w:highlight w:val="none"/>
          <w:lang w:eastAsia="zh-CN"/>
        </w:rPr>
        <w:fldChar w:fldCharType="separate"/>
      </w:r>
      <w:r>
        <w:rPr>
          <w:color w:val="auto"/>
          <w:highlight w:val="none"/>
          <w:lang w:eastAsia="zh-CN"/>
        </w:rPr>
        <w:t>⑥</w:t>
      </w:r>
      <w:r>
        <w:rPr>
          <w:rFonts w:hint="eastAsia" w:ascii="仿宋" w:hAnsi="仿宋" w:eastAsia="仿宋" w:cs="仿宋"/>
          <w:color w:val="auto"/>
          <w:highlight w:val="none"/>
          <w:lang w:eastAsia="zh-CN"/>
        </w:rPr>
        <w:fldChar w:fldCharType="end"/>
      </w:r>
      <w:r>
        <w:rPr>
          <w:rFonts w:hint="eastAsia" w:ascii="仿宋" w:hAnsi="仿宋" w:eastAsia="仿宋" w:cs="仿宋"/>
          <w:color w:val="auto"/>
          <w:highlight w:val="none"/>
          <w:lang w:eastAsia="zh-CN"/>
        </w:rPr>
        <w:t>规费及税金的支付</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上述分部分项工程量清单项目、措施项目、其他项目的进度款计算确定后，规费及税金按照施工图预算中的相应比例或费率计算，纳入进度款一并支付。</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fldChar w:fldCharType="begin"/>
      </w:r>
      <w:r>
        <w:rPr>
          <w:rFonts w:hint="eastAsia" w:ascii="仿宋" w:hAnsi="仿宋" w:eastAsia="仿宋" w:cs="仿宋"/>
          <w:color w:val="auto"/>
          <w:highlight w:val="none"/>
          <w:lang w:eastAsia="zh-CN"/>
        </w:rPr>
        <w:instrText xml:space="preserve"> = 7 \* GB3 \* MERGEFORMAT </w:instrText>
      </w:r>
      <w:r>
        <w:rPr>
          <w:rFonts w:hint="eastAsia" w:ascii="仿宋" w:hAnsi="仿宋" w:eastAsia="仿宋" w:cs="仿宋"/>
          <w:color w:val="auto"/>
          <w:highlight w:val="none"/>
          <w:lang w:eastAsia="zh-CN"/>
        </w:rPr>
        <w:fldChar w:fldCharType="separate"/>
      </w:r>
      <w:r>
        <w:rPr>
          <w:color w:val="auto"/>
          <w:highlight w:val="none"/>
          <w:lang w:eastAsia="zh-CN"/>
        </w:rPr>
        <w:t>⑦</w:t>
      </w:r>
      <w:r>
        <w:rPr>
          <w:rFonts w:hint="eastAsia" w:ascii="仿宋" w:hAnsi="仿宋" w:eastAsia="仿宋" w:cs="仿宋"/>
          <w:color w:val="auto"/>
          <w:highlight w:val="none"/>
          <w:lang w:eastAsia="zh-CN"/>
        </w:rPr>
        <w:fldChar w:fldCharType="end"/>
      </w:r>
      <w:r>
        <w:rPr>
          <w:rFonts w:hint="eastAsia" w:ascii="仿宋" w:hAnsi="仿宋" w:eastAsia="仿宋" w:cs="仿宋"/>
          <w:color w:val="auto"/>
          <w:highlight w:val="none"/>
          <w:lang w:eastAsia="zh-CN"/>
        </w:rPr>
        <w:t>有关计量支付的其它约定：</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承包人应保证提交监理单位、造价咨询单位、发包人的已完工程款额报告和支付申请中的计量及计价数据具备相当的准确度。</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fldChar w:fldCharType="begin"/>
      </w:r>
      <w:r>
        <w:rPr>
          <w:rFonts w:hint="eastAsia" w:ascii="仿宋" w:hAnsi="仿宋" w:eastAsia="仿宋" w:cs="仿宋"/>
          <w:color w:val="auto"/>
          <w:highlight w:val="none"/>
          <w:lang w:eastAsia="zh-CN"/>
        </w:rPr>
        <w:instrText xml:space="preserve"> = 8 \* GB3 \* MERGEFORMAT </w:instrText>
      </w:r>
      <w:r>
        <w:rPr>
          <w:rFonts w:hint="eastAsia" w:ascii="仿宋" w:hAnsi="仿宋" w:eastAsia="仿宋" w:cs="仿宋"/>
          <w:color w:val="auto"/>
          <w:highlight w:val="none"/>
          <w:lang w:eastAsia="zh-CN"/>
        </w:rPr>
        <w:fldChar w:fldCharType="separate"/>
      </w:r>
      <w:r>
        <w:rPr>
          <w:color w:val="auto"/>
          <w:highlight w:val="none"/>
          <w:lang w:eastAsia="zh-CN"/>
        </w:rPr>
        <w:t>⑧</w:t>
      </w:r>
      <w:r>
        <w:rPr>
          <w:rFonts w:hint="eastAsia" w:ascii="仿宋" w:hAnsi="仿宋" w:eastAsia="仿宋" w:cs="仿宋"/>
          <w:color w:val="auto"/>
          <w:highlight w:val="none"/>
          <w:lang w:eastAsia="zh-CN"/>
        </w:rPr>
        <w:fldChar w:fldCharType="end"/>
      </w:r>
      <w:r>
        <w:rPr>
          <w:rFonts w:hint="eastAsia" w:ascii="仿宋" w:hAnsi="仿宋" w:eastAsia="仿宋" w:cs="仿宋"/>
          <w:color w:val="auto"/>
          <w:highlight w:val="none"/>
          <w:lang w:eastAsia="zh-CN"/>
        </w:rPr>
        <w:t>竣工验收合格及工程结算经发包人审批后28个日历天内，向发包人申请办理付款至工程结算价的97%。</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fldChar w:fldCharType="begin"/>
      </w:r>
      <w:r>
        <w:rPr>
          <w:rFonts w:hint="eastAsia" w:ascii="仿宋" w:hAnsi="仿宋" w:eastAsia="仿宋" w:cs="仿宋"/>
          <w:color w:val="auto"/>
          <w:highlight w:val="none"/>
          <w:lang w:eastAsia="zh-CN"/>
        </w:rPr>
        <w:instrText xml:space="preserve"> = 9 \* GB3 \* MERGEFORMAT </w:instrText>
      </w:r>
      <w:r>
        <w:rPr>
          <w:rFonts w:hint="eastAsia" w:ascii="仿宋" w:hAnsi="仿宋" w:eastAsia="仿宋" w:cs="仿宋"/>
          <w:color w:val="auto"/>
          <w:highlight w:val="none"/>
          <w:lang w:eastAsia="zh-CN"/>
        </w:rPr>
        <w:fldChar w:fldCharType="separate"/>
      </w:r>
      <w:r>
        <w:rPr>
          <w:color w:val="auto"/>
          <w:highlight w:val="none"/>
          <w:lang w:eastAsia="zh-CN"/>
        </w:rPr>
        <w:t>⑨</w:t>
      </w:r>
      <w:r>
        <w:rPr>
          <w:rFonts w:hint="eastAsia" w:ascii="仿宋" w:hAnsi="仿宋" w:eastAsia="仿宋" w:cs="仿宋"/>
          <w:color w:val="auto"/>
          <w:highlight w:val="none"/>
          <w:lang w:eastAsia="zh-CN"/>
        </w:rPr>
        <w:fldChar w:fldCharType="end"/>
      </w:r>
      <w:r>
        <w:rPr>
          <w:rFonts w:hint="eastAsia" w:ascii="仿宋" w:hAnsi="仿宋" w:eastAsia="仿宋" w:cs="仿宋"/>
          <w:color w:val="auto"/>
          <w:highlight w:val="none"/>
          <w:lang w:eastAsia="zh-CN"/>
        </w:rPr>
        <w:t>对于承包人未提交的变更项目预算，若变更使得造价增加的，则视为承包人放弃该变更价款的申请权力；若变更使得造价减少的，则监理工程师、造价咨询单位、发包人有权根据变更资料计算变更价款并在进度款中扣除，承包人不得对此类变更价款的金额及价款的扣除提出任何异议。</w:t>
      </w:r>
    </w:p>
    <w:p>
      <w:pPr>
        <w:spacing w:line="360" w:lineRule="auto"/>
        <w:ind w:firstLine="960" w:firstLineChars="400"/>
        <w:rPr>
          <w:rFonts w:ascii="仿宋" w:hAnsi="仿宋" w:eastAsia="仿宋"/>
          <w:color w:val="auto"/>
          <w:highlight w:val="none"/>
          <w:lang w:eastAsia="zh-CN"/>
        </w:rPr>
      </w:pPr>
      <w:r>
        <w:rPr>
          <w:rFonts w:hint="eastAsia" w:ascii="仿宋" w:hAnsi="仿宋" w:eastAsia="仿宋" w:cs="仿宋"/>
          <w:color w:val="auto"/>
          <w:highlight w:val="none"/>
          <w:lang w:eastAsia="zh-CN"/>
        </w:rPr>
        <w:t>②政府资金投资工程的支付期、支付办法：</w:t>
      </w:r>
      <w:r>
        <w:rPr>
          <w:rFonts w:hint="eastAsia" w:ascii="仿宋" w:hAnsi="仿宋" w:eastAsia="仿宋"/>
          <w:color w:val="auto"/>
          <w:highlight w:val="none"/>
          <w:lang w:eastAsia="zh-CN"/>
        </w:rPr>
        <w:t>以月为单位，支付比例：</w:t>
      </w:r>
    </w:p>
    <w:p>
      <w:pPr>
        <w:spacing w:line="360" w:lineRule="auto"/>
        <w:ind w:left="1200" w:leftChars="500"/>
        <w:rPr>
          <w:rFonts w:ascii="仿宋" w:hAnsi="仿宋" w:eastAsia="仿宋"/>
          <w:color w:val="auto"/>
          <w:highlight w:val="none"/>
          <w:lang w:eastAsia="zh-CN"/>
        </w:rPr>
      </w:pPr>
      <w:r>
        <w:rPr>
          <w:rFonts w:hint="eastAsia" w:ascii="仿宋" w:hAnsi="仿宋" w:eastAsia="仿宋" w:cs="仿宋"/>
          <w:color w:val="auto"/>
          <w:highlight w:val="none"/>
          <w:lang w:eastAsia="zh-CN"/>
        </w:rPr>
        <w:t>(11)本期间应支付或扣留（回）的其他款项：</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BIM技术应用</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①支付期限、比例</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 以月为支付周期，支付比例为本月已完工作或工程款的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以季度为支付周期，支付比例为本季度已完工作或工程款的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200" w:leftChars="500"/>
        <w:rPr>
          <w:color w:val="auto"/>
          <w:highlight w:val="none"/>
          <w:lang w:eastAsia="zh-CN"/>
        </w:rPr>
      </w:pPr>
      <w:r>
        <w:rPr>
          <w:rFonts w:hint="eastAsia" w:ascii="仿宋" w:hAnsi="仿宋" w:eastAsia="仿宋" w:cs="仿宋"/>
          <w:color w:val="auto"/>
          <w:highlight w:val="none"/>
          <w:lang w:eastAsia="zh-CN"/>
        </w:rPr>
        <w:t>□ 以形象进度为支付周期，支付比例为本形象进度内已完工作或工程款的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%或另行约定，具体约定如下</w:t>
      </w:r>
      <w:r>
        <w:rPr>
          <w:rFonts w:hint="eastAsia" w:ascii="仿宋" w:hAnsi="仿宋" w:eastAsia="仿宋" w:cs="仿宋"/>
          <w:color w:val="auto"/>
          <w:highlight w:val="none"/>
          <w:u w:val="single"/>
          <w:lang w:eastAsia="zh-CN"/>
        </w:rPr>
        <w:t xml:space="preserve">  /  </w:t>
      </w:r>
      <w:r>
        <w:rPr>
          <w:rFonts w:hint="eastAsia"/>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其它方式：</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440" w:firstLineChars="6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②政府资金投资工程的支付期、支付办法：</w:t>
      </w:r>
      <w:r>
        <w:rPr>
          <w:rFonts w:hint="eastAsia" w:ascii="仿宋" w:hAnsi="仿宋" w:eastAsia="仿宋" w:cs="仿宋"/>
          <w:color w:val="auto"/>
          <w:highlight w:val="none"/>
          <w:u w:val="single"/>
          <w:lang w:eastAsia="zh-CN"/>
        </w:rPr>
        <w:t xml:space="preserve">  /  </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(11)本期间应支付或扣留（回）的其他款项：</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设备及工器具购置</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①支付期限、比例</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 以月为支付周期，支付比例为本月已完工作或工程款的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以季度为支付周期，支付比例为本季度已完工作或工程款的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200" w:left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以形象进度为支付周期，支付比例为本形象进度内已完工作或工程款的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%或另行约定，具体约定如下：</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其它方式：</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440" w:firstLineChars="6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②政府资金投资工程的支付期、支付办法：</w:t>
      </w:r>
      <w:r>
        <w:rPr>
          <w:rFonts w:hint="eastAsia" w:ascii="仿宋" w:hAnsi="仿宋" w:eastAsia="仿宋" w:cs="仿宋"/>
          <w:color w:val="auto"/>
          <w:highlight w:val="none"/>
          <w:u w:val="single"/>
          <w:lang w:eastAsia="zh-CN"/>
        </w:rPr>
        <w:t xml:space="preserve">  /  </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(11)本期间应支付或扣留（回）的其他款项：</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①支付期限、比例</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 以月为支付周期，支付比例为本月已完工作或工程款的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以季度为支付周期，支付比例为本季度已完工作或工程款的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680" w:leftChars="500" w:hanging="480" w:hanging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以形象进度为支付周期，支付比例为本形象进度内已完工作或工程款的</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%或另行约定，具体约定如下：</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其它方式：</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320" w:firstLineChars="5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②政府资金投资工程的支付期、支付办法：</w:t>
      </w:r>
      <w:r>
        <w:rPr>
          <w:rFonts w:hint="eastAsia" w:ascii="仿宋" w:hAnsi="仿宋" w:eastAsia="仿宋" w:cs="仿宋"/>
          <w:color w:val="auto"/>
          <w:highlight w:val="none"/>
          <w:u w:val="single"/>
          <w:lang w:eastAsia="zh-CN"/>
        </w:rPr>
        <w:t xml:space="preserve">  /  </w:t>
      </w:r>
    </w:p>
    <w:p>
      <w:pPr>
        <w:spacing w:line="360" w:lineRule="auto"/>
        <w:ind w:firstLine="1440" w:firstLineChars="600"/>
        <w:rPr>
          <w:rFonts w:ascii="仿宋" w:hAnsi="仿宋" w:eastAsia="仿宋"/>
          <w:color w:val="auto"/>
          <w:highlight w:val="none"/>
          <w:lang w:eastAsia="zh-CN"/>
        </w:rPr>
      </w:pPr>
      <w:r>
        <w:rPr>
          <w:rFonts w:hint="eastAsia" w:ascii="仿宋" w:hAnsi="仿宋" w:eastAsia="仿宋" w:cs="仿宋"/>
          <w:color w:val="auto"/>
          <w:highlight w:val="none"/>
          <w:lang w:eastAsia="zh-CN"/>
        </w:rPr>
        <w:t>(11)本期间应支付或扣留（回）的其他款项：</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86.2 期中支付的最低限额为：□勘察</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元；□设计</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元；□施工</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元；□BIM技术应用</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元；□设备及工器具购置</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r>
        <w:rPr>
          <w:rFonts w:hint="eastAsia" w:ascii="仿宋" w:hAnsi="仿宋" w:eastAsia="仿宋" w:cs="仿宋"/>
          <w:color w:val="auto"/>
          <w:highlight w:val="none"/>
          <w:lang w:eastAsia="zh-CN"/>
        </w:rPr>
        <w:sym w:font="Wingdings 2" w:char="00A3"/>
      </w:r>
      <w:r>
        <w:rPr>
          <w:rFonts w:hint="eastAsia" w:ascii="仿宋" w:hAnsi="仿宋" w:eastAsia="仿宋" w:cs="仿宋"/>
          <w:color w:val="auto"/>
          <w:highlight w:val="none"/>
          <w:lang w:eastAsia="zh-CN"/>
        </w:rPr>
        <w:t>其它</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元。</w:t>
      </w:r>
    </w:p>
    <w:p>
      <w:pPr>
        <w:numPr>
          <w:ilvl w:val="255"/>
          <w:numId w:val="0"/>
        </w:numPr>
        <w:spacing w:line="360" w:lineRule="auto"/>
        <w:ind w:firstLine="723" w:firstLineChars="300"/>
        <w:rPr>
          <w:color w:val="auto"/>
          <w:highlight w:val="none"/>
          <w:lang w:eastAsia="zh-CN"/>
        </w:rPr>
      </w:pPr>
      <w:r>
        <w:rPr>
          <w:rFonts w:hint="eastAsia" w:ascii="仿宋" w:hAnsi="仿宋" w:eastAsia="仿宋" w:cs="仿宋"/>
          <w:b/>
          <w:bCs/>
          <w:color w:val="auto"/>
          <w:highlight w:val="none"/>
          <w:lang w:eastAsia="zh-CN"/>
        </w:rPr>
        <w:t>86.3发包人应在监理人签发期中支付证书后的28天内，按照期中支付证书列明的金额向承包人支付进度款，并通知造价咨询人。</w:t>
      </w:r>
    </w:p>
    <w:p>
      <w:pPr>
        <w:spacing w:line="360" w:lineRule="auto"/>
        <w:ind w:left="480" w:leftChars="200" w:firstLine="240" w:firstLine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86.5 进度款支付的限制</w:t>
      </w:r>
    </w:p>
    <w:p>
      <w:pPr>
        <w:spacing w:line="360" w:lineRule="auto"/>
        <w:ind w:left="480" w:leftChars="200" w:firstLine="360" w:firstLineChars="15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按通用条款的约定。</w:t>
      </w:r>
    </w:p>
    <w:p>
      <w:pPr>
        <w:spacing w:line="360" w:lineRule="auto"/>
        <w:ind w:left="480" w:leftChars="200" w:firstLine="360" w:firstLineChars="1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另作约定：发包人未按照第</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6</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1款和第</w:t>
      </w:r>
      <w:r>
        <w:rPr>
          <w:rFonts w:ascii="仿宋" w:hAnsi="仿宋" w:eastAsia="仿宋" w:cs="仿宋"/>
          <w:color w:val="auto"/>
          <w:highlight w:val="none"/>
          <w:lang w:eastAsia="zh-CN"/>
        </w:rPr>
        <w:t>8</w:t>
      </w:r>
      <w:r>
        <w:rPr>
          <w:rFonts w:hint="eastAsia" w:ascii="仿宋" w:hAnsi="仿宋" w:eastAsia="仿宋" w:cs="仿宋"/>
          <w:color w:val="auto"/>
          <w:highlight w:val="none"/>
          <w:lang w:eastAsia="zh-CN"/>
        </w:rPr>
        <w:t>6</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3款约定支付进度款的，承包人应及时向发包人发出要求支付的通知；发包人收到通知后仍不按要求支付的，可与承包人协商签订延期支付协议，经承包人同意后可延期支付，承包人有权按照第83</w:t>
      </w:r>
      <w:r>
        <w:rPr>
          <w:rFonts w:ascii="仿宋" w:hAnsi="仿宋" w:eastAsia="仿宋" w:cs="仿宋"/>
          <w:color w:val="auto"/>
          <w:highlight w:val="none"/>
          <w:lang w:eastAsia="zh-CN"/>
        </w:rPr>
        <w:t>.2</w:t>
      </w:r>
      <w:r>
        <w:rPr>
          <w:rFonts w:hint="eastAsia" w:ascii="仿宋" w:hAnsi="仿宋" w:eastAsia="仿宋" w:cs="仿宋"/>
          <w:color w:val="auto"/>
          <w:highlight w:val="none"/>
          <w:lang w:eastAsia="zh-CN"/>
        </w:rPr>
        <w:t>款约定获得延期支付的利息。</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910" w:name="_Toc2420"/>
      <w:bookmarkStart w:id="1911" w:name="_Toc4086"/>
      <w:bookmarkStart w:id="1912" w:name="_Toc17208"/>
      <w:bookmarkStart w:id="1913" w:name="_Toc27325"/>
      <w:bookmarkStart w:id="1914" w:name="_Toc32437"/>
      <w:bookmarkStart w:id="1915" w:name="_Toc24692"/>
      <w:bookmarkStart w:id="1916" w:name="_Toc17408"/>
      <w:bookmarkStart w:id="1917" w:name="_Toc21274"/>
      <w:r>
        <w:rPr>
          <w:rFonts w:hint="eastAsia" w:ascii="仿宋" w:hAnsi="仿宋" w:eastAsia="仿宋" w:cs="仿宋"/>
          <w:b w:val="0"/>
          <w:bCs w:val="0"/>
          <w:color w:val="auto"/>
          <w:sz w:val="24"/>
          <w:szCs w:val="24"/>
          <w:highlight w:val="none"/>
          <w:lang w:eastAsia="zh-CN"/>
        </w:rPr>
        <w:t>★87. 竣工结算</w:t>
      </w:r>
      <w:bookmarkEnd w:id="1910"/>
      <w:bookmarkEnd w:id="1911"/>
      <w:bookmarkEnd w:id="1912"/>
      <w:bookmarkEnd w:id="1913"/>
      <w:bookmarkEnd w:id="1914"/>
      <w:bookmarkEnd w:id="1915"/>
      <w:bookmarkEnd w:id="1916"/>
      <w:bookmarkEnd w:id="1917"/>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87.1 约定结算程序和时限</w:t>
      </w:r>
    </w:p>
    <w:p>
      <w:pPr>
        <w:spacing w:line="360" w:lineRule="auto"/>
        <w:ind w:firstLine="859" w:firstLineChars="358"/>
        <w:rPr>
          <w:rFonts w:ascii="仿宋" w:hAnsi="仿宋" w:eastAsia="仿宋"/>
          <w:color w:val="auto"/>
          <w:highlight w:val="none"/>
          <w:lang w:eastAsia="zh-CN"/>
        </w:rPr>
      </w:pPr>
      <w:r>
        <w:rPr>
          <w:rFonts w:hint="eastAsia" w:ascii="仿宋" w:hAnsi="仿宋" w:eastAsia="仿宋" w:cs="仿宋"/>
          <w:color w:val="auto"/>
          <w:highlight w:val="none"/>
          <w:lang w:eastAsia="zh-CN"/>
        </w:rPr>
        <w:t>①竣工结算的程序和时限：</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按通用条款的约定办理。</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另作约定：在办理竣工结算期间，暂停支付涉及争议的款项，待结算办理完毕后支付。</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w:t>
      </w:r>
      <w:r>
        <w:rPr>
          <w:rFonts w:hint="eastAsia" w:ascii="仿宋" w:hAnsi="仿宋" w:eastAsia="仿宋" w:cs="仿宋"/>
          <w:color w:val="auto"/>
          <w:highlight w:val="none"/>
          <w:lang w:val="en-US" w:eastAsia="zh-CN"/>
        </w:rPr>
        <w:t>勘察</w:t>
      </w:r>
      <w:r>
        <w:rPr>
          <w:rFonts w:hint="eastAsia" w:ascii="仿宋" w:hAnsi="仿宋" w:eastAsia="仿宋" w:cs="仿宋"/>
          <w:color w:val="auto"/>
          <w:highlight w:val="none"/>
          <w:lang w:eastAsia="zh-CN"/>
        </w:rPr>
        <w:t>费：</w:t>
      </w:r>
    </w:p>
    <w:p>
      <w:pPr>
        <w:spacing w:line="360" w:lineRule="auto"/>
        <w:ind w:firstLine="720" w:firstLineChars="300"/>
        <w:rPr>
          <w:rFonts w:hint="eastAsia" w:ascii="仿宋" w:hAnsi="仿宋" w:eastAsia="仿宋" w:cs="仿宋"/>
          <w:color w:val="auto"/>
          <w:highlight w:val="none"/>
          <w:lang w:eastAsia="zh-CN"/>
        </w:rPr>
      </w:pPr>
      <w:r>
        <w:rPr>
          <w:rFonts w:hint="eastAsia" w:ascii="仿宋" w:hAnsi="仿宋" w:eastAsia="仿宋" w:cs="仿宋"/>
          <w:color w:val="auto"/>
          <w:highlight w:val="none"/>
          <w:lang w:val="en-US" w:eastAsia="zh-CN"/>
        </w:rPr>
        <w:t>勘察费以中标的各项勘察服务单价包干，结算时根据实际完成的勘察工程量据实结算，</w:t>
      </w:r>
      <w:r>
        <w:rPr>
          <w:rFonts w:hint="eastAsia" w:ascii="仿宋" w:hAnsi="仿宋" w:eastAsia="仿宋" w:cs="仿宋"/>
          <w:color w:val="auto"/>
          <w:highlight w:val="none"/>
          <w:lang w:eastAsia="zh-CN"/>
        </w:rPr>
        <w:t>除本合同另有明确约定外，不得以任何理由（如市场变化、材料价格变动或政策法规调整或其它任何因素）调增</w:t>
      </w:r>
      <w:r>
        <w:rPr>
          <w:rFonts w:hint="eastAsia" w:ascii="仿宋" w:hAnsi="仿宋" w:eastAsia="仿宋" w:cs="仿宋"/>
          <w:color w:val="auto"/>
          <w:highlight w:val="none"/>
          <w:lang w:val="en-US" w:eastAsia="zh-CN"/>
        </w:rPr>
        <w:t>。</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val="en-US" w:eastAsia="zh-CN"/>
        </w:rPr>
        <w:t>2</w:t>
      </w:r>
      <w:r>
        <w:rPr>
          <w:rFonts w:hint="eastAsia" w:ascii="仿宋" w:hAnsi="仿宋" w:eastAsia="仿宋" w:cs="仿宋"/>
          <w:color w:val="auto"/>
          <w:highlight w:val="none"/>
          <w:lang w:eastAsia="zh-CN"/>
        </w:rPr>
        <w:t>、设计费：</w:t>
      </w:r>
    </w:p>
    <w:p>
      <w:pPr>
        <w:spacing w:line="360" w:lineRule="auto"/>
        <w:ind w:firstLine="720" w:firstLineChars="300"/>
        <w:rPr>
          <w:rFonts w:hint="eastAsia" w:ascii="仿宋" w:hAnsi="仿宋" w:eastAsia="仿宋" w:cs="仿宋"/>
          <w:color w:val="auto"/>
          <w:highlight w:val="none"/>
          <w:lang w:eastAsia="zh-CN"/>
        </w:rPr>
      </w:pPr>
      <w:r>
        <w:rPr>
          <w:rFonts w:hint="eastAsia" w:ascii="仿宋" w:hAnsi="仿宋" w:eastAsia="仿宋" w:cs="仿宋"/>
          <w:color w:val="auto"/>
          <w:highlight w:val="none"/>
          <w:lang w:eastAsia="zh-CN"/>
        </w:rPr>
        <w:t>设计费结算时</w:t>
      </w:r>
      <w:r>
        <w:rPr>
          <w:rFonts w:hint="eastAsia" w:ascii="仿宋" w:hAnsi="仿宋" w:eastAsia="仿宋" w:cs="仿宋"/>
          <w:color w:val="auto"/>
          <w:highlight w:val="none"/>
          <w:lang w:eastAsia="zh"/>
        </w:rPr>
        <w:t>以中标综合单价</w:t>
      </w:r>
      <w:r>
        <w:rPr>
          <w:rFonts w:hint="eastAsia" w:ascii="仿宋" w:hAnsi="仿宋" w:eastAsia="仿宋" w:cs="仿宋"/>
          <w:color w:val="auto"/>
          <w:highlight w:val="none"/>
          <w:lang w:eastAsia="zh-CN"/>
        </w:rPr>
        <w:t>包干</w:t>
      </w:r>
      <w:r>
        <w:rPr>
          <w:rFonts w:hint="eastAsia" w:ascii="仿宋" w:hAnsi="仿宋" w:eastAsia="仿宋" w:cs="仿宋"/>
          <w:bCs w:val="0"/>
          <w:color w:val="auto"/>
          <w:kern w:val="0"/>
          <w:sz w:val="24"/>
          <w:szCs w:val="24"/>
          <w:highlight w:val="none"/>
          <w:lang w:val="en-US" w:eastAsia="zh-CN" w:bidi="ar"/>
        </w:rPr>
        <w:t>乘以《建设工程规划许可证》的建筑面积计算</w:t>
      </w:r>
      <w:r>
        <w:rPr>
          <w:rFonts w:hint="eastAsia" w:ascii="仿宋" w:hAnsi="仿宋" w:eastAsia="仿宋" w:cs="仿宋"/>
          <w:bCs w:val="0"/>
          <w:color w:val="auto"/>
          <w:kern w:val="0"/>
          <w:sz w:val="24"/>
          <w:szCs w:val="24"/>
          <w:highlight w:val="none"/>
          <w:lang w:val="en-US" w:eastAsia="zh" w:bidi="ar"/>
        </w:rPr>
        <w:t>，中标综合单价为    元/㎡（</w:t>
      </w:r>
      <w:r>
        <w:rPr>
          <w:rFonts w:hint="eastAsia" w:ascii="仿宋" w:hAnsi="仿宋" w:eastAsia="仿宋" w:cs="仿宋"/>
          <w:color w:val="auto"/>
          <w:highlight w:val="none"/>
          <w:lang w:val="en-US" w:eastAsia="zh-CN"/>
        </w:rPr>
        <w:t>中标综合单价=设计费中标价/暂定建筑面积</w:t>
      </w:r>
      <w:r>
        <w:rPr>
          <w:rFonts w:hint="eastAsia" w:ascii="仿宋" w:hAnsi="仿宋" w:eastAsia="仿宋" w:cs="仿宋"/>
          <w:color w:val="auto"/>
          <w:highlight w:val="none"/>
          <w:lang w:val="en-US" w:eastAsia="zh"/>
        </w:rPr>
        <w:t>317397.45</w:t>
      </w:r>
      <w:r>
        <w:rPr>
          <w:rFonts w:hint="eastAsia" w:ascii="仿宋" w:hAnsi="仿宋" w:eastAsia="仿宋" w:cs="仿宋"/>
          <w:color w:val="auto"/>
          <w:highlight w:val="none"/>
          <w:lang w:val="en-US" w:eastAsia="zh-CN"/>
        </w:rPr>
        <w:t>平方米</w:t>
      </w:r>
      <w:r>
        <w:rPr>
          <w:rFonts w:hint="eastAsia" w:ascii="仿宋" w:hAnsi="仿宋" w:eastAsia="仿宋" w:cs="仿宋"/>
          <w:color w:val="auto"/>
          <w:highlight w:val="none"/>
          <w:lang w:val="en-US" w:eastAsia="zh"/>
        </w:rPr>
        <w:t>），</w:t>
      </w:r>
      <w:r>
        <w:rPr>
          <w:rFonts w:hint="eastAsia" w:ascii="仿宋" w:hAnsi="仿宋" w:eastAsia="仿宋" w:cs="仿宋"/>
          <w:color w:val="auto"/>
          <w:highlight w:val="none"/>
          <w:lang w:eastAsia="zh-CN"/>
        </w:rPr>
        <w:t>除本合同另有明确约定外，不得以任何理由（如市场变化、材料价格变动或政策法规调整或其它任何因素）调增。</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承包人根据发包人要求指派的设计代表驻施工现场，费用包含在设计费中。</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val="en-US" w:eastAsia="zh-CN"/>
        </w:rPr>
        <w:t>3</w:t>
      </w:r>
      <w:r>
        <w:rPr>
          <w:rFonts w:hint="eastAsia" w:ascii="仿宋" w:hAnsi="仿宋" w:eastAsia="仿宋" w:cs="仿宋"/>
          <w:color w:val="auto"/>
          <w:highlight w:val="none"/>
          <w:lang w:eastAsia="zh-CN"/>
        </w:rPr>
        <w:t>、工程费：</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（1）工程结算配合服务</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a)承包人应根据发包人指令提交本合同工程的结算配合服务工作计划，根据经批准的工作计划积极参与并配合发包人或发包人委托的第三方组织的本合同工程承包人设计范围内的工程结算工作，及时提交设计变更确认资料并确保其有效性、准确性和及时性，以保证工程结算工作的顺利推进。</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b)承包人应根据发包人的要求提供结算工作所涉及的设计变更的相关设计文件（如设计变更预估算书等）。</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c)承包人负责设计范围内的竣工图的编制工作。</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d)承包人应根据发包人要求在工程结算过程中提供相关的技术支持。</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e)本合同设计范围内存在发包人另行发包的专项工程设计服务内容的，承包人负责整理汇总其合同设计范围内所有设计单位的结算工作。</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（2）结算原则：分部分项工程综合单价以双方审核确认后的施工图预算中对应的综合单价</w:t>
      </w:r>
      <w:r>
        <w:rPr>
          <w:rFonts w:hint="eastAsia" w:ascii="仿宋" w:hAnsi="仿宋" w:eastAsia="仿宋" w:cs="仿宋"/>
          <w:color w:val="auto"/>
          <w:highlight w:val="none"/>
          <w:lang w:eastAsia="zh"/>
        </w:rPr>
        <w:t>x (1-合同约定下浮率) x (1-施工费中标下浮率)</w:t>
      </w:r>
      <w:r>
        <w:rPr>
          <w:rFonts w:hint="eastAsia" w:ascii="仿宋" w:hAnsi="仿宋" w:eastAsia="仿宋" w:cs="仿宋"/>
          <w:color w:val="auto"/>
          <w:highlight w:val="none"/>
          <w:lang w:eastAsia="zh-CN"/>
        </w:rPr>
        <w:t>固定不变，结算时按下浮后的综合单价包干、工程量根据施工图预算计算规则按实计算。</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报送的最终版施工图纸和施工图预算经发包人审核确认后，如因承包人原因导致修改(增或减)图纸的，增加部分费用由承包人自行承担，减少部分费用按实结算，最终结算价不得超过中标价;如非承包人原因发生重大方案决策调整的，调整内容经发包人和监理单位批准确认并已完善变更手续的，可予以调整价款，最终结算价以发包人审定为准（最终结算价格不得超过中标价，如超过的直接以中标价为最终结算价，合同另有约定除外）。</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非承包人原因导致施工过程中必须增加合同范围以外且无法在竣工图纸上反映的实施内容，经发包人和监理单位批准确认并已完善现场签证手续的，可予以调整价款，最终结算价以发包人书面审定为准。</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(3)工程竣工验收时须提交完整的项目工程竣工结算文件（承包人应根据相关编制结算文件的要求向监理单位递交由承包人代表签署的竣工工程款额报告、竣工支付申请和竣工结算文件，并附上完整的结算资料）并详细列出下列内容：</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a)根据合同完成全部或所有工程的总造价；</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b)承包人认为根据合同规定发包人应付的所有款项。</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结算方式：按本合同工程招标文件及本合同有关规定办理，承包人编制结算书，并提交竣工结算资料。</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在未取得延期的情况下，承包人未在本款规定的时间内递交工程结算文件的，发包人可直接编制或请第三方编制竣工结算文件，经发包人书面审定后作为竣工结算和支付的依据，承包人应予以认可，一切相关费用由承包人承担。</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(4)承包人提交结算报告的时间：竣工备案的同时向发包人报送工程结算资料。</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(5)发包人审核结算报告的时间：发包人收到承包人提交的结算申请后180天内（其中含监理单位审核30天，造价咨询单位审核时间60天）对结算进行终审。</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(6)承包人迟延提交结算报告的，发包人完成审核结算报告的时间相应顺延。由于结算报告存在错误或不完整而退回承包人修改或补充的，发包人完成审核结算报告的时间从收到修改或补充的结算报告后重新计算。</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(7)承包人提交的结算报告虽有错误或不完整，但其中有部分手续齐全并可以单独结算的，发包人可就该部分先行审核。</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由于承包人未按发包人要求及时报审结算资料或报送资料不齐全、不完整引起的结算滞后或影响尾款支付，应由承包人负责，承包人所主张的材料款、人工工资等申请将不被接受；且承包人不能以此理由不支付材料款、劳务工资。结算审核过程中，发包人及监理单位有权向承包人提出核实意见(包括进一步补充资料和修改结算文件)。</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(9)根据项目建设的实际需要，发包人有权要求与承包人按招标文件提供的格式签订工程结算工作协议书，双方严格按照工程结算工作协议书的约定进行工程结算，承包人必须无条件服从。</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(10)最终竣工结算资料经发包人复核无误的，发包人、监理单位、承包人予以认可。若承包人不按工程结算工作协议书的约定配合结算审核工作以至工程结算迟迟不能定案，或承包人对发包人的审核结果拒不确认，在规定时间内又提不出正确理由时，则最终的审核结果由发包人和监理单位、造价咨询单位共同盖章确认即可。</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(11)其他要求</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a）承包人应积极配合发包人和造价咨询单位完成上报结算书的审定工作。承包人应按发包人的要求及时派出足够的工程结算管理人员实施本项目的结算工作，并由承包人负责其总承包管理范围内工程结算的牵头工作，督促其总承包管理范围内的各专业单位及时报送工程结算资料并予以落实，经发包人两次书面催促后承包人仍不落实的，承包人应承担一般违约责任。</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承包人迟延提交竣工结算报告的，发包人完成审核相应结算报告的时间相应顺延。由于结算报告存在错误或不完整而退回承包人修改或补充的，发包人完成审核相应结算报告的时间从收到修改或补充的结算报告后重新计算。</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c）承包人提交的竣工结算报告虽有错误或不完整，但其中有部分手续齐全并可以单独结算的，发包人可就该部分先行审核。</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(12)工程结算造价以合同为依据审核结算结果为准。</w:t>
      </w:r>
    </w:p>
    <w:p>
      <w:pPr>
        <w:spacing w:line="360" w:lineRule="auto"/>
        <w:ind w:firstLine="720" w:firstLineChars="300"/>
        <w:rPr>
          <w:rFonts w:ascii="仿宋" w:hAnsi="仿宋" w:eastAsia="仿宋" w:cs="仿宋"/>
          <w:color w:val="auto"/>
          <w:highlight w:val="none"/>
          <w:lang w:eastAsia="zh-CN"/>
        </w:rPr>
      </w:pPr>
      <w:r>
        <w:rPr>
          <w:rFonts w:hint="eastAsia" w:ascii="仿宋" w:hAnsi="仿宋" w:eastAsia="仿宋" w:cs="仿宋"/>
          <w:color w:val="auto"/>
          <w:highlight w:val="none"/>
          <w:lang w:eastAsia="zh-CN"/>
        </w:rPr>
        <w:t>(13)除合同约定情况外，施工费结算价不得超过</w:t>
      </w:r>
      <w:r>
        <w:rPr>
          <w:rFonts w:hint="eastAsia" w:ascii="仿宋" w:hAnsi="仿宋" w:eastAsia="仿宋" w:cs="仿宋"/>
          <w:color w:val="auto"/>
          <w:highlight w:val="none"/>
          <w:u w:val="single"/>
          <w:lang w:eastAsia="zh-CN"/>
        </w:rPr>
        <w:t>承包人中标价中建安工程费</w:t>
      </w:r>
      <w:r>
        <w:rPr>
          <w:rFonts w:hint="eastAsia" w:ascii="仿宋" w:hAnsi="仿宋" w:eastAsia="仿宋" w:cs="仿宋"/>
          <w:color w:val="auto"/>
          <w:highlight w:val="none"/>
          <w:lang w:eastAsia="zh-CN"/>
        </w:rPr>
        <w:t>（除发包人增加的指令变更除外）。</w:t>
      </w:r>
    </w:p>
    <w:p>
      <w:pPr>
        <w:spacing w:line="360" w:lineRule="auto"/>
        <w:ind w:firstLine="720" w:firstLineChars="300"/>
        <w:rPr>
          <w:rFonts w:ascii="仿宋" w:hAnsi="仿宋" w:eastAsia="仿宋"/>
          <w:color w:val="auto"/>
          <w:highlight w:val="none"/>
          <w:lang w:eastAsia="zh-CN"/>
        </w:rPr>
      </w:pPr>
      <w:r>
        <w:rPr>
          <w:rFonts w:hint="eastAsia" w:ascii="仿宋" w:hAnsi="仿宋" w:eastAsia="仿宋" w:cs="仿宋"/>
          <w:color w:val="auto"/>
          <w:highlight w:val="none"/>
          <w:lang w:eastAsia="zh-CN"/>
        </w:rPr>
        <w:t>☑ ②过程结算约定（</w:t>
      </w:r>
      <w:r>
        <w:rPr>
          <w:rFonts w:hint="eastAsia" w:ascii="仿宋" w:hAnsi="仿宋" w:eastAsia="仿宋"/>
          <w:color w:val="auto"/>
          <w:highlight w:val="none"/>
          <w:u w:val="single"/>
          <w:lang w:eastAsia="zh-CN"/>
        </w:rPr>
        <w:t>根据发包人的具体要求</w:t>
      </w:r>
      <w:r>
        <w:rPr>
          <w:rFonts w:hint="eastAsia" w:ascii="仿宋" w:hAnsi="仿宋" w:eastAsia="仿宋" w:cs="仿宋"/>
          <w:color w:val="auto"/>
          <w:highlight w:val="none"/>
          <w:lang w:eastAsia="zh-CN"/>
        </w:rPr>
        <w:t>）</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□（a）工程勘察费结算的程序：</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过程结算支付时限与支付比例：</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采用过程结算方法时结算价款的编制与核对：</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（b）工程设计费结算的程序：</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过程结算支付时限：</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采用过程结算方法时结算价款的编制与核对：</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□（c）BIM技术应用费结算的程序：</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过程结算支付时限：</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采用过程结算方法时结算价款的编制与核对：</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□（d）设备及工器具购置费结算的程序：</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过程结算支付时限：</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采用过程结算方法时结算价款的编制与核对</w:t>
      </w:r>
      <w:r>
        <w:rPr>
          <w:rFonts w:hint="eastAsia" w:ascii="仿宋" w:hAnsi="仿宋" w:eastAsia="仿宋" w:cs="仿宋"/>
          <w:color w:val="auto"/>
          <w:highlight w:val="none"/>
          <w:u w:val="single"/>
          <w:lang w:eastAsia="zh-CN"/>
        </w:rPr>
        <w:t xml:space="preserve">  /  </w:t>
      </w:r>
    </w:p>
    <w:p>
      <w:pPr>
        <w:spacing w:line="360" w:lineRule="auto"/>
        <w:ind w:firstLine="1200" w:firstLineChars="5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□（e）建筑安装工程费结算的程序：</w:t>
      </w:r>
    </w:p>
    <w:p>
      <w:pPr>
        <w:spacing w:line="360" w:lineRule="auto"/>
        <w:ind w:firstLine="1800" w:firstLineChars="7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一、施工过程结算的程序：</w:t>
      </w:r>
      <w:r>
        <w:rPr>
          <w:rFonts w:hint="eastAsia" w:ascii="仿宋" w:hAnsi="仿宋" w:eastAsia="仿宋" w:cs="仿宋"/>
          <w:color w:val="auto"/>
          <w:highlight w:val="none"/>
          <w:u w:val="single"/>
          <w:lang w:eastAsia="zh-CN"/>
        </w:rPr>
        <w:t xml:space="preserve">  /  </w:t>
      </w:r>
    </w:p>
    <w:p>
      <w:pPr>
        <w:spacing w:line="360" w:lineRule="auto"/>
        <w:ind w:firstLine="1800" w:firstLineChars="7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二、施工过程结算节点的约定：</w:t>
      </w:r>
    </w:p>
    <w:p>
      <w:pPr>
        <w:spacing w:line="360" w:lineRule="auto"/>
        <w:ind w:left="1762" w:leftChars="734"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□工程分标段施工的，以标段完成作为施工过程结算节点：</w:t>
      </w:r>
      <w:r>
        <w:rPr>
          <w:rFonts w:hint="eastAsia" w:ascii="仿宋" w:hAnsi="仿宋" w:eastAsia="仿宋" w:cs="仿宋"/>
          <w:color w:val="auto"/>
          <w:highlight w:val="none"/>
          <w:u w:val="single"/>
          <w:lang w:eastAsia="zh-CN"/>
        </w:rPr>
        <w:t xml:space="preserve"> / </w:t>
      </w:r>
    </w:p>
    <w:p>
      <w:pPr>
        <w:spacing w:line="360" w:lineRule="auto"/>
        <w:ind w:left="1762" w:leftChars="734" w:firstLine="480" w:firstLineChars="2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□合同工程包括有多个单项工程、单位工程，以单项工程、单位工程竣工作为施工过程结算节点，具体节点为：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762" w:leftChars="734"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□规模较大且计划工期超过一年的单项工程，以年度内完成的形象进度节点或时间（季、年等）作为施工过程结算节点，具体节点为：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left="1762" w:leftChars="734"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□以完成合同约定的专业工程或附属工程作为施工过程结算节点，具体节点为：</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2160" w:firstLineChars="900"/>
        <w:rPr>
          <w:rFonts w:ascii="仿宋" w:hAnsi="仿宋" w:eastAsia="仿宋"/>
          <w:color w:val="auto"/>
          <w:highlight w:val="none"/>
          <w:lang w:eastAsia="zh-CN"/>
        </w:rPr>
      </w:pPr>
      <w:r>
        <w:rPr>
          <w:rFonts w:hint="eastAsia" w:ascii="仿宋" w:hAnsi="仿宋" w:eastAsia="仿宋" w:cs="仿宋"/>
          <w:color w:val="auto"/>
          <w:highlight w:val="none"/>
          <w:lang w:eastAsia="zh-CN"/>
        </w:rPr>
        <w:t>□其它：</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1800" w:firstLineChars="7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三、施工过程结算价款的编制与核对：</w:t>
      </w:r>
      <w:r>
        <w:rPr>
          <w:rFonts w:hint="eastAsia" w:ascii="仿宋" w:hAnsi="仿宋" w:eastAsia="仿宋" w:cs="仿宋"/>
          <w:color w:val="auto"/>
          <w:highlight w:val="none"/>
          <w:u w:val="single"/>
          <w:lang w:eastAsia="zh-CN"/>
        </w:rPr>
        <w:t xml:space="preserve">  /  </w:t>
      </w:r>
    </w:p>
    <w:p>
      <w:pPr>
        <w:spacing w:line="360" w:lineRule="auto"/>
        <w:ind w:firstLine="1800" w:firstLineChars="7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四、采用施工过程结算方法时竣工结算价款的编制与核对：</w:t>
      </w:r>
      <w:r>
        <w:rPr>
          <w:rFonts w:hint="eastAsia" w:ascii="仿宋" w:hAnsi="仿宋" w:eastAsia="仿宋" w:cs="仿宋"/>
          <w:color w:val="auto"/>
          <w:highlight w:val="none"/>
          <w:u w:val="single"/>
          <w:lang w:eastAsia="zh-CN"/>
        </w:rPr>
        <w:t xml:space="preserve"> / </w:t>
      </w:r>
    </w:p>
    <w:p>
      <w:pPr>
        <w:spacing w:line="360" w:lineRule="auto"/>
        <w:ind w:firstLine="1800" w:firstLineChars="750"/>
        <w:rPr>
          <w:rFonts w:ascii="仿宋" w:hAnsi="仿宋" w:eastAsia="仿宋" w:cs="仿宋"/>
          <w:color w:val="auto"/>
          <w:highlight w:val="none"/>
          <w:lang w:eastAsia="zh-CN"/>
        </w:rPr>
      </w:pPr>
      <w:r>
        <w:rPr>
          <w:rFonts w:hint="eastAsia" w:ascii="仿宋" w:hAnsi="仿宋" w:eastAsia="仿宋" w:cs="仿宋"/>
          <w:color w:val="auto"/>
          <w:highlight w:val="none"/>
          <w:lang w:eastAsia="zh-CN"/>
        </w:rPr>
        <w:t>五、施工过程结算支付时限：</w:t>
      </w:r>
      <w:r>
        <w:rPr>
          <w:rFonts w:hint="eastAsia" w:ascii="仿宋" w:hAnsi="仿宋" w:eastAsia="仿宋" w:cs="仿宋"/>
          <w:color w:val="auto"/>
          <w:highlight w:val="none"/>
          <w:u w:val="single"/>
          <w:lang w:eastAsia="zh-CN"/>
        </w:rPr>
        <w:t xml:space="preserve">  /  </w:t>
      </w:r>
    </w:p>
    <w:p>
      <w:pPr>
        <w:spacing w:line="360" w:lineRule="auto"/>
        <w:ind w:firstLine="1800" w:firstLineChars="750"/>
        <w:rPr>
          <w:rFonts w:ascii="仿宋" w:hAnsi="仿宋" w:eastAsia="仿宋" w:cs="仿宋"/>
          <w:color w:val="auto"/>
          <w:highlight w:val="none"/>
          <w:lang w:eastAsia="zh-CN"/>
        </w:rPr>
      </w:pPr>
      <w:r>
        <w:rPr>
          <w:rFonts w:hint="eastAsia" w:ascii="仿宋" w:hAnsi="仿宋" w:eastAsia="仿宋" w:cs="仿宋"/>
          <w:color w:val="auto"/>
          <w:highlight w:val="none"/>
          <w:lang w:eastAsia="zh-CN"/>
        </w:rPr>
        <w:t>六、施工过程结算的其他约定：</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spacing w:line="360" w:lineRule="auto"/>
        <w:ind w:firstLine="960" w:firstLineChars="4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□（f）其它项目结算的程序：</w:t>
      </w:r>
      <w:r>
        <w:rPr>
          <w:rFonts w:hint="eastAsia" w:ascii="仿宋" w:hAnsi="仿宋" w:eastAsia="仿宋" w:cs="仿宋"/>
          <w:color w:val="auto"/>
          <w:highlight w:val="none"/>
          <w:u w:val="single"/>
          <w:lang w:eastAsia="zh-CN"/>
        </w:rPr>
        <w:t xml:space="preserve">  /  </w:t>
      </w:r>
    </w:p>
    <w:p>
      <w:pPr>
        <w:spacing w:line="360" w:lineRule="auto"/>
        <w:ind w:firstLine="1680" w:firstLineChars="7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过程结算支付时限：</w:t>
      </w:r>
      <w:r>
        <w:rPr>
          <w:rFonts w:hint="eastAsia" w:ascii="仿宋" w:hAnsi="仿宋" w:eastAsia="仿宋" w:cs="仿宋"/>
          <w:color w:val="auto"/>
          <w:highlight w:val="none"/>
          <w:u w:val="single"/>
          <w:lang w:eastAsia="zh-CN"/>
        </w:rPr>
        <w:t xml:space="preserve">  /  </w:t>
      </w:r>
    </w:p>
    <w:p>
      <w:pPr>
        <w:spacing w:line="360" w:lineRule="auto"/>
        <w:ind w:firstLine="1680" w:firstLineChars="7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采用过程结算方法时结算价款的编制与核对：</w:t>
      </w:r>
      <w:r>
        <w:rPr>
          <w:rFonts w:hint="eastAsia" w:ascii="仿宋" w:hAnsi="仿宋" w:eastAsia="仿宋" w:cs="仿宋"/>
          <w:color w:val="auto"/>
          <w:highlight w:val="none"/>
          <w:u w:val="single"/>
          <w:lang w:eastAsia="zh-CN"/>
        </w:rPr>
        <w:t xml:space="preserve">  /  </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87.2 递交结算文件及其限制</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①竣工结算文件清单：</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勘察服务费结算书</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设计服务费结算书</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□设备及工</w:t>
      </w:r>
      <w:r>
        <w:rPr>
          <w:rFonts w:ascii="仿宋" w:hAnsi="仿宋" w:eastAsia="仿宋" w:cs="仿宋"/>
          <w:color w:val="auto"/>
          <w:highlight w:val="none"/>
          <w:lang w:eastAsia="zh-CN"/>
        </w:rPr>
        <w:t>器具</w:t>
      </w:r>
      <w:r>
        <w:rPr>
          <w:rFonts w:hint="eastAsia" w:ascii="仿宋" w:hAnsi="仿宋" w:eastAsia="仿宋" w:cs="仿宋"/>
          <w:color w:val="auto"/>
          <w:highlight w:val="none"/>
          <w:lang w:eastAsia="zh-CN"/>
        </w:rPr>
        <w:t>购置费结算书（如果有）</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建筑安装工程费结算书</w:t>
      </w:r>
    </w:p>
    <w:p>
      <w:pPr>
        <w:spacing w:line="360" w:lineRule="auto"/>
        <w:ind w:firstLine="1560" w:firstLineChars="6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其他：</w:t>
      </w:r>
      <w:r>
        <w:rPr>
          <w:rFonts w:hint="eastAsia" w:ascii="仿宋" w:hAnsi="仿宋" w:eastAsia="仿宋"/>
          <w:color w:val="auto"/>
          <w:highlight w:val="none"/>
          <w:u w:val="single"/>
          <w:lang w:eastAsia="zh-CN"/>
        </w:rPr>
        <w:t>根据发包人的具体要求提供。</w:t>
      </w:r>
    </w:p>
    <w:p>
      <w:pPr>
        <w:spacing w:line="360" w:lineRule="auto"/>
        <w:ind w:firstLine="1200" w:firstLineChars="500"/>
        <w:rPr>
          <w:rFonts w:ascii="仿宋" w:hAnsi="仿宋" w:eastAsia="仿宋"/>
          <w:color w:val="auto"/>
          <w:highlight w:val="none"/>
          <w:lang w:eastAsia="zh-CN"/>
        </w:rPr>
      </w:pPr>
      <w:r>
        <w:rPr>
          <w:rFonts w:hint="eastAsia" w:ascii="仿宋" w:hAnsi="仿宋" w:eastAsia="仿宋" w:cs="仿宋"/>
          <w:color w:val="auto"/>
          <w:highlight w:val="none"/>
          <w:lang w:eastAsia="zh-CN"/>
        </w:rPr>
        <w:t>②竣工结算需要提供的其它资料</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承包人应当向发包人提供如下竣工结算资料（但不限于以下）：</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1）工程结算书：每项工程的结算书要求分两部分编制：第一部分以竣工图为依据编制，包括图纸会审记录、设计变更等内容；第二部分以工程签证及其它有关费用等。上述两部分不应有重复列项的内容，结算书须提供相应的电子文件。</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（2）工程量计算书（即计算底稿）：工程量计算书由工程量汇总表和详细的工程量计算表达式组成，结算书须提供相应的电子文件。</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3）钢筋抽料表（如果有）：用电脑软件抽料的钢筋用量表要求提供相应的拷贝磁盘及软件；用手工抽料的钢筋用量表要求提供详细的抽料表和明细汇总表，详细的抽料表应注明钢筋所在构件名称、施工部位、钢筋编号等，并提供全部输入为Microsoft Excel格式的相应电子文件。</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（4）合同文件：包括发包人与承包人签订的合同文件、经发包人确认的承包人与第三方签订的分包合同、各类补充合同、合同附件等，要求将上述合同文件列出总目录按顺序整理装订成册。</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5）工程竣工图（同时提供电子版）：用于结算的竣工图必须有承包人图纸专用章、设计院章及其相关人员签字，并须有监理单位盖章确认。经发包人、设计、监理单位等单位确认的图纸会审记录、设计变更、工程洽商记录等内容均应反映在相应的竣工图上。</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6）工作成果验收确认或工程竣工验收资料（必要时提供电子版）：指在进行工程竣工验收和资料归档时所需的资料。具体包括开工报告、竣工报告、工程质量验收评定证书、材料检验报告、产品质量合格证、经发包人批准的施工组织设计或施工方案、隐蔽工程验收记录、安装工程的调试方案和调试记录等。整理装订成册的竣工资料需编制总目录，并在每一页的下方统一编号，以便于查找。</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（7）图纸会审记录：要求按图纸会审的时间先后整理装订成册，图纸会审记录须有各单位参加会审人员签字及会审单位盖章确认。</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（8）设计变更单：要求按设计变更的时间先后整理（安装工程要分专业）装订成册。</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（9）工程洽商记录：要求根据工程洽商记录的时间先后整理装订成册，然后在每一页的下方统一编号，以便于查找。工程洽商记录须符合发包人制定的有关规定。</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10）监理人通知或发包人工作指令、开工令：要求根据总监理工程师通知或发包人施工指令的时间先后整理装订成册，然后在每一页的下方统一编号。总监理工程师通知或发包人施工指令须符合发包人制定的有关规定。</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（11）会议纪要：指工程质量、安全、技术、经济等现场协调会会议纪要等。要求根据会议纪要的时间先后整理装订成册，然后在每一页的下方统一编号。会议纪要须符合发包人制定的有关规定。</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（12）现场签证单：要求根据现场工程签证的时间先后整理装订成册，然后在每一页的下方统一编号，工程签证单上应有工程数量的计算过程和施工简图。</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13）工程材料、工程设备单价呈批审核单：凡在工程招标文件或合同中未明确的主要材料设备单价，要求根据材料设备单价呈批审核单的编号顺序整理装订成册。每项审核单应附有相关的资料或注明相关资料在送审结算资料的哪一部分和哪一页位置上，要求有使用该材料设备的专题会议纪要、材料发票、购买合同等有效材料设备价格凭证等。</w:t>
      </w:r>
    </w:p>
    <w:p>
      <w:pPr>
        <w:spacing w:line="360" w:lineRule="auto"/>
        <w:ind w:firstLine="1560" w:firstLineChars="650"/>
        <w:rPr>
          <w:rFonts w:ascii="仿宋" w:hAnsi="仿宋" w:eastAsia="仿宋"/>
          <w:color w:val="auto"/>
          <w:highlight w:val="none"/>
          <w:lang w:eastAsia="zh-CN"/>
        </w:rPr>
      </w:pPr>
      <w:r>
        <w:rPr>
          <w:rFonts w:hint="eastAsia" w:ascii="仿宋" w:hAnsi="仿宋" w:eastAsia="仿宋" w:cs="仿宋"/>
          <w:color w:val="auto"/>
          <w:highlight w:val="none"/>
          <w:lang w:eastAsia="zh-CN"/>
        </w:rPr>
        <w:t>☑ （14）综合单价呈批审核单：在作为合同附件之一的工程量清单中未列但在施工过程中发生的项目，应由承包人编制单价分析表，盖章确认后报监理单位和发包人审核综合单价。在结算资料送审时，要求按综合单价呈批审核单的编号顺序整理装订成册。每项审核单应附有相关的资料或注明相关资料在送审结算资料的哪一部分和哪一页位置上，如材料设备专题会议纪要、设计变更、工程洽商记录、总监理工程师通知等。每份综合单价呈批审核单手续必需完备，要求有监理单位和发包人相关人员的签字和单位盖章确认，并且有上述单位的造价工程师对综合单价进行审核的签字和盖章。</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（15）招标文件、答疑纪要</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（16）投标文件（含经济标软件版）、中标通知书</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（17）发包人供应工程材料收货验收签收单：按发包人供应材料收货验收签收单的编号顺序及不同材料分类整理装订成册。</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18）其他结算资料：凡上述未提及而在结算时需要的资料均需提供，例如：施工日记、非常用的标准图集、应由承包人承担而由发包人代为支付的费用证明（如发包人代缴的施工水电费票据、余泥排放费证明）等。</w:t>
      </w:r>
    </w:p>
    <w:p>
      <w:pPr>
        <w:spacing w:line="360" w:lineRule="auto"/>
        <w:ind w:firstLine="1560" w:firstLineChars="6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19）移交资料签收表：按送审结算资料的内容列表，以便资料的移交和管理。资料签收表上应注明资料内容、份数和页数（标注页码），并且对所有复印资料的真实性进行确认。资料签收表一式两份，由资料移交人和接收人分别签名，必要时加盖单位的印章。</w:t>
      </w:r>
    </w:p>
    <w:p>
      <w:pPr>
        <w:spacing w:line="360" w:lineRule="auto"/>
        <w:ind w:firstLine="1560" w:firstLineChars="65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 （20）其他有关资料：</w:t>
      </w:r>
      <w:r>
        <w:rPr>
          <w:rFonts w:hint="eastAsia" w:ascii="仿宋" w:hAnsi="仿宋" w:eastAsia="仿宋"/>
          <w:color w:val="auto"/>
          <w:highlight w:val="none"/>
          <w:u w:val="single"/>
          <w:lang w:eastAsia="zh-CN"/>
        </w:rPr>
        <w:t>根据发包人的具体要求提供。</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87.3监理人应在收到承包人按照第87.2款约定递交的竣工结算文件后的28天内予以核实，并向承包人提出完整的核实意见（包括进一步补充资料和修改结算文件），同时抄报发包人。承包人在收到核实意见后的28天内按照造价咨询人提出的合理要求补充资料，修改竣工结算文件，并再次递交给监理人。</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监理人在收到竣工结算文件后的180天内，不核实竣工结算或未提出核实意见的，视为承包人递交的竣工结算已被认可。</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承包人在收到监理人提出的核实意见后的180天内，不确认也未提出异议的，视为造价咨询人提出的核实意见已被认可，竣工结算办理完毕。</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合同双方当事人对组成合同价格任一部分的过程结算计量计价有争议的，争议部分按第91.4款约定进行调解或认定，若合同双方或一方当事人在收到争议调解或认定机构的书面结果后明确表示不同意，或在28天内没有书面确认，任何一方均可向项目所在地人民法院提出诉讼申请。法院对争议部分裁决的价款与无争议部分的过程结算价款之和，即作为该合同价格组成部分的阶段结算价款。</w:t>
      </w:r>
    </w:p>
    <w:p>
      <w:pPr>
        <w:spacing w:line="360" w:lineRule="auto"/>
        <w:ind w:firstLine="960" w:firstLineChars="400"/>
        <w:rPr>
          <w:rFonts w:ascii="仿宋" w:hAnsi="仿宋" w:eastAsia="仿宋" w:cs="仿宋"/>
          <w:color w:val="auto"/>
          <w:highlight w:val="none"/>
          <w:lang w:eastAsia="zh-CN"/>
        </w:rPr>
      </w:pPr>
      <w:r>
        <w:rPr>
          <w:rFonts w:hint="eastAsia" w:ascii="仿宋" w:hAnsi="仿宋" w:eastAsia="仿宋" w:cs="仿宋"/>
          <w:color w:val="auto"/>
          <w:highlight w:val="none"/>
          <w:lang w:eastAsia="zh-CN"/>
        </w:rPr>
        <w:t>87.5 交付工程</w:t>
      </w:r>
    </w:p>
    <w:p>
      <w:pPr>
        <w:spacing w:line="360" w:lineRule="auto"/>
        <w:ind w:firstLine="960" w:firstLineChars="400"/>
        <w:rPr>
          <w:rFonts w:ascii="仿宋" w:hAnsi="仿宋" w:eastAsia="仿宋"/>
          <w:color w:val="auto"/>
          <w:highlight w:val="none"/>
          <w:lang w:eastAsia="zh-CN"/>
        </w:rPr>
      </w:pPr>
      <w:r>
        <w:rPr>
          <w:rFonts w:hint="eastAsia" w:ascii="仿宋" w:hAnsi="仿宋" w:eastAsia="仿宋" w:cs="仿宋"/>
          <w:color w:val="auto"/>
          <w:highlight w:val="none"/>
          <w:lang w:eastAsia="zh-CN"/>
        </w:rPr>
        <w:t>□ 按通用条款的约定。</w:t>
      </w:r>
    </w:p>
    <w:p>
      <w:pPr>
        <w:spacing w:line="360" w:lineRule="auto"/>
        <w:ind w:firstLine="960" w:firstLineChars="4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另作约定：</w:t>
      </w:r>
      <w:r>
        <w:rPr>
          <w:rFonts w:hint="eastAsia" w:ascii="仿宋" w:hAnsi="仿宋" w:eastAsia="仿宋" w:cs="仿宋"/>
          <w:color w:val="auto"/>
          <w:highlight w:val="none"/>
          <w:u w:val="single"/>
          <w:lang w:eastAsia="zh-CN"/>
        </w:rPr>
        <w:t>承包人未及时递交竣工结算文件的，发包人要求交付竣工工程，承包人应当交付；发包人不要求交付竣工工程，承包人承担照管永久工程责任。</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918" w:name="_Toc3940"/>
      <w:bookmarkStart w:id="1919" w:name="_Toc3626"/>
      <w:bookmarkStart w:id="1920" w:name="_Toc24953"/>
      <w:bookmarkStart w:id="1921" w:name="_Toc7563"/>
      <w:bookmarkStart w:id="1922" w:name="_Toc14997"/>
      <w:bookmarkStart w:id="1923" w:name="_Toc15483"/>
      <w:bookmarkStart w:id="1924" w:name="_Toc22832"/>
      <w:bookmarkStart w:id="1925" w:name="_Toc16819"/>
      <w:r>
        <w:rPr>
          <w:rFonts w:hint="eastAsia" w:ascii="仿宋" w:hAnsi="仿宋" w:eastAsia="仿宋" w:cs="仿宋"/>
          <w:b w:val="0"/>
          <w:bCs w:val="0"/>
          <w:color w:val="auto"/>
          <w:sz w:val="24"/>
          <w:szCs w:val="24"/>
          <w:highlight w:val="none"/>
          <w:lang w:eastAsia="zh-CN"/>
        </w:rPr>
        <w:t>★88.  结算款</w:t>
      </w:r>
      <w:bookmarkEnd w:id="1918"/>
      <w:bookmarkEnd w:id="1919"/>
      <w:bookmarkEnd w:id="1920"/>
      <w:bookmarkEnd w:id="1921"/>
      <w:bookmarkEnd w:id="1922"/>
      <w:bookmarkEnd w:id="1923"/>
      <w:bookmarkEnd w:id="1924"/>
      <w:bookmarkEnd w:id="1925"/>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88.1 提交竣工支付申请</w:t>
      </w:r>
    </w:p>
    <w:p>
      <w:pPr>
        <w:spacing w:line="360" w:lineRule="auto"/>
        <w:ind w:firstLine="840" w:firstLineChars="350"/>
        <w:rPr>
          <w:rFonts w:ascii="仿宋" w:hAnsi="仿宋" w:eastAsia="仿宋"/>
          <w:color w:val="auto"/>
          <w:highlight w:val="none"/>
          <w:lang w:eastAsia="zh-CN"/>
        </w:rPr>
      </w:pPr>
      <w:r>
        <w:rPr>
          <w:rFonts w:hint="eastAsia" w:ascii="仿宋" w:hAnsi="仿宋" w:eastAsia="仿宋" w:cs="仿宋"/>
          <w:color w:val="auto"/>
          <w:highlight w:val="none"/>
          <w:lang w:eastAsia="zh-CN"/>
        </w:rPr>
        <w:t>①竣工支付时限</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按通用条款的约定，在造价咨询人签发竣工结算支付证书后的28天内。</w:t>
      </w:r>
    </w:p>
    <w:p>
      <w:pPr>
        <w:spacing w:line="360" w:lineRule="auto"/>
        <w:ind w:firstLine="1440" w:firstLineChars="6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另有约定：</w:t>
      </w:r>
      <w:r>
        <w:rPr>
          <w:rFonts w:hint="eastAsia" w:ascii="仿宋" w:hAnsi="仿宋" w:eastAsia="仿宋" w:cs="仿宋"/>
          <w:color w:val="auto"/>
          <w:highlight w:val="none"/>
          <w:u w:val="single"/>
          <w:lang w:eastAsia="zh-CN"/>
        </w:rPr>
        <w:t>监理人应在收到承包人提交的竣工付款申请单后的14天内完成复核，在竣工付款申请单上签字，并出具竣工付款证书报送发包人审批。发包人应在收到上述竣工付款证书后的28天内审批，审批通过后28天内支付给承包人。付款涉及政府投资资金的，按照国库集中支付等国家相关规定和专用合同条款的约定执行。</w:t>
      </w:r>
    </w:p>
    <w:p>
      <w:pPr>
        <w:spacing w:line="360" w:lineRule="auto"/>
        <w:ind w:firstLine="840" w:firstLineChars="350"/>
        <w:rPr>
          <w:rFonts w:ascii="仿宋" w:hAnsi="仿宋" w:eastAsia="仿宋"/>
          <w:color w:val="auto"/>
          <w:highlight w:val="none"/>
          <w:lang w:eastAsia="zh-CN"/>
        </w:rPr>
      </w:pPr>
      <w:bookmarkStart w:id="1926" w:name="_Toc25969"/>
      <w:r>
        <w:rPr>
          <w:rFonts w:hint="eastAsia" w:ascii="仿宋" w:hAnsi="仿宋" w:eastAsia="仿宋" w:cs="仿宋"/>
          <w:color w:val="auto"/>
          <w:highlight w:val="none"/>
          <w:lang w:eastAsia="zh-CN"/>
        </w:rPr>
        <w:t>②政府资金投资工程的支付期、支付办法</w:t>
      </w:r>
      <w:bookmarkEnd w:id="1926"/>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按通用条款的约定。</w:t>
      </w:r>
    </w:p>
    <w:p>
      <w:pPr>
        <w:spacing w:line="360" w:lineRule="auto"/>
        <w:ind w:firstLine="1440" w:firstLineChars="600"/>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另有约定：</w:t>
      </w:r>
      <w:r>
        <w:rPr>
          <w:rFonts w:hint="eastAsia" w:ascii="仿宋" w:hAnsi="仿宋" w:eastAsia="仿宋"/>
          <w:color w:val="auto"/>
          <w:highlight w:val="none"/>
          <w:u w:val="single"/>
          <w:lang w:eastAsia="zh-CN"/>
        </w:rPr>
        <w:t>竣工结算的工程量按发、承包双方在合同中约定应予计量且实际完成的工程量确定。</w:t>
      </w:r>
    </w:p>
    <w:p>
      <w:pPr>
        <w:spacing w:line="360" w:lineRule="auto"/>
        <w:ind w:firstLine="1440" w:firstLineChars="600"/>
        <w:rPr>
          <w:rFonts w:ascii="仿宋" w:hAnsi="仿宋" w:eastAsia="仿宋"/>
          <w:color w:val="auto"/>
          <w:highlight w:val="none"/>
          <w:u w:val="single"/>
          <w:lang w:eastAsia="zh-CN"/>
        </w:rPr>
      </w:pPr>
      <w:r>
        <w:rPr>
          <w:rFonts w:hint="eastAsia" w:ascii="仿宋" w:hAnsi="仿宋" w:eastAsia="仿宋"/>
          <w:color w:val="auto"/>
          <w:highlight w:val="none"/>
          <w:u w:val="single"/>
          <w:lang w:eastAsia="zh-CN"/>
        </w:rPr>
        <w:t>待工程完工经联合竣工验收合格，发包人累计支付至合同价的90%，待审定结算造价，承包人不发生合同条款约定的违约情形的，发包人累计支付至评审结算价的97%；剩余结算价的3%作为工程质量保证金，需缺陷责任期期满，认为无质量遗留问题并取得工程缺陷责任期终止证书后一个月内无息返还。</w:t>
      </w:r>
    </w:p>
    <w:p>
      <w:pPr>
        <w:spacing w:line="360" w:lineRule="auto"/>
        <w:ind w:firstLine="720" w:firstLineChars="3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③实施过程结算的，其竣工结算支付方法：</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927" w:name="_Toc10118"/>
      <w:bookmarkStart w:id="1928" w:name="_Toc22525"/>
      <w:bookmarkStart w:id="1929" w:name="_Toc29868"/>
      <w:bookmarkStart w:id="1930" w:name="_Toc29317"/>
      <w:bookmarkStart w:id="1931" w:name="_Toc9445"/>
      <w:bookmarkStart w:id="1932" w:name="_Toc21840"/>
      <w:bookmarkStart w:id="1933" w:name="_Toc11319"/>
      <w:bookmarkStart w:id="1934" w:name="_Toc10733"/>
      <w:r>
        <w:rPr>
          <w:rFonts w:hint="eastAsia" w:ascii="仿宋" w:hAnsi="仿宋" w:eastAsia="仿宋" w:cs="仿宋"/>
          <w:b w:val="0"/>
          <w:bCs w:val="0"/>
          <w:color w:val="auto"/>
          <w:sz w:val="24"/>
          <w:szCs w:val="24"/>
          <w:highlight w:val="none"/>
          <w:lang w:eastAsia="zh-CN"/>
        </w:rPr>
        <w:t>★89.  质量保证金</w:t>
      </w:r>
      <w:bookmarkEnd w:id="1927"/>
      <w:bookmarkEnd w:id="1928"/>
      <w:bookmarkEnd w:id="1929"/>
      <w:bookmarkEnd w:id="1930"/>
      <w:bookmarkEnd w:id="1931"/>
      <w:bookmarkEnd w:id="1932"/>
      <w:bookmarkEnd w:id="1933"/>
      <w:bookmarkEnd w:id="1934"/>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89.2 质量保证金的约定与扣留</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89.2.1质量保证金预留方式</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□由承包人提交质量保证金银行保函；</w:t>
      </w:r>
    </w:p>
    <w:p>
      <w:pPr>
        <w:pStyle w:val="22"/>
        <w:widowControl w:val="0"/>
        <w:adjustRightInd w:val="0"/>
        <w:snapToGrid w:val="0"/>
        <w:spacing w:line="360" w:lineRule="auto"/>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 xml:space="preserve">            □由承包人提交质量保证金担保公司担保；</w:t>
      </w:r>
    </w:p>
    <w:p>
      <w:pPr>
        <w:pStyle w:val="22"/>
        <w:widowControl w:val="0"/>
        <w:adjustRightInd w:val="0"/>
        <w:snapToGrid w:val="0"/>
        <w:spacing w:line="360" w:lineRule="auto"/>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 xml:space="preserve">            □由承包人提交质量保证金保证保险；</w:t>
      </w:r>
    </w:p>
    <w:p>
      <w:pPr>
        <w:spacing w:line="360" w:lineRule="auto"/>
        <w:ind w:left="1680" w:leftChars="600" w:hanging="240" w:hangingChars="1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□由发包人在支付工程进度款或结算款时逐次扣留，直到扣留的质量保证金总额达到</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专用条款约定的金额为止；</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☑由发包人选择在工程竣工结算时一次性扣留相应比例的工程款；</w:t>
      </w:r>
    </w:p>
    <w:p>
      <w:pPr>
        <w:pStyle w:val="22"/>
        <w:widowControl w:val="0"/>
        <w:adjustRightInd w:val="0"/>
        <w:snapToGrid w:val="0"/>
        <w:spacing w:line="360" w:lineRule="auto"/>
        <w:ind w:firstLine="1440" w:firstLineChars="600"/>
        <w:jc w:val="both"/>
        <w:rPr>
          <w:rFonts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□双方约定的其他方式：</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sz w:val="24"/>
          <w:szCs w:val="24"/>
          <w:highlight w:val="none"/>
          <w:lang w:eastAsia="zh-CN"/>
        </w:rPr>
        <w:t>。</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89.2.2质量保证金金额的约定：</w:t>
      </w:r>
    </w:p>
    <w:p>
      <w:pPr>
        <w:spacing w:line="360" w:lineRule="auto"/>
        <w:ind w:left="1634" w:leftChars="576" w:hanging="252" w:hangingChars="105"/>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按通用条款约定为合同价格中建筑安装工程费、设备及工器具购置费（如果有）部分结算总额的3%。</w:t>
      </w:r>
    </w:p>
    <w:p>
      <w:pPr>
        <w:spacing w:line="360" w:lineRule="auto"/>
        <w:ind w:left="1680" w:leftChars="577" w:hanging="295" w:hangingChars="123"/>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□另有约定：</w:t>
      </w:r>
      <w:r>
        <w:rPr>
          <w:rFonts w:hint="eastAsia" w:ascii="仿宋" w:hAnsi="仿宋" w:eastAsia="仿宋" w:cs="仿宋"/>
          <w:color w:val="auto"/>
          <w:highlight w:val="none"/>
          <w:u w:val="single"/>
          <w:lang w:eastAsia="zh-CN"/>
        </w:rPr>
        <w:t xml:space="preserve">  /  </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89.3 质量保证金的返还</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逾期返还质量保证金的计息标准：</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中国人民银行公布的同期贷款利率；</w:t>
      </w:r>
    </w:p>
    <w:p>
      <w:pPr>
        <w:spacing w:line="360" w:lineRule="auto"/>
        <w:ind w:firstLine="600" w:firstLineChars="250"/>
        <w:rPr>
          <w:rFonts w:ascii="仿宋" w:hAnsi="仿宋" w:eastAsia="仿宋" w:cs="仿宋"/>
          <w:color w:val="auto"/>
          <w:highlight w:val="none"/>
          <w:lang w:eastAsia="zh-CN" w:bidi="ar-SA"/>
        </w:rPr>
      </w:pPr>
      <w:r>
        <w:rPr>
          <w:rFonts w:hint="eastAsia" w:ascii="仿宋" w:hAnsi="仿宋" w:eastAsia="仿宋" w:cs="仿宋"/>
          <w:color w:val="auto"/>
          <w:highlight w:val="none"/>
          <w:lang w:eastAsia="zh-CN"/>
        </w:rPr>
        <w:t xml:space="preserve">     □ </w:t>
      </w:r>
      <w:r>
        <w:rPr>
          <w:rFonts w:hint="eastAsia" w:ascii="仿宋" w:hAnsi="仿宋" w:eastAsia="仿宋" w:cs="仿宋"/>
          <w:color w:val="auto"/>
          <w:highlight w:val="none"/>
          <w:lang w:eastAsia="zh-CN" w:bidi="ar-SA"/>
        </w:rPr>
        <w:t>全国银行间同业拆借中心公布的贷款市场报价利率（LPR）；</w:t>
      </w:r>
    </w:p>
    <w:p>
      <w:pPr>
        <w:spacing w:line="360" w:lineRule="auto"/>
        <w:ind w:firstLine="600" w:firstLineChars="250"/>
        <w:rPr>
          <w:rFonts w:ascii="仿宋" w:hAnsi="仿宋" w:eastAsia="仿宋"/>
          <w:color w:val="auto"/>
          <w:highlight w:val="none"/>
          <w:lang w:eastAsia="zh-CN"/>
        </w:rPr>
      </w:pPr>
      <w:r>
        <w:rPr>
          <w:rFonts w:hint="eastAsia" w:ascii="仿宋" w:hAnsi="仿宋" w:eastAsia="仿宋" w:cs="仿宋"/>
          <w:color w:val="auto"/>
          <w:highlight w:val="none"/>
          <w:lang w:eastAsia="zh-CN" w:bidi="ar-SA"/>
        </w:rPr>
        <w:t xml:space="preserve">     </w:t>
      </w:r>
      <w:r>
        <w:rPr>
          <w:rFonts w:hint="eastAsia" w:ascii="仿宋" w:hAnsi="仿宋" w:eastAsia="仿宋" w:cs="仿宋"/>
          <w:color w:val="auto"/>
          <w:highlight w:val="none"/>
          <w:lang w:eastAsia="zh-CN"/>
        </w:rPr>
        <w:t>☑ 另有约定：</w:t>
      </w:r>
      <w:r>
        <w:rPr>
          <w:rFonts w:hint="eastAsia" w:ascii="仿宋" w:hAnsi="仿宋" w:eastAsia="仿宋"/>
          <w:color w:val="auto"/>
          <w:highlight w:val="none"/>
          <w:u w:val="single"/>
          <w:lang w:eastAsia="zh-CN"/>
        </w:rPr>
        <w:t>发包人不进行任何利息支付。</w:t>
      </w:r>
    </w:p>
    <w:p>
      <w:pPr>
        <w:spacing w:line="360" w:lineRule="auto"/>
        <w:ind w:left="1680" w:leftChars="577" w:hanging="295" w:hangingChars="123"/>
        <w:rPr>
          <w:rFonts w:ascii="仿宋" w:hAnsi="仿宋" w:eastAsia="仿宋" w:cs="仿宋"/>
          <w:color w:val="auto"/>
          <w:highlight w:val="none"/>
          <w:u w:val="single"/>
          <w:lang w:eastAsia="zh-CN"/>
        </w:rPr>
      </w:pPr>
    </w:p>
    <w:p>
      <w:pPr>
        <w:pStyle w:val="4"/>
        <w:tabs>
          <w:tab w:val="left" w:pos="420"/>
        </w:tabs>
        <w:spacing w:line="360" w:lineRule="auto"/>
        <w:rPr>
          <w:rFonts w:ascii="仿宋" w:hAnsi="仿宋" w:eastAsia="仿宋" w:cs="仿宋"/>
          <w:color w:val="auto"/>
          <w:sz w:val="24"/>
          <w:szCs w:val="24"/>
          <w:highlight w:val="none"/>
          <w:lang w:eastAsia="zh-CN"/>
        </w:rPr>
      </w:pPr>
      <w:bookmarkStart w:id="1935" w:name="_Toc25679"/>
      <w:bookmarkStart w:id="1936" w:name="_Toc10421"/>
      <w:bookmarkStart w:id="1937" w:name="_Toc24884"/>
      <w:bookmarkStart w:id="1938" w:name="_Toc6757"/>
      <w:bookmarkStart w:id="1939" w:name="_Toc11590"/>
      <w:bookmarkStart w:id="1940" w:name="_Toc367"/>
      <w:bookmarkStart w:id="1941" w:name="_Toc26953"/>
      <w:bookmarkStart w:id="1942" w:name="_Toc25528"/>
      <w:r>
        <w:rPr>
          <w:rFonts w:hint="eastAsia" w:ascii="仿宋" w:hAnsi="仿宋" w:eastAsia="仿宋" w:cs="仿宋"/>
          <w:color w:val="auto"/>
          <w:sz w:val="24"/>
          <w:szCs w:val="24"/>
          <w:highlight w:val="none"/>
          <w:lang w:eastAsia="zh-CN"/>
        </w:rPr>
        <w:t>90.  最终清算款</w:t>
      </w:r>
      <w:bookmarkEnd w:id="1935"/>
      <w:bookmarkEnd w:id="1936"/>
      <w:bookmarkEnd w:id="1937"/>
      <w:bookmarkEnd w:id="1938"/>
      <w:bookmarkEnd w:id="1939"/>
      <w:bookmarkEnd w:id="1940"/>
      <w:bookmarkEnd w:id="1941"/>
      <w:bookmarkEnd w:id="1942"/>
    </w:p>
    <w:p>
      <w:pPr>
        <w:spacing w:line="360" w:lineRule="auto"/>
        <w:ind w:firstLine="600" w:firstLineChars="250"/>
        <w:rPr>
          <w:rFonts w:ascii="仿宋" w:hAnsi="仿宋" w:eastAsia="仿宋" w:cs="仿宋"/>
          <w:color w:val="auto"/>
          <w:highlight w:val="none"/>
          <w:lang w:eastAsia="zh-CN"/>
        </w:rPr>
      </w:pPr>
      <w:bookmarkStart w:id="1943" w:name="_Toc901"/>
      <w:r>
        <w:rPr>
          <w:rFonts w:hint="eastAsia" w:ascii="仿宋" w:hAnsi="仿宋" w:eastAsia="仿宋" w:cs="仿宋"/>
          <w:color w:val="auto"/>
          <w:highlight w:val="none"/>
          <w:lang w:eastAsia="zh-CN"/>
        </w:rPr>
        <w:t>90.1 提交最终清算支付申请</w:t>
      </w:r>
      <w:bookmarkEnd w:id="1943"/>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1、最终清算支付申请</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提交份数：</w:t>
      </w:r>
      <w:r>
        <w:rPr>
          <w:rFonts w:hint="eastAsia" w:ascii="仿宋" w:hAnsi="仿宋" w:eastAsia="仿宋" w:cs="仿宋"/>
          <w:color w:val="auto"/>
          <w:highlight w:val="none"/>
          <w:u w:val="single"/>
          <w:lang w:eastAsia="zh-CN"/>
        </w:rPr>
        <w:t>按发包人要求</w:t>
      </w:r>
      <w:r>
        <w:rPr>
          <w:rFonts w:hint="eastAsia" w:ascii="仿宋" w:hAnsi="仿宋" w:eastAsia="仿宋" w:cs="仿宋"/>
          <w:color w:val="auto"/>
          <w:highlight w:val="none"/>
          <w:lang w:eastAsia="zh-CN"/>
        </w:rPr>
        <w:t>。</w:t>
      </w:r>
    </w:p>
    <w:p>
      <w:pPr>
        <w:spacing w:line="360" w:lineRule="auto"/>
        <w:ind w:firstLine="1440" w:firstLineChars="6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提交期限：</w:t>
      </w:r>
      <w:r>
        <w:rPr>
          <w:rFonts w:hint="eastAsia" w:ascii="仿宋" w:hAnsi="仿宋" w:eastAsia="仿宋" w:cs="仿宋"/>
          <w:color w:val="auto"/>
          <w:highlight w:val="none"/>
          <w:u w:val="single"/>
          <w:lang w:eastAsia="zh-CN"/>
        </w:rPr>
        <w:t>保修期满5年之日起15天内，承包人向发包人提交最终结清申请单（一式5份），并提供相关证明材料。</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2、最终清算支付时限</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按通用条款的约定，在造价咨询人签发最终清算支付证书后的14天内。</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另有约定：</w:t>
      </w:r>
      <w:r>
        <w:rPr>
          <w:rFonts w:hint="eastAsia" w:ascii="仿宋" w:hAnsi="仿宋" w:eastAsia="仿宋"/>
          <w:color w:val="auto"/>
          <w:highlight w:val="none"/>
          <w:u w:val="single"/>
          <w:lang w:eastAsia="zh-CN"/>
        </w:rPr>
        <w:t>按发包人相关支付程序、制度执行。</w:t>
      </w:r>
    </w:p>
    <w:p>
      <w:pPr>
        <w:spacing w:line="360" w:lineRule="auto"/>
        <w:ind w:firstLine="600" w:firstLineChars="250"/>
        <w:rPr>
          <w:rFonts w:ascii="仿宋" w:hAnsi="仿宋" w:eastAsia="仿宋" w:cs="仿宋"/>
          <w:color w:val="auto"/>
          <w:highlight w:val="none"/>
          <w:lang w:eastAsia="zh-CN"/>
        </w:rPr>
      </w:pPr>
      <w:r>
        <w:rPr>
          <w:rFonts w:hint="eastAsia" w:ascii="仿宋" w:hAnsi="仿宋" w:eastAsia="仿宋" w:cs="仿宋"/>
          <w:color w:val="auto"/>
          <w:highlight w:val="none"/>
          <w:lang w:eastAsia="zh-CN"/>
        </w:rPr>
        <w:t>90.2 签发最终清算支付证书</w:t>
      </w:r>
    </w:p>
    <w:p>
      <w:pPr>
        <w:spacing w:line="360" w:lineRule="auto"/>
        <w:ind w:firstLine="1080" w:firstLineChars="450"/>
        <w:rPr>
          <w:rFonts w:ascii="仿宋" w:hAnsi="仿宋" w:eastAsia="仿宋" w:cs="仿宋"/>
          <w:color w:val="auto"/>
          <w:highlight w:val="none"/>
          <w:lang w:eastAsia="zh-CN"/>
        </w:rPr>
      </w:pPr>
      <w:r>
        <w:rPr>
          <w:rFonts w:hint="eastAsia" w:ascii="仿宋" w:hAnsi="仿宋" w:eastAsia="仿宋" w:cs="仿宋"/>
          <w:color w:val="auto"/>
          <w:highlight w:val="none"/>
          <w:lang w:eastAsia="zh-CN"/>
        </w:rPr>
        <w:t>监理人应在收到最终清算支付申请后的14天内予以计量、核实，并将核实结果通知承包人、抄报发包人。发包人应在收到核实结果后的14天内向承包人出具最终清算支付证书。</w:t>
      </w:r>
    </w:p>
    <w:p>
      <w:pPr>
        <w:pStyle w:val="4"/>
        <w:tabs>
          <w:tab w:val="left" w:pos="420"/>
        </w:tabs>
        <w:spacing w:line="360" w:lineRule="auto"/>
        <w:rPr>
          <w:rFonts w:ascii="仿宋" w:hAnsi="仿宋" w:eastAsia="仿宋"/>
          <w:b w:val="0"/>
          <w:bCs w:val="0"/>
          <w:color w:val="auto"/>
          <w:sz w:val="24"/>
          <w:szCs w:val="24"/>
          <w:highlight w:val="none"/>
          <w:lang w:eastAsia="zh-CN"/>
        </w:rPr>
      </w:pPr>
      <w:bookmarkStart w:id="1944" w:name="_Toc28652"/>
      <w:bookmarkStart w:id="1945" w:name="_Toc25003"/>
      <w:bookmarkStart w:id="1946" w:name="_Toc916"/>
      <w:bookmarkStart w:id="1947" w:name="_Toc24287"/>
      <w:bookmarkStart w:id="1948" w:name="_Toc15513"/>
      <w:bookmarkStart w:id="1949" w:name="_Toc20879"/>
      <w:bookmarkStart w:id="1950" w:name="_Toc7516"/>
      <w:bookmarkStart w:id="1951" w:name="_Toc15589"/>
      <w:r>
        <w:rPr>
          <w:rFonts w:hint="eastAsia" w:ascii="仿宋" w:hAnsi="仿宋" w:eastAsia="仿宋" w:cs="仿宋"/>
          <w:b w:val="0"/>
          <w:bCs w:val="0"/>
          <w:color w:val="auto"/>
          <w:sz w:val="24"/>
          <w:szCs w:val="24"/>
          <w:highlight w:val="none"/>
          <w:lang w:eastAsia="zh-CN"/>
        </w:rPr>
        <w:t>91.  合同争议</w:t>
      </w:r>
      <w:bookmarkEnd w:id="1944"/>
      <w:bookmarkEnd w:id="1945"/>
      <w:bookmarkEnd w:id="1946"/>
      <w:bookmarkEnd w:id="1947"/>
      <w:bookmarkEnd w:id="1948"/>
      <w:bookmarkEnd w:id="1949"/>
      <w:bookmarkEnd w:id="1950"/>
      <w:bookmarkEnd w:id="1951"/>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91.4 调解或认定</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争议调解或认定机构：</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按通用条款的约定。</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另有约定：</w:t>
      </w:r>
    </w:p>
    <w:p>
      <w:pPr>
        <w:spacing w:line="360" w:lineRule="auto"/>
        <w:ind w:firstLine="480"/>
        <w:rPr>
          <w:rFonts w:ascii="仿宋" w:hAnsi="仿宋" w:eastAsia="仿宋" w:cs="仿宋"/>
          <w:color w:val="auto"/>
          <w:highlight w:val="none"/>
          <w:u w:val="single"/>
          <w:lang w:eastAsia="zh-CN"/>
        </w:rPr>
      </w:pPr>
      <w:r>
        <w:rPr>
          <w:rFonts w:hint="eastAsia" w:ascii="仿宋" w:hAnsi="仿宋" w:eastAsia="仿宋" w:cs="仿宋"/>
          <w:color w:val="auto"/>
          <w:highlight w:val="none"/>
          <w:u w:val="single"/>
          <w:lang w:eastAsia="zh-CN"/>
        </w:rPr>
        <w:t>因本合同或者履行本合同所产生的争议，由发包人与承包人双方协商解决，经协商达成一致意见的，应签订书面协议；协商不成的，由工程所在地建设行政主管部门调解；调解不成的，提请工程所在地人民法院进行诉讼。</w:t>
      </w:r>
    </w:p>
    <w:p>
      <w:pPr>
        <w:spacing w:line="360" w:lineRule="auto"/>
        <w:ind w:firstLine="480"/>
        <w:rPr>
          <w:rFonts w:ascii="仿宋" w:hAnsi="仿宋" w:eastAsia="仿宋" w:cs="仿宋"/>
          <w:color w:val="auto"/>
          <w:highlight w:val="none"/>
          <w:lang w:eastAsia="zh-CN"/>
        </w:rPr>
      </w:pPr>
      <w:r>
        <w:rPr>
          <w:rFonts w:hint="eastAsia" w:ascii="仿宋" w:hAnsi="仿宋" w:eastAsia="仿宋" w:cs="仿宋"/>
          <w:color w:val="auto"/>
          <w:highlight w:val="none"/>
          <w:u w:val="single"/>
          <w:lang w:eastAsia="zh-CN"/>
        </w:rPr>
        <w:t>承包人无条件承诺：除发包人违约外，争议发生后，承包人必须在做好现场证据保全后继续按照合同要求施工，不得以解决争议为由单方面停工，或者以争议解决需要时日为由拖延施工。否则，发包人有权先行解除与承包人的合同，承包人必须在7天内撤场，逾期撤场按每天5000元支付违约金。承包人的撤场不影响发包人另行解决争议和索赔的权利。</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bookmarkStart w:id="1952" w:name="_Toc27460"/>
      <w:r>
        <w:rPr>
          <w:rFonts w:hint="eastAsia" w:ascii="仿宋" w:hAnsi="仿宋" w:eastAsia="仿宋" w:cs="仿宋"/>
          <w:color w:val="auto"/>
          <w:highlight w:val="none"/>
          <w:lang w:eastAsia="zh-CN"/>
        </w:rPr>
        <w:t>91.6 仲裁或诉讼</w:t>
      </w:r>
      <w:bookmarkEnd w:id="1952"/>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解决争议的方式：</w:t>
      </w:r>
    </w:p>
    <w:p>
      <w:pPr>
        <w:spacing w:line="360" w:lineRule="auto"/>
        <w:rPr>
          <w:rFonts w:ascii="仿宋" w:hAnsi="仿宋" w:eastAsia="仿宋"/>
          <w:color w:val="auto"/>
          <w:highlight w:val="none"/>
          <w:u w:val="single"/>
          <w:lang w:eastAsia="zh-CN"/>
        </w:rPr>
      </w:pPr>
      <w:r>
        <w:rPr>
          <w:rFonts w:hint="eastAsia" w:ascii="仿宋" w:hAnsi="仿宋" w:eastAsia="仿宋" w:cs="仿宋"/>
          <w:color w:val="auto"/>
          <w:highlight w:val="none"/>
          <w:lang w:eastAsia="zh-CN"/>
        </w:rPr>
        <w:t xml:space="preserve">    □ 向约定的仲裁委员会申请仲裁，约定的仲裁委员会为：</w:t>
      </w:r>
      <w:r>
        <w:rPr>
          <w:rFonts w:hint="eastAsia" w:ascii="仿宋" w:hAnsi="仿宋" w:eastAsia="仿宋" w:cs="仿宋"/>
          <w:color w:val="auto"/>
          <w:highlight w:val="none"/>
          <w:u w:val="single"/>
          <w:lang w:eastAsia="zh-CN"/>
        </w:rPr>
        <w:t xml:space="preserve">  </w:t>
      </w:r>
      <w:r>
        <w:rPr>
          <w:rFonts w:hint="eastAsia" w:ascii="仿宋" w:hAnsi="仿宋" w:eastAsia="仿宋"/>
          <w:color w:val="auto"/>
          <w:highlight w:val="none"/>
          <w:u w:val="single"/>
          <w:lang w:eastAsia="zh-CN"/>
        </w:rPr>
        <w:t xml:space="preserve">/  </w:t>
      </w:r>
    </w:p>
    <w:p>
      <w:pPr>
        <w:spacing w:line="360" w:lineRule="auto"/>
        <w:ind w:firstLine="480"/>
        <w:rPr>
          <w:rFonts w:ascii="仿宋" w:hAnsi="仿宋" w:eastAsia="仿宋" w:cs="仿宋"/>
          <w:color w:val="auto"/>
          <w:highlight w:val="none"/>
          <w:lang w:eastAsia="zh-CN"/>
        </w:rPr>
      </w:pPr>
      <w:r>
        <w:rPr>
          <w:rFonts w:hint="eastAsia" w:ascii="仿宋" w:hAnsi="仿宋" w:eastAsia="仿宋" w:cs="仿宋"/>
          <w:color w:val="auto"/>
          <w:highlight w:val="none"/>
          <w:lang w:eastAsia="zh-CN"/>
        </w:rPr>
        <w:t>☑ 向</w:t>
      </w:r>
      <w:r>
        <w:rPr>
          <w:rFonts w:hint="eastAsia" w:ascii="仿宋" w:hAnsi="仿宋" w:eastAsia="仿宋" w:cs="仿宋"/>
          <w:color w:val="auto"/>
          <w:highlight w:val="none"/>
          <w:u w:val="single"/>
          <w:lang w:eastAsia="zh-CN"/>
        </w:rPr>
        <w:t>工程所在地人民法院</w:t>
      </w:r>
      <w:r>
        <w:rPr>
          <w:rFonts w:hint="eastAsia" w:ascii="仿宋" w:hAnsi="仿宋" w:eastAsia="仿宋" w:cs="仿宋"/>
          <w:color w:val="auto"/>
          <w:highlight w:val="none"/>
          <w:lang w:eastAsia="zh-CN"/>
        </w:rPr>
        <w:t>提起诉讼。</w:t>
      </w:r>
    </w:p>
    <w:p>
      <w:pPr>
        <w:pStyle w:val="4"/>
        <w:tabs>
          <w:tab w:val="left" w:pos="360"/>
          <w:tab w:val="left" w:pos="420"/>
        </w:tabs>
        <w:spacing w:line="360" w:lineRule="auto"/>
        <w:rPr>
          <w:rFonts w:ascii="仿宋" w:hAnsi="仿宋" w:eastAsia="仿宋"/>
          <w:b w:val="0"/>
          <w:bCs w:val="0"/>
          <w:color w:val="auto"/>
          <w:sz w:val="24"/>
          <w:szCs w:val="24"/>
          <w:highlight w:val="none"/>
          <w:lang w:eastAsia="zh-CN"/>
        </w:rPr>
      </w:pPr>
      <w:bookmarkStart w:id="1953" w:name="_Toc26674"/>
      <w:bookmarkStart w:id="1954" w:name="_Toc2699"/>
      <w:bookmarkStart w:id="1955" w:name="_Toc7492"/>
      <w:bookmarkStart w:id="1956" w:name="_Toc22455"/>
      <w:bookmarkStart w:id="1957" w:name="_Toc28650"/>
      <w:bookmarkStart w:id="1958" w:name="_Toc9085"/>
      <w:bookmarkStart w:id="1959" w:name="_Toc23087"/>
      <w:bookmarkStart w:id="1960" w:name="_Toc24954"/>
      <w:r>
        <w:rPr>
          <w:rFonts w:hint="eastAsia" w:ascii="仿宋" w:hAnsi="仿宋" w:eastAsia="仿宋" w:cs="仿宋"/>
          <w:b w:val="0"/>
          <w:bCs w:val="0"/>
          <w:color w:val="auto"/>
          <w:sz w:val="24"/>
          <w:szCs w:val="24"/>
          <w:highlight w:val="none"/>
          <w:lang w:eastAsia="zh-CN"/>
        </w:rPr>
        <w:t>92.  合同解除</w:t>
      </w:r>
      <w:bookmarkEnd w:id="1953"/>
      <w:bookmarkEnd w:id="1954"/>
      <w:bookmarkEnd w:id="1955"/>
      <w:bookmarkEnd w:id="1956"/>
      <w:bookmarkEnd w:id="1957"/>
      <w:bookmarkEnd w:id="1958"/>
      <w:bookmarkEnd w:id="1959"/>
      <w:bookmarkEnd w:id="1960"/>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92.3 因承包人的原因解除</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承包人有下列情形之一者，发包人可以解除合同：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（4）承包人拖延完工且能偿付的误期赔偿费最高限额为：</w:t>
      </w:r>
      <w:r>
        <w:rPr>
          <w:rFonts w:hint="eastAsia" w:ascii="仿宋" w:hAnsi="仿宋" w:eastAsia="仿宋" w:cs="仿宋"/>
          <w:color w:val="auto"/>
          <w:highlight w:val="none"/>
          <w:u w:val="single"/>
          <w:lang w:eastAsia="zh-CN"/>
        </w:rPr>
        <w:t>合同金额的5%</w:t>
      </w:r>
      <w:r>
        <w:rPr>
          <w:rFonts w:hint="eastAsia" w:ascii="仿宋" w:hAnsi="仿宋" w:eastAsia="仿宋" w:cs="仿宋"/>
          <w:color w:val="auto"/>
          <w:highlight w:val="none"/>
          <w:lang w:eastAsia="zh-CN"/>
        </w:rPr>
        <w:t>。</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（13）承包人严重违反合同的其他违约行为：见本合同专用条款具体约定内容。</w:t>
      </w:r>
    </w:p>
    <w:p>
      <w:pPr>
        <w:widowControl w:val="0"/>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92.4  发包人有下列情形之一者，承包人可以解除合同：</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（9）发包人严重违反合同的其他违约行为：见本合同专用条款具体约定内容。</w:t>
      </w:r>
    </w:p>
    <w:p>
      <w:pPr>
        <w:pStyle w:val="4"/>
        <w:tabs>
          <w:tab w:val="left" w:pos="360"/>
          <w:tab w:val="left" w:pos="420"/>
        </w:tabs>
        <w:spacing w:line="360" w:lineRule="auto"/>
        <w:rPr>
          <w:rFonts w:ascii="仿宋" w:hAnsi="仿宋" w:eastAsia="仿宋" w:cs="仿宋"/>
          <w:b w:val="0"/>
          <w:bCs w:val="0"/>
          <w:color w:val="auto"/>
          <w:sz w:val="24"/>
          <w:szCs w:val="24"/>
          <w:highlight w:val="none"/>
          <w:lang w:eastAsia="zh-CN"/>
        </w:rPr>
      </w:pPr>
      <w:bookmarkStart w:id="1961" w:name="_Toc20413"/>
      <w:bookmarkStart w:id="1962" w:name="_Toc25518"/>
      <w:bookmarkStart w:id="1963" w:name="_Toc23041"/>
      <w:bookmarkStart w:id="1964" w:name="_Toc30791"/>
      <w:bookmarkStart w:id="1965" w:name="_Toc30990"/>
      <w:bookmarkStart w:id="1966" w:name="_Toc17804"/>
      <w:bookmarkStart w:id="1967" w:name="_Toc28166"/>
      <w:bookmarkStart w:id="1968" w:name="_Toc7779"/>
      <w:r>
        <w:rPr>
          <w:rFonts w:hint="eastAsia" w:ascii="仿宋" w:hAnsi="仿宋" w:eastAsia="仿宋" w:cs="仿宋"/>
          <w:bCs w:val="0"/>
          <w:color w:val="auto"/>
          <w:sz w:val="24"/>
          <w:szCs w:val="24"/>
          <w:highlight w:val="none"/>
          <w:lang w:eastAsia="zh-CN"/>
        </w:rPr>
        <w:t>★95</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 w:val="0"/>
          <w:bCs w:val="0"/>
          <w:color w:val="auto"/>
          <w:sz w:val="24"/>
          <w:szCs w:val="24"/>
          <w:highlight w:val="none"/>
          <w:lang w:eastAsia="zh-CN"/>
        </w:rPr>
        <w:t>承包人违约</w:t>
      </w:r>
      <w:bookmarkEnd w:id="1961"/>
      <w:bookmarkEnd w:id="1962"/>
      <w:bookmarkEnd w:id="1963"/>
      <w:bookmarkEnd w:id="1964"/>
      <w:bookmarkEnd w:id="1965"/>
      <w:bookmarkEnd w:id="1966"/>
      <w:bookmarkEnd w:id="1967"/>
      <w:bookmarkEnd w:id="1968"/>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95.1 承包人违约的情形</w:t>
      </w:r>
    </w:p>
    <w:p>
      <w:pPr>
        <w:pStyle w:val="142"/>
        <w:spacing w:line="360" w:lineRule="auto"/>
        <w:ind w:firstLine="482" w:firstLineChars="200"/>
        <w:jc w:val="left"/>
        <w:rPr>
          <w:rFonts w:ascii="仿宋" w:hAnsi="仿宋" w:eastAsia="仿宋"/>
          <w:b w:val="0"/>
          <w:bCs/>
          <w:color w:val="auto"/>
          <w:szCs w:val="24"/>
          <w:highlight w:val="none"/>
          <w:lang w:eastAsia="zh-CN"/>
        </w:rPr>
      </w:pPr>
      <w:r>
        <w:rPr>
          <w:rFonts w:hint="eastAsia" w:ascii="仿宋" w:hAnsi="仿宋" w:eastAsia="仿宋"/>
          <w:color w:val="auto"/>
          <w:highlight w:val="none"/>
          <w:lang w:eastAsia="zh-CN"/>
        </w:rPr>
        <w:t>1、</w:t>
      </w:r>
      <w:r>
        <w:rPr>
          <w:rFonts w:hint="eastAsia" w:ascii="仿宋" w:hAnsi="仿宋" w:eastAsia="仿宋"/>
          <w:b w:val="0"/>
          <w:bCs/>
          <w:color w:val="auto"/>
          <w:szCs w:val="24"/>
          <w:highlight w:val="none"/>
          <w:lang w:eastAsia="zh-CN"/>
        </w:rPr>
        <w:t>设计违约</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1.1 发包人违约：</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（1）发包人违约给承包人造成损失的，在承包人能够提交足够证据并经查证属实的情况下，发包人应赔偿其直接经济损失。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1.2 承包人违约：</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若承包人有需要向发包人返还费用、赔偿和/或支付违约金的，发包人有权从应付款项中直接扣除对应损失金额。若不足抵付发包人损失的,承包人还应负责赔偿。</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（1）承包人承担违约责任的方式包括但不限于：</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① 一般违约责任。承包人违反本合同关于设计的专用条款的约定须承担一般违约责任时，除本合同另有约定外，必须向发包人支付违约金1万元/次。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承包人违反本合同关于设计的专用条款的约定须承担一般违约责任时：</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一般违约责任除了本合同关于勘察设计的专用条款的约定再增加：</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1）项目负责人或专业负责人未按发包人要求出席会议（提前24小时通知；以书面会议通知或短信或微信方式通知）。必须向发包人支付违约金1万元/次。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2）未经发包人书面同意，合格成果文件提交时间超出合同约定、会议纪要规定或发包人要求提交的时间。必须向发包人支付违约金1万元/次。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3）因设计原因造成相关报建资料被规划、建设等主管部门退回累计达到1次。必须向发包人支付违约金1万元/次。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4）因自身投资控制不力，提交的初步设计概算经第三方造价咨询单位审核后超出中标价。必须向发包人支付违约金20万元/次。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5）第三方造价咨询单位编制或审核的施工图预算，因施工图原因造成无法确认的造价与经发包人批复的初步设计概算建安工程费相比大于3%。必须向发包人支付违约金20万元/次。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6）无正当理由且未经发包人书面同意，采用非标准材料或设备（指在省、市造价管理部门公布的材料设备价格库中无法查询到的尺寸、规格等，而技术上完全可以被上述价格库中同类材料设备替代的情形），出现一项非标材料或设备按一次一般违约责任计。必须向发包人支付违约金5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② 严重违约责任。承包人违反本合同关于设计的专用条款的约定须承担严重违约责任时，除本合同另有约定外，必须向发包人支付违约金10万元/次。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严重违约责任除了本合同关于勘察设计的专用条款的约定再增加：</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1）经发包人审核的初步设计概算超出中标价，必须向发包人支付违约金20万元/次。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2）因设计原因造成相关报建资料被规划、建设等主管部门退回累计达到3次或以上。必须向发包人支付违约金5万元/次。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3）无正当理由且未经发包人书面同意，擅自改变发改、规划、国土等行政审批部门批准的建设地点、规模、内容、标准等指标及要求。必须向发包人支付违约金10万元/次。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4）未经发包人书面同意，合格成果文件提交时间超出合同约定、会议纪要规定或发包人要求提交的时间3天以上。必须向发包人支付违约金5万元/次。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5）第三方造价咨询单位编制或审核的施工图预算，经发包人书面确认，超出经发包人批复的初步设计概算建安工程费。必须向发包人支付违约金20万元/次。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6）第三方造价咨询单位编制或审核的施工图预算，因施工图原因造成无法确认的造价与经发包人批复的初步设计概算建安工程费相比大于5%。必须向发包人支付违约金10万元/次。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③ 赔偿损失。因承包人原因造成发包人经济损失的，承包人除负责采取补救措施外，应退还损失部分的设计费，并按照承包人在事故中的责任比例向发包人赔偿实际损失。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④ 部分解除合同。当承包人违反本合同关于设计的专用条款的约定达到部分解除合同的条件时，发包人有权向承包人发出书面部分解除合同的通知，该通知在送达承包人时即生效。承包人应在该通知生效之日起5天内向发包人支付本合同设计费5%的违约金，违约金不足以弥补发包人全部损失的，承包人还应予以赔偿。同时，承包人必须在通知生效之日起3天内停止被解除部分的工作，通知生效之日起5天内配合发包人完成现场工作和有关资料的交接，所交接资料必须完整且满足发包人要求。承包人无特殊原因未在规定期限内完成交接和离场，或交接资料不完整或不满足发包人要求的，发包人有权视情况主张全部解除合同。若因承包人拒交或延误交接现场工作和有关资料而引致发包人工期延误及其它方面的损失，承包人必须按发包人的要求赔偿。</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⑤ 解除合同。当承包人违反本合同关于设计的专用条款的约定符合解除合同的条件时，发包人有权向承包人发出书面解除合同的通知，该通知在送达承包人时即生效。给发包人造成损失的，承包人应赔偿发包人的全部损失。同时，承包人必须在通知生效之日起3天内停止全部工作，通知生效之日起5天内配合发包人完成现场工作和有关资料的交接，并于完成交接工作当天内离场。承包人应保证所移交的资料齐全完整且满足发包人要求，承包人未在规定期限内完成交接和离场或所移交的资料不完整的，引致发包人工期延误和其它方面的损失，发包人有权要求承包人赔偿。</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⑥ 承包人按本合同关于设计的专用条款约定应支付的违约金和赔偿金应分别计算。违约金累计总额不超过本合同设计费的30%，如违约金不足以弥补给发包人造成的损失的，承包人应赔偿发包人的损失。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（2）在本合同有效期内，承包人承担一般违约责任累计达3次的，另行追加严重违约责任1次；累计承担严重违约责任达3次的，发包人有权单方面部分解除合同或解除合同。</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3）承包人违约需向发包人支付违约金、赔偿金时，按本合同条款约定的索赔方式执行。必要时，发包人有权书面通知承包人支付。承包人必须在发包人规定的时间内主动支付；逾期支付的，发包人有权按逾期天数每天加收逾期支付金额2‰的逾期违约金。</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4）本合同解除后，承包人已经完成的设计成果文件全部归发包人所有，发包人有权与其他设计人签订设计协议，其他设计人有权在承包人已经完成的设计成果文件的基础上继续设计，承包人不得有异议，并不得向发包人或者其他设计人索取任何报酬。</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（5）设计管理、服务方面的违约责任</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①承包人在履行合同过程中贿赂发包人人员的，视为不正当竞争并承担严重违约责任1次。情节特别严重的，发包人有权单方面解除合同。涉嫌犯罪的，移交司法部门处理。</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②承包人单方面终止或解除本合同的，应依照第1.2款第（1）项第⑤点的所约定的标准向发包人赔偿损失。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③当承包人未能按本合同设计专用条款约定投入人员或投入人员没有按时到位时，若为一般设计人员的，每出现1人次，承包人承担一般违约责任1次；如为设计专业负责人员的，每出现1人次，承包人承担严重违约责任1次。承包人要求更换人员的，按条款下列第1.2款第（5）项第⑥点的约定执行。承包人在发包人规定的宽限期内仍未将人员投入到位的，发包人有权另请他人接替其工作，另请他人的费用从应支付给承包人的设计费中扣减，承包人不得提出任何异议。</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④承包人纳入发包人统一管理的设计服务人员（含现场服务人员）不遵守发包人管理制度或者工作不称职的，必须在发包人规定的时间内予以更换。到期不更换的，视为承包人未能按合同约定投入人员，参照第1.2款第（5）项第③点的约定执行。</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⑤根据发包人需求投入的为本合同工程服务的承包人驻场设计人员未按要求进行驻场服务，视为承包人未能按合同约定投入人员，参照第1.2款第（5）项第③点的约定执行。</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⑥在本合同履行期内承包人要求更换人员的，按以下约定处理：</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Ⅰ、未经发包人书面同意的，更换一般设计人员须向发包人支付违约金5万元/人次；更换专业设计负责人须向发包人支付违约金15万元/人次；更换项目设计负责人、设计承包管理负责人或者驻场设计代表负责人须向发包人支付违约金25万元/人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Ⅱ、因不可抗力事件（如重病、重伤、失踪、死亡等）造成设计人员岗位空缺的，承包人必须在出现空缺之日起5日内按照本合同相关约定的标准予以补充，但无须向发包人支付违约金。逾期未予补充或补充人员不符合本合同相关约定标准的，视作承包人未能按照合同约定投入设计人员，参照第1.2款第（5）项第③点约定执行。</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Ⅲ、发包人要求承包人以实际工作能力较高的人员调换实际工作能力较低的现场人员，或者承包人主动要求以实际工作能力较高的人员调换实际工作能力较低的现场人员并经发包人批准且经实践证实的，承包人可不承担违约责任。</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⑦承包人应支持、服从发包人的管理工作，对发包人的指令和书面通知，若无正当理由又未提前报告、得到认可，而公开或变相拒不执行的，第一次承担一般违约责任1次；第二次及以后，每发生一次承担严重违约1次，情节特别严重的，发包人有权部分解除合同或解除合同。给发包人造成损失的，承包人应赔偿发包人的全部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⑧承包人未遵守发包人所制订的各项制度、规定的，由承包人按所触犯制度、规定的有关规定承担责任。所触犯制度、规定没有明确规定的，视作不服从发包人的管理工作，参照第22.1.2款第（5）项第⑦点的约定处理。</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⑨承包人未按合同约定做好设计承包管理或配合协调工作，经施工图审查单位或发包人发出限期改正通知后3天内，承包人仍未能整改至令施工图审查单位或发包人满意的，视作不服从发包人的管理工作，参照第1.2款第（5）项第⑦点的约定处理。</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⑩对于发包人通知承包人（包括承包人分包单位）参加的现场问题处理会议、工程验收会议等会议，被通知人员缺席的，每缺席一人次承包人承担1次一般违约责任。</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⑪承包人未能按合同约定投入足够的人员、设备、设施满足发包人的信息化管理要求的，视作不服从发包人的管理工作，参照第1.2款第（5）项第⑦点的约定执行。</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⑫承包人违反本合同设计专用条款第5条约定，每违反1次，应承担一般违约责任1次；未在发包人限定期限内改正的，发包人还有权暂停支付设计费。</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⑬因承包人未按时按质地提供本合同设计专用条款约定的各项设计服务，导致本合同工程建安费用增加的，承包人按以下公式计算向发包人支付的违约金：</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违约金=A×（B/C）×2</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其中：A-实际增加的建安工程费；</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B-本合同设计收费（包括工程设计费及其它设计收费）总额；</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C-本合同工程审定工程设计概算建安工程费总额。</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1.3勘察、设计成果文件方面的违约责任</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（1）本项目不含勘察。</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2）承包人未能按本合同约定的时间或发包人审核同意的设计进度各类计划要求各阶段提交的设计成果文件的。如果延误工期，承包人向发包人支付的误期违约金每天为设计费的1%；误期违约金的最高限额为最终设计合同价格的50%。</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3）本合同履行期间，承包人的设计质量不符合合同约定或设计成果文件出现遗漏、错误的，承包人应在发包人规定的限期内对设计成果文件及时进行补充、修改、完善；因此造成设计成果文件逾期交付的，按本条第1.3款第（1）项的约定处理。除误期损失外，造成发包人材料、设备等其他损失的，承包人应继续赔偿。</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（4）承包人提交的设计成果文件如有违反国家相关强制性规定的，经政府有关部门确认，每发生1例，承担严重违约责任1次。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5）如经过发包人、施工图审查单位或发包人委托的第三方对设计变更的审核，发现承包人违反合同约定对设计变更随意进行合并、分拆的，第一次时，承包人承担一般违约责任1次；第二次及以后，每违反一次，承包人承担严重违约责任1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6）如承包人的设计成果文件中含有明显倾向于某一专门厂商生产的设备、材料的描述，或在其设计成果文件中选用了具有专一性、排他性的材料、设备而又未事先向发包人书面报告并详细说明理由的，每违反一次，承包人承担严重违约责任1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7）因承包人原因造成设计变更并引起工程费用增加的，承包人应负责修改设计，保证工程总投资在投资控制指标内；造成实际发生的建安工程费增加的，参照1.2条第（5）项第⑬点约定的计算方法确定违约金；给发包人造成损失的，承包人应赔偿发包人的全部损失。因施工原因造成的设计变更及因本合同所述的因新规范、新标准及新规定所引起的设计变更除外。</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8）经发包人认可的本合同工程施工承包人或其委托的具有施工图审查能力的单位审查，并经发包人或发包人委托的第三方确认，承包人的施工图设计成果文件中存在违反国家相关强制性规定的，参照第1.3条第（4）项的相关约定执行。</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（9）如果由于承包人原因造成发包人在测量、测绘及后续工作中产生损失，则承包人对此承担全部责任及连带责任，如需复测等相关费用及连带责任损失均由承包人承担赔偿。</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1.4 投资控制方面的违约责任</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承包人未经发包人书面同意突破合同约定的投资控制要求的，承包人承担严重违约责任1次；承包人应负责修改设计，保证工程总投资控制在合同约定的投资控制要求内；如最终因此造成实际发生的建安工程费增加的，参照第1.2条第（5）项第⑬点约定的计算方法确定违约金；违约金不足以弥补发包人损失的，承包人应继续赔偿。</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（2）承包人对承包人分包单位的投资控制方面的违约相应承担连带责任，相关违约责任参照本条款第1.4条第（1）项的相关约定执行。</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3）如因承包人提供的初步设计成果文件深度不够等原因导致发包人另外发包的专项施工图设计无法满足投资控制的要求，承包人应及时完善、修改相关的设计成果文件；造成实际发生的建安工程费增加的，参照第1.2条第（5）项第⑬点约定的计算方法确定违约金；给发包人造成损失的，承包人应赔偿发包人的全部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4）因承包人对设计变更随意进行合并、分拆导致本合同工程投资失控，造成实际发生的建安工程费增加的，参照第1.2条第（5）项第⑬点约定的计算方法确定违约金；给发包人造成损失的，承包人应赔偿发包人的全部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5）由承包人编制工程概算（建安费）的，如果在本项目施工阶段，因工程概算（建安费）不准确的原因需要调整概算（建安费）的，承包人除必须限期修改外，每出现一次，承包人必须承担严重违约责任一次。</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1.5设计分包、转包、违法分包方面的违约责任</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（1）承包人不按合同约定进行设计分包管理的，视同不服从发包人管理，应按第1.2条第（5）项第⑦点约定承担违约责任；同时发包人有权暂停支付本合同工程设计进度款，直到承包人完成相关工作为止。</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（2）承包人转包本合同设计，或者违反法律法规及本合同约定分包本合同设计的，发包人有权单方面部分解除合同或解除合同，并由承包人承担由此产生的一切责任及损失。</w:t>
      </w:r>
    </w:p>
    <w:p>
      <w:pPr>
        <w:pStyle w:val="142"/>
        <w:spacing w:line="360" w:lineRule="auto"/>
        <w:ind w:firstLine="480" w:firstLineChars="200"/>
        <w:jc w:val="left"/>
        <w:rPr>
          <w:rFonts w:ascii="仿宋" w:hAnsi="仿宋" w:eastAsia="仿宋"/>
          <w:b w:val="0"/>
          <w:bCs/>
          <w:color w:val="auto"/>
          <w:szCs w:val="24"/>
          <w:highlight w:val="none"/>
          <w:lang w:eastAsia="zh-CN"/>
        </w:rPr>
      </w:pPr>
      <w:r>
        <w:rPr>
          <w:rFonts w:hint="eastAsia" w:ascii="仿宋" w:hAnsi="仿宋" w:eastAsia="仿宋"/>
          <w:b w:val="0"/>
          <w:bCs/>
          <w:color w:val="auto"/>
          <w:szCs w:val="24"/>
          <w:highlight w:val="none"/>
          <w:lang w:eastAsia="zh-CN"/>
        </w:rPr>
        <w:t>1.6除上述约定之外，承包人不履行或不完全履行合同其他义务的，均构成违约，应当承担一般违约责任1次。情节较重的，应当承担严重违约责任1次。</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2、施工违约</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若承包人有需要向发包人返还费用、赔偿和/或支付违约金的，发包人有权从应付款项中直接扣除对应损失金额。若不足抵付发包人损失的,承包人还应负责赔偿。</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2.1发包人违约。</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①因发包人原因给承包人造成损失的，在承包人提交足够证据并经查证属实的情况下，发包人赔偿其直接经济损失。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②因发包人未按合同约定支付工程款达三个月的，承包人有权停工，发包人应承担违约责任，违约金按照应付未付金额*同期银行贷款利率*违约时间计算，同时，承包人保留索赔的权利。</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2.2承包人承担违约责任的方式包括但不限于：</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书面警告。承包人不履行或不完全履行合同或不执行总监理工程师或发包人（含主管人员）的指令时，发包人有权向承包人发出书面警告。承包人必须在书面警告限定的时间内履行义务或执行指令，否则应承担1次一般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②一般违约责任。承包人违反本合同的约定须承担一般违约责任时，必须向发包人支付违约金10000元/次。</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③严重违约责任。承包人违反本合同的约定须承担严重违约责任时，必须向发包人支付违约金50000元/次。</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部分解除合同。当承包人违反本合同的约定符合部分解除合同的条件时，发包人有权向承包人发出书面部分解除合同的通知，该通知在送达承包人时即生效。发包人有权从本合同价款中直接扣除被解除部分工程所需的全部费用，同时，承包人应在部分解除合同之日起七日内向发包人支付被解除部分工程合同价款5%的违约金并赔偿发包人的实际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⑤解除合同。当承包人违反本合同的约定符合解除合同的条件时，发包人有权向承包人发出书面解除合同的通知，该通知在送达承包人时即生效，承包人应在解除合同之日起七日内向发包人支付项目施工图预算金额的5%的违约金并赔偿发包人的实际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⑥赔偿损失。因承包人原因造成发包人经济损失的，承包人应赔偿发包人的全部直接和间接经济损失。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⑦完全由专业承包人和专业分包人造成违约，也不免除承包人的违约责任。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承包人按本合同约定应支付的违约金和赔偿金应分别计算。</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2.3在本合同有效期内，累计三次书面警告另追加一次一般违约责任；累计三次一般违约责任另追加一次严重违约责任；累计三次严重违约责任，发包人有权单方面部分或全部解除合同。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2.4必要时，发包人有权书面通知承包人支付，承包人必须在发包人规定的时间内主动支付，否则，发包人有权按应支付金额每天加收2‰滞纳金。</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2.5工程组织管理方面的违约责任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承包人不服从发包人及监理单位的管理，对发包人、监理单位的指令和书面通知公开或变相拒不执行的，发包人视情节严重程度有权要求其发生一次承担1次一般违约责任或者1次严重违约责任，并由承包人承担由此造成的一切经济损失。情节较轻的，可给予书面警告；情节特别严重的，发包人有权单方面部分解除合同或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②承包人不遵守发包人所制订的各项制度、规定的，由承包人按所触犯制度、规定的有关规定承担违约责任。若对于所触犯制度、规定的责任无明确规定的，按本合同专用条款约定处理。</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承包人不按约定投入技术管理人员、施工作业人员、施工机械设备，或者擅自变更资源投入计划或者擅自对已投入的资源进行调整的（即使征得发包人同意更换的，承包人仍应承担违反投标承诺的违约责任），承包人必须按照总监理工程师或者发包人的指令限期改正；承包人拒不限期改正的，发包人有权要求其发生一次承担1次严重违约责任。情节较轻的，可给予书面警告；情节特别严重的（指同一事件连续3次发出书面警告），发包人有权单方面部分解除合同或解除合同。现场管理机构各部主要技术管理人员的实际工作能力和工作效果达不到招标文件的明确要求或投标文件的承诺，或其工作态度存在严重不足，不适应现场工作需要的，发包人向承包人提出撤换，所调换来人员的资质、资历、学历、职称、业绩、实际工作能力不得低于原投标文件中所承诺人员的素质；发包人要求承包人撤换不合格人员，如承包人既不立即撤换，也不及时提出整改意见，则视同拒绝执行发包人的指令，发包人有权要求其发生一次承担1次严重违约责任。情节较轻的，可给予书面警告；情节特别严重的（指同一事件连续3次发出书面警告），发包人有权单方面部分解除合同或解除合同。发包人要求承包人以实际工作能力较高的人员调换实际工作能力较低的现场人员，或者承包人主动要求以实际工作能力较高的人员调换实际工作能力较低的现场人员，不免除承包人需承担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④经发包人或监理单位抽查发现承包人其技术管理人员或施工作业人员没有按要求佩带相关身份卡的，由承包人按每人次500元的标准向发包人支付违约金并立即改正。</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⑤承包人的项目负责人、技术负责人等主要技术管理人员必须参加监理单位或发包人主持的工程例会和其他要求的专题会议，除获得监理单位或发包人批准外，每缺席1人次，承包人须承担1次一般违约责任。情节较轻的，可给予书面警告；承包人的项目负责人及专业负责人需按发包人要求驻场，若发包人在检查的过程中发现项目负责人或其技术负责人不在场，1次则给予书面警告，连续2次（含2次）以上或一个月发现3次（含3次）以上，则每一次都按一般违约责任处理。</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⑥承包人不按本合同规定做好施工总承包管理或配合工作，经总监理工程师或发包人发出限期改正通知后3天内，承包人仍未能整改至令总监理工程师或发包人满意的，发包人视情节严重程度有权要求其承担1次一般违约责任或者1次严重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⑦除发包人未按合同约定支付工程款的，由于承包人或其管理的分包单位、劳务合作单位拖欠民工工资，致使发包人被投诉或起诉并被判令先行垫付民工工资的，发包人除追究承包人和其它相关责任单位的违约责任外，还将在工程结算时双倍扣回发包人先行垫付的民工工资金额作为补偿。</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⑧承包人不按合同约定或发包人要求提交竣工资料的，每发生一次，承担一次一般违约责任。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⑨承包人单方面擅自终止或解除本合同的，应向发包人支付违约金及赔偿损失。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⑩发包人及监理单位将不定期抽查承包人及其所管辖的专业承包单位和分包单位实行平安卡管理制度的情况，如发现违反本合同有关约定的，由承包人按相关条款的约定承担违约责任。如发现有冒名顶替或人不到场而代为刷卡等弄虚作假现象的，由承包人按相关条款的约定承担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⑪承包人必须向本项目的所有施工人员购买意外伤害保险。对于承包人或其分包人所雇用的工人出现的伤亡事故或损失，应由承包人自行负责（但由于发包人或监理单位的行为失误所造成的除外）。对于这类伤亡或损失，发包人不负责任，不负担涉及这类伤亡或损失的索赔、诉讼、损害赔偿及其他费用。对分包单位出现的工人意外事故或伤害，由于分包单位原因造成的，承包人需承担连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负责本项目施工的整体管理，包括对发包人单独发包的专业分包单位的管理，如承包人管理不善或不配合发包人单独发包的专业分包单位而对本工程造成不利影响的，包括但不限于环境污染、工期延误、违规（额外）收费、文明施工混乱、劳资纠纷、质量缺陷等，每发现一次，承包人向发包人支付违约金50000元/次。</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2.6工期延误方面的违约责任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①承包人违反合同协议书约定延期开工的，每迟延开工1天，应向发包人支付3000元的违约金；迟延开工超过28天的，发包人有权单方面解除合同。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②承包人违反合同条款第12条规定单方面停工的，每停工1天，应向发包人支付3000元的违约金；连续停工超过10天或累计停工超过28天的，发包人有权单方面解除合同。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承包人违反合同条款第40条约定，延期交付施工组织设计，延期3天以内的（含3天），发包人给予书面警告；延期4～7天的，承包人应承担1次一般违约责任；延期8～10天的，承包人应承担1次严重违约责任；延期11天以上的（含11天），发包人有权单方面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承包人违反合同条款第43.1条约定造成本合同工程工期延误，延期1～15天的，每天由承包人向发包人支付违约金5万元；延期15～30天的，每天由承包人向发包人支付违约金10万元；延期30天以上的，除要求支付违约金外，发包人有权单方面解除合同。若最终竣工日期未延误，则本条款工期延误违约金免除。</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⑤因发包人与承包人在《</w:t>
      </w:r>
      <w:r>
        <w:rPr>
          <w:rFonts w:hint="eastAsia" w:ascii="仿宋" w:hAnsi="仿宋" w:eastAsia="仿宋" w:cs="仿宋"/>
          <w:color w:val="auto"/>
          <w:highlight w:val="none"/>
          <w:lang w:eastAsia="zh"/>
        </w:rPr>
        <w:t>先进制造产业园A1地块分地块五、六建设项目</w:t>
      </w:r>
      <w:r>
        <w:rPr>
          <w:rFonts w:hint="eastAsia" w:ascii="仿宋" w:hAnsi="仿宋" w:eastAsia="仿宋" w:cs="仿宋"/>
          <w:color w:val="auto"/>
          <w:highlight w:val="none"/>
          <w:lang w:eastAsia="zh-CN"/>
        </w:rPr>
        <w:t>勘察设计施工总承包及运营项目运营服务合同书》中已明确约定不能按期交付物业的违约责任，承包人对该约定内容已完全知晓并理解，如因承包人延期竣工原因导致发包人不能按期交付物业进而须承担违约责任的，发包人有权要求承包人据实赔偿由此给发包人造成的全部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2.7材料设备管理及工程质量方面的违约责任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发包人（包括发包人委托的材料设备检验机构）或总监理工程师抽查承包人的工程材料设备，发现所检查的材料与合同约定标准的任何一项不符合时，承包人除必须全部退货、返工，并赔偿发包人由此遭受的实际损失外，还应当按照该批次材料的价值，按照如下约定承担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A、对于单宗或批次材料价值不高于10万元的（含10万元），但累计抽检不合格达3次，承包人承担1次一般违约责任。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B、单宗或批次材料价值在10万元以上100万元以下（含100万元），承包人承担1次一般违约责任。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C、单宗或批次材料价值100-200万元（含200万元），承包人承担1次严重违约责任。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D、单宗或批次材料价值在200万元以上的，承包人承担违约金10万元。</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承包人必须保证用于本合同工程所有的材料设备的品牌、型号、规格、质量等符合本合同及招投标文件的要求，严禁假冒伪劣产品，严禁以次充好，严禁未经发包人批准即以其他产品（包括承包人的产品）顶替本合同及招投标文件中规定的产品。如发生上述情况，承包人必须无条件在发包人限定的时间内全部更换为符合要求的产品，因此给发包人造成实际损失的，由承包人负责赔偿，并承担相应违约责任；同时，发包人有权将承包人的上述行为通过媒体公开披露，并移送有关主管部门依法处理。如因此致使发包人需要另行采购符合本合同及招投标文件要求的货物的，由承包人按另行采购的货物总价款的两倍向发包人支付违约金。</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承包人不按合同专用条款约定对用于本合同工程的材料设备进行管理的，视同不服从发包人及监理单位管理，应视情节严重程度，按本条款的约定承担违约责任；同时发包人有权暂停支付本合同工程进度款，直到承包人完成相关工作为止。</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承包人必须对各工序报验核查质量控制点。承包人申请报验后，经总监理工程师或发包人检查发现存在较大质量问题（存在质量问题的部分超过检查部分工程的10%），则该工序质量为不合格，承包人必须对不合格部分进行返工，返工后经检查合格才准进入下一工序，工期不予顺延。复检的结果，按每一分项工程计算，总计发现3次或连续发现2次质量控制点不合格的，承包人承担1次一般违约责任；总计发现3次以上（不含本数）或连续发现2次以上（不含本数）质量控制点不合格的，承包人承担1次严重违约责任；承包人采取整改措施后效果仍不明显的，发包人有权部分解除合同，将该分项工程另行发包，且不免除承包人应承担的违约赔偿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⑤工程竣工验收不符合国家强制性标准及规范要求，承包人除应向发包人支付所在工程总造价5%的违约金并无偿采取补救措施及赔偿发包人的实际损失外，还应承担由此引起的一切责任。承包人不能在发包人要求期限内整改至符合约定标准的，发包人有权单方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⑥工程质量未达到本合同协议书约定质量标准的，承包人向发包人支付单位工程审定结算总价2％的违约金，并按发包人要求期限整改至约定质量标准，承包人不能在发包人要求期限内整改至符合约定标准的，发包人有权单方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⑦在本合同工程质量保修期内发现有重大质量不合格问题的（该重大质量问题应界定为达不到要求的质量标准，属质量保修的问题除外），承包人必须在规定的期限内返工达到合同约定的质量等级并赔偿由此给发包人造成的损失，同时按该不合格项目所处分项工程总造价的5%向发包人支付违约金。承包人不能在发包人要求期限内整改至符合约定标准的，发包人有权委托其他单位实施，费用由承包人承担。</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2.8安全生产方面的违约责任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承包人在政府行政主管部门组织的安全生产检查中，被发现存在严重的安全隐患，被通报批评，或被新闻媒体曝光造成不良影响的，被通报或被曝光1次，承包人必须承担1次严重违约责任；造成严重社会影响或累计被通报或被曝光3次以上（含本数）的，发包人有权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承包人在发包人、总监理工程师进行的日常安全生产检查中，被发现存在安全隐患的，承包人应限期改正。若同样问题被发现2次或累计类似问题被发现3次的，承包人必须承担1次一般违约责任。此类问题的认定，以发包人、总监理工程师书面通知、指令、通报或会议纪要为准。</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③承包人因自身原因造成安全事故（含工程质量事故）的，除按国家规定由主管部门处罚外，承包人需承担违约处罚。发生安全事故，发包人每一次给予承包人一次严重违约处罚，直至部分或全部解除合同。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④发生事故的：</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A、发生特别重大事故，如造成人员死亡的，承包人须向发包人支付违约金，违约金从人民币1000万元起计，死亡的人数多于30人时，每增加死亡1人，承包人除支付上述违约金外还须再向发包人支付违约金人民币50万元／人；</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发生重大事故，如造成人员死亡的，承包人须向发包人支付违约金，违约金从人民币500万元起计，死亡的人数多于10人时，每增加死亡1人，承包人除支付上述违约金外还须再向发包人支付违约金人民币50万元／人；</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C、发生较大事故，如造成人员死亡或重伤的，承包人须向发包人支付违约金，违约金从人民币300万元起计，死亡的人数多于3人或重伤人数多于20人时，每增加死亡1人或重伤3人，承包人除支付上述违约金外还须再向发包人支付违约金人民币50万元；</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D、发生一般事故，如造成人员死亡或重伤的，承包人须向发包人支付违约金，违约金从人民币100万元起计，死亡的人数多于1人或重伤人数多于3人时，每增加死亡1人或重伤3人，承包人除支付上述违约金外还须再向发包人支付违约金人民币50万元。</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E、安全事故及质量事故等级界定按国家现行有关规定执行。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承包人依照支付违约金后，所支付的违约金不足以弥补由此给发包人造成的损失的，承包人还须补偿发包人的其他损失。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⑤因发包人与承包人在《</w:t>
      </w:r>
      <w:r>
        <w:rPr>
          <w:rFonts w:hint="eastAsia" w:ascii="仿宋" w:hAnsi="仿宋" w:eastAsia="仿宋" w:cs="仿宋"/>
          <w:color w:val="auto"/>
          <w:highlight w:val="none"/>
          <w:lang w:eastAsia="zh"/>
        </w:rPr>
        <w:t>先进制造产业园A1地块分地块五、六建设项目</w:t>
      </w:r>
      <w:r>
        <w:rPr>
          <w:rFonts w:hint="eastAsia" w:ascii="仿宋" w:hAnsi="仿宋" w:eastAsia="仿宋" w:cs="仿宋"/>
          <w:color w:val="auto"/>
          <w:highlight w:val="none"/>
          <w:lang w:eastAsia="zh-CN"/>
        </w:rPr>
        <w:t>勘察设计施工总承包及运营项目运营服务合同书》中已明确约定主体结构质量问题的修复义务和违约责任，承包人对该约定内容已完全知晓并理解，如因主体结构质量问题或承包人不履行保修责任进而须承担违约责任的，发包人有权要求承包人据实赔偿由此给发包人造成的全部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2.9文明施工、环境保护方面的违约责任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发包人、总监理工程师对承包人文明施工措施、绿色施工及新能源应用落实情况进行对照检查。经检查发现承包人因自身原因未能落实的，承包人必须承担1次一般违约责任，并限期改正；如限期届满未改正的，承包人须承担1次严重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②承包人的施工场地要求获得“广州市房屋市政工程安全生产文明施工示范工地”而未达到的，承包人必须承担1次严重违约责任。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在行业主管部门的检查中，承包人的施工场地被评为不合格工地或者被通报批评或者被新闻媒体曝光的，承包人必须承担1次严重违约责任，并立即采取切实有效措施予以整改；拒不采取切实有效措施整改的，或整改效果不明显的，发包人有权部分或全部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承包人在施工过程中因其自身原因造成周围环境卫生状况较差，被其他施工单位或周围居民投诉的，承包人必须在当天内整改。若故意拖延或类似问题累计被投诉2次以上且经查实的，承包人必须承担1次严重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2.10工程转包、分包方面的违约责任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①承包人不按约定进行分包管理的，视同不服从发包人及监理单位管理，应承担违约责任；同时发包人有权暂停支付本合同工程进度款，直到承包人完成相关工作为止。</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②承包人转包工程或者违反法律法规及本合同约定分包工程的，发包人有权单方面部分解除合同或解除合同，并由承包人承担由此产生的一切责任及损失。</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承包人及其项目负责人不能存在因与工程项目施工相关的车辆运输而被最高人民法院在“信用中国”网站或各级信用信息共享平台中列入失信被执行人名单或被交通运输行政主管部门在“信用交通”网站列入严重违法超限超载运输失信当事人名单或被工商行政管理机关在全国企业信用信息公示系统中列入严重违法失信企业名单或被花都区、城管、住建、交通、水务、规自等部门列入黑名单、不良行为记录（处罚有效期内）。</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承包人不得将工程施工过程中产生的土石方、建筑垃圾及施工过程中使用的建筑材料、设备等的运输委托给被最高人民法院在“信用中国”网站或各级信用信息共享平台中列入失信被执行人名单或被交通运输行政主管部门在“信用交通”网站列入严重违法超限超载运输失信当事人名单或被工商行政管理机关在全国企业信用信息公示系统中列入严重违法失信企业名单或被花都区、城管、住建、交通、水务、规自等部门列入黑名单、不良行为记录（处罚有效期内）的单位或个体经营者运输。</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如发包人核实存在上述③、④顶任一情况，有权要求承包人支付10万元/项的违约金或单方解除合同。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2.11农民工工资支付方面的违约责任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承包人违反约定，被农民工投诉或上访属实的，承包人必须在3天内发放拖欠的款项。若继续拖延被投诉2次及以上，经查实，承包人每一次必须承担1次严重违约责任，并立即采取切实有效措施予以整改；拒不采取切实有效措施整改的，或整改效果不明显的，发包人有权部分或全部解除合同。同时，发包人有权从应付承包人工程款中抵减相应款项用于支付所拖欠工资。</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除发包人违约外，由于承包人或其管理的分包单位（包括施工专业分包、供货分包及劳务分包单位等）拖欠农民工工资致使发包人被投诉或起诉并被判令先行垫付农民工工资的，承包人除每一次承担1次严重违约责任外，还应向发包人支付发包人先行垫付的农民工工资金额的两倍作为补偿。</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③因承包人违约导致发包人暂停支付工程款时，承包人不得以此为理由拖欠农民工工资，在发包人和承包人就暂停支付工程款问题解决之前，承包人有义务先行支付其所属工人工资。</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④承包人不按合同及有关规定按时、足额支付分包单位合同价款及民工工资致使民工集体上访、集聚围阻而造成社会不良影响的，承包人须承担每一次20万元的违约金，并上报省、市主管部门建议取消其参加广州地区省、市重大项目的投标资格，并由发包人予以公告。如属恶意煽动并造成社会不良影响的，发包人将提请司法部门追究其法律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⑤无论何种原因，如发生承包单位人员（包括但不限于项目管理人员、施工班组、工人等）围堵售楼部、工地大门及发包人办公地点、政府相关部门办公地的情况的，承包人须承担20万元/次的违约金。</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2.12除上述约定之外，承包人不履行或不完全履行合同其他义务的，均构成违约，应当承担1次一般违约责任。情节较重的，应当承担1次严重违约责任。并立即采取切实有效措施予以整改；拒不采取切实有效措施整改的，或整改效果不明显的，发包人有权部分或全部解除合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2.13承包人违约责任的认定方式及送达程序：</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①认定方式：以发包人发出的通知、通报、会议纪要等书面文件确定的内容为准。</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②送达程序：发包人以下列方式之一将书面违约处理决定送达承包人：</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A、承包人现场项目负责人或负责收发文人员签收。</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B、发包人邮寄送达（以发包人邮寄凭证为准，视为承包人已签收）。</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C、发包人派两名以上（含两名）工作人员送达承包人公司，即视为承包人已确认收到。</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D、其他法律法规规定的送达确认方式。</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③发包人以书面形式作出的违约处理决定一经送达承包人立即生效。承包人如有足够证据证明不应由其承担违约责任的，应在收到违约处理决定后3天内以书面形式向发包人提出异议并附上有关证据；发包人在收到承包人的异议后15天内审核完毕且作出书面决定并通知承包人。在异议审核期间，承包人须照常施工，不得以审核未确定为由拖延或者中止工程施工。</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注：以上条款如未注明违约或赔偿责任的，发包人有权根据承包人违约情况所造成的损失及后果，要求承包人承担相应的赔偿责任。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当上述违约责任条款与合同附件《施工现场管理制度罚则》存在交叉或相互矛盾之处时，按两者的较高标准执行。</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95.2 通知改正</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发包人通知承包人纠正或采取补救措施的合理期限是：</w:t>
      </w:r>
      <w:r>
        <w:rPr>
          <w:rFonts w:hint="eastAsia" w:ascii="仿宋" w:hAnsi="仿宋" w:eastAsia="仿宋" w:cs="仿宋"/>
          <w:color w:val="auto"/>
          <w:highlight w:val="none"/>
          <w:u w:val="single"/>
          <w:lang w:eastAsia="zh-CN"/>
        </w:rPr>
        <w:t>按专用条款95.1。</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95.3 承包人违约的责任</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承包人违约责任的承担方式和计算方法：</w:t>
      </w:r>
      <w:r>
        <w:rPr>
          <w:rFonts w:hint="eastAsia" w:ascii="仿宋" w:hAnsi="仿宋" w:eastAsia="仿宋" w:cs="仿宋"/>
          <w:color w:val="auto"/>
          <w:highlight w:val="none"/>
          <w:u w:val="single"/>
          <w:lang w:eastAsia="zh-CN"/>
        </w:rPr>
        <w:t>按专用条款95.1。</w:t>
      </w:r>
    </w:p>
    <w:p>
      <w:pPr>
        <w:pStyle w:val="4"/>
        <w:tabs>
          <w:tab w:val="left" w:pos="360"/>
          <w:tab w:val="left" w:pos="420"/>
        </w:tabs>
        <w:spacing w:line="360" w:lineRule="auto"/>
        <w:rPr>
          <w:rFonts w:ascii="仿宋" w:hAnsi="仿宋" w:eastAsia="仿宋" w:cs="仿宋"/>
          <w:b w:val="0"/>
          <w:bCs w:val="0"/>
          <w:color w:val="auto"/>
          <w:sz w:val="24"/>
          <w:szCs w:val="24"/>
          <w:highlight w:val="none"/>
          <w:lang w:eastAsia="zh-CN"/>
        </w:rPr>
      </w:pPr>
      <w:bookmarkStart w:id="1969" w:name="_Toc26727"/>
      <w:bookmarkStart w:id="1970" w:name="_Toc26664"/>
      <w:bookmarkStart w:id="1971" w:name="_Toc11887"/>
      <w:bookmarkStart w:id="1972" w:name="_Toc5608"/>
      <w:bookmarkStart w:id="1973" w:name="_Toc31313"/>
      <w:bookmarkStart w:id="1974" w:name="_Toc14154"/>
      <w:bookmarkStart w:id="1975" w:name="_Toc18915"/>
      <w:bookmarkStart w:id="1976" w:name="_Toc10558"/>
      <w:r>
        <w:rPr>
          <w:rFonts w:hint="eastAsia" w:ascii="仿宋" w:hAnsi="仿宋" w:eastAsia="仿宋" w:cs="仿宋"/>
          <w:bCs w:val="0"/>
          <w:color w:val="auto"/>
          <w:sz w:val="24"/>
          <w:szCs w:val="24"/>
          <w:highlight w:val="none"/>
          <w:lang w:eastAsia="zh-CN"/>
        </w:rPr>
        <w:t>★96</w:t>
      </w:r>
      <w:r>
        <w:rPr>
          <w:rFonts w:ascii="仿宋" w:hAnsi="仿宋" w:eastAsia="仿宋" w:cs="仿宋"/>
          <w:bCs w:val="0"/>
          <w:color w:val="auto"/>
          <w:sz w:val="24"/>
          <w:szCs w:val="24"/>
          <w:highlight w:val="none"/>
          <w:lang w:eastAsia="zh-CN"/>
        </w:rPr>
        <w:t xml:space="preserve">  </w:t>
      </w:r>
      <w:r>
        <w:rPr>
          <w:rFonts w:hint="eastAsia" w:ascii="仿宋" w:hAnsi="仿宋" w:eastAsia="仿宋" w:cs="仿宋"/>
          <w:b w:val="0"/>
          <w:bCs w:val="0"/>
          <w:color w:val="auto"/>
          <w:sz w:val="24"/>
          <w:szCs w:val="24"/>
          <w:highlight w:val="none"/>
          <w:lang w:eastAsia="zh-CN"/>
        </w:rPr>
        <w:t>发包人违约</w:t>
      </w:r>
      <w:bookmarkEnd w:id="1969"/>
      <w:bookmarkEnd w:id="1970"/>
      <w:bookmarkEnd w:id="1971"/>
      <w:bookmarkEnd w:id="1972"/>
      <w:bookmarkEnd w:id="1973"/>
      <w:bookmarkEnd w:id="1974"/>
      <w:bookmarkEnd w:id="1975"/>
      <w:bookmarkEnd w:id="1976"/>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96.1 发包人违约的情形</w:t>
      </w:r>
    </w:p>
    <w:p>
      <w:pPr>
        <w:spacing w:line="360" w:lineRule="auto"/>
        <w:ind w:firstLine="480" w:firstLineChars="200"/>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发包人违约的其他情形：</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96.3 发包人违约的责任</w:t>
      </w:r>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发包人违约责任的承担方式和计算方法：</w:t>
      </w:r>
      <w:r>
        <w:rPr>
          <w:rFonts w:hint="eastAsia" w:ascii="仿宋" w:hAnsi="仿宋" w:eastAsia="仿宋" w:cs="仿宋"/>
          <w:color w:val="auto"/>
          <w:highlight w:val="none"/>
          <w:u w:val="single"/>
          <w:lang w:eastAsia="zh-CN"/>
        </w:rPr>
        <w:t>无</w:t>
      </w:r>
      <w:r>
        <w:rPr>
          <w:rFonts w:hint="eastAsia" w:ascii="仿宋" w:hAnsi="仿宋" w:eastAsia="仿宋" w:cs="仿宋"/>
          <w:color w:val="auto"/>
          <w:highlight w:val="none"/>
          <w:lang w:eastAsia="zh-CN"/>
        </w:rPr>
        <w:t>。</w:t>
      </w:r>
    </w:p>
    <w:p>
      <w:pPr>
        <w:pStyle w:val="4"/>
        <w:tabs>
          <w:tab w:val="left" w:pos="360"/>
          <w:tab w:val="left" w:pos="420"/>
        </w:tabs>
        <w:spacing w:line="360" w:lineRule="auto"/>
        <w:rPr>
          <w:rFonts w:ascii="仿宋" w:hAnsi="仿宋" w:eastAsia="仿宋" w:cs="仿宋"/>
          <w:b w:val="0"/>
          <w:bCs w:val="0"/>
          <w:color w:val="auto"/>
          <w:sz w:val="24"/>
          <w:szCs w:val="24"/>
          <w:highlight w:val="none"/>
          <w:lang w:eastAsia="zh-CN"/>
        </w:rPr>
      </w:pPr>
      <w:bookmarkStart w:id="1977" w:name="_Toc10978"/>
      <w:bookmarkStart w:id="1978" w:name="_Toc14421"/>
      <w:bookmarkStart w:id="1979" w:name="_Toc24376"/>
      <w:bookmarkStart w:id="1980" w:name="_Toc21854"/>
      <w:bookmarkStart w:id="1981" w:name="_Toc20102"/>
      <w:bookmarkStart w:id="1982" w:name="_Toc16512"/>
      <w:bookmarkStart w:id="1983" w:name="_Toc17904"/>
      <w:bookmarkStart w:id="1984" w:name="_Toc47694453"/>
      <w:bookmarkStart w:id="1985" w:name="_Toc5619"/>
      <w:r>
        <w:rPr>
          <w:rFonts w:hint="eastAsia" w:ascii="仿宋" w:hAnsi="仿宋" w:eastAsia="仿宋" w:cs="仿宋"/>
          <w:b w:val="0"/>
          <w:bCs w:val="0"/>
          <w:color w:val="auto"/>
          <w:sz w:val="24"/>
          <w:szCs w:val="24"/>
          <w:highlight w:val="none"/>
          <w:lang w:eastAsia="zh-CN"/>
        </w:rPr>
        <w:t>99.  保密要求</w:t>
      </w:r>
      <w:bookmarkEnd w:id="1977"/>
      <w:bookmarkEnd w:id="1978"/>
      <w:bookmarkEnd w:id="1979"/>
      <w:bookmarkEnd w:id="1980"/>
      <w:bookmarkEnd w:id="1981"/>
      <w:bookmarkEnd w:id="1982"/>
      <w:bookmarkEnd w:id="1983"/>
      <w:bookmarkEnd w:id="1984"/>
      <w:bookmarkEnd w:id="1985"/>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99.1 提供保密信息和履行保密义务</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提供保密信息的期限：</w:t>
      </w:r>
      <w:r>
        <w:rPr>
          <w:rFonts w:hint="eastAsia" w:ascii="仿宋" w:hAnsi="仿宋" w:eastAsia="仿宋" w:cs="仿宋"/>
          <w:color w:val="auto"/>
          <w:highlight w:val="none"/>
          <w:u w:val="single"/>
          <w:lang w:eastAsia="zh-CN"/>
        </w:rPr>
        <w:t>按相关规定执行</w:t>
      </w:r>
    </w:p>
    <w:p>
      <w:pPr>
        <w:pStyle w:val="4"/>
        <w:tabs>
          <w:tab w:val="left" w:pos="360"/>
          <w:tab w:val="left" w:pos="420"/>
        </w:tabs>
        <w:spacing w:line="360" w:lineRule="auto"/>
        <w:rPr>
          <w:rFonts w:ascii="仿宋" w:hAnsi="仿宋" w:eastAsia="仿宋"/>
          <w:b w:val="0"/>
          <w:bCs w:val="0"/>
          <w:color w:val="auto"/>
          <w:sz w:val="24"/>
          <w:szCs w:val="24"/>
          <w:highlight w:val="none"/>
          <w:lang w:eastAsia="zh-CN"/>
        </w:rPr>
      </w:pPr>
      <w:bookmarkStart w:id="1986" w:name="_Toc31117"/>
      <w:bookmarkStart w:id="1987" w:name="_Toc22636"/>
      <w:bookmarkStart w:id="1988" w:name="_Toc87"/>
      <w:bookmarkStart w:id="1989" w:name="_Toc7690"/>
      <w:bookmarkStart w:id="1990" w:name="_Toc977"/>
      <w:bookmarkStart w:id="1991" w:name="_Toc26074"/>
      <w:bookmarkStart w:id="1992" w:name="_Toc9799"/>
      <w:bookmarkStart w:id="1993" w:name="_Toc15189"/>
      <w:r>
        <w:rPr>
          <w:rFonts w:hint="eastAsia" w:ascii="仿宋" w:hAnsi="仿宋" w:eastAsia="仿宋" w:cs="仿宋"/>
          <w:b w:val="0"/>
          <w:bCs w:val="0"/>
          <w:color w:val="auto"/>
          <w:sz w:val="24"/>
          <w:szCs w:val="24"/>
          <w:highlight w:val="none"/>
          <w:lang w:eastAsia="zh-CN"/>
        </w:rPr>
        <w:t>102.  合同份数</w:t>
      </w:r>
      <w:bookmarkEnd w:id="1986"/>
      <w:bookmarkEnd w:id="1987"/>
      <w:bookmarkEnd w:id="1988"/>
      <w:bookmarkEnd w:id="1989"/>
      <w:bookmarkEnd w:id="1990"/>
      <w:bookmarkEnd w:id="1991"/>
      <w:bookmarkEnd w:id="1992"/>
      <w:bookmarkEnd w:id="1993"/>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102.1 约定提供合同文件</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提供合同文本：</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 按通用条款的约定，由发包人向承包人提供。</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 另有约定：</w:t>
      </w:r>
      <w:r>
        <w:rPr>
          <w:rFonts w:hint="eastAsia" w:ascii="仿宋" w:hAnsi="仿宋" w:eastAsia="仿宋" w:cs="仿宋"/>
          <w:color w:val="auto"/>
          <w:highlight w:val="none"/>
          <w:u w:val="single"/>
          <w:lang w:eastAsia="zh-CN"/>
        </w:rPr>
        <w:t xml:space="preserve">  /  </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w:t>
      </w:r>
      <w:bookmarkStart w:id="1994" w:name="_Toc7412"/>
      <w:r>
        <w:rPr>
          <w:rFonts w:hint="eastAsia" w:ascii="仿宋" w:hAnsi="仿宋" w:eastAsia="仿宋" w:cs="仿宋"/>
          <w:color w:val="auto"/>
          <w:highlight w:val="none"/>
          <w:lang w:eastAsia="zh-CN"/>
        </w:rPr>
        <w:t>102.2 正副本效力</w:t>
      </w:r>
      <w:bookmarkEnd w:id="1994"/>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合同的份数：</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正本</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份，副本</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   其中：发包人正本</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份，副本</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w:t>
      </w:r>
    </w:p>
    <w:p>
      <w:pPr>
        <w:ind w:firstLine="1077" w:firstLineChars="449"/>
        <w:rPr>
          <w:color w:val="auto"/>
          <w:highlight w:val="none"/>
          <w:lang w:eastAsia="zh-CN"/>
        </w:rPr>
      </w:pPr>
      <w:r>
        <w:rPr>
          <w:rFonts w:hint="eastAsia" w:ascii="仿宋" w:hAnsi="仿宋" w:eastAsia="仿宋" w:cs="仿宋"/>
          <w:color w:val="auto"/>
          <w:highlight w:val="none"/>
          <w:lang w:eastAsia="zh-CN"/>
        </w:rPr>
        <w:t>承包人正本</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份，副本</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w:t>
      </w:r>
    </w:p>
    <w:p>
      <w:pPr>
        <w:rPr>
          <w:color w:val="auto"/>
          <w:highlight w:val="none"/>
          <w:lang w:eastAsia="zh-CN"/>
        </w:rPr>
      </w:pPr>
    </w:p>
    <w:p>
      <w:pPr>
        <w:ind w:firstLine="3296"/>
        <w:rPr>
          <w:color w:val="auto"/>
          <w:highlight w:val="none"/>
          <w:lang w:eastAsia="zh-CN"/>
        </w:rPr>
      </w:pPr>
    </w:p>
    <w:p>
      <w:pPr>
        <w:ind w:firstLine="3296"/>
        <w:rPr>
          <w:color w:val="auto"/>
          <w:highlight w:val="none"/>
          <w:lang w:eastAsia="zh-CN"/>
        </w:rPr>
      </w:pPr>
    </w:p>
    <w:p>
      <w:pPr>
        <w:rPr>
          <w:color w:val="auto"/>
          <w:highlight w:val="none"/>
          <w:lang w:eastAsia="zh-CN"/>
        </w:rPr>
        <w:sectPr>
          <w:endnotePr>
            <w:numFmt w:val="decimal"/>
          </w:endnotePr>
          <w:pgSz w:w="11905" w:h="16838"/>
          <w:pgMar w:top="850" w:right="1701" w:bottom="850" w:left="1701" w:header="0" w:footer="283" w:gutter="0"/>
          <w:cols w:space="720" w:num="1"/>
        </w:sectPr>
      </w:pPr>
    </w:p>
    <w:p>
      <w:pPr>
        <w:pStyle w:val="3"/>
        <w:tabs>
          <w:tab w:val="left" w:pos="420"/>
        </w:tabs>
        <w:jc w:val="center"/>
        <w:rPr>
          <w:rFonts w:hAnsi="宋体"/>
          <w:b w:val="0"/>
          <w:bCs w:val="0"/>
          <w:color w:val="auto"/>
          <w:sz w:val="36"/>
          <w:szCs w:val="36"/>
          <w:highlight w:val="none"/>
          <w:lang w:eastAsia="zh-CN"/>
        </w:rPr>
      </w:pPr>
      <w:bookmarkStart w:id="1995" w:name="_Toc29573"/>
      <w:bookmarkStart w:id="1996" w:name="_Toc29873"/>
      <w:bookmarkStart w:id="1997" w:name="_Toc3027"/>
      <w:bookmarkStart w:id="1998" w:name="_Toc12849"/>
      <w:bookmarkStart w:id="1999" w:name="_Toc25797"/>
      <w:bookmarkStart w:id="2000" w:name="_Toc14912"/>
      <w:bookmarkStart w:id="2001" w:name="_Toc15680"/>
      <w:bookmarkStart w:id="2002" w:name="_Toc31261"/>
      <w:r>
        <w:rPr>
          <w:rFonts w:hint="eastAsia" w:hAnsi="宋体"/>
          <w:b w:val="0"/>
          <w:bCs w:val="0"/>
          <w:color w:val="auto"/>
          <w:sz w:val="36"/>
          <w:szCs w:val="36"/>
          <w:highlight w:val="none"/>
          <w:lang w:eastAsia="zh-CN"/>
        </w:rPr>
        <w:t>第四部分  附件与格式</w:t>
      </w:r>
      <w:bookmarkEnd w:id="1995"/>
      <w:bookmarkEnd w:id="1996"/>
      <w:bookmarkEnd w:id="1997"/>
      <w:bookmarkEnd w:id="1998"/>
      <w:bookmarkEnd w:id="1999"/>
      <w:bookmarkEnd w:id="2000"/>
      <w:bookmarkEnd w:id="2001"/>
      <w:bookmarkEnd w:id="2002"/>
    </w:p>
    <w:p>
      <w:pPr>
        <w:spacing w:line="360" w:lineRule="auto"/>
        <w:outlineLvl w:val="1"/>
        <w:rPr>
          <w:rFonts w:ascii="仿宋" w:hAnsi="仿宋" w:eastAsia="仿宋" w:cs="仿宋"/>
          <w:b/>
          <w:bCs/>
          <w:color w:val="auto"/>
          <w:highlight w:val="none"/>
          <w:lang w:eastAsia="zh-CN"/>
        </w:rPr>
      </w:pPr>
      <w:bookmarkStart w:id="2003" w:name="_Toc16836"/>
      <w:bookmarkStart w:id="2004" w:name="_Toc19701"/>
      <w:bookmarkStart w:id="2005" w:name="_Toc17897"/>
      <w:bookmarkStart w:id="2006" w:name="_Toc21387"/>
      <w:bookmarkStart w:id="2007" w:name="_Toc18548"/>
      <w:bookmarkStart w:id="2008" w:name="_Toc1774"/>
      <w:bookmarkStart w:id="2009" w:name="_Toc24749"/>
      <w:bookmarkStart w:id="2010" w:name="_Toc9602"/>
      <w:r>
        <w:rPr>
          <w:rFonts w:hint="eastAsia" w:ascii="仿宋" w:hAnsi="仿宋" w:eastAsia="仿宋" w:cs="仿宋"/>
          <w:b/>
          <w:bCs/>
          <w:color w:val="auto"/>
          <w:highlight w:val="none"/>
          <w:lang w:eastAsia="zh-CN"/>
        </w:rPr>
        <w:t>附件一：中标通知书</w:t>
      </w:r>
      <w:bookmarkEnd w:id="2003"/>
      <w:bookmarkEnd w:id="2004"/>
      <w:bookmarkEnd w:id="2005"/>
      <w:bookmarkEnd w:id="2006"/>
      <w:bookmarkEnd w:id="2007"/>
      <w:bookmarkEnd w:id="2008"/>
      <w:bookmarkEnd w:id="2009"/>
      <w:bookmarkEnd w:id="2010"/>
    </w:p>
    <w:p>
      <w:pPr>
        <w:rPr>
          <w:color w:val="auto"/>
          <w:highlight w:val="none"/>
          <w:lang w:eastAsia="zh-CN"/>
        </w:rPr>
      </w:pPr>
    </w:p>
    <w:p>
      <w:pPr>
        <w:spacing w:line="360" w:lineRule="auto"/>
        <w:outlineLvl w:val="1"/>
        <w:rPr>
          <w:rFonts w:ascii="仿宋" w:hAnsi="仿宋" w:eastAsia="仿宋" w:cs="仿宋"/>
          <w:b/>
          <w:bCs/>
          <w:color w:val="auto"/>
          <w:sz w:val="36"/>
          <w:szCs w:val="36"/>
          <w:highlight w:val="none"/>
          <w:lang w:eastAsia="zh-CN"/>
        </w:rPr>
      </w:pPr>
      <w:bookmarkStart w:id="2011" w:name="_Toc17812"/>
      <w:bookmarkStart w:id="2012" w:name="_Toc5027"/>
      <w:bookmarkStart w:id="2013" w:name="_Toc18684"/>
      <w:bookmarkStart w:id="2014" w:name="_Toc9753"/>
      <w:bookmarkStart w:id="2015" w:name="_Toc27161"/>
      <w:bookmarkStart w:id="2016" w:name="_Toc14788"/>
      <w:bookmarkStart w:id="2017" w:name="_Toc9340"/>
      <w:bookmarkStart w:id="2018" w:name="_Toc29571"/>
      <w:r>
        <w:rPr>
          <w:rFonts w:hint="eastAsia" w:ascii="仿宋" w:hAnsi="仿宋" w:eastAsia="仿宋" w:cs="仿宋"/>
          <w:b/>
          <w:bCs/>
          <w:color w:val="auto"/>
          <w:highlight w:val="none"/>
          <w:lang w:eastAsia="zh-CN"/>
        </w:rPr>
        <w:t>附件二：联合体承包协议书（投标方需考虑满足填写合同的内容）</w:t>
      </w:r>
      <w:bookmarkEnd w:id="2011"/>
      <w:bookmarkEnd w:id="2012"/>
      <w:bookmarkEnd w:id="2013"/>
      <w:bookmarkEnd w:id="2014"/>
      <w:bookmarkEnd w:id="2015"/>
      <w:bookmarkEnd w:id="2016"/>
      <w:bookmarkEnd w:id="2017"/>
      <w:bookmarkEnd w:id="2018"/>
    </w:p>
    <w:p>
      <w:pPr>
        <w:spacing w:line="360" w:lineRule="auto"/>
        <w:jc w:val="center"/>
        <w:rPr>
          <w:rFonts w:ascii="仿宋" w:hAnsi="仿宋" w:eastAsia="仿宋"/>
          <w:color w:val="auto"/>
          <w:highlight w:val="none"/>
          <w:lang w:eastAsia="zh-CN"/>
        </w:rPr>
      </w:pPr>
      <w:r>
        <w:rPr>
          <w:rFonts w:hint="eastAsia" w:ascii="仿宋" w:hAnsi="仿宋" w:eastAsia="仿宋" w:cs="仿宋"/>
          <w:b/>
          <w:bCs/>
          <w:color w:val="auto"/>
          <w:sz w:val="36"/>
          <w:szCs w:val="36"/>
          <w:highlight w:val="none"/>
          <w:lang w:eastAsia="zh-CN"/>
        </w:rPr>
        <w:t>联合体承包协议书（扫描投标文件）</w:t>
      </w:r>
    </w:p>
    <w:p>
      <w:pPr>
        <w:rPr>
          <w:color w:val="auto"/>
          <w:highlight w:val="none"/>
          <w:lang w:eastAsia="zh-CN"/>
        </w:rPr>
      </w:pPr>
    </w:p>
    <w:p>
      <w:pPr>
        <w:rPr>
          <w:color w:val="auto"/>
          <w:highlight w:val="none"/>
          <w:lang w:eastAsia="zh-CN"/>
        </w:rPr>
      </w:pPr>
    </w:p>
    <w:p>
      <w:pPr>
        <w:rPr>
          <w:color w:val="auto"/>
          <w:highlight w:val="none"/>
          <w:lang w:eastAsia="zh-CN"/>
        </w:rPr>
      </w:pPr>
    </w:p>
    <w:p>
      <w:pPr>
        <w:spacing w:line="360" w:lineRule="auto"/>
        <w:jc w:val="center"/>
        <w:rPr>
          <w:rFonts w:ascii="仿宋" w:hAnsi="仿宋" w:eastAsia="仿宋"/>
          <w:b/>
          <w:bCs/>
          <w:color w:val="auto"/>
          <w:sz w:val="36"/>
          <w:szCs w:val="36"/>
          <w:highlight w:val="none"/>
          <w:lang w:eastAsia="zh-CN"/>
        </w:rPr>
      </w:pPr>
    </w:p>
    <w:p>
      <w:pPr>
        <w:spacing w:line="360" w:lineRule="auto"/>
        <w:ind w:firstLine="360" w:firstLineChars="150"/>
        <w:rPr>
          <w:rFonts w:ascii="仿宋" w:hAnsi="仿宋" w:eastAsia="仿宋"/>
          <w:strike/>
          <w:color w:val="auto"/>
          <w:highlight w:val="none"/>
          <w:lang w:eastAsia="zh-CN"/>
        </w:rPr>
      </w:pPr>
    </w:p>
    <w:p>
      <w:pPr>
        <w:spacing w:line="360" w:lineRule="auto"/>
        <w:rPr>
          <w:rFonts w:ascii="仿宋" w:hAnsi="仿宋" w:eastAsia="仿宋"/>
          <w:color w:val="auto"/>
          <w:highlight w:val="none"/>
          <w:lang w:eastAsia="zh-CN"/>
        </w:rPr>
        <w:sectPr>
          <w:endnotePr>
            <w:numFmt w:val="decimal"/>
          </w:endnotePr>
          <w:pgSz w:w="11905" w:h="16838"/>
          <w:pgMar w:top="850" w:right="1701" w:bottom="850" w:left="1701" w:header="0" w:footer="283" w:gutter="0"/>
          <w:cols w:space="720" w:num="1"/>
        </w:sectPr>
      </w:pPr>
    </w:p>
    <w:p>
      <w:pPr>
        <w:spacing w:line="360" w:lineRule="auto"/>
        <w:outlineLvl w:val="1"/>
        <w:rPr>
          <w:rFonts w:ascii="仿宋" w:hAnsi="仿宋" w:eastAsia="仿宋"/>
          <w:b/>
          <w:bCs/>
          <w:color w:val="auto"/>
          <w:highlight w:val="none"/>
          <w:lang w:eastAsia="zh-CN"/>
        </w:rPr>
      </w:pPr>
      <w:bookmarkStart w:id="2019" w:name="_Toc28607"/>
      <w:bookmarkStart w:id="2020" w:name="_Toc15353"/>
      <w:bookmarkStart w:id="2021" w:name="_Toc1195"/>
      <w:bookmarkStart w:id="2022" w:name="_Toc1296"/>
      <w:bookmarkStart w:id="2023" w:name="_Toc28187"/>
      <w:bookmarkStart w:id="2024" w:name="_Toc31386"/>
      <w:bookmarkStart w:id="2025" w:name="_Toc13788"/>
      <w:bookmarkStart w:id="2026" w:name="_Toc22486"/>
      <w:r>
        <w:rPr>
          <w:rFonts w:hint="eastAsia" w:ascii="仿宋" w:hAnsi="仿宋" w:eastAsia="仿宋" w:cs="仿宋"/>
          <w:b/>
          <w:bCs/>
          <w:color w:val="auto"/>
          <w:highlight w:val="none"/>
          <w:lang w:eastAsia="zh-CN"/>
        </w:rPr>
        <w:t>附件三：工程质量保修书</w:t>
      </w:r>
      <w:bookmarkEnd w:id="2019"/>
      <w:bookmarkEnd w:id="2020"/>
      <w:bookmarkEnd w:id="2021"/>
      <w:bookmarkEnd w:id="2022"/>
      <w:bookmarkEnd w:id="2023"/>
      <w:bookmarkEnd w:id="2024"/>
      <w:bookmarkEnd w:id="2025"/>
      <w:bookmarkEnd w:id="2026"/>
    </w:p>
    <w:p>
      <w:pPr>
        <w:spacing w:line="360" w:lineRule="auto"/>
        <w:rPr>
          <w:rFonts w:ascii="仿宋" w:hAnsi="仿宋" w:eastAsia="仿宋"/>
          <w:color w:val="auto"/>
          <w:highlight w:val="none"/>
          <w:lang w:eastAsia="zh-CN"/>
        </w:rPr>
      </w:pPr>
    </w:p>
    <w:p>
      <w:pPr>
        <w:adjustRightInd w:val="0"/>
        <w:snapToGrid w:val="0"/>
        <w:spacing w:line="360" w:lineRule="auto"/>
        <w:jc w:val="center"/>
        <w:rPr>
          <w:rFonts w:ascii="仿宋" w:hAnsi="仿宋" w:eastAsia="仿宋"/>
          <w:b/>
          <w:bCs/>
          <w:color w:val="auto"/>
          <w:spacing w:val="32"/>
          <w:sz w:val="36"/>
          <w:szCs w:val="36"/>
          <w:highlight w:val="none"/>
          <w:lang w:eastAsia="zh-CN"/>
        </w:rPr>
      </w:pPr>
      <w:r>
        <w:rPr>
          <w:rFonts w:hint="eastAsia" w:ascii="仿宋" w:hAnsi="仿宋" w:eastAsia="仿宋" w:cs="仿宋"/>
          <w:b/>
          <w:bCs/>
          <w:color w:val="auto"/>
          <w:spacing w:val="32"/>
          <w:sz w:val="36"/>
          <w:szCs w:val="36"/>
          <w:highlight w:val="none"/>
          <w:lang w:eastAsia="zh-CN"/>
        </w:rPr>
        <w:t>工程质量保修书</w:t>
      </w:r>
    </w:p>
    <w:p>
      <w:pPr>
        <w:adjustRightInd w:val="0"/>
        <w:snapToGrid w:val="0"/>
        <w:spacing w:line="360" w:lineRule="auto"/>
        <w:rPr>
          <w:rFonts w:ascii="仿宋" w:hAnsi="仿宋" w:eastAsia="仿宋"/>
          <w:color w:val="auto"/>
          <w:highlight w:val="none"/>
          <w:lang w:eastAsia="zh-CN"/>
        </w:rPr>
      </w:pPr>
    </w:p>
    <w:p>
      <w:pPr>
        <w:snapToGrid w:val="0"/>
        <w:spacing w:line="324"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发包人</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（全称）</w:t>
      </w:r>
      <w:r>
        <w:rPr>
          <w:rFonts w:hint="eastAsia" w:ascii="仿宋" w:hAnsi="仿宋" w:eastAsia="仿宋" w:cs="仿宋"/>
          <w:color w:val="auto"/>
          <w:highlight w:val="none"/>
          <w:u w:val="single"/>
          <w:lang w:eastAsia="zh-CN"/>
        </w:rPr>
        <w:t>广州花都城弘建设发展投资有限公司</w:t>
      </w:r>
    </w:p>
    <w:p>
      <w:pPr>
        <w:snapToGrid w:val="0"/>
        <w:spacing w:line="324"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承包人</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（全称）</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 xml:space="preserve">         </w:t>
      </w:r>
      <w:r>
        <w:rPr>
          <w:rFonts w:ascii="仿宋" w:hAnsi="仿宋" w:eastAsia="仿宋" w:cs="仿宋"/>
          <w:color w:val="auto"/>
          <w:highlight w:val="none"/>
          <w:u w:val="single"/>
          <w:lang w:eastAsia="zh-CN"/>
        </w:rPr>
        <w:t xml:space="preserve"> </w:t>
      </w:r>
    </w:p>
    <w:p>
      <w:pPr>
        <w:snapToGrid w:val="0"/>
        <w:spacing w:line="324"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承包人（承包人为联合体时）：</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(牵头单位全称)</w:t>
      </w:r>
      <w:r>
        <w:rPr>
          <w:rFonts w:hint="eastAsia" w:ascii="仿宋" w:hAnsi="仿宋" w:eastAsia="仿宋" w:cs="仿宋"/>
          <w:color w:val="auto"/>
          <w:highlight w:val="none"/>
          <w:u w:val="single"/>
          <w:lang w:eastAsia="zh-CN"/>
        </w:rPr>
        <w:t xml:space="preserve"> </w:t>
      </w:r>
    </w:p>
    <w:p>
      <w:pPr>
        <w:spacing w:line="360"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(成员单位全称)</w:t>
      </w:r>
      <w:r>
        <w:rPr>
          <w:rFonts w:hint="eastAsia" w:ascii="仿宋" w:hAnsi="仿宋" w:eastAsia="仿宋" w:cs="仿宋"/>
          <w:color w:val="auto"/>
          <w:highlight w:val="none"/>
          <w:u w:val="single"/>
          <w:lang w:eastAsia="zh-CN"/>
        </w:rPr>
        <w:t xml:space="preserve">  </w:t>
      </w:r>
    </w:p>
    <w:p>
      <w:pPr>
        <w:adjustRightInd w:val="0"/>
        <w:snapToGrid w:val="0"/>
        <w:spacing w:line="324" w:lineRule="auto"/>
        <w:ind w:firstLine="480" w:firstLineChars="200"/>
        <w:rPr>
          <w:rFonts w:ascii="仿宋" w:hAnsi="仿宋" w:eastAsia="仿宋" w:cs="仿宋"/>
          <w:color w:val="auto"/>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为保证</w:t>
      </w:r>
      <w:r>
        <w:rPr>
          <w:rFonts w:hint="eastAsia" w:ascii="仿宋" w:hAnsi="仿宋" w:eastAsia="仿宋" w:cs="仿宋"/>
          <w:color w:val="auto"/>
          <w:highlight w:val="none"/>
          <w:lang w:eastAsia="zh"/>
        </w:rPr>
        <w:t>先进制造产业园A1地块分地块五、六建设项目</w:t>
      </w:r>
      <w:r>
        <w:rPr>
          <w:rFonts w:hint="eastAsia" w:ascii="仿宋" w:hAnsi="仿宋" w:eastAsia="仿宋" w:cs="仿宋"/>
          <w:color w:val="auto"/>
          <w:highlight w:val="none"/>
          <w:lang w:eastAsia="zh-CN"/>
        </w:rPr>
        <w:t>勘察设计施工总承包及运营项目（工程名称）在合理使用期限内正常使用，合同双方当事人根据《中华人民共和国建筑法》、《建设工程质量管理条例》和《房屋建筑工程质量保修办法》等规定，经协商一致，订立本质量保修书。</w:t>
      </w:r>
    </w:p>
    <w:p>
      <w:pPr>
        <w:adjustRightInd w:val="0"/>
        <w:snapToGrid w:val="0"/>
        <w:spacing w:line="324" w:lineRule="auto"/>
        <w:ind w:firstLine="480" w:firstLineChars="200"/>
        <w:rPr>
          <w:rFonts w:ascii="仿宋" w:hAnsi="仿宋" w:eastAsia="仿宋"/>
          <w:color w:val="auto"/>
          <w:highlight w:val="none"/>
          <w:lang w:eastAsia="zh-CN"/>
        </w:rPr>
      </w:pPr>
    </w:p>
    <w:p>
      <w:pPr>
        <w:numPr>
          <w:ilvl w:val="0"/>
          <w:numId w:val="40"/>
        </w:numPr>
        <w:adjustRightInd w:val="0"/>
        <w:snapToGrid w:val="0"/>
        <w:spacing w:line="324" w:lineRule="auto"/>
        <w:ind w:left="962" w:leftChars="200" w:hanging="482" w:hangingChars="200"/>
        <w:rPr>
          <w:rFonts w:ascii="仿宋" w:hAnsi="仿宋" w:eastAsia="仿宋"/>
          <w:b/>
          <w:bCs/>
          <w:color w:val="auto"/>
          <w:highlight w:val="none"/>
        </w:rPr>
      </w:pPr>
      <w:r>
        <w:rPr>
          <w:rFonts w:hint="eastAsia" w:ascii="仿宋" w:hAnsi="仿宋" w:eastAsia="仿宋" w:cs="仿宋"/>
          <w:b/>
          <w:bCs/>
          <w:color w:val="auto"/>
          <w:highlight w:val="none"/>
        </w:rPr>
        <w:t>质量保修范围</w:t>
      </w:r>
    </w:p>
    <w:p>
      <w:pPr>
        <w:adjustRightInd w:val="0"/>
        <w:snapToGrid w:val="0"/>
        <w:spacing w:line="324" w:lineRule="auto"/>
        <w:ind w:firstLine="220" w:firstLineChars="200"/>
        <w:rPr>
          <w:rFonts w:ascii="仿宋" w:hAnsi="仿宋" w:eastAsia="仿宋"/>
          <w:color w:val="auto"/>
          <w:sz w:val="11"/>
          <w:szCs w:val="11"/>
          <w:highlight w:val="none"/>
        </w:rPr>
      </w:pPr>
    </w:p>
    <w:p>
      <w:pPr>
        <w:adjustRightInd w:val="0"/>
        <w:snapToGrid w:val="0"/>
        <w:spacing w:line="324"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质量保修范围包括地基基础工程、主体结构工程、屋面防水工程、有防水要求的卫生间、房间、外墙面的防渗漏工程、电气管线工程、给排水管道工程、设备安装工程、供热、供冷系统工程、装饰装修工程以及双方约定其他项目。</w:t>
      </w:r>
    </w:p>
    <w:p>
      <w:pPr>
        <w:numPr>
          <w:ilvl w:val="0"/>
          <w:numId w:val="40"/>
        </w:numPr>
        <w:adjustRightInd w:val="0"/>
        <w:snapToGrid w:val="0"/>
        <w:spacing w:line="324" w:lineRule="auto"/>
        <w:ind w:left="962" w:leftChars="200" w:hanging="482" w:hangingChars="200"/>
        <w:rPr>
          <w:rFonts w:ascii="仿宋" w:hAnsi="仿宋" w:eastAsia="仿宋"/>
          <w:b/>
          <w:bCs/>
          <w:color w:val="auto"/>
          <w:highlight w:val="none"/>
        </w:rPr>
      </w:pPr>
      <w:r>
        <w:rPr>
          <w:rFonts w:hint="eastAsia" w:ascii="仿宋" w:hAnsi="仿宋" w:eastAsia="仿宋" w:cs="仿宋"/>
          <w:b/>
          <w:bCs/>
          <w:color w:val="auto"/>
          <w:highlight w:val="none"/>
        </w:rPr>
        <w:t>质量保修期</w:t>
      </w:r>
    </w:p>
    <w:p>
      <w:pPr>
        <w:adjustRightInd w:val="0"/>
        <w:snapToGrid w:val="0"/>
        <w:spacing w:line="324" w:lineRule="auto"/>
        <w:ind w:firstLine="220" w:firstLineChars="200"/>
        <w:rPr>
          <w:rFonts w:ascii="仿宋" w:hAnsi="仿宋" w:eastAsia="仿宋"/>
          <w:color w:val="auto"/>
          <w:sz w:val="11"/>
          <w:szCs w:val="11"/>
          <w:highlight w:val="none"/>
        </w:rPr>
      </w:pP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2.1 质量保修期从工程实际竣工之日算起。单项竣工验收的工程，按单项工程分别计算质量保修期。</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2.2 </w:t>
      </w:r>
      <w:r>
        <w:rPr>
          <w:rFonts w:hint="eastAsia" w:ascii="仿宋" w:hAnsi="仿宋" w:eastAsia="仿宋" w:cs="仿宋"/>
          <w:color w:val="auto"/>
          <w:highlight w:val="none"/>
          <w:lang w:val="zh-CN" w:eastAsia="zh-CN"/>
        </w:rPr>
        <w:t>合同工程质量保修期，合同双方当事人约定如下</w:t>
      </w:r>
      <w:r>
        <w:rPr>
          <w:rFonts w:hint="eastAsia" w:ascii="仿宋" w:hAnsi="仿宋" w:eastAsia="仿宋" w:cs="仿宋"/>
          <w:color w:val="auto"/>
          <w:highlight w:val="none"/>
          <w:lang w:eastAsia="zh-CN"/>
        </w:rPr>
        <w:t>：</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1．地基基础工程、主体结构工程为设计文件规定的合理使用年限；</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2．屋面防水工程、有防水要求的卫生间、房间和外墙面的防渗漏工程为</w:t>
      </w:r>
      <w:r>
        <w:rPr>
          <w:rFonts w:hint="eastAsia" w:ascii="仿宋" w:hAnsi="仿宋" w:eastAsia="仿宋" w:cs="仿宋"/>
          <w:color w:val="auto"/>
          <w:highlight w:val="none"/>
          <w:u w:val="single"/>
          <w:lang w:eastAsia="zh-CN"/>
        </w:rPr>
        <w:t>5</w:t>
      </w:r>
      <w:r>
        <w:rPr>
          <w:rFonts w:hint="eastAsia" w:ascii="仿宋" w:hAnsi="仿宋" w:eastAsia="仿宋" w:cs="仿宋"/>
          <w:color w:val="auto"/>
          <w:highlight w:val="none"/>
          <w:lang w:eastAsia="zh-CN"/>
        </w:rPr>
        <w:t>年；</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3．电气管线工程、给排水管道工程、设备安装工程为</w:t>
      </w:r>
      <w:r>
        <w:rPr>
          <w:rFonts w:hint="eastAsia" w:ascii="仿宋" w:hAnsi="仿宋" w:eastAsia="仿宋" w:cs="仿宋"/>
          <w:color w:val="auto"/>
          <w:highlight w:val="none"/>
          <w:u w:val="single"/>
          <w:lang w:eastAsia="zh-CN"/>
        </w:rPr>
        <w:t>2</w:t>
      </w:r>
      <w:r>
        <w:rPr>
          <w:rFonts w:hint="eastAsia" w:ascii="仿宋" w:hAnsi="仿宋" w:eastAsia="仿宋" w:cs="仿宋"/>
          <w:color w:val="auto"/>
          <w:highlight w:val="none"/>
          <w:lang w:eastAsia="zh-CN"/>
        </w:rPr>
        <w:t>年；</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4．供热、供冷系统工程为</w:t>
      </w:r>
      <w:r>
        <w:rPr>
          <w:rFonts w:hint="eastAsia" w:ascii="仿宋" w:hAnsi="仿宋" w:eastAsia="仿宋" w:cs="仿宋"/>
          <w:color w:val="auto"/>
          <w:highlight w:val="none"/>
          <w:u w:val="single"/>
          <w:lang w:eastAsia="zh-CN"/>
        </w:rPr>
        <w:t>2</w:t>
      </w:r>
      <w:r>
        <w:rPr>
          <w:rFonts w:hint="eastAsia" w:ascii="仿宋" w:hAnsi="仿宋" w:eastAsia="仿宋" w:cs="仿宋"/>
          <w:color w:val="auto"/>
          <w:highlight w:val="none"/>
          <w:lang w:eastAsia="zh-CN"/>
        </w:rPr>
        <w:t>个采暖期、供冷期；</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5．装饰装修工程为</w:t>
      </w:r>
      <w:r>
        <w:rPr>
          <w:rFonts w:hint="eastAsia" w:ascii="仿宋" w:hAnsi="仿宋" w:eastAsia="仿宋" w:cs="仿宋"/>
          <w:color w:val="auto"/>
          <w:highlight w:val="none"/>
          <w:u w:val="single"/>
          <w:lang w:eastAsia="zh-CN"/>
        </w:rPr>
        <w:t>2</w:t>
      </w:r>
      <w:r>
        <w:rPr>
          <w:rFonts w:hint="eastAsia" w:ascii="仿宋" w:hAnsi="仿宋" w:eastAsia="仿宋" w:cs="仿宋"/>
          <w:color w:val="auto"/>
          <w:highlight w:val="none"/>
          <w:lang w:eastAsia="zh-CN"/>
        </w:rPr>
        <w:t>年；</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6．其他项目</w:t>
      </w:r>
      <w:r>
        <w:rPr>
          <w:rFonts w:hint="eastAsia" w:ascii="仿宋" w:hAnsi="仿宋" w:eastAsia="仿宋" w:cs="仿宋"/>
          <w:color w:val="auto"/>
          <w:highlight w:val="none"/>
          <w:u w:val="single"/>
          <w:lang w:eastAsia="zh-CN"/>
        </w:rPr>
        <w:t xml:space="preserve">   /   </w:t>
      </w:r>
      <w:r>
        <w:rPr>
          <w:rFonts w:hint="eastAsia" w:ascii="仿宋" w:hAnsi="仿宋" w:eastAsia="仿宋" w:cs="仿宋"/>
          <w:color w:val="auto"/>
          <w:highlight w:val="none"/>
          <w:lang w:eastAsia="zh-CN"/>
        </w:rPr>
        <w:t>。</w:t>
      </w:r>
    </w:p>
    <w:p>
      <w:pPr>
        <w:adjustRightInd w:val="0"/>
        <w:snapToGrid w:val="0"/>
        <w:spacing w:line="324" w:lineRule="auto"/>
        <w:ind w:firstLine="480" w:firstLineChars="200"/>
        <w:rPr>
          <w:rFonts w:ascii="仿宋" w:hAnsi="仿宋" w:eastAsia="仿宋"/>
          <w:color w:val="auto"/>
          <w:highlight w:val="none"/>
          <w:lang w:eastAsia="zh-CN"/>
        </w:rPr>
      </w:pPr>
    </w:p>
    <w:p>
      <w:pPr>
        <w:adjustRightInd w:val="0"/>
        <w:snapToGrid w:val="0"/>
        <w:spacing w:line="324" w:lineRule="auto"/>
        <w:ind w:left="48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3． </w:t>
      </w:r>
      <w:r>
        <w:rPr>
          <w:rFonts w:hint="eastAsia" w:ascii="仿宋" w:hAnsi="仿宋" w:eastAsia="仿宋" w:cs="仿宋"/>
          <w:b/>
          <w:bCs/>
          <w:color w:val="auto"/>
          <w:highlight w:val="none"/>
          <w:lang w:eastAsia="zh-CN"/>
        </w:rPr>
        <w:t>质量保修责任</w:t>
      </w:r>
    </w:p>
    <w:p>
      <w:pPr>
        <w:adjustRightInd w:val="0"/>
        <w:snapToGrid w:val="0"/>
        <w:spacing w:line="324" w:lineRule="auto"/>
        <w:ind w:firstLine="220" w:firstLineChars="200"/>
        <w:rPr>
          <w:rFonts w:ascii="仿宋" w:hAnsi="仿宋" w:eastAsia="仿宋"/>
          <w:color w:val="auto"/>
          <w:sz w:val="11"/>
          <w:szCs w:val="11"/>
          <w:highlight w:val="none"/>
          <w:lang w:eastAsia="zh-CN"/>
        </w:rPr>
      </w:pPr>
    </w:p>
    <w:p>
      <w:pPr>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3.1  </w:t>
      </w:r>
      <w:r>
        <w:rPr>
          <w:rFonts w:hint="eastAsia" w:ascii="仿宋" w:hAnsi="仿宋" w:eastAsia="仿宋" w:cs="仿宋"/>
          <w:color w:val="auto"/>
          <w:highlight w:val="none"/>
          <w:lang w:val="zh-CN" w:eastAsia="zh-CN"/>
        </w:rPr>
        <w:t>属于保修范围的项目，承包人应在接到发包人通知后的</w:t>
      </w:r>
      <w:r>
        <w:rPr>
          <w:rFonts w:hint="eastAsia" w:ascii="仿宋" w:hAnsi="仿宋" w:eastAsia="仿宋" w:cs="仿宋"/>
          <w:color w:val="auto"/>
          <w:highlight w:val="none"/>
          <w:lang w:eastAsia="zh-CN"/>
        </w:rPr>
        <w:t>7</w:t>
      </w:r>
      <w:r>
        <w:rPr>
          <w:rFonts w:hint="eastAsia" w:ascii="仿宋" w:hAnsi="仿宋" w:eastAsia="仿宋" w:cs="仿宋"/>
          <w:color w:val="auto"/>
          <w:highlight w:val="none"/>
          <w:lang w:val="zh-CN" w:eastAsia="zh-CN"/>
        </w:rPr>
        <w:t>天内派人保修。承包人未能在规定时间内派人保修的，发包人可自行或委托第三方保修。</w:t>
      </w:r>
      <w:r>
        <w:rPr>
          <w:rFonts w:hint="eastAsia" w:ascii="仿宋" w:hAnsi="仿宋" w:eastAsia="仿宋" w:cs="仿宋"/>
          <w:color w:val="auto"/>
          <w:highlight w:val="none"/>
          <w:lang w:val="zh-CN" w:eastAsia="zh-CN" w:bidi="ar"/>
        </w:rPr>
        <w:t>因发包人自行或委托第三方保修而产生的费用承包人承担。</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3.2  发生紧急抢修事故的，承包人在接到通知后，应立即到达事故现场抢修。</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3.3  在国家规定的工程合理使用期限内，承包人应确保地基基础工程和主体结构的质量和安全。凡出现其质量问题，应立即报告当地建设行政主管部门，由承包人或具有相应资质等级的设计单位提出保修方案后，承包人应立即实施保修。</w:t>
      </w: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3.4  质量保修完成后，由发包人组织验收。</w:t>
      </w:r>
    </w:p>
    <w:p>
      <w:pPr>
        <w:adjustRightInd w:val="0"/>
        <w:snapToGrid w:val="0"/>
        <w:spacing w:line="324" w:lineRule="auto"/>
        <w:ind w:firstLine="480" w:firstLineChars="200"/>
        <w:rPr>
          <w:rFonts w:ascii="仿宋" w:hAnsi="仿宋" w:eastAsia="仿宋"/>
          <w:color w:val="auto"/>
          <w:highlight w:val="none"/>
          <w:lang w:eastAsia="zh-CN"/>
        </w:rPr>
      </w:pPr>
    </w:p>
    <w:p>
      <w:pPr>
        <w:adjustRightInd w:val="0"/>
        <w:snapToGrid w:val="0"/>
        <w:spacing w:line="324" w:lineRule="auto"/>
        <w:ind w:left="480"/>
        <w:rPr>
          <w:rFonts w:ascii="仿宋" w:hAnsi="仿宋" w:eastAsia="仿宋"/>
          <w:color w:val="auto"/>
          <w:highlight w:val="none"/>
          <w:lang w:eastAsia="zh-CN"/>
        </w:rPr>
      </w:pPr>
      <w:r>
        <w:rPr>
          <w:rFonts w:hint="eastAsia" w:ascii="仿宋" w:hAnsi="仿宋" w:eastAsia="仿宋" w:cs="仿宋"/>
          <w:color w:val="auto"/>
          <w:highlight w:val="none"/>
          <w:lang w:eastAsia="zh-CN"/>
        </w:rPr>
        <w:t>4．</w:t>
      </w:r>
      <w:r>
        <w:rPr>
          <w:rFonts w:hint="eastAsia" w:ascii="仿宋" w:hAnsi="仿宋" w:eastAsia="仿宋" w:cs="仿宋"/>
          <w:b/>
          <w:bCs/>
          <w:color w:val="auto"/>
          <w:highlight w:val="none"/>
          <w:lang w:eastAsia="zh-CN"/>
        </w:rPr>
        <w:t>质量保修费用</w:t>
      </w:r>
    </w:p>
    <w:p>
      <w:pPr>
        <w:adjustRightInd w:val="0"/>
        <w:snapToGrid w:val="0"/>
        <w:spacing w:line="324" w:lineRule="auto"/>
        <w:ind w:firstLine="220" w:firstLineChars="200"/>
        <w:rPr>
          <w:rFonts w:ascii="仿宋" w:hAnsi="仿宋" w:eastAsia="仿宋"/>
          <w:color w:val="auto"/>
          <w:sz w:val="11"/>
          <w:szCs w:val="11"/>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val="zh-CN" w:eastAsia="zh-CN"/>
        </w:rPr>
        <w:t>质量保修等费用，由承包人承担</w:t>
      </w:r>
      <w:r>
        <w:rPr>
          <w:rFonts w:hint="eastAsia" w:ascii="仿宋" w:hAnsi="仿宋" w:eastAsia="仿宋" w:cs="仿宋"/>
          <w:color w:val="auto"/>
          <w:highlight w:val="none"/>
          <w:lang w:eastAsia="zh-CN"/>
        </w:rPr>
        <w:t>。</w:t>
      </w:r>
    </w:p>
    <w:p>
      <w:pPr>
        <w:adjustRightInd w:val="0"/>
        <w:snapToGrid w:val="0"/>
        <w:spacing w:line="324" w:lineRule="auto"/>
        <w:ind w:firstLine="480" w:firstLineChars="200"/>
        <w:rPr>
          <w:rFonts w:ascii="仿宋" w:hAnsi="仿宋" w:eastAsia="仿宋"/>
          <w:color w:val="auto"/>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5．</w:t>
      </w:r>
      <w:r>
        <w:rPr>
          <w:rFonts w:hint="eastAsia" w:ascii="仿宋" w:hAnsi="仿宋" w:eastAsia="仿宋" w:cs="仿宋"/>
          <w:b/>
          <w:bCs/>
          <w:color w:val="auto"/>
          <w:highlight w:val="none"/>
          <w:lang w:eastAsia="zh-CN"/>
        </w:rPr>
        <w:t>质量保证金</w:t>
      </w:r>
    </w:p>
    <w:p>
      <w:pPr>
        <w:adjustRightInd w:val="0"/>
        <w:snapToGrid w:val="0"/>
        <w:spacing w:line="324" w:lineRule="auto"/>
        <w:ind w:firstLine="220" w:firstLineChars="200"/>
        <w:rPr>
          <w:rFonts w:ascii="仿宋" w:hAnsi="仿宋" w:eastAsia="仿宋"/>
          <w:color w:val="auto"/>
          <w:sz w:val="11"/>
          <w:szCs w:val="11"/>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val="zh-CN" w:eastAsia="zh-CN"/>
        </w:rPr>
        <w:t>质量保证金的约定、支付和使用与本合同第二部分《通用条款》第</w:t>
      </w:r>
      <w:r>
        <w:rPr>
          <w:rFonts w:hint="eastAsia" w:ascii="仿宋" w:hAnsi="仿宋" w:eastAsia="仿宋" w:cs="仿宋"/>
          <w:color w:val="auto"/>
          <w:highlight w:val="none"/>
          <w:lang w:val="en-US" w:eastAsia="zh-CN"/>
        </w:rPr>
        <w:t>89</w:t>
      </w:r>
      <w:r>
        <w:rPr>
          <w:rFonts w:hint="eastAsia" w:ascii="仿宋" w:hAnsi="仿宋" w:eastAsia="仿宋" w:cs="仿宋"/>
          <w:color w:val="auto"/>
          <w:highlight w:val="none"/>
          <w:lang w:val="zh-CN" w:eastAsia="zh-CN"/>
        </w:rPr>
        <w:t>条赋予的约定</w:t>
      </w:r>
      <w:r>
        <w:rPr>
          <w:rFonts w:hint="eastAsia" w:ascii="仿宋" w:hAnsi="仿宋" w:eastAsia="仿宋" w:cs="仿宋"/>
          <w:color w:val="auto"/>
          <w:highlight w:val="none"/>
          <w:lang w:eastAsia="zh-CN"/>
        </w:rPr>
        <w:t>一致。</w:t>
      </w:r>
    </w:p>
    <w:p>
      <w:pPr>
        <w:adjustRightInd w:val="0"/>
        <w:snapToGrid w:val="0"/>
        <w:spacing w:line="324" w:lineRule="auto"/>
        <w:ind w:firstLine="480" w:firstLineChars="200"/>
        <w:rPr>
          <w:rFonts w:ascii="仿宋" w:hAnsi="仿宋" w:eastAsia="仿宋"/>
          <w:color w:val="auto"/>
          <w:highlight w:val="none"/>
          <w:lang w:eastAsia="zh-CN"/>
        </w:rPr>
      </w:pPr>
    </w:p>
    <w:p>
      <w:pPr>
        <w:adjustRightInd w:val="0"/>
        <w:snapToGrid w:val="0"/>
        <w:spacing w:line="324" w:lineRule="auto"/>
        <w:ind w:left="480"/>
        <w:rPr>
          <w:rFonts w:ascii="仿宋" w:hAnsi="仿宋" w:eastAsia="仿宋"/>
          <w:color w:val="auto"/>
          <w:highlight w:val="none"/>
          <w:lang w:eastAsia="zh-CN"/>
        </w:rPr>
      </w:pPr>
      <w:r>
        <w:rPr>
          <w:rFonts w:hint="eastAsia" w:ascii="仿宋" w:hAnsi="仿宋" w:eastAsia="仿宋" w:cs="仿宋"/>
          <w:color w:val="auto"/>
          <w:highlight w:val="none"/>
          <w:lang w:eastAsia="zh-CN"/>
        </w:rPr>
        <w:t>6．</w:t>
      </w:r>
      <w:r>
        <w:rPr>
          <w:rFonts w:hint="eastAsia" w:ascii="仿宋" w:hAnsi="仿宋" w:eastAsia="仿宋" w:cs="仿宋"/>
          <w:b/>
          <w:bCs/>
          <w:color w:val="auto"/>
          <w:highlight w:val="none"/>
          <w:lang w:eastAsia="zh-CN"/>
        </w:rPr>
        <w:t>其他</w:t>
      </w:r>
    </w:p>
    <w:p>
      <w:pPr>
        <w:adjustRightInd w:val="0"/>
        <w:snapToGrid w:val="0"/>
        <w:spacing w:line="324" w:lineRule="auto"/>
        <w:ind w:firstLine="220" w:firstLineChars="200"/>
        <w:rPr>
          <w:rFonts w:ascii="仿宋" w:hAnsi="仿宋" w:eastAsia="仿宋"/>
          <w:color w:val="auto"/>
          <w:sz w:val="11"/>
          <w:szCs w:val="11"/>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6.1  </w:t>
      </w:r>
      <w:r>
        <w:rPr>
          <w:rFonts w:hint="eastAsia" w:ascii="仿宋" w:hAnsi="仿宋" w:eastAsia="仿宋" w:cs="仿宋"/>
          <w:color w:val="auto"/>
          <w:highlight w:val="none"/>
          <w:lang w:val="zh-CN" w:eastAsia="zh-CN"/>
        </w:rPr>
        <w:t>合同双方当事人约定的其他质量保修事</w:t>
      </w:r>
      <w:r>
        <w:rPr>
          <w:rFonts w:hint="eastAsia" w:ascii="仿宋" w:hAnsi="仿宋" w:eastAsia="仿宋" w:cs="仿宋"/>
          <w:color w:val="auto"/>
          <w:highlight w:val="none"/>
          <w:lang w:eastAsia="zh-CN"/>
        </w:rPr>
        <w:t>项：</w:t>
      </w:r>
    </w:p>
    <w:p>
      <w:pPr>
        <w:adjustRightInd w:val="0"/>
        <w:snapToGrid w:val="0"/>
        <w:spacing w:line="324" w:lineRule="auto"/>
        <w:ind w:firstLine="220" w:firstLineChars="200"/>
        <w:rPr>
          <w:rFonts w:ascii="仿宋" w:hAnsi="仿宋" w:eastAsia="仿宋"/>
          <w:color w:val="auto"/>
          <w:sz w:val="11"/>
          <w:szCs w:val="11"/>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6.2  </w:t>
      </w:r>
      <w:r>
        <w:rPr>
          <w:rFonts w:hint="eastAsia" w:ascii="仿宋" w:hAnsi="仿宋" w:eastAsia="仿宋" w:cs="仿宋"/>
          <w:color w:val="auto"/>
          <w:highlight w:val="none"/>
          <w:lang w:val="zh-CN" w:eastAsia="zh-CN"/>
        </w:rPr>
        <w:t>本质量保修书，由合同双方当事人在承包人向发包人提交竣工验收申请报告时签署，作为本合同的附件</w:t>
      </w:r>
      <w:r>
        <w:rPr>
          <w:rFonts w:hint="eastAsia" w:ascii="仿宋" w:hAnsi="仿宋" w:eastAsia="仿宋" w:cs="仿宋"/>
          <w:color w:val="auto"/>
          <w:highlight w:val="none"/>
          <w:lang w:eastAsia="zh-CN"/>
        </w:rPr>
        <w:t>。</w:t>
      </w:r>
    </w:p>
    <w:p>
      <w:pPr>
        <w:adjustRightInd w:val="0"/>
        <w:snapToGrid w:val="0"/>
        <w:spacing w:line="324" w:lineRule="auto"/>
        <w:ind w:firstLine="480" w:firstLineChars="200"/>
        <w:rPr>
          <w:rFonts w:ascii="仿宋" w:hAnsi="仿宋" w:eastAsia="仿宋" w:cs="仿宋"/>
          <w:color w:val="auto"/>
          <w:highlight w:val="none"/>
          <w:lang w:val="zh-CN" w:eastAsia="zh-CN"/>
        </w:rPr>
      </w:pPr>
      <w:r>
        <w:rPr>
          <w:rFonts w:hint="eastAsia" w:ascii="仿宋" w:hAnsi="仿宋" w:eastAsia="仿宋" w:cs="仿宋"/>
          <w:color w:val="auto"/>
          <w:highlight w:val="none"/>
          <w:lang w:eastAsia="zh-CN"/>
        </w:rPr>
        <w:t xml:space="preserve">6.3  </w:t>
      </w:r>
      <w:r>
        <w:rPr>
          <w:rFonts w:hint="eastAsia" w:ascii="仿宋" w:hAnsi="仿宋" w:eastAsia="仿宋" w:cs="仿宋"/>
          <w:color w:val="auto"/>
          <w:highlight w:val="none"/>
          <w:lang w:val="zh-CN" w:eastAsia="zh-CN"/>
        </w:rPr>
        <w:t>本质量保修书，自合同双方当事人签署之日起生效，至质量保修期满后失效。</w:t>
      </w:r>
    </w:p>
    <w:p>
      <w:pPr>
        <w:adjustRightInd w:val="0"/>
        <w:snapToGrid w:val="0"/>
        <w:spacing w:line="324" w:lineRule="auto"/>
        <w:ind w:firstLine="480" w:firstLineChars="200"/>
        <w:rPr>
          <w:rFonts w:ascii="仿宋" w:hAnsi="仿宋" w:eastAsia="仿宋" w:cs="仿宋"/>
          <w:color w:val="auto"/>
          <w:highlight w:val="none"/>
          <w:lang w:val="zh-CN" w:eastAsia="zh-CN"/>
        </w:rPr>
      </w:pPr>
      <w:r>
        <w:rPr>
          <w:rFonts w:hint="eastAsia" w:ascii="仿宋" w:hAnsi="仿宋" w:eastAsia="仿宋" w:cs="仿宋"/>
          <w:color w:val="auto"/>
          <w:highlight w:val="none"/>
          <w:lang w:val="zh-CN" w:eastAsia="zh-CN"/>
        </w:rPr>
        <w:t>（</w:t>
      </w:r>
      <w:r>
        <w:rPr>
          <w:rFonts w:hint="eastAsia" w:ascii="仿宋" w:hAnsi="仿宋" w:eastAsia="仿宋" w:cs="仿宋"/>
          <w:color w:val="auto"/>
          <w:highlight w:val="none"/>
          <w:lang w:eastAsia="zh-CN"/>
        </w:rPr>
        <w:t>以下无正文</w:t>
      </w:r>
      <w:r>
        <w:rPr>
          <w:rFonts w:hint="eastAsia" w:ascii="仿宋" w:hAnsi="仿宋" w:eastAsia="仿宋" w:cs="仿宋"/>
          <w:color w:val="auto"/>
          <w:highlight w:val="none"/>
          <w:lang w:val="zh-CN" w:eastAsia="zh-CN"/>
        </w:rPr>
        <w:t>）</w:t>
      </w:r>
    </w:p>
    <w:p>
      <w:pPr>
        <w:rPr>
          <w:color w:val="auto"/>
          <w:highlight w:val="none"/>
          <w:lang w:eastAsia="zh-CN"/>
        </w:rPr>
      </w:pPr>
    </w:p>
    <w:tbl>
      <w:tblPr>
        <w:tblStyle w:val="41"/>
        <w:tblpPr w:leftFromText="180" w:rightFromText="180" w:vertAnchor="text" w:horzAnchor="page" w:tblpX="1682" w:tblpY="272"/>
        <w:tblOverlap w:val="never"/>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79"/>
        <w:gridCol w:w="2180"/>
        <w:gridCol w:w="2180"/>
        <w:gridCol w:w="21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发 包 人：（盖章）</w:t>
            </w:r>
          </w:p>
        </w:tc>
        <w:tc>
          <w:tcPr>
            <w:tcW w:w="2180"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olor w:val="auto"/>
                <w:highlight w:val="none"/>
                <w:lang w:eastAsia="zh-CN"/>
              </w:rPr>
              <w:t>广州花都城弘建设发展投资有限公司</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承包人（单一承包人或联合体牵头单位）：（盖章）</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359"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c>
          <w:tcPr>
            <w:tcW w:w="4360"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r>
    </w:tbl>
    <w:p>
      <w:pPr>
        <w:rPr>
          <w:color w:val="auto"/>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p>
    <w:p>
      <w:pPr>
        <w:rPr>
          <w:color w:val="auto"/>
          <w:highlight w:val="none"/>
          <w:lang w:eastAsia="zh-CN"/>
        </w:rPr>
      </w:pPr>
    </w:p>
    <w:p>
      <w:pPr>
        <w:rPr>
          <w:color w:val="auto"/>
          <w:highlight w:val="none"/>
          <w:lang w:eastAsia="zh-CN"/>
        </w:rPr>
      </w:pPr>
    </w:p>
    <w:tbl>
      <w:tblPr>
        <w:tblStyle w:val="4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79"/>
        <w:gridCol w:w="2180"/>
        <w:gridCol w:w="2180"/>
        <w:gridCol w:w="21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承包人（联合体成员单位）：（盖章）</w:t>
            </w:r>
          </w:p>
        </w:tc>
        <w:tc>
          <w:tcPr>
            <w:tcW w:w="2180"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w:t>
            </w:r>
          </w:p>
        </w:tc>
        <w:tc>
          <w:tcPr>
            <w:tcW w:w="2180"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承包人（联合体成员单位）：（盖章）</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359"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c>
          <w:tcPr>
            <w:tcW w:w="4360"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r>
    </w:tbl>
    <w:p>
      <w:pPr>
        <w:adjustRightInd w:val="0"/>
        <w:snapToGrid w:val="0"/>
        <w:spacing w:line="324" w:lineRule="auto"/>
        <w:ind w:firstLine="480" w:firstLineChars="200"/>
        <w:rPr>
          <w:rFonts w:ascii="仿宋" w:hAnsi="仿宋" w:eastAsia="仿宋"/>
          <w:color w:val="auto"/>
          <w:highlight w:val="none"/>
          <w:lang w:eastAsia="zh-CN"/>
        </w:rPr>
      </w:pPr>
    </w:p>
    <w:p>
      <w:pPr>
        <w:snapToGrid w:val="0"/>
        <w:spacing w:line="336" w:lineRule="auto"/>
        <w:rPr>
          <w:rFonts w:ascii="仿宋" w:hAnsi="仿宋" w:eastAsia="仿宋"/>
          <w:color w:val="auto"/>
          <w:highlight w:val="none"/>
        </w:rPr>
      </w:pPr>
    </w:p>
    <w:p>
      <w:pPr>
        <w:pStyle w:val="4"/>
        <w:rPr>
          <w:color w:val="auto"/>
          <w:highlight w:val="none"/>
        </w:rPr>
        <w:sectPr>
          <w:headerReference r:id="rId8" w:type="default"/>
          <w:footerReference r:id="rId9" w:type="default"/>
          <w:endnotePr>
            <w:numFmt w:val="decimal"/>
          </w:endnotePr>
          <w:pgSz w:w="11905" w:h="16838"/>
          <w:pgMar w:top="850" w:right="1701" w:bottom="850" w:left="1701" w:header="0" w:footer="283" w:gutter="0"/>
          <w:cols w:space="720" w:num="1"/>
        </w:sectPr>
      </w:pPr>
    </w:p>
    <w:p>
      <w:pPr>
        <w:spacing w:line="360" w:lineRule="auto"/>
        <w:outlineLvl w:val="1"/>
        <w:rPr>
          <w:rFonts w:ascii="仿宋" w:hAnsi="仿宋" w:eastAsia="仿宋"/>
          <w:b/>
          <w:bCs/>
          <w:color w:val="auto"/>
          <w:highlight w:val="none"/>
          <w:lang w:eastAsia="zh-CN"/>
        </w:rPr>
      </w:pPr>
      <w:bookmarkStart w:id="2027" w:name="_Toc365"/>
      <w:bookmarkStart w:id="2028" w:name="_Toc336"/>
      <w:bookmarkStart w:id="2029" w:name="_Toc22234"/>
      <w:bookmarkStart w:id="2030" w:name="_Toc25393"/>
      <w:bookmarkStart w:id="2031" w:name="_Toc28923"/>
      <w:bookmarkStart w:id="2032" w:name="_Toc11522"/>
      <w:bookmarkStart w:id="2033" w:name="_Toc17573"/>
      <w:bookmarkStart w:id="2034" w:name="_Toc20593"/>
      <w:r>
        <w:rPr>
          <w:rFonts w:hint="eastAsia" w:ascii="仿宋" w:hAnsi="仿宋" w:eastAsia="仿宋" w:cs="仿宋"/>
          <w:b/>
          <w:bCs/>
          <w:color w:val="auto"/>
          <w:highlight w:val="none"/>
        </w:rPr>
        <w:t>附件四</w:t>
      </w:r>
      <w:r>
        <w:rPr>
          <w:rFonts w:hint="eastAsia" w:ascii="仿宋" w:hAnsi="仿宋" w:eastAsia="仿宋" w:cs="仿宋"/>
          <w:b/>
          <w:bCs/>
          <w:color w:val="auto"/>
          <w:highlight w:val="none"/>
          <w:lang w:eastAsia="zh-CN"/>
        </w:rPr>
        <w:t>：</w:t>
      </w:r>
      <w:r>
        <w:rPr>
          <w:rFonts w:hint="eastAsia" w:ascii="仿宋" w:hAnsi="仿宋" w:eastAsia="仿宋" w:cs="仿宋"/>
          <w:b/>
          <w:bCs/>
          <w:color w:val="auto"/>
          <w:highlight w:val="none"/>
        </w:rPr>
        <w:t>廉政合同</w:t>
      </w:r>
      <w:bookmarkEnd w:id="2027"/>
      <w:bookmarkEnd w:id="2028"/>
      <w:bookmarkEnd w:id="2029"/>
      <w:bookmarkEnd w:id="2030"/>
      <w:bookmarkEnd w:id="2031"/>
      <w:bookmarkEnd w:id="2032"/>
      <w:bookmarkEnd w:id="2033"/>
      <w:bookmarkEnd w:id="2034"/>
    </w:p>
    <w:p>
      <w:pPr>
        <w:spacing w:line="360" w:lineRule="auto"/>
        <w:jc w:val="center"/>
        <w:rPr>
          <w:rFonts w:ascii="仿宋" w:hAnsi="仿宋" w:eastAsia="仿宋"/>
          <w:b/>
          <w:bCs/>
          <w:color w:val="auto"/>
          <w:sz w:val="36"/>
          <w:szCs w:val="36"/>
          <w:highlight w:val="none"/>
          <w:lang w:eastAsia="zh-CN"/>
        </w:rPr>
      </w:pPr>
      <w:r>
        <w:rPr>
          <w:rFonts w:hint="eastAsia" w:ascii="仿宋" w:hAnsi="仿宋" w:eastAsia="仿宋" w:cs="仿宋"/>
          <w:b/>
          <w:bCs/>
          <w:color w:val="auto"/>
          <w:sz w:val="36"/>
          <w:szCs w:val="36"/>
          <w:highlight w:val="none"/>
          <w:lang w:eastAsia="zh-CN"/>
        </w:rPr>
        <w:t>廉 政 合 同</w:t>
      </w:r>
    </w:p>
    <w:p>
      <w:pPr>
        <w:spacing w:line="360" w:lineRule="auto"/>
        <w:rPr>
          <w:rFonts w:ascii="仿宋" w:hAnsi="仿宋" w:eastAsia="仿宋"/>
          <w:color w:val="auto"/>
          <w:highlight w:val="none"/>
          <w:lang w:eastAsia="zh-CN"/>
        </w:rPr>
      </w:pP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发包人</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（全称）</w:t>
      </w:r>
      <w:r>
        <w:rPr>
          <w:rFonts w:hint="eastAsia" w:ascii="仿宋" w:hAnsi="仿宋" w:eastAsia="仿宋" w:cs="仿宋"/>
          <w:color w:val="auto"/>
          <w:highlight w:val="none"/>
          <w:u w:val="single"/>
          <w:lang w:eastAsia="zh-CN"/>
        </w:rPr>
        <w:t>广州花都城弘建设发展投资有限公司</w:t>
      </w:r>
    </w:p>
    <w:p>
      <w:pPr>
        <w:spacing w:line="360"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承包人</w:t>
      </w:r>
      <w:r>
        <w:rPr>
          <w:rFonts w:ascii="仿宋" w:hAnsi="仿宋" w:eastAsia="仿宋" w:cs="仿宋"/>
          <w:color w:val="auto"/>
          <w:highlight w:val="none"/>
          <w:lang w:eastAsia="zh-CN"/>
        </w:rPr>
        <w:t>:</w:t>
      </w:r>
      <w:r>
        <w:rPr>
          <w:rFonts w:hint="eastAsia" w:ascii="仿宋" w:hAnsi="仿宋" w:eastAsia="仿宋" w:cs="仿宋"/>
          <w:color w:val="auto"/>
          <w:highlight w:val="none"/>
          <w:lang w:eastAsia="zh-CN"/>
        </w:rPr>
        <w:t>（全称）</w:t>
      </w:r>
      <w:r>
        <w:rPr>
          <w:rFonts w:ascii="仿宋" w:hAnsi="仿宋" w:eastAsia="仿宋" w:cs="仿宋"/>
          <w:color w:val="auto"/>
          <w:highlight w:val="none"/>
          <w:u w:val="single"/>
          <w:lang w:eastAsia="zh-CN"/>
        </w:rPr>
        <w:t xml:space="preserve">              </w:t>
      </w:r>
      <w:r>
        <w:rPr>
          <w:rFonts w:hint="eastAsia" w:ascii="仿宋" w:hAnsi="仿宋" w:eastAsia="仿宋" w:cs="仿宋"/>
          <w:color w:val="auto"/>
          <w:highlight w:val="none"/>
          <w:u w:val="single"/>
          <w:lang w:eastAsia="zh-CN"/>
        </w:rPr>
        <w:t>/</w:t>
      </w:r>
      <w:r>
        <w:rPr>
          <w:rFonts w:ascii="仿宋" w:hAnsi="仿宋" w:eastAsia="仿宋" w:cs="仿宋"/>
          <w:color w:val="auto"/>
          <w:highlight w:val="none"/>
          <w:u w:val="single"/>
          <w:lang w:eastAsia="zh-CN"/>
        </w:rPr>
        <w:t xml:space="preserve">                 </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承包人（承包人为联合体时）：</w:t>
      </w:r>
    </w:p>
    <w:p>
      <w:pPr>
        <w:spacing w:line="360" w:lineRule="auto"/>
        <w:rPr>
          <w:rFonts w:ascii="仿宋" w:hAnsi="仿宋" w:eastAsia="仿宋"/>
          <w:color w:val="auto"/>
          <w:highlight w:val="none"/>
          <w:lang w:eastAsia="zh-CN"/>
        </w:rPr>
      </w:pPr>
      <w:r>
        <w:rPr>
          <w:rFonts w:hint="eastAsia" w:ascii="仿宋" w:hAnsi="仿宋" w:eastAsia="仿宋" w:cs="仿宋"/>
          <w:color w:val="auto"/>
          <w:highlight w:val="none"/>
          <w:lang w:eastAsia="zh-CN"/>
        </w:rPr>
        <w:t>(牵头单位全称)</w:t>
      </w:r>
      <w:r>
        <w:rPr>
          <w:rFonts w:hint="eastAsia" w:ascii="仿宋" w:hAnsi="仿宋" w:eastAsia="仿宋" w:cs="仿宋"/>
          <w:color w:val="auto"/>
          <w:highlight w:val="none"/>
          <w:u w:val="single"/>
          <w:lang w:eastAsia="zh-CN"/>
        </w:rPr>
        <w:t xml:space="preserve"> </w:t>
      </w:r>
    </w:p>
    <w:p>
      <w:pPr>
        <w:spacing w:line="360" w:lineRule="auto"/>
        <w:rPr>
          <w:rFonts w:ascii="仿宋" w:hAnsi="仿宋" w:eastAsia="仿宋" w:cs="仿宋"/>
          <w:color w:val="auto"/>
          <w:highlight w:val="none"/>
          <w:u w:val="single"/>
          <w:lang w:eastAsia="zh-CN"/>
        </w:rPr>
      </w:pPr>
      <w:r>
        <w:rPr>
          <w:rFonts w:hint="eastAsia" w:ascii="仿宋" w:hAnsi="仿宋" w:eastAsia="仿宋" w:cs="仿宋"/>
          <w:color w:val="auto"/>
          <w:highlight w:val="none"/>
          <w:lang w:eastAsia="zh-CN"/>
        </w:rPr>
        <w:t>(成员单位全称)</w:t>
      </w:r>
      <w:r>
        <w:rPr>
          <w:rFonts w:hint="eastAsia" w:ascii="仿宋" w:hAnsi="仿宋" w:eastAsia="仿宋" w:cs="仿宋"/>
          <w:color w:val="auto"/>
          <w:highlight w:val="none"/>
          <w:u w:val="single"/>
          <w:lang w:eastAsia="zh-CN"/>
        </w:rPr>
        <w:t xml:space="preserve">  </w:t>
      </w:r>
    </w:p>
    <w:p>
      <w:pPr>
        <w:spacing w:line="360" w:lineRule="auto"/>
        <w:rPr>
          <w:rFonts w:ascii="仿宋" w:hAnsi="仿宋" w:eastAsia="仿宋" w:cs="仿宋"/>
          <w:color w:val="auto"/>
          <w:highlight w:val="none"/>
          <w:lang w:eastAsia="zh-CN"/>
        </w:rPr>
      </w:pPr>
      <w:r>
        <w:rPr>
          <w:rFonts w:hint="eastAsia" w:ascii="仿宋" w:hAnsi="仿宋" w:eastAsia="仿宋" w:cs="仿宋"/>
          <w:color w:val="auto"/>
          <w:highlight w:val="none"/>
          <w:lang w:eastAsia="zh-CN"/>
        </w:rPr>
        <w:t>(成员单位全称)</w:t>
      </w:r>
      <w:r>
        <w:rPr>
          <w:rFonts w:hint="eastAsia" w:ascii="仿宋" w:hAnsi="仿宋" w:eastAsia="仿宋" w:cs="仿宋"/>
          <w:color w:val="auto"/>
          <w:highlight w:val="none"/>
          <w:u w:val="single"/>
          <w:lang w:eastAsia="zh-CN"/>
        </w:rPr>
        <w:t xml:space="preserve">   </w:t>
      </w:r>
    </w:p>
    <w:p>
      <w:pPr>
        <w:spacing w:line="360" w:lineRule="auto"/>
        <w:ind w:firstLine="480" w:firstLineChars="200"/>
        <w:rPr>
          <w:rFonts w:ascii="仿宋" w:hAnsi="仿宋" w:eastAsia="仿宋" w:cs="仿宋"/>
          <w:color w:val="auto"/>
          <w:highlight w:val="none"/>
          <w:lang w:val="zh-CN" w:eastAsia="zh-CN"/>
        </w:rPr>
      </w:pP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val="zh-CN" w:eastAsia="zh-CN"/>
        </w:rPr>
        <w:t>根据国家、省有关廉政建设的规定，为做好合同工程的廉政建设，保证工程质量与施工安全，提高建设资金的有效使用和投资效益，合同双方当事人就加强合同工程的廉政建设，订立本合同</w:t>
      </w:r>
      <w:r>
        <w:rPr>
          <w:rFonts w:hint="eastAsia" w:ascii="仿宋" w:hAnsi="仿宋" w:eastAsia="仿宋" w:cs="仿宋"/>
          <w:color w:val="auto"/>
          <w:highlight w:val="none"/>
          <w:lang w:eastAsia="zh-CN"/>
        </w:rPr>
        <w:t>。</w:t>
      </w:r>
    </w:p>
    <w:p>
      <w:pPr>
        <w:spacing w:line="360" w:lineRule="auto"/>
        <w:rPr>
          <w:rFonts w:ascii="仿宋" w:hAnsi="仿宋" w:eastAsia="仿宋"/>
          <w:b/>
          <w:bCs/>
          <w:color w:val="auto"/>
          <w:sz w:val="28"/>
          <w:szCs w:val="28"/>
          <w:highlight w:val="none"/>
          <w:lang w:eastAsia="zh-CN"/>
        </w:rPr>
      </w:pPr>
      <w:bookmarkStart w:id="2035" w:name="_Toc11148"/>
      <w:r>
        <w:rPr>
          <w:rFonts w:hint="eastAsia" w:ascii="仿宋" w:hAnsi="仿宋" w:eastAsia="仿宋" w:cs="仿宋"/>
          <w:b/>
          <w:bCs/>
          <w:color w:val="auto"/>
          <w:sz w:val="28"/>
          <w:szCs w:val="28"/>
          <w:highlight w:val="none"/>
          <w:lang w:eastAsia="zh-CN"/>
        </w:rPr>
        <w:t>1  双方权利和义务</w:t>
      </w:r>
      <w:bookmarkEnd w:id="2035"/>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1.1  严格遵守国家、省有关法律法规的规定。</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1.2  严格执行合同工程一切合同文件，自觉按合同办事。</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1.3  </w:t>
      </w:r>
      <w:r>
        <w:rPr>
          <w:rFonts w:hint="eastAsia" w:ascii="仿宋" w:hAnsi="仿宋" w:eastAsia="仿宋" w:cs="仿宋"/>
          <w:color w:val="auto"/>
          <w:highlight w:val="none"/>
          <w:lang w:val="zh-CN" w:eastAsia="zh-CN"/>
        </w:rPr>
        <w:t>合同双方当事人的业务活动应坚持公平、公开、公正和诚信的原则（法律认定的商业秘密和合同文件另有规定除外），不得损害国家和集体利益，不得违反工程建设管理规章制度</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1.4  建立健全廉政制度，开展廉政教育，设立廉政告示牌，公布举报电话，监督并认真查处违法违纪行为。</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1.5  发现对方在业务活动中有违反廉政建设规定的行为，应及时给予提醒和纠正。</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1.6  发现对方严重违反合同的行为，有向其主管部门举报、建议给予处理并要求告知处理结果的权利。没有主管部门的，</w:t>
      </w:r>
      <w:r>
        <w:rPr>
          <w:rFonts w:hint="eastAsia" w:ascii="仿宋" w:hAnsi="仿宋" w:eastAsia="仿宋" w:cs="仿宋"/>
          <w:color w:val="auto"/>
          <w:highlight w:val="none"/>
          <w:lang w:val="zh-CN" w:eastAsia="zh-CN"/>
        </w:rPr>
        <w:t>可按本</w:t>
      </w:r>
      <w:r>
        <w:rPr>
          <w:rFonts w:hint="eastAsia" w:ascii="仿宋" w:hAnsi="仿宋" w:eastAsia="仿宋" w:cs="仿宋"/>
          <w:color w:val="auto"/>
          <w:highlight w:val="none"/>
          <w:lang w:eastAsia="zh-CN"/>
        </w:rPr>
        <w:t>工程总承包</w:t>
      </w:r>
      <w:r>
        <w:rPr>
          <w:rFonts w:hint="eastAsia" w:ascii="仿宋" w:hAnsi="仿宋" w:eastAsia="仿宋" w:cs="仿宋"/>
          <w:color w:val="auto"/>
          <w:highlight w:val="none"/>
          <w:lang w:val="zh-CN" w:eastAsia="zh-CN"/>
        </w:rPr>
        <w:t>合同第二部分《通用条款》第</w:t>
      </w:r>
      <w:r>
        <w:rPr>
          <w:rFonts w:hint="eastAsia" w:ascii="仿宋" w:hAnsi="仿宋" w:eastAsia="仿宋" w:cs="仿宋"/>
          <w:color w:val="auto"/>
          <w:highlight w:val="none"/>
          <w:lang w:eastAsia="zh-CN"/>
        </w:rPr>
        <w:t xml:space="preserve"> 101</w:t>
      </w:r>
      <w:r>
        <w:rPr>
          <w:rFonts w:hint="eastAsia" w:ascii="仿宋" w:hAnsi="仿宋" w:eastAsia="仿宋" w:cs="仿宋"/>
          <w:color w:val="auto"/>
          <w:highlight w:val="none"/>
          <w:lang w:val="zh-CN" w:eastAsia="zh-CN"/>
        </w:rPr>
        <w:t>条约定处理</w:t>
      </w:r>
      <w:r>
        <w:rPr>
          <w:rFonts w:hint="eastAsia" w:ascii="仿宋" w:hAnsi="仿宋" w:eastAsia="仿宋" w:cs="仿宋"/>
          <w:color w:val="auto"/>
          <w:highlight w:val="none"/>
          <w:lang w:eastAsia="zh-CN"/>
        </w:rPr>
        <w:t>。</w:t>
      </w:r>
    </w:p>
    <w:p>
      <w:pPr>
        <w:spacing w:line="360" w:lineRule="auto"/>
        <w:rPr>
          <w:rFonts w:ascii="仿宋" w:hAnsi="仿宋" w:eastAsia="仿宋"/>
          <w:b/>
          <w:bCs/>
          <w:color w:val="auto"/>
          <w:sz w:val="28"/>
          <w:szCs w:val="28"/>
          <w:highlight w:val="none"/>
          <w:lang w:eastAsia="zh-CN"/>
        </w:rPr>
      </w:pPr>
      <w:bookmarkStart w:id="2036" w:name="_Toc18074"/>
      <w:r>
        <w:rPr>
          <w:rFonts w:hint="eastAsia" w:ascii="仿宋" w:hAnsi="仿宋" w:eastAsia="仿宋" w:cs="仿宋"/>
          <w:b/>
          <w:bCs/>
          <w:color w:val="auto"/>
          <w:sz w:val="28"/>
          <w:szCs w:val="28"/>
          <w:highlight w:val="none"/>
          <w:lang w:eastAsia="zh-CN"/>
        </w:rPr>
        <w:t>2  发包人义务</w:t>
      </w:r>
      <w:bookmarkEnd w:id="2036"/>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2.1  发包人及其工作人员不得索要或接受承包人的礼金、有价证券和贵重物品，不得在承包人报销任何应由发包人或工作人员个人支付的费用等。</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2.2  发包人及其工作人员不得参加承包人安排的宴请（工作餐除外）和娱乐活动；不得接受承包人提供的通讯工具、交通工具和高档办公用品等。</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2.3  发包人及其工作人员不得要求或者接受承包人为其住房装修、婚丧嫁娶活动、配偶子女的工作安排以及出国出境、旅游等提供方便等。</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2.4  </w:t>
      </w:r>
      <w:r>
        <w:rPr>
          <w:rFonts w:hint="eastAsia" w:ascii="仿宋" w:hAnsi="仿宋" w:eastAsia="仿宋" w:cs="仿宋"/>
          <w:color w:val="auto"/>
          <w:highlight w:val="none"/>
          <w:lang w:val="zh-CN" w:eastAsia="zh-CN"/>
        </w:rPr>
        <w:t>发包人及其工作人员不得以任何理由向承包人推荐分包人、推销工程材料和工程设备，不得要求承包人购买合同以外的工程材料和工程设备</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2.5  </w:t>
      </w:r>
      <w:r>
        <w:rPr>
          <w:rFonts w:hint="eastAsia" w:ascii="仿宋" w:hAnsi="仿宋" w:eastAsia="仿宋" w:cs="仿宋"/>
          <w:color w:val="auto"/>
          <w:highlight w:val="none"/>
          <w:lang w:val="zh-CN" w:eastAsia="zh-CN"/>
        </w:rPr>
        <w:t>发包人及其工作人员要秉公办事，不准营私舞弊，不准利用职权私自为合同工程安排施工队伍，也不得从事与合同工程有关的各种有偿中介活动</w:t>
      </w:r>
      <w:r>
        <w:rPr>
          <w:rFonts w:hint="eastAsia" w:ascii="仿宋" w:hAnsi="仿宋" w:eastAsia="仿宋" w:cs="仿宋"/>
          <w:color w:val="auto"/>
          <w:highlight w:val="none"/>
          <w:lang w:eastAsia="zh-CN"/>
        </w:rPr>
        <w:t>。</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2.6  </w:t>
      </w:r>
      <w:r>
        <w:rPr>
          <w:rFonts w:hint="eastAsia" w:ascii="仿宋" w:hAnsi="仿宋" w:eastAsia="仿宋" w:cs="仿宋"/>
          <w:color w:val="auto"/>
          <w:highlight w:val="none"/>
          <w:lang w:val="zh-CN" w:eastAsia="zh-CN"/>
        </w:rPr>
        <w:t>发包人及其工作人员（含其配偶、子女）不得从事与合同工程有关的工程材料和工程设备供应、工程分包、劳务等经济活动</w:t>
      </w:r>
      <w:r>
        <w:rPr>
          <w:rFonts w:hint="eastAsia" w:ascii="仿宋" w:hAnsi="仿宋" w:eastAsia="仿宋" w:cs="仿宋"/>
          <w:color w:val="auto"/>
          <w:highlight w:val="none"/>
          <w:lang w:eastAsia="zh-CN"/>
        </w:rPr>
        <w:t>。</w:t>
      </w:r>
    </w:p>
    <w:p>
      <w:pPr>
        <w:spacing w:line="360" w:lineRule="auto"/>
        <w:rPr>
          <w:rFonts w:ascii="仿宋" w:hAnsi="仿宋" w:eastAsia="仿宋"/>
          <w:b/>
          <w:bCs/>
          <w:color w:val="auto"/>
          <w:sz w:val="28"/>
          <w:szCs w:val="28"/>
          <w:highlight w:val="none"/>
          <w:lang w:eastAsia="zh-CN"/>
        </w:rPr>
      </w:pPr>
      <w:bookmarkStart w:id="2037" w:name="_Toc14380"/>
      <w:r>
        <w:rPr>
          <w:rFonts w:hint="eastAsia" w:ascii="仿宋" w:hAnsi="仿宋" w:eastAsia="仿宋" w:cs="仿宋"/>
          <w:b/>
          <w:bCs/>
          <w:color w:val="auto"/>
          <w:sz w:val="28"/>
          <w:szCs w:val="28"/>
          <w:highlight w:val="none"/>
          <w:lang w:eastAsia="zh-CN"/>
        </w:rPr>
        <w:t>3  承包人义务</w:t>
      </w:r>
      <w:bookmarkEnd w:id="2037"/>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3.1  承包人不得以任何理由向发包人及其工作人员行贿或馈赠礼金、有价证券、贵重礼品。</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3.2  承包人不得以任何名义为发包人及其工作人员报销应由发包人或工作人员个人支付的任何费用。</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3.3  承包人不得以任何理由安排发包人及其工作人员参加宴请（工作餐除外）及娱乐活动。</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3.4  承包人不得为发包人和个人购置或提供通讯工具、交通工具和高档办公用品等。</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3.5  </w:t>
      </w:r>
      <w:r>
        <w:rPr>
          <w:rFonts w:hint="eastAsia" w:ascii="仿宋" w:hAnsi="仿宋" w:eastAsia="仿宋" w:cs="仿宋"/>
          <w:color w:val="auto"/>
          <w:highlight w:val="none"/>
          <w:lang w:val="zh-CN" w:eastAsia="zh-CN"/>
        </w:rPr>
        <w:t>承包人不得为发包人及其工作人员的住房装修、婚丧嫁娶活动、配偶子女工作安排以及出国出境、旅游等提供方便。</w:t>
      </w:r>
    </w:p>
    <w:p>
      <w:pPr>
        <w:spacing w:line="360" w:lineRule="auto"/>
        <w:rPr>
          <w:rFonts w:ascii="仿宋" w:hAnsi="仿宋" w:eastAsia="仿宋"/>
          <w:b/>
          <w:bCs/>
          <w:color w:val="auto"/>
          <w:sz w:val="28"/>
          <w:szCs w:val="28"/>
          <w:highlight w:val="none"/>
          <w:lang w:eastAsia="zh-CN"/>
        </w:rPr>
      </w:pPr>
      <w:bookmarkStart w:id="2038" w:name="_Toc8886"/>
      <w:r>
        <w:rPr>
          <w:rFonts w:hint="eastAsia" w:ascii="仿宋" w:hAnsi="仿宋" w:eastAsia="仿宋" w:cs="仿宋"/>
          <w:b/>
          <w:bCs/>
          <w:color w:val="auto"/>
          <w:sz w:val="28"/>
          <w:szCs w:val="28"/>
          <w:highlight w:val="none"/>
          <w:lang w:eastAsia="zh-CN"/>
        </w:rPr>
        <w:t>4  违约责任</w:t>
      </w:r>
      <w:bookmarkEnd w:id="2038"/>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4.1  发包人及其工作人员违反本合同第1条和第2条约定，应依据有关规定给予廉政建设规定的处分；涉嫌犯罪的，移交司法机关追究刑事责任；给承包人造成经济损失的，应予赔偿。</w:t>
      </w:r>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 xml:space="preserve">4.2  </w:t>
      </w:r>
      <w:r>
        <w:rPr>
          <w:rFonts w:hint="eastAsia" w:ascii="仿宋" w:hAnsi="仿宋" w:eastAsia="仿宋" w:cs="仿宋"/>
          <w:color w:val="auto"/>
          <w:highlight w:val="none"/>
          <w:lang w:val="zh-CN" w:eastAsia="zh-CN"/>
        </w:rPr>
        <w:t>承包人及其工作人员违反本合同第</w:t>
      </w:r>
      <w:r>
        <w:rPr>
          <w:rFonts w:hint="eastAsia" w:ascii="仿宋" w:hAnsi="仿宋" w:eastAsia="仿宋" w:cs="仿宋"/>
          <w:color w:val="auto"/>
          <w:highlight w:val="none"/>
          <w:lang w:eastAsia="zh-CN"/>
        </w:rPr>
        <w:t>1</w:t>
      </w:r>
      <w:r>
        <w:rPr>
          <w:rFonts w:hint="eastAsia" w:ascii="仿宋" w:hAnsi="仿宋" w:eastAsia="仿宋" w:cs="仿宋"/>
          <w:color w:val="auto"/>
          <w:highlight w:val="none"/>
          <w:lang w:val="zh-CN" w:eastAsia="zh-CN"/>
        </w:rPr>
        <w:t>条和第</w:t>
      </w:r>
      <w:r>
        <w:rPr>
          <w:rFonts w:hint="eastAsia" w:ascii="仿宋" w:hAnsi="仿宋" w:eastAsia="仿宋" w:cs="仿宋"/>
          <w:color w:val="auto"/>
          <w:highlight w:val="none"/>
          <w:lang w:eastAsia="zh-CN"/>
        </w:rPr>
        <w:t>3</w:t>
      </w:r>
      <w:r>
        <w:rPr>
          <w:rFonts w:hint="eastAsia" w:ascii="仿宋" w:hAnsi="仿宋" w:eastAsia="仿宋" w:cs="仿宋"/>
          <w:color w:val="auto"/>
          <w:highlight w:val="none"/>
          <w:lang w:val="zh-CN" w:eastAsia="zh-CN"/>
        </w:rPr>
        <w:t>条约定，应按照廉政建设的有关规定给予处分；涉嫌犯罪的，移交司法机关追究刑事责任；给发包人造成损失的，应予赔偿。</w:t>
      </w:r>
    </w:p>
    <w:p>
      <w:pPr>
        <w:spacing w:line="360" w:lineRule="auto"/>
        <w:rPr>
          <w:rFonts w:ascii="仿宋" w:hAnsi="仿宋" w:eastAsia="仿宋"/>
          <w:b/>
          <w:bCs/>
          <w:color w:val="auto"/>
          <w:sz w:val="28"/>
          <w:szCs w:val="28"/>
          <w:highlight w:val="none"/>
          <w:lang w:eastAsia="zh-CN"/>
        </w:rPr>
      </w:pPr>
      <w:bookmarkStart w:id="2039" w:name="_Toc20236"/>
      <w:r>
        <w:rPr>
          <w:rFonts w:hint="eastAsia" w:ascii="仿宋" w:hAnsi="仿宋" w:eastAsia="仿宋" w:cs="仿宋"/>
          <w:b/>
          <w:bCs/>
          <w:color w:val="auto"/>
          <w:sz w:val="28"/>
          <w:szCs w:val="28"/>
          <w:highlight w:val="none"/>
          <w:lang w:eastAsia="zh-CN"/>
        </w:rPr>
        <w:t>5  双方约定</w:t>
      </w:r>
      <w:bookmarkEnd w:id="2039"/>
    </w:p>
    <w:p>
      <w:pPr>
        <w:pStyle w:val="18"/>
        <w:spacing w:line="360" w:lineRule="auto"/>
        <w:ind w:firstLine="480" w:firstLineChars="200"/>
        <w:rPr>
          <w:rFonts w:ascii="仿宋" w:hAnsi="仿宋" w:eastAsia="仿宋"/>
          <w:color w:val="auto"/>
          <w:sz w:val="24"/>
          <w:szCs w:val="24"/>
          <w:highlight w:val="none"/>
          <w:lang w:eastAsia="zh-CN"/>
        </w:rPr>
      </w:pPr>
      <w:r>
        <w:rPr>
          <w:rFonts w:hint="eastAsia" w:ascii="仿宋" w:hAnsi="仿宋" w:eastAsia="仿宋" w:cs="仿宋"/>
          <w:color w:val="auto"/>
          <w:sz w:val="24"/>
          <w:szCs w:val="24"/>
          <w:highlight w:val="none"/>
          <w:lang w:val="zh-CN" w:eastAsia="zh-CN"/>
        </w:rPr>
        <w:t>本合同由合同双方当事人或其主管部门负责监督执行</w:t>
      </w:r>
      <w:r>
        <w:rPr>
          <w:rFonts w:hint="eastAsia" w:ascii="仿宋" w:hAnsi="仿宋" w:eastAsia="仿宋" w:cs="仿宋"/>
          <w:color w:val="auto"/>
          <w:sz w:val="24"/>
          <w:szCs w:val="24"/>
          <w:highlight w:val="none"/>
          <w:lang w:eastAsia="zh-CN"/>
        </w:rPr>
        <w:t>。</w:t>
      </w:r>
    </w:p>
    <w:p>
      <w:pPr>
        <w:spacing w:line="360" w:lineRule="auto"/>
        <w:rPr>
          <w:rFonts w:ascii="仿宋" w:hAnsi="仿宋" w:eastAsia="仿宋"/>
          <w:b/>
          <w:bCs/>
          <w:color w:val="auto"/>
          <w:sz w:val="28"/>
          <w:szCs w:val="28"/>
          <w:highlight w:val="none"/>
          <w:lang w:eastAsia="zh-CN"/>
        </w:rPr>
      </w:pPr>
      <w:bookmarkStart w:id="2040" w:name="_Toc18718"/>
      <w:r>
        <w:rPr>
          <w:rFonts w:hint="eastAsia" w:ascii="仿宋" w:hAnsi="仿宋" w:eastAsia="仿宋" w:cs="仿宋"/>
          <w:b/>
          <w:bCs/>
          <w:color w:val="auto"/>
          <w:sz w:val="28"/>
          <w:szCs w:val="28"/>
          <w:highlight w:val="none"/>
          <w:lang w:eastAsia="zh-CN"/>
        </w:rPr>
        <w:t>6  合同法律效力</w:t>
      </w:r>
      <w:bookmarkEnd w:id="2040"/>
    </w:p>
    <w:p>
      <w:pPr>
        <w:spacing w:line="360" w:lineRule="auto"/>
        <w:ind w:firstLine="480" w:firstLineChars="200"/>
        <w:rPr>
          <w:rFonts w:ascii="仿宋" w:hAnsi="仿宋" w:eastAsia="仿宋"/>
          <w:color w:val="auto"/>
          <w:highlight w:val="none"/>
          <w:lang w:eastAsia="zh-CN"/>
        </w:rPr>
      </w:pPr>
      <w:r>
        <w:rPr>
          <w:rFonts w:hint="eastAsia" w:ascii="仿宋" w:hAnsi="仿宋" w:eastAsia="仿宋" w:cs="仿宋"/>
          <w:color w:val="auto"/>
          <w:highlight w:val="none"/>
          <w:lang w:eastAsia="zh-CN"/>
        </w:rPr>
        <w:t>本合同作为</w:t>
      </w:r>
      <w:r>
        <w:rPr>
          <w:rFonts w:hint="eastAsia" w:ascii="仿宋" w:hAnsi="仿宋" w:eastAsia="仿宋" w:cs="仿宋"/>
          <w:color w:val="auto"/>
          <w:highlight w:val="none"/>
          <w:u w:val="single"/>
          <w:lang w:eastAsia="zh"/>
        </w:rPr>
        <w:t>先进制造产业园A1地块分地块五、六建设项目</w:t>
      </w:r>
      <w:r>
        <w:rPr>
          <w:rFonts w:hint="eastAsia" w:ascii="仿宋" w:hAnsi="仿宋" w:eastAsia="仿宋" w:cs="仿宋"/>
          <w:color w:val="auto"/>
          <w:highlight w:val="none"/>
          <w:u w:val="single"/>
          <w:lang w:eastAsia="zh-CN"/>
        </w:rPr>
        <w:t>勘察设计施工总承包及运营项目</w:t>
      </w:r>
      <w:r>
        <w:rPr>
          <w:rFonts w:hint="eastAsia" w:ascii="仿宋" w:hAnsi="仿宋" w:eastAsia="仿宋" w:cs="仿宋"/>
          <w:color w:val="auto"/>
          <w:highlight w:val="none"/>
          <w:lang w:eastAsia="zh-CN"/>
        </w:rPr>
        <w:t>（工程名称）工程总承包合同的附件，与工程总承包合同具有同等的法律效力。</w:t>
      </w:r>
    </w:p>
    <w:p>
      <w:pPr>
        <w:spacing w:line="360" w:lineRule="auto"/>
        <w:rPr>
          <w:rFonts w:ascii="仿宋" w:hAnsi="仿宋" w:eastAsia="仿宋"/>
          <w:b/>
          <w:bCs/>
          <w:color w:val="auto"/>
          <w:sz w:val="28"/>
          <w:szCs w:val="28"/>
          <w:highlight w:val="none"/>
          <w:lang w:eastAsia="zh-CN"/>
        </w:rPr>
      </w:pPr>
      <w:bookmarkStart w:id="2041" w:name="_Toc21722"/>
      <w:r>
        <w:rPr>
          <w:rFonts w:hint="eastAsia" w:ascii="仿宋" w:hAnsi="仿宋" w:eastAsia="仿宋" w:cs="仿宋"/>
          <w:b/>
          <w:bCs/>
          <w:color w:val="auto"/>
          <w:sz w:val="28"/>
          <w:szCs w:val="28"/>
          <w:highlight w:val="none"/>
          <w:lang w:eastAsia="zh-CN"/>
        </w:rPr>
        <w:t>7  合同份数</w:t>
      </w:r>
      <w:bookmarkEnd w:id="2041"/>
    </w:p>
    <w:p>
      <w:pPr>
        <w:spacing w:line="360" w:lineRule="auto"/>
        <w:ind w:firstLine="480" w:firstLineChars="200"/>
        <w:rPr>
          <w:rFonts w:ascii="仿宋" w:hAnsi="仿宋" w:eastAsia="仿宋" w:cs="仿宋"/>
          <w:color w:val="auto"/>
          <w:highlight w:val="none"/>
          <w:lang w:eastAsia="zh-CN"/>
        </w:rPr>
      </w:pPr>
      <w:r>
        <w:rPr>
          <w:rFonts w:hint="eastAsia" w:ascii="仿宋" w:hAnsi="仿宋" w:eastAsia="仿宋" w:cs="仿宋"/>
          <w:color w:val="auto"/>
          <w:highlight w:val="none"/>
          <w:lang w:eastAsia="zh-CN"/>
        </w:rPr>
        <w:t>本合同一式</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份，合同双方当事人各执</w:t>
      </w:r>
      <w:r>
        <w:rPr>
          <w:rFonts w:hint="eastAsia" w:ascii="仿宋" w:hAnsi="仿宋" w:eastAsia="仿宋" w:cs="仿宋"/>
          <w:color w:val="auto"/>
          <w:highlight w:val="none"/>
          <w:lang w:eastAsia="zh"/>
        </w:rPr>
        <w:t xml:space="preserve">  </w:t>
      </w:r>
      <w:r>
        <w:rPr>
          <w:rFonts w:hint="eastAsia" w:ascii="仿宋" w:hAnsi="仿宋" w:eastAsia="仿宋" w:cs="仿宋"/>
          <w:color w:val="auto"/>
          <w:highlight w:val="none"/>
          <w:lang w:eastAsia="zh-CN"/>
        </w:rPr>
        <w:t>份。有上级部门的，合同双方当事人应送交其上级部门各一份。</w:t>
      </w:r>
    </w:p>
    <w:p>
      <w:pPr>
        <w:rPr>
          <w:color w:val="auto"/>
          <w:highlight w:val="none"/>
          <w:lang w:eastAsia="zh-CN"/>
        </w:rPr>
      </w:pPr>
    </w:p>
    <w:tbl>
      <w:tblPr>
        <w:tblStyle w:val="41"/>
        <w:tblpPr w:leftFromText="180" w:rightFromText="180" w:vertAnchor="text" w:horzAnchor="page" w:tblpX="1682" w:tblpY="272"/>
        <w:tblOverlap w:val="never"/>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79"/>
        <w:gridCol w:w="2180"/>
        <w:gridCol w:w="2180"/>
        <w:gridCol w:w="21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发 包 人：（盖章）</w:t>
            </w:r>
          </w:p>
        </w:tc>
        <w:tc>
          <w:tcPr>
            <w:tcW w:w="2180"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olor w:val="auto"/>
                <w:highlight w:val="none"/>
                <w:lang w:eastAsia="zh-CN"/>
              </w:rPr>
              <w:t>广州花都城弘建设发展投资有限公司</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承包人（单一承包人或联合体牵头单位）：（盖章）</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359"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c>
          <w:tcPr>
            <w:tcW w:w="4360"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r>
    </w:tbl>
    <w:p>
      <w:pPr>
        <w:rPr>
          <w:color w:val="auto"/>
          <w:highlight w:val="none"/>
          <w:lang w:eastAsia="zh-CN"/>
        </w:rPr>
      </w:pPr>
    </w:p>
    <w:p>
      <w:pPr>
        <w:adjustRightInd w:val="0"/>
        <w:snapToGrid w:val="0"/>
        <w:spacing w:line="324" w:lineRule="auto"/>
        <w:ind w:firstLine="480" w:firstLineChars="200"/>
        <w:rPr>
          <w:rFonts w:ascii="仿宋" w:hAnsi="仿宋" w:eastAsia="仿宋"/>
          <w:color w:val="auto"/>
          <w:highlight w:val="none"/>
          <w:lang w:eastAsia="zh-CN"/>
        </w:rPr>
      </w:pPr>
    </w:p>
    <w:p>
      <w:pPr>
        <w:rPr>
          <w:color w:val="auto"/>
          <w:highlight w:val="none"/>
          <w:lang w:eastAsia="zh-CN"/>
        </w:rPr>
      </w:pPr>
    </w:p>
    <w:p>
      <w:pPr>
        <w:rPr>
          <w:color w:val="auto"/>
          <w:highlight w:val="none"/>
          <w:lang w:eastAsia="zh-CN"/>
        </w:rPr>
      </w:pPr>
    </w:p>
    <w:tbl>
      <w:tblPr>
        <w:tblStyle w:val="4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79"/>
        <w:gridCol w:w="2180"/>
        <w:gridCol w:w="2180"/>
        <w:gridCol w:w="21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承包人（联合体成员单位）：（盖章）</w:t>
            </w:r>
          </w:p>
        </w:tc>
        <w:tc>
          <w:tcPr>
            <w:tcW w:w="2180"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 xml:space="preserve">  </w:t>
            </w:r>
          </w:p>
        </w:tc>
        <w:tc>
          <w:tcPr>
            <w:tcW w:w="2180" w:type="dxa"/>
          </w:tcPr>
          <w:p>
            <w:pPr>
              <w:keepNext w:val="0"/>
              <w:keepLines w:val="0"/>
              <w:widowControl/>
              <w:suppressLineNumbers w:val="0"/>
              <w:adjustRightInd w:val="0"/>
              <w:snapToGrid w:val="0"/>
              <w:spacing w:before="0" w:beforeAutospacing="0" w:after="0" w:afterAutospacing="0" w:line="324"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承包人（联合体成员单位）：（盖章）</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法定代表人：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委托代理人：</w:t>
            </w:r>
          </w:p>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（签字）</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79"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联系电话：</w:t>
            </w:r>
          </w:p>
        </w:tc>
        <w:tc>
          <w:tcPr>
            <w:tcW w:w="2180" w:type="dxa"/>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359"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c>
          <w:tcPr>
            <w:tcW w:w="4360" w:type="dxa"/>
            <w:gridSpan w:val="2"/>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年</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月</w:t>
            </w:r>
            <w:r>
              <w:rPr>
                <w:rFonts w:hint="eastAsia" w:ascii="仿宋" w:hAnsi="仿宋" w:eastAsia="仿宋" w:cs="仿宋"/>
                <w:color w:val="auto"/>
                <w:highlight w:val="none"/>
                <w:u w:val="single"/>
                <w:lang w:eastAsia="zh-CN"/>
              </w:rPr>
              <w:t xml:space="preserve">     </w:t>
            </w:r>
            <w:r>
              <w:rPr>
                <w:rFonts w:hint="eastAsia" w:ascii="仿宋" w:hAnsi="仿宋" w:eastAsia="仿宋" w:cs="仿宋"/>
                <w:color w:val="auto"/>
                <w:highlight w:val="none"/>
                <w:lang w:eastAsia="zh-CN"/>
              </w:rPr>
              <w:t>日</w:t>
            </w:r>
          </w:p>
        </w:tc>
      </w:tr>
    </w:tbl>
    <w:p>
      <w:pPr>
        <w:adjustRightInd w:val="0"/>
        <w:snapToGrid w:val="0"/>
        <w:spacing w:line="324" w:lineRule="auto"/>
        <w:ind w:firstLine="480" w:firstLineChars="200"/>
        <w:rPr>
          <w:rFonts w:ascii="仿宋" w:hAnsi="仿宋" w:eastAsia="仿宋"/>
          <w:color w:val="auto"/>
          <w:highlight w:val="none"/>
          <w:lang w:eastAsia="zh-CN"/>
        </w:rPr>
      </w:pPr>
    </w:p>
    <w:p>
      <w:pPr>
        <w:rPr>
          <w:color w:val="auto"/>
          <w:highlight w:val="none"/>
          <w:lang w:eastAsia="zh-CN"/>
        </w:rPr>
      </w:pPr>
    </w:p>
    <w:p>
      <w:pPr>
        <w:pStyle w:val="2"/>
        <w:rPr>
          <w:rFonts w:ascii="仿宋" w:hAnsi="仿宋" w:eastAsia="仿宋" w:cs="仿宋"/>
          <w:color w:val="auto"/>
          <w:highlight w:val="none"/>
          <w:lang w:eastAsia="zh-CN"/>
        </w:rPr>
      </w:pPr>
    </w:p>
    <w:p>
      <w:pPr>
        <w:rPr>
          <w:color w:val="auto"/>
          <w:highlight w:val="none"/>
          <w:lang w:eastAsia="zh-CN"/>
        </w:rPr>
      </w:pPr>
    </w:p>
    <w:p>
      <w:pPr>
        <w:spacing w:line="360" w:lineRule="auto"/>
        <w:outlineLvl w:val="1"/>
        <w:rPr>
          <w:rFonts w:ascii="仿宋" w:hAnsi="仿宋" w:eastAsia="仿宋" w:cs="仿宋"/>
          <w:b/>
          <w:bCs/>
          <w:color w:val="auto"/>
          <w:highlight w:val="none"/>
          <w:lang w:eastAsia="zh-CN"/>
        </w:rPr>
        <w:sectPr>
          <w:footerReference r:id="rId10" w:type="default"/>
          <w:endnotePr>
            <w:numFmt w:val="decimal"/>
          </w:endnotePr>
          <w:pgSz w:w="11905" w:h="16838"/>
          <w:pgMar w:top="850" w:right="1701" w:bottom="850" w:left="1701" w:header="0" w:footer="283" w:gutter="0"/>
          <w:cols w:space="720" w:num="1"/>
        </w:sectPr>
      </w:pPr>
      <w:bookmarkStart w:id="2042" w:name="_Toc29742"/>
      <w:bookmarkStart w:id="2043" w:name="_Toc12495"/>
      <w:bookmarkStart w:id="2044" w:name="_Toc9794"/>
      <w:bookmarkStart w:id="2045" w:name="_Toc29987"/>
    </w:p>
    <w:p>
      <w:pPr>
        <w:spacing w:line="360" w:lineRule="auto"/>
        <w:outlineLvl w:val="1"/>
        <w:rPr>
          <w:rFonts w:hint="default" w:ascii="仿宋" w:hAnsi="仿宋" w:eastAsia="仿宋" w:cs="仿宋"/>
          <w:b/>
          <w:bCs/>
          <w:color w:val="auto"/>
          <w:highlight w:val="none"/>
          <w:lang w:val="en-US" w:eastAsia="zh-CN"/>
        </w:rPr>
      </w:pPr>
      <w:bookmarkStart w:id="2046" w:name="_Toc23477"/>
      <w:r>
        <w:rPr>
          <w:rFonts w:hint="eastAsia" w:ascii="仿宋" w:hAnsi="仿宋" w:eastAsia="仿宋" w:cs="仿宋"/>
          <w:b/>
          <w:bCs/>
          <w:color w:val="auto"/>
          <w:highlight w:val="none"/>
          <w:lang w:eastAsia="zh-CN"/>
        </w:rPr>
        <w:t>附件五：设计任务书</w:t>
      </w:r>
      <w:bookmarkEnd w:id="2042"/>
      <w:bookmarkEnd w:id="2043"/>
      <w:bookmarkEnd w:id="2044"/>
      <w:bookmarkEnd w:id="2045"/>
      <w:bookmarkEnd w:id="2046"/>
      <w:r>
        <w:rPr>
          <w:rFonts w:hint="eastAsia" w:ascii="仿宋" w:hAnsi="仿宋" w:eastAsia="仿宋" w:cs="仿宋"/>
          <w:b/>
          <w:bCs/>
          <w:color w:val="auto"/>
          <w:highlight w:val="none"/>
          <w:lang w:eastAsia="zh-CN"/>
        </w:rPr>
        <w:t>、</w:t>
      </w:r>
      <w:r>
        <w:rPr>
          <w:rFonts w:hint="eastAsia" w:ascii="仿宋" w:hAnsi="仿宋" w:eastAsia="仿宋" w:cs="仿宋"/>
          <w:b/>
          <w:bCs/>
          <w:color w:val="auto"/>
          <w:highlight w:val="none"/>
          <w:lang w:val="en-US" w:eastAsia="zh-CN"/>
        </w:rPr>
        <w:t>勘察任务书</w:t>
      </w:r>
    </w:p>
    <w:p>
      <w:pPr>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另册</w:t>
      </w:r>
    </w:p>
    <w:p>
      <w:pPr>
        <w:rPr>
          <w:color w:val="auto"/>
          <w:highlight w:val="none"/>
          <w:lang w:eastAsia="zh-CN"/>
        </w:rPr>
      </w:pPr>
      <w:r>
        <w:rPr>
          <w:color w:val="auto"/>
          <w:highlight w:val="none"/>
          <w:lang w:eastAsia="zh-CN"/>
        </w:rPr>
        <w:br w:type="page"/>
      </w:r>
    </w:p>
    <w:p>
      <w:pPr>
        <w:pStyle w:val="4"/>
        <w:rPr>
          <w:color w:val="auto"/>
          <w:highlight w:val="none"/>
          <w:lang w:eastAsia="zh-CN"/>
        </w:rPr>
        <w:sectPr>
          <w:endnotePr>
            <w:numFmt w:val="decimal"/>
          </w:endnotePr>
          <w:pgSz w:w="11905" w:h="16838"/>
          <w:pgMar w:top="850" w:right="1701" w:bottom="850" w:left="1701" w:header="0" w:footer="283" w:gutter="0"/>
          <w:cols w:space="720" w:num="1"/>
        </w:sectPr>
      </w:pPr>
    </w:p>
    <w:p>
      <w:pPr>
        <w:spacing w:before="240" w:beforeLines="100" w:after="240" w:afterLines="100" w:line="360" w:lineRule="auto"/>
        <w:outlineLvl w:val="1"/>
        <w:rPr>
          <w:rFonts w:ascii="仿宋" w:hAnsi="仿宋" w:eastAsia="仿宋" w:cs="仿宋"/>
          <w:b/>
          <w:bCs/>
          <w:color w:val="auto"/>
          <w:highlight w:val="none"/>
          <w:lang w:eastAsia="zh-CN"/>
        </w:rPr>
      </w:pPr>
      <w:bookmarkStart w:id="2047" w:name="_Toc5701"/>
      <w:bookmarkStart w:id="2048" w:name="_Toc10135"/>
      <w:bookmarkStart w:id="2049" w:name="_Toc32187"/>
      <w:bookmarkStart w:id="2050" w:name="_Toc13144"/>
      <w:bookmarkStart w:id="2051" w:name="_Toc9006"/>
      <w:bookmarkStart w:id="2052" w:name="_Toc22233"/>
      <w:bookmarkStart w:id="2053" w:name="_Toc9979"/>
      <w:bookmarkStart w:id="2054" w:name="_Toc3189"/>
      <w:r>
        <w:rPr>
          <w:rFonts w:hint="eastAsia" w:ascii="仿宋" w:hAnsi="仿宋" w:eastAsia="仿宋" w:cs="仿宋"/>
          <w:b/>
          <w:bCs/>
          <w:color w:val="auto"/>
          <w:highlight w:val="none"/>
          <w:lang w:eastAsia="zh-CN"/>
        </w:rPr>
        <w:t>附件六：承包人派驻现场主要管理人员</w:t>
      </w:r>
      <w:bookmarkEnd w:id="2047"/>
      <w:bookmarkEnd w:id="2048"/>
      <w:bookmarkEnd w:id="2049"/>
      <w:bookmarkEnd w:id="2050"/>
      <w:bookmarkEnd w:id="2051"/>
      <w:bookmarkEnd w:id="2052"/>
      <w:bookmarkEnd w:id="2053"/>
      <w:bookmarkEnd w:id="2054"/>
    </w:p>
    <w:bookmarkEnd w:id="1349"/>
    <w:p>
      <w:pPr>
        <w:ind w:left="1840" w:leftChars="700" w:hanging="160" w:hangingChars="67"/>
        <w:rPr>
          <w:color w:val="auto"/>
          <w:highlight w:val="none"/>
          <w:lang w:eastAsia="zh-CN"/>
        </w:rPr>
        <w:sectPr>
          <w:endnotePr>
            <w:numFmt w:val="decimal"/>
          </w:endnotePr>
          <w:pgSz w:w="16838" w:h="11906" w:orient="landscape"/>
          <w:pgMar w:top="1701" w:right="850" w:bottom="1701" w:left="850" w:header="0" w:footer="283" w:gutter="0"/>
          <w:cols w:space="720" w:num="1"/>
          <w:docGrid w:linePitch="1" w:charSpace="0"/>
        </w:sectPr>
      </w:pPr>
    </w:p>
    <w:p>
      <w:pPr>
        <w:spacing w:before="240" w:beforeLines="100" w:after="240" w:afterLines="100" w:line="360" w:lineRule="auto"/>
        <w:outlineLvl w:val="1"/>
        <w:rPr>
          <w:rFonts w:ascii="仿宋" w:hAnsi="仿宋" w:eastAsia="仿宋" w:cs="仿宋"/>
          <w:b/>
          <w:bCs/>
          <w:color w:val="auto"/>
          <w:highlight w:val="none"/>
          <w:lang w:eastAsia="zh-CN"/>
        </w:rPr>
      </w:pPr>
      <w:bookmarkStart w:id="2055" w:name="_Toc15390"/>
      <w:bookmarkStart w:id="2056" w:name="_Toc10570"/>
      <w:bookmarkStart w:id="2057" w:name="_Toc27028"/>
      <w:bookmarkStart w:id="2058" w:name="_Toc24949"/>
      <w:bookmarkStart w:id="2059" w:name="_Toc7692"/>
      <w:bookmarkStart w:id="2060" w:name="_Toc18702"/>
      <w:bookmarkStart w:id="2061" w:name="_Toc12675"/>
      <w:r>
        <w:rPr>
          <w:rFonts w:hint="eastAsia" w:ascii="仿宋" w:hAnsi="仿宋" w:eastAsia="仿宋" w:cs="仿宋"/>
          <w:b/>
          <w:bCs/>
          <w:color w:val="auto"/>
          <w:highlight w:val="none"/>
          <w:lang w:eastAsia="zh-CN"/>
        </w:rPr>
        <w:t>附件七：《施工现场管理制度罚则》</w:t>
      </w:r>
      <w:bookmarkEnd w:id="2055"/>
      <w:bookmarkEnd w:id="2056"/>
      <w:bookmarkEnd w:id="2057"/>
      <w:bookmarkEnd w:id="2058"/>
      <w:bookmarkEnd w:id="2059"/>
      <w:bookmarkEnd w:id="2060"/>
      <w:bookmarkEnd w:id="2061"/>
    </w:p>
    <w:p>
      <w:pPr>
        <w:pStyle w:val="163"/>
        <w:jc w:val="both"/>
        <w:rPr>
          <w:rFonts w:ascii="仿宋" w:hAnsi="仿宋" w:eastAsia="仿宋" w:cs="仿宋"/>
          <w:color w:val="auto"/>
          <w:sz w:val="36"/>
          <w:szCs w:val="36"/>
          <w:highlight w:val="none"/>
          <w:lang w:eastAsia="zh-CN"/>
        </w:rPr>
      </w:pPr>
      <w:bookmarkStart w:id="2062" w:name="_Toc20276"/>
      <w:r>
        <w:rPr>
          <w:rFonts w:hint="eastAsia" w:ascii="仿宋" w:hAnsi="仿宋" w:eastAsia="仿宋" w:cs="仿宋"/>
          <w:color w:val="auto"/>
          <w:sz w:val="36"/>
          <w:szCs w:val="36"/>
          <w:highlight w:val="none"/>
          <w:lang w:eastAsia="zh-CN"/>
        </w:rPr>
        <w:t>施工现场管理制度罚则</w:t>
      </w:r>
    </w:p>
    <w:p>
      <w:pPr>
        <w:autoSpaceDE w:val="0"/>
        <w:autoSpaceDN w:val="0"/>
        <w:spacing w:before="214"/>
        <w:jc w:val="center"/>
        <w:rPr>
          <w:rFonts w:ascii="仿宋" w:hAnsi="仿宋" w:eastAsia="仿宋" w:cs="仿宋"/>
          <w:color w:val="auto"/>
          <w:sz w:val="28"/>
          <w:szCs w:val="28"/>
          <w:highlight w:val="none"/>
          <w:lang w:val="zh-CN" w:eastAsia="zh-CN" w:bidi="zh-CN"/>
        </w:rPr>
      </w:pPr>
      <w:r>
        <w:rPr>
          <w:rFonts w:hint="eastAsia" w:ascii="仿宋" w:hAnsi="仿宋" w:eastAsia="仿宋" w:cs="仿宋"/>
          <w:color w:val="auto"/>
          <w:sz w:val="28"/>
          <w:szCs w:val="28"/>
          <w:highlight w:val="none"/>
          <w:lang w:val="zh-CN" w:eastAsia="zh-CN" w:bidi="zh-CN"/>
        </w:rPr>
        <w:t>（</w:t>
      </w:r>
      <w:r>
        <w:rPr>
          <w:rFonts w:hint="eastAsia" w:ascii="仿宋" w:hAnsi="仿宋" w:eastAsia="仿宋" w:cs="仿宋"/>
          <w:color w:val="auto"/>
          <w:sz w:val="28"/>
          <w:szCs w:val="28"/>
          <w:highlight w:val="none"/>
          <w:lang w:eastAsia="zh-CN" w:bidi="zh-CN"/>
        </w:rPr>
        <w:t>一</w:t>
      </w:r>
      <w:r>
        <w:rPr>
          <w:rFonts w:hint="eastAsia" w:ascii="仿宋" w:hAnsi="仿宋" w:eastAsia="仿宋" w:cs="仿宋"/>
          <w:color w:val="auto"/>
          <w:sz w:val="28"/>
          <w:szCs w:val="28"/>
          <w:highlight w:val="none"/>
          <w:lang w:val="zh-CN" w:eastAsia="zh-CN" w:bidi="zh-CN"/>
        </w:rPr>
        <w:t>）施工现场管理</w:t>
      </w:r>
      <w:r>
        <w:rPr>
          <w:rFonts w:hint="eastAsia" w:ascii="仿宋" w:hAnsi="仿宋" w:eastAsia="仿宋" w:cs="仿宋"/>
          <w:color w:val="auto"/>
          <w:sz w:val="28"/>
          <w:szCs w:val="28"/>
          <w:highlight w:val="none"/>
          <w:lang w:eastAsia="zh-CN" w:bidi="zh-CN"/>
        </w:rPr>
        <w:t>常规</w:t>
      </w:r>
      <w:r>
        <w:rPr>
          <w:rFonts w:hint="eastAsia" w:ascii="仿宋" w:hAnsi="仿宋" w:eastAsia="仿宋" w:cs="仿宋"/>
          <w:color w:val="auto"/>
          <w:sz w:val="28"/>
          <w:szCs w:val="28"/>
          <w:highlight w:val="none"/>
          <w:lang w:val="zh-CN" w:eastAsia="zh-CN" w:bidi="zh-CN"/>
        </w:rPr>
        <w:t>罚则</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各项目建设过程中，发包人、监理对项目进行定期检查或不定期巡查，对现场发现的相关问题、隐患按程序向承包人提出整改要求，由发包人（监理发现的相关问题、隐患，由监理向发包人提请）对相关问题、隐患进行以下经济处罚：</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一、质量相关罚则</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承包人应按监理规程要求编制施工组织设计、编制相关施工方案，如施工组织设计未经批准或需要编制施工方案而未编制且擅自进行施工的，发现后责令立即停止施工，并一次罚款500-5000元，存在质量或安全隐患时应由承包人组织专家论证，发生费用及损失时，由承包人自行承担。</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2、工程测量放线未经监理、发包人核准即进行施工的，发现后立即停止施工并罚款500-2000元。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3、施工队伍资质、人员资质及分包单位资质未向监理、发包人报审的，罚款500-5000元/次。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4、使用的砌筑砂浆、砼、外加剂等无试验配合比即进行施工的，发现后责令对已完施工部位进行返工处理，并罚款500-5000元/次。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5、使用的原材料未按规定见证取样、复试且未向监理报验即投入使用的，发现后立即停止施工，并罚款5000-10000元；可根据实际情况对已隐蔽部位进行破坏性试验，发生损失由承包人承担。</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6、进场的施工机械设备未向监理报验即投入使用的，每次罚款500-5000元。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7、进场的材料经复试不合格，立即退场，如若已投入使用应对已施工部位进行返工处理，并根据材料类别和数量罚款2000-10000元/处，由此给发包单位带来的一切损失均由承包人承担。</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8、施工中发现明显的偷工减料时，承包人应对已施工部位进行返工处理，并每次罚款5000-20000元。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9、施工中出现质量通病或质量缺陷时，造成分项工程达不到合格标准，应立即返工，在发包人、监理提出返工要求后，在24小时内仍未返工，除应立即返工外每提醒一次罚款1000-5000元。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10、施工现场发现未按规范施工，视情况每次罚款500-2000元。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11、隐蔽工程未经检查验收自行隐蔽的，除重新检查外，每次罚款500-5000元。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12、分项工程未向监理报验认可，即进行下道工序施工的，每次罚款500-5000元。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13、施工中出现其它不规范施工和质量问题，可参考上述条款执行500-5000元罚款处理。</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二、进度相关罚则</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1、按建设工程施工合同及补充条款的约定执行，工程开工前承包人应向发包人及监理报送工程施工总进度计划(横道图和网络图)，并严格按照审批后的进度计划实施。</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2、每月25日前承包人应向发包人及监理单位提供下月进度计划（根据总进度计划细化的月度计划），并经发包人、监理公司签字认可后执行，承包人如不能按时上报，每滞后一天罚款1000元。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3、承包人应在周例会前一天向发包人及监理单位上报《周报》，如未及时上报，每次罚款1000元。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4、发包人根据项目实际情况，对承包人按周进行进度考核,若每周考核节点滞后月进度节点计划较多时（超过2天）,每次罚款2000元，连续三周滞后，发包人可要求承包人调换项目经理、生产经理，承包人应无条件执行，否则发包人有权停止支付工程进度款，同时承包人必须按照实际情况制定详细、切实可行的赶工计划、措施，将滞后工期追赶上来，原合同工期不变。</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5、当周进度滞后于月进度计划，且月末仍未按月进度节点计划完成时，每逾期一天罚款10000元。连续两个月均滞后于月进度计划，发包人有权利解除工程合同（或参照合同其它违约处罚条款处罚）。</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6、承包人施工人员、材料、机械应满足总进度计划需要，如因人员、材料、机械等资源未满足计划需求，在发包人提出后5日内仍未满足现场需要，每次罚款10000元。必要时视具体情况，发包人有权将部分施工范围切割另行委托第三方施工，由此造成的不利后果及损失均由承包人承担。</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三、安全施工相关罚则</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承包人应按照施工组织设计及现行安全操作规程及规范制定切实可行的安全技术方案，如相关安全文明施工方案不完善、不具体、没有针对性、可操作性不强时，责令立即整改，如再次上报仍不符合要求时，则给予经济罚款1000-5000元/项。</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2、特殊工种须持证上岗,无证上岗操作者,每发现一人次罚款1000元。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3、外墙防护脚手架及模板支撑体系需严格按照审批后的施工方案相关规定及要求进行搭设,不论铺板、架宽、立杆间距或大小横杆间距，均应符合要求，每发现一处不符合规定,罚款1000-2000元。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4、外墙脚手架未按规定悬挂安全网、大眼网（兜网）或安全网、兜网挂设不合格时,每发现一处罚款500-2000元；每层工作面均应按照规范规定满铺脚手板，未按规范规定及施工方案要求满铺脚手板时，罚款500-1000元/处。</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5、不戴安全帽,每发现一人/次罚款100元,高空作业不系安全带,罚款500元/次。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6、"四口"无防护措施,每发现一处,罚款200-1000元。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7、临时用电线路不符合规定,每发现一处罚款500-1000元。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8、每台设备都要做到"一机一闸一漏保",每查出一项不符合要求，罚款200-1000元。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9、每台设备必须设专人操作,并遵守操作规程,未挂操作规程牌,每发现一处,罚款 500元。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10、使用电弧焊、气割、气焊及其它明火作业，需开具动火证并有可靠的防火措施，如违章操作，每发现一次罚款1000元。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11、私拉乱接电线,违章使用电炉、电褥子等大功率电器者，没收电线、电炉等，加罚2000元/次。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12、其他未按照专项施工方案的安全措施施工的，以及未按照安全技术操作规程施工的，每发现一次罚款1000元。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四、总分包管理相关罚则</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1、无正当原因，未按时向分包单位提供施工场地、施工作业面、需要协调未及时协调时，一次罚款1000-5000元。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2、承包人单位应每周召开一次工地例会，即现场协调会，分包单位参加，无故不组织召开例会，一次罚款1000-3000元。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3、承包人作为施工现场管理的总协调人，负责对各分包单位进行协调管理，因协调不力，造成分包单位无序施工的，每发现一次罚款500-5000元。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4、承包人对本工程的施工安全生产负第一责任，同时负责对分包单位的安全管理，现场出现安全事故，除承担相关责任外，每次罚款5000-10000元，造成重大损失及后果的，一切损失及后果均由承包人承担，如因甲指分包单位原因造成承包人损失的，承包人可依据相关规定向分包单位追偿。</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5、承包人负责施工现场的消防管理工作，保障现场消防设施、器材等齐全有效，检查无消防措施、无消防设施或无消防器材时罚款1000元/项/次，并责令整改，引发火灾事故的，除承担全部损失外，并罚款5000-10000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6、承包人负责施工现场的安全保卫工作，承包人应建立健全保卫制度，检查有安保人员脱岗失职情况的，一次罚款500-1000元；出现失窃事件的，对承包人罚款2000-5000元/次。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7、承包人应负责分包单位工程技术资料管理工作，加强对分包单位技术资料的管理，负责甲指分包单位资料管理、归档、组卷等，未按时整理技术资料、未及时组卷的，一次罚款5000-10000元。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8、承包人负责施工现场环境保护和文明施工的管理，因承包人管理不善，造成施工现场及周边环境恶化，被相关行政主管部门或其它边界单位给予行政处罚的，相关罚金及处罚由承包人单位承担，且另行加罚5000-10000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9、承包人应编制详尽完善的成品保护方案及成品管理方案，如因管理不到位造成成品或半成品损坏或污染的，除承担相应修复责任外，每处加罚500-1000元；如造成供货成品丢失的，除承担相关赔偿责任外，每次加罚500-1000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五、文明施工管理相关罚则</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承包人应根据现场实际情况进行总平面布置，保证现场区域合理、科学、有序使用；消防道路不畅通的罚款1000元/处；无防止污水、废水外流措施及无防止泥浆堵塞下水道措施的罚款2000元/处；同时施工现场应有完善的排水措施，雨季施工时现场不得有积水；存在排水不畅通的，给予罚款2000元/次。</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2、建筑材料、构件、料具未按总平面布局堆放，乱堆乱放的每次罚款1000元，堆放未悬挂标识标牌（名称、品种、规格等）的罚款500元/处，堆放不整齐的罚款300元/处，未做到工完料净场地清的罚款500元/次，建筑垃圾堆放不整齐、未标出名称、品种的罚款300元/处，易燃易爆物品未分类存放的罚款500元/处，并责令整改。</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3、在建工程兼做宿舍的每人次罚款1000元，施工作业区与办公区、生活区不能明显划分的罚款1000元，宿舍无保暖和防煤气中毒措施的罚款500元，宿舍无消暑和防蚊虫叮咬措施的罚款300元，床铺、生活用品放置不整齐的罚款200元，宿舍周围环境不卫生、不安全的罚款500元，并责令整改。</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4、工地内随意吸烟、乱丢烟头的，每发现一次罚款200元。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5、现场焚烧有毒、有害物质的罚款3000元。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6、酒后作业每发现一人次罚款1000元，并责令停工休息整改。</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7、现场作业人员赤脚、穿拖鞋、穿高跟鞋的罚款500元/人/次，并责令整改。</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8、非有关操作人员不准进入危险作业区内，违反规定每人次罚款500元，并责令退出工地。</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9、禁止从高处向下（或向上）抛投任何物资材料，违者每人次罚款1000元。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10、工地应该保证生活用水和施工用水的充分供给，饮水非经当地部门检验许可，不许使用，违者罚款1000元。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11、水源、水泵、贮水池和水管等都应妥善管理，保证饮水不受污染，违者罚款1000元。</w:t>
      </w:r>
    </w:p>
    <w:p>
      <w:pPr>
        <w:spacing w:line="360" w:lineRule="auto"/>
        <w:ind w:firstLine="480" w:firstLineChars="200"/>
        <w:rPr>
          <w:rFonts w:ascii="仿宋" w:hAnsi="仿宋" w:eastAsia="仿宋" w:cs="仿宋"/>
          <w:color w:val="auto"/>
          <w:highlight w:val="none"/>
          <w:lang w:val="zh-CN" w:eastAsia="zh-CN" w:bidi="zh-CN"/>
        </w:rPr>
      </w:pPr>
      <w:r>
        <w:rPr>
          <w:rFonts w:hint="eastAsia" w:ascii="仿宋" w:hAnsi="仿宋" w:eastAsia="仿宋" w:cs="仿宋"/>
          <w:color w:val="auto"/>
          <w:highlight w:val="none"/>
          <w:lang w:val="zh-CN" w:eastAsia="zh-CN" w:bidi="zh-CN"/>
        </w:rPr>
        <w:t>本罚则作为合同组成的一部分，效力等同于合同其它条款，旨在督促承包人单位加强管理，实现管控效果，未尽的处罚条款，参照本罚则同性质条款或合同其它条款以及法律法规、规范、管理制度、章程等追究相关违约责任。</w:t>
      </w:r>
    </w:p>
    <w:p>
      <w:pPr>
        <w:autoSpaceDE w:val="0"/>
        <w:autoSpaceDN w:val="0"/>
        <w:spacing w:before="214"/>
        <w:ind w:firstLineChars="500"/>
        <w:jc w:val="center"/>
        <w:rPr>
          <w:rFonts w:hint="eastAsia" w:ascii="仿宋" w:hAnsi="仿宋" w:eastAsia="仿宋" w:cs="仿宋"/>
          <w:color w:val="auto"/>
          <w:sz w:val="28"/>
          <w:szCs w:val="28"/>
          <w:highlight w:val="none"/>
          <w:lang w:val="zh-CN" w:eastAsia="zh-CN" w:bidi="zh-CN"/>
        </w:rPr>
      </w:pPr>
      <w:r>
        <w:rPr>
          <w:rFonts w:hint="default" w:ascii="仿宋" w:hAnsi="仿宋" w:eastAsia="仿宋" w:cs="仿宋"/>
          <w:color w:val="auto"/>
          <w:sz w:val="28"/>
          <w:szCs w:val="28"/>
          <w:highlight w:val="none"/>
          <w:lang w:val="zh-CN" w:eastAsia="zh-CN" w:bidi="zh-CN"/>
        </w:rPr>
        <w:t>（二）施工现场进度、质量、材料、规章管理详细罚则</w:t>
      </w:r>
    </w:p>
    <w:tbl>
      <w:tblPr>
        <w:tblStyle w:val="40"/>
        <w:tblW w:w="9618" w:type="dxa"/>
        <w:jc w:val="center"/>
        <w:tblLayout w:type="fixed"/>
        <w:tblCellMar>
          <w:top w:w="0" w:type="dxa"/>
          <w:left w:w="108" w:type="dxa"/>
          <w:bottom w:w="0" w:type="dxa"/>
          <w:right w:w="108" w:type="dxa"/>
        </w:tblCellMar>
      </w:tblPr>
      <w:tblGrid>
        <w:gridCol w:w="640"/>
        <w:gridCol w:w="4140"/>
        <w:gridCol w:w="1645"/>
        <w:gridCol w:w="3193"/>
      </w:tblGrid>
      <w:tr>
        <w:tblPrEx>
          <w:tblCellMar>
            <w:top w:w="0" w:type="dxa"/>
            <w:left w:w="108" w:type="dxa"/>
            <w:bottom w:w="0" w:type="dxa"/>
            <w:right w:w="108" w:type="dxa"/>
          </w:tblCellMar>
        </w:tblPrEx>
        <w:trPr>
          <w:trHeight w:val="1020" w:hRule="atLeast"/>
          <w:tblHeader/>
          <w:jc w:val="center"/>
        </w:trPr>
        <w:tc>
          <w:tcPr>
            <w:tcW w:w="64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序号</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项目</w:t>
            </w:r>
          </w:p>
        </w:tc>
        <w:tc>
          <w:tcPr>
            <w:tcW w:w="1645"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处理方法</w:t>
            </w:r>
          </w:p>
        </w:tc>
        <w:tc>
          <w:tcPr>
            <w:tcW w:w="3193"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并向发包人支付违约金或罚款额度（由发包人从应向承包人支付的工程款中扣除）</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一</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工程进度</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　</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rPr>
            </w:pPr>
            <w:r>
              <w:rPr>
                <w:rFonts w:hint="eastAsia" w:ascii="仿宋" w:hAnsi="仿宋" w:eastAsia="仿宋" w:cs="仿宋"/>
                <w:color w:val="auto"/>
                <w:highlight w:val="none"/>
              </w:rPr>
              <w:t>未按期完成验槽工作</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10000元/天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rPr>
            </w:pPr>
            <w:r>
              <w:rPr>
                <w:rFonts w:hint="eastAsia" w:ascii="仿宋" w:hAnsi="仿宋" w:eastAsia="仿宋" w:cs="仿宋"/>
                <w:color w:val="auto"/>
                <w:highlight w:val="none"/>
              </w:rPr>
              <w:t>未按期完成基础工程</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20000元/天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未按期完成各楼号结构±0.000</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50000/天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4</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未按期完成首层地面板结构封顶</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50000/天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未按期完成三层屋面封闭</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20000元/天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6</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未按期完成各楼号结构封顶</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50000/天</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7</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未按期完成专项计划，影响其他分包后续工序施工</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10000-20000元/天.栋</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8</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将自施工程强迫其他分包完成</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扣除相应工程款</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3000-10000元/次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9</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未按总控计划完成专项验收（各项竣工验收）</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1</w:t>
            </w:r>
            <w:r>
              <w:rPr>
                <w:rFonts w:hint="eastAsia" w:ascii="仿宋" w:hAnsi="仿宋" w:eastAsia="仿宋" w:cs="仿宋"/>
                <w:color w:val="auto"/>
                <w:highlight w:val="none"/>
                <w:lang w:eastAsia="zh-CN"/>
              </w:rPr>
              <w:t>0</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未按合同要求向发包人移交物业</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追究违约责任</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p>
        </w:tc>
        <w:tc>
          <w:tcPr>
            <w:tcW w:w="8978" w:type="dxa"/>
            <w:gridSpan w:val="3"/>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注：如果承包人按自己承诺完成了最终工期，在结算时发包人可以考虑向承包人退还一部分工程进度的违约金。</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二</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b/>
                <w:bCs/>
                <w:color w:val="auto"/>
                <w:highlight w:val="none"/>
              </w:rPr>
            </w:pPr>
            <w:r>
              <w:rPr>
                <w:rFonts w:hint="eastAsia" w:ascii="仿宋" w:hAnsi="仿宋" w:eastAsia="仿宋" w:cs="仿宋"/>
                <w:b/>
                <w:bCs/>
                <w:color w:val="auto"/>
                <w:highlight w:val="none"/>
              </w:rPr>
              <w:t>工程质量</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　</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出现重大结构质量问题</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1035"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w:t>
            </w:r>
          </w:p>
        </w:tc>
        <w:tc>
          <w:tcPr>
            <w:tcW w:w="4140" w:type="dxa"/>
            <w:tcBorders>
              <w:top w:val="single" w:color="auto" w:sz="4" w:space="0"/>
              <w:left w:val="nil"/>
              <w:bottom w:val="single" w:color="auto" w:sz="4" w:space="0"/>
              <w:right w:val="single" w:color="000000"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对于监理或发包人发现并要求的整改的问题，承包人必须做出回复，明确整改方案及完成时间，对于承包人拒不整改或整改造假的情况</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3000-50000元/次</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【视情节严重性】</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4</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对监理通知指出的质量问题未及时整改并回复</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未按材料、设备封样计划完成封样</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500元/项</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6</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工程材料、设备进场不报验即用于工程上</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停工整顿、限期报验</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主材50000元/次</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非主材5000元/次</w:t>
            </w:r>
          </w:p>
        </w:tc>
      </w:tr>
      <w:tr>
        <w:tblPrEx>
          <w:tblCellMar>
            <w:top w:w="0" w:type="dxa"/>
            <w:left w:w="108" w:type="dxa"/>
            <w:bottom w:w="0" w:type="dxa"/>
            <w:right w:w="108" w:type="dxa"/>
          </w:tblCellMar>
        </w:tblPrEx>
        <w:trPr>
          <w:trHeight w:val="7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7</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在接到关于修复或运走、替换不合格材料、设备的规定发出的通知或指令后不遵守指令</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1000元/天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8</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未报审施工方案先行无方案施工的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停工整顿、限期报审</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危大方案50000元/次</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一般性方案5000元/次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9</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未做同进度工艺节点样板先行的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500-1000元/次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未按要求进行工序自检</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分项、分部工程未报监理验收即进行下道工序</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停工整顿、返工</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未按设计、规范要求施工，不满足设计、规范验收要求的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停工整顿、返工</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未按已审批的施工方案、确认的构造做法进行施工的，存在明显错漏或偷工减料的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停工整顿、返工</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14</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高层建筑外脚手架落后于主体或者是临边防护不到位现象普遍的、脚手架平桥严重缺失的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如普遍存在或拒绝整改的10000—100000元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15</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模板支撑系统明显达不到强度、刚度及稳定性的、高支模没专家论证方案的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如普遍存在或拒绝整改的30000—50000元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16</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经检测，混凝土28天强度达不到图纸要求，除按方案要求进行补强处理外</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30000—100000元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17</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砼存在严重孔洞、结构尺寸偏差或变形偏位超出规范、柱头砂化夹渣现象严重的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18</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施工缝、后浇带未按要求进行处理</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2000—10000元/处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19</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存在屋面、沉箱、阳露台、外墙、檐口等渗水现象的，楼板存在开裂渗漏的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color w:val="auto"/>
                <w:highlight w:val="none"/>
              </w:rPr>
              <w:t>限期整改</w:t>
            </w:r>
          </w:p>
        </w:tc>
        <w:tc>
          <w:tcPr>
            <w:tcW w:w="3193" w:type="dxa"/>
            <w:tcBorders>
              <w:top w:val="single" w:color="auto" w:sz="4" w:space="0"/>
              <w:left w:val="single" w:color="auto" w:sz="4" w:space="0"/>
              <w:bottom w:val="single" w:color="auto" w:sz="4" w:space="0"/>
              <w:right w:val="single" w:color="auto" w:sz="4" w:space="0"/>
            </w:tcBorders>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20</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屋面、天沟及外墙等防水未按要求施工的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color w:val="auto"/>
                <w:highlight w:val="none"/>
              </w:rPr>
              <w:t>限期整改</w:t>
            </w:r>
          </w:p>
        </w:tc>
        <w:tc>
          <w:tcPr>
            <w:tcW w:w="3193" w:type="dxa"/>
            <w:tcBorders>
              <w:top w:val="single" w:color="auto" w:sz="4" w:space="0"/>
              <w:left w:val="single" w:color="auto" w:sz="4" w:space="0"/>
              <w:bottom w:val="single" w:color="auto" w:sz="4" w:space="0"/>
              <w:right w:val="single" w:color="auto" w:sz="4" w:space="0"/>
            </w:tcBorders>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抹灰大面积出现露网、开裂、空鼓的，梁底、檐口通长开裂的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color w:val="auto"/>
                <w:highlight w:val="none"/>
              </w:rPr>
              <w:t>限期整改</w:t>
            </w:r>
          </w:p>
        </w:tc>
        <w:tc>
          <w:tcPr>
            <w:tcW w:w="3193" w:type="dxa"/>
            <w:tcBorders>
              <w:top w:val="single" w:color="auto" w:sz="4" w:space="0"/>
              <w:left w:val="single" w:color="auto" w:sz="4" w:space="0"/>
              <w:bottom w:val="single" w:color="auto" w:sz="4" w:space="0"/>
              <w:right w:val="single" w:color="auto" w:sz="4" w:space="0"/>
            </w:tcBorders>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门窗框四周未按要求填塞的、固定码普遍漏做的、门窗洞口预留过大或过小的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500—1000元/处</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如普遍存在或拒绝整改的20000—50000元</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三</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b/>
                <w:bCs/>
                <w:color w:val="auto"/>
                <w:highlight w:val="none"/>
              </w:rPr>
            </w:pPr>
            <w:r>
              <w:rPr>
                <w:rFonts w:hint="eastAsia" w:ascii="仿宋" w:hAnsi="仿宋" w:eastAsia="仿宋" w:cs="仿宋"/>
                <w:b/>
                <w:bCs/>
                <w:color w:val="auto"/>
                <w:highlight w:val="none"/>
              </w:rPr>
              <w:t>工程技术能力</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　</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未按施工方案编制计划完成各种方案编制及报审</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未按照图纸施工造成返工</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技术交底针对性不强，造成施工错误或质量缺陷</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返工</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4</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未按深化设计计划完成深化设计图纸及报批工作，影响工程正常进行</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深化设计图纸未考虑各专业交接问题，造成施工错误</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返工</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四</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b/>
                <w:bCs/>
                <w:color w:val="auto"/>
                <w:highlight w:val="none"/>
              </w:rPr>
            </w:pPr>
            <w:r>
              <w:rPr>
                <w:rFonts w:hint="eastAsia" w:ascii="仿宋" w:hAnsi="仿宋" w:eastAsia="仿宋" w:cs="仿宋"/>
                <w:b/>
                <w:bCs/>
                <w:color w:val="auto"/>
                <w:highlight w:val="none"/>
              </w:rPr>
              <w:t>规章制度</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　</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未经发包人/监理工程师认可私自更换项目经理及主要管理人员</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换回原管理人员</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项目经理或现场人员不称职并且未按发包人要求及时更换的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立即更换为称职人员</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1000元/天</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工程管理人员不及时到位</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限期到位</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500-2000元/人</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4</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项目经理或主要管理人员无故不在现场</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200-1000元/人次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rPr>
            </w:pPr>
            <w:r>
              <w:rPr>
                <w:rFonts w:hint="eastAsia" w:ascii="仿宋" w:hAnsi="仿宋" w:eastAsia="仿宋" w:cs="仿宋"/>
                <w:color w:val="auto"/>
                <w:highlight w:val="none"/>
              </w:rPr>
              <w:t>项目经理跨项目管理</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限期纠正</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10000-30000元/次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6</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违反现场各种规章制度</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7</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会议（含现场检查）无故迟到</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5分钟以内200-500元/人</w:t>
            </w:r>
          </w:p>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5分钟以上500元/人</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8</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会议（含现场检查）无故缺席</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9</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对发包人/监理指令、会议决议执行不力，经一次督促仍未完成</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限期完成</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1000-5000元/次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对甲供材料、设备进场计划提供不及时、不准确造成工期拖延和材料浪费</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限期赶回工期</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浪费部分双倍赔偿</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对甲供材料、设备仓储管理混乱造成材料设备丢失、损坏</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双倍赔偿丢失、损坏的材料/设备</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未对甲供材料、设备进行记账管理，或记账混乱</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拖欠民工工资致使民工聚众滋事或上访事件</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限期解决</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50000-100000元/次</w:t>
            </w:r>
          </w:p>
        </w:tc>
      </w:tr>
      <w:tr>
        <w:tblPrEx>
          <w:tblCellMar>
            <w:top w:w="0" w:type="dxa"/>
            <w:left w:w="108" w:type="dxa"/>
            <w:bottom w:w="0" w:type="dxa"/>
            <w:right w:w="108" w:type="dxa"/>
          </w:tblCellMar>
        </w:tblPrEx>
        <w:trPr>
          <w:trHeight w:val="499"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五</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承包人对分包人的管理配合服务</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lang w:eastAsia="zh-CN"/>
              </w:rPr>
            </w:pP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　</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未按合同要求对分包人进行工程进度、质量及安全文明管理</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1000元/次</w:t>
            </w:r>
          </w:p>
        </w:tc>
      </w:tr>
      <w:tr>
        <w:tblPrEx>
          <w:tblCellMar>
            <w:top w:w="0" w:type="dxa"/>
            <w:left w:w="108" w:type="dxa"/>
            <w:bottom w:w="0" w:type="dxa"/>
            <w:right w:w="108" w:type="dxa"/>
          </w:tblCellMar>
        </w:tblPrEx>
        <w:trPr>
          <w:trHeight w:val="600" w:hRule="atLeast"/>
          <w:jc w:val="center"/>
        </w:trPr>
        <w:tc>
          <w:tcPr>
            <w:tcW w:w="64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未按合同要求对分包人提供配合服务</w:t>
            </w:r>
          </w:p>
        </w:tc>
        <w:tc>
          <w:tcPr>
            <w:tcW w:w="1645"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限期提供</w:t>
            </w:r>
          </w:p>
        </w:tc>
        <w:tc>
          <w:tcPr>
            <w:tcW w:w="3193"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2000元/次</w:t>
            </w:r>
          </w:p>
        </w:tc>
      </w:tr>
      <w:tr>
        <w:tblPrEx>
          <w:tblCellMar>
            <w:top w:w="0" w:type="dxa"/>
            <w:left w:w="108" w:type="dxa"/>
            <w:bottom w:w="0" w:type="dxa"/>
            <w:right w:w="108" w:type="dxa"/>
          </w:tblCellMar>
        </w:tblPrEx>
        <w:trPr>
          <w:trHeight w:val="600" w:hRule="atLeast"/>
          <w:jc w:val="center"/>
        </w:trPr>
        <w:tc>
          <w:tcPr>
            <w:tcW w:w="64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未能履行总包协调管理义务，造成分包工作不能正常进行</w:t>
            </w:r>
          </w:p>
        </w:tc>
        <w:tc>
          <w:tcPr>
            <w:tcW w:w="1645"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限期协调</w:t>
            </w:r>
          </w:p>
        </w:tc>
        <w:tc>
          <w:tcPr>
            <w:tcW w:w="3193"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2000元/次</w:t>
            </w:r>
          </w:p>
        </w:tc>
      </w:tr>
      <w:tr>
        <w:tblPrEx>
          <w:tblCellMar>
            <w:top w:w="0" w:type="dxa"/>
            <w:left w:w="108" w:type="dxa"/>
            <w:bottom w:w="0" w:type="dxa"/>
            <w:right w:w="108" w:type="dxa"/>
          </w:tblCellMar>
        </w:tblPrEx>
        <w:trPr>
          <w:trHeight w:val="434" w:hRule="atLeast"/>
          <w:jc w:val="center"/>
        </w:trPr>
        <w:tc>
          <w:tcPr>
            <w:tcW w:w="64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b/>
                <w:bCs/>
                <w:color w:val="auto"/>
                <w:highlight w:val="none"/>
              </w:rPr>
            </w:pPr>
            <w:r>
              <w:rPr>
                <w:rFonts w:hint="eastAsia" w:ascii="仿宋" w:hAnsi="仿宋" w:eastAsia="仿宋" w:cs="仿宋"/>
                <w:b/>
                <w:bCs/>
                <w:color w:val="auto"/>
                <w:highlight w:val="none"/>
              </w:rPr>
              <w:t>六</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b/>
                <w:bCs/>
                <w:color w:val="auto"/>
                <w:highlight w:val="none"/>
              </w:rPr>
            </w:pPr>
            <w:r>
              <w:rPr>
                <w:rFonts w:hint="eastAsia" w:ascii="仿宋" w:hAnsi="仿宋" w:eastAsia="仿宋" w:cs="仿宋"/>
                <w:b/>
                <w:bCs/>
                <w:color w:val="auto"/>
                <w:highlight w:val="none"/>
              </w:rPr>
              <w:t>承包人偷工减料</w:t>
            </w:r>
          </w:p>
        </w:tc>
        <w:tc>
          <w:tcPr>
            <w:tcW w:w="1645"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p>
        </w:tc>
        <w:tc>
          <w:tcPr>
            <w:tcW w:w="3193"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预制管桩钢桩尖普遍不符合规范及设计要求的,除扣除桩尖相应工程款外</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内、外墙涂料普遍不符合要求或未使用公司指定品牌的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铝合金门窗以及安全玻璃的品牌、材料普遍不符合设计或合同要求的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4</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钢筋级别、直径、数量、品牌普遍不符合设计或合同要求的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扶手栏河规格、锚固和防锈措施普遍不符合图纸要求的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6</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现场镀锌钢丝网、耐碱玻纤网普遍不符合设计要求的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7</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现场普遍使用不符合要求非标电线的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8</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现场普遍使用不符合要求非标的给排水管材的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238"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9</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石材龙骨、结构胶普遍不符合设计要求的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防水材料以及防水材料施工厚度普遍不符合设计要求的</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11</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防雷系统在需防锈部位未按图纸及规范要求使用镀锌圆钢和扁铁或未按要求进行防锈处理，除扣除相应工程款外</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12</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水电管线未使用符合图纸及合同要求的材料，施工单位必须进行更换，如不能更换，除扣除管线相应工程款外</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13</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室内外铺贴、木地板、外墙挂石未使用符合图纸及合同要求的材料，施工单位必须进行更换</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rPr>
            </w:pPr>
            <w:r>
              <w:rPr>
                <w:rFonts w:hint="eastAsia" w:ascii="仿宋" w:hAnsi="仿宋" w:eastAsia="仿宋" w:cs="仿宋"/>
                <w:color w:val="auto"/>
                <w:highlight w:val="none"/>
                <w:lang w:eastAsia="zh-CN"/>
              </w:rPr>
              <w:t>　</w:t>
            </w: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14</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电箱、开关、水龙头等水电构件、锁具、灯具等（以上所列包含但不限于）未使用符合图纸和合同要求的材料，施工单位必须进行更换</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rPr>
            </w:pPr>
            <w:r>
              <w:rPr>
                <w:rFonts w:hint="eastAsia" w:ascii="仿宋" w:hAnsi="仿宋" w:eastAsia="仿宋" w:cs="仿宋"/>
                <w:color w:val="auto"/>
                <w:highlight w:val="none"/>
                <w:lang w:eastAsia="zh-CN"/>
              </w:rPr>
              <w:t>　</w:t>
            </w: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640" w:type="dxa"/>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15</w:t>
            </w:r>
          </w:p>
        </w:tc>
        <w:tc>
          <w:tcPr>
            <w:tcW w:w="4140" w:type="dxa"/>
            <w:tcBorders>
              <w:top w:val="single" w:color="auto" w:sz="4" w:space="0"/>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其它私自更换材料、购买非指定品牌材料、偷工减料以及抽检承包人购买材料不合格的情况</w:t>
            </w:r>
          </w:p>
        </w:tc>
        <w:tc>
          <w:tcPr>
            <w:tcW w:w="1645"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firstLine="240" w:firstLineChars="100"/>
              <w:rPr>
                <w:rFonts w:hint="default" w:ascii="仿宋" w:hAnsi="仿宋" w:eastAsia="仿宋" w:cs="仿宋"/>
                <w:color w:val="auto"/>
                <w:highlight w:val="none"/>
              </w:rPr>
            </w:pPr>
            <w:r>
              <w:rPr>
                <w:rFonts w:hint="eastAsia" w:ascii="仿宋" w:hAnsi="仿宋" w:eastAsia="仿宋" w:cs="仿宋"/>
                <w:color w:val="auto"/>
                <w:highlight w:val="none"/>
              </w:rPr>
              <w:t>限期整改</w:t>
            </w:r>
          </w:p>
        </w:tc>
        <w:tc>
          <w:tcPr>
            <w:tcW w:w="3193" w:type="dxa"/>
            <w:tcBorders>
              <w:top w:val="nil"/>
              <w:left w:val="nil"/>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100000元/次</w:t>
            </w:r>
          </w:p>
        </w:tc>
      </w:tr>
      <w:tr>
        <w:tblPrEx>
          <w:tblCellMar>
            <w:top w:w="0" w:type="dxa"/>
            <w:left w:w="108" w:type="dxa"/>
            <w:bottom w:w="0" w:type="dxa"/>
            <w:right w:w="108" w:type="dxa"/>
          </w:tblCellMar>
        </w:tblPrEx>
        <w:trPr>
          <w:trHeight w:val="600" w:hRule="atLeast"/>
          <w:jc w:val="center"/>
        </w:trPr>
        <w:tc>
          <w:tcPr>
            <w:tcW w:w="9618" w:type="dxa"/>
            <w:gridSpan w:val="4"/>
            <w:tcBorders>
              <w:top w:val="nil"/>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line="360" w:lineRule="auto"/>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特别注意：若因承包人违规操作引发材料质量问题导致群诉情况或其它重大损失的，承包人须承担所有责任。</w:t>
            </w:r>
          </w:p>
        </w:tc>
      </w:tr>
    </w:tbl>
    <w:p>
      <w:pPr>
        <w:rPr>
          <w:color w:val="auto"/>
          <w:highlight w:val="none"/>
          <w:lang w:eastAsia="zh-CN"/>
        </w:rPr>
      </w:pPr>
    </w:p>
    <w:p>
      <w:pPr>
        <w:rPr>
          <w:color w:val="auto"/>
          <w:highlight w:val="none"/>
          <w:lang w:eastAsia="zh-CN"/>
        </w:rPr>
      </w:pPr>
    </w:p>
    <w:p>
      <w:pPr>
        <w:rPr>
          <w:rFonts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br w:type="page"/>
      </w:r>
    </w:p>
    <w:p>
      <w:pPr>
        <w:ind w:firstLine="2249" w:firstLineChars="800"/>
        <w:rPr>
          <w:rFonts w:ascii="仿宋" w:hAnsi="仿宋" w:eastAsia="仿宋" w:cs="仿宋"/>
          <w:color w:val="auto"/>
          <w:sz w:val="28"/>
          <w:szCs w:val="28"/>
          <w:highlight w:val="none"/>
          <w:lang w:eastAsia="zh-CN"/>
        </w:rPr>
      </w:pPr>
      <w:r>
        <w:rPr>
          <w:rFonts w:hint="eastAsia" w:ascii="仿宋" w:hAnsi="仿宋" w:eastAsia="仿宋" w:cs="仿宋"/>
          <w:b/>
          <w:bCs/>
          <w:color w:val="auto"/>
          <w:sz w:val="28"/>
          <w:szCs w:val="28"/>
          <w:highlight w:val="none"/>
          <w:lang w:eastAsia="zh-CN"/>
        </w:rPr>
        <w:t>（三）施工现场安全管理详细罚则</w:t>
      </w:r>
    </w:p>
    <w:tbl>
      <w:tblPr>
        <w:tblStyle w:val="40"/>
        <w:tblW w:w="943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95"/>
        <w:gridCol w:w="527"/>
        <w:gridCol w:w="2142"/>
        <w:gridCol w:w="2508"/>
        <w:gridCol w:w="2089"/>
        <w:gridCol w:w="9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blHeader/>
          <w:jc w:val="center"/>
        </w:trPr>
        <w:tc>
          <w:tcPr>
            <w:tcW w:w="1195" w:type="dxa"/>
            <w:vMerge w:val="restart"/>
            <w:tcBorders>
              <w:top w:val="single" w:color="auto" w:sz="4" w:space="0"/>
              <w:left w:val="single" w:color="auto" w:sz="4" w:space="0"/>
              <w:bottom w:val="single" w:color="auto" w:sz="4" w:space="0"/>
              <w:right w:val="single" w:color="auto" w:sz="4" w:space="0"/>
            </w:tcBorders>
            <w:shd w:val="clear" w:color="auto" w:fill="E7E6E6"/>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安全违约类型</w:t>
            </w:r>
          </w:p>
        </w:tc>
        <w:tc>
          <w:tcPr>
            <w:tcW w:w="2669" w:type="dxa"/>
            <w:gridSpan w:val="2"/>
            <w:tcBorders>
              <w:top w:val="single" w:color="auto" w:sz="4" w:space="0"/>
              <w:left w:val="single" w:color="auto" w:sz="4" w:space="0"/>
              <w:bottom w:val="single" w:color="auto" w:sz="4" w:space="0"/>
              <w:right w:val="single" w:color="auto" w:sz="4" w:space="0"/>
            </w:tcBorders>
            <w:shd w:val="clear" w:color="auto" w:fill="E7E6E6"/>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安全违约细则</w:t>
            </w:r>
          </w:p>
        </w:tc>
        <w:tc>
          <w:tcPr>
            <w:tcW w:w="2508" w:type="dxa"/>
            <w:vMerge w:val="restart"/>
            <w:tcBorders>
              <w:top w:val="single" w:color="auto" w:sz="4" w:space="0"/>
              <w:left w:val="single" w:color="auto" w:sz="4" w:space="0"/>
              <w:bottom w:val="single" w:color="auto" w:sz="4" w:space="0"/>
              <w:right w:val="single" w:color="auto" w:sz="4" w:space="0"/>
            </w:tcBorders>
            <w:shd w:val="clear" w:color="auto" w:fill="E7E6E6"/>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细则说明</w:t>
            </w:r>
          </w:p>
        </w:tc>
        <w:tc>
          <w:tcPr>
            <w:tcW w:w="2089" w:type="dxa"/>
            <w:vMerge w:val="restart"/>
            <w:tcBorders>
              <w:top w:val="single" w:color="auto" w:sz="4" w:space="0"/>
              <w:left w:val="single" w:color="auto" w:sz="4" w:space="0"/>
              <w:bottom w:val="single" w:color="auto" w:sz="4" w:space="0"/>
              <w:right w:val="single" w:color="auto" w:sz="4" w:space="0"/>
            </w:tcBorders>
            <w:shd w:val="clear" w:color="auto" w:fill="E7E6E6"/>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责任追究（由发包人从应向承包人支付的工程款中扣除）</w:t>
            </w:r>
          </w:p>
        </w:tc>
        <w:tc>
          <w:tcPr>
            <w:tcW w:w="975" w:type="dxa"/>
            <w:vMerge w:val="restart"/>
            <w:tcBorders>
              <w:top w:val="single" w:color="auto" w:sz="4" w:space="0"/>
              <w:left w:val="single" w:color="auto" w:sz="4" w:space="0"/>
              <w:bottom w:val="single" w:color="auto" w:sz="4" w:space="0"/>
              <w:right w:val="single" w:color="auto" w:sz="4" w:space="0"/>
            </w:tcBorders>
            <w:shd w:val="clear" w:color="auto" w:fill="E7E6E6"/>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blHeader/>
          <w:jc w:val="center"/>
        </w:trPr>
        <w:tc>
          <w:tcPr>
            <w:tcW w:w="119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shd w:val="clear" w:color="auto" w:fill="E7E6E6"/>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序号</w:t>
            </w:r>
          </w:p>
        </w:tc>
        <w:tc>
          <w:tcPr>
            <w:tcW w:w="2142" w:type="dxa"/>
            <w:tcBorders>
              <w:top w:val="single" w:color="auto" w:sz="4" w:space="0"/>
              <w:left w:val="single" w:color="auto" w:sz="4" w:space="0"/>
              <w:bottom w:val="single" w:color="auto" w:sz="4" w:space="0"/>
              <w:right w:val="single" w:color="auto" w:sz="4" w:space="0"/>
            </w:tcBorders>
            <w:shd w:val="clear" w:color="auto" w:fill="E7E6E6"/>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细则内容</w:t>
            </w:r>
          </w:p>
        </w:tc>
        <w:tc>
          <w:tcPr>
            <w:tcW w:w="250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97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5" w:hRule="atLeast"/>
          <w:jc w:val="center"/>
        </w:trPr>
        <w:tc>
          <w:tcPr>
            <w:tcW w:w="1195" w:type="dxa"/>
            <w:vMerge w:val="restart"/>
            <w:tcBorders>
              <w:top w:val="single" w:color="auto" w:sz="4" w:space="0"/>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作业人员管理</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1</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作业人员不符合要求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包括特殊工种未持证上岗，违章或未正确使用个体防护措施等</w:t>
            </w:r>
          </w:p>
        </w:tc>
        <w:tc>
          <w:tcPr>
            <w:tcW w:w="2089" w:type="dxa"/>
            <w:vMerge w:val="restart"/>
            <w:tcBorders>
              <w:top w:val="single" w:color="auto" w:sz="4" w:space="0"/>
              <w:left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处500元/次/人罚款；无证人员退场。勒令退场，未退场的，对承包人处500元/人/天罚款；由此引发的停工窝工费等从工程款中扣除</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5" w:hRule="atLeast"/>
          <w:jc w:val="center"/>
        </w:trPr>
        <w:tc>
          <w:tcPr>
            <w:tcW w:w="1195"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2</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施工人员安全教育不足</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人员未接受安全教育和安全技术交底、未每日开展班前安全活动等</w:t>
            </w:r>
          </w:p>
        </w:tc>
        <w:tc>
          <w:tcPr>
            <w:tcW w:w="2089"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5" w:hRule="atLeast"/>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四口五临边防护不到位</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3</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临边、洞口防护不到位、未设置明显的警示标志</w:t>
            </w:r>
          </w:p>
        </w:tc>
        <w:tc>
          <w:tcPr>
            <w:tcW w:w="2508"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防护标准参照《</w:t>
            </w:r>
            <w:r>
              <w:rPr>
                <w:rFonts w:hint="eastAsia" w:ascii="仿宋" w:hAnsi="仿宋" w:eastAsia="仿宋" w:cs="仿宋"/>
                <w:color w:val="auto"/>
                <w:highlight w:val="none"/>
                <w:shd w:val="clear" w:color="auto" w:fill="FFFFFF"/>
                <w:lang w:eastAsia="zh-CN"/>
              </w:rPr>
              <w:t>广州市房屋建筑工程安全防护指导图集（防高坠篇）</w:t>
            </w:r>
            <w:r>
              <w:rPr>
                <w:rFonts w:hint="eastAsia" w:ascii="仿宋" w:hAnsi="仿宋" w:eastAsia="仿宋" w:cs="仿宋"/>
                <w:color w:val="auto"/>
                <w:highlight w:val="none"/>
                <w:lang w:eastAsia="zh-CN"/>
              </w:rPr>
              <w:t>》</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该单元防护不予计量直至防护验收完成，同时对承包人处500元/个洞口（或2米防护）的罚款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防护所在同一楼层或同一区域均视为同一单元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4</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防护设施未经审批同意擅自拆除或损坏</w:t>
            </w:r>
          </w:p>
        </w:tc>
        <w:tc>
          <w:tcPr>
            <w:tcW w:w="250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即时恢复并按规定验收，每延误一天处1000元以上罚款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r>
              <w:rPr>
                <w:rFonts w:hint="eastAsia" w:ascii="仿宋" w:hAnsi="仿宋" w:eastAsia="仿宋" w:cs="仿宋"/>
                <w:color w:val="auto"/>
                <w:highlight w:val="none"/>
              </w:rPr>
              <w:t>脚手架管理</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5</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材料、材质不符合要求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包括无相关产品质量证明文件或政府部门规定的检测报告等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该批次材料退场，并处罚款10000元/批次，材料退场引发的窝工、停工等费用发包人不予承认</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6</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支架基础、构造设置、施工荷载、作业环境不符合方案要求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包括基础不硬实平整，基础无排水措施，支架底部垫板、底座未设置或者不符合要求等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该支撑体系工程量不予计量并对承包人处2000元罚款，施工荷载超规处1000元/处罚款，作业环境不符合要求处500元/处罚款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7</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架体材质不符合要求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包括进场的钢管、构配件等规格、材质不符合要求或未经检测，脚手板或密目网材质不符合要求等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该批次材料退场、并处10000元/批次罚款；材料退场引发的窝工、停工等费用发包人不予承认</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8</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移动式操作平台不符合要求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包括轮子与平台的连接不牢固可靠或立柱底端距离地面超过80mm、操作平台四周未设置防护栏杆、未设置登高扶梯、未按要求进行验收合格后使用等</w:t>
            </w:r>
          </w:p>
        </w:tc>
        <w:tc>
          <w:tcPr>
            <w:tcW w:w="208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处1000元/个罚款，重复违规加倍处罚</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9</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悬挑式卸料平台不符合要求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包括平台未经验收合格后使用，无明显的验收牌和限载牌等标识牌、堆放超载或不符合要求</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1</w:t>
            </w:r>
            <w:r>
              <w:rPr>
                <w:rFonts w:hint="eastAsia" w:ascii="仿宋" w:hAnsi="仿宋" w:eastAsia="仿宋" w:cs="仿宋"/>
                <w:color w:val="auto"/>
                <w:highlight w:val="none"/>
                <w:lang w:eastAsia="zh-CN"/>
              </w:rPr>
              <w:t>0</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架体拆除违规</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包括拆除无申请，高空抛物，材料堆放失稳，未设警戒区域和监护人等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处2000-5000元/项罚款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个体防护用品管理不到位</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1</w:t>
            </w:r>
            <w:r>
              <w:rPr>
                <w:rFonts w:hint="eastAsia" w:ascii="仿宋" w:hAnsi="仿宋" w:eastAsia="仿宋" w:cs="仿宋"/>
                <w:color w:val="auto"/>
                <w:highlight w:val="none"/>
                <w:lang w:eastAsia="zh-CN"/>
              </w:rPr>
              <w:t>1</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施工现场人员未按标准佩戴安全帽</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包括安全帽不合格、安全帽未系帽带等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处100元/人/次罚款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1</w:t>
            </w:r>
            <w:r>
              <w:rPr>
                <w:rFonts w:hint="eastAsia" w:ascii="仿宋" w:hAnsi="仿宋" w:eastAsia="仿宋" w:cs="仿宋"/>
                <w:color w:val="auto"/>
                <w:highlight w:val="none"/>
                <w:lang w:eastAsia="zh-CN"/>
              </w:rPr>
              <w:t>2</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高处作业人员未按要求系挂安全带</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包括未做到高挂低用等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处200元/人/次罚款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1</w:t>
            </w:r>
            <w:r>
              <w:rPr>
                <w:rFonts w:hint="eastAsia" w:ascii="仿宋" w:hAnsi="仿宋" w:eastAsia="仿宋" w:cs="仿宋"/>
                <w:color w:val="auto"/>
                <w:highlight w:val="none"/>
                <w:lang w:eastAsia="zh-CN"/>
              </w:rPr>
              <w:t>3</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未按专业要求佩戴和正确使用相关防护用品</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包括从事据、切割作业的未配备护目镜，从事油漆作业等有毒有害气体或金属切割未佩戴口罩等。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处200 元/人/次罚款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1</w:t>
            </w:r>
            <w:r>
              <w:rPr>
                <w:rFonts w:hint="eastAsia" w:ascii="仿宋" w:hAnsi="仿宋" w:eastAsia="仿宋" w:cs="仿宋"/>
                <w:color w:val="auto"/>
                <w:highlight w:val="none"/>
                <w:lang w:eastAsia="zh-CN"/>
              </w:rPr>
              <w:t>4</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个人防护用品质量不合格</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包括无产品合格证，无检验报告等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对该批次用品予以清退，并处1000元/次罚款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临时用电验收不合格</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1</w:t>
            </w:r>
            <w:r>
              <w:rPr>
                <w:rFonts w:hint="eastAsia" w:ascii="仿宋" w:hAnsi="仿宋" w:eastAsia="仿宋" w:cs="仿宋"/>
                <w:color w:val="auto"/>
                <w:highlight w:val="none"/>
                <w:lang w:eastAsia="zh-CN"/>
              </w:rPr>
              <w:t>5</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外电防护不到位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包括外电线路安全距离不符合规范要求且未采了防护措施，防护设施未设置明显的警示标志等</w:t>
            </w:r>
          </w:p>
        </w:tc>
        <w:tc>
          <w:tcPr>
            <w:tcW w:w="208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处500元以上/项罚款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16</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接地与接零保护不足</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包括保护零线未连接或连接无效，保护零线的重复接地不足，接地体材质、连接、安装不符合要求，接地线颜色不符合规范要求等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17</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配电线路不符合要求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包括未按要求三级配电两级保护，电缆敷设未埋地或架空且未采取其他保护措施，电缆破损或接头机械强度、绝缘强度不足，私拉乱接</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18</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配电箱及开关箱不符合要求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包括配电箱、开关箱内未按要求配备质量及参数均合格的电器，无标识，无防雨防砸措施等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19</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照明管理不到位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包括特殊场所未使用安全电压，施工现场临时照明设置不到位等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2</w:t>
            </w:r>
            <w:r>
              <w:rPr>
                <w:rFonts w:hint="eastAsia" w:ascii="仿宋" w:hAnsi="仿宋" w:eastAsia="仿宋" w:cs="仿宋"/>
                <w:color w:val="auto"/>
                <w:highlight w:val="none"/>
                <w:lang w:eastAsia="zh-CN"/>
              </w:rPr>
              <w:t>0</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使用被明确在施工现场禁止使用的电器设备设施</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包括使用多孔插座、拖把线、碘钨灯等明确禁止使用的电气设备设施</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2</w:t>
            </w:r>
            <w:r>
              <w:rPr>
                <w:rFonts w:hint="eastAsia" w:ascii="仿宋" w:hAnsi="仿宋" w:eastAsia="仿宋" w:cs="仿宋"/>
                <w:color w:val="auto"/>
                <w:highlight w:val="none"/>
                <w:lang w:eastAsia="zh-CN"/>
              </w:rPr>
              <w:t>1</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用电档案不足</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包括临电验收开展不符合要求，内业资料不真实，未开展每日巡视等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r>
              <w:rPr>
                <w:rFonts w:hint="eastAsia" w:ascii="仿宋" w:hAnsi="仿宋" w:eastAsia="仿宋" w:cs="仿宋"/>
                <w:color w:val="auto"/>
                <w:highlight w:val="none"/>
              </w:rPr>
              <w:t>大型机械设备管理</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2</w:t>
            </w:r>
            <w:r>
              <w:rPr>
                <w:rFonts w:hint="eastAsia" w:ascii="仿宋" w:hAnsi="仿宋" w:eastAsia="仿宋" w:cs="仿宋"/>
                <w:color w:val="auto"/>
                <w:highlight w:val="none"/>
                <w:lang w:eastAsia="zh-CN"/>
              </w:rPr>
              <w:t>2</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设备与资质不符</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包括设备相关许可、技术资料不齐全，安拆单位资质不符、租赁单位超出经营范围等。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2</w:t>
            </w:r>
            <w:r>
              <w:rPr>
                <w:rFonts w:hint="eastAsia" w:ascii="仿宋" w:hAnsi="仿宋" w:eastAsia="仿宋" w:cs="仿宋"/>
                <w:color w:val="auto"/>
                <w:highlight w:val="none"/>
                <w:lang w:eastAsia="zh-CN"/>
              </w:rPr>
              <w:t>3</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安全装置失效或缺失，吊索具钢丝绳不符合要求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安全装置失效或缺失未及时发现，仍继续使用设备</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处10000元/次罚款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2</w:t>
            </w:r>
            <w:r>
              <w:rPr>
                <w:rFonts w:hint="eastAsia" w:ascii="仿宋" w:hAnsi="仿宋" w:eastAsia="仿宋" w:cs="仿宋"/>
                <w:color w:val="auto"/>
                <w:highlight w:val="none"/>
                <w:lang w:eastAsia="zh-CN"/>
              </w:rPr>
              <w:t>4</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未每月开展检查维修保养</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包括基础积水未及时清理等</w:t>
            </w:r>
          </w:p>
        </w:tc>
        <w:tc>
          <w:tcPr>
            <w:tcW w:w="208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r>
              <w:rPr>
                <w:rFonts w:hint="eastAsia" w:ascii="仿宋" w:hAnsi="仿宋" w:eastAsia="仿宋" w:cs="仿宋"/>
                <w:color w:val="auto"/>
                <w:highlight w:val="none"/>
              </w:rPr>
              <w:t>处500元以上/项罚款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2</w:t>
            </w:r>
            <w:r>
              <w:rPr>
                <w:rFonts w:hint="eastAsia" w:ascii="仿宋" w:hAnsi="仿宋" w:eastAsia="仿宋" w:cs="仿宋"/>
                <w:color w:val="auto"/>
                <w:highlight w:val="none"/>
                <w:lang w:eastAsia="zh-CN"/>
              </w:rPr>
              <w:t>5</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起重吊装管理不足</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包括作业过程无人监护，违反“十不吊”规定进行作业等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26</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验收不符合要求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包括未按规定验收或验收内容无量化等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吊篮搭设、使用不符合规范要求</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27</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吊篮资料不符合要求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未签订吊篮租赁合同，未提供吊篮（整机）合格证，无高处作业吊篮用钢丝绳质量证明书，未提供高处作业吊篮安全绳检测报告，未提供安全锁有效期内的校验证明的等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该批次吊篮退场、并处10000元/批次罚款；吊篮退场引发的窝工、停工等费用发包人不予承认</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28</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吊篮材料质量不符合要求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吊篮悬挑架、前后座、吊篮平台严重变形、锈蚀的，吊篮配重块破损、损坏的，吊篮安全锁无效的，吊篮钢丝绳断股、断丝、变形、锈蚀、变曲等的</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对不符合要求的材料退场、并处5000元/批次罚款；材料退场引发的窝工、停工等费用发包人不予承认</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29</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吊篮安装、移位及拆除安全管理不到位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未根据现场实际情况编制吊篮安装拆除方案，吊篮安装和拆卸（包括二次移位）未由产权单位负责，吊篮安全完成后未经产权单位自检合格、未经第三方有资质的单位进行检测，未组织产权单位、监理单位 验收就投入使用等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吊篮停止使用，并处10000元/项罚款；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3</w:t>
            </w:r>
            <w:r>
              <w:rPr>
                <w:rFonts w:hint="eastAsia" w:ascii="仿宋" w:hAnsi="仿宋" w:eastAsia="仿宋" w:cs="仿宋"/>
                <w:color w:val="auto"/>
                <w:highlight w:val="none"/>
                <w:lang w:eastAsia="zh-CN"/>
              </w:rPr>
              <w:t>0</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吊篮检查不到位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作业前未对吊篮进行检查的，产权单位未定期对吊篮进行维护保养的</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吊篮停止使用，并处1000元/项罚款；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3</w:t>
            </w:r>
            <w:r>
              <w:rPr>
                <w:rFonts w:hint="eastAsia" w:ascii="仿宋" w:hAnsi="仿宋" w:eastAsia="仿宋" w:cs="仿宋"/>
                <w:color w:val="auto"/>
                <w:highlight w:val="none"/>
                <w:lang w:eastAsia="zh-CN"/>
              </w:rPr>
              <w:t>1</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吊篮使用管理不到位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篮前支臂限位挡板缺失吊篮配重破损、损坏、无防挪移措施，吊篮前支臂架设在女儿墙上或挑檐边上的，吊篮2人以上（不含2人）同时作业的，将安全绳、安全带直接固定在吊篮机构上或固定不牢固的，吊篮未有效落地或作业人员中途上下吊篮的，利用吊篮做电焊接线回路，吊篮作为垂直运输设备，吊篮下方立体垂直交叉作业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处1000元/项罚款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小型施工机具使用与规范要求不符</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3</w:t>
            </w:r>
            <w:r>
              <w:rPr>
                <w:rFonts w:hint="eastAsia" w:ascii="仿宋" w:hAnsi="仿宋" w:eastAsia="仿宋" w:cs="仿宋"/>
                <w:color w:val="auto"/>
                <w:highlight w:val="none"/>
                <w:lang w:eastAsia="zh-CN"/>
              </w:rPr>
              <w:t>2</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施工机具验收管理不到位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施工机具未经验收擅自使用；</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处200-1000元/项罚款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3</w:t>
            </w:r>
            <w:r>
              <w:rPr>
                <w:rFonts w:hint="eastAsia" w:ascii="仿宋" w:hAnsi="仿宋" w:eastAsia="仿宋" w:cs="仿宋"/>
                <w:color w:val="auto"/>
                <w:highlight w:val="none"/>
                <w:lang w:eastAsia="zh-CN"/>
              </w:rPr>
              <w:t>3</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气瓶管理存在缺陷</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包括气瓶未安装减压器、回火防止器、气瓶存放不不符合要求、气瓶未按要求设置防振圈和防护帽、氧气与乙炔未分离单独存放且安全距离不符合要求等。</w:t>
            </w:r>
          </w:p>
        </w:tc>
        <w:tc>
          <w:tcPr>
            <w:tcW w:w="208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r>
              <w:rPr>
                <w:rFonts w:hint="eastAsia" w:ascii="仿宋" w:hAnsi="仿宋" w:eastAsia="仿宋" w:cs="仿宋"/>
                <w:color w:val="auto"/>
                <w:highlight w:val="none"/>
              </w:rPr>
              <w:t>处500元以上/项罚款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3</w:t>
            </w:r>
            <w:r>
              <w:rPr>
                <w:rFonts w:hint="eastAsia" w:ascii="仿宋" w:hAnsi="仿宋" w:eastAsia="仿宋" w:cs="仿宋"/>
                <w:color w:val="auto"/>
                <w:highlight w:val="none"/>
                <w:lang w:eastAsia="zh-CN"/>
              </w:rPr>
              <w:t>4</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桩工机械作业不符合要求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包括安全装置不齐全或不灵敏等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3</w:t>
            </w:r>
            <w:r>
              <w:rPr>
                <w:rFonts w:hint="eastAsia" w:ascii="仿宋" w:hAnsi="仿宋" w:eastAsia="仿宋" w:cs="仿宋"/>
                <w:color w:val="auto"/>
                <w:highlight w:val="none"/>
                <w:lang w:eastAsia="zh-CN"/>
              </w:rPr>
              <w:t>5</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吊运作业不符合规范要求</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包括散装物料吊运未使用专用料斗或料斗不合格等</w:t>
            </w:r>
          </w:p>
        </w:tc>
        <w:tc>
          <w:tcPr>
            <w:tcW w:w="208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rPr>
            </w:pPr>
            <w:r>
              <w:rPr>
                <w:rFonts w:hint="eastAsia" w:ascii="仿宋" w:hAnsi="仿宋" w:eastAsia="仿宋" w:cs="仿宋"/>
                <w:color w:val="auto"/>
                <w:highlight w:val="none"/>
              </w:rPr>
              <w:t>文明施工管理不到位</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36</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封闭管理不到位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施工现场未全封闭；施工现场施工现场和生活区围挡未达到整齐、坚固、稳定、整洁、美观；施工现场未实施实名制门禁系统或门禁系统未启用的；未建立门卫值守管理制度或未配备门卫值守人员等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rPr>
            </w:pPr>
            <w:r>
              <w:rPr>
                <w:rFonts w:hint="eastAsia" w:ascii="仿宋" w:hAnsi="仿宋" w:eastAsia="仿宋" w:cs="仿宋"/>
                <w:color w:val="auto"/>
                <w:highlight w:val="none"/>
              </w:rPr>
              <w:t>处1000-5000元/项罚款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37</w:t>
            </w:r>
          </w:p>
        </w:tc>
        <w:tc>
          <w:tcPr>
            <w:tcW w:w="214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施工现场安全文明管理不到位</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场内主要道路及材料加工区地面未进行硬化；施工现场有积水、淤泥；现场未设置垃圾池，未进行垃圾集中堆放；现场垃圾材料清理不到位；未设置医务室或未配备医用急救用品，现场未设置饮水和休息室等，各类材料未进行分类堆放或堆放不整齐</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处500-2000元/项罚款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38</w:t>
            </w:r>
          </w:p>
        </w:tc>
        <w:tc>
          <w:tcPr>
            <w:tcW w:w="214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rPr>
            </w:pPr>
            <w:r>
              <w:rPr>
                <w:rFonts w:hint="eastAsia" w:ascii="仿宋" w:hAnsi="仿宋" w:eastAsia="仿宋" w:cs="仿宋"/>
                <w:color w:val="auto"/>
                <w:highlight w:val="none"/>
              </w:rPr>
              <w:t>施工现场大小便</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违者小便罚款20元/次，大便罚款500元/次</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消防管理不到位</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39</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动火作业管理不到位，易燃易爆品管理不足、生活区防火不到位、现场防火不到位、擅自动用消防设备设施、吸烟管理</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包括易燃易爆危险品存储、使用不符合规定等、消防设施及器材配备</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处200-10000元/项罚款；对消防管理系统性缺失项目进行拉闸停工</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日常安全管理行为不善</w:t>
            </w: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4</w:t>
            </w:r>
            <w:r>
              <w:rPr>
                <w:rFonts w:hint="eastAsia" w:ascii="仿宋" w:hAnsi="仿宋" w:eastAsia="仿宋" w:cs="仿宋"/>
                <w:color w:val="auto"/>
                <w:highlight w:val="none"/>
                <w:lang w:eastAsia="zh-CN"/>
              </w:rPr>
              <w:t>0</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安全检查不到位、应急管理不善、分部分项工程管理行为不善、承包人公司总部未每月对承建的项目开展安全检查、总分包管理不到位、安全生产管理人员未能满足要求、危险性较大的分部分项工程无专项施工方案</w:t>
            </w:r>
          </w:p>
        </w:tc>
        <w:tc>
          <w:tcPr>
            <w:tcW w:w="2508" w:type="dxa"/>
            <w:tcBorders>
              <w:top w:val="single" w:color="auto" w:sz="4" w:space="0"/>
              <w:left w:val="single" w:color="auto" w:sz="4" w:space="0"/>
              <w:bottom w:val="single" w:color="auto" w:sz="4" w:space="0"/>
              <w:right w:val="single" w:color="auto" w:sz="4" w:space="0"/>
            </w:tcBorders>
            <w:vAlign w:val="center"/>
          </w:tcPr>
          <w:p>
            <w:pPr>
              <w:pStyle w:val="37"/>
              <w:keepNext w:val="0"/>
              <w:keepLines w:val="0"/>
              <w:widowControl/>
              <w:suppressLineNumbers w:val="0"/>
              <w:ind w:left="0" w:right="0"/>
              <w:jc w:val="center"/>
              <w:rPr>
                <w:rFonts w:hint="default" w:ascii="仿宋" w:hAnsi="仿宋" w:eastAsia="仿宋" w:cs="仿宋"/>
                <w:color w:val="auto"/>
                <w:kern w:val="2"/>
                <w:highlight w:val="none"/>
                <w:lang w:eastAsia="zh-CN"/>
              </w:rPr>
            </w:pPr>
            <w:r>
              <w:rPr>
                <w:rFonts w:hint="eastAsia" w:ascii="仿宋" w:hAnsi="仿宋" w:eastAsia="仿宋" w:cs="仿宋"/>
                <w:color w:val="auto"/>
                <w:kern w:val="2"/>
                <w:highlight w:val="none"/>
                <w:lang w:eastAsia="zh-CN"/>
              </w:rPr>
              <w:t>项目经理未组织相关人员每周对现场、生活区进行安全检查；检查无相关影像资料、未组织应急演练、安全员拆除作业未旁站、安全员配备不足等</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处1000-5000元/项罚款，由此导致第三方处罚的由该责任承包人全部承担</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4</w:t>
            </w:r>
            <w:r>
              <w:rPr>
                <w:rFonts w:hint="eastAsia" w:ascii="仿宋" w:hAnsi="仿宋" w:eastAsia="仿宋" w:cs="仿宋"/>
                <w:color w:val="auto"/>
                <w:highlight w:val="none"/>
                <w:lang w:eastAsia="zh-CN"/>
              </w:rPr>
              <w:t>1</w:t>
            </w:r>
          </w:p>
        </w:tc>
        <w:tc>
          <w:tcPr>
            <w:tcW w:w="214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发生生产安全责任事故</w:t>
            </w:r>
          </w:p>
        </w:tc>
        <w:tc>
          <w:tcPr>
            <w:tcW w:w="2508" w:type="dxa"/>
            <w:tcBorders>
              <w:top w:val="single" w:color="auto" w:sz="4" w:space="0"/>
              <w:left w:val="single" w:color="auto" w:sz="4" w:space="0"/>
              <w:bottom w:val="single" w:color="auto" w:sz="4" w:space="0"/>
              <w:right w:val="single" w:color="auto" w:sz="4" w:space="0"/>
            </w:tcBorders>
            <w:vAlign w:val="center"/>
          </w:tcPr>
          <w:p>
            <w:pPr>
              <w:pStyle w:val="37"/>
              <w:keepNext w:val="0"/>
              <w:keepLines w:val="0"/>
              <w:widowControl/>
              <w:suppressLineNumbers w:val="0"/>
              <w:ind w:left="0" w:right="0"/>
              <w:jc w:val="center"/>
              <w:rPr>
                <w:rFonts w:hint="default" w:ascii="仿宋" w:hAnsi="仿宋" w:eastAsia="仿宋" w:cs="仿宋"/>
                <w:color w:val="auto"/>
                <w:kern w:val="2"/>
                <w:highlight w:val="none"/>
                <w:lang w:eastAsia="zh-CN"/>
              </w:rPr>
            </w:pPr>
            <w:r>
              <w:rPr>
                <w:rFonts w:hint="eastAsia" w:ascii="仿宋" w:hAnsi="仿宋" w:eastAsia="仿宋" w:cs="仿宋"/>
                <w:color w:val="auto"/>
                <w:kern w:val="2"/>
                <w:highlight w:val="none"/>
                <w:lang w:eastAsia="zh-CN"/>
              </w:rPr>
              <w:t>由于承包人人员教育组织不到位或防护措施不到位或未按方案施工或违章指挥未按相关方整改通知及整改从而个发事故的</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承担事故处理的所有费用并处罚，一般事故：10000元/1人重伤，100000元/1人死亡；较大及以上事故：100万/人；事故对知识城集团品牌造成影响的，处罚加倍。</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lang w:eastAsia="zh-CN"/>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4</w:t>
            </w:r>
            <w:r>
              <w:rPr>
                <w:rFonts w:hint="eastAsia" w:ascii="仿宋" w:hAnsi="仿宋" w:eastAsia="仿宋" w:cs="仿宋"/>
                <w:color w:val="auto"/>
                <w:highlight w:val="none"/>
                <w:lang w:eastAsia="zh-CN"/>
              </w:rPr>
              <w:t>2</w:t>
            </w:r>
          </w:p>
        </w:tc>
        <w:tc>
          <w:tcPr>
            <w:tcW w:w="214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政府部门处罚</w:t>
            </w: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因安全问题被政府职能部门通报批评</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处50000元/次罚款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43</w:t>
            </w:r>
          </w:p>
        </w:tc>
        <w:tc>
          <w:tcPr>
            <w:tcW w:w="214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发生影响发包人企业资信的安全、质量事故、事件</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处100000元/次罚款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95"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5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lang w:eastAsia="zh-CN"/>
              </w:rPr>
            </w:pPr>
            <w:r>
              <w:rPr>
                <w:rFonts w:hint="eastAsia" w:ascii="仿宋" w:hAnsi="仿宋" w:eastAsia="仿宋" w:cs="仿宋"/>
                <w:color w:val="auto"/>
                <w:highlight w:val="none"/>
              </w:rPr>
              <w:t>4</w:t>
            </w:r>
            <w:r>
              <w:rPr>
                <w:rFonts w:hint="eastAsia" w:ascii="仿宋" w:hAnsi="仿宋" w:eastAsia="仿宋" w:cs="仿宋"/>
                <w:color w:val="auto"/>
                <w:highlight w:val="none"/>
                <w:lang w:eastAsia="zh-CN"/>
              </w:rPr>
              <w:t>4</w:t>
            </w:r>
          </w:p>
        </w:tc>
        <w:tc>
          <w:tcPr>
            <w:tcW w:w="214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rPr>
                <w:rFonts w:hint="default" w:ascii="仿宋" w:hAnsi="仿宋" w:eastAsia="仿宋" w:cs="仿宋"/>
                <w:color w:val="auto"/>
                <w:highlight w:val="none"/>
              </w:rPr>
            </w:pPr>
          </w:p>
        </w:tc>
        <w:tc>
          <w:tcPr>
            <w:tcW w:w="250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rPr>
                <w:rFonts w:hint="default" w:ascii="仿宋" w:hAnsi="仿宋" w:eastAsia="仿宋" w:cs="仿宋"/>
                <w:color w:val="auto"/>
                <w:highlight w:val="none"/>
                <w:lang w:eastAsia="zh-CN"/>
              </w:rPr>
            </w:pPr>
            <w:r>
              <w:rPr>
                <w:rFonts w:hint="eastAsia" w:ascii="仿宋" w:hAnsi="仿宋" w:eastAsia="仿宋" w:cs="仿宋"/>
                <w:color w:val="auto"/>
                <w:highlight w:val="none"/>
                <w:lang w:eastAsia="zh-CN"/>
              </w:rPr>
              <w:t>现场出现人员伤亡安全事故或政府职能部门责令停工整顿，隐瞒情况不上报的</w:t>
            </w:r>
          </w:p>
        </w:tc>
        <w:tc>
          <w:tcPr>
            <w:tcW w:w="208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autoSpaceDE w:val="0"/>
              <w:autoSpaceDN w:val="0"/>
              <w:adjustRightInd w:val="0"/>
              <w:spacing w:before="0" w:beforeAutospacing="0" w:after="0" w:afterAutospacing="0"/>
              <w:ind w:left="0" w:right="0"/>
              <w:jc w:val="center"/>
              <w:rPr>
                <w:rFonts w:hint="default" w:ascii="仿宋" w:hAnsi="仿宋" w:eastAsia="仿宋" w:cs="仿宋"/>
                <w:color w:val="auto"/>
                <w:highlight w:val="none"/>
              </w:rPr>
            </w:pPr>
            <w:r>
              <w:rPr>
                <w:rFonts w:hint="eastAsia" w:ascii="仿宋" w:hAnsi="仿宋" w:eastAsia="仿宋" w:cs="仿宋"/>
                <w:color w:val="auto"/>
                <w:highlight w:val="none"/>
              </w:rPr>
              <w:t>处100000元/次罚款</w:t>
            </w:r>
          </w:p>
        </w:tc>
        <w:tc>
          <w:tcPr>
            <w:tcW w:w="97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center"/>
              <w:rPr>
                <w:rFonts w:hint="default" w:ascii="仿宋" w:hAnsi="仿宋" w:eastAsia="仿宋" w:cs="仿宋"/>
                <w:color w:val="auto"/>
                <w:highlight w:val="none"/>
              </w:rPr>
            </w:pPr>
          </w:p>
        </w:tc>
      </w:tr>
    </w:tbl>
    <w:p>
      <w:pPr>
        <w:spacing w:line="360" w:lineRule="auto"/>
        <w:rPr>
          <w:rFonts w:ascii="仿宋" w:hAnsi="仿宋" w:eastAsia="仿宋" w:cs="仿宋"/>
          <w:b/>
          <w:bCs/>
          <w:color w:val="auto"/>
          <w:highlight w:val="none"/>
          <w:lang w:eastAsia="zh-CN"/>
        </w:rPr>
      </w:pPr>
      <w:r>
        <w:rPr>
          <w:rFonts w:hint="eastAsia" w:ascii="仿宋" w:hAnsi="仿宋" w:eastAsia="仿宋" w:cs="仿宋"/>
          <w:b/>
          <w:bCs/>
          <w:color w:val="auto"/>
          <w:highlight w:val="none"/>
          <w:lang w:eastAsia="zh-CN"/>
        </w:rPr>
        <w:t>【备注：本附件所有罚则内容由发包人根据施工现场实际情况选用，如罚则之间存在交叉或相互矛盾之处时，按两者的较高标准执行。</w:t>
      </w:r>
      <w:bookmarkEnd w:id="2062"/>
    </w:p>
    <w:p>
      <w:pPr>
        <w:spacing w:line="360" w:lineRule="auto"/>
        <w:rPr>
          <w:rFonts w:ascii="仿宋" w:hAnsi="仿宋" w:eastAsia="仿宋" w:cs="仿宋"/>
          <w:b/>
          <w:bCs/>
          <w:color w:val="auto"/>
          <w:highlight w:val="none"/>
          <w:lang w:eastAsia="zh-CN"/>
        </w:rPr>
        <w:sectPr>
          <w:footerReference r:id="rId11" w:type="default"/>
          <w:endnotePr>
            <w:numFmt w:val="decimal"/>
          </w:endnotePr>
          <w:pgSz w:w="11906" w:h="16838"/>
          <w:pgMar w:top="850" w:right="1701" w:bottom="850" w:left="1701" w:header="0" w:footer="283" w:gutter="0"/>
          <w:cols w:space="720" w:num="1"/>
          <w:docGrid w:linePitch="1" w:charSpace="0"/>
        </w:sectPr>
      </w:pPr>
    </w:p>
    <w:p>
      <w:pPr>
        <w:spacing w:line="360" w:lineRule="auto"/>
        <w:outlineLvl w:val="1"/>
        <w:rPr>
          <w:rFonts w:ascii="仿宋" w:hAnsi="仿宋" w:eastAsia="仿宋" w:cs="仿宋"/>
          <w:b/>
          <w:bCs/>
          <w:color w:val="auto"/>
          <w:highlight w:val="none"/>
          <w:lang w:eastAsia="zh-CN"/>
        </w:rPr>
      </w:pPr>
      <w:bookmarkStart w:id="2063" w:name="_Toc16184"/>
      <w:bookmarkStart w:id="2064" w:name="_Toc10527"/>
      <w:bookmarkStart w:id="2065" w:name="_Toc926"/>
      <w:r>
        <w:rPr>
          <w:rFonts w:hint="eastAsia" w:ascii="仿宋" w:hAnsi="仿宋" w:eastAsia="仿宋" w:cs="仿宋"/>
          <w:b/>
          <w:bCs/>
          <w:color w:val="auto"/>
          <w:highlight w:val="none"/>
          <w:lang w:eastAsia="zh-CN"/>
        </w:rPr>
        <w:t>附件八：建筑物及附属设施设备交付标准</w:t>
      </w:r>
      <w:bookmarkEnd w:id="2063"/>
      <w:bookmarkEnd w:id="2064"/>
      <w:bookmarkEnd w:id="2065"/>
    </w:p>
    <w:p>
      <w:pPr>
        <w:pStyle w:val="38"/>
        <w:spacing w:before="0" w:after="0" w:line="560" w:lineRule="exact"/>
        <w:outlineLvl w:val="9"/>
        <w:rPr>
          <w:rFonts w:ascii="仿宋" w:hAnsi="仿宋" w:eastAsia="仿宋" w:cs="仿宋"/>
          <w:color w:val="auto"/>
          <w:kern w:val="0"/>
          <w:sz w:val="24"/>
          <w:szCs w:val="24"/>
          <w:highlight w:val="none"/>
          <w:lang w:eastAsia="zh-CN" w:bidi="en-US"/>
        </w:rPr>
      </w:pPr>
      <w:r>
        <w:rPr>
          <w:rFonts w:hint="eastAsia" w:ascii="仿宋" w:hAnsi="仿宋" w:eastAsia="仿宋" w:cs="仿宋"/>
          <w:color w:val="auto"/>
          <w:kern w:val="0"/>
          <w:sz w:val="24"/>
          <w:szCs w:val="24"/>
          <w:highlight w:val="none"/>
          <w:lang w:eastAsia="zh-CN" w:bidi="en-US"/>
        </w:rPr>
        <w:t>厂房物业建筑物及附属设施设备交付标准</w:t>
      </w:r>
    </w:p>
    <w:tbl>
      <w:tblPr>
        <w:tblStyle w:val="4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483"/>
        <w:gridCol w:w="896"/>
        <w:gridCol w:w="898"/>
        <w:gridCol w:w="4307"/>
        <w:gridCol w:w="2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36"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序号</w:t>
            </w:r>
          </w:p>
        </w:tc>
        <w:tc>
          <w:tcPr>
            <w:tcW w:w="104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分项</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要求交付标准</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实际交付情况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3"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w:t>
            </w:r>
          </w:p>
        </w:tc>
        <w:tc>
          <w:tcPr>
            <w:tcW w:w="104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外墙</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涂料</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color w:val="auto"/>
                <w:kern w:val="2"/>
                <w:sz w:val="24"/>
                <w:szCs w:val="24"/>
                <w:highlight w:val="none"/>
              </w:rPr>
            </w:pPr>
            <w:r>
              <w:rPr>
                <w:rFonts w:hint="default" w:ascii="Arial" w:hAnsi="Arial" w:eastAsia="宋体" w:cs="Arial"/>
                <w:color w:val="auto"/>
                <w:kern w:val="2"/>
                <w:sz w:val="24"/>
                <w:szCs w:val="24"/>
                <w:highlight w:val="none"/>
                <w:lang w:val="en-US" w:eastAsia="zh-CN" w:bidi="ar"/>
              </w:rPr>
              <w:t>2</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门</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消防通道：按规范安装防火门</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单元门：玻璃门</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3"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3</w:t>
            </w:r>
          </w:p>
        </w:tc>
        <w:tc>
          <w:tcPr>
            <w:tcW w:w="104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窗</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铝合金玻璃窗</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5"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4</w:t>
            </w:r>
          </w:p>
        </w:tc>
        <w:tc>
          <w:tcPr>
            <w:tcW w:w="522"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厂房内部</w:t>
            </w: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天花</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按毛坯（修平）</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5"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内墙面</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独栋砂浆收平，多高层采用</w:t>
            </w:r>
            <w:r>
              <w:rPr>
                <w:rFonts w:hint="eastAsia" w:ascii="宋体" w:hAnsi="宋体" w:cs="宋体"/>
                <w:color w:val="auto"/>
                <w:kern w:val="2"/>
                <w:sz w:val="24"/>
                <w:szCs w:val="24"/>
                <w:highlight w:val="none"/>
                <w:lang w:val="en-US" w:eastAsia="zh-CN" w:bidi="ar"/>
              </w:rPr>
              <w:t>刮白</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地面</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毛坯（找平）</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荷载</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荷载（</w:t>
            </w:r>
            <w:r>
              <w:rPr>
                <w:rFonts w:hint="default" w:ascii="Arial" w:hAnsi="Arial" w:eastAsia="宋体" w:cs="Arial"/>
                <w:color w:val="auto"/>
                <w:kern w:val="2"/>
                <w:sz w:val="24"/>
                <w:szCs w:val="24"/>
                <w:highlight w:val="none"/>
                <w:lang w:val="en-US" w:eastAsia="zh-CN" w:bidi="ar"/>
              </w:rPr>
              <w:t>t/m</w:t>
            </w:r>
            <w:r>
              <w:rPr>
                <w:rFonts w:hint="default" w:ascii="Arial" w:hAnsi="Arial" w:eastAsia="宋体" w:cs="Arial"/>
                <w:color w:val="auto"/>
                <w:kern w:val="2"/>
                <w:sz w:val="24"/>
                <w:szCs w:val="24"/>
                <w:highlight w:val="none"/>
                <w:vertAlign w:val="superscript"/>
                <w:lang w:val="en-US" w:eastAsia="zh-CN" w:bidi="ar"/>
              </w:rPr>
              <w:t>2</w:t>
            </w:r>
            <w:r>
              <w:rPr>
                <w:rFonts w:hint="eastAsia" w:ascii="宋体" w:hAnsi="宋体" w:eastAsia="宋体" w:cs="宋体"/>
                <w:color w:val="auto"/>
                <w:kern w:val="2"/>
                <w:sz w:val="24"/>
                <w:szCs w:val="24"/>
                <w:highlight w:val="none"/>
                <w:lang w:val="en-US" w:eastAsia="zh-CN" w:bidi="ar"/>
              </w:rPr>
              <w:t>）：</w:t>
            </w:r>
            <w:r>
              <w:rPr>
                <w:rFonts w:hint="eastAsia" w:ascii="宋体" w:hAnsi="宋体" w:cs="宋体"/>
                <w:color w:val="auto"/>
                <w:kern w:val="2"/>
                <w:sz w:val="24"/>
                <w:szCs w:val="24"/>
                <w:highlight w:val="none"/>
                <w:lang w:val="en-US" w:eastAsia="zh-CN" w:bidi="ar"/>
              </w:rPr>
              <w:t>D类厂房、E类厂房、A类厂房</w:t>
            </w:r>
            <w:r>
              <w:rPr>
                <w:rFonts w:hint="eastAsia" w:ascii="宋体" w:hAnsi="宋体" w:eastAsia="宋体" w:cs="宋体"/>
                <w:color w:val="auto"/>
                <w:kern w:val="2"/>
                <w:sz w:val="24"/>
                <w:szCs w:val="24"/>
                <w:highlight w:val="none"/>
                <w:lang w:val="en-US" w:eastAsia="zh-CN" w:bidi="ar"/>
              </w:rPr>
              <w:t>首层</w:t>
            </w:r>
            <w:r>
              <w:rPr>
                <w:rFonts w:hint="default" w:ascii="Arial" w:hAnsi="Arial" w:eastAsia="宋体" w:cs="Arial"/>
                <w:color w:val="auto"/>
                <w:kern w:val="2"/>
                <w:sz w:val="24"/>
                <w:szCs w:val="24"/>
                <w:highlight w:val="none"/>
                <w:lang w:val="en-US" w:eastAsia="zh-CN" w:bidi="ar"/>
              </w:rPr>
              <w:t>3t</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2-3</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1.5t</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4-6</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1t</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7</w:t>
            </w:r>
            <w:r>
              <w:rPr>
                <w:rFonts w:hint="eastAsia" w:ascii="宋体" w:hAnsi="宋体" w:eastAsia="宋体" w:cs="宋体"/>
                <w:color w:val="auto"/>
                <w:kern w:val="2"/>
                <w:sz w:val="24"/>
                <w:szCs w:val="24"/>
                <w:highlight w:val="none"/>
                <w:lang w:val="en-US" w:eastAsia="zh-CN" w:bidi="ar"/>
              </w:rPr>
              <w:t>层及以上</w:t>
            </w:r>
            <w:r>
              <w:rPr>
                <w:rFonts w:hint="default" w:ascii="Arial" w:hAnsi="Arial" w:eastAsia="宋体" w:cs="Arial"/>
                <w:color w:val="auto"/>
                <w:kern w:val="2"/>
                <w:sz w:val="24"/>
                <w:szCs w:val="24"/>
                <w:highlight w:val="none"/>
                <w:lang w:val="en-US" w:eastAsia="zh-CN" w:bidi="ar"/>
              </w:rPr>
              <w:t>0.8t</w:t>
            </w:r>
            <w:r>
              <w:rPr>
                <w:rFonts w:hint="eastAsia" w:ascii="宋体" w:hAnsi="宋体" w:eastAsia="宋体" w:cs="宋体"/>
                <w:color w:val="auto"/>
                <w:kern w:val="2"/>
                <w:sz w:val="24"/>
                <w:szCs w:val="24"/>
                <w:highlight w:val="none"/>
                <w:lang w:val="en-US" w:eastAsia="zh-CN" w:bidi="ar"/>
              </w:rPr>
              <w:t>；</w:t>
            </w:r>
            <w:r>
              <w:rPr>
                <w:rFonts w:hint="eastAsia" w:ascii="宋体" w:hAnsi="宋体" w:cs="宋体"/>
                <w:color w:val="auto"/>
                <w:kern w:val="2"/>
                <w:sz w:val="24"/>
                <w:szCs w:val="24"/>
                <w:highlight w:val="none"/>
                <w:lang w:val="en-US" w:eastAsia="zh-CN" w:bidi="ar"/>
              </w:rPr>
              <w:t>B类厂房</w:t>
            </w:r>
            <w:r>
              <w:rPr>
                <w:rFonts w:hint="eastAsia" w:ascii="宋体" w:hAnsi="宋体" w:eastAsia="宋体" w:cs="宋体"/>
                <w:color w:val="auto"/>
                <w:kern w:val="2"/>
                <w:sz w:val="24"/>
                <w:szCs w:val="24"/>
                <w:highlight w:val="none"/>
                <w:lang w:val="en-US" w:eastAsia="zh-CN" w:bidi="ar"/>
              </w:rPr>
              <w:t>首层</w:t>
            </w:r>
            <w:r>
              <w:rPr>
                <w:rFonts w:hint="default" w:ascii="Arial" w:hAnsi="Arial" w:eastAsia="宋体" w:cs="Arial"/>
                <w:color w:val="auto"/>
                <w:kern w:val="2"/>
                <w:sz w:val="24"/>
                <w:szCs w:val="24"/>
                <w:highlight w:val="none"/>
                <w:lang w:val="en-US" w:eastAsia="zh-CN" w:bidi="ar"/>
              </w:rPr>
              <w:t>3t</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2</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1.5t</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3</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1.2t</w:t>
            </w:r>
            <w:r>
              <w:rPr>
                <w:rFonts w:hint="eastAsia" w:ascii="宋体" w:hAnsi="宋体" w:eastAsia="宋体" w:cs="宋体"/>
                <w:color w:val="auto"/>
                <w:kern w:val="2"/>
                <w:sz w:val="24"/>
                <w:szCs w:val="24"/>
                <w:highlight w:val="none"/>
                <w:lang w:val="en-US" w:eastAsia="zh-CN" w:bidi="ar"/>
              </w:rPr>
              <w:t>；</w:t>
            </w:r>
            <w:r>
              <w:rPr>
                <w:rFonts w:hint="eastAsia" w:ascii="宋体" w:hAnsi="宋体" w:cs="宋体"/>
                <w:color w:val="auto"/>
                <w:kern w:val="2"/>
                <w:sz w:val="24"/>
                <w:szCs w:val="24"/>
                <w:highlight w:val="none"/>
                <w:lang w:val="en-US" w:eastAsia="zh-CN" w:bidi="ar"/>
              </w:rPr>
              <w:t>C类</w:t>
            </w:r>
            <w:r>
              <w:rPr>
                <w:rFonts w:hint="eastAsia" w:ascii="宋体" w:hAnsi="宋体" w:eastAsia="宋体" w:cs="宋体"/>
                <w:color w:val="auto"/>
                <w:kern w:val="2"/>
                <w:sz w:val="24"/>
                <w:szCs w:val="24"/>
                <w:highlight w:val="none"/>
                <w:lang w:val="en-US" w:eastAsia="zh-CN" w:bidi="ar"/>
              </w:rPr>
              <w:t>厂房首层</w:t>
            </w:r>
            <w:r>
              <w:rPr>
                <w:rFonts w:hint="default" w:ascii="Arial" w:hAnsi="Arial" w:eastAsia="宋体" w:cs="Arial"/>
                <w:color w:val="auto"/>
                <w:kern w:val="2"/>
                <w:sz w:val="24"/>
                <w:szCs w:val="24"/>
                <w:highlight w:val="none"/>
                <w:lang w:val="en-US" w:eastAsia="zh-CN" w:bidi="ar"/>
              </w:rPr>
              <w:t>2t</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2</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1.0t</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3</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0.8t</w:t>
            </w:r>
            <w:r>
              <w:rPr>
                <w:rFonts w:hint="eastAsia" w:ascii="宋体" w:hAnsi="宋体" w:eastAsia="宋体" w:cs="宋体"/>
                <w:color w:val="auto"/>
                <w:kern w:val="2"/>
                <w:sz w:val="24"/>
                <w:szCs w:val="24"/>
                <w:highlight w:val="none"/>
                <w:lang w:val="en-US" w:eastAsia="zh-CN" w:bidi="ar"/>
              </w:rPr>
              <w:t>，顶层</w:t>
            </w:r>
            <w:r>
              <w:rPr>
                <w:rFonts w:hint="default" w:ascii="Arial" w:hAnsi="Arial" w:eastAsia="宋体" w:cs="Arial"/>
                <w:color w:val="auto"/>
                <w:kern w:val="2"/>
                <w:sz w:val="24"/>
                <w:szCs w:val="24"/>
                <w:highlight w:val="none"/>
                <w:lang w:val="en-US" w:eastAsia="zh-CN" w:bidi="ar"/>
              </w:rPr>
              <w:t>0.5t</w:t>
            </w:r>
            <w:r>
              <w:rPr>
                <w:rFonts w:hint="eastAsia" w:ascii="宋体" w:hAnsi="宋体" w:eastAsia="宋体" w:cs="宋体"/>
                <w:color w:val="auto"/>
                <w:kern w:val="2"/>
                <w:sz w:val="24"/>
                <w:szCs w:val="24"/>
                <w:highlight w:val="none"/>
                <w:lang w:val="en-US" w:eastAsia="zh-CN" w:bidi="ar"/>
              </w:rPr>
              <w:t>。</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层高</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cs="宋体"/>
                <w:color w:val="auto"/>
                <w:kern w:val="2"/>
                <w:sz w:val="24"/>
                <w:szCs w:val="24"/>
                <w:highlight w:val="none"/>
                <w:lang w:val="en-US" w:eastAsia="zh-CN" w:bidi="ar"/>
              </w:rPr>
              <w:t>D类厂房、E类厂房、A类厂房</w:t>
            </w:r>
            <w:r>
              <w:rPr>
                <w:rFonts w:hint="eastAsia" w:ascii="宋体" w:hAnsi="宋体" w:eastAsia="宋体" w:cs="宋体"/>
                <w:color w:val="auto"/>
                <w:kern w:val="2"/>
                <w:sz w:val="24"/>
                <w:szCs w:val="24"/>
                <w:highlight w:val="none"/>
                <w:lang w:val="en-US" w:eastAsia="zh-CN" w:bidi="ar"/>
              </w:rPr>
              <w:t>首层</w:t>
            </w:r>
            <w:r>
              <w:rPr>
                <w:rFonts w:hint="eastAsia" w:ascii="宋体" w:hAnsi="宋体" w:cs="宋体"/>
                <w:color w:val="auto"/>
                <w:kern w:val="2"/>
                <w:sz w:val="24"/>
                <w:szCs w:val="24"/>
                <w:highlight w:val="none"/>
                <w:lang w:val="en-US" w:eastAsia="zh-CN" w:bidi="ar"/>
              </w:rPr>
              <w:t>10</w:t>
            </w:r>
            <w:r>
              <w:rPr>
                <w:rFonts w:hint="eastAsia" w:ascii="宋体" w:hAnsi="宋体" w:eastAsia="宋体" w:cs="宋体"/>
                <w:color w:val="auto"/>
                <w:kern w:val="2"/>
                <w:sz w:val="24"/>
                <w:szCs w:val="24"/>
                <w:highlight w:val="none"/>
                <w:lang w:val="en-US" w:eastAsia="zh-CN" w:bidi="ar"/>
              </w:rPr>
              <w:t>米，</w:t>
            </w:r>
            <w:r>
              <w:rPr>
                <w:rFonts w:hint="default" w:ascii="Arial" w:hAnsi="Arial" w:eastAsia="宋体" w:cs="Arial"/>
                <w:color w:val="auto"/>
                <w:kern w:val="2"/>
                <w:sz w:val="24"/>
                <w:szCs w:val="24"/>
                <w:highlight w:val="none"/>
                <w:lang w:val="en-US" w:eastAsia="zh-CN" w:bidi="ar"/>
              </w:rPr>
              <w:t>2-3</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6</w:t>
            </w:r>
            <w:r>
              <w:rPr>
                <w:rFonts w:hint="eastAsia" w:ascii="宋体" w:hAnsi="宋体" w:eastAsia="宋体" w:cs="宋体"/>
                <w:color w:val="auto"/>
                <w:kern w:val="2"/>
                <w:sz w:val="24"/>
                <w:szCs w:val="24"/>
                <w:highlight w:val="none"/>
                <w:lang w:val="en-US" w:eastAsia="zh-CN" w:bidi="ar"/>
              </w:rPr>
              <w:t>米，</w:t>
            </w:r>
            <w:r>
              <w:rPr>
                <w:rFonts w:hint="default" w:ascii="Arial" w:hAnsi="Arial" w:eastAsia="宋体" w:cs="Arial"/>
                <w:color w:val="auto"/>
                <w:kern w:val="2"/>
                <w:sz w:val="24"/>
                <w:szCs w:val="24"/>
                <w:highlight w:val="none"/>
                <w:lang w:val="en-US" w:eastAsia="zh-CN" w:bidi="ar"/>
              </w:rPr>
              <w:t>4-6</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5.5</w:t>
            </w:r>
            <w:r>
              <w:rPr>
                <w:rFonts w:hint="eastAsia" w:ascii="宋体" w:hAnsi="宋体" w:eastAsia="宋体" w:cs="宋体"/>
                <w:color w:val="auto"/>
                <w:kern w:val="2"/>
                <w:sz w:val="24"/>
                <w:szCs w:val="24"/>
                <w:highlight w:val="none"/>
                <w:lang w:val="en-US" w:eastAsia="zh-CN" w:bidi="ar"/>
              </w:rPr>
              <w:t>米，</w:t>
            </w:r>
            <w:r>
              <w:rPr>
                <w:rFonts w:hint="default" w:ascii="Arial" w:hAnsi="Arial" w:eastAsia="宋体" w:cs="Arial"/>
                <w:color w:val="auto"/>
                <w:kern w:val="2"/>
                <w:sz w:val="24"/>
                <w:szCs w:val="24"/>
                <w:highlight w:val="none"/>
                <w:lang w:val="en-US" w:eastAsia="zh-CN" w:bidi="ar"/>
              </w:rPr>
              <w:t>7</w:t>
            </w:r>
            <w:r>
              <w:rPr>
                <w:rFonts w:hint="eastAsia" w:ascii="宋体" w:hAnsi="宋体" w:eastAsia="宋体" w:cs="宋体"/>
                <w:color w:val="auto"/>
                <w:kern w:val="2"/>
                <w:sz w:val="24"/>
                <w:szCs w:val="24"/>
                <w:highlight w:val="none"/>
                <w:lang w:val="en-US" w:eastAsia="zh-CN" w:bidi="ar"/>
              </w:rPr>
              <w:t>层及以上</w:t>
            </w:r>
            <w:r>
              <w:rPr>
                <w:rFonts w:hint="default" w:ascii="Arial" w:hAnsi="Arial" w:eastAsia="宋体" w:cs="Arial"/>
                <w:color w:val="auto"/>
                <w:kern w:val="2"/>
                <w:sz w:val="24"/>
                <w:szCs w:val="24"/>
                <w:highlight w:val="none"/>
                <w:lang w:val="en-US" w:eastAsia="zh-CN" w:bidi="ar"/>
              </w:rPr>
              <w:t>4.5</w:t>
            </w:r>
            <w:r>
              <w:rPr>
                <w:rFonts w:hint="eastAsia" w:ascii="宋体" w:hAnsi="宋体" w:eastAsia="宋体" w:cs="宋体"/>
                <w:color w:val="auto"/>
                <w:kern w:val="2"/>
                <w:sz w:val="24"/>
                <w:szCs w:val="24"/>
                <w:highlight w:val="none"/>
                <w:lang w:val="en-US" w:eastAsia="zh-CN" w:bidi="ar"/>
              </w:rPr>
              <w:t>米；</w:t>
            </w:r>
            <w:r>
              <w:rPr>
                <w:rFonts w:hint="eastAsia" w:ascii="宋体" w:hAnsi="宋体" w:cs="宋体"/>
                <w:color w:val="auto"/>
                <w:kern w:val="2"/>
                <w:sz w:val="24"/>
                <w:szCs w:val="24"/>
                <w:highlight w:val="none"/>
                <w:lang w:val="en-US" w:eastAsia="zh-CN" w:bidi="ar"/>
              </w:rPr>
              <w:t>B类厂房</w:t>
            </w:r>
            <w:r>
              <w:rPr>
                <w:rFonts w:hint="eastAsia" w:ascii="宋体" w:hAnsi="宋体" w:eastAsia="宋体" w:cs="宋体"/>
                <w:color w:val="auto"/>
                <w:kern w:val="2"/>
                <w:sz w:val="24"/>
                <w:szCs w:val="24"/>
                <w:highlight w:val="none"/>
                <w:lang w:val="en-US" w:eastAsia="zh-CN" w:bidi="ar"/>
              </w:rPr>
              <w:t>首层</w:t>
            </w:r>
            <w:r>
              <w:rPr>
                <w:rFonts w:hint="default" w:ascii="Arial" w:hAnsi="Arial" w:eastAsia="宋体" w:cs="Arial"/>
                <w:color w:val="auto"/>
                <w:kern w:val="2"/>
                <w:sz w:val="24"/>
                <w:szCs w:val="24"/>
                <w:highlight w:val="none"/>
                <w:lang w:val="en-US" w:eastAsia="zh-CN" w:bidi="ar"/>
              </w:rPr>
              <w:t>12</w:t>
            </w:r>
            <w:r>
              <w:rPr>
                <w:rFonts w:hint="eastAsia" w:ascii="宋体" w:hAnsi="宋体" w:eastAsia="宋体" w:cs="宋体"/>
                <w:color w:val="auto"/>
                <w:kern w:val="2"/>
                <w:sz w:val="24"/>
                <w:szCs w:val="24"/>
                <w:highlight w:val="none"/>
                <w:lang w:val="en-US" w:eastAsia="zh-CN" w:bidi="ar"/>
              </w:rPr>
              <w:t>米，</w:t>
            </w:r>
            <w:r>
              <w:rPr>
                <w:rFonts w:hint="default" w:ascii="Arial" w:hAnsi="Arial" w:eastAsia="宋体" w:cs="Arial"/>
                <w:color w:val="auto"/>
                <w:kern w:val="2"/>
                <w:sz w:val="24"/>
                <w:szCs w:val="24"/>
                <w:highlight w:val="none"/>
                <w:lang w:val="en-US" w:eastAsia="zh-CN" w:bidi="ar"/>
              </w:rPr>
              <w:t>2</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6</w:t>
            </w:r>
            <w:r>
              <w:rPr>
                <w:rFonts w:hint="eastAsia" w:ascii="宋体" w:hAnsi="宋体" w:eastAsia="宋体" w:cs="宋体"/>
                <w:color w:val="auto"/>
                <w:kern w:val="2"/>
                <w:sz w:val="24"/>
                <w:szCs w:val="24"/>
                <w:highlight w:val="none"/>
                <w:lang w:val="en-US" w:eastAsia="zh-CN" w:bidi="ar"/>
              </w:rPr>
              <w:t>米，</w:t>
            </w:r>
            <w:r>
              <w:rPr>
                <w:rFonts w:hint="default" w:ascii="Arial" w:hAnsi="Arial" w:eastAsia="宋体" w:cs="Arial"/>
                <w:color w:val="auto"/>
                <w:kern w:val="2"/>
                <w:sz w:val="24"/>
                <w:szCs w:val="24"/>
                <w:highlight w:val="none"/>
                <w:lang w:val="en-US" w:eastAsia="zh-CN" w:bidi="ar"/>
              </w:rPr>
              <w:t>3</w:t>
            </w:r>
            <w:r>
              <w:rPr>
                <w:rFonts w:hint="eastAsia" w:ascii="宋体" w:hAnsi="宋体" w:eastAsia="宋体" w:cs="宋体"/>
                <w:color w:val="auto"/>
                <w:kern w:val="2"/>
                <w:sz w:val="24"/>
                <w:szCs w:val="24"/>
                <w:highlight w:val="none"/>
                <w:lang w:val="en-US" w:eastAsia="zh-CN" w:bidi="ar"/>
              </w:rPr>
              <w:t>层</w:t>
            </w:r>
            <w:r>
              <w:rPr>
                <w:rFonts w:hint="default" w:ascii="Arial" w:hAnsi="Arial" w:eastAsia="宋体" w:cs="Arial"/>
                <w:color w:val="auto"/>
                <w:kern w:val="2"/>
                <w:sz w:val="24"/>
                <w:szCs w:val="24"/>
                <w:highlight w:val="none"/>
                <w:lang w:val="en-US" w:eastAsia="zh-CN" w:bidi="ar"/>
              </w:rPr>
              <w:t>5.5</w:t>
            </w:r>
            <w:r>
              <w:rPr>
                <w:rFonts w:hint="eastAsia" w:ascii="宋体" w:hAnsi="宋体" w:eastAsia="宋体" w:cs="宋体"/>
                <w:color w:val="auto"/>
                <w:kern w:val="2"/>
                <w:sz w:val="24"/>
                <w:szCs w:val="24"/>
                <w:highlight w:val="none"/>
                <w:lang w:val="en-US" w:eastAsia="zh-CN" w:bidi="ar"/>
              </w:rPr>
              <w:t>米；</w:t>
            </w:r>
            <w:r>
              <w:rPr>
                <w:rFonts w:hint="eastAsia" w:ascii="宋体" w:hAnsi="宋体" w:cs="宋体"/>
                <w:color w:val="auto"/>
                <w:kern w:val="2"/>
                <w:sz w:val="24"/>
                <w:szCs w:val="24"/>
                <w:highlight w:val="none"/>
                <w:lang w:val="en-US" w:eastAsia="zh-CN" w:bidi="ar"/>
              </w:rPr>
              <w:t>C类</w:t>
            </w:r>
            <w:r>
              <w:rPr>
                <w:rFonts w:hint="eastAsia" w:ascii="宋体" w:hAnsi="宋体" w:eastAsia="宋体" w:cs="宋体"/>
                <w:color w:val="auto"/>
                <w:kern w:val="2"/>
                <w:sz w:val="24"/>
                <w:szCs w:val="24"/>
                <w:highlight w:val="none"/>
                <w:lang w:val="en-US" w:eastAsia="zh-CN" w:bidi="ar"/>
              </w:rPr>
              <w:t>厂房首层</w:t>
            </w:r>
            <w:r>
              <w:rPr>
                <w:rFonts w:hint="default" w:ascii="Arial" w:hAnsi="Arial" w:eastAsia="宋体" w:cs="Arial"/>
                <w:color w:val="auto"/>
                <w:kern w:val="2"/>
                <w:sz w:val="24"/>
                <w:szCs w:val="24"/>
                <w:highlight w:val="none"/>
                <w:lang w:val="en-US" w:eastAsia="zh-CN" w:bidi="ar"/>
              </w:rPr>
              <w:t>7.9m</w:t>
            </w:r>
            <w:r>
              <w:rPr>
                <w:rFonts w:hint="eastAsia" w:ascii="宋体" w:hAnsi="宋体" w:eastAsia="宋体" w:cs="宋体"/>
                <w:color w:val="auto"/>
                <w:kern w:val="2"/>
                <w:sz w:val="24"/>
                <w:szCs w:val="24"/>
                <w:highlight w:val="none"/>
                <w:lang w:val="en-US" w:eastAsia="zh-CN" w:bidi="ar"/>
              </w:rPr>
              <w:t>，二层</w:t>
            </w:r>
            <w:r>
              <w:rPr>
                <w:rFonts w:hint="default" w:ascii="Arial" w:hAnsi="Arial" w:eastAsia="宋体" w:cs="Arial"/>
                <w:color w:val="auto"/>
                <w:kern w:val="2"/>
                <w:sz w:val="24"/>
                <w:szCs w:val="24"/>
                <w:highlight w:val="none"/>
                <w:lang w:val="en-US" w:eastAsia="zh-CN" w:bidi="ar"/>
              </w:rPr>
              <w:t>6.0m</w:t>
            </w:r>
            <w:r>
              <w:rPr>
                <w:rFonts w:hint="eastAsia" w:ascii="宋体" w:hAnsi="宋体" w:eastAsia="宋体" w:cs="宋体"/>
                <w:color w:val="auto"/>
                <w:kern w:val="2"/>
                <w:sz w:val="24"/>
                <w:szCs w:val="24"/>
                <w:highlight w:val="none"/>
                <w:lang w:val="en-US" w:eastAsia="zh-CN" w:bidi="ar"/>
              </w:rPr>
              <w:t>，三层</w:t>
            </w:r>
            <w:r>
              <w:rPr>
                <w:rFonts w:hint="default" w:ascii="Arial" w:hAnsi="Arial" w:eastAsia="宋体" w:cs="Arial"/>
                <w:color w:val="auto"/>
                <w:kern w:val="2"/>
                <w:sz w:val="24"/>
                <w:szCs w:val="24"/>
                <w:highlight w:val="none"/>
                <w:lang w:val="en-US" w:eastAsia="zh-CN" w:bidi="ar"/>
              </w:rPr>
              <w:t>5.5m</w:t>
            </w:r>
            <w:r>
              <w:rPr>
                <w:rFonts w:hint="eastAsia" w:ascii="宋体" w:hAnsi="宋体" w:eastAsia="宋体" w:cs="宋体"/>
                <w:color w:val="auto"/>
                <w:kern w:val="2"/>
                <w:sz w:val="24"/>
                <w:szCs w:val="24"/>
                <w:highlight w:val="none"/>
                <w:lang w:val="en-US" w:eastAsia="zh-CN" w:bidi="ar"/>
              </w:rPr>
              <w:t>，顶层</w:t>
            </w:r>
            <w:r>
              <w:rPr>
                <w:rFonts w:hint="default" w:ascii="Arial" w:hAnsi="Arial" w:eastAsia="宋体" w:cs="Arial"/>
                <w:color w:val="auto"/>
                <w:kern w:val="2"/>
                <w:sz w:val="24"/>
                <w:szCs w:val="24"/>
                <w:highlight w:val="none"/>
                <w:lang w:val="en-US" w:eastAsia="zh-CN" w:bidi="ar"/>
              </w:rPr>
              <w:t>4.0m</w:t>
            </w:r>
            <w:r>
              <w:rPr>
                <w:rFonts w:hint="eastAsia" w:ascii="宋体" w:hAnsi="宋体" w:eastAsia="宋体" w:cs="宋体"/>
                <w:color w:val="auto"/>
                <w:kern w:val="2"/>
                <w:sz w:val="24"/>
                <w:szCs w:val="24"/>
                <w:highlight w:val="none"/>
                <w:lang w:val="en-US" w:eastAsia="zh-CN" w:bidi="ar"/>
              </w:rPr>
              <w:t>。</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5</w:t>
            </w:r>
          </w:p>
        </w:tc>
        <w:tc>
          <w:tcPr>
            <w:tcW w:w="522"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公共楼梯间</w:t>
            </w: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天花</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天花：</w:t>
            </w:r>
            <w:r>
              <w:rPr>
                <w:rFonts w:hint="eastAsia" w:ascii="宋体" w:hAnsi="宋体" w:cs="宋体"/>
                <w:color w:val="auto"/>
                <w:kern w:val="2"/>
                <w:sz w:val="24"/>
                <w:szCs w:val="24"/>
                <w:highlight w:val="none"/>
                <w:lang w:val="en-US" w:eastAsia="zh-CN" w:bidi="ar"/>
              </w:rPr>
              <w:t>刮白</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梯面</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梯面：砂浆找平及防滑槽</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墙面</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墙身：</w:t>
            </w:r>
            <w:r>
              <w:rPr>
                <w:rFonts w:hint="eastAsia" w:ascii="宋体" w:hAnsi="宋体" w:cs="宋体"/>
                <w:color w:val="auto"/>
                <w:kern w:val="2"/>
                <w:sz w:val="24"/>
                <w:szCs w:val="24"/>
                <w:highlight w:val="none"/>
                <w:lang w:val="en-US" w:eastAsia="zh-CN" w:bidi="ar"/>
              </w:rPr>
              <w:t>刮白</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栏杆</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栏杆：铁艺栏杆</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6</w:t>
            </w:r>
          </w:p>
        </w:tc>
        <w:tc>
          <w:tcPr>
            <w:tcW w:w="522"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货梯厅</w:t>
            </w: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天花</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按毛坯（修平）</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内墙面</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独栋砂浆收平，多高层采用</w:t>
            </w:r>
            <w:r>
              <w:rPr>
                <w:rFonts w:hint="eastAsia" w:ascii="宋体" w:hAnsi="宋体" w:cs="宋体"/>
                <w:color w:val="auto"/>
                <w:kern w:val="2"/>
                <w:sz w:val="24"/>
                <w:szCs w:val="24"/>
                <w:highlight w:val="none"/>
                <w:lang w:val="en-US" w:eastAsia="zh-CN" w:bidi="ar"/>
              </w:rPr>
              <w:t>刮白</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地面</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毛坯（找平）</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7</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设备用房</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电房：墙面</w:t>
            </w:r>
            <w:r>
              <w:rPr>
                <w:rFonts w:hint="eastAsia" w:ascii="宋体" w:hAnsi="宋体" w:cs="宋体"/>
                <w:color w:val="auto"/>
                <w:kern w:val="2"/>
                <w:sz w:val="24"/>
                <w:szCs w:val="24"/>
                <w:highlight w:val="none"/>
                <w:lang w:val="en-US" w:eastAsia="zh-CN" w:bidi="ar"/>
              </w:rPr>
              <w:t>刮白</w:t>
            </w:r>
            <w:r>
              <w:rPr>
                <w:rFonts w:hint="eastAsia" w:ascii="宋体" w:hAnsi="宋体" w:eastAsia="宋体" w:cs="宋体"/>
                <w:color w:val="auto"/>
                <w:kern w:val="2"/>
                <w:sz w:val="24"/>
                <w:szCs w:val="24"/>
                <w:highlight w:val="none"/>
                <w:lang w:val="en-US" w:eastAsia="zh-CN" w:bidi="ar"/>
              </w:rPr>
              <w:t>，地面毛坯找平（按规范最低要求），配置空调，天花涂料</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消防控制室及监控室：墙面涂料，地面毛坯找平（按规范最低要求）</w:t>
            </w:r>
            <w:r>
              <w:rPr>
                <w:rFonts w:hint="default" w:ascii="Arial" w:hAnsi="Arial" w:eastAsia="宋体" w:cs="Arial"/>
                <w:color w:val="auto"/>
                <w:kern w:val="2"/>
                <w:sz w:val="24"/>
                <w:szCs w:val="24"/>
                <w:highlight w:val="none"/>
                <w:lang w:val="en-US" w:eastAsia="zh-CN" w:bidi="ar"/>
              </w:rPr>
              <w:t>+</w:t>
            </w:r>
            <w:r>
              <w:rPr>
                <w:rFonts w:hint="eastAsia" w:ascii="宋体" w:hAnsi="宋体" w:eastAsia="宋体" w:cs="宋体"/>
                <w:color w:val="auto"/>
                <w:kern w:val="2"/>
                <w:sz w:val="24"/>
                <w:szCs w:val="24"/>
                <w:highlight w:val="none"/>
                <w:lang w:val="en-US" w:eastAsia="zh-CN" w:bidi="ar"/>
              </w:rPr>
              <w:t>防静电地板，配置空调，天花涂料</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泵房：墙面</w:t>
            </w:r>
            <w:r>
              <w:rPr>
                <w:rFonts w:hint="eastAsia" w:ascii="宋体" w:hAnsi="宋体" w:cs="宋体"/>
                <w:color w:val="auto"/>
                <w:kern w:val="2"/>
                <w:sz w:val="24"/>
                <w:szCs w:val="24"/>
                <w:highlight w:val="none"/>
                <w:lang w:val="en-US" w:eastAsia="zh-CN" w:bidi="ar"/>
              </w:rPr>
              <w:t>面砖</w:t>
            </w:r>
            <w:r>
              <w:rPr>
                <w:rFonts w:hint="eastAsia" w:ascii="宋体" w:hAnsi="宋体" w:eastAsia="宋体" w:cs="宋体"/>
                <w:color w:val="auto"/>
                <w:kern w:val="2"/>
                <w:sz w:val="24"/>
                <w:szCs w:val="24"/>
                <w:highlight w:val="none"/>
                <w:lang w:val="en-US" w:eastAsia="zh-CN" w:bidi="ar"/>
              </w:rPr>
              <w:t>，</w:t>
            </w:r>
            <w:r>
              <w:rPr>
                <w:rFonts w:hint="eastAsia" w:ascii="宋体" w:hAnsi="宋体" w:cs="宋体"/>
                <w:color w:val="auto"/>
                <w:kern w:val="2"/>
                <w:sz w:val="24"/>
                <w:szCs w:val="24"/>
                <w:highlight w:val="none"/>
                <w:lang w:val="en-US" w:eastAsia="zh-CN" w:bidi="ar"/>
              </w:rPr>
              <w:t>地面面砖</w:t>
            </w:r>
            <w:r>
              <w:rPr>
                <w:rFonts w:hint="eastAsia" w:ascii="宋体" w:hAnsi="宋体" w:eastAsia="宋体" w:cs="宋体"/>
                <w:color w:val="auto"/>
                <w:kern w:val="2"/>
                <w:sz w:val="24"/>
                <w:szCs w:val="24"/>
                <w:highlight w:val="none"/>
                <w:lang w:val="en-US" w:eastAsia="zh-CN" w:bidi="ar"/>
              </w:rPr>
              <w:t>，天花涂料</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普通设备房：墙面</w:t>
            </w:r>
            <w:r>
              <w:rPr>
                <w:rFonts w:hint="eastAsia" w:ascii="宋体" w:hAnsi="宋体" w:cs="宋体"/>
                <w:color w:val="auto"/>
                <w:kern w:val="2"/>
                <w:sz w:val="24"/>
                <w:szCs w:val="24"/>
                <w:highlight w:val="none"/>
                <w:lang w:val="en-US" w:eastAsia="zh-CN" w:bidi="ar"/>
              </w:rPr>
              <w:t>刮白</w:t>
            </w:r>
            <w:r>
              <w:rPr>
                <w:rFonts w:hint="eastAsia" w:ascii="宋体" w:hAnsi="宋体" w:eastAsia="宋体" w:cs="宋体"/>
                <w:color w:val="auto"/>
                <w:kern w:val="2"/>
                <w:sz w:val="24"/>
                <w:szCs w:val="24"/>
                <w:highlight w:val="none"/>
                <w:lang w:val="en-US" w:eastAsia="zh-CN" w:bidi="ar"/>
              </w:rPr>
              <w:t>，天花</w:t>
            </w:r>
            <w:r>
              <w:rPr>
                <w:rFonts w:hint="eastAsia" w:ascii="宋体" w:hAnsi="宋体" w:cs="宋体"/>
                <w:color w:val="auto"/>
                <w:kern w:val="2"/>
                <w:sz w:val="24"/>
                <w:szCs w:val="24"/>
                <w:highlight w:val="none"/>
                <w:lang w:val="en-US" w:eastAsia="zh-CN" w:bidi="ar"/>
              </w:rPr>
              <w:t>刮白</w:t>
            </w:r>
            <w:r>
              <w:rPr>
                <w:rFonts w:hint="eastAsia" w:ascii="宋体" w:hAnsi="宋体" w:eastAsia="宋体" w:cs="宋体"/>
                <w:color w:val="auto"/>
                <w:kern w:val="2"/>
                <w:sz w:val="24"/>
                <w:szCs w:val="24"/>
                <w:highlight w:val="none"/>
                <w:lang w:val="en-US" w:eastAsia="zh-CN" w:bidi="ar"/>
              </w:rPr>
              <w:t>，地面毛坯找平</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8</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客梯电梯厅</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墙面：面砖</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独栋由客户自行装修，多高层按标准交付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顶棚：涂料</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w:t>
            </w:r>
            <w:r>
              <w:rPr>
                <w:rFonts w:hint="eastAsia" w:ascii="宋体" w:hAnsi="宋体" w:cs="宋体"/>
                <w:color w:val="auto"/>
                <w:kern w:val="2"/>
                <w:sz w:val="24"/>
                <w:szCs w:val="24"/>
                <w:highlight w:val="none"/>
                <w:lang w:val="en-US" w:eastAsia="zh-CN" w:bidi="ar"/>
              </w:rPr>
              <w:t>面砖</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default" w:ascii="Arial" w:hAnsi="Arial" w:eastAsia="宋体" w:cs="Arial"/>
                <w:color w:val="auto"/>
                <w:kern w:val="2"/>
                <w:sz w:val="24"/>
                <w:szCs w:val="24"/>
                <w:highlight w:val="none"/>
                <w:lang w:val="en-US" w:eastAsia="zh-CN" w:bidi="ar"/>
              </w:rPr>
              <w:t>9</w:t>
            </w:r>
          </w:p>
        </w:tc>
        <w:tc>
          <w:tcPr>
            <w:tcW w:w="522"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color w:val="auto"/>
                <w:kern w:val="2"/>
                <w:sz w:val="24"/>
                <w:szCs w:val="24"/>
                <w:highlight w:val="none"/>
              </w:rPr>
            </w:pPr>
            <w:r>
              <w:rPr>
                <w:rFonts w:hint="eastAsia" w:ascii="宋体" w:hAnsi="宋体" w:eastAsia="宋体" w:cs="宋体"/>
                <w:b/>
                <w:bCs/>
                <w:color w:val="auto"/>
                <w:kern w:val="2"/>
                <w:sz w:val="24"/>
                <w:szCs w:val="24"/>
                <w:highlight w:val="none"/>
                <w:lang w:val="en-US" w:eastAsia="zh-CN" w:bidi="ar"/>
              </w:rPr>
              <w:t>卫生间</w:t>
            </w:r>
          </w:p>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color w:val="auto"/>
                <w:kern w:val="2"/>
                <w:sz w:val="24"/>
                <w:szCs w:val="24"/>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color w:val="auto"/>
                <w:kern w:val="2"/>
                <w:sz w:val="24"/>
                <w:szCs w:val="24"/>
                <w:highlight w:val="none"/>
              </w:rPr>
            </w:pPr>
            <w:r>
              <w:rPr>
                <w:rFonts w:hint="eastAsia" w:ascii="宋体" w:hAnsi="宋体" w:eastAsia="宋体" w:cs="宋体"/>
                <w:b/>
                <w:bCs/>
                <w:color w:val="auto"/>
                <w:kern w:val="2"/>
                <w:sz w:val="24"/>
                <w:szCs w:val="24"/>
                <w:highlight w:val="none"/>
                <w:lang w:val="en-US" w:eastAsia="zh-CN" w:bidi="ar"/>
              </w:rPr>
              <w:t>墙面</w:t>
            </w:r>
          </w:p>
        </w:tc>
        <w:tc>
          <w:tcPr>
            <w:tcW w:w="2477"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strike/>
                <w:dstrike w:val="0"/>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做好沉箱防水和预留好上下水</w:t>
            </w:r>
            <w:r>
              <w:rPr>
                <w:rFonts w:hint="eastAsia" w:ascii="宋体" w:hAnsi="宋体" w:cs="宋体"/>
                <w:color w:val="auto"/>
                <w:kern w:val="2"/>
                <w:sz w:val="24"/>
                <w:szCs w:val="24"/>
                <w:highlight w:val="none"/>
                <w:lang w:val="en-US" w:eastAsia="zh-CN" w:bidi="ar"/>
              </w:rPr>
              <w:t>主</w:t>
            </w:r>
            <w:r>
              <w:rPr>
                <w:rFonts w:hint="eastAsia" w:ascii="宋体" w:hAnsi="宋体" w:eastAsia="宋体" w:cs="宋体"/>
                <w:color w:val="auto"/>
                <w:kern w:val="2"/>
                <w:sz w:val="24"/>
                <w:szCs w:val="24"/>
                <w:highlight w:val="none"/>
                <w:lang w:val="en-US" w:eastAsia="zh-CN" w:bidi="ar"/>
              </w:rPr>
              <w:t>管，由客户二次装修</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b/>
                <w:bCs/>
                <w:color w:val="auto"/>
                <w:kern w:val="2"/>
                <w:sz w:val="24"/>
                <w:szCs w:val="24"/>
                <w:highlight w:val="none"/>
              </w:rPr>
            </w:pPr>
            <w:r>
              <w:rPr>
                <w:rFonts w:hint="eastAsia" w:ascii="宋体" w:hAnsi="宋体" w:eastAsia="宋体" w:cs="宋体"/>
                <w:b/>
                <w:bCs/>
                <w:color w:val="auto"/>
                <w:kern w:val="2"/>
                <w:sz w:val="24"/>
                <w:szCs w:val="24"/>
                <w:highlight w:val="none"/>
                <w:lang w:val="en-US" w:eastAsia="zh-CN" w:bidi="ar"/>
              </w:rPr>
              <w:t>地面</w:t>
            </w:r>
          </w:p>
        </w:tc>
        <w:tc>
          <w:tcPr>
            <w:tcW w:w="247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color w:val="auto"/>
                <w:kern w:val="2"/>
                <w:sz w:val="24"/>
                <w:szCs w:val="24"/>
                <w:highlight w:val="none"/>
              </w:rPr>
            </w:pPr>
            <w:r>
              <w:rPr>
                <w:rFonts w:hint="eastAsia" w:ascii="宋体" w:hAnsi="宋体" w:eastAsia="宋体" w:cs="宋体"/>
                <w:b/>
                <w:bCs/>
                <w:color w:val="auto"/>
                <w:kern w:val="2"/>
                <w:sz w:val="24"/>
                <w:szCs w:val="24"/>
                <w:highlight w:val="none"/>
                <w:lang w:val="en-US" w:eastAsia="zh-CN" w:bidi="ar"/>
              </w:rPr>
              <w:t>天棚</w:t>
            </w:r>
          </w:p>
        </w:tc>
        <w:tc>
          <w:tcPr>
            <w:tcW w:w="247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color w:val="auto"/>
                <w:kern w:val="2"/>
                <w:sz w:val="24"/>
                <w:szCs w:val="24"/>
                <w:highlight w:val="none"/>
              </w:rPr>
            </w:pPr>
            <w:r>
              <w:rPr>
                <w:rFonts w:hint="eastAsia" w:ascii="宋体" w:hAnsi="宋体" w:eastAsia="宋体" w:cs="宋体"/>
                <w:b/>
                <w:bCs/>
                <w:color w:val="auto"/>
                <w:kern w:val="2"/>
                <w:sz w:val="24"/>
                <w:szCs w:val="24"/>
                <w:highlight w:val="none"/>
                <w:lang w:val="en-US" w:eastAsia="zh-CN" w:bidi="ar"/>
              </w:rPr>
              <w:t>楼面</w:t>
            </w:r>
          </w:p>
        </w:tc>
        <w:tc>
          <w:tcPr>
            <w:tcW w:w="247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52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b/>
                <w:bCs/>
                <w:color w:val="auto"/>
                <w:kern w:val="2"/>
                <w:sz w:val="24"/>
                <w:szCs w:val="24"/>
                <w:highlight w:val="none"/>
              </w:rPr>
            </w:pPr>
            <w:r>
              <w:rPr>
                <w:rFonts w:hint="eastAsia" w:ascii="宋体" w:hAnsi="宋体" w:eastAsia="宋体" w:cs="宋体"/>
                <w:b/>
                <w:bCs/>
                <w:color w:val="auto"/>
                <w:kern w:val="2"/>
                <w:sz w:val="24"/>
                <w:szCs w:val="24"/>
                <w:highlight w:val="none"/>
                <w:lang w:val="en-US" w:eastAsia="zh-CN" w:bidi="ar"/>
              </w:rPr>
              <w:t>洁具</w:t>
            </w:r>
          </w:p>
        </w:tc>
        <w:tc>
          <w:tcPr>
            <w:tcW w:w="2477"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10</w:t>
            </w:r>
          </w:p>
        </w:tc>
        <w:tc>
          <w:tcPr>
            <w:tcW w:w="104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屋面</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w:t>
            </w:r>
            <w:r>
              <w:rPr>
                <w:rFonts w:hint="eastAsia" w:ascii="宋体" w:hAnsi="宋体" w:cs="宋体"/>
                <w:color w:val="auto"/>
                <w:kern w:val="2"/>
                <w:sz w:val="24"/>
                <w:szCs w:val="24"/>
                <w:highlight w:val="none"/>
                <w:lang w:val="en-US" w:eastAsia="zh-CN" w:bidi="ar"/>
              </w:rPr>
              <w:t>防水、保温、</w:t>
            </w:r>
            <w:r>
              <w:rPr>
                <w:rFonts w:hint="eastAsia" w:ascii="宋体" w:hAnsi="宋体" w:eastAsia="宋体" w:cs="宋体"/>
                <w:color w:val="auto"/>
                <w:kern w:val="2"/>
                <w:sz w:val="24"/>
                <w:szCs w:val="24"/>
                <w:highlight w:val="none"/>
                <w:lang w:val="en-US" w:eastAsia="zh-CN" w:bidi="ar"/>
              </w:rPr>
              <w:t>混凝土保护面层</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11</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强电系统</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满足园区用电需求，工业用电按照不低于</w:t>
            </w:r>
            <w:r>
              <w:rPr>
                <w:rFonts w:hint="default" w:ascii="Arial" w:hAnsi="Arial" w:eastAsia="宋体" w:cs="Arial"/>
                <w:color w:val="auto"/>
                <w:kern w:val="2"/>
                <w:sz w:val="24"/>
                <w:szCs w:val="24"/>
                <w:highlight w:val="none"/>
                <w:lang w:val="en-US" w:eastAsia="zh-CN" w:bidi="ar"/>
              </w:rPr>
              <w:t>60w/</w:t>
            </w:r>
            <w:r>
              <w:rPr>
                <w:rFonts w:hint="eastAsia" w:ascii="宋体" w:hAnsi="宋体" w:eastAsia="宋体" w:cs="宋体"/>
                <w:color w:val="auto"/>
                <w:kern w:val="2"/>
                <w:sz w:val="24"/>
                <w:szCs w:val="24"/>
                <w:highlight w:val="none"/>
                <w:lang w:val="en-US" w:eastAsia="zh-CN" w:bidi="ar"/>
              </w:rPr>
              <w:t>㎡设计。首期配备约</w:t>
            </w:r>
            <w:r>
              <w:rPr>
                <w:rFonts w:hint="default" w:ascii="Arial" w:hAnsi="Arial" w:eastAsia="宋体" w:cs="Arial"/>
                <w:color w:val="auto"/>
                <w:kern w:val="2"/>
                <w:sz w:val="24"/>
                <w:szCs w:val="24"/>
                <w:highlight w:val="none"/>
                <w:lang w:val="en-US" w:eastAsia="zh-CN" w:bidi="ar"/>
              </w:rPr>
              <w:t>15%</w:t>
            </w:r>
            <w:r>
              <w:rPr>
                <w:rFonts w:hint="eastAsia" w:ascii="宋体" w:hAnsi="宋体" w:eastAsia="宋体" w:cs="宋体"/>
                <w:color w:val="auto"/>
                <w:kern w:val="2"/>
                <w:sz w:val="24"/>
                <w:szCs w:val="24"/>
                <w:highlight w:val="none"/>
                <w:lang w:val="en-US" w:eastAsia="zh-CN" w:bidi="ar"/>
              </w:rPr>
              <w:t>，预留电房以备后续增容</w:t>
            </w:r>
            <w:r>
              <w:rPr>
                <w:rFonts w:hint="eastAsia" w:ascii="宋体" w:hAnsi="宋体" w:cs="宋体"/>
                <w:color w:val="auto"/>
                <w:kern w:val="2"/>
                <w:sz w:val="24"/>
                <w:szCs w:val="24"/>
                <w:highlight w:val="none"/>
                <w:lang w:val="en-US" w:eastAsia="zh-CN" w:bidi="ar"/>
              </w:rPr>
              <w:t>。</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应急照明箱、照明配电箱及工业用电配电箱按设计负荷，多高层要求安装至各楼层配电井，独栋至首层配电井。</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园区公共区域及楼层公共区域照明系统安装符合使用要求</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电量计量采用智能电表、集抄远传系统</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12</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弱电系统</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监控系统：园区监控覆盖电梯、出入口、主要道路、地下室及主要设备房</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光纤入户：多高层光纤到厂房各楼层各户电井内，独栋至首层电井，满足验收要求</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电梯五方通话，并设置到消防监控室</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13</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p>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p>
          <w:p>
            <w:pPr>
              <w:keepNext w:val="0"/>
              <w:keepLines w:val="0"/>
              <w:widowControl w:val="0"/>
              <w:suppressLineNumbers w:val="0"/>
              <w:spacing w:before="0" w:beforeAutospacing="0" w:after="0" w:afterAutospacing="0" w:line="400" w:lineRule="exact"/>
              <w:ind w:left="0" w:right="0" w:firstLine="241" w:firstLineChars="100"/>
              <w:jc w:val="both"/>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消防系统</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自动报警系统：安装到位，满足使用要求并验收合格</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喷淋系统、消火栓系统（含灭火器）安装到位，满足使用要求，并验收合格</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应急照明、疏散指示系统安装到位，满足使用要求并验收合格</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防排烟系统（按规范设置）安装到位，满足使用要求，并验收合格</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供配电室设置气体灭火系统，满足使用功能及验收合格</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消防系统整体通过验收并符合使用要求</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按照消防验收通过标准做好防火分区</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14</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给排水</w:t>
            </w:r>
          </w:p>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系统</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给水安装至各楼层水管井，设置水表</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1"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园区雨、污水分流排放，排水系统安装到位，满足使用功能</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空调室外机位安装冷凝水立管</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5"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15</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车辆出入系统</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园区各出入口设置车辆道闸，符合使用要求</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5"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停车管理系统具备车牌识别、缴费管理功能</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16</w:t>
            </w:r>
          </w:p>
        </w:tc>
        <w:tc>
          <w:tcPr>
            <w:tcW w:w="104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防雷系统</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建筑物按规范安装防雷系统，通过验收并符合使用要求</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17</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电梯</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设计符合产业要求；分别设置客、货梯，货梯不低于</w:t>
            </w:r>
            <w:r>
              <w:rPr>
                <w:rFonts w:hint="default" w:ascii="Arial" w:hAnsi="Arial" w:eastAsia="宋体" w:cs="Arial"/>
                <w:color w:val="auto"/>
                <w:kern w:val="2"/>
                <w:sz w:val="24"/>
                <w:szCs w:val="24"/>
                <w:highlight w:val="none"/>
                <w:lang w:val="en-US" w:eastAsia="zh-CN" w:bidi="ar"/>
              </w:rPr>
              <w:t>3T</w:t>
            </w:r>
            <w:r>
              <w:rPr>
                <w:rFonts w:hint="eastAsia" w:ascii="宋体" w:hAnsi="宋体" w:eastAsia="宋体" w:cs="宋体"/>
                <w:color w:val="auto"/>
                <w:kern w:val="2"/>
                <w:sz w:val="24"/>
                <w:szCs w:val="24"/>
                <w:highlight w:val="none"/>
                <w:lang w:val="en-US" w:eastAsia="zh-CN" w:bidi="ar"/>
              </w:rPr>
              <w:t>，客梯不低于</w:t>
            </w:r>
            <w:r>
              <w:rPr>
                <w:rFonts w:hint="default" w:ascii="Arial" w:hAnsi="Arial" w:eastAsia="宋体" w:cs="Arial"/>
                <w:color w:val="auto"/>
                <w:kern w:val="2"/>
                <w:sz w:val="24"/>
                <w:szCs w:val="24"/>
                <w:highlight w:val="none"/>
                <w:lang w:val="en-US" w:eastAsia="zh-CN" w:bidi="ar"/>
              </w:rPr>
              <w:t>1T</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按规范完成电梯安装及验收</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货梯配置电梯雨棚</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18</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道路</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园区道路符合使用要求，并按交通动线设计划线及安装导视系统</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园区车行路面需采用混凝土路面；设计上尽可能采用人车分流设计</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0"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19</w:t>
            </w:r>
          </w:p>
        </w:tc>
        <w:tc>
          <w:tcPr>
            <w:tcW w:w="1045" w:type="pct"/>
            <w:gridSpan w:val="2"/>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车位</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地下车库：厂房区域无地下停车库</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1045" w:type="pct"/>
            <w:gridSpan w:val="2"/>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地面停车位需完成划线及车位附属设施、交通导视系统安装，并符合使用要求</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default" w:ascii="Arial" w:hAnsi="Arial" w:eastAsia="宋体" w:cs="Arial"/>
                <w:color w:val="auto"/>
                <w:kern w:val="2"/>
                <w:sz w:val="24"/>
                <w:szCs w:val="24"/>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20</w:t>
            </w:r>
          </w:p>
        </w:tc>
        <w:tc>
          <w:tcPr>
            <w:tcW w:w="1045"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吊装口</w:t>
            </w:r>
          </w:p>
        </w:tc>
        <w:tc>
          <w:tcPr>
            <w:tcW w:w="24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每层设置吊装口，尺寸约</w:t>
            </w:r>
            <w:r>
              <w:rPr>
                <w:rFonts w:hint="default" w:ascii="Arial" w:hAnsi="Arial" w:eastAsia="宋体" w:cs="Arial"/>
                <w:color w:val="auto"/>
                <w:kern w:val="2"/>
                <w:sz w:val="24"/>
                <w:szCs w:val="24"/>
                <w:highlight w:val="none"/>
                <w:lang w:val="en-US" w:eastAsia="zh-CN" w:bidi="ar"/>
              </w:rPr>
              <w:t>4.0m*4.0~4.5m</w:t>
            </w:r>
            <w:r>
              <w:rPr>
                <w:rFonts w:hint="eastAsia" w:ascii="宋体" w:hAnsi="宋体" w:eastAsia="宋体" w:cs="宋体"/>
                <w:color w:val="auto"/>
                <w:kern w:val="2"/>
                <w:sz w:val="24"/>
                <w:szCs w:val="24"/>
                <w:highlight w:val="none"/>
                <w:lang w:val="en-US" w:eastAsia="zh-CN" w:bidi="ar"/>
              </w:rPr>
              <w:t>（</w:t>
            </w:r>
            <w:r>
              <w:rPr>
                <w:rFonts w:hint="default" w:ascii="Arial" w:hAnsi="Arial" w:eastAsia="宋体" w:cs="Arial"/>
                <w:color w:val="auto"/>
                <w:kern w:val="2"/>
                <w:sz w:val="24"/>
                <w:szCs w:val="24"/>
                <w:highlight w:val="none"/>
                <w:lang w:val="en-US" w:eastAsia="zh-CN" w:bidi="ar"/>
              </w:rPr>
              <w:t>h</w:t>
            </w:r>
            <w:r>
              <w:rPr>
                <w:rFonts w:hint="eastAsia" w:ascii="宋体" w:hAnsi="宋体" w:eastAsia="宋体" w:cs="宋体"/>
                <w:color w:val="auto"/>
                <w:kern w:val="2"/>
                <w:sz w:val="24"/>
                <w:szCs w:val="24"/>
                <w:highlight w:val="none"/>
                <w:lang w:val="en-US" w:eastAsia="zh-CN" w:bidi="ar"/>
              </w:rPr>
              <w:t>）</w:t>
            </w:r>
          </w:p>
        </w:tc>
        <w:tc>
          <w:tcPr>
            <w:tcW w:w="123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eastAsia="宋体" w:cs="Arial"/>
                <w:color w:val="auto"/>
                <w:kern w:val="2"/>
                <w:sz w:val="24"/>
                <w:szCs w:val="24"/>
                <w:highlight w:val="none"/>
                <w:lang w:val="en-US" w:eastAsia="zh-CN"/>
              </w:rPr>
            </w:pPr>
            <w:r>
              <w:rPr>
                <w:rFonts w:hint="eastAsia" w:ascii="Arial" w:hAnsi="Arial" w:cs="Arial"/>
                <w:color w:val="auto"/>
                <w:kern w:val="2"/>
                <w:sz w:val="24"/>
                <w:szCs w:val="24"/>
                <w:highlight w:val="none"/>
                <w:lang w:val="en-US" w:eastAsia="zh-CN"/>
              </w:rPr>
              <w:t>具体以施工图为准</w:t>
            </w:r>
          </w:p>
        </w:tc>
      </w:tr>
    </w:tbl>
    <w:p>
      <w:pPr>
        <w:rPr>
          <w:color w:val="auto"/>
          <w:highlight w:val="none"/>
          <w:lang w:eastAsia="zh-CN"/>
        </w:rPr>
      </w:pPr>
    </w:p>
    <w:p>
      <w:pPr>
        <w:pStyle w:val="38"/>
        <w:spacing w:before="0" w:after="0" w:line="560" w:lineRule="exact"/>
        <w:outlineLvl w:val="9"/>
        <w:rPr>
          <w:rFonts w:ascii="仿宋" w:hAnsi="仿宋" w:eastAsia="仿宋" w:cs="仿宋"/>
          <w:color w:val="auto"/>
          <w:kern w:val="0"/>
          <w:sz w:val="24"/>
          <w:szCs w:val="24"/>
          <w:highlight w:val="none"/>
          <w:lang w:eastAsia="zh-CN" w:bidi="en-US"/>
        </w:rPr>
      </w:pPr>
      <w:r>
        <w:rPr>
          <w:rFonts w:hint="eastAsia" w:ascii="仿宋" w:hAnsi="仿宋" w:eastAsia="仿宋" w:cs="仿宋"/>
          <w:color w:val="auto"/>
          <w:kern w:val="0"/>
          <w:sz w:val="24"/>
          <w:szCs w:val="24"/>
          <w:highlight w:val="none"/>
          <w:lang w:eastAsia="zh" w:bidi="en-US"/>
        </w:rPr>
        <w:t>宿舍</w:t>
      </w:r>
      <w:r>
        <w:rPr>
          <w:rFonts w:hint="eastAsia" w:ascii="仿宋" w:hAnsi="仿宋" w:eastAsia="仿宋" w:cs="仿宋"/>
          <w:color w:val="auto"/>
          <w:kern w:val="0"/>
          <w:sz w:val="24"/>
          <w:szCs w:val="24"/>
          <w:highlight w:val="none"/>
          <w:lang w:eastAsia="zh-CN" w:bidi="en-US"/>
        </w:rPr>
        <w:t>配套建筑物及附属设施设备交付标准</w:t>
      </w:r>
    </w:p>
    <w:p>
      <w:pPr>
        <w:rPr>
          <w:color w:val="auto"/>
          <w:highlight w:val="none"/>
          <w:lang w:eastAsia="zh-CN"/>
        </w:rPr>
      </w:pPr>
    </w:p>
    <w:tbl>
      <w:tblPr>
        <w:tblStyle w:val="4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483"/>
        <w:gridCol w:w="1111"/>
        <w:gridCol w:w="4755"/>
        <w:gridCol w:w="23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36"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序号</w:t>
            </w:r>
          </w:p>
        </w:tc>
        <w:tc>
          <w:tcPr>
            <w:tcW w:w="64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分项</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要求交付标准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实际交付情况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3"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w:t>
            </w:r>
          </w:p>
        </w:tc>
        <w:tc>
          <w:tcPr>
            <w:tcW w:w="64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外墙</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涂料</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2</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门</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消防通道：按规范安装防火门</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入户门：夹板木门</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3"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3</w:t>
            </w:r>
          </w:p>
        </w:tc>
        <w:tc>
          <w:tcPr>
            <w:tcW w:w="64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窗</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铝合金玻璃窗（按节能）</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4</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大堂</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w:t>
            </w:r>
            <w:r>
              <w:rPr>
                <w:rFonts w:hint="eastAsia" w:ascii="宋体" w:hAnsi="宋体" w:cs="宋体"/>
                <w:color w:val="auto"/>
                <w:kern w:val="2"/>
                <w:sz w:val="24"/>
                <w:szCs w:val="24"/>
                <w:highlight w:val="none"/>
                <w:lang w:val="en-US" w:eastAsia="zh-CN" w:bidi="ar"/>
              </w:rPr>
              <w:t>面砖</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墙面：</w:t>
            </w:r>
            <w:r>
              <w:rPr>
                <w:rFonts w:hint="eastAsia" w:ascii="宋体" w:hAnsi="宋体" w:cs="宋体"/>
                <w:color w:val="auto"/>
                <w:kern w:val="2"/>
                <w:sz w:val="24"/>
                <w:szCs w:val="24"/>
                <w:highlight w:val="none"/>
                <w:lang w:val="en-US" w:eastAsia="zh-CN" w:bidi="ar"/>
              </w:rPr>
              <w:t>面砖</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天花：吊顶</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门：铝合金玻璃门</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5</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标准层电梯厅、公区及过道</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w:t>
            </w:r>
            <w:r>
              <w:rPr>
                <w:rFonts w:hint="eastAsia" w:ascii="宋体" w:hAnsi="宋体" w:cs="宋体"/>
                <w:color w:val="auto"/>
                <w:kern w:val="2"/>
                <w:sz w:val="24"/>
                <w:szCs w:val="24"/>
                <w:highlight w:val="none"/>
                <w:lang w:val="en-US" w:eastAsia="zh-CN" w:bidi="ar"/>
              </w:rPr>
              <w:t>面砖</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墙面：电梯厅采用</w:t>
            </w:r>
            <w:r>
              <w:rPr>
                <w:rFonts w:hint="eastAsia" w:ascii="宋体" w:hAnsi="宋体" w:cs="宋体"/>
                <w:color w:val="auto"/>
                <w:kern w:val="2"/>
                <w:sz w:val="24"/>
                <w:szCs w:val="24"/>
                <w:highlight w:val="none"/>
                <w:lang w:val="en-US" w:eastAsia="zh-CN" w:bidi="ar"/>
              </w:rPr>
              <w:t>面砖</w:t>
            </w:r>
            <w:r>
              <w:rPr>
                <w:rFonts w:hint="eastAsia" w:ascii="宋体" w:hAnsi="宋体" w:eastAsia="宋体" w:cs="宋体"/>
                <w:color w:val="auto"/>
                <w:kern w:val="2"/>
                <w:sz w:val="24"/>
                <w:szCs w:val="24"/>
                <w:highlight w:val="none"/>
                <w:lang w:val="en-US" w:eastAsia="zh-CN" w:bidi="ar"/>
              </w:rPr>
              <w:t>；公区及过道采用无机涂料及踢脚线</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天花：仅首层电梯厅采用吊顶，其他层采用乳胶漆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6</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楼梯间</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天花：白色</w:t>
            </w:r>
            <w:r>
              <w:rPr>
                <w:rFonts w:hint="eastAsia" w:ascii="宋体" w:hAnsi="宋体" w:cs="宋体"/>
                <w:color w:val="auto"/>
                <w:kern w:val="2"/>
                <w:sz w:val="24"/>
                <w:szCs w:val="24"/>
                <w:highlight w:val="none"/>
                <w:lang w:val="en-US" w:eastAsia="zh-CN" w:bidi="ar"/>
              </w:rPr>
              <w:t>刮白</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梯面：水泥砂浆</w:t>
            </w:r>
            <w:r>
              <w:rPr>
                <w:rFonts w:hint="default" w:ascii="Arial" w:hAnsi="Arial" w:eastAsia="宋体" w:cs="Arial"/>
                <w:color w:val="auto"/>
                <w:kern w:val="2"/>
                <w:sz w:val="24"/>
                <w:szCs w:val="24"/>
                <w:highlight w:val="none"/>
                <w:lang w:val="en-US" w:eastAsia="zh-CN" w:bidi="ar"/>
              </w:rPr>
              <w:t>+</w:t>
            </w:r>
            <w:r>
              <w:rPr>
                <w:rFonts w:hint="eastAsia" w:ascii="宋体" w:hAnsi="宋体" w:eastAsia="宋体" w:cs="宋体"/>
                <w:color w:val="auto"/>
                <w:kern w:val="2"/>
                <w:sz w:val="24"/>
                <w:szCs w:val="24"/>
                <w:highlight w:val="none"/>
                <w:lang w:val="en-US" w:eastAsia="zh-CN" w:bidi="ar"/>
              </w:rPr>
              <w:t>防滑槽</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墙身：白色乳胶漆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栏杆：铁艺栏杆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7</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设备用房</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电房：墙面</w:t>
            </w:r>
            <w:r>
              <w:rPr>
                <w:rFonts w:hint="eastAsia" w:ascii="宋体" w:hAnsi="宋体" w:cs="宋体"/>
                <w:color w:val="auto"/>
                <w:kern w:val="2"/>
                <w:sz w:val="24"/>
                <w:szCs w:val="24"/>
                <w:highlight w:val="none"/>
                <w:lang w:val="en-US" w:eastAsia="zh-CN" w:bidi="ar"/>
              </w:rPr>
              <w:t>刮白</w:t>
            </w:r>
            <w:r>
              <w:rPr>
                <w:rFonts w:hint="eastAsia" w:ascii="宋体" w:hAnsi="宋体" w:eastAsia="宋体" w:cs="宋体"/>
                <w:color w:val="auto"/>
                <w:kern w:val="2"/>
                <w:sz w:val="24"/>
                <w:szCs w:val="24"/>
                <w:highlight w:val="none"/>
                <w:lang w:val="en-US" w:eastAsia="zh-CN" w:bidi="ar"/>
              </w:rPr>
              <w:t>，地面毛坯找平，配置空调，天花</w:t>
            </w:r>
            <w:r>
              <w:rPr>
                <w:rFonts w:hint="eastAsia" w:ascii="宋体" w:hAnsi="宋体" w:cs="宋体"/>
                <w:color w:val="auto"/>
                <w:kern w:val="2"/>
                <w:sz w:val="24"/>
                <w:szCs w:val="24"/>
                <w:highlight w:val="none"/>
                <w:lang w:val="en-US" w:eastAsia="zh-CN" w:bidi="ar"/>
              </w:rPr>
              <w:t>刮白</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消防控制室：墙面涂料，地面毛坯找平</w:t>
            </w:r>
            <w:r>
              <w:rPr>
                <w:rFonts w:hint="default" w:ascii="Arial" w:hAnsi="Arial" w:eastAsia="宋体" w:cs="Arial"/>
                <w:color w:val="auto"/>
                <w:kern w:val="2"/>
                <w:sz w:val="24"/>
                <w:szCs w:val="24"/>
                <w:highlight w:val="none"/>
                <w:lang w:val="en-US" w:eastAsia="zh-CN" w:bidi="ar"/>
              </w:rPr>
              <w:t>+</w:t>
            </w:r>
            <w:r>
              <w:rPr>
                <w:rFonts w:hint="eastAsia" w:ascii="宋体" w:hAnsi="宋体" w:eastAsia="宋体" w:cs="宋体"/>
                <w:color w:val="auto"/>
                <w:kern w:val="2"/>
                <w:sz w:val="24"/>
                <w:szCs w:val="24"/>
                <w:highlight w:val="none"/>
                <w:lang w:val="en-US" w:eastAsia="zh-CN" w:bidi="ar"/>
              </w:rPr>
              <w:t>防静电地板，配置空调，天花涂料</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泵房：墙面</w:t>
            </w:r>
            <w:r>
              <w:rPr>
                <w:rFonts w:hint="eastAsia" w:ascii="宋体" w:hAnsi="宋体" w:cs="宋体"/>
                <w:color w:val="auto"/>
                <w:kern w:val="2"/>
                <w:sz w:val="24"/>
                <w:szCs w:val="24"/>
                <w:highlight w:val="none"/>
                <w:lang w:val="en-US" w:eastAsia="zh-CN" w:bidi="ar"/>
              </w:rPr>
              <w:t>面砖</w:t>
            </w:r>
            <w:r>
              <w:rPr>
                <w:rFonts w:hint="eastAsia" w:ascii="宋体" w:hAnsi="宋体" w:eastAsia="宋体" w:cs="宋体"/>
                <w:color w:val="auto"/>
                <w:kern w:val="2"/>
                <w:sz w:val="24"/>
                <w:szCs w:val="24"/>
                <w:highlight w:val="none"/>
                <w:lang w:val="en-US" w:eastAsia="zh-CN" w:bidi="ar"/>
              </w:rPr>
              <w:t>，地面</w:t>
            </w:r>
            <w:r>
              <w:rPr>
                <w:rFonts w:hint="eastAsia" w:ascii="宋体" w:hAnsi="宋体" w:cs="宋体"/>
                <w:color w:val="auto"/>
                <w:kern w:val="2"/>
                <w:sz w:val="24"/>
                <w:szCs w:val="24"/>
                <w:highlight w:val="none"/>
                <w:lang w:val="en-US" w:eastAsia="zh-CN" w:bidi="ar"/>
              </w:rPr>
              <w:t>面砖</w:t>
            </w:r>
            <w:r>
              <w:rPr>
                <w:rFonts w:hint="eastAsia" w:ascii="宋体" w:hAnsi="宋体" w:eastAsia="宋体" w:cs="宋体"/>
                <w:color w:val="auto"/>
                <w:kern w:val="2"/>
                <w:sz w:val="24"/>
                <w:szCs w:val="24"/>
                <w:highlight w:val="none"/>
                <w:lang w:val="en-US" w:eastAsia="zh-CN" w:bidi="ar"/>
              </w:rPr>
              <w:t>，天花涂料</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普通设备房：墙面</w:t>
            </w:r>
            <w:r>
              <w:rPr>
                <w:rFonts w:hint="eastAsia" w:ascii="宋体" w:hAnsi="宋体" w:cs="宋体"/>
                <w:color w:val="auto"/>
                <w:kern w:val="2"/>
                <w:sz w:val="24"/>
                <w:szCs w:val="24"/>
                <w:highlight w:val="none"/>
                <w:lang w:val="en-US" w:eastAsia="zh-CN" w:bidi="ar"/>
              </w:rPr>
              <w:t>刮白</w:t>
            </w:r>
            <w:r>
              <w:rPr>
                <w:rFonts w:hint="eastAsia" w:ascii="宋体" w:hAnsi="宋体" w:eastAsia="宋体" w:cs="宋体"/>
                <w:color w:val="auto"/>
                <w:kern w:val="2"/>
                <w:sz w:val="24"/>
                <w:szCs w:val="24"/>
                <w:highlight w:val="none"/>
                <w:lang w:val="en-US" w:eastAsia="zh-CN" w:bidi="ar"/>
              </w:rPr>
              <w:t>，天花</w:t>
            </w:r>
            <w:r>
              <w:rPr>
                <w:rFonts w:hint="eastAsia" w:ascii="宋体" w:hAnsi="宋体" w:cs="宋体"/>
                <w:color w:val="auto"/>
                <w:kern w:val="2"/>
                <w:sz w:val="24"/>
                <w:szCs w:val="24"/>
                <w:highlight w:val="none"/>
                <w:lang w:val="en-US" w:eastAsia="zh-CN" w:bidi="ar"/>
              </w:rPr>
              <w:t>刮白</w:t>
            </w:r>
            <w:r>
              <w:rPr>
                <w:rFonts w:hint="eastAsia" w:ascii="宋体" w:hAnsi="宋体" w:eastAsia="宋体" w:cs="宋体"/>
                <w:color w:val="auto"/>
                <w:kern w:val="2"/>
                <w:sz w:val="24"/>
                <w:szCs w:val="24"/>
                <w:highlight w:val="none"/>
                <w:lang w:val="en-US" w:eastAsia="zh-CN" w:bidi="ar"/>
              </w:rPr>
              <w:t>，地面毛坯找平</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8</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宿舍户内</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户内天花：乳胶漆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内墙面：乳胶漆及地脚线</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w:t>
            </w:r>
            <w:r>
              <w:rPr>
                <w:rFonts w:hint="eastAsia" w:ascii="宋体" w:hAnsi="宋体" w:cs="宋体"/>
                <w:color w:val="auto"/>
                <w:kern w:val="2"/>
                <w:sz w:val="24"/>
                <w:szCs w:val="24"/>
                <w:highlight w:val="none"/>
                <w:lang w:val="en-US" w:eastAsia="zh-CN" w:bidi="ar"/>
              </w:rPr>
              <w:t>面砖</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洗菜盆、洗手台</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9</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卫生间</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门：安装门</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天花：涂料</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地面：防滑地砖</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墙身：面砖</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蹲厕、洗手盆、排气扇、淋浴花洒</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10</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阳台（如有）</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地面：贴砖</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天花：白色外墙涂料、晾衣杆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墙面：外墙涂料</w:t>
            </w:r>
            <w:r>
              <w:rPr>
                <w:rFonts w:hint="default" w:ascii="Arial" w:hAnsi="Arial" w:eastAsia="宋体" w:cs="Arial"/>
                <w:color w:val="auto"/>
                <w:kern w:val="2"/>
                <w:sz w:val="24"/>
                <w:szCs w:val="24"/>
                <w:highlight w:val="none"/>
                <w:lang w:val="en-US" w:eastAsia="zh-CN" w:bidi="ar"/>
              </w:rPr>
              <w:t>+</w:t>
            </w:r>
            <w:r>
              <w:rPr>
                <w:rFonts w:hint="eastAsia" w:ascii="宋体" w:hAnsi="宋体" w:eastAsia="宋体" w:cs="宋体"/>
                <w:color w:val="auto"/>
                <w:kern w:val="2"/>
                <w:sz w:val="24"/>
                <w:szCs w:val="24"/>
                <w:highlight w:val="none"/>
                <w:lang w:val="en-US" w:eastAsia="zh-CN" w:bidi="ar"/>
              </w:rPr>
              <w:t>瓷砖踢脚线</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栏杆：</w:t>
            </w:r>
            <w:r>
              <w:rPr>
                <w:rFonts w:hint="eastAsia" w:ascii="宋体" w:hAnsi="宋体" w:cs="宋体"/>
                <w:color w:val="auto"/>
                <w:kern w:val="2"/>
                <w:sz w:val="24"/>
                <w:szCs w:val="24"/>
                <w:highlight w:val="none"/>
                <w:lang w:val="en-US" w:eastAsia="zh-CN" w:bidi="ar"/>
              </w:rPr>
              <w:t>铁艺</w:t>
            </w:r>
            <w:r>
              <w:rPr>
                <w:rFonts w:hint="eastAsia" w:ascii="宋体" w:hAnsi="宋体" w:eastAsia="宋体" w:cs="宋体"/>
                <w:color w:val="auto"/>
                <w:kern w:val="2"/>
                <w:sz w:val="24"/>
                <w:szCs w:val="24"/>
                <w:highlight w:val="none"/>
                <w:lang w:val="en-US" w:eastAsia="zh-CN" w:bidi="ar"/>
              </w:rPr>
              <w:t>栏杆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地漏、水龙头</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11</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家电及家具</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家电：热水器、空调（客厅不设）</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0"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家具</w:t>
            </w:r>
          </w:p>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标准间：带</w:t>
            </w:r>
            <w:r>
              <w:rPr>
                <w:rFonts w:hint="default" w:ascii="Arial" w:hAnsi="Arial" w:eastAsia="宋体" w:cs="Arial"/>
                <w:color w:val="auto"/>
                <w:kern w:val="2"/>
                <w:sz w:val="24"/>
                <w:szCs w:val="24"/>
                <w:highlight w:val="none"/>
                <w:lang w:val="en-US" w:eastAsia="zh-CN" w:bidi="ar"/>
              </w:rPr>
              <w:t>1.2*2m</w:t>
            </w:r>
            <w:r>
              <w:rPr>
                <w:rFonts w:hint="eastAsia" w:ascii="宋体" w:hAnsi="宋体" w:eastAsia="宋体" w:cs="宋体"/>
                <w:color w:val="auto"/>
                <w:kern w:val="2"/>
                <w:sz w:val="24"/>
                <w:szCs w:val="24"/>
                <w:highlight w:val="none"/>
                <w:lang w:val="en-US" w:eastAsia="zh-CN" w:bidi="ar"/>
              </w:rPr>
              <w:t>的双人铁架床加薄床垫（</w:t>
            </w:r>
            <w:r>
              <w:rPr>
                <w:rFonts w:hint="default" w:ascii="Arial" w:hAnsi="Arial" w:eastAsia="宋体" w:cs="Arial"/>
                <w:color w:val="auto"/>
                <w:kern w:val="2"/>
                <w:sz w:val="24"/>
                <w:szCs w:val="24"/>
                <w:highlight w:val="none"/>
                <w:lang w:val="en-US" w:eastAsia="zh-CN" w:bidi="ar"/>
              </w:rPr>
              <w:t>2</w:t>
            </w:r>
            <w:r>
              <w:rPr>
                <w:rFonts w:hint="eastAsia" w:ascii="宋体" w:hAnsi="宋体" w:eastAsia="宋体" w:cs="宋体"/>
                <w:color w:val="auto"/>
                <w:kern w:val="2"/>
                <w:sz w:val="24"/>
                <w:szCs w:val="24"/>
                <w:highlight w:val="none"/>
                <w:lang w:val="en-US" w:eastAsia="zh-CN" w:bidi="ar"/>
              </w:rPr>
              <w:t>套）</w:t>
            </w:r>
          </w:p>
          <w:p>
            <w:pPr>
              <w:keepNext w:val="0"/>
              <w:keepLines w:val="0"/>
              <w:widowControl w:val="0"/>
              <w:suppressLineNumbers w:val="0"/>
              <w:spacing w:before="0" w:beforeAutospacing="0" w:after="0" w:afterAutospacing="0" w:line="400" w:lineRule="exact"/>
              <w:ind w:left="0" w:right="0"/>
              <w:jc w:val="both"/>
              <w:rPr>
                <w:rFonts w:hint="default" w:ascii="Arial" w:hAnsi="Arial" w:cs="Arial"/>
                <w:strike/>
                <w:dstrike w:val="0"/>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套间（如有）：按照</w:t>
            </w:r>
            <w:r>
              <w:rPr>
                <w:rFonts w:hint="default" w:ascii="Arial" w:hAnsi="Arial" w:eastAsia="宋体" w:cs="Arial"/>
                <w:color w:val="auto"/>
                <w:kern w:val="2"/>
                <w:sz w:val="24"/>
                <w:szCs w:val="24"/>
                <w:highlight w:val="none"/>
                <w:lang w:val="en-US" w:eastAsia="zh-CN" w:bidi="ar"/>
              </w:rPr>
              <w:t>1.5*2m</w:t>
            </w:r>
            <w:r>
              <w:rPr>
                <w:rFonts w:hint="eastAsia" w:ascii="宋体" w:hAnsi="宋体" w:eastAsia="宋体" w:cs="宋体"/>
                <w:color w:val="auto"/>
                <w:kern w:val="2"/>
                <w:sz w:val="24"/>
                <w:szCs w:val="24"/>
                <w:highlight w:val="none"/>
                <w:lang w:val="en-US" w:eastAsia="zh-CN" w:bidi="ar"/>
              </w:rPr>
              <w:t>的木架床加薄床垫（</w:t>
            </w:r>
            <w:r>
              <w:rPr>
                <w:rFonts w:hint="default" w:ascii="Arial" w:hAnsi="Arial" w:eastAsia="宋体" w:cs="Arial"/>
                <w:color w:val="auto"/>
                <w:kern w:val="2"/>
                <w:sz w:val="24"/>
                <w:szCs w:val="24"/>
                <w:highlight w:val="none"/>
                <w:lang w:val="en-US" w:eastAsia="zh-CN" w:bidi="ar"/>
              </w:rPr>
              <w:t>2</w:t>
            </w:r>
            <w:r>
              <w:rPr>
                <w:rFonts w:hint="eastAsia" w:ascii="宋体" w:hAnsi="宋体" w:eastAsia="宋体" w:cs="宋体"/>
                <w:color w:val="auto"/>
                <w:kern w:val="2"/>
                <w:sz w:val="24"/>
                <w:szCs w:val="24"/>
                <w:highlight w:val="none"/>
                <w:lang w:val="en-US" w:eastAsia="zh-CN" w:bidi="ar"/>
              </w:rPr>
              <w:t>套）</w:t>
            </w:r>
          </w:p>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12</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强电系统</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每户需要配配电箱</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照明、开关、插座</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8"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13</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弱电系统</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每户设置一个弱电（网线）末端点位</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电梯五方通话，并设置到消防监控室</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8"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配置园区监控，与消防控制室合用</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8"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14</w:t>
            </w:r>
          </w:p>
        </w:tc>
        <w:tc>
          <w:tcPr>
            <w:tcW w:w="64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消防系统</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消防系统整体通过验收并符合使用要求</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15</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给排水</w:t>
            </w:r>
          </w:p>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系统</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给水安装至每层每户洗手间，水表安装至每层设备间</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1"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宿舍区雨、污分流排放、隔油池、化粪池，排水系统安装到位，满足使用功能</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空调室外机位安装冷凝水立管，预留空调机位</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16</w:t>
            </w:r>
          </w:p>
        </w:tc>
        <w:tc>
          <w:tcPr>
            <w:tcW w:w="64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防雷系统</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按规范安装防雷系统，通过验收并符合使用要求</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17</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eastAsia" w:ascii="Arial" w:hAnsi="Arial" w:eastAsia="宋体"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电梯</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设计符合使用要求；客梯不低于</w:t>
            </w:r>
            <w:r>
              <w:rPr>
                <w:rFonts w:hint="default" w:ascii="Arial" w:hAnsi="Arial" w:eastAsia="宋体" w:cs="Arial"/>
                <w:color w:val="auto"/>
                <w:kern w:val="2"/>
                <w:sz w:val="24"/>
                <w:szCs w:val="24"/>
                <w:highlight w:val="none"/>
                <w:lang w:val="en-US" w:eastAsia="zh-CN" w:bidi="ar"/>
              </w:rPr>
              <w:t>1.0T</w:t>
            </w:r>
            <w:r>
              <w:rPr>
                <w:rFonts w:hint="eastAsia" w:ascii="宋体" w:hAnsi="宋体" w:eastAsia="宋体" w:cs="宋体"/>
                <w:color w:val="auto"/>
                <w:kern w:val="2"/>
                <w:sz w:val="24"/>
                <w:szCs w:val="24"/>
                <w:highlight w:val="none"/>
                <w:lang w:val="en-US" w:eastAsia="zh-CN" w:bidi="ar"/>
              </w:rPr>
              <w:t>。</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按规范完成电梯安装及验收</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5" w:hRule="atLeast"/>
        </w:trPr>
        <w:tc>
          <w:tcPr>
            <w:tcW w:w="245"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18</w:t>
            </w:r>
          </w:p>
        </w:tc>
        <w:tc>
          <w:tcPr>
            <w:tcW w:w="648" w:type="pct"/>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eastAsia="宋体" w:cs="宋体"/>
                <w:b/>
                <w:bCs w:val="0"/>
                <w:color w:val="auto"/>
                <w:kern w:val="2"/>
                <w:sz w:val="24"/>
                <w:szCs w:val="24"/>
                <w:highlight w:val="none"/>
                <w:lang w:val="en-US" w:eastAsia="zh-CN" w:bidi="ar"/>
              </w:rPr>
              <w:t>道路</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园区道路符合使用要求，并按交通动线设计划线及安装导视系统</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5" w:hRule="atLeast"/>
        </w:trPr>
        <w:tc>
          <w:tcPr>
            <w:tcW w:w="245"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648" w:type="pct"/>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cs="Times New Roman"/>
                <w:color w:val="auto"/>
                <w:sz w:val="20"/>
                <w:szCs w:val="20"/>
                <w:highlight w:val="none"/>
              </w:rPr>
            </w:pP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ascii="Arial" w:hAnsi="Arial" w:cs="Arial"/>
                <w:color w:val="auto"/>
                <w:kern w:val="2"/>
                <w:sz w:val="24"/>
                <w:szCs w:val="24"/>
                <w:highlight w:val="none"/>
              </w:rPr>
            </w:pPr>
            <w:r>
              <w:rPr>
                <w:rFonts w:hint="eastAsia" w:ascii="宋体" w:hAnsi="宋体" w:eastAsia="宋体" w:cs="宋体"/>
                <w:color w:val="auto"/>
                <w:kern w:val="2"/>
                <w:sz w:val="24"/>
                <w:szCs w:val="24"/>
                <w:highlight w:val="none"/>
                <w:lang w:val="en-US" w:eastAsia="zh-CN" w:bidi="ar"/>
              </w:rPr>
              <w:t>园区车行路面采用混凝土路面；</w:t>
            </w:r>
            <w:r>
              <w:rPr>
                <w:rFonts w:hint="default" w:ascii="Arial" w:hAnsi="Arial" w:eastAsia="宋体" w:cs="Arial"/>
                <w:color w:val="auto"/>
                <w:kern w:val="2"/>
                <w:sz w:val="24"/>
                <w:szCs w:val="24"/>
                <w:highlight w:val="none"/>
                <w:lang w:val="en-US" w:eastAsia="zh-CN" w:bidi="ar"/>
              </w:rPr>
              <w:t xml:space="preserve"> </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00" w:hRule="atLeast"/>
        </w:trPr>
        <w:tc>
          <w:tcPr>
            <w:tcW w:w="24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default" w:ascii="Arial" w:hAnsi="Arial" w:eastAsia="宋体" w:cs="Arial"/>
                <w:b/>
                <w:bCs w:val="0"/>
                <w:color w:val="auto"/>
                <w:kern w:val="2"/>
                <w:sz w:val="24"/>
                <w:szCs w:val="24"/>
                <w:highlight w:val="none"/>
                <w:lang w:val="en-US" w:eastAsia="zh-CN" w:bidi="ar"/>
              </w:rPr>
              <w:t>19</w:t>
            </w:r>
          </w:p>
        </w:tc>
        <w:tc>
          <w:tcPr>
            <w:tcW w:w="64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center"/>
              <w:rPr>
                <w:rFonts w:hint="default" w:ascii="Arial" w:hAnsi="Arial" w:cs="Arial"/>
                <w:b/>
                <w:bCs w:val="0"/>
                <w:color w:val="auto"/>
                <w:kern w:val="2"/>
                <w:sz w:val="24"/>
                <w:szCs w:val="24"/>
                <w:highlight w:val="none"/>
              </w:rPr>
            </w:pPr>
            <w:r>
              <w:rPr>
                <w:rFonts w:hint="eastAsia" w:ascii="宋体" w:hAnsi="宋体" w:cs="宋体"/>
                <w:b/>
                <w:bCs w:val="0"/>
                <w:color w:val="auto"/>
                <w:kern w:val="2"/>
                <w:sz w:val="24"/>
                <w:szCs w:val="24"/>
                <w:highlight w:val="none"/>
                <w:lang w:val="en-US" w:eastAsia="zh-CN" w:bidi="ar"/>
              </w:rPr>
              <w:t>地下车库</w:t>
            </w:r>
          </w:p>
        </w:tc>
        <w:tc>
          <w:tcPr>
            <w:tcW w:w="273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default"/>
                <w:color w:val="auto"/>
                <w:highlight w:val="none"/>
                <w:lang w:val="en-US"/>
              </w:rPr>
            </w:pPr>
            <w:r>
              <w:rPr>
                <w:rFonts w:hint="eastAsia" w:ascii="宋体" w:hAnsi="宋体" w:cs="宋体"/>
                <w:color w:val="auto"/>
                <w:kern w:val="2"/>
                <w:sz w:val="24"/>
                <w:szCs w:val="24"/>
                <w:highlight w:val="none"/>
                <w:lang w:val="en-US" w:eastAsia="zh-CN" w:bidi="ar"/>
              </w:rPr>
              <w:t>地面细石混凝土</w:t>
            </w:r>
            <w:r>
              <w:rPr>
                <w:rFonts w:hint="eastAsia" w:ascii="宋体" w:hAnsi="宋体" w:eastAsia="宋体" w:cs="宋体"/>
                <w:color w:val="auto"/>
                <w:kern w:val="2"/>
                <w:sz w:val="24"/>
                <w:szCs w:val="24"/>
                <w:highlight w:val="none"/>
                <w:lang w:val="en-US" w:eastAsia="zh-CN" w:bidi="ar"/>
              </w:rPr>
              <w:t>找平</w:t>
            </w:r>
            <w:r>
              <w:rPr>
                <w:rFonts w:hint="eastAsia" w:ascii="宋体" w:hAnsi="宋体" w:cs="宋体"/>
                <w:color w:val="auto"/>
                <w:kern w:val="2"/>
                <w:sz w:val="24"/>
                <w:szCs w:val="24"/>
                <w:highlight w:val="none"/>
                <w:lang w:val="en-US" w:eastAsia="zh-CN" w:bidi="ar"/>
              </w:rPr>
              <w:t>(表面固化剂）</w:t>
            </w:r>
            <w:r>
              <w:rPr>
                <w:rFonts w:hint="eastAsia" w:ascii="宋体" w:hAnsi="宋体" w:eastAsia="宋体" w:cs="宋体"/>
                <w:color w:val="auto"/>
                <w:kern w:val="2"/>
                <w:sz w:val="24"/>
                <w:szCs w:val="24"/>
                <w:highlight w:val="none"/>
                <w:lang w:val="en-US" w:eastAsia="zh-CN" w:bidi="ar"/>
              </w:rPr>
              <w:t>，需完成划线及车位附属设施</w:t>
            </w:r>
            <w:r>
              <w:rPr>
                <w:rFonts w:hint="eastAsia" w:ascii="宋体" w:hAnsi="宋体" w:cs="宋体"/>
                <w:color w:val="auto"/>
                <w:kern w:val="2"/>
                <w:sz w:val="24"/>
                <w:szCs w:val="24"/>
                <w:highlight w:val="none"/>
                <w:lang w:val="en-US" w:eastAsia="zh-CN" w:bidi="ar"/>
              </w:rPr>
              <w:t>；墙面乳胶漆；</w:t>
            </w:r>
          </w:p>
        </w:tc>
        <w:tc>
          <w:tcPr>
            <w:tcW w:w="13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400" w:lineRule="exact"/>
              <w:ind w:left="0" w:right="0"/>
              <w:jc w:val="both"/>
              <w:rPr>
                <w:rFonts w:hint="eastAsia" w:ascii="Arial" w:hAnsi="Arial" w:eastAsia="宋体" w:cs="Arial"/>
                <w:color w:val="auto"/>
                <w:kern w:val="2"/>
                <w:sz w:val="24"/>
                <w:szCs w:val="24"/>
                <w:highlight w:val="none"/>
              </w:rPr>
            </w:pPr>
          </w:p>
        </w:tc>
      </w:tr>
    </w:tbl>
    <w:p>
      <w:pPr>
        <w:spacing w:line="360" w:lineRule="auto"/>
        <w:outlineLvl w:val="1"/>
        <w:rPr>
          <w:rFonts w:ascii="仿宋" w:hAnsi="仿宋" w:eastAsia="仿宋" w:cs="仿宋"/>
          <w:b/>
          <w:bCs/>
          <w:color w:val="auto"/>
          <w:highlight w:val="none"/>
          <w:lang w:eastAsia="zh-CN"/>
        </w:rPr>
      </w:pPr>
    </w:p>
    <w:p>
      <w:pPr>
        <w:rPr>
          <w:color w:val="auto"/>
          <w:highlight w:val="none"/>
        </w:rPr>
      </w:pPr>
    </w:p>
    <w:p>
      <w:pPr>
        <w:rPr>
          <w:color w:val="auto"/>
          <w:highlight w:val="none"/>
        </w:rPr>
      </w:pPr>
    </w:p>
    <w:p>
      <w:pPr>
        <w:rPr>
          <w:color w:val="auto"/>
          <w:highlight w:val="none"/>
        </w:rPr>
      </w:pPr>
    </w:p>
    <w:sectPr>
      <w:endnotePr>
        <w:numFmt w:val="decimal"/>
      </w:endnotePr>
      <w:pgSz w:w="11906" w:h="16838"/>
      <w:pgMar w:top="850" w:right="1701" w:bottom="850" w:left="1701" w:header="0" w:footer="283" w:gutter="0"/>
      <w:cols w:space="720" w:num="1"/>
      <w:docGrid w:linePitch="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华文细黑">
    <w:altName w:val="微软雅黑"/>
    <w:panose1 w:val="02010600040101010101"/>
    <w:charset w:val="86"/>
    <w:family w:val="auto"/>
    <w:pitch w:val="default"/>
    <w:sig w:usb0="00000000" w:usb1="00000000" w:usb2="00000000" w:usb3="00000000" w:csb0="0004009F" w:csb1="DFD70000"/>
  </w:font>
  <w:font w:name="仿宋">
    <w:panose1 w:val="02010609060101010101"/>
    <w:charset w:val="86"/>
    <w:family w:val="modern"/>
    <w:pitch w:val="default"/>
    <w:sig w:usb0="800002BF" w:usb1="38CF7CFA" w:usb2="00000016" w:usb3="00000000" w:csb0="00040001" w:csb1="00000000"/>
  </w:font>
  <w:font w:name="华文中宋">
    <w:altName w:val="宋体"/>
    <w:panose1 w:val="02010600040101010101"/>
    <w:charset w:val="86"/>
    <w:family w:val="auto"/>
    <w:pitch w:val="default"/>
    <w:sig w:usb0="00000000" w:usb1="00000000" w:usb2="00000000" w:usb3="00000000" w:csb0="0004009F" w:csb1="DFD70000"/>
  </w:font>
  <w:font w:name="Wingdings 2">
    <w:altName w:val="Wingdings"/>
    <w:panose1 w:val="05020102010507070707"/>
    <w:charset w:val="02"/>
    <w:family w:val="roman"/>
    <w:pitch w:val="default"/>
    <w:sig w:usb0="00000000" w:usb1="00000000" w:usb2="00000000" w:usb3="00000000" w:csb0="80000000" w:csb1="00000000"/>
  </w:font>
  <w:font w:name="楷体">
    <w:panose1 w:val="02010609060101010101"/>
    <w:charset w:val="86"/>
    <w:family w:val="modern"/>
    <w:pitch w:val="default"/>
    <w:sig w:usb0="800002BF" w:usb1="38CF7CFA" w:usb2="00000016" w:usb3="00000000" w:csb0="00040001" w:csb1="00000000"/>
  </w:font>
  <w:font w:name="@MingLiU">
    <w:altName w:val="PMingLiU-ExtB"/>
    <w:panose1 w:val="02010609000101010101"/>
    <w:charset w:val="88"/>
    <w:family w:val="modern"/>
    <w:pitch w:val="default"/>
    <w:sig w:usb0="00000000" w:usb1="00000000" w:usb2="00000016" w:usb3="00000000" w:csb0="00100001" w:csb1="00000000"/>
  </w:font>
  <w:font w:name="微软雅黑">
    <w:panose1 w:val="020B0503020204020204"/>
    <w:charset w:val="86"/>
    <w:family w:val="auto"/>
    <w:pitch w:val="default"/>
    <w:sig w:usb0="80000287" w:usb1="2ACF3C50" w:usb2="00000016" w:usb3="00000000" w:csb0="0004001F"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pPr>
  </w:p>
  <w:p>
    <w:pPr>
      <w:pStyle w:val="2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widowControl w:val="0"/>
      <w:jc w:val="center"/>
      <w:rPr>
        <w:rFonts w:ascii="仿宋" w:hAnsi="仿宋" w:eastAsia="仿宋"/>
        <w:sz w:val="21"/>
        <w:szCs w:val="21"/>
        <w:lang w:eastAsia="zh-CN"/>
      </w:rPr>
    </w:pPr>
    <w:r>
      <w:rPr>
        <w:rFonts w:ascii="仿宋" w:hAnsi="仿宋" w:eastAsia="仿宋"/>
        <w:sz w:val="21"/>
        <w:szCs w:val="21"/>
      </w:rPr>
      <w:fldChar w:fldCharType="begin"/>
    </w:r>
    <w:r>
      <w:rPr>
        <w:rFonts w:ascii="仿宋" w:hAnsi="仿宋" w:eastAsia="仿宋"/>
        <w:sz w:val="21"/>
        <w:szCs w:val="21"/>
      </w:rPr>
      <w:instrText xml:space="preserve"> PAGE   \* MERGEFORMAT </w:instrText>
    </w:r>
    <w:r>
      <w:rPr>
        <w:rFonts w:ascii="仿宋" w:hAnsi="仿宋" w:eastAsia="仿宋"/>
        <w:sz w:val="21"/>
        <w:szCs w:val="21"/>
      </w:rPr>
      <w:fldChar w:fldCharType="separate"/>
    </w:r>
    <w:r>
      <w:rPr>
        <w:rFonts w:ascii="仿宋" w:hAnsi="仿宋" w:eastAsia="仿宋"/>
        <w:sz w:val="21"/>
        <w:szCs w:val="21"/>
        <w:lang w:val="zh-CN"/>
      </w:rPr>
      <w:t>2</w:t>
    </w:r>
    <w:r>
      <w:rPr>
        <w:rFonts w:ascii="仿宋" w:hAnsi="仿宋" w:eastAsia="仿宋"/>
        <w:sz w:val="21"/>
        <w:szCs w:val="21"/>
      </w:rPr>
      <w:fldChar w:fldCharType="end"/>
    </w:r>
  </w:p>
  <w:p>
    <w:pPr>
      <w:pStyle w:val="2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rPr>
        <w:rFonts w:ascii="仿宋" w:hAnsi="仿宋" w:eastAsia="仿宋"/>
      </w:rPr>
    </w:pPr>
    <w:r>
      <w:rPr>
        <w:rFonts w:ascii="仿宋" w:hAnsi="仿宋" w:eastAsia="仿宋"/>
      </w:rPr>
      <w:fldChar w:fldCharType="begin"/>
    </w:r>
    <w:r>
      <w:rPr>
        <w:rFonts w:ascii="仿宋" w:hAnsi="仿宋" w:eastAsia="仿宋"/>
      </w:rPr>
      <w:instrText xml:space="preserve"> PAGE   \* MERGEFORMAT </w:instrText>
    </w:r>
    <w:r>
      <w:rPr>
        <w:rFonts w:ascii="仿宋" w:hAnsi="仿宋" w:eastAsia="仿宋"/>
      </w:rPr>
      <w:fldChar w:fldCharType="separate"/>
    </w:r>
    <w:r>
      <w:rPr>
        <w:rFonts w:ascii="仿宋" w:hAnsi="仿宋" w:eastAsia="仿宋"/>
        <w:lang w:val="zh-CN"/>
      </w:rPr>
      <w:t>2</w:t>
    </w:r>
    <w:r>
      <w:rPr>
        <w:rFonts w:ascii="仿宋" w:hAnsi="仿宋" w:eastAsia="仿宋"/>
      </w:rPr>
      <w:fldChar w:fldCharType="end"/>
    </w:r>
  </w:p>
  <w:p>
    <w:pPr>
      <w:pStyle w:val="2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pPr>
    <w:r>
      <w:fldChar w:fldCharType="begin"/>
    </w:r>
    <w:r>
      <w:instrText xml:space="preserve"> PAGE   \* MERGEFORMAT </w:instrText>
    </w:r>
    <w:r>
      <w:fldChar w:fldCharType="separate"/>
    </w:r>
    <w:r>
      <w:rPr>
        <w:lang w:val="zh-CN"/>
      </w:rPr>
      <w:t>1</w:t>
    </w:r>
    <w:r>
      <w:fldChar w:fldCharType="end"/>
    </w:r>
  </w:p>
  <w:p>
    <w:pPr>
      <w:pStyle w:val="2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pPr>
    <w:r>
      <w:fldChar w:fldCharType="begin"/>
    </w:r>
    <w:r>
      <w:instrText xml:space="preserve"> PAGE   \* MERGEFORMAT </w:instrText>
    </w:r>
    <w:r>
      <w:fldChar w:fldCharType="separate"/>
    </w:r>
    <w:r>
      <w:rPr>
        <w:lang w:val="zh-CN"/>
      </w:rPr>
      <w:t>172</w:t>
    </w:r>
    <w:r>
      <w:fldChar w:fldCharType="end"/>
    </w:r>
  </w:p>
  <w:p>
    <w:pPr>
      <w:pStyle w:val="2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jc w:val="center"/>
    </w:pPr>
    <w:r>
      <w:fldChar w:fldCharType="begin"/>
    </w:r>
    <w:r>
      <w:instrText xml:space="preserve"> PAGE   \* MERGEFORMAT </w:instrText>
    </w:r>
    <w:r>
      <w:fldChar w:fldCharType="separate"/>
    </w:r>
    <w:r>
      <w:rPr>
        <w:lang w:val="zh-CN"/>
      </w:rPr>
      <w:t>173</w:t>
    </w:r>
    <w:r>
      <w:fldChar w:fldCharType="end"/>
    </w:r>
  </w:p>
  <w:p>
    <w:pPr>
      <w:pStyle w:val="27"/>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0"/>
      </w:rPr>
    </w:pPr>
    <w:r>
      <w:rPr>
        <w:sz w:val="20"/>
      </w:rPr>
      <mc:AlternateContent>
        <mc:Choice Requires="wps">
          <w:drawing>
            <wp:anchor distT="0" distB="0" distL="114300" distR="114300" simplePos="0" relativeHeight="2521210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52" name="文本框 4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27"/>
                          </w:pPr>
                          <w:r>
                            <w:fldChar w:fldCharType="begin"/>
                          </w:r>
                          <w:r>
                            <w:instrText xml:space="preserve"> PAGE  \* MERGEFORMAT </w:instrText>
                          </w:r>
                          <w:r>
                            <w:fldChar w:fldCharType="separate"/>
                          </w:r>
                          <w:r>
                            <w:t>256</w:t>
                          </w:r>
                          <w: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2121088;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aGmCS9MAAAAFAQAADwAAAAAAAAABACAAAAAiAAAAZHJzL2Rv&#10;d25yZXYueG1sUEsBAhQAFAAAAAgAh07iQDQ0b3TNAQAAmwMAAA4AAAAAAAAAAQAgAAAAIgEAAGRy&#10;cy9lMm9Eb2MueG1sUEsFBgAAAAAGAAYAWQEAAGEFAAAAAA==&#10;">
              <v:fill on="f" focussize="0,0"/>
              <v:stroke on="f" weight="1.25pt"/>
              <v:imagedata o:title=""/>
              <o:lock v:ext="edit" aspectratio="f"/>
              <v:textbox inset="0mm,0mm,0mm,0mm" style="mso-fit-shape-to-text:t;">
                <w:txbxContent>
                  <w:p>
                    <w:pPr>
                      <w:pStyle w:val="27"/>
                    </w:pPr>
                    <w:r>
                      <w:fldChar w:fldCharType="begin"/>
                    </w:r>
                    <w:r>
                      <w:instrText xml:space="preserve"> PAGE  \* MERGEFORMAT </w:instrText>
                    </w:r>
                    <w:r>
                      <w:fldChar w:fldCharType="separate"/>
                    </w:r>
                    <w:r>
                      <w:t>256</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8"/>
      <w:widowControl w:val="0"/>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8"/>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9658EA3"/>
    <w:multiLevelType w:val="singleLevel"/>
    <w:tmpl w:val="B9658EA3"/>
    <w:lvl w:ilvl="0" w:tentative="0">
      <w:start w:val="3"/>
      <w:numFmt w:val="decimal"/>
      <w:lvlText w:val="(%1)"/>
      <w:lvlJc w:val="left"/>
      <w:pPr>
        <w:tabs>
          <w:tab w:val="left" w:pos="312"/>
        </w:tabs>
      </w:pPr>
    </w:lvl>
  </w:abstractNum>
  <w:abstractNum w:abstractNumId="1">
    <w:nsid w:val="F6FC859A"/>
    <w:multiLevelType w:val="singleLevel"/>
    <w:tmpl w:val="F6FC859A"/>
    <w:lvl w:ilvl="0" w:tentative="0">
      <w:start w:val="3"/>
      <w:numFmt w:val="decimal"/>
      <w:lvlText w:val="%1)"/>
      <w:lvlJc w:val="left"/>
      <w:pPr>
        <w:tabs>
          <w:tab w:val="left" w:pos="312"/>
        </w:tabs>
      </w:pPr>
    </w:lvl>
  </w:abstractNum>
  <w:abstractNum w:abstractNumId="2">
    <w:nsid w:val="FF7621F8"/>
    <w:multiLevelType w:val="singleLevel"/>
    <w:tmpl w:val="FF7621F8"/>
    <w:lvl w:ilvl="0" w:tentative="0">
      <w:start w:val="1"/>
      <w:numFmt w:val="decimal"/>
      <w:lvlText w:val="%1."/>
      <w:lvlJc w:val="left"/>
      <w:pPr>
        <w:tabs>
          <w:tab w:val="left" w:pos="312"/>
        </w:tabs>
      </w:pPr>
    </w:lvl>
  </w:abstractNum>
  <w:abstractNum w:abstractNumId="3">
    <w:nsid w:val="024012D0"/>
    <w:multiLevelType w:val="multilevel"/>
    <w:tmpl w:val="024012D0"/>
    <w:lvl w:ilvl="0" w:tentative="0">
      <w:start w:val="1"/>
      <w:numFmt w:val="decimal"/>
      <w:lvlText w:val="（%1）"/>
      <w:lvlJc w:val="left"/>
      <w:pPr>
        <w:ind w:left="2270" w:hanging="420"/>
      </w:pPr>
      <w:rPr>
        <w:rFonts w:hint="eastAsia"/>
      </w:rPr>
    </w:lvl>
    <w:lvl w:ilvl="1" w:tentative="0">
      <w:start w:val="1"/>
      <w:numFmt w:val="lowerLetter"/>
      <w:lvlText w:val="%2)"/>
      <w:lvlJc w:val="left"/>
      <w:pPr>
        <w:ind w:left="2690" w:hanging="420"/>
      </w:pPr>
    </w:lvl>
    <w:lvl w:ilvl="2" w:tentative="0">
      <w:start w:val="1"/>
      <w:numFmt w:val="lowerRoman"/>
      <w:lvlText w:val="%3."/>
      <w:lvlJc w:val="right"/>
      <w:pPr>
        <w:ind w:left="3110" w:hanging="420"/>
      </w:pPr>
    </w:lvl>
    <w:lvl w:ilvl="3" w:tentative="0">
      <w:start w:val="1"/>
      <w:numFmt w:val="decimal"/>
      <w:lvlText w:val="%4."/>
      <w:lvlJc w:val="left"/>
      <w:pPr>
        <w:ind w:left="3530" w:hanging="420"/>
      </w:pPr>
    </w:lvl>
    <w:lvl w:ilvl="4" w:tentative="0">
      <w:start w:val="1"/>
      <w:numFmt w:val="lowerLetter"/>
      <w:lvlText w:val="%5)"/>
      <w:lvlJc w:val="left"/>
      <w:pPr>
        <w:ind w:left="3950" w:hanging="420"/>
      </w:pPr>
    </w:lvl>
    <w:lvl w:ilvl="5" w:tentative="0">
      <w:start w:val="1"/>
      <w:numFmt w:val="lowerRoman"/>
      <w:lvlText w:val="%6."/>
      <w:lvlJc w:val="right"/>
      <w:pPr>
        <w:ind w:left="4370" w:hanging="420"/>
      </w:pPr>
    </w:lvl>
    <w:lvl w:ilvl="6" w:tentative="0">
      <w:start w:val="1"/>
      <w:numFmt w:val="decimal"/>
      <w:lvlText w:val="%7."/>
      <w:lvlJc w:val="left"/>
      <w:pPr>
        <w:ind w:left="4790" w:hanging="420"/>
      </w:pPr>
    </w:lvl>
    <w:lvl w:ilvl="7" w:tentative="0">
      <w:start w:val="1"/>
      <w:numFmt w:val="lowerLetter"/>
      <w:lvlText w:val="%8)"/>
      <w:lvlJc w:val="left"/>
      <w:pPr>
        <w:ind w:left="5210" w:hanging="420"/>
      </w:pPr>
    </w:lvl>
    <w:lvl w:ilvl="8" w:tentative="0">
      <w:start w:val="1"/>
      <w:numFmt w:val="lowerRoman"/>
      <w:lvlText w:val="%9."/>
      <w:lvlJc w:val="right"/>
      <w:pPr>
        <w:ind w:left="5630" w:hanging="420"/>
      </w:pPr>
    </w:lvl>
  </w:abstractNum>
  <w:abstractNum w:abstractNumId="4">
    <w:nsid w:val="0C1C34D2"/>
    <w:multiLevelType w:val="multilevel"/>
    <w:tmpl w:val="0C1C34D2"/>
    <w:lvl w:ilvl="0" w:tentative="0">
      <w:start w:val="1"/>
      <w:numFmt w:val="decimal"/>
      <w:lvlText w:val="（%1）"/>
      <w:lvlJc w:val="left"/>
      <w:pPr>
        <w:tabs>
          <w:tab w:val="left" w:pos="1560"/>
        </w:tabs>
        <w:ind w:left="1560" w:hanging="1080"/>
      </w:pPr>
      <w:rPr>
        <w:rFonts w:hint="eastAsia"/>
      </w:rPr>
    </w:lvl>
    <w:lvl w:ilvl="1" w:tentative="0">
      <w:start w:val="1"/>
      <w:numFmt w:val="decimal"/>
      <w:lvlText w:val="（%2）"/>
      <w:lvlJc w:val="left"/>
      <w:pPr>
        <w:tabs>
          <w:tab w:val="left" w:pos="1620"/>
        </w:tabs>
        <w:ind w:left="1620" w:hanging="7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5">
    <w:nsid w:val="0E3E05E7"/>
    <w:multiLevelType w:val="multilevel"/>
    <w:tmpl w:val="0E3E05E7"/>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
    <w:nsid w:val="12DA2BAA"/>
    <w:multiLevelType w:val="singleLevel"/>
    <w:tmpl w:val="12DA2BAA"/>
    <w:lvl w:ilvl="0" w:tentative="0">
      <w:start w:val="1"/>
      <w:numFmt w:val="decimalEnclosedCircleChinese"/>
      <w:suff w:val="space"/>
      <w:lvlText w:val="%1"/>
      <w:lvlJc w:val="left"/>
      <w:rPr>
        <w:rFonts w:hint="eastAsia"/>
      </w:rPr>
    </w:lvl>
  </w:abstractNum>
  <w:abstractNum w:abstractNumId="7">
    <w:nsid w:val="173B6110"/>
    <w:multiLevelType w:val="multilevel"/>
    <w:tmpl w:val="173B6110"/>
    <w:lvl w:ilvl="0" w:tentative="0">
      <w:start w:val="1"/>
      <w:numFmt w:val="decimalEnclosedCircle"/>
      <w:lvlText w:val="%1"/>
      <w:lvlJc w:val="left"/>
      <w:pPr>
        <w:ind w:left="1200" w:hanging="360"/>
      </w:pPr>
      <w:rPr>
        <w:rFonts w:hint="default" w:cs="仿宋"/>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8">
    <w:nsid w:val="253A68C1"/>
    <w:multiLevelType w:val="multilevel"/>
    <w:tmpl w:val="253A68C1"/>
    <w:lvl w:ilvl="0" w:tentative="0">
      <w:start w:val="1"/>
      <w:numFmt w:val="decimal"/>
      <w:lvlText w:val="（%1）"/>
      <w:lvlJc w:val="left"/>
      <w:pPr>
        <w:tabs>
          <w:tab w:val="left" w:pos="1440"/>
        </w:tabs>
        <w:ind w:left="1440" w:hanging="96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
    <w:nsid w:val="25D80AF4"/>
    <w:multiLevelType w:val="multilevel"/>
    <w:tmpl w:val="25D80AF4"/>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
    <w:nsid w:val="266F2840"/>
    <w:multiLevelType w:val="multilevel"/>
    <w:tmpl w:val="266F2840"/>
    <w:lvl w:ilvl="0" w:tentative="0">
      <w:start w:val="1"/>
      <w:numFmt w:val="decimal"/>
      <w:lvlText w:val="（%1）"/>
      <w:lvlJc w:val="left"/>
      <w:pPr>
        <w:tabs>
          <w:tab w:val="left" w:pos="1080"/>
        </w:tabs>
        <w:ind w:left="1080" w:hanging="60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1">
    <w:nsid w:val="283C4915"/>
    <w:multiLevelType w:val="singleLevel"/>
    <w:tmpl w:val="283C4915"/>
    <w:lvl w:ilvl="0" w:tentative="0">
      <w:start w:val="1"/>
      <w:numFmt w:val="decimal"/>
      <w:suff w:val="space"/>
      <w:lvlText w:val="（%1）"/>
      <w:lvlJc w:val="left"/>
    </w:lvl>
  </w:abstractNum>
  <w:abstractNum w:abstractNumId="12">
    <w:nsid w:val="297241D1"/>
    <w:multiLevelType w:val="multilevel"/>
    <w:tmpl w:val="297241D1"/>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rPr>
        <w:b w:val="0"/>
        <w:sz w:val="24"/>
        <w:szCs w:val="24"/>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3">
    <w:nsid w:val="2BEA5CDA"/>
    <w:multiLevelType w:val="multilevel"/>
    <w:tmpl w:val="2BEA5CDA"/>
    <w:lvl w:ilvl="0" w:tentative="0">
      <w:start w:val="1"/>
      <w:numFmt w:val="decimalEnclosedCircle"/>
      <w:lvlText w:val="%1"/>
      <w:lvlJc w:val="left"/>
      <w:pPr>
        <w:ind w:left="960" w:hanging="360"/>
      </w:pPr>
      <w:rPr>
        <w:rFonts w:hint="default" w:cs="仿宋"/>
      </w:rPr>
    </w:lvl>
    <w:lvl w:ilvl="1" w:tentative="0">
      <w:start w:val="1"/>
      <w:numFmt w:val="lowerLetter"/>
      <w:lvlText w:val="%2)"/>
      <w:lvlJc w:val="left"/>
      <w:pPr>
        <w:ind w:left="1440" w:hanging="420"/>
      </w:pPr>
    </w:lvl>
    <w:lvl w:ilvl="2" w:tentative="0">
      <w:start w:val="1"/>
      <w:numFmt w:val="lowerRoman"/>
      <w:lvlText w:val="%3."/>
      <w:lvlJc w:val="right"/>
      <w:pPr>
        <w:ind w:left="1860" w:hanging="420"/>
      </w:pPr>
    </w:lvl>
    <w:lvl w:ilvl="3" w:tentative="0">
      <w:start w:val="1"/>
      <w:numFmt w:val="decimal"/>
      <w:lvlText w:val="%4."/>
      <w:lvlJc w:val="left"/>
      <w:pPr>
        <w:ind w:left="2280" w:hanging="420"/>
      </w:pPr>
    </w:lvl>
    <w:lvl w:ilvl="4" w:tentative="0">
      <w:start w:val="1"/>
      <w:numFmt w:val="lowerLetter"/>
      <w:lvlText w:val="%5)"/>
      <w:lvlJc w:val="left"/>
      <w:pPr>
        <w:ind w:left="2700" w:hanging="420"/>
      </w:pPr>
    </w:lvl>
    <w:lvl w:ilvl="5" w:tentative="0">
      <w:start w:val="1"/>
      <w:numFmt w:val="lowerRoman"/>
      <w:lvlText w:val="%6."/>
      <w:lvlJc w:val="right"/>
      <w:pPr>
        <w:ind w:left="3120" w:hanging="420"/>
      </w:pPr>
    </w:lvl>
    <w:lvl w:ilvl="6" w:tentative="0">
      <w:start w:val="1"/>
      <w:numFmt w:val="decimal"/>
      <w:lvlText w:val="%7."/>
      <w:lvlJc w:val="left"/>
      <w:pPr>
        <w:ind w:left="3540" w:hanging="420"/>
      </w:pPr>
    </w:lvl>
    <w:lvl w:ilvl="7" w:tentative="0">
      <w:start w:val="1"/>
      <w:numFmt w:val="lowerLetter"/>
      <w:lvlText w:val="%8)"/>
      <w:lvlJc w:val="left"/>
      <w:pPr>
        <w:ind w:left="3960" w:hanging="420"/>
      </w:pPr>
    </w:lvl>
    <w:lvl w:ilvl="8" w:tentative="0">
      <w:start w:val="1"/>
      <w:numFmt w:val="lowerRoman"/>
      <w:lvlText w:val="%9."/>
      <w:lvlJc w:val="right"/>
      <w:pPr>
        <w:ind w:left="4380" w:hanging="420"/>
      </w:pPr>
    </w:lvl>
  </w:abstractNum>
  <w:abstractNum w:abstractNumId="14">
    <w:nsid w:val="2DC80B06"/>
    <w:multiLevelType w:val="multilevel"/>
    <w:tmpl w:val="2DC80B06"/>
    <w:lvl w:ilvl="0" w:tentative="0">
      <w:start w:val="1"/>
      <w:numFmt w:val="decimal"/>
      <w:lvlText w:val="（%1）"/>
      <w:lvlJc w:val="left"/>
      <w:pPr>
        <w:ind w:left="2270" w:hanging="420"/>
      </w:pPr>
      <w:rPr>
        <w:rFonts w:hint="eastAsia"/>
      </w:rPr>
    </w:lvl>
    <w:lvl w:ilvl="1" w:tentative="0">
      <w:start w:val="1"/>
      <w:numFmt w:val="lowerLetter"/>
      <w:lvlText w:val="%2)"/>
      <w:lvlJc w:val="left"/>
      <w:pPr>
        <w:ind w:left="2690" w:hanging="420"/>
      </w:pPr>
    </w:lvl>
    <w:lvl w:ilvl="2" w:tentative="0">
      <w:start w:val="1"/>
      <w:numFmt w:val="lowerRoman"/>
      <w:lvlText w:val="%3."/>
      <w:lvlJc w:val="right"/>
      <w:pPr>
        <w:ind w:left="3110" w:hanging="420"/>
      </w:pPr>
    </w:lvl>
    <w:lvl w:ilvl="3" w:tentative="0">
      <w:start w:val="1"/>
      <w:numFmt w:val="decimal"/>
      <w:lvlText w:val="%4."/>
      <w:lvlJc w:val="left"/>
      <w:pPr>
        <w:ind w:left="3530" w:hanging="420"/>
      </w:pPr>
    </w:lvl>
    <w:lvl w:ilvl="4" w:tentative="0">
      <w:start w:val="1"/>
      <w:numFmt w:val="lowerLetter"/>
      <w:lvlText w:val="%5)"/>
      <w:lvlJc w:val="left"/>
      <w:pPr>
        <w:ind w:left="3950" w:hanging="420"/>
      </w:pPr>
    </w:lvl>
    <w:lvl w:ilvl="5" w:tentative="0">
      <w:start w:val="1"/>
      <w:numFmt w:val="lowerRoman"/>
      <w:lvlText w:val="%6."/>
      <w:lvlJc w:val="right"/>
      <w:pPr>
        <w:ind w:left="4370" w:hanging="420"/>
      </w:pPr>
    </w:lvl>
    <w:lvl w:ilvl="6" w:tentative="0">
      <w:start w:val="1"/>
      <w:numFmt w:val="decimal"/>
      <w:lvlText w:val="%7."/>
      <w:lvlJc w:val="left"/>
      <w:pPr>
        <w:ind w:left="4790" w:hanging="420"/>
      </w:pPr>
    </w:lvl>
    <w:lvl w:ilvl="7" w:tentative="0">
      <w:start w:val="1"/>
      <w:numFmt w:val="lowerLetter"/>
      <w:lvlText w:val="%8)"/>
      <w:lvlJc w:val="left"/>
      <w:pPr>
        <w:ind w:left="5210" w:hanging="420"/>
      </w:pPr>
    </w:lvl>
    <w:lvl w:ilvl="8" w:tentative="0">
      <w:start w:val="1"/>
      <w:numFmt w:val="lowerRoman"/>
      <w:lvlText w:val="%9."/>
      <w:lvlJc w:val="right"/>
      <w:pPr>
        <w:ind w:left="5630" w:hanging="420"/>
      </w:pPr>
    </w:lvl>
  </w:abstractNum>
  <w:abstractNum w:abstractNumId="15">
    <w:nsid w:val="36B74DA9"/>
    <w:multiLevelType w:val="multilevel"/>
    <w:tmpl w:val="36B74DA9"/>
    <w:lvl w:ilvl="0" w:tentative="0">
      <w:start w:val="1"/>
      <w:numFmt w:val="decimal"/>
      <w:lvlText w:val="（%1）"/>
      <w:lvlJc w:val="left"/>
      <w:pPr>
        <w:tabs>
          <w:tab w:val="left" w:pos="1080"/>
        </w:tabs>
        <w:ind w:left="1080" w:hanging="60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6">
    <w:nsid w:val="36BA4641"/>
    <w:multiLevelType w:val="multilevel"/>
    <w:tmpl w:val="36BA4641"/>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7">
    <w:nsid w:val="3B2E0A0E"/>
    <w:multiLevelType w:val="multilevel"/>
    <w:tmpl w:val="3B2E0A0E"/>
    <w:lvl w:ilvl="0" w:tentative="0">
      <w:start w:val="1"/>
      <w:numFmt w:val="decimal"/>
      <w:lvlText w:val="（%1）"/>
      <w:lvlJc w:val="left"/>
      <w:pPr>
        <w:tabs>
          <w:tab w:val="left" w:pos="1080"/>
        </w:tabs>
        <w:ind w:left="1080" w:hanging="600"/>
      </w:pPr>
      <w:rPr>
        <w:rFonts w:hint="eastAsia"/>
      </w:rPr>
    </w:lvl>
    <w:lvl w:ilvl="1" w:tentative="0">
      <w:start w:val="1"/>
      <w:numFmt w:val="decimal"/>
      <w:lvlText w:val="（%2）"/>
      <w:lvlJc w:val="left"/>
      <w:pPr>
        <w:tabs>
          <w:tab w:val="left" w:pos="1620"/>
        </w:tabs>
        <w:ind w:left="1620" w:hanging="720"/>
      </w:pPr>
      <w:rPr>
        <w:rFonts w:ascii="宋体"/>
        <w:color w:val="auto"/>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8">
    <w:nsid w:val="4056568E"/>
    <w:multiLevelType w:val="multilevel"/>
    <w:tmpl w:val="4056568E"/>
    <w:lvl w:ilvl="0" w:tentative="0">
      <w:start w:val="1"/>
      <w:numFmt w:val="decimal"/>
      <w:lvlText w:val="（%1）"/>
      <w:lvlJc w:val="left"/>
      <w:pPr>
        <w:ind w:left="2270" w:hanging="420"/>
      </w:pPr>
      <w:rPr>
        <w:rFonts w:hint="eastAsia"/>
      </w:rPr>
    </w:lvl>
    <w:lvl w:ilvl="1" w:tentative="0">
      <w:start w:val="1"/>
      <w:numFmt w:val="lowerLetter"/>
      <w:lvlText w:val="%2)"/>
      <w:lvlJc w:val="left"/>
      <w:pPr>
        <w:ind w:left="2690" w:hanging="420"/>
      </w:pPr>
    </w:lvl>
    <w:lvl w:ilvl="2" w:tentative="0">
      <w:start w:val="1"/>
      <w:numFmt w:val="lowerRoman"/>
      <w:lvlText w:val="%3."/>
      <w:lvlJc w:val="right"/>
      <w:pPr>
        <w:ind w:left="3110" w:hanging="420"/>
      </w:pPr>
    </w:lvl>
    <w:lvl w:ilvl="3" w:tentative="0">
      <w:start w:val="1"/>
      <w:numFmt w:val="decimal"/>
      <w:lvlText w:val="%4."/>
      <w:lvlJc w:val="left"/>
      <w:pPr>
        <w:ind w:left="3530" w:hanging="420"/>
      </w:pPr>
    </w:lvl>
    <w:lvl w:ilvl="4" w:tentative="0">
      <w:start w:val="1"/>
      <w:numFmt w:val="lowerLetter"/>
      <w:lvlText w:val="%5)"/>
      <w:lvlJc w:val="left"/>
      <w:pPr>
        <w:ind w:left="3950" w:hanging="420"/>
      </w:pPr>
    </w:lvl>
    <w:lvl w:ilvl="5" w:tentative="0">
      <w:start w:val="1"/>
      <w:numFmt w:val="lowerRoman"/>
      <w:lvlText w:val="%6."/>
      <w:lvlJc w:val="right"/>
      <w:pPr>
        <w:ind w:left="4370" w:hanging="420"/>
      </w:pPr>
    </w:lvl>
    <w:lvl w:ilvl="6" w:tentative="0">
      <w:start w:val="1"/>
      <w:numFmt w:val="decimal"/>
      <w:lvlText w:val="%7."/>
      <w:lvlJc w:val="left"/>
      <w:pPr>
        <w:ind w:left="4790" w:hanging="420"/>
      </w:pPr>
    </w:lvl>
    <w:lvl w:ilvl="7" w:tentative="0">
      <w:start w:val="1"/>
      <w:numFmt w:val="lowerLetter"/>
      <w:lvlText w:val="%8)"/>
      <w:lvlJc w:val="left"/>
      <w:pPr>
        <w:ind w:left="5210" w:hanging="420"/>
      </w:pPr>
    </w:lvl>
    <w:lvl w:ilvl="8" w:tentative="0">
      <w:start w:val="1"/>
      <w:numFmt w:val="lowerRoman"/>
      <w:lvlText w:val="%9."/>
      <w:lvlJc w:val="right"/>
      <w:pPr>
        <w:ind w:left="5630" w:hanging="420"/>
      </w:pPr>
    </w:lvl>
  </w:abstractNum>
  <w:abstractNum w:abstractNumId="19">
    <w:nsid w:val="44F9FF33"/>
    <w:multiLevelType w:val="singleLevel"/>
    <w:tmpl w:val="44F9FF33"/>
    <w:lvl w:ilvl="0" w:tentative="0">
      <w:start w:val="1"/>
      <w:numFmt w:val="decimalEnclosedCircleChinese"/>
      <w:suff w:val="nothing"/>
      <w:lvlText w:val="%1　"/>
      <w:lvlJc w:val="left"/>
      <w:pPr>
        <w:ind w:left="0" w:firstLine="400"/>
      </w:pPr>
      <w:rPr>
        <w:rFonts w:hint="eastAsia"/>
      </w:rPr>
    </w:lvl>
  </w:abstractNum>
  <w:abstractNum w:abstractNumId="20">
    <w:nsid w:val="46D47E00"/>
    <w:multiLevelType w:val="multilevel"/>
    <w:tmpl w:val="46D47E00"/>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1">
    <w:nsid w:val="53E842B6"/>
    <w:multiLevelType w:val="multilevel"/>
    <w:tmpl w:val="53E842B6"/>
    <w:lvl w:ilvl="0" w:tentative="0">
      <w:start w:val="1"/>
      <w:numFmt w:val="decimalEnclosedCircle"/>
      <w:lvlText w:val="%1"/>
      <w:lvlJc w:val="left"/>
      <w:pPr>
        <w:ind w:left="1200" w:hanging="360"/>
      </w:pPr>
      <w:rPr>
        <w:rFonts w:hint="default" w:cs="仿宋"/>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22">
    <w:nsid w:val="57D559DE"/>
    <w:multiLevelType w:val="multilevel"/>
    <w:tmpl w:val="57D559DE"/>
    <w:lvl w:ilvl="0" w:tentative="0">
      <w:start w:val="1"/>
      <w:numFmt w:val="decimal"/>
      <w:lvlText w:val="（%1）"/>
      <w:lvlJc w:val="left"/>
      <w:pPr>
        <w:tabs>
          <w:tab w:val="left" w:pos="1080"/>
        </w:tabs>
        <w:ind w:left="1080" w:hanging="60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3">
    <w:nsid w:val="5A360EEB"/>
    <w:multiLevelType w:val="multilevel"/>
    <w:tmpl w:val="5A360EEB"/>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rPr>
        <w:b w:val="0"/>
        <w:sz w:val="24"/>
        <w:szCs w:val="24"/>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4">
    <w:nsid w:val="5B691D0A"/>
    <w:multiLevelType w:val="multilevel"/>
    <w:tmpl w:val="5B691D0A"/>
    <w:lvl w:ilvl="0" w:tentative="0">
      <w:start w:val="1"/>
      <w:numFmt w:val="decimal"/>
      <w:lvlText w:val="（%1）"/>
      <w:lvlJc w:val="left"/>
      <w:pPr>
        <w:tabs>
          <w:tab w:val="left" w:pos="1560"/>
        </w:tabs>
        <w:ind w:left="1560" w:hanging="1080"/>
      </w:pPr>
      <w:rPr>
        <w:rFonts w:hint="eastAsia"/>
      </w:rPr>
    </w:lvl>
    <w:lvl w:ilvl="1" w:tentative="0">
      <w:start w:val="4"/>
      <w:numFmt w:val="decimal"/>
      <w:lvlText w:val="(%2)"/>
      <w:lvlJc w:val="left"/>
      <w:pPr>
        <w:tabs>
          <w:tab w:val="left" w:pos="1410"/>
        </w:tabs>
        <w:ind w:left="1410" w:hanging="51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5">
    <w:nsid w:val="5EEA705D"/>
    <w:multiLevelType w:val="multilevel"/>
    <w:tmpl w:val="5EEA705D"/>
    <w:lvl w:ilvl="0" w:tentative="0">
      <w:start w:val="1"/>
      <w:numFmt w:val="decimal"/>
      <w:lvlText w:val="（%1）"/>
      <w:lvlJc w:val="left"/>
      <w:pPr>
        <w:tabs>
          <w:tab w:val="left" w:pos="1080"/>
        </w:tabs>
        <w:ind w:left="1080" w:hanging="60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6">
    <w:nsid w:val="62256771"/>
    <w:multiLevelType w:val="multilevel"/>
    <w:tmpl w:val="62256771"/>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7">
    <w:nsid w:val="64624B5C"/>
    <w:multiLevelType w:val="multilevel"/>
    <w:tmpl w:val="64624B5C"/>
    <w:lvl w:ilvl="0" w:tentative="0">
      <w:start w:val="1"/>
      <w:numFmt w:val="decimal"/>
      <w:lvlText w:val="（%1）"/>
      <w:lvlJc w:val="left"/>
      <w:pPr>
        <w:ind w:left="2270" w:hanging="420"/>
      </w:pPr>
      <w:rPr>
        <w:rFonts w:hint="eastAsia"/>
      </w:rPr>
    </w:lvl>
    <w:lvl w:ilvl="1" w:tentative="0">
      <w:start w:val="1"/>
      <w:numFmt w:val="lowerLetter"/>
      <w:lvlText w:val="%2)"/>
      <w:lvlJc w:val="left"/>
      <w:pPr>
        <w:ind w:left="2690" w:hanging="420"/>
      </w:pPr>
    </w:lvl>
    <w:lvl w:ilvl="2" w:tentative="0">
      <w:start w:val="1"/>
      <w:numFmt w:val="lowerRoman"/>
      <w:lvlText w:val="%3."/>
      <w:lvlJc w:val="right"/>
      <w:pPr>
        <w:ind w:left="3110" w:hanging="420"/>
      </w:pPr>
    </w:lvl>
    <w:lvl w:ilvl="3" w:tentative="0">
      <w:start w:val="1"/>
      <w:numFmt w:val="decimal"/>
      <w:lvlText w:val="%4."/>
      <w:lvlJc w:val="left"/>
      <w:pPr>
        <w:ind w:left="3530" w:hanging="420"/>
      </w:pPr>
    </w:lvl>
    <w:lvl w:ilvl="4" w:tentative="0">
      <w:start w:val="1"/>
      <w:numFmt w:val="lowerLetter"/>
      <w:lvlText w:val="%5)"/>
      <w:lvlJc w:val="left"/>
      <w:pPr>
        <w:ind w:left="3950" w:hanging="420"/>
      </w:pPr>
    </w:lvl>
    <w:lvl w:ilvl="5" w:tentative="0">
      <w:start w:val="1"/>
      <w:numFmt w:val="lowerRoman"/>
      <w:lvlText w:val="%6."/>
      <w:lvlJc w:val="right"/>
      <w:pPr>
        <w:ind w:left="4370" w:hanging="420"/>
      </w:pPr>
    </w:lvl>
    <w:lvl w:ilvl="6" w:tentative="0">
      <w:start w:val="1"/>
      <w:numFmt w:val="decimal"/>
      <w:lvlText w:val="%7."/>
      <w:lvlJc w:val="left"/>
      <w:pPr>
        <w:ind w:left="4790" w:hanging="420"/>
      </w:pPr>
    </w:lvl>
    <w:lvl w:ilvl="7" w:tentative="0">
      <w:start w:val="1"/>
      <w:numFmt w:val="lowerLetter"/>
      <w:lvlText w:val="%8)"/>
      <w:lvlJc w:val="left"/>
      <w:pPr>
        <w:ind w:left="5210" w:hanging="420"/>
      </w:pPr>
    </w:lvl>
    <w:lvl w:ilvl="8" w:tentative="0">
      <w:start w:val="1"/>
      <w:numFmt w:val="lowerRoman"/>
      <w:lvlText w:val="%9."/>
      <w:lvlJc w:val="right"/>
      <w:pPr>
        <w:ind w:left="5630" w:hanging="420"/>
      </w:pPr>
    </w:lvl>
  </w:abstractNum>
  <w:abstractNum w:abstractNumId="28">
    <w:nsid w:val="648E6940"/>
    <w:multiLevelType w:val="multilevel"/>
    <w:tmpl w:val="648E6940"/>
    <w:lvl w:ilvl="0" w:tentative="0">
      <w:start w:val="1"/>
      <w:numFmt w:val="decimal"/>
      <w:lvlText w:val="（%1）"/>
      <w:lvlJc w:val="left"/>
      <w:pPr>
        <w:tabs>
          <w:tab w:val="left" w:pos="2609"/>
        </w:tabs>
        <w:ind w:left="2609" w:hanging="7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9">
    <w:nsid w:val="648E6961"/>
    <w:multiLevelType w:val="multilevel"/>
    <w:tmpl w:val="648E6961"/>
    <w:lvl w:ilvl="0" w:tentative="0">
      <w:start w:val="1"/>
      <w:numFmt w:val="decimal"/>
      <w:lvlText w:val="%1．"/>
      <w:lvlJc w:val="left"/>
      <w:pPr>
        <w:tabs>
          <w:tab w:val="left" w:pos="840"/>
        </w:tabs>
        <w:ind w:left="840" w:hanging="360"/>
      </w:pPr>
    </w:lvl>
    <w:lvl w:ilvl="1" w:tentative="0">
      <w:start w:val="1"/>
      <w:numFmt w:val="lowerLetter"/>
      <w:lvlText w:val="%2)"/>
      <w:lvlJc w:val="left"/>
      <w:pPr>
        <w:tabs>
          <w:tab w:val="left" w:pos="1320"/>
        </w:tabs>
        <w:ind w:left="132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0">
    <w:nsid w:val="64DF7DF1"/>
    <w:multiLevelType w:val="multilevel"/>
    <w:tmpl w:val="64DF7DF1"/>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rPr>
        <w:b w:val="0"/>
        <w:sz w:val="24"/>
        <w:szCs w:val="24"/>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1">
    <w:nsid w:val="6A8425B5"/>
    <w:multiLevelType w:val="multilevel"/>
    <w:tmpl w:val="6A8425B5"/>
    <w:lvl w:ilvl="0" w:tentative="0">
      <w:start w:val="1"/>
      <w:numFmt w:val="decimal"/>
      <w:lvlText w:val="7.3.%1"/>
      <w:lvlJc w:val="left"/>
      <w:pPr>
        <w:ind w:left="2340" w:hanging="420"/>
      </w:pPr>
      <w:rPr>
        <w:rFonts w:hint="eastAsia"/>
      </w:rPr>
    </w:lvl>
    <w:lvl w:ilvl="1" w:tentative="0">
      <w:start w:val="1"/>
      <w:numFmt w:val="lowerLetter"/>
      <w:lvlText w:val="%2)"/>
      <w:lvlJc w:val="left"/>
      <w:pPr>
        <w:ind w:left="2760" w:hanging="420"/>
      </w:pPr>
    </w:lvl>
    <w:lvl w:ilvl="2" w:tentative="0">
      <w:start w:val="1"/>
      <w:numFmt w:val="lowerRoman"/>
      <w:lvlText w:val="%3."/>
      <w:lvlJc w:val="right"/>
      <w:pPr>
        <w:ind w:left="3180" w:hanging="420"/>
      </w:pPr>
    </w:lvl>
    <w:lvl w:ilvl="3" w:tentative="0">
      <w:start w:val="1"/>
      <w:numFmt w:val="decimal"/>
      <w:lvlText w:val="%4."/>
      <w:lvlJc w:val="left"/>
      <w:pPr>
        <w:ind w:left="3600" w:hanging="420"/>
      </w:pPr>
    </w:lvl>
    <w:lvl w:ilvl="4" w:tentative="0">
      <w:start w:val="1"/>
      <w:numFmt w:val="lowerLetter"/>
      <w:lvlText w:val="%5)"/>
      <w:lvlJc w:val="left"/>
      <w:pPr>
        <w:ind w:left="4020" w:hanging="420"/>
      </w:pPr>
    </w:lvl>
    <w:lvl w:ilvl="5" w:tentative="0">
      <w:start w:val="1"/>
      <w:numFmt w:val="lowerRoman"/>
      <w:lvlText w:val="%6."/>
      <w:lvlJc w:val="right"/>
      <w:pPr>
        <w:ind w:left="4440" w:hanging="420"/>
      </w:pPr>
    </w:lvl>
    <w:lvl w:ilvl="6" w:tentative="0">
      <w:start w:val="1"/>
      <w:numFmt w:val="decimal"/>
      <w:lvlText w:val="%7."/>
      <w:lvlJc w:val="left"/>
      <w:pPr>
        <w:ind w:left="4860" w:hanging="420"/>
      </w:pPr>
    </w:lvl>
    <w:lvl w:ilvl="7" w:tentative="0">
      <w:start w:val="1"/>
      <w:numFmt w:val="lowerLetter"/>
      <w:lvlText w:val="%8)"/>
      <w:lvlJc w:val="left"/>
      <w:pPr>
        <w:ind w:left="5280" w:hanging="420"/>
      </w:pPr>
    </w:lvl>
    <w:lvl w:ilvl="8" w:tentative="0">
      <w:start w:val="1"/>
      <w:numFmt w:val="lowerRoman"/>
      <w:lvlText w:val="%9."/>
      <w:lvlJc w:val="right"/>
      <w:pPr>
        <w:ind w:left="5700" w:hanging="420"/>
      </w:pPr>
    </w:lvl>
  </w:abstractNum>
  <w:abstractNum w:abstractNumId="32">
    <w:nsid w:val="6C1074F8"/>
    <w:multiLevelType w:val="multilevel"/>
    <w:tmpl w:val="6C1074F8"/>
    <w:lvl w:ilvl="0" w:tentative="0">
      <w:start w:val="1"/>
      <w:numFmt w:val="decimal"/>
      <w:lvlText w:val="（%1）"/>
      <w:lvlJc w:val="left"/>
      <w:pPr>
        <w:tabs>
          <w:tab w:val="left" w:pos="1110"/>
        </w:tabs>
        <w:ind w:left="1110" w:hanging="510"/>
      </w:pPr>
      <w:rPr>
        <w:rFonts w:hint="eastAsia"/>
        <w:color w:val="auto"/>
      </w:rPr>
    </w:lvl>
    <w:lvl w:ilvl="1" w:tentative="0">
      <w:start w:val="1"/>
      <w:numFmt w:val="decimal"/>
      <w:lvlText w:val="(%2)"/>
      <w:lvlJc w:val="left"/>
      <w:pPr>
        <w:tabs>
          <w:tab w:val="left" w:pos="1410"/>
        </w:tabs>
        <w:ind w:left="1410" w:hanging="390"/>
      </w:pPr>
    </w:lvl>
    <w:lvl w:ilvl="2" w:tentative="0">
      <w:start w:val="1"/>
      <w:numFmt w:val="decimal"/>
      <w:lvlText w:val="%3."/>
      <w:lvlJc w:val="left"/>
      <w:pPr>
        <w:tabs>
          <w:tab w:val="left" w:pos="2280"/>
        </w:tabs>
        <w:ind w:left="2280" w:hanging="360"/>
      </w:pPr>
    </w:lvl>
    <w:lvl w:ilvl="3" w:tentative="0">
      <w:start w:val="1"/>
      <w:numFmt w:val="decimal"/>
      <w:lvlText w:val="%4."/>
      <w:lvlJc w:val="left"/>
      <w:pPr>
        <w:tabs>
          <w:tab w:val="left" w:pos="3000"/>
        </w:tabs>
        <w:ind w:left="3000" w:hanging="360"/>
      </w:pPr>
    </w:lvl>
    <w:lvl w:ilvl="4" w:tentative="0">
      <w:start w:val="1"/>
      <w:numFmt w:val="decimal"/>
      <w:lvlText w:val="%5."/>
      <w:lvlJc w:val="left"/>
      <w:pPr>
        <w:tabs>
          <w:tab w:val="left" w:pos="3720"/>
        </w:tabs>
        <w:ind w:left="3720" w:hanging="360"/>
      </w:pPr>
    </w:lvl>
    <w:lvl w:ilvl="5" w:tentative="0">
      <w:start w:val="1"/>
      <w:numFmt w:val="decimal"/>
      <w:lvlText w:val="%6."/>
      <w:lvlJc w:val="left"/>
      <w:pPr>
        <w:tabs>
          <w:tab w:val="left" w:pos="4440"/>
        </w:tabs>
        <w:ind w:left="4440" w:hanging="360"/>
      </w:pPr>
    </w:lvl>
    <w:lvl w:ilvl="6" w:tentative="0">
      <w:start w:val="1"/>
      <w:numFmt w:val="decimal"/>
      <w:lvlText w:val="%7."/>
      <w:lvlJc w:val="left"/>
      <w:pPr>
        <w:tabs>
          <w:tab w:val="left" w:pos="5160"/>
        </w:tabs>
        <w:ind w:left="5160" w:hanging="360"/>
      </w:pPr>
    </w:lvl>
    <w:lvl w:ilvl="7" w:tentative="0">
      <w:start w:val="1"/>
      <w:numFmt w:val="decimal"/>
      <w:lvlText w:val="%8."/>
      <w:lvlJc w:val="left"/>
      <w:pPr>
        <w:tabs>
          <w:tab w:val="left" w:pos="5880"/>
        </w:tabs>
        <w:ind w:left="5880" w:hanging="360"/>
      </w:pPr>
    </w:lvl>
    <w:lvl w:ilvl="8" w:tentative="0">
      <w:start w:val="1"/>
      <w:numFmt w:val="decimal"/>
      <w:lvlText w:val="%9."/>
      <w:lvlJc w:val="left"/>
      <w:pPr>
        <w:tabs>
          <w:tab w:val="left" w:pos="6600"/>
        </w:tabs>
        <w:ind w:left="6600" w:hanging="360"/>
      </w:pPr>
    </w:lvl>
  </w:abstractNum>
  <w:abstractNum w:abstractNumId="33">
    <w:nsid w:val="6C4A1042"/>
    <w:multiLevelType w:val="multilevel"/>
    <w:tmpl w:val="6C4A1042"/>
    <w:lvl w:ilvl="0" w:tentative="0">
      <w:start w:val="1"/>
      <w:numFmt w:val="decimal"/>
      <w:lvlText w:val="（%1）"/>
      <w:lvlJc w:val="left"/>
      <w:pPr>
        <w:ind w:left="2270" w:hanging="420"/>
      </w:pPr>
      <w:rPr>
        <w:rFonts w:hint="eastAsia"/>
      </w:rPr>
    </w:lvl>
    <w:lvl w:ilvl="1" w:tentative="0">
      <w:start w:val="1"/>
      <w:numFmt w:val="lowerLetter"/>
      <w:lvlText w:val="%2)"/>
      <w:lvlJc w:val="left"/>
      <w:pPr>
        <w:ind w:left="2690" w:hanging="420"/>
      </w:pPr>
    </w:lvl>
    <w:lvl w:ilvl="2" w:tentative="0">
      <w:start w:val="1"/>
      <w:numFmt w:val="lowerRoman"/>
      <w:lvlText w:val="%3."/>
      <w:lvlJc w:val="right"/>
      <w:pPr>
        <w:ind w:left="3110" w:hanging="420"/>
      </w:pPr>
    </w:lvl>
    <w:lvl w:ilvl="3" w:tentative="0">
      <w:start w:val="1"/>
      <w:numFmt w:val="decimal"/>
      <w:lvlText w:val="%4."/>
      <w:lvlJc w:val="left"/>
      <w:pPr>
        <w:ind w:left="3530" w:hanging="420"/>
      </w:pPr>
    </w:lvl>
    <w:lvl w:ilvl="4" w:tentative="0">
      <w:start w:val="1"/>
      <w:numFmt w:val="lowerLetter"/>
      <w:lvlText w:val="%5)"/>
      <w:lvlJc w:val="left"/>
      <w:pPr>
        <w:ind w:left="3950" w:hanging="420"/>
      </w:pPr>
    </w:lvl>
    <w:lvl w:ilvl="5" w:tentative="0">
      <w:start w:val="1"/>
      <w:numFmt w:val="lowerRoman"/>
      <w:lvlText w:val="%6."/>
      <w:lvlJc w:val="right"/>
      <w:pPr>
        <w:ind w:left="4370" w:hanging="420"/>
      </w:pPr>
    </w:lvl>
    <w:lvl w:ilvl="6" w:tentative="0">
      <w:start w:val="1"/>
      <w:numFmt w:val="decimal"/>
      <w:lvlText w:val="%7."/>
      <w:lvlJc w:val="left"/>
      <w:pPr>
        <w:ind w:left="4790" w:hanging="420"/>
      </w:pPr>
    </w:lvl>
    <w:lvl w:ilvl="7" w:tentative="0">
      <w:start w:val="1"/>
      <w:numFmt w:val="lowerLetter"/>
      <w:lvlText w:val="%8)"/>
      <w:lvlJc w:val="left"/>
      <w:pPr>
        <w:ind w:left="5210" w:hanging="420"/>
      </w:pPr>
    </w:lvl>
    <w:lvl w:ilvl="8" w:tentative="0">
      <w:start w:val="1"/>
      <w:numFmt w:val="lowerRoman"/>
      <w:lvlText w:val="%9."/>
      <w:lvlJc w:val="right"/>
      <w:pPr>
        <w:ind w:left="5630" w:hanging="420"/>
      </w:pPr>
    </w:lvl>
  </w:abstractNum>
  <w:abstractNum w:abstractNumId="34">
    <w:nsid w:val="73A55E2C"/>
    <w:multiLevelType w:val="multilevel"/>
    <w:tmpl w:val="73A55E2C"/>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rPr>
        <w:b w:val="0"/>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5">
    <w:nsid w:val="774C6470"/>
    <w:multiLevelType w:val="multilevel"/>
    <w:tmpl w:val="774C6470"/>
    <w:lvl w:ilvl="0" w:tentative="0">
      <w:start w:val="1"/>
      <w:numFmt w:val="decimal"/>
      <w:lvlText w:val="（%1）"/>
      <w:lvlJc w:val="left"/>
      <w:pPr>
        <w:tabs>
          <w:tab w:val="left" w:pos="1560"/>
        </w:tabs>
        <w:ind w:left="1560" w:hanging="108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6">
    <w:nsid w:val="7BE858F9"/>
    <w:multiLevelType w:val="multilevel"/>
    <w:tmpl w:val="7BE858F9"/>
    <w:lvl w:ilvl="0" w:tentative="0">
      <w:start w:val="1"/>
      <w:numFmt w:val="decimal"/>
      <w:lvlText w:val="（%1）"/>
      <w:lvlJc w:val="left"/>
      <w:pPr>
        <w:ind w:left="2340" w:hanging="720"/>
      </w:pPr>
      <w:rPr>
        <w:rFonts w:hint="default" w:cs="仿宋"/>
      </w:rPr>
    </w:lvl>
    <w:lvl w:ilvl="1" w:tentative="0">
      <w:start w:val="1"/>
      <w:numFmt w:val="lowerLetter"/>
      <w:lvlText w:val="%2)"/>
      <w:lvlJc w:val="left"/>
      <w:pPr>
        <w:ind w:left="2460" w:hanging="420"/>
      </w:pPr>
    </w:lvl>
    <w:lvl w:ilvl="2" w:tentative="0">
      <w:start w:val="1"/>
      <w:numFmt w:val="lowerRoman"/>
      <w:lvlText w:val="%3."/>
      <w:lvlJc w:val="right"/>
      <w:pPr>
        <w:ind w:left="2880" w:hanging="420"/>
      </w:pPr>
    </w:lvl>
    <w:lvl w:ilvl="3" w:tentative="0">
      <w:start w:val="1"/>
      <w:numFmt w:val="decimal"/>
      <w:lvlText w:val="%4."/>
      <w:lvlJc w:val="left"/>
      <w:pPr>
        <w:ind w:left="3300" w:hanging="420"/>
      </w:pPr>
    </w:lvl>
    <w:lvl w:ilvl="4" w:tentative="0">
      <w:start w:val="1"/>
      <w:numFmt w:val="lowerLetter"/>
      <w:lvlText w:val="%5)"/>
      <w:lvlJc w:val="left"/>
      <w:pPr>
        <w:ind w:left="3720" w:hanging="420"/>
      </w:pPr>
    </w:lvl>
    <w:lvl w:ilvl="5" w:tentative="0">
      <w:start w:val="1"/>
      <w:numFmt w:val="lowerRoman"/>
      <w:lvlText w:val="%6."/>
      <w:lvlJc w:val="right"/>
      <w:pPr>
        <w:ind w:left="4140" w:hanging="420"/>
      </w:pPr>
    </w:lvl>
    <w:lvl w:ilvl="6" w:tentative="0">
      <w:start w:val="1"/>
      <w:numFmt w:val="decimal"/>
      <w:lvlText w:val="%7."/>
      <w:lvlJc w:val="left"/>
      <w:pPr>
        <w:ind w:left="4560" w:hanging="420"/>
      </w:pPr>
    </w:lvl>
    <w:lvl w:ilvl="7" w:tentative="0">
      <w:start w:val="1"/>
      <w:numFmt w:val="lowerLetter"/>
      <w:lvlText w:val="%8)"/>
      <w:lvlJc w:val="left"/>
      <w:pPr>
        <w:ind w:left="4980" w:hanging="420"/>
      </w:pPr>
    </w:lvl>
    <w:lvl w:ilvl="8" w:tentative="0">
      <w:start w:val="1"/>
      <w:numFmt w:val="lowerRoman"/>
      <w:lvlText w:val="%9."/>
      <w:lvlJc w:val="right"/>
      <w:pPr>
        <w:ind w:left="5400" w:hanging="420"/>
      </w:pPr>
    </w:lvl>
  </w:abstractNum>
  <w:abstractNum w:abstractNumId="37">
    <w:nsid w:val="7E43197E"/>
    <w:multiLevelType w:val="multilevel"/>
    <w:tmpl w:val="7E43197E"/>
    <w:lvl w:ilvl="0" w:tentative="0">
      <w:start w:val="1"/>
      <w:numFmt w:val="decimal"/>
      <w:lvlText w:val="（%1）"/>
      <w:lvlJc w:val="left"/>
      <w:pPr>
        <w:tabs>
          <w:tab w:val="left" w:pos="960"/>
        </w:tabs>
        <w:ind w:left="960" w:hanging="480"/>
      </w:pPr>
      <w:rPr>
        <w:rFonts w:hint="eastAsia"/>
      </w:rPr>
    </w:lvl>
    <w:lvl w:ilvl="1" w:tentative="0">
      <w:start w:val="1"/>
      <w:numFmt w:val="decimal"/>
      <w:lvlText w:val="（%2）"/>
      <w:lvlJc w:val="left"/>
      <w:pPr>
        <w:tabs>
          <w:tab w:val="left" w:pos="3285"/>
        </w:tabs>
        <w:ind w:left="3285" w:hanging="1080"/>
      </w:pPr>
      <w:rPr>
        <w:b w:val="0"/>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8">
    <w:nsid w:val="7F0F180C"/>
    <w:multiLevelType w:val="singleLevel"/>
    <w:tmpl w:val="7F0F180C"/>
    <w:lvl w:ilvl="0" w:tentative="0">
      <w:start w:val="40"/>
      <w:numFmt w:val="decimal"/>
      <w:suff w:val="space"/>
      <w:lvlText w:val="%1."/>
      <w:lvlJc w:val="left"/>
    </w:lvl>
  </w:abstractNum>
  <w:num w:numId="1">
    <w:abstractNumId w:val="11"/>
  </w:num>
  <w:num w:numId="2">
    <w:abstractNumId w:val="31"/>
  </w:num>
  <w:num w:numId="3">
    <w:abstractNumId w:val="32"/>
  </w:num>
  <w:num w:numId="4">
    <w:abstractNumId w:val="8"/>
  </w:num>
  <w:num w:numId="5">
    <w:abstractNumId w:val="17"/>
  </w:num>
  <w:num w:numId="6">
    <w:abstractNumId w:val="26"/>
  </w:num>
  <w:num w:numId="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4"/>
  </w:num>
  <w:num w:numId="10">
    <w:abstractNumId w:val="3"/>
  </w:num>
  <w:num w:numId="11">
    <w:abstractNumId w:val="25"/>
  </w:num>
  <w:num w:numId="12">
    <w:abstractNumId w:val="20"/>
  </w:num>
  <w:num w:numId="13">
    <w:abstractNumId w:val="27"/>
  </w:num>
  <w:num w:numId="14">
    <w:abstractNumId w:val="18"/>
  </w:num>
  <w:num w:numId="15">
    <w:abstractNumId w:val="14"/>
  </w:num>
  <w:num w:numId="16">
    <w:abstractNumId w:val="33"/>
  </w:num>
  <w:num w:numId="17">
    <w:abstractNumId w:val="16"/>
  </w:num>
  <w:num w:numId="18">
    <w:abstractNumId w:val="5"/>
  </w:num>
  <w:num w:numId="19">
    <w:abstractNumId w:val="9"/>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num>
  <w:num w:numId="22">
    <w:abstractNumId w:val="34"/>
  </w:num>
  <w:num w:numId="23">
    <w:abstractNumId w:val="37"/>
  </w:num>
  <w:num w:numId="24">
    <w:abstractNumId w:val="12"/>
  </w:num>
  <w:num w:numId="25">
    <w:abstractNumId w:val="35"/>
  </w:num>
  <w:num w:numId="26">
    <w:abstractNumId w:val="24"/>
  </w:num>
  <w:num w:numId="27">
    <w:abstractNumId w:val="22"/>
  </w:num>
  <w:num w:numId="28">
    <w:abstractNumId w:val="23"/>
  </w:num>
  <w:num w:numId="29">
    <w:abstractNumId w:val="30"/>
  </w:num>
  <w:num w:numId="30">
    <w:abstractNumId w:val="36"/>
  </w:num>
  <w:num w:numId="31">
    <w:abstractNumId w:val="21"/>
  </w:num>
  <w:num w:numId="32">
    <w:abstractNumId w:val="7"/>
  </w:num>
  <w:num w:numId="33">
    <w:abstractNumId w:val="13"/>
  </w:num>
  <w:num w:numId="34">
    <w:abstractNumId w:val="38"/>
  </w:num>
  <w:num w:numId="35">
    <w:abstractNumId w:val="19"/>
  </w:num>
  <w:num w:numId="36">
    <w:abstractNumId w:val="0"/>
  </w:num>
  <w:num w:numId="37">
    <w:abstractNumId w:val="6"/>
  </w:num>
  <w:num w:numId="38">
    <w:abstractNumId w:val="2"/>
  </w:num>
  <w:num w:numId="39">
    <w:abstractNumId w:val="1"/>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trackRevisions w:val="1"/>
  <w:documentProtection w:enforcement="0"/>
  <w:defaultTabStop w:val="0"/>
  <w:doNotHyphenateCaps/>
  <w:drawingGridHorizontalSpacing w:val="120"/>
  <w:drawingGridVerticalSpacing w:val="156"/>
  <w:displayHorizontalDrawingGridEvery w:val="0"/>
  <w:displayVerticalDrawingGridEvery w:val="2"/>
  <w:characterSpacingControl w:val="compressPunctuation"/>
  <w:noLineBreaksAfter w:lang="zh-CN" w:val="([{·‘“〈《「『【〔〖（．［｛￡￥"/>
  <w:noLineBreaksBefore w:lang="zh-CN" w:val="!),.:;?]}¨·ˇˉ―‖’”…∶、。〃々〉》」』】〕〗！＂＇），．：；？］｀｜｝～￠"/>
  <w:doNotValidateAgainstSchema/>
  <w:doNotDemarcateInvalidXml/>
  <w:endnotePr>
    <w:numFmt w:val="decimal"/>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I2YmIyNjg2MTlkYmY1MjBhZGM1YjRjZmY2NDUzMjYifQ=="/>
  </w:docVars>
  <w:rsids>
    <w:rsidRoot w:val="001C3B57"/>
    <w:rsid w:val="00023779"/>
    <w:rsid w:val="00041635"/>
    <w:rsid w:val="00046951"/>
    <w:rsid w:val="000C44DD"/>
    <w:rsid w:val="000C7BF9"/>
    <w:rsid w:val="00116342"/>
    <w:rsid w:val="001B7E95"/>
    <w:rsid w:val="001C3B57"/>
    <w:rsid w:val="001C4212"/>
    <w:rsid w:val="002D3D09"/>
    <w:rsid w:val="003C622A"/>
    <w:rsid w:val="0042638C"/>
    <w:rsid w:val="00471341"/>
    <w:rsid w:val="004C528A"/>
    <w:rsid w:val="00517C3C"/>
    <w:rsid w:val="00524248"/>
    <w:rsid w:val="00585B1C"/>
    <w:rsid w:val="005A5C55"/>
    <w:rsid w:val="00647DDD"/>
    <w:rsid w:val="00661DDE"/>
    <w:rsid w:val="0073291F"/>
    <w:rsid w:val="009B2A31"/>
    <w:rsid w:val="00A14281"/>
    <w:rsid w:val="00A61C7F"/>
    <w:rsid w:val="00B12C68"/>
    <w:rsid w:val="00B159F0"/>
    <w:rsid w:val="00BF1074"/>
    <w:rsid w:val="00CA2FB2"/>
    <w:rsid w:val="00CA6669"/>
    <w:rsid w:val="00CC18F8"/>
    <w:rsid w:val="00D127F6"/>
    <w:rsid w:val="00D130D0"/>
    <w:rsid w:val="00D673C1"/>
    <w:rsid w:val="00D91F3C"/>
    <w:rsid w:val="00E129D8"/>
    <w:rsid w:val="00E75C02"/>
    <w:rsid w:val="00ED04EA"/>
    <w:rsid w:val="00F034DB"/>
    <w:rsid w:val="00F31470"/>
    <w:rsid w:val="00F44CD0"/>
    <w:rsid w:val="00FE531A"/>
    <w:rsid w:val="01207B0A"/>
    <w:rsid w:val="01480054"/>
    <w:rsid w:val="01B33F79"/>
    <w:rsid w:val="01DC313D"/>
    <w:rsid w:val="01DD2328"/>
    <w:rsid w:val="03252CF8"/>
    <w:rsid w:val="032640B7"/>
    <w:rsid w:val="03581653"/>
    <w:rsid w:val="035C4D42"/>
    <w:rsid w:val="037622BE"/>
    <w:rsid w:val="039B1DDC"/>
    <w:rsid w:val="046C1008"/>
    <w:rsid w:val="052173D3"/>
    <w:rsid w:val="05CB3DB1"/>
    <w:rsid w:val="070946F7"/>
    <w:rsid w:val="070F1C12"/>
    <w:rsid w:val="0731474D"/>
    <w:rsid w:val="084D0A78"/>
    <w:rsid w:val="084F2287"/>
    <w:rsid w:val="08602D36"/>
    <w:rsid w:val="08994303"/>
    <w:rsid w:val="08A14697"/>
    <w:rsid w:val="08CB3F20"/>
    <w:rsid w:val="08DB7A36"/>
    <w:rsid w:val="09A05A95"/>
    <w:rsid w:val="09A4686B"/>
    <w:rsid w:val="09BD05D2"/>
    <w:rsid w:val="09D838CC"/>
    <w:rsid w:val="09EF6C13"/>
    <w:rsid w:val="0A9634E6"/>
    <w:rsid w:val="0AD7527B"/>
    <w:rsid w:val="0B193CC5"/>
    <w:rsid w:val="0B4650BB"/>
    <w:rsid w:val="0B8C3FA2"/>
    <w:rsid w:val="0BDF456D"/>
    <w:rsid w:val="0C670EC5"/>
    <w:rsid w:val="0D13215D"/>
    <w:rsid w:val="0D600538"/>
    <w:rsid w:val="0DDE108C"/>
    <w:rsid w:val="0E0C7AC5"/>
    <w:rsid w:val="0E115AD1"/>
    <w:rsid w:val="0E183638"/>
    <w:rsid w:val="0E6F0D84"/>
    <w:rsid w:val="0EDA645D"/>
    <w:rsid w:val="0EE246E9"/>
    <w:rsid w:val="0F24797F"/>
    <w:rsid w:val="0F3D2682"/>
    <w:rsid w:val="0F3E5A11"/>
    <w:rsid w:val="0F7A3D4D"/>
    <w:rsid w:val="0FDFEA1B"/>
    <w:rsid w:val="0FFB55C6"/>
    <w:rsid w:val="10464EB4"/>
    <w:rsid w:val="10482EEE"/>
    <w:rsid w:val="106B1DBE"/>
    <w:rsid w:val="10902ED1"/>
    <w:rsid w:val="109A4423"/>
    <w:rsid w:val="10DC6199"/>
    <w:rsid w:val="11B06EE4"/>
    <w:rsid w:val="11BF7CBC"/>
    <w:rsid w:val="11CB7489"/>
    <w:rsid w:val="1218390D"/>
    <w:rsid w:val="121F199D"/>
    <w:rsid w:val="12E00C49"/>
    <w:rsid w:val="131B14C5"/>
    <w:rsid w:val="135E6C6A"/>
    <w:rsid w:val="13A54CE9"/>
    <w:rsid w:val="13B93DB2"/>
    <w:rsid w:val="13FA68E0"/>
    <w:rsid w:val="14261E49"/>
    <w:rsid w:val="150C68A3"/>
    <w:rsid w:val="15143920"/>
    <w:rsid w:val="15DE714B"/>
    <w:rsid w:val="15F20BC6"/>
    <w:rsid w:val="163FE1CE"/>
    <w:rsid w:val="17132E2D"/>
    <w:rsid w:val="17CE571F"/>
    <w:rsid w:val="17DD4669"/>
    <w:rsid w:val="18447966"/>
    <w:rsid w:val="1932173B"/>
    <w:rsid w:val="196F3725"/>
    <w:rsid w:val="1A0E5203"/>
    <w:rsid w:val="1A4754A6"/>
    <w:rsid w:val="1AE822C8"/>
    <w:rsid w:val="1B373D71"/>
    <w:rsid w:val="1B6333D3"/>
    <w:rsid w:val="1B770C6D"/>
    <w:rsid w:val="1B951491"/>
    <w:rsid w:val="1BD62D8B"/>
    <w:rsid w:val="1BE62881"/>
    <w:rsid w:val="1C6A2508"/>
    <w:rsid w:val="1CCA02A4"/>
    <w:rsid w:val="1CF700E8"/>
    <w:rsid w:val="1D8E361C"/>
    <w:rsid w:val="1E5D2B67"/>
    <w:rsid w:val="1E7B705C"/>
    <w:rsid w:val="1E803DC8"/>
    <w:rsid w:val="1E90231B"/>
    <w:rsid w:val="1EA6024D"/>
    <w:rsid w:val="1EDB1170"/>
    <w:rsid w:val="1F68052B"/>
    <w:rsid w:val="1F884DA0"/>
    <w:rsid w:val="1F9B56BC"/>
    <w:rsid w:val="1FA73315"/>
    <w:rsid w:val="1FAD365D"/>
    <w:rsid w:val="1FB60B3B"/>
    <w:rsid w:val="1FD80CCC"/>
    <w:rsid w:val="1FF64D95"/>
    <w:rsid w:val="1FF7025F"/>
    <w:rsid w:val="20593C39"/>
    <w:rsid w:val="20FD754D"/>
    <w:rsid w:val="21A60A43"/>
    <w:rsid w:val="22400EBD"/>
    <w:rsid w:val="22457D5F"/>
    <w:rsid w:val="226814FE"/>
    <w:rsid w:val="247A491D"/>
    <w:rsid w:val="24880BDE"/>
    <w:rsid w:val="250F0C23"/>
    <w:rsid w:val="25291D5B"/>
    <w:rsid w:val="254A6F4F"/>
    <w:rsid w:val="254F1F1B"/>
    <w:rsid w:val="256E7735"/>
    <w:rsid w:val="25B67228"/>
    <w:rsid w:val="26C2481F"/>
    <w:rsid w:val="26F972BC"/>
    <w:rsid w:val="276D10F9"/>
    <w:rsid w:val="28686ADA"/>
    <w:rsid w:val="287B31B9"/>
    <w:rsid w:val="28A56694"/>
    <w:rsid w:val="29241E7A"/>
    <w:rsid w:val="2926232C"/>
    <w:rsid w:val="2A2F602A"/>
    <w:rsid w:val="2A3F5E1D"/>
    <w:rsid w:val="2AAF1E86"/>
    <w:rsid w:val="2AB95C30"/>
    <w:rsid w:val="2B401692"/>
    <w:rsid w:val="2B8748ED"/>
    <w:rsid w:val="2C525373"/>
    <w:rsid w:val="2CB7B7E0"/>
    <w:rsid w:val="2D3F551C"/>
    <w:rsid w:val="2DA0646B"/>
    <w:rsid w:val="2E874B02"/>
    <w:rsid w:val="2EDA42E1"/>
    <w:rsid w:val="2F050A24"/>
    <w:rsid w:val="2F7D6A91"/>
    <w:rsid w:val="2FD30021"/>
    <w:rsid w:val="2FD645F5"/>
    <w:rsid w:val="2FFBCEED"/>
    <w:rsid w:val="302379A0"/>
    <w:rsid w:val="30AB2F6D"/>
    <w:rsid w:val="313A5FBA"/>
    <w:rsid w:val="31B47E41"/>
    <w:rsid w:val="321D1569"/>
    <w:rsid w:val="322D587F"/>
    <w:rsid w:val="33076FAA"/>
    <w:rsid w:val="330778AF"/>
    <w:rsid w:val="330C3054"/>
    <w:rsid w:val="331905B8"/>
    <w:rsid w:val="333B10F5"/>
    <w:rsid w:val="33F1299A"/>
    <w:rsid w:val="3458257A"/>
    <w:rsid w:val="346D00F4"/>
    <w:rsid w:val="350C52E6"/>
    <w:rsid w:val="35676E77"/>
    <w:rsid w:val="35A91C24"/>
    <w:rsid w:val="35AE363C"/>
    <w:rsid w:val="36845A97"/>
    <w:rsid w:val="368E4F3A"/>
    <w:rsid w:val="36B02C57"/>
    <w:rsid w:val="37FBCBC1"/>
    <w:rsid w:val="37FFCF3E"/>
    <w:rsid w:val="38213B98"/>
    <w:rsid w:val="38782582"/>
    <w:rsid w:val="389F53C1"/>
    <w:rsid w:val="390037A2"/>
    <w:rsid w:val="392F7762"/>
    <w:rsid w:val="395503AD"/>
    <w:rsid w:val="395B3289"/>
    <w:rsid w:val="395F253E"/>
    <w:rsid w:val="3A05127F"/>
    <w:rsid w:val="3A860C12"/>
    <w:rsid w:val="3AAC0FEB"/>
    <w:rsid w:val="3AB94550"/>
    <w:rsid w:val="3AB95B52"/>
    <w:rsid w:val="3ABF753B"/>
    <w:rsid w:val="3AE50E58"/>
    <w:rsid w:val="3AE66C6D"/>
    <w:rsid w:val="3B20012B"/>
    <w:rsid w:val="3B4307F8"/>
    <w:rsid w:val="3B9608DC"/>
    <w:rsid w:val="3BCB6608"/>
    <w:rsid w:val="3C07580F"/>
    <w:rsid w:val="3C1E28CC"/>
    <w:rsid w:val="3C40276F"/>
    <w:rsid w:val="3CB17197"/>
    <w:rsid w:val="3CB173D5"/>
    <w:rsid w:val="3CCE4547"/>
    <w:rsid w:val="3CD80261"/>
    <w:rsid w:val="3CEB4648"/>
    <w:rsid w:val="3D6D5288"/>
    <w:rsid w:val="3DAF03BF"/>
    <w:rsid w:val="3E415904"/>
    <w:rsid w:val="3E553FF9"/>
    <w:rsid w:val="3E5717CF"/>
    <w:rsid w:val="3EC7E78B"/>
    <w:rsid w:val="3F33761F"/>
    <w:rsid w:val="3F7C628A"/>
    <w:rsid w:val="3FFF458A"/>
    <w:rsid w:val="40491060"/>
    <w:rsid w:val="406676E3"/>
    <w:rsid w:val="40B603C2"/>
    <w:rsid w:val="40FE6422"/>
    <w:rsid w:val="419065F6"/>
    <w:rsid w:val="419E2D03"/>
    <w:rsid w:val="41DD5FC0"/>
    <w:rsid w:val="41E84A2B"/>
    <w:rsid w:val="41EB4471"/>
    <w:rsid w:val="42261787"/>
    <w:rsid w:val="427373AE"/>
    <w:rsid w:val="429531AD"/>
    <w:rsid w:val="438F674D"/>
    <w:rsid w:val="43C948A3"/>
    <w:rsid w:val="44594243"/>
    <w:rsid w:val="446D7B02"/>
    <w:rsid w:val="44B50E4F"/>
    <w:rsid w:val="44C23EDF"/>
    <w:rsid w:val="45187622"/>
    <w:rsid w:val="459F3371"/>
    <w:rsid w:val="45D24718"/>
    <w:rsid w:val="46CC778D"/>
    <w:rsid w:val="46ED1DE2"/>
    <w:rsid w:val="4720560F"/>
    <w:rsid w:val="475426FC"/>
    <w:rsid w:val="48522F36"/>
    <w:rsid w:val="4891606C"/>
    <w:rsid w:val="489D198A"/>
    <w:rsid w:val="48FA00A3"/>
    <w:rsid w:val="48FC1EED"/>
    <w:rsid w:val="4942038D"/>
    <w:rsid w:val="4978209C"/>
    <w:rsid w:val="49A75676"/>
    <w:rsid w:val="49B402C4"/>
    <w:rsid w:val="4A0B6D27"/>
    <w:rsid w:val="4A3766CB"/>
    <w:rsid w:val="4A50377F"/>
    <w:rsid w:val="4AC07231"/>
    <w:rsid w:val="4AE1387C"/>
    <w:rsid w:val="4BA14F14"/>
    <w:rsid w:val="4BEB02E1"/>
    <w:rsid w:val="4BFC05B7"/>
    <w:rsid w:val="4C0000DB"/>
    <w:rsid w:val="4C3372F6"/>
    <w:rsid w:val="4CA46A8B"/>
    <w:rsid w:val="4CE40579"/>
    <w:rsid w:val="4D021CC8"/>
    <w:rsid w:val="4D311A5D"/>
    <w:rsid w:val="4D3B4BAE"/>
    <w:rsid w:val="4D671C6B"/>
    <w:rsid w:val="4D834DD7"/>
    <w:rsid w:val="4E6F74A6"/>
    <w:rsid w:val="4E976661"/>
    <w:rsid w:val="4ECBC000"/>
    <w:rsid w:val="4F006623"/>
    <w:rsid w:val="4F1B1D88"/>
    <w:rsid w:val="4F210824"/>
    <w:rsid w:val="4F9E4B8D"/>
    <w:rsid w:val="4FA34C5D"/>
    <w:rsid w:val="4FA47506"/>
    <w:rsid w:val="4FB213D9"/>
    <w:rsid w:val="4FF440C7"/>
    <w:rsid w:val="4FF5F565"/>
    <w:rsid w:val="4FFBA989"/>
    <w:rsid w:val="504E5750"/>
    <w:rsid w:val="505740DF"/>
    <w:rsid w:val="50E15076"/>
    <w:rsid w:val="50F326A5"/>
    <w:rsid w:val="51443333"/>
    <w:rsid w:val="51985F0E"/>
    <w:rsid w:val="519B19C6"/>
    <w:rsid w:val="51A822A4"/>
    <w:rsid w:val="51EF0C61"/>
    <w:rsid w:val="52035540"/>
    <w:rsid w:val="52162C06"/>
    <w:rsid w:val="52714318"/>
    <w:rsid w:val="534E0DF7"/>
    <w:rsid w:val="536C1E09"/>
    <w:rsid w:val="5374708D"/>
    <w:rsid w:val="537A7BD3"/>
    <w:rsid w:val="538C3504"/>
    <w:rsid w:val="53B50975"/>
    <w:rsid w:val="54743D30"/>
    <w:rsid w:val="54886B91"/>
    <w:rsid w:val="551E7433"/>
    <w:rsid w:val="55CE562E"/>
    <w:rsid w:val="563D7B3B"/>
    <w:rsid w:val="564D6A42"/>
    <w:rsid w:val="5654079D"/>
    <w:rsid w:val="56CD5FD7"/>
    <w:rsid w:val="56D102AB"/>
    <w:rsid w:val="56DF62A7"/>
    <w:rsid w:val="570D5465"/>
    <w:rsid w:val="57547725"/>
    <w:rsid w:val="576F6F81"/>
    <w:rsid w:val="57C26978"/>
    <w:rsid w:val="57D108BF"/>
    <w:rsid w:val="57D44CC2"/>
    <w:rsid w:val="58561627"/>
    <w:rsid w:val="58BE2657"/>
    <w:rsid w:val="58BF75BE"/>
    <w:rsid w:val="59085BC8"/>
    <w:rsid w:val="591C13EA"/>
    <w:rsid w:val="593F438F"/>
    <w:rsid w:val="598D2570"/>
    <w:rsid w:val="59B40D3F"/>
    <w:rsid w:val="59C35F5D"/>
    <w:rsid w:val="59EF5441"/>
    <w:rsid w:val="59FDA13D"/>
    <w:rsid w:val="5A975CBD"/>
    <w:rsid w:val="5AD308BE"/>
    <w:rsid w:val="5AE72FB9"/>
    <w:rsid w:val="5AFF6424"/>
    <w:rsid w:val="5B284A12"/>
    <w:rsid w:val="5B432809"/>
    <w:rsid w:val="5BBF188D"/>
    <w:rsid w:val="5BFFCB65"/>
    <w:rsid w:val="5C063980"/>
    <w:rsid w:val="5C4F08B8"/>
    <w:rsid w:val="5D053EAF"/>
    <w:rsid w:val="5D3782C9"/>
    <w:rsid w:val="5D751A03"/>
    <w:rsid w:val="5D9125ED"/>
    <w:rsid w:val="5DC46778"/>
    <w:rsid w:val="5E0D1090"/>
    <w:rsid w:val="5E2D1CA0"/>
    <w:rsid w:val="5EB60F35"/>
    <w:rsid w:val="5EBD631D"/>
    <w:rsid w:val="5F0316BC"/>
    <w:rsid w:val="5FBD190F"/>
    <w:rsid w:val="5FC3477B"/>
    <w:rsid w:val="5FDF6EA2"/>
    <w:rsid w:val="5FE30635"/>
    <w:rsid w:val="5FFB44A7"/>
    <w:rsid w:val="5FFEE7FE"/>
    <w:rsid w:val="600F6040"/>
    <w:rsid w:val="60491B12"/>
    <w:rsid w:val="60557E02"/>
    <w:rsid w:val="60680578"/>
    <w:rsid w:val="60844AE7"/>
    <w:rsid w:val="60CE43B6"/>
    <w:rsid w:val="612A3B9A"/>
    <w:rsid w:val="61576ED5"/>
    <w:rsid w:val="61834E3C"/>
    <w:rsid w:val="61E76E9F"/>
    <w:rsid w:val="62262333"/>
    <w:rsid w:val="623361C3"/>
    <w:rsid w:val="627035BA"/>
    <w:rsid w:val="63440296"/>
    <w:rsid w:val="6362770C"/>
    <w:rsid w:val="63A170FD"/>
    <w:rsid w:val="63C00CAA"/>
    <w:rsid w:val="643844D4"/>
    <w:rsid w:val="64447CA1"/>
    <w:rsid w:val="64FC0C4D"/>
    <w:rsid w:val="65164930"/>
    <w:rsid w:val="65451445"/>
    <w:rsid w:val="657B2741"/>
    <w:rsid w:val="65B333BC"/>
    <w:rsid w:val="65FB2400"/>
    <w:rsid w:val="66136590"/>
    <w:rsid w:val="667E1F89"/>
    <w:rsid w:val="66B42415"/>
    <w:rsid w:val="670E5905"/>
    <w:rsid w:val="67324256"/>
    <w:rsid w:val="674C7297"/>
    <w:rsid w:val="676D7FC5"/>
    <w:rsid w:val="67C41E6A"/>
    <w:rsid w:val="695AB39E"/>
    <w:rsid w:val="69A117B0"/>
    <w:rsid w:val="69B8095C"/>
    <w:rsid w:val="69BB40CA"/>
    <w:rsid w:val="6AB630E4"/>
    <w:rsid w:val="6B022745"/>
    <w:rsid w:val="6B7F836F"/>
    <w:rsid w:val="6BD78D03"/>
    <w:rsid w:val="6C5D9D0E"/>
    <w:rsid w:val="6C857C25"/>
    <w:rsid w:val="6CD26C49"/>
    <w:rsid w:val="6CD7D5AA"/>
    <w:rsid w:val="6D1252F3"/>
    <w:rsid w:val="6D2F5487"/>
    <w:rsid w:val="6D67058E"/>
    <w:rsid w:val="6DE67D1A"/>
    <w:rsid w:val="6E05389B"/>
    <w:rsid w:val="6E613D57"/>
    <w:rsid w:val="6EBA4246"/>
    <w:rsid w:val="6EDB3232"/>
    <w:rsid w:val="6EFEB8D8"/>
    <w:rsid w:val="6F9442B9"/>
    <w:rsid w:val="6F9E05D9"/>
    <w:rsid w:val="6FD12DE0"/>
    <w:rsid w:val="6FF3C746"/>
    <w:rsid w:val="7037174A"/>
    <w:rsid w:val="70377641"/>
    <w:rsid w:val="70851A89"/>
    <w:rsid w:val="70F71EF5"/>
    <w:rsid w:val="72097EB2"/>
    <w:rsid w:val="72BF5096"/>
    <w:rsid w:val="72CA3887"/>
    <w:rsid w:val="72FF0970"/>
    <w:rsid w:val="731A5174"/>
    <w:rsid w:val="73AA445A"/>
    <w:rsid w:val="740E0639"/>
    <w:rsid w:val="743C0E2B"/>
    <w:rsid w:val="746A3F45"/>
    <w:rsid w:val="747BF729"/>
    <w:rsid w:val="74BA0CDC"/>
    <w:rsid w:val="74E62B9D"/>
    <w:rsid w:val="74FE5E2C"/>
    <w:rsid w:val="7548F09D"/>
    <w:rsid w:val="76050813"/>
    <w:rsid w:val="765300EE"/>
    <w:rsid w:val="767B18CC"/>
    <w:rsid w:val="76BD24C6"/>
    <w:rsid w:val="76BF37C2"/>
    <w:rsid w:val="76E61149"/>
    <w:rsid w:val="772E62AB"/>
    <w:rsid w:val="775F38AB"/>
    <w:rsid w:val="776F0D4A"/>
    <w:rsid w:val="77A43D9C"/>
    <w:rsid w:val="77AA6DCA"/>
    <w:rsid w:val="77BD3C3A"/>
    <w:rsid w:val="77CC7325"/>
    <w:rsid w:val="77FF1412"/>
    <w:rsid w:val="78191BAF"/>
    <w:rsid w:val="78C015AC"/>
    <w:rsid w:val="78C23FF4"/>
    <w:rsid w:val="78F252FC"/>
    <w:rsid w:val="79374E7E"/>
    <w:rsid w:val="79383E99"/>
    <w:rsid w:val="79F8B5C8"/>
    <w:rsid w:val="79FDF6F0"/>
    <w:rsid w:val="7A0A0312"/>
    <w:rsid w:val="7A291569"/>
    <w:rsid w:val="7A355FAE"/>
    <w:rsid w:val="7A775CF3"/>
    <w:rsid w:val="7AAF5AB9"/>
    <w:rsid w:val="7ADC0919"/>
    <w:rsid w:val="7ADEA0E8"/>
    <w:rsid w:val="7B3016B8"/>
    <w:rsid w:val="7B9F5E87"/>
    <w:rsid w:val="7BC87AD7"/>
    <w:rsid w:val="7BDE1338"/>
    <w:rsid w:val="7BEB0E68"/>
    <w:rsid w:val="7BF0145D"/>
    <w:rsid w:val="7BFD4953"/>
    <w:rsid w:val="7BFED0D0"/>
    <w:rsid w:val="7C710ABE"/>
    <w:rsid w:val="7D6338B6"/>
    <w:rsid w:val="7D7D02A1"/>
    <w:rsid w:val="7DCF11BD"/>
    <w:rsid w:val="7DE2ABD4"/>
    <w:rsid w:val="7DF7FC90"/>
    <w:rsid w:val="7DFF240F"/>
    <w:rsid w:val="7DFF59C7"/>
    <w:rsid w:val="7E0A3056"/>
    <w:rsid w:val="7E7FB0A3"/>
    <w:rsid w:val="7E805E2B"/>
    <w:rsid w:val="7EBEB0C6"/>
    <w:rsid w:val="7EC011B6"/>
    <w:rsid w:val="7EEC0FCB"/>
    <w:rsid w:val="7EFB6818"/>
    <w:rsid w:val="7EFF9A5E"/>
    <w:rsid w:val="7F1135E0"/>
    <w:rsid w:val="7F587460"/>
    <w:rsid w:val="7F5F20EA"/>
    <w:rsid w:val="7FAE7564"/>
    <w:rsid w:val="7FAEB484"/>
    <w:rsid w:val="7FBDB92D"/>
    <w:rsid w:val="7FD727F9"/>
    <w:rsid w:val="7FDCF9D6"/>
    <w:rsid w:val="7FF6DA73"/>
    <w:rsid w:val="7FF7D8ED"/>
    <w:rsid w:val="7FFDEE4D"/>
    <w:rsid w:val="7FFF43EB"/>
    <w:rsid w:val="A3AF37A3"/>
    <w:rsid w:val="A7F6D070"/>
    <w:rsid w:val="A90F58B0"/>
    <w:rsid w:val="ABF55D94"/>
    <w:rsid w:val="ADF57E40"/>
    <w:rsid w:val="AF7FB124"/>
    <w:rsid w:val="AFBBEC9F"/>
    <w:rsid w:val="AFDF9F7F"/>
    <w:rsid w:val="AFF6CB15"/>
    <w:rsid w:val="AFF77C51"/>
    <w:rsid w:val="B35EB396"/>
    <w:rsid w:val="B4D30EB2"/>
    <w:rsid w:val="B5FC16BF"/>
    <w:rsid w:val="B6777F16"/>
    <w:rsid w:val="BAFF8593"/>
    <w:rsid w:val="BCFF4634"/>
    <w:rsid w:val="BD794200"/>
    <w:rsid w:val="BFCF60AA"/>
    <w:rsid w:val="BFF19994"/>
    <w:rsid w:val="BFF90ADB"/>
    <w:rsid w:val="BFF91953"/>
    <w:rsid w:val="BFFE281A"/>
    <w:rsid w:val="BFFEA83F"/>
    <w:rsid w:val="BFFF3570"/>
    <w:rsid w:val="CACF53DD"/>
    <w:rsid w:val="CFFEFCF2"/>
    <w:rsid w:val="D1EA2176"/>
    <w:rsid w:val="D7EFF0B4"/>
    <w:rsid w:val="D9A73588"/>
    <w:rsid w:val="D9BEDCE9"/>
    <w:rsid w:val="DCFF3B35"/>
    <w:rsid w:val="DDFF588A"/>
    <w:rsid w:val="DE9F761E"/>
    <w:rsid w:val="DE9FC436"/>
    <w:rsid w:val="DED72537"/>
    <w:rsid w:val="DEFF2EDB"/>
    <w:rsid w:val="DEFF7850"/>
    <w:rsid w:val="DFFFAE41"/>
    <w:rsid w:val="E5ED4D9C"/>
    <w:rsid w:val="E6FF00BA"/>
    <w:rsid w:val="E7B32C3C"/>
    <w:rsid w:val="E7BFE9B6"/>
    <w:rsid w:val="E7EFAAA4"/>
    <w:rsid w:val="E7FA3BF9"/>
    <w:rsid w:val="EADF98C4"/>
    <w:rsid w:val="ED9EDDC6"/>
    <w:rsid w:val="EDF750D7"/>
    <w:rsid w:val="EDFF6916"/>
    <w:rsid w:val="EE7DDC1F"/>
    <w:rsid w:val="EF5DD4FD"/>
    <w:rsid w:val="EF7BEA4D"/>
    <w:rsid w:val="EFFB7C6B"/>
    <w:rsid w:val="EFFF734C"/>
    <w:rsid w:val="F15BD92C"/>
    <w:rsid w:val="F5DF72D7"/>
    <w:rsid w:val="F6DF8689"/>
    <w:rsid w:val="F73E8ABC"/>
    <w:rsid w:val="F77B3539"/>
    <w:rsid w:val="F7DDEE8E"/>
    <w:rsid w:val="F7E96241"/>
    <w:rsid w:val="F7FBCCF3"/>
    <w:rsid w:val="F7FE837E"/>
    <w:rsid w:val="F7FF39AD"/>
    <w:rsid w:val="F7FF8236"/>
    <w:rsid w:val="F7FF9061"/>
    <w:rsid w:val="F9DE0D58"/>
    <w:rsid w:val="FA5DF297"/>
    <w:rsid w:val="FABE733F"/>
    <w:rsid w:val="FB7B8275"/>
    <w:rsid w:val="FBBAEA75"/>
    <w:rsid w:val="FBCE6B72"/>
    <w:rsid w:val="FBFDA75D"/>
    <w:rsid w:val="FBFF45C9"/>
    <w:rsid w:val="FCEF1C76"/>
    <w:rsid w:val="FCEFF4DB"/>
    <w:rsid w:val="FCF73624"/>
    <w:rsid w:val="FCFD3129"/>
    <w:rsid w:val="FD5FB9AC"/>
    <w:rsid w:val="FD7641F3"/>
    <w:rsid w:val="FDC2E798"/>
    <w:rsid w:val="FDDF0EFF"/>
    <w:rsid w:val="FDF5A8AB"/>
    <w:rsid w:val="FE7DAB1E"/>
    <w:rsid w:val="FE9E449F"/>
    <w:rsid w:val="FEFD69FE"/>
    <w:rsid w:val="FF3F722E"/>
    <w:rsid w:val="FF5FB5D0"/>
    <w:rsid w:val="FF7D86F6"/>
    <w:rsid w:val="FF7FF093"/>
    <w:rsid w:val="FF9C6443"/>
    <w:rsid w:val="FFDF01A1"/>
    <w:rsid w:val="FFE57CD5"/>
    <w:rsid w:val="FFFFA201"/>
    <w:rsid w:val="FFFFAD1C"/>
    <w:rsid w:val="FFFFC070"/>
    <w:rsid w:val="FFFFE16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nhideWhenUsed="0" w:uiPriority="9" w:semiHidden="0" w:name="heading 8"/>
    <w:lsdException w:qFormat="1" w:unhideWhenUsed="0"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99" w:name="Normal Indent"/>
    <w:lsdException w:uiPriority="99" w:name="footnote text"/>
    <w:lsdException w:qFormat="1" w:unhideWhenUsed="0"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qFormat="1" w:unhideWhenUsed="0" w:uiPriority="99" w:name="List Bullet"/>
    <w:lsdException w:uiPriority="99" w:name="List Number"/>
    <w:lsdException w:uiPriority="99" w:name="List 2"/>
    <w:lsdException w:uiPriority="99" w:name="List 3"/>
    <w:lsdException w:uiPriority="99" w:name="List 4"/>
    <w:lsdException w:uiPriority="99" w:name="List 5"/>
    <w:lsdException w:qFormat="1" w:unhideWhenUsed="0"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99"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99" w:name="Date"/>
    <w:lsdException w:uiPriority="99" w:name="Body Text First Indent"/>
    <w:lsdException w:uiPriority="99" w:name="Body Text First Indent 2"/>
    <w:lsdException w:uiPriority="99" w:name="Note Heading"/>
    <w:lsdException w:qFormat="1" w:unhideWhenUsed="0" w:uiPriority="99" w:name="Body Text 2"/>
    <w:lsdException w:qFormat="1" w:unhideWhenUsed="0" w:uiPriority="99" w:semiHidden="0" w:name="Body Text 3"/>
    <w:lsdException w:qFormat="1" w:unhideWhenUsed="0" w:uiPriority="99" w:name="Body Text Indent 2"/>
    <w:lsdException w:qFormat="1" w:unhideWhenUsed="0" w:uiPriority="99" w:name="Body Text Indent 3"/>
    <w:lsdException w:uiPriority="99" w:name="Block Text"/>
    <w:lsdException w:qFormat="1" w:unhideWhenUsed="0" w:uiPriority="99" w:semiHidden="0" w:name="Hyperlink"/>
    <w:lsdException w:qFormat="1" w:unhideWhenUsed="0" w:uiPriority="99" w:name="FollowedHyperlink"/>
    <w:lsdException w:qFormat="1" w:unhideWhenUsed="0" w:uiPriority="22" w:semiHidden="0" w:name="Strong" w:locked="1"/>
    <w:lsdException w:qFormat="1" w:unhideWhenUsed="0" w:uiPriority="20" w:semiHidden="0" w:name="Emphasis" w:locked="1"/>
    <w:lsdException w:qFormat="1" w:unhideWhenUsed="0" w:uiPriority="99"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rPr>
      <w:rFonts w:ascii="Times New Roman" w:hAnsi="Times New Roman" w:eastAsia="宋体" w:cs="Times New Roman"/>
      <w:sz w:val="24"/>
      <w:szCs w:val="24"/>
      <w:lang w:val="en-US" w:eastAsia="en-US" w:bidi="en-US"/>
    </w:rPr>
  </w:style>
  <w:style w:type="paragraph" w:styleId="3">
    <w:name w:val="heading 1"/>
    <w:basedOn w:val="1"/>
    <w:next w:val="1"/>
    <w:link w:val="50"/>
    <w:qFormat/>
    <w:uiPriority w:val="9"/>
    <w:pPr>
      <w:keepNext/>
      <w:spacing w:before="240" w:after="60"/>
      <w:outlineLvl w:val="0"/>
    </w:pPr>
    <w:rPr>
      <w:rFonts w:ascii="Cambria" w:hAnsi="Cambria"/>
      <w:b/>
      <w:bCs/>
      <w:kern w:val="32"/>
      <w:sz w:val="32"/>
      <w:szCs w:val="32"/>
      <w:lang w:bidi="ar-SA"/>
    </w:rPr>
  </w:style>
  <w:style w:type="paragraph" w:styleId="4">
    <w:name w:val="heading 2"/>
    <w:basedOn w:val="1"/>
    <w:next w:val="1"/>
    <w:link w:val="49"/>
    <w:qFormat/>
    <w:uiPriority w:val="9"/>
    <w:pPr>
      <w:keepNext/>
      <w:spacing w:before="240" w:after="60"/>
      <w:outlineLvl w:val="1"/>
    </w:pPr>
    <w:rPr>
      <w:rFonts w:ascii="Cambria" w:hAnsi="Cambria"/>
      <w:b/>
      <w:bCs/>
      <w:i/>
      <w:iCs/>
      <w:sz w:val="28"/>
      <w:szCs w:val="28"/>
      <w:lang w:bidi="ar-SA"/>
    </w:rPr>
  </w:style>
  <w:style w:type="paragraph" w:styleId="5">
    <w:name w:val="heading 3"/>
    <w:basedOn w:val="1"/>
    <w:next w:val="1"/>
    <w:link w:val="51"/>
    <w:qFormat/>
    <w:uiPriority w:val="9"/>
    <w:pPr>
      <w:keepNext/>
      <w:spacing w:before="240" w:after="60"/>
      <w:outlineLvl w:val="2"/>
    </w:pPr>
    <w:rPr>
      <w:rFonts w:ascii="Cambria" w:hAnsi="Cambria"/>
      <w:b/>
      <w:bCs/>
      <w:sz w:val="26"/>
      <w:szCs w:val="26"/>
      <w:lang w:bidi="ar-SA"/>
    </w:rPr>
  </w:style>
  <w:style w:type="paragraph" w:styleId="6">
    <w:name w:val="heading 4"/>
    <w:basedOn w:val="1"/>
    <w:next w:val="7"/>
    <w:link w:val="52"/>
    <w:qFormat/>
    <w:uiPriority w:val="9"/>
    <w:pPr>
      <w:keepNext/>
      <w:spacing w:before="240" w:after="60"/>
      <w:outlineLvl w:val="3"/>
    </w:pPr>
    <w:rPr>
      <w:b/>
      <w:bCs/>
      <w:sz w:val="28"/>
      <w:szCs w:val="28"/>
      <w:lang w:bidi="ar-SA"/>
    </w:rPr>
  </w:style>
  <w:style w:type="paragraph" w:styleId="8">
    <w:name w:val="heading 5"/>
    <w:basedOn w:val="1"/>
    <w:next w:val="1"/>
    <w:link w:val="53"/>
    <w:qFormat/>
    <w:uiPriority w:val="9"/>
    <w:pPr>
      <w:spacing w:before="240" w:after="60"/>
      <w:outlineLvl w:val="4"/>
    </w:pPr>
    <w:rPr>
      <w:b/>
      <w:bCs/>
      <w:i/>
      <w:iCs/>
      <w:sz w:val="26"/>
      <w:szCs w:val="26"/>
      <w:lang w:bidi="ar-SA"/>
    </w:rPr>
  </w:style>
  <w:style w:type="paragraph" w:styleId="9">
    <w:name w:val="heading 6"/>
    <w:basedOn w:val="1"/>
    <w:next w:val="1"/>
    <w:link w:val="54"/>
    <w:qFormat/>
    <w:uiPriority w:val="9"/>
    <w:pPr>
      <w:spacing w:before="240" w:after="60"/>
      <w:outlineLvl w:val="5"/>
    </w:pPr>
    <w:rPr>
      <w:b/>
      <w:bCs/>
      <w:sz w:val="20"/>
      <w:szCs w:val="20"/>
      <w:lang w:bidi="ar-SA"/>
    </w:rPr>
  </w:style>
  <w:style w:type="paragraph" w:styleId="10">
    <w:name w:val="heading 7"/>
    <w:basedOn w:val="1"/>
    <w:next w:val="1"/>
    <w:link w:val="55"/>
    <w:qFormat/>
    <w:uiPriority w:val="9"/>
    <w:pPr>
      <w:spacing w:before="240" w:after="60"/>
      <w:outlineLvl w:val="6"/>
    </w:pPr>
    <w:rPr>
      <w:lang w:bidi="ar-SA"/>
    </w:rPr>
  </w:style>
  <w:style w:type="paragraph" w:styleId="11">
    <w:name w:val="heading 8"/>
    <w:basedOn w:val="1"/>
    <w:next w:val="1"/>
    <w:link w:val="56"/>
    <w:qFormat/>
    <w:uiPriority w:val="9"/>
    <w:pPr>
      <w:spacing w:before="240" w:after="60"/>
      <w:outlineLvl w:val="7"/>
    </w:pPr>
    <w:rPr>
      <w:i/>
      <w:iCs/>
      <w:lang w:bidi="ar-SA"/>
    </w:rPr>
  </w:style>
  <w:style w:type="paragraph" w:styleId="12">
    <w:name w:val="heading 9"/>
    <w:basedOn w:val="1"/>
    <w:next w:val="1"/>
    <w:link w:val="57"/>
    <w:qFormat/>
    <w:uiPriority w:val="9"/>
    <w:pPr>
      <w:spacing w:before="240" w:after="60"/>
      <w:outlineLvl w:val="8"/>
    </w:pPr>
    <w:rPr>
      <w:rFonts w:ascii="Cambria" w:hAnsi="Cambria"/>
      <w:sz w:val="20"/>
      <w:szCs w:val="20"/>
      <w:lang w:bidi="ar-SA"/>
    </w:rPr>
  </w:style>
  <w:style w:type="character" w:default="1" w:styleId="42">
    <w:name w:val="Default Paragraph Font"/>
    <w:semiHidden/>
    <w:unhideWhenUsed/>
    <w:qFormat/>
    <w:uiPriority w:val="1"/>
  </w:style>
  <w:style w:type="table" w:default="1" w:styleId="4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w:basedOn w:val="1"/>
    <w:next w:val="1"/>
    <w:link w:val="61"/>
    <w:semiHidden/>
    <w:qFormat/>
    <w:uiPriority w:val="99"/>
    <w:pPr>
      <w:spacing w:after="120"/>
    </w:pPr>
    <w:rPr>
      <w:lang w:bidi="ar-SA"/>
    </w:rPr>
  </w:style>
  <w:style w:type="paragraph" w:styleId="7">
    <w:name w:val="Normal Indent"/>
    <w:basedOn w:val="1"/>
    <w:semiHidden/>
    <w:qFormat/>
    <w:uiPriority w:val="99"/>
    <w:pPr>
      <w:ind w:firstLine="420"/>
    </w:pPr>
  </w:style>
  <w:style w:type="paragraph" w:styleId="13">
    <w:name w:val="toc 7"/>
    <w:basedOn w:val="1"/>
    <w:next w:val="1"/>
    <w:qFormat/>
    <w:uiPriority w:val="39"/>
    <w:pPr>
      <w:ind w:left="1260"/>
    </w:pPr>
    <w:rPr>
      <w:sz w:val="18"/>
      <w:szCs w:val="18"/>
    </w:rPr>
  </w:style>
  <w:style w:type="paragraph" w:styleId="14">
    <w:name w:val="List Bullet"/>
    <w:basedOn w:val="1"/>
    <w:next w:val="1"/>
    <w:semiHidden/>
    <w:qFormat/>
    <w:uiPriority w:val="99"/>
    <w:pPr>
      <w:tabs>
        <w:tab w:val="left" w:pos="360"/>
      </w:tabs>
      <w:ind w:left="360" w:hanging="360" w:hangingChars="200"/>
    </w:pPr>
  </w:style>
  <w:style w:type="paragraph" w:styleId="15">
    <w:name w:val="Document Map"/>
    <w:basedOn w:val="1"/>
    <w:next w:val="1"/>
    <w:link w:val="58"/>
    <w:semiHidden/>
    <w:qFormat/>
    <w:uiPriority w:val="99"/>
    <w:pPr>
      <w:shd w:val="clear" w:color="auto" w:fill="000080"/>
    </w:pPr>
    <w:rPr>
      <w:lang w:bidi="ar-SA"/>
    </w:rPr>
  </w:style>
  <w:style w:type="paragraph" w:styleId="16">
    <w:name w:val="annotation text"/>
    <w:basedOn w:val="1"/>
    <w:link w:val="59"/>
    <w:semiHidden/>
    <w:qFormat/>
    <w:uiPriority w:val="99"/>
    <w:rPr>
      <w:lang w:bidi="ar-SA"/>
    </w:rPr>
  </w:style>
  <w:style w:type="paragraph" w:styleId="17">
    <w:name w:val="Body Text 3"/>
    <w:basedOn w:val="1"/>
    <w:next w:val="1"/>
    <w:link w:val="60"/>
    <w:qFormat/>
    <w:uiPriority w:val="99"/>
    <w:pPr>
      <w:spacing w:after="120"/>
    </w:pPr>
    <w:rPr>
      <w:sz w:val="16"/>
      <w:szCs w:val="16"/>
      <w:lang w:bidi="ar-SA"/>
    </w:rPr>
  </w:style>
  <w:style w:type="paragraph" w:styleId="18">
    <w:name w:val="Body Text Indent"/>
    <w:basedOn w:val="1"/>
    <w:next w:val="1"/>
    <w:link w:val="62"/>
    <w:qFormat/>
    <w:uiPriority w:val="99"/>
    <w:pPr>
      <w:ind w:firstLine="630"/>
    </w:pPr>
    <w:rPr>
      <w:rFonts w:ascii="宋体"/>
      <w:sz w:val="20"/>
      <w:szCs w:val="20"/>
      <w:lang w:bidi="ar-SA"/>
    </w:rPr>
  </w:style>
  <w:style w:type="paragraph" w:styleId="19">
    <w:name w:val="List Bullet 2"/>
    <w:basedOn w:val="14"/>
    <w:next w:val="1"/>
    <w:semiHidden/>
    <w:qFormat/>
    <w:uiPriority w:val="99"/>
    <w:pPr>
      <w:tabs>
        <w:tab w:val="left" w:pos="432"/>
        <w:tab w:val="clear" w:pos="360"/>
      </w:tabs>
      <w:spacing w:after="220" w:line="220" w:lineRule="atLeast"/>
      <w:ind w:left="2160" w:right="720" w:hanging="432" w:firstLineChars="0"/>
    </w:pPr>
  </w:style>
  <w:style w:type="paragraph" w:styleId="20">
    <w:name w:val="toc 5"/>
    <w:basedOn w:val="1"/>
    <w:next w:val="1"/>
    <w:qFormat/>
    <w:uiPriority w:val="39"/>
    <w:pPr>
      <w:ind w:left="840"/>
    </w:pPr>
    <w:rPr>
      <w:sz w:val="18"/>
      <w:szCs w:val="18"/>
    </w:rPr>
  </w:style>
  <w:style w:type="paragraph" w:styleId="21">
    <w:name w:val="toc 3"/>
    <w:basedOn w:val="1"/>
    <w:next w:val="1"/>
    <w:qFormat/>
    <w:uiPriority w:val="39"/>
    <w:pPr>
      <w:ind w:left="420"/>
    </w:pPr>
    <w:rPr>
      <w:iCs/>
      <w:sz w:val="20"/>
      <w:szCs w:val="20"/>
    </w:rPr>
  </w:style>
  <w:style w:type="paragraph" w:styleId="22">
    <w:name w:val="Plain Text"/>
    <w:basedOn w:val="1"/>
    <w:link w:val="63"/>
    <w:qFormat/>
    <w:uiPriority w:val="0"/>
    <w:rPr>
      <w:rFonts w:ascii="宋体" w:hAnsi="Courier New"/>
      <w:sz w:val="20"/>
      <w:szCs w:val="20"/>
      <w:lang w:bidi="ar-SA"/>
    </w:rPr>
  </w:style>
  <w:style w:type="paragraph" w:styleId="23">
    <w:name w:val="toc 8"/>
    <w:basedOn w:val="1"/>
    <w:next w:val="1"/>
    <w:qFormat/>
    <w:uiPriority w:val="39"/>
    <w:pPr>
      <w:ind w:left="1470"/>
    </w:pPr>
    <w:rPr>
      <w:sz w:val="18"/>
      <w:szCs w:val="18"/>
    </w:rPr>
  </w:style>
  <w:style w:type="paragraph" w:styleId="24">
    <w:name w:val="Date"/>
    <w:basedOn w:val="1"/>
    <w:next w:val="1"/>
    <w:link w:val="64"/>
    <w:semiHidden/>
    <w:qFormat/>
    <w:uiPriority w:val="99"/>
    <w:pPr>
      <w:ind w:left="100" w:leftChars="2500"/>
    </w:pPr>
    <w:rPr>
      <w:rFonts w:ascii="仿宋_GB2312" w:eastAsia="仿宋_GB2312"/>
      <w:b/>
      <w:bCs/>
      <w:lang w:bidi="ar-SA"/>
    </w:rPr>
  </w:style>
  <w:style w:type="paragraph" w:styleId="25">
    <w:name w:val="Body Text Indent 2"/>
    <w:basedOn w:val="1"/>
    <w:next w:val="1"/>
    <w:link w:val="65"/>
    <w:semiHidden/>
    <w:qFormat/>
    <w:uiPriority w:val="99"/>
    <w:pPr>
      <w:tabs>
        <w:tab w:val="left" w:pos="4970"/>
      </w:tabs>
      <w:spacing w:line="360" w:lineRule="auto"/>
      <w:ind w:firstLine="480" w:firstLineChars="200"/>
    </w:pPr>
    <w:rPr>
      <w:lang w:bidi="ar-SA"/>
    </w:rPr>
  </w:style>
  <w:style w:type="paragraph" w:styleId="26">
    <w:name w:val="Balloon Text"/>
    <w:basedOn w:val="1"/>
    <w:next w:val="1"/>
    <w:link w:val="66"/>
    <w:semiHidden/>
    <w:qFormat/>
    <w:uiPriority w:val="99"/>
    <w:rPr>
      <w:sz w:val="18"/>
      <w:szCs w:val="18"/>
      <w:lang w:bidi="ar-SA"/>
    </w:rPr>
  </w:style>
  <w:style w:type="paragraph" w:styleId="27">
    <w:name w:val="footer"/>
    <w:basedOn w:val="1"/>
    <w:link w:val="67"/>
    <w:qFormat/>
    <w:uiPriority w:val="99"/>
    <w:pPr>
      <w:tabs>
        <w:tab w:val="center" w:pos="4153"/>
        <w:tab w:val="right" w:pos="8306"/>
      </w:tabs>
      <w:snapToGrid w:val="0"/>
    </w:pPr>
    <w:rPr>
      <w:sz w:val="18"/>
      <w:szCs w:val="18"/>
      <w:lang w:bidi="ar-SA"/>
    </w:rPr>
  </w:style>
  <w:style w:type="paragraph" w:styleId="28">
    <w:name w:val="header"/>
    <w:basedOn w:val="1"/>
    <w:link w:val="68"/>
    <w:qFormat/>
    <w:uiPriority w:val="99"/>
    <w:pPr>
      <w:pBdr>
        <w:bottom w:val="single" w:color="auto" w:sz="6" w:space="1"/>
      </w:pBdr>
      <w:tabs>
        <w:tab w:val="center" w:pos="4153"/>
        <w:tab w:val="right" w:pos="8306"/>
      </w:tabs>
      <w:snapToGrid w:val="0"/>
      <w:jc w:val="center"/>
    </w:pPr>
    <w:rPr>
      <w:sz w:val="18"/>
      <w:szCs w:val="18"/>
      <w:lang w:bidi="ar-SA"/>
    </w:rPr>
  </w:style>
  <w:style w:type="paragraph" w:styleId="29">
    <w:name w:val="toc 1"/>
    <w:basedOn w:val="1"/>
    <w:next w:val="1"/>
    <w:qFormat/>
    <w:uiPriority w:val="39"/>
    <w:pPr>
      <w:spacing w:before="120" w:after="120"/>
    </w:pPr>
    <w:rPr>
      <w:b/>
      <w:bCs/>
      <w:caps/>
      <w:sz w:val="20"/>
      <w:szCs w:val="20"/>
    </w:rPr>
  </w:style>
  <w:style w:type="paragraph" w:styleId="30">
    <w:name w:val="toc 4"/>
    <w:basedOn w:val="1"/>
    <w:next w:val="1"/>
    <w:qFormat/>
    <w:uiPriority w:val="39"/>
    <w:pPr>
      <w:ind w:left="630"/>
    </w:pPr>
    <w:rPr>
      <w:sz w:val="18"/>
      <w:szCs w:val="18"/>
    </w:rPr>
  </w:style>
  <w:style w:type="paragraph" w:styleId="31">
    <w:name w:val="Subtitle"/>
    <w:basedOn w:val="1"/>
    <w:next w:val="1"/>
    <w:link w:val="69"/>
    <w:qFormat/>
    <w:uiPriority w:val="11"/>
    <w:pPr>
      <w:spacing w:after="60"/>
      <w:jc w:val="center"/>
      <w:outlineLvl w:val="1"/>
    </w:pPr>
    <w:rPr>
      <w:rFonts w:ascii="Cambria" w:hAnsi="Cambria"/>
      <w:lang w:bidi="ar-SA"/>
    </w:rPr>
  </w:style>
  <w:style w:type="paragraph" w:styleId="32">
    <w:name w:val="toc 6"/>
    <w:basedOn w:val="1"/>
    <w:next w:val="1"/>
    <w:qFormat/>
    <w:uiPriority w:val="39"/>
    <w:pPr>
      <w:ind w:left="1050"/>
    </w:pPr>
    <w:rPr>
      <w:sz w:val="18"/>
      <w:szCs w:val="18"/>
    </w:rPr>
  </w:style>
  <w:style w:type="paragraph" w:styleId="33">
    <w:name w:val="Body Text Indent 3"/>
    <w:basedOn w:val="1"/>
    <w:next w:val="1"/>
    <w:link w:val="70"/>
    <w:semiHidden/>
    <w:qFormat/>
    <w:uiPriority w:val="99"/>
    <w:pPr>
      <w:spacing w:line="360" w:lineRule="auto"/>
      <w:ind w:left="1978" w:leftChars="942"/>
    </w:pPr>
    <w:rPr>
      <w:rFonts w:hAnsi="宋体"/>
      <w:lang w:bidi="ar-SA"/>
    </w:rPr>
  </w:style>
  <w:style w:type="paragraph" w:styleId="34">
    <w:name w:val="toc 2"/>
    <w:basedOn w:val="1"/>
    <w:next w:val="1"/>
    <w:qFormat/>
    <w:uiPriority w:val="39"/>
    <w:pPr>
      <w:ind w:left="210"/>
    </w:pPr>
    <w:rPr>
      <w:smallCaps/>
      <w:sz w:val="20"/>
      <w:szCs w:val="20"/>
    </w:rPr>
  </w:style>
  <w:style w:type="paragraph" w:styleId="35">
    <w:name w:val="toc 9"/>
    <w:basedOn w:val="1"/>
    <w:next w:val="1"/>
    <w:qFormat/>
    <w:uiPriority w:val="39"/>
    <w:pPr>
      <w:ind w:left="1680"/>
    </w:pPr>
    <w:rPr>
      <w:sz w:val="18"/>
      <w:szCs w:val="18"/>
    </w:rPr>
  </w:style>
  <w:style w:type="paragraph" w:styleId="36">
    <w:name w:val="Body Text 2"/>
    <w:basedOn w:val="1"/>
    <w:next w:val="1"/>
    <w:link w:val="71"/>
    <w:semiHidden/>
    <w:qFormat/>
    <w:uiPriority w:val="99"/>
    <w:rPr>
      <w:rFonts w:eastAsia="楷体_GB2312"/>
      <w:b/>
      <w:bCs/>
      <w:lang w:bidi="ar-SA"/>
    </w:rPr>
  </w:style>
  <w:style w:type="paragraph" w:styleId="37">
    <w:name w:val="Normal (Web)"/>
    <w:basedOn w:val="1"/>
    <w:next w:val="1"/>
    <w:qFormat/>
    <w:uiPriority w:val="99"/>
    <w:pPr>
      <w:spacing w:before="100" w:beforeAutospacing="1" w:after="100" w:afterAutospacing="1"/>
    </w:pPr>
    <w:rPr>
      <w:rFonts w:ascii="宋体" w:hAnsi="宋体" w:cs="宋体"/>
    </w:rPr>
  </w:style>
  <w:style w:type="paragraph" w:styleId="38">
    <w:name w:val="Title"/>
    <w:basedOn w:val="1"/>
    <w:next w:val="1"/>
    <w:link w:val="72"/>
    <w:qFormat/>
    <w:uiPriority w:val="10"/>
    <w:pPr>
      <w:spacing w:before="240" w:after="60"/>
      <w:jc w:val="center"/>
      <w:outlineLvl w:val="0"/>
    </w:pPr>
    <w:rPr>
      <w:rFonts w:ascii="Cambria" w:hAnsi="Cambria"/>
      <w:b/>
      <w:bCs/>
      <w:kern w:val="28"/>
      <w:sz w:val="32"/>
      <w:szCs w:val="32"/>
      <w:lang w:bidi="ar-SA"/>
    </w:rPr>
  </w:style>
  <w:style w:type="paragraph" w:styleId="39">
    <w:name w:val="annotation subject"/>
    <w:basedOn w:val="16"/>
    <w:next w:val="16"/>
    <w:link w:val="73"/>
    <w:semiHidden/>
    <w:qFormat/>
    <w:uiPriority w:val="99"/>
    <w:rPr>
      <w:b/>
      <w:bCs/>
    </w:rPr>
  </w:style>
  <w:style w:type="table" w:styleId="41">
    <w:name w:val="Table Grid"/>
    <w:basedOn w:val="40"/>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3">
    <w:name w:val="Strong"/>
    <w:qFormat/>
    <w:locked/>
    <w:uiPriority w:val="22"/>
    <w:rPr>
      <w:b/>
      <w:bCs/>
    </w:rPr>
  </w:style>
  <w:style w:type="character" w:styleId="44">
    <w:name w:val="page number"/>
    <w:semiHidden/>
    <w:qFormat/>
    <w:uiPriority w:val="99"/>
    <w:rPr>
      <w:rFonts w:ascii="Times New Roman" w:hAnsi="Times New Roman" w:cs="Times New Roman"/>
    </w:rPr>
  </w:style>
  <w:style w:type="character" w:styleId="45">
    <w:name w:val="FollowedHyperlink"/>
    <w:semiHidden/>
    <w:qFormat/>
    <w:uiPriority w:val="99"/>
    <w:rPr>
      <w:color w:val="800080"/>
      <w:u w:val="single"/>
    </w:rPr>
  </w:style>
  <w:style w:type="character" w:styleId="46">
    <w:name w:val="Emphasis"/>
    <w:qFormat/>
    <w:locked/>
    <w:uiPriority w:val="20"/>
    <w:rPr>
      <w:rFonts w:ascii="Calibri" w:hAnsi="Calibri"/>
      <w:b/>
      <w:i/>
      <w:iCs/>
    </w:rPr>
  </w:style>
  <w:style w:type="character" w:styleId="47">
    <w:name w:val="Hyperlink"/>
    <w:qFormat/>
    <w:uiPriority w:val="99"/>
    <w:rPr>
      <w:color w:val="0000FF"/>
      <w:u w:val="single"/>
    </w:rPr>
  </w:style>
  <w:style w:type="character" w:styleId="48">
    <w:name w:val="annotation reference"/>
    <w:basedOn w:val="42"/>
    <w:qFormat/>
    <w:uiPriority w:val="99"/>
    <w:rPr>
      <w:rFonts w:ascii="Times New Roman" w:hAnsi="Times New Roman" w:cs="Times New Roman"/>
      <w:sz w:val="21"/>
      <w:szCs w:val="21"/>
    </w:rPr>
  </w:style>
  <w:style w:type="character" w:customStyle="1" w:styleId="49">
    <w:name w:val="标题 2 字符1"/>
    <w:link w:val="4"/>
    <w:qFormat/>
    <w:locked/>
    <w:uiPriority w:val="9"/>
    <w:rPr>
      <w:rFonts w:ascii="Cambria" w:hAnsi="Cambria" w:eastAsia="宋体"/>
      <w:b/>
      <w:bCs/>
      <w:i/>
      <w:iCs/>
      <w:sz w:val="28"/>
      <w:szCs w:val="28"/>
    </w:rPr>
  </w:style>
  <w:style w:type="character" w:customStyle="1" w:styleId="50">
    <w:name w:val="标题 1 字符1"/>
    <w:link w:val="3"/>
    <w:qFormat/>
    <w:locked/>
    <w:uiPriority w:val="9"/>
    <w:rPr>
      <w:rFonts w:ascii="Cambria" w:hAnsi="Cambria" w:eastAsia="宋体" w:cs="Calibri"/>
      <w:b/>
      <w:bCs/>
      <w:kern w:val="32"/>
      <w:sz w:val="32"/>
      <w:szCs w:val="32"/>
    </w:rPr>
  </w:style>
  <w:style w:type="character" w:customStyle="1" w:styleId="51">
    <w:name w:val="标题 3 字符1"/>
    <w:link w:val="5"/>
    <w:qFormat/>
    <w:locked/>
    <w:uiPriority w:val="9"/>
    <w:rPr>
      <w:rFonts w:ascii="Cambria" w:hAnsi="Cambria" w:eastAsia="宋体" w:cs="Calibri"/>
      <w:b/>
      <w:bCs/>
      <w:sz w:val="26"/>
      <w:szCs w:val="26"/>
    </w:rPr>
  </w:style>
  <w:style w:type="character" w:customStyle="1" w:styleId="52">
    <w:name w:val="标题 4 字符1"/>
    <w:link w:val="6"/>
    <w:qFormat/>
    <w:locked/>
    <w:uiPriority w:val="9"/>
    <w:rPr>
      <w:rFonts w:cs="Calibri"/>
      <w:b/>
      <w:bCs/>
      <w:sz w:val="28"/>
      <w:szCs w:val="28"/>
    </w:rPr>
  </w:style>
  <w:style w:type="character" w:customStyle="1" w:styleId="53">
    <w:name w:val="标题 5 字符1"/>
    <w:link w:val="8"/>
    <w:qFormat/>
    <w:locked/>
    <w:uiPriority w:val="9"/>
    <w:rPr>
      <w:rFonts w:cs="Calibri"/>
      <w:b/>
      <w:bCs/>
      <w:i/>
      <w:iCs/>
      <w:sz w:val="26"/>
      <w:szCs w:val="26"/>
    </w:rPr>
  </w:style>
  <w:style w:type="character" w:customStyle="1" w:styleId="54">
    <w:name w:val="标题 6 字符1"/>
    <w:link w:val="9"/>
    <w:qFormat/>
    <w:locked/>
    <w:uiPriority w:val="9"/>
    <w:rPr>
      <w:rFonts w:cs="Calibri"/>
      <w:b/>
      <w:bCs/>
    </w:rPr>
  </w:style>
  <w:style w:type="character" w:customStyle="1" w:styleId="55">
    <w:name w:val="标题 7 字符1"/>
    <w:link w:val="10"/>
    <w:qFormat/>
    <w:locked/>
    <w:uiPriority w:val="9"/>
    <w:rPr>
      <w:rFonts w:cs="Calibri"/>
      <w:sz w:val="24"/>
      <w:szCs w:val="24"/>
    </w:rPr>
  </w:style>
  <w:style w:type="character" w:customStyle="1" w:styleId="56">
    <w:name w:val="标题 8 字符1"/>
    <w:link w:val="11"/>
    <w:qFormat/>
    <w:locked/>
    <w:uiPriority w:val="9"/>
    <w:rPr>
      <w:rFonts w:cs="Calibri"/>
      <w:i/>
      <w:iCs/>
      <w:sz w:val="24"/>
      <w:szCs w:val="24"/>
    </w:rPr>
  </w:style>
  <w:style w:type="character" w:customStyle="1" w:styleId="57">
    <w:name w:val="标题 9 字符1"/>
    <w:link w:val="12"/>
    <w:qFormat/>
    <w:locked/>
    <w:uiPriority w:val="9"/>
    <w:rPr>
      <w:rFonts w:ascii="Cambria" w:hAnsi="Cambria" w:eastAsia="宋体" w:cs="Calibri"/>
    </w:rPr>
  </w:style>
  <w:style w:type="character" w:customStyle="1" w:styleId="58">
    <w:name w:val="文档结构图 字符1"/>
    <w:link w:val="15"/>
    <w:semiHidden/>
    <w:qFormat/>
    <w:locked/>
    <w:uiPriority w:val="99"/>
    <w:rPr>
      <w:rFonts w:ascii="Times New Roman" w:hAnsi="Times New Roman" w:eastAsia="宋体" w:cs="Times New Roman"/>
      <w:sz w:val="24"/>
      <w:szCs w:val="24"/>
      <w:shd w:val="clear" w:color="auto" w:fill="000080"/>
    </w:rPr>
  </w:style>
  <w:style w:type="character" w:customStyle="1" w:styleId="59">
    <w:name w:val="批注文字 字符1"/>
    <w:link w:val="16"/>
    <w:semiHidden/>
    <w:qFormat/>
    <w:locked/>
    <w:uiPriority w:val="99"/>
    <w:rPr>
      <w:rFonts w:ascii="Times New Roman" w:hAnsi="Times New Roman" w:eastAsia="宋体" w:cs="Times New Roman"/>
      <w:sz w:val="24"/>
      <w:szCs w:val="24"/>
    </w:rPr>
  </w:style>
  <w:style w:type="character" w:customStyle="1" w:styleId="60">
    <w:name w:val="正文文本 3 字符1"/>
    <w:link w:val="17"/>
    <w:qFormat/>
    <w:locked/>
    <w:uiPriority w:val="99"/>
    <w:rPr>
      <w:rFonts w:ascii="Times New Roman" w:hAnsi="Times New Roman" w:eastAsia="宋体" w:cs="Times New Roman"/>
      <w:sz w:val="16"/>
      <w:szCs w:val="16"/>
    </w:rPr>
  </w:style>
  <w:style w:type="character" w:customStyle="1" w:styleId="61">
    <w:name w:val="正文文本 字符1"/>
    <w:link w:val="2"/>
    <w:semiHidden/>
    <w:qFormat/>
    <w:locked/>
    <w:uiPriority w:val="99"/>
    <w:rPr>
      <w:rFonts w:ascii="Times New Roman" w:hAnsi="Times New Roman" w:eastAsia="宋体" w:cs="Times New Roman"/>
      <w:sz w:val="24"/>
      <w:szCs w:val="24"/>
    </w:rPr>
  </w:style>
  <w:style w:type="character" w:customStyle="1" w:styleId="62">
    <w:name w:val="正文文本缩进 字符1"/>
    <w:link w:val="18"/>
    <w:qFormat/>
    <w:locked/>
    <w:uiPriority w:val="99"/>
    <w:rPr>
      <w:rFonts w:ascii="宋体" w:hAnsi="Times New Roman" w:eastAsia="宋体" w:cs="宋体"/>
      <w:sz w:val="20"/>
      <w:szCs w:val="20"/>
    </w:rPr>
  </w:style>
  <w:style w:type="character" w:customStyle="1" w:styleId="63">
    <w:name w:val="纯文本 字符1"/>
    <w:link w:val="22"/>
    <w:qFormat/>
    <w:locked/>
    <w:uiPriority w:val="0"/>
    <w:rPr>
      <w:rFonts w:ascii="宋体" w:hAnsi="Courier New" w:eastAsia="宋体" w:cs="宋体"/>
      <w:sz w:val="20"/>
      <w:szCs w:val="20"/>
    </w:rPr>
  </w:style>
  <w:style w:type="character" w:customStyle="1" w:styleId="64">
    <w:name w:val="日期 字符1"/>
    <w:link w:val="24"/>
    <w:semiHidden/>
    <w:qFormat/>
    <w:locked/>
    <w:uiPriority w:val="99"/>
    <w:rPr>
      <w:rFonts w:ascii="仿宋_GB2312" w:hAnsi="Times New Roman" w:eastAsia="仿宋_GB2312" w:cs="仿宋_GB2312"/>
      <w:b/>
      <w:bCs/>
      <w:sz w:val="24"/>
      <w:szCs w:val="24"/>
    </w:rPr>
  </w:style>
  <w:style w:type="character" w:customStyle="1" w:styleId="65">
    <w:name w:val="正文文本缩进 2 字符1"/>
    <w:link w:val="25"/>
    <w:semiHidden/>
    <w:qFormat/>
    <w:locked/>
    <w:uiPriority w:val="99"/>
    <w:rPr>
      <w:rFonts w:ascii="Times New Roman" w:hAnsi="Times New Roman" w:eastAsia="宋体" w:cs="Times New Roman"/>
      <w:sz w:val="24"/>
      <w:szCs w:val="24"/>
    </w:rPr>
  </w:style>
  <w:style w:type="character" w:customStyle="1" w:styleId="66">
    <w:name w:val="批注框文本 字符1"/>
    <w:link w:val="26"/>
    <w:semiHidden/>
    <w:qFormat/>
    <w:locked/>
    <w:uiPriority w:val="99"/>
    <w:rPr>
      <w:rFonts w:ascii="Times New Roman" w:hAnsi="Times New Roman" w:eastAsia="宋体" w:cs="Times New Roman"/>
      <w:sz w:val="18"/>
      <w:szCs w:val="18"/>
    </w:rPr>
  </w:style>
  <w:style w:type="character" w:customStyle="1" w:styleId="67">
    <w:name w:val="页脚 字符1"/>
    <w:link w:val="27"/>
    <w:qFormat/>
    <w:locked/>
    <w:uiPriority w:val="99"/>
    <w:rPr>
      <w:sz w:val="18"/>
      <w:szCs w:val="18"/>
    </w:rPr>
  </w:style>
  <w:style w:type="character" w:customStyle="1" w:styleId="68">
    <w:name w:val="页眉 字符1"/>
    <w:link w:val="28"/>
    <w:qFormat/>
    <w:locked/>
    <w:uiPriority w:val="99"/>
    <w:rPr>
      <w:sz w:val="18"/>
      <w:szCs w:val="18"/>
    </w:rPr>
  </w:style>
  <w:style w:type="character" w:customStyle="1" w:styleId="69">
    <w:name w:val="副标题 字符1"/>
    <w:link w:val="31"/>
    <w:qFormat/>
    <w:locked/>
    <w:uiPriority w:val="11"/>
    <w:rPr>
      <w:rFonts w:ascii="Cambria" w:hAnsi="Cambria" w:eastAsia="宋体"/>
      <w:sz w:val="24"/>
      <w:szCs w:val="24"/>
    </w:rPr>
  </w:style>
  <w:style w:type="character" w:customStyle="1" w:styleId="70">
    <w:name w:val="正文文本缩进 3 字符1"/>
    <w:link w:val="33"/>
    <w:semiHidden/>
    <w:qFormat/>
    <w:locked/>
    <w:uiPriority w:val="99"/>
    <w:rPr>
      <w:rFonts w:ascii="Times New Roman" w:hAnsi="宋体" w:eastAsia="宋体" w:cs="Times New Roman"/>
      <w:sz w:val="24"/>
      <w:szCs w:val="24"/>
    </w:rPr>
  </w:style>
  <w:style w:type="character" w:customStyle="1" w:styleId="71">
    <w:name w:val="正文文本 2 字符1"/>
    <w:link w:val="36"/>
    <w:semiHidden/>
    <w:qFormat/>
    <w:locked/>
    <w:uiPriority w:val="99"/>
    <w:rPr>
      <w:rFonts w:ascii="Times New Roman" w:hAnsi="Times New Roman" w:eastAsia="楷体_GB2312" w:cs="Times New Roman"/>
      <w:b/>
      <w:bCs/>
      <w:sz w:val="24"/>
      <w:szCs w:val="24"/>
    </w:rPr>
  </w:style>
  <w:style w:type="character" w:customStyle="1" w:styleId="72">
    <w:name w:val="标题 字符1"/>
    <w:link w:val="38"/>
    <w:qFormat/>
    <w:locked/>
    <w:uiPriority w:val="10"/>
    <w:rPr>
      <w:rFonts w:ascii="Cambria" w:hAnsi="Cambria" w:eastAsia="宋体"/>
      <w:b/>
      <w:bCs/>
      <w:kern w:val="28"/>
      <w:sz w:val="32"/>
      <w:szCs w:val="32"/>
    </w:rPr>
  </w:style>
  <w:style w:type="character" w:customStyle="1" w:styleId="73">
    <w:name w:val="批注主题 字符1"/>
    <w:link w:val="39"/>
    <w:semiHidden/>
    <w:qFormat/>
    <w:locked/>
    <w:uiPriority w:val="99"/>
    <w:rPr>
      <w:rFonts w:ascii="Times New Roman" w:hAnsi="Times New Roman" w:eastAsia="宋体" w:cs="Times New Roman"/>
      <w:b/>
      <w:bCs/>
      <w:sz w:val="24"/>
      <w:szCs w:val="24"/>
    </w:rPr>
  </w:style>
  <w:style w:type="character" w:customStyle="1" w:styleId="74">
    <w:name w:val="标题 1 Char1"/>
    <w:qFormat/>
    <w:locked/>
    <w:uiPriority w:val="99"/>
    <w:rPr>
      <w:rFonts w:ascii="宋体" w:hAnsi="Calibri" w:eastAsia="宋体" w:cs="Calibri"/>
      <w:sz w:val="44"/>
      <w:szCs w:val="44"/>
      <w:lang w:bidi="ar-SA"/>
    </w:rPr>
  </w:style>
  <w:style w:type="character" w:customStyle="1" w:styleId="75">
    <w:name w:val="标题 4 字符"/>
    <w:semiHidden/>
    <w:qFormat/>
    <w:locked/>
    <w:uiPriority w:val="99"/>
    <w:rPr>
      <w:rFonts w:ascii="Arial" w:hAnsi="Arial" w:eastAsia="黑体" w:cs="Arial"/>
      <w:b/>
      <w:bCs/>
      <w:sz w:val="28"/>
      <w:szCs w:val="28"/>
      <w:lang w:val="en-US" w:eastAsia="zh-CN"/>
    </w:rPr>
  </w:style>
  <w:style w:type="character" w:customStyle="1" w:styleId="76">
    <w:name w:val="页眉 Char"/>
    <w:qFormat/>
    <w:uiPriority w:val="99"/>
    <w:rPr>
      <w:rFonts w:eastAsia="宋体"/>
      <w:sz w:val="18"/>
      <w:szCs w:val="18"/>
      <w:lang w:bidi="ar-SA"/>
    </w:rPr>
  </w:style>
  <w:style w:type="character" w:customStyle="1" w:styleId="77">
    <w:name w:val="正文文本缩进 3 字符"/>
    <w:semiHidden/>
    <w:qFormat/>
    <w:locked/>
    <w:uiPriority w:val="99"/>
    <w:rPr>
      <w:rFonts w:ascii="Times New Roman" w:hAnsi="宋体" w:eastAsia="宋体" w:cs="Times New Roman"/>
      <w:sz w:val="24"/>
      <w:szCs w:val="24"/>
    </w:rPr>
  </w:style>
  <w:style w:type="character" w:customStyle="1" w:styleId="78">
    <w:name w:val="标题 9 Char1"/>
    <w:qFormat/>
    <w:locked/>
    <w:uiPriority w:val="99"/>
    <w:rPr>
      <w:rFonts w:ascii="Arial" w:hAnsi="Arial" w:eastAsia="黑体" w:cs="Calibri"/>
      <w:sz w:val="21"/>
      <w:szCs w:val="21"/>
      <w:lang w:bidi="ar-SA"/>
    </w:rPr>
  </w:style>
  <w:style w:type="character" w:customStyle="1" w:styleId="79">
    <w:name w:val="正文文本 字符"/>
    <w:semiHidden/>
    <w:qFormat/>
    <w:locked/>
    <w:uiPriority w:val="99"/>
    <w:rPr>
      <w:rFonts w:ascii="Times New Roman" w:hAnsi="Times New Roman" w:eastAsia="宋体" w:cs="Times New Roman"/>
      <w:sz w:val="24"/>
      <w:szCs w:val="24"/>
    </w:rPr>
  </w:style>
  <w:style w:type="character" w:customStyle="1" w:styleId="80">
    <w:name w:val="_Style 79"/>
    <w:qFormat/>
    <w:uiPriority w:val="19"/>
    <w:rPr>
      <w:i/>
      <w:color w:val="5A5A5A"/>
    </w:rPr>
  </w:style>
  <w:style w:type="character" w:customStyle="1" w:styleId="81">
    <w:name w:val="标题 6 Char1"/>
    <w:qFormat/>
    <w:locked/>
    <w:uiPriority w:val="99"/>
    <w:rPr>
      <w:rFonts w:ascii="Arial" w:hAnsi="Arial" w:eastAsia="黑体" w:cs="Calibri"/>
      <w:b/>
      <w:bCs/>
      <w:sz w:val="24"/>
      <w:szCs w:val="24"/>
      <w:lang w:bidi="ar-SA"/>
    </w:rPr>
  </w:style>
  <w:style w:type="character" w:customStyle="1" w:styleId="82">
    <w:name w:val="页脚 Char"/>
    <w:qFormat/>
    <w:locked/>
    <w:uiPriority w:val="0"/>
    <w:rPr>
      <w:rFonts w:ascii="Calibri" w:hAnsi="Calibri"/>
      <w:kern w:val="2"/>
      <w:sz w:val="18"/>
      <w:szCs w:val="18"/>
      <w:lang w:bidi="ar-SA"/>
    </w:rPr>
  </w:style>
  <w:style w:type="character" w:customStyle="1" w:styleId="83">
    <w:name w:val="Char Char3"/>
    <w:qFormat/>
    <w:uiPriority w:val="99"/>
    <w:rPr>
      <w:rFonts w:ascii="宋体" w:hAnsi="宋体" w:eastAsia="宋体" w:cs="宋体"/>
      <w:sz w:val="18"/>
      <w:szCs w:val="18"/>
      <w:lang w:val="en-US" w:eastAsia="zh-CN"/>
    </w:rPr>
  </w:style>
  <w:style w:type="character" w:customStyle="1" w:styleId="84">
    <w:name w:val="标题 2 Char1"/>
    <w:qFormat/>
    <w:locked/>
    <w:uiPriority w:val="99"/>
    <w:rPr>
      <w:rFonts w:ascii="宋体" w:hAnsi="Arial"/>
      <w:sz w:val="32"/>
      <w:szCs w:val="32"/>
    </w:rPr>
  </w:style>
  <w:style w:type="character" w:customStyle="1" w:styleId="85">
    <w:name w:val="标题 Char1"/>
    <w:qFormat/>
    <w:locked/>
    <w:uiPriority w:val="99"/>
    <w:rPr>
      <w:rFonts w:ascii="Cambria" w:hAnsi="Cambria" w:eastAsia="宋体" w:cs="Cambria"/>
      <w:b/>
      <w:bCs/>
      <w:kern w:val="0"/>
      <w:sz w:val="20"/>
      <w:szCs w:val="20"/>
    </w:rPr>
  </w:style>
  <w:style w:type="character" w:customStyle="1" w:styleId="86">
    <w:name w:val="样式111 Char"/>
    <w:link w:val="87"/>
    <w:qFormat/>
    <w:locked/>
    <w:uiPriority w:val="0"/>
    <w:rPr>
      <w:rFonts w:ascii="Calibri" w:hAnsi="Calibri" w:eastAsia="宋体"/>
      <w:kern w:val="2"/>
      <w:sz w:val="21"/>
      <w:szCs w:val="22"/>
      <w:lang w:val="en-US" w:eastAsia="zh-CN" w:bidi="ar-SA"/>
    </w:rPr>
  </w:style>
  <w:style w:type="paragraph" w:customStyle="1" w:styleId="87">
    <w:name w:val="样式111"/>
    <w:basedOn w:val="1"/>
    <w:link w:val="86"/>
    <w:qFormat/>
    <w:uiPriority w:val="0"/>
    <w:pPr>
      <w:ind w:left="550" w:leftChars="550"/>
    </w:pPr>
    <w:rPr>
      <w:rFonts w:ascii="Calibri" w:hAnsi="Calibri"/>
      <w:kern w:val="2"/>
      <w:sz w:val="21"/>
      <w:szCs w:val="22"/>
      <w:lang w:eastAsia="zh-CN" w:bidi="ar-SA"/>
    </w:rPr>
  </w:style>
  <w:style w:type="character" w:customStyle="1" w:styleId="88">
    <w:name w:val="引用 字符"/>
    <w:link w:val="89"/>
    <w:qFormat/>
    <w:uiPriority w:val="29"/>
    <w:rPr>
      <w:i/>
      <w:sz w:val="24"/>
      <w:szCs w:val="24"/>
    </w:rPr>
  </w:style>
  <w:style w:type="paragraph" w:customStyle="1" w:styleId="89">
    <w:name w:val="引用1"/>
    <w:basedOn w:val="1"/>
    <w:next w:val="1"/>
    <w:link w:val="88"/>
    <w:qFormat/>
    <w:uiPriority w:val="29"/>
    <w:rPr>
      <w:i/>
      <w:lang w:bidi="ar-SA"/>
    </w:rPr>
  </w:style>
  <w:style w:type="character" w:customStyle="1" w:styleId="90">
    <w:name w:val="textcontents1"/>
    <w:qFormat/>
    <w:uiPriority w:val="99"/>
    <w:rPr>
      <w:color w:val="000000"/>
      <w:sz w:val="22"/>
      <w:szCs w:val="22"/>
    </w:rPr>
  </w:style>
  <w:style w:type="character" w:customStyle="1" w:styleId="91">
    <w:name w:val="标题 6 字符"/>
    <w:semiHidden/>
    <w:qFormat/>
    <w:locked/>
    <w:uiPriority w:val="99"/>
    <w:rPr>
      <w:rFonts w:ascii="Arial" w:hAnsi="Arial" w:eastAsia="黑体" w:cs="Arial"/>
      <w:b/>
      <w:bCs/>
      <w:sz w:val="24"/>
      <w:szCs w:val="24"/>
      <w:lang w:val="en-US" w:eastAsia="zh-CN"/>
    </w:rPr>
  </w:style>
  <w:style w:type="character" w:customStyle="1" w:styleId="92">
    <w:name w:val="文档结构图 字符"/>
    <w:semiHidden/>
    <w:qFormat/>
    <w:locked/>
    <w:uiPriority w:val="99"/>
    <w:rPr>
      <w:rFonts w:ascii="Times New Roman" w:hAnsi="Times New Roman" w:eastAsia="宋体" w:cs="Times New Roman"/>
      <w:sz w:val="24"/>
      <w:szCs w:val="24"/>
      <w:shd w:val="clear" w:color="auto" w:fill="000080"/>
    </w:rPr>
  </w:style>
  <w:style w:type="character" w:customStyle="1" w:styleId="93">
    <w:name w:val="纯文本 字符"/>
    <w:qFormat/>
    <w:locked/>
    <w:uiPriority w:val="99"/>
    <w:rPr>
      <w:rFonts w:ascii="宋体" w:hAnsi="Courier New" w:eastAsia="宋体" w:cs="宋体"/>
      <w:sz w:val="20"/>
      <w:szCs w:val="20"/>
    </w:rPr>
  </w:style>
  <w:style w:type="character" w:customStyle="1" w:styleId="94">
    <w:name w:val="标题 5 Char1"/>
    <w:qFormat/>
    <w:locked/>
    <w:uiPriority w:val="99"/>
    <w:rPr>
      <w:rFonts w:ascii="Calibri" w:hAnsi="Calibri" w:eastAsia="宋体" w:cs="Calibri"/>
      <w:b/>
      <w:bCs/>
      <w:sz w:val="28"/>
      <w:szCs w:val="28"/>
      <w:lang w:bidi="ar-SA"/>
    </w:rPr>
  </w:style>
  <w:style w:type="character" w:customStyle="1" w:styleId="95">
    <w:name w:val="正文文本 2 字符"/>
    <w:semiHidden/>
    <w:qFormat/>
    <w:locked/>
    <w:uiPriority w:val="99"/>
    <w:rPr>
      <w:rFonts w:ascii="Times New Roman" w:hAnsi="Times New Roman" w:eastAsia="楷体_GB2312" w:cs="Times New Roman"/>
      <w:b/>
      <w:bCs/>
      <w:sz w:val="24"/>
      <w:szCs w:val="24"/>
    </w:rPr>
  </w:style>
  <w:style w:type="character" w:customStyle="1" w:styleId="96">
    <w:name w:val="标题 8 字符"/>
    <w:semiHidden/>
    <w:qFormat/>
    <w:locked/>
    <w:uiPriority w:val="99"/>
    <w:rPr>
      <w:rFonts w:ascii="Arial" w:hAnsi="Arial" w:eastAsia="黑体" w:cs="Arial"/>
      <w:sz w:val="24"/>
      <w:szCs w:val="24"/>
      <w:lang w:val="en-US" w:eastAsia="zh-CN"/>
    </w:rPr>
  </w:style>
  <w:style w:type="character" w:customStyle="1" w:styleId="97">
    <w:name w:val="日期 字符"/>
    <w:semiHidden/>
    <w:qFormat/>
    <w:locked/>
    <w:uiPriority w:val="99"/>
    <w:rPr>
      <w:rFonts w:ascii="仿宋_GB2312" w:hAnsi="Times New Roman" w:eastAsia="仿宋_GB2312" w:cs="仿宋_GB2312"/>
      <w:b/>
      <w:bCs/>
      <w:sz w:val="24"/>
      <w:szCs w:val="24"/>
    </w:rPr>
  </w:style>
  <w:style w:type="character" w:customStyle="1" w:styleId="98">
    <w:name w:val="标题 4 Char1"/>
    <w:qFormat/>
    <w:locked/>
    <w:uiPriority w:val="99"/>
    <w:rPr>
      <w:rFonts w:ascii="Arial" w:hAnsi="Arial" w:eastAsia="黑体" w:cs="Calibri"/>
      <w:b/>
      <w:bCs/>
      <w:sz w:val="28"/>
      <w:szCs w:val="28"/>
      <w:lang w:bidi="ar-SA"/>
    </w:rPr>
  </w:style>
  <w:style w:type="character" w:customStyle="1" w:styleId="99">
    <w:name w:val="正文文本缩进 2 字符"/>
    <w:semiHidden/>
    <w:qFormat/>
    <w:locked/>
    <w:uiPriority w:val="99"/>
    <w:rPr>
      <w:rFonts w:ascii="Times New Roman" w:hAnsi="Times New Roman" w:eastAsia="宋体" w:cs="Times New Roman"/>
      <w:sz w:val="24"/>
      <w:szCs w:val="24"/>
    </w:rPr>
  </w:style>
  <w:style w:type="character" w:customStyle="1" w:styleId="100">
    <w:name w:val="Intense Quote Char"/>
    <w:link w:val="101"/>
    <w:qFormat/>
    <w:locked/>
    <w:uiPriority w:val="99"/>
    <w:rPr>
      <w:b/>
      <w:bCs/>
      <w:i/>
      <w:iCs/>
      <w:color w:val="4F81BD"/>
      <w:sz w:val="22"/>
      <w:szCs w:val="22"/>
    </w:rPr>
  </w:style>
  <w:style w:type="paragraph" w:customStyle="1" w:styleId="101">
    <w:name w:val="明显引用1"/>
    <w:basedOn w:val="1"/>
    <w:next w:val="1"/>
    <w:link w:val="100"/>
    <w:qFormat/>
    <w:uiPriority w:val="99"/>
    <w:pPr>
      <w:pBdr>
        <w:bottom w:val="single" w:color="4F81BD" w:sz="4" w:space="4"/>
      </w:pBdr>
      <w:spacing w:before="200" w:after="280"/>
      <w:ind w:left="936" w:right="936"/>
    </w:pPr>
    <w:rPr>
      <w:b/>
      <w:bCs/>
      <w:i/>
      <w:iCs/>
      <w:color w:val="4F81BD"/>
      <w:sz w:val="22"/>
      <w:szCs w:val="22"/>
      <w:lang w:bidi="ar-SA"/>
    </w:rPr>
  </w:style>
  <w:style w:type="character" w:customStyle="1" w:styleId="102">
    <w:name w:val="p0 Char Char"/>
    <w:link w:val="103"/>
    <w:qFormat/>
    <w:locked/>
    <w:uiPriority w:val="99"/>
    <w:rPr>
      <w:rFonts w:ascii="Times New Roman" w:hAnsi="Times New Roman" w:eastAsia="宋体" w:cs="Times New Roman"/>
      <w:kern w:val="0"/>
      <w:sz w:val="21"/>
      <w:szCs w:val="21"/>
    </w:rPr>
  </w:style>
  <w:style w:type="paragraph" w:customStyle="1" w:styleId="103">
    <w:name w:val="p0"/>
    <w:basedOn w:val="1"/>
    <w:next w:val="1"/>
    <w:link w:val="102"/>
    <w:qFormat/>
    <w:uiPriority w:val="99"/>
    <w:rPr>
      <w:sz w:val="21"/>
      <w:szCs w:val="21"/>
      <w:lang w:bidi="ar-SA"/>
    </w:rPr>
  </w:style>
  <w:style w:type="character" w:customStyle="1" w:styleId="104">
    <w:name w:val="15"/>
    <w:qFormat/>
    <w:uiPriority w:val="99"/>
    <w:rPr>
      <w:rFonts w:ascii="Times New Roman" w:hAnsi="Times New Roman" w:cs="Times New Roman"/>
      <w:color w:val="auto"/>
      <w:u w:val="none"/>
    </w:rPr>
  </w:style>
  <w:style w:type="character" w:customStyle="1" w:styleId="105">
    <w:name w:val="标题 9 字符"/>
    <w:semiHidden/>
    <w:qFormat/>
    <w:locked/>
    <w:uiPriority w:val="99"/>
    <w:rPr>
      <w:rFonts w:ascii="Arial" w:hAnsi="Arial" w:eastAsia="黑体" w:cs="Arial"/>
      <w:sz w:val="21"/>
      <w:szCs w:val="21"/>
      <w:lang w:val="en-US" w:eastAsia="zh-CN"/>
    </w:rPr>
  </w:style>
  <w:style w:type="character" w:customStyle="1" w:styleId="106">
    <w:name w:val="批注框文本 字符"/>
    <w:semiHidden/>
    <w:qFormat/>
    <w:locked/>
    <w:uiPriority w:val="99"/>
    <w:rPr>
      <w:rFonts w:ascii="Times New Roman" w:hAnsi="Times New Roman" w:eastAsia="宋体" w:cs="Times New Roman"/>
      <w:sz w:val="18"/>
      <w:szCs w:val="18"/>
    </w:rPr>
  </w:style>
  <w:style w:type="character" w:customStyle="1" w:styleId="107">
    <w:name w:val="批注文字 字符"/>
    <w:semiHidden/>
    <w:qFormat/>
    <w:locked/>
    <w:uiPriority w:val="99"/>
    <w:rPr>
      <w:rFonts w:ascii="Times New Roman" w:hAnsi="Times New Roman" w:eastAsia="宋体" w:cs="Times New Roman"/>
      <w:sz w:val="24"/>
      <w:szCs w:val="24"/>
    </w:rPr>
  </w:style>
  <w:style w:type="character" w:customStyle="1" w:styleId="108">
    <w:name w:val="页眉 字符"/>
    <w:qFormat/>
    <w:locked/>
    <w:uiPriority w:val="99"/>
    <w:rPr>
      <w:sz w:val="18"/>
      <w:szCs w:val="18"/>
    </w:rPr>
  </w:style>
  <w:style w:type="character" w:customStyle="1" w:styleId="109">
    <w:name w:val="标题 3 Char1"/>
    <w:qFormat/>
    <w:locked/>
    <w:uiPriority w:val="99"/>
    <w:rPr>
      <w:rFonts w:ascii="Calibri" w:hAnsi="Calibri" w:eastAsia="宋体" w:cs="Calibri"/>
      <w:b/>
      <w:bCs/>
      <w:sz w:val="32"/>
      <w:szCs w:val="32"/>
      <w:lang w:val="en-US" w:eastAsia="zh-CN" w:bidi="ar-SA"/>
    </w:rPr>
  </w:style>
  <w:style w:type="character" w:customStyle="1" w:styleId="110">
    <w:name w:val="副标题 Char1"/>
    <w:qFormat/>
    <w:locked/>
    <w:uiPriority w:val="99"/>
    <w:rPr>
      <w:rFonts w:ascii="Calibri Light" w:hAnsi="Calibri Light" w:eastAsia="宋体" w:cs="Calibri Light"/>
      <w:b/>
      <w:bCs/>
      <w:kern w:val="28"/>
      <w:sz w:val="20"/>
      <w:szCs w:val="20"/>
    </w:rPr>
  </w:style>
  <w:style w:type="character" w:customStyle="1" w:styleId="111">
    <w:name w:val="apple-style-span"/>
    <w:qFormat/>
    <w:uiPriority w:val="99"/>
  </w:style>
  <w:style w:type="character" w:customStyle="1" w:styleId="112">
    <w:name w:val="标题 2 字符"/>
    <w:qFormat/>
    <w:locked/>
    <w:uiPriority w:val="99"/>
    <w:rPr>
      <w:rFonts w:ascii="宋体" w:hAnsi="Arial" w:eastAsia="宋体" w:cs="宋体"/>
      <w:sz w:val="32"/>
      <w:szCs w:val="32"/>
      <w:lang w:val="en-US" w:eastAsia="zh-CN"/>
    </w:rPr>
  </w:style>
  <w:style w:type="character" w:customStyle="1" w:styleId="113">
    <w:name w:val="正文文本缩进 Char"/>
    <w:qFormat/>
    <w:locked/>
    <w:uiPriority w:val="0"/>
    <w:rPr>
      <w:rFonts w:ascii="宋体" w:eastAsia="宋体"/>
      <w:kern w:val="2"/>
      <w:sz w:val="32"/>
      <w:szCs w:val="32"/>
      <w:lang w:bidi="ar-SA"/>
    </w:rPr>
  </w:style>
  <w:style w:type="character" w:customStyle="1" w:styleId="114">
    <w:name w:val="页脚 字符"/>
    <w:qFormat/>
    <w:locked/>
    <w:uiPriority w:val="99"/>
    <w:rPr>
      <w:sz w:val="18"/>
      <w:szCs w:val="18"/>
    </w:rPr>
  </w:style>
  <w:style w:type="character" w:customStyle="1" w:styleId="115">
    <w:name w:val="Char Char10"/>
    <w:qFormat/>
    <w:uiPriority w:val="99"/>
    <w:rPr>
      <w:rFonts w:ascii="宋体" w:hAnsi="Courier New" w:eastAsia="宋体" w:cs="宋体"/>
      <w:kern w:val="2"/>
      <w:sz w:val="24"/>
      <w:szCs w:val="24"/>
      <w:lang w:val="en-US" w:eastAsia="zh-CN"/>
    </w:rPr>
  </w:style>
  <w:style w:type="character" w:customStyle="1" w:styleId="116">
    <w:name w:val="纯文本 Char"/>
    <w:qFormat/>
    <w:locked/>
    <w:uiPriority w:val="0"/>
    <w:rPr>
      <w:rFonts w:ascii="宋体" w:hAnsi="Courier New" w:eastAsia="宋体"/>
      <w:kern w:val="2"/>
      <w:sz w:val="21"/>
      <w:szCs w:val="21"/>
      <w:lang w:bidi="ar-SA"/>
    </w:rPr>
  </w:style>
  <w:style w:type="character" w:customStyle="1" w:styleId="117">
    <w:name w:val="批注主题 字符"/>
    <w:semiHidden/>
    <w:qFormat/>
    <w:locked/>
    <w:uiPriority w:val="99"/>
    <w:rPr>
      <w:rFonts w:ascii="Times New Roman" w:hAnsi="Times New Roman" w:eastAsia="宋体" w:cs="Times New Roman"/>
      <w:b/>
      <w:bCs/>
      <w:sz w:val="24"/>
      <w:szCs w:val="24"/>
    </w:rPr>
  </w:style>
  <w:style w:type="character" w:customStyle="1" w:styleId="118">
    <w:name w:val="明显引用 字符"/>
    <w:link w:val="119"/>
    <w:qFormat/>
    <w:uiPriority w:val="30"/>
    <w:rPr>
      <w:b/>
      <w:i/>
      <w:sz w:val="24"/>
    </w:rPr>
  </w:style>
  <w:style w:type="paragraph" w:customStyle="1" w:styleId="119">
    <w:name w:val="明显引用2"/>
    <w:basedOn w:val="1"/>
    <w:next w:val="1"/>
    <w:link w:val="118"/>
    <w:qFormat/>
    <w:uiPriority w:val="30"/>
    <w:pPr>
      <w:ind w:left="720" w:right="720"/>
    </w:pPr>
    <w:rPr>
      <w:b/>
      <w:i/>
      <w:szCs w:val="20"/>
      <w:lang w:bidi="ar-SA"/>
    </w:rPr>
  </w:style>
  <w:style w:type="character" w:customStyle="1" w:styleId="120">
    <w:name w:val="标题 8 Char1"/>
    <w:qFormat/>
    <w:locked/>
    <w:uiPriority w:val="99"/>
    <w:rPr>
      <w:rFonts w:ascii="Arial" w:hAnsi="Arial" w:eastAsia="黑体" w:cs="Calibri"/>
      <w:sz w:val="24"/>
      <w:szCs w:val="24"/>
      <w:lang w:bidi="ar-SA"/>
    </w:rPr>
  </w:style>
  <w:style w:type="character" w:customStyle="1" w:styleId="121">
    <w:name w:val="标题 1 字符"/>
    <w:qFormat/>
    <w:locked/>
    <w:uiPriority w:val="99"/>
    <w:rPr>
      <w:rFonts w:ascii="宋体" w:eastAsia="宋体" w:cs="宋体"/>
      <w:sz w:val="44"/>
      <w:szCs w:val="44"/>
      <w:lang w:val="en-US" w:eastAsia="zh-CN"/>
    </w:rPr>
  </w:style>
  <w:style w:type="character" w:customStyle="1" w:styleId="122">
    <w:name w:val="标题 字符"/>
    <w:qFormat/>
    <w:locked/>
    <w:uiPriority w:val="99"/>
    <w:rPr>
      <w:rFonts w:ascii="Cambria" w:hAnsi="Cambria" w:eastAsia="宋体" w:cs="Cambria"/>
      <w:b/>
      <w:bCs/>
      <w:kern w:val="0"/>
      <w:sz w:val="20"/>
      <w:szCs w:val="20"/>
    </w:rPr>
  </w:style>
  <w:style w:type="character" w:customStyle="1" w:styleId="123">
    <w:name w:val="标题 3 字符"/>
    <w:semiHidden/>
    <w:qFormat/>
    <w:locked/>
    <w:uiPriority w:val="99"/>
    <w:rPr>
      <w:rFonts w:eastAsia="宋体"/>
      <w:b/>
      <w:bCs/>
      <w:sz w:val="32"/>
      <w:szCs w:val="32"/>
      <w:lang w:val="en-US" w:eastAsia="zh-CN"/>
    </w:rPr>
  </w:style>
  <w:style w:type="character" w:customStyle="1" w:styleId="124">
    <w:name w:val="_Style 123"/>
    <w:qFormat/>
    <w:uiPriority w:val="32"/>
    <w:rPr>
      <w:b/>
      <w:sz w:val="24"/>
      <w:u w:val="single"/>
    </w:rPr>
  </w:style>
  <w:style w:type="character" w:customStyle="1" w:styleId="125">
    <w:name w:val="正文文本缩进 字符"/>
    <w:qFormat/>
    <w:locked/>
    <w:uiPriority w:val="99"/>
    <w:rPr>
      <w:rFonts w:ascii="宋体" w:hAnsi="Times New Roman" w:eastAsia="宋体" w:cs="宋体"/>
      <w:sz w:val="20"/>
      <w:szCs w:val="20"/>
    </w:rPr>
  </w:style>
  <w:style w:type="character" w:customStyle="1" w:styleId="126">
    <w:name w:val="正文文本 3 字符"/>
    <w:qFormat/>
    <w:locked/>
    <w:uiPriority w:val="99"/>
    <w:rPr>
      <w:rFonts w:ascii="Times New Roman" w:hAnsi="Times New Roman" w:eastAsia="宋体" w:cs="Times New Roman"/>
      <w:sz w:val="16"/>
      <w:szCs w:val="16"/>
    </w:rPr>
  </w:style>
  <w:style w:type="character" w:customStyle="1" w:styleId="127">
    <w:name w:val="_Style 126"/>
    <w:qFormat/>
    <w:uiPriority w:val="31"/>
    <w:rPr>
      <w:sz w:val="24"/>
      <w:szCs w:val="24"/>
      <w:u w:val="single"/>
    </w:rPr>
  </w:style>
  <w:style w:type="character" w:customStyle="1" w:styleId="128">
    <w:name w:val="正文文本 3 Char"/>
    <w:qFormat/>
    <w:locked/>
    <w:uiPriority w:val="0"/>
    <w:rPr>
      <w:kern w:val="2"/>
      <w:sz w:val="16"/>
      <w:szCs w:val="16"/>
      <w:lang w:bidi="ar-SA"/>
    </w:rPr>
  </w:style>
  <w:style w:type="character" w:customStyle="1" w:styleId="129">
    <w:name w:val="标题 7 字符"/>
    <w:semiHidden/>
    <w:qFormat/>
    <w:locked/>
    <w:uiPriority w:val="99"/>
    <w:rPr>
      <w:rFonts w:eastAsia="宋体"/>
      <w:b/>
      <w:bCs/>
      <w:sz w:val="24"/>
      <w:szCs w:val="24"/>
      <w:lang w:val="en-US" w:eastAsia="zh-CN"/>
    </w:rPr>
  </w:style>
  <w:style w:type="character" w:customStyle="1" w:styleId="130">
    <w:name w:val="textcontents"/>
    <w:qFormat/>
    <w:uiPriority w:val="99"/>
  </w:style>
  <w:style w:type="character" w:customStyle="1" w:styleId="131">
    <w:name w:val="标题 5 字符"/>
    <w:semiHidden/>
    <w:qFormat/>
    <w:locked/>
    <w:uiPriority w:val="99"/>
    <w:rPr>
      <w:rFonts w:eastAsia="宋体"/>
      <w:b/>
      <w:bCs/>
      <w:sz w:val="28"/>
      <w:szCs w:val="28"/>
      <w:lang w:val="en-US" w:eastAsia="zh-CN"/>
    </w:rPr>
  </w:style>
  <w:style w:type="character" w:customStyle="1" w:styleId="132">
    <w:name w:val="_Style 131"/>
    <w:qFormat/>
    <w:uiPriority w:val="33"/>
    <w:rPr>
      <w:rFonts w:ascii="Cambria" w:hAnsi="Cambria" w:eastAsia="宋体"/>
      <w:b/>
      <w:i/>
      <w:sz w:val="24"/>
      <w:szCs w:val="24"/>
    </w:rPr>
  </w:style>
  <w:style w:type="character" w:customStyle="1" w:styleId="133">
    <w:name w:val="副标题 字符"/>
    <w:qFormat/>
    <w:locked/>
    <w:uiPriority w:val="99"/>
    <w:rPr>
      <w:rFonts w:ascii="Calibri Light" w:hAnsi="Calibri Light" w:eastAsia="宋体" w:cs="Calibri Light"/>
      <w:b/>
      <w:bCs/>
      <w:kern w:val="28"/>
      <w:sz w:val="20"/>
      <w:szCs w:val="20"/>
    </w:rPr>
  </w:style>
  <w:style w:type="character" w:customStyle="1" w:styleId="134">
    <w:name w:val="_Style 133"/>
    <w:qFormat/>
    <w:uiPriority w:val="21"/>
    <w:rPr>
      <w:b/>
      <w:i/>
      <w:sz w:val="24"/>
      <w:szCs w:val="24"/>
      <w:u w:val="single"/>
    </w:rPr>
  </w:style>
  <w:style w:type="character" w:customStyle="1" w:styleId="135">
    <w:name w:val="标题 7 Char1"/>
    <w:qFormat/>
    <w:locked/>
    <w:uiPriority w:val="99"/>
    <w:rPr>
      <w:rFonts w:ascii="Calibri" w:hAnsi="Calibri" w:eastAsia="宋体" w:cs="Calibri"/>
      <w:b/>
      <w:bCs/>
      <w:sz w:val="24"/>
      <w:szCs w:val="24"/>
      <w:lang w:bidi="ar-SA"/>
    </w:rPr>
  </w:style>
  <w:style w:type="paragraph" w:customStyle="1" w:styleId="136">
    <w:name w:val="CM35"/>
    <w:basedOn w:val="137"/>
    <w:next w:val="137"/>
    <w:qFormat/>
    <w:uiPriority w:val="99"/>
    <w:rPr>
      <w:color w:val="auto"/>
    </w:rPr>
  </w:style>
  <w:style w:type="paragraph" w:customStyle="1" w:styleId="137">
    <w:name w:val="Default"/>
    <w:next w:val="28"/>
    <w:qFormat/>
    <w:uiPriority w:val="99"/>
    <w:pPr>
      <w:widowControl w:val="0"/>
      <w:autoSpaceDE w:val="0"/>
      <w:autoSpaceDN w:val="0"/>
      <w:adjustRightInd w:val="0"/>
      <w:spacing w:after="200" w:line="276" w:lineRule="auto"/>
    </w:pPr>
    <w:rPr>
      <w:rFonts w:ascii="Times New Roman" w:hAnsi="Times New Roman" w:eastAsia="宋体" w:cs="Times New Roman"/>
      <w:color w:val="000000"/>
      <w:sz w:val="24"/>
      <w:szCs w:val="24"/>
      <w:lang w:val="en-US" w:eastAsia="zh-CN" w:bidi="ar-SA"/>
    </w:rPr>
  </w:style>
  <w:style w:type="paragraph" w:customStyle="1" w:styleId="138">
    <w:name w:val="列出段落2"/>
    <w:basedOn w:val="1"/>
    <w:qFormat/>
    <w:uiPriority w:val="0"/>
    <w:pPr>
      <w:ind w:firstLine="420" w:firstLineChars="200"/>
    </w:pPr>
    <w:rPr>
      <w:szCs w:val="22"/>
    </w:rPr>
  </w:style>
  <w:style w:type="paragraph" w:customStyle="1" w:styleId="139">
    <w:name w:val="_Style 61"/>
    <w:next w:val="1"/>
    <w:qFormat/>
    <w:uiPriority w:val="99"/>
    <w:pPr>
      <w:widowControl w:val="0"/>
      <w:spacing w:after="200" w:line="276" w:lineRule="auto"/>
      <w:jc w:val="both"/>
    </w:pPr>
    <w:rPr>
      <w:rFonts w:ascii="Times New Roman" w:hAnsi="Times New Roman" w:eastAsia="宋体" w:cs="Times New Roman"/>
      <w:kern w:val="2"/>
      <w:sz w:val="21"/>
      <w:szCs w:val="21"/>
      <w:lang w:val="en-US" w:eastAsia="zh-CN" w:bidi="ar-SA"/>
    </w:rPr>
  </w:style>
  <w:style w:type="paragraph" w:customStyle="1" w:styleId="140">
    <w:name w:val="TOC 标题1"/>
    <w:basedOn w:val="3"/>
    <w:next w:val="1"/>
    <w:qFormat/>
    <w:uiPriority w:val="99"/>
    <w:pPr>
      <w:tabs>
        <w:tab w:val="left" w:pos="432"/>
      </w:tabs>
      <w:spacing w:before="480" w:after="0" w:line="276" w:lineRule="auto"/>
      <w:outlineLvl w:val="9"/>
    </w:pPr>
    <w:rPr>
      <w:rFonts w:cs="Cambria"/>
      <w:b w:val="0"/>
      <w:bCs w:val="0"/>
      <w:color w:val="365F91"/>
    </w:rPr>
  </w:style>
  <w:style w:type="paragraph" w:customStyle="1" w:styleId="141">
    <w:name w:val="CM25"/>
    <w:basedOn w:val="137"/>
    <w:next w:val="137"/>
    <w:qFormat/>
    <w:uiPriority w:val="99"/>
    <w:pPr>
      <w:spacing w:line="426" w:lineRule="atLeast"/>
    </w:pPr>
    <w:rPr>
      <w:color w:val="auto"/>
    </w:rPr>
  </w:style>
  <w:style w:type="paragraph" w:customStyle="1" w:styleId="142">
    <w:name w:val="样式 宋体 行距: 1.5 倍行距"/>
    <w:basedOn w:val="1"/>
    <w:qFormat/>
    <w:uiPriority w:val="0"/>
    <w:pPr>
      <w:jc w:val="center"/>
    </w:pPr>
    <w:rPr>
      <w:b/>
      <w:szCs w:val="20"/>
    </w:rPr>
  </w:style>
  <w:style w:type="paragraph" w:customStyle="1" w:styleId="143">
    <w:name w:val="文一"/>
    <w:basedOn w:val="1"/>
    <w:next w:val="1"/>
    <w:qFormat/>
    <w:uiPriority w:val="99"/>
    <w:pPr>
      <w:topLinePunct/>
      <w:adjustRightInd w:val="0"/>
      <w:snapToGrid w:val="0"/>
      <w:spacing w:line="360" w:lineRule="auto"/>
      <w:ind w:firstLine="200" w:firstLineChars="200"/>
    </w:pPr>
    <w:rPr>
      <w:spacing w:val="4"/>
    </w:rPr>
  </w:style>
  <w:style w:type="paragraph" w:customStyle="1" w:styleId="144">
    <w:name w:val="_Style 143"/>
    <w:basedOn w:val="3"/>
    <w:next w:val="1"/>
    <w:qFormat/>
    <w:uiPriority w:val="39"/>
    <w:pPr>
      <w:outlineLvl w:val="9"/>
    </w:pPr>
  </w:style>
  <w:style w:type="paragraph" w:customStyle="1" w:styleId="145">
    <w:name w:val="Char Char Char Char Char Char Char"/>
    <w:basedOn w:val="1"/>
    <w:next w:val="1"/>
    <w:qFormat/>
    <w:uiPriority w:val="99"/>
    <w:pPr>
      <w:spacing w:after="160" w:line="240" w:lineRule="exact"/>
    </w:pPr>
    <w:rPr>
      <w:rFonts w:ascii="Arial" w:hAnsi="Arial" w:cs="Arial"/>
      <w:b/>
      <w:bCs/>
    </w:rPr>
  </w:style>
  <w:style w:type="paragraph" w:customStyle="1" w:styleId="146">
    <w:name w:val="_Style 4"/>
    <w:basedOn w:val="3"/>
    <w:next w:val="1"/>
    <w:qFormat/>
    <w:uiPriority w:val="99"/>
    <w:pPr>
      <w:widowControl w:val="0"/>
      <w:tabs>
        <w:tab w:val="left" w:pos="432"/>
      </w:tabs>
      <w:spacing w:line="576" w:lineRule="auto"/>
      <w:jc w:val="both"/>
      <w:outlineLvl w:val="9"/>
    </w:pPr>
    <w:rPr>
      <w:rFonts w:ascii="Calibri" w:hAnsi="Calibri" w:cs="Calibri"/>
      <w:b w:val="0"/>
      <w:bCs w:val="0"/>
      <w:kern w:val="44"/>
      <w:sz w:val="44"/>
      <w:szCs w:val="44"/>
    </w:rPr>
  </w:style>
  <w:style w:type="paragraph" w:customStyle="1" w:styleId="147">
    <w:name w:val="CM39"/>
    <w:basedOn w:val="137"/>
    <w:next w:val="137"/>
    <w:qFormat/>
    <w:uiPriority w:val="99"/>
    <w:rPr>
      <w:color w:val="auto"/>
    </w:rPr>
  </w:style>
  <w:style w:type="paragraph" w:customStyle="1" w:styleId="148">
    <w:name w:val="_Style 147"/>
    <w:unhideWhenUsed/>
    <w:qFormat/>
    <w:uiPriority w:val="99"/>
    <w:rPr>
      <w:rFonts w:ascii="Times New Roman" w:hAnsi="Times New Roman" w:eastAsia="宋体" w:cs="Times New Roman"/>
      <w:sz w:val="24"/>
      <w:szCs w:val="24"/>
      <w:lang w:val="en-US" w:eastAsia="en-US" w:bidi="en-US"/>
    </w:rPr>
  </w:style>
  <w:style w:type="paragraph" w:customStyle="1" w:styleId="149">
    <w:name w:val="x_msonormal"/>
    <w:basedOn w:val="1"/>
    <w:qFormat/>
    <w:uiPriority w:val="99"/>
    <w:pPr>
      <w:spacing w:before="100" w:beforeAutospacing="1" w:after="100" w:afterAutospacing="1"/>
    </w:pPr>
    <w:rPr>
      <w:rFonts w:ascii="宋体" w:hAnsi="宋体" w:cs="宋体"/>
    </w:rPr>
  </w:style>
  <w:style w:type="paragraph" w:customStyle="1" w:styleId="150">
    <w:name w:val="CM6"/>
    <w:basedOn w:val="137"/>
    <w:next w:val="137"/>
    <w:qFormat/>
    <w:uiPriority w:val="99"/>
    <w:pPr>
      <w:spacing w:line="428" w:lineRule="atLeast"/>
    </w:pPr>
    <w:rPr>
      <w:color w:val="auto"/>
    </w:rPr>
  </w:style>
  <w:style w:type="paragraph" w:customStyle="1" w:styleId="151">
    <w:name w:val="列表段落1"/>
    <w:basedOn w:val="1"/>
    <w:qFormat/>
    <w:uiPriority w:val="34"/>
    <w:pPr>
      <w:ind w:left="720"/>
      <w:contextualSpacing/>
    </w:pPr>
  </w:style>
  <w:style w:type="paragraph" w:customStyle="1" w:styleId="152">
    <w:name w:val="CM5"/>
    <w:basedOn w:val="137"/>
    <w:next w:val="137"/>
    <w:qFormat/>
    <w:uiPriority w:val="99"/>
    <w:pPr>
      <w:spacing w:line="428" w:lineRule="atLeast"/>
    </w:pPr>
    <w:rPr>
      <w:color w:val="auto"/>
    </w:rPr>
  </w:style>
  <w:style w:type="paragraph" w:customStyle="1" w:styleId="153">
    <w:name w:val="Char"/>
    <w:basedOn w:val="1"/>
    <w:next w:val="1"/>
    <w:qFormat/>
    <w:uiPriority w:val="99"/>
  </w:style>
  <w:style w:type="paragraph" w:customStyle="1" w:styleId="154">
    <w:name w:val="xl26"/>
    <w:basedOn w:val="1"/>
    <w:next w:val="1"/>
    <w:qFormat/>
    <w:uiPriority w:val="99"/>
    <w:pPr>
      <w:pBdr>
        <w:left w:val="single" w:color="auto" w:sz="4" w:space="0"/>
        <w:bottom w:val="single" w:color="auto" w:sz="4" w:space="0"/>
        <w:right w:val="single" w:color="auto" w:sz="4" w:space="0"/>
      </w:pBdr>
      <w:spacing w:before="100" w:beforeAutospacing="1" w:after="100" w:afterAutospacing="1"/>
      <w:jc w:val="center"/>
    </w:pPr>
    <w:rPr>
      <w:rFonts w:ascii="宋体" w:hAnsi="宋体" w:cs="宋体"/>
    </w:rPr>
  </w:style>
  <w:style w:type="paragraph" w:customStyle="1" w:styleId="155">
    <w:name w:val="Normal_0"/>
    <w:next w:val="1"/>
    <w:qFormat/>
    <w:uiPriority w:val="99"/>
    <w:pPr>
      <w:spacing w:before="120" w:after="240" w:line="276" w:lineRule="auto"/>
      <w:jc w:val="both"/>
    </w:pPr>
    <w:rPr>
      <w:rFonts w:ascii="Times New Roman" w:hAnsi="Times New Roman" w:eastAsia="宋体" w:cs="Times New Roman"/>
      <w:sz w:val="22"/>
      <w:szCs w:val="22"/>
      <w:lang w:val="ru-RU" w:eastAsia="en-US" w:bidi="ar-SA"/>
    </w:rPr>
  </w:style>
  <w:style w:type="paragraph" w:customStyle="1" w:styleId="156">
    <w:name w:val="无间隔1"/>
    <w:basedOn w:val="1"/>
    <w:qFormat/>
    <w:uiPriority w:val="1"/>
    <w:rPr>
      <w:szCs w:val="32"/>
    </w:rPr>
  </w:style>
  <w:style w:type="paragraph" w:customStyle="1" w:styleId="157">
    <w:name w:val="zhang"/>
    <w:basedOn w:val="1"/>
    <w:next w:val="1"/>
    <w:qFormat/>
    <w:uiPriority w:val="99"/>
    <w:pPr>
      <w:spacing w:before="100" w:beforeAutospacing="1" w:after="100" w:afterAutospacing="1"/>
    </w:pPr>
    <w:rPr>
      <w:rFonts w:ascii="宋体" w:hAnsi="宋体" w:cs="宋体"/>
      <w:b/>
      <w:bCs/>
      <w:smallCaps/>
      <w:color w:val="000000"/>
      <w:sz w:val="20"/>
      <w:szCs w:val="20"/>
    </w:rPr>
  </w:style>
  <w:style w:type="paragraph" w:customStyle="1" w:styleId="158">
    <w:name w:val="List Paragraph1"/>
    <w:basedOn w:val="1"/>
    <w:qFormat/>
    <w:uiPriority w:val="99"/>
    <w:pPr>
      <w:ind w:firstLine="420" w:firstLineChars="200"/>
    </w:pPr>
  </w:style>
  <w:style w:type="paragraph" w:customStyle="1" w:styleId="159">
    <w:name w:val="font0"/>
    <w:basedOn w:val="1"/>
    <w:next w:val="1"/>
    <w:qFormat/>
    <w:uiPriority w:val="99"/>
    <w:pPr>
      <w:spacing w:before="100" w:beforeAutospacing="1" w:after="100" w:afterAutospacing="1"/>
    </w:pPr>
    <w:rPr>
      <w:rFonts w:ascii="宋体" w:hAnsi="宋体" w:cs="宋体"/>
    </w:rPr>
  </w:style>
  <w:style w:type="paragraph" w:customStyle="1" w:styleId="160">
    <w:name w:val="CM31"/>
    <w:basedOn w:val="137"/>
    <w:next w:val="137"/>
    <w:qFormat/>
    <w:uiPriority w:val="99"/>
    <w:pPr>
      <w:spacing w:line="426" w:lineRule="atLeast"/>
    </w:pPr>
    <w:rPr>
      <w:color w:val="auto"/>
    </w:rPr>
  </w:style>
  <w:style w:type="paragraph" w:customStyle="1" w:styleId="161">
    <w:name w:val="正文1"/>
    <w:qFormat/>
    <w:uiPriority w:val="0"/>
    <w:pPr>
      <w:jc w:val="both"/>
    </w:pPr>
    <w:rPr>
      <w:rFonts w:ascii="Times New Roman" w:hAnsi="Times New Roman" w:eastAsia="宋体" w:cs="Times New Roman"/>
      <w:kern w:val="2"/>
      <w:sz w:val="21"/>
      <w:szCs w:val="21"/>
      <w:lang w:val="en-US" w:eastAsia="zh-CN" w:bidi="ar-SA"/>
    </w:rPr>
  </w:style>
  <w:style w:type="paragraph" w:customStyle="1" w:styleId="162">
    <w:name w:val="正文 New New"/>
    <w:qFormat/>
    <w:uiPriority w:val="0"/>
    <w:pPr>
      <w:widowControl w:val="0"/>
      <w:jc w:val="both"/>
    </w:pPr>
    <w:rPr>
      <w:rFonts w:ascii="Calibri" w:hAnsi="Calibri" w:eastAsia="宋体" w:cs="Times New Roman"/>
      <w:kern w:val="2"/>
      <w:sz w:val="21"/>
      <w:szCs w:val="22"/>
      <w:lang w:val="en-US" w:eastAsia="zh-CN" w:bidi="ar-SA"/>
    </w:rPr>
  </w:style>
  <w:style w:type="paragraph" w:customStyle="1" w:styleId="163">
    <w:name w:val="报告正文 Char"/>
    <w:basedOn w:val="1"/>
    <w:qFormat/>
    <w:uiPriority w:val="0"/>
    <w:pPr>
      <w:adjustRightInd w:val="0"/>
      <w:snapToGrid w:val="0"/>
      <w:spacing w:line="312" w:lineRule="auto"/>
      <w:ind w:left="2600"/>
    </w:pPr>
    <w:rPr>
      <w:rFonts w:ascii="华文细黑" w:eastAsia="华文细黑"/>
      <w:sz w:val="20"/>
      <w:szCs w:val="20"/>
    </w:rPr>
  </w:style>
  <w:style w:type="paragraph" w:customStyle="1" w:styleId="164">
    <w:name w:val="修订1"/>
    <w:hidden/>
    <w:unhideWhenUsed/>
    <w:qFormat/>
    <w:uiPriority w:val="99"/>
    <w:rPr>
      <w:rFonts w:ascii="Times New Roman" w:hAnsi="Times New Roman" w:eastAsia="宋体" w:cs="Times New Roman"/>
      <w:sz w:val="24"/>
      <w:szCs w:val="24"/>
      <w:lang w:val="en-US" w:eastAsia="en-US" w:bidi="en-US"/>
    </w:rPr>
  </w:style>
  <w:style w:type="paragraph" w:styleId="165">
    <w:name w:val="List Paragraph"/>
    <w:basedOn w:val="1"/>
    <w:qFormat/>
    <w:uiPriority w:val="34"/>
    <w:pPr>
      <w:ind w:firstLine="420" w:firstLineChars="200"/>
    </w:pPr>
  </w:style>
  <w:style w:type="paragraph" w:customStyle="1" w:styleId="166">
    <w:name w:val="修订2"/>
    <w:hidden/>
    <w:unhideWhenUsed/>
    <w:qFormat/>
    <w:uiPriority w:val="99"/>
    <w:rPr>
      <w:rFonts w:ascii="Times New Roman" w:hAnsi="Times New Roman" w:eastAsia="宋体" w:cs="Times New Roman"/>
      <w:sz w:val="24"/>
      <w:szCs w:val="24"/>
      <w:lang w:val="en-US" w:eastAsia="en-US" w:bidi="en-US"/>
    </w:rPr>
  </w:style>
  <w:style w:type="paragraph" w:customStyle="1" w:styleId="167">
    <w:name w:val="Revision"/>
    <w:hidden/>
    <w:unhideWhenUsed/>
    <w:qFormat/>
    <w:uiPriority w:val="99"/>
    <w:rPr>
      <w:rFonts w:ascii="Times New Roman" w:hAnsi="Times New Roman" w:eastAsia="宋体" w:cs="Times New Roman"/>
      <w:sz w:val="24"/>
      <w:szCs w:val="24"/>
      <w:lang w:val="en-US" w:eastAsia="en-US" w:bidi="en-U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theme" Target="theme/theme1.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Company>HP</Company>
  <Pages>280</Pages>
  <Words>14049</Words>
  <Characters>15277</Characters>
  <Lines>1</Lines>
  <Paragraphs>1</Paragraphs>
  <TotalTime>4</TotalTime>
  <ScaleCrop>false</ScaleCrop>
  <LinksUpToDate>false</LinksUpToDate>
  <CharactersWithSpaces>16281</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2024-07-11T18:03:00Z</dcterms:created>
  <dc:creator>wangshengxiang</dc:creator>
  <cp:lastModifiedBy>W</cp:lastModifiedBy>
  <dcterms:modified xsi:type="dcterms:W3CDTF">2025-04-28T05:01:54Z</dcterms:modified>
  <dc:title>SF-2019-0204</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ICV">
    <vt:lpwstr>8035083D6E4A4EC6A99901E86703D37F</vt:lpwstr>
  </property>
  <property fmtid="{D5CDD505-2E9C-101B-9397-08002B2CF9AE}" pid="4" name="KSOTemplateDocerSaveRecord">
    <vt:lpwstr>eyJoZGlkIjoiYThlZjk4ZmYxYTZiZjQ3ZGIwM2ZiM2QxODc4ZDAzNWMiLCJ1c2VySWQiOiIxMjMwMzg1ODYzIn0=</vt:lpwstr>
  </property>
</Properties>
</file>