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29AA">
      <w:pPr>
        <w:adjustRightInd w:val="0"/>
        <w:snapToGrid w:val="0"/>
        <w:spacing w:line="360" w:lineRule="auto"/>
        <w:ind w:firstLine="126" w:firstLineChars="45"/>
        <w:rPr>
          <w:rFonts w:ascii="黑体" w:hAnsi="Times New Roman" w:eastAsia="黑体" w:cs="黑体"/>
          <w:color w:val="auto"/>
          <w:sz w:val="28"/>
          <w:highlight w:val="none"/>
        </w:rPr>
      </w:pPr>
      <w:bookmarkStart w:id="17" w:name="_GoBack"/>
      <w:bookmarkEnd w:id="17"/>
      <w:r>
        <w:rPr>
          <w:rFonts w:hint="eastAsia" w:ascii="黑体" w:hAnsi="Times New Roman" w:eastAsia="黑体" w:cs="黑体"/>
          <w:color w:val="auto"/>
          <w:sz w:val="28"/>
          <w:highlight w:val="none"/>
          <w:lang w:bidi="ar"/>
        </w:rPr>
        <w:t>合同编号：</w:t>
      </w:r>
    </w:p>
    <w:p w14:paraId="78672484">
      <w:pPr>
        <w:adjustRightInd w:val="0"/>
        <w:snapToGrid w:val="0"/>
        <w:spacing w:line="360" w:lineRule="auto"/>
        <w:rPr>
          <w:rFonts w:ascii="黑体" w:hAnsi="Times New Roman" w:eastAsia="黑体" w:cs="黑体"/>
          <w:color w:val="auto"/>
          <w:sz w:val="44"/>
          <w:highlight w:val="none"/>
        </w:rPr>
      </w:pPr>
    </w:p>
    <w:p w14:paraId="4CCE5843">
      <w:pPr>
        <w:adjustRightInd w:val="0"/>
        <w:snapToGrid w:val="0"/>
        <w:spacing w:line="360" w:lineRule="auto"/>
        <w:rPr>
          <w:rFonts w:ascii="黑体" w:hAnsi="Times New Roman" w:eastAsia="黑体" w:cs="黑体"/>
          <w:color w:val="auto"/>
          <w:sz w:val="44"/>
          <w:highlight w:val="none"/>
        </w:rPr>
      </w:pPr>
    </w:p>
    <w:p w14:paraId="3040DFE2">
      <w:pPr>
        <w:adjustRightInd w:val="0"/>
        <w:snapToGrid w:val="0"/>
        <w:spacing w:line="360" w:lineRule="auto"/>
        <w:ind w:firstLine="418" w:firstLineChars="80"/>
        <w:jc w:val="center"/>
        <w:rPr>
          <w:rFonts w:ascii="黑体" w:hAnsi="Times New Roman" w:eastAsia="黑体" w:cs="黑体"/>
          <w:b/>
          <w:color w:val="auto"/>
          <w:sz w:val="52"/>
          <w:highlight w:val="none"/>
        </w:rPr>
      </w:pPr>
      <w:r>
        <w:rPr>
          <w:rFonts w:hint="eastAsia" w:ascii="黑体" w:hAnsi="Times New Roman" w:eastAsia="黑体" w:cs="黑体"/>
          <w:b/>
          <w:color w:val="auto"/>
          <w:sz w:val="52"/>
          <w:highlight w:val="none"/>
          <w:lang w:bidi="ar"/>
        </w:rPr>
        <w:t>技术服务合同</w:t>
      </w:r>
    </w:p>
    <w:p w14:paraId="469E790A">
      <w:pPr>
        <w:adjustRightInd w:val="0"/>
        <w:snapToGrid w:val="0"/>
        <w:spacing w:line="360" w:lineRule="auto"/>
        <w:rPr>
          <w:color w:val="auto"/>
          <w:sz w:val="36"/>
          <w:highlight w:val="none"/>
        </w:rPr>
      </w:pPr>
    </w:p>
    <w:p w14:paraId="14ABEE37">
      <w:pPr>
        <w:adjustRightInd w:val="0"/>
        <w:snapToGrid w:val="0"/>
        <w:spacing w:line="360" w:lineRule="auto"/>
        <w:rPr>
          <w:color w:val="auto"/>
          <w:sz w:val="36"/>
          <w:highlight w:val="none"/>
        </w:rPr>
      </w:pPr>
    </w:p>
    <w:p w14:paraId="56FE1A9B">
      <w:pPr>
        <w:adjustRightInd w:val="0"/>
        <w:snapToGrid w:val="0"/>
        <w:spacing w:line="360" w:lineRule="auto"/>
        <w:rPr>
          <w:color w:val="auto"/>
          <w:sz w:val="36"/>
          <w:highlight w:val="none"/>
        </w:rPr>
      </w:pPr>
    </w:p>
    <w:p w14:paraId="2AE5B0D0">
      <w:pPr>
        <w:adjustRightInd w:val="0"/>
        <w:snapToGrid w:val="0"/>
        <w:spacing w:line="360" w:lineRule="auto"/>
        <w:rPr>
          <w:color w:val="auto"/>
          <w:sz w:val="36"/>
          <w:highlight w:val="none"/>
        </w:rPr>
      </w:pPr>
    </w:p>
    <w:p w14:paraId="4D383A47">
      <w:pPr>
        <w:adjustRightInd w:val="0"/>
        <w:snapToGrid w:val="0"/>
        <w:spacing w:line="360" w:lineRule="auto"/>
        <w:rPr>
          <w:color w:val="auto"/>
          <w:sz w:val="36"/>
          <w:highlight w:val="none"/>
        </w:rPr>
      </w:pPr>
    </w:p>
    <w:p w14:paraId="718E560C">
      <w:pPr>
        <w:adjustRightInd w:val="0"/>
        <w:snapToGrid w:val="0"/>
        <w:spacing w:line="360" w:lineRule="auto"/>
        <w:rPr>
          <w:color w:val="auto"/>
          <w:sz w:val="36"/>
          <w:highlight w:val="none"/>
        </w:rPr>
      </w:pPr>
    </w:p>
    <w:p w14:paraId="03C7865E">
      <w:pPr>
        <w:spacing w:line="360" w:lineRule="auto"/>
        <w:ind w:left="1609" w:leftChars="42" w:hanging="1521" w:hangingChars="505"/>
        <w:outlineLvl w:val="0"/>
        <w:rPr>
          <w:rFonts w:ascii="仿宋" w:hAnsi="仿宋" w:eastAsia="仿宋" w:cs="仿宋_GB2312"/>
          <w:b/>
          <w:color w:val="auto"/>
          <w:sz w:val="30"/>
          <w:szCs w:val="30"/>
          <w:highlight w:val="none"/>
          <w:u w:val="single"/>
        </w:rPr>
      </w:pPr>
      <w:r>
        <w:rPr>
          <w:rFonts w:hint="eastAsia" w:ascii="仿宋" w:hAnsi="仿宋" w:eastAsia="仿宋" w:cs="仿宋_GB2312"/>
          <w:b/>
          <w:color w:val="auto"/>
          <w:sz w:val="30"/>
          <w:szCs w:val="30"/>
          <w:highlight w:val="none"/>
          <w:lang w:bidi="ar"/>
        </w:rPr>
        <w:t>项目名称：</w:t>
      </w:r>
      <w:r>
        <w:rPr>
          <w:rFonts w:hint="eastAsia" w:ascii="仿宋" w:hAnsi="仿宋" w:eastAsia="仿宋" w:cs="Times New Roman"/>
          <w:b/>
          <w:bCs/>
          <w:color w:val="auto"/>
          <w:sz w:val="30"/>
          <w:szCs w:val="30"/>
          <w:highlight w:val="none"/>
          <w:u w:val="single"/>
          <w:lang w:eastAsia="zh-CN"/>
        </w:rPr>
        <w:t>番禺汽车城金轩二路B线工程检测</w:t>
      </w:r>
    </w:p>
    <w:p w14:paraId="3CD91AFA">
      <w:pPr>
        <w:spacing w:line="360" w:lineRule="auto"/>
        <w:ind w:left="1609" w:leftChars="42" w:hanging="1521" w:hangingChars="505"/>
        <w:outlineLvl w:val="0"/>
        <w:rPr>
          <w:rFonts w:ascii="仿宋" w:hAnsi="仿宋" w:eastAsia="仿宋" w:cs="仿宋_GB2312"/>
          <w:b/>
          <w:bCs/>
          <w:color w:val="auto"/>
          <w:sz w:val="30"/>
          <w:szCs w:val="30"/>
          <w:highlight w:val="none"/>
          <w:u w:val="single"/>
        </w:rPr>
      </w:pPr>
      <w:r>
        <w:rPr>
          <w:rFonts w:hint="eastAsia" w:ascii="仿宋" w:hAnsi="仿宋" w:eastAsia="仿宋" w:cs="仿宋_GB2312"/>
          <w:b/>
          <w:color w:val="auto"/>
          <w:sz w:val="30"/>
          <w:szCs w:val="30"/>
          <w:highlight w:val="none"/>
          <w:lang w:bidi="ar"/>
        </w:rPr>
        <w:t>甲方：</w:t>
      </w:r>
      <w:r>
        <w:rPr>
          <w:rFonts w:hint="eastAsia" w:ascii="仿宋" w:hAnsi="仿宋" w:eastAsia="仿宋"/>
          <w:b/>
          <w:bCs/>
          <w:color w:val="auto"/>
          <w:sz w:val="30"/>
          <w:szCs w:val="30"/>
          <w:highlight w:val="none"/>
          <w:u w:val="single"/>
        </w:rPr>
        <w:t>广州市番禺区基本建设投资管理中心</w:t>
      </w:r>
    </w:p>
    <w:p w14:paraId="4256927B">
      <w:pPr>
        <w:spacing w:line="360" w:lineRule="auto"/>
        <w:ind w:left="1609" w:leftChars="42" w:hanging="1521" w:hangingChars="505"/>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乙方：</w:t>
      </w:r>
      <w:r>
        <w:rPr>
          <w:rFonts w:hint="eastAsia" w:ascii="仿宋" w:hAnsi="仿宋" w:eastAsia="仿宋" w:cs="仿宋_GB2312"/>
          <w:b/>
          <w:color w:val="auto"/>
          <w:sz w:val="30"/>
          <w:szCs w:val="30"/>
          <w:highlight w:val="none"/>
          <w:u w:val="single"/>
          <w:lang w:bidi="ar"/>
        </w:rPr>
        <w:t xml:space="preserve">                              </w:t>
      </w:r>
    </w:p>
    <w:p w14:paraId="268B8BB1">
      <w:pPr>
        <w:spacing w:line="360" w:lineRule="auto"/>
        <w:ind w:left="1609" w:leftChars="42" w:hanging="1521" w:hangingChars="505"/>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签订时间：</w:t>
      </w:r>
      <w:r>
        <w:rPr>
          <w:rFonts w:hint="eastAsia" w:ascii="仿宋" w:hAnsi="仿宋" w:eastAsia="仿宋" w:cs="仿宋_GB2312"/>
          <w:b/>
          <w:color w:val="auto"/>
          <w:sz w:val="30"/>
          <w:szCs w:val="30"/>
          <w:highlight w:val="none"/>
          <w:u w:val="single"/>
          <w:lang w:bidi="ar"/>
        </w:rPr>
        <w:t xml:space="preserve">        2025年   月  日                 </w:t>
      </w:r>
    </w:p>
    <w:p w14:paraId="69753B70">
      <w:pPr>
        <w:spacing w:line="360" w:lineRule="auto"/>
        <w:ind w:left="1609" w:leftChars="42" w:hanging="1521" w:hangingChars="505"/>
        <w:outlineLvl w:val="0"/>
        <w:rPr>
          <w:rFonts w:ascii="仿宋_GB2312" w:eastAsia="仿宋_GB2312" w:cs="仿宋_GB2312"/>
          <w:b/>
          <w:color w:val="auto"/>
          <w:sz w:val="36"/>
          <w:highlight w:val="none"/>
        </w:rPr>
      </w:pPr>
      <w:r>
        <w:rPr>
          <w:rFonts w:hint="eastAsia" w:ascii="仿宋" w:hAnsi="仿宋" w:eastAsia="仿宋" w:cs="仿宋_GB2312"/>
          <w:b/>
          <w:color w:val="auto"/>
          <w:sz w:val="30"/>
          <w:szCs w:val="30"/>
          <w:highlight w:val="none"/>
          <w:lang w:bidi="ar"/>
        </w:rPr>
        <w:t>签订地点：</w:t>
      </w:r>
      <w:r>
        <w:rPr>
          <w:rFonts w:hint="eastAsia" w:ascii="仿宋" w:hAnsi="仿宋" w:eastAsia="仿宋" w:cs="仿宋_GB2312"/>
          <w:b/>
          <w:color w:val="auto"/>
          <w:sz w:val="30"/>
          <w:szCs w:val="30"/>
          <w:highlight w:val="none"/>
          <w:u w:val="single"/>
          <w:lang w:bidi="ar"/>
        </w:rPr>
        <w:t xml:space="preserve">                                     </w:t>
      </w:r>
    </w:p>
    <w:p w14:paraId="194389E9">
      <w:pPr>
        <w:adjustRightInd w:val="0"/>
        <w:snapToGrid w:val="0"/>
        <w:spacing w:line="360" w:lineRule="auto"/>
        <w:rPr>
          <w:b/>
          <w:color w:val="auto"/>
          <w:sz w:val="36"/>
          <w:highlight w:val="none"/>
        </w:rPr>
      </w:pPr>
    </w:p>
    <w:p w14:paraId="6329DDE5">
      <w:pPr>
        <w:adjustRightInd w:val="0"/>
        <w:snapToGrid w:val="0"/>
        <w:spacing w:line="360" w:lineRule="auto"/>
        <w:rPr>
          <w:b/>
          <w:color w:val="auto"/>
          <w:sz w:val="36"/>
          <w:highlight w:val="none"/>
        </w:rPr>
      </w:pPr>
    </w:p>
    <w:p w14:paraId="0DBA5EC2">
      <w:pPr>
        <w:adjustRightInd w:val="0"/>
        <w:snapToGrid w:val="0"/>
        <w:spacing w:before="312" w:beforeLines="130" w:line="360" w:lineRule="auto"/>
        <w:ind w:firstLine="405" w:firstLineChars="112"/>
        <w:jc w:val="center"/>
        <w:rPr>
          <w:rFonts w:ascii="黑体" w:hAnsi="Times New Roman" w:eastAsia="黑体" w:cs="黑体"/>
          <w:b/>
          <w:color w:val="auto"/>
          <w:sz w:val="36"/>
          <w:highlight w:val="none"/>
        </w:rPr>
      </w:pPr>
      <w:r>
        <w:rPr>
          <w:rFonts w:hint="eastAsia" w:ascii="黑体" w:hAnsi="Times New Roman" w:eastAsia="黑体" w:cs="黑体"/>
          <w:b/>
          <w:color w:val="auto"/>
          <w:sz w:val="36"/>
          <w:highlight w:val="none"/>
          <w:lang w:bidi="ar"/>
        </w:rPr>
        <w:t>中华人民共和国科学技术部印制</w:t>
      </w:r>
    </w:p>
    <w:p w14:paraId="432CECDF">
      <w:pPr>
        <w:spacing w:line="360" w:lineRule="auto"/>
        <w:rPr>
          <w:rFonts w:ascii="黑体" w:hAnsi="Times New Roman" w:eastAsia="黑体" w:cs="黑体"/>
          <w:color w:val="auto"/>
          <w:sz w:val="44"/>
          <w:highlight w:val="none"/>
        </w:rPr>
      </w:pPr>
    </w:p>
    <w:p w14:paraId="7676412C">
      <w:pPr>
        <w:adjustRightInd w:val="0"/>
        <w:snapToGrid w:val="0"/>
        <w:spacing w:line="360" w:lineRule="auto"/>
        <w:jc w:val="center"/>
        <w:rPr>
          <w:rFonts w:ascii="黑体" w:hAnsi="Times New Roman" w:eastAsia="黑体" w:cs="黑体"/>
          <w:color w:val="auto"/>
          <w:sz w:val="44"/>
          <w:highlight w:val="none"/>
        </w:rPr>
      </w:pPr>
      <w:r>
        <w:rPr>
          <w:rFonts w:hint="eastAsia" w:ascii="黑体" w:hAnsi="Times New Roman" w:eastAsia="黑体" w:cs="黑体"/>
          <w:color w:val="auto"/>
          <w:sz w:val="44"/>
          <w:highlight w:val="none"/>
          <w:lang w:bidi="ar"/>
        </w:rPr>
        <w:t>填 写 说 明</w:t>
      </w:r>
    </w:p>
    <w:p w14:paraId="2B447570">
      <w:pPr>
        <w:adjustRightInd w:val="0"/>
        <w:snapToGrid w:val="0"/>
        <w:spacing w:line="360" w:lineRule="auto"/>
        <w:jc w:val="center"/>
        <w:rPr>
          <w:color w:val="auto"/>
          <w:sz w:val="44"/>
          <w:highlight w:val="none"/>
        </w:rPr>
      </w:pPr>
    </w:p>
    <w:p w14:paraId="4AB9E9E4">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一、本合同为中华人民共和国科学技术部印制的技术服务合同示范文本，各技术合同登记机构可推介技术合同当事人参照使用。</w:t>
      </w:r>
    </w:p>
    <w:p w14:paraId="5696CAD2">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二、本合同书适用于一方当事人（乙方）以技术知识为另一方（甲方）解决特定技术问题所订立的合同。</w:t>
      </w:r>
    </w:p>
    <w:p w14:paraId="3540FC91">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三、签约一方为多个当事人的，可按各自在合同关系中的作用等，在“甲方”、“乙方”项下（增页）分别排列为共同甲方或共同乙方。</w:t>
      </w:r>
    </w:p>
    <w:p w14:paraId="43123BC4">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四、本合同书未尽事项，可由当事人附页另行约定，并作为本合同的组成部分。</w:t>
      </w:r>
    </w:p>
    <w:p w14:paraId="5E7E13C0">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五、当事人使用本合同书时约定无需填写的条款，应在该条款处注明“无”等字样。</w:t>
      </w:r>
    </w:p>
    <w:p w14:paraId="1D71B0A6">
      <w:pPr>
        <w:pStyle w:val="4"/>
        <w:spacing w:after="240" w:afterLines="100" w:line="360" w:lineRule="auto"/>
        <w:ind w:firstLine="880"/>
        <w:rPr>
          <w:rFonts w:ascii="黑体" w:eastAsia="黑体" w:cs="黑体"/>
          <w:bCs/>
          <w:color w:val="auto"/>
          <w:sz w:val="44"/>
          <w:highlight w:val="none"/>
        </w:rPr>
      </w:pPr>
    </w:p>
    <w:p w14:paraId="16201A0F">
      <w:pPr>
        <w:pStyle w:val="4"/>
        <w:spacing w:after="240" w:afterLines="100" w:line="360" w:lineRule="auto"/>
        <w:ind w:firstLine="880"/>
        <w:rPr>
          <w:rFonts w:ascii="黑体" w:eastAsia="黑体" w:cs="黑体"/>
          <w:bCs/>
          <w:color w:val="auto"/>
          <w:sz w:val="44"/>
          <w:highlight w:val="none"/>
        </w:rPr>
      </w:pPr>
    </w:p>
    <w:p w14:paraId="28C97D4D">
      <w:pPr>
        <w:pStyle w:val="4"/>
        <w:spacing w:after="240" w:afterLines="100" w:line="360" w:lineRule="auto"/>
        <w:rPr>
          <w:rFonts w:ascii="黑体" w:eastAsia="黑体" w:cs="黑体"/>
          <w:bCs/>
          <w:color w:val="auto"/>
          <w:sz w:val="44"/>
          <w:highlight w:val="none"/>
        </w:rPr>
      </w:pPr>
    </w:p>
    <w:p w14:paraId="67B4393B">
      <w:pPr>
        <w:pStyle w:val="4"/>
        <w:spacing w:after="240" w:afterLines="100" w:line="360" w:lineRule="auto"/>
        <w:rPr>
          <w:rFonts w:ascii="黑体" w:eastAsia="黑体" w:cs="黑体"/>
          <w:bCs/>
          <w:color w:val="auto"/>
          <w:sz w:val="44"/>
          <w:highlight w:val="none"/>
        </w:rPr>
      </w:pPr>
    </w:p>
    <w:p w14:paraId="7BAE5AAD">
      <w:pPr>
        <w:pStyle w:val="4"/>
        <w:spacing w:after="240" w:afterLines="100" w:line="360" w:lineRule="auto"/>
        <w:ind w:firstLine="0"/>
        <w:jc w:val="both"/>
        <w:rPr>
          <w:rFonts w:hAnsi="宋体"/>
          <w:b/>
          <w:color w:val="auto"/>
          <w:highlight w:val="none"/>
        </w:rPr>
      </w:pPr>
    </w:p>
    <w:p w14:paraId="484DD8DB">
      <w:pPr>
        <w:pStyle w:val="4"/>
        <w:spacing w:after="240" w:afterLines="100" w:line="360" w:lineRule="auto"/>
        <w:rPr>
          <w:rFonts w:hAnsi="宋体"/>
          <w:b/>
          <w:color w:val="auto"/>
          <w:highlight w:val="none"/>
        </w:rPr>
      </w:pPr>
    </w:p>
    <w:p w14:paraId="3333702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7C6D5DB">
      <w:pPr>
        <w:pStyle w:val="4"/>
        <w:spacing w:after="240" w:afterLines="100" w:line="360" w:lineRule="auto"/>
        <w:rPr>
          <w:rFonts w:hAnsi="宋体"/>
          <w:b/>
          <w:color w:val="auto"/>
          <w:highlight w:val="none"/>
        </w:rPr>
      </w:pPr>
      <w:r>
        <w:rPr>
          <w:rFonts w:hint="eastAsia" w:hAnsi="宋体"/>
          <w:b/>
          <w:color w:val="auto"/>
          <w:highlight w:val="none"/>
        </w:rPr>
        <w:t>技术服务合同</w:t>
      </w:r>
    </w:p>
    <w:p w14:paraId="1EB75AFF">
      <w:pPr>
        <w:adjustRightInd w:val="0"/>
        <w:snapToGrid w:val="0"/>
        <w:spacing w:line="360" w:lineRule="auto"/>
        <w:ind w:firstLine="482" w:firstLineChars="200"/>
        <w:rPr>
          <w:rFonts w:ascii="Times New Roman" w:hAnsi="宋体" w:cs="宋体"/>
          <w:b/>
          <w:color w:val="auto"/>
          <w:sz w:val="24"/>
          <w:highlight w:val="none"/>
          <w:lang w:bidi="ar"/>
        </w:rPr>
      </w:pPr>
    </w:p>
    <w:p w14:paraId="593848FA">
      <w:pPr>
        <w:adjustRightInd w:val="0"/>
        <w:snapToGrid w:val="0"/>
        <w:spacing w:line="360" w:lineRule="auto"/>
        <w:ind w:firstLine="482" w:firstLineChars="200"/>
        <w:rPr>
          <w:rFonts w:ascii="宋体" w:hAnsi="宋体" w:cs="宋体"/>
          <w:b/>
          <w:color w:val="auto"/>
          <w:sz w:val="24"/>
          <w:highlight w:val="none"/>
          <w:lang w:bidi="ar"/>
        </w:rPr>
      </w:pPr>
      <w:r>
        <w:rPr>
          <w:rFonts w:hint="eastAsia" w:ascii="Times New Roman" w:hAnsi="宋体" w:cs="宋体"/>
          <w:b/>
          <w:color w:val="auto"/>
          <w:sz w:val="24"/>
          <w:highlight w:val="none"/>
          <w:lang w:bidi="ar"/>
        </w:rPr>
        <w:t>甲方：</w:t>
      </w:r>
      <w:r>
        <w:rPr>
          <w:rFonts w:hint="eastAsia" w:ascii="宋体" w:hAnsi="宋体" w:cs="宋体"/>
          <w:b/>
          <w:color w:val="auto"/>
          <w:sz w:val="24"/>
          <w:highlight w:val="none"/>
          <w:u w:val="single"/>
          <w:lang w:bidi="ar"/>
        </w:rPr>
        <w:t>广州市番禺区基本建设投资管理中心</w:t>
      </w:r>
      <w:r>
        <w:rPr>
          <w:rFonts w:hint="eastAsia" w:ascii="宋体" w:hAnsi="宋体" w:cs="宋体"/>
          <w:b/>
          <w:color w:val="auto"/>
          <w:sz w:val="24"/>
          <w:highlight w:val="none"/>
          <w:lang w:bidi="ar"/>
        </w:rPr>
        <w:t xml:space="preserve"> </w:t>
      </w:r>
    </w:p>
    <w:p w14:paraId="1B558FC5">
      <w:pPr>
        <w:adjustRightInd w:val="0"/>
        <w:snapToGrid w:val="0"/>
        <w:spacing w:line="360" w:lineRule="auto"/>
        <w:ind w:firstLine="482" w:firstLineChars="200"/>
        <w:rPr>
          <w:b/>
          <w:color w:val="auto"/>
          <w:sz w:val="24"/>
          <w:highlight w:val="none"/>
        </w:rPr>
      </w:pPr>
      <w:r>
        <w:rPr>
          <w:rFonts w:hint="eastAsia" w:ascii="Times New Roman" w:hAnsi="宋体" w:cs="宋体"/>
          <w:b/>
          <w:color w:val="auto"/>
          <w:sz w:val="24"/>
          <w:highlight w:val="none"/>
          <w:lang w:bidi="ar"/>
        </w:rPr>
        <w:t>乙方：</w:t>
      </w:r>
      <w:r>
        <w:rPr>
          <w:rFonts w:hint="eastAsia" w:ascii="宋体" w:hAnsi="宋体" w:cs="宋体"/>
          <w:b/>
          <w:color w:val="auto"/>
          <w:sz w:val="24"/>
          <w:highlight w:val="none"/>
          <w:lang w:bidi="ar"/>
        </w:rPr>
        <w:t xml:space="preserve"> </w:t>
      </w:r>
      <w:r>
        <w:rPr>
          <w:rFonts w:hint="eastAsia" w:ascii="宋体" w:hAnsi="宋体" w:cs="宋体"/>
          <w:b/>
          <w:color w:val="auto"/>
          <w:sz w:val="24"/>
          <w:highlight w:val="none"/>
          <w:u w:val="single"/>
          <w:lang w:bidi="ar"/>
        </w:rPr>
        <w:t xml:space="preserve">                        </w:t>
      </w:r>
    </w:p>
    <w:p w14:paraId="6BBB3980">
      <w:pPr>
        <w:adjustRightInd w:val="0"/>
        <w:snapToGrid w:val="0"/>
        <w:spacing w:line="360" w:lineRule="auto"/>
        <w:ind w:firstLine="480" w:firstLineChars="200"/>
        <w:rPr>
          <w:color w:val="auto"/>
          <w:sz w:val="24"/>
          <w:highlight w:val="none"/>
        </w:rPr>
      </w:pPr>
      <w:r>
        <w:rPr>
          <w:rFonts w:hint="eastAsia" w:ascii="Times New Roman" w:hAnsi="宋体" w:cs="宋体"/>
          <w:color w:val="auto"/>
          <w:sz w:val="24"/>
          <w:highlight w:val="none"/>
          <w:lang w:bidi="ar"/>
        </w:rPr>
        <w:t>根据《中华人民共和国建筑法》和</w:t>
      </w:r>
      <w:r>
        <w:rPr>
          <w:rFonts w:hint="eastAsia" w:ascii="宋体" w:hAnsi="宋体"/>
          <w:color w:val="auto"/>
          <w:sz w:val="24"/>
          <w:szCs w:val="24"/>
          <w:highlight w:val="none"/>
        </w:rPr>
        <w:t>《中华人民共和国民法典》</w:t>
      </w:r>
      <w:r>
        <w:rPr>
          <w:rFonts w:hint="eastAsia" w:ascii="Times New Roman" w:hAnsi="宋体" w:cs="宋体"/>
          <w:color w:val="auto"/>
          <w:sz w:val="24"/>
          <w:highlight w:val="none"/>
          <w:lang w:bidi="ar"/>
        </w:rPr>
        <w:t>的有关规定，经双方协商一致，签订本合同，以资共同遵守。</w:t>
      </w:r>
    </w:p>
    <w:p w14:paraId="1BBDFB1F">
      <w:pPr>
        <w:spacing w:line="360" w:lineRule="auto"/>
        <w:ind w:left="2178" w:leftChars="228" w:hanging="1699" w:hangingChars="705"/>
        <w:outlineLvl w:val="0"/>
        <w:rPr>
          <w:rFonts w:hint="eastAsia" w:ascii="宋体" w:hAnsi="宋体" w:eastAsia="宋体" w:cs="宋体"/>
          <w:color w:val="auto"/>
          <w:sz w:val="24"/>
          <w:szCs w:val="24"/>
          <w:highlight w:val="none"/>
          <w:u w:val="single"/>
        </w:rPr>
      </w:pPr>
      <w:bookmarkStart w:id="0" w:name="_Toc496830638"/>
      <w:bookmarkStart w:id="1" w:name="_Toc370832544"/>
      <w:r>
        <w:rPr>
          <w:rFonts w:hint="eastAsia" w:ascii="Times New Roman" w:hAnsi="宋体" w:cs="宋体"/>
          <w:b/>
          <w:color w:val="auto"/>
          <w:sz w:val="24"/>
          <w:highlight w:val="none"/>
          <w:lang w:bidi="ar"/>
        </w:rPr>
        <w:t>一、项目名称：</w:t>
      </w:r>
      <w:bookmarkEnd w:id="0"/>
      <w:bookmarkEnd w:id="1"/>
      <w:r>
        <w:rPr>
          <w:rFonts w:hint="eastAsia" w:ascii="宋体" w:hAnsi="宋体" w:cs="宋体"/>
          <w:color w:val="auto"/>
          <w:sz w:val="24"/>
          <w:szCs w:val="24"/>
          <w:highlight w:val="none"/>
          <w:u w:val="single"/>
          <w:lang w:eastAsia="zh-CN"/>
        </w:rPr>
        <w:t>番禺汽车城金轩二路B线工程检测</w:t>
      </w:r>
    </w:p>
    <w:p w14:paraId="4EC11351">
      <w:pPr>
        <w:spacing w:line="360" w:lineRule="auto"/>
        <w:ind w:firstLine="482" w:firstLineChars="200"/>
        <w:rPr>
          <w:rFonts w:hint="eastAsia" w:ascii="宋体" w:hAnsi="宋体" w:eastAsia="宋体" w:cs="宋体"/>
          <w:color w:val="auto"/>
          <w:sz w:val="24"/>
          <w:szCs w:val="24"/>
          <w:highlight w:val="none"/>
          <w:u w:val="single"/>
          <w:lang w:eastAsia="zh-CN"/>
        </w:rPr>
      </w:pPr>
      <w:r>
        <w:rPr>
          <w:rFonts w:hint="eastAsia" w:ascii="Times New Roman" w:hAnsi="宋体" w:cs="宋体"/>
          <w:b/>
          <w:color w:val="auto"/>
          <w:sz w:val="24"/>
          <w:highlight w:val="none"/>
          <w:lang w:bidi="ar"/>
        </w:rPr>
        <w:t>项目地点</w:t>
      </w:r>
      <w:r>
        <w:rPr>
          <w:rFonts w:hint="eastAsia" w:ascii="Times New Roman" w:hAnsi="Times New Roman" w:cs="宋体"/>
          <w:b/>
          <w:color w:val="auto"/>
          <w:sz w:val="24"/>
          <w:highlight w:val="none"/>
          <w:lang w:bidi="ar"/>
        </w:rPr>
        <w:t>：</w:t>
      </w:r>
      <w:r>
        <w:rPr>
          <w:rFonts w:hint="eastAsia" w:ascii="宋体" w:hAnsi="宋体" w:eastAsia="宋体" w:cs="宋体"/>
          <w:color w:val="auto"/>
          <w:sz w:val="24"/>
          <w:szCs w:val="24"/>
          <w:highlight w:val="none"/>
          <w:u w:val="single"/>
          <w:lang w:val="en-US" w:eastAsia="zh-CN"/>
        </w:rPr>
        <w:t>广州市番禺区石楼镇胜洲村</w:t>
      </w:r>
    </w:p>
    <w:p w14:paraId="7D300229">
      <w:pPr>
        <w:wordWrap w:val="0"/>
        <w:adjustRightInd w:val="0"/>
        <w:snapToGrid w:val="0"/>
        <w:spacing w:line="360" w:lineRule="auto"/>
        <w:ind w:firstLine="482" w:firstLineChars="200"/>
        <w:rPr>
          <w:rFonts w:ascii="宋体" w:hAnsi="宋体" w:cs="宋体"/>
          <w:color w:val="auto"/>
          <w:sz w:val="24"/>
          <w:szCs w:val="24"/>
          <w:highlight w:val="none"/>
          <w:u w:val="single"/>
          <w:shd w:val="clear" w:color="auto" w:fill="FFFFFF"/>
        </w:rPr>
      </w:pPr>
      <w:r>
        <w:rPr>
          <w:rFonts w:hint="eastAsia" w:ascii="Times New Roman" w:hAnsi="宋体" w:cs="宋体"/>
          <w:b/>
          <w:color w:val="auto"/>
          <w:sz w:val="24"/>
          <w:highlight w:val="none"/>
          <w:lang w:bidi="ar"/>
        </w:rPr>
        <w:t>项目概况：</w:t>
      </w:r>
      <w:r>
        <w:rPr>
          <w:rFonts w:hint="eastAsia" w:ascii="宋体" w:hAnsi="宋体" w:cs="宋体"/>
          <w:color w:val="auto"/>
          <w:sz w:val="24"/>
          <w:szCs w:val="24"/>
          <w:highlight w:val="none"/>
          <w:u w:val="single"/>
        </w:rPr>
        <w:t>该</w:t>
      </w:r>
      <w:r>
        <w:rPr>
          <w:rFonts w:hint="eastAsia" w:ascii="宋体" w:hAnsi="宋体"/>
          <w:color w:val="auto"/>
          <w:sz w:val="24"/>
          <w:highlight w:val="none"/>
          <w:u w:val="single"/>
        </w:rPr>
        <w:t>项目总投资约</w:t>
      </w:r>
      <w:r>
        <w:rPr>
          <w:rFonts w:hint="eastAsia" w:ascii="宋体" w:hAnsi="宋体" w:eastAsia="宋体" w:cs="宋体"/>
          <w:color w:val="auto"/>
          <w:kern w:val="2"/>
          <w:sz w:val="24"/>
          <w:szCs w:val="20"/>
          <w:highlight w:val="none"/>
          <w:u w:val="single"/>
          <w:lang w:val="en-US" w:eastAsia="zh-CN" w:bidi="ar-SA"/>
        </w:rPr>
        <w:t>12565.36</w:t>
      </w:r>
      <w:r>
        <w:rPr>
          <w:rFonts w:hint="eastAsia" w:ascii="宋体" w:hAnsi="宋体"/>
          <w:color w:val="auto"/>
          <w:sz w:val="24"/>
          <w:highlight w:val="none"/>
          <w:u w:val="single"/>
        </w:rPr>
        <w:t>万元，</w:t>
      </w:r>
      <w:r>
        <w:rPr>
          <w:rFonts w:hint="eastAsia" w:ascii="宋体" w:hAnsi="宋体" w:eastAsia="宋体" w:cs="宋体"/>
          <w:color w:val="auto"/>
          <w:sz w:val="24"/>
          <w:szCs w:val="24"/>
          <w:highlight w:val="none"/>
          <w:u w:val="single"/>
          <w:lang w:val="en-US" w:eastAsia="zh-CN"/>
        </w:rPr>
        <w:t>该项目计划在番禺区石楼镇胜洲村新建番禺汽车城金轩二路B线道路，路线起点为金轩二路A线道路终点，终点为番禺区广汽智联新能源汽车产业园四号路(金轩三路)，全长约994米，包含跨过胜洲涌的新建桥梁，道路设计等级为城市次干路，道路与桥梁建设红线宽度30米，双向4车道，设计速度40千米/时。主要工程内容包括:道路工程、桥涵工程、综合管线工程、照明工程、电力工程、交通工程、绿化工程及海绵城市等</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（具体数据以施工图纸为准）</w:t>
      </w:r>
    </w:p>
    <w:p w14:paraId="1DEC047B">
      <w:pPr>
        <w:wordWrap w:val="0"/>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根据本项目具体情况，如遇该项目的投资规模、结构形式、项目名称或者造价等发生调整（或变更，或增减），也可能会新增或减少、甚至取消部分子项工程，承包人应充分理解此风险并无条件接受不得拒绝，且投标下浮率固定不变。</w:t>
      </w:r>
    </w:p>
    <w:p w14:paraId="4784EE8B">
      <w:pPr>
        <w:spacing w:line="360" w:lineRule="auto"/>
        <w:ind w:firstLine="966" w:firstLineChars="401"/>
        <w:rPr>
          <w:rFonts w:hAnsi="宋体"/>
          <w:color w:val="auto"/>
          <w:sz w:val="24"/>
          <w:highlight w:val="none"/>
        </w:rPr>
      </w:pPr>
      <w:r>
        <w:rPr>
          <w:rFonts w:hint="eastAsia" w:ascii="Times New Roman" w:hAnsi="Times New Roman" w:cs="宋体"/>
          <w:b/>
          <w:color w:val="auto"/>
          <w:sz w:val="24"/>
          <w:highlight w:val="none"/>
          <w:lang w:bidi="ar"/>
        </w:rPr>
        <w:t>二、服务内容：</w:t>
      </w:r>
      <w:r>
        <w:rPr>
          <w:rFonts w:hAnsi="宋体"/>
          <w:color w:val="auto"/>
          <w:sz w:val="24"/>
          <w:highlight w:val="none"/>
        </w:rPr>
        <w:t xml:space="preserve"> </w:t>
      </w:r>
    </w:p>
    <w:p w14:paraId="2A7392A5">
      <w:pPr>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s="宋体"/>
          <w:color w:val="auto"/>
          <w:sz w:val="24"/>
          <w:szCs w:val="24"/>
          <w:highlight w:val="none"/>
          <w:u w:val="single"/>
        </w:rPr>
        <w:t>第三方检测服务包括但不限于见证取样检测、道路地基检测、砼、钢结构检测、交通及照明工程检测、绿化工程检测、</w:t>
      </w:r>
      <w:r>
        <w:rPr>
          <w:rFonts w:hint="eastAsia" w:ascii="宋体" w:hAnsi="宋体" w:cs="宋体"/>
          <w:color w:val="auto"/>
          <w:sz w:val="24"/>
          <w:szCs w:val="24"/>
          <w:highlight w:val="none"/>
          <w:u w:val="single"/>
          <w:lang w:eastAsia="zh-CN"/>
        </w:rPr>
        <w:t>桥梁工程、排水工程、</w:t>
      </w:r>
      <w:r>
        <w:rPr>
          <w:rFonts w:hint="eastAsia" w:ascii="宋体" w:hAnsi="宋体" w:cs="宋体"/>
          <w:color w:val="auto"/>
          <w:sz w:val="24"/>
          <w:szCs w:val="24"/>
          <w:highlight w:val="none"/>
          <w:u w:val="single"/>
        </w:rPr>
        <w:t>智能化检测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CCTV检测</w:t>
      </w:r>
      <w:r>
        <w:rPr>
          <w:rFonts w:hint="eastAsia" w:ascii="宋体" w:hAnsi="宋体" w:cs="宋体"/>
          <w:color w:val="auto"/>
          <w:sz w:val="24"/>
          <w:szCs w:val="24"/>
          <w:highlight w:val="none"/>
          <w:u w:val="single"/>
        </w:rPr>
        <w:t>等内容</w:t>
      </w:r>
      <w:r>
        <w:rPr>
          <w:rFonts w:hint="eastAsia" w:ascii="宋体" w:hAnsi="宋体"/>
          <w:color w:val="auto"/>
          <w:sz w:val="24"/>
          <w:szCs w:val="24"/>
          <w:highlight w:val="none"/>
          <w:u w:val="single"/>
        </w:rPr>
        <w:t>。具体实施工作内容以施工图纸及有关规范要求和甲方要求为准。</w:t>
      </w:r>
    </w:p>
    <w:p w14:paraId="4EA740A3">
      <w:pPr>
        <w:adjustRightInd w:val="0"/>
        <w:snapToGrid w:val="0"/>
        <w:spacing w:line="480" w:lineRule="exact"/>
        <w:ind w:firstLine="475" w:firstLineChars="198"/>
        <w:jc w:val="left"/>
        <w:rPr>
          <w:rFonts w:ascii="宋体" w:hAnsi="宋体"/>
          <w:color w:val="auto"/>
          <w:sz w:val="24"/>
          <w:szCs w:val="24"/>
          <w:highlight w:val="none"/>
        </w:rPr>
      </w:pPr>
      <w:r>
        <w:rPr>
          <w:rFonts w:hint="eastAsia" w:ascii="宋体" w:hAnsi="宋体"/>
          <w:color w:val="auto"/>
          <w:sz w:val="24"/>
          <w:szCs w:val="24"/>
          <w:highlight w:val="none"/>
        </w:rPr>
        <w:t>（一）工作要求：</w:t>
      </w:r>
    </w:p>
    <w:p w14:paraId="384D8B2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1）根据设计文件、施工组织设计、相关规范和相关行政职能部门要求和</w:t>
      </w:r>
      <w:r>
        <w:rPr>
          <w:rFonts w:hint="eastAsia" w:ascii="宋体" w:hAnsi="宋体"/>
          <w:color w:val="auto"/>
          <w:sz w:val="24"/>
          <w:szCs w:val="24"/>
          <w:highlight w:val="none"/>
          <w:u w:val="single"/>
        </w:rPr>
        <w:t>甲方</w:t>
      </w:r>
      <w:r>
        <w:rPr>
          <w:rFonts w:ascii="宋体" w:hAnsi="宋体"/>
          <w:color w:val="auto"/>
          <w:sz w:val="24"/>
          <w:szCs w:val="24"/>
          <w:highlight w:val="none"/>
          <w:u w:val="single"/>
        </w:rPr>
        <w:t>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项目竣工验收和在城建档案馆备案，</w:t>
      </w:r>
      <w:r>
        <w:rPr>
          <w:rFonts w:hint="eastAsia" w:ascii="宋体" w:hAnsi="宋体"/>
          <w:color w:val="auto"/>
          <w:sz w:val="24"/>
          <w:szCs w:val="24"/>
          <w:highlight w:val="none"/>
          <w:u w:val="single"/>
        </w:rPr>
        <w:t>乙方需在投标报价中综合考虑该项协调工作的费用。提供相关设备、实施相关检测工作，配合完成项目属地行政主管部门相关备案工作。</w:t>
      </w:r>
    </w:p>
    <w:p w14:paraId="5B5D436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2）在进行检测服务过程中，与该工程相关的建设单位、施工、监理、设计、咨询等相关单位及建设协调行政主管部门和监督部门协调，</w:t>
      </w:r>
      <w:r>
        <w:rPr>
          <w:rFonts w:hint="eastAsia" w:ascii="宋体" w:hAnsi="宋体"/>
          <w:color w:val="auto"/>
          <w:sz w:val="24"/>
          <w:szCs w:val="24"/>
          <w:highlight w:val="none"/>
          <w:u w:val="single"/>
        </w:rPr>
        <w:t>乙方需在投标报价中综合考虑该项协调工作费用。</w:t>
      </w:r>
    </w:p>
    <w:p w14:paraId="7C51B13E">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3）本招标项目已包含监督抽检的工作内容，监督抽检数量按建设行政主管部门要求实施，</w:t>
      </w:r>
      <w:r>
        <w:rPr>
          <w:rFonts w:hint="eastAsia" w:ascii="宋体" w:hAnsi="宋体"/>
          <w:color w:val="auto"/>
          <w:sz w:val="24"/>
          <w:szCs w:val="24"/>
          <w:highlight w:val="none"/>
          <w:u w:val="single"/>
        </w:rPr>
        <w:t>乙方需在投标报价中综合考虑该部分费用。</w:t>
      </w:r>
    </w:p>
    <w:p w14:paraId="0E717F73">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（4）按相关规定须与行业、行政监督部门传输报送检测数据信息的工作，且合同价中已经综合考虑了该项协调工作的费用。</w:t>
      </w:r>
    </w:p>
    <w:p w14:paraId="515530B3">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5）本项目允许分包。乙方需要独立完成本项目70%以上的检测工作（主要检测工作需要由乙方完成），剩余的非主要检测工作，乙方不具备资质的，经甲方同意后可依法分包给具备相关资质的检测单位，但分包的检测工作不得再次分包。</w:t>
      </w:r>
    </w:p>
    <w:p w14:paraId="39AEC832">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6）乙方承诺：中标后结合项目实际情况编制、申报方案，并确保方案符合有关规范要求及通过工程所在行政区域的交通局行政主管部门和监督部门的审核。保证技术成果能够通过相关部门认可，确保不因工作影响本工程项目的安全质量和建设进度。否则自愿放弃中标资格，并同意接受相关条款处罚。</w:t>
      </w:r>
    </w:p>
    <w:p w14:paraId="0B2A34F9">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rPr>
        <w:t xml:space="preserve">（二）服务方式： </w:t>
      </w:r>
      <w:r>
        <w:rPr>
          <w:rFonts w:hint="eastAsia" w:ascii="宋体" w:hAnsi="宋体"/>
          <w:color w:val="auto"/>
          <w:sz w:val="24"/>
          <w:szCs w:val="24"/>
          <w:highlight w:val="none"/>
          <w:u w:val="single"/>
        </w:rPr>
        <w:t xml:space="preserve">按照甲方要求                                            </w:t>
      </w:r>
    </w:p>
    <w:p w14:paraId="14E6899B">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rPr>
        <w:t>（三）检测标准：</w:t>
      </w:r>
      <w:r>
        <w:rPr>
          <w:rFonts w:hint="eastAsia" w:asciiTheme="minorEastAsia" w:hAnsiTheme="minorEastAsia"/>
          <w:color w:val="auto"/>
          <w:sz w:val="24"/>
          <w:szCs w:val="24"/>
          <w:highlight w:val="none"/>
          <w:u w:val="single"/>
        </w:rPr>
        <w:t>按国家和省、市检测规范和规章制度要求，达到合格标准。</w:t>
      </w:r>
      <w:r>
        <w:rPr>
          <w:rFonts w:hint="eastAsia" w:ascii="宋体" w:hAnsi="宋体"/>
          <w:color w:val="auto"/>
          <w:sz w:val="24"/>
          <w:szCs w:val="24"/>
          <w:highlight w:val="none"/>
          <w:u w:val="single"/>
        </w:rPr>
        <w:t xml:space="preserve">        </w:t>
      </w:r>
    </w:p>
    <w:p w14:paraId="4B71C598">
      <w:pPr>
        <w:widowControl/>
        <w:adjustRightInd w:val="0"/>
        <w:snapToGrid w:val="0"/>
        <w:spacing w:line="480" w:lineRule="exact"/>
        <w:ind w:firstLine="475" w:firstLineChars="198"/>
        <w:jc w:val="left"/>
        <w:rPr>
          <w:rFonts w:ascii="宋体" w:hAnsi="宋体"/>
          <w:color w:val="auto"/>
          <w:sz w:val="24"/>
          <w:szCs w:val="24"/>
          <w:highlight w:val="none"/>
        </w:rPr>
      </w:pPr>
      <w:r>
        <w:rPr>
          <w:rFonts w:hint="eastAsia" w:ascii="宋体" w:hAnsi="宋体"/>
          <w:color w:val="auto"/>
          <w:sz w:val="24"/>
          <w:szCs w:val="24"/>
          <w:highlight w:val="none"/>
        </w:rPr>
        <w:t>（四）服务要求：</w:t>
      </w:r>
    </w:p>
    <w:p w14:paraId="1C3CEBB4">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）乙方服务周期必须满足实际施工要求，无论因任何原因导致上述约定日期延期的，乙方应继续按照本合同约定提供检测服务，该等风险已综合考虑到合同总价之中，乙方不得因此主张增加费用。</w:t>
      </w:r>
    </w:p>
    <w:p w14:paraId="0D2391EA">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工作质量必须符合国家、省、市有关规范规程和规定的要求及设计要求，严格按照本合同约定的技术要求提供服务，保证合同项目检测工作及其成果资料的真实性、准确性、完整性、科学性和可靠性。做好检测原始记录，提供的成果资料应符合相关标准和项目状况。</w:t>
      </w:r>
    </w:p>
    <w:p w14:paraId="40ADD4FF">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）乙方在中标后14天，需正式提供检测实施计划，按照项目单位工程、分部工程进行划分，并明确检测内容，工作开展的现场前置条件。</w:t>
      </w:r>
    </w:p>
    <w:p w14:paraId="5BD9D61C">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）乙方在施工图纸经过审查7天内，依据总承包单位进度计划，提供各项检测实施方案，28天内通过工程所在行政区域的相关建设行政主管部门和监督部门的审批。</w:t>
      </w:r>
    </w:p>
    <w:p w14:paraId="53F684A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备注：乙方具有相关资质或对于检测项目中的个别参数，属于检测设备昂贵或使用率低等原因的，乙方需自行委托其他具备资质的单位完成该项目参数的检验检测试验业务，保证完成整体项目所有检验检测试验工作，由此产生之费用已包含在合同金额中，甲方不另行计量支付。</w:t>
      </w:r>
    </w:p>
    <w:p w14:paraId="4AD07392">
      <w:pPr>
        <w:widowControl/>
        <w:adjustRightInd w:val="0"/>
        <w:snapToGrid w:val="0"/>
        <w:spacing w:line="480" w:lineRule="exact"/>
        <w:ind w:firstLine="475" w:firstLineChars="198"/>
        <w:jc w:val="left"/>
        <w:rPr>
          <w:rFonts w:ascii="宋体" w:hAnsi="宋体" w:cs="宋体"/>
          <w:b/>
          <w:color w:val="auto"/>
          <w:sz w:val="24"/>
          <w:highlight w:val="none"/>
        </w:rPr>
      </w:pPr>
      <w:bookmarkStart w:id="2" w:name="_Toc496830639"/>
      <w:r>
        <w:rPr>
          <w:rFonts w:hint="eastAsia" w:ascii="宋体" w:hAnsi="宋体"/>
          <w:color w:val="auto"/>
          <w:sz w:val="24"/>
          <w:szCs w:val="24"/>
          <w:highlight w:val="none"/>
        </w:rPr>
        <w:t>（五）服务周期：</w:t>
      </w:r>
      <w:bookmarkEnd w:id="2"/>
      <w:r>
        <w:rPr>
          <w:rFonts w:hint="eastAsia" w:ascii="宋体" w:hAnsi="宋体"/>
          <w:color w:val="auto"/>
          <w:sz w:val="24"/>
          <w:szCs w:val="24"/>
          <w:highlight w:val="none"/>
          <w:u w:val="single"/>
        </w:rPr>
        <w:t>建设周期为</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0日历天。服务期限：自甲方书面通知进场至项目完成竣工验收备案为止，服务周期必须满足实际施工要求。</w:t>
      </w:r>
    </w:p>
    <w:p w14:paraId="345E0085">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bidi="ar"/>
        </w:rPr>
        <w:t>四、提交报告要求：</w:t>
      </w:r>
    </w:p>
    <w:p w14:paraId="402E9755">
      <w:pPr>
        <w:spacing w:line="360" w:lineRule="auto"/>
        <w:ind w:firstLine="424" w:firstLineChars="177"/>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、乙方在每次检测工作完成后，应在检测工作结束后五天内向甲方提供正式检测报告。检测报告应提交一式</w:t>
      </w:r>
      <w:r>
        <w:rPr>
          <w:rFonts w:ascii="Times New Roman" w:hAnsi="Times New Roman"/>
          <w:color w:val="auto"/>
          <w:sz w:val="24"/>
          <w:highlight w:val="none"/>
          <w:u w:val="single"/>
          <w:lang w:bidi="ar"/>
        </w:rPr>
        <w:t xml:space="preserve"> </w:t>
      </w:r>
      <w:r>
        <w:rPr>
          <w:rFonts w:hint="eastAsia" w:ascii="Times New Roman" w:hAnsi="Times New Roman"/>
          <w:color w:val="auto"/>
          <w:sz w:val="24"/>
          <w:highlight w:val="none"/>
          <w:u w:val="single"/>
          <w:lang w:bidi="ar"/>
        </w:rPr>
        <w:t>拾</w:t>
      </w:r>
      <w:r>
        <w:rPr>
          <w:rFonts w:ascii="Times New Roman" w:hAnsi="Times New Roman"/>
          <w:color w:val="auto"/>
          <w:sz w:val="24"/>
          <w:highlight w:val="none"/>
          <w:u w:val="single"/>
          <w:lang w:bidi="ar"/>
        </w:rPr>
        <w:t xml:space="preserve"> </w:t>
      </w:r>
      <w:r>
        <w:rPr>
          <w:rFonts w:hint="eastAsia" w:ascii="Times New Roman" w:hAnsi="Times New Roman" w:cs="宋体"/>
          <w:color w:val="auto"/>
          <w:sz w:val="24"/>
          <w:highlight w:val="none"/>
          <w:lang w:bidi="ar"/>
        </w:rPr>
        <w:t>份（如甲方有需要，增加报告份数，乙方无条件免费提供）。</w:t>
      </w:r>
    </w:p>
    <w:p w14:paraId="1C37E761">
      <w:pPr>
        <w:spacing w:line="360" w:lineRule="auto"/>
        <w:ind w:firstLine="424" w:firstLineChars="177"/>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、成果报告需加盖检测报告专用章和计量认证章（</w:t>
      </w:r>
      <w:r>
        <w:rPr>
          <w:rFonts w:ascii="Times New Roman" w:hAnsi="Times New Roman"/>
          <w:color w:val="auto"/>
          <w:sz w:val="24"/>
          <w:highlight w:val="none"/>
          <w:lang w:bidi="ar"/>
        </w:rPr>
        <w:t>CMA</w:t>
      </w:r>
      <w:r>
        <w:rPr>
          <w:rFonts w:hint="eastAsia" w:ascii="Times New Roman" w:hAnsi="Times New Roman" w:cs="宋体"/>
          <w:color w:val="auto"/>
          <w:sz w:val="24"/>
          <w:highlight w:val="none"/>
          <w:lang w:bidi="ar"/>
        </w:rPr>
        <w:t>章）。检测报告签认人员的检测资格证书必须在乙方处注册并且有效。</w:t>
      </w:r>
    </w:p>
    <w:p w14:paraId="39965C5A">
      <w:pPr>
        <w:spacing w:line="360" w:lineRule="auto"/>
        <w:ind w:firstLine="424" w:firstLineChars="177"/>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、所有检测报告必须符合国家和地方现行的规范、标准。</w:t>
      </w:r>
    </w:p>
    <w:p w14:paraId="043C0674">
      <w:pPr>
        <w:adjustRightInd w:val="0"/>
        <w:snapToGrid w:val="0"/>
        <w:spacing w:line="360" w:lineRule="auto"/>
        <w:ind w:firstLine="480" w:firstLineChars="200"/>
        <w:outlineLvl w:val="0"/>
        <w:rPr>
          <w:color w:val="auto"/>
          <w:sz w:val="24"/>
          <w:highlight w:val="none"/>
        </w:rPr>
      </w:pPr>
      <w:bookmarkStart w:id="3" w:name="_Toc496830640"/>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、相关行政主管部门对检测结果提出异议时，乙方应无条件配合复检，由此产生的相关费用由责任方承担。</w:t>
      </w:r>
      <w:bookmarkEnd w:id="3"/>
    </w:p>
    <w:p w14:paraId="224020CF">
      <w:pPr>
        <w:adjustRightInd w:val="0"/>
        <w:snapToGrid w:val="0"/>
        <w:spacing w:line="360" w:lineRule="auto"/>
        <w:ind w:firstLine="480" w:firstLineChars="200"/>
        <w:outlineLvl w:val="0"/>
        <w:rPr>
          <w:color w:val="auto"/>
          <w:sz w:val="24"/>
          <w:highlight w:val="none"/>
        </w:rPr>
      </w:pPr>
    </w:p>
    <w:p w14:paraId="5128DED3">
      <w:pPr>
        <w:adjustRightInd w:val="0"/>
        <w:snapToGrid w:val="0"/>
        <w:spacing w:line="360" w:lineRule="auto"/>
        <w:ind w:firstLine="482" w:firstLineChars="200"/>
        <w:outlineLvl w:val="0"/>
        <w:rPr>
          <w:b/>
          <w:color w:val="auto"/>
          <w:sz w:val="24"/>
          <w:highlight w:val="none"/>
        </w:rPr>
      </w:pPr>
      <w:bookmarkStart w:id="4" w:name="_Toc370832545"/>
      <w:bookmarkStart w:id="5" w:name="_Toc496830641"/>
      <w:r>
        <w:rPr>
          <w:rFonts w:hint="eastAsia" w:ascii="宋体" w:hAnsi="宋体" w:cs="宋体"/>
          <w:b/>
          <w:color w:val="auto"/>
          <w:sz w:val="24"/>
          <w:highlight w:val="none"/>
          <w:lang w:bidi="ar"/>
        </w:rPr>
        <w:t>五、合同价：</w:t>
      </w:r>
      <w:bookmarkEnd w:id="4"/>
      <w:bookmarkEnd w:id="5"/>
      <w:r>
        <w:rPr>
          <w:rFonts w:ascii="Times New Roman" w:hAnsi="Times New Roman"/>
          <w:b/>
          <w:color w:val="auto"/>
          <w:sz w:val="24"/>
          <w:highlight w:val="none"/>
          <w:lang w:bidi="ar"/>
        </w:rPr>
        <w:t xml:space="preserve"> </w:t>
      </w:r>
    </w:p>
    <w:p w14:paraId="6812110D">
      <w:pPr>
        <w:adjustRightInd w:val="0"/>
        <w:snapToGrid w:val="0"/>
        <w:spacing w:line="360" w:lineRule="auto"/>
        <w:ind w:firstLine="248" w:firstLineChars="100"/>
        <w:rPr>
          <w:rFonts w:ascii="宋体" w:hAnsi="宋体" w:cs="宋体"/>
          <w:bCs/>
          <w:color w:val="auto"/>
          <w:spacing w:val="4"/>
          <w:sz w:val="24"/>
          <w:highlight w:val="none"/>
        </w:rPr>
      </w:pPr>
      <w:r>
        <w:rPr>
          <w:rFonts w:hint="eastAsia" w:ascii="宋体" w:hAnsi="宋体" w:cs="宋体"/>
          <w:bCs/>
          <w:color w:val="auto"/>
          <w:spacing w:val="4"/>
          <w:sz w:val="24"/>
          <w:highlight w:val="none"/>
          <w:lang w:bidi="ar"/>
        </w:rPr>
        <w:t>1、</w:t>
      </w:r>
      <w:r>
        <w:rPr>
          <w:rFonts w:hint="eastAsia" w:ascii="宋体" w:hAnsi="宋体" w:cs="仿宋"/>
          <w:color w:val="auto"/>
          <w:sz w:val="24"/>
          <w:szCs w:val="24"/>
          <w:highlight w:val="none"/>
        </w:rPr>
        <w:t>合同总价（含税）暂定金额为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元（人民币大写：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宋体"/>
          <w:bCs/>
          <w:color w:val="auto"/>
          <w:spacing w:val="4"/>
          <w:sz w:val="24"/>
          <w:highlight w:val="none"/>
          <w:lang w:bidi="ar"/>
        </w:rPr>
        <w:t>。投标报价下浮率：</w:t>
      </w:r>
      <w:r>
        <w:rPr>
          <w:rFonts w:hint="eastAsia" w:ascii="宋体" w:hAnsi="宋体" w:cs="宋体"/>
          <w:bCs/>
          <w:color w:val="auto"/>
          <w:spacing w:val="4"/>
          <w:sz w:val="24"/>
          <w:highlight w:val="none"/>
          <w:u w:val="single"/>
          <w:lang w:bidi="ar"/>
        </w:rPr>
        <w:t xml:space="preserve">        </w:t>
      </w:r>
      <w:r>
        <w:rPr>
          <w:rFonts w:hint="eastAsia" w:ascii="宋体" w:hAnsi="宋体" w:cs="宋体"/>
          <w:bCs/>
          <w:color w:val="auto"/>
          <w:spacing w:val="4"/>
          <w:sz w:val="24"/>
          <w:highlight w:val="none"/>
          <w:lang w:bidi="ar"/>
        </w:rPr>
        <w:t>%。</w:t>
      </w:r>
    </w:p>
    <w:p w14:paraId="1387FB75">
      <w:pPr>
        <w:adjustRightInd w:val="0"/>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2、本合同</w:t>
      </w:r>
      <w:r>
        <w:rPr>
          <w:rFonts w:hint="eastAsia" w:ascii="宋体" w:hAnsi="宋体"/>
          <w:color w:val="auto"/>
          <w:sz w:val="24"/>
          <w:szCs w:val="24"/>
          <w:highlight w:val="none"/>
          <w:u w:val="single"/>
        </w:rPr>
        <w:t>工程量以实际发生（按业主、监理人、受托人确认）进行计算，结算时依据实际工程量</w:t>
      </w:r>
      <w:r>
        <w:rPr>
          <w:rFonts w:ascii="Arial" w:hAnsi="Arial" w:cs="Arial"/>
          <w:color w:val="auto"/>
          <w:sz w:val="24"/>
          <w:szCs w:val="24"/>
          <w:highlight w:val="none"/>
          <w:u w:val="single"/>
        </w:rPr>
        <w:t>×</w:t>
      </w:r>
      <w:r>
        <w:rPr>
          <w:rFonts w:hint="eastAsia" w:ascii="宋体" w:hAnsi="宋体"/>
          <w:color w:val="auto"/>
          <w:sz w:val="24"/>
          <w:szCs w:val="24"/>
          <w:highlight w:val="none"/>
          <w:u w:val="single"/>
        </w:rPr>
        <w:t>收费标准单价</w:t>
      </w:r>
      <w:r>
        <w:rPr>
          <w:rFonts w:ascii="Arial" w:hAnsi="Arial" w:cs="Arial"/>
          <w:color w:val="auto"/>
          <w:sz w:val="24"/>
          <w:szCs w:val="24"/>
          <w:highlight w:val="none"/>
          <w:u w:val="single"/>
        </w:rPr>
        <w:t>×</w:t>
      </w:r>
      <w:r>
        <w:rPr>
          <w:rFonts w:hint="eastAsia" w:ascii="Arial" w:hAnsi="Arial" w:cs="Arial"/>
          <w:color w:val="auto"/>
          <w:sz w:val="24"/>
          <w:szCs w:val="24"/>
          <w:highlight w:val="none"/>
          <w:u w:val="single"/>
        </w:rPr>
        <w:t>（1-投标下浮率）结算，</w:t>
      </w:r>
      <w:r>
        <w:rPr>
          <w:rFonts w:hint="eastAsia" w:ascii="宋体" w:hAnsi="宋体"/>
          <w:color w:val="auto"/>
          <w:sz w:val="24"/>
          <w:szCs w:val="24"/>
          <w:highlight w:val="none"/>
          <w:u w:val="single"/>
        </w:rPr>
        <w:t>但结算价超过</w:t>
      </w:r>
      <w:r>
        <w:rPr>
          <w:rFonts w:hint="eastAsia" w:ascii="宋体" w:hAnsi="宋体"/>
          <w:color w:val="auto"/>
          <w:sz w:val="24"/>
          <w:szCs w:val="24"/>
          <w:highlight w:val="none"/>
          <w:u w:val="single"/>
          <w:lang w:eastAsia="zh-CN"/>
        </w:rPr>
        <w:t>本项目最高投标限价的</w:t>
      </w:r>
      <w:r>
        <w:rPr>
          <w:rFonts w:hint="eastAsia" w:ascii="宋体" w:hAnsi="宋体"/>
          <w:color w:val="auto"/>
          <w:sz w:val="24"/>
          <w:szCs w:val="24"/>
          <w:highlight w:val="none"/>
          <w:u w:val="single"/>
        </w:rPr>
        <w:t>，则按</w:t>
      </w:r>
      <w:r>
        <w:rPr>
          <w:rFonts w:hint="eastAsia" w:ascii="宋体" w:hAnsi="宋体"/>
          <w:color w:val="auto"/>
          <w:sz w:val="24"/>
          <w:szCs w:val="24"/>
          <w:highlight w:val="none"/>
          <w:u w:val="single"/>
          <w:lang w:eastAsia="zh-CN"/>
        </w:rPr>
        <w:t>最高投标限价</w:t>
      </w:r>
      <w:r>
        <w:rPr>
          <w:rFonts w:hint="eastAsia" w:ascii="宋体" w:hAnsi="宋体"/>
          <w:color w:val="auto"/>
          <w:sz w:val="24"/>
          <w:szCs w:val="24"/>
          <w:highlight w:val="none"/>
          <w:u w:val="single"/>
        </w:rPr>
        <w:t>为最终结算价（如有审计、以审计结果为准）。</w:t>
      </w:r>
    </w:p>
    <w:p w14:paraId="12BA70BD">
      <w:pPr>
        <w:tabs>
          <w:tab w:val="left" w:pos="7513"/>
        </w:tabs>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最终结算价已包含了为完成本项目招标内容要求所产生的所有不可预见的费用,包括</w:t>
      </w:r>
      <w:r>
        <w:rPr>
          <w:rFonts w:ascii="宋体" w:hAnsi="宋体" w:cs="宋体"/>
          <w:bCs/>
          <w:color w:val="auto"/>
          <w:spacing w:val="4"/>
          <w:sz w:val="24"/>
          <w:highlight w:val="none"/>
          <w:lang w:bidi="ar"/>
        </w:rPr>
        <w:t>但不限于</w:t>
      </w:r>
      <w:r>
        <w:rPr>
          <w:rFonts w:hint="eastAsia" w:ascii="宋体" w:hAnsi="宋体" w:cs="宋体"/>
          <w:bCs/>
          <w:color w:val="auto"/>
          <w:spacing w:val="4"/>
          <w:sz w:val="24"/>
          <w:highlight w:val="none"/>
          <w:lang w:bidi="ar"/>
        </w:rPr>
        <w:t>包工、包料、包设备设施、包工期、包质量、包安全、包文明作业、包与建设项目相关单位的协调以及本项目可能产生的风险等所有费用。</w:t>
      </w:r>
    </w:p>
    <w:p w14:paraId="746348D5">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3、项目实际发生的工程量单价按不超过《广东省房屋建筑和市政工程质量安全检测收费指导价（第一批）》（粤建检协〔2015〕8号）、《广东省既有房屋建筑安全性鉴定收费指导价》的通知（粤建检协〔2015〕8号）、《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商确定，最终以评审审定为准，结算时按中标人投标时的下浮率结合合同相关条款进行结算，结算价超过经财政评审的概算中对应的检测服务的审定金额的，则按概算评审审定金额为最终结算价（如有审计，以审计结果为准）。</w:t>
      </w:r>
    </w:p>
    <w:p w14:paraId="6FBB4A8D">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4、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甲方现场不提供办公及住宿等条件，所有费用由乙方在投标报价中综合考虑。</w:t>
      </w:r>
    </w:p>
    <w:p w14:paraId="67F85E2A">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5、检测服务的工作量根据经甲方批准的检测方案，并结合工程量清单、现场实际情况由甲方、监理人、乙方三方进行签证确认，乙方自行增加的额外工作量将不被承认，最终以番禺区财政评审机构审定为准结算。</w:t>
      </w:r>
    </w:p>
    <w:p w14:paraId="2712AE11">
      <w:pPr>
        <w:adjustRightInd w:val="0"/>
        <w:snapToGrid w:val="0"/>
        <w:spacing w:line="360" w:lineRule="auto"/>
        <w:ind w:firstLine="248" w:firstLineChars="100"/>
        <w:rPr>
          <w:rFonts w:ascii="宋体" w:hAnsi="宋体" w:cs="宋体"/>
          <w:bCs/>
          <w:color w:val="auto"/>
          <w:spacing w:val="4"/>
          <w:sz w:val="24"/>
          <w:highlight w:val="none"/>
        </w:rPr>
      </w:pPr>
    </w:p>
    <w:p w14:paraId="0E28A0D2">
      <w:pPr>
        <w:adjustRightInd w:val="0"/>
        <w:snapToGrid w:val="0"/>
        <w:spacing w:line="360" w:lineRule="auto"/>
        <w:ind w:firstLine="482" w:firstLineChars="200"/>
        <w:outlineLvl w:val="0"/>
        <w:rPr>
          <w:b/>
          <w:color w:val="auto"/>
          <w:sz w:val="24"/>
          <w:highlight w:val="none"/>
        </w:rPr>
      </w:pPr>
      <w:bookmarkStart w:id="6" w:name="_Toc370832548"/>
      <w:bookmarkStart w:id="7" w:name="_Toc496830642"/>
      <w:r>
        <w:rPr>
          <w:rFonts w:hint="eastAsia" w:ascii="Times New Roman" w:hAnsi="Times New Roman" w:cs="宋体"/>
          <w:b/>
          <w:color w:val="auto"/>
          <w:sz w:val="24"/>
          <w:highlight w:val="none"/>
          <w:lang w:bidi="ar"/>
        </w:rPr>
        <w:t>六</w:t>
      </w:r>
      <w:r>
        <w:rPr>
          <w:rFonts w:hint="eastAsia" w:ascii="Times New Roman" w:hAnsi="Times New Roman" w:cs="宋体"/>
          <w:b/>
          <w:bCs/>
          <w:color w:val="auto"/>
          <w:sz w:val="24"/>
          <w:highlight w:val="none"/>
          <w:lang w:bidi="ar"/>
        </w:rPr>
        <w:t>、付款方式</w:t>
      </w:r>
      <w:bookmarkEnd w:id="6"/>
      <w:bookmarkEnd w:id="7"/>
    </w:p>
    <w:p w14:paraId="6FB6CA03">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、本合同检测部分不设预付款。</w:t>
      </w:r>
    </w:p>
    <w:p w14:paraId="4A4E4E87">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、乙方每季度最后一个月（3月、6月、9月、12月）申报按相应规定申请进度款。</w:t>
      </w:r>
    </w:p>
    <w:p w14:paraId="7243291E">
      <w:pPr>
        <w:adjustRightInd w:val="0"/>
        <w:snapToGrid w:val="0"/>
        <w:spacing w:line="360" w:lineRule="auto"/>
        <w:ind w:firstLine="480" w:firstLineChars="200"/>
        <w:rPr>
          <w:rFonts w:ascii="宋体" w:hAnsi="宋体" w:cs="宋体"/>
          <w:color w:val="auto"/>
          <w:sz w:val="24"/>
          <w:highlight w:val="none"/>
          <w:lang w:bidi="ar"/>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、乙方完成单项检测内容并按本合同约定向甲方提交最终成果报告或甲方确认的检测数量清单，支付相应完成工作量的</w:t>
      </w:r>
      <w:r>
        <w:rPr>
          <w:rFonts w:hint="eastAsia" w:ascii="Times New Roman" w:hAnsi="Times New Roman"/>
          <w:color w:val="auto"/>
          <w:sz w:val="24"/>
          <w:highlight w:val="none"/>
          <w:lang w:bidi="ar"/>
        </w:rPr>
        <w:t>6</w:t>
      </w:r>
      <w:r>
        <w:rPr>
          <w:rFonts w:ascii="Times New Roman" w:hAnsi="Times New Roman"/>
          <w:color w:val="auto"/>
          <w:sz w:val="24"/>
          <w:highlight w:val="none"/>
          <w:lang w:bidi="ar"/>
        </w:rPr>
        <w:t>0%</w:t>
      </w:r>
      <w:r>
        <w:rPr>
          <w:rFonts w:hint="eastAsia" w:ascii="Times New Roman" w:hAnsi="Times New Roman" w:cs="宋体"/>
          <w:color w:val="auto"/>
          <w:sz w:val="24"/>
          <w:highlight w:val="none"/>
          <w:lang w:bidi="ar"/>
        </w:rPr>
        <w:t>，累计支付至合同暂定价（扣除暂列金，如有）的</w:t>
      </w:r>
      <w:r>
        <w:rPr>
          <w:rFonts w:hint="eastAsia" w:ascii="Times New Roman" w:hAnsi="Times New Roman"/>
          <w:color w:val="auto"/>
          <w:sz w:val="24"/>
          <w:highlight w:val="none"/>
          <w:lang w:bidi="ar"/>
        </w:rPr>
        <w:t>6</w:t>
      </w:r>
      <w:r>
        <w:rPr>
          <w:rFonts w:ascii="Times New Roman" w:hAnsi="Times New Roman"/>
          <w:color w:val="auto"/>
          <w:sz w:val="24"/>
          <w:highlight w:val="none"/>
          <w:lang w:bidi="ar"/>
        </w:rPr>
        <w:t>0%</w:t>
      </w:r>
      <w:r>
        <w:rPr>
          <w:rFonts w:hint="eastAsia" w:ascii="Times New Roman" w:hAnsi="Times New Roman" w:cs="宋体"/>
          <w:color w:val="auto"/>
          <w:sz w:val="24"/>
          <w:highlight w:val="none"/>
          <w:lang w:bidi="ar"/>
        </w:rPr>
        <w:t>则停止支付。乙方完成合同约定范围内全部检测工作，并按合同约定向甲方提交全部最终成果报告后，双方</w:t>
      </w:r>
      <w:r>
        <w:rPr>
          <w:rFonts w:ascii="Times New Roman" w:hAnsi="Times New Roman" w:cs="宋体"/>
          <w:color w:val="auto"/>
          <w:sz w:val="24"/>
          <w:highlight w:val="none"/>
          <w:lang w:bidi="ar"/>
        </w:rPr>
        <w:t>按实际</w:t>
      </w:r>
      <w:r>
        <w:rPr>
          <w:rFonts w:hint="eastAsia" w:ascii="Times New Roman" w:hAnsi="Times New Roman" w:cs="宋体"/>
          <w:color w:val="auto"/>
          <w:sz w:val="24"/>
          <w:highlight w:val="none"/>
          <w:lang w:bidi="ar"/>
        </w:rPr>
        <w:t>检测工作</w:t>
      </w:r>
      <w:r>
        <w:rPr>
          <w:rFonts w:hint="eastAsia" w:ascii="宋体" w:hAnsi="宋体" w:cs="宋体"/>
          <w:color w:val="auto"/>
          <w:sz w:val="24"/>
          <w:highlight w:val="none"/>
          <w:lang w:bidi="ar"/>
        </w:rPr>
        <w:t>量结算</w:t>
      </w:r>
      <w:r>
        <w:rPr>
          <w:rFonts w:ascii="宋体" w:hAnsi="宋体" w:cs="宋体"/>
          <w:color w:val="auto"/>
          <w:sz w:val="24"/>
          <w:highlight w:val="none"/>
          <w:lang w:bidi="ar"/>
        </w:rPr>
        <w:t>服务费</w:t>
      </w:r>
      <w:r>
        <w:rPr>
          <w:rFonts w:hint="eastAsia" w:ascii="宋体" w:hAnsi="宋体" w:cs="宋体"/>
          <w:color w:val="auto"/>
          <w:sz w:val="24"/>
          <w:highlight w:val="none"/>
          <w:lang w:bidi="ar"/>
        </w:rPr>
        <w:t>，</w:t>
      </w:r>
      <w:r>
        <w:rPr>
          <w:rFonts w:hint="eastAsia" w:ascii="Times New Roman" w:hAnsi="Times New Roman" w:cs="宋体"/>
          <w:color w:val="auto"/>
          <w:sz w:val="24"/>
          <w:highlight w:val="none"/>
          <w:lang w:bidi="ar"/>
        </w:rPr>
        <w:t>支付至合同结算价的</w:t>
      </w:r>
      <w:r>
        <w:rPr>
          <w:rFonts w:ascii="Times New Roman" w:hAnsi="Times New Roman"/>
          <w:color w:val="auto"/>
          <w:sz w:val="24"/>
          <w:highlight w:val="none"/>
          <w:lang w:bidi="ar"/>
        </w:rPr>
        <w:t>80%</w:t>
      </w:r>
      <w:r>
        <w:rPr>
          <w:rFonts w:hint="eastAsia" w:ascii="Times New Roman" w:hAnsi="Times New Roman" w:cs="宋体"/>
          <w:color w:val="auto"/>
          <w:sz w:val="24"/>
          <w:highlight w:val="none"/>
          <w:lang w:bidi="ar"/>
        </w:rPr>
        <w:t>。项目竣工验收并顺利取得行业主管部门的质量监督报告后15个工作日内支付合同剩余款项</w:t>
      </w:r>
      <w:r>
        <w:rPr>
          <w:rFonts w:hint="eastAsia" w:ascii="宋体" w:hAnsi="宋体" w:cs="宋体"/>
          <w:color w:val="auto"/>
          <w:sz w:val="24"/>
          <w:highlight w:val="none"/>
          <w:lang w:bidi="ar"/>
        </w:rPr>
        <w:t>。</w:t>
      </w:r>
    </w:p>
    <w:p w14:paraId="6BDC9AFA">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val="en-US" w:eastAsia="zh-CN" w:bidi="ar"/>
        </w:rPr>
        <w:t>4</w:t>
      </w:r>
      <w:r>
        <w:rPr>
          <w:rFonts w:hint="eastAsia" w:ascii="Times New Roman" w:hAnsi="Times New Roman" w:cs="宋体"/>
          <w:color w:val="auto"/>
          <w:sz w:val="24"/>
          <w:highlight w:val="none"/>
          <w:lang w:bidi="ar"/>
        </w:rPr>
        <w:t>、如甲方发现乙方存在违约行为，可在发现当期的支付节点直接扣除乙方应支付的违约金或损失赔偿金。</w:t>
      </w:r>
    </w:p>
    <w:p w14:paraId="6B5FDCA6">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olor w:val="auto"/>
          <w:sz w:val="24"/>
          <w:highlight w:val="none"/>
          <w:lang w:val="en-US" w:eastAsia="zh-CN" w:bidi="ar"/>
        </w:rPr>
        <w:t>5</w:t>
      </w:r>
      <w:r>
        <w:rPr>
          <w:rFonts w:hint="eastAsia" w:ascii="Times New Roman" w:hAnsi="Times New Roman" w:cs="宋体"/>
          <w:color w:val="auto"/>
          <w:sz w:val="24"/>
          <w:highlight w:val="none"/>
          <w:lang w:bidi="ar"/>
        </w:rPr>
        <w:t>、乙方在每次收取款项前须向甲方提供与所收款项金额相等合法有效的增值税专用发票，否则甲方有权拒绝支付该期款项。</w:t>
      </w:r>
    </w:p>
    <w:p w14:paraId="68B8C3D6">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val="en-US" w:eastAsia="zh-CN" w:bidi="ar"/>
        </w:rPr>
        <w:t>6</w:t>
      </w:r>
      <w:r>
        <w:rPr>
          <w:rFonts w:hint="eastAsia" w:ascii="Times New Roman" w:hAnsi="Times New Roman" w:cs="宋体"/>
          <w:color w:val="auto"/>
          <w:sz w:val="24"/>
          <w:highlight w:val="none"/>
          <w:lang w:bidi="ar"/>
        </w:rPr>
        <w:t>、发票信息：申请服务费时，乙方需遵守番禺区财政集中支付的相关规定，向甲方开具增值税发票。增值税发票信息：</w:t>
      </w:r>
      <w:r>
        <w:rPr>
          <w:rFonts w:hint="eastAsia" w:ascii="Times New Roman" w:hAnsi="Times New Roman" w:cs="宋体"/>
          <w:color w:val="auto"/>
          <w:sz w:val="24"/>
          <w:highlight w:val="none"/>
          <w:lang w:bidi="ar"/>
        </w:rPr>
        <w:br w:type="textWrapping"/>
      </w:r>
      <w:r>
        <w:rPr>
          <w:rFonts w:hint="eastAsia" w:ascii="Times New Roman" w:hAnsi="Times New Roman" w:cs="宋体"/>
          <w:color w:val="auto"/>
          <w:sz w:val="24"/>
          <w:highlight w:val="none"/>
          <w:lang w:bidi="ar"/>
        </w:rPr>
        <w:t xml:space="preserve">    单位名称：广州市番禺区基本建设投资管理中心</w:t>
      </w:r>
      <w:r>
        <w:rPr>
          <w:rFonts w:hint="eastAsia" w:ascii="Times New Roman" w:hAnsi="Times New Roman" w:cs="宋体"/>
          <w:color w:val="auto"/>
          <w:sz w:val="24"/>
          <w:highlight w:val="none"/>
          <w:lang w:bidi="ar"/>
        </w:rPr>
        <w:br w:type="textWrapping"/>
      </w:r>
      <w:r>
        <w:rPr>
          <w:rFonts w:hint="eastAsia" w:ascii="Times New Roman" w:hAnsi="Times New Roman" w:cs="宋体"/>
          <w:color w:val="auto"/>
          <w:sz w:val="24"/>
          <w:highlight w:val="none"/>
          <w:lang w:bidi="ar"/>
        </w:rPr>
        <w:t xml:space="preserve">    统一社会信用代码：</w:t>
      </w:r>
    </w:p>
    <w:p w14:paraId="187FDA3D">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地址：广州市番禺区清河东路319号西副楼六楼607室</w:t>
      </w:r>
    </w:p>
    <w:p w14:paraId="0B0F6B86">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联系电话：020-84640312</w:t>
      </w:r>
    </w:p>
    <w:p w14:paraId="082E7E4A">
      <w:pPr>
        <w:pStyle w:val="4"/>
        <w:spacing w:line="500" w:lineRule="exact"/>
        <w:ind w:firstLine="643"/>
        <w:jc w:val="left"/>
        <w:rPr>
          <w:rFonts w:hAnsi="宋体" w:cs="仿宋"/>
          <w:color w:val="auto"/>
          <w:sz w:val="24"/>
          <w:szCs w:val="24"/>
          <w:highlight w:val="none"/>
        </w:rPr>
      </w:pPr>
      <w:r>
        <w:rPr>
          <w:rFonts w:hint="eastAsia" w:hAnsi="宋体" w:cs="仿宋"/>
          <w:color w:val="auto"/>
          <w:sz w:val="24"/>
          <w:szCs w:val="24"/>
          <w:highlight w:val="none"/>
        </w:rPr>
        <w:t>乙方银行账号信息：</w:t>
      </w:r>
    </w:p>
    <w:p w14:paraId="5C525673">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（1）</w:t>
      </w:r>
    </w:p>
    <w:p w14:paraId="4F90A809">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银行户名：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A6CBAB9">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0C4BF80">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38AFD6C">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（2）(如有，适用于联合体)</w:t>
      </w:r>
    </w:p>
    <w:p w14:paraId="187D26CE">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银行户名：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2DD0CAC">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1775A7E">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0DE790A">
      <w:pPr>
        <w:spacing w:line="500" w:lineRule="exact"/>
        <w:ind w:firstLine="482" w:firstLineChars="200"/>
        <w:rPr>
          <w:rFonts w:ascii="宋体" w:hAnsi="宋体" w:cs="仿宋"/>
          <w:b/>
          <w:color w:val="auto"/>
          <w:sz w:val="24"/>
          <w:szCs w:val="24"/>
          <w:highlight w:val="none"/>
        </w:rPr>
      </w:pPr>
      <w:r>
        <w:rPr>
          <w:rFonts w:hint="eastAsia" w:ascii="宋体" w:hAnsi="宋体" w:cs="仿宋"/>
          <w:b/>
          <w:color w:val="auto"/>
          <w:sz w:val="24"/>
          <w:szCs w:val="24"/>
          <w:highlight w:val="none"/>
        </w:rPr>
        <w:t>本合同约定明示的付款时间不包含政府财政支付部门审批时间，乙方清楚本项目使用的是财政资金，并同意甲方向财政支付部门提出支付申请即视为已按时付款。</w:t>
      </w:r>
    </w:p>
    <w:p w14:paraId="08D56E73">
      <w:pPr>
        <w:pStyle w:val="2"/>
        <w:rPr>
          <w:color w:val="auto"/>
          <w:highlight w:val="none"/>
        </w:rPr>
      </w:pPr>
    </w:p>
    <w:p w14:paraId="23546593">
      <w:pPr>
        <w:adjustRightInd w:val="0"/>
        <w:snapToGrid w:val="0"/>
        <w:spacing w:line="360" w:lineRule="auto"/>
        <w:ind w:firstLine="482" w:firstLineChars="200"/>
        <w:outlineLvl w:val="0"/>
        <w:rPr>
          <w:color w:val="auto"/>
          <w:sz w:val="24"/>
          <w:highlight w:val="none"/>
        </w:rPr>
      </w:pPr>
      <w:bookmarkStart w:id="8" w:name="_Toc496830645"/>
      <w:bookmarkStart w:id="9" w:name="_Toc370832549"/>
      <w:r>
        <w:rPr>
          <w:rFonts w:hint="eastAsia" w:ascii="Times New Roman" w:hAnsi="Times New Roman" w:cs="宋体"/>
          <w:b/>
          <w:color w:val="auto"/>
          <w:sz w:val="24"/>
          <w:highlight w:val="none"/>
          <w:lang w:bidi="ar"/>
        </w:rPr>
        <w:t>七、甲方责任</w:t>
      </w:r>
      <w:bookmarkEnd w:id="8"/>
      <w:bookmarkEnd w:id="9"/>
    </w:p>
    <w:p w14:paraId="7D1096CE">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、向乙方提供开展本项目工作所必须的设计文件、工程资料、技术资料等。</w:t>
      </w:r>
    </w:p>
    <w:p w14:paraId="09AD43C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、甲方应在收到乙方书面提交并要求做出决定事宜的相关文件之日起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个工作日内做出书面答复。</w:t>
      </w:r>
    </w:p>
    <w:p w14:paraId="790C713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、甲方应协调乙方与现场各方关系，负责提供检测的场地；告知监理人、施工单位检测部位及</w:t>
      </w:r>
      <w:r>
        <w:rPr>
          <w:rFonts w:hint="eastAsia" w:ascii="宋体" w:hAnsi="宋体"/>
          <w:color w:val="auto"/>
          <w:sz w:val="24"/>
          <w:szCs w:val="24"/>
          <w:highlight w:val="none"/>
        </w:rPr>
        <w:t>基准点、观测点埋设</w:t>
      </w:r>
      <w:r>
        <w:rPr>
          <w:rFonts w:hint="eastAsia" w:ascii="Times New Roman" w:hAnsi="Times New Roman" w:cs="宋体"/>
          <w:color w:val="auto"/>
          <w:sz w:val="24"/>
          <w:highlight w:val="none"/>
          <w:lang w:bidi="ar"/>
        </w:rPr>
        <w:t>位置并做好前期准备工作。</w:t>
      </w:r>
    </w:p>
    <w:p w14:paraId="22A32B1F">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、选定检测部位、</w:t>
      </w:r>
      <w:r>
        <w:rPr>
          <w:rFonts w:hint="eastAsia" w:ascii="宋体" w:hAnsi="宋体"/>
          <w:color w:val="auto"/>
          <w:sz w:val="24"/>
          <w:szCs w:val="24"/>
          <w:highlight w:val="none"/>
        </w:rPr>
        <w:t>基准点、观测点埋设位置</w:t>
      </w:r>
      <w:r>
        <w:rPr>
          <w:rFonts w:hint="eastAsia" w:ascii="Times New Roman" w:hAnsi="Times New Roman" w:cs="宋体"/>
          <w:color w:val="auto"/>
          <w:sz w:val="24"/>
          <w:highlight w:val="none"/>
          <w:lang w:bidi="ar"/>
        </w:rPr>
        <w:t>。当已选定的桩</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点</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位无法满足现场检测条件要求时，甲方应负责重新选择桩</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点</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位。</w:t>
      </w:r>
    </w:p>
    <w:p w14:paraId="1C36D119">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、负责提供电源、水源接驳点各一个供乙方使用（水电使用费及其他相关费用由乙方承担）。</w:t>
      </w:r>
    </w:p>
    <w:p w14:paraId="4A6B879B">
      <w:pPr>
        <w:adjustRightInd w:val="0"/>
        <w:snapToGrid w:val="0"/>
        <w:spacing w:line="360" w:lineRule="auto"/>
        <w:ind w:firstLine="480" w:firstLineChars="200"/>
        <w:rPr>
          <w:bCs/>
          <w:color w:val="auto"/>
          <w:sz w:val="24"/>
          <w:highlight w:val="none"/>
        </w:rPr>
      </w:pPr>
      <w:r>
        <w:rPr>
          <w:rFonts w:ascii="Times New Roman" w:hAnsi="Times New Roman"/>
          <w:color w:val="auto"/>
          <w:sz w:val="24"/>
          <w:highlight w:val="none"/>
          <w:lang w:bidi="ar"/>
        </w:rPr>
        <w:t>6</w:t>
      </w:r>
      <w:r>
        <w:rPr>
          <w:rFonts w:hint="eastAsia" w:ascii="Times New Roman" w:hAnsi="Times New Roman" w:cs="宋体"/>
          <w:color w:val="auto"/>
          <w:sz w:val="24"/>
          <w:highlight w:val="none"/>
          <w:lang w:bidi="ar"/>
        </w:rPr>
        <w:t>、组织本项目检测检测方案的审批及成果文件的审查和验收。</w:t>
      </w:r>
    </w:p>
    <w:p w14:paraId="2EA2378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7</w:t>
      </w:r>
      <w:r>
        <w:rPr>
          <w:rFonts w:hint="eastAsia" w:ascii="Times New Roman" w:hAnsi="Times New Roman" w:cs="宋体"/>
          <w:color w:val="auto"/>
          <w:sz w:val="24"/>
          <w:highlight w:val="none"/>
          <w:lang w:bidi="ar"/>
        </w:rPr>
        <w:t>、为保障检测工作的顺利进行提供必要的协助。</w:t>
      </w:r>
    </w:p>
    <w:p w14:paraId="400046AA">
      <w:pPr>
        <w:adjustRightInd w:val="0"/>
        <w:snapToGrid w:val="0"/>
        <w:spacing w:line="360" w:lineRule="auto"/>
        <w:ind w:firstLine="482" w:firstLineChars="200"/>
        <w:outlineLvl w:val="0"/>
        <w:rPr>
          <w:b/>
          <w:color w:val="auto"/>
          <w:sz w:val="24"/>
          <w:highlight w:val="none"/>
        </w:rPr>
      </w:pPr>
      <w:bookmarkStart w:id="10" w:name="_Toc496830646"/>
      <w:bookmarkStart w:id="11" w:name="_Toc370832550"/>
      <w:r>
        <w:rPr>
          <w:rFonts w:hint="eastAsia" w:ascii="Times New Roman" w:hAnsi="Times New Roman" w:cs="宋体"/>
          <w:b/>
          <w:color w:val="auto"/>
          <w:sz w:val="24"/>
          <w:highlight w:val="none"/>
          <w:lang w:bidi="ar"/>
        </w:rPr>
        <w:t>八、乙方责任</w:t>
      </w:r>
      <w:bookmarkEnd w:id="10"/>
      <w:bookmarkEnd w:id="11"/>
    </w:p>
    <w:p w14:paraId="5FBE8A03">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、乙方应在收到中标通知书之日起</w:t>
      </w: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日内向甲方提交本合同约定项目的检测实施方案，经并经甲方、设计、施工、监理和安全监督单位会审后，按审核确定的方案实施，并按照有关规定送质量监督部门备案，甲方以此具体考核乙方的检测工作。如甲方要求乙方对检测实施方案等进行合理修改调整，乙方必须在收到甲方修改调整意见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日内，按甲方要求完成修改调整并报甲方审核。</w:t>
      </w:r>
    </w:p>
    <w:p w14:paraId="7A163950">
      <w:pPr>
        <w:spacing w:line="360" w:lineRule="auto"/>
        <w:ind w:firstLine="54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、乙方必须在甲方发出进场通知之日起</w:t>
      </w:r>
      <w:r>
        <w:rPr>
          <w:rFonts w:ascii="Times New Roman" w:hAnsi="Times New Roman"/>
          <w:color w:val="auto"/>
          <w:sz w:val="24"/>
          <w:highlight w:val="none"/>
          <w:lang w:bidi="ar"/>
        </w:rPr>
        <w:t>24</w:t>
      </w:r>
      <w:r>
        <w:rPr>
          <w:rFonts w:hint="eastAsia" w:ascii="Times New Roman" w:hAnsi="Times New Roman" w:cs="宋体"/>
          <w:color w:val="auto"/>
          <w:sz w:val="24"/>
          <w:highlight w:val="none"/>
          <w:lang w:bidi="ar"/>
        </w:rPr>
        <w:t>小时内，按甲方具体的要求进场，并立即开始履行本合同约定的义务。乙方必须按照其投标文件和检测实施方案的承诺，足额、按时派出工作人员和投入设备。当甲方的现场配合条件不能满足技术服务要求时，乙方可向甲方提出推迟进场申请，经甲方书面同意后方可推迟进场。</w:t>
      </w:r>
    </w:p>
    <w:p w14:paraId="15CB5647">
      <w:pPr>
        <w:spacing w:line="360" w:lineRule="auto"/>
        <w:ind w:firstLine="540"/>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、乙方应自行完成本合同约定项目的检测技术服务工作，不得私自转包或分包。</w:t>
      </w:r>
      <w:r>
        <w:rPr>
          <w:rFonts w:hint="eastAsia" w:ascii="Times New Roman" w:hAnsi="宋体" w:cs="宋体"/>
          <w:color w:val="auto"/>
          <w:sz w:val="24"/>
          <w:highlight w:val="none"/>
          <w:lang w:bidi="ar"/>
        </w:rPr>
        <w:t>如因项目进度需要等原因，</w:t>
      </w:r>
      <w:r>
        <w:rPr>
          <w:rFonts w:hint="eastAsia" w:ascii="Times New Roman" w:hAnsi="Times New Roman" w:cs="宋体"/>
          <w:color w:val="auto"/>
          <w:sz w:val="24"/>
          <w:highlight w:val="none"/>
          <w:lang w:bidi="ar"/>
        </w:rPr>
        <w:t>乙方</w:t>
      </w:r>
      <w:r>
        <w:rPr>
          <w:rFonts w:hint="eastAsia" w:ascii="Times New Roman" w:hAnsi="宋体" w:cs="宋体"/>
          <w:color w:val="auto"/>
          <w:sz w:val="24"/>
          <w:highlight w:val="none"/>
          <w:lang w:bidi="ar"/>
        </w:rPr>
        <w:t>在报甲方同意的情况下可另行发包给具有相应资质其它检验机构进行检验。但分包项目的检测质量和检测工期由乙方负责。分包合同原则上由乙方与另一方签订。该部分检测及费用内容纳入乙方合同一并进行结算。</w:t>
      </w:r>
    </w:p>
    <w:p w14:paraId="69829B21">
      <w:pPr>
        <w:spacing w:line="360" w:lineRule="auto"/>
        <w:ind w:firstLine="540"/>
        <w:rPr>
          <w:color w:val="auto"/>
          <w:sz w:val="24"/>
          <w:highlight w:val="none"/>
        </w:rPr>
      </w:pPr>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、乙方应科学、严谨地工作，按时提交各阶段的检测报告并对报告中数据的真实性、可靠性负责。</w:t>
      </w:r>
    </w:p>
    <w:p w14:paraId="48BA9C0F">
      <w:pPr>
        <w:spacing w:line="360" w:lineRule="auto"/>
        <w:ind w:firstLine="540"/>
        <w:rPr>
          <w:color w:val="auto"/>
          <w:sz w:val="24"/>
          <w:highlight w:val="none"/>
        </w:rPr>
      </w:pP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、检测过程中，发现施工单位违反有关法律、法规、规范和工程建设强制性标准的行为，应及时向甲方报告。</w:t>
      </w:r>
    </w:p>
    <w:p w14:paraId="6D9CCC5F">
      <w:pPr>
        <w:spacing w:line="360" w:lineRule="auto"/>
        <w:ind w:firstLine="540"/>
        <w:rPr>
          <w:color w:val="auto"/>
          <w:sz w:val="24"/>
          <w:highlight w:val="none"/>
        </w:rPr>
      </w:pPr>
      <w:r>
        <w:rPr>
          <w:rFonts w:ascii="Times New Roman" w:hAnsi="Times New Roman"/>
          <w:color w:val="auto"/>
          <w:sz w:val="24"/>
          <w:highlight w:val="none"/>
          <w:lang w:bidi="ar"/>
        </w:rPr>
        <w:t>6</w:t>
      </w:r>
      <w:r>
        <w:rPr>
          <w:rFonts w:hint="eastAsia" w:ascii="Times New Roman" w:hAnsi="Times New Roman" w:cs="宋体"/>
          <w:color w:val="auto"/>
          <w:sz w:val="24"/>
          <w:highlight w:val="none"/>
          <w:lang w:bidi="ar"/>
        </w:rPr>
        <w:t>、乙方协调甲方、施工单位、监理单位以及设计单位的工作关系并组织本项目的检测工作，按照其投标文件和检测实施方案的承诺安排工作人员常驻现场，</w:t>
      </w:r>
      <w:r>
        <w:rPr>
          <w:rFonts w:ascii="Times New Roman" w:hAnsi="Times New Roman" w:cs="宋体"/>
          <w:color w:val="auto"/>
          <w:sz w:val="24"/>
          <w:highlight w:val="none"/>
          <w:lang w:bidi="ar"/>
        </w:rPr>
        <w:t>驻场人</w:t>
      </w:r>
      <w:r>
        <w:rPr>
          <w:rFonts w:hint="eastAsia" w:ascii="Times New Roman" w:hAnsi="Times New Roman" w:cs="宋体"/>
          <w:color w:val="auto"/>
          <w:sz w:val="24"/>
          <w:highlight w:val="none"/>
          <w:lang w:bidi="ar"/>
        </w:rPr>
        <w:t>数在</w:t>
      </w:r>
      <w:r>
        <w:rPr>
          <w:rFonts w:ascii="Times New Roman" w:hAnsi="Times New Roman" w:cs="宋体"/>
          <w:color w:val="auto"/>
          <w:sz w:val="24"/>
          <w:highlight w:val="none"/>
          <w:lang w:bidi="ar"/>
        </w:rPr>
        <w:t>不低于</w:t>
      </w:r>
      <w:r>
        <w:rPr>
          <w:rFonts w:hint="eastAsia" w:ascii="Times New Roman" w:hAnsi="Times New Roman" w:cs="宋体"/>
          <w:color w:val="auto"/>
          <w:sz w:val="24"/>
          <w:highlight w:val="none"/>
          <w:lang w:bidi="ar"/>
        </w:rPr>
        <w:t>投标文件和检测实施方案承诺的</w:t>
      </w:r>
      <w:r>
        <w:rPr>
          <w:rFonts w:ascii="Times New Roman" w:hAnsi="Times New Roman" w:cs="宋体"/>
          <w:color w:val="auto"/>
          <w:sz w:val="24"/>
          <w:highlight w:val="none"/>
          <w:lang w:bidi="ar"/>
        </w:rPr>
        <w:t>条件下</w:t>
      </w:r>
      <w:r>
        <w:rPr>
          <w:rFonts w:hint="eastAsia" w:ascii="Times New Roman" w:hAnsi="Times New Roman" w:cs="宋体"/>
          <w:color w:val="auto"/>
          <w:sz w:val="24"/>
          <w:highlight w:val="none"/>
          <w:lang w:bidi="ar"/>
        </w:rPr>
        <w:t>，</w:t>
      </w:r>
      <w:r>
        <w:rPr>
          <w:rFonts w:ascii="Times New Roman" w:hAnsi="Times New Roman" w:cs="宋体"/>
          <w:color w:val="auto"/>
          <w:sz w:val="24"/>
          <w:highlight w:val="none"/>
          <w:lang w:bidi="ar"/>
        </w:rPr>
        <w:t>报</w:t>
      </w:r>
      <w:r>
        <w:rPr>
          <w:rFonts w:hint="eastAsia" w:ascii="Times New Roman" w:hAnsi="Times New Roman" w:cs="宋体"/>
          <w:color w:val="auto"/>
          <w:sz w:val="24"/>
          <w:highlight w:val="none"/>
          <w:lang w:bidi="ar"/>
        </w:rPr>
        <w:t>甲方</w:t>
      </w:r>
      <w:r>
        <w:rPr>
          <w:rFonts w:ascii="Times New Roman" w:hAnsi="Times New Roman" w:cs="宋体"/>
          <w:color w:val="auto"/>
          <w:sz w:val="24"/>
          <w:highlight w:val="none"/>
          <w:lang w:bidi="ar"/>
        </w:rPr>
        <w:t>审批</w:t>
      </w:r>
      <w:r>
        <w:rPr>
          <w:rFonts w:hint="eastAsia" w:ascii="Times New Roman" w:hAnsi="Times New Roman" w:cs="宋体"/>
          <w:color w:val="auto"/>
          <w:sz w:val="24"/>
          <w:highlight w:val="none"/>
          <w:lang w:bidi="ar"/>
        </w:rPr>
        <w:t>同意</w:t>
      </w:r>
      <w:r>
        <w:rPr>
          <w:rFonts w:ascii="Times New Roman" w:hAnsi="Times New Roman" w:cs="宋体"/>
          <w:color w:val="auto"/>
          <w:sz w:val="24"/>
          <w:highlight w:val="none"/>
          <w:lang w:bidi="ar"/>
        </w:rPr>
        <w:t>确定</w:t>
      </w:r>
      <w:r>
        <w:rPr>
          <w:rFonts w:hint="eastAsia" w:ascii="Times New Roman" w:hAnsi="Times New Roman" w:cs="宋体"/>
          <w:color w:val="auto"/>
          <w:sz w:val="24"/>
          <w:highlight w:val="none"/>
          <w:lang w:bidi="ar"/>
        </w:rPr>
        <w:t>。</w:t>
      </w:r>
    </w:p>
    <w:p w14:paraId="1183881B">
      <w:pPr>
        <w:spacing w:line="360" w:lineRule="auto"/>
        <w:ind w:firstLine="540"/>
        <w:rPr>
          <w:color w:val="auto"/>
          <w:sz w:val="24"/>
          <w:highlight w:val="none"/>
        </w:rPr>
      </w:pPr>
      <w:r>
        <w:rPr>
          <w:rFonts w:ascii="Times New Roman" w:hAnsi="Times New Roman"/>
          <w:color w:val="auto"/>
          <w:sz w:val="24"/>
          <w:highlight w:val="none"/>
          <w:lang w:bidi="ar"/>
        </w:rPr>
        <w:t>7</w:t>
      </w:r>
      <w:r>
        <w:rPr>
          <w:rFonts w:hint="eastAsia" w:ascii="Times New Roman" w:hAnsi="Times New Roman" w:cs="宋体"/>
          <w:color w:val="auto"/>
          <w:sz w:val="24"/>
          <w:highlight w:val="none"/>
          <w:lang w:bidi="ar"/>
        </w:rPr>
        <w:t>、乙方应自行解决现场项目组的办公和生活用房、设施、配套水电，以及交通、通讯费等，由此发生的费用已包含在投标综合单价报价中。</w:t>
      </w:r>
    </w:p>
    <w:p w14:paraId="07E5A35D">
      <w:pPr>
        <w:spacing w:line="360" w:lineRule="auto"/>
        <w:ind w:firstLine="540"/>
        <w:rPr>
          <w:color w:val="auto"/>
          <w:sz w:val="24"/>
          <w:highlight w:val="none"/>
        </w:rPr>
      </w:pPr>
      <w:r>
        <w:rPr>
          <w:rFonts w:ascii="Times New Roman" w:hAnsi="Times New Roman"/>
          <w:color w:val="auto"/>
          <w:sz w:val="24"/>
          <w:highlight w:val="none"/>
          <w:lang w:bidi="ar"/>
        </w:rPr>
        <w:t>8</w:t>
      </w:r>
      <w:r>
        <w:rPr>
          <w:rFonts w:hint="eastAsia" w:ascii="Times New Roman" w:hAnsi="Times New Roman" w:cs="宋体"/>
          <w:color w:val="auto"/>
          <w:sz w:val="24"/>
          <w:highlight w:val="none"/>
          <w:lang w:bidi="ar"/>
        </w:rPr>
        <w:t>、乙方应当配合工程设计和施工的需要提供相应的检测服务，并应按甲方要求，采取有效措施及时提供中间资料，以满足施工进度的需要。</w:t>
      </w:r>
    </w:p>
    <w:p w14:paraId="4A82A05F">
      <w:pPr>
        <w:spacing w:line="360" w:lineRule="auto"/>
        <w:ind w:firstLine="540"/>
        <w:rPr>
          <w:color w:val="auto"/>
          <w:sz w:val="24"/>
          <w:highlight w:val="none"/>
        </w:rPr>
      </w:pPr>
      <w:r>
        <w:rPr>
          <w:rFonts w:ascii="Times New Roman" w:hAnsi="Times New Roman"/>
          <w:color w:val="auto"/>
          <w:sz w:val="24"/>
          <w:highlight w:val="none"/>
          <w:lang w:bidi="ar"/>
        </w:rPr>
        <w:t>9</w:t>
      </w:r>
      <w:r>
        <w:rPr>
          <w:rFonts w:hint="eastAsia" w:ascii="Times New Roman" w:hAnsi="Times New Roman" w:cs="宋体"/>
          <w:color w:val="auto"/>
          <w:sz w:val="24"/>
          <w:highlight w:val="none"/>
          <w:lang w:bidi="ar"/>
        </w:rPr>
        <w:t>、检测过程中，如因场地条件、设计方案的变更，需增减检测工程量或改变检测手段的，乙方均应及时向甲方报告，并在甲方书面批准后方可实施。</w:t>
      </w:r>
    </w:p>
    <w:p w14:paraId="752EA548">
      <w:pPr>
        <w:spacing w:line="360" w:lineRule="auto"/>
        <w:ind w:firstLine="540"/>
        <w:rPr>
          <w:color w:val="auto"/>
          <w:sz w:val="24"/>
          <w:highlight w:val="none"/>
        </w:rPr>
      </w:pPr>
      <w:r>
        <w:rPr>
          <w:rFonts w:ascii="Times New Roman" w:hAnsi="Times New Roman"/>
          <w:color w:val="auto"/>
          <w:sz w:val="24"/>
          <w:highlight w:val="none"/>
          <w:lang w:bidi="ar"/>
        </w:rPr>
        <w:t>10</w:t>
      </w:r>
      <w:r>
        <w:rPr>
          <w:rFonts w:hint="eastAsia" w:ascii="Times New Roman" w:hAnsi="Times New Roman" w:cs="宋体"/>
          <w:color w:val="auto"/>
          <w:sz w:val="24"/>
          <w:highlight w:val="none"/>
          <w:lang w:bidi="ar"/>
        </w:rPr>
        <w:t>、对于甲方书面提交并要求作出决定的事宜，乙方应在收到之日起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个工作日内作出书面答复；对影响施工现场进度的事项应在</w:t>
      </w:r>
      <w:r>
        <w:rPr>
          <w:rFonts w:ascii="Times New Roman" w:hAnsi="Times New Roman"/>
          <w:color w:val="auto"/>
          <w:sz w:val="24"/>
          <w:highlight w:val="none"/>
          <w:lang w:bidi="ar"/>
        </w:rPr>
        <w:t>24</w:t>
      </w:r>
      <w:r>
        <w:rPr>
          <w:rFonts w:hint="eastAsia" w:ascii="Times New Roman" w:hAnsi="Times New Roman" w:cs="宋体"/>
          <w:color w:val="auto"/>
          <w:sz w:val="24"/>
          <w:highlight w:val="none"/>
          <w:lang w:bidi="ar"/>
        </w:rPr>
        <w:t>小时内作出具有明确处理意见的书面答复。</w:t>
      </w:r>
    </w:p>
    <w:p w14:paraId="29559CE6">
      <w:pPr>
        <w:spacing w:line="360" w:lineRule="auto"/>
        <w:ind w:firstLine="540"/>
        <w:rPr>
          <w:color w:val="auto"/>
          <w:sz w:val="24"/>
          <w:highlight w:val="none"/>
        </w:rPr>
      </w:pPr>
      <w:r>
        <w:rPr>
          <w:rFonts w:ascii="Times New Roman" w:hAnsi="Times New Roman"/>
          <w:color w:val="auto"/>
          <w:sz w:val="24"/>
          <w:highlight w:val="none"/>
          <w:lang w:bidi="ar"/>
        </w:rPr>
        <w:t>11</w:t>
      </w:r>
      <w:r>
        <w:rPr>
          <w:rFonts w:hint="eastAsia" w:ascii="Times New Roman" w:hAnsi="Times New Roman" w:cs="宋体"/>
          <w:color w:val="auto"/>
          <w:sz w:val="24"/>
          <w:highlight w:val="none"/>
          <w:lang w:bidi="ar"/>
        </w:rPr>
        <w:t>、按时进行现场试验取样、提交检测报告，负责资料、报告的打印、复印、装订、装箱等工作。</w:t>
      </w:r>
    </w:p>
    <w:p w14:paraId="1FE2CDB5">
      <w:pPr>
        <w:spacing w:line="360" w:lineRule="auto"/>
        <w:ind w:firstLine="540"/>
        <w:rPr>
          <w:color w:val="auto"/>
          <w:sz w:val="24"/>
          <w:highlight w:val="none"/>
        </w:rPr>
      </w:pPr>
      <w:r>
        <w:rPr>
          <w:rFonts w:ascii="Times New Roman" w:hAnsi="Times New Roman"/>
          <w:color w:val="auto"/>
          <w:sz w:val="24"/>
          <w:highlight w:val="none"/>
          <w:lang w:bidi="ar"/>
        </w:rPr>
        <w:t>12</w:t>
      </w:r>
      <w:r>
        <w:rPr>
          <w:rFonts w:hint="eastAsia" w:ascii="Times New Roman" w:hAnsi="Times New Roman" w:cs="宋体"/>
          <w:color w:val="auto"/>
          <w:sz w:val="24"/>
          <w:highlight w:val="none"/>
          <w:lang w:bidi="ar"/>
        </w:rPr>
        <w:t>、向甲方提供非驻场式的技术咨询、支持服务，包括参加本项目相关会议、安排技术人员到现场解决相关问题。</w:t>
      </w:r>
    </w:p>
    <w:p w14:paraId="6F2A86BA">
      <w:pPr>
        <w:spacing w:line="360" w:lineRule="auto"/>
        <w:ind w:firstLine="540"/>
        <w:rPr>
          <w:color w:val="auto"/>
          <w:sz w:val="24"/>
          <w:highlight w:val="none"/>
        </w:rPr>
      </w:pPr>
      <w:r>
        <w:rPr>
          <w:rFonts w:ascii="Times New Roman" w:hAnsi="Times New Roman"/>
          <w:color w:val="auto"/>
          <w:sz w:val="24"/>
          <w:highlight w:val="none"/>
          <w:lang w:bidi="ar"/>
        </w:rPr>
        <w:t>13</w:t>
      </w:r>
      <w:r>
        <w:rPr>
          <w:rFonts w:hint="eastAsia" w:ascii="Times New Roman" w:hAnsi="Times New Roman" w:cs="宋体"/>
          <w:color w:val="auto"/>
          <w:sz w:val="24"/>
          <w:highlight w:val="none"/>
          <w:lang w:bidi="ar"/>
        </w:rPr>
        <w:t>、应随时接受甲方、监理单位及质量安全监督部门的监督，为确保检测结果的正确，任何人不得干预检测结果。</w:t>
      </w:r>
    </w:p>
    <w:p w14:paraId="08BB215A">
      <w:pPr>
        <w:spacing w:line="360" w:lineRule="auto"/>
        <w:ind w:firstLine="540"/>
        <w:rPr>
          <w:color w:val="auto"/>
          <w:sz w:val="24"/>
          <w:highlight w:val="none"/>
        </w:rPr>
      </w:pPr>
      <w:r>
        <w:rPr>
          <w:rFonts w:ascii="Times New Roman" w:hAnsi="Times New Roman"/>
          <w:color w:val="auto"/>
          <w:sz w:val="24"/>
          <w:highlight w:val="none"/>
          <w:lang w:bidi="ar"/>
        </w:rPr>
        <w:t>14</w:t>
      </w:r>
      <w:r>
        <w:rPr>
          <w:rFonts w:hint="eastAsia" w:ascii="Times New Roman" w:hAnsi="Times New Roman" w:cs="宋体"/>
          <w:color w:val="auto"/>
          <w:sz w:val="24"/>
          <w:highlight w:val="none"/>
          <w:lang w:bidi="ar"/>
        </w:rPr>
        <w:t>、乙方必须按照投标文件的承诺建立现场管理机构。保证检测人员具备检测资格，保证持有的检测资质满足行业</w:t>
      </w:r>
      <w:r>
        <w:rPr>
          <w:rFonts w:ascii="Times New Roman" w:hAnsi="Times New Roman" w:cs="宋体"/>
          <w:color w:val="auto"/>
          <w:sz w:val="24"/>
          <w:highlight w:val="none"/>
          <w:lang w:bidi="ar"/>
        </w:rPr>
        <w:t>主管部门的</w:t>
      </w:r>
      <w:r>
        <w:rPr>
          <w:rFonts w:hint="eastAsia" w:ascii="Times New Roman" w:hAnsi="Times New Roman" w:cs="宋体"/>
          <w:color w:val="auto"/>
          <w:sz w:val="24"/>
          <w:highlight w:val="none"/>
          <w:lang w:bidi="ar"/>
        </w:rPr>
        <w:t>管理要求。</w:t>
      </w:r>
    </w:p>
    <w:p w14:paraId="59572268">
      <w:pPr>
        <w:spacing w:line="360" w:lineRule="auto"/>
        <w:ind w:firstLine="540"/>
        <w:rPr>
          <w:color w:val="auto"/>
          <w:sz w:val="24"/>
          <w:highlight w:val="none"/>
        </w:rPr>
      </w:pPr>
      <w:r>
        <w:rPr>
          <w:rFonts w:ascii="Times New Roman" w:hAnsi="Times New Roman"/>
          <w:color w:val="auto"/>
          <w:sz w:val="24"/>
          <w:highlight w:val="none"/>
          <w:lang w:bidi="ar"/>
        </w:rPr>
        <w:t>15</w:t>
      </w:r>
      <w:r>
        <w:rPr>
          <w:rFonts w:hint="eastAsia" w:ascii="Times New Roman" w:hAnsi="Times New Roman" w:cs="宋体"/>
          <w:color w:val="auto"/>
          <w:sz w:val="24"/>
          <w:highlight w:val="none"/>
          <w:lang w:bidi="ar"/>
        </w:rPr>
        <w:t>、提供仪器设备，负责仪器设备安装及场内中转、进退场。保证计量器具在计量检定有效周期内。</w:t>
      </w:r>
    </w:p>
    <w:p w14:paraId="7BAE2A8F">
      <w:pPr>
        <w:spacing w:line="360" w:lineRule="auto"/>
        <w:ind w:firstLine="540"/>
        <w:rPr>
          <w:color w:val="auto"/>
          <w:sz w:val="24"/>
          <w:highlight w:val="none"/>
        </w:rPr>
      </w:pPr>
      <w:r>
        <w:rPr>
          <w:rFonts w:ascii="Times New Roman" w:hAnsi="Times New Roman"/>
          <w:color w:val="auto"/>
          <w:sz w:val="24"/>
          <w:highlight w:val="none"/>
          <w:lang w:bidi="ar"/>
        </w:rPr>
        <w:t>16</w:t>
      </w:r>
      <w:r>
        <w:rPr>
          <w:rFonts w:hint="eastAsia" w:ascii="Times New Roman" w:hAnsi="Times New Roman" w:cs="宋体"/>
          <w:color w:val="auto"/>
          <w:sz w:val="24"/>
          <w:highlight w:val="none"/>
          <w:lang w:bidi="ar"/>
        </w:rPr>
        <w:t>、保证检测工作的客观、独立、公正，不得与施工单位串通，将检测不合格的工程出具合格检测报告或修改检测结论，损害甲方的利益，否则应按照本合同条款第十条的有关约定承担违约责任。</w:t>
      </w:r>
    </w:p>
    <w:p w14:paraId="4277E4C7">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olor w:val="auto"/>
          <w:sz w:val="24"/>
          <w:highlight w:val="none"/>
          <w:lang w:bidi="ar"/>
        </w:rPr>
        <w:t>7</w:t>
      </w:r>
      <w:r>
        <w:rPr>
          <w:rFonts w:hint="eastAsia" w:ascii="Times New Roman" w:hAnsi="Times New Roman" w:cs="宋体"/>
          <w:color w:val="auto"/>
          <w:sz w:val="24"/>
          <w:highlight w:val="none"/>
          <w:lang w:bidi="ar"/>
        </w:rPr>
        <w:t>、对检测过程中发现存在的质量问题，提出具体的处理意见和建议。</w:t>
      </w:r>
    </w:p>
    <w:p w14:paraId="05AE5033">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olor w:val="auto"/>
          <w:sz w:val="24"/>
          <w:highlight w:val="none"/>
          <w:lang w:bidi="ar"/>
        </w:rPr>
        <w:t>8</w:t>
      </w:r>
      <w:r>
        <w:rPr>
          <w:rFonts w:hint="eastAsia" w:ascii="Times New Roman" w:hAnsi="Times New Roman" w:cs="宋体"/>
          <w:color w:val="auto"/>
          <w:sz w:val="24"/>
          <w:highlight w:val="none"/>
          <w:lang w:bidi="ar"/>
        </w:rPr>
        <w:t>、乙方按商定的时间进场。</w:t>
      </w:r>
    </w:p>
    <w:p w14:paraId="3CCDA908">
      <w:pPr>
        <w:spacing w:line="360" w:lineRule="auto"/>
        <w:ind w:firstLine="540"/>
        <w:rPr>
          <w:color w:val="auto"/>
          <w:sz w:val="24"/>
          <w:highlight w:val="none"/>
        </w:rPr>
      </w:pPr>
      <w:r>
        <w:rPr>
          <w:rFonts w:hint="eastAsia" w:ascii="Times New Roman" w:hAnsi="Times New Roman"/>
          <w:color w:val="auto"/>
          <w:sz w:val="24"/>
          <w:highlight w:val="none"/>
          <w:lang w:bidi="ar"/>
        </w:rPr>
        <w:t>19</w:t>
      </w:r>
      <w:r>
        <w:rPr>
          <w:rFonts w:hint="eastAsia" w:ascii="Times New Roman" w:hAnsi="Times New Roman" w:cs="宋体"/>
          <w:color w:val="auto"/>
          <w:sz w:val="24"/>
          <w:highlight w:val="none"/>
          <w:lang w:bidi="ar"/>
        </w:rPr>
        <w:t>、除用于申报工程建设奖项评审外，乙方不得向第三方扩散、转让甲方提交的图纸及该项目的检测成果等技术经济资料，如果发生上述情况，甲方有权向乙方索赔。</w:t>
      </w:r>
    </w:p>
    <w:p w14:paraId="7AB28734">
      <w:pPr>
        <w:spacing w:line="360" w:lineRule="auto"/>
        <w:ind w:firstLine="540"/>
        <w:rPr>
          <w:rFonts w:ascii="Times New Roman" w:hAnsi="Times New Roman" w:cs="宋体"/>
          <w:color w:val="auto"/>
          <w:sz w:val="24"/>
          <w:highlight w:val="none"/>
          <w:lang w:bidi="ar"/>
        </w:rPr>
      </w:pPr>
      <w:r>
        <w:rPr>
          <w:rFonts w:hint="eastAsia" w:ascii="Times New Roman" w:hAnsi="Times New Roman"/>
          <w:color w:val="auto"/>
          <w:sz w:val="24"/>
          <w:highlight w:val="none"/>
          <w:lang w:bidi="ar"/>
        </w:rPr>
        <w:t>20</w:t>
      </w:r>
      <w:r>
        <w:rPr>
          <w:rFonts w:hint="eastAsia" w:ascii="Times New Roman" w:hAnsi="Times New Roman" w:cs="宋体"/>
          <w:color w:val="auto"/>
          <w:sz w:val="24"/>
          <w:highlight w:val="none"/>
          <w:lang w:bidi="ar"/>
        </w:rPr>
        <w:t>、接受番禺区财政评审机构、广州市番禺区基本建设投资管理中心的审查和指导，广州市番禺区基本建设投资管理中心有权向乙方提出具体工作要求，并要求乙方做出解释、说明。</w:t>
      </w:r>
    </w:p>
    <w:p w14:paraId="3DB87737">
      <w:pPr>
        <w:spacing w:line="360" w:lineRule="auto"/>
        <w:ind w:firstLine="540"/>
        <w:rPr>
          <w:color w:val="auto"/>
          <w:sz w:val="24"/>
          <w:highlight w:val="none"/>
        </w:rPr>
      </w:pPr>
      <w:r>
        <w:rPr>
          <w:rFonts w:hint="eastAsia" w:ascii="Times New Roman" w:hAnsi="Times New Roman" w:cs="宋体"/>
          <w:color w:val="auto"/>
          <w:sz w:val="24"/>
          <w:highlight w:val="none"/>
          <w:lang w:bidi="ar"/>
        </w:rPr>
        <w:t>21、无条件向甲方提供检测报告进行验收或资料档案归档。</w:t>
      </w:r>
    </w:p>
    <w:p w14:paraId="1B16A965">
      <w:pPr>
        <w:adjustRightInd w:val="0"/>
        <w:snapToGrid w:val="0"/>
        <w:spacing w:line="360" w:lineRule="auto"/>
        <w:ind w:firstLine="482" w:firstLineChars="200"/>
        <w:outlineLvl w:val="0"/>
        <w:rPr>
          <w:b/>
          <w:color w:val="auto"/>
          <w:sz w:val="24"/>
          <w:highlight w:val="none"/>
        </w:rPr>
      </w:pPr>
      <w:bookmarkStart w:id="12" w:name="_Toc496830647"/>
      <w:bookmarkStart w:id="13" w:name="_Toc370832551"/>
      <w:r>
        <w:rPr>
          <w:rFonts w:hint="eastAsia" w:ascii="Times New Roman" w:hAnsi="Times New Roman" w:cs="宋体"/>
          <w:b/>
          <w:color w:val="auto"/>
          <w:sz w:val="24"/>
          <w:highlight w:val="none"/>
          <w:lang w:bidi="ar"/>
        </w:rPr>
        <w:t>九、违约条款</w:t>
      </w:r>
      <w:bookmarkEnd w:id="12"/>
      <w:bookmarkEnd w:id="13"/>
    </w:p>
    <w:p w14:paraId="528429D6">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1.甲方违反合同约定逾期办理申报支付本合同约定费用，应从逾期之日后的第二十天起计向乙方支付逾付款项的同期银行活期存款利息。</w:t>
      </w:r>
    </w:p>
    <w:p w14:paraId="3FFECF1A">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2.甲方和</w:t>
      </w:r>
      <w:r>
        <w:rPr>
          <w:rFonts w:ascii="宋体" w:hAnsi="Courier New" w:cs="宋体"/>
          <w:color w:val="auto"/>
          <w:sz w:val="24"/>
          <w:highlight w:val="none"/>
          <w:lang w:bidi="ar"/>
        </w:rPr>
        <w:t>监理人</w:t>
      </w:r>
      <w:r>
        <w:rPr>
          <w:rFonts w:hint="eastAsia" w:ascii="宋体" w:hAnsi="Courier New" w:cs="宋体"/>
          <w:color w:val="auto"/>
          <w:sz w:val="24"/>
          <w:highlight w:val="none"/>
          <w:lang w:bidi="ar"/>
        </w:rPr>
        <w:t>须按</w:t>
      </w:r>
      <w:r>
        <w:rPr>
          <w:rFonts w:ascii="宋体" w:hAnsi="Courier New" w:cs="宋体"/>
          <w:color w:val="auto"/>
          <w:sz w:val="24"/>
          <w:highlight w:val="none"/>
          <w:lang w:bidi="ar"/>
        </w:rPr>
        <w:t>合同条款</w:t>
      </w:r>
      <w:r>
        <w:rPr>
          <w:rFonts w:hint="eastAsia" w:ascii="宋体" w:hAnsi="Courier New" w:cs="宋体"/>
          <w:color w:val="auto"/>
          <w:sz w:val="24"/>
          <w:highlight w:val="none"/>
          <w:lang w:bidi="ar"/>
        </w:rPr>
        <w:t>在约定的期限内对乙方已经完成的工作量进行确认，若超过约定期限五个工作日仍不回复或者确认的，乙方</w:t>
      </w:r>
      <w:r>
        <w:rPr>
          <w:rFonts w:ascii="宋体" w:hAnsi="Courier New" w:cs="宋体"/>
          <w:color w:val="auto"/>
          <w:sz w:val="24"/>
          <w:highlight w:val="none"/>
          <w:lang w:bidi="ar"/>
        </w:rPr>
        <w:t>有权</w:t>
      </w:r>
      <w:r>
        <w:rPr>
          <w:rFonts w:hint="eastAsia" w:ascii="宋体" w:hAnsi="Courier New" w:cs="宋体"/>
          <w:color w:val="auto"/>
          <w:sz w:val="24"/>
          <w:highlight w:val="none"/>
          <w:lang w:bidi="ar"/>
        </w:rPr>
        <w:t>书面</w:t>
      </w:r>
      <w:r>
        <w:rPr>
          <w:rFonts w:ascii="宋体" w:hAnsi="Courier New" w:cs="宋体"/>
          <w:color w:val="auto"/>
          <w:sz w:val="24"/>
          <w:highlight w:val="none"/>
          <w:lang w:bidi="ar"/>
        </w:rPr>
        <w:t>通知</w:t>
      </w:r>
      <w:r>
        <w:rPr>
          <w:rFonts w:hint="eastAsia" w:ascii="宋体" w:hAnsi="Courier New" w:cs="宋体"/>
          <w:color w:val="auto"/>
          <w:sz w:val="24"/>
          <w:highlight w:val="none"/>
          <w:lang w:bidi="ar"/>
        </w:rPr>
        <w:t>甲方追认</w:t>
      </w:r>
      <w:r>
        <w:rPr>
          <w:rFonts w:ascii="宋体" w:hAnsi="Courier New" w:cs="宋体"/>
          <w:color w:val="auto"/>
          <w:sz w:val="24"/>
          <w:highlight w:val="none"/>
          <w:lang w:bidi="ar"/>
        </w:rPr>
        <w:t>相关</w:t>
      </w:r>
      <w:r>
        <w:rPr>
          <w:rFonts w:hint="eastAsia" w:ascii="宋体" w:hAnsi="Courier New" w:cs="宋体"/>
          <w:color w:val="auto"/>
          <w:sz w:val="24"/>
          <w:highlight w:val="none"/>
          <w:lang w:bidi="ar"/>
        </w:rPr>
        <w:t>已完成</w:t>
      </w:r>
      <w:r>
        <w:rPr>
          <w:rFonts w:ascii="宋体" w:hAnsi="Courier New" w:cs="宋体"/>
          <w:color w:val="auto"/>
          <w:sz w:val="24"/>
          <w:highlight w:val="none"/>
          <w:lang w:bidi="ar"/>
        </w:rPr>
        <w:t>工作量，</w:t>
      </w:r>
      <w:r>
        <w:rPr>
          <w:rFonts w:hint="eastAsia" w:ascii="宋体" w:hAnsi="Courier New" w:cs="宋体"/>
          <w:color w:val="auto"/>
          <w:sz w:val="24"/>
          <w:highlight w:val="none"/>
          <w:lang w:bidi="ar"/>
        </w:rPr>
        <w:t>乙方将相关情况书面通知甲方并征得甲方同意后，可据此结算。</w:t>
      </w:r>
    </w:p>
    <w:p w14:paraId="4D67CD21">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3.乙方应严格按照设计要求及现场监理人员要求，及时到场进行工作。若乙方在合同签订后，经甲方催促不按时进场开展工作或进场后三次未能及时提交满足合同约定标准的检测报告，甲方有权解除合同，乙方应全额返还受影响段甲方已付款项并赔偿甲方相关损失。</w:t>
      </w:r>
    </w:p>
    <w:p w14:paraId="5588E6C7">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4.如乙方提交的检测报告不能满足工程建设需要的，乙方应自负费用继续完善，直到满足甲方需要时为止。</w:t>
      </w:r>
    </w:p>
    <w:p w14:paraId="474D47EA">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5、乙方未按规定时间提交检测报告书，每超过一日，扣减合同暂定价的1‰。</w:t>
      </w:r>
    </w:p>
    <w:p w14:paraId="2FADFC00">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6、乙方不得以支付延迟或尚未结算等借口拖延报告提交，影响甲方工作。否则，乙方违约，甲方按500元/天扣罚乙方。</w:t>
      </w:r>
    </w:p>
    <w:p w14:paraId="4D2B1D37">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7、因乙方检测工作不及时或其提供的检测资料不准确造成损失的，乙方应承担相应责任，赔偿由此给甲方造成的损失，赔偿金不超过本合同的总价。</w:t>
      </w:r>
    </w:p>
    <w:p w14:paraId="44CA7986">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7、任何一方向对方提出经济赔偿要求的，都应在赔偿事件发生后三十天内以书面形式提出。</w:t>
      </w:r>
    </w:p>
    <w:p w14:paraId="11600547">
      <w:pPr>
        <w:spacing w:line="360" w:lineRule="auto"/>
        <w:ind w:firstLine="573"/>
        <w:rPr>
          <w:rFonts w:ascii="宋体" w:hAnsi="Courier New" w:cs="宋体"/>
          <w:color w:val="auto"/>
          <w:sz w:val="24"/>
          <w:highlight w:val="none"/>
        </w:rPr>
      </w:pPr>
      <w:r>
        <w:rPr>
          <w:rFonts w:hint="eastAsia" w:ascii="宋体" w:hAnsi="宋体" w:cs="宋体"/>
          <w:color w:val="auto"/>
          <w:sz w:val="24"/>
          <w:highlight w:val="none"/>
          <w:lang w:bidi="ar"/>
        </w:rPr>
        <w:t>8、本合同若部分解除或全部解除后，乙方已经完成的且经甲方认可接收的检测成果在双方进行结算后，成果全部归甲方所有。</w:t>
      </w:r>
    </w:p>
    <w:p w14:paraId="33891603">
      <w:pPr>
        <w:adjustRightInd w:val="0"/>
        <w:snapToGrid w:val="0"/>
        <w:spacing w:line="360" w:lineRule="auto"/>
        <w:ind w:firstLine="482" w:firstLineChars="200"/>
        <w:outlineLvl w:val="0"/>
        <w:rPr>
          <w:b/>
          <w:color w:val="auto"/>
          <w:sz w:val="24"/>
          <w:highlight w:val="none"/>
        </w:rPr>
      </w:pPr>
      <w:bookmarkStart w:id="14" w:name="_Toc370832552"/>
      <w:bookmarkStart w:id="15" w:name="_Toc496830648"/>
      <w:r>
        <w:rPr>
          <w:rFonts w:hint="eastAsia" w:ascii="Times New Roman" w:hAnsi="Times New Roman" w:cs="宋体"/>
          <w:b/>
          <w:color w:val="auto"/>
          <w:sz w:val="24"/>
          <w:highlight w:val="none"/>
          <w:lang w:bidi="ar"/>
        </w:rPr>
        <w:t>十、争议解决方式</w:t>
      </w:r>
      <w:bookmarkEnd w:id="14"/>
      <w:bookmarkEnd w:id="15"/>
    </w:p>
    <w:p w14:paraId="73DD0775">
      <w:pPr>
        <w:spacing w:line="360" w:lineRule="auto"/>
        <w:ind w:firstLine="480" w:firstLineChars="200"/>
        <w:rPr>
          <w:rFonts w:ascii="宋体" w:hAnsi="Courier New" w:cs="宋体"/>
          <w:color w:val="auto"/>
          <w:sz w:val="24"/>
          <w:highlight w:val="none"/>
        </w:rPr>
      </w:pPr>
      <w:r>
        <w:rPr>
          <w:rFonts w:hint="eastAsia" w:ascii="宋体" w:hAnsi="Courier New" w:cs="宋体"/>
          <w:color w:val="auto"/>
          <w:sz w:val="24"/>
          <w:highlight w:val="none"/>
          <w:lang w:bidi="ar"/>
        </w:rPr>
        <w:t>本合同发生纠纷后，经协商或调解不成时，甲乙双方可向检测工程所在地的人民法院提起诉讼。</w:t>
      </w:r>
    </w:p>
    <w:p w14:paraId="2101B75E">
      <w:pPr>
        <w:spacing w:line="360" w:lineRule="auto"/>
        <w:ind w:firstLine="482" w:firstLineChars="200"/>
        <w:rPr>
          <w:rFonts w:ascii="宋体" w:hAnsi="宋体" w:cs="宋体"/>
          <w:color w:val="auto"/>
          <w:kern w:val="0"/>
          <w:szCs w:val="21"/>
          <w:highlight w:val="none"/>
        </w:rPr>
      </w:pPr>
      <w:r>
        <w:rPr>
          <w:rFonts w:hint="eastAsia" w:ascii="Times New Roman" w:hAnsi="Times New Roman" w:cs="宋体"/>
          <w:b/>
          <w:color w:val="auto"/>
          <w:sz w:val="24"/>
          <w:highlight w:val="none"/>
          <w:lang w:bidi="ar"/>
        </w:rPr>
        <w:t>十一、履约担保</w:t>
      </w:r>
    </w:p>
    <w:p w14:paraId="0D49A2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乙方在收到中标通知书后的十五天内，并在与甲方签署合同前，乙方向甲方提交（供）合同价款 10 %的履约担保。履约担保可采用现金或支票或汇票等有效方式提交，若乙方以银行转账或银行保函方式提供的，可按以下方式提交：</w:t>
      </w:r>
    </w:p>
    <w:p w14:paraId="26670E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一：从乙方开户银行帐户中转帐或汇款到甲方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222B62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方式二：乙方按本合同附件中的格式3向甲方提供保证额为中标价款的10%的履约保证金银行保函，该银行保函应由在中国注册的银行开具。</w:t>
      </w:r>
    </w:p>
    <w:p w14:paraId="5CD3516D">
      <w:pPr>
        <w:spacing w:line="360" w:lineRule="auto"/>
        <w:ind w:firstLine="480" w:firstLineChars="200"/>
        <w:rPr>
          <w:rFonts w:ascii="宋体" w:hAnsi="Courier New" w:cs="宋体"/>
          <w:b/>
          <w:color w:val="auto"/>
          <w:sz w:val="24"/>
          <w:highlight w:val="none"/>
          <w:lang w:bidi="ar"/>
        </w:rPr>
      </w:pPr>
      <w:r>
        <w:rPr>
          <w:rFonts w:hint="eastAsia" w:ascii="宋体" w:hAnsi="宋体" w:cs="宋体"/>
          <w:color w:val="auto"/>
          <w:kern w:val="0"/>
          <w:sz w:val="24"/>
          <w:highlight w:val="none"/>
        </w:rPr>
        <w:t>履约担保的有效期，是从合同开工日期起至合同工程竣工验收合格后28天止。履约保函到期后，如果合同约定的工作内容未完成，必须无条件延期。若确因估计不足导致合同期内保函时效期过期，乙方须重新提交新的履约保函，否则甲方有权拒付应付的合同款或有权在应付的合同款中直接扣除等额的款项作为履约保证金。甲方在履约担保有效期满后将履约保函（履约保证金无息、履约保函）退还给乙方。</w:t>
      </w:r>
    </w:p>
    <w:p w14:paraId="1EE386B3">
      <w:pPr>
        <w:spacing w:line="360" w:lineRule="auto"/>
        <w:ind w:firstLine="482" w:firstLineChars="200"/>
        <w:rPr>
          <w:rFonts w:ascii="宋体" w:hAnsi="Courier New" w:cs="宋体"/>
          <w:b/>
          <w:color w:val="auto"/>
          <w:sz w:val="24"/>
          <w:highlight w:val="none"/>
        </w:rPr>
      </w:pPr>
      <w:r>
        <w:rPr>
          <w:rFonts w:hint="eastAsia" w:ascii="宋体" w:hAnsi="Courier New" w:cs="宋体"/>
          <w:b/>
          <w:color w:val="auto"/>
          <w:sz w:val="24"/>
          <w:highlight w:val="none"/>
          <w:lang w:bidi="ar"/>
        </w:rPr>
        <w:t>十二、其它</w:t>
      </w:r>
    </w:p>
    <w:p w14:paraId="5BB45915">
      <w:pPr>
        <w:spacing w:line="360" w:lineRule="auto"/>
        <w:ind w:firstLine="480" w:firstLineChars="200"/>
        <w:rPr>
          <w:rFonts w:ascii="宋体" w:hAnsi="Courier New" w:cs="宋体"/>
          <w:color w:val="auto"/>
          <w:sz w:val="24"/>
          <w:highlight w:val="none"/>
        </w:rPr>
      </w:pPr>
      <w:r>
        <w:rPr>
          <w:rFonts w:hint="eastAsia" w:ascii="宋体" w:hAnsi="Courier New" w:cs="宋体"/>
          <w:color w:val="auto"/>
          <w:sz w:val="24"/>
          <w:highlight w:val="none"/>
          <w:lang w:bidi="ar"/>
        </w:rPr>
        <w:t>本合同自双方签字盖章后生效。本合同一式   份，</w:t>
      </w:r>
      <w:r>
        <w:rPr>
          <w:rFonts w:hint="eastAsia" w:ascii="宋体" w:hAnsi="宋体" w:cs="宋体"/>
          <w:color w:val="auto"/>
          <w:sz w:val="24"/>
          <w:highlight w:val="none"/>
          <w:lang w:bidi="ar"/>
        </w:rPr>
        <w:t>正本一式两份，</w:t>
      </w:r>
      <w:r>
        <w:rPr>
          <w:rFonts w:hint="eastAsia" w:ascii="宋体" w:hAnsi="Courier New" w:cs="宋体"/>
          <w:color w:val="auto"/>
          <w:sz w:val="24"/>
          <w:highlight w:val="none"/>
          <w:lang w:bidi="ar"/>
        </w:rPr>
        <w:t>双方</w:t>
      </w:r>
      <w:r>
        <w:rPr>
          <w:rFonts w:hint="eastAsia" w:ascii="宋体" w:hAnsi="宋体" w:cs="宋体"/>
          <w:color w:val="auto"/>
          <w:sz w:val="24"/>
          <w:highlight w:val="none"/>
          <w:lang w:bidi="ar"/>
        </w:rPr>
        <w:t>各执一份，副本一式  份，甲方  份，乙方 份，</w:t>
      </w:r>
      <w:r>
        <w:rPr>
          <w:rFonts w:hint="eastAsia" w:ascii="宋体" w:hAnsi="Courier New" w:cs="宋体"/>
          <w:color w:val="auto"/>
          <w:sz w:val="24"/>
          <w:highlight w:val="none"/>
          <w:lang w:bidi="ar"/>
        </w:rPr>
        <w:t>具有同等法律效力。</w:t>
      </w:r>
    </w:p>
    <w:p w14:paraId="5D3FD4E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（以下无正文）</w:t>
      </w:r>
    </w:p>
    <w:p w14:paraId="3502FACB">
      <w:pPr>
        <w:adjustRightInd w:val="0"/>
        <w:snapToGrid w:val="0"/>
        <w:spacing w:line="360" w:lineRule="auto"/>
        <w:rPr>
          <w:rFonts w:ascii="宋体" w:hAnsi="宋体" w:cs="宋体"/>
          <w:b/>
          <w:color w:val="auto"/>
          <w:sz w:val="24"/>
          <w:highlight w:val="none"/>
        </w:rPr>
      </w:pPr>
    </w:p>
    <w:p w14:paraId="2EFBF253">
      <w:pPr>
        <w:adjustRightInd w:val="0"/>
        <w:snapToGrid w:val="0"/>
        <w:spacing w:line="360" w:lineRule="auto"/>
        <w:rPr>
          <w:rFonts w:ascii="宋体" w:hAnsi="宋体" w:cs="宋体"/>
          <w:b/>
          <w:color w:val="auto"/>
          <w:sz w:val="24"/>
          <w:highlight w:val="none"/>
        </w:rPr>
      </w:pPr>
    </w:p>
    <w:p w14:paraId="572D6A10">
      <w:pPr>
        <w:adjustRightInd w:val="0"/>
        <w:snapToGrid w:val="0"/>
        <w:spacing w:line="360" w:lineRule="auto"/>
        <w:rPr>
          <w:rFonts w:ascii="宋体" w:hAnsi="宋体" w:cs="宋体"/>
          <w:color w:val="auto"/>
          <w:sz w:val="24"/>
          <w:highlight w:val="none"/>
        </w:rPr>
      </w:pPr>
      <w:r>
        <w:rPr>
          <w:rFonts w:ascii="宋体" w:hAnsi="宋体" w:cs="宋体"/>
          <w:color w:val="auto"/>
          <w:sz w:val="24"/>
          <w:highlight w:val="none"/>
          <w:lang w:bidi="ar"/>
        </w:rPr>
        <w:br w:type="page"/>
      </w:r>
      <w:r>
        <w:rPr>
          <w:rFonts w:hint="eastAsia" w:ascii="宋体" w:hAnsi="宋体" w:cs="宋体"/>
          <w:color w:val="auto"/>
          <w:sz w:val="24"/>
          <w:highlight w:val="none"/>
          <w:lang w:bidi="ar"/>
        </w:rPr>
        <w:t>甲方（盖章）：                       乙方（盖章）：</w:t>
      </w:r>
    </w:p>
    <w:p w14:paraId="7EB9511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法定代表人（签字）：                 法定代表人（签字）：</w:t>
      </w:r>
    </w:p>
    <w:p w14:paraId="17B5F42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经办人：                            经办人：</w:t>
      </w:r>
    </w:p>
    <w:p w14:paraId="5D4B9A5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甲方地址：                          乙方地址：</w:t>
      </w:r>
    </w:p>
    <w:p w14:paraId="201D11E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邮政编码：                          邮政编码：</w:t>
      </w:r>
    </w:p>
    <w:p w14:paraId="48F8A86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电话：                              电话：</w:t>
      </w:r>
    </w:p>
    <w:p w14:paraId="01E8E0D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传真：                              传真：</w:t>
      </w:r>
    </w:p>
    <w:p w14:paraId="304D4BA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开户银行：                          开户银行：</w:t>
      </w:r>
    </w:p>
    <w:p w14:paraId="000884D7">
      <w:pPr>
        <w:adjustRightInd w:val="0"/>
        <w:snapToGrid w:val="0"/>
        <w:spacing w:line="360" w:lineRule="auto"/>
        <w:jc w:val="left"/>
        <w:rPr>
          <w:rFonts w:ascii="宋体" w:hAnsi="宋体"/>
          <w:b/>
          <w:color w:val="auto"/>
          <w:sz w:val="36"/>
          <w:szCs w:val="36"/>
          <w:highlight w:val="none"/>
        </w:rPr>
      </w:pPr>
      <w:r>
        <w:rPr>
          <w:rFonts w:hint="eastAsia" w:ascii="宋体" w:hAnsi="宋体" w:cs="宋体"/>
          <w:color w:val="auto"/>
          <w:sz w:val="24"/>
          <w:highlight w:val="none"/>
          <w:lang w:bidi="ar"/>
        </w:rPr>
        <w:t>银行帐户：                          银行帐户：</w:t>
      </w:r>
      <w:r>
        <w:rPr>
          <w:rFonts w:hint="eastAsia" w:ascii="宋体" w:hAnsi="宋体"/>
          <w:color w:val="auto"/>
          <w:sz w:val="24"/>
          <w:highlight w:val="none"/>
          <w:lang w:bidi="ar"/>
        </w:rPr>
        <w:br w:type="page"/>
      </w:r>
      <w:r>
        <w:rPr>
          <w:rFonts w:hint="eastAsia" w:ascii="宋体" w:hAnsi="宋体" w:cs="宋体"/>
          <w:b/>
          <w:color w:val="auto"/>
          <w:szCs w:val="21"/>
          <w:highlight w:val="none"/>
        </w:rPr>
        <w:t>附件一</w:t>
      </w:r>
    </w:p>
    <w:p w14:paraId="36C0A11B">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廉政协议书</w:t>
      </w:r>
    </w:p>
    <w:p w14:paraId="493997B0">
      <w:pPr>
        <w:jc w:val="center"/>
        <w:rPr>
          <w:rFonts w:ascii="仿宋" w:hAnsi="仿宋" w:eastAsia="仿宋" w:cs="仿宋"/>
          <w:b/>
          <w:bCs/>
          <w:color w:val="auto"/>
          <w:sz w:val="44"/>
          <w:szCs w:val="44"/>
          <w:highlight w:val="none"/>
        </w:rPr>
      </w:pPr>
    </w:p>
    <w:p w14:paraId="30A4BADA">
      <w:pPr>
        <w:spacing w:line="360" w:lineRule="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广州市番禺区基本建设投资管理中心</w:t>
      </w:r>
      <w:r>
        <w:rPr>
          <w:rFonts w:hint="eastAsia" w:ascii="宋体" w:hAnsi="宋体" w:cs="宋体"/>
          <w:color w:val="auto"/>
          <w:szCs w:val="21"/>
          <w:highlight w:val="none"/>
        </w:rPr>
        <w:t xml:space="preserve">                            </w:t>
      </w:r>
    </w:p>
    <w:p w14:paraId="0ACC4C79">
      <w:pPr>
        <w:spacing w:line="360" w:lineRule="auto"/>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A19EDE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xx工程检测项目</w:t>
      </w:r>
      <w:r>
        <w:rPr>
          <w:rFonts w:hint="eastAsia" w:ascii="宋体" w:hAnsi="宋体" w:cs="宋体"/>
          <w:color w:val="auto"/>
          <w:szCs w:val="21"/>
          <w:highlight w:val="none"/>
        </w:rPr>
        <w:t xml:space="preserve">                        </w:t>
      </w:r>
    </w:p>
    <w:p w14:paraId="58F7C144">
      <w:pPr>
        <w:spacing w:line="360" w:lineRule="auto"/>
        <w:rPr>
          <w:rFonts w:ascii="宋体" w:hAnsi="宋体" w:cs="宋体"/>
          <w:color w:val="auto"/>
          <w:szCs w:val="21"/>
          <w:highlight w:val="none"/>
        </w:rPr>
      </w:pPr>
      <w:r>
        <w:rPr>
          <w:rFonts w:hint="eastAsia" w:ascii="宋体" w:hAnsi="宋体" w:cs="宋体"/>
          <w:color w:val="auto"/>
          <w:szCs w:val="21"/>
          <w:highlight w:val="none"/>
        </w:rPr>
        <w:t>合同价款：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75C08A">
      <w:pPr>
        <w:spacing w:line="360" w:lineRule="auto"/>
        <w:rPr>
          <w:rFonts w:ascii="宋体" w:hAnsi="宋体" w:cs="宋体"/>
          <w:color w:val="auto"/>
          <w:szCs w:val="21"/>
          <w:highlight w:val="none"/>
        </w:rPr>
      </w:pPr>
      <w:r>
        <w:rPr>
          <w:rFonts w:hint="eastAsia" w:ascii="宋体" w:hAnsi="宋体" w:cs="宋体"/>
          <w:color w:val="auto"/>
          <w:szCs w:val="21"/>
          <w:highlight w:val="none"/>
        </w:rPr>
        <w:t>签订日期：</w:t>
      </w:r>
    </w:p>
    <w:p w14:paraId="3DEB62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贯彻落实勤政奉公、廉政自律工作精神，切实防范和杜绝业务工作中的各种腐败现象，根据上级部门的有关精神，凡业务标的在30万元（含30万元）以上的项目（包括但不仅限于工程发包、对外招租、合作、产权转让、承包、托管等）在签订有关合同时必须签订本协议书，以期共同遵守和自觉接受监督。</w:t>
      </w:r>
    </w:p>
    <w:p w14:paraId="41B9FD73">
      <w:pPr>
        <w:numPr>
          <w:ilvl w:val="0"/>
          <w:numId w:val="1"/>
        </w:num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在业务往来中，甲方及其相关工作人员承诺做到：</w:t>
      </w:r>
    </w:p>
    <w:p w14:paraId="47BA3104">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（一）自觉遵守国家法律、法规和党纪、政纪，积极主动协助乙方开展业务并给予有效支持；</w:t>
      </w:r>
    </w:p>
    <w:p w14:paraId="1ECFFA13">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（二）不接受乙方赠送的礼金、有价证券、贵重礼品等钱财，不参与由乙方安排的高档消费娱乐、旅游等活动；</w:t>
      </w:r>
    </w:p>
    <w:p w14:paraId="167880B3">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（三）不索要和接受乙方的财、物等，坚决抵制拒绝任何方式的贿赂，并对行贿人进行严肃批评；</w:t>
      </w:r>
    </w:p>
    <w:p w14:paraId="09E8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（四）不利用职权向乙方介绍或指定业务承接单位和个人，不因个人原因而故意刁难乙方；</w:t>
      </w:r>
    </w:p>
    <w:p w14:paraId="602095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（五）不利用职权为自已、家属和亲友向乙方推销或指定使用材料、设备等产品；</w:t>
      </w:r>
    </w:p>
    <w:p w14:paraId="3ADFB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（六）不到乙方单位报销应由自已单位或个人支付的项费用开支发票；</w:t>
      </w:r>
    </w:p>
    <w:p w14:paraId="29C3C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（七）如发现本单位或本单位有关工作人员有违法、违纪行为，要及时主动向相关部门报告和举报。</w:t>
      </w:r>
    </w:p>
    <w:p w14:paraId="0126AB2B">
      <w:pPr>
        <w:numPr>
          <w:ilvl w:val="0"/>
          <w:numId w:val="1"/>
        </w:num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在业务往来中，乙方及其工作人员承诺做到：</w:t>
      </w:r>
    </w:p>
    <w:p w14:paraId="175A4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（一）自觉遵守国家的法律、法规和党纪、政纪，积极主动地配合甲方开展业务；</w:t>
      </w:r>
    </w:p>
    <w:p w14:paraId="027432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（二）不以任何理由、任何形式向甲方赠送礼品、礼金的有价证券等，不得为甲方安排高档消费品娱乐、旅游等活动；</w:t>
      </w:r>
    </w:p>
    <w:p w14:paraId="3B059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（三）不向甲方人员行贿，坚决抵制任何索要钱财的行为；</w:t>
      </w:r>
    </w:p>
    <w:p w14:paraId="227CBF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（四）合同履行期间或履行完毕后，如发现本单位或本单位有关人员存在违法、违纪行为应及时向相关部门反映和举报。</w:t>
      </w:r>
    </w:p>
    <w:p w14:paraId="491707C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三、为保证上述条款的实施，甲方的上级纪律主管部门相关部门有权对履行协议的情况进行监督。</w:t>
      </w:r>
    </w:p>
    <w:p w14:paraId="6AAF7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（一）严格依据国家法律、法规及党和政府的政策、制度、规定和党纪、政纪条规，对甲、乙双方遵纪守法情况进行监督检查，促进廉政建设与业务建设同步发展；</w:t>
      </w:r>
    </w:p>
    <w:p w14:paraId="516027B8">
      <w:pPr>
        <w:spacing w:line="360" w:lineRule="auto"/>
        <w:ind w:left="1" w:firstLine="417" w:firstLineChars="199"/>
        <w:rPr>
          <w:rFonts w:ascii="宋体" w:hAnsi="宋体" w:cs="宋体"/>
          <w:color w:val="auto"/>
          <w:szCs w:val="21"/>
          <w:highlight w:val="none"/>
        </w:rPr>
      </w:pPr>
      <w:r>
        <w:rPr>
          <w:rFonts w:hint="eastAsia" w:ascii="宋体" w:hAnsi="宋体" w:cs="宋体"/>
          <w:color w:val="auto"/>
          <w:szCs w:val="21"/>
          <w:highlight w:val="none"/>
        </w:rPr>
        <w:t>（二）协助和指导甲、乙双方抓好廉政建设的制度、规定、法制教育，对甲、乙双方管理人员有针对性地进行廉政教育；</w:t>
      </w:r>
    </w:p>
    <w:p w14:paraId="29803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（三）适时对甲、乙双方的廉政自律情况进行监督检查。</w:t>
      </w:r>
    </w:p>
    <w:p w14:paraId="0773786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四、违约处理</w:t>
      </w:r>
    </w:p>
    <w:p w14:paraId="37D77CF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甲、乙双方工作人员如有违反本协议的，相关部门应及时给予批评教育并按公司相关制度处理。构成违纪的，甲方人员由甲方依照有关规定给予党纪、政纪处分，乙方工作人员报乙方进行处理。触犯法律的，一律移送司法机关处理。</w:t>
      </w:r>
    </w:p>
    <w:p w14:paraId="033528D3">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五、甲、乙双方自有关合同签订和业务往来期间，相关部门公司纪委要适时召集双方负责人对业务廉政、廉洁监督廉政检查情况进行通报，研究和制定有关廉政规定的要求。</w:t>
      </w:r>
    </w:p>
    <w:p w14:paraId="29804B42">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六、本协议未尽事项，经甲、乙双方共同协商并征得相关部门同意，可签订补充条款。</w:t>
      </w:r>
    </w:p>
    <w:p w14:paraId="6B52B7D3">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七、本协议一式  份，甲、乙双方各执   份，。</w:t>
      </w:r>
    </w:p>
    <w:p w14:paraId="78B455EC">
      <w:pPr>
        <w:spacing w:line="360" w:lineRule="auto"/>
        <w:rPr>
          <w:rFonts w:ascii="宋体" w:hAnsi="宋体" w:cs="宋体"/>
          <w:color w:val="auto"/>
          <w:szCs w:val="21"/>
          <w:highlight w:val="none"/>
        </w:rPr>
      </w:pPr>
    </w:p>
    <w:p w14:paraId="34A444F8">
      <w:pPr>
        <w:spacing w:line="360" w:lineRule="auto"/>
        <w:ind w:firstLine="630"/>
        <w:rPr>
          <w:rFonts w:ascii="宋体" w:hAnsi="宋体" w:cs="宋体"/>
          <w:color w:val="auto"/>
          <w:szCs w:val="21"/>
          <w:highlight w:val="none"/>
        </w:rPr>
      </w:pPr>
    </w:p>
    <w:p w14:paraId="47AD42B5">
      <w:pPr>
        <w:spacing w:line="360" w:lineRule="auto"/>
        <w:rPr>
          <w:rFonts w:ascii="宋体" w:hAnsi="宋体" w:cs="宋体"/>
          <w:color w:val="auto"/>
          <w:szCs w:val="21"/>
          <w:highlight w:val="none"/>
        </w:rPr>
      </w:pPr>
      <w:r>
        <w:rPr>
          <w:rFonts w:hint="eastAsia" w:ascii="宋体" w:hAnsi="宋体" w:cs="宋体"/>
          <w:color w:val="auto"/>
          <w:szCs w:val="21"/>
          <w:highlight w:val="none"/>
        </w:rPr>
        <w:t>甲方：                          代表人签名（盖章）</w:t>
      </w:r>
    </w:p>
    <w:p w14:paraId="4D5A9CCF">
      <w:pPr>
        <w:spacing w:line="360" w:lineRule="auto"/>
        <w:rPr>
          <w:rFonts w:ascii="宋体" w:hAnsi="宋体" w:cs="宋体"/>
          <w:color w:val="auto"/>
          <w:szCs w:val="21"/>
          <w:highlight w:val="none"/>
        </w:rPr>
      </w:pPr>
      <w:r>
        <w:rPr>
          <w:rFonts w:hint="eastAsia" w:ascii="宋体" w:hAnsi="宋体" w:cs="宋体"/>
          <w:color w:val="auto"/>
          <w:szCs w:val="21"/>
          <w:highlight w:val="none"/>
        </w:rPr>
        <w:t>广州市番禺区基本建设投资管理中心</w:t>
      </w:r>
    </w:p>
    <w:p w14:paraId="25683EB1">
      <w:pPr>
        <w:spacing w:line="360" w:lineRule="auto"/>
        <w:rPr>
          <w:rFonts w:ascii="宋体" w:hAnsi="宋体" w:cs="宋体"/>
          <w:color w:val="auto"/>
          <w:szCs w:val="21"/>
          <w:highlight w:val="none"/>
        </w:rPr>
      </w:pPr>
    </w:p>
    <w:p w14:paraId="4B37727C">
      <w:pPr>
        <w:spacing w:line="360" w:lineRule="auto"/>
        <w:rPr>
          <w:rFonts w:ascii="宋体" w:hAnsi="宋体" w:cs="宋体"/>
          <w:color w:val="auto"/>
          <w:szCs w:val="21"/>
          <w:highlight w:val="none"/>
        </w:rPr>
      </w:pPr>
      <w:r>
        <w:rPr>
          <w:rFonts w:hint="eastAsia" w:ascii="宋体" w:hAnsi="宋体" w:cs="宋体"/>
          <w:color w:val="auto"/>
          <w:szCs w:val="21"/>
          <w:highlight w:val="none"/>
        </w:rPr>
        <w:t>乙方：                          代表人签名（盖章）</w:t>
      </w:r>
    </w:p>
    <w:p w14:paraId="202110F6">
      <w:pPr>
        <w:spacing w:line="360" w:lineRule="auto"/>
        <w:rPr>
          <w:rFonts w:ascii="宋体" w:hAnsi="宋体" w:cs="宋体"/>
          <w:color w:val="auto"/>
          <w:szCs w:val="21"/>
          <w:highlight w:val="none"/>
        </w:rPr>
      </w:pPr>
    </w:p>
    <w:p w14:paraId="7830CFAA">
      <w:pPr>
        <w:adjustRightInd w:val="0"/>
        <w:snapToGrid w:val="0"/>
        <w:spacing w:line="360" w:lineRule="auto"/>
        <w:rPr>
          <w:rFonts w:ascii="宋体" w:hAnsi="宋体" w:cs="宋体"/>
          <w:color w:val="auto"/>
          <w:szCs w:val="21"/>
          <w:highlight w:val="none"/>
        </w:rPr>
      </w:pPr>
    </w:p>
    <w:p w14:paraId="0E0A350B">
      <w:pPr>
        <w:pStyle w:val="2"/>
        <w:rPr>
          <w:rFonts w:ascii="宋体" w:hAnsi="宋体" w:cs="宋体"/>
          <w:color w:val="auto"/>
          <w:szCs w:val="21"/>
          <w:highlight w:val="none"/>
        </w:rPr>
      </w:pPr>
    </w:p>
    <w:p w14:paraId="64046710">
      <w:pPr>
        <w:pStyle w:val="2"/>
        <w:rPr>
          <w:rFonts w:ascii="宋体" w:hAnsi="宋体" w:cs="宋体"/>
          <w:color w:val="auto"/>
          <w:szCs w:val="21"/>
          <w:highlight w:val="none"/>
        </w:rPr>
      </w:pPr>
    </w:p>
    <w:p w14:paraId="6D87CA8F">
      <w:pPr>
        <w:pStyle w:val="2"/>
        <w:rPr>
          <w:rFonts w:ascii="宋体" w:hAnsi="宋体" w:cs="宋体"/>
          <w:color w:val="auto"/>
          <w:szCs w:val="21"/>
          <w:highlight w:val="none"/>
        </w:rPr>
      </w:pPr>
    </w:p>
    <w:p w14:paraId="402789D1">
      <w:pPr>
        <w:pStyle w:val="2"/>
        <w:rPr>
          <w:rFonts w:ascii="宋体" w:hAnsi="宋体" w:cs="宋体"/>
          <w:color w:val="auto"/>
          <w:szCs w:val="21"/>
          <w:highlight w:val="none"/>
        </w:rPr>
      </w:pPr>
    </w:p>
    <w:p w14:paraId="0D052772">
      <w:pPr>
        <w:pStyle w:val="2"/>
        <w:rPr>
          <w:rFonts w:ascii="宋体" w:hAnsi="宋体" w:cs="宋体"/>
          <w:color w:val="auto"/>
          <w:szCs w:val="21"/>
          <w:highlight w:val="none"/>
        </w:rPr>
      </w:pPr>
    </w:p>
    <w:p w14:paraId="22481328">
      <w:pPr>
        <w:pStyle w:val="2"/>
        <w:rPr>
          <w:rFonts w:ascii="宋体" w:hAnsi="宋体" w:cs="宋体"/>
          <w:color w:val="auto"/>
          <w:szCs w:val="21"/>
          <w:highlight w:val="none"/>
        </w:rPr>
      </w:pPr>
    </w:p>
    <w:p w14:paraId="145FA2AF">
      <w:pPr>
        <w:pStyle w:val="2"/>
        <w:rPr>
          <w:rFonts w:ascii="宋体" w:hAnsi="宋体" w:cs="宋体"/>
          <w:color w:val="auto"/>
          <w:szCs w:val="21"/>
          <w:highlight w:val="none"/>
        </w:rPr>
      </w:pPr>
    </w:p>
    <w:p w14:paraId="5BE98C7A">
      <w:pPr>
        <w:pStyle w:val="2"/>
        <w:rPr>
          <w:rFonts w:ascii="宋体" w:hAnsi="宋体" w:cs="宋体"/>
          <w:color w:val="auto"/>
          <w:szCs w:val="21"/>
          <w:highlight w:val="none"/>
        </w:rPr>
      </w:pPr>
    </w:p>
    <w:p w14:paraId="36AFDD8B">
      <w:pPr>
        <w:pStyle w:val="2"/>
        <w:rPr>
          <w:rFonts w:ascii="宋体" w:hAnsi="宋体" w:cs="宋体"/>
          <w:color w:val="auto"/>
          <w:szCs w:val="21"/>
          <w:highlight w:val="none"/>
        </w:rPr>
      </w:pPr>
    </w:p>
    <w:p w14:paraId="611A97F7">
      <w:pPr>
        <w:pStyle w:val="2"/>
        <w:rPr>
          <w:rFonts w:ascii="宋体" w:hAnsi="宋体" w:cs="宋体"/>
          <w:color w:val="auto"/>
          <w:szCs w:val="21"/>
          <w:highlight w:val="none"/>
        </w:rPr>
      </w:pPr>
    </w:p>
    <w:p w14:paraId="6A3E5F85">
      <w:pPr>
        <w:pStyle w:val="2"/>
        <w:rPr>
          <w:rFonts w:ascii="宋体" w:hAnsi="宋体" w:cs="宋体"/>
          <w:color w:val="auto"/>
          <w:szCs w:val="21"/>
          <w:highlight w:val="none"/>
        </w:rPr>
      </w:pPr>
    </w:p>
    <w:p w14:paraId="178B44CA">
      <w:pPr>
        <w:pStyle w:val="2"/>
        <w:rPr>
          <w:rFonts w:ascii="宋体" w:hAnsi="宋体" w:cs="宋体"/>
          <w:color w:val="auto"/>
          <w:szCs w:val="21"/>
          <w:highlight w:val="none"/>
        </w:rPr>
      </w:pPr>
    </w:p>
    <w:p w14:paraId="17E4B367">
      <w:pPr>
        <w:pStyle w:val="2"/>
        <w:rPr>
          <w:rFonts w:ascii="宋体" w:hAnsi="宋体" w:cs="宋体"/>
          <w:color w:val="auto"/>
          <w:szCs w:val="21"/>
          <w:highlight w:val="none"/>
        </w:rPr>
      </w:pPr>
    </w:p>
    <w:p w14:paraId="0556B37F">
      <w:pPr>
        <w:pStyle w:val="2"/>
        <w:rPr>
          <w:rFonts w:ascii="宋体" w:hAnsi="宋体" w:cs="宋体"/>
          <w:color w:val="auto"/>
          <w:szCs w:val="21"/>
          <w:highlight w:val="none"/>
        </w:rPr>
      </w:pPr>
    </w:p>
    <w:p w14:paraId="2361F198">
      <w:pPr>
        <w:pStyle w:val="2"/>
        <w:rPr>
          <w:rFonts w:ascii="宋体" w:hAnsi="宋体" w:cs="宋体"/>
          <w:color w:val="auto"/>
          <w:szCs w:val="21"/>
          <w:highlight w:val="none"/>
        </w:rPr>
      </w:pPr>
    </w:p>
    <w:p w14:paraId="72767C0E">
      <w:pPr>
        <w:pStyle w:val="2"/>
        <w:rPr>
          <w:rFonts w:ascii="宋体" w:hAnsi="宋体" w:cs="宋体"/>
          <w:color w:val="auto"/>
          <w:szCs w:val="21"/>
          <w:highlight w:val="none"/>
        </w:rPr>
      </w:pPr>
    </w:p>
    <w:p w14:paraId="6D16DE82">
      <w:pPr>
        <w:pStyle w:val="2"/>
        <w:rPr>
          <w:rFonts w:ascii="宋体" w:hAnsi="宋体" w:cs="宋体"/>
          <w:color w:val="auto"/>
          <w:szCs w:val="21"/>
          <w:highlight w:val="none"/>
        </w:rPr>
      </w:pPr>
    </w:p>
    <w:p w14:paraId="4BE163D6">
      <w:pPr>
        <w:pStyle w:val="2"/>
        <w:rPr>
          <w:rFonts w:ascii="宋体" w:hAnsi="宋体" w:cs="宋体"/>
          <w:color w:val="auto"/>
          <w:szCs w:val="21"/>
          <w:highlight w:val="none"/>
        </w:rPr>
      </w:pPr>
    </w:p>
    <w:p w14:paraId="73D43ABD">
      <w:pPr>
        <w:pStyle w:val="2"/>
        <w:rPr>
          <w:rFonts w:ascii="宋体" w:hAnsi="宋体" w:cs="宋体"/>
          <w:color w:val="auto"/>
          <w:szCs w:val="21"/>
          <w:highlight w:val="none"/>
        </w:rPr>
      </w:pPr>
    </w:p>
    <w:p w14:paraId="228C5DC8">
      <w:pPr>
        <w:pStyle w:val="2"/>
        <w:rPr>
          <w:rFonts w:ascii="宋体" w:hAnsi="宋体" w:cs="宋体"/>
          <w:color w:val="auto"/>
          <w:szCs w:val="21"/>
          <w:highlight w:val="none"/>
        </w:rPr>
      </w:pPr>
    </w:p>
    <w:p w14:paraId="3B3CE47C">
      <w:pPr>
        <w:pStyle w:val="2"/>
        <w:rPr>
          <w:rFonts w:ascii="宋体" w:hAnsi="宋体" w:cs="宋体"/>
          <w:color w:val="auto"/>
          <w:szCs w:val="21"/>
          <w:highlight w:val="none"/>
        </w:rPr>
      </w:pPr>
    </w:p>
    <w:p w14:paraId="090C3749">
      <w:pPr>
        <w:pStyle w:val="2"/>
        <w:rPr>
          <w:rFonts w:ascii="宋体" w:hAnsi="宋体" w:cs="宋体"/>
          <w:color w:val="auto"/>
          <w:szCs w:val="21"/>
          <w:highlight w:val="none"/>
        </w:rPr>
      </w:pPr>
    </w:p>
    <w:p w14:paraId="7B1F3727">
      <w:pPr>
        <w:pStyle w:val="2"/>
        <w:rPr>
          <w:rFonts w:ascii="宋体" w:hAnsi="宋体" w:cs="宋体"/>
          <w:color w:val="auto"/>
          <w:szCs w:val="21"/>
          <w:highlight w:val="none"/>
        </w:rPr>
      </w:pPr>
    </w:p>
    <w:p w14:paraId="1CE0F033">
      <w:pPr>
        <w:pStyle w:val="2"/>
        <w:rPr>
          <w:rFonts w:ascii="宋体" w:hAnsi="宋体" w:cs="宋体"/>
          <w:color w:val="auto"/>
          <w:szCs w:val="21"/>
          <w:highlight w:val="none"/>
        </w:rPr>
      </w:pPr>
    </w:p>
    <w:p w14:paraId="5307EC3E">
      <w:pPr>
        <w:pStyle w:val="2"/>
        <w:rPr>
          <w:rFonts w:ascii="宋体" w:hAnsi="宋体" w:cs="宋体"/>
          <w:color w:val="auto"/>
          <w:szCs w:val="21"/>
          <w:highlight w:val="none"/>
        </w:rPr>
      </w:pPr>
    </w:p>
    <w:p w14:paraId="151E4149">
      <w:pPr>
        <w:pStyle w:val="2"/>
        <w:rPr>
          <w:rFonts w:ascii="宋体" w:hAnsi="宋体" w:cs="宋体"/>
          <w:color w:val="auto"/>
          <w:szCs w:val="21"/>
          <w:highlight w:val="none"/>
        </w:rPr>
      </w:pPr>
    </w:p>
    <w:p w14:paraId="7E7831A9">
      <w:pPr>
        <w:adjustRightInd w:val="0"/>
        <w:snapToGrid w:val="0"/>
        <w:spacing w:line="360" w:lineRule="auto"/>
        <w:rPr>
          <w:rFonts w:ascii="宋体" w:hAnsi="宋体" w:cs="宋体"/>
          <w:color w:val="auto"/>
          <w:szCs w:val="21"/>
          <w:highlight w:val="none"/>
        </w:rPr>
      </w:pPr>
    </w:p>
    <w:p w14:paraId="0E5BCA68">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附件二： </w:t>
      </w:r>
    </w:p>
    <w:p w14:paraId="0FB656C0">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保 密 协 议</w:t>
      </w:r>
    </w:p>
    <w:p w14:paraId="18B91574">
      <w:pPr>
        <w:adjustRightInd w:val="0"/>
        <w:snapToGrid w:val="0"/>
        <w:spacing w:line="360" w:lineRule="auto"/>
        <w:ind w:firstLine="422" w:firstLineChars="200"/>
        <w:rPr>
          <w:rFonts w:ascii="宋体" w:hAnsi="宋体" w:cs="宋体"/>
          <w:b/>
          <w:color w:val="auto"/>
          <w:szCs w:val="21"/>
          <w:highlight w:val="none"/>
        </w:rPr>
      </w:pPr>
    </w:p>
    <w:p w14:paraId="5C93F145">
      <w:pP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甲方：</w:t>
      </w:r>
      <w:r>
        <w:rPr>
          <w:rFonts w:hint="eastAsia" w:ascii="宋体" w:cs="宋体"/>
          <w:b/>
          <w:color w:val="auto"/>
          <w:szCs w:val="21"/>
          <w:highlight w:val="none"/>
          <w:u w:val="single"/>
        </w:rPr>
        <w:t>广州市番禺区基本建设投资管理中心</w:t>
      </w:r>
      <w:r>
        <w:rPr>
          <w:rFonts w:hint="eastAsia" w:ascii="宋体" w:hAnsi="宋体" w:cs="宋体"/>
          <w:b/>
          <w:color w:val="auto"/>
          <w:szCs w:val="21"/>
          <w:highlight w:val="none"/>
          <w:u w:val="single"/>
        </w:rPr>
        <w:t xml:space="preserve"> </w:t>
      </w:r>
    </w:p>
    <w:p w14:paraId="16026F1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乙方：</w:t>
      </w:r>
      <w:r>
        <w:rPr>
          <w:rFonts w:hint="eastAsia" w:asci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1AFB7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乙方在xx工程检测项目（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14:paraId="0BDD2E4C">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一、“保密资料”包括：</w:t>
      </w:r>
    </w:p>
    <w:p w14:paraId="596018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（一）甲方向乙方披露或将要披露的与本项目相关的所有商业秘密、技术秘密以及其他甲方尚未公开的资料。</w:t>
      </w:r>
    </w:p>
    <w:p w14:paraId="71F3F3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（二）乙方在项目中形成的任何分析、编辑、研究、咨询成果或其他文件资料。</w:t>
      </w:r>
    </w:p>
    <w:p w14:paraId="2BC1C5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以上资料包括书面的、口头的、图形的、电磁的或其它任何形式的资料，包括但不限于数据、模型、样品、草案、技术、方法、仪器设备和其它资料。</w:t>
      </w:r>
    </w:p>
    <w:p w14:paraId="10FB08B0">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二、xx工程检测项目项目定义：</w:t>
      </w:r>
    </w:p>
    <w:p w14:paraId="640711F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专指甲乙双方与</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r>
        <w:rPr>
          <w:rFonts w:hint="eastAsia" w:ascii="宋体" w:hAnsi="宋体" w:cs="宋体"/>
          <w:color w:val="auto"/>
          <w:szCs w:val="21"/>
          <w:highlight w:val="none"/>
        </w:rPr>
        <w:t>签订的xx工程检测项目项目合同。</w:t>
      </w:r>
    </w:p>
    <w:p w14:paraId="045DFC99">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三、保密义务：</w:t>
      </w:r>
    </w:p>
    <w:p w14:paraId="45DDFD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6BA3C1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2.乙方保证采取所有必要的方法对甲方提供的保密资料进行保密，包括但不限于执行和坚持适当的作业程序来避免非授权透露、使用或复制保密资料；</w:t>
      </w:r>
    </w:p>
    <w:p w14:paraId="3FA250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3.乙方保证在任何情况下，除依照法律强制性的要求外，不向任何第三方透露或披露甲方的保密资料以及本协议的存在或本协议的任何内容；</w:t>
      </w:r>
    </w:p>
    <w:p w14:paraId="4CA971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4F04FE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乙方不得有损害甲方利益的其他泄密和使用行为。</w:t>
      </w:r>
    </w:p>
    <w:p w14:paraId="31DFA347">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四、保密资料的使用方式和不使用义务：</w:t>
      </w:r>
    </w:p>
    <w:p w14:paraId="6AFA0E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1.乙方只能为完成本项目而使用保密资料；</w:t>
      </w:r>
    </w:p>
    <w:p w14:paraId="210354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2.除乙方为完成本项目需要时而将保密资料披露给必需直接参与本项工作、必需知晓保密资料的职员之外，乙方不能将保密资料透露给其它任何人；</w:t>
      </w:r>
    </w:p>
    <w:p w14:paraId="1A5FB1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3.乙方不能将此保密资料的全部或部分进行复制或仿造；</w:t>
      </w:r>
    </w:p>
    <w:p w14:paraId="176D7D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4.乙方应当告知并以适当方式要求其参与本项工作之雇员遵守本协议规定，若参与本项工作之雇员（包括已离职员工）违反本协议规定，乙方应承担连带责任。</w:t>
      </w:r>
    </w:p>
    <w:p w14:paraId="69B56D94">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五、保密资料的交回：</w:t>
      </w:r>
    </w:p>
    <w:p w14:paraId="37BB8D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1.当甲方以书面形式要求乙方交回保密资料时，乙方应当立即交回所有书面的或其他有形的保密资料以及所有描述和概括该保密资料的文件；</w:t>
      </w:r>
    </w:p>
    <w:p w14:paraId="1635FE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2.没有甲方的书面许可，乙方不得丢弃和处理任何书面的或其他有形的保密资料。</w:t>
      </w:r>
    </w:p>
    <w:p w14:paraId="229F16B6">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六、知识产权：</w:t>
      </w:r>
    </w:p>
    <w:p w14:paraId="233A7D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除非甲方明确地授权，乙方不能认为甲方授予其包含该保密资料的任何专利权、专利申请权、商标权、著作权、商业秘密或其它的知识产权。</w:t>
      </w:r>
    </w:p>
    <w:p w14:paraId="750911B9">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七、违约救济：如果发生乙方违约，双方同意依如下条款处理：</w:t>
      </w:r>
    </w:p>
    <w:p w14:paraId="6BA1EE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1.乙方应当尽最大的努力帮助甲方有效地防止或限制该保密资料的传播或按照甲方的指示采取有效的方法对该保密资料进行保密，所需费用由乙方承担；</w:t>
      </w:r>
    </w:p>
    <w:p w14:paraId="208497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2.乙方应当赔偿甲方的所有损失，包括但不限于法院诉讼的费用、合理的律师酬金和费用、所有损失或损害等等。</w:t>
      </w:r>
    </w:p>
    <w:p w14:paraId="21C17F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同时，乙方按项目合同费用总金额的15%向甲方支付违约金。</w:t>
      </w:r>
    </w:p>
    <w:p w14:paraId="0D6744DC">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八、适用法律：</w:t>
      </w:r>
    </w:p>
    <w:p w14:paraId="176FD9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本协议适用中华人民共和国法律，并在所有方面依其进行解释。</w:t>
      </w:r>
    </w:p>
    <w:p w14:paraId="5A4E6212">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九、争议和裁决</w:t>
      </w:r>
    </w:p>
    <w:p w14:paraId="58A26C06">
      <w:pPr>
        <w:autoSpaceDE w:val="0"/>
        <w:autoSpaceDN w:val="0"/>
        <w:adjustRightInd w:val="0"/>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双方约定，凡因执行本合同所发生的与本合同有关的一切争议，当和解或调解不成时，选择下列第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14:paraId="7C1333F0">
      <w:pPr>
        <w:autoSpaceDE w:val="0"/>
        <w:autoSpaceDN w:val="0"/>
        <w:adjustRightInd w:val="0"/>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（1）将争议提交 </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广州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4B758FB7">
      <w:pPr>
        <w:autoSpaceDE w:val="0"/>
        <w:autoSpaceDN w:val="0"/>
        <w:adjustRightInd w:val="0"/>
        <w:spacing w:line="360" w:lineRule="auto"/>
        <w:ind w:firstLine="540"/>
        <w:rPr>
          <w:rFonts w:ascii="宋体" w:hAnsi="宋体" w:cs="宋体"/>
          <w:color w:val="auto"/>
          <w:szCs w:val="21"/>
          <w:highlight w:val="none"/>
          <w:u w:val="single"/>
        </w:rPr>
      </w:pPr>
      <w:r>
        <w:rPr>
          <w:rFonts w:hint="eastAsia" w:ascii="宋体" w:hAnsi="宋体" w:cs="宋体"/>
          <w:color w:val="auto"/>
          <w:szCs w:val="21"/>
          <w:highlight w:val="none"/>
        </w:rPr>
        <w:t>（2）依法向当地</w:t>
      </w:r>
      <w:r>
        <w:rPr>
          <w:rFonts w:hint="eastAsia" w:ascii="宋体" w:hAnsi="宋体" w:cs="宋体"/>
          <w:color w:val="auto"/>
          <w:szCs w:val="21"/>
          <w:highlight w:val="none"/>
          <w:u w:val="single"/>
        </w:rPr>
        <w:t xml:space="preserve">  </w:t>
      </w:r>
      <w:r>
        <w:rPr>
          <w:rFonts w:hint="eastAsia"/>
          <w:b/>
          <w:color w:val="auto"/>
          <w:highlight w:val="none"/>
          <w:u w:val="single"/>
        </w:rPr>
        <w:t>甲方所在地有管辖权的</w:t>
      </w:r>
      <w:r>
        <w:rPr>
          <w:rFonts w:hint="eastAsia" w:ascii="宋体" w:hAnsi="宋体" w:cs="宋体"/>
          <w:b/>
          <w:color w:val="auto"/>
          <w:szCs w:val="21"/>
          <w:highlight w:val="none"/>
          <w:u w:val="single"/>
        </w:rPr>
        <w:t xml:space="preserve">法院   </w:t>
      </w:r>
      <w:r>
        <w:rPr>
          <w:rFonts w:hint="eastAsia" w:ascii="宋体" w:hAnsi="宋体" w:cs="宋体"/>
          <w:color w:val="auto"/>
          <w:szCs w:val="21"/>
          <w:highlight w:val="none"/>
        </w:rPr>
        <w:t>提起诉讼。</w:t>
      </w:r>
    </w:p>
    <w:p w14:paraId="77CA290B">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十、协议的生效：</w:t>
      </w:r>
    </w:p>
    <w:p w14:paraId="52EACAFA">
      <w:pPr>
        <w:adjustRightInd w:val="0"/>
        <w:snapToGrid w:val="0"/>
        <w:spacing w:line="360" w:lineRule="auto"/>
        <w:ind w:firstLine="420" w:firstLineChars="200"/>
        <w:rPr>
          <w:rFonts w:ascii="宋体" w:hAnsi="宋体" w:cs="宋体"/>
          <w:color w:val="auto"/>
          <w:szCs w:val="21"/>
          <w:highlight w:val="none"/>
        </w:rPr>
      </w:pPr>
      <w:r>
        <w:rPr>
          <w:rFonts w:hint="eastAsia" w:hAnsi="宋体" w:cs="宋体"/>
          <w:color w:val="auto"/>
          <w:szCs w:val="21"/>
          <w:highlight w:val="none"/>
          <w:lang w:val="zh-CN"/>
        </w:rPr>
        <w:t>本协议一式</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lang w:val="zh-CN"/>
        </w:rPr>
        <w:t>份，其中甲方、乙方各</w:t>
      </w:r>
      <w:r>
        <w:rPr>
          <w:rFonts w:hint="eastAsia" w:hAnsi="宋体" w:cs="宋体"/>
          <w:color w:val="auto"/>
          <w:szCs w:val="21"/>
          <w:highlight w:val="none"/>
          <w:u w:val="single"/>
        </w:rPr>
        <w:t xml:space="preserve">    </w:t>
      </w:r>
      <w:r>
        <w:rPr>
          <w:rFonts w:hint="eastAsia" w:hAnsi="宋体" w:cs="宋体"/>
          <w:color w:val="auto"/>
          <w:szCs w:val="21"/>
          <w:highlight w:val="none"/>
          <w:lang w:val="zh-CN"/>
        </w:rPr>
        <w:t>份。</w:t>
      </w:r>
      <w:r>
        <w:rPr>
          <w:rFonts w:hint="eastAsia" w:ascii="宋体" w:hAnsi="宋体" w:cs="宋体"/>
          <w:color w:val="auto"/>
          <w:szCs w:val="21"/>
          <w:highlight w:val="none"/>
        </w:rPr>
        <w:t>正副本具同等法律效力。</w:t>
      </w:r>
    </w:p>
    <w:p w14:paraId="0DE05FA9">
      <w:pPr>
        <w:pStyle w:val="2"/>
        <w:rPr>
          <w:rFonts w:ascii="宋体" w:hAnsi="宋体" w:cs="宋体"/>
          <w:color w:val="auto"/>
          <w:szCs w:val="21"/>
          <w:highlight w:val="none"/>
        </w:rPr>
      </w:pPr>
    </w:p>
    <w:p w14:paraId="0833B71E">
      <w:pPr>
        <w:pStyle w:val="2"/>
        <w:rPr>
          <w:rFonts w:ascii="宋体" w:hAnsi="宋体" w:cs="宋体"/>
          <w:color w:val="auto"/>
          <w:szCs w:val="21"/>
          <w:highlight w:val="none"/>
        </w:rPr>
      </w:pPr>
    </w:p>
    <w:p w14:paraId="7320B765">
      <w:pPr>
        <w:pStyle w:val="2"/>
        <w:rPr>
          <w:rFonts w:ascii="宋体" w:hAnsi="宋体" w:cs="宋体"/>
          <w:color w:val="auto"/>
          <w:szCs w:val="21"/>
          <w:highlight w:val="none"/>
        </w:rPr>
      </w:pPr>
    </w:p>
    <w:p w14:paraId="4672037E">
      <w:pPr>
        <w:pStyle w:val="2"/>
        <w:rPr>
          <w:rFonts w:ascii="宋体" w:hAnsi="宋体" w:cs="宋体"/>
          <w:color w:val="auto"/>
          <w:szCs w:val="21"/>
          <w:highlight w:val="none"/>
        </w:rPr>
      </w:pPr>
    </w:p>
    <w:p w14:paraId="5DC1BCB2">
      <w:pPr>
        <w:pStyle w:val="2"/>
        <w:rPr>
          <w:rFonts w:ascii="宋体" w:hAnsi="宋体" w:cs="宋体"/>
          <w:color w:val="auto"/>
          <w:szCs w:val="21"/>
          <w:highlight w:val="none"/>
        </w:rPr>
      </w:pPr>
    </w:p>
    <w:p w14:paraId="6BC20015">
      <w:pPr>
        <w:pStyle w:val="2"/>
        <w:rPr>
          <w:rFonts w:ascii="宋体" w:hAnsi="宋体" w:cs="宋体"/>
          <w:color w:val="auto"/>
          <w:szCs w:val="21"/>
          <w:highlight w:val="none"/>
        </w:rPr>
      </w:pPr>
    </w:p>
    <w:p w14:paraId="62C3446B">
      <w:pPr>
        <w:pStyle w:val="2"/>
        <w:rPr>
          <w:rFonts w:ascii="宋体" w:hAnsi="宋体" w:cs="宋体"/>
          <w:color w:val="auto"/>
          <w:szCs w:val="21"/>
          <w:highlight w:val="none"/>
        </w:rPr>
      </w:pPr>
    </w:p>
    <w:p w14:paraId="2692307D">
      <w:pPr>
        <w:pStyle w:val="2"/>
        <w:rPr>
          <w:rFonts w:ascii="宋体" w:hAnsi="宋体" w:cs="宋体"/>
          <w:color w:val="auto"/>
          <w:szCs w:val="21"/>
          <w:highlight w:val="none"/>
        </w:rPr>
      </w:pPr>
    </w:p>
    <w:p w14:paraId="2B416EAC">
      <w:pPr>
        <w:pStyle w:val="2"/>
        <w:rPr>
          <w:rFonts w:ascii="宋体" w:hAnsi="宋体" w:cs="宋体"/>
          <w:color w:val="auto"/>
          <w:szCs w:val="21"/>
          <w:highlight w:val="none"/>
        </w:rPr>
      </w:pPr>
    </w:p>
    <w:p w14:paraId="659B8935">
      <w:pPr>
        <w:pStyle w:val="2"/>
        <w:rPr>
          <w:rFonts w:ascii="宋体" w:hAnsi="宋体" w:cs="宋体"/>
          <w:color w:val="auto"/>
          <w:szCs w:val="21"/>
          <w:highlight w:val="none"/>
        </w:rPr>
      </w:pPr>
    </w:p>
    <w:p w14:paraId="4363776B">
      <w:pPr>
        <w:pStyle w:val="2"/>
        <w:rPr>
          <w:rFonts w:ascii="宋体" w:hAnsi="宋体" w:cs="宋体"/>
          <w:color w:val="auto"/>
          <w:szCs w:val="21"/>
          <w:highlight w:val="none"/>
        </w:rPr>
      </w:pPr>
    </w:p>
    <w:p w14:paraId="3A32938C">
      <w:pPr>
        <w:pStyle w:val="2"/>
        <w:rPr>
          <w:rFonts w:ascii="宋体" w:hAnsi="宋体" w:cs="宋体"/>
          <w:color w:val="auto"/>
          <w:szCs w:val="21"/>
          <w:highlight w:val="none"/>
        </w:rPr>
      </w:pPr>
    </w:p>
    <w:p w14:paraId="34327298">
      <w:pPr>
        <w:pStyle w:val="2"/>
        <w:rPr>
          <w:rFonts w:ascii="宋体" w:hAnsi="宋体" w:cs="宋体"/>
          <w:color w:val="auto"/>
          <w:szCs w:val="21"/>
          <w:highlight w:val="none"/>
        </w:rPr>
      </w:pPr>
    </w:p>
    <w:p w14:paraId="3EFF62FC">
      <w:pPr>
        <w:pStyle w:val="2"/>
        <w:rPr>
          <w:rFonts w:ascii="宋体" w:hAnsi="宋体" w:cs="宋体"/>
          <w:color w:val="auto"/>
          <w:szCs w:val="21"/>
          <w:highlight w:val="none"/>
        </w:rPr>
      </w:pPr>
    </w:p>
    <w:p w14:paraId="56D0EED5">
      <w:pPr>
        <w:pStyle w:val="2"/>
        <w:rPr>
          <w:rFonts w:ascii="宋体" w:hAnsi="宋体" w:cs="宋体"/>
          <w:color w:val="auto"/>
          <w:szCs w:val="21"/>
          <w:highlight w:val="none"/>
        </w:rPr>
      </w:pPr>
    </w:p>
    <w:p w14:paraId="12B49245">
      <w:pPr>
        <w:adjustRightInd w:val="0"/>
        <w:snapToGrid w:val="0"/>
        <w:spacing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甲方（甲方盖章）：                      乙方（乙方盖章）：</w:t>
      </w:r>
    </w:p>
    <w:p w14:paraId="7DA55C3E">
      <w:pPr>
        <w:tabs>
          <w:tab w:val="left" w:pos="426"/>
        </w:tabs>
        <w:adjustRightInd w:val="0"/>
        <w:snapToGrid w:val="0"/>
        <w:spacing w:line="360" w:lineRule="auto"/>
        <w:ind w:left="-178" w:leftChars="-85" w:right="-178" w:rightChars="-85" w:firstLine="422" w:firstLineChars="200"/>
        <w:rPr>
          <w:rFonts w:ascii="宋体" w:hAnsi="宋体" w:cs="宋体"/>
          <w:color w:val="auto"/>
          <w:szCs w:val="21"/>
          <w:highlight w:val="none"/>
        </w:rPr>
      </w:pPr>
      <w:r>
        <w:rPr>
          <w:rFonts w:hint="eastAsia" w:ascii="宋体" w:cs="宋体"/>
          <w:b/>
          <w:color w:val="auto"/>
          <w:szCs w:val="21"/>
          <w:highlight w:val="none"/>
          <w:u w:val="single"/>
        </w:rPr>
        <w:t>广州市番禺区基本建设投资管理中心</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w:t>
      </w:r>
    </w:p>
    <w:p w14:paraId="3B7A1210">
      <w:pPr>
        <w:adjustRightInd w:val="0"/>
        <w:snapToGrid w:val="0"/>
        <w:spacing w:before="120" w:beforeLines="50" w:after="120" w:afterLines="50"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642971CA">
      <w:pPr>
        <w:adjustRightInd w:val="0"/>
        <w:snapToGrid w:val="0"/>
        <w:spacing w:before="120" w:beforeLines="50" w:after="120" w:afterLines="50"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或签约代表人：                            或签约代表人：</w:t>
      </w:r>
    </w:p>
    <w:p w14:paraId="5E0E225E">
      <w:pPr>
        <w:adjustRightInd w:val="0"/>
        <w:snapToGrid w:val="0"/>
        <w:spacing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5ED776C9">
      <w:pPr>
        <w:shd w:val="clear" w:color="auto" w:fill="FFFFFF"/>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签订日期：202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               签订日期：202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年   月    日</w:t>
      </w:r>
    </w:p>
    <w:p w14:paraId="792BDE63">
      <w:pPr>
        <w:spacing w:line="360" w:lineRule="auto"/>
        <w:rPr>
          <w:rFonts w:ascii="仿宋_GB2312" w:cs="仿宋_GB2312"/>
          <w:color w:val="auto"/>
          <w:sz w:val="24"/>
          <w:highlight w:val="none"/>
        </w:rPr>
      </w:pPr>
      <w:r>
        <w:rPr>
          <w:rFonts w:hint="eastAsia" w:ascii="宋体" w:hAnsi="宋体" w:cs="宋体"/>
          <w:color w:val="auto"/>
          <w:szCs w:val="21"/>
          <w:highlight w:val="none"/>
          <w:lang w:val="zh-CN"/>
        </w:rPr>
        <w:t>签订地点： 广州市番禺区</w:t>
      </w:r>
    </w:p>
    <w:p w14:paraId="3418DABE">
      <w:pPr>
        <w:spacing w:line="360" w:lineRule="auto"/>
        <w:rPr>
          <w:rFonts w:ascii="仿宋_GB2312" w:cs="仿宋_GB2312"/>
          <w:color w:val="auto"/>
          <w:sz w:val="24"/>
          <w:highlight w:val="none"/>
        </w:rPr>
      </w:pPr>
    </w:p>
    <w:p w14:paraId="0FF909F2">
      <w:pPr>
        <w:spacing w:line="360" w:lineRule="auto"/>
        <w:rPr>
          <w:rFonts w:ascii="仿宋_GB2312" w:cs="仿宋_GB2312"/>
          <w:color w:val="auto"/>
          <w:sz w:val="24"/>
          <w:highlight w:val="none"/>
        </w:rPr>
      </w:pPr>
    </w:p>
    <w:p w14:paraId="1073BB25">
      <w:pPr>
        <w:spacing w:line="360" w:lineRule="auto"/>
        <w:rPr>
          <w:rFonts w:ascii="仿宋_GB2312" w:cs="仿宋_GB2312"/>
          <w:color w:val="auto"/>
          <w:sz w:val="24"/>
          <w:highlight w:val="none"/>
        </w:rPr>
      </w:pPr>
    </w:p>
    <w:p w14:paraId="14045027">
      <w:pPr>
        <w:spacing w:line="360" w:lineRule="auto"/>
        <w:rPr>
          <w:rFonts w:ascii="仿宋_GB2312" w:cs="仿宋_GB2312"/>
          <w:color w:val="auto"/>
          <w:sz w:val="24"/>
          <w:highlight w:val="none"/>
        </w:rPr>
      </w:pPr>
    </w:p>
    <w:p w14:paraId="5E01421F">
      <w:pPr>
        <w:pStyle w:val="3"/>
        <w:spacing w:before="0" w:line="500" w:lineRule="exact"/>
        <w:rPr>
          <w:rFonts w:ascii="宋体" w:hAnsi="宋体" w:eastAsia="宋体" w:cs="宋体"/>
          <w:bCs w:val="0"/>
          <w:color w:val="auto"/>
          <w:kern w:val="2"/>
          <w:sz w:val="21"/>
          <w:szCs w:val="21"/>
          <w:highlight w:val="none"/>
        </w:rPr>
      </w:pPr>
      <w:r>
        <w:rPr>
          <w:rFonts w:hint="eastAsia" w:ascii="仿宋_GB2312" w:cs="仿宋_GB2312"/>
          <w:color w:val="auto"/>
          <w:highlight w:val="none"/>
        </w:rPr>
        <w:br w:type="page"/>
      </w:r>
      <w:r>
        <w:rPr>
          <w:rFonts w:hint="eastAsia" w:ascii="仿宋_GB2312" w:cs="仿宋_GB2312"/>
          <w:color w:val="auto"/>
          <w:highlight w:val="none"/>
        </w:rPr>
        <w:t>附件三</w:t>
      </w:r>
      <w:r>
        <w:rPr>
          <w:rFonts w:hint="eastAsia" w:ascii="宋体" w:hAnsi="宋体" w:eastAsia="宋体" w:cs="宋体"/>
          <w:bCs w:val="0"/>
          <w:color w:val="auto"/>
          <w:kern w:val="2"/>
          <w:sz w:val="21"/>
          <w:szCs w:val="21"/>
          <w:highlight w:val="none"/>
        </w:rPr>
        <w:t>履约保函格式</w:t>
      </w:r>
    </w:p>
    <w:p w14:paraId="1F036554">
      <w:pPr>
        <w:jc w:val="center"/>
        <w:rPr>
          <w:b/>
          <w:color w:val="auto"/>
          <w:sz w:val="24"/>
          <w:highlight w:val="none"/>
        </w:rPr>
      </w:pPr>
    </w:p>
    <w:p w14:paraId="245BC69D">
      <w:pPr>
        <w:jc w:val="center"/>
        <w:rPr>
          <w:b/>
          <w:color w:val="auto"/>
          <w:sz w:val="24"/>
          <w:highlight w:val="none"/>
        </w:rPr>
      </w:pPr>
      <w:r>
        <w:rPr>
          <w:rFonts w:hint="eastAsia"/>
          <w:b/>
          <w:color w:val="auto"/>
          <w:sz w:val="24"/>
          <w:highlight w:val="none"/>
        </w:rPr>
        <w:t>履约保证金银行保函（格式）</w:t>
      </w:r>
    </w:p>
    <w:p w14:paraId="36924127">
      <w:pPr>
        <w:jc w:val="center"/>
        <w:rPr>
          <w:b/>
          <w:color w:val="auto"/>
          <w:sz w:val="24"/>
          <w:highlight w:val="none"/>
        </w:rPr>
      </w:pPr>
    </w:p>
    <w:p w14:paraId="5D63A306">
      <w:pPr>
        <w:rPr>
          <w:color w:val="auto"/>
          <w:sz w:val="24"/>
          <w:highlight w:val="none"/>
        </w:rPr>
      </w:pPr>
      <w:r>
        <w:rPr>
          <w:rFonts w:hint="eastAsia"/>
          <w:color w:val="auto"/>
          <w:sz w:val="24"/>
          <w:highlight w:val="none"/>
        </w:rPr>
        <w:t>致：广州市番禺区基本建设投资管理中心[甲方]</w:t>
      </w:r>
    </w:p>
    <w:p w14:paraId="47A4DBC7">
      <w:pPr>
        <w:rPr>
          <w:color w:val="auto"/>
          <w:sz w:val="24"/>
          <w:highlight w:val="none"/>
        </w:rPr>
      </w:pPr>
    </w:p>
    <w:p w14:paraId="289EDC66">
      <w:pPr>
        <w:ind w:firstLine="480" w:firstLineChars="200"/>
        <w:rPr>
          <w:color w:val="auto"/>
          <w:sz w:val="24"/>
          <w:highlight w:val="none"/>
        </w:rPr>
      </w:pPr>
      <w:r>
        <w:rPr>
          <w:rFonts w:hint="eastAsia"/>
          <w:color w:val="auto"/>
          <w:sz w:val="24"/>
          <w:highlight w:val="none"/>
        </w:rPr>
        <w:t>鉴于</w:t>
      </w:r>
      <w:r>
        <w:rPr>
          <w:rFonts w:hint="eastAsia"/>
          <w:color w:val="auto"/>
          <w:sz w:val="24"/>
          <w:highlight w:val="none"/>
          <w:u w:val="single"/>
        </w:rPr>
        <w:t xml:space="preserve">             </w:t>
      </w:r>
      <w:r>
        <w:rPr>
          <w:rFonts w:hint="eastAsia"/>
          <w:color w:val="auto"/>
          <w:sz w:val="24"/>
          <w:highlight w:val="none"/>
        </w:rPr>
        <w:t>[乙方名称]（以下简称“乙方”）已中标，已（拟）与</w:t>
      </w:r>
      <w:r>
        <w:rPr>
          <w:rFonts w:hint="eastAsia"/>
          <w:color w:val="auto"/>
          <w:sz w:val="24"/>
          <w:highlight w:val="none"/>
          <w:u w:val="single"/>
        </w:rPr>
        <w:t>广州市番禺区基本建设投资管理中心</w:t>
      </w:r>
      <w:r>
        <w:rPr>
          <w:rFonts w:hint="eastAsia"/>
          <w:color w:val="auto"/>
          <w:sz w:val="24"/>
          <w:highlight w:val="none"/>
        </w:rPr>
        <w:t>[甲方名称]（以下简称“甲方”）就</w:t>
      </w:r>
      <w:r>
        <w:rPr>
          <w:rFonts w:hint="eastAsia"/>
          <w:color w:val="auto"/>
          <w:sz w:val="24"/>
          <w:highlight w:val="none"/>
          <w:u w:val="single"/>
        </w:rPr>
        <w:t xml:space="preserve">                       </w:t>
      </w:r>
      <w:r>
        <w:rPr>
          <w:rFonts w:hint="eastAsia"/>
          <w:color w:val="auto"/>
          <w:sz w:val="24"/>
          <w:highlight w:val="none"/>
        </w:rPr>
        <w:t>[项目名称]签订</w:t>
      </w:r>
      <w:r>
        <w:rPr>
          <w:rFonts w:hint="eastAsia"/>
          <w:color w:val="auto"/>
          <w:sz w:val="24"/>
          <w:highlight w:val="none"/>
          <w:u w:val="single"/>
        </w:rPr>
        <w:t xml:space="preserve">                       </w:t>
      </w:r>
      <w:r>
        <w:rPr>
          <w:rFonts w:hint="eastAsia"/>
          <w:color w:val="auto"/>
          <w:sz w:val="24"/>
          <w:highlight w:val="none"/>
        </w:rPr>
        <w:t>（下称“合同”）。</w:t>
      </w:r>
    </w:p>
    <w:p w14:paraId="21614B77">
      <w:pPr>
        <w:ind w:firstLine="480" w:firstLineChars="200"/>
        <w:rPr>
          <w:color w:val="auto"/>
          <w:sz w:val="24"/>
          <w:highlight w:val="none"/>
        </w:rPr>
      </w:pPr>
      <w:r>
        <w:rPr>
          <w:rFonts w:hint="eastAsia"/>
          <w:color w:val="auto"/>
          <w:sz w:val="24"/>
          <w:highlight w:val="none"/>
        </w:rPr>
        <w:t>鉴于你方（甲方）在招标文件及合同中均要求乙方通过经认可的银行向你方提交合同规定金额的保证金，作为乙方履行合同责任的担保，且本银行同意为乙方出具本银行保函。</w:t>
      </w:r>
    </w:p>
    <w:p w14:paraId="4687FCC2">
      <w:pPr>
        <w:ind w:firstLine="480" w:firstLineChars="200"/>
        <w:rPr>
          <w:color w:val="auto"/>
          <w:sz w:val="24"/>
          <w:highlight w:val="none"/>
        </w:rPr>
      </w:pPr>
      <w:r>
        <w:rPr>
          <w:rFonts w:hint="eastAsia"/>
          <w:color w:val="auto"/>
          <w:sz w:val="24"/>
          <w:highlight w:val="none"/>
        </w:rPr>
        <w:t>本银行作为担保人在此代表乙方向你方确认承担支付人民币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的担保责任，在你方第一次书面索赔通知书提出要求得到上述金额内的任何付款时，本行在五个工作日内支付，不挑剔、不争辩、也不要求你方出具证明或说明背景或理由。你方可以要求一次性支付，也可以分多次要求支付，但总额不得超过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w:t>
      </w:r>
    </w:p>
    <w:p w14:paraId="5CE93811">
      <w:pPr>
        <w:ind w:firstLine="480" w:firstLineChars="200"/>
        <w:rPr>
          <w:color w:val="auto"/>
          <w:sz w:val="24"/>
          <w:highlight w:val="none"/>
        </w:rPr>
      </w:pPr>
      <w:r>
        <w:rPr>
          <w:rFonts w:hint="eastAsia"/>
          <w:color w:val="auto"/>
          <w:sz w:val="24"/>
          <w:highlight w:val="none"/>
        </w:rPr>
        <w:t>本银行放弃你方应先向乙方要求赔偿上述金额然后再向本银行提出要求的权利。</w:t>
      </w:r>
    </w:p>
    <w:p w14:paraId="23B63D6E">
      <w:pPr>
        <w:ind w:firstLine="480" w:firstLineChars="200"/>
        <w:rPr>
          <w:color w:val="auto"/>
          <w:sz w:val="24"/>
          <w:highlight w:val="none"/>
        </w:rPr>
      </w:pPr>
      <w:r>
        <w:rPr>
          <w:rFonts w:hint="eastAsia"/>
          <w:color w:val="auto"/>
          <w:sz w:val="24"/>
          <w:highlight w:val="none"/>
        </w:rPr>
        <w:t>本银行还同意：在你方（甲方）和乙方之间的合同条款、合同项下的工程或合同文件发生变化、补充或修改后，本银行承担本保函的责任也不改变；上述变化、补充或修改也无须通知本银行。</w:t>
      </w:r>
    </w:p>
    <w:p w14:paraId="5A50A9D3">
      <w:pPr>
        <w:ind w:firstLine="480" w:firstLineChars="200"/>
        <w:rPr>
          <w:color w:val="auto"/>
          <w:sz w:val="24"/>
          <w:highlight w:val="none"/>
        </w:rPr>
      </w:pPr>
      <w:r>
        <w:rPr>
          <w:rFonts w:hint="eastAsia"/>
          <w:color w:val="auto"/>
          <w:sz w:val="24"/>
          <w:highlight w:val="none"/>
        </w:rPr>
        <w:t>本保函的有效期自</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日起至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日（工程完工后一年）内保持有效，并在本保函有效期内不可撤销。</w:t>
      </w:r>
    </w:p>
    <w:p w14:paraId="48698774">
      <w:pPr>
        <w:ind w:firstLine="480" w:firstLineChars="200"/>
        <w:rPr>
          <w:color w:val="auto"/>
          <w:sz w:val="24"/>
          <w:highlight w:val="none"/>
        </w:rPr>
      </w:pPr>
      <w:r>
        <w:rPr>
          <w:rFonts w:hint="eastAsia"/>
          <w:color w:val="auto"/>
          <w:sz w:val="24"/>
          <w:highlight w:val="none"/>
        </w:rPr>
        <w:t>未经本银行书面同意，本保函不得转让。</w:t>
      </w:r>
    </w:p>
    <w:p w14:paraId="5008B85A">
      <w:pPr>
        <w:ind w:firstLine="480" w:firstLineChars="200"/>
        <w:rPr>
          <w:color w:val="auto"/>
          <w:sz w:val="24"/>
          <w:highlight w:val="none"/>
        </w:rPr>
      </w:pPr>
    </w:p>
    <w:p w14:paraId="74063D7A">
      <w:pPr>
        <w:ind w:firstLine="480" w:firstLineChars="200"/>
        <w:rPr>
          <w:color w:val="auto"/>
          <w:sz w:val="24"/>
          <w:highlight w:val="none"/>
        </w:rPr>
      </w:pPr>
    </w:p>
    <w:p w14:paraId="52225001">
      <w:pPr>
        <w:ind w:firstLine="480" w:firstLineChars="200"/>
        <w:rPr>
          <w:color w:val="auto"/>
          <w:sz w:val="24"/>
          <w:highlight w:val="none"/>
        </w:rPr>
      </w:pPr>
      <w:r>
        <w:rPr>
          <w:rFonts w:hint="eastAsia"/>
          <w:color w:val="auto"/>
          <w:sz w:val="24"/>
          <w:highlight w:val="none"/>
        </w:rPr>
        <w:t>担保人：</w:t>
      </w:r>
      <w:r>
        <w:rPr>
          <w:rFonts w:hint="eastAsia"/>
          <w:color w:val="auto"/>
          <w:sz w:val="24"/>
          <w:highlight w:val="none"/>
          <w:u w:val="single"/>
        </w:rPr>
        <w:t xml:space="preserve">                                        （盖章）</w:t>
      </w:r>
    </w:p>
    <w:p w14:paraId="03176E41">
      <w:pPr>
        <w:ind w:firstLine="480" w:firstLineChars="200"/>
        <w:rPr>
          <w:color w:val="auto"/>
          <w:sz w:val="24"/>
          <w:highlight w:val="none"/>
        </w:rPr>
      </w:pPr>
      <w:r>
        <w:rPr>
          <w:rFonts w:hint="eastAsia"/>
          <w:color w:val="auto"/>
          <w:sz w:val="24"/>
          <w:highlight w:val="none"/>
        </w:rPr>
        <w:t>法定代表人或委托代理人：</w:t>
      </w:r>
      <w:r>
        <w:rPr>
          <w:rFonts w:hint="eastAsia"/>
          <w:color w:val="auto"/>
          <w:sz w:val="24"/>
          <w:highlight w:val="none"/>
          <w:u w:val="single"/>
        </w:rPr>
        <w:t xml:space="preserve">                  （签字或盖章）</w:t>
      </w:r>
    </w:p>
    <w:p w14:paraId="48EE4396">
      <w:pPr>
        <w:ind w:firstLine="480" w:firstLineChars="200"/>
        <w:rPr>
          <w:color w:val="auto"/>
          <w:sz w:val="24"/>
          <w:highlight w:val="none"/>
        </w:rPr>
      </w:pPr>
      <w:r>
        <w:rPr>
          <w:rFonts w:hint="eastAsia"/>
          <w:color w:val="auto"/>
          <w:sz w:val="24"/>
          <w:highlight w:val="none"/>
        </w:rPr>
        <w:t>地址：</w:t>
      </w:r>
    </w:p>
    <w:p w14:paraId="2105810C">
      <w:pPr>
        <w:ind w:firstLine="480" w:firstLineChars="200"/>
        <w:rPr>
          <w:color w:val="auto"/>
          <w:sz w:val="24"/>
          <w:highlight w:val="none"/>
        </w:rPr>
      </w:pPr>
      <w:r>
        <w:rPr>
          <w:rFonts w:hint="eastAsia"/>
          <w:color w:val="auto"/>
          <w:sz w:val="24"/>
          <w:highlight w:val="none"/>
        </w:rPr>
        <w:t>银行名称：</w:t>
      </w:r>
    </w:p>
    <w:p w14:paraId="0555ADF3">
      <w:pPr>
        <w:ind w:firstLine="480" w:firstLineChars="200"/>
        <w:rPr>
          <w:color w:val="auto"/>
          <w:sz w:val="24"/>
          <w:highlight w:val="none"/>
        </w:rPr>
      </w:pPr>
      <w:r>
        <w:rPr>
          <w:rFonts w:hint="eastAsia"/>
          <w:color w:val="auto"/>
          <w:sz w:val="24"/>
          <w:highlight w:val="none"/>
        </w:rPr>
        <w:t>日期：</w:t>
      </w:r>
      <w:r>
        <w:rPr>
          <w:rFonts w:hint="eastAsia"/>
          <w:color w:val="auto"/>
          <w:sz w:val="24"/>
          <w:highlight w:val="none"/>
          <w:u w:val="single"/>
        </w:rPr>
        <w:t xml:space="preserve">          年     月      日</w:t>
      </w:r>
    </w:p>
    <w:p w14:paraId="48504FE0">
      <w:pPr>
        <w:ind w:firstLine="480" w:firstLineChars="200"/>
        <w:rPr>
          <w:color w:val="auto"/>
          <w:sz w:val="24"/>
          <w:highlight w:val="none"/>
          <w:u w:val="single"/>
        </w:rPr>
      </w:pPr>
      <w:r>
        <w:rPr>
          <w:rFonts w:hint="eastAsia"/>
          <w:color w:val="auto"/>
          <w:sz w:val="24"/>
          <w:highlight w:val="none"/>
        </w:rPr>
        <w:t>经办网点：</w:t>
      </w:r>
      <w:r>
        <w:rPr>
          <w:rFonts w:hint="eastAsia"/>
          <w:color w:val="auto"/>
          <w:sz w:val="24"/>
          <w:highlight w:val="none"/>
          <w:u w:val="single"/>
        </w:rPr>
        <w:t xml:space="preserve">                              </w:t>
      </w:r>
      <w:r>
        <w:rPr>
          <w:rFonts w:hint="eastAsia"/>
          <w:color w:val="auto"/>
          <w:sz w:val="24"/>
          <w:highlight w:val="none"/>
        </w:rPr>
        <w:t>经办人：</w:t>
      </w:r>
      <w:r>
        <w:rPr>
          <w:rFonts w:hint="eastAsia"/>
          <w:color w:val="auto"/>
          <w:sz w:val="24"/>
          <w:highlight w:val="none"/>
          <w:u w:val="single"/>
        </w:rPr>
        <w:t xml:space="preserve">                         </w:t>
      </w:r>
    </w:p>
    <w:p w14:paraId="7C684E7B">
      <w:pPr>
        <w:ind w:firstLine="480" w:firstLineChars="200"/>
        <w:rPr>
          <w:color w:val="auto"/>
          <w:sz w:val="24"/>
          <w:highlight w:val="none"/>
          <w:u w:val="single"/>
        </w:rPr>
      </w:pPr>
      <w:r>
        <w:rPr>
          <w:rFonts w:hint="eastAsia"/>
          <w:color w:val="auto"/>
          <w:sz w:val="24"/>
          <w:highlight w:val="none"/>
        </w:rPr>
        <w:t>联系电话（手机及固话）：</w:t>
      </w:r>
      <w:r>
        <w:rPr>
          <w:rFonts w:hint="eastAsia"/>
          <w:color w:val="auto"/>
          <w:sz w:val="24"/>
          <w:highlight w:val="none"/>
          <w:u w:val="single"/>
        </w:rPr>
        <w:t xml:space="preserve">                       </w:t>
      </w:r>
    </w:p>
    <w:p w14:paraId="1CF8851F">
      <w:pPr>
        <w:spacing w:line="360" w:lineRule="auto"/>
        <w:rPr>
          <w:rFonts w:ascii="仿宋_GB2312" w:cs="仿宋_GB2312"/>
          <w:color w:val="auto"/>
          <w:sz w:val="24"/>
          <w:highlight w:val="none"/>
        </w:rPr>
      </w:pPr>
    </w:p>
    <w:p w14:paraId="22A957EB">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br w:type="page"/>
      </w:r>
      <w:r>
        <w:rPr>
          <w:rFonts w:hint="eastAsia" w:ascii="宋体" w:hAnsi="宋体" w:cs="宋体"/>
          <w:color w:val="auto"/>
          <w:spacing w:val="-1"/>
          <w:sz w:val="24"/>
          <w:highlight w:val="none"/>
          <w:lang w:bidi="ar"/>
        </w:rPr>
        <w:t>附件四：中标通知书</w:t>
      </w:r>
    </w:p>
    <w:p w14:paraId="447CF210">
      <w:pPr>
        <w:widowControl/>
        <w:autoSpaceDE w:val="0"/>
        <w:autoSpaceDN w:val="0"/>
        <w:adjustRightInd w:val="0"/>
        <w:spacing w:line="360" w:lineRule="auto"/>
        <w:rPr>
          <w:rFonts w:ascii="宋体" w:hAnsi="宋体" w:cs="宋体"/>
          <w:color w:val="auto"/>
          <w:spacing w:val="-1"/>
          <w:sz w:val="24"/>
          <w:highlight w:val="none"/>
          <w:lang w:bidi="ar"/>
        </w:rPr>
      </w:pPr>
      <w:bookmarkStart w:id="16" w:name="_Toc169192092"/>
      <w:r>
        <w:rPr>
          <w:rFonts w:hint="eastAsia" w:ascii="宋体" w:hAnsi="宋体" w:cs="宋体"/>
          <w:color w:val="auto"/>
          <w:spacing w:val="-1"/>
          <w:sz w:val="24"/>
          <w:highlight w:val="none"/>
          <w:lang w:bidi="ar"/>
        </w:rPr>
        <w:t>附件五：拟投入本项目的人员名单</w:t>
      </w:r>
      <w:bookmarkEnd w:id="16"/>
    </w:p>
    <w:p w14:paraId="40C781EF">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t>附件六：检测工程量汇总表</w:t>
      </w:r>
    </w:p>
    <w:p w14:paraId="123CF74E">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t>附件七：联合体协议书（如有）</w:t>
      </w:r>
    </w:p>
    <w:p w14:paraId="62D810F9">
      <w:pPr>
        <w:widowControl/>
        <w:autoSpaceDE w:val="0"/>
        <w:autoSpaceDN w:val="0"/>
        <w:adjustRightInd w:val="0"/>
        <w:spacing w:line="360" w:lineRule="auto"/>
        <w:rPr>
          <w:rFonts w:ascii="宋体" w:hAnsi="宋体" w:cs="宋体"/>
          <w:color w:val="auto"/>
          <w:spacing w:val="-1"/>
          <w:sz w:val="24"/>
          <w:highlight w:val="none"/>
          <w:lang w:bidi="ar"/>
        </w:rPr>
      </w:pPr>
    </w:p>
    <w:p w14:paraId="51506D0B">
      <w:pPr>
        <w:pStyle w:val="3"/>
        <w:spacing w:before="0" w:line="500" w:lineRule="exact"/>
        <w:rPr>
          <w:color w:val="auto"/>
          <w:highlight w:val="none"/>
        </w:rPr>
      </w:pPr>
    </w:p>
    <w:p w14:paraId="37C45748">
      <w:pPr>
        <w:rPr>
          <w:color w:val="auto"/>
          <w:highlight w:val="none"/>
        </w:rPr>
      </w:pPr>
    </w:p>
    <w:sectPr>
      <w:footerReference r:id="rId3" w:type="default"/>
      <w:pgSz w:w="11907" w:h="16840"/>
      <w:pgMar w:top="1474" w:right="907" w:bottom="158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98921">
    <w:pPr>
      <w:pStyle w:val="6"/>
      <w:jc w:val="center"/>
      <w:rPr>
        <w:rFonts w:cs="Times New Roman"/>
      </w:rPr>
    </w:pPr>
    <w:r>
      <w:rPr>
        <w:rStyle w:val="10"/>
        <w:rFonts w:cs="Times New Roman"/>
        <w:sz w:val="21"/>
        <w:szCs w:val="22"/>
      </w:rPr>
      <w:fldChar w:fldCharType="begin"/>
    </w:r>
    <w:r>
      <w:rPr>
        <w:rStyle w:val="10"/>
        <w:rFonts w:cs="Times New Roman"/>
        <w:sz w:val="21"/>
        <w:szCs w:val="22"/>
      </w:rPr>
      <w:instrText xml:space="preserve">PAGE   \* MERGEFORMAT</w:instrText>
    </w:r>
    <w:r>
      <w:rPr>
        <w:rStyle w:val="10"/>
        <w:rFonts w:cs="Times New Roman"/>
        <w:sz w:val="21"/>
        <w:szCs w:val="22"/>
      </w:rPr>
      <w:fldChar w:fldCharType="separate"/>
    </w:r>
    <w:r>
      <w:rPr>
        <w:rStyle w:val="10"/>
        <w:rFonts w:cs="Times New Roman"/>
        <w:sz w:val="21"/>
        <w:szCs w:val="22"/>
        <w:lang w:val="zh-CN"/>
      </w:rPr>
      <w:t>1</w:t>
    </w:r>
    <w:r>
      <w:rPr>
        <w:rStyle w:val="10"/>
        <w:rFonts w:cs="Times New Roman"/>
        <w:sz w:val="21"/>
        <w:szCs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11CEF"/>
    <w:multiLevelType w:val="multilevel"/>
    <w:tmpl w:val="4A611CEF"/>
    <w:lvl w:ilvl="0" w:tentative="0">
      <w:start w:val="1"/>
      <w:numFmt w:val="japaneseCounting"/>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6C312A1C"/>
    <w:rsid w:val="001F0F2C"/>
    <w:rsid w:val="00204462"/>
    <w:rsid w:val="003A1178"/>
    <w:rsid w:val="004D429C"/>
    <w:rsid w:val="004E67BD"/>
    <w:rsid w:val="005C01ED"/>
    <w:rsid w:val="006349B9"/>
    <w:rsid w:val="00903C48"/>
    <w:rsid w:val="00920849"/>
    <w:rsid w:val="009548FA"/>
    <w:rsid w:val="00AF4E82"/>
    <w:rsid w:val="00BF26F3"/>
    <w:rsid w:val="00C86242"/>
    <w:rsid w:val="06E777C5"/>
    <w:rsid w:val="0765792F"/>
    <w:rsid w:val="16CD1E27"/>
    <w:rsid w:val="16EE36AF"/>
    <w:rsid w:val="1B115C68"/>
    <w:rsid w:val="1D8A0E9A"/>
    <w:rsid w:val="37260FD5"/>
    <w:rsid w:val="3FFD6C8D"/>
    <w:rsid w:val="5553274C"/>
    <w:rsid w:val="56E05B0B"/>
    <w:rsid w:val="5DAF5613"/>
    <w:rsid w:val="5E8113F5"/>
    <w:rsid w:val="6118511F"/>
    <w:rsid w:val="63E40780"/>
    <w:rsid w:val="6C312A1C"/>
    <w:rsid w:val="734761B2"/>
    <w:rsid w:val="74B01A31"/>
    <w:rsid w:val="79D562C8"/>
    <w:rsid w:val="7E7A243E"/>
    <w:rsid w:val="7F4B5929"/>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next w:val="1"/>
    <w:qFormat/>
    <w:uiPriority w:val="0"/>
    <w:pPr>
      <w:keepNext/>
      <w:keepLines/>
      <w:spacing w:before="260" w:line="640" w:lineRule="exact"/>
      <w:ind w:firstLine="482" w:firstLineChars="200"/>
      <w:outlineLvl w:val="2"/>
    </w:pPr>
    <w:rPr>
      <w:rFonts w:ascii="仿宋" w:hAnsi="仿宋" w:eastAsia="仿宋" w:cs="仿宋"/>
      <w:b/>
      <w:bCs/>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qFormat/>
    <w:uiPriority w:val="0"/>
    <w:pPr>
      <w:ind w:firstLine="630"/>
      <w:jc w:val="center"/>
    </w:pPr>
    <w:rPr>
      <w:rFonts w:ascii="宋体" w:hAnsi="Times New Roman" w:eastAsia="宋体" w:cs="宋体"/>
      <w:kern w:val="2"/>
      <w:sz w:val="32"/>
      <w:szCs w:val="32"/>
      <w:lang w:val="en-US" w:eastAsia="zh-CN" w:bidi="ar-SA"/>
    </w:rPr>
  </w:style>
  <w:style w:type="paragraph" w:styleId="5">
    <w:name w:val="Balloon Text"/>
    <w:basedOn w:val="1"/>
    <w:link w:val="12"/>
    <w:qFormat/>
    <w:uiPriority w:val="0"/>
    <w:rPr>
      <w:sz w:val="18"/>
      <w:szCs w:val="18"/>
    </w:rPr>
  </w:style>
  <w:style w:type="paragraph" w:styleId="6">
    <w:name w:val="footer"/>
    <w:qFormat/>
    <w:uiPriority w:val="99"/>
    <w:pPr>
      <w:tabs>
        <w:tab w:val="center" w:pos="4153"/>
        <w:tab w:val="right" w:pos="8306"/>
      </w:tabs>
      <w:snapToGrid w:val="0"/>
    </w:pPr>
    <w:rPr>
      <w:rFonts w:ascii="Calibri" w:hAnsi="Calibri" w:eastAsia="宋体" w:cs="Calibri"/>
      <w:kern w:val="2"/>
      <w:sz w:val="18"/>
      <w:szCs w:val="18"/>
      <w:lang w:val="en-US" w:eastAsia="zh-CN" w:bidi="ar-SA"/>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customStyle="1" w:styleId="11">
    <w:name w:val="页眉 Char"/>
    <w:basedOn w:val="9"/>
    <w:link w:val="7"/>
    <w:qFormat/>
    <w:uiPriority w:val="0"/>
    <w:rPr>
      <w:rFonts w:ascii="Calibri" w:hAnsi="Calibri" w:eastAsia="宋体" w:cs="Times New Roman"/>
      <w:kern w:val="2"/>
      <w:sz w:val="18"/>
      <w:szCs w:val="18"/>
    </w:rPr>
  </w:style>
  <w:style w:type="character" w:customStyle="1" w:styleId="12">
    <w:name w:val="批注框文本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10864</Words>
  <Characters>11036</Characters>
  <Lines>91</Lines>
  <Paragraphs>25</Paragraphs>
  <TotalTime>8</TotalTime>
  <ScaleCrop>false</ScaleCrop>
  <LinksUpToDate>false</LinksUpToDate>
  <CharactersWithSpaces>12543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2025-02-05T06:51:00Z</dcterms:created>
  <dc:creator>Administrator</dc:creator>
  <cp:lastModifiedBy>.啦啦.</cp:lastModifiedBy>
  <cp:lastPrinted>2025-01-14T07:01:00Z</cp:lastPrinted>
  <dcterms:modified xsi:type="dcterms:W3CDTF">2025-04-28T08:39:58Z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DA0CBF3DC76D4B5B878657809AC324D8_11</vt:lpwstr>
  </property>
  <property fmtid="{D5CDD505-2E9C-101B-9397-08002B2CF9AE}" pid="4" name="KSOTemplateDocerSaveRecord">
    <vt:lpwstr>eyJoZGlkIjoiYTMyMmViMDVkODY5YzU5Y2E4YmI2NTQwNDBmNDQ1OTEiLCJ1c2VySWQiOiI0NjIzOTYxNzYifQ==</vt:lpwstr>
  </property>
</Properties>
</file>