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9FFBC">
      <w:pPr>
        <w:spacing w:line="360" w:lineRule="auto"/>
        <w:jc w:val="center"/>
        <w:rPr>
          <w:rFonts w:hint="eastAsia" w:ascii="宋体" w:hAnsi="宋体" w:cs="宋体"/>
          <w:b/>
          <w:bCs w:val="0"/>
          <w:color w:val="auto"/>
          <w:sz w:val="48"/>
          <w:szCs w:val="48"/>
          <w:highlight w:val="none"/>
          <w:vertAlign w:val="baseline"/>
          <w:lang w:val="en-US" w:eastAsia="zh-CN"/>
        </w:rPr>
      </w:pPr>
    </w:p>
    <w:p w14:paraId="3C9E9B1D">
      <w:pPr>
        <w:spacing w:line="360" w:lineRule="auto"/>
        <w:jc w:val="center"/>
        <w:rPr>
          <w:color w:val="auto"/>
          <w:sz w:val="36"/>
          <w:highlight w:val="none"/>
          <w:u w:val="single"/>
        </w:rPr>
      </w:pPr>
      <w:r>
        <w:rPr>
          <w:rFonts w:hint="eastAsia" w:ascii="宋体" w:hAnsi="宋体" w:cs="宋体"/>
          <w:b/>
          <w:bCs w:val="0"/>
          <w:color w:val="auto"/>
          <w:sz w:val="48"/>
          <w:szCs w:val="48"/>
          <w:highlight w:val="none"/>
          <w:vertAlign w:val="baseline"/>
          <w:lang w:val="en-US" w:eastAsia="zh-CN"/>
        </w:rPr>
        <w:t>广州市公安局番禺区分局公安基地配电改造工程</w:t>
      </w:r>
    </w:p>
    <w:p w14:paraId="066371B2">
      <w:pPr>
        <w:pStyle w:val="10"/>
        <w:rPr>
          <w:color w:val="auto"/>
          <w:sz w:val="36"/>
          <w:highlight w:val="none"/>
          <w:u w:val="single"/>
        </w:rPr>
      </w:pPr>
    </w:p>
    <w:p w14:paraId="5E458938">
      <w:pPr>
        <w:rPr>
          <w:color w:val="auto"/>
          <w:highlight w:val="none"/>
        </w:rPr>
      </w:pPr>
    </w:p>
    <w:p w14:paraId="64E3A9EA">
      <w:pPr>
        <w:rPr>
          <w:color w:val="auto"/>
          <w:highlight w:val="none"/>
        </w:rPr>
      </w:pPr>
    </w:p>
    <w:p w14:paraId="2CD741A9">
      <w:pPr>
        <w:rPr>
          <w:color w:val="auto"/>
          <w:highlight w:val="none"/>
        </w:rPr>
      </w:pPr>
    </w:p>
    <w:p w14:paraId="55642A8A">
      <w:pPr>
        <w:rPr>
          <w:color w:val="auto"/>
          <w:highlight w:val="none"/>
        </w:rPr>
      </w:pPr>
    </w:p>
    <w:p w14:paraId="42C1D185">
      <w:pPr>
        <w:rPr>
          <w:color w:val="auto"/>
          <w:highlight w:val="none"/>
        </w:rPr>
      </w:pPr>
    </w:p>
    <w:p w14:paraId="53DDCD24">
      <w:pPr>
        <w:rPr>
          <w:color w:val="auto"/>
          <w:highlight w:val="none"/>
        </w:rPr>
      </w:pPr>
    </w:p>
    <w:p w14:paraId="729F9DA7">
      <w:pPr>
        <w:rPr>
          <w:color w:val="auto"/>
          <w:highlight w:val="none"/>
        </w:rPr>
      </w:pPr>
    </w:p>
    <w:p w14:paraId="6C98C350">
      <w:pPr>
        <w:rPr>
          <w:color w:val="auto"/>
          <w:highlight w:val="none"/>
        </w:rPr>
      </w:pPr>
    </w:p>
    <w:p w14:paraId="40408612">
      <w:pPr>
        <w:pStyle w:val="10"/>
        <w:rPr>
          <w:color w:val="auto"/>
          <w:sz w:val="36"/>
          <w:highlight w:val="none"/>
          <w:u w:val="single"/>
        </w:rPr>
      </w:pPr>
    </w:p>
    <w:p w14:paraId="0CF023C6">
      <w:pPr>
        <w:spacing w:line="360" w:lineRule="auto"/>
        <w:jc w:val="center"/>
        <w:rPr>
          <w:rFonts w:eastAsia="楷体_GB2312"/>
          <w:b/>
          <w:bCs/>
          <w:color w:val="auto"/>
          <w:spacing w:val="26"/>
          <w:sz w:val="110"/>
          <w:szCs w:val="110"/>
          <w:highlight w:val="none"/>
        </w:rPr>
      </w:pPr>
      <w:r>
        <w:rPr>
          <w:rFonts w:hint="eastAsia" w:eastAsia="楷体_GB2312"/>
          <w:b/>
          <w:bCs/>
          <w:color w:val="auto"/>
          <w:spacing w:val="26"/>
          <w:sz w:val="110"/>
          <w:szCs w:val="110"/>
          <w:highlight w:val="none"/>
        </w:rPr>
        <w:t>招标文件</w:t>
      </w:r>
    </w:p>
    <w:p w14:paraId="75E3B05D">
      <w:pPr>
        <w:spacing w:line="360" w:lineRule="auto"/>
        <w:jc w:val="center"/>
        <w:rPr>
          <w:color w:val="auto"/>
          <w:sz w:val="32"/>
          <w:highlight w:val="none"/>
        </w:rPr>
      </w:pPr>
    </w:p>
    <w:p w14:paraId="68DE7540">
      <w:pPr>
        <w:spacing w:line="360" w:lineRule="auto"/>
        <w:ind w:firstLine="2560" w:firstLineChars="800"/>
        <w:rPr>
          <w:color w:val="auto"/>
          <w:sz w:val="32"/>
          <w:highlight w:val="none"/>
        </w:rPr>
      </w:pPr>
    </w:p>
    <w:p w14:paraId="01D4F84A">
      <w:pPr>
        <w:spacing w:line="360" w:lineRule="auto"/>
        <w:rPr>
          <w:color w:val="auto"/>
          <w:sz w:val="52"/>
          <w:highlight w:val="none"/>
        </w:rPr>
      </w:pPr>
    </w:p>
    <w:p w14:paraId="0F5DD580">
      <w:pPr>
        <w:spacing w:line="360" w:lineRule="auto"/>
        <w:rPr>
          <w:color w:val="auto"/>
          <w:sz w:val="52"/>
          <w:highlight w:val="none"/>
        </w:rPr>
      </w:pPr>
    </w:p>
    <w:p w14:paraId="3D6BF49C">
      <w:pPr>
        <w:jc w:val="center"/>
        <w:rPr>
          <w:color w:val="auto"/>
          <w:sz w:val="32"/>
          <w:szCs w:val="32"/>
          <w:highlight w:val="none"/>
        </w:rPr>
      </w:pPr>
      <w:r>
        <w:rPr>
          <w:rFonts w:hint="eastAsia"/>
          <w:color w:val="auto"/>
          <w:sz w:val="32"/>
          <w:szCs w:val="32"/>
          <w:highlight w:val="none"/>
        </w:rPr>
        <w:t xml:space="preserve"> 招  标 单 位：</w:t>
      </w:r>
      <w:r>
        <w:rPr>
          <w:rFonts w:hint="eastAsia"/>
          <w:color w:val="auto"/>
          <w:sz w:val="32"/>
          <w:szCs w:val="32"/>
          <w:highlight w:val="none"/>
          <w:u w:val="single"/>
        </w:rPr>
        <w:t>广州市番禺区基本建设投资管理中心</w:t>
      </w:r>
    </w:p>
    <w:p w14:paraId="5BD40F7E">
      <w:pPr>
        <w:ind w:firstLine="960" w:firstLineChars="300"/>
        <w:rPr>
          <w:rFonts w:hint="eastAsia" w:eastAsia="宋体"/>
          <w:color w:val="auto"/>
          <w:sz w:val="32"/>
          <w:szCs w:val="32"/>
          <w:highlight w:val="none"/>
          <w:lang w:eastAsia="zh-CN"/>
        </w:rPr>
      </w:pPr>
      <w:r>
        <w:rPr>
          <w:rFonts w:hint="eastAsia"/>
          <w:color w:val="auto"/>
          <w:sz w:val="32"/>
          <w:szCs w:val="32"/>
          <w:highlight w:val="none"/>
        </w:rPr>
        <w:t>招标代理单位：</w:t>
      </w:r>
      <w:r>
        <w:rPr>
          <w:rFonts w:hint="eastAsia" w:ascii="Calibri" w:hAnsi="Calibri" w:eastAsia="宋体" w:cs="Times New Roman"/>
          <w:color w:val="auto"/>
          <w:sz w:val="32"/>
          <w:szCs w:val="32"/>
          <w:highlight w:val="none"/>
          <w:u w:val="single"/>
        </w:rPr>
        <w:t>广东海外建设咨询有限公司</w:t>
      </w:r>
    </w:p>
    <w:p w14:paraId="77F0F261">
      <w:pPr>
        <w:ind w:firstLine="960" w:firstLineChars="300"/>
        <w:rPr>
          <w:color w:val="auto"/>
          <w:sz w:val="32"/>
          <w:szCs w:val="32"/>
          <w:highlight w:val="none"/>
        </w:rPr>
      </w:pPr>
      <w:r>
        <w:rPr>
          <w:rFonts w:hint="eastAsia"/>
          <w:color w:val="auto"/>
          <w:sz w:val="32"/>
          <w:szCs w:val="32"/>
          <w:highlight w:val="none"/>
        </w:rPr>
        <w:t>日        期：</w:t>
      </w:r>
      <w:r>
        <w:rPr>
          <w:rFonts w:hint="eastAsia"/>
          <w:color w:val="auto"/>
          <w:sz w:val="32"/>
          <w:szCs w:val="32"/>
          <w:highlight w:val="none"/>
          <w:u w:val="single"/>
        </w:rPr>
        <w:t>202</w:t>
      </w:r>
      <w:r>
        <w:rPr>
          <w:rFonts w:hint="eastAsia"/>
          <w:color w:val="auto"/>
          <w:sz w:val="32"/>
          <w:szCs w:val="32"/>
          <w:highlight w:val="none"/>
          <w:u w:val="single"/>
          <w:lang w:val="en-US" w:eastAsia="zh-CN"/>
        </w:rPr>
        <w:t>5</w:t>
      </w:r>
      <w:r>
        <w:rPr>
          <w:rFonts w:hint="eastAsia"/>
          <w:color w:val="auto"/>
          <w:sz w:val="32"/>
          <w:szCs w:val="32"/>
          <w:highlight w:val="none"/>
        </w:rPr>
        <w:t>年</w:t>
      </w:r>
      <w:r>
        <w:rPr>
          <w:rFonts w:hint="eastAsia"/>
          <w:color w:val="auto"/>
          <w:sz w:val="32"/>
          <w:szCs w:val="32"/>
          <w:highlight w:val="none"/>
          <w:u w:val="single"/>
          <w:lang w:val="en-US" w:eastAsia="zh-CN"/>
        </w:rPr>
        <w:t>4</w:t>
      </w:r>
      <w:r>
        <w:rPr>
          <w:rFonts w:hint="eastAsia"/>
          <w:color w:val="auto"/>
          <w:sz w:val="32"/>
          <w:szCs w:val="32"/>
          <w:highlight w:val="none"/>
        </w:rPr>
        <w:t>月</w:t>
      </w:r>
    </w:p>
    <w:p w14:paraId="5EFF9FEC">
      <w:pPr>
        <w:ind w:firstLine="632" w:firstLineChars="300"/>
        <w:rPr>
          <w:rStyle w:val="20"/>
          <w:b/>
          <w:bCs/>
          <w:color w:val="auto"/>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pgNumType w:fmt="decimal"/>
          <w:cols w:space="425" w:num="1"/>
          <w:titlePg/>
          <w:docGrid w:type="lines" w:linePitch="312" w:charSpace="0"/>
        </w:sectPr>
      </w:pPr>
    </w:p>
    <w:p w14:paraId="044FD27A">
      <w:pPr>
        <w:ind w:firstLine="843" w:firstLineChars="300"/>
        <w:jc w:val="center"/>
        <w:rPr>
          <w:rFonts w:ascii="宋体" w:hAnsi="宋体"/>
          <w:b/>
          <w:caps/>
          <w:color w:val="auto"/>
          <w:kern w:val="0"/>
          <w:highlight w:val="none"/>
        </w:rPr>
      </w:pPr>
      <w:r>
        <w:rPr>
          <w:rStyle w:val="20"/>
          <w:rFonts w:hint="eastAsia"/>
          <w:b/>
          <w:bCs/>
          <w:color w:val="auto"/>
          <w:sz w:val="28"/>
          <w:szCs w:val="28"/>
          <w:highlight w:val="none"/>
          <w:u w:val="none"/>
        </w:rPr>
        <w:t>目   录</w:t>
      </w:r>
    </w:p>
    <w:p w14:paraId="34232DCB">
      <w:pPr>
        <w:pStyle w:val="14"/>
        <w:rPr>
          <w:rFonts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TOC \o "1-3" \h \z \u </w:instrText>
      </w:r>
      <w:r>
        <w:rPr>
          <w:rFonts w:ascii="Times New Roman" w:hAnsi="Times New Roman"/>
          <w:caps w:val="0"/>
          <w:color w:val="auto"/>
          <w:kern w:val="2"/>
          <w:szCs w:val="24"/>
          <w:highlight w:val="none"/>
        </w:rPr>
        <w:fldChar w:fldCharType="separate"/>
      </w: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"_Toc21525489"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第一章  投标须知</w:t>
      </w:r>
      <w:r>
        <w:rPr>
          <w:rFonts w:ascii="Times New Roman" w:hAnsi="Times New Roman"/>
          <w:caps w:val="0"/>
          <w:color w:val="auto"/>
          <w:kern w:val="2"/>
          <w:szCs w:val="24"/>
          <w:highlight w:val="none"/>
        </w:rPr>
        <w:tab/>
      </w: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PAGEREF _Toc21525489 \h </w:instrText>
      </w:r>
      <w:r>
        <w:rPr>
          <w:rFonts w:ascii="Times New Roman" w:hAnsi="Times New Roman"/>
          <w:caps w:val="0"/>
          <w:color w:val="auto"/>
          <w:kern w:val="2"/>
          <w:szCs w:val="24"/>
          <w:highlight w:val="none"/>
        </w:rPr>
        <w:fldChar w:fldCharType="separate"/>
      </w:r>
      <w:r>
        <w:rPr>
          <w:rFonts w:ascii="Times New Roman" w:hAnsi="Times New Roman"/>
          <w:caps w:val="0"/>
          <w:color w:val="auto"/>
          <w:kern w:val="2"/>
          <w:szCs w:val="24"/>
          <w:highlight w:val="none"/>
        </w:rPr>
        <w:t>3</w:t>
      </w:r>
      <w:r>
        <w:rPr>
          <w:rFonts w:ascii="Times New Roman" w:hAnsi="Times New Roman"/>
          <w:caps w:val="0"/>
          <w:color w:val="auto"/>
          <w:kern w:val="2"/>
          <w:szCs w:val="24"/>
          <w:highlight w:val="none"/>
        </w:rPr>
        <w:fldChar w:fldCharType="end"/>
      </w:r>
      <w:r>
        <w:rPr>
          <w:rFonts w:ascii="Times New Roman" w:hAnsi="Times New Roman"/>
          <w:caps w:val="0"/>
          <w:color w:val="auto"/>
          <w:kern w:val="2"/>
          <w:szCs w:val="24"/>
          <w:highlight w:val="none"/>
        </w:rPr>
        <w:fldChar w:fldCharType="end"/>
      </w:r>
    </w:p>
    <w:p w14:paraId="435C3A68">
      <w:pPr>
        <w:pStyle w:val="15"/>
        <w:rPr>
          <w:rFonts w:ascii="Times New Roman" w:hAnsi="Times New Roman" w:eastAsia="宋体" w:cs="Times New Roman"/>
          <w:color w:val="auto"/>
          <w:sz w:val="24"/>
          <w:szCs w:val="24"/>
          <w:highlight w:val="none"/>
        </w:rPr>
      </w:pPr>
      <w:r>
        <w:rPr>
          <w:color w:val="auto"/>
          <w:highlight w:val="none"/>
        </w:rPr>
        <w:fldChar w:fldCharType="begin"/>
      </w:r>
      <w:r>
        <w:rPr>
          <w:color w:val="auto"/>
          <w:highlight w:val="none"/>
        </w:rPr>
        <w:instrText xml:space="preserve"> HYPERLINK \l "_Toc21525490" </w:instrText>
      </w:r>
      <w:r>
        <w:rPr>
          <w:color w:val="auto"/>
          <w:highlight w:val="none"/>
        </w:rPr>
        <w:fldChar w:fldCharType="separate"/>
      </w:r>
      <w:r>
        <w:rPr>
          <w:rStyle w:val="18"/>
          <w:rFonts w:ascii="Times New Roman" w:hAnsi="Times New Roman" w:eastAsia="宋体" w:cs="Times New Roman"/>
          <w:color w:val="auto"/>
          <w:highlight w:val="none"/>
        </w:rPr>
        <w:t>一、投标须知前附表</w:t>
      </w:r>
      <w:r>
        <w:rPr>
          <w:color w:val="auto"/>
          <w:highlight w:val="none"/>
        </w:rPr>
        <w:tab/>
      </w:r>
      <w:r>
        <w:rPr>
          <w:color w:val="auto"/>
          <w:highlight w:val="none"/>
        </w:rPr>
        <w:fldChar w:fldCharType="begin"/>
      </w:r>
      <w:r>
        <w:rPr>
          <w:color w:val="auto"/>
          <w:highlight w:val="none"/>
        </w:rPr>
        <w:instrText xml:space="preserve"> PAGEREF _Toc21525490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C1E3E94">
      <w:pPr>
        <w:pStyle w:val="15"/>
        <w:rPr>
          <w:rFonts w:hint="default" w:ascii="Times New Roman" w:hAnsi="Times New Roman" w:eastAsia="宋体" w:cs="Times New Roman"/>
          <w:color w:val="auto"/>
          <w:sz w:val="24"/>
          <w:szCs w:val="24"/>
          <w:highlight w:val="none"/>
          <w:lang w:val="en-US" w:eastAsia="zh-CN"/>
        </w:rPr>
      </w:pPr>
      <w:r>
        <w:rPr>
          <w:color w:val="auto"/>
          <w:highlight w:val="none"/>
        </w:rPr>
        <w:fldChar w:fldCharType="begin"/>
      </w:r>
      <w:r>
        <w:rPr>
          <w:color w:val="auto"/>
          <w:highlight w:val="none"/>
        </w:rPr>
        <w:instrText xml:space="preserve"> HYPERLINK \l "_Toc21525491" </w:instrText>
      </w:r>
      <w:r>
        <w:rPr>
          <w:color w:val="auto"/>
          <w:highlight w:val="none"/>
        </w:rPr>
        <w:fldChar w:fldCharType="separate"/>
      </w:r>
      <w:r>
        <w:rPr>
          <w:rStyle w:val="18"/>
          <w:rFonts w:ascii="Times New Roman" w:hAnsi="Times New Roman" w:eastAsia="宋体" w:cs="Times New Roman"/>
          <w:color w:val="auto"/>
          <w:highlight w:val="none"/>
        </w:rPr>
        <w:t>二、投标须知修改表</w:t>
      </w:r>
      <w:r>
        <w:rPr>
          <w:color w:val="auto"/>
          <w:highlight w:val="none"/>
        </w:rPr>
        <w:tab/>
      </w:r>
      <w:r>
        <w:rPr>
          <w:color w:val="auto"/>
          <w:highlight w:val="none"/>
        </w:rPr>
        <w:fldChar w:fldCharType="end"/>
      </w:r>
      <w:r>
        <w:rPr>
          <w:rFonts w:hint="eastAsia"/>
          <w:color w:val="auto"/>
          <w:highlight w:val="none"/>
          <w:lang w:val="en-US" w:eastAsia="zh-CN"/>
        </w:rPr>
        <w:t>10</w:t>
      </w:r>
    </w:p>
    <w:p w14:paraId="4A8F3BB9">
      <w:pPr>
        <w:pStyle w:val="15"/>
        <w:rPr>
          <w:rFonts w:hint="default" w:ascii="Times New Roman" w:hAnsi="Times New Roman" w:eastAsia="宋体" w:cs="Times New Roman"/>
          <w:color w:val="auto"/>
          <w:sz w:val="24"/>
          <w:szCs w:val="24"/>
          <w:highlight w:val="none"/>
          <w:lang w:val="en-US" w:eastAsia="zh-CN"/>
        </w:rPr>
      </w:pPr>
      <w:r>
        <w:rPr>
          <w:color w:val="auto"/>
          <w:highlight w:val="none"/>
        </w:rPr>
        <w:fldChar w:fldCharType="begin"/>
      </w:r>
      <w:r>
        <w:rPr>
          <w:color w:val="auto"/>
          <w:highlight w:val="none"/>
        </w:rPr>
        <w:instrText xml:space="preserve"> HYPERLINK \l "_Toc21525492" </w:instrText>
      </w:r>
      <w:r>
        <w:rPr>
          <w:color w:val="auto"/>
          <w:highlight w:val="none"/>
        </w:rPr>
        <w:fldChar w:fldCharType="separate"/>
      </w:r>
      <w:r>
        <w:rPr>
          <w:rStyle w:val="18"/>
          <w:rFonts w:ascii="Times New Roman" w:hAnsi="Times New Roman" w:eastAsia="宋体" w:cs="Times New Roman"/>
          <w:color w:val="auto"/>
          <w:highlight w:val="none"/>
        </w:rPr>
        <w:t>三、投标须知通用条款</w:t>
      </w:r>
      <w:r>
        <w:rPr>
          <w:color w:val="auto"/>
          <w:highlight w:val="none"/>
        </w:rPr>
        <w:tab/>
      </w:r>
      <w:r>
        <w:rPr>
          <w:color w:val="auto"/>
          <w:highlight w:val="none"/>
        </w:rPr>
        <w:fldChar w:fldCharType="end"/>
      </w:r>
      <w:r>
        <w:rPr>
          <w:rFonts w:hint="eastAsia"/>
          <w:color w:val="auto"/>
          <w:highlight w:val="none"/>
          <w:lang w:val="en-US" w:eastAsia="zh-CN"/>
        </w:rPr>
        <w:t>28</w:t>
      </w:r>
    </w:p>
    <w:p w14:paraId="20060236">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"_Toc21525493" </w:instrText>
      </w:r>
      <w:r>
        <w:rPr>
          <w:color w:val="auto"/>
          <w:szCs w:val="24"/>
          <w:highlight w:val="none"/>
        </w:rPr>
        <w:fldChar w:fldCharType="separate"/>
      </w:r>
      <w:r>
        <w:rPr>
          <w:rStyle w:val="18"/>
          <w:rFonts w:ascii="Times New Roman" w:hAnsi="Times New Roman" w:eastAsia="宋体" w:cs="Times New Roman"/>
          <w:color w:val="auto"/>
          <w:szCs w:val="24"/>
          <w:highlight w:val="none"/>
        </w:rPr>
        <w:t>（一）总则</w:t>
      </w:r>
      <w:r>
        <w:rPr>
          <w:color w:val="auto"/>
          <w:szCs w:val="24"/>
          <w:highlight w:val="none"/>
        </w:rPr>
        <w:tab/>
      </w:r>
      <w:r>
        <w:rPr>
          <w:rFonts w:hint="eastAsia"/>
          <w:color w:val="auto"/>
          <w:szCs w:val="24"/>
          <w:highlight w:val="none"/>
          <w:lang w:eastAsia="zh-CN"/>
        </w:rPr>
        <w:t>2</w:t>
      </w:r>
      <w:r>
        <w:rPr>
          <w:color w:val="auto"/>
          <w:szCs w:val="24"/>
          <w:highlight w:val="none"/>
        </w:rPr>
        <w:fldChar w:fldCharType="end"/>
      </w:r>
      <w:r>
        <w:rPr>
          <w:rFonts w:hint="eastAsia"/>
          <w:color w:val="auto"/>
          <w:szCs w:val="24"/>
          <w:highlight w:val="none"/>
          <w:lang w:val="en-US" w:eastAsia="zh-CN"/>
        </w:rPr>
        <w:t>8</w:t>
      </w:r>
    </w:p>
    <w:p w14:paraId="093EA86A">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"_Toc21525494" </w:instrText>
      </w:r>
      <w:r>
        <w:rPr>
          <w:color w:val="auto"/>
          <w:szCs w:val="24"/>
          <w:highlight w:val="none"/>
        </w:rPr>
        <w:fldChar w:fldCharType="separate"/>
      </w:r>
      <w:r>
        <w:rPr>
          <w:rStyle w:val="18"/>
          <w:rFonts w:ascii="Times New Roman" w:hAnsi="Times New Roman" w:eastAsia="宋体" w:cs="Times New Roman"/>
          <w:color w:val="auto"/>
          <w:szCs w:val="24"/>
          <w:highlight w:val="none"/>
        </w:rPr>
        <w:t>（二）招标文件</w:t>
      </w:r>
      <w:r>
        <w:rPr>
          <w:color w:val="auto"/>
          <w:szCs w:val="24"/>
          <w:highlight w:val="none"/>
        </w:rPr>
        <w:tab/>
      </w:r>
      <w:r>
        <w:rPr>
          <w:color w:val="auto"/>
          <w:szCs w:val="24"/>
          <w:highlight w:val="none"/>
        </w:rPr>
        <w:fldChar w:fldCharType="end"/>
      </w:r>
      <w:r>
        <w:rPr>
          <w:rFonts w:hint="eastAsia"/>
          <w:color w:val="auto"/>
          <w:szCs w:val="24"/>
          <w:highlight w:val="none"/>
          <w:lang w:val="en-US" w:eastAsia="zh-CN"/>
        </w:rPr>
        <w:t>29</w:t>
      </w:r>
    </w:p>
    <w:p w14:paraId="6E3F97CF">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"_Toc21525495" </w:instrText>
      </w:r>
      <w:r>
        <w:rPr>
          <w:color w:val="auto"/>
          <w:szCs w:val="24"/>
          <w:highlight w:val="none"/>
        </w:rPr>
        <w:fldChar w:fldCharType="separate"/>
      </w:r>
      <w:r>
        <w:rPr>
          <w:rStyle w:val="18"/>
          <w:rFonts w:ascii="Times New Roman" w:hAnsi="Times New Roman" w:eastAsia="宋体" w:cs="Times New Roman"/>
          <w:color w:val="auto"/>
          <w:szCs w:val="24"/>
          <w:highlight w:val="none"/>
        </w:rPr>
        <w:t>（三）投标文件的编制</w:t>
      </w:r>
      <w:r>
        <w:rPr>
          <w:color w:val="auto"/>
          <w:szCs w:val="24"/>
          <w:highlight w:val="none"/>
        </w:rPr>
        <w:tab/>
      </w:r>
      <w:r>
        <w:rPr>
          <w:color w:val="auto"/>
          <w:szCs w:val="24"/>
          <w:highlight w:val="none"/>
        </w:rPr>
        <w:fldChar w:fldCharType="end"/>
      </w:r>
      <w:r>
        <w:rPr>
          <w:rFonts w:hint="eastAsia"/>
          <w:color w:val="auto"/>
          <w:szCs w:val="24"/>
          <w:highlight w:val="none"/>
          <w:lang w:val="en-US" w:eastAsia="zh-CN"/>
        </w:rPr>
        <w:t>31</w:t>
      </w:r>
    </w:p>
    <w:p w14:paraId="0531EFA0">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"_Toc21525496" </w:instrText>
      </w:r>
      <w:r>
        <w:rPr>
          <w:color w:val="auto"/>
          <w:szCs w:val="24"/>
          <w:highlight w:val="none"/>
        </w:rPr>
        <w:fldChar w:fldCharType="separate"/>
      </w:r>
      <w:r>
        <w:rPr>
          <w:rStyle w:val="18"/>
          <w:rFonts w:ascii="Times New Roman" w:hAnsi="Times New Roman" w:eastAsia="宋体" w:cs="Times New Roman"/>
          <w:color w:val="auto"/>
          <w:szCs w:val="24"/>
          <w:highlight w:val="none"/>
        </w:rPr>
        <w:t>（四）投标文件的提交</w:t>
      </w:r>
      <w:r>
        <w:rPr>
          <w:color w:val="auto"/>
          <w:szCs w:val="24"/>
          <w:highlight w:val="none"/>
        </w:rPr>
        <w:tab/>
      </w:r>
      <w:r>
        <w:rPr>
          <w:color w:val="auto"/>
          <w:szCs w:val="24"/>
          <w:highlight w:val="none"/>
        </w:rPr>
        <w:fldChar w:fldCharType="end"/>
      </w:r>
      <w:r>
        <w:rPr>
          <w:rFonts w:hint="eastAsia"/>
          <w:color w:val="auto"/>
          <w:szCs w:val="24"/>
          <w:highlight w:val="none"/>
          <w:lang w:val="en-US" w:eastAsia="zh-CN"/>
        </w:rPr>
        <w:t>39</w:t>
      </w:r>
    </w:p>
    <w:p w14:paraId="398FE835">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"_Toc21525497" </w:instrText>
      </w:r>
      <w:r>
        <w:rPr>
          <w:color w:val="auto"/>
          <w:szCs w:val="24"/>
          <w:highlight w:val="none"/>
        </w:rPr>
        <w:fldChar w:fldCharType="separate"/>
      </w:r>
      <w:r>
        <w:rPr>
          <w:rStyle w:val="18"/>
          <w:rFonts w:ascii="Times New Roman" w:hAnsi="Times New Roman" w:eastAsia="宋体" w:cs="Times New Roman"/>
          <w:color w:val="auto"/>
          <w:szCs w:val="24"/>
          <w:highlight w:val="none"/>
        </w:rPr>
        <w:t>（五）开标、评标、定标及合同签定</w:t>
      </w:r>
      <w:r>
        <w:rPr>
          <w:color w:val="auto"/>
          <w:szCs w:val="24"/>
          <w:highlight w:val="none"/>
        </w:rPr>
        <w:tab/>
      </w:r>
      <w:r>
        <w:rPr>
          <w:rFonts w:hint="eastAsia"/>
          <w:color w:val="auto"/>
          <w:szCs w:val="24"/>
          <w:highlight w:val="none"/>
          <w:lang w:eastAsia="zh-CN"/>
        </w:rPr>
        <w:t>4</w:t>
      </w:r>
      <w:r>
        <w:rPr>
          <w:color w:val="auto"/>
          <w:szCs w:val="24"/>
          <w:highlight w:val="none"/>
        </w:rPr>
        <w:fldChar w:fldCharType="end"/>
      </w:r>
      <w:r>
        <w:rPr>
          <w:rFonts w:hint="eastAsia"/>
          <w:color w:val="auto"/>
          <w:szCs w:val="24"/>
          <w:highlight w:val="none"/>
          <w:lang w:val="en-US" w:eastAsia="zh-CN"/>
        </w:rPr>
        <w:t>1</w:t>
      </w:r>
    </w:p>
    <w:p w14:paraId="2E133354">
      <w:pPr>
        <w:pStyle w:val="14"/>
        <w:rPr>
          <w:rFonts w:hint="eastAsia"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"_Toc21525498"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第二章  开标、评标及定标办法</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4</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5</w:t>
      </w:r>
    </w:p>
    <w:p w14:paraId="5E443E92">
      <w:pPr>
        <w:pStyle w:val="15"/>
        <w:rPr>
          <w:rFonts w:hint="default" w:ascii="Times New Roman" w:hAnsi="Times New Roman" w:eastAsia="宋体" w:cs="Times New Roman"/>
          <w:color w:val="auto"/>
          <w:sz w:val="24"/>
          <w:szCs w:val="24"/>
          <w:highlight w:val="none"/>
        </w:rPr>
      </w:pPr>
      <w:r>
        <w:rPr>
          <w:color w:val="auto"/>
          <w:highlight w:val="none"/>
        </w:rPr>
        <w:fldChar w:fldCharType="begin"/>
      </w:r>
      <w:r>
        <w:rPr>
          <w:color w:val="auto"/>
          <w:highlight w:val="none"/>
        </w:rPr>
        <w:instrText xml:space="preserve"> HYPERLINK \l "_Toc21525499" </w:instrText>
      </w:r>
      <w:r>
        <w:rPr>
          <w:color w:val="auto"/>
          <w:highlight w:val="none"/>
        </w:rPr>
        <w:fldChar w:fldCharType="separate"/>
      </w:r>
      <w:r>
        <w:rPr>
          <w:rStyle w:val="18"/>
          <w:rFonts w:ascii="Times New Roman" w:hAnsi="Times New Roman" w:eastAsia="宋体" w:cs="Times New Roman"/>
          <w:color w:val="auto"/>
          <w:highlight w:val="none"/>
        </w:rPr>
        <w:t>一、开标、评标及定标办法修改表</w:t>
      </w:r>
      <w:r>
        <w:rPr>
          <w:color w:val="auto"/>
          <w:highlight w:val="none"/>
        </w:rPr>
        <w:tab/>
      </w:r>
      <w:r>
        <w:rPr>
          <w:color w:val="auto"/>
          <w:highlight w:val="none"/>
        </w:rPr>
        <w:fldChar w:fldCharType="end"/>
      </w:r>
      <w:r>
        <w:rPr>
          <w:rFonts w:hint="eastAsia"/>
          <w:color w:val="auto"/>
          <w:highlight w:val="none"/>
          <w:lang w:val="en-US" w:eastAsia="zh-CN"/>
        </w:rPr>
        <w:t>45</w:t>
      </w:r>
    </w:p>
    <w:p w14:paraId="46281111">
      <w:pPr>
        <w:pStyle w:val="15"/>
        <w:rPr>
          <w:rFonts w:hint="eastAsia" w:ascii="Times New Roman" w:hAnsi="Times New Roman" w:eastAsia="宋体" w:cs="Times New Roman"/>
          <w:color w:val="auto"/>
          <w:sz w:val="24"/>
          <w:szCs w:val="24"/>
          <w:highlight w:val="none"/>
        </w:rPr>
      </w:pPr>
      <w:r>
        <w:rPr>
          <w:color w:val="auto"/>
          <w:highlight w:val="none"/>
        </w:rPr>
        <w:fldChar w:fldCharType="begin"/>
      </w:r>
      <w:r>
        <w:rPr>
          <w:color w:val="auto"/>
          <w:highlight w:val="none"/>
        </w:rPr>
        <w:instrText xml:space="preserve"> HYPERLINK \l "_Toc21525500" </w:instrText>
      </w:r>
      <w:r>
        <w:rPr>
          <w:color w:val="auto"/>
          <w:highlight w:val="none"/>
        </w:rPr>
        <w:fldChar w:fldCharType="separate"/>
      </w:r>
      <w:r>
        <w:rPr>
          <w:rStyle w:val="18"/>
          <w:rFonts w:ascii="Times New Roman" w:hAnsi="Times New Roman" w:eastAsia="宋体" w:cs="Times New Roman"/>
          <w:color w:val="auto"/>
          <w:highlight w:val="none"/>
        </w:rPr>
        <w:t>二、开标、评标及定标办法通用条款</w:t>
      </w:r>
      <w:r>
        <w:rPr>
          <w:color w:val="auto"/>
          <w:highlight w:val="none"/>
        </w:rPr>
        <w:tab/>
      </w:r>
      <w:r>
        <w:rPr>
          <w:color w:val="auto"/>
          <w:highlight w:val="none"/>
        </w:rPr>
        <w:fldChar w:fldCharType="end"/>
      </w:r>
      <w:r>
        <w:rPr>
          <w:rFonts w:hint="eastAsia"/>
          <w:color w:val="auto"/>
          <w:highlight w:val="none"/>
          <w:lang w:val="en-US" w:eastAsia="zh-CN"/>
        </w:rPr>
        <w:t>49</w:t>
      </w:r>
    </w:p>
    <w:p w14:paraId="12C6279E">
      <w:pPr>
        <w:pStyle w:val="9"/>
        <w:tabs>
          <w:tab w:val="right" w:leader="dot" w:pos="9060"/>
        </w:tabs>
        <w:ind w:left="840"/>
        <w:rPr>
          <w:rFonts w:hint="eastAsia"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"_Toc21525501" </w:instrText>
      </w:r>
      <w:r>
        <w:rPr>
          <w:color w:val="auto"/>
          <w:szCs w:val="24"/>
          <w:highlight w:val="none"/>
        </w:rPr>
        <w:fldChar w:fldCharType="separate"/>
      </w:r>
      <w:r>
        <w:rPr>
          <w:rStyle w:val="18"/>
          <w:rFonts w:ascii="Times New Roman" w:hAnsi="Times New Roman" w:eastAsia="宋体" w:cs="Times New Roman"/>
          <w:color w:val="auto"/>
          <w:szCs w:val="24"/>
          <w:highlight w:val="none"/>
        </w:rPr>
        <w:t>（一）总则</w:t>
      </w:r>
      <w:r>
        <w:rPr>
          <w:color w:val="auto"/>
          <w:szCs w:val="24"/>
          <w:highlight w:val="none"/>
        </w:rPr>
        <w:tab/>
      </w:r>
      <w:r>
        <w:rPr>
          <w:color w:val="auto"/>
          <w:szCs w:val="24"/>
          <w:highlight w:val="none"/>
        </w:rPr>
        <w:fldChar w:fldCharType="end"/>
      </w:r>
      <w:r>
        <w:rPr>
          <w:rFonts w:hint="eastAsia"/>
          <w:color w:val="auto"/>
          <w:szCs w:val="24"/>
          <w:highlight w:val="none"/>
          <w:lang w:val="en-US" w:eastAsia="zh-CN"/>
        </w:rPr>
        <w:t>49</w:t>
      </w:r>
    </w:p>
    <w:p w14:paraId="6D0F7523">
      <w:pPr>
        <w:pStyle w:val="9"/>
        <w:tabs>
          <w:tab w:val="right" w:leader="dot" w:pos="9060"/>
        </w:tabs>
        <w:ind w:left="840"/>
        <w:rPr>
          <w:rFonts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"_Toc21525502" </w:instrText>
      </w:r>
      <w:r>
        <w:rPr>
          <w:color w:val="auto"/>
          <w:szCs w:val="24"/>
          <w:highlight w:val="none"/>
        </w:rPr>
        <w:fldChar w:fldCharType="separate"/>
      </w:r>
      <w:r>
        <w:rPr>
          <w:rStyle w:val="18"/>
          <w:rFonts w:ascii="Times New Roman" w:hAnsi="Times New Roman" w:eastAsia="宋体" w:cs="Times New Roman"/>
          <w:color w:val="auto"/>
          <w:szCs w:val="24"/>
          <w:highlight w:val="none"/>
        </w:rPr>
        <w:t>（二）开标评标办法程序和细则</w:t>
      </w:r>
      <w:r>
        <w:rPr>
          <w:color w:val="auto"/>
          <w:szCs w:val="24"/>
          <w:highlight w:val="none"/>
        </w:rPr>
        <w:tab/>
      </w:r>
      <w:r>
        <w:rPr>
          <w:color w:val="auto"/>
          <w:szCs w:val="24"/>
          <w:highlight w:val="none"/>
        </w:rPr>
        <w:fldChar w:fldCharType="begin"/>
      </w:r>
      <w:r>
        <w:rPr>
          <w:color w:val="auto"/>
          <w:szCs w:val="24"/>
          <w:highlight w:val="none"/>
        </w:rPr>
        <w:instrText xml:space="preserve"> PAGEREF _Toc21525502 \h </w:instrText>
      </w:r>
      <w:r>
        <w:rPr>
          <w:color w:val="auto"/>
          <w:szCs w:val="24"/>
          <w:highlight w:val="none"/>
        </w:rPr>
        <w:fldChar w:fldCharType="separate"/>
      </w:r>
      <w:r>
        <w:rPr>
          <w:color w:val="auto"/>
          <w:szCs w:val="24"/>
          <w:highlight w:val="none"/>
        </w:rPr>
        <w:t>52</w:t>
      </w:r>
      <w:r>
        <w:rPr>
          <w:color w:val="auto"/>
          <w:szCs w:val="24"/>
          <w:highlight w:val="none"/>
        </w:rPr>
        <w:fldChar w:fldCharType="end"/>
      </w:r>
      <w:r>
        <w:rPr>
          <w:color w:val="auto"/>
          <w:szCs w:val="24"/>
          <w:highlight w:val="none"/>
        </w:rPr>
        <w:fldChar w:fldCharType="end"/>
      </w:r>
    </w:p>
    <w:p w14:paraId="2320CE4A">
      <w:pPr>
        <w:pStyle w:val="9"/>
        <w:tabs>
          <w:tab w:val="right" w:leader="dot" w:pos="9060"/>
        </w:tabs>
        <w:ind w:left="840"/>
        <w:rPr>
          <w:rFonts w:ascii="Times New Roman" w:hAnsi="Times New Roman" w:eastAsia="宋体" w:cs="Times New Roman"/>
          <w:color w:val="auto"/>
          <w:sz w:val="24"/>
          <w:szCs w:val="24"/>
          <w:highlight w:val="none"/>
        </w:rPr>
      </w:pPr>
      <w:r>
        <w:rPr>
          <w:color w:val="auto"/>
          <w:szCs w:val="24"/>
          <w:highlight w:val="none"/>
        </w:rPr>
        <w:fldChar w:fldCharType="begin"/>
      </w:r>
      <w:r>
        <w:rPr>
          <w:color w:val="auto"/>
          <w:szCs w:val="24"/>
          <w:highlight w:val="none"/>
        </w:rPr>
        <w:instrText xml:space="preserve"> HYPERLINK \l "_Toc21525509" </w:instrText>
      </w:r>
      <w:r>
        <w:rPr>
          <w:color w:val="auto"/>
          <w:szCs w:val="24"/>
          <w:highlight w:val="none"/>
        </w:rPr>
        <w:fldChar w:fldCharType="separate"/>
      </w:r>
      <w:r>
        <w:rPr>
          <w:rStyle w:val="18"/>
          <w:rFonts w:ascii="Times New Roman" w:hAnsi="Times New Roman" w:eastAsia="宋体" w:cs="Times New Roman"/>
          <w:color w:val="auto"/>
          <w:szCs w:val="24"/>
          <w:highlight w:val="none"/>
        </w:rPr>
        <w:t>可选办法七（适合综合评分法四，技术标与经济标同时开启）</w:t>
      </w:r>
      <w:r>
        <w:rPr>
          <w:color w:val="auto"/>
          <w:szCs w:val="24"/>
          <w:highlight w:val="none"/>
        </w:rPr>
        <w:tab/>
      </w:r>
      <w:r>
        <w:rPr>
          <w:color w:val="auto"/>
          <w:szCs w:val="24"/>
          <w:highlight w:val="none"/>
        </w:rPr>
        <w:fldChar w:fldCharType="begin"/>
      </w:r>
      <w:r>
        <w:rPr>
          <w:color w:val="auto"/>
          <w:szCs w:val="24"/>
          <w:highlight w:val="none"/>
        </w:rPr>
        <w:instrText xml:space="preserve"> PAGEREF _Toc21525509 \h </w:instrText>
      </w:r>
      <w:r>
        <w:rPr>
          <w:color w:val="auto"/>
          <w:szCs w:val="24"/>
          <w:highlight w:val="none"/>
        </w:rPr>
        <w:fldChar w:fldCharType="separate"/>
      </w:r>
      <w:r>
        <w:rPr>
          <w:color w:val="auto"/>
          <w:szCs w:val="24"/>
          <w:highlight w:val="none"/>
        </w:rPr>
        <w:t>52</w:t>
      </w:r>
      <w:r>
        <w:rPr>
          <w:color w:val="auto"/>
          <w:szCs w:val="24"/>
          <w:highlight w:val="none"/>
        </w:rPr>
        <w:fldChar w:fldCharType="end"/>
      </w:r>
      <w:r>
        <w:rPr>
          <w:color w:val="auto"/>
          <w:szCs w:val="24"/>
          <w:highlight w:val="none"/>
        </w:rPr>
        <w:fldChar w:fldCharType="end"/>
      </w:r>
    </w:p>
    <w:p w14:paraId="7631D600">
      <w:pPr>
        <w:pStyle w:val="14"/>
        <w:rPr>
          <w:rFonts w:hint="eastAsia"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"_Toc21525511"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第三章  合同条款</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7</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1</w:t>
      </w:r>
    </w:p>
    <w:p w14:paraId="039253DC">
      <w:pPr>
        <w:pStyle w:val="14"/>
        <w:rPr>
          <w:rFonts w:hint="eastAsia"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"_Toc21525512"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第四章  投标文件格式</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7</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2</w:t>
      </w:r>
    </w:p>
    <w:p w14:paraId="6513601C">
      <w:pPr>
        <w:pStyle w:val="14"/>
        <w:rPr>
          <w:rFonts w:hint="eastAsia"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"_Toc21525513"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第五章  技术条件（工程建设标准）</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9</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0</w:t>
      </w:r>
    </w:p>
    <w:p w14:paraId="631C03E5">
      <w:pPr>
        <w:pStyle w:val="14"/>
        <w:rPr>
          <w:rFonts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"_Toc21525514"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第六章  图纸</w:t>
      </w:r>
      <w:r>
        <w:rPr>
          <w:rStyle w:val="18"/>
          <w:rFonts w:ascii="Times New Roman" w:hAnsi="Times New Roman" w:eastAsia="宋体" w:cs="Times New Roman"/>
          <w:caps w:val="0"/>
          <w:strike/>
          <w:color w:val="auto"/>
          <w:kern w:val="2"/>
          <w:szCs w:val="24"/>
          <w:highlight w:val="none"/>
        </w:rPr>
        <w:t>及勘察资料</w:t>
      </w:r>
      <w:r>
        <w:rPr>
          <w:rFonts w:ascii="Times New Roman" w:hAnsi="Times New Roman"/>
          <w:caps w:val="0"/>
          <w:color w:val="auto"/>
          <w:kern w:val="2"/>
          <w:szCs w:val="24"/>
          <w:highlight w:val="none"/>
        </w:rPr>
        <w:tab/>
      </w: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PAGEREF _Toc21525514 \h </w:instrText>
      </w:r>
      <w:r>
        <w:rPr>
          <w:rFonts w:ascii="Times New Roman" w:hAnsi="Times New Roman"/>
          <w:caps w:val="0"/>
          <w:color w:val="auto"/>
          <w:kern w:val="2"/>
          <w:szCs w:val="24"/>
          <w:highlight w:val="none"/>
        </w:rPr>
        <w:fldChar w:fldCharType="separate"/>
      </w:r>
      <w:r>
        <w:rPr>
          <w:rFonts w:ascii="Times New Roman" w:hAnsi="Times New Roman"/>
          <w:caps w:val="0"/>
          <w:color w:val="auto"/>
          <w:kern w:val="2"/>
          <w:szCs w:val="24"/>
          <w:highlight w:val="none"/>
        </w:rPr>
        <w:t>96</w:t>
      </w:r>
      <w:r>
        <w:rPr>
          <w:rFonts w:ascii="Times New Roman" w:hAnsi="Times New Roman"/>
          <w:caps w:val="0"/>
          <w:color w:val="auto"/>
          <w:kern w:val="2"/>
          <w:szCs w:val="24"/>
          <w:highlight w:val="none"/>
        </w:rPr>
        <w:fldChar w:fldCharType="end"/>
      </w:r>
      <w:r>
        <w:rPr>
          <w:rFonts w:ascii="Times New Roman" w:hAnsi="Times New Roman"/>
          <w:caps w:val="0"/>
          <w:color w:val="auto"/>
          <w:kern w:val="2"/>
          <w:szCs w:val="24"/>
          <w:highlight w:val="none"/>
        </w:rPr>
        <w:fldChar w:fldCharType="end"/>
      </w:r>
    </w:p>
    <w:p w14:paraId="78006875">
      <w:pPr>
        <w:pStyle w:val="14"/>
        <w:rPr>
          <w:rFonts w:hint="eastAsia"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"_Toc21525515"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第七章  工程量清单</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9</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7</w:t>
      </w:r>
    </w:p>
    <w:p w14:paraId="18ED5C45">
      <w:pPr>
        <w:pStyle w:val="14"/>
        <w:rPr>
          <w:rFonts w:hint="default" w:ascii="Times New Roman" w:hAnsi="Times New Roman" w:eastAsia="宋体" w:cs="Times New Roman"/>
          <w:caps w:val="0"/>
          <w:color w:val="auto"/>
          <w:kern w:val="2"/>
          <w:sz w:val="24"/>
          <w:szCs w:val="24"/>
          <w:highlight w:val="none"/>
        </w:rPr>
      </w:pPr>
      <w:r>
        <w:rPr>
          <w:rFonts w:ascii="Times New Roman" w:hAnsi="Times New Roman"/>
          <w:caps w:val="0"/>
          <w:color w:val="auto"/>
          <w:kern w:val="2"/>
          <w:szCs w:val="24"/>
          <w:highlight w:val="none"/>
        </w:rPr>
        <w:fldChar w:fldCharType="begin"/>
      </w:r>
      <w:r>
        <w:rPr>
          <w:rFonts w:ascii="Times New Roman" w:hAnsi="Times New Roman"/>
          <w:caps w:val="0"/>
          <w:color w:val="auto"/>
          <w:kern w:val="2"/>
          <w:szCs w:val="24"/>
          <w:highlight w:val="none"/>
        </w:rPr>
        <w:instrText xml:space="preserve"> HYPERLINK \l "_Toc21525516" </w:instrText>
      </w:r>
      <w:r>
        <w:rPr>
          <w:rFonts w:ascii="Times New Roman" w:hAnsi="Times New Roman"/>
          <w:caps w:val="0"/>
          <w:color w:val="auto"/>
          <w:kern w:val="2"/>
          <w:szCs w:val="24"/>
          <w:highlight w:val="none"/>
        </w:rPr>
        <w:fldChar w:fldCharType="separate"/>
      </w:r>
      <w:r>
        <w:rPr>
          <w:rStyle w:val="18"/>
          <w:rFonts w:ascii="Times New Roman" w:hAnsi="Times New Roman" w:eastAsia="宋体" w:cs="Times New Roman"/>
          <w:caps w:val="0"/>
          <w:color w:val="auto"/>
          <w:kern w:val="2"/>
          <w:szCs w:val="24"/>
          <w:highlight w:val="none"/>
        </w:rPr>
        <w:t>第八章  最高投标限价</w:t>
      </w:r>
      <w:r>
        <w:rPr>
          <w:rFonts w:ascii="Times New Roman" w:hAnsi="Times New Roman"/>
          <w:caps w:val="0"/>
          <w:color w:val="auto"/>
          <w:kern w:val="2"/>
          <w:szCs w:val="24"/>
          <w:highlight w:val="none"/>
        </w:rPr>
        <w:tab/>
      </w:r>
      <w:r>
        <w:rPr>
          <w:rFonts w:hint="eastAsia" w:ascii="Times New Roman" w:hAnsi="Times New Roman"/>
          <w:caps w:val="0"/>
          <w:color w:val="auto"/>
          <w:kern w:val="2"/>
          <w:szCs w:val="24"/>
          <w:highlight w:val="none"/>
          <w:lang w:eastAsia="zh-CN"/>
        </w:rPr>
        <w:t>1</w:t>
      </w:r>
      <w:r>
        <w:rPr>
          <w:rFonts w:ascii="Times New Roman" w:hAnsi="Times New Roman"/>
          <w:caps w:val="0"/>
          <w:color w:val="auto"/>
          <w:kern w:val="2"/>
          <w:szCs w:val="24"/>
          <w:highlight w:val="none"/>
        </w:rPr>
        <w:fldChar w:fldCharType="end"/>
      </w:r>
      <w:r>
        <w:rPr>
          <w:rFonts w:hint="eastAsia" w:ascii="Times New Roman" w:hAnsi="Times New Roman"/>
          <w:caps w:val="0"/>
          <w:color w:val="auto"/>
          <w:kern w:val="2"/>
          <w:szCs w:val="24"/>
          <w:highlight w:val="none"/>
          <w:lang w:val="en-US" w:eastAsia="zh-CN"/>
        </w:rPr>
        <w:t>00</w:t>
      </w:r>
    </w:p>
    <w:p w14:paraId="11E699BE">
      <w:pPr>
        <w:pStyle w:val="2"/>
        <w:rPr>
          <w:color w:val="auto"/>
          <w:highlight w:val="none"/>
        </w:rPr>
      </w:pPr>
      <w:r>
        <w:rPr>
          <w:rFonts w:ascii="Times New Roman" w:hAnsi="Times New Roman"/>
          <w:color w:val="auto"/>
          <w:kern w:val="2"/>
          <w:sz w:val="24"/>
          <w:szCs w:val="24"/>
          <w:highlight w:val="none"/>
        </w:rPr>
        <w:fldChar w:fldCharType="end"/>
      </w:r>
    </w:p>
    <w:p w14:paraId="7F4829BA">
      <w:pPr>
        <w:pStyle w:val="2"/>
        <w:rPr>
          <w:color w:val="auto"/>
          <w:highlight w:val="none"/>
        </w:rPr>
      </w:pPr>
    </w:p>
    <w:p w14:paraId="30D64EC2">
      <w:pPr>
        <w:pStyle w:val="4"/>
        <w:rPr>
          <w:color w:val="auto"/>
          <w:highlight w:val="none"/>
        </w:rPr>
      </w:pPr>
    </w:p>
    <w:p w14:paraId="0F5B098B">
      <w:pPr>
        <w:pStyle w:val="4"/>
        <w:rPr>
          <w:color w:val="auto"/>
          <w:highlight w:val="none"/>
        </w:rPr>
      </w:pPr>
    </w:p>
    <w:p w14:paraId="249E46F1">
      <w:pPr>
        <w:pStyle w:val="2"/>
        <w:rPr>
          <w:color w:val="auto"/>
          <w:highlight w:val="none"/>
        </w:rPr>
      </w:pPr>
      <w:r>
        <w:rPr>
          <w:rFonts w:hint="eastAsia"/>
          <w:color w:val="auto"/>
          <w:highlight w:val="none"/>
        </w:rPr>
        <w:t>第一章</w:t>
      </w:r>
      <w:r>
        <w:rPr>
          <w:color w:val="auto"/>
          <w:highlight w:val="none"/>
        </w:rPr>
        <w:t xml:space="preserve">  </w:t>
      </w:r>
      <w:r>
        <w:rPr>
          <w:rFonts w:hint="eastAsia"/>
          <w:color w:val="auto"/>
          <w:highlight w:val="none"/>
        </w:rPr>
        <w:t>投标须知</w:t>
      </w:r>
    </w:p>
    <w:p w14:paraId="20E8984D">
      <w:pPr>
        <w:pStyle w:val="6"/>
        <w:ind w:left="0"/>
        <w:rPr>
          <w:color w:val="auto"/>
          <w:highlight w:val="none"/>
        </w:rPr>
      </w:pPr>
      <w:bookmarkStart w:id="0" w:name="_Toc2272546"/>
      <w:bookmarkStart w:id="1" w:name="_Toc21525490"/>
      <w:r>
        <w:rPr>
          <w:rFonts w:hint="eastAsia"/>
          <w:color w:val="auto"/>
          <w:highlight w:val="none"/>
        </w:rPr>
        <w:t>一、投标须知前附表</w:t>
      </w:r>
      <w:bookmarkEnd w:id="0"/>
      <w:bookmarkEnd w:id="1"/>
    </w:p>
    <w:p w14:paraId="2E57A206">
      <w:pPr>
        <w:pStyle w:val="8"/>
        <w:spacing w:line="360" w:lineRule="auto"/>
        <w:ind w:firstLine="0"/>
        <w:rPr>
          <w:rFonts w:ascii="宋体" w:hAnsi="宋体"/>
          <w:b/>
          <w:color w:val="auto"/>
          <w:sz w:val="24"/>
          <w:szCs w:val="24"/>
          <w:highlight w:val="none"/>
        </w:rPr>
      </w:pPr>
      <w:r>
        <w:rPr>
          <w:rFonts w:hint="eastAsia" w:ascii="宋体" w:hAnsi="宋体"/>
          <w:b/>
          <w:color w:val="auto"/>
          <w:sz w:val="24"/>
          <w:szCs w:val="24"/>
          <w:highlight w:val="none"/>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17"/>
        <w:tblW w:w="93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686"/>
        <w:gridCol w:w="5981"/>
      </w:tblGrid>
      <w:tr w14:paraId="2A053C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blHeader/>
        </w:trPr>
        <w:tc>
          <w:tcPr>
            <w:tcW w:w="702" w:type="dxa"/>
            <w:tcBorders>
              <w:top w:val="double" w:color="auto" w:sz="4" w:space="0"/>
              <w:left w:val="double" w:color="auto" w:sz="4" w:space="0"/>
              <w:bottom w:val="single" w:color="auto" w:sz="4" w:space="0"/>
              <w:right w:val="single" w:color="auto" w:sz="4" w:space="0"/>
            </w:tcBorders>
            <w:vAlign w:val="center"/>
          </w:tcPr>
          <w:p w14:paraId="4A74C764">
            <w:pPr>
              <w:rPr>
                <w:rFonts w:ascii="宋体" w:hAnsi="宋体"/>
                <w:color w:val="auto"/>
                <w:szCs w:val="21"/>
                <w:highlight w:val="none"/>
              </w:rPr>
            </w:pPr>
            <w:r>
              <w:rPr>
                <w:rFonts w:hint="eastAsia" w:ascii="宋体" w:hAnsi="宋体"/>
                <w:color w:val="auto"/>
                <w:szCs w:val="21"/>
                <w:highlight w:val="none"/>
              </w:rPr>
              <w:t>项目</w:t>
            </w:r>
          </w:p>
        </w:tc>
        <w:tc>
          <w:tcPr>
            <w:tcW w:w="981" w:type="dxa"/>
            <w:tcBorders>
              <w:top w:val="double" w:color="auto" w:sz="4" w:space="0"/>
              <w:left w:val="single" w:color="auto" w:sz="4" w:space="0"/>
              <w:bottom w:val="single" w:color="auto" w:sz="4" w:space="0"/>
              <w:right w:val="single" w:color="auto" w:sz="4" w:space="0"/>
            </w:tcBorders>
            <w:vAlign w:val="center"/>
          </w:tcPr>
          <w:p w14:paraId="2701689D">
            <w:pPr>
              <w:rPr>
                <w:rFonts w:ascii="宋体" w:hAnsi="宋体"/>
                <w:color w:val="auto"/>
                <w:szCs w:val="21"/>
                <w:highlight w:val="none"/>
              </w:rPr>
            </w:pPr>
            <w:r>
              <w:rPr>
                <w:rFonts w:hint="eastAsia" w:ascii="宋体" w:hAnsi="宋体"/>
                <w:color w:val="auto"/>
                <w:szCs w:val="21"/>
                <w:highlight w:val="none"/>
              </w:rPr>
              <w:t>条款号</w:t>
            </w:r>
          </w:p>
        </w:tc>
        <w:tc>
          <w:tcPr>
            <w:tcW w:w="1686" w:type="dxa"/>
            <w:tcBorders>
              <w:top w:val="double" w:color="auto" w:sz="4" w:space="0"/>
              <w:left w:val="single" w:color="auto" w:sz="4" w:space="0"/>
              <w:bottom w:val="single" w:color="auto" w:sz="4" w:space="0"/>
              <w:right w:val="single" w:color="auto" w:sz="4" w:space="0"/>
            </w:tcBorders>
            <w:vAlign w:val="center"/>
          </w:tcPr>
          <w:p w14:paraId="0237C3F5">
            <w:pPr>
              <w:ind w:firstLine="458"/>
              <w:rPr>
                <w:rFonts w:ascii="宋体" w:hAnsi="宋体"/>
                <w:color w:val="auto"/>
                <w:szCs w:val="21"/>
                <w:highlight w:val="none"/>
              </w:rPr>
            </w:pPr>
            <w:r>
              <w:rPr>
                <w:rFonts w:hint="eastAsia" w:ascii="宋体" w:hAnsi="宋体"/>
                <w:color w:val="auto"/>
                <w:szCs w:val="21"/>
                <w:highlight w:val="none"/>
              </w:rPr>
              <w:t>内容</w:t>
            </w:r>
          </w:p>
        </w:tc>
        <w:tc>
          <w:tcPr>
            <w:tcW w:w="5981" w:type="dxa"/>
            <w:tcBorders>
              <w:top w:val="double" w:color="auto" w:sz="4" w:space="0"/>
              <w:left w:val="single" w:color="auto" w:sz="4" w:space="0"/>
              <w:bottom w:val="single" w:color="auto" w:sz="4" w:space="0"/>
              <w:right w:val="double" w:color="auto" w:sz="4" w:space="0"/>
            </w:tcBorders>
            <w:vAlign w:val="center"/>
          </w:tcPr>
          <w:p w14:paraId="29BA3285">
            <w:pPr>
              <w:pStyle w:val="11"/>
              <w:ind w:firstLine="458"/>
              <w:jc w:val="center"/>
              <w:rPr>
                <w:rFonts w:ascii="宋体" w:hAnsi="宋体"/>
                <w:color w:val="auto"/>
                <w:szCs w:val="21"/>
                <w:highlight w:val="none"/>
              </w:rPr>
            </w:pPr>
            <w:r>
              <w:rPr>
                <w:rFonts w:hint="eastAsia" w:ascii="宋体" w:hAnsi="宋体"/>
                <w:color w:val="auto"/>
                <w:szCs w:val="21"/>
                <w:highlight w:val="none"/>
              </w:rPr>
              <w:t>说明与要求</w:t>
            </w:r>
          </w:p>
        </w:tc>
      </w:tr>
      <w:tr w14:paraId="42A209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vAlign w:val="center"/>
          </w:tcPr>
          <w:p w14:paraId="1A557A33">
            <w:pPr>
              <w:rPr>
                <w:rFonts w:ascii="宋体" w:hAnsi="宋体"/>
                <w:color w:val="auto"/>
                <w:szCs w:val="21"/>
                <w:highlight w:val="none"/>
              </w:rPr>
            </w:pPr>
            <w:r>
              <w:rPr>
                <w:rFonts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63AC30E5">
            <w:pPr>
              <w:rPr>
                <w:rFonts w:ascii="宋体" w:hAnsi="宋体"/>
                <w:color w:val="auto"/>
                <w:szCs w:val="21"/>
                <w:highlight w:val="none"/>
              </w:rPr>
            </w:pPr>
            <w:r>
              <w:rPr>
                <w:rFonts w:ascii="宋体" w:hAnsi="宋体"/>
                <w:color w:val="auto"/>
                <w:szCs w:val="21"/>
                <w:highlight w:val="none"/>
              </w:rPr>
              <w:t>1</w:t>
            </w:r>
          </w:p>
        </w:tc>
        <w:tc>
          <w:tcPr>
            <w:tcW w:w="1686" w:type="dxa"/>
            <w:tcBorders>
              <w:top w:val="single" w:color="auto" w:sz="4" w:space="0"/>
              <w:left w:val="single" w:color="auto" w:sz="4" w:space="0"/>
              <w:bottom w:val="single" w:color="auto" w:sz="4" w:space="0"/>
              <w:right w:val="single" w:color="auto" w:sz="4" w:space="0"/>
            </w:tcBorders>
            <w:vAlign w:val="center"/>
          </w:tcPr>
          <w:p w14:paraId="3FAE9CD1">
            <w:pPr>
              <w:rPr>
                <w:rFonts w:ascii="宋体" w:hAnsi="宋体"/>
                <w:color w:val="auto"/>
                <w:szCs w:val="21"/>
                <w:highlight w:val="none"/>
              </w:rPr>
            </w:pPr>
            <w:r>
              <w:rPr>
                <w:rFonts w:hint="eastAsia" w:ascii="宋体" w:hAnsi="宋体"/>
                <w:color w:val="auto"/>
                <w:szCs w:val="21"/>
                <w:highlight w:val="none"/>
              </w:rPr>
              <w:t>定义</w:t>
            </w:r>
          </w:p>
        </w:tc>
        <w:tc>
          <w:tcPr>
            <w:tcW w:w="5981" w:type="dxa"/>
            <w:tcBorders>
              <w:top w:val="single" w:color="auto" w:sz="4" w:space="0"/>
              <w:left w:val="single" w:color="auto" w:sz="4" w:space="0"/>
              <w:bottom w:val="single" w:color="auto" w:sz="4" w:space="0"/>
              <w:right w:val="double" w:color="auto" w:sz="4" w:space="0"/>
            </w:tcBorders>
            <w:vAlign w:val="center"/>
          </w:tcPr>
          <w:p w14:paraId="5AD71D38">
            <w:pPr>
              <w:rPr>
                <w:rFonts w:ascii="宋体" w:hAnsi="宋体" w:cs="宋体"/>
                <w:color w:val="auto"/>
                <w:szCs w:val="21"/>
                <w:highlight w:val="none"/>
                <w:u w:val="single"/>
              </w:rPr>
            </w:pPr>
            <w:r>
              <w:rPr>
                <w:rFonts w:hint="eastAsia" w:ascii="宋体" w:hAnsi="宋体" w:cs="宋体"/>
                <w:color w:val="auto"/>
                <w:szCs w:val="21"/>
                <w:highlight w:val="none"/>
              </w:rPr>
              <w:t>招标人（即发包人）：</w:t>
            </w:r>
            <w:r>
              <w:rPr>
                <w:rFonts w:hint="eastAsia" w:ascii="宋体" w:hAnsi="宋体" w:cs="宋体"/>
                <w:color w:val="auto"/>
                <w:szCs w:val="21"/>
                <w:highlight w:val="none"/>
                <w:u w:val="single"/>
              </w:rPr>
              <w:t>广州市番禺区基本建设投资管理中心</w:t>
            </w:r>
          </w:p>
          <w:p w14:paraId="0262A990">
            <w:pPr>
              <w:rPr>
                <w:rFonts w:ascii="宋体" w:hAnsi="宋体" w:cs="宋体"/>
                <w:color w:val="auto"/>
                <w:szCs w:val="21"/>
                <w:highlight w:val="none"/>
              </w:rPr>
            </w:pPr>
            <w:r>
              <w:rPr>
                <w:rFonts w:hint="eastAsia" w:ascii="宋体" w:hAnsi="宋体" w:cs="宋体"/>
                <w:color w:val="auto"/>
                <w:szCs w:val="21"/>
                <w:highlight w:val="none"/>
              </w:rPr>
              <w:t>项目建设管理单位：</w:t>
            </w:r>
            <w:r>
              <w:rPr>
                <w:rFonts w:hint="eastAsia" w:ascii="宋体" w:hAnsi="宋体" w:cs="宋体"/>
                <w:color w:val="auto"/>
                <w:szCs w:val="21"/>
                <w:highlight w:val="none"/>
                <w:u w:val="single"/>
              </w:rPr>
              <w:t xml:space="preserve">             /                   </w:t>
            </w:r>
          </w:p>
          <w:p w14:paraId="54C6FF8A">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招标代理：</w:t>
            </w:r>
            <w:r>
              <w:rPr>
                <w:rFonts w:hint="eastAsia" w:ascii="宋体" w:hAnsi="宋体" w:eastAsia="宋体" w:cs="宋体"/>
                <w:color w:val="auto"/>
                <w:sz w:val="21"/>
                <w:szCs w:val="21"/>
                <w:highlight w:val="none"/>
                <w:u w:val="single"/>
              </w:rPr>
              <w:t>广东海外建设咨询有限公司</w:t>
            </w:r>
          </w:p>
          <w:p w14:paraId="2E1C1BDC">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设计单位：</w:t>
            </w:r>
            <w:r>
              <w:rPr>
                <w:rFonts w:hint="eastAsia" w:ascii="宋体" w:hAnsi="宋体" w:cs="宋体"/>
                <w:color w:val="auto"/>
                <w:szCs w:val="21"/>
                <w:highlight w:val="none"/>
                <w:u w:val="single"/>
              </w:rPr>
              <w:t>广州汇隽电力工程设计有限公司</w:t>
            </w:r>
          </w:p>
          <w:p w14:paraId="188C0020">
            <w:pPr>
              <w:rPr>
                <w:rFonts w:ascii="宋体" w:hAnsi="宋体" w:cs="宋体"/>
                <w:color w:val="auto"/>
                <w:szCs w:val="21"/>
                <w:highlight w:val="none"/>
                <w:u w:val="single"/>
              </w:rPr>
            </w:pPr>
            <w:r>
              <w:rPr>
                <w:rFonts w:hint="eastAsia" w:ascii="宋体" w:hAnsi="宋体" w:cs="宋体"/>
                <w:color w:val="auto"/>
                <w:szCs w:val="21"/>
                <w:highlight w:val="none"/>
              </w:rPr>
              <w:t>监理单位：</w:t>
            </w:r>
            <w:r>
              <w:rPr>
                <w:rFonts w:hint="eastAsia" w:ascii="宋体" w:hAnsi="宋体" w:cs="宋体"/>
                <w:color w:val="auto"/>
                <w:szCs w:val="21"/>
                <w:highlight w:val="none"/>
                <w:u w:val="single"/>
              </w:rPr>
              <w:t xml:space="preserve">        /               </w:t>
            </w:r>
          </w:p>
          <w:p w14:paraId="30AF20DC">
            <w:pPr>
              <w:rPr>
                <w:rFonts w:ascii="宋体" w:hAnsi="宋体" w:cs="宋体"/>
                <w:color w:val="auto"/>
                <w:szCs w:val="21"/>
                <w:highlight w:val="none"/>
              </w:rPr>
            </w:pPr>
            <w:r>
              <w:rPr>
                <w:rFonts w:hint="eastAsia" w:ascii="宋体" w:hAnsi="宋体" w:cs="宋体"/>
                <w:color w:val="auto"/>
                <w:szCs w:val="21"/>
                <w:highlight w:val="none"/>
              </w:rPr>
              <w:t>检测机构：</w:t>
            </w:r>
            <w:r>
              <w:rPr>
                <w:rFonts w:hint="eastAsia" w:ascii="宋体" w:hAnsi="宋体" w:cs="宋体"/>
                <w:color w:val="auto"/>
                <w:szCs w:val="21"/>
                <w:highlight w:val="none"/>
                <w:u w:val="single"/>
              </w:rPr>
              <w:t xml:space="preserve">        /               </w:t>
            </w:r>
          </w:p>
        </w:tc>
      </w:tr>
      <w:tr w14:paraId="087DB7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4" w:space="0"/>
              <w:bottom w:val="single" w:color="auto" w:sz="4" w:space="0"/>
              <w:right w:val="single" w:color="auto" w:sz="4" w:space="0"/>
            </w:tcBorders>
            <w:vAlign w:val="center"/>
          </w:tcPr>
          <w:p w14:paraId="598BEE18">
            <w:pPr>
              <w:rPr>
                <w:rFonts w:ascii="宋体" w:hAnsi="宋体"/>
                <w:color w:val="auto"/>
                <w:szCs w:val="21"/>
                <w:highlight w:val="none"/>
              </w:rPr>
            </w:pPr>
            <w:r>
              <w:rPr>
                <w:rFonts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71DA72F4">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3460D22B">
            <w:pPr>
              <w:rPr>
                <w:rFonts w:ascii="宋体" w:hAnsi="宋体"/>
                <w:color w:val="auto"/>
                <w:szCs w:val="21"/>
                <w:highlight w:val="none"/>
              </w:rPr>
            </w:pPr>
            <w:r>
              <w:rPr>
                <w:rFonts w:hint="eastAsia" w:ascii="宋体" w:hAnsi="宋体"/>
                <w:color w:val="auto"/>
                <w:szCs w:val="21"/>
                <w:highlight w:val="none"/>
              </w:rPr>
              <w:t>工程名称</w:t>
            </w:r>
          </w:p>
        </w:tc>
        <w:tc>
          <w:tcPr>
            <w:tcW w:w="5981" w:type="dxa"/>
            <w:tcBorders>
              <w:top w:val="single" w:color="auto" w:sz="4" w:space="0"/>
              <w:left w:val="single" w:color="auto" w:sz="4" w:space="0"/>
              <w:bottom w:val="single" w:color="auto" w:sz="4" w:space="0"/>
              <w:right w:val="double" w:color="auto" w:sz="4" w:space="0"/>
            </w:tcBorders>
            <w:vAlign w:val="center"/>
          </w:tcPr>
          <w:p w14:paraId="45F665C4">
            <w:pPr>
              <w:pStyle w:val="5"/>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广州市公安局番禺区分局公安基地配电改造工程</w:t>
            </w:r>
          </w:p>
        </w:tc>
      </w:tr>
      <w:tr w14:paraId="54B112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vAlign w:val="center"/>
          </w:tcPr>
          <w:p w14:paraId="5E706D41">
            <w:pPr>
              <w:rPr>
                <w:rFonts w:ascii="宋体" w:hAnsi="宋体"/>
                <w:color w:val="auto"/>
                <w:szCs w:val="21"/>
                <w:highlight w:val="none"/>
              </w:rPr>
            </w:pPr>
            <w:r>
              <w:rPr>
                <w:rFonts w:ascii="宋体" w:hAnsi="宋体"/>
                <w:color w:val="auto"/>
                <w:szCs w:val="21"/>
                <w:highlight w:val="none"/>
              </w:rPr>
              <w:t>3</w:t>
            </w:r>
          </w:p>
        </w:tc>
        <w:tc>
          <w:tcPr>
            <w:tcW w:w="981" w:type="dxa"/>
            <w:tcBorders>
              <w:top w:val="single" w:color="auto" w:sz="4" w:space="0"/>
              <w:left w:val="single" w:color="auto" w:sz="4" w:space="0"/>
              <w:bottom w:val="single" w:color="auto" w:sz="4" w:space="0"/>
              <w:right w:val="single" w:color="auto" w:sz="4" w:space="0"/>
            </w:tcBorders>
            <w:vAlign w:val="center"/>
          </w:tcPr>
          <w:p w14:paraId="29639292">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51C3EAE8">
            <w:pPr>
              <w:rPr>
                <w:rFonts w:ascii="宋体" w:hAnsi="宋体"/>
                <w:color w:val="auto"/>
                <w:szCs w:val="21"/>
                <w:highlight w:val="none"/>
              </w:rPr>
            </w:pPr>
            <w:r>
              <w:rPr>
                <w:rFonts w:hint="eastAsia" w:ascii="宋体" w:hAnsi="宋体"/>
                <w:color w:val="auto"/>
                <w:szCs w:val="21"/>
                <w:highlight w:val="none"/>
              </w:rPr>
              <w:t>建设地点</w:t>
            </w:r>
          </w:p>
        </w:tc>
        <w:tc>
          <w:tcPr>
            <w:tcW w:w="5981" w:type="dxa"/>
            <w:tcBorders>
              <w:top w:val="single" w:color="auto" w:sz="4" w:space="0"/>
              <w:left w:val="single" w:color="auto" w:sz="4" w:space="0"/>
              <w:bottom w:val="single" w:color="auto" w:sz="4" w:space="0"/>
              <w:right w:val="double" w:color="auto" w:sz="4" w:space="0"/>
            </w:tcBorders>
            <w:vAlign w:val="center"/>
          </w:tcPr>
          <w:p w14:paraId="61DE564E">
            <w:pPr>
              <w:pStyle w:val="5"/>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u w:val="single"/>
                <w:lang w:eastAsia="zh-CN"/>
              </w:rPr>
              <w:t>广州市番禺区沙湾街道福北路番禺公安基地。</w:t>
            </w:r>
          </w:p>
        </w:tc>
      </w:tr>
      <w:tr w14:paraId="207F32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tcBorders>
              <w:top w:val="single" w:color="auto" w:sz="4" w:space="0"/>
              <w:left w:val="double" w:color="auto" w:sz="4" w:space="0"/>
              <w:bottom w:val="single" w:color="auto" w:sz="4" w:space="0"/>
              <w:right w:val="single" w:color="auto" w:sz="4" w:space="0"/>
            </w:tcBorders>
            <w:vAlign w:val="center"/>
          </w:tcPr>
          <w:p w14:paraId="0826331F">
            <w:pPr>
              <w:rPr>
                <w:rFonts w:ascii="宋体" w:hAnsi="宋体"/>
                <w:color w:val="auto"/>
                <w:szCs w:val="21"/>
                <w:highlight w:val="none"/>
              </w:rPr>
            </w:pPr>
            <w:r>
              <w:rPr>
                <w:rFonts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009E20C3">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54F2FD7C">
            <w:pPr>
              <w:rPr>
                <w:rFonts w:ascii="宋体" w:hAnsi="宋体"/>
                <w:color w:val="auto"/>
                <w:szCs w:val="21"/>
                <w:highlight w:val="none"/>
              </w:rPr>
            </w:pPr>
            <w:r>
              <w:rPr>
                <w:rFonts w:hint="eastAsia" w:ascii="宋体" w:hAnsi="宋体"/>
                <w:color w:val="auto"/>
                <w:szCs w:val="21"/>
                <w:highlight w:val="none"/>
              </w:rPr>
              <w:t>建设规模</w:t>
            </w:r>
          </w:p>
        </w:tc>
        <w:tc>
          <w:tcPr>
            <w:tcW w:w="5981" w:type="dxa"/>
            <w:tcBorders>
              <w:top w:val="single" w:color="auto" w:sz="4" w:space="0"/>
              <w:left w:val="single" w:color="auto" w:sz="4" w:space="0"/>
              <w:bottom w:val="single" w:color="auto" w:sz="4" w:space="0"/>
              <w:right w:val="double" w:color="auto" w:sz="4" w:space="0"/>
            </w:tcBorders>
            <w:vAlign w:val="center"/>
          </w:tcPr>
          <w:p w14:paraId="1707B564">
            <w:pPr>
              <w:rPr>
                <w:rFonts w:hint="eastAsia" w:ascii="宋体" w:hAnsi="宋体" w:eastAsia="宋体"/>
                <w:color w:val="auto"/>
                <w:szCs w:val="21"/>
                <w:highlight w:val="none"/>
                <w:u w:val="single"/>
                <w:lang w:eastAsia="zh-CN"/>
              </w:rPr>
            </w:pPr>
            <w:r>
              <w:rPr>
                <w:rFonts w:hint="eastAsia" w:ascii="宋体" w:hAnsi="宋体" w:cs="宋体"/>
                <w:color w:val="auto"/>
                <w:szCs w:val="21"/>
                <w:highlight w:val="none"/>
                <w:u w:val="single"/>
              </w:rPr>
              <w:t>详见本工程招标公告</w:t>
            </w:r>
            <w:r>
              <w:rPr>
                <w:rFonts w:hint="eastAsia" w:ascii="宋体" w:hAnsi="宋体" w:cs="宋体"/>
                <w:color w:val="auto"/>
                <w:szCs w:val="21"/>
                <w:highlight w:val="none"/>
                <w:u w:val="single"/>
                <w:lang w:eastAsia="zh-CN"/>
              </w:rPr>
              <w:t>。</w:t>
            </w:r>
          </w:p>
        </w:tc>
      </w:tr>
      <w:tr w14:paraId="53FBB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4" w:space="0"/>
              <w:bottom w:val="single" w:color="auto" w:sz="4" w:space="0"/>
              <w:right w:val="single" w:color="auto" w:sz="4" w:space="0"/>
            </w:tcBorders>
            <w:vAlign w:val="center"/>
          </w:tcPr>
          <w:p w14:paraId="6498D1E3">
            <w:pPr>
              <w:rPr>
                <w:rFonts w:ascii="宋体" w:hAnsi="宋体"/>
                <w:color w:val="auto"/>
                <w:szCs w:val="21"/>
                <w:highlight w:val="none"/>
              </w:rPr>
            </w:pPr>
            <w:r>
              <w:rPr>
                <w:rFonts w:ascii="宋体" w:hAnsi="宋体"/>
                <w:color w:val="auto"/>
                <w:szCs w:val="21"/>
                <w:highlight w:val="none"/>
              </w:rPr>
              <w:t>5</w:t>
            </w:r>
          </w:p>
        </w:tc>
        <w:tc>
          <w:tcPr>
            <w:tcW w:w="981" w:type="dxa"/>
            <w:tcBorders>
              <w:top w:val="single" w:color="auto" w:sz="4" w:space="0"/>
              <w:left w:val="single" w:color="auto" w:sz="4" w:space="0"/>
              <w:bottom w:val="single" w:color="auto" w:sz="4" w:space="0"/>
              <w:right w:val="single" w:color="auto" w:sz="4" w:space="0"/>
            </w:tcBorders>
            <w:vAlign w:val="center"/>
          </w:tcPr>
          <w:p w14:paraId="22C7CDFF">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317C779F">
            <w:pPr>
              <w:rPr>
                <w:rFonts w:ascii="宋体" w:hAnsi="宋体"/>
                <w:color w:val="auto"/>
                <w:szCs w:val="21"/>
                <w:highlight w:val="none"/>
              </w:rPr>
            </w:pPr>
            <w:r>
              <w:rPr>
                <w:rFonts w:hint="eastAsia" w:ascii="宋体" w:hAnsi="宋体"/>
                <w:color w:val="auto"/>
                <w:szCs w:val="21"/>
                <w:highlight w:val="none"/>
              </w:rPr>
              <w:t>承包方式</w:t>
            </w:r>
          </w:p>
        </w:tc>
        <w:tc>
          <w:tcPr>
            <w:tcW w:w="5981" w:type="dxa"/>
            <w:tcBorders>
              <w:top w:val="single" w:color="auto" w:sz="4" w:space="0"/>
              <w:left w:val="single" w:color="auto" w:sz="4" w:space="0"/>
              <w:bottom w:val="single" w:color="auto" w:sz="4" w:space="0"/>
              <w:right w:val="double" w:color="auto" w:sz="4" w:space="0"/>
            </w:tcBorders>
            <w:vAlign w:val="center"/>
          </w:tcPr>
          <w:p w14:paraId="5B53D45C">
            <w:pPr>
              <w:rPr>
                <w:rFonts w:hint="eastAsia" w:ascii="宋体" w:hAnsi="宋体" w:eastAsia="宋体"/>
                <w:color w:val="auto"/>
                <w:szCs w:val="21"/>
                <w:highlight w:val="none"/>
                <w:lang w:val="en-US" w:eastAsia="zh-CN"/>
              </w:rPr>
            </w:pPr>
            <w:r>
              <w:rPr>
                <w:rFonts w:hint="eastAsia" w:ascii="宋体" w:hAnsi="宋体" w:cs="宋体"/>
                <w:color w:val="auto"/>
                <w:szCs w:val="21"/>
                <w:highlight w:val="none"/>
              </w:rPr>
              <w:t>包工、包料、包工期、包质量、包安全、包文明施工。</w:t>
            </w:r>
            <w:r>
              <w:rPr>
                <w:rFonts w:hint="eastAsia" w:ascii="宋体" w:hAnsi="宋体" w:cs="宋体"/>
                <w:color w:val="auto"/>
                <w:szCs w:val="21"/>
                <w:highlight w:val="none"/>
                <w:u w:val="single"/>
              </w:rPr>
              <w:t>合同约定风险范围内按投标综合单价（含项目措施费综合单价）不变</w:t>
            </w:r>
            <w:r>
              <w:rPr>
                <w:rFonts w:hint="eastAsia" w:ascii="宋体" w:hAnsi="宋体" w:cs="宋体"/>
                <w:color w:val="auto"/>
                <w:szCs w:val="21"/>
                <w:highlight w:val="none"/>
              </w:rPr>
              <w:t>、不可计量项目措施费包干。总价合同，图纸大包干</w:t>
            </w:r>
            <w:r>
              <w:rPr>
                <w:rFonts w:hint="eastAsia" w:ascii="宋体" w:hAnsi="宋体" w:cs="宋体"/>
                <w:color w:val="auto"/>
                <w:szCs w:val="21"/>
                <w:highlight w:val="none"/>
                <w:lang w:eastAsia="zh-CN"/>
              </w:rPr>
              <w:t>。</w:t>
            </w:r>
          </w:p>
        </w:tc>
      </w:tr>
      <w:tr w14:paraId="488ED7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vAlign w:val="center"/>
          </w:tcPr>
          <w:p w14:paraId="69DC9419">
            <w:pPr>
              <w:rPr>
                <w:rFonts w:ascii="宋体" w:hAnsi="宋体"/>
                <w:color w:val="auto"/>
                <w:szCs w:val="21"/>
                <w:highlight w:val="none"/>
              </w:rPr>
            </w:pPr>
            <w:r>
              <w:rPr>
                <w:rFonts w:ascii="宋体" w:hAnsi="宋体"/>
                <w:color w:val="auto"/>
                <w:szCs w:val="21"/>
                <w:highlight w:val="none"/>
              </w:rPr>
              <w:t>6</w:t>
            </w:r>
          </w:p>
        </w:tc>
        <w:tc>
          <w:tcPr>
            <w:tcW w:w="981" w:type="dxa"/>
            <w:tcBorders>
              <w:top w:val="single" w:color="auto" w:sz="4" w:space="0"/>
              <w:left w:val="single" w:color="auto" w:sz="4" w:space="0"/>
              <w:bottom w:val="single" w:color="auto" w:sz="4" w:space="0"/>
              <w:right w:val="single" w:color="auto" w:sz="4" w:space="0"/>
            </w:tcBorders>
            <w:vAlign w:val="center"/>
          </w:tcPr>
          <w:p w14:paraId="43C7461B">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713B2383">
            <w:pPr>
              <w:rPr>
                <w:rFonts w:ascii="宋体" w:hAnsi="宋体"/>
                <w:color w:val="auto"/>
                <w:szCs w:val="21"/>
                <w:highlight w:val="none"/>
              </w:rPr>
            </w:pPr>
            <w:r>
              <w:rPr>
                <w:rFonts w:hint="eastAsia" w:ascii="宋体" w:hAnsi="宋体"/>
                <w:color w:val="auto"/>
                <w:szCs w:val="21"/>
                <w:highlight w:val="none"/>
              </w:rPr>
              <w:t>质量标准</w:t>
            </w:r>
          </w:p>
        </w:tc>
        <w:tc>
          <w:tcPr>
            <w:tcW w:w="5981" w:type="dxa"/>
            <w:tcBorders>
              <w:top w:val="single" w:color="auto" w:sz="4" w:space="0"/>
              <w:left w:val="single" w:color="auto" w:sz="4" w:space="0"/>
              <w:bottom w:val="single" w:color="auto" w:sz="4" w:space="0"/>
              <w:right w:val="double" w:color="auto" w:sz="4" w:space="0"/>
            </w:tcBorders>
            <w:vAlign w:val="center"/>
          </w:tcPr>
          <w:p w14:paraId="47E99E01">
            <w:pPr>
              <w:rPr>
                <w:rFonts w:ascii="宋体" w:hAnsi="宋体"/>
                <w:color w:val="auto"/>
                <w:szCs w:val="21"/>
                <w:highlight w:val="none"/>
                <w:u w:val="single"/>
              </w:rPr>
            </w:pPr>
            <w:r>
              <w:rPr>
                <w:rFonts w:hint="eastAsia" w:ascii="宋体" w:hAnsi="宋体" w:cs="宋体"/>
                <w:color w:val="auto"/>
                <w:szCs w:val="21"/>
                <w:highlight w:val="none"/>
              </w:rPr>
              <w:t>工程质量符合现行《工程施工质量验收规范》合格标准。</w:t>
            </w:r>
          </w:p>
        </w:tc>
      </w:tr>
      <w:tr w14:paraId="29E4A1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vAlign w:val="center"/>
          </w:tcPr>
          <w:p w14:paraId="78337455">
            <w:pPr>
              <w:rPr>
                <w:rFonts w:ascii="宋体" w:hAnsi="宋体"/>
                <w:color w:val="auto"/>
                <w:szCs w:val="21"/>
                <w:highlight w:val="none"/>
              </w:rPr>
            </w:pPr>
            <w:r>
              <w:rPr>
                <w:rFonts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0F96BE0F">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2E9F8E9B">
            <w:pPr>
              <w:rPr>
                <w:rFonts w:ascii="宋体" w:hAnsi="宋体"/>
                <w:color w:val="auto"/>
                <w:szCs w:val="21"/>
                <w:highlight w:val="none"/>
              </w:rPr>
            </w:pPr>
            <w:r>
              <w:rPr>
                <w:rFonts w:hint="eastAsia" w:ascii="宋体" w:hAnsi="宋体"/>
                <w:color w:val="auto"/>
                <w:szCs w:val="21"/>
                <w:highlight w:val="none"/>
              </w:rPr>
              <w:t>招标范围</w:t>
            </w:r>
          </w:p>
        </w:tc>
        <w:tc>
          <w:tcPr>
            <w:tcW w:w="5981" w:type="dxa"/>
            <w:tcBorders>
              <w:top w:val="single" w:color="auto" w:sz="4" w:space="0"/>
              <w:left w:val="single" w:color="auto" w:sz="4" w:space="0"/>
              <w:bottom w:val="single" w:color="auto" w:sz="4" w:space="0"/>
              <w:right w:val="double" w:color="auto" w:sz="4" w:space="0"/>
            </w:tcBorders>
            <w:vAlign w:val="center"/>
          </w:tcPr>
          <w:p w14:paraId="7B7CCFB7">
            <w:pPr>
              <w:rPr>
                <w:rFonts w:ascii="宋体" w:hAnsi="宋体"/>
                <w:color w:val="auto"/>
                <w:szCs w:val="21"/>
                <w:highlight w:val="none"/>
                <w:u w:val="single"/>
              </w:rPr>
            </w:pPr>
            <w:r>
              <w:rPr>
                <w:rFonts w:hint="eastAsia" w:ascii="宋体" w:hAnsi="宋体" w:cs="宋体"/>
                <w:color w:val="auto"/>
                <w:szCs w:val="21"/>
                <w:highlight w:val="none"/>
                <w:u w:val="single"/>
              </w:rPr>
              <w:t>详见本工程招标公告。</w:t>
            </w:r>
          </w:p>
        </w:tc>
      </w:tr>
      <w:tr w14:paraId="555305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vAlign w:val="center"/>
          </w:tcPr>
          <w:p w14:paraId="2084562C">
            <w:pPr>
              <w:rPr>
                <w:rFonts w:ascii="宋体" w:hAnsi="宋体"/>
                <w:color w:val="auto"/>
                <w:szCs w:val="21"/>
                <w:highlight w:val="none"/>
              </w:rPr>
            </w:pPr>
            <w:r>
              <w:rPr>
                <w:rFonts w:ascii="宋体" w:hAnsi="宋体"/>
                <w:color w:val="auto"/>
                <w:szCs w:val="21"/>
                <w:highlight w:val="none"/>
              </w:rPr>
              <w:t>8</w:t>
            </w:r>
          </w:p>
        </w:tc>
        <w:tc>
          <w:tcPr>
            <w:tcW w:w="981" w:type="dxa"/>
            <w:tcBorders>
              <w:top w:val="single" w:color="auto" w:sz="4" w:space="0"/>
              <w:left w:val="single" w:color="auto" w:sz="4" w:space="0"/>
              <w:bottom w:val="single" w:color="auto" w:sz="4" w:space="0"/>
              <w:right w:val="single" w:color="auto" w:sz="4" w:space="0"/>
            </w:tcBorders>
            <w:vAlign w:val="center"/>
          </w:tcPr>
          <w:p w14:paraId="2F87569F">
            <w:pPr>
              <w:rPr>
                <w:rFonts w:ascii="宋体" w:hAnsi="宋体"/>
                <w:color w:val="auto"/>
                <w:szCs w:val="21"/>
                <w:highlight w:val="none"/>
              </w:rPr>
            </w:pPr>
            <w:r>
              <w:rPr>
                <w:rFonts w:ascii="宋体" w:hAnsi="宋体"/>
                <w:color w:val="auto"/>
                <w:szCs w:val="21"/>
                <w:highlight w:val="none"/>
              </w:rPr>
              <w:t>2.2</w:t>
            </w:r>
          </w:p>
        </w:tc>
        <w:tc>
          <w:tcPr>
            <w:tcW w:w="1686" w:type="dxa"/>
            <w:tcBorders>
              <w:top w:val="single" w:color="auto" w:sz="4" w:space="0"/>
              <w:left w:val="single" w:color="auto" w:sz="4" w:space="0"/>
              <w:bottom w:val="single" w:color="auto" w:sz="4" w:space="0"/>
              <w:right w:val="single" w:color="auto" w:sz="4" w:space="0"/>
            </w:tcBorders>
            <w:vAlign w:val="center"/>
          </w:tcPr>
          <w:p w14:paraId="112FF164">
            <w:pPr>
              <w:rPr>
                <w:rFonts w:ascii="宋体" w:hAnsi="宋体"/>
                <w:color w:val="auto"/>
                <w:szCs w:val="21"/>
                <w:highlight w:val="none"/>
              </w:rPr>
            </w:pPr>
            <w:r>
              <w:rPr>
                <w:rFonts w:hint="eastAsia" w:ascii="宋体" w:hAnsi="宋体"/>
                <w:color w:val="auto"/>
                <w:szCs w:val="21"/>
                <w:highlight w:val="none"/>
              </w:rPr>
              <w:t>工期要求</w:t>
            </w:r>
          </w:p>
        </w:tc>
        <w:tc>
          <w:tcPr>
            <w:tcW w:w="5981" w:type="dxa"/>
            <w:tcBorders>
              <w:top w:val="single" w:color="auto" w:sz="4" w:space="0"/>
              <w:left w:val="single" w:color="auto" w:sz="4" w:space="0"/>
              <w:bottom w:val="single" w:color="auto" w:sz="4" w:space="0"/>
              <w:right w:val="double" w:color="auto" w:sz="4" w:space="0"/>
            </w:tcBorders>
            <w:vAlign w:val="center"/>
          </w:tcPr>
          <w:p w14:paraId="154F922C">
            <w:pPr>
              <w:rPr>
                <w:rFonts w:ascii="宋体" w:hAnsi="宋体"/>
                <w:color w:val="auto"/>
                <w:szCs w:val="21"/>
                <w:highlight w:val="none"/>
              </w:rPr>
            </w:pPr>
            <w:r>
              <w:rPr>
                <w:rFonts w:hint="eastAsia" w:ascii="宋体" w:hAnsi="宋体" w:cs="宋体"/>
                <w:color w:val="auto"/>
                <w:szCs w:val="21"/>
                <w:highlight w:val="none"/>
              </w:rPr>
              <w:t>施工总工期：</w:t>
            </w:r>
            <w:r>
              <w:rPr>
                <w:rFonts w:hint="eastAsia" w:ascii="宋体" w:hAnsi="宋体" w:cs="宋体"/>
                <w:color w:val="auto"/>
                <w:szCs w:val="21"/>
                <w:highlight w:val="none"/>
                <w:u w:val="single"/>
                <w:lang w:val="en-US" w:eastAsia="zh-CN"/>
              </w:rPr>
              <w:t>189</w:t>
            </w:r>
            <w:r>
              <w:rPr>
                <w:rFonts w:hint="eastAsia" w:ascii="宋体" w:hAnsi="宋体" w:cs="宋体"/>
                <w:color w:val="auto"/>
                <w:szCs w:val="21"/>
                <w:highlight w:val="none"/>
                <w:u w:val="single"/>
              </w:rPr>
              <w:t>日历天</w:t>
            </w:r>
            <w:r>
              <w:rPr>
                <w:rFonts w:hint="eastAsia" w:ascii="宋体" w:hAnsi="宋体" w:cs="宋体"/>
                <w:color w:val="auto"/>
                <w:szCs w:val="21"/>
                <w:highlight w:val="none"/>
              </w:rPr>
              <w:t>内完工，完工是指完成合同约定的工程各项内容（包括项目实体及应由施工单位提供的相关资料），经发包人检查确认并签发《工程完工确认书》为准。</w:t>
            </w:r>
            <w:r>
              <w:rPr>
                <w:rFonts w:ascii="宋体" w:hAnsi="宋体"/>
                <w:color w:val="auto"/>
                <w:szCs w:val="21"/>
                <w:highlight w:val="none"/>
              </w:rPr>
              <w:t xml:space="preserve">                                                            </w:t>
            </w:r>
          </w:p>
        </w:tc>
      </w:tr>
      <w:tr w14:paraId="636B51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184B8E5">
            <w:pPr>
              <w:rPr>
                <w:rFonts w:ascii="宋体" w:hAnsi="宋体"/>
                <w:color w:val="auto"/>
                <w:szCs w:val="21"/>
                <w:highlight w:val="none"/>
              </w:rPr>
            </w:pPr>
            <w:r>
              <w:rPr>
                <w:rFonts w:ascii="宋体" w:hAnsi="宋体"/>
                <w:color w:val="auto"/>
                <w:szCs w:val="21"/>
                <w:highlight w:val="none"/>
              </w:rPr>
              <w:t>9</w:t>
            </w:r>
          </w:p>
        </w:tc>
        <w:tc>
          <w:tcPr>
            <w:tcW w:w="981" w:type="dxa"/>
            <w:tcBorders>
              <w:top w:val="single" w:color="auto" w:sz="4" w:space="0"/>
              <w:left w:val="single" w:color="auto" w:sz="4" w:space="0"/>
              <w:bottom w:val="single" w:color="auto" w:sz="4" w:space="0"/>
              <w:right w:val="single" w:color="auto" w:sz="4" w:space="0"/>
            </w:tcBorders>
            <w:vAlign w:val="center"/>
          </w:tcPr>
          <w:p w14:paraId="7A490741">
            <w:pPr>
              <w:rPr>
                <w:rFonts w:ascii="宋体" w:hAnsi="宋体"/>
                <w:color w:val="auto"/>
                <w:szCs w:val="21"/>
                <w:highlight w:val="none"/>
              </w:rPr>
            </w:pPr>
            <w:r>
              <w:rPr>
                <w:rFonts w:ascii="宋体" w:hAnsi="宋体"/>
                <w:color w:val="auto"/>
                <w:szCs w:val="21"/>
                <w:highlight w:val="none"/>
              </w:rPr>
              <w:t>3.1</w:t>
            </w:r>
          </w:p>
        </w:tc>
        <w:tc>
          <w:tcPr>
            <w:tcW w:w="1686" w:type="dxa"/>
            <w:tcBorders>
              <w:top w:val="single" w:color="auto" w:sz="4" w:space="0"/>
              <w:left w:val="single" w:color="auto" w:sz="4" w:space="0"/>
              <w:bottom w:val="single" w:color="auto" w:sz="4" w:space="0"/>
              <w:right w:val="single" w:color="auto" w:sz="4" w:space="0"/>
            </w:tcBorders>
            <w:vAlign w:val="center"/>
          </w:tcPr>
          <w:p w14:paraId="4E56B12D">
            <w:pPr>
              <w:rPr>
                <w:rFonts w:ascii="宋体" w:hAnsi="宋体"/>
                <w:color w:val="auto"/>
                <w:szCs w:val="21"/>
                <w:highlight w:val="none"/>
              </w:rPr>
            </w:pPr>
            <w:r>
              <w:rPr>
                <w:rFonts w:hint="eastAsia" w:ascii="宋体" w:hAnsi="宋体"/>
                <w:color w:val="auto"/>
                <w:szCs w:val="21"/>
                <w:highlight w:val="none"/>
              </w:rPr>
              <w:t>资金来源</w:t>
            </w:r>
          </w:p>
        </w:tc>
        <w:tc>
          <w:tcPr>
            <w:tcW w:w="5981" w:type="dxa"/>
            <w:tcBorders>
              <w:top w:val="single" w:color="auto" w:sz="4" w:space="0"/>
              <w:left w:val="single" w:color="auto" w:sz="4" w:space="0"/>
              <w:bottom w:val="single" w:color="auto" w:sz="4" w:space="0"/>
              <w:right w:val="double" w:color="auto" w:sz="4" w:space="0"/>
            </w:tcBorders>
            <w:vAlign w:val="center"/>
          </w:tcPr>
          <w:p w14:paraId="5758AFF6">
            <w:pPr>
              <w:rPr>
                <w:rFonts w:ascii="宋体" w:hAnsi="宋体"/>
                <w:color w:val="auto"/>
                <w:szCs w:val="21"/>
                <w:highlight w:val="none"/>
                <w:u w:val="single"/>
              </w:rPr>
            </w:pPr>
            <w:r>
              <w:rPr>
                <w:rFonts w:hint="eastAsia" w:ascii="宋体" w:hAnsi="宋体" w:cs="宋体"/>
                <w:color w:val="auto"/>
                <w:szCs w:val="21"/>
                <w:highlight w:val="none"/>
              </w:rPr>
              <w:t>财政资金</w:t>
            </w:r>
          </w:p>
        </w:tc>
      </w:tr>
      <w:tr w14:paraId="341553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vAlign w:val="center"/>
          </w:tcPr>
          <w:p w14:paraId="0DAD1605">
            <w:pPr>
              <w:rPr>
                <w:rFonts w:ascii="宋体" w:hAnsi="宋体"/>
                <w:color w:val="auto"/>
                <w:szCs w:val="21"/>
                <w:highlight w:val="none"/>
              </w:rPr>
            </w:pPr>
            <w:r>
              <w:rPr>
                <w:rFonts w:ascii="宋体" w:hAnsi="宋体"/>
                <w:color w:val="auto"/>
                <w:szCs w:val="21"/>
                <w:highlight w:val="none"/>
              </w:rPr>
              <w:t>10</w:t>
            </w:r>
          </w:p>
        </w:tc>
        <w:tc>
          <w:tcPr>
            <w:tcW w:w="981" w:type="dxa"/>
            <w:tcBorders>
              <w:top w:val="single" w:color="auto" w:sz="4" w:space="0"/>
              <w:left w:val="single" w:color="auto" w:sz="4" w:space="0"/>
              <w:bottom w:val="single" w:color="auto" w:sz="4" w:space="0"/>
              <w:right w:val="single" w:color="auto" w:sz="4" w:space="0"/>
            </w:tcBorders>
            <w:vAlign w:val="center"/>
          </w:tcPr>
          <w:p w14:paraId="4D05DD8F">
            <w:pPr>
              <w:rPr>
                <w:rFonts w:ascii="宋体" w:hAnsi="宋体"/>
                <w:color w:val="auto"/>
                <w:szCs w:val="21"/>
                <w:highlight w:val="none"/>
              </w:rPr>
            </w:pPr>
            <w:r>
              <w:rPr>
                <w:rFonts w:ascii="宋体" w:hAnsi="宋体"/>
                <w:color w:val="auto"/>
                <w:szCs w:val="21"/>
                <w:highlight w:val="none"/>
              </w:rPr>
              <w:t>4.1</w:t>
            </w:r>
          </w:p>
        </w:tc>
        <w:tc>
          <w:tcPr>
            <w:tcW w:w="1686" w:type="dxa"/>
            <w:tcBorders>
              <w:top w:val="single" w:color="auto" w:sz="4" w:space="0"/>
              <w:left w:val="single" w:color="auto" w:sz="4" w:space="0"/>
              <w:bottom w:val="single" w:color="auto" w:sz="4" w:space="0"/>
              <w:right w:val="single" w:color="auto" w:sz="4" w:space="0"/>
            </w:tcBorders>
            <w:vAlign w:val="center"/>
          </w:tcPr>
          <w:p w14:paraId="50F78000">
            <w:pPr>
              <w:rPr>
                <w:rFonts w:ascii="宋体" w:hAnsi="宋体"/>
                <w:color w:val="auto"/>
                <w:szCs w:val="21"/>
                <w:highlight w:val="none"/>
              </w:rPr>
            </w:pPr>
            <w:r>
              <w:rPr>
                <w:rFonts w:hint="eastAsia" w:ascii="宋体" w:hAnsi="宋体"/>
                <w:color w:val="auto"/>
                <w:szCs w:val="21"/>
                <w:highlight w:val="none"/>
              </w:rPr>
              <w:t>投标人资质等级及项目负责人等级要求</w:t>
            </w:r>
          </w:p>
        </w:tc>
        <w:tc>
          <w:tcPr>
            <w:tcW w:w="5981" w:type="dxa"/>
            <w:tcBorders>
              <w:top w:val="single" w:color="auto" w:sz="4" w:space="0"/>
              <w:left w:val="single" w:color="auto" w:sz="4" w:space="0"/>
              <w:bottom w:val="single" w:color="auto" w:sz="4" w:space="0"/>
              <w:right w:val="double" w:color="auto" w:sz="4" w:space="0"/>
            </w:tcBorders>
            <w:vAlign w:val="center"/>
          </w:tcPr>
          <w:p w14:paraId="1B558612">
            <w:pPr>
              <w:rPr>
                <w:rFonts w:ascii="宋体" w:hAnsi="宋体"/>
                <w:color w:val="auto"/>
                <w:szCs w:val="21"/>
                <w:highlight w:val="none"/>
              </w:rPr>
            </w:pPr>
            <w:r>
              <w:rPr>
                <w:rFonts w:hint="eastAsia" w:ascii="宋体" w:hAnsi="宋体"/>
                <w:color w:val="auto"/>
                <w:szCs w:val="21"/>
                <w:highlight w:val="none"/>
              </w:rPr>
              <w:t>详见本工程招标公告。</w:t>
            </w:r>
          </w:p>
        </w:tc>
      </w:tr>
      <w:tr w14:paraId="32DA9B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509B5674">
            <w:pPr>
              <w:rPr>
                <w:rFonts w:ascii="宋体" w:hAnsi="宋体"/>
                <w:color w:val="auto"/>
                <w:szCs w:val="21"/>
                <w:highlight w:val="none"/>
              </w:rPr>
            </w:pPr>
            <w:r>
              <w:rPr>
                <w:rFonts w:ascii="宋体" w:hAnsi="宋体"/>
                <w:color w:val="auto"/>
                <w:szCs w:val="21"/>
                <w:highlight w:val="none"/>
              </w:rPr>
              <w:t>11</w:t>
            </w:r>
          </w:p>
        </w:tc>
        <w:tc>
          <w:tcPr>
            <w:tcW w:w="981" w:type="dxa"/>
            <w:tcBorders>
              <w:top w:val="single" w:color="auto" w:sz="4" w:space="0"/>
              <w:left w:val="single" w:color="auto" w:sz="4" w:space="0"/>
              <w:bottom w:val="single" w:color="auto" w:sz="4" w:space="0"/>
              <w:right w:val="single" w:color="auto" w:sz="4" w:space="0"/>
            </w:tcBorders>
            <w:vAlign w:val="center"/>
          </w:tcPr>
          <w:p w14:paraId="6ABF9E43">
            <w:pPr>
              <w:ind w:firstLine="458"/>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3FF4B9C7">
            <w:pPr>
              <w:rPr>
                <w:rFonts w:ascii="宋体" w:hAnsi="宋体"/>
                <w:color w:val="auto"/>
                <w:szCs w:val="21"/>
                <w:highlight w:val="none"/>
              </w:rPr>
            </w:pPr>
            <w:r>
              <w:rPr>
                <w:rFonts w:hint="eastAsia" w:ascii="宋体" w:hAnsi="宋体"/>
                <w:color w:val="auto"/>
                <w:szCs w:val="21"/>
                <w:highlight w:val="none"/>
              </w:rPr>
              <w:t>资格审查方式</w:t>
            </w:r>
          </w:p>
        </w:tc>
        <w:tc>
          <w:tcPr>
            <w:tcW w:w="5981" w:type="dxa"/>
            <w:tcBorders>
              <w:top w:val="single" w:color="auto" w:sz="4" w:space="0"/>
              <w:left w:val="single" w:color="auto" w:sz="4" w:space="0"/>
              <w:bottom w:val="single" w:color="auto" w:sz="4" w:space="0"/>
              <w:right w:val="double" w:color="auto" w:sz="4" w:space="0"/>
            </w:tcBorders>
            <w:vAlign w:val="center"/>
          </w:tcPr>
          <w:p w14:paraId="1DBC0B29">
            <w:pPr>
              <w:rPr>
                <w:rFonts w:ascii="宋体" w:hAnsi="宋体"/>
                <w:color w:val="auto"/>
                <w:szCs w:val="21"/>
                <w:highlight w:val="none"/>
              </w:rPr>
            </w:pPr>
            <w:r>
              <w:rPr>
                <w:rFonts w:hint="eastAsia" w:ascii="宋体" w:hAnsi="宋体"/>
                <w:color w:val="auto"/>
                <w:szCs w:val="21"/>
                <w:highlight w:val="none"/>
              </w:rPr>
              <w:t>详见本工程招标公告。</w:t>
            </w:r>
          </w:p>
        </w:tc>
      </w:tr>
      <w:tr w14:paraId="24F2FE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DF0A0A1">
            <w:pPr>
              <w:rPr>
                <w:rFonts w:ascii="宋体" w:hAnsi="宋体"/>
                <w:color w:val="auto"/>
                <w:szCs w:val="21"/>
                <w:highlight w:val="none"/>
              </w:rPr>
            </w:pPr>
            <w:r>
              <w:rPr>
                <w:rFonts w:ascii="宋体" w:hAnsi="宋体"/>
                <w:color w:val="auto"/>
                <w:szCs w:val="21"/>
                <w:highlight w:val="none"/>
              </w:rPr>
              <w:t>12</w:t>
            </w:r>
          </w:p>
        </w:tc>
        <w:tc>
          <w:tcPr>
            <w:tcW w:w="981" w:type="dxa"/>
            <w:tcBorders>
              <w:top w:val="single" w:color="auto" w:sz="4" w:space="0"/>
              <w:left w:val="single" w:color="auto" w:sz="4" w:space="0"/>
              <w:bottom w:val="single" w:color="auto" w:sz="4" w:space="0"/>
              <w:right w:val="single" w:color="auto" w:sz="4" w:space="0"/>
            </w:tcBorders>
            <w:vAlign w:val="center"/>
          </w:tcPr>
          <w:p w14:paraId="3335A5E8">
            <w:pPr>
              <w:rPr>
                <w:rFonts w:ascii="宋体" w:hAnsi="宋体"/>
                <w:color w:val="auto"/>
                <w:szCs w:val="21"/>
                <w:highlight w:val="none"/>
              </w:rPr>
            </w:pPr>
            <w:r>
              <w:rPr>
                <w:rFonts w:ascii="宋体" w:hAnsi="宋体"/>
                <w:color w:val="auto"/>
                <w:szCs w:val="21"/>
                <w:highlight w:val="none"/>
              </w:rPr>
              <w:t>13.1</w:t>
            </w:r>
          </w:p>
        </w:tc>
        <w:tc>
          <w:tcPr>
            <w:tcW w:w="1686" w:type="dxa"/>
            <w:tcBorders>
              <w:top w:val="single" w:color="auto" w:sz="4" w:space="0"/>
              <w:left w:val="single" w:color="auto" w:sz="4" w:space="0"/>
              <w:bottom w:val="single" w:color="auto" w:sz="4" w:space="0"/>
              <w:right w:val="single" w:color="auto" w:sz="4" w:space="0"/>
            </w:tcBorders>
            <w:vAlign w:val="center"/>
          </w:tcPr>
          <w:p w14:paraId="6CF9EDA1">
            <w:pPr>
              <w:rPr>
                <w:rFonts w:ascii="宋体" w:hAnsi="宋体"/>
                <w:color w:val="auto"/>
                <w:szCs w:val="21"/>
                <w:highlight w:val="none"/>
              </w:rPr>
            </w:pPr>
            <w:r>
              <w:rPr>
                <w:rFonts w:hint="eastAsia" w:ascii="宋体" w:hAnsi="宋体"/>
                <w:color w:val="auto"/>
                <w:szCs w:val="21"/>
                <w:highlight w:val="none"/>
              </w:rPr>
              <w:t>报价以及单价和总价计算方式</w:t>
            </w:r>
          </w:p>
        </w:tc>
        <w:tc>
          <w:tcPr>
            <w:tcW w:w="5981" w:type="dxa"/>
            <w:tcBorders>
              <w:top w:val="single" w:color="auto" w:sz="4" w:space="0"/>
              <w:left w:val="single" w:color="auto" w:sz="4" w:space="0"/>
              <w:bottom w:val="single" w:color="auto" w:sz="4" w:space="0"/>
              <w:right w:val="double" w:color="auto" w:sz="4" w:space="0"/>
            </w:tcBorders>
            <w:vAlign w:val="center"/>
          </w:tcPr>
          <w:p w14:paraId="1872EB5F">
            <w:pPr>
              <w:rPr>
                <w:rFonts w:ascii="宋体" w:hAnsi="宋体"/>
                <w:color w:val="auto"/>
                <w:szCs w:val="21"/>
                <w:highlight w:val="none"/>
              </w:rPr>
            </w:pPr>
            <w:r>
              <w:rPr>
                <w:rFonts w:hint="eastAsia" w:ascii="宋体" w:hAnsi="宋体"/>
                <w:color w:val="auto"/>
                <w:szCs w:val="21"/>
                <w:highlight w:val="none"/>
              </w:rPr>
              <w:t>工程量清单计价。</w:t>
            </w:r>
          </w:p>
        </w:tc>
      </w:tr>
      <w:tr w14:paraId="74F4E5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36F4545">
            <w:pPr>
              <w:rPr>
                <w:rFonts w:ascii="宋体" w:hAnsi="宋体"/>
                <w:color w:val="auto"/>
                <w:szCs w:val="21"/>
                <w:highlight w:val="none"/>
              </w:rPr>
            </w:pPr>
            <w:r>
              <w:rPr>
                <w:rFonts w:ascii="宋体" w:hAnsi="宋体"/>
                <w:color w:val="auto"/>
                <w:szCs w:val="21"/>
                <w:highlight w:val="none"/>
              </w:rPr>
              <w:t>13</w:t>
            </w:r>
          </w:p>
        </w:tc>
        <w:tc>
          <w:tcPr>
            <w:tcW w:w="981" w:type="dxa"/>
            <w:tcBorders>
              <w:top w:val="single" w:color="auto" w:sz="4" w:space="0"/>
              <w:left w:val="single" w:color="auto" w:sz="4" w:space="0"/>
              <w:bottom w:val="single" w:color="auto" w:sz="4" w:space="0"/>
              <w:right w:val="single" w:color="auto" w:sz="4" w:space="0"/>
            </w:tcBorders>
            <w:vAlign w:val="center"/>
          </w:tcPr>
          <w:p w14:paraId="4B0C6E9D">
            <w:pPr>
              <w:rPr>
                <w:rFonts w:ascii="宋体" w:hAnsi="宋体"/>
                <w:color w:val="auto"/>
                <w:szCs w:val="21"/>
                <w:highlight w:val="none"/>
              </w:rPr>
            </w:pPr>
            <w:r>
              <w:rPr>
                <w:rFonts w:ascii="宋体" w:hAnsi="宋体"/>
                <w:color w:val="auto"/>
                <w:szCs w:val="21"/>
                <w:highlight w:val="none"/>
              </w:rPr>
              <w:t>15.1</w:t>
            </w:r>
          </w:p>
        </w:tc>
        <w:tc>
          <w:tcPr>
            <w:tcW w:w="1686" w:type="dxa"/>
            <w:tcBorders>
              <w:top w:val="single" w:color="auto" w:sz="4" w:space="0"/>
              <w:left w:val="single" w:color="auto" w:sz="4" w:space="0"/>
              <w:bottom w:val="single" w:color="auto" w:sz="4" w:space="0"/>
              <w:right w:val="single" w:color="auto" w:sz="4" w:space="0"/>
            </w:tcBorders>
            <w:vAlign w:val="center"/>
          </w:tcPr>
          <w:p w14:paraId="408DDB5A">
            <w:pPr>
              <w:rPr>
                <w:rFonts w:ascii="宋体" w:hAnsi="宋体"/>
                <w:color w:val="auto"/>
                <w:szCs w:val="21"/>
                <w:highlight w:val="none"/>
              </w:rPr>
            </w:pPr>
            <w:r>
              <w:rPr>
                <w:rFonts w:hint="eastAsia" w:ascii="宋体" w:hAnsi="宋体"/>
                <w:color w:val="auto"/>
                <w:szCs w:val="21"/>
                <w:highlight w:val="none"/>
              </w:rPr>
              <w:t>投标有效期</w:t>
            </w:r>
          </w:p>
        </w:tc>
        <w:tc>
          <w:tcPr>
            <w:tcW w:w="5981" w:type="dxa"/>
            <w:tcBorders>
              <w:top w:val="single" w:color="auto" w:sz="4" w:space="0"/>
              <w:left w:val="single" w:color="auto" w:sz="4" w:space="0"/>
              <w:bottom w:val="single" w:color="auto" w:sz="4" w:space="0"/>
              <w:right w:val="double" w:color="auto" w:sz="4" w:space="0"/>
            </w:tcBorders>
            <w:vAlign w:val="center"/>
          </w:tcPr>
          <w:p w14:paraId="21DD1CFF">
            <w:pPr>
              <w:rPr>
                <w:rFonts w:ascii="宋体" w:hAnsi="宋体"/>
                <w:color w:val="auto"/>
                <w:szCs w:val="21"/>
                <w:highlight w:val="none"/>
                <w:u w:val="single"/>
              </w:rPr>
            </w:pPr>
            <w:r>
              <w:rPr>
                <w:rFonts w:hint="eastAsia" w:ascii="宋体" w:hAnsi="宋体"/>
                <w:color w:val="auto"/>
                <w:szCs w:val="21"/>
                <w:highlight w:val="none"/>
                <w:u w:val="single"/>
              </w:rPr>
              <w:t>90</w:t>
            </w:r>
            <w:r>
              <w:rPr>
                <w:rFonts w:hint="eastAsia" w:ascii="宋体" w:hAnsi="宋体"/>
                <w:color w:val="auto"/>
                <w:szCs w:val="21"/>
                <w:highlight w:val="none"/>
              </w:rPr>
              <w:t>日历天。（从投标截止之日计起）</w:t>
            </w:r>
          </w:p>
        </w:tc>
      </w:tr>
      <w:tr w14:paraId="1C7A06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28D88B51">
            <w:pPr>
              <w:rPr>
                <w:rFonts w:ascii="宋体" w:hAnsi="宋体"/>
                <w:color w:val="auto"/>
                <w:szCs w:val="21"/>
                <w:highlight w:val="none"/>
              </w:rPr>
            </w:pPr>
            <w:r>
              <w:rPr>
                <w:rFonts w:ascii="宋体" w:hAnsi="宋体"/>
                <w:color w:val="auto"/>
                <w:szCs w:val="21"/>
                <w:highlight w:val="none"/>
              </w:rPr>
              <w:t>14</w:t>
            </w:r>
          </w:p>
        </w:tc>
        <w:tc>
          <w:tcPr>
            <w:tcW w:w="981" w:type="dxa"/>
            <w:tcBorders>
              <w:top w:val="single" w:color="auto" w:sz="4" w:space="0"/>
              <w:left w:val="single" w:color="auto" w:sz="4" w:space="0"/>
              <w:bottom w:val="single" w:color="auto" w:sz="4" w:space="0"/>
              <w:right w:val="single" w:color="auto" w:sz="4" w:space="0"/>
            </w:tcBorders>
            <w:vAlign w:val="center"/>
          </w:tcPr>
          <w:p w14:paraId="4C7539A4">
            <w:pPr>
              <w:rPr>
                <w:rFonts w:ascii="宋体" w:hAnsi="宋体"/>
                <w:color w:val="auto"/>
                <w:szCs w:val="21"/>
                <w:highlight w:val="none"/>
              </w:rPr>
            </w:pPr>
            <w:r>
              <w:rPr>
                <w:rFonts w:ascii="宋体" w:hAnsi="宋体"/>
                <w:color w:val="auto"/>
                <w:szCs w:val="21"/>
                <w:highlight w:val="none"/>
              </w:rPr>
              <w:t>16.1</w:t>
            </w:r>
          </w:p>
        </w:tc>
        <w:tc>
          <w:tcPr>
            <w:tcW w:w="1686" w:type="dxa"/>
            <w:tcBorders>
              <w:top w:val="single" w:color="auto" w:sz="4" w:space="0"/>
              <w:left w:val="single" w:color="auto" w:sz="4" w:space="0"/>
              <w:bottom w:val="single" w:color="auto" w:sz="4" w:space="0"/>
              <w:right w:val="single" w:color="auto" w:sz="4" w:space="0"/>
            </w:tcBorders>
            <w:vAlign w:val="center"/>
          </w:tcPr>
          <w:p w14:paraId="0B2420A4">
            <w:pPr>
              <w:rPr>
                <w:rFonts w:ascii="宋体" w:hAnsi="宋体"/>
                <w:color w:val="auto"/>
                <w:szCs w:val="21"/>
                <w:highlight w:val="none"/>
              </w:rPr>
            </w:pPr>
            <w:r>
              <w:rPr>
                <w:rFonts w:hint="eastAsia" w:ascii="宋体" w:hAnsi="宋体"/>
                <w:color w:val="auto"/>
                <w:szCs w:val="21"/>
                <w:highlight w:val="none"/>
              </w:rPr>
              <w:t>投标保证金</w:t>
            </w:r>
          </w:p>
        </w:tc>
        <w:tc>
          <w:tcPr>
            <w:tcW w:w="5981" w:type="dxa"/>
            <w:tcBorders>
              <w:top w:val="single" w:color="auto" w:sz="4" w:space="0"/>
              <w:left w:val="single" w:color="auto" w:sz="4" w:space="0"/>
              <w:bottom w:val="single" w:color="auto" w:sz="4" w:space="0"/>
              <w:right w:val="double" w:color="auto" w:sz="4" w:space="0"/>
            </w:tcBorders>
            <w:vAlign w:val="center"/>
          </w:tcPr>
          <w:p w14:paraId="19DD5E41">
            <w:pPr>
              <w:rPr>
                <w:rFonts w:ascii="宋体" w:hAnsi="宋体" w:cs="宋体"/>
                <w:color w:val="auto"/>
                <w:szCs w:val="21"/>
                <w:highlight w:val="none"/>
              </w:rPr>
            </w:pPr>
            <w:r>
              <w:rPr>
                <w:rFonts w:ascii="宋体" w:hAnsi="宋体" w:cs="宋体"/>
                <w:color w:val="auto"/>
                <w:szCs w:val="21"/>
                <w:highlight w:val="none"/>
              </w:rPr>
              <w:t>1.本项目免收投标保证金，具体规定如下：提供《关于投标保证金的承诺》（详见附件</w:t>
            </w:r>
            <w:r>
              <w:rPr>
                <w:rFonts w:hint="eastAsia" w:ascii="宋体" w:hAnsi="宋体" w:cs="宋体"/>
                <w:color w:val="auto"/>
                <w:szCs w:val="21"/>
                <w:highlight w:val="none"/>
                <w:lang w:val="en-US" w:eastAsia="zh-CN"/>
              </w:rPr>
              <w:t>2</w:t>
            </w:r>
            <w:r>
              <w:rPr>
                <w:rFonts w:ascii="宋体" w:hAnsi="宋体" w:cs="宋体"/>
                <w:color w:val="auto"/>
                <w:szCs w:val="21"/>
                <w:highlight w:val="none"/>
              </w:rPr>
              <w:t>）。</w:t>
            </w:r>
          </w:p>
          <w:p w14:paraId="44FEBE17">
            <w:pPr>
              <w:rPr>
                <w:color w:val="auto"/>
                <w:highlight w:val="none"/>
              </w:rPr>
            </w:pPr>
            <w:r>
              <w:rPr>
                <w:rFonts w:ascii="宋体" w:hAnsi="宋体" w:cs="宋体"/>
                <w:color w:val="auto"/>
                <w:szCs w:val="21"/>
                <w:highlight w:val="none"/>
              </w:rPr>
              <w:t>2.对于投标人已提供《关于投标保证金的承诺》，若投标人存在16.4条款所列情形，该投标人应在发现存在16.4条款所列情形之日起5个工作日内补交人民</w:t>
            </w:r>
            <w:r>
              <w:rPr>
                <w:rFonts w:hint="eastAsia" w:ascii="宋体" w:hAnsi="宋体" w:cs="宋体"/>
                <w:color w:val="auto"/>
                <w:szCs w:val="21"/>
                <w:highlight w:val="none"/>
              </w:rPr>
              <w:t>币</w:t>
            </w:r>
            <w:r>
              <w:rPr>
                <w:rFonts w:hint="eastAsia" w:ascii="宋体" w:hAnsi="宋体" w:cs="宋体"/>
                <w:color w:val="auto"/>
                <w:szCs w:val="21"/>
                <w:highlight w:val="none"/>
                <w:u w:val="single"/>
                <w:lang w:val="en-US" w:eastAsia="zh-CN"/>
              </w:rPr>
              <w:t>18</w:t>
            </w:r>
            <w:r>
              <w:rPr>
                <w:rFonts w:ascii="宋体" w:hAnsi="宋体" w:cs="宋体"/>
                <w:color w:val="auto"/>
                <w:szCs w:val="21"/>
                <w:highlight w:val="none"/>
                <w:u w:val="single"/>
              </w:rPr>
              <w:t>万元</w:t>
            </w:r>
            <w:r>
              <w:rPr>
                <w:rFonts w:ascii="宋体" w:hAnsi="宋体" w:cs="宋体"/>
                <w:color w:val="auto"/>
                <w:szCs w:val="21"/>
                <w:highlight w:val="none"/>
              </w:rPr>
              <w:t>投标保证金；若未按要求补交投标保证金的将暂停其参与招标人后续工程投标，直至完成补交手续为止。</w:t>
            </w:r>
          </w:p>
        </w:tc>
      </w:tr>
      <w:tr w14:paraId="5D09DF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53A07E4B">
            <w:pPr>
              <w:rPr>
                <w:rFonts w:ascii="宋体" w:hAnsi="宋体"/>
                <w:color w:val="auto"/>
                <w:szCs w:val="21"/>
                <w:highlight w:val="none"/>
              </w:rPr>
            </w:pPr>
            <w:r>
              <w:rPr>
                <w:rFonts w:ascii="宋体" w:hAnsi="宋体"/>
                <w:color w:val="auto"/>
                <w:szCs w:val="21"/>
                <w:highlight w:val="none"/>
              </w:rPr>
              <w:t>15</w:t>
            </w:r>
          </w:p>
        </w:tc>
        <w:tc>
          <w:tcPr>
            <w:tcW w:w="981" w:type="dxa"/>
            <w:tcBorders>
              <w:top w:val="single" w:color="auto" w:sz="4" w:space="0"/>
              <w:left w:val="single" w:color="auto" w:sz="4" w:space="0"/>
              <w:bottom w:val="single" w:color="auto" w:sz="4" w:space="0"/>
              <w:right w:val="single" w:color="auto" w:sz="4" w:space="0"/>
            </w:tcBorders>
            <w:vAlign w:val="center"/>
          </w:tcPr>
          <w:p w14:paraId="23BE9119">
            <w:pPr>
              <w:rPr>
                <w:rFonts w:ascii="宋体" w:hAnsi="宋体"/>
                <w:color w:val="auto"/>
                <w:szCs w:val="21"/>
                <w:highlight w:val="none"/>
              </w:rPr>
            </w:pPr>
            <w:r>
              <w:rPr>
                <w:rFonts w:ascii="宋体" w:hAnsi="宋体"/>
                <w:color w:val="auto"/>
                <w:szCs w:val="21"/>
                <w:highlight w:val="none"/>
              </w:rPr>
              <w:t>5</w:t>
            </w:r>
          </w:p>
        </w:tc>
        <w:tc>
          <w:tcPr>
            <w:tcW w:w="1686" w:type="dxa"/>
            <w:tcBorders>
              <w:top w:val="single" w:color="auto" w:sz="4" w:space="0"/>
              <w:left w:val="single" w:color="auto" w:sz="4" w:space="0"/>
              <w:bottom w:val="single" w:color="auto" w:sz="4" w:space="0"/>
              <w:right w:val="single" w:color="auto" w:sz="4" w:space="0"/>
            </w:tcBorders>
            <w:vAlign w:val="center"/>
          </w:tcPr>
          <w:p w14:paraId="12E0B320">
            <w:pPr>
              <w:rPr>
                <w:rFonts w:ascii="宋体" w:hAnsi="宋体"/>
                <w:color w:val="auto"/>
                <w:szCs w:val="21"/>
                <w:highlight w:val="none"/>
              </w:rPr>
            </w:pPr>
            <w:r>
              <w:rPr>
                <w:rFonts w:hint="eastAsia" w:ascii="宋体" w:hAnsi="宋体"/>
                <w:color w:val="auto"/>
                <w:szCs w:val="21"/>
                <w:highlight w:val="none"/>
              </w:rPr>
              <w:t>踏勘现场</w:t>
            </w:r>
          </w:p>
        </w:tc>
        <w:tc>
          <w:tcPr>
            <w:tcW w:w="5981" w:type="dxa"/>
            <w:tcBorders>
              <w:top w:val="single" w:color="auto" w:sz="4" w:space="0"/>
              <w:left w:val="single" w:color="auto" w:sz="4" w:space="0"/>
              <w:bottom w:val="single" w:color="auto" w:sz="4" w:space="0"/>
              <w:right w:val="double" w:color="auto" w:sz="4" w:space="0"/>
            </w:tcBorders>
            <w:vAlign w:val="center"/>
          </w:tcPr>
          <w:p w14:paraId="60F577F8">
            <w:pPr>
              <w:pStyle w:val="11"/>
              <w:rPr>
                <w:rFonts w:ascii="宋体" w:hAnsi="宋体"/>
                <w:color w:val="auto"/>
                <w:szCs w:val="21"/>
                <w:highlight w:val="none"/>
              </w:rPr>
            </w:pPr>
            <w:r>
              <w:rPr>
                <w:rFonts w:hint="eastAsia" w:ascii="宋体" w:hAnsi="宋体"/>
                <w:color w:val="auto"/>
                <w:szCs w:val="21"/>
                <w:highlight w:val="none"/>
              </w:rPr>
              <w:t>自公告发布之日起具备现场踏勘条件；招标人不集中组织，由投标人自行踏勘。</w:t>
            </w:r>
            <w:r>
              <w:rPr>
                <w:rFonts w:ascii="宋体" w:hAnsi="宋体"/>
                <w:color w:val="auto"/>
                <w:szCs w:val="21"/>
                <w:highlight w:val="none"/>
              </w:rPr>
              <w:t xml:space="preserve">                                                 </w:t>
            </w:r>
          </w:p>
        </w:tc>
      </w:tr>
      <w:tr w14:paraId="598943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D3878E8">
            <w:pPr>
              <w:rPr>
                <w:rFonts w:ascii="宋体" w:hAnsi="宋体"/>
                <w:color w:val="auto"/>
                <w:szCs w:val="21"/>
                <w:highlight w:val="none"/>
              </w:rPr>
            </w:pPr>
            <w:r>
              <w:rPr>
                <w:rFonts w:ascii="宋体" w:hAnsi="宋体"/>
                <w:color w:val="auto"/>
                <w:szCs w:val="21"/>
                <w:highlight w:val="none"/>
              </w:rPr>
              <w:t>16</w:t>
            </w:r>
          </w:p>
        </w:tc>
        <w:tc>
          <w:tcPr>
            <w:tcW w:w="981" w:type="dxa"/>
            <w:tcBorders>
              <w:top w:val="single" w:color="auto" w:sz="4" w:space="0"/>
              <w:left w:val="single" w:color="auto" w:sz="4" w:space="0"/>
              <w:bottom w:val="single" w:color="auto" w:sz="4" w:space="0"/>
              <w:right w:val="single" w:color="auto" w:sz="4" w:space="0"/>
            </w:tcBorders>
            <w:vAlign w:val="center"/>
          </w:tcPr>
          <w:p w14:paraId="31A69509">
            <w:pPr>
              <w:rPr>
                <w:rFonts w:ascii="宋体" w:hAnsi="宋体"/>
                <w:color w:val="auto"/>
                <w:szCs w:val="21"/>
                <w:highlight w:val="none"/>
              </w:rPr>
            </w:pPr>
            <w:r>
              <w:rPr>
                <w:rFonts w:ascii="宋体" w:hAnsi="宋体"/>
                <w:color w:val="auto"/>
                <w:szCs w:val="21"/>
                <w:highlight w:val="none"/>
              </w:rPr>
              <w:t>8</w:t>
            </w:r>
          </w:p>
        </w:tc>
        <w:tc>
          <w:tcPr>
            <w:tcW w:w="1686" w:type="dxa"/>
            <w:tcBorders>
              <w:top w:val="single" w:color="auto" w:sz="4" w:space="0"/>
              <w:left w:val="single" w:color="auto" w:sz="4" w:space="0"/>
              <w:bottom w:val="single" w:color="auto" w:sz="4" w:space="0"/>
              <w:right w:val="single" w:color="auto" w:sz="4" w:space="0"/>
            </w:tcBorders>
            <w:vAlign w:val="center"/>
          </w:tcPr>
          <w:p w14:paraId="62D75E9B">
            <w:pPr>
              <w:rPr>
                <w:rFonts w:ascii="宋体" w:hAnsi="宋体"/>
                <w:color w:val="auto"/>
                <w:szCs w:val="21"/>
                <w:highlight w:val="none"/>
              </w:rPr>
            </w:pPr>
            <w:r>
              <w:rPr>
                <w:rFonts w:hint="eastAsia" w:ascii="宋体" w:hAnsi="宋体"/>
                <w:color w:val="auto"/>
                <w:szCs w:val="21"/>
                <w:highlight w:val="none"/>
              </w:rPr>
              <w:t>投标答疑</w:t>
            </w:r>
          </w:p>
        </w:tc>
        <w:tc>
          <w:tcPr>
            <w:tcW w:w="5981" w:type="dxa"/>
            <w:tcBorders>
              <w:top w:val="single" w:color="auto" w:sz="4" w:space="0"/>
              <w:left w:val="single" w:color="auto" w:sz="4" w:space="0"/>
              <w:bottom w:val="single" w:color="auto" w:sz="4" w:space="0"/>
              <w:right w:val="double" w:color="auto" w:sz="4" w:space="0"/>
            </w:tcBorders>
            <w:vAlign w:val="center"/>
          </w:tcPr>
          <w:p w14:paraId="65961535">
            <w:pPr>
              <w:rPr>
                <w:rFonts w:ascii="宋体" w:hAnsi="宋体"/>
                <w:color w:val="auto"/>
                <w:szCs w:val="21"/>
                <w:highlight w:val="none"/>
              </w:rPr>
            </w:pPr>
            <w:r>
              <w:rPr>
                <w:rFonts w:hint="eastAsia" w:ascii="宋体" w:hAnsi="宋体"/>
                <w:color w:val="auto"/>
                <w:szCs w:val="21"/>
                <w:highlight w:val="none"/>
              </w:rPr>
              <w:t>1.方式：网上答疑：</w:t>
            </w:r>
          </w:p>
          <w:p w14:paraId="58C7A14E">
            <w:pPr>
              <w:rPr>
                <w:rFonts w:ascii="宋体" w:hAnsi="宋体"/>
                <w:color w:val="auto"/>
                <w:szCs w:val="21"/>
                <w:highlight w:val="none"/>
              </w:rPr>
            </w:pPr>
            <w:r>
              <w:rPr>
                <w:rFonts w:hint="eastAsia" w:ascii="宋体" w:hAnsi="宋体"/>
                <w:color w:val="auto"/>
                <w:szCs w:val="21"/>
                <w:highlight w:val="none"/>
              </w:rPr>
              <w:t>2.投标人质疑期限：在递交投标文件截止日期前18日</w:t>
            </w:r>
          </w:p>
          <w:p w14:paraId="712E7899">
            <w:pPr>
              <w:rPr>
                <w:rFonts w:ascii="宋体" w:hAnsi="宋体"/>
                <w:color w:val="auto"/>
                <w:szCs w:val="21"/>
                <w:highlight w:val="none"/>
              </w:rPr>
            </w:pPr>
            <w:r>
              <w:rPr>
                <w:rFonts w:hint="eastAsia" w:ascii="宋体" w:hAnsi="宋体"/>
                <w:color w:val="auto"/>
                <w:szCs w:val="21"/>
                <w:highlight w:val="none"/>
              </w:rPr>
              <w:t>3.招标人澄清、修补或答疑期限：在递交投标文件截止日期前15 日</w:t>
            </w:r>
          </w:p>
          <w:p w14:paraId="26B2C88D">
            <w:pPr>
              <w:rPr>
                <w:rFonts w:ascii="宋体" w:hAnsi="宋体"/>
                <w:color w:val="auto"/>
                <w:szCs w:val="21"/>
                <w:highlight w:val="none"/>
              </w:rPr>
            </w:pPr>
            <w:r>
              <w:rPr>
                <w:rFonts w:hint="eastAsia" w:ascii="宋体" w:hAnsi="宋体"/>
                <w:color w:val="auto"/>
                <w:szCs w:val="21"/>
                <w:highlight w:val="none"/>
              </w:rPr>
              <w:t>4.网上答疑的操作指南为：登陆</w:t>
            </w:r>
            <w:r>
              <w:rPr>
                <w:rFonts w:hint="eastAsia" w:ascii="宋体" w:hAnsi="宋体"/>
                <w:color w:val="auto"/>
                <w:szCs w:val="21"/>
                <w:highlight w:val="none"/>
                <w:lang w:eastAsia="zh-CN"/>
              </w:rPr>
              <w:t>广州交易集团有限公司（广州公共资源交易中心）</w:t>
            </w:r>
            <w:r>
              <w:rPr>
                <w:rFonts w:hint="eastAsia" w:ascii="宋体" w:hAnsi="宋体"/>
                <w:color w:val="auto"/>
                <w:szCs w:val="21"/>
                <w:highlight w:val="none"/>
              </w:rPr>
              <w:t>新建设工程交易平台中“我是投标人”→“我的投标”→“招标答疑提问”通过项目编号或名称找到所需的项目→在上述的答疑时间内点击“提问”→无记名或匿名提出问题以及查看所有的问题（提交问题时需插入投标人CA证书）。</w:t>
            </w:r>
          </w:p>
          <w:p w14:paraId="50087C32">
            <w:pPr>
              <w:rPr>
                <w:rFonts w:ascii="宋体" w:hAnsi="宋体"/>
                <w:color w:val="auto"/>
                <w:szCs w:val="21"/>
                <w:highlight w:val="none"/>
              </w:rPr>
            </w:pPr>
            <w:r>
              <w:rPr>
                <w:rFonts w:hint="eastAsia" w:ascii="宋体" w:hAnsi="宋体"/>
                <w:color w:val="auto"/>
                <w:szCs w:val="21"/>
                <w:highlight w:val="none"/>
              </w:rPr>
              <w:t>5.网上答疑的相关事项详见招标文件8款。</w:t>
            </w:r>
          </w:p>
          <w:p w14:paraId="236B7FE2">
            <w:pPr>
              <w:rPr>
                <w:rFonts w:ascii="宋体" w:hAnsi="宋体"/>
                <w:color w:val="auto"/>
                <w:szCs w:val="21"/>
                <w:highlight w:val="none"/>
              </w:rPr>
            </w:pPr>
            <w:r>
              <w:rPr>
                <w:rFonts w:hint="eastAsia" w:ascii="宋体" w:hAnsi="宋体"/>
                <w:color w:val="auto"/>
                <w:szCs w:val="21"/>
                <w:highlight w:val="none"/>
              </w:rPr>
              <w:t>6.答疑纪要在</w:t>
            </w:r>
            <w:r>
              <w:rPr>
                <w:rFonts w:hint="eastAsia" w:ascii="宋体" w:hAnsi="宋体"/>
                <w:color w:val="auto"/>
                <w:szCs w:val="21"/>
                <w:highlight w:val="none"/>
                <w:lang w:eastAsia="zh-CN"/>
              </w:rPr>
              <w:t>广州交易集团有限公司（广州公共资源交易中心）</w:t>
            </w:r>
            <w:r>
              <w:rPr>
                <w:rFonts w:hint="eastAsia" w:ascii="宋体" w:hAnsi="宋体"/>
                <w:color w:val="auto"/>
                <w:szCs w:val="21"/>
                <w:highlight w:val="none"/>
              </w:rPr>
              <w:t>网站“建设工程”→“项目查询（日程安排、答疑纪要）”专区发布。</w:t>
            </w:r>
          </w:p>
        </w:tc>
      </w:tr>
      <w:tr w14:paraId="69AAC2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tcBorders>
              <w:top w:val="single" w:color="auto" w:sz="4" w:space="0"/>
              <w:left w:val="double" w:color="auto" w:sz="4" w:space="0"/>
              <w:bottom w:val="single" w:color="auto" w:sz="4" w:space="0"/>
              <w:right w:val="single" w:color="auto" w:sz="4" w:space="0"/>
            </w:tcBorders>
            <w:vAlign w:val="center"/>
          </w:tcPr>
          <w:p w14:paraId="0893D19E">
            <w:pP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521E03E2">
            <w:pPr>
              <w:rPr>
                <w:rFonts w:ascii="宋体" w:hAnsi="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.1</w:t>
            </w:r>
          </w:p>
        </w:tc>
        <w:tc>
          <w:tcPr>
            <w:tcW w:w="1686" w:type="dxa"/>
            <w:tcBorders>
              <w:top w:val="single" w:color="auto" w:sz="4" w:space="0"/>
              <w:left w:val="single" w:color="auto" w:sz="4" w:space="0"/>
              <w:bottom w:val="single" w:color="auto" w:sz="4" w:space="0"/>
              <w:right w:val="single" w:color="auto" w:sz="4" w:space="0"/>
            </w:tcBorders>
            <w:vAlign w:val="center"/>
          </w:tcPr>
          <w:p w14:paraId="0239E5B9">
            <w:pPr>
              <w:rPr>
                <w:rFonts w:ascii="宋体" w:hAnsi="宋体"/>
                <w:color w:val="auto"/>
                <w:szCs w:val="21"/>
                <w:highlight w:val="none"/>
              </w:rPr>
            </w:pPr>
            <w:r>
              <w:rPr>
                <w:rFonts w:hint="eastAsia" w:ascii="宋体" w:hAnsi="宋体"/>
                <w:color w:val="auto"/>
                <w:szCs w:val="21"/>
                <w:highlight w:val="none"/>
              </w:rPr>
              <w:t>投标截止时间</w:t>
            </w:r>
          </w:p>
        </w:tc>
        <w:tc>
          <w:tcPr>
            <w:tcW w:w="5981" w:type="dxa"/>
            <w:tcBorders>
              <w:top w:val="single" w:color="auto" w:sz="4" w:space="0"/>
              <w:left w:val="single" w:color="auto" w:sz="4" w:space="0"/>
              <w:bottom w:val="single" w:color="auto" w:sz="4" w:space="0"/>
              <w:right w:val="double" w:color="auto" w:sz="4" w:space="0"/>
            </w:tcBorders>
            <w:vAlign w:val="center"/>
          </w:tcPr>
          <w:p w14:paraId="42D5FBD7">
            <w:pPr>
              <w:rPr>
                <w:rFonts w:ascii="宋体" w:hAnsi="宋体"/>
                <w:strike/>
                <w:color w:val="auto"/>
                <w:szCs w:val="21"/>
                <w:highlight w:val="none"/>
              </w:rPr>
            </w:pPr>
            <w:r>
              <w:rPr>
                <w:rFonts w:hint="eastAsia" w:ascii="宋体" w:hAnsi="宋体" w:eastAsia="宋体" w:cs="宋体"/>
                <w:color w:val="auto"/>
                <w:sz w:val="21"/>
                <w:szCs w:val="21"/>
                <w:highlight w:val="none"/>
                <w:u w:val="single"/>
                <w:lang w:eastAsia="zh-CN"/>
              </w:rPr>
              <w:t>2025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05</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lang w:val="en-US" w:eastAsia="zh-CN"/>
              </w:rPr>
              <w:t>22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rPr>
              <w:t>时</w:t>
            </w:r>
            <w:r>
              <w:rPr>
                <w:rFonts w:hint="eastAsia" w:ascii="宋体" w:hAnsi="宋体"/>
                <w:color w:val="auto"/>
                <w:szCs w:val="21"/>
                <w:highlight w:val="none"/>
              </w:rPr>
              <w:t>（北京时间）。</w:t>
            </w:r>
          </w:p>
        </w:tc>
      </w:tr>
      <w:tr w14:paraId="39A39F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25C1C03">
            <w:pPr>
              <w:rPr>
                <w:rFonts w:ascii="宋体" w:hAnsi="宋体"/>
                <w:color w:val="auto"/>
                <w:szCs w:val="21"/>
                <w:highlight w:val="none"/>
              </w:rPr>
            </w:pPr>
            <w:r>
              <w:rPr>
                <w:rFonts w:hint="eastAsia" w:ascii="宋体" w:hAnsi="宋体"/>
                <w:color w:val="auto"/>
                <w:szCs w:val="21"/>
                <w:highlight w:val="none"/>
              </w:rPr>
              <w:t>18</w:t>
            </w:r>
          </w:p>
        </w:tc>
        <w:tc>
          <w:tcPr>
            <w:tcW w:w="981" w:type="dxa"/>
            <w:tcBorders>
              <w:top w:val="single" w:color="auto" w:sz="4" w:space="0"/>
              <w:left w:val="single" w:color="auto" w:sz="4" w:space="0"/>
              <w:bottom w:val="single" w:color="auto" w:sz="4" w:space="0"/>
              <w:right w:val="single" w:color="auto" w:sz="4" w:space="0"/>
            </w:tcBorders>
            <w:vAlign w:val="center"/>
          </w:tcPr>
          <w:p w14:paraId="22B17C49">
            <w:pPr>
              <w:rPr>
                <w:rFonts w:ascii="宋体" w:hAnsi="宋体"/>
                <w:color w:val="auto"/>
                <w:szCs w:val="21"/>
                <w:highlight w:val="none"/>
              </w:rPr>
            </w:pPr>
            <w:r>
              <w:rPr>
                <w:rFonts w:ascii="宋体" w:hAnsi="宋体"/>
                <w:color w:val="auto"/>
                <w:szCs w:val="21"/>
                <w:highlight w:val="none"/>
              </w:rPr>
              <w:t>20.1</w:t>
            </w:r>
          </w:p>
        </w:tc>
        <w:tc>
          <w:tcPr>
            <w:tcW w:w="1686" w:type="dxa"/>
            <w:tcBorders>
              <w:top w:val="single" w:color="auto" w:sz="4" w:space="0"/>
              <w:left w:val="single" w:color="auto" w:sz="4" w:space="0"/>
              <w:bottom w:val="single" w:color="auto" w:sz="4" w:space="0"/>
              <w:right w:val="single" w:color="auto" w:sz="4" w:space="0"/>
            </w:tcBorders>
            <w:vAlign w:val="center"/>
          </w:tcPr>
          <w:p w14:paraId="240D1D2E">
            <w:pPr>
              <w:rPr>
                <w:rFonts w:ascii="宋体" w:hAnsi="宋体"/>
                <w:color w:val="auto"/>
                <w:szCs w:val="21"/>
                <w:highlight w:val="none"/>
              </w:rPr>
            </w:pPr>
            <w:r>
              <w:rPr>
                <w:rFonts w:hint="eastAsia" w:ascii="宋体" w:hAnsi="宋体"/>
                <w:color w:val="auto"/>
                <w:szCs w:val="21"/>
                <w:highlight w:val="none"/>
              </w:rPr>
              <w:t>开标开始时间和地点</w:t>
            </w:r>
          </w:p>
        </w:tc>
        <w:tc>
          <w:tcPr>
            <w:tcW w:w="5981" w:type="dxa"/>
            <w:tcBorders>
              <w:top w:val="single" w:color="auto" w:sz="4" w:space="0"/>
              <w:left w:val="single" w:color="auto" w:sz="4" w:space="0"/>
              <w:bottom w:val="single" w:color="auto" w:sz="4" w:space="0"/>
              <w:right w:val="double" w:color="auto" w:sz="4" w:space="0"/>
            </w:tcBorders>
            <w:vAlign w:val="center"/>
          </w:tcPr>
          <w:p w14:paraId="239F986D">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（技术标和经济标同时开标）</w:t>
            </w:r>
          </w:p>
          <w:p w14:paraId="75B8E8C2">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1、开标开始时间：</w:t>
            </w:r>
            <w:r>
              <w:rPr>
                <w:rFonts w:hint="eastAsia" w:ascii="宋体" w:hAnsi="宋体"/>
                <w:color w:val="auto"/>
                <w:sz w:val="21"/>
                <w:szCs w:val="21"/>
                <w:highlight w:val="none"/>
                <w:u w:val="single"/>
                <w:lang w:eastAsia="zh-CN"/>
              </w:rPr>
              <w:t>2025</w:t>
            </w:r>
            <w:r>
              <w:rPr>
                <w:rFonts w:hint="eastAsia" w:ascii="宋体" w:hAnsi="宋体"/>
                <w:color w:val="auto"/>
                <w:sz w:val="21"/>
                <w:szCs w:val="21"/>
                <w:highlight w:val="none"/>
              </w:rPr>
              <w:t>年</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rPr>
              <w:t>月</w:t>
            </w:r>
            <w:r>
              <w:rPr>
                <w:rFonts w:hint="eastAsia" w:ascii="宋体" w:hAnsi="宋体"/>
                <w:color w:val="auto"/>
                <w:sz w:val="21"/>
                <w:szCs w:val="21"/>
                <w:highlight w:val="none"/>
                <w:u w:val="single"/>
                <w:lang w:val="en-US" w:eastAsia="zh-CN"/>
              </w:rPr>
              <w:t>22</w:t>
            </w:r>
            <w:r>
              <w:rPr>
                <w:rFonts w:hint="eastAsia" w:ascii="宋体" w:hAnsi="宋体"/>
                <w:color w:val="auto"/>
                <w:sz w:val="21"/>
                <w:szCs w:val="21"/>
                <w:highlight w:val="none"/>
              </w:rPr>
              <w:t>日</w:t>
            </w:r>
            <w:r>
              <w:rPr>
                <w:rFonts w:hint="eastAsia" w:ascii="宋体" w:hAnsi="宋体"/>
                <w:color w:val="auto"/>
                <w:sz w:val="21"/>
                <w:szCs w:val="21"/>
                <w:highlight w:val="none"/>
                <w:u w:val="single"/>
                <w:lang w:val="en-US" w:eastAsia="zh-CN"/>
              </w:rPr>
              <w:t>10</w:t>
            </w:r>
            <w:r>
              <w:rPr>
                <w:rFonts w:hint="eastAsia" w:ascii="宋体" w:hAnsi="宋体"/>
                <w:color w:val="auto"/>
                <w:sz w:val="21"/>
                <w:szCs w:val="21"/>
                <w:highlight w:val="none"/>
              </w:rPr>
              <w:t>时</w:t>
            </w:r>
            <w:r>
              <w:rPr>
                <w:rFonts w:hint="eastAsia" w:ascii="宋体" w:hAnsi="宋体"/>
                <w:color w:val="auto"/>
                <w:sz w:val="21"/>
                <w:szCs w:val="21"/>
                <w:highlight w:val="none"/>
                <w:u w:val="single"/>
                <w:lang w:val="en-US" w:eastAsia="zh-CN"/>
              </w:rPr>
              <w:t>00</w:t>
            </w:r>
            <w:r>
              <w:rPr>
                <w:rFonts w:hint="eastAsia" w:ascii="宋体" w:hAnsi="宋体"/>
                <w:color w:val="auto"/>
                <w:sz w:val="21"/>
                <w:szCs w:val="21"/>
                <w:highlight w:val="none"/>
              </w:rPr>
              <w:t>分</w:t>
            </w:r>
            <w:r>
              <w:rPr>
                <w:rFonts w:hint="eastAsia" w:ascii="宋体" w:hAnsi="宋体" w:cs="宋体"/>
                <w:bCs/>
                <w:color w:val="auto"/>
                <w:kern w:val="0"/>
                <w:szCs w:val="21"/>
                <w:highlight w:val="none"/>
              </w:rPr>
              <w:t>（与投标截止时间为同一时间），地点：</w:t>
            </w:r>
            <w:r>
              <w:rPr>
                <w:rFonts w:hint="eastAsia" w:ascii="宋体" w:hAnsi="宋体" w:cs="宋体"/>
                <w:bCs/>
                <w:color w:val="auto"/>
                <w:kern w:val="0"/>
                <w:szCs w:val="21"/>
                <w:highlight w:val="none"/>
                <w:u w:val="single"/>
              </w:rPr>
              <w:t>广州交易集团有限公司（广州公共资源交易中心）开标室（广州市天河区天润路333号）</w:t>
            </w:r>
            <w:r>
              <w:rPr>
                <w:rFonts w:hint="eastAsia" w:ascii="宋体" w:hAnsi="宋体" w:cs="宋体"/>
                <w:bCs/>
                <w:color w:val="auto"/>
                <w:kern w:val="0"/>
                <w:szCs w:val="21"/>
                <w:highlight w:val="none"/>
              </w:rPr>
              <w:t>。</w:t>
            </w:r>
            <w:r>
              <w:rPr>
                <w:rFonts w:hint="eastAsia" w:ascii="宋体" w:hAnsi="宋体" w:cs="宋体"/>
                <w:b/>
                <w:bCs/>
                <w:color w:val="auto"/>
                <w:kern w:val="0"/>
                <w:szCs w:val="21"/>
                <w:highlight w:val="none"/>
              </w:rPr>
              <w:t>投标人也可选择参加在线开标，具体按照交易平台相关指南进行操作。详见：</w:t>
            </w:r>
            <w:r>
              <w:rPr>
                <w:rFonts w:hint="eastAsia" w:ascii="宋体" w:hAnsi="宋体" w:cs="宋体"/>
                <w:b/>
                <w:bCs/>
                <w:color w:val="auto"/>
                <w:kern w:val="0"/>
                <w:szCs w:val="21"/>
                <w:highlight w:val="none"/>
                <w:u w:val="single"/>
                <w:lang w:eastAsia="zh-CN"/>
              </w:rPr>
              <w:t>广州交易集团有限公司（广州公共资源交易中心）</w:t>
            </w:r>
            <w:r>
              <w:rPr>
                <w:rFonts w:hint="eastAsia" w:ascii="宋体" w:hAnsi="宋体" w:cs="宋体"/>
                <w:b/>
                <w:bCs/>
                <w:color w:val="auto"/>
                <w:kern w:val="0"/>
                <w:szCs w:val="21"/>
                <w:highlight w:val="none"/>
                <w:u w:val="single"/>
              </w:rPr>
              <w:t>网站</w:t>
            </w:r>
            <w:r>
              <w:rPr>
                <w:rFonts w:hint="eastAsia" w:ascii="宋体" w:hAnsi="宋体" w:cs="宋体"/>
                <w:b/>
                <w:bCs/>
                <w:color w:val="auto"/>
                <w:kern w:val="0"/>
                <w:szCs w:val="21"/>
                <w:highlight w:val="none"/>
              </w:rPr>
              <w:t>。</w:t>
            </w:r>
          </w:p>
          <w:p w14:paraId="5A85B75E">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注：投标文件解密问题。投标人只用执行一次解密，招标人执行解密次数根据招标文件开标次数确定。</w:t>
            </w:r>
          </w:p>
          <w:p w14:paraId="28BE484F">
            <w:pPr>
              <w:widowControl/>
              <w:numPr>
                <w:ilvl w:val="0"/>
                <w:numId w:val="1"/>
              </w:numPr>
              <w:jc w:val="left"/>
              <w:rPr>
                <w:rFonts w:ascii="宋体" w:hAnsi="宋体" w:cs="宋体"/>
                <w:bCs/>
                <w:color w:val="auto"/>
                <w:kern w:val="0"/>
                <w:szCs w:val="21"/>
                <w:highlight w:val="none"/>
              </w:rPr>
            </w:pPr>
            <w:r>
              <w:rPr>
                <w:rFonts w:hint="eastAsia" w:ascii="宋体" w:hAnsi="宋体" w:cs="宋体"/>
                <w:bCs/>
                <w:color w:val="auto"/>
                <w:kern w:val="0"/>
                <w:szCs w:val="21"/>
                <w:highlight w:val="none"/>
              </w:rPr>
              <w:t>递交投标文件备用光盘时间：</w:t>
            </w:r>
            <w:r>
              <w:rPr>
                <w:rFonts w:hint="eastAsia" w:ascii="宋体" w:hAnsi="宋体"/>
                <w:color w:val="auto"/>
                <w:sz w:val="21"/>
                <w:szCs w:val="21"/>
                <w:highlight w:val="none"/>
                <w:u w:val="single"/>
                <w:lang w:eastAsia="zh-CN"/>
              </w:rPr>
              <w:t>2025</w:t>
            </w:r>
            <w:r>
              <w:rPr>
                <w:rFonts w:hint="eastAsia" w:ascii="宋体" w:hAnsi="宋体"/>
                <w:color w:val="auto"/>
                <w:sz w:val="21"/>
                <w:szCs w:val="21"/>
                <w:highlight w:val="none"/>
              </w:rPr>
              <w:t>年</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rPr>
              <w:t>月</w:t>
            </w:r>
            <w:r>
              <w:rPr>
                <w:rFonts w:hint="eastAsia" w:ascii="宋体" w:hAnsi="宋体"/>
                <w:color w:val="auto"/>
                <w:sz w:val="21"/>
                <w:szCs w:val="21"/>
                <w:highlight w:val="none"/>
                <w:u w:val="single"/>
                <w:lang w:val="en-US" w:eastAsia="zh-CN"/>
              </w:rPr>
              <w:t>22</w:t>
            </w:r>
            <w:r>
              <w:rPr>
                <w:rFonts w:hint="eastAsia" w:ascii="宋体" w:hAnsi="宋体"/>
                <w:color w:val="auto"/>
                <w:sz w:val="21"/>
                <w:szCs w:val="21"/>
                <w:highlight w:val="none"/>
              </w:rPr>
              <w:t>日</w:t>
            </w:r>
            <w:r>
              <w:rPr>
                <w:rFonts w:hint="eastAsia" w:ascii="宋体" w:hAnsi="宋体"/>
                <w:color w:val="auto"/>
                <w:sz w:val="21"/>
                <w:szCs w:val="21"/>
                <w:highlight w:val="none"/>
                <w:u w:val="single"/>
                <w:lang w:val="en-US" w:eastAsia="zh-CN"/>
              </w:rPr>
              <w:t>09</w:t>
            </w:r>
            <w:r>
              <w:rPr>
                <w:rFonts w:hint="eastAsia" w:ascii="宋体" w:hAnsi="宋体"/>
                <w:color w:val="auto"/>
                <w:sz w:val="21"/>
                <w:szCs w:val="21"/>
                <w:highlight w:val="none"/>
              </w:rPr>
              <w:t>时</w:t>
            </w:r>
            <w:r>
              <w:rPr>
                <w:rFonts w:hint="eastAsia" w:ascii="宋体" w:hAnsi="宋体"/>
                <w:color w:val="auto"/>
                <w:sz w:val="21"/>
                <w:szCs w:val="21"/>
                <w:highlight w:val="none"/>
                <w:u w:val="single"/>
                <w:lang w:val="en-US" w:eastAsia="zh-CN"/>
              </w:rPr>
              <w:t>45</w:t>
            </w:r>
            <w:r>
              <w:rPr>
                <w:rFonts w:hint="eastAsia" w:ascii="宋体" w:hAnsi="宋体"/>
                <w:color w:val="auto"/>
                <w:sz w:val="21"/>
                <w:szCs w:val="21"/>
                <w:highlight w:val="none"/>
              </w:rPr>
              <w:t>分</w:t>
            </w:r>
            <w:r>
              <w:rPr>
                <w:rFonts w:hint="eastAsia" w:ascii="宋体" w:hAnsi="宋体" w:cs="宋体"/>
                <w:bCs/>
                <w:color w:val="auto"/>
                <w:kern w:val="0"/>
                <w:szCs w:val="21"/>
                <w:highlight w:val="none"/>
              </w:rPr>
              <w:t>至</w:t>
            </w:r>
            <w:r>
              <w:rPr>
                <w:rFonts w:hint="eastAsia" w:ascii="宋体" w:hAnsi="宋体"/>
                <w:color w:val="auto"/>
                <w:sz w:val="21"/>
                <w:szCs w:val="21"/>
                <w:highlight w:val="none"/>
                <w:u w:val="single"/>
                <w:lang w:eastAsia="zh-CN"/>
              </w:rPr>
              <w:t>2025</w:t>
            </w:r>
            <w:r>
              <w:rPr>
                <w:rFonts w:hint="eastAsia" w:ascii="宋体" w:hAnsi="宋体"/>
                <w:color w:val="auto"/>
                <w:sz w:val="21"/>
                <w:szCs w:val="21"/>
                <w:highlight w:val="none"/>
              </w:rPr>
              <w:t>年</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rPr>
              <w:t>月</w:t>
            </w:r>
            <w:r>
              <w:rPr>
                <w:rFonts w:hint="eastAsia" w:ascii="宋体" w:hAnsi="宋体"/>
                <w:color w:val="auto"/>
                <w:sz w:val="21"/>
                <w:szCs w:val="21"/>
                <w:highlight w:val="none"/>
                <w:u w:val="single"/>
                <w:lang w:val="en-US" w:eastAsia="zh-CN"/>
              </w:rPr>
              <w:t>22</w:t>
            </w:r>
            <w:r>
              <w:rPr>
                <w:rFonts w:hint="eastAsia" w:ascii="宋体" w:hAnsi="宋体"/>
                <w:color w:val="auto"/>
                <w:sz w:val="21"/>
                <w:szCs w:val="21"/>
                <w:highlight w:val="none"/>
              </w:rPr>
              <w:t>日</w:t>
            </w:r>
            <w:r>
              <w:rPr>
                <w:rFonts w:hint="eastAsia" w:ascii="宋体" w:hAnsi="宋体"/>
                <w:color w:val="auto"/>
                <w:sz w:val="21"/>
                <w:szCs w:val="21"/>
                <w:highlight w:val="none"/>
                <w:u w:val="single"/>
                <w:lang w:val="en-US" w:eastAsia="zh-CN"/>
              </w:rPr>
              <w:t>10</w:t>
            </w:r>
            <w:r>
              <w:rPr>
                <w:rFonts w:hint="eastAsia" w:ascii="宋体" w:hAnsi="宋体"/>
                <w:color w:val="auto"/>
                <w:sz w:val="21"/>
                <w:szCs w:val="21"/>
                <w:highlight w:val="none"/>
              </w:rPr>
              <w:t>时</w:t>
            </w:r>
            <w:r>
              <w:rPr>
                <w:rFonts w:hint="eastAsia" w:ascii="宋体" w:hAnsi="宋体"/>
                <w:color w:val="auto"/>
                <w:sz w:val="21"/>
                <w:szCs w:val="21"/>
                <w:highlight w:val="none"/>
                <w:u w:val="single"/>
                <w:lang w:val="en-US" w:eastAsia="zh-CN"/>
              </w:rPr>
              <w:t>00</w:t>
            </w:r>
            <w:r>
              <w:rPr>
                <w:rFonts w:hint="eastAsia" w:ascii="宋体" w:hAnsi="宋体"/>
                <w:color w:val="auto"/>
                <w:sz w:val="21"/>
                <w:szCs w:val="21"/>
                <w:highlight w:val="none"/>
              </w:rPr>
              <w:t>分</w:t>
            </w:r>
            <w:r>
              <w:rPr>
                <w:rFonts w:hint="eastAsia" w:ascii="宋体" w:hAnsi="宋体" w:cs="宋体"/>
                <w:bCs/>
                <w:color w:val="auto"/>
                <w:kern w:val="0"/>
                <w:szCs w:val="21"/>
                <w:highlight w:val="none"/>
              </w:rPr>
              <w:t>；递交地点：</w:t>
            </w:r>
            <w:r>
              <w:rPr>
                <w:rFonts w:hint="eastAsia" w:ascii="宋体" w:hAnsi="宋体" w:cs="宋体"/>
                <w:bCs/>
                <w:color w:val="auto"/>
                <w:kern w:val="0"/>
                <w:szCs w:val="21"/>
                <w:highlight w:val="none"/>
                <w:u w:val="single"/>
              </w:rPr>
              <w:t>广州交易集团有限公司（广州公共资源交易中心）开标室（广州市天河</w:t>
            </w:r>
            <w:bookmarkStart w:id="30" w:name="_GoBack"/>
            <w:bookmarkEnd w:id="30"/>
            <w:r>
              <w:rPr>
                <w:rFonts w:hint="eastAsia" w:ascii="宋体" w:hAnsi="宋体" w:cs="宋体"/>
                <w:bCs/>
                <w:color w:val="auto"/>
                <w:kern w:val="0"/>
                <w:szCs w:val="21"/>
                <w:highlight w:val="none"/>
                <w:u w:val="single"/>
              </w:rPr>
              <w:t>区天润路333号）</w:t>
            </w:r>
            <w:r>
              <w:rPr>
                <w:rFonts w:hint="eastAsia" w:ascii="宋体" w:hAnsi="宋体" w:cs="宋体"/>
                <w:bCs/>
                <w:color w:val="auto"/>
                <w:kern w:val="0"/>
                <w:szCs w:val="21"/>
                <w:highlight w:val="none"/>
              </w:rPr>
              <w:t>。</w:t>
            </w:r>
          </w:p>
          <w:p w14:paraId="5E878A7B">
            <w:pPr>
              <w:widowControl/>
              <w:jc w:val="left"/>
              <w:rPr>
                <w:rFonts w:ascii="宋体" w:hAnsi="宋体" w:cs="宋体"/>
                <w:bCs/>
                <w:color w:val="auto"/>
                <w:kern w:val="0"/>
                <w:szCs w:val="21"/>
                <w:highlight w:val="none"/>
              </w:rPr>
            </w:pPr>
            <w:r>
              <w:rPr>
                <w:rFonts w:hint="eastAsia" w:ascii="宋体" w:hAnsi="宋体" w:cs="宋体"/>
                <w:color w:val="auto"/>
                <w:szCs w:val="21"/>
                <w:highlight w:val="none"/>
                <w:u w:val="single"/>
              </w:rPr>
              <w:t>3</w:t>
            </w:r>
            <w:r>
              <w:rPr>
                <w:rFonts w:hint="eastAsia" w:ascii="宋体" w:hAnsi="宋体" w:cs="宋体"/>
                <w:b/>
                <w:bCs/>
                <w:color w:val="auto"/>
                <w:szCs w:val="21"/>
                <w:highlight w:val="none"/>
                <w:u w:val="single"/>
              </w:rPr>
              <w:t>、本项目不设置项目负责人签到。</w:t>
            </w:r>
          </w:p>
          <w:p w14:paraId="62549EBC">
            <w:pPr>
              <w:widowControl/>
              <w:jc w:val="left"/>
              <w:rPr>
                <w:rFonts w:ascii="宋体" w:hAnsi="宋体"/>
                <w:color w:val="auto"/>
                <w:szCs w:val="21"/>
                <w:highlight w:val="none"/>
              </w:rPr>
            </w:pPr>
            <w:r>
              <w:rPr>
                <w:rFonts w:hint="eastAsia" w:ascii="宋体" w:hAnsi="宋体" w:cs="宋体"/>
                <w:bCs/>
                <w:color w:val="auto"/>
                <w:kern w:val="0"/>
                <w:szCs w:val="21"/>
                <w:highlight w:val="none"/>
              </w:rPr>
              <w:t>上述时间及地点是否有改变，请密切留意</w:t>
            </w:r>
            <w:r>
              <w:rPr>
                <w:rFonts w:hint="eastAsia" w:ascii="宋体" w:hAnsi="宋体" w:cs="宋体"/>
                <w:b/>
                <w:color w:val="auto"/>
                <w:kern w:val="0"/>
                <w:szCs w:val="21"/>
                <w:highlight w:val="none"/>
              </w:rPr>
              <w:t>补充公告和</w:t>
            </w:r>
            <w:r>
              <w:rPr>
                <w:rFonts w:hint="eastAsia" w:ascii="宋体" w:hAnsi="宋体" w:cs="宋体"/>
                <w:bCs/>
                <w:color w:val="auto"/>
                <w:kern w:val="0"/>
                <w:szCs w:val="21"/>
                <w:highlight w:val="none"/>
              </w:rPr>
              <w:t>招标答疑纪要的相关信息。</w:t>
            </w:r>
          </w:p>
        </w:tc>
      </w:tr>
      <w:tr w14:paraId="3161AC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14:paraId="0FEC460B">
            <w:pPr>
              <w:rPr>
                <w:rFonts w:ascii="宋体" w:hAnsi="宋体"/>
                <w:color w:val="auto"/>
                <w:szCs w:val="21"/>
                <w:highlight w:val="none"/>
              </w:rPr>
            </w:pPr>
            <w:r>
              <w:rPr>
                <w:rFonts w:hint="eastAsia" w:ascii="宋体" w:hAnsi="宋体"/>
                <w:color w:val="auto"/>
                <w:szCs w:val="21"/>
                <w:highlight w:val="none"/>
              </w:rPr>
              <w:t>19</w:t>
            </w:r>
          </w:p>
        </w:tc>
        <w:tc>
          <w:tcPr>
            <w:tcW w:w="981" w:type="dxa"/>
            <w:tcBorders>
              <w:top w:val="single" w:color="auto" w:sz="4" w:space="0"/>
              <w:left w:val="single" w:color="auto" w:sz="4" w:space="0"/>
              <w:bottom w:val="single" w:color="auto" w:sz="4" w:space="0"/>
              <w:right w:val="single" w:color="auto" w:sz="4" w:space="0"/>
            </w:tcBorders>
            <w:vAlign w:val="center"/>
          </w:tcPr>
          <w:p w14:paraId="67800DF1">
            <w:pPr>
              <w:rPr>
                <w:rFonts w:ascii="宋体" w:hAnsi="宋体"/>
                <w:color w:val="auto"/>
                <w:szCs w:val="21"/>
                <w:highlight w:val="none"/>
              </w:rPr>
            </w:pPr>
            <w:r>
              <w:rPr>
                <w:rFonts w:ascii="宋体" w:hAnsi="宋体"/>
                <w:color w:val="auto"/>
                <w:szCs w:val="21"/>
                <w:highlight w:val="none"/>
              </w:rPr>
              <w:t>26</w:t>
            </w:r>
          </w:p>
        </w:tc>
        <w:tc>
          <w:tcPr>
            <w:tcW w:w="1686" w:type="dxa"/>
            <w:tcBorders>
              <w:top w:val="single" w:color="auto" w:sz="4" w:space="0"/>
              <w:left w:val="single" w:color="auto" w:sz="4" w:space="0"/>
              <w:bottom w:val="single" w:color="auto" w:sz="4" w:space="0"/>
              <w:right w:val="single" w:color="auto" w:sz="4" w:space="0"/>
            </w:tcBorders>
            <w:vAlign w:val="center"/>
          </w:tcPr>
          <w:p w14:paraId="01481542">
            <w:pPr>
              <w:rPr>
                <w:rFonts w:ascii="宋体" w:hAnsi="宋体"/>
                <w:color w:val="auto"/>
                <w:szCs w:val="21"/>
                <w:highlight w:val="none"/>
              </w:rPr>
            </w:pPr>
            <w:r>
              <w:rPr>
                <w:rFonts w:hint="eastAsia" w:ascii="宋体" w:hAnsi="宋体"/>
                <w:color w:val="auto"/>
                <w:szCs w:val="21"/>
                <w:highlight w:val="none"/>
              </w:rPr>
              <w:t>开标评标办法</w:t>
            </w:r>
          </w:p>
        </w:tc>
        <w:tc>
          <w:tcPr>
            <w:tcW w:w="5981" w:type="dxa"/>
            <w:tcBorders>
              <w:top w:val="single" w:color="auto" w:sz="4" w:space="0"/>
              <w:left w:val="single" w:color="auto" w:sz="4" w:space="0"/>
              <w:bottom w:val="single" w:color="auto" w:sz="4" w:space="0"/>
              <w:right w:val="double" w:color="auto" w:sz="4" w:space="0"/>
            </w:tcBorders>
            <w:vAlign w:val="center"/>
          </w:tcPr>
          <w:p w14:paraId="022624CA">
            <w:pPr>
              <w:pStyle w:val="4"/>
              <w:ind w:firstLine="0"/>
              <w:rPr>
                <w:rFonts w:ascii="宋体" w:hAnsi="宋体"/>
                <w:color w:val="auto"/>
                <w:szCs w:val="21"/>
                <w:highlight w:val="none"/>
              </w:rPr>
            </w:pPr>
            <w:r>
              <w:rPr>
                <w:rFonts w:hint="eastAsia" w:ascii="宋体" w:hAnsi="宋体"/>
                <w:color w:val="auto"/>
                <w:szCs w:val="21"/>
                <w:highlight w:val="none"/>
              </w:rPr>
              <w:t>方式一：选取方法</w:t>
            </w:r>
            <w:r>
              <w:rPr>
                <w:rFonts w:hint="eastAsia" w:ascii="宋体" w:hAnsi="宋体"/>
                <w:color w:val="auto"/>
                <w:szCs w:val="21"/>
                <w:highlight w:val="none"/>
                <w:u w:val="single"/>
              </w:rPr>
              <w:t>七</w:t>
            </w:r>
            <w:r>
              <w:rPr>
                <w:rFonts w:hint="eastAsia" w:ascii="宋体" w:hAnsi="宋体"/>
                <w:color w:val="auto"/>
                <w:szCs w:val="21"/>
                <w:highlight w:val="none"/>
              </w:rPr>
              <w:t>；</w:t>
            </w:r>
          </w:p>
        </w:tc>
      </w:tr>
      <w:tr w14:paraId="71BF19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8DBE24A">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w:t>
            </w:r>
          </w:p>
        </w:tc>
        <w:tc>
          <w:tcPr>
            <w:tcW w:w="981" w:type="dxa"/>
            <w:tcBorders>
              <w:top w:val="single" w:color="auto" w:sz="4" w:space="0"/>
              <w:left w:val="single" w:color="auto" w:sz="4" w:space="0"/>
              <w:bottom w:val="single" w:color="auto" w:sz="4" w:space="0"/>
              <w:right w:val="single" w:color="auto" w:sz="4" w:space="0"/>
            </w:tcBorders>
            <w:vAlign w:val="center"/>
          </w:tcPr>
          <w:p w14:paraId="38E4DAE5">
            <w:pPr>
              <w:rPr>
                <w:rFonts w:ascii="宋体" w:hAnsi="宋体"/>
                <w:color w:val="auto"/>
                <w:szCs w:val="21"/>
                <w:highlight w:val="none"/>
              </w:rPr>
            </w:pPr>
            <w:r>
              <w:rPr>
                <w:rFonts w:ascii="宋体" w:hAnsi="宋体"/>
                <w:color w:val="auto"/>
                <w:szCs w:val="21"/>
                <w:highlight w:val="none"/>
              </w:rPr>
              <w:t>29.1</w:t>
            </w:r>
          </w:p>
        </w:tc>
        <w:tc>
          <w:tcPr>
            <w:tcW w:w="1686" w:type="dxa"/>
            <w:tcBorders>
              <w:top w:val="single" w:color="auto" w:sz="4" w:space="0"/>
              <w:left w:val="single" w:color="auto" w:sz="4" w:space="0"/>
              <w:bottom w:val="single" w:color="auto" w:sz="4" w:space="0"/>
              <w:right w:val="single" w:color="auto" w:sz="4" w:space="0"/>
            </w:tcBorders>
            <w:vAlign w:val="center"/>
          </w:tcPr>
          <w:p w14:paraId="46C425CA">
            <w:pPr>
              <w:rPr>
                <w:rFonts w:ascii="宋体" w:hAnsi="宋体"/>
                <w:color w:val="auto"/>
                <w:szCs w:val="21"/>
                <w:highlight w:val="none"/>
              </w:rPr>
            </w:pPr>
            <w:r>
              <w:rPr>
                <w:rFonts w:hint="eastAsia" w:ascii="宋体" w:hAnsi="宋体"/>
                <w:color w:val="auto"/>
                <w:szCs w:val="21"/>
                <w:highlight w:val="none"/>
              </w:rPr>
              <w:t>履约担保</w:t>
            </w:r>
          </w:p>
        </w:tc>
        <w:tc>
          <w:tcPr>
            <w:tcW w:w="5981" w:type="dxa"/>
            <w:tcBorders>
              <w:top w:val="single" w:color="auto" w:sz="4" w:space="0"/>
              <w:left w:val="single" w:color="auto" w:sz="4" w:space="0"/>
              <w:bottom w:val="single" w:color="auto" w:sz="4" w:space="0"/>
              <w:right w:val="double" w:color="auto" w:sz="4" w:space="0"/>
            </w:tcBorders>
            <w:vAlign w:val="center"/>
          </w:tcPr>
          <w:p w14:paraId="3DBA0238">
            <w:pPr>
              <w:pStyle w:val="4"/>
              <w:spacing w:after="0"/>
              <w:ind w:firstLine="0"/>
              <w:rPr>
                <w:rFonts w:ascii="宋体" w:hAnsi="宋体"/>
                <w:color w:val="auto"/>
                <w:highlight w:val="none"/>
              </w:rPr>
            </w:pPr>
            <w:r>
              <w:rPr>
                <w:rFonts w:hint="eastAsia" w:ascii="宋体" w:hAnsi="宋体"/>
                <w:color w:val="auto"/>
                <w:highlight w:val="none"/>
              </w:rPr>
              <w:t>履约担保可采用现金或者支票、银行保函、保证保险、专业担保公司担保等方式：</w:t>
            </w:r>
          </w:p>
          <w:p w14:paraId="1A53DCC6">
            <w:pPr>
              <w:pStyle w:val="4"/>
              <w:spacing w:after="0"/>
              <w:ind w:firstLine="0"/>
              <w:rPr>
                <w:rFonts w:ascii="宋体" w:hAnsi="宋体"/>
                <w:color w:val="auto"/>
                <w:highlight w:val="none"/>
              </w:rPr>
            </w:pPr>
            <w:r>
              <w:rPr>
                <w:rFonts w:hint="eastAsia" w:ascii="宋体" w:hAnsi="宋体"/>
                <w:color w:val="auto"/>
                <w:highlight w:val="none"/>
              </w:rPr>
              <w:t>若采用现金或者支票方式的：中标人提供的履约保证金为中标价款的10%。</w:t>
            </w:r>
          </w:p>
          <w:p w14:paraId="48D70F50">
            <w:pPr>
              <w:pStyle w:val="4"/>
              <w:spacing w:after="0"/>
              <w:ind w:firstLine="0"/>
              <w:rPr>
                <w:rFonts w:ascii="宋体" w:hAnsi="宋体"/>
                <w:color w:val="auto"/>
                <w:highlight w:val="none"/>
              </w:rPr>
            </w:pPr>
            <w:r>
              <w:rPr>
                <w:rFonts w:hint="eastAsia" w:ascii="宋体" w:hAnsi="宋体"/>
                <w:color w:val="auto"/>
                <w:highlight w:val="none"/>
              </w:rPr>
              <w:t>中标通知书发放后15个日历天内,中标人须向招标人提交履约保证金，履约保证金的提交方式为：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p>
          <w:p w14:paraId="4A920957">
            <w:pPr>
              <w:pStyle w:val="4"/>
              <w:spacing w:after="0"/>
              <w:ind w:firstLine="0"/>
              <w:rPr>
                <w:rFonts w:ascii="宋体" w:hAnsi="宋体"/>
                <w:color w:val="auto"/>
                <w:highlight w:val="none"/>
              </w:rPr>
            </w:pPr>
            <w:r>
              <w:rPr>
                <w:rFonts w:hint="eastAsia" w:ascii="宋体" w:hAnsi="宋体"/>
                <w:color w:val="auto"/>
                <w:highlight w:val="none"/>
              </w:rPr>
              <w:t>方式二：若采用银行保函方式的：中标人按本合同附件中的格式3向发包人提供保证额为中标价款的10%的履约保证金银行保函，该银行保函应由在中国注册的银行开具。</w:t>
            </w:r>
          </w:p>
          <w:p w14:paraId="1E9565B4">
            <w:pPr>
              <w:pStyle w:val="4"/>
              <w:spacing w:after="0"/>
              <w:ind w:firstLine="0"/>
              <w:rPr>
                <w:rFonts w:ascii="宋体" w:hAnsi="宋体"/>
                <w:color w:val="auto"/>
                <w:highlight w:val="none"/>
              </w:rPr>
            </w:pPr>
            <w:r>
              <w:rPr>
                <w:rFonts w:hint="eastAsia" w:ascii="宋体" w:hAnsi="宋体"/>
                <w:color w:val="auto"/>
                <w:highlight w:val="none"/>
              </w:rPr>
              <w:t>在中标通知书发放后15个日历天内，中标人未提交履约担保且未征得招标人同意延期缴交的，招标人有权取消其中标资格并没收其补交的投标保证金，并由其他中标候选人顺次序替补。</w:t>
            </w:r>
          </w:p>
          <w:p w14:paraId="63E94605">
            <w:pPr>
              <w:pStyle w:val="4"/>
              <w:spacing w:after="0"/>
              <w:ind w:firstLine="0"/>
              <w:rPr>
                <w:rFonts w:ascii="宋体" w:hAnsi="宋体"/>
                <w:color w:val="auto"/>
                <w:highlight w:val="none"/>
              </w:rPr>
            </w:pPr>
            <w:r>
              <w:rPr>
                <w:rFonts w:hint="eastAsia" w:ascii="宋体" w:hAnsi="宋体"/>
                <w:color w:val="auto"/>
                <w:highlight w:val="none"/>
              </w:rPr>
              <w:t>中标人须于中标通知书发出之日起，18个日历天内完成签订施工合同的工作，并将中标人已签妥的施工合同及相关协议文件提交招标人。若不提交，招标人有权取消其中标资格。</w:t>
            </w:r>
          </w:p>
        </w:tc>
      </w:tr>
      <w:tr w14:paraId="340176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4" w:space="0"/>
              <w:bottom w:val="single" w:color="auto" w:sz="4" w:space="0"/>
              <w:right w:val="single" w:color="auto" w:sz="4" w:space="0"/>
            </w:tcBorders>
            <w:vAlign w:val="center"/>
          </w:tcPr>
          <w:p w14:paraId="4A88DB28">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029A7E28">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5FBAB09B">
            <w:pPr>
              <w:rPr>
                <w:rFonts w:ascii="宋体" w:hAnsi="宋体"/>
                <w:color w:val="auto"/>
                <w:szCs w:val="21"/>
                <w:highlight w:val="none"/>
              </w:rPr>
            </w:pPr>
            <w:r>
              <w:rPr>
                <w:rFonts w:hint="eastAsia" w:ascii="宋体" w:hAnsi="宋体"/>
                <w:color w:val="auto"/>
                <w:szCs w:val="21"/>
                <w:highlight w:val="none"/>
              </w:rPr>
              <w:t>最高投标限价</w:t>
            </w:r>
          </w:p>
        </w:tc>
        <w:tc>
          <w:tcPr>
            <w:tcW w:w="5981" w:type="dxa"/>
            <w:tcBorders>
              <w:top w:val="single" w:color="auto" w:sz="4" w:space="0"/>
              <w:left w:val="single" w:color="auto" w:sz="4" w:space="0"/>
              <w:bottom w:val="single" w:color="auto" w:sz="4" w:space="0"/>
              <w:right w:val="double" w:color="auto" w:sz="4" w:space="0"/>
            </w:tcBorders>
            <w:vAlign w:val="center"/>
          </w:tcPr>
          <w:p w14:paraId="62049BF5">
            <w:pPr>
              <w:rPr>
                <w:rFonts w:ascii="宋体" w:hAnsi="宋体"/>
                <w:color w:val="auto"/>
                <w:szCs w:val="21"/>
                <w:highlight w:val="none"/>
              </w:rPr>
            </w:pPr>
            <w:r>
              <w:rPr>
                <w:rFonts w:hint="eastAsia" w:ascii="宋体" w:hAnsi="宋体" w:cs="宋体"/>
                <w:color w:val="auto"/>
                <w:szCs w:val="21"/>
                <w:highlight w:val="none"/>
              </w:rPr>
              <w:t>本项目设置最高投标限价、综合单价最高限价，最高投标限价为人民币</w:t>
            </w:r>
            <w:r>
              <w:rPr>
                <w:rFonts w:hint="eastAsia" w:ascii="宋体" w:hAnsi="宋体" w:cs="宋体"/>
                <w:color w:val="auto"/>
                <w:szCs w:val="21"/>
                <w:highlight w:val="none"/>
                <w:u w:val="single"/>
              </w:rPr>
              <w:t>¥</w:t>
            </w:r>
            <w:r>
              <w:rPr>
                <w:rFonts w:hint="eastAsia" w:ascii="宋体" w:hAnsi="宋体" w:cs="宋体"/>
                <w:color w:val="auto"/>
                <w:sz w:val="21"/>
                <w:szCs w:val="21"/>
                <w:highlight w:val="none"/>
                <w:u w:val="single"/>
                <w:lang w:val="en-US" w:eastAsia="zh-CN"/>
              </w:rPr>
              <w:t>9461973.29</w:t>
            </w:r>
            <w:r>
              <w:rPr>
                <w:rFonts w:hint="eastAsia" w:ascii="宋体" w:hAnsi="宋体" w:cs="宋体"/>
                <w:color w:val="auto"/>
                <w:szCs w:val="21"/>
                <w:highlight w:val="none"/>
              </w:rPr>
              <w:t>元，综合单价最高限价详见招标工程量清单；其中措施费合计为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557440.62</w:t>
            </w:r>
            <w:r>
              <w:rPr>
                <w:rFonts w:hint="eastAsia" w:ascii="宋体" w:hAnsi="宋体" w:cs="宋体"/>
                <w:color w:val="auto"/>
                <w:szCs w:val="21"/>
                <w:highlight w:val="none"/>
                <w:u w:val="single"/>
              </w:rPr>
              <w:t>元</w:t>
            </w:r>
            <w:r>
              <w:rPr>
                <w:rFonts w:hint="eastAsia" w:ascii="宋体" w:hAnsi="宋体" w:cs="宋体"/>
                <w:color w:val="auto"/>
                <w:szCs w:val="21"/>
                <w:highlight w:val="none"/>
              </w:rPr>
              <w:t>；绿色施工安全防护措施费为</w:t>
            </w:r>
            <w:r>
              <w:rPr>
                <w:rFonts w:hint="eastAsia" w:ascii="宋体" w:hAnsi="宋体" w:cs="宋体"/>
                <w:color w:val="auto"/>
                <w:szCs w:val="21"/>
                <w:highlight w:val="none"/>
                <w:u w:val="single"/>
              </w:rPr>
              <w:t>¥</w:t>
            </w:r>
            <w:r>
              <w:rPr>
                <w:rFonts w:hint="eastAsia" w:ascii="宋体" w:hAnsi="宋体" w:eastAsia="宋体" w:cs="宋体"/>
                <w:color w:val="auto"/>
                <w:szCs w:val="21"/>
                <w:highlight w:val="none"/>
                <w:u w:val="single"/>
                <w:lang w:val="en-US" w:eastAsia="zh-CN"/>
              </w:rPr>
              <w:t>468393.9元</w:t>
            </w:r>
            <w:r>
              <w:rPr>
                <w:rFonts w:hint="eastAsia" w:ascii="宋体" w:hAnsi="宋体" w:cs="宋体"/>
                <w:color w:val="auto"/>
                <w:szCs w:val="21"/>
                <w:highlight w:val="none"/>
              </w:rPr>
              <w:t>；其他项目费用为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123095.93</w:t>
            </w:r>
            <w:r>
              <w:rPr>
                <w:rFonts w:hint="eastAsia" w:ascii="宋体" w:hAnsi="宋体" w:eastAsia="宋体" w:cs="宋体"/>
                <w:color w:val="auto"/>
                <w:szCs w:val="21"/>
                <w:highlight w:val="none"/>
                <w:u w:val="single"/>
                <w:lang w:val="en-US" w:eastAsia="zh-CN"/>
              </w:rPr>
              <w:t>元</w:t>
            </w:r>
            <w:r>
              <w:rPr>
                <w:rFonts w:hint="eastAsia" w:ascii="宋体" w:hAnsi="宋体" w:cs="宋体"/>
                <w:color w:val="auto"/>
                <w:szCs w:val="21"/>
                <w:highlight w:val="none"/>
              </w:rPr>
              <w:t>。投标总价超过最高投标限价、投标报价中任一项综合单价超过招标工程量清单中相应的综合单价最高限价时，投标文件将被拒绝。</w:t>
            </w:r>
          </w:p>
        </w:tc>
      </w:tr>
      <w:tr w14:paraId="4AD0CB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4" w:space="0"/>
              <w:bottom w:val="single" w:color="auto" w:sz="4" w:space="0"/>
              <w:right w:val="single" w:color="auto" w:sz="4" w:space="0"/>
            </w:tcBorders>
            <w:vAlign w:val="center"/>
          </w:tcPr>
          <w:p w14:paraId="599F6ADA">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520539CC">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3F4681D4">
            <w:pPr>
              <w:rPr>
                <w:rFonts w:ascii="宋体" w:hAnsi="宋体"/>
                <w:color w:val="auto"/>
                <w:szCs w:val="21"/>
                <w:highlight w:val="none"/>
              </w:rPr>
            </w:pPr>
            <w:r>
              <w:rPr>
                <w:rFonts w:hint="eastAsia" w:ascii="宋体" w:hAnsi="宋体"/>
                <w:color w:val="auto"/>
                <w:szCs w:val="21"/>
                <w:highlight w:val="none"/>
              </w:rPr>
              <w:t>非竞争费用</w:t>
            </w:r>
          </w:p>
        </w:tc>
        <w:tc>
          <w:tcPr>
            <w:tcW w:w="5981" w:type="dxa"/>
            <w:tcBorders>
              <w:top w:val="single" w:color="auto" w:sz="4" w:space="0"/>
              <w:left w:val="single" w:color="auto" w:sz="4" w:space="0"/>
              <w:bottom w:val="single" w:color="auto" w:sz="4" w:space="0"/>
              <w:right w:val="double" w:color="auto" w:sz="4" w:space="0"/>
            </w:tcBorders>
            <w:vAlign w:val="center"/>
          </w:tcPr>
          <w:p w14:paraId="5F230F99">
            <w:pPr>
              <w:rPr>
                <w:rFonts w:ascii="宋体" w:hAnsi="宋体"/>
                <w:color w:val="auto"/>
                <w:szCs w:val="21"/>
                <w:highlight w:val="none"/>
              </w:rPr>
            </w:pPr>
            <w:r>
              <w:rPr>
                <w:rFonts w:hint="eastAsia" w:ascii="宋体" w:hAnsi="宋体"/>
                <w:color w:val="auto"/>
                <w:szCs w:val="21"/>
                <w:highlight w:val="none"/>
              </w:rPr>
              <w:t>本项目绿色施工安全防护措施费为</w:t>
            </w:r>
            <w:r>
              <w:rPr>
                <w:rFonts w:hint="eastAsia" w:ascii="宋体" w:hAnsi="宋体" w:cs="宋体"/>
                <w:color w:val="auto"/>
                <w:szCs w:val="21"/>
                <w:highlight w:val="none"/>
                <w:u w:val="single"/>
              </w:rPr>
              <w:t>¥</w:t>
            </w:r>
            <w:r>
              <w:rPr>
                <w:rFonts w:hint="eastAsia" w:ascii="宋体" w:hAnsi="宋体" w:eastAsia="宋体" w:cs="宋体"/>
                <w:color w:val="auto"/>
                <w:szCs w:val="21"/>
                <w:highlight w:val="none"/>
                <w:u w:val="single"/>
                <w:lang w:val="en-US" w:eastAsia="zh-CN"/>
              </w:rPr>
              <w:t>468393.9</w:t>
            </w:r>
            <w:r>
              <w:rPr>
                <w:rFonts w:hint="eastAsia" w:ascii="宋体" w:hAnsi="宋体"/>
                <w:color w:val="auto"/>
                <w:szCs w:val="21"/>
                <w:highlight w:val="none"/>
              </w:rPr>
              <w:t>元，暂列金额为</w:t>
            </w:r>
            <w:r>
              <w:rPr>
                <w:rFonts w:hint="eastAsia" w:ascii="宋体" w:hAnsi="宋体"/>
                <w:color w:val="auto"/>
                <w:szCs w:val="21"/>
                <w:highlight w:val="none"/>
                <w:u w:val="single"/>
              </w:rPr>
              <w:t>0</w:t>
            </w:r>
            <w:r>
              <w:rPr>
                <w:rFonts w:hint="eastAsia" w:ascii="宋体" w:hAnsi="宋体"/>
                <w:color w:val="auto"/>
                <w:szCs w:val="21"/>
                <w:highlight w:val="none"/>
              </w:rPr>
              <w:t>元，暂估价为</w:t>
            </w:r>
            <w:r>
              <w:rPr>
                <w:rFonts w:hint="eastAsia" w:ascii="宋体" w:hAnsi="宋体"/>
                <w:color w:val="auto"/>
                <w:szCs w:val="21"/>
                <w:highlight w:val="none"/>
                <w:u w:val="single"/>
              </w:rPr>
              <w:t>0</w:t>
            </w:r>
            <w:r>
              <w:rPr>
                <w:rFonts w:hint="eastAsia" w:ascii="宋体" w:hAnsi="宋体"/>
                <w:color w:val="auto"/>
                <w:szCs w:val="21"/>
                <w:highlight w:val="none"/>
              </w:rPr>
              <w:t>元。（未按招标文件规定的金额填写的，由评标委员会按照招标文件规定的金额进行修正）</w:t>
            </w:r>
          </w:p>
        </w:tc>
      </w:tr>
      <w:tr w14:paraId="3C06FE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4" w:space="0"/>
              <w:bottom w:val="single" w:color="auto" w:sz="4" w:space="0"/>
              <w:right w:val="single" w:color="auto" w:sz="4" w:space="0"/>
            </w:tcBorders>
            <w:vAlign w:val="center"/>
          </w:tcPr>
          <w:p w14:paraId="548841AB">
            <w:pPr>
              <w:rPr>
                <w:rFonts w:ascii="宋体" w:hAnsi="宋体"/>
                <w:color w:val="auto"/>
                <w:szCs w:val="21"/>
                <w:highlight w:val="none"/>
              </w:rPr>
            </w:pPr>
            <w:r>
              <w:rPr>
                <w:rFonts w:hint="eastAsia" w:ascii="宋体" w:hAnsi="宋体"/>
                <w:color w:val="auto"/>
                <w:szCs w:val="21"/>
                <w:highlight w:val="none"/>
              </w:rPr>
              <w:t>23</w:t>
            </w:r>
          </w:p>
        </w:tc>
        <w:tc>
          <w:tcPr>
            <w:tcW w:w="981" w:type="dxa"/>
            <w:tcBorders>
              <w:top w:val="single" w:color="auto" w:sz="4" w:space="0"/>
              <w:left w:val="single" w:color="auto" w:sz="4" w:space="0"/>
              <w:bottom w:val="single" w:color="auto" w:sz="4" w:space="0"/>
              <w:right w:val="single" w:color="auto" w:sz="4" w:space="0"/>
            </w:tcBorders>
            <w:vAlign w:val="center"/>
          </w:tcPr>
          <w:p w14:paraId="722D331E">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5DBF4C21">
            <w:pPr>
              <w:pStyle w:val="4"/>
              <w:ind w:firstLine="0"/>
              <w:rPr>
                <w:rFonts w:ascii="宋体" w:hAnsi="宋体"/>
                <w:color w:val="auto"/>
                <w:szCs w:val="21"/>
                <w:highlight w:val="none"/>
              </w:rPr>
            </w:pPr>
            <w:r>
              <w:rPr>
                <w:rFonts w:hint="eastAsia" w:ascii="宋体" w:hAnsi="宋体"/>
                <w:color w:val="auto"/>
                <w:szCs w:val="21"/>
                <w:highlight w:val="none"/>
              </w:rPr>
              <w:t>保修期</w:t>
            </w:r>
          </w:p>
        </w:tc>
        <w:tc>
          <w:tcPr>
            <w:tcW w:w="5981" w:type="dxa"/>
            <w:tcBorders>
              <w:top w:val="single" w:color="auto" w:sz="4" w:space="0"/>
              <w:left w:val="single" w:color="auto" w:sz="4" w:space="0"/>
              <w:bottom w:val="single" w:color="auto" w:sz="4" w:space="0"/>
              <w:right w:val="double" w:color="auto" w:sz="4" w:space="0"/>
            </w:tcBorders>
            <w:vAlign w:val="center"/>
          </w:tcPr>
          <w:p w14:paraId="6BED00F3">
            <w:pPr>
              <w:rPr>
                <w:rFonts w:ascii="宋体" w:hAnsi="宋体"/>
                <w:color w:val="auto"/>
                <w:szCs w:val="21"/>
                <w:highlight w:val="none"/>
              </w:rPr>
            </w:pPr>
            <w:r>
              <w:rPr>
                <w:rFonts w:hint="eastAsia" w:ascii="宋体" w:hAnsi="宋体"/>
                <w:color w:val="auto"/>
                <w:szCs w:val="21"/>
                <w:highlight w:val="none"/>
              </w:rPr>
              <w:t>按照《建设工程质量管理条例》规定。</w:t>
            </w:r>
          </w:p>
        </w:tc>
      </w:tr>
      <w:tr w14:paraId="25C356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444678EC">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04135B22">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00CBD285">
            <w:pPr>
              <w:rPr>
                <w:rFonts w:ascii="宋体" w:hAnsi="宋体"/>
                <w:color w:val="auto"/>
                <w:szCs w:val="21"/>
                <w:highlight w:val="none"/>
              </w:rPr>
            </w:pPr>
            <w:r>
              <w:rPr>
                <w:rFonts w:hint="eastAsia" w:ascii="宋体" w:hAnsi="宋体"/>
                <w:color w:val="auto"/>
                <w:szCs w:val="21"/>
                <w:highlight w:val="none"/>
              </w:rPr>
              <w:t>计算评标参考价的等分点值</w:t>
            </w:r>
          </w:p>
        </w:tc>
        <w:tc>
          <w:tcPr>
            <w:tcW w:w="5981" w:type="dxa"/>
            <w:tcBorders>
              <w:top w:val="single" w:color="auto" w:sz="4" w:space="0"/>
              <w:left w:val="single" w:color="auto" w:sz="4" w:space="0"/>
              <w:bottom w:val="single" w:color="auto" w:sz="4" w:space="0"/>
              <w:right w:val="double" w:color="auto" w:sz="4" w:space="0"/>
            </w:tcBorders>
            <w:vAlign w:val="center"/>
          </w:tcPr>
          <w:p w14:paraId="5F19BC85">
            <w:pPr>
              <w:rPr>
                <w:rFonts w:ascii="宋体" w:hAnsi="宋体"/>
                <w:strike/>
                <w:color w:val="auto"/>
                <w:szCs w:val="21"/>
                <w:highlight w:val="none"/>
              </w:rPr>
            </w:pPr>
            <w:r>
              <w:rPr>
                <w:rFonts w:hint="eastAsia" w:ascii="宋体" w:hAnsi="宋体"/>
                <w:color w:val="auto"/>
                <w:szCs w:val="21"/>
                <w:highlight w:val="none"/>
              </w:rPr>
              <w:t>计算评标参考价的等分点值</w:t>
            </w:r>
            <w:r>
              <w:rPr>
                <w:rFonts w:ascii="宋体" w:hAnsi="宋体"/>
                <w:color w:val="auto"/>
                <w:szCs w:val="21"/>
                <w:highlight w:val="none"/>
              </w:rPr>
              <w:t>X</w:t>
            </w:r>
            <w:r>
              <w:rPr>
                <w:rFonts w:hint="eastAsia" w:ascii="宋体" w:hAnsi="宋体"/>
                <w:color w:val="auto"/>
                <w:szCs w:val="21"/>
                <w:highlight w:val="none"/>
              </w:rPr>
              <w:t>在开标前从[0,100]</w:t>
            </w:r>
            <w:r>
              <w:rPr>
                <w:rFonts w:hint="eastAsia" w:ascii="宋体" w:hAnsi="宋体"/>
                <w:color w:val="auto"/>
                <w:highlight w:val="none"/>
              </w:rPr>
              <w:t xml:space="preserve"> </w:t>
            </w:r>
            <w:r>
              <w:rPr>
                <w:rFonts w:hint="eastAsia" w:ascii="宋体" w:hAnsi="宋体"/>
                <w:color w:val="auto"/>
                <w:szCs w:val="21"/>
                <w:highlight w:val="none"/>
              </w:rPr>
              <w:t>的整数中随机抽取。</w:t>
            </w:r>
          </w:p>
        </w:tc>
      </w:tr>
      <w:tr w14:paraId="485B39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B508261">
            <w:pPr>
              <w:rPr>
                <w:rFonts w:ascii="宋体" w:hAnsi="宋体"/>
                <w:color w:val="auto"/>
                <w:szCs w:val="21"/>
                <w:highlight w:val="none"/>
              </w:rPr>
            </w:pPr>
            <w:r>
              <w:rPr>
                <w:rFonts w:hint="eastAsia" w:ascii="宋体" w:hAnsi="宋体"/>
                <w:color w:val="auto"/>
                <w:szCs w:val="21"/>
                <w:highlight w:val="none"/>
              </w:rPr>
              <w:t>25</w:t>
            </w:r>
          </w:p>
        </w:tc>
        <w:tc>
          <w:tcPr>
            <w:tcW w:w="981" w:type="dxa"/>
            <w:tcBorders>
              <w:top w:val="single" w:color="auto" w:sz="4" w:space="0"/>
              <w:left w:val="single" w:color="auto" w:sz="4" w:space="0"/>
              <w:bottom w:val="single" w:color="auto" w:sz="4" w:space="0"/>
              <w:right w:val="single" w:color="auto" w:sz="4" w:space="0"/>
            </w:tcBorders>
            <w:vAlign w:val="center"/>
          </w:tcPr>
          <w:p w14:paraId="5D0A197C">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34366304">
            <w:pPr>
              <w:rPr>
                <w:rFonts w:ascii="宋体" w:hAnsi="宋体"/>
                <w:color w:val="auto"/>
                <w:szCs w:val="21"/>
                <w:highlight w:val="none"/>
              </w:rPr>
            </w:pPr>
            <w:r>
              <w:rPr>
                <w:rFonts w:hint="eastAsia" w:ascii="宋体" w:hAnsi="宋体"/>
                <w:color w:val="auto"/>
                <w:szCs w:val="21"/>
                <w:highlight w:val="none"/>
              </w:rPr>
              <w:t>工程成本警戒价</w:t>
            </w:r>
          </w:p>
        </w:tc>
        <w:tc>
          <w:tcPr>
            <w:tcW w:w="5981" w:type="dxa"/>
            <w:tcBorders>
              <w:top w:val="single" w:color="auto" w:sz="4" w:space="0"/>
              <w:left w:val="single" w:color="auto" w:sz="4" w:space="0"/>
              <w:bottom w:val="single" w:color="auto" w:sz="4" w:space="0"/>
              <w:right w:val="double" w:color="auto" w:sz="4" w:space="0"/>
            </w:tcBorders>
            <w:vAlign w:val="center"/>
          </w:tcPr>
          <w:p w14:paraId="22BD349C">
            <w:pPr>
              <w:rPr>
                <w:rFonts w:ascii="宋体" w:hAnsi="宋体" w:cs="宋体"/>
                <w:color w:val="auto"/>
                <w:szCs w:val="21"/>
                <w:highlight w:val="none"/>
              </w:rPr>
            </w:pPr>
            <w:r>
              <w:rPr>
                <w:rFonts w:hint="eastAsia" w:ascii="宋体" w:hAnsi="宋体" w:cs="宋体"/>
                <w:color w:val="auto"/>
                <w:szCs w:val="21"/>
                <w:highlight w:val="none"/>
              </w:rPr>
              <w:t>工程成本警戒价为¥</w:t>
            </w:r>
            <w:r>
              <w:rPr>
                <w:rFonts w:hint="eastAsia" w:ascii="宋体" w:hAnsi="宋体" w:cs="宋体"/>
                <w:color w:val="auto"/>
                <w:szCs w:val="21"/>
                <w:highlight w:val="none"/>
                <w:u w:val="single"/>
                <w:lang w:val="en-US" w:eastAsia="zh-CN"/>
              </w:rPr>
              <w:t>8515775.96</w:t>
            </w:r>
            <w:r>
              <w:rPr>
                <w:rFonts w:hint="eastAsia" w:ascii="宋体" w:hAnsi="宋体"/>
                <w:color w:val="auto"/>
                <w:sz w:val="24"/>
                <w:szCs w:val="24"/>
                <w:highlight w:val="none"/>
                <w:u w:val="single"/>
              </w:rPr>
              <w:t>元</w:t>
            </w:r>
            <w:r>
              <w:rPr>
                <w:rFonts w:hint="eastAsia" w:ascii="宋体" w:hAnsi="宋体" w:cs="宋体"/>
                <w:color w:val="auto"/>
                <w:szCs w:val="21"/>
                <w:highlight w:val="none"/>
              </w:rPr>
              <w:t>（最高投标限价的</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45393EC">
            <w:pPr>
              <w:rPr>
                <w:rFonts w:ascii="宋体" w:hAnsi="宋体"/>
                <w:color w:val="auto"/>
                <w:szCs w:val="21"/>
                <w:highlight w:val="none"/>
                <w:u w:val="single"/>
              </w:rPr>
            </w:pPr>
            <w:r>
              <w:rPr>
                <w:rFonts w:hint="eastAsia" w:ascii="宋体" w:hAnsi="宋体" w:cs="宋体"/>
                <w:color w:val="auto"/>
                <w:szCs w:val="21"/>
                <w:highlight w:val="none"/>
              </w:rPr>
              <w:t>注：为充分体现招标人意愿及落实项目招标人负责制，警戒价由招标人决定。</w:t>
            </w:r>
          </w:p>
        </w:tc>
      </w:tr>
      <w:tr w14:paraId="04043C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702" w:type="dxa"/>
            <w:tcBorders>
              <w:top w:val="single" w:color="auto" w:sz="4" w:space="0"/>
              <w:left w:val="double" w:color="auto" w:sz="4" w:space="0"/>
              <w:bottom w:val="single" w:color="auto" w:sz="4" w:space="0"/>
              <w:right w:val="single" w:color="auto" w:sz="4" w:space="0"/>
            </w:tcBorders>
            <w:vAlign w:val="center"/>
          </w:tcPr>
          <w:p w14:paraId="415F87F0">
            <w:pPr>
              <w:rPr>
                <w:rFonts w:ascii="宋体" w:hAnsi="宋体"/>
                <w:color w:val="auto"/>
                <w:szCs w:val="21"/>
                <w:highlight w:val="none"/>
              </w:rPr>
            </w:pPr>
            <w:r>
              <w:rPr>
                <w:rFonts w:hint="eastAsia" w:ascii="宋体" w:hAnsi="宋体"/>
                <w:color w:val="auto"/>
                <w:szCs w:val="21"/>
                <w:highlight w:val="none"/>
              </w:rPr>
              <w:t>26</w:t>
            </w:r>
          </w:p>
        </w:tc>
        <w:tc>
          <w:tcPr>
            <w:tcW w:w="981" w:type="dxa"/>
            <w:tcBorders>
              <w:top w:val="single" w:color="auto" w:sz="4" w:space="0"/>
              <w:left w:val="single" w:color="auto" w:sz="4" w:space="0"/>
              <w:bottom w:val="single" w:color="auto" w:sz="4" w:space="0"/>
              <w:right w:val="single" w:color="auto" w:sz="4" w:space="0"/>
            </w:tcBorders>
            <w:vAlign w:val="center"/>
          </w:tcPr>
          <w:p w14:paraId="534B8E7C">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1C1FE8D7">
            <w:pPr>
              <w:rPr>
                <w:rFonts w:ascii="宋体" w:hAnsi="宋体"/>
                <w:color w:val="auto"/>
                <w:szCs w:val="21"/>
                <w:highlight w:val="none"/>
              </w:rPr>
            </w:pPr>
            <w:r>
              <w:rPr>
                <w:rFonts w:hint="eastAsia" w:ascii="宋体" w:hAnsi="宋体"/>
                <w:color w:val="auto"/>
                <w:szCs w:val="21"/>
                <w:highlight w:val="none"/>
              </w:rPr>
              <w:t>评标委员会人数</w:t>
            </w:r>
          </w:p>
        </w:tc>
        <w:tc>
          <w:tcPr>
            <w:tcW w:w="5981" w:type="dxa"/>
            <w:tcBorders>
              <w:top w:val="single" w:color="auto" w:sz="4" w:space="0"/>
              <w:left w:val="single" w:color="auto" w:sz="4" w:space="0"/>
              <w:bottom w:val="single" w:color="auto" w:sz="4" w:space="0"/>
              <w:right w:val="double" w:color="auto" w:sz="4" w:space="0"/>
            </w:tcBorders>
            <w:vAlign w:val="center"/>
          </w:tcPr>
          <w:p w14:paraId="27DDAC31">
            <w:pPr>
              <w:rPr>
                <w:rFonts w:ascii="宋体" w:hAnsi="宋体"/>
                <w:color w:val="auto"/>
                <w:szCs w:val="21"/>
                <w:highlight w:val="none"/>
              </w:rPr>
            </w:pPr>
            <w:r>
              <w:rPr>
                <w:rFonts w:hint="eastAsia" w:ascii="宋体" w:hAnsi="宋体"/>
                <w:color w:val="auto"/>
                <w:szCs w:val="21"/>
                <w:highlight w:val="none"/>
              </w:rPr>
              <w:t>评标委员会由招标人依法组建。</w:t>
            </w:r>
          </w:p>
        </w:tc>
      </w:tr>
      <w:tr w14:paraId="1BBF6C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F800FBF">
            <w:pPr>
              <w:rPr>
                <w:rFonts w:ascii="宋体" w:hAnsi="宋体"/>
                <w:color w:val="auto"/>
                <w:szCs w:val="21"/>
                <w:highlight w:val="none"/>
              </w:rPr>
            </w:pPr>
            <w:r>
              <w:rPr>
                <w:rFonts w:hint="eastAsia" w:ascii="宋体" w:hAnsi="宋体"/>
                <w:color w:val="auto"/>
                <w:szCs w:val="21"/>
                <w:highlight w:val="none"/>
              </w:rPr>
              <w:t>27</w:t>
            </w:r>
          </w:p>
        </w:tc>
        <w:tc>
          <w:tcPr>
            <w:tcW w:w="981" w:type="dxa"/>
            <w:tcBorders>
              <w:top w:val="single" w:color="auto" w:sz="4" w:space="0"/>
              <w:left w:val="single" w:color="auto" w:sz="4" w:space="0"/>
              <w:bottom w:val="single" w:color="auto" w:sz="4" w:space="0"/>
              <w:right w:val="single" w:color="auto" w:sz="4" w:space="0"/>
            </w:tcBorders>
            <w:vAlign w:val="center"/>
          </w:tcPr>
          <w:p w14:paraId="10ABC333">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3874E236">
            <w:pPr>
              <w:rPr>
                <w:rFonts w:ascii="宋体" w:hAnsi="宋体"/>
                <w:color w:val="auto"/>
                <w:szCs w:val="21"/>
                <w:highlight w:val="none"/>
              </w:rPr>
            </w:pPr>
            <w:r>
              <w:rPr>
                <w:rFonts w:hint="eastAsia" w:ascii="宋体" w:hAnsi="宋体"/>
                <w:color w:val="auto"/>
                <w:szCs w:val="21"/>
                <w:highlight w:val="none"/>
              </w:rPr>
              <w:t>企业综合诚信评价分数</w:t>
            </w:r>
          </w:p>
        </w:tc>
        <w:tc>
          <w:tcPr>
            <w:tcW w:w="5981" w:type="dxa"/>
            <w:tcBorders>
              <w:top w:val="single" w:color="auto" w:sz="4" w:space="0"/>
              <w:left w:val="single" w:color="auto" w:sz="4" w:space="0"/>
              <w:bottom w:val="single" w:color="auto" w:sz="4" w:space="0"/>
              <w:right w:val="double" w:color="auto" w:sz="4" w:space="0"/>
            </w:tcBorders>
            <w:vAlign w:val="center"/>
          </w:tcPr>
          <w:p w14:paraId="1AB27AEC">
            <w:pPr>
              <w:rPr>
                <w:rFonts w:ascii="宋体" w:hAnsi="宋体"/>
                <w:color w:val="auto"/>
                <w:szCs w:val="21"/>
                <w:highlight w:val="none"/>
              </w:rPr>
            </w:pPr>
            <w:r>
              <w:rPr>
                <w:rFonts w:hint="eastAsia" w:ascii="宋体" w:hAnsi="宋体"/>
                <w:color w:val="auto"/>
                <w:szCs w:val="21"/>
                <w:highlight w:val="none"/>
              </w:rPr>
              <w:t>本项目不设置企业综合诚信评价分数。</w:t>
            </w:r>
          </w:p>
        </w:tc>
      </w:tr>
      <w:tr w14:paraId="0A5BCC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D48FECF">
            <w:pPr>
              <w:rPr>
                <w:rFonts w:ascii="宋体" w:hAnsi="宋体"/>
                <w:color w:val="auto"/>
                <w:szCs w:val="21"/>
                <w:highlight w:val="none"/>
              </w:rPr>
            </w:pPr>
            <w:r>
              <w:rPr>
                <w:rFonts w:hint="eastAsia" w:ascii="宋体" w:hAnsi="宋体"/>
                <w:color w:val="auto"/>
                <w:szCs w:val="21"/>
                <w:highlight w:val="none"/>
              </w:rPr>
              <w:t>28</w:t>
            </w:r>
          </w:p>
        </w:tc>
        <w:tc>
          <w:tcPr>
            <w:tcW w:w="981" w:type="dxa"/>
            <w:tcBorders>
              <w:top w:val="single" w:color="auto" w:sz="4" w:space="0"/>
              <w:left w:val="single" w:color="auto" w:sz="4" w:space="0"/>
              <w:bottom w:val="single" w:color="auto" w:sz="4" w:space="0"/>
              <w:right w:val="single" w:color="auto" w:sz="4" w:space="0"/>
            </w:tcBorders>
            <w:vAlign w:val="center"/>
          </w:tcPr>
          <w:p w14:paraId="4500798B">
            <w:pPr>
              <w:ind w:firstLine="458"/>
              <w:rPr>
                <w:rFonts w:ascii="宋体" w:hAnsi="宋体"/>
                <w:color w:val="auto"/>
                <w:szCs w:val="21"/>
                <w:highlight w:val="none"/>
              </w:rPr>
            </w:pPr>
            <w:r>
              <w:rPr>
                <w:rFonts w:hint="eastAsia" w:ascii="宋体" w:hAnsi="宋体"/>
                <w:color w:val="auto"/>
                <w:szCs w:val="21"/>
                <w:highlight w:val="none"/>
              </w:rPr>
              <w:t>45</w:t>
            </w:r>
          </w:p>
        </w:tc>
        <w:tc>
          <w:tcPr>
            <w:tcW w:w="1686" w:type="dxa"/>
            <w:tcBorders>
              <w:top w:val="single" w:color="auto" w:sz="4" w:space="0"/>
              <w:left w:val="single" w:color="auto" w:sz="4" w:space="0"/>
              <w:bottom w:val="single" w:color="auto" w:sz="4" w:space="0"/>
              <w:right w:val="single" w:color="auto" w:sz="4" w:space="0"/>
            </w:tcBorders>
            <w:vAlign w:val="center"/>
          </w:tcPr>
          <w:p w14:paraId="70A0E67C">
            <w:pPr>
              <w:rPr>
                <w:rFonts w:ascii="宋体" w:hAnsi="宋体"/>
                <w:color w:val="auto"/>
                <w:szCs w:val="21"/>
                <w:highlight w:val="none"/>
              </w:rPr>
            </w:pPr>
            <w:r>
              <w:rPr>
                <w:rFonts w:hint="eastAsia" w:ascii="宋体" w:hAnsi="宋体" w:cs="宋体"/>
                <w:color w:val="auto"/>
                <w:highlight w:val="none"/>
              </w:rPr>
              <w:t>投标人经济标评审和得分汇总</w:t>
            </w:r>
          </w:p>
        </w:tc>
        <w:tc>
          <w:tcPr>
            <w:tcW w:w="5981" w:type="dxa"/>
            <w:tcBorders>
              <w:top w:val="single" w:color="auto" w:sz="4" w:space="0"/>
              <w:left w:val="single" w:color="auto" w:sz="4" w:space="0"/>
              <w:bottom w:val="single" w:color="auto" w:sz="4" w:space="0"/>
              <w:right w:val="double" w:color="auto" w:sz="4" w:space="0"/>
            </w:tcBorders>
            <w:vAlign w:val="center"/>
          </w:tcPr>
          <w:p w14:paraId="061B2566">
            <w:pPr>
              <w:rPr>
                <w:rFonts w:ascii="宋体" w:hAnsi="宋体"/>
                <w:b/>
                <w:color w:val="auto"/>
                <w:szCs w:val="21"/>
                <w:highlight w:val="none"/>
                <w:u w:val="single"/>
              </w:rPr>
            </w:pPr>
            <w:r>
              <w:rPr>
                <w:rFonts w:ascii="宋体" w:hAnsi="宋体"/>
                <w:b/>
                <w:color w:val="auto"/>
                <w:szCs w:val="21"/>
                <w:highlight w:val="none"/>
                <w:u w:val="single"/>
              </w:rPr>
              <w:t>1、确定经济标评审的评标参考价：</w:t>
            </w:r>
          </w:p>
          <w:p w14:paraId="07F01367">
            <w:pPr>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设立入围合格分数线（</w:t>
            </w:r>
            <w:r>
              <w:rPr>
                <w:rFonts w:hint="eastAsia" w:ascii="Calibri" w:hAnsi="Calibri" w:eastAsia="宋体" w:cs="Times New Roman"/>
                <w:b w:val="0"/>
                <w:bCs w:val="0"/>
                <w:color w:val="auto"/>
                <w:kern w:val="2"/>
                <w:sz w:val="21"/>
                <w:szCs w:val="21"/>
                <w:highlight w:val="none"/>
                <w:u w:val="single"/>
              </w:rPr>
              <w:t>本项目及格分数线为技术标得分大于或等于</w:t>
            </w:r>
            <w:r>
              <w:rPr>
                <w:rFonts w:hint="eastAsia" w:ascii="宋体" w:hAnsi="宋体" w:cs="Times New Roman"/>
                <w:color w:val="auto"/>
                <w:kern w:val="2"/>
                <w:sz w:val="21"/>
                <w:szCs w:val="21"/>
                <w:highlight w:val="none"/>
                <w:u w:val="single"/>
                <w:lang w:val="en-US" w:eastAsia="zh-CN"/>
              </w:rPr>
              <w:t>70</w:t>
            </w:r>
            <w:r>
              <w:rPr>
                <w:rFonts w:hint="eastAsia" w:ascii="Calibri" w:hAnsi="Calibri" w:eastAsia="宋体" w:cs="Times New Roman"/>
                <w:b w:val="0"/>
                <w:bCs w:val="0"/>
                <w:color w:val="auto"/>
                <w:kern w:val="2"/>
                <w:sz w:val="21"/>
                <w:szCs w:val="21"/>
                <w:highlight w:val="none"/>
                <w:u w:val="single"/>
              </w:rPr>
              <w:t>分</w:t>
            </w:r>
            <w:r>
              <w:rPr>
                <w:rFonts w:hint="eastAsia" w:ascii="宋体" w:hAnsi="宋体"/>
                <w:color w:val="auto"/>
                <w:szCs w:val="21"/>
                <w:highlight w:val="none"/>
                <w:u w:val="single"/>
              </w:rPr>
              <w:t>），达到或超过及格线的投标人的报价方能参与评标参考价的计算。将达到或超过技术标及格分数线的投标报价由低至高进行排列，按以下公式计算评标参考价，计算公式如下：</w:t>
            </w:r>
          </w:p>
          <w:p w14:paraId="1F85C4DD">
            <w:pPr>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评标参考价=（Q高-Q低）/100*Ｘ+Q低</w:t>
            </w:r>
          </w:p>
          <w:p w14:paraId="35EEE510">
            <w:pPr>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Q低：为达到或超过技术标及格分数线的投标人最低报价与工程成本警示价两者中的较高值；</w:t>
            </w:r>
          </w:p>
          <w:p w14:paraId="2F6A519F">
            <w:pPr>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Q高：为最高投标限价</w:t>
            </w:r>
          </w:p>
          <w:p w14:paraId="44C3819B">
            <w:pPr>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X:为等分点值，从[0,100]整数中随机抽取</w:t>
            </w:r>
          </w:p>
          <w:p w14:paraId="4654E720">
            <w:pPr>
              <w:rPr>
                <w:rFonts w:ascii="宋体" w:hAnsi="宋体"/>
                <w:color w:val="auto"/>
                <w:szCs w:val="21"/>
                <w:highlight w:val="none"/>
                <w:u w:val="single"/>
              </w:rPr>
            </w:pPr>
            <w:r>
              <w:rPr>
                <w:rFonts w:ascii="宋体" w:hAnsi="宋体"/>
                <w:b/>
                <w:color w:val="auto"/>
                <w:szCs w:val="21"/>
                <w:highlight w:val="none"/>
                <w:u w:val="single"/>
              </w:rPr>
              <w:t>2、确定投标人的经济标得分：</w:t>
            </w:r>
            <w:r>
              <w:rPr>
                <w:rFonts w:ascii="宋体" w:hAnsi="宋体"/>
                <w:color w:val="auto"/>
                <w:szCs w:val="21"/>
                <w:highlight w:val="none"/>
                <w:u w:val="single"/>
              </w:rPr>
              <w:t>当投标报价等于评标参考价时得100分，投标报价每高于评标参考价1%，扣</w:t>
            </w:r>
            <w:r>
              <w:rPr>
                <w:rFonts w:hint="eastAsia" w:ascii="宋体" w:hAnsi="宋体"/>
                <w:color w:val="auto"/>
                <w:szCs w:val="21"/>
                <w:highlight w:val="none"/>
                <w:u w:val="single"/>
                <w:lang w:val="en-US" w:eastAsia="zh-CN"/>
              </w:rPr>
              <w:t>1.5</w:t>
            </w:r>
            <w:r>
              <w:rPr>
                <w:rFonts w:ascii="宋体" w:hAnsi="宋体"/>
                <w:color w:val="auto"/>
                <w:szCs w:val="21"/>
                <w:highlight w:val="none"/>
                <w:u w:val="single"/>
              </w:rPr>
              <w:t>分，每低于评标参考价1%，扣</w:t>
            </w:r>
            <w:r>
              <w:rPr>
                <w:rFonts w:hint="eastAsia" w:ascii="宋体" w:hAnsi="宋体"/>
                <w:color w:val="auto"/>
                <w:szCs w:val="21"/>
                <w:highlight w:val="none"/>
                <w:u w:val="single"/>
                <w:lang w:val="en-US" w:eastAsia="zh-CN"/>
              </w:rPr>
              <w:t>1</w:t>
            </w:r>
            <w:r>
              <w:rPr>
                <w:rFonts w:ascii="宋体" w:hAnsi="宋体"/>
                <w:color w:val="auto"/>
                <w:szCs w:val="21"/>
                <w:highlight w:val="none"/>
                <w:u w:val="single"/>
              </w:rPr>
              <w:t>分，扣至0分为止，得出经济分，精确到小数点后两位。</w:t>
            </w:r>
          </w:p>
          <w:p w14:paraId="63D77C28">
            <w:pPr>
              <w:rPr>
                <w:rFonts w:ascii="宋体" w:hAnsi="宋体"/>
                <w:color w:val="auto"/>
                <w:szCs w:val="21"/>
                <w:highlight w:val="none"/>
                <w:u w:val="single"/>
              </w:rPr>
            </w:pPr>
            <w:r>
              <w:rPr>
                <w:rFonts w:ascii="宋体" w:hAnsi="宋体"/>
                <w:b/>
                <w:color w:val="auto"/>
                <w:szCs w:val="21"/>
                <w:highlight w:val="none"/>
                <w:u w:val="single"/>
              </w:rPr>
              <w:t>3、</w:t>
            </w:r>
            <w:r>
              <w:rPr>
                <w:rFonts w:hint="eastAsia" w:ascii="宋体" w:hAnsi="宋体"/>
                <w:color w:val="auto"/>
                <w:szCs w:val="21"/>
                <w:highlight w:val="none"/>
                <w:u w:val="single"/>
              </w:rPr>
              <w:t>计算通过技术标有效性审查的投标人总得分。投标人总得分=技术得分×技术得分权重20%＋经济得分×经济得分权重80%。技术、经济得分权重按投标须知前附表的规定执行。总得分四舍五入保留两位小数。</w:t>
            </w:r>
          </w:p>
          <w:p w14:paraId="275D345A">
            <w:pPr>
              <w:rPr>
                <w:rFonts w:ascii="宋体" w:hAnsi="宋体"/>
                <w:color w:val="auto"/>
                <w:szCs w:val="21"/>
                <w:highlight w:val="none"/>
              </w:rPr>
            </w:pPr>
            <w:r>
              <w:rPr>
                <w:rFonts w:hint="eastAsia" w:ascii="宋体" w:hAnsi="宋体"/>
                <w:color w:val="auto"/>
                <w:szCs w:val="21"/>
                <w:highlight w:val="none"/>
                <w:u w:val="single"/>
              </w:rPr>
              <w:t>若出现总得分相同的投标文件，以技术得分较高的排前；总得分与技术得分均相同的投标人，投标报价低的排前；如仍存在相同情况，则对具有相同情况的投标人，由评标委员会采用投票方式，确定投标人的排序。注：记名投票方式确定排序的具体操作步骤为：由评标委员会对出现该情况的投标人采取记名投票的方式确定，按得票数高低进行排序，记名投票的形式及排序依据（须书面列举排序依据）由评标委员会研定。</w:t>
            </w:r>
          </w:p>
        </w:tc>
      </w:tr>
      <w:tr w14:paraId="19E6E5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5CEFB6DC">
            <w:pPr>
              <w:rPr>
                <w:rFonts w:ascii="宋体" w:hAnsi="宋体"/>
                <w:color w:val="auto"/>
                <w:szCs w:val="21"/>
                <w:highlight w:val="none"/>
              </w:rPr>
            </w:pPr>
            <w:r>
              <w:rPr>
                <w:rFonts w:hint="eastAsia" w:ascii="宋体" w:hAnsi="宋体"/>
                <w:color w:val="auto"/>
                <w:szCs w:val="21"/>
                <w:highlight w:val="none"/>
              </w:rPr>
              <w:t>29</w:t>
            </w:r>
          </w:p>
        </w:tc>
        <w:tc>
          <w:tcPr>
            <w:tcW w:w="981" w:type="dxa"/>
            <w:tcBorders>
              <w:top w:val="single" w:color="auto" w:sz="4" w:space="0"/>
              <w:left w:val="single" w:color="auto" w:sz="4" w:space="0"/>
              <w:bottom w:val="single" w:color="auto" w:sz="4" w:space="0"/>
              <w:right w:val="single" w:color="auto" w:sz="4" w:space="0"/>
            </w:tcBorders>
            <w:vAlign w:val="center"/>
          </w:tcPr>
          <w:p w14:paraId="1CEC4976">
            <w:pPr>
              <w:rPr>
                <w:rFonts w:ascii="宋体" w:hAnsi="宋体"/>
                <w:color w:val="auto"/>
                <w:szCs w:val="21"/>
                <w:highlight w:val="none"/>
              </w:rPr>
            </w:pPr>
            <w:r>
              <w:rPr>
                <w:rFonts w:ascii="宋体" w:hAnsi="宋体"/>
                <w:color w:val="auto"/>
                <w:szCs w:val="21"/>
                <w:highlight w:val="none"/>
              </w:rPr>
              <w:t>13.4</w:t>
            </w:r>
            <w:r>
              <w:rPr>
                <w:rFonts w:hint="eastAsia" w:ascii="宋体" w:hAnsi="宋体"/>
                <w:color w:val="auto"/>
                <w:szCs w:val="21"/>
                <w:highlight w:val="none"/>
              </w:rPr>
              <w:t>、</w:t>
            </w:r>
            <w:r>
              <w:rPr>
                <w:rFonts w:ascii="宋体" w:hAnsi="宋体"/>
                <w:color w:val="auto"/>
                <w:szCs w:val="21"/>
                <w:highlight w:val="none"/>
              </w:rPr>
              <w:t>13.5.2</w:t>
            </w:r>
          </w:p>
        </w:tc>
        <w:tc>
          <w:tcPr>
            <w:tcW w:w="1686" w:type="dxa"/>
            <w:tcBorders>
              <w:top w:val="single" w:color="auto" w:sz="4" w:space="0"/>
              <w:left w:val="single" w:color="auto" w:sz="4" w:space="0"/>
              <w:bottom w:val="single" w:color="auto" w:sz="4" w:space="0"/>
              <w:right w:val="single" w:color="auto" w:sz="4" w:space="0"/>
            </w:tcBorders>
            <w:vAlign w:val="center"/>
          </w:tcPr>
          <w:p w14:paraId="5FAB3190">
            <w:pPr>
              <w:rPr>
                <w:rFonts w:ascii="宋体" w:hAnsi="宋体"/>
                <w:color w:val="auto"/>
                <w:szCs w:val="21"/>
                <w:highlight w:val="none"/>
              </w:rPr>
            </w:pPr>
            <w:r>
              <w:rPr>
                <w:rFonts w:hint="eastAsia" w:ascii="宋体" w:hAnsi="宋体"/>
                <w:color w:val="auto"/>
                <w:szCs w:val="21"/>
                <w:highlight w:val="none"/>
              </w:rPr>
              <w:t>合同价款的调整办法</w:t>
            </w:r>
          </w:p>
        </w:tc>
        <w:tc>
          <w:tcPr>
            <w:tcW w:w="5981" w:type="dxa"/>
            <w:tcBorders>
              <w:top w:val="single" w:color="auto" w:sz="4" w:space="0"/>
              <w:left w:val="single" w:color="auto" w:sz="4" w:space="0"/>
              <w:bottom w:val="single" w:color="auto" w:sz="4" w:space="0"/>
              <w:right w:val="double" w:color="auto" w:sz="4" w:space="0"/>
            </w:tcBorders>
            <w:vAlign w:val="center"/>
          </w:tcPr>
          <w:p w14:paraId="0004AF12">
            <w:pPr>
              <w:rPr>
                <w:rFonts w:ascii="宋体" w:hAnsi="宋体"/>
                <w:color w:val="auto"/>
                <w:szCs w:val="21"/>
                <w:highlight w:val="none"/>
              </w:rPr>
            </w:pPr>
            <w:r>
              <w:rPr>
                <w:rFonts w:hint="eastAsia" w:ascii="宋体" w:hAnsi="宋体"/>
                <w:color w:val="auto"/>
                <w:szCs w:val="21"/>
                <w:highlight w:val="none"/>
                <w:u w:val="single"/>
              </w:rPr>
              <w:t>详见招标文件及相关合同条款。</w:t>
            </w:r>
          </w:p>
        </w:tc>
      </w:tr>
      <w:tr w14:paraId="34495A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59794525">
            <w:pPr>
              <w:rPr>
                <w:rFonts w:ascii="宋体" w:hAnsi="宋体"/>
                <w:color w:val="auto"/>
                <w:szCs w:val="21"/>
                <w:highlight w:val="none"/>
              </w:rPr>
            </w:pPr>
            <w:r>
              <w:rPr>
                <w:rFonts w:hint="eastAsia" w:ascii="宋体" w:hAnsi="宋体"/>
                <w:color w:val="auto"/>
                <w:szCs w:val="21"/>
                <w:highlight w:val="none"/>
              </w:rPr>
              <w:t>30</w:t>
            </w:r>
          </w:p>
        </w:tc>
        <w:tc>
          <w:tcPr>
            <w:tcW w:w="981" w:type="dxa"/>
            <w:tcBorders>
              <w:top w:val="single" w:color="auto" w:sz="4" w:space="0"/>
              <w:left w:val="single" w:color="auto" w:sz="4" w:space="0"/>
              <w:bottom w:val="single" w:color="auto" w:sz="4" w:space="0"/>
              <w:right w:val="single" w:color="auto" w:sz="4" w:space="0"/>
            </w:tcBorders>
            <w:vAlign w:val="center"/>
          </w:tcPr>
          <w:p w14:paraId="340143D5">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5A7A3EF9">
            <w:pPr>
              <w:rPr>
                <w:rFonts w:ascii="宋体" w:hAnsi="宋体"/>
                <w:color w:val="auto"/>
                <w:szCs w:val="21"/>
                <w:highlight w:val="none"/>
              </w:rPr>
            </w:pPr>
            <w:r>
              <w:rPr>
                <w:rFonts w:hint="eastAsia" w:ascii="宋体" w:hAnsi="宋体"/>
                <w:color w:val="auto"/>
                <w:kern w:val="0"/>
                <w:szCs w:val="21"/>
                <w:highlight w:val="none"/>
                <w:lang w:val="zh-CN"/>
              </w:rPr>
              <w:t>建设工程质量检测单位</w:t>
            </w:r>
          </w:p>
        </w:tc>
        <w:tc>
          <w:tcPr>
            <w:tcW w:w="5981" w:type="dxa"/>
            <w:tcBorders>
              <w:top w:val="single" w:color="auto" w:sz="4" w:space="0"/>
              <w:left w:val="single" w:color="auto" w:sz="4" w:space="0"/>
              <w:bottom w:val="single" w:color="auto" w:sz="4" w:space="0"/>
              <w:right w:val="double" w:color="auto" w:sz="4" w:space="0"/>
            </w:tcBorders>
            <w:vAlign w:val="center"/>
          </w:tcPr>
          <w:p w14:paraId="48AB78CA">
            <w:pPr>
              <w:rPr>
                <w:rFonts w:ascii="宋体" w:hAnsi="宋体"/>
                <w:color w:val="auto"/>
                <w:szCs w:val="21"/>
                <w:highlight w:val="none"/>
                <w:u w:val="single"/>
              </w:rPr>
            </w:pPr>
            <w:r>
              <w:rPr>
                <w:rFonts w:hint="eastAsia" w:ascii="宋体" w:hAnsi="宋体"/>
                <w:color w:val="auto"/>
                <w:kern w:val="0"/>
                <w:szCs w:val="21"/>
                <w:highlight w:val="none"/>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14:paraId="02D420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5370529">
            <w:pPr>
              <w:rPr>
                <w:rFonts w:ascii="宋体" w:hAnsi="宋体"/>
                <w:color w:val="auto"/>
                <w:szCs w:val="21"/>
                <w:highlight w:val="none"/>
              </w:rPr>
            </w:pPr>
            <w:r>
              <w:rPr>
                <w:rFonts w:hint="eastAsia" w:ascii="宋体" w:hAnsi="宋体"/>
                <w:color w:val="auto"/>
                <w:szCs w:val="21"/>
                <w:highlight w:val="none"/>
              </w:rPr>
              <w:t>31</w:t>
            </w:r>
          </w:p>
        </w:tc>
        <w:tc>
          <w:tcPr>
            <w:tcW w:w="981" w:type="dxa"/>
            <w:tcBorders>
              <w:top w:val="single" w:color="auto" w:sz="4" w:space="0"/>
              <w:left w:val="single" w:color="auto" w:sz="4" w:space="0"/>
              <w:bottom w:val="single" w:color="auto" w:sz="4" w:space="0"/>
              <w:right w:val="single" w:color="auto" w:sz="4" w:space="0"/>
            </w:tcBorders>
            <w:vAlign w:val="center"/>
          </w:tcPr>
          <w:p w14:paraId="4BB7016E">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750F5580">
            <w:pPr>
              <w:rPr>
                <w:rFonts w:ascii="宋体" w:hAnsi="宋体"/>
                <w:color w:val="auto"/>
                <w:szCs w:val="21"/>
                <w:highlight w:val="none"/>
              </w:rPr>
            </w:pPr>
            <w:r>
              <w:rPr>
                <w:rFonts w:hint="eastAsia" w:ascii="宋体" w:hAnsi="宋体"/>
                <w:color w:val="auto"/>
                <w:kern w:val="0"/>
                <w:szCs w:val="21"/>
                <w:highlight w:val="none"/>
                <w:lang w:val="zh-CN"/>
              </w:rPr>
              <w:t>分包</w:t>
            </w:r>
          </w:p>
        </w:tc>
        <w:tc>
          <w:tcPr>
            <w:tcW w:w="5981" w:type="dxa"/>
            <w:tcBorders>
              <w:top w:val="single" w:color="auto" w:sz="4" w:space="0"/>
              <w:left w:val="single" w:color="auto" w:sz="4" w:space="0"/>
              <w:bottom w:val="single" w:color="auto" w:sz="4" w:space="0"/>
              <w:right w:val="double" w:color="auto" w:sz="4" w:space="0"/>
            </w:tcBorders>
            <w:vAlign w:val="center"/>
          </w:tcPr>
          <w:p w14:paraId="111ECF1A">
            <w:pPr>
              <w:rPr>
                <w:rFonts w:ascii="宋体" w:hAnsi="宋体"/>
                <w:color w:val="auto"/>
                <w:kern w:val="0"/>
                <w:szCs w:val="21"/>
                <w:highlight w:val="none"/>
                <w:lang w:val="zh-CN"/>
              </w:rPr>
            </w:pPr>
            <w:r>
              <w:rPr>
                <w:rFonts w:hint="eastAsia" w:ascii="宋体" w:hAnsi="宋体"/>
                <w:color w:val="auto"/>
                <w:kern w:val="0"/>
                <w:szCs w:val="21"/>
                <w:highlight w:val="none"/>
                <w:lang w:val="zh-CN"/>
              </w:rPr>
              <w:t>□不允许；</w:t>
            </w:r>
          </w:p>
          <w:p w14:paraId="658F4DEF">
            <w:pPr>
              <w:rPr>
                <w:rFonts w:ascii="宋体" w:hAnsi="宋体"/>
                <w:color w:val="auto"/>
                <w:kern w:val="0"/>
                <w:szCs w:val="21"/>
                <w:highlight w:val="none"/>
                <w:lang w:val="zh-CN"/>
              </w:rPr>
            </w:pPr>
            <w:r>
              <w:rPr>
                <w:rFonts w:hint="eastAsia" w:ascii="宋体" w:hAnsi="宋体"/>
                <w:color w:val="auto"/>
                <w:kern w:val="0"/>
                <w:szCs w:val="21"/>
                <w:highlight w:val="none"/>
                <w:lang w:val="zh-CN"/>
              </w:rPr>
              <w:t>☑</w:t>
            </w:r>
            <w:r>
              <w:rPr>
                <w:rFonts w:hint="eastAsia" w:ascii="宋体" w:hAnsi="宋体" w:cs="宋体"/>
                <w:color w:val="auto"/>
                <w:kern w:val="0"/>
                <w:szCs w:val="21"/>
                <w:highlight w:val="none"/>
                <w:lang w:val="zh-CN"/>
              </w:rPr>
              <w:t>允许：允许非主体、非关键性工程进行分包，承包人不具备相应资质的，需经发包人审核批准后分包给具有相应资质和能力的专业单位实施。</w:t>
            </w:r>
          </w:p>
        </w:tc>
      </w:tr>
      <w:tr w14:paraId="010D3B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66FAC75">
            <w:pPr>
              <w:rPr>
                <w:rFonts w:ascii="宋体" w:hAnsi="宋体"/>
                <w:color w:val="auto"/>
                <w:szCs w:val="21"/>
                <w:highlight w:val="none"/>
              </w:rPr>
            </w:pPr>
            <w:r>
              <w:rPr>
                <w:rFonts w:hint="eastAsia" w:ascii="宋体" w:hAnsi="宋体"/>
                <w:color w:val="auto"/>
                <w:szCs w:val="21"/>
                <w:highlight w:val="none"/>
              </w:rPr>
              <w:t>32</w:t>
            </w:r>
          </w:p>
        </w:tc>
        <w:tc>
          <w:tcPr>
            <w:tcW w:w="981" w:type="dxa"/>
            <w:tcBorders>
              <w:top w:val="single" w:color="auto" w:sz="4" w:space="0"/>
              <w:left w:val="single" w:color="auto" w:sz="4" w:space="0"/>
              <w:bottom w:val="single" w:color="auto" w:sz="4" w:space="0"/>
              <w:right w:val="single" w:color="auto" w:sz="4" w:space="0"/>
            </w:tcBorders>
            <w:vAlign w:val="center"/>
          </w:tcPr>
          <w:p w14:paraId="51F1AD92">
            <w:pPr>
              <w:jc w:val="cente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53C73B04">
            <w:pPr>
              <w:jc w:val="center"/>
              <w:rPr>
                <w:rFonts w:ascii="宋体" w:hAnsi="宋体"/>
                <w:color w:val="auto"/>
                <w:kern w:val="0"/>
                <w:szCs w:val="21"/>
                <w:highlight w:val="none"/>
                <w:lang w:val="zh-CN"/>
              </w:rPr>
            </w:pPr>
            <w:r>
              <w:rPr>
                <w:rFonts w:hint="eastAsia" w:ascii="宋体" w:hAnsi="宋体"/>
                <w:color w:val="auto"/>
                <w:highlight w:val="none"/>
              </w:rPr>
              <w:t>电子招标投标解密失败及突发情况的补救</w:t>
            </w:r>
          </w:p>
        </w:tc>
        <w:tc>
          <w:tcPr>
            <w:tcW w:w="5981" w:type="dxa"/>
            <w:tcBorders>
              <w:top w:val="single" w:color="auto" w:sz="4" w:space="0"/>
              <w:left w:val="single" w:color="auto" w:sz="4" w:space="0"/>
              <w:bottom w:val="single" w:color="auto" w:sz="4" w:space="0"/>
              <w:right w:val="double" w:color="auto" w:sz="4" w:space="0"/>
            </w:tcBorders>
            <w:vAlign w:val="center"/>
          </w:tcPr>
          <w:p w14:paraId="463A79B2">
            <w:pPr>
              <w:rPr>
                <w:rFonts w:ascii="宋体" w:hAnsi="宋体" w:cs="Courier New"/>
                <w:color w:val="auto"/>
                <w:szCs w:val="21"/>
                <w:highlight w:val="none"/>
              </w:rPr>
            </w:pPr>
            <w:r>
              <w:rPr>
                <w:rFonts w:hint="eastAsia" w:ascii="宋体" w:hAnsi="宋体" w:cs="Courier New"/>
                <w:color w:val="auto"/>
                <w:szCs w:val="21"/>
                <w:highlight w:val="none"/>
              </w:rPr>
              <w:t>1、按照交易平台关于全流程电子化项目的相关指南进行操作。详见：</w:t>
            </w:r>
            <w:r>
              <w:rPr>
                <w:rFonts w:hint="eastAsia" w:ascii="宋体" w:hAnsi="宋体" w:cs="宋体"/>
                <w:color w:val="auto"/>
                <w:szCs w:val="21"/>
                <w:highlight w:val="none"/>
                <w:u w:val="single"/>
                <w:lang w:eastAsia="zh-CN"/>
              </w:rPr>
              <w:t>广州交易集团有限公司（广州公共资源交易中心）</w:t>
            </w:r>
            <w:r>
              <w:rPr>
                <w:rFonts w:hint="eastAsia" w:ascii="宋体" w:hAnsi="宋体" w:cs="宋体"/>
                <w:color w:val="auto"/>
                <w:szCs w:val="21"/>
                <w:highlight w:val="none"/>
                <w:u w:val="single"/>
              </w:rPr>
              <w:t>网站</w:t>
            </w:r>
            <w:r>
              <w:rPr>
                <w:rFonts w:hint="eastAsia" w:ascii="宋体" w:hAnsi="宋体" w:cs="Courier New"/>
                <w:color w:val="auto"/>
                <w:szCs w:val="21"/>
                <w:highlight w:val="none"/>
              </w:rPr>
              <w:t xml:space="preserve">。  </w:t>
            </w:r>
          </w:p>
          <w:p w14:paraId="2F33F575">
            <w:pPr>
              <w:rPr>
                <w:rFonts w:ascii="宋体" w:hAnsi="宋体" w:cs="Courier New"/>
                <w:color w:val="auto"/>
                <w:szCs w:val="21"/>
                <w:highlight w:val="none"/>
              </w:rPr>
            </w:pPr>
            <w:r>
              <w:rPr>
                <w:rFonts w:hint="eastAsia" w:ascii="宋体" w:hAnsi="宋体" w:cs="Courier New"/>
                <w:color w:val="auto"/>
                <w:szCs w:val="21"/>
                <w:highlight w:val="none"/>
              </w:rPr>
              <w:t>2、提交投标文件光盘备用</w:t>
            </w:r>
          </w:p>
          <w:p w14:paraId="181DE40B">
            <w:pPr>
              <w:rPr>
                <w:rFonts w:ascii="宋体" w:hAnsi="宋体" w:cs="Courier New"/>
                <w:color w:val="auto"/>
                <w:szCs w:val="21"/>
                <w:highlight w:val="none"/>
              </w:rPr>
            </w:pPr>
            <w:r>
              <w:rPr>
                <w:rFonts w:hint="eastAsia" w:ascii="宋体" w:hAnsi="宋体" w:cs="Courier New"/>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20A2983C">
            <w:pPr>
              <w:rPr>
                <w:rFonts w:ascii="宋体" w:hAnsi="宋体" w:cs="Courier New"/>
                <w:color w:val="auto"/>
                <w:szCs w:val="21"/>
                <w:highlight w:val="none"/>
              </w:rPr>
            </w:pPr>
            <w:r>
              <w:rPr>
                <w:rFonts w:hint="eastAsia" w:ascii="宋体" w:hAnsi="宋体" w:cs="Courier New"/>
                <w:color w:val="auto"/>
                <w:szCs w:val="21"/>
                <w:highlight w:val="none"/>
              </w:rPr>
              <w:t xml:space="preserve"> 3、补救方案</w:t>
            </w:r>
          </w:p>
          <w:p w14:paraId="4FA5E667">
            <w:pPr>
              <w:rPr>
                <w:rFonts w:ascii="宋体" w:hAnsi="宋体" w:cs="Courier New"/>
                <w:color w:val="auto"/>
                <w:szCs w:val="21"/>
                <w:highlight w:val="none"/>
              </w:rPr>
            </w:pPr>
            <w:r>
              <w:rPr>
                <w:rFonts w:hint="eastAsia" w:ascii="宋体" w:hAnsi="宋体" w:cs="Courier New"/>
                <w:color w:val="auto"/>
                <w:szCs w:val="21"/>
                <w:highlight w:val="none"/>
              </w:rPr>
              <w:t>（1）投标文件解密失败的补救方案：</w:t>
            </w:r>
          </w:p>
          <w:p w14:paraId="2FA346C7">
            <w:pPr>
              <w:rPr>
                <w:rFonts w:ascii="宋体" w:hAnsi="宋体" w:cs="Courier New"/>
                <w:color w:val="auto"/>
                <w:szCs w:val="21"/>
                <w:highlight w:val="none"/>
              </w:rPr>
            </w:pPr>
            <w:r>
              <w:rPr>
                <w:rFonts w:hint="eastAsia" w:ascii="宋体" w:hAnsi="宋体" w:cs="Courier New"/>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058440BD">
            <w:pPr>
              <w:rPr>
                <w:rFonts w:ascii="宋体" w:hAnsi="宋体" w:cs="Courier New"/>
                <w:color w:val="auto"/>
                <w:szCs w:val="21"/>
                <w:highlight w:val="none"/>
              </w:rPr>
            </w:pPr>
            <w:r>
              <w:rPr>
                <w:rFonts w:hint="eastAsia" w:ascii="宋体" w:hAnsi="宋体" w:cs="Courier New"/>
                <w:color w:val="auto"/>
                <w:szCs w:val="21"/>
                <w:highlight w:val="none"/>
              </w:rPr>
              <w:t>（2）评标时突发情况的补救方案</w:t>
            </w:r>
          </w:p>
          <w:p w14:paraId="235A3AA9">
            <w:pPr>
              <w:rPr>
                <w:rFonts w:ascii="宋体" w:hAnsi="宋体" w:cs="Courier New"/>
                <w:color w:val="auto"/>
                <w:szCs w:val="21"/>
                <w:highlight w:val="none"/>
              </w:rPr>
            </w:pPr>
            <w:r>
              <w:rPr>
                <w:rFonts w:hint="eastAsia" w:ascii="宋体" w:hAnsi="宋体" w:cs="Courier New"/>
                <w:color w:val="auto"/>
                <w:szCs w:val="21"/>
                <w:highlight w:val="none"/>
              </w:rPr>
              <w:t>若遇不可抗力发生（指网络瘫痪、服务器损坏、交易系统故障短期无法恢复等因素），由评标委员会开启投标人递交的全部投标文件光盘，并按光盘内容进行评审。</w:t>
            </w:r>
          </w:p>
          <w:p w14:paraId="0EC53329">
            <w:pPr>
              <w:rPr>
                <w:rFonts w:ascii="宋体" w:hAnsi="宋体"/>
                <w:color w:val="auto"/>
                <w:kern w:val="0"/>
                <w:szCs w:val="21"/>
                <w:highlight w:val="none"/>
                <w:lang w:val="zh-CN"/>
              </w:rPr>
            </w:pPr>
            <w:r>
              <w:rPr>
                <w:rFonts w:hint="eastAsia" w:ascii="宋体" w:hAnsi="宋体" w:cs="Courier New"/>
                <w:color w:val="auto"/>
                <w:szCs w:val="21"/>
                <w:highlight w:val="none"/>
              </w:rPr>
              <w:t>（3）除发生上述情况外，开标评标均以投标人通过</w:t>
            </w:r>
            <w:r>
              <w:rPr>
                <w:rFonts w:hint="eastAsia" w:ascii="宋体" w:hAnsi="宋体" w:cs="Courier New"/>
                <w:color w:val="auto"/>
                <w:szCs w:val="21"/>
                <w:highlight w:val="none"/>
                <w:lang w:eastAsia="zh-CN"/>
              </w:rPr>
              <w:t>广州交易集团有限公司（广州公共资源交易中心）</w:t>
            </w:r>
            <w:r>
              <w:rPr>
                <w:rFonts w:hint="eastAsia" w:ascii="宋体" w:hAnsi="宋体" w:cs="Courier New"/>
                <w:color w:val="auto"/>
                <w:szCs w:val="21"/>
                <w:highlight w:val="none"/>
              </w:rPr>
              <w:t>交易平台网上递交的电子投标文件为准。</w:t>
            </w:r>
          </w:p>
        </w:tc>
      </w:tr>
      <w:tr w14:paraId="0765CB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59908BB">
            <w:pPr>
              <w:rPr>
                <w:rFonts w:ascii="宋体" w:hAnsi="宋体"/>
                <w:color w:val="auto"/>
                <w:szCs w:val="21"/>
                <w:highlight w:val="none"/>
              </w:rPr>
            </w:pPr>
            <w:r>
              <w:rPr>
                <w:rFonts w:hint="eastAsia" w:ascii="宋体" w:hAnsi="宋体"/>
                <w:color w:val="auto"/>
                <w:szCs w:val="21"/>
                <w:highlight w:val="none"/>
              </w:rPr>
              <w:t>33</w:t>
            </w:r>
          </w:p>
        </w:tc>
        <w:tc>
          <w:tcPr>
            <w:tcW w:w="981" w:type="dxa"/>
            <w:tcBorders>
              <w:top w:val="single" w:color="auto" w:sz="4" w:space="0"/>
              <w:left w:val="single" w:color="auto" w:sz="4" w:space="0"/>
              <w:bottom w:val="single" w:color="auto" w:sz="4" w:space="0"/>
              <w:right w:val="single" w:color="auto" w:sz="4" w:space="0"/>
            </w:tcBorders>
            <w:vAlign w:val="center"/>
          </w:tcPr>
          <w:p w14:paraId="594128D4">
            <w:pPr>
              <w:jc w:val="center"/>
              <w:rPr>
                <w:rFonts w:ascii="宋体" w:hAnsi="宋体"/>
                <w:color w:val="auto"/>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32FF07C0">
            <w:pPr>
              <w:rPr>
                <w:rFonts w:ascii="宋体" w:hAnsi="宋体"/>
                <w:color w:val="auto"/>
                <w:highlight w:val="none"/>
              </w:rPr>
            </w:pPr>
            <w:r>
              <w:rPr>
                <w:rFonts w:hint="eastAsia" w:ascii="宋体" w:hAnsi="宋体" w:cs="宋体"/>
                <w:color w:val="auto"/>
                <w:szCs w:val="21"/>
                <w:highlight w:val="none"/>
              </w:rPr>
              <w:t>工程项目银行专户</w:t>
            </w:r>
          </w:p>
        </w:tc>
        <w:tc>
          <w:tcPr>
            <w:tcW w:w="5981" w:type="dxa"/>
            <w:tcBorders>
              <w:top w:val="single" w:color="auto" w:sz="4" w:space="0"/>
              <w:left w:val="single" w:color="auto" w:sz="4" w:space="0"/>
              <w:bottom w:val="single" w:color="auto" w:sz="4" w:space="0"/>
              <w:right w:val="double" w:color="auto" w:sz="4" w:space="0"/>
            </w:tcBorders>
            <w:vAlign w:val="center"/>
          </w:tcPr>
          <w:p w14:paraId="18E4EC1B">
            <w:pPr>
              <w:autoSpaceDE w:val="0"/>
              <w:autoSpaceDN w:val="0"/>
              <w:adjustRightInd w:val="0"/>
              <w:jc w:val="left"/>
              <w:rPr>
                <w:rFonts w:ascii="宋体" w:hAnsi="宋体" w:cs="Courier New"/>
                <w:color w:val="auto"/>
                <w:szCs w:val="21"/>
                <w:highlight w:val="none"/>
              </w:rPr>
            </w:pPr>
            <w:r>
              <w:rPr>
                <w:rFonts w:hint="eastAsia" w:ascii="宋体" w:hAnsi="宋体" w:cs="宋体"/>
                <w:color w:val="auto"/>
                <w:szCs w:val="21"/>
                <w:highlight w:val="none"/>
                <w:lang w:val="zh-CN"/>
              </w:rPr>
              <w:t>根据《番禺区基建办工程项目银行专户管理办法》（番基建办规章【2019】10号）规定，中标人在施工合同签订前需在相关规定内银行机构设立本工程的银行专户，未经招标人同意，中标人在投标过程中使用的银行名称及帐号至完成竣工结算不得变更，若中标人违反上述约定的，招标人有权停止工程款项的拔付及至解除合同，由此造成的一切责任由中标人承担</w:t>
            </w:r>
            <w:r>
              <w:rPr>
                <w:rFonts w:hint="eastAsia" w:ascii="宋体" w:hAnsi="宋体" w:cs="宋体"/>
                <w:color w:val="auto"/>
                <w:szCs w:val="21"/>
                <w:highlight w:val="none"/>
              </w:rPr>
              <w:t>。</w:t>
            </w:r>
          </w:p>
        </w:tc>
      </w:tr>
      <w:tr w14:paraId="5DCCD5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B5A1693">
            <w:pPr>
              <w:rPr>
                <w:rFonts w:ascii="宋体" w:hAnsi="宋体"/>
                <w:color w:val="auto"/>
                <w:szCs w:val="21"/>
                <w:highlight w:val="none"/>
              </w:rPr>
            </w:pPr>
            <w:r>
              <w:rPr>
                <w:rFonts w:hint="eastAsia" w:ascii="宋体" w:hAnsi="宋体"/>
                <w:color w:val="auto"/>
                <w:szCs w:val="21"/>
                <w:highlight w:val="none"/>
              </w:rPr>
              <w:t>34</w:t>
            </w:r>
          </w:p>
        </w:tc>
        <w:tc>
          <w:tcPr>
            <w:tcW w:w="981" w:type="dxa"/>
            <w:tcBorders>
              <w:top w:val="single" w:color="auto" w:sz="4" w:space="0"/>
              <w:left w:val="single" w:color="auto" w:sz="4" w:space="0"/>
              <w:bottom w:val="single" w:color="auto" w:sz="4" w:space="0"/>
              <w:right w:val="single" w:color="auto" w:sz="4" w:space="0"/>
            </w:tcBorders>
            <w:vAlign w:val="center"/>
          </w:tcPr>
          <w:p w14:paraId="379931C5">
            <w:pPr>
              <w:jc w:val="center"/>
              <w:rPr>
                <w:rFonts w:ascii="宋体" w:hAnsi="宋体"/>
                <w:color w:val="auto"/>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6408D165">
            <w:pPr>
              <w:rPr>
                <w:rFonts w:ascii="宋体" w:hAnsi="宋体"/>
                <w:color w:val="auto"/>
                <w:highlight w:val="none"/>
              </w:rPr>
            </w:pPr>
            <w:r>
              <w:rPr>
                <w:rFonts w:hint="eastAsia" w:ascii="宋体" w:hAnsi="宋体" w:cs="宋体"/>
                <w:color w:val="auto"/>
                <w:szCs w:val="21"/>
                <w:highlight w:val="none"/>
              </w:rPr>
              <w:t>工人工资支付专用帐户</w:t>
            </w:r>
          </w:p>
        </w:tc>
        <w:tc>
          <w:tcPr>
            <w:tcW w:w="5981" w:type="dxa"/>
            <w:tcBorders>
              <w:top w:val="single" w:color="auto" w:sz="4" w:space="0"/>
              <w:left w:val="single" w:color="auto" w:sz="4" w:space="0"/>
              <w:bottom w:val="single" w:color="auto" w:sz="4" w:space="0"/>
              <w:right w:val="double" w:color="auto" w:sz="4" w:space="0"/>
            </w:tcBorders>
            <w:vAlign w:val="center"/>
          </w:tcPr>
          <w:p w14:paraId="4CA2DF32">
            <w:pPr>
              <w:rPr>
                <w:rFonts w:ascii="宋体" w:hAnsi="宋体" w:cs="Courier New"/>
                <w:color w:val="auto"/>
                <w:szCs w:val="21"/>
                <w:highlight w:val="none"/>
              </w:rPr>
            </w:pPr>
            <w:r>
              <w:rPr>
                <w:rFonts w:hint="eastAsia" w:ascii="宋体" w:hAnsi="宋体" w:cs="宋体"/>
                <w:color w:val="auto"/>
                <w:szCs w:val="21"/>
                <w:highlight w:val="none"/>
              </w:rPr>
              <w:t>中标人须以工程项目为单位，在商业银行设立建设领域工人工资支付专用帐户用于支付工人工资。具体执行及管理办法参照</w:t>
            </w:r>
            <w:r>
              <w:rPr>
                <w:rFonts w:hint="eastAsia" w:ascii="宋体" w:hAnsi="宋体" w:cs="宋体"/>
                <w:color w:val="auto"/>
                <w:highlight w:val="none"/>
              </w:rPr>
              <w:t>《广州市住房和城乡建设局、广州市人力资源和社会保障局、广州市交通运输局等关于印发广州市建设领域工人工资支付分账管理实施细则的通知》（穗建规字〔2020〕37号）</w:t>
            </w:r>
            <w:r>
              <w:rPr>
                <w:rFonts w:hint="eastAsia" w:ascii="宋体" w:hAnsi="宋体" w:cs="宋体"/>
                <w:bCs/>
                <w:color w:val="auto"/>
                <w:kern w:val="0"/>
                <w:szCs w:val="21"/>
                <w:highlight w:val="none"/>
              </w:rPr>
              <w:t>执行。</w:t>
            </w:r>
          </w:p>
        </w:tc>
      </w:tr>
      <w:tr w14:paraId="2337BA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B70EC34">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35</w:t>
            </w:r>
          </w:p>
        </w:tc>
        <w:tc>
          <w:tcPr>
            <w:tcW w:w="981" w:type="dxa"/>
            <w:tcBorders>
              <w:top w:val="single" w:color="auto" w:sz="4" w:space="0"/>
              <w:left w:val="single" w:color="auto" w:sz="4" w:space="0"/>
              <w:bottom w:val="single" w:color="auto" w:sz="4" w:space="0"/>
              <w:right w:val="single" w:color="auto" w:sz="4" w:space="0"/>
            </w:tcBorders>
            <w:vAlign w:val="center"/>
          </w:tcPr>
          <w:p w14:paraId="449543FF">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7AE058AE">
            <w:pPr>
              <w:rPr>
                <w:rFonts w:hint="eastAsia" w:ascii="宋体" w:hAnsi="宋体"/>
                <w:color w:val="auto"/>
                <w:szCs w:val="21"/>
                <w:highlight w:val="none"/>
              </w:rPr>
            </w:pPr>
            <w:r>
              <w:rPr>
                <w:rFonts w:hint="eastAsia" w:ascii="宋体" w:hAnsi="宋体"/>
                <w:color w:val="auto"/>
                <w:szCs w:val="21"/>
                <w:highlight w:val="none"/>
              </w:rPr>
              <w:t>招标人对中标人参与“百千万工程”的具体要求</w:t>
            </w:r>
          </w:p>
        </w:tc>
        <w:tc>
          <w:tcPr>
            <w:tcW w:w="5981" w:type="dxa"/>
            <w:tcBorders>
              <w:top w:val="single" w:color="auto" w:sz="4" w:space="0"/>
              <w:left w:val="single" w:color="auto" w:sz="4" w:space="0"/>
              <w:bottom w:val="single" w:color="auto" w:sz="4" w:space="0"/>
              <w:right w:val="double" w:color="auto" w:sz="4" w:space="0"/>
            </w:tcBorders>
            <w:vAlign w:val="center"/>
          </w:tcPr>
          <w:p w14:paraId="678FD96A">
            <w:pPr>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具体要求在中标后按照投标承诺和招标人的要求执行。</w:t>
            </w:r>
          </w:p>
          <w:p w14:paraId="4D5EEDE8">
            <w:pPr>
              <w:rPr>
                <w:rFonts w:hint="eastAsia" w:ascii="宋体" w:hAnsi="宋体" w:eastAsia="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rPr>
              <w:t>具体要求：</w:t>
            </w:r>
            <w:r>
              <w:rPr>
                <w:rFonts w:hint="eastAsia"/>
                <w:color w:val="auto"/>
                <w:highlight w:val="none"/>
                <w:lang w:eastAsia="zh-CN"/>
              </w:rPr>
              <w:t>无。</w:t>
            </w:r>
          </w:p>
        </w:tc>
      </w:tr>
      <w:tr w14:paraId="41329B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BBCCC6D">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36</w:t>
            </w:r>
          </w:p>
        </w:tc>
        <w:tc>
          <w:tcPr>
            <w:tcW w:w="981" w:type="dxa"/>
            <w:tcBorders>
              <w:top w:val="single" w:color="auto" w:sz="4" w:space="0"/>
              <w:left w:val="single" w:color="auto" w:sz="4" w:space="0"/>
              <w:bottom w:val="single" w:color="auto" w:sz="4" w:space="0"/>
              <w:right w:val="single" w:color="auto" w:sz="4" w:space="0"/>
            </w:tcBorders>
            <w:vAlign w:val="center"/>
          </w:tcPr>
          <w:p w14:paraId="5D33D210">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02E4F2A7">
            <w:pPr>
              <w:pStyle w:val="21"/>
              <w:jc w:val="both"/>
              <w:rPr>
                <w:rFonts w:hint="eastAsia" w:ascii="宋体" w:hAnsi="宋体"/>
                <w:color w:val="auto"/>
                <w:szCs w:val="21"/>
                <w:highlight w:val="none"/>
              </w:rPr>
            </w:pPr>
            <w:r>
              <w:rPr>
                <w:rFonts w:ascii="宋体" w:hAnsi="宋体" w:eastAsia="宋体" w:cs="宋体"/>
                <w:color w:val="auto"/>
                <w:kern w:val="2"/>
                <w:sz w:val="21"/>
                <w:szCs w:val="21"/>
                <w:highlight w:val="none"/>
                <w:lang w:eastAsia="zh-CN" w:bidi="ar-SA"/>
              </w:rPr>
              <w:t>专门面向中小企业</w:t>
            </w:r>
          </w:p>
        </w:tc>
        <w:tc>
          <w:tcPr>
            <w:tcW w:w="5981" w:type="dxa"/>
            <w:tcBorders>
              <w:top w:val="single" w:color="auto" w:sz="4" w:space="0"/>
              <w:left w:val="single" w:color="auto" w:sz="4" w:space="0"/>
              <w:bottom w:val="single" w:color="auto" w:sz="4" w:space="0"/>
              <w:right w:val="double" w:color="auto" w:sz="4" w:space="0"/>
            </w:tcBorders>
            <w:vAlign w:val="center"/>
          </w:tcPr>
          <w:p w14:paraId="7372D359">
            <w:pPr>
              <w:pStyle w:val="21"/>
              <w:ind w:firstLine="0" w:firstLineChars="0"/>
              <w:jc w:val="both"/>
              <w:rPr>
                <w:rFonts w:hint="eastAsia" w:ascii="宋体" w:hAnsi="宋体"/>
                <w:color w:val="auto"/>
                <w:szCs w:val="21"/>
                <w:highlight w:val="none"/>
                <w:lang w:eastAsia="zh-CN"/>
              </w:rPr>
            </w:pPr>
            <w:r>
              <w:rPr>
                <w:rFonts w:hint="eastAsia" w:ascii="宋体" w:hAnsi="宋体" w:eastAsia="宋体" w:cs="宋体"/>
                <w:color w:val="auto"/>
                <w:kern w:val="2"/>
                <w:sz w:val="21"/>
                <w:szCs w:val="21"/>
                <w:highlight w:val="none"/>
                <w:lang w:eastAsia="zh-CN" w:bidi="ar-SA"/>
              </w:rPr>
              <w:t>本项目为整体面向中小企业。</w:t>
            </w:r>
          </w:p>
        </w:tc>
      </w:tr>
      <w:tr w14:paraId="3B902A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51A34719">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37</w:t>
            </w:r>
          </w:p>
        </w:tc>
        <w:tc>
          <w:tcPr>
            <w:tcW w:w="981" w:type="dxa"/>
            <w:tcBorders>
              <w:top w:val="single" w:color="auto" w:sz="4" w:space="0"/>
              <w:left w:val="single" w:color="auto" w:sz="4" w:space="0"/>
              <w:bottom w:val="single" w:color="auto" w:sz="4" w:space="0"/>
              <w:right w:val="single" w:color="auto" w:sz="4" w:space="0"/>
            </w:tcBorders>
            <w:vAlign w:val="center"/>
          </w:tcPr>
          <w:p w14:paraId="4BF94601">
            <w:pPr>
              <w:rPr>
                <w:rFonts w:ascii="宋体" w:hAnsi="宋体"/>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vAlign w:val="center"/>
          </w:tcPr>
          <w:p w14:paraId="2AD06AFF">
            <w:pPr>
              <w:pStyle w:val="21"/>
              <w:jc w:val="both"/>
              <w:rPr>
                <w:rFonts w:ascii="宋体" w:hAnsi="宋体" w:eastAsia="宋体" w:cs="宋体"/>
                <w:color w:val="auto"/>
                <w:kern w:val="2"/>
                <w:sz w:val="21"/>
                <w:szCs w:val="21"/>
                <w:highlight w:val="none"/>
                <w:lang w:eastAsia="zh-CN" w:bidi="ar-SA"/>
              </w:rPr>
            </w:pPr>
            <w:r>
              <w:rPr>
                <w:rFonts w:ascii="宋体" w:hAnsi="宋体" w:eastAsia="宋体" w:cs="宋体"/>
                <w:b w:val="0"/>
                <w:color w:val="auto"/>
                <w:kern w:val="2"/>
                <w:sz w:val="21"/>
                <w:szCs w:val="21"/>
                <w:highlight w:val="none"/>
                <w:lang w:eastAsia="zh-CN" w:bidi="ar-SA"/>
              </w:rPr>
              <w:t>关于中小微企业</w:t>
            </w:r>
            <w:r>
              <w:rPr>
                <w:rFonts w:hint="eastAsia" w:ascii="宋体" w:hAnsi="宋体" w:eastAsia="宋体" w:cs="宋体"/>
                <w:b w:val="0"/>
                <w:color w:val="auto"/>
                <w:kern w:val="2"/>
                <w:sz w:val="21"/>
                <w:szCs w:val="21"/>
                <w:highlight w:val="none"/>
                <w:lang w:val="en-US" w:eastAsia="zh-CN" w:bidi="ar-SA"/>
              </w:rPr>
              <w:t>说明</w:t>
            </w:r>
          </w:p>
        </w:tc>
        <w:tc>
          <w:tcPr>
            <w:tcW w:w="5981" w:type="dxa"/>
            <w:tcBorders>
              <w:top w:val="single" w:color="auto" w:sz="4" w:space="0"/>
              <w:left w:val="single" w:color="auto" w:sz="4" w:space="0"/>
              <w:bottom w:val="single" w:color="auto" w:sz="4" w:space="0"/>
              <w:right w:val="double" w:color="auto" w:sz="4" w:space="0"/>
            </w:tcBorders>
            <w:vAlign w:val="center"/>
          </w:tcPr>
          <w:p w14:paraId="5BD17A5A">
            <w:pPr>
              <w:pStyle w:val="21"/>
              <w:ind w:firstLine="480" w:firstLineChars="0"/>
              <w:jc w:val="both"/>
              <w:rPr>
                <w:rFonts w:ascii="宋体" w:hAnsi="宋体" w:eastAsia="宋体" w:cs="宋体"/>
                <w:color w:val="auto"/>
                <w:kern w:val="2"/>
                <w:sz w:val="21"/>
                <w:szCs w:val="21"/>
                <w:highlight w:val="none"/>
                <w:lang w:eastAsia="zh-CN" w:bidi="ar-SA"/>
              </w:rPr>
            </w:pPr>
            <w:r>
              <w:rPr>
                <w:rFonts w:ascii="宋体" w:hAnsi="宋体" w:eastAsia="宋体" w:cs="宋体"/>
                <w:color w:val="auto"/>
                <w:kern w:val="2"/>
                <w:sz w:val="21"/>
                <w:szCs w:val="21"/>
                <w:highlight w:val="none"/>
                <w:lang w:eastAsia="zh-CN" w:bidi="ar-SA"/>
              </w:rPr>
              <w:t>中小微企业响应是指在政府采购活动中，</w:t>
            </w:r>
            <w:r>
              <w:rPr>
                <w:rFonts w:hint="eastAsia" w:ascii="宋体" w:hAnsi="宋体" w:eastAsia="宋体" w:cs="宋体"/>
                <w:color w:val="auto"/>
                <w:kern w:val="2"/>
                <w:sz w:val="21"/>
                <w:szCs w:val="21"/>
                <w:highlight w:val="none"/>
                <w:lang w:val="en-US" w:eastAsia="zh-CN" w:bidi="ar-SA"/>
              </w:rPr>
              <w:t>投标人</w:t>
            </w:r>
            <w:r>
              <w:rPr>
                <w:rFonts w:ascii="宋体" w:hAnsi="宋体" w:eastAsia="宋体" w:cs="宋体"/>
                <w:color w:val="auto"/>
                <w:kern w:val="2"/>
                <w:sz w:val="21"/>
                <w:szCs w:val="21"/>
                <w:highlight w:val="none"/>
                <w:lang w:eastAsia="zh-CN" w:bidi="ar-SA"/>
              </w:rPr>
              <w:t>提供的货物均由中小微企业制造、工程均由中小微企业承建或者服务均由中小微企业承接，并在</w:t>
            </w:r>
            <w:r>
              <w:rPr>
                <w:rFonts w:hint="eastAsia" w:ascii="宋体" w:hAnsi="宋体" w:eastAsia="宋体" w:cs="宋体"/>
                <w:color w:val="auto"/>
                <w:kern w:val="2"/>
                <w:sz w:val="21"/>
                <w:szCs w:val="21"/>
                <w:highlight w:val="none"/>
                <w:lang w:val="en-US" w:eastAsia="zh-CN" w:bidi="ar-SA"/>
              </w:rPr>
              <w:t>投标</w:t>
            </w:r>
            <w:r>
              <w:rPr>
                <w:rFonts w:ascii="宋体" w:hAnsi="宋体" w:eastAsia="宋体" w:cs="宋体"/>
                <w:color w:val="auto"/>
                <w:kern w:val="2"/>
                <w:sz w:val="21"/>
                <w:szCs w:val="21"/>
                <w:highlight w:val="none"/>
                <w:lang w:eastAsia="zh-CN" w:bidi="ar-SA"/>
              </w:rPr>
              <w:t>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中小企业划分见《关于印发中小企业划型标准规定的通知》（工信部联企业〔2011〕300号) 。</w:t>
            </w:r>
          </w:p>
          <w:p w14:paraId="156A82B2">
            <w:pPr>
              <w:pStyle w:val="21"/>
              <w:ind w:firstLine="480"/>
              <w:jc w:val="both"/>
              <w:rPr>
                <w:rFonts w:ascii="宋体" w:hAnsi="宋体" w:eastAsia="宋体" w:cs="宋体"/>
                <w:color w:val="auto"/>
                <w:kern w:val="2"/>
                <w:sz w:val="21"/>
                <w:szCs w:val="21"/>
                <w:highlight w:val="none"/>
                <w:lang w:eastAsia="zh-CN" w:bidi="ar-SA"/>
              </w:rPr>
            </w:pPr>
            <w:r>
              <w:rPr>
                <w:rFonts w:ascii="宋体" w:hAnsi="宋体" w:eastAsia="宋体" w:cs="宋体"/>
                <w:color w:val="auto"/>
                <w:kern w:val="2"/>
                <w:sz w:val="21"/>
                <w:szCs w:val="21"/>
                <w:highlight w:val="none"/>
                <w:lang w:eastAsia="zh-CN" w:bidi="ar-SA"/>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14:paraId="4DA0405C">
            <w:pPr>
              <w:pStyle w:val="21"/>
              <w:ind w:firstLine="480" w:firstLineChars="0"/>
              <w:jc w:val="both"/>
              <w:rPr>
                <w:rFonts w:hint="eastAsia" w:ascii="宋体" w:hAnsi="宋体" w:eastAsia="宋体" w:cs="宋体"/>
                <w:color w:val="auto"/>
                <w:kern w:val="2"/>
                <w:sz w:val="21"/>
                <w:szCs w:val="21"/>
                <w:highlight w:val="none"/>
                <w:lang w:eastAsia="zh-CN" w:bidi="ar-SA"/>
              </w:rPr>
            </w:pPr>
            <w:r>
              <w:rPr>
                <w:rFonts w:ascii="宋体" w:hAnsi="宋体" w:eastAsia="宋体" w:cs="宋体"/>
                <w:color w:val="auto"/>
                <w:kern w:val="2"/>
                <w:sz w:val="21"/>
                <w:szCs w:val="21"/>
                <w:highlight w:val="none"/>
                <w:lang w:eastAsia="zh-CN" w:bidi="ar-SA"/>
              </w:rPr>
              <w:t>根据财库〔2017〕141号《财政部民政部中国残疾人联合会关于促进残疾人就业政府采购政策的通知》，在政府采购活动中，残疾人福利性单位视同小型、微型企业，享受政府采购支持政策的残疾人福利性单位应当同时满足《财政部民政部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tc>
      </w:tr>
    </w:tbl>
    <w:p w14:paraId="6AE314C9"/>
    <w:p w14:paraId="0492079D"/>
    <w:p w14:paraId="07B6CC44"/>
    <w:p w14:paraId="4023B03F"/>
    <w:p w14:paraId="76405CAA"/>
    <w:p w14:paraId="357FFB81">
      <w:pPr>
        <w:rPr>
          <w:b/>
          <w:color w:val="auto"/>
          <w:sz w:val="28"/>
          <w:szCs w:val="28"/>
          <w:highlight w:val="none"/>
        </w:rPr>
      </w:pPr>
      <w:r>
        <w:rPr>
          <w:rFonts w:hint="eastAsia"/>
          <w:b/>
          <w:color w:val="auto"/>
          <w:sz w:val="28"/>
          <w:szCs w:val="28"/>
          <w:highlight w:val="none"/>
        </w:rPr>
        <w:t>工程施工地点位置（标识）示意图：</w:t>
      </w:r>
    </w:p>
    <w:p w14:paraId="7008A083">
      <w:pPr>
        <w:spacing w:line="240" w:lineRule="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8386445" cy="4826635"/>
            <wp:effectExtent l="0" t="0" r="12065" b="14605"/>
            <wp:docPr id="20" name="图片 20" descr="699d1407e6de7c9e380de215b57a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99d1407e6de7c9e380de215b57a277"/>
                    <pic:cNvPicPr>
                      <a:picLocks noChangeAspect="1"/>
                    </pic:cNvPicPr>
                  </pic:nvPicPr>
                  <pic:blipFill>
                    <a:blip r:embed="rId21"/>
                    <a:stretch>
                      <a:fillRect/>
                    </a:stretch>
                  </pic:blipFill>
                  <pic:spPr>
                    <a:xfrm rot="16200000">
                      <a:off x="0" y="0"/>
                      <a:ext cx="8386445" cy="4826635"/>
                    </a:xfrm>
                    <a:prstGeom prst="rect">
                      <a:avLst/>
                    </a:prstGeom>
                  </pic:spPr>
                </pic:pic>
              </a:graphicData>
            </a:graphic>
          </wp:inline>
        </w:drawing>
      </w:r>
    </w:p>
    <w:p w14:paraId="61037D85">
      <w:pPr>
        <w:spacing w:line="240" w:lineRule="auto"/>
        <w:rPr>
          <w:rFonts w:hint="eastAsia" w:eastAsia="宋体"/>
          <w:color w:val="auto"/>
          <w:highlight w:val="none"/>
          <w:lang w:eastAsia="zh-CN"/>
        </w:rPr>
      </w:pPr>
    </w:p>
    <w:p w14:paraId="06BF8280">
      <w:pPr>
        <w:pStyle w:val="6"/>
        <w:ind w:left="0"/>
        <w:rPr>
          <w:color w:val="auto"/>
          <w:highlight w:val="none"/>
        </w:rPr>
      </w:pPr>
      <w:bookmarkStart w:id="2" w:name="_Toc21525491"/>
      <w:bookmarkStart w:id="3" w:name="_Toc2272547"/>
      <w:r>
        <w:rPr>
          <w:rFonts w:hint="eastAsia"/>
          <w:color w:val="auto"/>
          <w:highlight w:val="none"/>
        </w:rPr>
        <w:t>二、投标须知修改表</w:t>
      </w:r>
      <w:bookmarkEnd w:id="2"/>
      <w:bookmarkEnd w:id="3"/>
    </w:p>
    <w:p w14:paraId="4D29FE61">
      <w:pPr>
        <w:spacing w:line="480" w:lineRule="auto"/>
        <w:ind w:firstLine="472" w:firstLineChars="224"/>
        <w:rPr>
          <w:b/>
          <w:color w:val="auto"/>
          <w:szCs w:val="21"/>
          <w:highlight w:val="none"/>
        </w:rPr>
      </w:pPr>
      <w:r>
        <w:rPr>
          <w:rFonts w:hint="eastAsia"/>
          <w:b/>
          <w:color w:val="auto"/>
          <w:szCs w:val="21"/>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w:t>
      </w:r>
      <w:r>
        <w:rPr>
          <w:color w:val="auto"/>
          <w:highlight w:val="none"/>
        </w:rPr>
        <w:fldChar w:fldCharType="begin"/>
      </w:r>
      <w:r>
        <w:rPr>
          <w:color w:val="auto"/>
          <w:highlight w:val="none"/>
        </w:rPr>
        <w:instrText xml:space="preserve"> HYPERLINK "http://zfcj.gz.gov.cn/）下载查阅。" </w:instrText>
      </w:r>
      <w:r>
        <w:rPr>
          <w:color w:val="auto"/>
          <w:highlight w:val="none"/>
        </w:rPr>
        <w:fldChar w:fldCharType="separate"/>
      </w:r>
      <w:r>
        <w:rPr>
          <w:rStyle w:val="20"/>
          <w:rFonts w:hint="eastAsia"/>
          <w:b/>
          <w:color w:val="auto"/>
          <w:szCs w:val="21"/>
          <w:highlight w:val="none"/>
        </w:rPr>
        <w:t>http://zfcj.gz.gov.cn/）下载查阅。</w:t>
      </w:r>
      <w:r>
        <w:rPr>
          <w:rStyle w:val="20"/>
          <w:rFonts w:hint="eastAsia"/>
          <w:b/>
          <w:color w:val="auto"/>
          <w:szCs w:val="21"/>
          <w:highlight w:val="none"/>
        </w:rPr>
        <w:fldChar w:fldCharType="end"/>
      </w:r>
    </w:p>
    <w:p w14:paraId="04A367FA">
      <w:pPr>
        <w:spacing w:line="480" w:lineRule="auto"/>
        <w:ind w:firstLine="472" w:firstLineChars="224"/>
        <w:rPr>
          <w:b/>
          <w:color w:val="auto"/>
          <w:szCs w:val="21"/>
          <w:highlight w:val="none"/>
        </w:rPr>
      </w:pPr>
      <w:r>
        <w:rPr>
          <w:rFonts w:hint="eastAsia"/>
          <w:b/>
          <w:color w:val="auto"/>
          <w:szCs w:val="21"/>
          <w:highlight w:val="none"/>
        </w:rPr>
        <w:t>条款号：</w:t>
      </w:r>
      <w:r>
        <w:rPr>
          <w:rFonts w:hint="eastAsia" w:ascii="宋体" w:hAnsi="宋体"/>
          <w:bCs/>
          <w:color w:val="auto"/>
          <w:sz w:val="24"/>
          <w:highlight w:val="none"/>
        </w:rPr>
        <w:t xml:space="preserve">5.1   </w:t>
      </w:r>
      <w:r>
        <w:rPr>
          <w:rFonts w:ascii="宋体" w:hAnsi="宋体"/>
          <w:bCs/>
          <w:color w:val="auto"/>
          <w:sz w:val="24"/>
          <w:highlight w:val="none"/>
        </w:rPr>
        <w:t xml:space="preserve">    </w:t>
      </w:r>
      <w:r>
        <w:rPr>
          <w:b/>
          <w:color w:val="auto"/>
          <w:szCs w:val="21"/>
          <w:highlight w:val="none"/>
        </w:rPr>
        <w:t xml:space="preserve">      </w:t>
      </w:r>
      <w:r>
        <w:rPr>
          <w:rFonts w:hint="eastAsia"/>
          <w:b/>
          <w:color w:val="auto"/>
          <w:szCs w:val="21"/>
          <w:highlight w:val="none"/>
        </w:rPr>
        <w:t>修改类型：修改</w:t>
      </w:r>
    </w:p>
    <w:p w14:paraId="78270662">
      <w:pPr>
        <w:pBdr>
          <w:bottom w:val="single" w:color="auto" w:sz="6" w:space="1"/>
        </w:pBdr>
        <w:spacing w:line="440" w:lineRule="exact"/>
        <w:ind w:firstLine="472" w:firstLineChars="224"/>
        <w:rPr>
          <w:rFonts w:ascii="宋体" w:hAnsi="宋体"/>
          <w:bCs/>
          <w:color w:val="auto"/>
          <w:szCs w:val="21"/>
          <w:highlight w:val="none"/>
        </w:rPr>
      </w:pPr>
      <w:r>
        <w:rPr>
          <w:rFonts w:hint="eastAsia"/>
          <w:b/>
          <w:color w:val="auto"/>
          <w:szCs w:val="21"/>
          <w:highlight w:val="none"/>
        </w:rPr>
        <w:t>原文：</w:t>
      </w:r>
      <w:r>
        <w:rPr>
          <w:rFonts w:hint="eastAsia" w:ascii="宋体" w:hAnsi="宋体"/>
          <w:bCs/>
          <w:color w:val="auto"/>
          <w:szCs w:val="21"/>
          <w:highlight w:val="none"/>
        </w:rPr>
        <w:t>5.1 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00B2CBD5">
      <w:pPr>
        <w:pBdr>
          <w:bottom w:val="single" w:color="auto" w:sz="6" w:space="1"/>
        </w:pBdr>
        <w:spacing w:line="440" w:lineRule="exact"/>
        <w:ind w:firstLine="472" w:firstLineChars="224"/>
        <w:rPr>
          <w:rFonts w:ascii="宋体" w:hAnsi="宋体"/>
          <w:bCs/>
          <w:color w:val="auto"/>
          <w:szCs w:val="21"/>
          <w:highlight w:val="none"/>
        </w:rPr>
      </w:pPr>
      <w:r>
        <w:rPr>
          <w:rFonts w:hint="eastAsia" w:ascii="宋体" w:hAnsi="宋体"/>
          <w:b/>
          <w:color w:val="auto"/>
          <w:szCs w:val="21"/>
          <w:highlight w:val="none"/>
        </w:rPr>
        <w:t>现文</w:t>
      </w:r>
      <w:r>
        <w:rPr>
          <w:rFonts w:hint="eastAsia" w:ascii="宋体" w:hAnsi="宋体"/>
          <w:bCs/>
          <w:color w:val="auto"/>
          <w:szCs w:val="21"/>
          <w:highlight w:val="none"/>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bCs/>
          <w:color w:val="auto"/>
          <w:szCs w:val="21"/>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bCs/>
          <w:color w:val="auto"/>
          <w:szCs w:val="21"/>
          <w:highlight w:val="none"/>
        </w:rPr>
        <w:t>一旦中标，这种考察即被认为其结果已在中标文件中得到充分反映。考察现场的费用由投标人自己承担。</w:t>
      </w:r>
    </w:p>
    <w:p w14:paraId="0AFE4CA1">
      <w:pPr>
        <w:spacing w:line="480" w:lineRule="auto"/>
        <w:ind w:firstLine="472" w:firstLineChars="224"/>
        <w:rPr>
          <w:b/>
          <w:color w:val="auto"/>
          <w:szCs w:val="21"/>
          <w:highlight w:val="none"/>
        </w:rPr>
      </w:pPr>
      <w:r>
        <w:rPr>
          <w:rFonts w:hint="eastAsia"/>
          <w:b/>
          <w:color w:val="auto"/>
          <w:szCs w:val="21"/>
          <w:highlight w:val="none"/>
        </w:rPr>
        <w:t>条款号：</w:t>
      </w:r>
      <w:r>
        <w:rPr>
          <w:rFonts w:hint="eastAsia" w:ascii="宋体" w:hAnsi="宋体" w:cs="宋体"/>
          <w:b/>
          <w:color w:val="auto"/>
          <w:szCs w:val="21"/>
          <w:highlight w:val="none"/>
        </w:rPr>
        <w:t>7.1</w:t>
      </w:r>
      <w:r>
        <w:rPr>
          <w:b/>
          <w:color w:val="auto"/>
          <w:szCs w:val="21"/>
          <w:highlight w:val="none"/>
        </w:rPr>
        <w:t xml:space="preserve">             </w:t>
      </w:r>
      <w:r>
        <w:rPr>
          <w:rFonts w:hint="eastAsia"/>
          <w:b/>
          <w:color w:val="auto"/>
          <w:szCs w:val="21"/>
          <w:highlight w:val="none"/>
        </w:rPr>
        <w:t>修改类型：修改</w:t>
      </w:r>
    </w:p>
    <w:p w14:paraId="613EC100">
      <w:pPr>
        <w:pBdr>
          <w:bottom w:val="single" w:color="auto" w:sz="6" w:space="1"/>
        </w:pBdr>
        <w:spacing w:line="360" w:lineRule="exact"/>
        <w:ind w:firstLine="472" w:firstLineChars="224"/>
        <w:rPr>
          <w:rFonts w:ascii="宋体" w:hAnsi="宋体"/>
          <w:bCs/>
          <w:color w:val="auto"/>
          <w:szCs w:val="21"/>
          <w:highlight w:val="none"/>
        </w:rPr>
      </w:pPr>
      <w:r>
        <w:rPr>
          <w:rFonts w:hint="eastAsia"/>
          <w:b/>
          <w:color w:val="auto"/>
          <w:szCs w:val="21"/>
          <w:highlight w:val="none"/>
        </w:rPr>
        <w:t>原文：</w:t>
      </w:r>
      <w:r>
        <w:rPr>
          <w:rFonts w:hint="eastAsia" w:ascii="宋体" w:hAnsi="宋体"/>
          <w:bCs/>
          <w:color w:val="auto"/>
          <w:szCs w:val="21"/>
          <w:highlight w:val="none"/>
        </w:rPr>
        <w:t>7.1本招标文件包括下列文件，以及所有按本须知第8条发出的招标答疑会会议纪要和按本须知第9条发出的澄清或修改：</w:t>
      </w:r>
    </w:p>
    <w:p w14:paraId="7ECBA1D6">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第一章  投标须知</w:t>
      </w:r>
    </w:p>
    <w:p w14:paraId="40D5172C">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第二章  开标、评标及定标办法</w:t>
      </w:r>
    </w:p>
    <w:p w14:paraId="3BFF2ED1">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第三章  合同条款</w:t>
      </w:r>
    </w:p>
    <w:p w14:paraId="3AB79406">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第四章  投标文件格式</w:t>
      </w:r>
    </w:p>
    <w:p w14:paraId="66861794">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第五章  技术条件（工程建设标准）（另册）</w:t>
      </w:r>
    </w:p>
    <w:p w14:paraId="50C300B2">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第六章  图纸及勘察资料（另册）</w:t>
      </w:r>
    </w:p>
    <w:p w14:paraId="56AFF8C9">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第七章  招标工程量清单（另册）</w:t>
      </w:r>
    </w:p>
    <w:p w14:paraId="70C587DA">
      <w:pPr>
        <w:pBdr>
          <w:bottom w:val="single" w:color="auto" w:sz="6" w:space="1"/>
        </w:pBdr>
        <w:spacing w:line="360" w:lineRule="exact"/>
        <w:ind w:firstLine="470" w:firstLineChars="224"/>
        <w:rPr>
          <w:rFonts w:ascii="宋体" w:hAnsi="宋体"/>
          <w:bCs/>
          <w:color w:val="auto"/>
          <w:szCs w:val="21"/>
          <w:highlight w:val="none"/>
        </w:rPr>
      </w:pPr>
      <w:r>
        <w:rPr>
          <w:rFonts w:hint="eastAsia" w:ascii="宋体" w:hAnsi="宋体"/>
          <w:bCs/>
          <w:color w:val="auto"/>
          <w:szCs w:val="21"/>
          <w:highlight w:val="none"/>
        </w:rPr>
        <w:t>第八章  最高投标限价</w:t>
      </w:r>
    </w:p>
    <w:p w14:paraId="38C78506">
      <w:pPr>
        <w:pBdr>
          <w:bottom w:val="single" w:color="auto" w:sz="6" w:space="1"/>
        </w:pBdr>
        <w:spacing w:line="360" w:lineRule="exact"/>
        <w:ind w:firstLine="470" w:firstLineChars="224"/>
        <w:rPr>
          <w:rFonts w:hint="eastAsia" w:ascii="宋体" w:hAnsi="宋体"/>
          <w:bCs/>
          <w:color w:val="auto"/>
          <w:szCs w:val="21"/>
          <w:highlight w:val="none"/>
          <w:lang w:eastAsia="zh-CN"/>
        </w:rPr>
      </w:pPr>
      <w:r>
        <w:rPr>
          <w:rFonts w:hint="eastAsia" w:ascii="宋体" w:hAnsi="宋体"/>
          <w:bCs/>
          <w:color w:val="auto"/>
          <w:szCs w:val="21"/>
          <w:highlight w:val="none"/>
        </w:rPr>
        <w:t>注：①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②鼓励招标人对施工组织设计或施工方案实行隐藏投标人信息的暗标评审</w:t>
      </w:r>
      <w:r>
        <w:rPr>
          <w:rFonts w:hint="eastAsia" w:ascii="宋体" w:hAnsi="宋体"/>
          <w:bCs/>
          <w:color w:val="auto"/>
          <w:szCs w:val="21"/>
          <w:highlight w:val="none"/>
          <w:lang w:eastAsia="zh-CN"/>
        </w:rPr>
        <w:t>。</w:t>
      </w:r>
    </w:p>
    <w:p w14:paraId="15B831F8">
      <w:pPr>
        <w:pBdr>
          <w:bottom w:val="single" w:color="auto" w:sz="6" w:space="1"/>
        </w:pBdr>
        <w:spacing w:line="360" w:lineRule="exact"/>
        <w:ind w:firstLine="472" w:firstLineChars="224"/>
        <w:rPr>
          <w:rFonts w:hint="eastAsia"/>
          <w:b w:val="0"/>
          <w:bCs/>
          <w:color w:val="auto"/>
          <w:szCs w:val="21"/>
          <w:highlight w:val="none"/>
        </w:rPr>
      </w:pPr>
      <w:r>
        <w:rPr>
          <w:rFonts w:hint="eastAsia"/>
          <w:b/>
          <w:color w:val="auto"/>
          <w:szCs w:val="21"/>
          <w:highlight w:val="none"/>
        </w:rPr>
        <w:t>现文：</w:t>
      </w:r>
      <w:r>
        <w:rPr>
          <w:rFonts w:hint="eastAsia" w:ascii="宋体" w:hAnsi="宋体" w:cs="宋体"/>
          <w:b w:val="0"/>
          <w:bCs/>
          <w:color w:val="auto"/>
          <w:szCs w:val="21"/>
          <w:highlight w:val="none"/>
        </w:rPr>
        <w:t>7.1</w:t>
      </w:r>
      <w:r>
        <w:rPr>
          <w:rFonts w:hint="eastAsia"/>
          <w:b w:val="0"/>
          <w:bCs/>
          <w:color w:val="auto"/>
          <w:szCs w:val="21"/>
          <w:highlight w:val="none"/>
        </w:rPr>
        <w:t>本招标文件包括下列文件，以及所有按本须知第8条发出的招标答疑会会议纪要和按本须知第</w:t>
      </w:r>
      <w:r>
        <w:rPr>
          <w:rFonts w:hint="eastAsia" w:ascii="宋体" w:hAnsi="宋体" w:cs="宋体"/>
          <w:b w:val="0"/>
          <w:bCs/>
          <w:color w:val="auto"/>
          <w:szCs w:val="21"/>
          <w:highlight w:val="none"/>
        </w:rPr>
        <w:t>9</w:t>
      </w:r>
      <w:r>
        <w:rPr>
          <w:rFonts w:hint="eastAsia"/>
          <w:b w:val="0"/>
          <w:bCs/>
          <w:color w:val="auto"/>
          <w:szCs w:val="21"/>
          <w:highlight w:val="none"/>
        </w:rPr>
        <w:t>条发出的澄清或修改：</w:t>
      </w:r>
    </w:p>
    <w:p w14:paraId="3EFEE053">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第一章  投标须知</w:t>
      </w:r>
    </w:p>
    <w:p w14:paraId="70D1F228">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第二章  开标、评标及定标办法</w:t>
      </w:r>
    </w:p>
    <w:p w14:paraId="21E11501">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第三章  合同条款</w:t>
      </w:r>
      <w:r>
        <w:rPr>
          <w:rFonts w:hint="eastAsia"/>
          <w:b w:val="0"/>
          <w:bCs/>
          <w:color w:val="auto"/>
          <w:szCs w:val="21"/>
          <w:highlight w:val="none"/>
          <w:u w:val="single"/>
        </w:rPr>
        <w:t>（另册</w:t>
      </w:r>
      <w:r>
        <w:rPr>
          <w:rFonts w:hint="eastAsia"/>
          <w:b w:val="0"/>
          <w:bCs/>
          <w:color w:val="auto"/>
          <w:szCs w:val="21"/>
          <w:highlight w:val="none"/>
        </w:rPr>
        <w:t>）</w:t>
      </w:r>
    </w:p>
    <w:p w14:paraId="2C0810E9">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第四章  投标文件格式</w:t>
      </w:r>
    </w:p>
    <w:p w14:paraId="061F86B9">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第五章  技术条件（工程建设标准）</w:t>
      </w:r>
      <w:r>
        <w:rPr>
          <w:rFonts w:hint="eastAsia" w:ascii="宋体" w:hAnsi="宋体"/>
          <w:bCs/>
          <w:strike/>
          <w:color w:val="auto"/>
          <w:sz w:val="21"/>
          <w:szCs w:val="21"/>
          <w:highlight w:val="none"/>
          <w:u w:val="single"/>
        </w:rPr>
        <w:t>（另册）</w:t>
      </w:r>
    </w:p>
    <w:p w14:paraId="7EB55EFD">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第六章  图纸</w:t>
      </w:r>
      <w:r>
        <w:rPr>
          <w:rFonts w:hint="eastAsia"/>
          <w:b w:val="0"/>
          <w:bCs/>
          <w:strike/>
          <w:color w:val="auto"/>
          <w:szCs w:val="21"/>
          <w:highlight w:val="none"/>
        </w:rPr>
        <w:t>及勘察资料</w:t>
      </w:r>
      <w:r>
        <w:rPr>
          <w:rFonts w:hint="eastAsia"/>
          <w:b w:val="0"/>
          <w:bCs/>
          <w:color w:val="auto"/>
          <w:szCs w:val="21"/>
          <w:highlight w:val="none"/>
        </w:rPr>
        <w:t>（另册）</w:t>
      </w:r>
    </w:p>
    <w:p w14:paraId="4D093ED2">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第七章  招标工程量清单（另册）</w:t>
      </w:r>
    </w:p>
    <w:p w14:paraId="71E7303F">
      <w:pPr>
        <w:pBdr>
          <w:bottom w:val="single" w:color="auto" w:sz="6" w:space="1"/>
        </w:pBdr>
        <w:spacing w:line="360" w:lineRule="exact"/>
        <w:ind w:firstLine="470" w:firstLineChars="224"/>
        <w:rPr>
          <w:rFonts w:hint="eastAsia"/>
          <w:b w:val="0"/>
          <w:bCs/>
          <w:color w:val="auto"/>
          <w:szCs w:val="21"/>
          <w:highlight w:val="none"/>
        </w:rPr>
      </w:pPr>
      <w:r>
        <w:rPr>
          <w:rFonts w:hint="eastAsia"/>
          <w:b w:val="0"/>
          <w:bCs/>
          <w:color w:val="auto"/>
          <w:szCs w:val="21"/>
          <w:highlight w:val="none"/>
        </w:rPr>
        <w:t>第八章  最高投标限价</w:t>
      </w:r>
      <w:r>
        <w:rPr>
          <w:rFonts w:hint="eastAsia"/>
          <w:b w:val="0"/>
          <w:bCs/>
          <w:color w:val="auto"/>
          <w:szCs w:val="21"/>
          <w:highlight w:val="none"/>
          <w:u w:val="single"/>
        </w:rPr>
        <w:t>（另册）</w:t>
      </w:r>
    </w:p>
    <w:p w14:paraId="5C5A883F">
      <w:pPr>
        <w:pBdr>
          <w:bottom w:val="single" w:color="auto" w:sz="6" w:space="1"/>
        </w:pBdr>
        <w:spacing w:line="360" w:lineRule="exact"/>
        <w:ind w:firstLine="470" w:firstLineChars="224"/>
        <w:rPr>
          <w:rFonts w:ascii="宋体" w:hAnsi="宋体"/>
          <w:bCs/>
          <w:color w:val="auto"/>
          <w:szCs w:val="21"/>
          <w:highlight w:val="none"/>
        </w:rPr>
      </w:pPr>
      <w:r>
        <w:rPr>
          <w:rFonts w:hint="eastAsia"/>
          <w:b w:val="0"/>
          <w:bCs/>
          <w:color w:val="auto"/>
          <w:szCs w:val="21"/>
          <w:highlight w:val="none"/>
        </w:rPr>
        <w:t>注：①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②鼓励招标人对施工组织设计或施工方案实行隐藏投标人信息的暗标评审。</w:t>
      </w:r>
    </w:p>
    <w:p w14:paraId="66043B58">
      <w:pPr>
        <w:spacing w:line="480" w:lineRule="auto"/>
        <w:ind w:firstLine="472" w:firstLineChars="224"/>
        <w:rPr>
          <w:b/>
          <w:color w:val="auto"/>
          <w:szCs w:val="21"/>
          <w:highlight w:val="none"/>
        </w:rPr>
      </w:pPr>
      <w:r>
        <w:rPr>
          <w:rFonts w:hint="eastAsia"/>
          <w:b/>
          <w:color w:val="auto"/>
          <w:szCs w:val="21"/>
          <w:highlight w:val="none"/>
        </w:rPr>
        <w:t>条款号：</w:t>
      </w:r>
      <w:r>
        <w:rPr>
          <w:rFonts w:hint="eastAsia" w:ascii="宋体" w:hAnsi="宋体"/>
          <w:bCs/>
          <w:color w:val="auto"/>
          <w:szCs w:val="21"/>
          <w:highlight w:val="none"/>
        </w:rPr>
        <w:t xml:space="preserve">8.1      </w:t>
      </w:r>
      <w:r>
        <w:rPr>
          <w:b/>
          <w:color w:val="auto"/>
          <w:szCs w:val="21"/>
          <w:highlight w:val="none"/>
        </w:rPr>
        <w:t xml:space="preserve">       </w:t>
      </w:r>
      <w:r>
        <w:rPr>
          <w:rFonts w:hint="eastAsia"/>
          <w:b/>
          <w:color w:val="auto"/>
          <w:szCs w:val="21"/>
          <w:highlight w:val="none"/>
        </w:rPr>
        <w:t>修改类型：修改</w:t>
      </w:r>
    </w:p>
    <w:p w14:paraId="1E6514F2">
      <w:pPr>
        <w:pStyle w:val="4"/>
        <w:spacing w:after="0" w:line="360" w:lineRule="auto"/>
        <w:ind w:firstLine="422" w:firstLineChars="200"/>
        <w:rPr>
          <w:b/>
          <w:color w:val="auto"/>
          <w:szCs w:val="21"/>
          <w:highlight w:val="none"/>
        </w:rPr>
      </w:pPr>
      <w:r>
        <w:rPr>
          <w:rFonts w:hint="eastAsia"/>
          <w:b/>
          <w:color w:val="auto"/>
          <w:szCs w:val="21"/>
          <w:highlight w:val="none"/>
        </w:rPr>
        <w:t>原文：</w:t>
      </w:r>
      <w:r>
        <w:rPr>
          <w:rFonts w:hint="eastAsia" w:ascii="宋体" w:hAnsi="宋体"/>
          <w:bCs/>
          <w:color w:val="auto"/>
          <w:szCs w:val="21"/>
          <w:highlight w:val="none"/>
        </w:rPr>
        <w:t>8.1 投标人若对招标文件（包括招标图纸）中有疑问，可以书面形式通过</w:t>
      </w:r>
      <w:r>
        <w:rPr>
          <w:rFonts w:hint="eastAsia" w:ascii="宋体" w:hAnsi="宋体"/>
          <w:bCs/>
          <w:color w:val="auto"/>
          <w:szCs w:val="21"/>
          <w:highlight w:val="none"/>
          <w:u w:val="single"/>
        </w:rPr>
        <w:t xml:space="preserve">        </w:t>
      </w:r>
      <w:r>
        <w:rPr>
          <w:rFonts w:hint="eastAsia" w:ascii="宋体" w:hAnsi="宋体"/>
          <w:bCs/>
          <w:color w:val="auto"/>
          <w:szCs w:val="21"/>
          <w:highlight w:val="none"/>
        </w:rPr>
        <w:t>交易平台提交给招标人或招标代理人，提交形式见本须知前附表第16项。</w:t>
      </w:r>
    </w:p>
    <w:p w14:paraId="2D72ECF5">
      <w:pPr>
        <w:pBdr>
          <w:bottom w:val="single" w:color="auto" w:sz="6" w:space="1"/>
        </w:pBdr>
        <w:spacing w:line="360" w:lineRule="auto"/>
        <w:ind w:firstLine="472" w:firstLineChars="224"/>
        <w:rPr>
          <w:rFonts w:ascii="宋体" w:hAnsi="宋体"/>
          <w:bCs/>
          <w:color w:val="auto"/>
          <w:szCs w:val="21"/>
          <w:highlight w:val="none"/>
        </w:rPr>
      </w:pPr>
      <w:r>
        <w:rPr>
          <w:rFonts w:hint="eastAsia"/>
          <w:b/>
          <w:color w:val="auto"/>
          <w:szCs w:val="21"/>
          <w:highlight w:val="none"/>
        </w:rPr>
        <w:t>现文：</w:t>
      </w:r>
      <w:r>
        <w:rPr>
          <w:rFonts w:hint="eastAsia" w:ascii="宋体" w:hAnsi="宋体"/>
          <w:bCs/>
          <w:color w:val="auto"/>
          <w:szCs w:val="21"/>
          <w:highlight w:val="none"/>
        </w:rPr>
        <w:t>8.1 投标人若对招标文件（包括招标图纸）中有疑问，可以书面形式通过</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广州交易集团有限公司（广州公共资源交易中心）</w:t>
      </w:r>
      <w:r>
        <w:rPr>
          <w:rFonts w:hint="eastAsia" w:ascii="宋体" w:hAnsi="宋体"/>
          <w:bCs/>
          <w:color w:val="auto"/>
          <w:szCs w:val="21"/>
          <w:highlight w:val="none"/>
          <w:u w:val="single"/>
        </w:rPr>
        <w:t xml:space="preserve"> </w:t>
      </w:r>
      <w:r>
        <w:rPr>
          <w:rFonts w:hint="eastAsia" w:ascii="宋体" w:hAnsi="宋体"/>
          <w:bCs/>
          <w:color w:val="auto"/>
          <w:szCs w:val="21"/>
          <w:highlight w:val="none"/>
        </w:rPr>
        <w:t>交易平台提交给招标人或招标代理人，提交形式见本须知前附表第16项。</w:t>
      </w:r>
    </w:p>
    <w:p w14:paraId="4D196B67">
      <w:pPr>
        <w:pBdr>
          <w:bottom w:val="single" w:color="auto" w:sz="6" w:space="1"/>
        </w:pBdr>
        <w:spacing w:line="360" w:lineRule="auto"/>
        <w:ind w:firstLine="470" w:firstLineChars="224"/>
        <w:rPr>
          <w:rFonts w:ascii="宋体" w:hAnsi="宋体"/>
          <w:bCs/>
          <w:color w:val="auto"/>
          <w:szCs w:val="21"/>
          <w:highlight w:val="none"/>
        </w:rPr>
      </w:pPr>
      <w:r>
        <w:rPr>
          <w:rFonts w:hint="eastAsia" w:ascii="宋体" w:hAnsi="宋体"/>
          <w:bCs/>
          <w:color w:val="auto"/>
          <w:szCs w:val="21"/>
          <w:highlight w:val="none"/>
        </w:rPr>
        <w:t>网上答疑的操作指南为：登陆</w:t>
      </w:r>
      <w:r>
        <w:rPr>
          <w:rFonts w:hint="eastAsia" w:ascii="宋体" w:hAnsi="宋体"/>
          <w:bCs/>
          <w:color w:val="auto"/>
          <w:szCs w:val="21"/>
          <w:highlight w:val="none"/>
          <w:lang w:eastAsia="zh-CN"/>
        </w:rPr>
        <w:t>广州交易集团有限公司（广州公共资源交易中心）</w:t>
      </w:r>
      <w:r>
        <w:rPr>
          <w:rFonts w:hint="eastAsia" w:ascii="宋体" w:hAnsi="宋体"/>
          <w:bCs/>
          <w:color w:val="auto"/>
          <w:szCs w:val="21"/>
          <w:highlight w:val="none"/>
        </w:rPr>
        <w:t>新建设工程交易平台中“我是投标人”→“我的投标”→“招标答疑提问”通过项目编号或名称找到所需的项目→在上述的答疑时间内点击“提问” →无记名或匿名提出问题以及查看所有的问题（提交问题时需插入投标人CA证书）。</w:t>
      </w:r>
    </w:p>
    <w:p w14:paraId="61B49739">
      <w:pPr>
        <w:pStyle w:val="10"/>
        <w:rPr>
          <w:b/>
          <w:color w:val="auto"/>
          <w:szCs w:val="21"/>
          <w:highlight w:val="none"/>
        </w:rPr>
      </w:pPr>
    </w:p>
    <w:p w14:paraId="543DD95D">
      <w:pPr>
        <w:spacing w:line="480" w:lineRule="auto"/>
        <w:ind w:firstLine="422" w:firstLineChars="200"/>
        <w:rPr>
          <w:b/>
          <w:color w:val="auto"/>
          <w:szCs w:val="21"/>
          <w:highlight w:val="none"/>
        </w:rPr>
      </w:pPr>
      <w:r>
        <w:rPr>
          <w:rFonts w:hint="eastAsia"/>
          <w:b/>
          <w:color w:val="auto"/>
          <w:szCs w:val="21"/>
          <w:highlight w:val="none"/>
        </w:rPr>
        <w:t>条款号</w:t>
      </w:r>
      <w:r>
        <w:rPr>
          <w:rFonts w:hint="eastAsia" w:asciiTheme="minorEastAsia" w:hAnsiTheme="minorEastAsia" w:eastAsiaTheme="minorEastAsia" w:cstheme="minorEastAsia"/>
          <w:b/>
          <w:color w:val="auto"/>
          <w:szCs w:val="21"/>
          <w:highlight w:val="none"/>
        </w:rPr>
        <w:t xml:space="preserve">：8.2     </w:t>
      </w:r>
      <w:r>
        <w:rPr>
          <w:b/>
          <w:color w:val="auto"/>
          <w:szCs w:val="21"/>
          <w:highlight w:val="none"/>
        </w:rPr>
        <w:t xml:space="preserve">      </w:t>
      </w:r>
      <w:r>
        <w:rPr>
          <w:rFonts w:hint="eastAsia"/>
          <w:b/>
          <w:color w:val="auto"/>
          <w:szCs w:val="21"/>
          <w:highlight w:val="none"/>
        </w:rPr>
        <w:t>修改类型：修改</w:t>
      </w:r>
    </w:p>
    <w:p w14:paraId="2B948571">
      <w:pPr>
        <w:pStyle w:val="10"/>
        <w:spacing w:line="360" w:lineRule="auto"/>
        <w:rPr>
          <w:bCs/>
          <w:color w:val="auto"/>
          <w:szCs w:val="21"/>
          <w:highlight w:val="none"/>
        </w:rPr>
      </w:pPr>
      <w:r>
        <w:rPr>
          <w:rFonts w:hint="eastAsia"/>
          <w:b/>
          <w:color w:val="auto"/>
          <w:szCs w:val="21"/>
          <w:highlight w:val="none"/>
        </w:rPr>
        <w:t xml:space="preserve">  </w:t>
      </w:r>
      <w:r>
        <w:rPr>
          <w:rFonts w:hint="eastAsia"/>
          <w:bCs/>
          <w:color w:val="auto"/>
          <w:szCs w:val="21"/>
          <w:highlight w:val="none"/>
        </w:rPr>
        <w:t xml:space="preserve"> </w:t>
      </w:r>
      <w:r>
        <w:rPr>
          <w:rFonts w:hint="eastAsia"/>
          <w:b/>
          <w:color w:val="auto"/>
          <w:szCs w:val="21"/>
          <w:highlight w:val="none"/>
        </w:rPr>
        <w:t>原文：</w:t>
      </w:r>
      <w:r>
        <w:rPr>
          <w:rFonts w:hint="eastAsia"/>
          <w:bCs/>
          <w:color w:val="auto"/>
          <w:szCs w:val="21"/>
          <w:highlight w:val="none"/>
        </w:rPr>
        <w:t xml:space="preserve"> 8.2 招标答疑会会议纪要将在提交投标文件截止时间15日前在</w:t>
      </w:r>
      <w:r>
        <w:rPr>
          <w:rFonts w:hint="eastAsia"/>
          <w:bCs/>
          <w:color w:val="auto"/>
          <w:szCs w:val="21"/>
          <w:highlight w:val="none"/>
          <w:u w:val="single"/>
        </w:rPr>
        <w:t xml:space="preserve">        </w:t>
      </w:r>
      <w:r>
        <w:rPr>
          <w:rFonts w:hint="eastAsia"/>
          <w:bCs/>
          <w:color w:val="auto"/>
          <w:szCs w:val="21"/>
          <w:highlight w:val="none"/>
        </w:rPr>
        <w:t>交易平台“项目答疑纪要”专区公开发布。答疑纪要一经在</w:t>
      </w:r>
      <w:r>
        <w:rPr>
          <w:rFonts w:hint="eastAsia"/>
          <w:bCs/>
          <w:color w:val="auto"/>
          <w:szCs w:val="21"/>
          <w:highlight w:val="none"/>
          <w:u w:val="single"/>
        </w:rPr>
        <w:t xml:space="preserve">        </w:t>
      </w:r>
      <w:r>
        <w:rPr>
          <w:rFonts w:hint="eastAsia"/>
          <w:bCs/>
          <w:color w:val="auto"/>
          <w:szCs w:val="21"/>
          <w:highlight w:val="none"/>
        </w:rPr>
        <w:t>交易平台发布，视作已发放给所有投标人。</w:t>
      </w:r>
    </w:p>
    <w:p w14:paraId="6675B7E2">
      <w:pPr>
        <w:pStyle w:val="10"/>
        <w:spacing w:line="360" w:lineRule="auto"/>
        <w:ind w:firstLine="211" w:firstLineChars="100"/>
        <w:rPr>
          <w:bCs/>
          <w:color w:val="auto"/>
          <w:szCs w:val="21"/>
          <w:highlight w:val="none"/>
        </w:rPr>
      </w:pPr>
      <w:r>
        <w:rPr>
          <w:rFonts w:hint="eastAsia"/>
          <w:b/>
          <w:color w:val="auto"/>
          <w:szCs w:val="21"/>
          <w:highlight w:val="none"/>
        </w:rPr>
        <w:t>现文：</w:t>
      </w:r>
      <w:r>
        <w:rPr>
          <w:rFonts w:hint="eastAsia"/>
          <w:bCs/>
          <w:color w:val="auto"/>
          <w:szCs w:val="21"/>
          <w:highlight w:val="none"/>
        </w:rPr>
        <w:t>8.2 招标答疑会会议纪要将在提交投标文件截止时间15日前在</w:t>
      </w:r>
      <w:r>
        <w:rPr>
          <w:rFonts w:hint="eastAsia"/>
          <w:bCs/>
          <w:color w:val="auto"/>
          <w:szCs w:val="21"/>
          <w:highlight w:val="none"/>
          <w:u w:val="single"/>
          <w:lang w:eastAsia="zh-CN"/>
        </w:rPr>
        <w:t>广州交易集团有限公司（广州公共资源交易中心）</w:t>
      </w:r>
      <w:r>
        <w:rPr>
          <w:rFonts w:hint="eastAsia"/>
          <w:bCs/>
          <w:color w:val="auto"/>
          <w:szCs w:val="21"/>
          <w:highlight w:val="none"/>
        </w:rPr>
        <w:t>交易平台</w:t>
      </w:r>
      <w:r>
        <w:rPr>
          <w:rFonts w:hint="eastAsia"/>
          <w:bCs/>
          <w:color w:val="auto"/>
          <w:szCs w:val="21"/>
          <w:highlight w:val="none"/>
          <w:u w:val="single"/>
        </w:rPr>
        <w:t>“建设工程”→“项目查询（日程安排、答疑纪要）”</w:t>
      </w:r>
      <w:r>
        <w:rPr>
          <w:rFonts w:hint="eastAsia"/>
          <w:bCs/>
          <w:color w:val="auto"/>
          <w:szCs w:val="21"/>
          <w:highlight w:val="none"/>
        </w:rPr>
        <w:t>专区公开发布。答疑纪要一经在</w:t>
      </w:r>
      <w:r>
        <w:rPr>
          <w:rFonts w:hint="eastAsia"/>
          <w:bCs/>
          <w:color w:val="auto"/>
          <w:szCs w:val="21"/>
          <w:highlight w:val="none"/>
          <w:u w:val="single"/>
          <w:lang w:eastAsia="zh-CN"/>
        </w:rPr>
        <w:t>广州交易集团有限公司（广州公共资源交易中心）</w:t>
      </w:r>
      <w:r>
        <w:rPr>
          <w:rFonts w:hint="eastAsia"/>
          <w:bCs/>
          <w:color w:val="auto"/>
          <w:szCs w:val="21"/>
          <w:highlight w:val="none"/>
        </w:rPr>
        <w:t>交易平台发布，视作已发放给所有投标人。</w:t>
      </w:r>
    </w:p>
    <w:p w14:paraId="1A8E7A43">
      <w:pPr>
        <w:pStyle w:val="10"/>
        <w:spacing w:line="360" w:lineRule="auto"/>
        <w:rPr>
          <w:bCs/>
          <w:color w:val="auto"/>
          <w:szCs w:val="21"/>
          <w:highlight w:val="none"/>
          <w:u w:val="single"/>
        </w:rPr>
      </w:pPr>
      <w:r>
        <w:rPr>
          <w:rFonts w:hint="eastAsia"/>
          <w:bCs/>
          <w:color w:val="auto"/>
          <w:szCs w:val="21"/>
          <w:highlight w:val="none"/>
          <w:u w:val="single"/>
        </w:rPr>
        <w:t xml:space="preserve">                                                                                   </w:t>
      </w:r>
    </w:p>
    <w:p w14:paraId="254E25F0">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条款号：9.2</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50ECB090">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9.2 招标文件的澄清或修改将在</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交易平台“项目答疑纪要”专区公开发布。答疑纪要一经在</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交易平台发布，视作已发放给所有投标人，以</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交易平台上网发布时间作为送达时间。</w:t>
      </w:r>
    </w:p>
    <w:p w14:paraId="155B6F43">
      <w:pPr>
        <w:pBdr>
          <w:bottom w:val="single" w:color="auto" w:sz="6" w:space="1"/>
        </w:pBd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9.2 招标文件的澄清或修改将在</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w:t>
      </w:r>
      <w:r>
        <w:rPr>
          <w:rFonts w:hint="eastAsia" w:ascii="宋体" w:hAnsi="宋体"/>
          <w:color w:val="auto"/>
          <w:szCs w:val="21"/>
          <w:highlight w:val="none"/>
          <w:u w:val="single"/>
        </w:rPr>
        <w:t>“建设工程”→“项目查询（日程安排、答疑纪要）”</w:t>
      </w:r>
      <w:r>
        <w:rPr>
          <w:rFonts w:hint="eastAsia" w:ascii="宋体" w:hAnsi="宋体"/>
          <w:color w:val="auto"/>
          <w:szCs w:val="21"/>
          <w:highlight w:val="none"/>
        </w:rPr>
        <w:t>专区公开发布。答疑纪要一经在</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交易平台发布，视作已发放给所有投标人，以</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交易平台上网发布时间作为送达时间。</w:t>
      </w:r>
    </w:p>
    <w:p w14:paraId="3017C09F">
      <w:pPr>
        <w:pStyle w:val="10"/>
        <w:rPr>
          <w:b/>
          <w:color w:val="auto"/>
          <w:szCs w:val="21"/>
          <w:highlight w:val="none"/>
        </w:rPr>
      </w:pPr>
      <w:r>
        <w:rPr>
          <w:rFonts w:hint="eastAsia"/>
          <w:b/>
          <w:color w:val="auto"/>
          <w:szCs w:val="21"/>
          <w:highlight w:val="none"/>
        </w:rPr>
        <w:t xml:space="preserve">     </w:t>
      </w:r>
    </w:p>
    <w:p w14:paraId="0291B98E">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条款号：9.4</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3B6079B3">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9.4 招标文件的澄清或修改均以书面形式明确的内容为准。当招标文件的澄清、修改、补充等在同一内容的表述不一致时，以最后发出的书面形式的文件为准。</w:t>
      </w:r>
    </w:p>
    <w:p w14:paraId="42D51990">
      <w:pPr>
        <w:pBdr>
          <w:bottom w:val="single" w:color="auto" w:sz="6" w:space="1"/>
        </w:pBdr>
        <w:spacing w:line="360" w:lineRule="auto"/>
        <w:ind w:firstLine="527" w:firstLineChars="250"/>
        <w:rPr>
          <w:rFonts w:ascii="宋体" w:hAnsi="宋体"/>
          <w:color w:val="auto"/>
          <w:highlight w:val="none"/>
        </w:rPr>
      </w:pPr>
      <w:r>
        <w:rPr>
          <w:rFonts w:hint="eastAsia" w:ascii="宋体" w:hAnsi="宋体"/>
          <w:b/>
          <w:color w:val="auto"/>
          <w:szCs w:val="21"/>
          <w:highlight w:val="none"/>
        </w:rPr>
        <w:t>现文：</w:t>
      </w:r>
      <w:r>
        <w:rPr>
          <w:rFonts w:hint="eastAsia" w:ascii="宋体" w:hAnsi="宋体"/>
          <w:color w:val="auto"/>
          <w:szCs w:val="21"/>
          <w:highlight w:val="none"/>
        </w:rPr>
        <w:t>9.4 招标文件的澄清或修改均以</w:t>
      </w:r>
      <w:r>
        <w:rPr>
          <w:rFonts w:hint="eastAsia" w:ascii="宋体" w:hAnsi="宋体"/>
          <w:color w:val="auto"/>
          <w:szCs w:val="21"/>
          <w:highlight w:val="none"/>
          <w:u w:val="single"/>
        </w:rPr>
        <w:t>在</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交易平台“建设工程”→“项目查询（日程安排、答疑纪要）”专区公开发布</w:t>
      </w:r>
      <w:r>
        <w:rPr>
          <w:rFonts w:hint="eastAsia" w:ascii="宋体" w:hAnsi="宋体"/>
          <w:color w:val="auto"/>
          <w:szCs w:val="21"/>
          <w:highlight w:val="none"/>
        </w:rPr>
        <w:t>的内容为准。当招标文件的澄清、修改、补充等在同一内容的表述不一致时，以最后发出的文件为准。</w:t>
      </w:r>
    </w:p>
    <w:p w14:paraId="700874F0">
      <w:pPr>
        <w:pStyle w:val="10"/>
        <w:rPr>
          <w:b/>
          <w:color w:val="auto"/>
          <w:szCs w:val="21"/>
          <w:highlight w:val="none"/>
        </w:rPr>
      </w:pPr>
    </w:p>
    <w:p w14:paraId="10AB6347">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7944E956">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原文：11．投标文件的组成</w:t>
      </w:r>
    </w:p>
    <w:p w14:paraId="1076E95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11.1 投标文件由技术部分（含资格审查文件）和经济部分二部分投标文件组成。</w:t>
      </w:r>
    </w:p>
    <w:p w14:paraId="6EA19A1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 投标文件技术标部分主要包括下列内容:</w:t>
      </w:r>
    </w:p>
    <w:p w14:paraId="506C7EB3">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11.2.1 技术投标文件(按招标文件的要求填写)；</w:t>
      </w:r>
    </w:p>
    <w:p w14:paraId="0F8AA0E8">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11.2.2 资格审查文件：</w:t>
      </w:r>
    </w:p>
    <w:p w14:paraId="7AF0D240">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 xml:space="preserve">（1）投标人声明； </w:t>
      </w:r>
    </w:p>
    <w:p w14:paraId="67522FB1">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（2）法定代表人证明书、法定代表人签字或盖章的本投标文件授权委托证明书；</w:t>
      </w:r>
    </w:p>
    <w:p w14:paraId="5775A8EC">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（3）企业营业执照扫描件或电子证照；</w:t>
      </w:r>
    </w:p>
    <w:p w14:paraId="6739DC9F">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（4）企业资质证书扫描件或电子证照；</w:t>
      </w:r>
    </w:p>
    <w:p w14:paraId="713E820F">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（5）建筑施工企业安全生产许可证扫描件或电子证照；</w:t>
      </w:r>
    </w:p>
    <w:p w14:paraId="1986E064">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（6）项目负责人（按网上投标登记时选择拟投入本项目的项目负责人）</w:t>
      </w:r>
    </w:p>
    <w:p w14:paraId="58A59B5D">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（7）专职安全员（按网上投标登记时选择拟投入本项目的专职安全员）</w:t>
      </w:r>
    </w:p>
    <w:p w14:paraId="7CCE6A6A">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（8）拟委托技术负责人的相关证书、资料（具体要求由招标人明确）</w:t>
      </w:r>
    </w:p>
    <w:p w14:paraId="0F167799">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 xml:space="preserve">（9）拟委派项目负责人的有效期内的建造师注册证书扫描件或电子证书；  </w:t>
      </w:r>
    </w:p>
    <w:p w14:paraId="457A8180">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（10）项目负责人在有效期内的安全生产考核合格证书（B类）或建筑施工企业项目负责人安全生产考核合格证书扫描件或电子证书；</w:t>
      </w:r>
    </w:p>
    <w:p w14:paraId="46EB3F01">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（11）专职安全员须具有在有效期内的安全生产考核合格证书（C类）或建筑施工企业专职安全生产管理人员安全生产考核合格证书扫描件或电子证书；</w:t>
      </w:r>
    </w:p>
    <w:p w14:paraId="35F80653">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（12）用于资格审查的业绩（设置业绩要求时选择此项，投标人须提供类似工程业绩的项目名称及项目编号，具体格式由招标人自定）；</w:t>
      </w:r>
    </w:p>
    <w:p w14:paraId="7CAA5AA6">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 xml:space="preserve">（13）资格审查前，投标人须在广州市住房和城乡建设局建立企业信用档案，拟担任本工程项目负责人、专职安全员须是本企业信用档案中的在册人员； </w:t>
      </w:r>
    </w:p>
    <w:p w14:paraId="2308B756">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14:paraId="58DE0C5D">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注：1.相关电子证书按规定需打印后手写本人签名的，应按照规定手写本人签名后再扫描提交。</w:t>
      </w:r>
    </w:p>
    <w:p w14:paraId="5137761A">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32025CBA">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11.2.3 项目管理机构配备。</w:t>
      </w:r>
    </w:p>
    <w:p w14:paraId="7705A073">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（1）投标人应列出该项目工程的施工组织机构构成和画出机构框架图及其负责人；</w:t>
      </w:r>
    </w:p>
    <w:p w14:paraId="4A48A34F">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（2）投标人应详细列出该施工组织机构中主要成员的名单、简历资料、职务职称和在本项目中拟担任的职务等资料，并附上有关证明材料扫描件；</w:t>
      </w:r>
    </w:p>
    <w:p w14:paraId="654F9350">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（3）其他辅助说明资料。</w:t>
      </w:r>
    </w:p>
    <w:p w14:paraId="1566B5DC">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11.2.4 投标人在广州市可使用适合本工程的机械设备（附：机械设备为自有或租赁的说明；及承诺机械设备如属于租赁的，其租赁是不属于重复租赁）。</w:t>
      </w:r>
    </w:p>
    <w:p w14:paraId="4EAD60D2">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11.2.5 施工组织设计或施工方案。</w:t>
      </w:r>
    </w:p>
    <w:p w14:paraId="31A0D775">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（1）投标人在编制施工组织设计或施工方案时应按照招标人提出的施工现场建筑垃圾源头减量的具体要求以及建筑垃圾综合利用产品的使用要求提供相应措施。</w:t>
      </w:r>
    </w:p>
    <w:p w14:paraId="1DA2126F">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1FF8DA3D">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11.2.6 按照招标文件要求填写的《参与编制技术标投标文件人员名单》。</w:t>
      </w:r>
    </w:p>
    <w:p w14:paraId="58EADEFC">
      <w:pPr>
        <w:spacing w:line="360" w:lineRule="auto"/>
        <w:ind w:firstLine="525" w:firstLineChars="250"/>
        <w:rPr>
          <w:rFonts w:hint="eastAsia" w:eastAsia="宋体"/>
          <w:color w:val="auto"/>
          <w:highlight w:val="none"/>
          <w:lang w:eastAsia="zh-CN"/>
        </w:rPr>
      </w:pPr>
      <w:r>
        <w:rPr>
          <w:rFonts w:hint="eastAsia" w:ascii="宋体" w:hAnsi="宋体"/>
          <w:color w:val="auto"/>
          <w:szCs w:val="21"/>
          <w:highlight w:val="none"/>
        </w:rPr>
        <w:t>11.3 经济部分投标文件主要包括下列内容：</w:t>
      </w:r>
    </w:p>
    <w:p w14:paraId="5ECE8F0E">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11.3.1 经济投标文件(按招标文件的要求填写)。</w:t>
      </w:r>
    </w:p>
    <w:p w14:paraId="5FF68525">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 xml:space="preserve">11.3.2 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14:paraId="3F3CC315">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（1）投标总价封面、扉页；</w:t>
      </w:r>
    </w:p>
    <w:p w14:paraId="13335892">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（2）总说明</w:t>
      </w:r>
    </w:p>
    <w:p w14:paraId="2CAD2E7A">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（3）工程项目投标报价汇总表；</w:t>
      </w:r>
    </w:p>
    <w:p w14:paraId="306FA03D">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（4）单项工程投标报价汇总表；</w:t>
      </w:r>
    </w:p>
    <w:p w14:paraId="14DE425F">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（5）单位工程投标报价汇总表；</w:t>
      </w:r>
    </w:p>
    <w:p w14:paraId="11D09C7E">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（6）分部分项工程清单与计价表；</w:t>
      </w:r>
    </w:p>
    <w:p w14:paraId="06FFC0D0">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（7）单价措施项目清单与计价表；</w:t>
      </w:r>
    </w:p>
    <w:p w14:paraId="5ABDD776">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（8）总价措施项目清单与计价表；</w:t>
      </w:r>
    </w:p>
    <w:p w14:paraId="32B93BD7">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（9）综合单价分析表；</w:t>
      </w:r>
    </w:p>
    <w:p w14:paraId="29B13D1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（10）其他项目清单与计价汇总表；</w:t>
      </w:r>
    </w:p>
    <w:p w14:paraId="5B49B5A7">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（11）暂列金额明细表；</w:t>
      </w:r>
    </w:p>
    <w:p w14:paraId="5F1F3A22">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（12）材料（工程设备）暂估价明细表；</w:t>
      </w:r>
    </w:p>
    <w:p w14:paraId="01409645">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（13）专业工程暂估价明细表；</w:t>
      </w:r>
    </w:p>
    <w:p w14:paraId="7AD7964B">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（14）计日工表；</w:t>
      </w:r>
    </w:p>
    <w:p w14:paraId="14AB5BD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（15）总承包服务计价表；</w:t>
      </w:r>
    </w:p>
    <w:p w14:paraId="1D78664C">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（16）规费和税金项目计价表；</w:t>
      </w:r>
    </w:p>
    <w:p w14:paraId="2A10C4FF">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（17）人工、主要材料和设备一览表</w:t>
      </w:r>
    </w:p>
    <w:p w14:paraId="6B509C2B">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11.3.3 按照招标文件要求填写的《参与编制经济标投标文件人员名单》。</w:t>
      </w:r>
    </w:p>
    <w:p w14:paraId="78216E4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11.3.4 若投标人的投标报价低于工程成本警戒价的，投标人还须提供详细的施工组织设计、单价、措施性费用、单价分析表、主要材料价格表、投标人成本分析供评标委员会评审。</w:t>
      </w:r>
    </w:p>
    <w:p w14:paraId="475A3D0F">
      <w:pPr>
        <w:pStyle w:val="4"/>
        <w:spacing w:after="0" w:line="360" w:lineRule="auto"/>
        <w:ind w:firstLine="422" w:firstLineChars="200"/>
        <w:rPr>
          <w:rFonts w:ascii="宋体"/>
          <w:b/>
          <w:bCs/>
          <w:color w:val="auto"/>
          <w:szCs w:val="21"/>
          <w:highlight w:val="none"/>
        </w:rPr>
      </w:pPr>
      <w:r>
        <w:rPr>
          <w:rFonts w:hint="eastAsia" w:ascii="宋体" w:hAnsi="宋体"/>
          <w:b/>
          <w:color w:val="auto"/>
          <w:szCs w:val="21"/>
          <w:highlight w:val="none"/>
        </w:rPr>
        <w:t>现文：</w:t>
      </w:r>
      <w:r>
        <w:rPr>
          <w:rFonts w:ascii="宋体" w:hAnsi="宋体"/>
          <w:b/>
          <w:bCs/>
          <w:color w:val="auto"/>
          <w:szCs w:val="21"/>
          <w:highlight w:val="none"/>
        </w:rPr>
        <w:t>11</w:t>
      </w:r>
      <w:r>
        <w:rPr>
          <w:rFonts w:hint="eastAsia" w:ascii="宋体" w:hAnsi="宋体"/>
          <w:b/>
          <w:bCs/>
          <w:color w:val="auto"/>
          <w:szCs w:val="21"/>
          <w:highlight w:val="none"/>
        </w:rPr>
        <w:t>．投标文件的组成</w:t>
      </w:r>
    </w:p>
    <w:p w14:paraId="24A63CAC">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 投标文件由技术部分（含资格审查文件）和经济部分二部分投标文件组成。</w:t>
      </w:r>
    </w:p>
    <w:p w14:paraId="5CB55BF7">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11.2投标文件技术标部分主要包括下列内容:</w:t>
      </w:r>
    </w:p>
    <w:p w14:paraId="7A331643">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11.2.1 技术投标文件(按招标文件的要求填写)；</w:t>
      </w:r>
    </w:p>
    <w:p w14:paraId="612ED41A">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11.2.2 资格审查文件：</w:t>
      </w:r>
    </w:p>
    <w:p w14:paraId="00D18ECC">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 xml:space="preserve">（1）投标人声明（已按照招标公告附件的内容签署盖章的）； </w:t>
      </w:r>
    </w:p>
    <w:p w14:paraId="7AB4A5D8">
      <w:pPr>
        <w:pStyle w:val="5"/>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u w:val="single"/>
        </w:rPr>
        <w:t>（2）法定代表人证明书、法定代表人签字或盖章的本投标文件授权委托证明书</w:t>
      </w:r>
      <w:r>
        <w:rPr>
          <w:rFonts w:hint="eastAsia" w:ascii="宋体" w:hAnsi="宋体"/>
          <w:color w:val="auto"/>
          <w:szCs w:val="21"/>
          <w:highlight w:val="none"/>
          <w:u w:val="single"/>
          <w:lang w:eastAsia="zh-CN"/>
        </w:rPr>
        <w:t>；</w:t>
      </w:r>
    </w:p>
    <w:p w14:paraId="1F6812F1">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（3）企业营业执照扫描件或电子证照；</w:t>
      </w:r>
    </w:p>
    <w:p w14:paraId="3E4EBC5C">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4）企业资质证书扫描件或电子证照（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p>
    <w:p w14:paraId="71D30C72">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（5）建筑施工企业安全生产许可证扫描件或电子证照；</w:t>
      </w:r>
    </w:p>
    <w:p w14:paraId="194E262B">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项目负责人（按网上投标登记时选择拟投入本项目的项目负责人）；</w:t>
      </w:r>
    </w:p>
    <w:p w14:paraId="650BEA25">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7</w:t>
      </w:r>
      <w:r>
        <w:rPr>
          <w:rFonts w:hint="eastAsia" w:ascii="宋体" w:hAnsi="宋体"/>
          <w:color w:val="auto"/>
          <w:szCs w:val="21"/>
          <w:highlight w:val="none"/>
          <w:u w:val="single"/>
        </w:rPr>
        <w:t>）专职安全员（按网上投标登记时选择拟投入本项目的专职安全员）；</w:t>
      </w:r>
    </w:p>
    <w:p w14:paraId="381CDDBE">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8</w:t>
      </w:r>
      <w:r>
        <w:rPr>
          <w:rFonts w:hint="eastAsia" w:ascii="宋体" w:hAnsi="宋体"/>
          <w:color w:val="auto"/>
          <w:szCs w:val="21"/>
          <w:highlight w:val="none"/>
          <w:u w:val="single"/>
        </w:rPr>
        <w:t>）拟委</w:t>
      </w:r>
      <w:r>
        <w:rPr>
          <w:rFonts w:hint="eastAsia" w:ascii="宋体" w:hAnsi="宋体"/>
          <w:color w:val="auto"/>
          <w:szCs w:val="21"/>
          <w:highlight w:val="none"/>
          <w:u w:val="single"/>
          <w:lang w:val="en-US" w:eastAsia="zh-CN"/>
        </w:rPr>
        <w:t>托</w:t>
      </w:r>
      <w:r>
        <w:rPr>
          <w:rFonts w:hint="eastAsia" w:ascii="宋体" w:hAnsi="宋体"/>
          <w:color w:val="auto"/>
          <w:szCs w:val="21"/>
          <w:highlight w:val="none"/>
          <w:u w:val="single"/>
        </w:rPr>
        <w:t>技术负责人的相关证书、资料扫描件或电子证书；</w:t>
      </w:r>
    </w:p>
    <w:p w14:paraId="4E094434">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9</w:t>
      </w:r>
      <w:r>
        <w:rPr>
          <w:rFonts w:hint="eastAsia" w:ascii="宋体" w:hAnsi="宋体"/>
          <w:color w:val="auto"/>
          <w:szCs w:val="21"/>
          <w:highlight w:val="none"/>
          <w:u w:val="single"/>
        </w:rPr>
        <w:t>）拟委派项目负责人的有效期内的建造师注册证书扫描件或电子证书；</w:t>
      </w:r>
    </w:p>
    <w:p w14:paraId="74C52237">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）项目负责人须</w:t>
      </w:r>
      <w:r>
        <w:rPr>
          <w:rFonts w:ascii="宋体" w:hAnsi="宋体" w:cs="Calibri"/>
          <w:bCs/>
          <w:color w:val="auto"/>
          <w:szCs w:val="21"/>
          <w:highlight w:val="none"/>
          <w:u w:val="single"/>
        </w:rPr>
        <w:t>持有</w:t>
      </w:r>
      <w:r>
        <w:rPr>
          <w:rFonts w:hint="eastAsia" w:ascii="宋体" w:hAnsi="宋体"/>
          <w:color w:val="auto"/>
          <w:szCs w:val="21"/>
          <w:highlight w:val="none"/>
          <w:u w:val="single"/>
        </w:rPr>
        <w:t>有效期内的安全</w:t>
      </w:r>
      <w:r>
        <w:rPr>
          <w:rFonts w:hint="eastAsia" w:ascii="宋体" w:hAnsi="宋体"/>
          <w:color w:val="auto"/>
          <w:szCs w:val="21"/>
          <w:highlight w:val="none"/>
          <w:u w:val="single"/>
          <w:lang w:val="en-US" w:eastAsia="zh-CN"/>
        </w:rPr>
        <w:t>生产</w:t>
      </w:r>
      <w:r>
        <w:rPr>
          <w:rFonts w:hint="eastAsia" w:ascii="宋体" w:hAnsi="宋体"/>
          <w:color w:val="auto"/>
          <w:szCs w:val="21"/>
          <w:highlight w:val="none"/>
          <w:u w:val="single"/>
        </w:rPr>
        <w:t>考核合格证书（B类）或建筑施工企业项目负责人安全生产考核合格证书扫描件或电子证书；</w:t>
      </w:r>
    </w:p>
    <w:p w14:paraId="0502AFE8">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11</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专职安全员须具有安全生产考核合格证（C类）或建筑施工企业专职安全生产管理人员安全生产考核合格证（C3类）扫描件或电子证书；</w:t>
      </w:r>
    </w:p>
    <w:p w14:paraId="2951EEFF">
      <w:pPr>
        <w:pStyle w:val="5"/>
        <w:spacing w:line="360" w:lineRule="auto"/>
        <w:ind w:firstLine="420" w:firstLineChars="200"/>
        <w:rPr>
          <w:rFonts w:hint="eastAsia" w:ascii="宋体" w:hAnsi="宋体" w:cs="Calibri"/>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12</w:t>
      </w:r>
      <w:r>
        <w:rPr>
          <w:rFonts w:hint="eastAsia" w:ascii="宋体" w:hAnsi="宋体"/>
          <w:color w:val="auto"/>
          <w:szCs w:val="21"/>
          <w:highlight w:val="none"/>
          <w:u w:val="single"/>
          <w:lang w:eastAsia="zh-CN"/>
        </w:rPr>
        <w:t>）</w:t>
      </w:r>
      <w:r>
        <w:rPr>
          <w:rFonts w:hint="eastAsia" w:ascii="宋体" w:hAnsi="宋体"/>
          <w:bCs w:val="0"/>
          <w:color w:val="auto"/>
          <w:sz w:val="21"/>
          <w:szCs w:val="21"/>
          <w:highlight w:val="none"/>
          <w:u w:val="single"/>
        </w:rPr>
        <w:t xml:space="preserve">资格审查前，投标人须在广州交易集团有限公司（广州公共资源交易中心）办理信息登记等相关投标登记手续及拟担任本工程项目负责人、专职安全员须是本企业的在册人员且与广州交易集团有限公司（广州公共资源交易中心）办理信息登记一致； </w:t>
      </w:r>
    </w:p>
    <w:p w14:paraId="4BA9B155">
      <w:pPr>
        <w:pStyle w:val="5"/>
        <w:spacing w:line="360" w:lineRule="auto"/>
        <w:ind w:firstLine="420" w:firstLineChars="200"/>
        <w:rPr>
          <w:rFonts w:hint="eastAsia" w:ascii="宋体" w:hAnsi="宋体" w:cs="Calibri"/>
          <w:color w:val="auto"/>
          <w:szCs w:val="21"/>
          <w:highlight w:val="none"/>
          <w:u w:val="single"/>
        </w:rPr>
      </w:pPr>
      <w:r>
        <w:rPr>
          <w:rFonts w:hint="eastAsia" w:ascii="宋体" w:hAnsi="宋体"/>
          <w:color w:val="auto"/>
          <w:szCs w:val="21"/>
          <w:highlight w:val="none"/>
          <w:u w:val="single"/>
          <w:lang w:val="en-US" w:eastAsia="zh-CN"/>
        </w:rPr>
        <w:t>（13）</w:t>
      </w:r>
      <w:r>
        <w:rPr>
          <w:rFonts w:hint="eastAsia" w:ascii="宋体" w:hAnsi="宋体"/>
          <w:color w:val="auto"/>
          <w:szCs w:val="21"/>
          <w:highlight w:val="none"/>
          <w:u w:val="single"/>
        </w:rPr>
        <w:t>《中小企业声明函》</w:t>
      </w:r>
      <w:r>
        <w:rPr>
          <w:rFonts w:hint="eastAsia" w:ascii="宋体" w:hAnsi="宋体"/>
          <w:color w:val="auto"/>
          <w:szCs w:val="21"/>
          <w:highlight w:val="none"/>
          <w:u w:val="single"/>
          <w:lang w:eastAsia="zh-CN"/>
        </w:rPr>
        <w:t>（如有）、</w:t>
      </w:r>
      <w:r>
        <w:rPr>
          <w:rFonts w:hint="eastAsia" w:ascii="宋体" w:hAnsi="宋体"/>
          <w:color w:val="auto"/>
          <w:szCs w:val="21"/>
          <w:highlight w:val="none"/>
          <w:u w:val="single"/>
        </w:rPr>
        <w:t>监狱企业证明</w:t>
      </w:r>
      <w:r>
        <w:rPr>
          <w:rFonts w:hint="eastAsia" w:ascii="宋体" w:hAnsi="宋体"/>
          <w:color w:val="auto"/>
          <w:szCs w:val="21"/>
          <w:highlight w:val="none"/>
          <w:u w:val="single"/>
          <w:lang w:eastAsia="zh-CN"/>
        </w:rPr>
        <w:t>文件（如有）、</w:t>
      </w:r>
      <w:r>
        <w:rPr>
          <w:rFonts w:hint="eastAsia" w:ascii="宋体" w:hAnsi="宋体"/>
          <w:color w:val="auto"/>
          <w:szCs w:val="21"/>
          <w:highlight w:val="none"/>
          <w:u w:val="single"/>
        </w:rPr>
        <w:t>《残疾人福利性单位声明函》</w:t>
      </w:r>
      <w:r>
        <w:rPr>
          <w:rFonts w:hint="eastAsia" w:ascii="宋体" w:hAnsi="宋体"/>
          <w:color w:val="auto"/>
          <w:szCs w:val="21"/>
          <w:highlight w:val="none"/>
          <w:u w:val="single"/>
          <w:lang w:eastAsia="zh-CN"/>
        </w:rPr>
        <w:t>（如有）</w:t>
      </w:r>
      <w:r>
        <w:rPr>
          <w:rFonts w:hint="eastAsia" w:ascii="宋体" w:hAnsi="宋体"/>
          <w:color w:val="auto"/>
          <w:szCs w:val="21"/>
          <w:highlight w:val="none"/>
          <w:u w:val="single"/>
        </w:rPr>
        <w:t>（格式见</w:t>
      </w:r>
      <w:r>
        <w:rPr>
          <w:rFonts w:hint="eastAsia" w:ascii="宋体" w:hAnsi="宋体"/>
          <w:color w:val="auto"/>
          <w:szCs w:val="21"/>
          <w:highlight w:val="none"/>
          <w:u w:val="single"/>
          <w:lang w:eastAsia="zh-CN"/>
        </w:rPr>
        <w:t>第四章</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w:t>
      </w:r>
    </w:p>
    <w:p w14:paraId="73E7AB39">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注：</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上述没有要求提交的资料，不作为资格审查不合格的依据。</w:t>
      </w:r>
    </w:p>
    <w:p w14:paraId="4E4C4FAC">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lang w:eastAsia="zh-CN"/>
        </w:rPr>
        <w:t>2</w:t>
      </w:r>
      <w:r>
        <w:rPr>
          <w:rFonts w:hint="eastAsia" w:ascii="宋体" w:hAnsi="宋体"/>
          <w:color w:val="auto"/>
          <w:szCs w:val="21"/>
          <w:highlight w:val="none"/>
          <w:u w:val="single"/>
        </w:rPr>
        <w:t>.相关电子证书按规定需打印后手写本人签名的，应按照规定手写本人签名后再扫描提交。</w:t>
      </w:r>
    </w:p>
    <w:p w14:paraId="7CB26BE2">
      <w:pPr>
        <w:pStyle w:val="5"/>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lang w:eastAsia="zh-CN"/>
        </w:rPr>
        <w:t>3</w:t>
      </w:r>
      <w:r>
        <w:rPr>
          <w:rFonts w:hint="eastAsia" w:ascii="宋体" w:hAnsi="宋体"/>
          <w:color w:val="auto"/>
          <w:szCs w:val="21"/>
          <w:highlight w:val="none"/>
          <w:u w:val="single"/>
          <w:lang w:val="en-US" w:eastAsia="zh-CN"/>
        </w:rPr>
        <w:t>.</w:t>
      </w:r>
      <w:r>
        <w:rPr>
          <w:rFonts w:hint="eastAsia" w:ascii="宋体" w:hAnsi="宋体" w:eastAsia="宋体" w:cs="Times New Roman"/>
          <w:b w:val="0"/>
          <w:bCs w:val="0"/>
          <w:color w:val="auto"/>
          <w:szCs w:val="21"/>
          <w:highlight w:val="none"/>
          <w:u w:val="single"/>
        </w:rPr>
        <w:t>投标人在投标登记时选择了拟投入本项目的项目负责人、专职安全员，即已满足“资格审查前，投标人须在广州交易集团有限公司（广州公共资源交易中心）办理信息登记等相关投标登记手续，拟担任本工程项目负责人、专职安全员须是本企业信用档案中的在册人员”的要求，投标人无需提供证明材料。</w:t>
      </w:r>
    </w:p>
    <w:p w14:paraId="73284AF7">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11.2.3项目管理机构配备。</w:t>
      </w:r>
    </w:p>
    <w:p w14:paraId="0B6ABA08">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（1）本工程的施工组织机构图；</w:t>
      </w:r>
    </w:p>
    <w:p w14:paraId="76CB4337">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（2）施工组织机构主要成员的名单及有关证明材料扫描件；</w:t>
      </w:r>
    </w:p>
    <w:p w14:paraId="0B28FCB6">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11.2.4企业资信相关证明文件；</w:t>
      </w:r>
    </w:p>
    <w:p w14:paraId="67AB8468">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11.2.5《投标函》（格式见第四章）；</w:t>
      </w:r>
    </w:p>
    <w:p w14:paraId="71E3035A">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11.2.6《响应招标文件所附施工组织设计要点的承诺书》（格式见第四章）；</w:t>
      </w:r>
    </w:p>
    <w:p w14:paraId="12E33744">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11.2.7《技术承诺函》（格式见第四章）；</w:t>
      </w:r>
    </w:p>
    <w:p w14:paraId="06119DCC">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11.2.8《施工项目管理团队人员信息表》（格式见第四章）；</w:t>
      </w:r>
    </w:p>
    <w:p w14:paraId="47857621">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11.2.9《承诺书》（格式见第四章）；</w:t>
      </w:r>
    </w:p>
    <w:p w14:paraId="33426AAC">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11.2.10 《投标人基本资料》（格式见第四章，不作为废标条款）；</w:t>
      </w:r>
    </w:p>
    <w:p w14:paraId="614517DE">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11.2.11 按照招标文件要求填写的《参与编制技术标投标文件人员名单》。</w:t>
      </w:r>
    </w:p>
    <w:p w14:paraId="385737C9">
      <w:pPr>
        <w:pStyle w:val="5"/>
        <w:spacing w:line="360" w:lineRule="auto"/>
        <w:ind w:firstLine="420" w:firstLineChars="200"/>
        <w:rPr>
          <w:rFonts w:ascii="宋体" w:hAnsi="宋体"/>
          <w:strike w:val="0"/>
          <w:color w:val="auto"/>
          <w:szCs w:val="21"/>
          <w:highlight w:val="none"/>
          <w:u w:val="single"/>
        </w:rPr>
      </w:pPr>
      <w:r>
        <w:rPr>
          <w:rFonts w:hint="eastAsia" w:ascii="宋体" w:hAnsi="宋体"/>
          <w:strike w:val="0"/>
          <w:color w:val="auto"/>
          <w:szCs w:val="21"/>
          <w:highlight w:val="none"/>
          <w:u w:val="single"/>
        </w:rPr>
        <w:t>11.2.12 《危险性较大的分部分项工程清单及超过一定规模的危险性较大的分部分项工程清单》（格式见第四章）；</w:t>
      </w:r>
    </w:p>
    <w:p w14:paraId="38225832">
      <w:pPr>
        <w:pStyle w:val="5"/>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u w:val="single"/>
        </w:rPr>
        <w:t>11.2.13《关于投标保证金的承诺》（格式见第四章）</w:t>
      </w:r>
      <w:r>
        <w:rPr>
          <w:rFonts w:hint="eastAsia" w:ascii="宋体" w:hAnsi="宋体"/>
          <w:color w:val="auto"/>
          <w:szCs w:val="21"/>
          <w:highlight w:val="none"/>
          <w:u w:val="single"/>
          <w:lang w:eastAsia="zh-CN"/>
        </w:rPr>
        <w:t>；</w:t>
      </w:r>
    </w:p>
    <w:p w14:paraId="7A859202">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11.2.14其他投标人认为应该提供的资料。</w:t>
      </w:r>
    </w:p>
    <w:p w14:paraId="49E0D417">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 经济部分投标文件主要包括下列内容：</w:t>
      </w:r>
    </w:p>
    <w:p w14:paraId="2EA2DA5B">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11.3.1 经济投标文件(按招标文件的要求填写)。</w:t>
      </w:r>
    </w:p>
    <w:p w14:paraId="5C74B2F5">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color w:val="auto"/>
          <w:szCs w:val="21"/>
          <w:highlight w:val="none"/>
          <w:u w:val="single"/>
        </w:rPr>
        <w:t>（投标报价的工程量清单的组成、格式等按</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的投标文件管理软件自动生成）</w:t>
      </w:r>
      <w:r>
        <w:rPr>
          <w:rFonts w:hint="eastAsia" w:ascii="宋体" w:hAnsi="宋体"/>
          <w:color w:val="auto"/>
          <w:szCs w:val="21"/>
          <w:highlight w:val="none"/>
        </w:rPr>
        <w:t>。</w:t>
      </w:r>
    </w:p>
    <w:p w14:paraId="6A50463D">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11.3.3按照招标文件要求填写的《参与编制经济标投标文件人员名单》。</w:t>
      </w:r>
    </w:p>
    <w:p w14:paraId="3B102CFF">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11.3.4 </w:t>
      </w:r>
      <w:r>
        <w:rPr>
          <w:rFonts w:hint="eastAsia" w:ascii="宋体" w:hAnsi="宋体"/>
          <w:color w:val="auto"/>
          <w:szCs w:val="21"/>
          <w:highlight w:val="none"/>
          <w:u w:val="single"/>
        </w:rPr>
        <w:t>《对投标文件编制的承诺》</w:t>
      </w:r>
      <w:r>
        <w:rPr>
          <w:rFonts w:hint="eastAsia" w:ascii="宋体" w:hAnsi="宋体"/>
          <w:color w:val="auto"/>
          <w:szCs w:val="21"/>
          <w:highlight w:val="none"/>
          <w:u w:val="single"/>
          <w:lang w:eastAsia="zh-CN"/>
        </w:rPr>
        <w:t>、</w:t>
      </w:r>
      <w:r>
        <w:rPr>
          <w:rFonts w:hint="eastAsia" w:ascii="宋体" w:hAnsi="宋体" w:eastAsia="宋体" w:cs="Times New Roman"/>
          <w:color w:val="auto"/>
          <w:sz w:val="21"/>
          <w:szCs w:val="21"/>
          <w:highlight w:val="none"/>
          <w:u w:val="single"/>
        </w:rPr>
        <w:t>《中小企业声明函》（如有）、监狱企业证明文件（如有）、《残疾人福利性单位声明函》（如有）</w:t>
      </w:r>
      <w:r>
        <w:rPr>
          <w:rFonts w:hint="eastAsia" w:ascii="宋体" w:hAnsi="宋体"/>
          <w:color w:val="auto"/>
          <w:szCs w:val="21"/>
          <w:highlight w:val="none"/>
        </w:rPr>
        <w:t>。</w:t>
      </w:r>
    </w:p>
    <w:p w14:paraId="1D1C8719">
      <w:pPr>
        <w:pStyle w:val="5"/>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11.3.5 若投标人的投标报价低于工程成本警戒价的，投标人还须提供详细的施工组织设计、单价、措施性费用、单价分析表、主要材料价格表、投标人成本分析供评标委员会评审。</w:t>
      </w:r>
    </w:p>
    <w:p w14:paraId="2E6B4924">
      <w:pPr>
        <w:pStyle w:val="5"/>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11.3.6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11E69E11">
      <w:pPr>
        <w:rPr>
          <w:color w:val="auto"/>
          <w:highlight w:val="none"/>
          <w:u w:val="single"/>
        </w:rPr>
      </w:pPr>
      <w:r>
        <w:rPr>
          <w:rFonts w:hint="eastAsia" w:ascii="宋体" w:hAnsi="宋体"/>
          <w:color w:val="auto"/>
          <w:szCs w:val="21"/>
          <w:highlight w:val="none"/>
          <w:u w:val="single"/>
        </w:rPr>
        <w:t xml:space="preserve">                                                                                        </w:t>
      </w:r>
    </w:p>
    <w:p w14:paraId="6ADFB77D">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条款号：12.2</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4A05A19E">
      <w:pPr>
        <w:spacing w:line="360" w:lineRule="auto"/>
        <w:ind w:firstLine="527" w:firstLineChars="250"/>
        <w:rPr>
          <w:rFonts w:hint="eastAsia" w:ascii="宋体" w:hAnsi="宋体"/>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12.2 投标文件全部采用电子文档，投标文件所附证书证件均为原件扫描件，并采用单位数字证书，按招标文件要求在相应位置加盖电子印章。投标文件中需个人签字或盖章的，</w:t>
      </w:r>
      <w:r>
        <w:rPr>
          <w:rFonts w:hint="eastAsia" w:ascii="宋体" w:hAnsi="宋体"/>
          <w:color w:val="auto"/>
          <w:sz w:val="21"/>
          <w:szCs w:val="21"/>
          <w:highlight w:val="none"/>
        </w:rPr>
        <w:t>应加盖个人电子印章或在线下完成后扫描上传</w:t>
      </w:r>
      <w:r>
        <w:rPr>
          <w:rFonts w:hint="eastAsia" w:ascii="宋体" w:hAnsi="宋体"/>
          <w:color w:val="auto"/>
          <w:szCs w:val="21"/>
          <w:highlight w:val="none"/>
        </w:rPr>
        <w:t>。按照交易平台关于全流程电子化项目的相关指南进行操作。详见：</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0CA2BF2">
      <w:pPr>
        <w:pBdr>
          <w:bottom w:val="single" w:color="auto" w:sz="6" w:space="1"/>
        </w:pBdr>
        <w:spacing w:line="360" w:lineRule="auto"/>
        <w:ind w:firstLine="525" w:firstLineChars="250"/>
        <w:rPr>
          <w:color w:val="auto"/>
          <w:highlight w:val="none"/>
        </w:rPr>
      </w:pPr>
      <w:r>
        <w:rPr>
          <w:rFonts w:hint="eastAsia" w:ascii="宋体" w:hAnsi="宋体"/>
          <w:color w:val="auto"/>
          <w:szCs w:val="21"/>
          <w:highlight w:val="none"/>
          <w:u w:val="single"/>
        </w:rPr>
        <w:t>注：投标文件电子文档需要投标人单位盖章的材料，投标人加盖电子印章即可，不得将投标人未对电子文档加盖实物印章作为否决投标的情形。</w:t>
      </w:r>
    </w:p>
    <w:p w14:paraId="6FCFC9BD">
      <w:pPr>
        <w:pBdr>
          <w:bottom w:val="single" w:color="auto" w:sz="6" w:space="1"/>
        </w:pBdr>
        <w:spacing w:line="360" w:lineRule="auto"/>
        <w:ind w:firstLine="527" w:firstLineChars="250"/>
        <w:rPr>
          <w:rFonts w:hint="eastAsia"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12.2 投标文件全部采用电子文档，投标文件所附证书证件均为原件扫描件，并采用单位数字证书，按招标文件要求在相应位置加盖电子印章。投标文件中需个人签字或盖章的，</w:t>
      </w:r>
      <w:r>
        <w:rPr>
          <w:rFonts w:hint="eastAsia" w:ascii="宋体" w:hAnsi="宋体"/>
          <w:color w:val="auto"/>
          <w:szCs w:val="21"/>
          <w:highlight w:val="none"/>
          <w:u w:val="single"/>
        </w:rPr>
        <w:t>应加盖个人电子印章或手签或盖章</w:t>
      </w:r>
      <w:r>
        <w:rPr>
          <w:rFonts w:hint="eastAsia" w:ascii="宋体" w:hAnsi="宋体"/>
          <w:color w:val="auto"/>
          <w:szCs w:val="21"/>
          <w:highlight w:val="none"/>
        </w:rPr>
        <w:t>后扫描上传。</w:t>
      </w:r>
      <w:r>
        <w:rPr>
          <w:rFonts w:hint="eastAsia" w:ascii="宋体" w:hAnsi="宋体"/>
          <w:color w:val="auto"/>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Cs w:val="21"/>
          <w:highlight w:val="none"/>
        </w:rPr>
        <w:t>按照交易平台关于全流程电子化项目的相关指南进行操作。详见：</w:t>
      </w:r>
      <w:r>
        <w:rPr>
          <w:rFonts w:hint="eastAsia" w:ascii="宋体" w:hAnsi="宋体"/>
          <w:color w:val="auto"/>
          <w:szCs w:val="21"/>
          <w:highlight w:val="none"/>
          <w:u w:val="single"/>
        </w:rPr>
        <w:t>【全流程电子化项目】电子招投标操作手册（无纸化）</w:t>
      </w:r>
      <w:r>
        <w:rPr>
          <w:rFonts w:hint="eastAsia" w:ascii="宋体" w:hAnsi="宋体"/>
          <w:color w:val="auto"/>
          <w:szCs w:val="21"/>
          <w:highlight w:val="none"/>
        </w:rPr>
        <w:t>。</w:t>
      </w:r>
    </w:p>
    <w:p w14:paraId="697C798C">
      <w:pPr>
        <w:pBdr>
          <w:bottom w:val="single" w:color="auto" w:sz="6" w:space="1"/>
        </w:pBdr>
        <w:spacing w:line="360" w:lineRule="auto"/>
        <w:ind w:firstLine="525" w:firstLineChars="250"/>
        <w:rPr>
          <w:rFonts w:hint="eastAsia" w:ascii="宋体" w:hAnsi="宋体"/>
          <w:color w:val="auto"/>
          <w:szCs w:val="21"/>
          <w:highlight w:val="none"/>
          <w:u w:val="single"/>
        </w:rPr>
      </w:pPr>
      <w:r>
        <w:rPr>
          <w:rFonts w:hint="eastAsia" w:ascii="宋体" w:hAnsi="宋体"/>
          <w:color w:val="auto"/>
          <w:szCs w:val="21"/>
          <w:highlight w:val="none"/>
          <w:u w:val="single"/>
        </w:rPr>
        <w:t>注：投标文件电子文档需要投标人单位盖章的材料，投标人加盖电子印章即可，不得将投标人未对电子文档加盖实物印章作为否决投标的情形。</w:t>
      </w:r>
    </w:p>
    <w:p w14:paraId="251DB67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条款号：12.</w:t>
      </w:r>
      <w:r>
        <w:rPr>
          <w:rFonts w:hint="eastAsia" w:ascii="宋体" w:hAnsi="宋体"/>
          <w:b/>
          <w:color w:val="auto"/>
          <w:szCs w:val="21"/>
          <w:highlight w:val="none"/>
          <w:lang w:val="en-US" w:eastAsia="zh-CN"/>
        </w:rPr>
        <w:t>3</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32BE901F">
      <w:pPr>
        <w:spacing w:line="360" w:lineRule="auto"/>
        <w:ind w:firstLine="422" w:firstLineChars="200"/>
        <w:jc w:val="both"/>
        <w:rPr>
          <w:rFonts w:hint="eastAsia" w:ascii="宋体" w:hAnsi="宋体"/>
          <w:color w:val="auto"/>
          <w:sz w:val="21"/>
          <w:szCs w:val="21"/>
          <w:highlight w:val="none"/>
        </w:rPr>
      </w:pPr>
      <w:r>
        <w:rPr>
          <w:rFonts w:hint="eastAsia" w:ascii="宋体" w:hAnsi="宋体"/>
          <w:b/>
          <w:color w:val="auto"/>
          <w:szCs w:val="21"/>
          <w:highlight w:val="none"/>
        </w:rPr>
        <w:t>原文：</w:t>
      </w:r>
      <w:r>
        <w:rPr>
          <w:rFonts w:hint="eastAsia" w:ascii="宋体" w:hAnsi="宋体"/>
          <w:color w:val="auto"/>
          <w:sz w:val="21"/>
          <w:szCs w:val="21"/>
          <w:highlight w:val="none"/>
        </w:rPr>
        <w:t xml:space="preserve">12.3 </w:t>
      </w:r>
      <w:r>
        <w:rPr>
          <w:rFonts w:hint="eastAsia" w:ascii="宋体" w:hAnsi="宋体"/>
          <w:bCs w:val="0"/>
          <w:color w:val="auto"/>
          <w:sz w:val="21"/>
          <w:szCs w:val="21"/>
          <w:highlight w:val="none"/>
        </w:rPr>
        <w:t>投标文件应按</w:t>
      </w:r>
      <w:r>
        <w:rPr>
          <w:rFonts w:hint="eastAsia" w:ascii="宋体" w:hAnsi="宋体"/>
          <w:color w:val="auto"/>
          <w:sz w:val="21"/>
          <w:szCs w:val="21"/>
          <w:highlight w:val="none"/>
        </w:rPr>
        <w:t>照交易平台关于全流程电子化项目的相关指南进行编制，详见：</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10FA9016">
      <w:pPr>
        <w:pStyle w:val="4"/>
        <w:spacing w:after="0" w:line="360" w:lineRule="auto"/>
        <w:ind w:firstLine="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Cs w:val="0"/>
          <w:color w:val="auto"/>
          <w:sz w:val="21"/>
          <w:szCs w:val="21"/>
          <w:highlight w:val="none"/>
        </w:rPr>
        <w:t>如不按上述要求编制引起系统无法检索、读取相关信息的，其后果由投标人承担。</w:t>
      </w:r>
    </w:p>
    <w:p w14:paraId="2532C554">
      <w:pPr>
        <w:pStyle w:val="4"/>
        <w:spacing w:after="0" w:line="360" w:lineRule="auto"/>
        <w:ind w:firstLine="422" w:firstLineChars="200"/>
        <w:rPr>
          <w:rFonts w:hint="eastAsia" w:ascii="宋体" w:hAnsi="宋体" w:eastAsia="宋体" w:cs="Times New Roman"/>
          <w:color w:val="auto"/>
          <w:sz w:val="21"/>
          <w:szCs w:val="21"/>
          <w:highlight w:val="none"/>
        </w:rPr>
      </w:pPr>
      <w:r>
        <w:rPr>
          <w:rFonts w:hint="eastAsia" w:ascii="宋体" w:hAnsi="宋体"/>
          <w:b/>
          <w:color w:val="auto"/>
          <w:szCs w:val="21"/>
          <w:highlight w:val="none"/>
        </w:rPr>
        <w:t>现文：</w:t>
      </w:r>
      <w:r>
        <w:rPr>
          <w:rFonts w:hint="eastAsia" w:ascii="宋体" w:hAnsi="宋体" w:eastAsia="宋体" w:cs="Times New Roman"/>
          <w:color w:val="auto"/>
          <w:sz w:val="21"/>
          <w:szCs w:val="21"/>
          <w:highlight w:val="none"/>
        </w:rPr>
        <w:t xml:space="preserve">12.3 </w:t>
      </w:r>
      <w:r>
        <w:rPr>
          <w:rFonts w:hint="eastAsia" w:ascii="宋体" w:hAnsi="宋体" w:eastAsia="宋体" w:cs="Times New Roman"/>
          <w:bCs w:val="0"/>
          <w:color w:val="auto"/>
          <w:sz w:val="21"/>
          <w:szCs w:val="21"/>
          <w:highlight w:val="none"/>
        </w:rPr>
        <w:t>投标文件应按</w:t>
      </w:r>
      <w:r>
        <w:rPr>
          <w:rFonts w:hint="eastAsia" w:ascii="宋体" w:hAnsi="宋体" w:eastAsia="宋体" w:cs="Times New Roman"/>
          <w:color w:val="auto"/>
          <w:sz w:val="21"/>
          <w:szCs w:val="21"/>
          <w:highlight w:val="none"/>
        </w:rPr>
        <w:t>照交易平台关于全流程电子化项目的相关指南进行编制，详见：</w:t>
      </w:r>
      <w:r>
        <w:rPr>
          <w:rFonts w:hint="eastAsia" w:ascii="宋体" w:hAnsi="宋体" w:eastAsia="宋体" w:cs="Times New Roman"/>
          <w:color w:val="auto"/>
          <w:sz w:val="21"/>
          <w:szCs w:val="21"/>
          <w:highlight w:val="none"/>
          <w:u w:val="single"/>
        </w:rPr>
        <w:t>广州交易集团有限公司（广州公共资源交易中心）网站</w:t>
      </w:r>
      <w:r>
        <w:rPr>
          <w:rFonts w:hint="eastAsia" w:ascii="宋体" w:hAnsi="宋体" w:eastAsia="宋体" w:cs="Times New Roman"/>
          <w:color w:val="auto"/>
          <w:sz w:val="21"/>
          <w:szCs w:val="21"/>
          <w:highlight w:val="none"/>
        </w:rPr>
        <w:t xml:space="preserve">。               </w:t>
      </w:r>
    </w:p>
    <w:p w14:paraId="6C74BC6D">
      <w:pPr>
        <w:pStyle w:val="4"/>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bCs w:val="0"/>
          <w:color w:val="auto"/>
          <w:sz w:val="21"/>
          <w:szCs w:val="21"/>
          <w:highlight w:val="none"/>
        </w:rPr>
        <w:t>如不按上述要求编制引起系统无法检索、读取相关信息的，其后果由投标人承担。</w:t>
      </w:r>
    </w:p>
    <w:p w14:paraId="0C5126DF">
      <w:pPr>
        <w:pBdr>
          <w:bottom w:val="single" w:color="auto" w:sz="6" w:space="1"/>
        </w:pBdr>
        <w:spacing w:line="360" w:lineRule="auto"/>
        <w:ind w:firstLine="0" w:firstLineChars="0"/>
        <w:rPr>
          <w:rFonts w:hint="eastAsia" w:ascii="宋体" w:hAnsi="宋体"/>
          <w:color w:val="auto"/>
          <w:szCs w:val="21"/>
          <w:highlight w:val="none"/>
          <w:u w:val="single"/>
        </w:rPr>
      </w:pPr>
    </w:p>
    <w:p w14:paraId="15C5BF87">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 xml:space="preserve">13.1.1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修改类型：增加</w:t>
      </w:r>
    </w:p>
    <w:p w14:paraId="2419A62C">
      <w:pPr>
        <w:pBdr>
          <w:bottom w:val="single" w:color="auto" w:sz="6" w:space="1"/>
        </w:pBdr>
        <w:spacing w:line="360" w:lineRule="auto"/>
        <w:ind w:firstLine="527" w:firstLineChars="250"/>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u w:val="single"/>
        </w:rPr>
        <w:t>13.1.1投标报价的计费依据：</w:t>
      </w:r>
    </w:p>
    <w:p w14:paraId="5A8A3890">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13.1.1.1工程计价执行《广东省建设工程计价依据（2018）》等有关规定。</w:t>
      </w:r>
    </w:p>
    <w:p w14:paraId="1D3EEB07">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13.1.1.2材料综合价格部分、人工日工资价格及机械台班价格执行本项目概算财政评审批复所参考的同期月度有关文件。</w:t>
      </w:r>
    </w:p>
    <w:p w14:paraId="32FFD8EB">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14:paraId="149AC0B6">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13.1.1.4本项目所使用的材料、其质量档次按本招标文件所附施工合同专用条款49.9要求进行计价。</w:t>
      </w:r>
    </w:p>
    <w:p w14:paraId="5A08DA0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13.3.1-</w:t>
      </w:r>
      <w:r>
        <w:rPr>
          <w:rFonts w:hint="eastAsia" w:ascii="宋体" w:hAnsi="宋体"/>
          <w:b/>
          <w:color w:val="auto"/>
          <w:szCs w:val="21"/>
          <w:highlight w:val="none"/>
        </w:rPr>
        <w:t>13.3.9</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修改类型：增加</w:t>
      </w:r>
    </w:p>
    <w:p w14:paraId="28B6A65E">
      <w:pPr>
        <w:pBdr>
          <w:bottom w:val="single" w:color="auto" w:sz="6" w:space="1"/>
        </w:pBdr>
        <w:spacing w:line="360" w:lineRule="auto"/>
        <w:ind w:firstLine="527" w:firstLineChars="250"/>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u w:val="single"/>
        </w:rPr>
        <w:t>13.3.1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14:paraId="3B3853AA">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66E09B65">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14:paraId="65F78B0F">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13.3.3凡施工图纸中未有详细注明的做法，则按国家及广东省有关的设计规范及施工验收规范进行施工，投标人在投标报价时须将些因素考虑在内。</w:t>
      </w:r>
    </w:p>
    <w:p w14:paraId="39BD0100">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14:paraId="348BF125">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13.3.5</w:t>
      </w:r>
      <w:r>
        <w:rPr>
          <w:rFonts w:hint="eastAsia" w:ascii="宋体" w:hAnsi="宋体"/>
          <w:color w:val="auto"/>
          <w:kern w:val="0"/>
          <w:szCs w:val="21"/>
          <w:highlight w:val="none"/>
          <w:u w:val="single"/>
        </w:rPr>
        <w:t>承包人按现行的相关规定及施工合同条款要求购买工程保险，所需费用由各投标人综合考虑在投标报价中。</w:t>
      </w:r>
    </w:p>
    <w:p w14:paraId="53298F2F">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13.3.6本工程开工日期以发包人书面通知时间为准，工期需与其它标段配合，施工需与其它标段穿插进行，相关费用及工期须在投标报价中考虑，发包人不再另行增加费用及工期。</w:t>
      </w:r>
    </w:p>
    <w:p w14:paraId="154C8B3D">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13.3.7招标人不提供取土点，土方的运距按15公里考虑进行计价，因运距而引起造价变化属投标风险，招标人在项目实施时对相关影响不作增减。</w:t>
      </w:r>
    </w:p>
    <w:p w14:paraId="2520FE97">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14:paraId="501423CA">
      <w:pPr>
        <w:pBdr>
          <w:bottom w:val="single" w:color="auto" w:sz="6" w:space="1"/>
        </w:pBdr>
        <w:spacing w:line="360" w:lineRule="auto"/>
        <w:ind w:firstLine="525" w:firstLineChars="250"/>
        <w:rPr>
          <w:rFonts w:ascii="宋体" w:hAnsi="宋体"/>
          <w:color w:val="auto"/>
          <w:szCs w:val="21"/>
          <w:highlight w:val="none"/>
          <w:u w:val="single"/>
        </w:rPr>
      </w:pPr>
      <w:r>
        <w:rPr>
          <w:rFonts w:hint="eastAsia" w:ascii="宋体" w:hAnsi="宋体"/>
          <w:color w:val="auto"/>
          <w:szCs w:val="21"/>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14:paraId="6F5DB692">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.4            修改类型：修改</w:t>
      </w:r>
    </w:p>
    <w:p w14:paraId="5B43B497">
      <w:pPr>
        <w:pBdr>
          <w:bottom w:val="single" w:color="auto" w:sz="4" w:space="1"/>
        </w:pBdr>
        <w:spacing w:line="360" w:lineRule="auto"/>
        <w:ind w:firstLine="472" w:firstLineChars="224"/>
        <w:rPr>
          <w:rFonts w:ascii="宋体" w:hAnsi="宋体"/>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22D431E0">
      <w:pPr>
        <w:pBdr>
          <w:bottom w:val="single" w:color="auto" w:sz="4" w:space="1"/>
        </w:pBdr>
        <w:spacing w:line="360" w:lineRule="auto"/>
        <w:ind w:firstLine="472" w:firstLineChars="224"/>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kern w:val="0"/>
          <w:szCs w:val="21"/>
          <w:highlight w:val="none"/>
        </w:rPr>
        <w:t>13.4投标人一旦中标，投标人对招标人提供的招标工程量清单中列出的工程项目所报出的综合单价，</w:t>
      </w:r>
      <w:r>
        <w:rPr>
          <w:rFonts w:hint="eastAsia" w:ascii="宋体" w:hAnsi="宋体"/>
          <w:color w:val="auto"/>
          <w:kern w:val="0"/>
          <w:szCs w:val="21"/>
          <w:highlight w:val="none"/>
          <w:u w:val="single"/>
        </w:rPr>
        <w:t>原则上不得变更，但涉及建设工程材料价格波动异常，超出发承包双方按以往经验所能预见与避免的范围和承担的风险的情况除外，由招标人在招标文件及合同中明确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00104018">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5.2</w:t>
      </w:r>
      <w:r>
        <w:rPr>
          <w:rFonts w:hint="eastAsia" w:ascii="宋体" w:hAnsi="宋体"/>
          <w:b/>
          <w:color w:val="auto"/>
          <w:szCs w:val="21"/>
          <w:highlight w:val="none"/>
        </w:rPr>
        <w:t xml:space="preserve">             修改类型：修改</w:t>
      </w:r>
    </w:p>
    <w:p w14:paraId="27596DAE">
      <w:pPr>
        <w:spacing w:line="360" w:lineRule="auto"/>
        <w:ind w:firstLine="472" w:firstLineChars="224"/>
        <w:rPr>
          <w:rFonts w:ascii="宋体" w:hAnsi="宋体"/>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0FA30055">
      <w:pPr>
        <w:spacing w:line="360" w:lineRule="auto"/>
        <w:ind w:firstLine="472" w:firstLineChars="224"/>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color w:val="auto"/>
          <w:szCs w:val="21"/>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p>
    <w:p w14:paraId="303907F1">
      <w:pPr>
        <w:spacing w:line="360" w:lineRule="auto"/>
        <w:rPr>
          <w:rFonts w:ascii="宋体" w:hAnsi="宋体"/>
          <w:color w:val="auto"/>
          <w:szCs w:val="21"/>
          <w:highlight w:val="none"/>
          <w:u w:val="single"/>
        </w:rPr>
      </w:pPr>
      <w:r>
        <w:rPr>
          <w:rFonts w:hint="eastAsia" w:ascii="宋体" w:hAnsi="宋体"/>
          <w:color w:val="auto"/>
          <w:szCs w:val="21"/>
          <w:highlight w:val="none"/>
          <w:u w:val="single"/>
        </w:rPr>
        <w:t xml:space="preserve">                                                                                       </w:t>
      </w:r>
    </w:p>
    <w:p w14:paraId="2E970A46">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5.3</w:t>
      </w:r>
      <w:r>
        <w:rPr>
          <w:rFonts w:hint="eastAsia" w:ascii="宋体" w:hAnsi="宋体"/>
          <w:b/>
          <w:color w:val="auto"/>
          <w:szCs w:val="21"/>
          <w:highlight w:val="none"/>
        </w:rPr>
        <w:t xml:space="preserve">             修改类型：修改</w:t>
      </w:r>
    </w:p>
    <w:p w14:paraId="3D3B3F4E">
      <w:pPr>
        <w:spacing w:line="360" w:lineRule="auto"/>
        <w:ind w:firstLine="472" w:firstLineChars="224"/>
        <w:rPr>
          <w:rFonts w:ascii="宋体" w:hAnsi="宋体"/>
          <w:color w:val="auto"/>
          <w:sz w:val="24"/>
          <w:highlight w:val="none"/>
        </w:rPr>
      </w:pPr>
      <w:r>
        <w:rPr>
          <w:rFonts w:hint="eastAsia" w:ascii="宋体" w:hAnsi="宋体"/>
          <w:b/>
          <w:color w:val="auto"/>
          <w:szCs w:val="21"/>
          <w:highlight w:val="none"/>
        </w:rPr>
        <w:t>原文：</w:t>
      </w:r>
      <w:r>
        <w:rPr>
          <w:rFonts w:hint="eastAsia" w:ascii="宋体" w:hAnsi="宋体"/>
          <w:bCs/>
          <w:color w:val="auto"/>
          <w:szCs w:val="21"/>
          <w:highlight w:val="none"/>
        </w:rPr>
        <w:t>中标的投标文件工程量清单中没有相同项目或类似项目的，如可套取相关定额，则以相关定额为基数下浮计算单价</w:t>
      </w:r>
      <w:r>
        <w:rPr>
          <w:rFonts w:ascii="宋体" w:hAnsi="宋体"/>
          <w:bCs/>
          <w:color w:val="auto"/>
          <w:szCs w:val="21"/>
          <w:highlight w:val="none"/>
        </w:rPr>
        <w:t>,</w:t>
      </w:r>
      <w:r>
        <w:rPr>
          <w:rFonts w:hint="eastAsia" w:ascii="宋体" w:hAnsi="宋体"/>
          <w:bCs/>
          <w:color w:val="auto"/>
          <w:szCs w:val="21"/>
          <w:highlight w:val="none"/>
        </w:rPr>
        <w:t>下浮率为中标价相对于最高投标限价的下浮率（下浮率</w:t>
      </w:r>
      <w:r>
        <w:rPr>
          <w:rFonts w:ascii="宋体" w:hAnsi="宋体"/>
          <w:bCs/>
          <w:color w:val="auto"/>
          <w:szCs w:val="21"/>
          <w:highlight w:val="none"/>
        </w:rPr>
        <w:t>=(</w:t>
      </w:r>
      <w:r>
        <w:rPr>
          <w:rFonts w:hint="eastAsia" w:ascii="宋体" w:hAnsi="宋体"/>
          <w:bCs/>
          <w:color w:val="auto"/>
          <w:szCs w:val="21"/>
          <w:highlight w:val="none"/>
        </w:rPr>
        <w:t>最高投标限价</w:t>
      </w:r>
      <w:r>
        <w:rPr>
          <w:rFonts w:ascii="宋体" w:hAnsi="宋体"/>
          <w:bCs/>
          <w:color w:val="auto"/>
          <w:szCs w:val="21"/>
          <w:highlight w:val="none"/>
        </w:rPr>
        <w:t>-</w:t>
      </w:r>
      <w:r>
        <w:rPr>
          <w:rFonts w:hint="eastAsia" w:ascii="宋体" w:hAnsi="宋体"/>
          <w:bCs/>
          <w:color w:val="auto"/>
          <w:szCs w:val="21"/>
          <w:highlight w:val="none"/>
        </w:rPr>
        <w:t>中标价</w:t>
      </w:r>
      <w:r>
        <w:rPr>
          <w:rFonts w:ascii="宋体" w:hAnsi="宋体"/>
          <w:bCs/>
          <w:color w:val="auto"/>
          <w:szCs w:val="21"/>
          <w:highlight w:val="none"/>
        </w:rPr>
        <w:t xml:space="preserve">)/ </w:t>
      </w:r>
      <w:r>
        <w:rPr>
          <w:rFonts w:hint="eastAsia" w:ascii="宋体" w:hAnsi="宋体"/>
          <w:bCs/>
          <w:color w:val="auto"/>
          <w:szCs w:val="21"/>
          <w:highlight w:val="none"/>
        </w:rPr>
        <w:t>最高投标限价）。</w:t>
      </w:r>
    </w:p>
    <w:p w14:paraId="0ECD1306">
      <w:pPr>
        <w:spacing w:line="360" w:lineRule="auto"/>
        <w:ind w:firstLine="472" w:firstLineChars="224"/>
        <w:rPr>
          <w:rFonts w:ascii="宋体" w:hAnsi="宋体"/>
          <w:bCs/>
          <w:color w:val="auto"/>
          <w:szCs w:val="21"/>
          <w:highlight w:val="none"/>
          <w:u w:val="single"/>
        </w:rPr>
      </w:pPr>
      <w:r>
        <w:rPr>
          <w:rFonts w:hint="eastAsia" w:ascii="宋体" w:hAnsi="宋体"/>
          <w:b/>
          <w:color w:val="auto"/>
          <w:szCs w:val="21"/>
          <w:highlight w:val="none"/>
        </w:rPr>
        <w:t>现文：</w:t>
      </w:r>
      <w:r>
        <w:rPr>
          <w:rFonts w:hint="eastAsia" w:ascii="宋体" w:hAnsi="宋体"/>
          <w:bCs/>
          <w:color w:val="auto"/>
          <w:szCs w:val="21"/>
          <w:highlight w:val="none"/>
        </w:rPr>
        <w:t>中标的投标文件工程量清单中没有相同项目或类似项目的，如可套取相关定额，则以相关定额为基数下浮计算单价</w:t>
      </w:r>
      <w:r>
        <w:rPr>
          <w:rFonts w:ascii="宋体" w:hAnsi="宋体"/>
          <w:bCs/>
          <w:color w:val="auto"/>
          <w:szCs w:val="21"/>
          <w:highlight w:val="none"/>
        </w:rPr>
        <w:t>,</w:t>
      </w:r>
      <w:r>
        <w:rPr>
          <w:rFonts w:hint="eastAsia" w:ascii="宋体" w:hAnsi="宋体"/>
          <w:bCs/>
          <w:color w:val="auto"/>
          <w:szCs w:val="21"/>
          <w:highlight w:val="none"/>
        </w:rPr>
        <w:t>下浮率为中标价相对于最高投标限价的下浮率（下浮率</w:t>
      </w:r>
      <w:r>
        <w:rPr>
          <w:rFonts w:ascii="宋体" w:hAnsi="宋体"/>
          <w:bCs/>
          <w:color w:val="auto"/>
          <w:szCs w:val="21"/>
          <w:highlight w:val="none"/>
        </w:rPr>
        <w:t>=(</w:t>
      </w:r>
      <w:r>
        <w:rPr>
          <w:rFonts w:hint="eastAsia" w:ascii="宋体" w:hAnsi="宋体"/>
          <w:bCs/>
          <w:color w:val="auto"/>
          <w:szCs w:val="21"/>
          <w:highlight w:val="none"/>
        </w:rPr>
        <w:t>最高投标限价</w:t>
      </w:r>
      <w:r>
        <w:rPr>
          <w:rFonts w:ascii="宋体" w:hAnsi="宋体"/>
          <w:bCs/>
          <w:color w:val="auto"/>
          <w:szCs w:val="21"/>
          <w:highlight w:val="none"/>
        </w:rPr>
        <w:t>-</w:t>
      </w:r>
      <w:r>
        <w:rPr>
          <w:rFonts w:hint="eastAsia" w:ascii="宋体" w:hAnsi="宋体"/>
          <w:bCs/>
          <w:color w:val="auto"/>
          <w:szCs w:val="21"/>
          <w:highlight w:val="none"/>
        </w:rPr>
        <w:t>中标价</w:t>
      </w:r>
      <w:r>
        <w:rPr>
          <w:rFonts w:ascii="宋体" w:hAnsi="宋体"/>
          <w:bCs/>
          <w:color w:val="auto"/>
          <w:szCs w:val="21"/>
          <w:highlight w:val="none"/>
        </w:rPr>
        <w:t xml:space="preserve">)/ </w:t>
      </w:r>
      <w:r>
        <w:rPr>
          <w:rFonts w:hint="eastAsia" w:ascii="宋体" w:hAnsi="宋体"/>
          <w:bCs/>
          <w:color w:val="auto"/>
          <w:szCs w:val="21"/>
          <w:highlight w:val="none"/>
        </w:rPr>
        <w:t>最高投标限价）。</w:t>
      </w:r>
      <w:r>
        <w:rPr>
          <w:rFonts w:hint="eastAsia" w:ascii="宋体" w:hAnsi="宋体"/>
          <w:bCs/>
          <w:color w:val="auto"/>
          <w:szCs w:val="21"/>
          <w:highlight w:val="none"/>
          <w:u w:val="single"/>
        </w:rPr>
        <w:t>材料价格按广州市造价管理站同期《广州地区建设工程常用材料税前综合价格》计算，《广州地区建设工程常用材料税前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14:paraId="4272974C">
      <w:pPr>
        <w:spacing w:line="360" w:lineRule="auto"/>
        <w:rPr>
          <w:rFonts w:hint="eastAsia" w:ascii="宋体" w:hAnsi="宋体"/>
          <w:color w:val="auto"/>
          <w:sz w:val="21"/>
          <w:szCs w:val="21"/>
          <w:highlight w:val="none"/>
        </w:rPr>
      </w:pPr>
      <w:r>
        <w:rPr>
          <w:rFonts w:hint="eastAsia" w:ascii="宋体" w:hAnsi="宋体"/>
          <w:bCs/>
          <w:color w:val="auto"/>
          <w:szCs w:val="21"/>
          <w:highlight w:val="none"/>
          <w:u w:val="single"/>
        </w:rPr>
        <w:t xml:space="preserve">                                                                                       </w:t>
      </w:r>
    </w:p>
    <w:p w14:paraId="3CD9B56D">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10-13.12</w:t>
      </w:r>
      <w:r>
        <w:rPr>
          <w:rFonts w:hint="eastAsia" w:ascii="宋体" w:hAnsi="宋体"/>
          <w:b/>
          <w:color w:val="auto"/>
          <w:szCs w:val="21"/>
          <w:highlight w:val="none"/>
        </w:rPr>
        <w:t xml:space="preserve">             修改类型：增加</w:t>
      </w:r>
    </w:p>
    <w:p w14:paraId="0850E980">
      <w:pPr>
        <w:spacing w:line="360" w:lineRule="auto"/>
        <w:ind w:firstLine="472" w:firstLineChars="224"/>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u w:val="single"/>
        </w:rPr>
        <w:t>13.10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14:paraId="00564B68">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13.11工程变更详见本招标文件所附施工合同专用条款第72.工程变更事件的有关规定。</w:t>
      </w:r>
    </w:p>
    <w:p w14:paraId="5ECA1F60">
      <w:pPr>
        <w:pBdr>
          <w:bottom w:val="single" w:color="auto" w:sz="4" w:space="1"/>
        </w:pBd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13.12工程量清单说明详见本招标文件第七章。</w:t>
      </w:r>
    </w:p>
    <w:p w14:paraId="78791171">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条款号：16.1</w:t>
      </w:r>
      <w:r>
        <w:rPr>
          <w:rFonts w:ascii="宋体" w:hAnsi="宋体"/>
          <w:b/>
          <w:color w:val="auto"/>
          <w:szCs w:val="21"/>
          <w:highlight w:val="none"/>
        </w:rPr>
        <w:t xml:space="preserve"> </w:t>
      </w:r>
      <w:r>
        <w:rPr>
          <w:rFonts w:hint="eastAsia" w:ascii="宋体" w:hAnsi="宋体"/>
          <w:b/>
          <w:color w:val="auto"/>
          <w:szCs w:val="21"/>
          <w:highlight w:val="none"/>
        </w:rPr>
        <w:t>-16.6</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5459A924">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原文：16.1投标人应按投标须知前附表第14项所述金额和时间递交投标保证金。招标人应当允许投标人自主选择现金、银行保函、保证保险、专业工程担保公司担保等方式缴纳投标保证金。</w:t>
      </w:r>
    </w:p>
    <w:p w14:paraId="0CF0F897">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16.1.1 采用现金或者支票形式提交的，投标保证金须从投标人的银行基本账户转出。</w:t>
      </w:r>
    </w:p>
    <w:p w14:paraId="4CB14373">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14:paraId="65D072FC">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16.1.3 采用电子形式的保函、担保或保证保险提交投标保证金的，应在招标文件中明确电子递交途径。</w:t>
      </w:r>
    </w:p>
    <w:p w14:paraId="7240C227">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6A2A1427">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16.3投标保证金应依据法律法规的相关规定退还。</w:t>
      </w:r>
    </w:p>
    <w:p w14:paraId="5012C37B">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16.4如有下列情况之一的，招标人可以不予退还投标保证金（是否退还投标保证金由招标人在招标文件中规定）：</w:t>
      </w:r>
    </w:p>
    <w:p w14:paraId="7C7F3099">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16.4.1因投标人原因造成投标文件未解密的；</w:t>
      </w:r>
    </w:p>
    <w:p w14:paraId="06EFC0DD">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16.4.2投标人在投标有效期内撤销投标文件；</w:t>
      </w:r>
    </w:p>
    <w:p w14:paraId="24137B18">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16.4.3中标人未能在规定期限内按要求提交履约担保；</w:t>
      </w:r>
    </w:p>
    <w:p w14:paraId="3B2E2780">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16.4.4中标人未能在规定期限内签署合同协议。</w:t>
      </w:r>
    </w:p>
    <w:p w14:paraId="680742F8">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16.5投标人如存在下列情况之一的，将被拒绝在一定时期内参与招标人后续工程投标（拒绝</w:t>
      </w:r>
    </w:p>
    <w:p w14:paraId="34417805">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限需在招标文件中明确）：</w:t>
      </w:r>
    </w:p>
    <w:p w14:paraId="7373FE36">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16.5.1投标人存在16.4条款所列情形且投标人提交的保函、担保或保证保险无法兑付的；</w:t>
      </w:r>
    </w:p>
    <w:p w14:paraId="12F69116">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16.5.2采用非电子形式提交投标保证金的投标人存在16.4条款所列情形，且未按招标人要求补交银行保函、专业工程担保公司担保或保证保险原件的；</w:t>
      </w:r>
    </w:p>
    <w:p w14:paraId="616325AE">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16.5.3按招标文件要求免于提供投标保证金的投标人存在16.4条款所列情形，且未按招标人要求补交投标保证金的；</w:t>
      </w:r>
    </w:p>
    <w:p w14:paraId="4145E217">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16.5.3按招标文件要求免于提供投标保证金的投标人存在16.4条款所列情形的。</w:t>
      </w:r>
    </w:p>
    <w:p w14:paraId="329E906A">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注：16.5.3款由招标人二选一，需在招标文件中明确。</w:t>
      </w:r>
    </w:p>
    <w:p w14:paraId="22BAF8A8">
      <w:pPr>
        <w:spacing w:line="360" w:lineRule="auto"/>
        <w:ind w:firstLine="472" w:firstLineChars="224"/>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u w:val="single"/>
        </w:rPr>
        <w:t>16.1本项目免收投标保证金，投标人提供《关于投标保证金的承诺》（详见附件</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w:t>
      </w:r>
    </w:p>
    <w:p w14:paraId="2FCF8ADA">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16.2对于投标人已提供《关于投标保证金的承诺》，若投标人存在16.4条款所列情形，该投标人应在发现存在16.4条款所列情形之日起5个工作日内按投标须知前附表第14项所述金额补交投标保证金。若未按要求补交投标保证金的将暂停其参与招标人后续工程投标，直至完成补交手续为止。</w:t>
      </w:r>
    </w:p>
    <w:p w14:paraId="322E3CF3">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16.3开标时投标人没有按招标文件要求提交《关于投标保证金的承诺》的投标人，视为未按要求提供投标保证金。</w:t>
      </w:r>
    </w:p>
    <w:p w14:paraId="79F49D18">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16.4如有下列情况之一的，招标人可以不予退还投标保证金（是否退还投标保证金由招标人在招标文件中规定）：</w:t>
      </w:r>
    </w:p>
    <w:p w14:paraId="1C66E999">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16.4.1因投标人原因造成投标文件未解密的；</w:t>
      </w:r>
    </w:p>
    <w:p w14:paraId="06B8BF86">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16.4.2投标人在投标有效期内撤销投标文件；</w:t>
      </w:r>
    </w:p>
    <w:p w14:paraId="12B24CBB">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16.4.3中标人未能在规定期限内按要求提交履约担保；</w:t>
      </w:r>
    </w:p>
    <w:p w14:paraId="755AA0ED">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16.4.4中标人未能在规定期限内签署合同协议。</w:t>
      </w:r>
    </w:p>
    <w:p w14:paraId="4CDD09AA">
      <w:pPr>
        <w:pStyle w:val="5"/>
        <w:rPr>
          <w:color w:val="auto"/>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611253D9">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条款号：17.1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2D5A5FD1">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17.1投标人应采用单位数字证书，按招标文件要求在相应位置加盖电子印章。投标文件中需个人签字或盖章的，</w:t>
      </w:r>
      <w:r>
        <w:rPr>
          <w:rFonts w:hint="eastAsia" w:ascii="宋体" w:hAnsi="宋体"/>
          <w:color w:val="auto"/>
          <w:sz w:val="21"/>
          <w:szCs w:val="21"/>
          <w:highlight w:val="none"/>
        </w:rPr>
        <w:t>应加盖个人电子印章或在线下完成后扫描上传</w:t>
      </w:r>
      <w:r>
        <w:rPr>
          <w:rFonts w:hint="eastAsia" w:ascii="宋体" w:hAnsi="宋体"/>
          <w:color w:val="auto"/>
          <w:szCs w:val="21"/>
          <w:highlight w:val="none"/>
        </w:rPr>
        <w:t>。按照交易平台关于全流程电子化项目的相关指南进行操作。详见：</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BC1FFB8">
      <w:pPr>
        <w:pBdr>
          <w:bottom w:val="single" w:color="auto" w:sz="6" w:space="1"/>
        </w:pBdr>
        <w:spacing w:line="360" w:lineRule="auto"/>
        <w:ind w:firstLine="527" w:firstLineChars="250"/>
        <w:rPr>
          <w:rFonts w:ascii="宋体" w:hAnsi="宋体"/>
          <w:color w:val="auto"/>
          <w:highlight w:val="none"/>
        </w:rPr>
      </w:pPr>
      <w:r>
        <w:rPr>
          <w:rFonts w:hint="eastAsia" w:ascii="宋体" w:hAnsi="宋体"/>
          <w:b/>
          <w:color w:val="auto"/>
          <w:szCs w:val="21"/>
          <w:highlight w:val="none"/>
        </w:rPr>
        <w:t>现文：</w:t>
      </w:r>
      <w:r>
        <w:rPr>
          <w:rFonts w:hint="eastAsia" w:ascii="宋体" w:hAnsi="宋体"/>
          <w:color w:val="auto"/>
          <w:szCs w:val="21"/>
          <w:highlight w:val="none"/>
        </w:rPr>
        <w:t>17.1投标人应采用单位数字证书，按招标文件要求在相应位置加盖电子印章。投标文件中需个人签字或盖章的，应</w:t>
      </w:r>
      <w:r>
        <w:rPr>
          <w:rFonts w:hint="eastAsia" w:ascii="宋体" w:hAnsi="宋体"/>
          <w:color w:val="auto"/>
          <w:szCs w:val="21"/>
          <w:highlight w:val="none"/>
          <w:u w:val="single"/>
        </w:rPr>
        <w:t>加盖个人电子印章或手签或盖章</w:t>
      </w:r>
      <w:r>
        <w:rPr>
          <w:rFonts w:hint="eastAsia" w:ascii="宋体" w:hAnsi="宋体"/>
          <w:color w:val="auto"/>
          <w:szCs w:val="21"/>
          <w:highlight w:val="none"/>
        </w:rPr>
        <w:t>后扫描上传。</w:t>
      </w:r>
      <w:r>
        <w:rPr>
          <w:rFonts w:hint="eastAsia" w:ascii="宋体" w:hAnsi="宋体"/>
          <w:color w:val="auto"/>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Cs w:val="21"/>
          <w:highlight w:val="none"/>
        </w:rPr>
        <w:t>按照交易平台关于全流程电子化项目的相关指南进行操作。详见：</w:t>
      </w:r>
      <w:r>
        <w:rPr>
          <w:rFonts w:hint="eastAsia" w:ascii="宋体" w:hAnsi="宋体"/>
          <w:color w:val="auto"/>
          <w:szCs w:val="21"/>
          <w:highlight w:val="none"/>
          <w:u w:val="single"/>
        </w:rPr>
        <w:t>【全流程电子化项目】电子招投标操作手册（无纸化）</w:t>
      </w:r>
      <w:r>
        <w:rPr>
          <w:rFonts w:hint="eastAsia" w:ascii="宋体" w:hAnsi="宋体"/>
          <w:color w:val="auto"/>
          <w:szCs w:val="21"/>
          <w:highlight w:val="none"/>
        </w:rPr>
        <w:t>。</w:t>
      </w:r>
    </w:p>
    <w:p w14:paraId="745587E5">
      <w:pPr>
        <w:pBdr>
          <w:bottom w:val="single" w:color="auto" w:sz="6" w:space="1"/>
        </w:pBdr>
        <w:spacing w:line="360" w:lineRule="auto"/>
        <w:ind w:firstLine="525" w:firstLineChars="250"/>
        <w:rPr>
          <w:rFonts w:hint="eastAsia" w:ascii="宋体" w:hAnsi="宋体"/>
          <w:color w:val="auto"/>
          <w:szCs w:val="21"/>
          <w:highlight w:val="none"/>
          <w:u w:val="single"/>
        </w:rPr>
      </w:pPr>
      <w:r>
        <w:rPr>
          <w:rFonts w:hint="eastAsia" w:ascii="宋体" w:hAnsi="宋体"/>
          <w:color w:val="auto"/>
          <w:szCs w:val="21"/>
          <w:highlight w:val="none"/>
          <w:u w:val="single"/>
        </w:rPr>
        <w:t>17.</w:t>
      </w:r>
      <w:r>
        <w:rPr>
          <w:rFonts w:ascii="宋体" w:hAnsi="宋体"/>
          <w:color w:val="auto"/>
          <w:szCs w:val="21"/>
          <w:highlight w:val="none"/>
          <w:u w:val="single"/>
        </w:rPr>
        <w:t>2</w:t>
      </w:r>
      <w:r>
        <w:rPr>
          <w:rFonts w:hint="eastAsia" w:ascii="宋体" w:hAnsi="宋体"/>
          <w:color w:val="auto"/>
          <w:szCs w:val="21"/>
          <w:highlight w:val="none"/>
          <w:u w:val="single"/>
        </w:rPr>
        <w:t>发放中标通知书后3个工作天内投标人需到招标人处，在招标人、招标代理、投标人三方共同见证下，将在</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网站下载的投标文件打印(其中的预算文件需转换成《建设工程工程量清单计价规范》规定的格式)，并三方签名确认，投标人加盖公章，然后再复印4套，合共5套投标文件提供给招标人，相关费用由投标人支付。</w:t>
      </w:r>
    </w:p>
    <w:p w14:paraId="638A52C5">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条款号：18</w:t>
      </w:r>
      <w:r>
        <w:rPr>
          <w:rFonts w:hint="eastAsia" w:ascii="宋体" w:hAnsi="宋体"/>
          <w:b/>
          <w:color w:val="auto"/>
          <w:szCs w:val="21"/>
          <w:highlight w:val="none"/>
          <w:lang w:val="en-US" w:eastAsia="zh-CN"/>
        </w:rPr>
        <w:t>.1</w:t>
      </w:r>
      <w:r>
        <w:rPr>
          <w:rFonts w:hint="eastAsia" w:ascii="宋体" w:hAnsi="宋体"/>
          <w:b/>
          <w:color w:val="auto"/>
          <w:szCs w:val="21"/>
          <w:highlight w:val="none"/>
        </w:rPr>
        <w:t>～</w:t>
      </w:r>
      <w:r>
        <w:rPr>
          <w:rFonts w:hint="eastAsia" w:ascii="宋体" w:hAnsi="宋体"/>
          <w:b/>
          <w:color w:val="auto"/>
          <w:szCs w:val="21"/>
          <w:highlight w:val="none"/>
          <w:lang w:val="en-US" w:eastAsia="zh-CN"/>
        </w:rPr>
        <w:t>18.2</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2724CADE">
      <w:pPr>
        <w:spacing w:line="360" w:lineRule="auto"/>
        <w:ind w:firstLine="422" w:firstLineChars="200"/>
        <w:rPr>
          <w:rFonts w:ascii="宋体"/>
          <w:bCs/>
          <w:color w:val="auto"/>
          <w:sz w:val="21"/>
          <w:szCs w:val="21"/>
          <w:highlight w:val="none"/>
        </w:rPr>
      </w:pPr>
      <w:r>
        <w:rPr>
          <w:rFonts w:hint="eastAsia" w:ascii="宋体" w:hAnsi="宋体"/>
          <w:b/>
          <w:color w:val="auto"/>
          <w:szCs w:val="21"/>
          <w:highlight w:val="none"/>
        </w:rPr>
        <w:t>原文：</w:t>
      </w:r>
      <w:r>
        <w:rPr>
          <w:rFonts w:ascii="宋体" w:hAnsi="宋体"/>
          <w:bCs/>
          <w:color w:val="auto"/>
          <w:sz w:val="21"/>
          <w:szCs w:val="21"/>
          <w:highlight w:val="none"/>
        </w:rPr>
        <w:t>1</w:t>
      </w:r>
      <w:r>
        <w:rPr>
          <w:rFonts w:hint="eastAsia" w:ascii="宋体" w:hAnsi="宋体"/>
          <w:bCs/>
          <w:color w:val="auto"/>
          <w:sz w:val="21"/>
          <w:szCs w:val="21"/>
          <w:highlight w:val="none"/>
        </w:rPr>
        <w:t>8</w:t>
      </w:r>
      <w:r>
        <w:rPr>
          <w:rFonts w:ascii="宋体" w:hAnsi="宋体"/>
          <w:bCs/>
          <w:color w:val="auto"/>
          <w:sz w:val="21"/>
          <w:szCs w:val="21"/>
          <w:highlight w:val="none"/>
        </w:rPr>
        <w:t>.1</w:t>
      </w:r>
      <w:r>
        <w:rPr>
          <w:rFonts w:hint="eastAsia" w:ascii="宋体" w:hAnsi="宋体"/>
          <w:bCs/>
          <w:color w:val="auto"/>
          <w:sz w:val="21"/>
          <w:szCs w:val="21"/>
          <w:highlight w:val="none"/>
        </w:rPr>
        <w:t>递交的电子投标文件（不含备用光盘）必须进行加密。按照交易平台关于</w:t>
      </w:r>
      <w:r>
        <w:rPr>
          <w:rFonts w:hint="eastAsia"/>
          <w:color w:val="auto"/>
          <w:sz w:val="21"/>
          <w:szCs w:val="21"/>
          <w:highlight w:val="none"/>
        </w:rPr>
        <w:t>全流程电子化项目的相关指南进行操作。详见：</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u w:val="single"/>
        </w:rPr>
        <w:t xml:space="preserve"> </w:t>
      </w:r>
      <w:r>
        <w:rPr>
          <w:rFonts w:hint="eastAsia"/>
          <w:color w:val="auto"/>
          <w:sz w:val="21"/>
          <w:szCs w:val="21"/>
          <w:highlight w:val="none"/>
        </w:rPr>
        <w:t xml:space="preserve"> 。</w:t>
      </w:r>
    </w:p>
    <w:p w14:paraId="39A525A1">
      <w:pPr>
        <w:spacing w:line="360" w:lineRule="auto"/>
        <w:ind w:firstLine="420" w:firstLineChars="200"/>
        <w:rPr>
          <w:rFonts w:ascii="宋体"/>
          <w:bCs/>
          <w:color w:val="auto"/>
          <w:sz w:val="21"/>
          <w:szCs w:val="21"/>
          <w:highlight w:val="none"/>
        </w:rPr>
      </w:pPr>
      <w:r>
        <w:rPr>
          <w:rFonts w:ascii="宋体" w:hAnsi="宋体"/>
          <w:bCs/>
          <w:color w:val="auto"/>
          <w:sz w:val="21"/>
          <w:szCs w:val="21"/>
          <w:highlight w:val="none"/>
        </w:rPr>
        <w:t>1</w:t>
      </w:r>
      <w:r>
        <w:rPr>
          <w:rFonts w:hint="eastAsia" w:ascii="宋体" w:hAnsi="宋体"/>
          <w:bCs/>
          <w:color w:val="auto"/>
          <w:sz w:val="21"/>
          <w:szCs w:val="21"/>
          <w:highlight w:val="none"/>
        </w:rPr>
        <w:t>8</w:t>
      </w:r>
      <w:r>
        <w:rPr>
          <w:rFonts w:ascii="宋体" w:hAnsi="宋体"/>
          <w:bCs/>
          <w:color w:val="auto"/>
          <w:sz w:val="21"/>
          <w:szCs w:val="21"/>
          <w:highlight w:val="none"/>
        </w:rPr>
        <w:t>.2</w:t>
      </w:r>
      <w:r>
        <w:rPr>
          <w:rFonts w:ascii="宋体"/>
          <w:bCs/>
          <w:color w:val="auto"/>
          <w:sz w:val="21"/>
          <w:szCs w:val="21"/>
          <w:highlight w:val="none"/>
        </w:rPr>
        <w:t xml:space="preserve"> </w:t>
      </w:r>
      <w:r>
        <w:rPr>
          <w:rFonts w:hint="eastAsia" w:ascii="宋体"/>
          <w:bCs/>
          <w:color w:val="auto"/>
          <w:sz w:val="21"/>
          <w:szCs w:val="21"/>
          <w:highlight w:val="none"/>
        </w:rPr>
        <w:t>未按要求加密的投标文件，</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bCs/>
          <w:color w:val="auto"/>
          <w:sz w:val="21"/>
          <w:szCs w:val="21"/>
          <w:highlight w:val="none"/>
        </w:rPr>
        <w:t>将予以拒收。</w:t>
      </w:r>
    </w:p>
    <w:p w14:paraId="2571AA27">
      <w:pPr>
        <w:spacing w:line="360" w:lineRule="auto"/>
        <w:ind w:firstLine="422" w:firstLineChars="200"/>
        <w:rPr>
          <w:rFonts w:ascii="宋体"/>
          <w:bCs/>
          <w:color w:val="auto"/>
          <w:sz w:val="21"/>
          <w:szCs w:val="21"/>
          <w:highlight w:val="none"/>
        </w:rPr>
      </w:pPr>
      <w:r>
        <w:rPr>
          <w:rFonts w:hint="eastAsia" w:ascii="宋体" w:hAnsi="宋体"/>
          <w:b/>
          <w:color w:val="auto"/>
          <w:szCs w:val="21"/>
          <w:highlight w:val="none"/>
        </w:rPr>
        <w:t>现文：</w:t>
      </w:r>
      <w:r>
        <w:rPr>
          <w:rFonts w:ascii="宋体" w:hAnsi="宋体"/>
          <w:bCs/>
          <w:color w:val="auto"/>
          <w:sz w:val="21"/>
          <w:szCs w:val="21"/>
          <w:highlight w:val="none"/>
        </w:rPr>
        <w:t>1</w:t>
      </w:r>
      <w:r>
        <w:rPr>
          <w:rFonts w:hint="eastAsia" w:ascii="宋体" w:hAnsi="宋体"/>
          <w:bCs/>
          <w:color w:val="auto"/>
          <w:sz w:val="21"/>
          <w:szCs w:val="21"/>
          <w:highlight w:val="none"/>
        </w:rPr>
        <w:t>8</w:t>
      </w:r>
      <w:r>
        <w:rPr>
          <w:rFonts w:ascii="宋体" w:hAnsi="宋体"/>
          <w:bCs/>
          <w:color w:val="auto"/>
          <w:sz w:val="21"/>
          <w:szCs w:val="21"/>
          <w:highlight w:val="none"/>
        </w:rPr>
        <w:t>.1</w:t>
      </w:r>
      <w:r>
        <w:rPr>
          <w:rFonts w:hint="eastAsia" w:ascii="宋体" w:hAnsi="宋体"/>
          <w:bCs/>
          <w:color w:val="auto"/>
          <w:sz w:val="21"/>
          <w:szCs w:val="21"/>
          <w:highlight w:val="none"/>
        </w:rPr>
        <w:t>递交的电子投标文件（不含备用光盘）必须进行加密。按照交易平台关于</w:t>
      </w:r>
      <w:r>
        <w:rPr>
          <w:rFonts w:hint="eastAsia"/>
          <w:color w:val="auto"/>
          <w:sz w:val="21"/>
          <w:szCs w:val="21"/>
          <w:highlight w:val="none"/>
        </w:rPr>
        <w:t>全流程电子化项目的相关指南进行操作。详见：</w:t>
      </w:r>
      <w:r>
        <w:rPr>
          <w:rFonts w:hint="eastAsia"/>
          <w:color w:val="auto"/>
          <w:sz w:val="21"/>
          <w:szCs w:val="21"/>
          <w:highlight w:val="none"/>
          <w:u w:val="single"/>
          <w:lang w:eastAsia="zh-CN"/>
        </w:rPr>
        <w:t>广州交易集团有限公司（广州公共资源交易中心）</w:t>
      </w:r>
      <w:r>
        <w:rPr>
          <w:rFonts w:hint="eastAsia"/>
          <w:color w:val="auto"/>
          <w:sz w:val="21"/>
          <w:szCs w:val="21"/>
          <w:highlight w:val="none"/>
          <w:u w:val="single"/>
        </w:rPr>
        <w:t>网站</w:t>
      </w:r>
      <w:r>
        <w:rPr>
          <w:color w:val="auto"/>
          <w:sz w:val="21"/>
          <w:szCs w:val="21"/>
          <w:highlight w:val="none"/>
          <w:u w:val="single"/>
        </w:rPr>
        <w:t xml:space="preserve"> </w:t>
      </w:r>
      <w:r>
        <w:rPr>
          <w:rFonts w:hint="eastAsia"/>
          <w:color w:val="auto"/>
          <w:sz w:val="21"/>
          <w:szCs w:val="21"/>
          <w:highlight w:val="none"/>
        </w:rPr>
        <w:t xml:space="preserve"> 。</w:t>
      </w:r>
    </w:p>
    <w:p w14:paraId="6745B0C1">
      <w:pPr>
        <w:spacing w:line="360" w:lineRule="auto"/>
        <w:ind w:firstLine="420" w:firstLineChars="200"/>
        <w:rPr>
          <w:rFonts w:ascii="宋体"/>
          <w:bCs/>
          <w:color w:val="auto"/>
          <w:sz w:val="21"/>
          <w:szCs w:val="21"/>
          <w:highlight w:val="none"/>
        </w:rPr>
      </w:pPr>
      <w:r>
        <w:rPr>
          <w:rFonts w:ascii="宋体" w:hAnsi="宋体"/>
          <w:bCs/>
          <w:color w:val="auto"/>
          <w:sz w:val="21"/>
          <w:szCs w:val="21"/>
          <w:highlight w:val="none"/>
        </w:rPr>
        <w:t>1</w:t>
      </w:r>
      <w:r>
        <w:rPr>
          <w:rFonts w:hint="eastAsia" w:ascii="宋体" w:hAnsi="宋体"/>
          <w:bCs/>
          <w:color w:val="auto"/>
          <w:sz w:val="21"/>
          <w:szCs w:val="21"/>
          <w:highlight w:val="none"/>
        </w:rPr>
        <w:t>8</w:t>
      </w:r>
      <w:r>
        <w:rPr>
          <w:rFonts w:ascii="宋体" w:hAnsi="宋体"/>
          <w:bCs/>
          <w:color w:val="auto"/>
          <w:sz w:val="21"/>
          <w:szCs w:val="21"/>
          <w:highlight w:val="none"/>
        </w:rPr>
        <w:t>.2</w:t>
      </w:r>
      <w:r>
        <w:rPr>
          <w:rFonts w:ascii="宋体"/>
          <w:bCs/>
          <w:color w:val="auto"/>
          <w:sz w:val="21"/>
          <w:szCs w:val="21"/>
          <w:highlight w:val="none"/>
        </w:rPr>
        <w:t xml:space="preserve"> </w:t>
      </w:r>
      <w:r>
        <w:rPr>
          <w:rFonts w:hint="eastAsia" w:ascii="宋体"/>
          <w:bCs/>
          <w:color w:val="auto"/>
          <w:sz w:val="21"/>
          <w:szCs w:val="21"/>
          <w:highlight w:val="none"/>
        </w:rPr>
        <w:t>未按要求加密的投标文件，</w:t>
      </w:r>
      <w:r>
        <w:rPr>
          <w:rFonts w:hint="eastAsia"/>
          <w:color w:val="auto"/>
          <w:sz w:val="21"/>
          <w:szCs w:val="21"/>
          <w:highlight w:val="none"/>
          <w:u w:val="single"/>
          <w:lang w:eastAsia="zh-CN"/>
        </w:rPr>
        <w:t>广州交易集团有限公司（广州公共资源交易中心）</w:t>
      </w:r>
      <w:r>
        <w:rPr>
          <w:rFonts w:hint="eastAsia" w:ascii="宋体" w:hAnsi="宋体"/>
          <w:color w:val="auto"/>
          <w:sz w:val="21"/>
          <w:szCs w:val="21"/>
          <w:highlight w:val="none"/>
        </w:rPr>
        <w:t>交易平台</w:t>
      </w:r>
      <w:r>
        <w:rPr>
          <w:rFonts w:hint="eastAsia" w:ascii="宋体"/>
          <w:bCs/>
          <w:color w:val="auto"/>
          <w:sz w:val="21"/>
          <w:szCs w:val="21"/>
          <w:highlight w:val="none"/>
        </w:rPr>
        <w:t>将予以拒收。</w:t>
      </w:r>
    </w:p>
    <w:p w14:paraId="43991BD8">
      <w:pPr>
        <w:pBdr>
          <w:bottom w:val="single" w:color="auto" w:sz="6" w:space="1"/>
        </w:pBdr>
        <w:spacing w:line="360" w:lineRule="auto"/>
        <w:ind w:firstLine="0" w:firstLineChars="0"/>
        <w:rPr>
          <w:rFonts w:hint="eastAsia" w:ascii="宋体" w:hAnsi="宋体"/>
          <w:color w:val="auto"/>
          <w:szCs w:val="21"/>
          <w:highlight w:val="none"/>
          <w:u w:val="single"/>
        </w:rPr>
      </w:pPr>
    </w:p>
    <w:p w14:paraId="3D4DD810">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条款号：19.1～19.6</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1A605233">
      <w:pPr>
        <w:pBdr>
          <w:bottom w:val="single" w:color="auto" w:sz="6" w:space="1"/>
        </w:pBd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w:t>
      </w:r>
      <w:r>
        <w:rPr>
          <w:rFonts w:ascii="宋体" w:hAnsi="宋体"/>
          <w:color w:val="auto"/>
          <w:szCs w:val="21"/>
          <w:highlight w:val="none"/>
        </w:rPr>
        <w:t xml:space="preserve"> </w:t>
      </w:r>
      <w:r>
        <w:rPr>
          <w:rFonts w:hint="eastAsia" w:ascii="宋体" w:hAnsi="宋体"/>
          <w:color w:val="auto"/>
          <w:szCs w:val="21"/>
          <w:highlight w:val="none"/>
        </w:rPr>
        <w:t>19.1投标人通过</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交易平台递交电子投标文件。</w:t>
      </w:r>
    </w:p>
    <w:p w14:paraId="357B9E0A">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19.2投标人完成电子投标文件上传后，</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交易平台即时向投标人发出递交回执通知。递交时间以递交回执通知载明的传输完成时间为准。</w:t>
      </w:r>
    </w:p>
    <w:p w14:paraId="16EE0DF0">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19.3逾期送达的电子投标文件，</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交易平台将予以拒收。</w:t>
      </w:r>
    </w:p>
    <w:p w14:paraId="6EB6FE45">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19.4 投标截止前，招标人拒绝接收符合条件的投标文件，投标人可向招标投标监督机构投诉。</w:t>
      </w:r>
    </w:p>
    <w:p w14:paraId="02DA732C">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19.5如技术标和经济标先后分别开启，</w:t>
      </w:r>
      <w:r>
        <w:rPr>
          <w:rFonts w:hint="eastAsia" w:ascii="宋体" w:hAnsi="宋体"/>
          <w:color w:val="auto"/>
          <w:szCs w:val="21"/>
          <w:highlight w:val="none"/>
          <w:u w:val="single"/>
        </w:rPr>
        <w:t xml:space="preserve">        </w:t>
      </w:r>
      <w:r>
        <w:rPr>
          <w:rFonts w:hint="eastAsia" w:ascii="宋体" w:hAnsi="宋体"/>
          <w:color w:val="auto"/>
          <w:szCs w:val="21"/>
          <w:highlight w:val="none"/>
        </w:rPr>
        <w:t>交易平台将按招标文件规定的时间分别开启技术标和经济标。</w:t>
      </w:r>
    </w:p>
    <w:p w14:paraId="51061DFF">
      <w:pPr>
        <w:pBdr>
          <w:bottom w:val="single" w:color="auto" w:sz="6" w:space="1"/>
        </w:pBdr>
        <w:spacing w:line="360" w:lineRule="auto"/>
        <w:ind w:firstLine="525" w:firstLineChars="250"/>
        <w:rPr>
          <w:rFonts w:ascii="宋体" w:hAnsi="宋体"/>
          <w:b/>
          <w:color w:val="auto"/>
          <w:szCs w:val="21"/>
          <w:highlight w:val="none"/>
        </w:rPr>
      </w:pPr>
      <w:r>
        <w:rPr>
          <w:rFonts w:hint="eastAsia" w:ascii="宋体" w:hAnsi="宋体"/>
          <w:color w:val="auto"/>
          <w:szCs w:val="21"/>
          <w:highlight w:val="none"/>
        </w:rPr>
        <w:t>19.6在规定的时间内，项目负责人须到自助签到。按照交易平台有关项目负责人自助签到流程进行操作。项目负责人凡未凭身份证按时到达指定地点签到的，该投标文件将不能参与资格审查和评标（选择性条款）。</w:t>
      </w:r>
    </w:p>
    <w:p w14:paraId="6D670992">
      <w:pPr>
        <w:pBdr>
          <w:bottom w:val="single" w:color="auto" w:sz="6" w:space="1"/>
        </w:pBd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19.1投标人通过</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rPr>
        <w:t>交易平台递交电子投标文件。</w:t>
      </w:r>
    </w:p>
    <w:p w14:paraId="6B206548">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19.2投标人完成电子投标文件上传后，</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rPr>
        <w:t>交易平台即时向投标人发出递交回执通知。递交时间以递交回执通知载明的传输完成时间为准。</w:t>
      </w:r>
    </w:p>
    <w:p w14:paraId="53D613A2">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19.3逾期送达的电子投标文件，</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rPr>
        <w:t>交易平台将予以拒收。</w:t>
      </w:r>
    </w:p>
    <w:p w14:paraId="6D604624">
      <w:pPr>
        <w:pBdr>
          <w:bottom w:val="single" w:color="auto" w:sz="6" w:space="1"/>
        </w:pBdr>
        <w:spacing w:line="360" w:lineRule="auto"/>
        <w:ind w:firstLine="525" w:firstLineChars="250"/>
        <w:rPr>
          <w:rFonts w:ascii="宋体" w:hAnsi="宋体"/>
          <w:b/>
          <w:color w:val="auto"/>
          <w:szCs w:val="21"/>
          <w:highlight w:val="none"/>
        </w:rPr>
      </w:pPr>
      <w:r>
        <w:rPr>
          <w:rFonts w:hint="eastAsia" w:ascii="宋体" w:hAnsi="宋体"/>
          <w:color w:val="auto"/>
          <w:szCs w:val="21"/>
          <w:highlight w:val="none"/>
        </w:rPr>
        <w:t>19.4 投标截止前，招标人拒绝接收符合条件的投标文件，投标人可向招标投标监督机构投诉。</w:t>
      </w:r>
    </w:p>
    <w:p w14:paraId="5328D702">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 xml:space="preserve">21.1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2A2D8263">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w:t>
      </w:r>
      <w:r>
        <w:rPr>
          <w:rFonts w:ascii="宋体" w:hAnsi="宋体"/>
          <w:color w:val="auto"/>
          <w:szCs w:val="21"/>
          <w:highlight w:val="none"/>
        </w:rPr>
        <w:t xml:space="preserve">21.1 </w:t>
      </w:r>
      <w:r>
        <w:rPr>
          <w:rFonts w:hint="eastAsia" w:ascii="宋体" w:hAnsi="宋体"/>
          <w:color w:val="auto"/>
          <w:szCs w:val="21"/>
          <w:highlight w:val="none"/>
        </w:rPr>
        <w:t>本须知前附表第</w:t>
      </w:r>
      <w:r>
        <w:rPr>
          <w:rFonts w:ascii="宋体" w:hAnsi="宋体"/>
          <w:color w:val="auto"/>
          <w:szCs w:val="21"/>
          <w:highlight w:val="none"/>
        </w:rPr>
        <w:t>1</w:t>
      </w:r>
      <w:r>
        <w:rPr>
          <w:rFonts w:hint="eastAsia" w:ascii="宋体" w:hAnsi="宋体"/>
          <w:color w:val="auto"/>
          <w:szCs w:val="21"/>
          <w:highlight w:val="none"/>
        </w:rPr>
        <w:t>7项规定的投标截止时间后送达的电子投标文件，</w:t>
      </w:r>
      <w:r>
        <w:rPr>
          <w:rFonts w:ascii="宋体" w:hAnsi="宋体"/>
          <w:color w:val="auto"/>
          <w:szCs w:val="21"/>
          <w:highlight w:val="none"/>
          <w:u w:val="single"/>
        </w:rPr>
        <w:t xml:space="preserve">        </w:t>
      </w:r>
      <w:r>
        <w:rPr>
          <w:rFonts w:hint="eastAsia" w:ascii="宋体" w:hAnsi="宋体"/>
          <w:color w:val="auto"/>
          <w:szCs w:val="21"/>
          <w:highlight w:val="none"/>
        </w:rPr>
        <w:t>交易平台将予以拒收。</w:t>
      </w:r>
    </w:p>
    <w:p w14:paraId="6BA43100">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现文：</w:t>
      </w:r>
      <w:r>
        <w:rPr>
          <w:rFonts w:ascii="宋体" w:hAnsi="宋体"/>
          <w:color w:val="auto"/>
          <w:szCs w:val="21"/>
          <w:highlight w:val="none"/>
        </w:rPr>
        <w:t xml:space="preserve">21.1 </w:t>
      </w:r>
      <w:r>
        <w:rPr>
          <w:rFonts w:hint="eastAsia" w:ascii="宋体" w:hAnsi="宋体"/>
          <w:color w:val="auto"/>
          <w:szCs w:val="21"/>
          <w:highlight w:val="none"/>
        </w:rPr>
        <w:t>本须知前附表第</w:t>
      </w:r>
      <w:r>
        <w:rPr>
          <w:rFonts w:ascii="宋体" w:hAnsi="宋体"/>
          <w:color w:val="auto"/>
          <w:szCs w:val="21"/>
          <w:highlight w:val="none"/>
        </w:rPr>
        <w:t>1</w:t>
      </w:r>
      <w:r>
        <w:rPr>
          <w:rFonts w:hint="eastAsia" w:ascii="宋体" w:hAnsi="宋体"/>
          <w:color w:val="auto"/>
          <w:szCs w:val="21"/>
          <w:highlight w:val="none"/>
        </w:rPr>
        <w:t>7项规定的投标截止时间后送达的电子投标文件，</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rPr>
        <w:t>交易平台将予以拒收。</w:t>
      </w:r>
    </w:p>
    <w:p w14:paraId="791C2F41">
      <w:pPr>
        <w:pBdr>
          <w:bottom w:val="single" w:color="auto" w:sz="6" w:space="1"/>
        </w:pBdr>
        <w:spacing w:line="360" w:lineRule="auto"/>
        <w:ind w:firstLine="525" w:firstLineChars="250"/>
        <w:rPr>
          <w:rFonts w:ascii="宋体" w:hAnsi="宋体"/>
          <w:color w:val="auto"/>
          <w:szCs w:val="21"/>
          <w:highlight w:val="none"/>
          <w:u w:val="single"/>
        </w:rPr>
      </w:pPr>
    </w:p>
    <w:p w14:paraId="740F026A">
      <w:pPr>
        <w:pStyle w:val="10"/>
        <w:rPr>
          <w:color w:val="auto"/>
          <w:highlight w:val="none"/>
        </w:rPr>
      </w:pPr>
    </w:p>
    <w:p w14:paraId="39FD79CF">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条款号：27.1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6F6FFE40">
      <w:pPr>
        <w:spacing w:line="360" w:lineRule="auto"/>
        <w:ind w:firstLine="527" w:firstLineChars="250"/>
        <w:rPr>
          <w:rFonts w:asciiTheme="minorEastAsia" w:hAnsiTheme="minorEastAsia" w:eastAsiaTheme="minorEastAsia"/>
          <w:b/>
          <w:color w:val="auto"/>
          <w:szCs w:val="21"/>
          <w:highlight w:val="none"/>
        </w:rPr>
      </w:pPr>
      <w:r>
        <w:rPr>
          <w:rFonts w:hint="eastAsia" w:ascii="宋体" w:hAnsi="宋体"/>
          <w:b/>
          <w:color w:val="auto"/>
          <w:szCs w:val="21"/>
          <w:highlight w:val="none"/>
        </w:rPr>
        <w:t>原文：</w:t>
      </w:r>
      <w:r>
        <w:rPr>
          <w:rFonts w:asciiTheme="minorEastAsia" w:hAnsiTheme="minorEastAsia" w:eastAsiaTheme="minorEastAsia"/>
          <w:color w:val="auto"/>
          <w:szCs w:val="21"/>
          <w:highlight w:val="none"/>
        </w:rPr>
        <w:t>27.1</w:t>
      </w:r>
      <w:r>
        <w:rPr>
          <w:rFonts w:hint="eastAsia" w:cs="宋体" w:asciiTheme="minorEastAsia" w:hAnsiTheme="minorEastAsia" w:eastAsiaTheme="minorEastAsia"/>
          <w:bCs/>
          <w:color w:val="auto"/>
          <w:kern w:val="0"/>
          <w:sz w:val="22"/>
          <w:highlight w:val="none"/>
        </w:rPr>
        <w:t>招标人将在</w:t>
      </w:r>
      <w:r>
        <w:rPr>
          <w:rFonts w:cs="宋体" w:asciiTheme="minorEastAsia" w:hAnsiTheme="minorEastAsia" w:eastAsiaTheme="minorEastAsia"/>
          <w:bCs/>
          <w:color w:val="auto"/>
          <w:kern w:val="0"/>
          <w:sz w:val="22"/>
          <w:highlight w:val="none"/>
          <w:u w:val="single"/>
        </w:rPr>
        <w:t xml:space="preserve">        </w:t>
      </w:r>
      <w:r>
        <w:rPr>
          <w:rFonts w:hint="eastAsia" w:cs="宋体" w:asciiTheme="minorEastAsia" w:hAnsiTheme="minorEastAsia" w:eastAsiaTheme="minorEastAsia"/>
          <w:bCs/>
          <w:color w:val="auto"/>
          <w:kern w:val="0"/>
          <w:sz w:val="22"/>
          <w:highlight w:val="none"/>
        </w:rPr>
        <w:t>交易平台、广东省招标投标监管网和中国招标投标公共服务平台公示中标候选人，公示期为三天。</w:t>
      </w:r>
      <w:r>
        <w:rPr>
          <w:rFonts w:hint="eastAsia" w:cs="宋体" w:asciiTheme="minorEastAsia" w:hAnsiTheme="minorEastAsia" w:eastAsiaTheme="minorEastAsia"/>
          <w:b/>
          <w:bCs/>
          <w:color w:val="auto"/>
          <w:kern w:val="0"/>
          <w:sz w:val="22"/>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Theme="minorEastAsia" w:hAnsiTheme="minorEastAsia" w:eastAsiaTheme="minorEastAsia"/>
          <w:color w:val="auto"/>
          <w:szCs w:val="21"/>
          <w:highlight w:val="none"/>
        </w:rPr>
        <w:t>。</w:t>
      </w:r>
    </w:p>
    <w:p w14:paraId="2017CF26">
      <w:pPr>
        <w:pBdr>
          <w:bottom w:val="single" w:color="auto" w:sz="6" w:space="1"/>
        </w:pBdr>
        <w:spacing w:line="360" w:lineRule="auto"/>
        <w:ind w:firstLine="527" w:firstLineChars="250"/>
        <w:rPr>
          <w:rFonts w:ascii="宋体" w:hAnsi="宋体"/>
          <w:color w:val="auto"/>
          <w:szCs w:val="21"/>
          <w:highlight w:val="none"/>
          <w:u w:val="single"/>
        </w:rPr>
      </w:pPr>
      <w:r>
        <w:rPr>
          <w:rFonts w:hint="eastAsia" w:asciiTheme="minorEastAsia" w:hAnsiTheme="minorEastAsia" w:eastAsiaTheme="minorEastAsia"/>
          <w:b/>
          <w:color w:val="auto"/>
          <w:szCs w:val="21"/>
          <w:highlight w:val="none"/>
        </w:rPr>
        <w:t>现文：</w:t>
      </w:r>
      <w:r>
        <w:rPr>
          <w:rFonts w:asciiTheme="minorEastAsia" w:hAnsiTheme="minorEastAsia" w:eastAsiaTheme="minorEastAsia"/>
          <w:color w:val="auto"/>
          <w:szCs w:val="21"/>
          <w:highlight w:val="none"/>
        </w:rPr>
        <w:t>27.1</w:t>
      </w:r>
      <w:r>
        <w:rPr>
          <w:rFonts w:hint="eastAsia" w:cs="宋体" w:asciiTheme="minorEastAsia" w:hAnsiTheme="minorEastAsia" w:eastAsiaTheme="minorEastAsia"/>
          <w:bCs/>
          <w:color w:val="auto"/>
          <w:kern w:val="0"/>
          <w:sz w:val="22"/>
          <w:highlight w:val="none"/>
        </w:rPr>
        <w:t>招标人将在</w:t>
      </w:r>
      <w:r>
        <w:rPr>
          <w:rFonts w:hint="eastAsia" w:asciiTheme="minorEastAsia" w:hAnsiTheme="minorEastAsia" w:eastAsiaTheme="minorEastAsia"/>
          <w:color w:val="auto"/>
          <w:szCs w:val="21"/>
          <w:highlight w:val="none"/>
          <w:u w:val="single"/>
          <w:lang w:eastAsia="zh-CN"/>
        </w:rPr>
        <w:t>广州交易集团有限公司（广州公共资源交易中心）</w:t>
      </w:r>
      <w:r>
        <w:rPr>
          <w:rFonts w:hint="eastAsia" w:cs="宋体" w:asciiTheme="minorEastAsia" w:hAnsiTheme="minorEastAsia" w:eastAsiaTheme="minorEastAsia"/>
          <w:bCs/>
          <w:color w:val="auto"/>
          <w:kern w:val="0"/>
          <w:sz w:val="22"/>
          <w:highlight w:val="none"/>
        </w:rPr>
        <w:t>交易平台、广东省招标投标监管网和中国招标投标公共服务平台公示中标候选人，公示期为三天。</w:t>
      </w:r>
      <w:r>
        <w:rPr>
          <w:rFonts w:hint="eastAsia" w:cs="宋体" w:asciiTheme="minorEastAsia" w:hAnsiTheme="minorEastAsia" w:eastAsiaTheme="minorEastAsia"/>
          <w:b/>
          <w:bCs/>
          <w:color w:val="auto"/>
          <w:kern w:val="0"/>
          <w:sz w:val="22"/>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color w:val="auto"/>
          <w:szCs w:val="21"/>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1个月的社保证明原件、复印件（加盖中标单位公章）到建设（或代建）单位进行身份核查备案。经核查，确认与投标文件一致的，方可签订施工合同。若身份核查发现与投标文件不一致的，中标无效。逾期不办理的，视为自动放弃中标资格，由其他中标候选人顺次序替补。</w:t>
      </w:r>
    </w:p>
    <w:p w14:paraId="20CEF32F">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条款号：27.4                修改类型：修改</w:t>
      </w:r>
    </w:p>
    <w:p w14:paraId="163C7597">
      <w:pPr>
        <w:spacing w:line="360" w:lineRule="auto"/>
        <w:ind w:firstLine="422" w:firstLineChars="200"/>
        <w:rPr>
          <w:rFonts w:ascii="宋体" w:hAnsi="宋体"/>
          <w:bCs/>
          <w:color w:val="auto"/>
          <w:szCs w:val="21"/>
          <w:highlight w:val="none"/>
        </w:rPr>
      </w:pPr>
      <w:r>
        <w:rPr>
          <w:rFonts w:hint="eastAsia" w:ascii="宋体" w:hAnsi="宋体"/>
          <w:b/>
          <w:color w:val="auto"/>
          <w:szCs w:val="21"/>
          <w:highlight w:val="none"/>
        </w:rPr>
        <w:t>原文：</w:t>
      </w:r>
      <w:r>
        <w:rPr>
          <w:rFonts w:hint="eastAsia" w:ascii="宋体" w:hAnsi="宋体"/>
          <w:bCs/>
          <w:color w:val="auto"/>
          <w:szCs w:val="21"/>
          <w:highlight w:val="none"/>
        </w:rPr>
        <w:t>27.4在产生中标候选人后，招标人将中标候选人的投标文件商务部分文件的所有内容（包括人员、业绩、奖项等资料）在</w:t>
      </w:r>
      <w:r>
        <w:rPr>
          <w:rFonts w:hint="eastAsia" w:ascii="宋体" w:hAnsi="宋体"/>
          <w:color w:val="auto"/>
          <w:sz w:val="24"/>
          <w:highlight w:val="none"/>
          <w:u w:val="single"/>
        </w:rPr>
        <w:t xml:space="preserve">        </w:t>
      </w:r>
      <w:r>
        <w:rPr>
          <w:rFonts w:hint="eastAsia" w:ascii="宋体" w:hAnsi="宋体"/>
          <w:bCs/>
          <w:color w:val="auto"/>
          <w:szCs w:val="21"/>
          <w:highlight w:val="none"/>
        </w:rPr>
        <w:t>交易平台和广东省招标投标监管网公开。</w:t>
      </w:r>
    </w:p>
    <w:p w14:paraId="0AA3DCD3">
      <w:pPr>
        <w:pBdr>
          <w:bottom w:val="single" w:color="auto" w:sz="6" w:space="1"/>
        </w:pBdr>
        <w:spacing w:line="360" w:lineRule="auto"/>
        <w:ind w:firstLine="527" w:firstLineChars="250"/>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bCs/>
          <w:color w:val="auto"/>
          <w:szCs w:val="21"/>
          <w:highlight w:val="none"/>
        </w:rPr>
        <w:t>27.4在产生中标候选人后，招标人将中标候选人的投标文件商务部分文件的所有内容（包括人员、业绩、奖项等资料）在</w:t>
      </w:r>
      <w:r>
        <w:rPr>
          <w:rFonts w:hint="eastAsia" w:ascii="宋体" w:hAnsi="宋体"/>
          <w:bCs/>
          <w:color w:val="auto"/>
          <w:szCs w:val="21"/>
          <w:highlight w:val="none"/>
          <w:u w:val="single"/>
          <w:lang w:eastAsia="zh-CN"/>
        </w:rPr>
        <w:t>广州交易集团有限公司（广州公共资源交易中心）</w:t>
      </w:r>
      <w:r>
        <w:rPr>
          <w:rFonts w:hint="eastAsia" w:ascii="宋体" w:hAnsi="宋体"/>
          <w:bCs/>
          <w:color w:val="auto"/>
          <w:szCs w:val="21"/>
          <w:highlight w:val="none"/>
        </w:rPr>
        <w:t>交易平台和广东省招标投标监管网公开。</w:t>
      </w:r>
    </w:p>
    <w:p w14:paraId="5BB82BA1">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条款号：27.5</w:t>
      </w:r>
      <w:r>
        <w:rPr>
          <w:rFonts w:ascii="宋体" w:hAnsi="宋体"/>
          <w:b/>
          <w:color w:val="auto"/>
          <w:szCs w:val="21"/>
          <w:highlight w:val="none"/>
        </w:rPr>
        <w:t>-</w:t>
      </w:r>
      <w:r>
        <w:rPr>
          <w:rFonts w:hint="eastAsia" w:ascii="宋体" w:hAnsi="宋体"/>
          <w:b/>
          <w:color w:val="auto"/>
          <w:szCs w:val="21"/>
          <w:highlight w:val="none"/>
        </w:rPr>
        <w:t>27.6             修改类型：增加</w:t>
      </w:r>
    </w:p>
    <w:p w14:paraId="143C59C6">
      <w:pPr>
        <w:spacing w:line="360" w:lineRule="auto"/>
        <w:ind w:firstLine="422" w:firstLineChars="200"/>
        <w:rPr>
          <w:rFonts w:hint="eastAsia"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u w:val="single"/>
        </w:rPr>
        <w:t>27.5在</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u w:val="single"/>
        </w:rPr>
        <w:t>交易平台发布中标通知书之日起，即视为中标人确认收到中标通知书。中标人必须在3个工作日内由其委托代理人携带身份证及法人授权委托证明按招标人通知的时间和地点领取纸质图纸。中标人领取纸质图纸后必须与招标人</w:t>
      </w:r>
    </w:p>
    <w:p w14:paraId="1782C423">
      <w:pPr>
        <w:spacing w:line="360" w:lineRule="auto"/>
        <w:rPr>
          <w:rFonts w:ascii="宋体" w:hAnsi="宋体"/>
          <w:color w:val="auto"/>
          <w:szCs w:val="21"/>
          <w:highlight w:val="none"/>
          <w:u w:val="single"/>
        </w:rPr>
      </w:pPr>
      <w:r>
        <w:rPr>
          <w:rFonts w:hint="eastAsia" w:ascii="宋体" w:hAnsi="宋体"/>
          <w:color w:val="auto"/>
          <w:szCs w:val="21"/>
          <w:highlight w:val="none"/>
          <w:u w:val="single"/>
        </w:rPr>
        <w:t>在网上发布的电子版图纸进行核对，如有不符须于收到纸质图纸后五个工作日内将问题以书面形式向招标人提出；如纸质图纸和电子版图纸核对无误，中标人须于领取纸质图纸后五个工作日内在其中两套图纸上每页盖公章确认连同经盖公章的图纸确认函（一式两份）一并送回给招标人，表明中标人认同纸质图纸中内容与投标时的电子版图纸内容一致。</w:t>
      </w:r>
    </w:p>
    <w:p w14:paraId="2B2D731A">
      <w:pPr>
        <w:spacing w:line="360" w:lineRule="auto"/>
        <w:ind w:firstLine="470" w:firstLineChars="224"/>
        <w:rPr>
          <w:rFonts w:ascii="宋体" w:hAnsi="宋体"/>
          <w:color w:val="auto"/>
          <w:szCs w:val="21"/>
          <w:highlight w:val="none"/>
          <w:u w:val="single"/>
        </w:rPr>
      </w:pPr>
      <w:r>
        <w:rPr>
          <w:rFonts w:hint="eastAsia" w:ascii="宋体" w:hAnsi="宋体"/>
          <w:color w:val="auto"/>
          <w:szCs w:val="21"/>
          <w:highlight w:val="none"/>
          <w:u w:val="single"/>
        </w:rPr>
        <w:t>27.6 招标人或招标代理机构将在中标候选人公示结束后对第一中标候选人的企业资质证书有效期进行复核，如果第一中标候选人在中标候选人公示结束后7天内尚未取得资质有效期延续核准的，招标人有权否决其投标，由其他中标候选人顺次序替补或重新组织招标。</w:t>
      </w:r>
    </w:p>
    <w:p w14:paraId="63220739">
      <w:pPr>
        <w:pStyle w:val="5"/>
        <w:rPr>
          <w:rFonts w:ascii="宋体" w:hAnsi="宋体"/>
          <w:color w:val="auto"/>
          <w:szCs w:val="21"/>
          <w:highlight w:val="none"/>
        </w:rPr>
      </w:pPr>
      <w:r>
        <w:rPr>
          <w:rFonts w:hint="eastAsia" w:ascii="宋体" w:hAnsi="宋体"/>
          <w:color w:val="auto"/>
          <w:szCs w:val="21"/>
          <w:highlight w:val="none"/>
          <w:u w:val="single"/>
        </w:rPr>
        <w:t xml:space="preserve">                                                                                            </w:t>
      </w:r>
    </w:p>
    <w:p w14:paraId="1A3EA5A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条款号：28                                  修改类型：修改</w:t>
      </w:r>
    </w:p>
    <w:p w14:paraId="2768DD18">
      <w:pPr>
        <w:spacing w:line="360" w:lineRule="auto"/>
        <w:ind w:firstLine="422" w:firstLineChars="200"/>
        <w:rPr>
          <w:rFonts w:ascii="宋体" w:hAnsi="宋体"/>
          <w:b/>
          <w:bCs/>
          <w:color w:val="auto"/>
          <w:szCs w:val="21"/>
          <w:highlight w:val="none"/>
        </w:rPr>
      </w:pPr>
      <w:r>
        <w:rPr>
          <w:rFonts w:hint="eastAsia" w:ascii="宋体" w:hAnsi="宋体"/>
          <w:b/>
          <w:color w:val="auto"/>
          <w:szCs w:val="21"/>
          <w:highlight w:val="none"/>
        </w:rPr>
        <w:t>原文：</w:t>
      </w:r>
      <w:r>
        <w:rPr>
          <w:rFonts w:ascii="宋体" w:hAnsi="宋体"/>
          <w:b/>
          <w:bCs/>
          <w:color w:val="auto"/>
          <w:szCs w:val="21"/>
          <w:highlight w:val="none"/>
        </w:rPr>
        <w:t>28</w:t>
      </w:r>
      <w:r>
        <w:rPr>
          <w:rFonts w:hint="eastAsia" w:ascii="宋体" w:hAnsi="宋体"/>
          <w:b/>
          <w:bCs/>
          <w:color w:val="auto"/>
          <w:szCs w:val="21"/>
          <w:highlight w:val="none"/>
        </w:rPr>
        <w:t>．合同协议书的签订</w:t>
      </w:r>
    </w:p>
    <w:p w14:paraId="2484F64E">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 xml:space="preserve">28.1 </w:t>
      </w:r>
      <w:r>
        <w:rPr>
          <w:rFonts w:hint="eastAsia" w:ascii="宋体" w:hAnsi="宋体"/>
          <w:bCs/>
          <w:color w:val="auto"/>
          <w:szCs w:val="21"/>
          <w:highlight w:val="none"/>
        </w:rPr>
        <w:t>招标人与中标人将于中标通知书发出之日起</w:t>
      </w:r>
      <w:r>
        <w:rPr>
          <w:rFonts w:ascii="宋体" w:hAnsi="宋体"/>
          <w:bCs/>
          <w:color w:val="auto"/>
          <w:szCs w:val="21"/>
          <w:highlight w:val="none"/>
        </w:rPr>
        <w:t>30</w:t>
      </w:r>
      <w:r>
        <w:rPr>
          <w:rFonts w:hint="eastAsia" w:ascii="宋体" w:hAnsi="宋体"/>
          <w:bCs/>
          <w:color w:val="auto"/>
          <w:szCs w:val="21"/>
          <w:highlight w:val="none"/>
        </w:rPr>
        <w:t>日内，按照招标文件和中标人的投标文件商定和签订合同，招标人和中标人不得再行订立背离合同实质性内容的其他协议。</w:t>
      </w:r>
    </w:p>
    <w:p w14:paraId="6D2117FD">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28.2</w:t>
      </w:r>
      <w:r>
        <w:rPr>
          <w:rFonts w:hint="eastAsia" w:ascii="宋体" w:hAnsi="宋体"/>
          <w:bCs/>
          <w:color w:val="auto"/>
          <w:szCs w:val="21"/>
          <w:highlight w:val="none"/>
        </w:rPr>
        <w:t>中标通知书发出之日起</w:t>
      </w:r>
      <w:r>
        <w:rPr>
          <w:rFonts w:ascii="宋体" w:hAnsi="宋体"/>
          <w:bCs/>
          <w:color w:val="auto"/>
          <w:szCs w:val="21"/>
          <w:highlight w:val="none"/>
        </w:rPr>
        <w:t>30</w:t>
      </w:r>
      <w:r>
        <w:rPr>
          <w:rFonts w:hint="eastAsia" w:ascii="宋体" w:hAnsi="宋体"/>
          <w:bCs/>
          <w:color w:val="auto"/>
          <w:szCs w:val="21"/>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3F7E9642">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28.3</w:t>
      </w:r>
      <w:r>
        <w:rPr>
          <w:rFonts w:hint="eastAsia" w:ascii="宋体" w:hAnsi="宋体"/>
          <w:bCs/>
          <w:color w:val="auto"/>
          <w:szCs w:val="21"/>
          <w:highlight w:val="none"/>
        </w:rPr>
        <w:t>非经招标人同意，中标人在投标过程中使用的银行名称及帐号至完成竣工结算不得变更，否则招标人有权停止工程款项的拔付及至解除合同，由此造成的一切责任由中标人承担。</w:t>
      </w:r>
    </w:p>
    <w:p w14:paraId="5715B2A5">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28.4</w:t>
      </w:r>
      <w:r>
        <w:rPr>
          <w:rFonts w:hint="eastAsia" w:ascii="宋体" w:hAnsi="宋体"/>
          <w:bCs/>
          <w:color w:val="auto"/>
          <w:szCs w:val="21"/>
          <w:highlight w:val="none"/>
        </w:rPr>
        <w:t>招标人支付工程款时，中标人应提供工程所在地发票。</w:t>
      </w:r>
    </w:p>
    <w:p w14:paraId="3FD56519">
      <w:pPr>
        <w:spacing w:line="360" w:lineRule="auto"/>
        <w:ind w:firstLine="422" w:firstLineChars="200"/>
        <w:rPr>
          <w:rFonts w:ascii="宋体" w:hAnsi="宋体"/>
          <w:b/>
          <w:bCs/>
          <w:color w:val="auto"/>
          <w:szCs w:val="21"/>
          <w:highlight w:val="none"/>
        </w:rPr>
      </w:pPr>
      <w:r>
        <w:rPr>
          <w:rFonts w:hint="eastAsia" w:ascii="宋体" w:hAnsi="宋体"/>
          <w:b/>
          <w:color w:val="auto"/>
          <w:szCs w:val="21"/>
          <w:highlight w:val="none"/>
        </w:rPr>
        <w:t>现文：28</w:t>
      </w:r>
      <w:r>
        <w:rPr>
          <w:rFonts w:hint="eastAsia" w:ascii="宋体" w:hAnsi="宋体"/>
          <w:b/>
          <w:bCs/>
          <w:color w:val="auto"/>
          <w:szCs w:val="21"/>
          <w:highlight w:val="none"/>
        </w:rPr>
        <w:t>．合同协议书的签订</w:t>
      </w:r>
    </w:p>
    <w:p w14:paraId="74F6A8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28.1 招标人与中标人将于中标通知书发出之日起</w:t>
      </w:r>
      <w:r>
        <w:rPr>
          <w:rFonts w:hint="eastAsia" w:ascii="宋体" w:hAnsi="宋体"/>
          <w:color w:val="auto"/>
          <w:szCs w:val="21"/>
          <w:highlight w:val="none"/>
          <w:u w:val="single"/>
        </w:rPr>
        <w:t>18个日历天</w:t>
      </w:r>
      <w:r>
        <w:rPr>
          <w:rFonts w:hint="eastAsia" w:ascii="宋体" w:hAnsi="宋体"/>
          <w:color w:val="auto"/>
          <w:szCs w:val="21"/>
          <w:highlight w:val="none"/>
        </w:rPr>
        <w:t>内，按照招标文件和中标人的投标文件商定和签订合同，招标人和中标人不得再行订立背离合同实质性内容的其他协议。</w:t>
      </w:r>
      <w:r>
        <w:rPr>
          <w:rFonts w:hint="eastAsia" w:ascii="宋体" w:hAnsi="宋体"/>
          <w:color w:val="auto"/>
          <w:szCs w:val="21"/>
          <w:highlight w:val="none"/>
          <w:u w:val="single"/>
        </w:rPr>
        <w:t>施工合同价在5000万元以上的，书面合同应由招标人和中标人双方法定代表人当面签署</w:t>
      </w:r>
      <w:r>
        <w:rPr>
          <w:rFonts w:hint="eastAsia" w:ascii="宋体" w:hAnsi="宋体"/>
          <w:color w:val="auto"/>
          <w:szCs w:val="21"/>
          <w:highlight w:val="none"/>
        </w:rPr>
        <w:t>。</w:t>
      </w:r>
    </w:p>
    <w:p w14:paraId="0D3E54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28.2中标通知书发出之日起</w:t>
      </w:r>
      <w:r>
        <w:rPr>
          <w:rFonts w:hint="eastAsia" w:ascii="宋体" w:hAnsi="宋体"/>
          <w:color w:val="auto"/>
          <w:szCs w:val="21"/>
          <w:highlight w:val="none"/>
          <w:u w:val="single"/>
        </w:rPr>
        <w:t>18个日历天</w:t>
      </w:r>
      <w:r>
        <w:rPr>
          <w:rFonts w:hint="eastAsia" w:ascii="宋体" w:hAnsi="宋体"/>
          <w:color w:val="auto"/>
          <w:szCs w:val="21"/>
          <w:highlight w:val="none"/>
        </w:rPr>
        <w:t>后，中标人未按上款的规定与招标人订立合同，招标人</w:t>
      </w:r>
      <w:r>
        <w:rPr>
          <w:rFonts w:hint="eastAsia" w:ascii="宋体" w:hAnsi="宋体"/>
          <w:color w:val="auto"/>
          <w:szCs w:val="21"/>
          <w:highlight w:val="none"/>
          <w:u w:val="single"/>
        </w:rPr>
        <w:t>有权</w:t>
      </w:r>
      <w:r>
        <w:rPr>
          <w:rFonts w:hint="eastAsia" w:ascii="宋体" w:hAnsi="宋体"/>
          <w:color w:val="auto"/>
          <w:szCs w:val="21"/>
          <w:highlight w:val="none"/>
        </w:rPr>
        <w:t>解除中标通知书，原中标人按《关于投标保证金的承诺》执行，且依法承担相应法律责任</w:t>
      </w:r>
      <w:r>
        <w:rPr>
          <w:rFonts w:hint="eastAsia" w:ascii="宋体" w:hAnsi="宋体"/>
          <w:color w:val="auto"/>
          <w:szCs w:val="21"/>
          <w:highlight w:val="none"/>
          <w:u w:val="single"/>
        </w:rPr>
        <w:t>，招标人并且有权确定排名第二的中标候选人为中标人，排名第二的中标候选人出现前款所列的情形的，招标人可以确定排名第三的中标候选人为中标人</w:t>
      </w:r>
      <w:r>
        <w:rPr>
          <w:rFonts w:hint="eastAsia" w:ascii="宋体" w:hAnsi="宋体"/>
          <w:color w:val="auto"/>
          <w:szCs w:val="21"/>
          <w:highlight w:val="none"/>
        </w:rPr>
        <w:t>。原中标人给招标人造成的损失超过投标担保数额的，还应当对超过部分予以赔偿。原中标人有异议的，可以向人民法院起诉。</w:t>
      </w:r>
    </w:p>
    <w:p w14:paraId="1F0405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28.3</w:t>
      </w:r>
      <w:r>
        <w:rPr>
          <w:rFonts w:hint="eastAsia" w:ascii="宋体" w:hAnsi="宋体"/>
          <w:color w:val="auto"/>
          <w:szCs w:val="21"/>
          <w:highlight w:val="none"/>
          <w:u w:val="single"/>
        </w:rPr>
        <w:t>根据《番禺区基建办工程项目银行专户管理办法》（番基建办规章【2019】10号）规定，中标人在施工合同签订前需按相关规定设立本工程的银行专户，</w:t>
      </w:r>
      <w:r>
        <w:rPr>
          <w:rFonts w:hint="eastAsia" w:ascii="宋体" w:hAnsi="宋体"/>
          <w:color w:val="auto"/>
          <w:szCs w:val="21"/>
          <w:highlight w:val="none"/>
        </w:rPr>
        <w:t>未经招标人同意，中标人在投标过程中使用的银行名称及帐号至完成竣工结算不得变更，</w:t>
      </w:r>
      <w:r>
        <w:rPr>
          <w:rFonts w:hint="eastAsia" w:ascii="宋体" w:hAnsi="宋体"/>
          <w:color w:val="auto"/>
          <w:szCs w:val="21"/>
          <w:highlight w:val="none"/>
          <w:u w:val="single"/>
        </w:rPr>
        <w:t>若中标人违反上述约定的，招标人有权停止工程款项的拔付及至解除合同，</w:t>
      </w:r>
      <w:r>
        <w:rPr>
          <w:rFonts w:hint="eastAsia" w:ascii="宋体" w:hAnsi="宋体"/>
          <w:color w:val="auto"/>
          <w:szCs w:val="21"/>
          <w:highlight w:val="none"/>
        </w:rPr>
        <w:t>由此造成的一切责任由中标人承担。</w:t>
      </w:r>
    </w:p>
    <w:p w14:paraId="721633E3">
      <w:pPr>
        <w:pBdr>
          <w:bottom w:val="single" w:color="auto" w:sz="6" w:space="1"/>
        </w:pBdr>
        <w:spacing w:line="360" w:lineRule="auto"/>
        <w:ind w:firstLine="525" w:firstLineChars="250"/>
        <w:rPr>
          <w:rFonts w:hint="eastAsia" w:ascii="宋体" w:hAnsi="宋体" w:cs="宋体"/>
          <w:bCs/>
          <w:color w:val="auto"/>
          <w:kern w:val="0"/>
          <w:szCs w:val="21"/>
          <w:highlight w:val="none"/>
          <w:u w:val="single"/>
        </w:rPr>
      </w:pPr>
      <w:r>
        <w:rPr>
          <w:rFonts w:hint="eastAsia" w:ascii="宋体" w:hAnsi="宋体"/>
          <w:color w:val="auto"/>
          <w:szCs w:val="21"/>
          <w:highlight w:val="none"/>
          <w:u w:val="single"/>
        </w:rPr>
        <w:t>28.4中标人须以工程项目为单位，在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r>
        <w:rPr>
          <w:rFonts w:hint="eastAsia" w:ascii="宋体" w:hAnsi="宋体" w:cs="宋体"/>
          <w:bCs/>
          <w:color w:val="auto"/>
          <w:kern w:val="0"/>
          <w:szCs w:val="21"/>
          <w:highlight w:val="none"/>
          <w:u w:val="single"/>
        </w:rPr>
        <w:t>。</w:t>
      </w:r>
    </w:p>
    <w:p w14:paraId="23DE3341">
      <w:pPr>
        <w:pBdr>
          <w:bottom w:val="single" w:color="auto" w:sz="6" w:space="1"/>
        </w:pBdr>
        <w:spacing w:line="360" w:lineRule="auto"/>
        <w:ind w:firstLine="525" w:firstLineChars="250"/>
        <w:rPr>
          <w:rFonts w:hint="eastAsia" w:ascii="宋体" w:hAnsi="宋体" w:eastAsia="宋体" w:cs="宋体"/>
          <w:bCs/>
          <w:color w:val="auto"/>
          <w:kern w:val="0"/>
          <w:szCs w:val="21"/>
          <w:highlight w:val="none"/>
          <w:u w:val="single"/>
          <w:lang w:eastAsia="zh-CN"/>
        </w:rPr>
      </w:pPr>
      <w:r>
        <w:rPr>
          <w:rFonts w:hint="eastAsia" w:ascii="宋体" w:hAnsi="宋体" w:cs="宋体"/>
          <w:bCs/>
          <w:color w:val="auto"/>
          <w:kern w:val="0"/>
          <w:szCs w:val="21"/>
          <w:highlight w:val="none"/>
          <w:u w:val="single"/>
        </w:rPr>
        <w:t>28.5招标人和中标人应当自中标通知书发出之日起三十日内通过电子招标投标交易平台在线签订合同</w:t>
      </w:r>
      <w:r>
        <w:rPr>
          <w:rFonts w:hint="eastAsia" w:ascii="宋体" w:hAnsi="宋体" w:cs="宋体"/>
          <w:bCs/>
          <w:color w:val="auto"/>
          <w:kern w:val="0"/>
          <w:szCs w:val="21"/>
          <w:highlight w:val="none"/>
          <w:u w:val="single"/>
          <w:lang w:eastAsia="zh-CN"/>
        </w:rPr>
        <w:t>。</w:t>
      </w:r>
    </w:p>
    <w:p w14:paraId="220A6BC7">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条款号：29           修改类型：修改</w:t>
      </w:r>
    </w:p>
    <w:p w14:paraId="6C4EC8B1">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 xml:space="preserve">原文： </w:t>
      </w:r>
      <w:r>
        <w:rPr>
          <w:rFonts w:ascii="宋体" w:hAnsi="宋体"/>
          <w:b/>
          <w:color w:val="auto"/>
          <w:szCs w:val="21"/>
          <w:highlight w:val="none"/>
        </w:rPr>
        <w:t>29</w:t>
      </w:r>
      <w:r>
        <w:rPr>
          <w:rFonts w:hint="eastAsia" w:ascii="宋体" w:hAnsi="宋体"/>
          <w:b/>
          <w:color w:val="auto"/>
          <w:szCs w:val="21"/>
          <w:highlight w:val="none"/>
        </w:rPr>
        <w:t>．履约担保</w:t>
      </w:r>
    </w:p>
    <w:p w14:paraId="7D917D62">
      <w:pPr>
        <w:pBdr>
          <w:bottom w:val="single" w:color="auto" w:sz="6" w:space="1"/>
        </w:pBdr>
        <w:spacing w:line="360" w:lineRule="auto"/>
        <w:ind w:firstLine="525" w:firstLineChars="250"/>
        <w:rPr>
          <w:rFonts w:ascii="宋体" w:hAnsi="宋体"/>
          <w:bCs/>
          <w:color w:val="auto"/>
          <w:szCs w:val="21"/>
          <w:highlight w:val="none"/>
        </w:rPr>
      </w:pPr>
      <w:r>
        <w:rPr>
          <w:rFonts w:ascii="宋体" w:hAnsi="宋体"/>
          <w:bCs/>
          <w:color w:val="auto"/>
          <w:szCs w:val="21"/>
          <w:highlight w:val="none"/>
        </w:rPr>
        <w:t xml:space="preserve">29.1 </w:t>
      </w:r>
      <w:r>
        <w:rPr>
          <w:rFonts w:hint="eastAsia" w:ascii="宋体" w:hAnsi="宋体"/>
          <w:bCs/>
          <w:color w:val="auto"/>
          <w:szCs w:val="21"/>
          <w:highlight w:val="none"/>
        </w:rPr>
        <w:t>在收到中标通知书后的</w:t>
      </w:r>
      <w:r>
        <w:rPr>
          <w:rFonts w:ascii="宋体" w:hAnsi="宋体"/>
          <w:bCs/>
          <w:color w:val="auto"/>
          <w:szCs w:val="21"/>
          <w:highlight w:val="none"/>
        </w:rPr>
        <w:t>15</w:t>
      </w:r>
      <w:r>
        <w:rPr>
          <w:rFonts w:hint="eastAsia" w:ascii="宋体" w:hAnsi="宋体"/>
          <w:bCs/>
          <w:color w:val="auto"/>
          <w:szCs w:val="21"/>
          <w:highlight w:val="none"/>
        </w:rPr>
        <w:t>日内，中标人应按本须知前附表第</w:t>
      </w:r>
      <w:r>
        <w:rPr>
          <w:rFonts w:ascii="宋体" w:hAnsi="宋体"/>
          <w:bCs/>
          <w:color w:val="auto"/>
          <w:szCs w:val="21"/>
          <w:highlight w:val="none"/>
        </w:rPr>
        <w:t>2</w:t>
      </w:r>
      <w:r>
        <w:rPr>
          <w:rFonts w:hint="eastAsia" w:ascii="宋体" w:hAnsi="宋体"/>
          <w:bCs/>
          <w:color w:val="auto"/>
          <w:szCs w:val="21"/>
          <w:highlight w:val="none"/>
        </w:rPr>
        <w:t>0项的规定向招标人提交履约担保；如果中标人的履约担保是以银行保函的形式提供，则该银行保函应由在中国注册且营业地点在广州行政辖区内的银行开具。</w:t>
      </w:r>
    </w:p>
    <w:p w14:paraId="1C46D183">
      <w:pPr>
        <w:pBdr>
          <w:bottom w:val="single" w:color="auto" w:sz="6" w:space="1"/>
        </w:pBdr>
        <w:spacing w:line="360" w:lineRule="auto"/>
        <w:ind w:firstLine="525" w:firstLineChars="250"/>
        <w:rPr>
          <w:rFonts w:ascii="宋体" w:hAnsi="宋体"/>
          <w:color w:val="auto"/>
          <w:szCs w:val="21"/>
          <w:highlight w:val="none"/>
        </w:rPr>
      </w:pPr>
      <w:r>
        <w:rPr>
          <w:rFonts w:ascii="宋体" w:hAnsi="宋体"/>
          <w:bCs/>
          <w:color w:val="auto"/>
          <w:szCs w:val="21"/>
          <w:highlight w:val="none"/>
        </w:rPr>
        <w:t>29.2</w:t>
      </w:r>
      <w:r>
        <w:rPr>
          <w:rFonts w:hint="eastAsia" w:ascii="宋体" w:hAnsi="宋体"/>
          <w:bCs/>
          <w:color w:val="auto"/>
          <w:szCs w:val="21"/>
          <w:highlight w:val="none"/>
        </w:rPr>
        <w:t>中标通知书发出之日起</w:t>
      </w:r>
      <w:r>
        <w:rPr>
          <w:rFonts w:ascii="宋体" w:hAnsi="宋体"/>
          <w:bCs/>
          <w:color w:val="auto"/>
          <w:szCs w:val="21"/>
          <w:highlight w:val="none"/>
        </w:rPr>
        <w:t>15</w:t>
      </w:r>
      <w:r>
        <w:rPr>
          <w:rFonts w:hint="eastAsia" w:ascii="宋体" w:hAnsi="宋体"/>
          <w:bCs/>
          <w:color w:val="auto"/>
          <w:szCs w:val="21"/>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520CC801">
      <w:pPr>
        <w:pBdr>
          <w:bottom w:val="single" w:color="auto" w:sz="6" w:space="1"/>
        </w:pBdr>
        <w:spacing w:line="360" w:lineRule="auto"/>
        <w:ind w:firstLine="527" w:firstLineChars="250"/>
        <w:rPr>
          <w:rFonts w:ascii="宋体" w:hAnsi="宋体"/>
          <w:bCs/>
          <w:color w:val="auto"/>
          <w:szCs w:val="21"/>
          <w:highlight w:val="none"/>
        </w:rPr>
      </w:pPr>
      <w:r>
        <w:rPr>
          <w:rFonts w:hint="eastAsia" w:ascii="宋体" w:hAnsi="宋体"/>
          <w:b/>
          <w:color w:val="auto"/>
          <w:szCs w:val="21"/>
          <w:highlight w:val="none"/>
        </w:rPr>
        <w:t>现文：</w:t>
      </w:r>
      <w:r>
        <w:rPr>
          <w:rFonts w:ascii="宋体" w:hAnsi="宋体"/>
          <w:b/>
          <w:bCs/>
          <w:color w:val="auto"/>
          <w:szCs w:val="21"/>
          <w:highlight w:val="none"/>
        </w:rPr>
        <w:t>29</w:t>
      </w:r>
      <w:r>
        <w:rPr>
          <w:rFonts w:hint="eastAsia" w:ascii="宋体" w:hAnsi="宋体"/>
          <w:b/>
          <w:bCs/>
          <w:color w:val="auto"/>
          <w:szCs w:val="21"/>
          <w:highlight w:val="none"/>
        </w:rPr>
        <w:t>．履约担保</w:t>
      </w:r>
    </w:p>
    <w:p w14:paraId="0CFB6CFC">
      <w:pPr>
        <w:pBdr>
          <w:bottom w:val="single" w:color="auto" w:sz="6" w:space="1"/>
        </w:pBdr>
        <w:spacing w:line="360" w:lineRule="auto"/>
        <w:ind w:firstLine="525" w:firstLineChars="250"/>
        <w:rPr>
          <w:rFonts w:ascii="宋体" w:hAnsi="宋体" w:cs="宋体"/>
          <w:color w:val="auto"/>
          <w:szCs w:val="21"/>
          <w:highlight w:val="none"/>
        </w:rPr>
      </w:pPr>
      <w:r>
        <w:rPr>
          <w:rFonts w:hint="eastAsia" w:ascii="宋体" w:hAnsi="宋体"/>
          <w:bCs/>
          <w:color w:val="auto"/>
          <w:szCs w:val="21"/>
          <w:highlight w:val="none"/>
        </w:rPr>
        <w:t>29.1 在收到中标通知书后的</w:t>
      </w:r>
      <w:r>
        <w:rPr>
          <w:rFonts w:hint="eastAsia" w:ascii="宋体" w:hAnsi="宋体"/>
          <w:bCs/>
          <w:color w:val="auto"/>
          <w:szCs w:val="21"/>
          <w:highlight w:val="none"/>
          <w:u w:val="single"/>
        </w:rPr>
        <w:t>15个日历天</w:t>
      </w:r>
      <w:r>
        <w:rPr>
          <w:rFonts w:hint="eastAsia" w:ascii="宋体" w:hAnsi="宋体"/>
          <w:bCs/>
          <w:color w:val="auto"/>
          <w:szCs w:val="21"/>
          <w:highlight w:val="none"/>
        </w:rPr>
        <w:t>内，中标人应按本须知前附表第20项的</w:t>
      </w:r>
      <w:r>
        <w:rPr>
          <w:rFonts w:hint="eastAsia" w:ascii="宋体" w:hAnsi="宋体" w:cs="宋体"/>
          <w:color w:val="auto"/>
          <w:szCs w:val="21"/>
          <w:highlight w:val="none"/>
        </w:rPr>
        <w:t>规定向招标人递交履约担保；</w:t>
      </w:r>
      <w:r>
        <w:rPr>
          <w:rFonts w:hint="eastAsia" w:ascii="宋体" w:hAnsi="宋体" w:cs="宋体"/>
          <w:color w:val="auto"/>
          <w:szCs w:val="21"/>
          <w:highlight w:val="none"/>
          <w:u w:val="single"/>
        </w:rPr>
        <w:t>履约担保缴交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r>
        <w:rPr>
          <w:rFonts w:hint="eastAsia" w:ascii="宋体" w:hAnsi="宋体" w:cs="宋体"/>
          <w:color w:val="auto"/>
          <w:szCs w:val="21"/>
          <w:highlight w:val="none"/>
        </w:rPr>
        <w:t xml:space="preserve">    </w:t>
      </w:r>
    </w:p>
    <w:p w14:paraId="5573BA73">
      <w:pPr>
        <w:pBdr>
          <w:bottom w:val="single" w:color="auto" w:sz="6" w:space="1"/>
        </w:pBdr>
        <w:spacing w:line="360" w:lineRule="auto"/>
        <w:ind w:firstLine="525" w:firstLineChars="250"/>
        <w:rPr>
          <w:rFonts w:ascii="宋体" w:hAnsi="宋体" w:cs="宋体"/>
          <w:color w:val="auto"/>
          <w:szCs w:val="21"/>
          <w:highlight w:val="none"/>
          <w:u w:val="single"/>
        </w:rPr>
      </w:pPr>
      <w:r>
        <w:rPr>
          <w:rFonts w:hint="eastAsia" w:ascii="宋体" w:hAnsi="宋体" w:cs="宋体"/>
          <w:color w:val="auto"/>
          <w:szCs w:val="21"/>
          <w:highlight w:val="none"/>
          <w:u w:val="single"/>
        </w:rPr>
        <w:t>方式二：中标人按本合同附件中的格式3向发包人提供保证额为中标价款的10%的履约保证金银行保函，该银行保函应由在中国注册的银行开具。</w:t>
      </w:r>
    </w:p>
    <w:p w14:paraId="5DE14829">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29.2中标通知书发出之日起</w:t>
      </w:r>
      <w:r>
        <w:rPr>
          <w:rFonts w:hint="eastAsia" w:ascii="宋体" w:hAnsi="宋体" w:cs="宋体"/>
          <w:color w:val="auto"/>
          <w:szCs w:val="21"/>
          <w:highlight w:val="none"/>
          <w:u w:val="single"/>
        </w:rPr>
        <w:t>15个日历天</w:t>
      </w:r>
      <w:r>
        <w:rPr>
          <w:rFonts w:hint="eastAsia" w:ascii="宋体" w:hAnsi="宋体" w:cs="宋体"/>
          <w:color w:val="auto"/>
          <w:szCs w:val="21"/>
          <w:highlight w:val="none"/>
        </w:rPr>
        <w:t>内，中标人未按上款的规定递交履约担保</w:t>
      </w:r>
      <w:r>
        <w:rPr>
          <w:rFonts w:hint="eastAsia" w:ascii="宋体" w:hAnsi="宋体" w:cs="宋体"/>
          <w:color w:val="auto"/>
          <w:szCs w:val="21"/>
          <w:highlight w:val="none"/>
          <w:u w:val="single"/>
        </w:rPr>
        <w:t>且未征得招标人同意延期缴交的</w:t>
      </w:r>
      <w:r>
        <w:rPr>
          <w:rFonts w:hint="eastAsia" w:ascii="宋体" w:hAnsi="宋体" w:cs="宋体"/>
          <w:color w:val="auto"/>
          <w:szCs w:val="21"/>
          <w:highlight w:val="none"/>
        </w:rPr>
        <w:t>，招标人将解除中标通知书，原中标人按《关于投标保证金的承诺》执行</w:t>
      </w:r>
      <w:r>
        <w:rPr>
          <w:rFonts w:hint="eastAsia" w:ascii="宋体" w:hAnsi="宋体" w:cs="宋体"/>
          <w:color w:val="auto"/>
          <w:szCs w:val="21"/>
          <w:highlight w:val="none"/>
          <w:lang w:eastAsia="zh-CN"/>
        </w:rPr>
        <w:t>，</w:t>
      </w:r>
      <w:r>
        <w:rPr>
          <w:rFonts w:hint="eastAsia" w:ascii="宋体" w:hAnsi="宋体" w:cs="宋体"/>
          <w:color w:val="auto"/>
          <w:szCs w:val="21"/>
          <w:highlight w:val="none"/>
        </w:rPr>
        <w:t>且依法承担相应法律责任。原中标人给招标人造成的损失超过投标担保数额的，还应当对超过部分予以赔偿。原中标人有异议的，可以向人民法院起诉。</w:t>
      </w:r>
    </w:p>
    <w:p w14:paraId="3FAFD827">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31</w:t>
      </w:r>
      <w:r>
        <w:rPr>
          <w:rFonts w:hint="eastAsia" w:ascii="宋体" w:hAnsi="宋体"/>
          <w:b/>
          <w:color w:val="auto"/>
          <w:szCs w:val="21"/>
          <w:highlight w:val="none"/>
        </w:rPr>
        <w:t xml:space="preserve">             修改类型：增加</w:t>
      </w:r>
    </w:p>
    <w:p w14:paraId="15609AC6">
      <w:pPr>
        <w:spacing w:line="360" w:lineRule="auto"/>
        <w:ind w:left="482"/>
        <w:rPr>
          <w:rFonts w:ascii="宋体" w:hAnsi="宋体"/>
          <w:b/>
          <w:bCs/>
          <w:color w:val="auto"/>
          <w:szCs w:val="21"/>
          <w:highlight w:val="none"/>
        </w:rPr>
      </w:pPr>
      <w:r>
        <w:rPr>
          <w:rFonts w:hint="eastAsia" w:ascii="宋体" w:hAnsi="宋体"/>
          <w:b/>
          <w:color w:val="auto"/>
          <w:szCs w:val="21"/>
          <w:highlight w:val="none"/>
        </w:rPr>
        <w:t>现文：</w:t>
      </w:r>
      <w:r>
        <w:rPr>
          <w:rFonts w:ascii="宋体" w:hAnsi="宋体"/>
          <w:b/>
          <w:bCs/>
          <w:color w:val="auto"/>
          <w:szCs w:val="21"/>
          <w:highlight w:val="none"/>
        </w:rPr>
        <w:t>31</w:t>
      </w:r>
      <w:r>
        <w:rPr>
          <w:rFonts w:hint="eastAsia" w:ascii="宋体" w:hAnsi="宋体"/>
          <w:b/>
          <w:bCs/>
          <w:color w:val="auto"/>
          <w:szCs w:val="21"/>
          <w:highlight w:val="none"/>
        </w:rPr>
        <w:t>．其它费用</w:t>
      </w:r>
    </w:p>
    <w:p w14:paraId="2994C6CC">
      <w:pPr>
        <w:pBdr>
          <w:bottom w:val="single" w:color="auto" w:sz="6" w:space="1"/>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中标人代缴公共资源交易服务费，其费用包含在中标人投标报价中，</w:t>
      </w:r>
      <w:r>
        <w:rPr>
          <w:rFonts w:hint="eastAsia" w:ascii="宋体" w:hAnsi="宋体"/>
          <w:color w:val="auto"/>
          <w:spacing w:val="20"/>
          <w:szCs w:val="21"/>
          <w:highlight w:val="none"/>
        </w:rPr>
        <w:t>由</w:t>
      </w:r>
      <w:r>
        <w:rPr>
          <w:rFonts w:hint="eastAsia" w:ascii="宋体" w:hAnsi="宋体"/>
          <w:color w:val="auto"/>
          <w:spacing w:val="20"/>
          <w:szCs w:val="21"/>
          <w:highlight w:val="none"/>
          <w:u w:val="single"/>
          <w:lang w:eastAsia="zh-CN"/>
        </w:rPr>
        <w:t>广州交易集团有限公司（广州公共资源交易中心）</w:t>
      </w:r>
      <w:r>
        <w:rPr>
          <w:rFonts w:hint="eastAsia" w:ascii="宋体" w:hAnsi="宋体"/>
          <w:color w:val="auto"/>
          <w:szCs w:val="21"/>
          <w:highlight w:val="none"/>
        </w:rPr>
        <w:t>向中标人开具增值税发票。</w:t>
      </w:r>
    </w:p>
    <w:p w14:paraId="167A31B1">
      <w:pPr>
        <w:pStyle w:val="10"/>
        <w:rPr>
          <w:b/>
          <w:color w:val="auto"/>
          <w:szCs w:val="21"/>
          <w:highlight w:val="none"/>
        </w:rPr>
      </w:pPr>
    </w:p>
    <w:p w14:paraId="0B36DE07">
      <w:pPr>
        <w:spacing w:line="360" w:lineRule="auto"/>
        <w:ind w:firstLine="211" w:firstLineChars="100"/>
        <w:rPr>
          <w:b/>
          <w:color w:val="auto"/>
          <w:szCs w:val="21"/>
          <w:highlight w:val="none"/>
        </w:rPr>
      </w:pPr>
      <w:r>
        <w:rPr>
          <w:rFonts w:hint="eastAsia"/>
          <w:b/>
          <w:color w:val="auto"/>
          <w:szCs w:val="21"/>
          <w:highlight w:val="none"/>
        </w:rPr>
        <w:t>注：以上修改，仅限于本范本中有可供选择条款的情形。</w:t>
      </w:r>
    </w:p>
    <w:p w14:paraId="4A55712D">
      <w:pPr>
        <w:spacing w:line="360" w:lineRule="auto"/>
        <w:rPr>
          <w:color w:val="auto"/>
          <w:highlight w:val="none"/>
        </w:rPr>
      </w:pPr>
      <w:r>
        <w:rPr>
          <w:rFonts w:hint="eastAsia"/>
          <w:b/>
          <w:color w:val="auto"/>
          <w:szCs w:val="21"/>
          <w:highlight w:val="none"/>
        </w:rPr>
        <w:t>（以下无正文）</w:t>
      </w:r>
    </w:p>
    <w:p w14:paraId="3F5309A3">
      <w:pPr>
        <w:rPr>
          <w:rFonts w:hint="eastAsia" w:ascii="宋体" w:hAnsi="宋体"/>
          <w:color w:val="auto"/>
          <w:szCs w:val="21"/>
          <w:highlight w:val="none"/>
          <w:u w:val="single"/>
        </w:rPr>
      </w:pPr>
    </w:p>
    <w:p w14:paraId="746E393F">
      <w:pPr>
        <w:rPr>
          <w:rFonts w:hint="eastAsia" w:ascii="宋体" w:hAnsi="宋体"/>
          <w:color w:val="auto"/>
          <w:szCs w:val="21"/>
          <w:highlight w:val="none"/>
          <w:u w:val="single"/>
        </w:rPr>
      </w:pPr>
    </w:p>
    <w:p w14:paraId="30E0C572">
      <w:pPr>
        <w:rPr>
          <w:rFonts w:hint="eastAsia" w:ascii="宋体" w:hAnsi="宋体"/>
          <w:color w:val="auto"/>
          <w:szCs w:val="21"/>
          <w:highlight w:val="none"/>
          <w:u w:val="single"/>
        </w:rPr>
      </w:pPr>
    </w:p>
    <w:p w14:paraId="1A0E01D3">
      <w:pPr>
        <w:rPr>
          <w:rFonts w:hint="eastAsia" w:ascii="宋体" w:hAnsi="宋体"/>
          <w:color w:val="auto"/>
          <w:szCs w:val="21"/>
          <w:highlight w:val="none"/>
          <w:u w:val="single"/>
        </w:rPr>
      </w:pPr>
    </w:p>
    <w:p w14:paraId="34EB651F">
      <w:pPr>
        <w:rPr>
          <w:rFonts w:hint="eastAsia" w:ascii="宋体" w:hAnsi="宋体"/>
          <w:color w:val="auto"/>
          <w:szCs w:val="21"/>
          <w:highlight w:val="none"/>
          <w:u w:val="single"/>
        </w:rPr>
      </w:pPr>
    </w:p>
    <w:p w14:paraId="68962A5E">
      <w:pPr>
        <w:rPr>
          <w:rFonts w:hint="eastAsia" w:ascii="宋体" w:hAnsi="宋体"/>
          <w:color w:val="auto"/>
          <w:szCs w:val="21"/>
          <w:highlight w:val="none"/>
          <w:u w:val="single"/>
        </w:rPr>
      </w:pPr>
    </w:p>
    <w:p w14:paraId="6E8A1985">
      <w:pPr>
        <w:rPr>
          <w:rFonts w:hint="eastAsia" w:ascii="宋体" w:hAnsi="宋体"/>
          <w:color w:val="auto"/>
          <w:szCs w:val="21"/>
          <w:highlight w:val="none"/>
          <w:u w:val="single"/>
        </w:rPr>
      </w:pPr>
    </w:p>
    <w:p w14:paraId="4ED5BDCC">
      <w:pPr>
        <w:rPr>
          <w:rFonts w:hint="eastAsia" w:ascii="宋体" w:hAnsi="宋体"/>
          <w:color w:val="auto"/>
          <w:szCs w:val="21"/>
          <w:highlight w:val="none"/>
          <w:u w:val="single"/>
        </w:rPr>
      </w:pPr>
    </w:p>
    <w:p w14:paraId="4C05030A">
      <w:pPr>
        <w:rPr>
          <w:rFonts w:hint="eastAsia" w:ascii="宋体" w:hAnsi="宋体"/>
          <w:color w:val="auto"/>
          <w:szCs w:val="21"/>
          <w:highlight w:val="none"/>
          <w:u w:val="single"/>
        </w:rPr>
      </w:pPr>
    </w:p>
    <w:p w14:paraId="1DBFE0B8">
      <w:pPr>
        <w:rPr>
          <w:rFonts w:hint="eastAsia" w:ascii="宋体" w:hAnsi="宋体"/>
          <w:color w:val="auto"/>
          <w:szCs w:val="21"/>
          <w:highlight w:val="none"/>
          <w:u w:val="single"/>
        </w:rPr>
      </w:pPr>
    </w:p>
    <w:p w14:paraId="42D82B53">
      <w:pPr>
        <w:rPr>
          <w:rFonts w:hint="eastAsia" w:ascii="宋体" w:hAnsi="宋体"/>
          <w:color w:val="auto"/>
          <w:szCs w:val="21"/>
          <w:highlight w:val="none"/>
          <w:u w:val="single"/>
        </w:rPr>
      </w:pPr>
    </w:p>
    <w:p w14:paraId="107EDE88">
      <w:pPr>
        <w:rPr>
          <w:rFonts w:hint="eastAsia" w:ascii="宋体" w:hAnsi="宋体"/>
          <w:color w:val="auto"/>
          <w:szCs w:val="21"/>
          <w:highlight w:val="none"/>
          <w:u w:val="single"/>
        </w:rPr>
      </w:pPr>
    </w:p>
    <w:p w14:paraId="2210D8D1">
      <w:pPr>
        <w:rPr>
          <w:rFonts w:hint="eastAsia" w:ascii="宋体" w:hAnsi="宋体"/>
          <w:color w:val="auto"/>
          <w:szCs w:val="21"/>
          <w:highlight w:val="none"/>
          <w:u w:val="single"/>
        </w:rPr>
      </w:pPr>
    </w:p>
    <w:p w14:paraId="1F6F490A">
      <w:pPr>
        <w:rPr>
          <w:rFonts w:hint="eastAsia" w:ascii="宋体" w:hAnsi="宋体"/>
          <w:color w:val="auto"/>
          <w:szCs w:val="21"/>
          <w:highlight w:val="none"/>
          <w:u w:val="single"/>
        </w:rPr>
      </w:pPr>
    </w:p>
    <w:p w14:paraId="68E4DCD6">
      <w:pPr>
        <w:rPr>
          <w:rFonts w:hint="eastAsia" w:ascii="宋体" w:hAnsi="宋体"/>
          <w:color w:val="auto"/>
          <w:szCs w:val="21"/>
          <w:highlight w:val="none"/>
          <w:u w:val="single"/>
        </w:rPr>
      </w:pPr>
    </w:p>
    <w:p w14:paraId="4516A791">
      <w:pPr>
        <w:rPr>
          <w:rFonts w:hint="eastAsia" w:ascii="宋体" w:hAnsi="宋体"/>
          <w:color w:val="auto"/>
          <w:szCs w:val="21"/>
          <w:highlight w:val="none"/>
          <w:u w:val="single"/>
        </w:rPr>
      </w:pPr>
    </w:p>
    <w:p w14:paraId="3D9DD773">
      <w:pPr>
        <w:rPr>
          <w:rFonts w:hint="eastAsia" w:ascii="宋体" w:hAnsi="宋体"/>
          <w:color w:val="auto"/>
          <w:szCs w:val="21"/>
          <w:highlight w:val="none"/>
          <w:u w:val="single"/>
        </w:rPr>
      </w:pPr>
    </w:p>
    <w:p w14:paraId="00974AA5">
      <w:pPr>
        <w:rPr>
          <w:rFonts w:hint="eastAsia" w:ascii="宋体" w:hAnsi="宋体"/>
          <w:color w:val="auto"/>
          <w:szCs w:val="21"/>
          <w:highlight w:val="none"/>
          <w:u w:val="single"/>
        </w:rPr>
      </w:pPr>
    </w:p>
    <w:p w14:paraId="6BE88EE2">
      <w:pPr>
        <w:rPr>
          <w:rFonts w:hint="eastAsia" w:ascii="宋体" w:hAnsi="宋体"/>
          <w:color w:val="auto"/>
          <w:szCs w:val="21"/>
          <w:highlight w:val="none"/>
          <w:u w:val="single"/>
        </w:rPr>
      </w:pPr>
    </w:p>
    <w:p w14:paraId="0A24DA7C">
      <w:pPr>
        <w:rPr>
          <w:rFonts w:hint="eastAsia" w:ascii="宋体" w:hAnsi="宋体"/>
          <w:color w:val="auto"/>
          <w:szCs w:val="21"/>
          <w:highlight w:val="none"/>
          <w:u w:val="single"/>
        </w:rPr>
      </w:pPr>
    </w:p>
    <w:p w14:paraId="351DD692">
      <w:pPr>
        <w:rPr>
          <w:rFonts w:hint="eastAsia" w:ascii="宋体" w:hAnsi="宋体"/>
          <w:color w:val="auto"/>
          <w:szCs w:val="21"/>
          <w:highlight w:val="none"/>
          <w:u w:val="single"/>
        </w:rPr>
      </w:pPr>
    </w:p>
    <w:p w14:paraId="2DAB4CCE">
      <w:pPr>
        <w:rPr>
          <w:rFonts w:hint="eastAsia" w:ascii="宋体" w:hAnsi="宋体"/>
          <w:color w:val="auto"/>
          <w:szCs w:val="21"/>
          <w:highlight w:val="none"/>
          <w:u w:val="single"/>
        </w:rPr>
      </w:pPr>
    </w:p>
    <w:p w14:paraId="491E867E">
      <w:pPr>
        <w:rPr>
          <w:rFonts w:hint="eastAsia" w:ascii="宋体" w:hAnsi="宋体"/>
          <w:color w:val="auto"/>
          <w:szCs w:val="21"/>
          <w:highlight w:val="none"/>
          <w:u w:val="single"/>
        </w:rPr>
      </w:pPr>
    </w:p>
    <w:p w14:paraId="14AA0FE6">
      <w:pPr>
        <w:rPr>
          <w:rFonts w:hint="eastAsia" w:ascii="宋体" w:hAnsi="宋体"/>
          <w:color w:val="auto"/>
          <w:szCs w:val="21"/>
          <w:highlight w:val="none"/>
          <w:u w:val="single"/>
        </w:rPr>
      </w:pPr>
    </w:p>
    <w:p w14:paraId="49906434">
      <w:pPr>
        <w:rPr>
          <w:rFonts w:hint="eastAsia" w:ascii="宋体" w:hAnsi="宋体"/>
          <w:color w:val="auto"/>
          <w:szCs w:val="21"/>
          <w:highlight w:val="none"/>
          <w:u w:val="single"/>
        </w:rPr>
      </w:pPr>
    </w:p>
    <w:p w14:paraId="45F20AF0">
      <w:pPr>
        <w:rPr>
          <w:rFonts w:hint="eastAsia" w:ascii="宋体" w:hAnsi="宋体"/>
          <w:color w:val="auto"/>
          <w:szCs w:val="21"/>
          <w:highlight w:val="none"/>
          <w:u w:val="single"/>
        </w:rPr>
      </w:pPr>
    </w:p>
    <w:p w14:paraId="49C6A42B">
      <w:pPr>
        <w:rPr>
          <w:rFonts w:hint="eastAsia" w:ascii="宋体" w:hAnsi="宋体"/>
          <w:color w:val="auto"/>
          <w:szCs w:val="21"/>
          <w:highlight w:val="none"/>
          <w:u w:val="single"/>
        </w:rPr>
      </w:pPr>
    </w:p>
    <w:p w14:paraId="31E6110A">
      <w:pPr>
        <w:rPr>
          <w:rFonts w:hint="eastAsia" w:ascii="宋体" w:hAnsi="宋体"/>
          <w:color w:val="auto"/>
          <w:szCs w:val="21"/>
          <w:highlight w:val="none"/>
          <w:u w:val="single"/>
        </w:rPr>
      </w:pPr>
    </w:p>
    <w:p w14:paraId="29B49698">
      <w:pPr>
        <w:rPr>
          <w:rFonts w:hint="eastAsia" w:ascii="宋体" w:hAnsi="宋体"/>
          <w:color w:val="auto"/>
          <w:szCs w:val="21"/>
          <w:highlight w:val="none"/>
          <w:u w:val="single"/>
        </w:rPr>
      </w:pPr>
    </w:p>
    <w:p w14:paraId="6902FE0B">
      <w:pPr>
        <w:rPr>
          <w:rFonts w:hint="eastAsia" w:ascii="宋体" w:hAnsi="宋体"/>
          <w:color w:val="auto"/>
          <w:szCs w:val="21"/>
          <w:highlight w:val="none"/>
          <w:u w:val="single"/>
        </w:rPr>
      </w:pPr>
    </w:p>
    <w:p w14:paraId="7BF8456A">
      <w:pPr>
        <w:rPr>
          <w:rFonts w:hint="eastAsia" w:ascii="宋体" w:hAnsi="宋体"/>
          <w:color w:val="auto"/>
          <w:szCs w:val="21"/>
          <w:highlight w:val="none"/>
          <w:u w:val="single"/>
        </w:rPr>
      </w:pPr>
    </w:p>
    <w:p w14:paraId="3BF0615A">
      <w:pPr>
        <w:rPr>
          <w:rFonts w:hint="eastAsia" w:ascii="宋体" w:hAnsi="宋体"/>
          <w:color w:val="auto"/>
          <w:szCs w:val="21"/>
          <w:highlight w:val="none"/>
          <w:u w:val="single"/>
        </w:rPr>
      </w:pPr>
    </w:p>
    <w:p w14:paraId="55D84CA2">
      <w:pPr>
        <w:rPr>
          <w:rFonts w:hint="eastAsia" w:ascii="宋体" w:hAnsi="宋体"/>
          <w:color w:val="auto"/>
          <w:szCs w:val="21"/>
          <w:highlight w:val="none"/>
          <w:u w:val="single"/>
        </w:rPr>
      </w:pPr>
    </w:p>
    <w:p w14:paraId="52EC2D9C">
      <w:pPr>
        <w:rPr>
          <w:rFonts w:hint="eastAsia" w:ascii="宋体" w:hAnsi="宋体"/>
          <w:color w:val="auto"/>
          <w:szCs w:val="21"/>
          <w:highlight w:val="none"/>
          <w:u w:val="single"/>
        </w:rPr>
      </w:pPr>
    </w:p>
    <w:p w14:paraId="313E4C86">
      <w:pPr>
        <w:rPr>
          <w:rFonts w:hint="eastAsia" w:ascii="宋体" w:hAnsi="宋体"/>
          <w:color w:val="auto"/>
          <w:szCs w:val="21"/>
          <w:highlight w:val="none"/>
          <w:u w:val="single"/>
        </w:rPr>
      </w:pPr>
    </w:p>
    <w:p w14:paraId="7B5030E9">
      <w:pPr>
        <w:rPr>
          <w:rFonts w:hint="eastAsia" w:ascii="宋体" w:hAnsi="宋体"/>
          <w:color w:val="auto"/>
          <w:szCs w:val="21"/>
          <w:highlight w:val="none"/>
          <w:u w:val="single"/>
        </w:rPr>
      </w:pPr>
    </w:p>
    <w:p w14:paraId="0B487122">
      <w:pPr>
        <w:pStyle w:val="6"/>
        <w:rPr>
          <w:color w:val="auto"/>
          <w:highlight w:val="none"/>
        </w:rPr>
      </w:pPr>
      <w:bookmarkStart w:id="4" w:name="_Toc2272548"/>
      <w:bookmarkStart w:id="5" w:name="_Toc21525492"/>
      <w:r>
        <w:rPr>
          <w:rFonts w:hint="eastAsia"/>
          <w:color w:val="auto"/>
          <w:highlight w:val="none"/>
        </w:rPr>
        <w:t>三、投标须知通用条款</w:t>
      </w:r>
      <w:bookmarkEnd w:id="4"/>
      <w:bookmarkEnd w:id="5"/>
    </w:p>
    <w:p w14:paraId="227C40EF">
      <w:pPr>
        <w:pStyle w:val="7"/>
        <w:spacing w:before="156" w:after="156"/>
        <w:rPr>
          <w:color w:val="auto"/>
          <w:highlight w:val="none"/>
        </w:rPr>
      </w:pPr>
      <w:bookmarkStart w:id="6" w:name="_Toc2272549"/>
      <w:bookmarkStart w:id="7" w:name="_Toc21525493"/>
      <w:r>
        <w:rPr>
          <w:rFonts w:hint="eastAsia"/>
          <w:color w:val="auto"/>
          <w:highlight w:val="none"/>
        </w:rPr>
        <w:t>（一）总则</w:t>
      </w:r>
      <w:bookmarkEnd w:id="6"/>
      <w:bookmarkEnd w:id="7"/>
    </w:p>
    <w:p w14:paraId="63D96ACF">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w:t>
      </w:r>
      <w:r>
        <w:rPr>
          <w:rFonts w:hint="eastAsia" w:ascii="宋体" w:hAnsi="宋体"/>
          <w:b/>
          <w:bCs/>
          <w:color w:val="auto"/>
          <w:sz w:val="24"/>
          <w:highlight w:val="none"/>
        </w:rPr>
        <w:t>、定义</w:t>
      </w:r>
    </w:p>
    <w:p w14:paraId="60E9F202">
      <w:pPr>
        <w:pStyle w:val="4"/>
        <w:spacing w:after="0" w:line="360" w:lineRule="auto"/>
        <w:ind w:firstLine="480" w:firstLineChars="200"/>
        <w:rPr>
          <w:rFonts w:ascii="宋体"/>
          <w:b/>
          <w:bCs/>
          <w:color w:val="auto"/>
          <w:sz w:val="24"/>
          <w:highlight w:val="none"/>
        </w:rPr>
      </w:pPr>
      <w:r>
        <w:rPr>
          <w:rFonts w:hint="eastAsia" w:ascii="宋体" w:hAnsi="宋体"/>
          <w:color w:val="auto"/>
          <w:sz w:val="24"/>
          <w:highlight w:val="none"/>
        </w:rPr>
        <w:t>本招标文件使用的下列词语具有如下规定的意义：</w:t>
      </w:r>
    </w:p>
    <w:p w14:paraId="6CA22F1F">
      <w:pPr>
        <w:pStyle w:val="4"/>
        <w:spacing w:after="0" w:line="360" w:lineRule="auto"/>
        <w:ind w:firstLine="480" w:firstLineChars="200"/>
        <w:rPr>
          <w:rFonts w:ascii="宋体"/>
          <w:b/>
          <w:bCs/>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）“招标人”（即发包人）、“项目建设管理单位</w:t>
      </w:r>
      <w:r>
        <w:rPr>
          <w:rFonts w:hint="eastAsia" w:ascii="宋体"/>
          <w:color w:val="auto"/>
          <w:sz w:val="24"/>
          <w:highlight w:val="none"/>
        </w:rPr>
        <w:t>”</w:t>
      </w:r>
      <w:r>
        <w:rPr>
          <w:rFonts w:hint="eastAsia" w:ascii="宋体" w:hAnsi="宋体"/>
          <w:color w:val="auto"/>
          <w:sz w:val="24"/>
          <w:highlight w:val="none"/>
        </w:rPr>
        <w:t>（或称“项目代建单位”）、“招标代理”、“设计单位”、“监理单位”均已在投标须知前附表中列明。</w:t>
      </w:r>
    </w:p>
    <w:p w14:paraId="3BF4E9E2">
      <w:pPr>
        <w:pStyle w:val="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）“投标人”指向招标人提交投标文件的当事人。</w:t>
      </w:r>
      <w:r>
        <w:rPr>
          <w:rFonts w:ascii="宋体" w:hAnsi="宋体"/>
          <w:color w:val="auto"/>
          <w:sz w:val="24"/>
          <w:highlight w:val="none"/>
        </w:rPr>
        <w:t xml:space="preserve">   </w:t>
      </w:r>
    </w:p>
    <w:p w14:paraId="1A37512B">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）“承包人”指其投标被招标人接受并与其签订承包合同的当事人。</w:t>
      </w:r>
    </w:p>
    <w:p w14:paraId="6648171C">
      <w:pPr>
        <w:pStyle w:val="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）“招标文件”指由招标代理发出的本文件（包括全部章节、附件）及招标答疑会会议纪要和</w:t>
      </w:r>
      <w:r>
        <w:rPr>
          <w:rFonts w:hint="eastAsia" w:ascii="宋体" w:hAnsi="宋体"/>
          <w:bCs/>
          <w:color w:val="auto"/>
          <w:sz w:val="24"/>
          <w:highlight w:val="none"/>
        </w:rPr>
        <w:t>招标文件的澄清与修改</w:t>
      </w:r>
      <w:r>
        <w:rPr>
          <w:rFonts w:hint="eastAsia" w:ascii="宋体" w:hAnsi="宋体"/>
          <w:color w:val="auto"/>
          <w:sz w:val="24"/>
          <w:highlight w:val="none"/>
        </w:rPr>
        <w:t>文件。</w:t>
      </w:r>
    </w:p>
    <w:p w14:paraId="2D52CD60">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）“投标文件”指投标人根据本项目招标文件向招标人提交的全部文件。</w:t>
      </w:r>
    </w:p>
    <w:p w14:paraId="3181E504">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）“书面形式”指打字或印刷的文件和数据电文（包括电报、电传、传真、电子数据交换和电子邮件）。</w:t>
      </w:r>
    </w:p>
    <w:p w14:paraId="47A2AE1B">
      <w:pPr>
        <w:spacing w:line="360" w:lineRule="auto"/>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、招标说明</w:t>
      </w:r>
    </w:p>
    <w:p w14:paraId="0B7521AC">
      <w:pPr>
        <w:spacing w:line="360" w:lineRule="auto"/>
        <w:ind w:firstLine="480" w:firstLineChars="200"/>
        <w:rPr>
          <w:rFonts w:ascii="宋体"/>
          <w:bCs/>
          <w:color w:val="auto"/>
          <w:sz w:val="24"/>
          <w:highlight w:val="none"/>
        </w:rPr>
      </w:pPr>
      <w:r>
        <w:rPr>
          <w:rFonts w:ascii="宋体" w:hAnsi="宋体"/>
          <w:bCs/>
          <w:color w:val="auto"/>
          <w:sz w:val="24"/>
          <w:highlight w:val="none"/>
        </w:rPr>
        <w:t>2.1</w:t>
      </w:r>
      <w:r>
        <w:rPr>
          <w:rFonts w:hint="eastAsia" w:ascii="宋体" w:hAnsi="宋体"/>
          <w:bCs/>
          <w:color w:val="auto"/>
          <w:sz w:val="24"/>
          <w:highlight w:val="none"/>
        </w:rPr>
        <w:t>本招标工程项目按照《中华人民共和国招标投标法》等有关法律、行政法规、规章和规范性文件，通过招标方式选定承包人。</w:t>
      </w:r>
    </w:p>
    <w:p w14:paraId="5AC55E01">
      <w:pPr>
        <w:spacing w:line="360" w:lineRule="auto"/>
        <w:ind w:firstLine="480" w:firstLineChars="200"/>
        <w:rPr>
          <w:rFonts w:ascii="宋体"/>
          <w:bCs/>
          <w:color w:val="auto"/>
          <w:sz w:val="24"/>
          <w:highlight w:val="none"/>
        </w:rPr>
      </w:pPr>
      <w:r>
        <w:rPr>
          <w:rFonts w:ascii="宋体" w:hAnsi="宋体"/>
          <w:bCs/>
          <w:color w:val="auto"/>
          <w:sz w:val="24"/>
          <w:highlight w:val="none"/>
        </w:rPr>
        <w:t>2.2</w:t>
      </w:r>
      <w:r>
        <w:rPr>
          <w:rFonts w:hint="eastAsia" w:ascii="宋体" w:hAnsi="宋体"/>
          <w:bCs/>
          <w:color w:val="auto"/>
          <w:sz w:val="24"/>
          <w:highlight w:val="none"/>
        </w:rPr>
        <w:t>工程名称、建设地点、建设规模、承包方式、质量标准、招标范围、工期要求等均在投标须知前附表中列明。</w:t>
      </w:r>
    </w:p>
    <w:p w14:paraId="0BEDDD80">
      <w:pPr>
        <w:spacing w:line="360" w:lineRule="auto"/>
        <w:ind w:firstLine="480" w:firstLineChars="200"/>
        <w:rPr>
          <w:rFonts w:ascii="宋体"/>
          <w:bCs/>
          <w:color w:val="auto"/>
          <w:sz w:val="24"/>
          <w:highlight w:val="none"/>
        </w:rPr>
      </w:pPr>
      <w:r>
        <w:rPr>
          <w:rFonts w:ascii="宋体" w:hAnsi="宋体"/>
          <w:bCs/>
          <w:color w:val="auto"/>
          <w:sz w:val="24"/>
          <w:highlight w:val="none"/>
        </w:rPr>
        <w:t>2.3</w:t>
      </w:r>
      <w:r>
        <w:rPr>
          <w:rFonts w:hint="eastAsia" w:ascii="宋体" w:hAnsi="宋体"/>
          <w:bCs/>
          <w:color w:val="auto"/>
          <w:sz w:val="24"/>
          <w:highlight w:val="none"/>
        </w:rPr>
        <w:t>设计说明：详见招标图纸。</w:t>
      </w:r>
    </w:p>
    <w:p w14:paraId="540E80E4">
      <w:pPr>
        <w:spacing w:line="360" w:lineRule="auto"/>
        <w:ind w:firstLine="480" w:firstLineChars="200"/>
        <w:rPr>
          <w:rFonts w:ascii="宋体"/>
          <w:bCs/>
          <w:color w:val="auto"/>
          <w:sz w:val="24"/>
          <w:highlight w:val="none"/>
        </w:rPr>
      </w:pPr>
      <w:r>
        <w:rPr>
          <w:rFonts w:ascii="宋体" w:hAnsi="宋体"/>
          <w:bCs/>
          <w:color w:val="auto"/>
          <w:sz w:val="24"/>
          <w:highlight w:val="none"/>
        </w:rPr>
        <w:t>2.4</w:t>
      </w:r>
      <w:r>
        <w:rPr>
          <w:rFonts w:hint="eastAsia" w:ascii="宋体" w:hAnsi="宋体"/>
          <w:bCs/>
          <w:color w:val="auto"/>
          <w:sz w:val="24"/>
          <w:highlight w:val="none"/>
        </w:rPr>
        <w:t>工程施工特点：详见招标图纸。</w:t>
      </w:r>
    </w:p>
    <w:p w14:paraId="51278E29">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．资金来源</w:t>
      </w:r>
    </w:p>
    <w:p w14:paraId="0896A0F4">
      <w:pPr>
        <w:spacing w:line="360" w:lineRule="auto"/>
        <w:ind w:firstLine="480" w:firstLineChars="200"/>
        <w:rPr>
          <w:rFonts w:ascii="宋体"/>
          <w:bCs/>
          <w:color w:val="auto"/>
          <w:sz w:val="24"/>
          <w:highlight w:val="none"/>
        </w:rPr>
      </w:pPr>
      <w:r>
        <w:rPr>
          <w:rFonts w:ascii="宋体" w:hAnsi="宋体"/>
          <w:bCs/>
          <w:color w:val="auto"/>
          <w:sz w:val="24"/>
          <w:highlight w:val="none"/>
        </w:rPr>
        <w:t>3.1</w:t>
      </w:r>
      <w:r>
        <w:rPr>
          <w:rFonts w:hint="eastAsia" w:ascii="宋体" w:hAnsi="宋体"/>
          <w:bCs/>
          <w:color w:val="auto"/>
          <w:sz w:val="24"/>
          <w:highlight w:val="none"/>
        </w:rPr>
        <w:t>本招标工程项目资金来源见投标须知前附表第</w:t>
      </w:r>
      <w:r>
        <w:rPr>
          <w:rFonts w:ascii="宋体" w:hAnsi="宋体"/>
          <w:bCs/>
          <w:color w:val="auto"/>
          <w:sz w:val="24"/>
          <w:highlight w:val="none"/>
        </w:rPr>
        <w:t>9</w:t>
      </w:r>
      <w:r>
        <w:rPr>
          <w:rFonts w:hint="eastAsia" w:ascii="宋体" w:hAnsi="宋体"/>
          <w:bCs/>
          <w:color w:val="auto"/>
          <w:sz w:val="24"/>
          <w:highlight w:val="none"/>
        </w:rPr>
        <w:t>项</w:t>
      </w:r>
    </w:p>
    <w:p w14:paraId="3F6CD98E">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．合格投标人的条件</w:t>
      </w:r>
    </w:p>
    <w:p w14:paraId="71F797B9">
      <w:pPr>
        <w:spacing w:line="360" w:lineRule="auto"/>
        <w:ind w:firstLine="480" w:firstLineChars="200"/>
        <w:rPr>
          <w:rFonts w:ascii="宋体"/>
          <w:bCs/>
          <w:color w:val="auto"/>
          <w:sz w:val="24"/>
          <w:highlight w:val="none"/>
        </w:rPr>
      </w:pPr>
      <w:r>
        <w:rPr>
          <w:rFonts w:ascii="宋体" w:hAnsi="宋体"/>
          <w:bCs/>
          <w:color w:val="auto"/>
          <w:sz w:val="24"/>
          <w:highlight w:val="none"/>
        </w:rPr>
        <w:t>4.1</w:t>
      </w:r>
      <w:r>
        <w:rPr>
          <w:rFonts w:hint="eastAsia" w:ascii="宋体" w:hAnsi="宋体"/>
          <w:bCs/>
          <w:color w:val="auto"/>
          <w:sz w:val="24"/>
          <w:highlight w:val="none"/>
        </w:rPr>
        <w:t>详见本项目招标公告</w:t>
      </w:r>
    </w:p>
    <w:p w14:paraId="578A4E3C">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．踏勘现场</w:t>
      </w:r>
    </w:p>
    <w:p w14:paraId="7BB74DF9">
      <w:pPr>
        <w:spacing w:line="360" w:lineRule="auto"/>
        <w:ind w:firstLine="480" w:firstLineChars="200"/>
        <w:rPr>
          <w:rFonts w:ascii="宋体"/>
          <w:bCs/>
          <w:color w:val="auto"/>
          <w:sz w:val="24"/>
          <w:highlight w:val="none"/>
          <w:u w:val="single"/>
        </w:rPr>
      </w:pPr>
      <w:r>
        <w:rPr>
          <w:rFonts w:ascii="宋体" w:hAnsi="宋体"/>
          <w:bCs/>
          <w:color w:val="auto"/>
          <w:sz w:val="24"/>
          <w:highlight w:val="none"/>
        </w:rPr>
        <w:t xml:space="preserve">5.1 </w:t>
      </w:r>
      <w:r>
        <w:rPr>
          <w:rFonts w:hint="eastAsia" w:ascii="宋体" w:hAnsi="宋体"/>
          <w:bCs/>
          <w:color w:val="auto"/>
          <w:sz w:val="24"/>
          <w:highlight w:val="none"/>
        </w:rPr>
        <w:t>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bCs/>
          <w:color w:val="auto"/>
          <w:sz w:val="24"/>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bCs/>
          <w:color w:val="auto"/>
          <w:sz w:val="24"/>
          <w:highlight w:val="none"/>
        </w:rPr>
        <w:t>一旦中标，这种考察即被认为其结果已在中标文件中得到充分反映。考察现场的费用由投标人自己承担。</w:t>
      </w:r>
    </w:p>
    <w:p w14:paraId="0A0F14EF">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 xml:space="preserve">5.2 </w:t>
      </w:r>
      <w:r>
        <w:rPr>
          <w:rFonts w:hint="eastAsia" w:ascii="宋体" w:hAnsi="宋体"/>
          <w:bCs/>
          <w:color w:val="auto"/>
          <w:sz w:val="24"/>
          <w:highlight w:val="none"/>
        </w:rPr>
        <w:t>招标人向投标人提供的有关现场的数据和资料，是招标人现有的能被投标人利用的资料，招标人对投标人做出的任何推论、理解和结论均不负责任。</w:t>
      </w:r>
    </w:p>
    <w:p w14:paraId="39148B4C">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5.3 </w:t>
      </w:r>
      <w:r>
        <w:rPr>
          <w:rFonts w:hint="eastAsia" w:ascii="宋体" w:hAnsi="宋体"/>
          <w:bCs/>
          <w:color w:val="auto"/>
          <w:sz w:val="24"/>
          <w:highlight w:val="none"/>
        </w:rPr>
        <w:t>经招标人允许，投标人可为踏勘目的进入招标人的项目现场。</w:t>
      </w:r>
      <w:r>
        <w:rPr>
          <w:rFonts w:hint="eastAsia" w:ascii="宋体" w:hAnsi="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color w:val="auto"/>
          <w:sz w:val="24"/>
          <w:highlight w:val="none"/>
        </w:rPr>
        <w:t>投标人不得因此使招标人承担有关的责任和蒙受损失。</w:t>
      </w:r>
    </w:p>
    <w:p w14:paraId="57132E7B">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．投标费用</w:t>
      </w:r>
    </w:p>
    <w:p w14:paraId="0E279DFE">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6.1</w:t>
      </w:r>
      <w:r>
        <w:rPr>
          <w:rFonts w:hint="eastAsia" w:ascii="宋体" w:hAnsi="宋体"/>
          <w:color w:val="auto"/>
          <w:sz w:val="24"/>
          <w:highlight w:val="none"/>
        </w:rPr>
        <w:t>不论投标结果如何，投标人应承担</w:t>
      </w:r>
      <w:r>
        <w:rPr>
          <w:rFonts w:hint="eastAsia" w:ascii="宋体" w:hAnsi="宋体"/>
          <w:bCs/>
          <w:color w:val="auto"/>
          <w:sz w:val="24"/>
          <w:highlight w:val="none"/>
        </w:rPr>
        <w:t>自身</w:t>
      </w:r>
      <w:r>
        <w:rPr>
          <w:rFonts w:hint="eastAsia" w:ascii="宋体" w:hAnsi="宋体"/>
          <w:color w:val="auto"/>
          <w:sz w:val="24"/>
          <w:highlight w:val="none"/>
        </w:rPr>
        <w:t>因投标文件编制、递交及其他</w:t>
      </w:r>
      <w:r>
        <w:rPr>
          <w:rFonts w:hint="eastAsia" w:ascii="宋体" w:hAnsi="宋体"/>
          <w:bCs/>
          <w:color w:val="auto"/>
          <w:sz w:val="24"/>
          <w:highlight w:val="none"/>
        </w:rPr>
        <w:t>参加本招标活动</w:t>
      </w:r>
      <w:r>
        <w:rPr>
          <w:rFonts w:hint="eastAsia" w:ascii="宋体" w:hAnsi="宋体"/>
          <w:color w:val="auto"/>
          <w:sz w:val="24"/>
          <w:highlight w:val="none"/>
        </w:rPr>
        <w:t>所涉及的一切费用，招标人对上述费用不负任何责任。</w:t>
      </w:r>
    </w:p>
    <w:p w14:paraId="0CD22F39">
      <w:pPr>
        <w:pStyle w:val="7"/>
        <w:spacing w:before="156" w:after="156"/>
        <w:rPr>
          <w:color w:val="auto"/>
          <w:highlight w:val="none"/>
        </w:rPr>
      </w:pPr>
      <w:bookmarkStart w:id="8" w:name="_Toc2272550"/>
      <w:bookmarkStart w:id="9" w:name="_Toc21525494"/>
      <w:r>
        <w:rPr>
          <w:rFonts w:hint="eastAsia"/>
          <w:color w:val="auto"/>
          <w:highlight w:val="none"/>
        </w:rPr>
        <w:t>（二）招标文件</w:t>
      </w:r>
      <w:bookmarkEnd w:id="8"/>
      <w:bookmarkEnd w:id="9"/>
    </w:p>
    <w:p w14:paraId="2600351C">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7.</w:t>
      </w:r>
      <w:r>
        <w:rPr>
          <w:rFonts w:hint="eastAsia" w:ascii="宋体" w:hAnsi="宋体"/>
          <w:b/>
          <w:color w:val="auto"/>
          <w:sz w:val="24"/>
          <w:highlight w:val="none"/>
        </w:rPr>
        <w:t>招标文件的组成</w:t>
      </w:r>
    </w:p>
    <w:p w14:paraId="63C2F51A">
      <w:pPr>
        <w:pStyle w:val="4"/>
        <w:spacing w:after="0" w:line="360" w:lineRule="auto"/>
        <w:ind w:left="-2" w:firstLine="480" w:firstLineChars="200"/>
        <w:rPr>
          <w:rFonts w:ascii="宋体" w:hAnsi="宋体"/>
          <w:color w:val="auto"/>
          <w:sz w:val="24"/>
          <w:highlight w:val="none"/>
        </w:rPr>
      </w:pPr>
      <w:r>
        <w:rPr>
          <w:rFonts w:ascii="宋体" w:hAnsi="宋体"/>
          <w:bCs/>
          <w:color w:val="auto"/>
          <w:sz w:val="24"/>
          <w:highlight w:val="none"/>
        </w:rPr>
        <w:t>7.</w:t>
      </w:r>
      <w:r>
        <w:rPr>
          <w:rFonts w:hint="eastAsia" w:ascii="宋体" w:hAnsi="宋体"/>
          <w:color w:val="auto"/>
          <w:sz w:val="24"/>
          <w:highlight w:val="none"/>
        </w:rPr>
        <w:t>1本招标文件包括下列文件，以及所有按本须知第8条发出的招标答疑会会议纪要和按本须知第9条发出的澄清或修改：</w:t>
      </w:r>
    </w:p>
    <w:p w14:paraId="2CF30627">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第一章  投标须知</w:t>
      </w:r>
    </w:p>
    <w:p w14:paraId="2823DCD5">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第二章  开标、评标及定标办法</w:t>
      </w:r>
    </w:p>
    <w:p w14:paraId="03D9FB03">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第三章  合同条款</w:t>
      </w:r>
      <w:r>
        <w:rPr>
          <w:rFonts w:hint="eastAsia" w:ascii="宋体" w:hAnsi="宋体"/>
          <w:bCs/>
          <w:color w:val="auto"/>
          <w:sz w:val="24"/>
          <w:szCs w:val="24"/>
          <w:highlight w:val="none"/>
          <w:u w:val="single"/>
        </w:rPr>
        <w:t>（另册）</w:t>
      </w:r>
    </w:p>
    <w:p w14:paraId="577681BF">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第四章  投标文件格式</w:t>
      </w:r>
    </w:p>
    <w:p w14:paraId="5091C7C7">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第五章  技术条件（工程建设标准）</w:t>
      </w:r>
      <w:r>
        <w:rPr>
          <w:rFonts w:hint="eastAsia" w:ascii="宋体" w:hAnsi="宋体"/>
          <w:strike/>
          <w:color w:val="auto"/>
          <w:sz w:val="24"/>
          <w:highlight w:val="none"/>
        </w:rPr>
        <w:t>（另册）</w:t>
      </w:r>
    </w:p>
    <w:p w14:paraId="08C952C2">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第六章  图纸</w:t>
      </w:r>
      <w:r>
        <w:rPr>
          <w:rFonts w:hint="eastAsia" w:ascii="宋体" w:hAnsi="宋体"/>
          <w:strike/>
          <w:color w:val="auto"/>
          <w:sz w:val="24"/>
          <w:highlight w:val="none"/>
        </w:rPr>
        <w:t>及勘察资料</w:t>
      </w:r>
      <w:r>
        <w:rPr>
          <w:rFonts w:hint="eastAsia" w:ascii="宋体" w:hAnsi="宋体"/>
          <w:color w:val="auto"/>
          <w:sz w:val="24"/>
          <w:highlight w:val="none"/>
        </w:rPr>
        <w:t>（另册）</w:t>
      </w:r>
    </w:p>
    <w:p w14:paraId="37C3C1EC">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第七章  招标工程量清单（另册）</w:t>
      </w:r>
    </w:p>
    <w:p w14:paraId="67FE665A">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第八章  最高投标限价</w:t>
      </w:r>
      <w:r>
        <w:rPr>
          <w:rFonts w:hint="eastAsia" w:ascii="宋体" w:hAnsi="宋体"/>
          <w:bCs/>
          <w:color w:val="auto"/>
          <w:sz w:val="24"/>
          <w:szCs w:val="24"/>
          <w:highlight w:val="none"/>
          <w:u w:val="single"/>
        </w:rPr>
        <w:t>（另册</w:t>
      </w:r>
      <w:r>
        <w:rPr>
          <w:rFonts w:hint="eastAsia" w:ascii="宋体" w:hAnsi="宋体"/>
          <w:bCs/>
          <w:color w:val="auto"/>
          <w:szCs w:val="21"/>
          <w:highlight w:val="none"/>
          <w:u w:val="single"/>
        </w:rPr>
        <w:t>）</w:t>
      </w:r>
    </w:p>
    <w:p w14:paraId="4883202A">
      <w:pPr>
        <w:pStyle w:val="4"/>
        <w:spacing w:after="0" w:line="360" w:lineRule="auto"/>
        <w:ind w:left="-2" w:firstLine="480" w:firstLineChars="200"/>
        <w:rPr>
          <w:rFonts w:ascii="宋体" w:hAnsi="宋体"/>
          <w:color w:val="auto"/>
          <w:sz w:val="24"/>
          <w:highlight w:val="none"/>
        </w:rPr>
      </w:pPr>
      <w:r>
        <w:rPr>
          <w:rFonts w:hint="eastAsia" w:ascii="宋体" w:hAnsi="宋体"/>
          <w:color w:val="auto"/>
          <w:sz w:val="24"/>
          <w:highlight w:val="none"/>
        </w:rPr>
        <w:t>注：①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②鼓励招标人对施工组织设计或施工方案实行隐藏投标人信息的暗标评审。</w:t>
      </w:r>
    </w:p>
    <w:p w14:paraId="4BA1E3BB">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7.2 </w:t>
      </w:r>
      <w:r>
        <w:rPr>
          <w:rFonts w:hint="eastAsia" w:ascii="宋体" w:hAnsi="宋体"/>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14:paraId="7E9C3C7B">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7.3 </w:t>
      </w:r>
      <w:r>
        <w:rPr>
          <w:rFonts w:hint="eastAsia" w:ascii="宋体" w:hAnsi="宋体"/>
          <w:color w:val="auto"/>
          <w:sz w:val="24"/>
          <w:highlight w:val="none"/>
        </w:rPr>
        <w:t>投标人一旦中标，招标文件的内容对招标人和中标人双方均有约束力。</w:t>
      </w:r>
    </w:p>
    <w:p w14:paraId="5C7F165A">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8</w:t>
      </w:r>
      <w:r>
        <w:rPr>
          <w:rFonts w:hint="eastAsia" w:ascii="宋体" w:hAnsi="宋体"/>
          <w:b/>
          <w:bCs/>
          <w:color w:val="auto"/>
          <w:sz w:val="24"/>
          <w:highlight w:val="none"/>
        </w:rPr>
        <w:t>．招标答疑</w:t>
      </w:r>
    </w:p>
    <w:p w14:paraId="18C8C5C4">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8.1 </w:t>
      </w:r>
      <w:r>
        <w:rPr>
          <w:rFonts w:hint="eastAsia" w:ascii="宋体" w:hAnsi="宋体"/>
          <w:color w:val="auto"/>
          <w:sz w:val="24"/>
          <w:highlight w:val="none"/>
        </w:rPr>
        <w:t>投标人若对招标文件（包括招标图纸）中有疑问，可以书面形式通过</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rPr>
        <w:t>交易平台提交给招标人或招标代理人，提交形式见本须知前附表第16项。</w:t>
      </w:r>
    </w:p>
    <w:p w14:paraId="5A87F7EC">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网上答疑的操作指南为：登陆</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新建设工程交易平台中“我是投标人”→“我的投标”→“招标答疑提问”通过项目编号或名称找到所需的项目→在上述的答疑时间内点击“提问” →无记名或匿名提出问题以及查看所有的问题（提交问题时需插入投标人CA证书）。</w:t>
      </w:r>
    </w:p>
    <w:p w14:paraId="34DD346E">
      <w:pPr>
        <w:pStyle w:val="4"/>
        <w:spacing w:after="0" w:line="360" w:lineRule="auto"/>
        <w:ind w:firstLine="480" w:firstLineChars="200"/>
        <w:rPr>
          <w:rFonts w:ascii="宋体"/>
          <w:color w:val="auto"/>
          <w:sz w:val="24"/>
          <w:highlight w:val="none"/>
        </w:rPr>
      </w:pPr>
      <w:r>
        <w:rPr>
          <w:rFonts w:ascii="宋体" w:hAnsi="宋体"/>
          <w:color w:val="auto"/>
          <w:sz w:val="24"/>
          <w:highlight w:val="none"/>
        </w:rPr>
        <w:t>8.2</w:t>
      </w:r>
      <w:r>
        <w:rPr>
          <w:rFonts w:hint="eastAsia" w:ascii="宋体"/>
          <w:color w:val="auto"/>
          <w:sz w:val="24"/>
          <w:highlight w:val="none"/>
        </w:rPr>
        <w:t xml:space="preserve"> 招标答疑会会议纪要将在提交投标文件截止时间15日前在</w:t>
      </w:r>
      <w:r>
        <w:rPr>
          <w:rFonts w:hint="eastAsia" w:ascii="宋体"/>
          <w:color w:val="auto"/>
          <w:sz w:val="24"/>
          <w:highlight w:val="none"/>
          <w:lang w:eastAsia="zh-CN"/>
        </w:rPr>
        <w:t>广州交易集团有限公司（广州公共资源交易中心）</w:t>
      </w:r>
      <w:r>
        <w:rPr>
          <w:rFonts w:hint="eastAsia" w:ascii="宋体"/>
          <w:color w:val="auto"/>
          <w:sz w:val="24"/>
          <w:highlight w:val="none"/>
        </w:rPr>
        <w:t>交易平台</w:t>
      </w:r>
      <w:r>
        <w:rPr>
          <w:rFonts w:hint="eastAsia" w:ascii="宋体"/>
          <w:color w:val="auto"/>
          <w:sz w:val="24"/>
          <w:highlight w:val="none"/>
          <w:u w:val="single"/>
        </w:rPr>
        <w:t>“建设工程”→“项目查询（日程安排、答疑纪要）”</w:t>
      </w:r>
      <w:r>
        <w:rPr>
          <w:rFonts w:hint="eastAsia" w:ascii="宋体"/>
          <w:color w:val="auto"/>
          <w:sz w:val="24"/>
          <w:highlight w:val="none"/>
        </w:rPr>
        <w:t>专区公开发布。答疑纪要一经在</w:t>
      </w:r>
      <w:r>
        <w:rPr>
          <w:rFonts w:hint="eastAsia" w:ascii="宋体"/>
          <w:color w:val="auto"/>
          <w:sz w:val="24"/>
          <w:highlight w:val="none"/>
          <w:u w:val="single"/>
          <w:lang w:eastAsia="zh-CN"/>
        </w:rPr>
        <w:t>广州交易集团有限公司（广州公共资源交易中心）</w:t>
      </w:r>
      <w:r>
        <w:rPr>
          <w:rFonts w:hint="eastAsia" w:ascii="宋体"/>
          <w:color w:val="auto"/>
          <w:sz w:val="24"/>
          <w:highlight w:val="none"/>
        </w:rPr>
        <w:t>交易平台发布，视作已发放给所有投标人。</w:t>
      </w:r>
    </w:p>
    <w:p w14:paraId="6EA6AE7A">
      <w:pPr>
        <w:pStyle w:val="4"/>
        <w:spacing w:after="0" w:line="360" w:lineRule="auto"/>
        <w:ind w:firstLine="480" w:firstLineChars="200"/>
        <w:rPr>
          <w:rFonts w:ascii="宋体"/>
          <w:color w:val="auto"/>
          <w:sz w:val="24"/>
          <w:highlight w:val="none"/>
        </w:rPr>
      </w:pPr>
      <w:r>
        <w:rPr>
          <w:rFonts w:ascii="宋体" w:hAnsi="宋体"/>
          <w:color w:val="auto"/>
          <w:sz w:val="24"/>
          <w:highlight w:val="none"/>
        </w:rPr>
        <w:t>8.3</w:t>
      </w:r>
      <w:r>
        <w:rPr>
          <w:rFonts w:hint="eastAsia" w:ascii="宋体" w:hAnsi="宋体"/>
          <w:color w:val="auto"/>
          <w:sz w:val="24"/>
          <w:highlight w:val="none"/>
        </w:rPr>
        <w:t>答疑会会议纪要为招标文件的一部分。</w:t>
      </w:r>
    </w:p>
    <w:p w14:paraId="00F13054">
      <w:pPr>
        <w:pStyle w:val="4"/>
        <w:spacing w:after="0" w:line="360" w:lineRule="auto"/>
        <w:ind w:firstLine="480" w:firstLineChars="200"/>
        <w:rPr>
          <w:rFonts w:ascii="宋体"/>
          <w:color w:val="auto"/>
          <w:sz w:val="24"/>
          <w:highlight w:val="none"/>
        </w:rPr>
      </w:pPr>
      <w:r>
        <w:rPr>
          <w:rFonts w:ascii="宋体" w:hAnsi="宋体"/>
          <w:color w:val="auto"/>
          <w:sz w:val="24"/>
          <w:highlight w:val="none"/>
        </w:rPr>
        <w:t>8.4</w:t>
      </w:r>
      <w:r>
        <w:rPr>
          <w:rFonts w:hint="eastAsia" w:ascii="宋体" w:hAnsi="宋体"/>
          <w:color w:val="auto"/>
          <w:sz w:val="24"/>
          <w:highlight w:val="none"/>
        </w:rPr>
        <w:t>若招标答疑会会议纪要与招标文件有矛盾，以答疑会议纪要最后发出的书面形式的文件为准。</w:t>
      </w:r>
    </w:p>
    <w:p w14:paraId="61ED54DB">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9.</w:t>
      </w:r>
      <w:r>
        <w:rPr>
          <w:rFonts w:hint="eastAsia" w:ascii="宋体" w:hAnsi="宋体"/>
          <w:b/>
          <w:bCs/>
          <w:color w:val="auto"/>
          <w:sz w:val="24"/>
          <w:highlight w:val="none"/>
        </w:rPr>
        <w:t>招标文件的澄清与修改</w:t>
      </w:r>
    </w:p>
    <w:p w14:paraId="0F50788D">
      <w:pPr>
        <w:pStyle w:val="4"/>
        <w:spacing w:after="0" w:line="360" w:lineRule="auto"/>
        <w:ind w:firstLine="480" w:firstLineChars="200"/>
        <w:rPr>
          <w:rFonts w:ascii="宋体"/>
          <w:color w:val="auto"/>
          <w:sz w:val="24"/>
          <w:highlight w:val="none"/>
        </w:rPr>
      </w:pPr>
      <w:r>
        <w:rPr>
          <w:rFonts w:ascii="宋体" w:hAnsi="宋体"/>
          <w:color w:val="auto"/>
          <w:sz w:val="24"/>
          <w:highlight w:val="none"/>
        </w:rPr>
        <w:t>9.1</w:t>
      </w:r>
      <w:r>
        <w:rPr>
          <w:rFonts w:hint="eastAsia" w:ascii="宋体" w:hAnsi="宋体"/>
          <w:color w:val="auto"/>
          <w:sz w:val="24"/>
          <w:highlight w:val="none"/>
        </w:rPr>
        <w:t>招标文件发出后</w:t>
      </w:r>
      <w:r>
        <w:rPr>
          <w:rFonts w:ascii="宋体"/>
          <w:color w:val="auto"/>
          <w:sz w:val="24"/>
          <w:highlight w:val="none"/>
        </w:rPr>
        <w:t>,</w:t>
      </w:r>
      <w:r>
        <w:rPr>
          <w:rFonts w:hint="eastAsia" w:ascii="宋体" w:hAnsi="宋体"/>
          <w:color w:val="auto"/>
          <w:sz w:val="24"/>
          <w:highlight w:val="none"/>
        </w:rPr>
        <w:t>在提交投标文件截止时间15日前，招标人可对招标文件进行必要的澄清或修改。</w:t>
      </w:r>
    </w:p>
    <w:p w14:paraId="08E81B32">
      <w:pPr>
        <w:pStyle w:val="4"/>
        <w:spacing w:after="0" w:line="360" w:lineRule="auto"/>
        <w:ind w:firstLine="480" w:firstLineChars="200"/>
        <w:rPr>
          <w:rFonts w:ascii="宋体"/>
          <w:color w:val="auto"/>
          <w:sz w:val="24"/>
          <w:highlight w:val="none"/>
        </w:rPr>
      </w:pPr>
      <w:r>
        <w:rPr>
          <w:rFonts w:ascii="宋体" w:hAnsi="宋体"/>
          <w:color w:val="auto"/>
          <w:sz w:val="24"/>
          <w:highlight w:val="none"/>
        </w:rPr>
        <w:t>9.2</w:t>
      </w:r>
      <w:r>
        <w:rPr>
          <w:rFonts w:hint="eastAsia" w:ascii="宋体"/>
          <w:color w:val="auto"/>
          <w:sz w:val="24"/>
          <w:highlight w:val="none"/>
        </w:rPr>
        <w:t>招标文件的澄清或修改将在</w:t>
      </w:r>
      <w:r>
        <w:rPr>
          <w:rFonts w:hint="eastAsia" w:ascii="宋体"/>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szCs w:val="24"/>
          <w:highlight w:val="none"/>
          <w:u w:val="single"/>
        </w:rPr>
        <w:t>“建设工程”→“项目查询（日程安排、答疑纪要）”</w:t>
      </w:r>
      <w:r>
        <w:rPr>
          <w:rFonts w:hint="eastAsia" w:ascii="宋体"/>
          <w:color w:val="auto"/>
          <w:sz w:val="24"/>
          <w:highlight w:val="none"/>
        </w:rPr>
        <w:t>专区公开发布。答疑纪要一经在</w:t>
      </w:r>
      <w:r>
        <w:rPr>
          <w:rFonts w:hint="eastAsia" w:ascii="宋体"/>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发布，视作已发放给所有投标人，以</w:t>
      </w:r>
      <w:r>
        <w:rPr>
          <w:rFonts w:hint="eastAsia" w:ascii="宋体"/>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color w:val="auto"/>
          <w:sz w:val="24"/>
          <w:highlight w:val="none"/>
        </w:rPr>
        <w:t>上网发布时间作为送达时间。</w:t>
      </w:r>
    </w:p>
    <w:p w14:paraId="53CDD4BE">
      <w:pPr>
        <w:pStyle w:val="4"/>
        <w:spacing w:after="0" w:line="360" w:lineRule="auto"/>
        <w:ind w:firstLine="480" w:firstLineChars="200"/>
        <w:rPr>
          <w:rFonts w:ascii="宋体"/>
          <w:color w:val="auto"/>
          <w:sz w:val="24"/>
          <w:highlight w:val="none"/>
        </w:rPr>
      </w:pPr>
      <w:r>
        <w:rPr>
          <w:rFonts w:ascii="宋体" w:hAnsi="宋体"/>
          <w:color w:val="auto"/>
          <w:sz w:val="24"/>
          <w:highlight w:val="none"/>
        </w:rPr>
        <w:t>9.3</w:t>
      </w:r>
      <w:r>
        <w:rPr>
          <w:rFonts w:hint="eastAsia" w:ascii="宋体" w:hAnsi="宋体"/>
          <w:color w:val="auto"/>
          <w:sz w:val="24"/>
          <w:highlight w:val="none"/>
        </w:rPr>
        <w:t>招标文件的修改内容为招标文件的组成部分。</w:t>
      </w:r>
    </w:p>
    <w:p w14:paraId="2B60E066">
      <w:pPr>
        <w:ind w:firstLine="480" w:firstLineChars="200"/>
        <w:rPr>
          <w:rFonts w:hint="eastAsia" w:ascii="宋体" w:hAnsi="宋体"/>
          <w:color w:val="auto"/>
          <w:sz w:val="24"/>
          <w:highlight w:val="none"/>
          <w:u w:val="single"/>
          <w:lang w:eastAsia="zh-CN"/>
        </w:rPr>
      </w:pPr>
      <w:r>
        <w:rPr>
          <w:rFonts w:ascii="宋体" w:hAnsi="宋体"/>
          <w:color w:val="auto"/>
          <w:sz w:val="24"/>
          <w:highlight w:val="none"/>
        </w:rPr>
        <w:t>9.4</w:t>
      </w:r>
      <w:r>
        <w:rPr>
          <w:rFonts w:hint="eastAsia" w:ascii="宋体" w:hAnsi="宋体"/>
          <w:color w:val="auto"/>
          <w:sz w:val="24"/>
          <w:highlight w:val="none"/>
        </w:rPr>
        <w:t>招标文件的澄清或修改均以在</w:t>
      </w:r>
      <w:r>
        <w:rPr>
          <w:rFonts w:hint="eastAsia" w:ascii="宋体" w:hAnsi="宋体"/>
          <w:color w:val="auto"/>
          <w:sz w:val="24"/>
          <w:highlight w:val="none"/>
          <w:u w:val="single"/>
          <w:lang w:eastAsia="zh-CN"/>
        </w:rPr>
        <w:t>广州交易集团有限公司（广州公共资源交易中心）</w:t>
      </w:r>
    </w:p>
    <w:p w14:paraId="11395051">
      <w:pPr>
        <w:pStyle w:val="4"/>
        <w:spacing w:after="0" w:line="360" w:lineRule="auto"/>
        <w:ind w:left="0" w:leftChars="0" w:firstLine="0" w:firstLineChars="0"/>
        <w:rPr>
          <w:rFonts w:ascii="宋体"/>
          <w:color w:val="auto"/>
          <w:sz w:val="24"/>
          <w:highlight w:val="none"/>
        </w:rPr>
      </w:pPr>
      <w:r>
        <w:rPr>
          <w:rFonts w:hint="eastAsia" w:ascii="宋体" w:hAnsi="宋体"/>
          <w:color w:val="auto"/>
          <w:sz w:val="24"/>
          <w:highlight w:val="none"/>
          <w:u w:val="single"/>
        </w:rPr>
        <w:t>交易平台“建设工程”→“项目查询（日程安排、答疑纪要）”专区公开发布</w:t>
      </w:r>
      <w:r>
        <w:rPr>
          <w:rFonts w:hint="eastAsia" w:ascii="宋体" w:hAnsi="宋体"/>
          <w:color w:val="auto"/>
          <w:sz w:val="24"/>
          <w:highlight w:val="none"/>
        </w:rPr>
        <w:t>的内容为准。当招标文件的澄清、修改、补充等在同一内容的表述不一致时，以最后发出的文件为准。</w:t>
      </w:r>
    </w:p>
    <w:p w14:paraId="14FE2087">
      <w:pPr>
        <w:pStyle w:val="4"/>
        <w:spacing w:after="0" w:line="360" w:lineRule="auto"/>
        <w:ind w:firstLine="480" w:firstLineChars="200"/>
        <w:rPr>
          <w:rFonts w:ascii="宋体"/>
          <w:color w:val="auto"/>
          <w:sz w:val="24"/>
          <w:highlight w:val="none"/>
        </w:rPr>
      </w:pPr>
      <w:r>
        <w:rPr>
          <w:rFonts w:ascii="宋体" w:hAnsi="宋体"/>
          <w:color w:val="auto"/>
          <w:sz w:val="24"/>
          <w:highlight w:val="none"/>
        </w:rPr>
        <w:t>9.5</w:t>
      </w:r>
      <w:r>
        <w:rPr>
          <w:rFonts w:hint="eastAsia" w:ascii="宋体" w:hAnsi="宋体"/>
          <w:color w:val="auto"/>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6D751A34">
      <w:pPr>
        <w:pStyle w:val="7"/>
        <w:spacing w:before="156" w:after="156"/>
        <w:rPr>
          <w:color w:val="auto"/>
          <w:highlight w:val="none"/>
        </w:rPr>
      </w:pPr>
      <w:bookmarkStart w:id="10" w:name="_Toc21525495"/>
      <w:bookmarkStart w:id="11" w:name="_Toc2272551"/>
      <w:r>
        <w:rPr>
          <w:rFonts w:hint="eastAsia"/>
          <w:color w:val="auto"/>
          <w:highlight w:val="none"/>
        </w:rPr>
        <w:t>（三）投标文件的编制</w:t>
      </w:r>
      <w:bookmarkEnd w:id="10"/>
      <w:bookmarkEnd w:id="11"/>
    </w:p>
    <w:p w14:paraId="6AB74DBD">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10</w:t>
      </w:r>
      <w:r>
        <w:rPr>
          <w:rFonts w:hint="eastAsia" w:ascii="宋体" w:hAnsi="宋体"/>
          <w:b/>
          <w:bCs/>
          <w:color w:val="auto"/>
          <w:sz w:val="24"/>
          <w:highlight w:val="none"/>
        </w:rPr>
        <w:t>．投标文件的语言及度量衡单位</w:t>
      </w:r>
    </w:p>
    <w:p w14:paraId="75B740A5">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10.1 </w:t>
      </w:r>
      <w:r>
        <w:rPr>
          <w:rFonts w:hint="eastAsia" w:ascii="宋体" w:hAnsi="宋体"/>
          <w:color w:val="auto"/>
          <w:sz w:val="24"/>
          <w:highlight w:val="none"/>
        </w:rPr>
        <w:t>投标文件和与投标有关的所有文件均应使用中文。</w:t>
      </w:r>
    </w:p>
    <w:p w14:paraId="24064683">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10.2 </w:t>
      </w:r>
      <w:r>
        <w:rPr>
          <w:rFonts w:hint="eastAsia" w:ascii="宋体" w:hAnsi="宋体"/>
          <w:color w:val="auto"/>
          <w:sz w:val="24"/>
          <w:highlight w:val="none"/>
        </w:rPr>
        <w:t>除工程规范另有规定外，投标文件使用的度量衡单位，均采用中华人民共和国法定计量单位。</w:t>
      </w:r>
    </w:p>
    <w:p w14:paraId="64721CD9">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11</w:t>
      </w:r>
      <w:r>
        <w:rPr>
          <w:rFonts w:hint="eastAsia" w:ascii="宋体" w:hAnsi="宋体"/>
          <w:b/>
          <w:bCs/>
          <w:color w:val="auto"/>
          <w:sz w:val="24"/>
          <w:highlight w:val="none"/>
        </w:rPr>
        <w:t>．投标文件的组成</w:t>
      </w:r>
    </w:p>
    <w:p w14:paraId="253EA565">
      <w:pPr>
        <w:pStyle w:val="4"/>
        <w:spacing w:after="0" w:line="360" w:lineRule="auto"/>
        <w:ind w:firstLine="480" w:firstLineChars="200"/>
        <w:rPr>
          <w:rFonts w:ascii="宋体"/>
          <w:b/>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投标文件由技术部分（含资格审查文件）和经济部分二部分投标文件组成</w:t>
      </w:r>
      <w:r>
        <w:rPr>
          <w:rFonts w:hint="eastAsia" w:ascii="宋体" w:hAnsi="宋体"/>
          <w:b/>
          <w:color w:val="auto"/>
          <w:sz w:val="24"/>
          <w:highlight w:val="none"/>
        </w:rPr>
        <w:t>。</w:t>
      </w:r>
    </w:p>
    <w:p w14:paraId="1BAC2377">
      <w:pPr>
        <w:spacing w:line="360" w:lineRule="auto"/>
        <w:ind w:firstLine="480" w:firstLineChars="200"/>
        <w:rPr>
          <w:rFonts w:ascii="宋体" w:hAnsi="宋体"/>
          <w:bCs/>
          <w:color w:val="auto"/>
          <w:sz w:val="24"/>
          <w:highlight w:val="none"/>
        </w:rPr>
      </w:pPr>
      <w:r>
        <w:rPr>
          <w:rFonts w:ascii="宋体" w:hAnsi="宋体"/>
          <w:bCs/>
          <w:color w:val="auto"/>
          <w:sz w:val="24"/>
          <w:highlight w:val="none"/>
        </w:rPr>
        <w:t>11.2</w:t>
      </w:r>
      <w:r>
        <w:rPr>
          <w:rFonts w:hint="eastAsia" w:ascii="宋体" w:hAnsi="宋体"/>
          <w:bCs/>
          <w:color w:val="auto"/>
          <w:sz w:val="24"/>
          <w:highlight w:val="none"/>
        </w:rPr>
        <w:t>投标文件技术标部分主要包括下列内容</w:t>
      </w:r>
      <w:r>
        <w:rPr>
          <w:rFonts w:ascii="宋体" w:hAnsi="宋体"/>
          <w:bCs/>
          <w:color w:val="auto"/>
          <w:sz w:val="24"/>
          <w:highlight w:val="none"/>
        </w:rPr>
        <w:t>:</w:t>
      </w:r>
    </w:p>
    <w:p w14:paraId="1AF97D4A">
      <w:pPr>
        <w:spacing w:line="360" w:lineRule="auto"/>
        <w:ind w:firstLine="480" w:firstLineChars="200"/>
        <w:rPr>
          <w:rFonts w:ascii="宋体"/>
          <w:bCs/>
          <w:color w:val="auto"/>
          <w:sz w:val="24"/>
          <w:highlight w:val="none"/>
        </w:rPr>
      </w:pPr>
      <w:r>
        <w:rPr>
          <w:rFonts w:hint="eastAsia" w:ascii="宋体"/>
          <w:bCs/>
          <w:color w:val="auto"/>
          <w:sz w:val="24"/>
          <w:highlight w:val="none"/>
        </w:rPr>
        <w:t>11.2.1 技术投标文件</w:t>
      </w:r>
      <w:r>
        <w:rPr>
          <w:rFonts w:ascii="宋体" w:hAnsi="宋体"/>
          <w:color w:val="auto"/>
          <w:sz w:val="24"/>
          <w:highlight w:val="none"/>
        </w:rPr>
        <w:t>(</w:t>
      </w:r>
      <w:r>
        <w:rPr>
          <w:rFonts w:hint="eastAsia" w:ascii="宋体" w:hAnsi="宋体"/>
          <w:color w:val="auto"/>
          <w:sz w:val="24"/>
          <w:highlight w:val="none"/>
        </w:rPr>
        <w:t>按招标文件的要求填写</w:t>
      </w:r>
      <w:r>
        <w:rPr>
          <w:rFonts w:ascii="宋体" w:hAnsi="宋体"/>
          <w:color w:val="auto"/>
          <w:sz w:val="24"/>
          <w:highlight w:val="none"/>
        </w:rPr>
        <w:t>)</w:t>
      </w:r>
      <w:r>
        <w:rPr>
          <w:rFonts w:hint="eastAsia" w:ascii="宋体"/>
          <w:bCs/>
          <w:color w:val="auto"/>
          <w:sz w:val="24"/>
          <w:highlight w:val="none"/>
        </w:rPr>
        <w:t>；</w:t>
      </w:r>
    </w:p>
    <w:p w14:paraId="2B51C224">
      <w:pPr>
        <w:spacing w:line="360" w:lineRule="auto"/>
        <w:ind w:firstLine="480" w:firstLineChars="200"/>
        <w:rPr>
          <w:rFonts w:ascii="宋体"/>
          <w:bCs/>
          <w:color w:val="auto"/>
          <w:sz w:val="24"/>
          <w:highlight w:val="none"/>
        </w:rPr>
      </w:pPr>
      <w:r>
        <w:rPr>
          <w:rFonts w:hint="eastAsia" w:ascii="宋体"/>
          <w:bCs/>
          <w:color w:val="auto"/>
          <w:sz w:val="24"/>
          <w:highlight w:val="none"/>
        </w:rPr>
        <w:t>11.2.2 资格审查文件：</w:t>
      </w:r>
    </w:p>
    <w:p w14:paraId="20471007">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 xml:space="preserve">（1）投标人声明（已按照招标公告附件的内容签署盖章的）； </w:t>
      </w:r>
    </w:p>
    <w:p w14:paraId="51082CF6">
      <w:pPr>
        <w:pStyle w:val="4"/>
        <w:spacing w:after="0" w:line="360" w:lineRule="auto"/>
        <w:ind w:firstLine="480" w:firstLineChars="200"/>
        <w:rPr>
          <w:rFonts w:hint="eastAsia" w:ascii="宋体" w:eastAsia="宋体"/>
          <w:bCs/>
          <w:color w:val="auto"/>
          <w:sz w:val="24"/>
          <w:highlight w:val="none"/>
          <w:u w:val="single"/>
          <w:lang w:eastAsia="zh-CN"/>
        </w:rPr>
      </w:pPr>
      <w:r>
        <w:rPr>
          <w:rFonts w:hint="eastAsia" w:ascii="宋体"/>
          <w:bCs/>
          <w:color w:val="auto"/>
          <w:sz w:val="24"/>
          <w:highlight w:val="none"/>
          <w:u w:val="single"/>
        </w:rPr>
        <w:t>（2）法定代表人证明书、法定代表人签字或盖章的本投标文件授权委托证明书</w:t>
      </w:r>
      <w:r>
        <w:rPr>
          <w:rFonts w:hint="eastAsia" w:ascii="宋体"/>
          <w:bCs/>
          <w:color w:val="auto"/>
          <w:sz w:val="24"/>
          <w:highlight w:val="none"/>
          <w:u w:val="single"/>
          <w:lang w:eastAsia="zh-CN"/>
        </w:rPr>
        <w:t>；</w:t>
      </w:r>
    </w:p>
    <w:p w14:paraId="6F070D8F">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（3）</w:t>
      </w:r>
      <w:r>
        <w:rPr>
          <w:rFonts w:hint="eastAsia" w:ascii="宋体"/>
          <w:bCs/>
          <w:color w:val="auto"/>
          <w:sz w:val="24"/>
          <w:highlight w:val="none"/>
          <w:u w:val="single"/>
          <w:lang w:eastAsia="zh-CN"/>
        </w:rPr>
        <w:t>企业</w:t>
      </w:r>
      <w:r>
        <w:rPr>
          <w:rFonts w:hint="eastAsia" w:ascii="宋体"/>
          <w:bCs/>
          <w:color w:val="auto"/>
          <w:sz w:val="24"/>
          <w:highlight w:val="none"/>
          <w:u w:val="single"/>
        </w:rPr>
        <w:t>营业执照扫描件或电子证照；</w:t>
      </w:r>
    </w:p>
    <w:p w14:paraId="078E7B3F">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4）企业资质证书扫描件或电子证照（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p>
    <w:p w14:paraId="4B64D980">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（5）建筑施工企业安全生产许可证扫描件或电子证照；</w:t>
      </w:r>
    </w:p>
    <w:p w14:paraId="5EEC8815">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（6）项目负责人（按网上投标登记时选择拟</w:t>
      </w:r>
      <w:r>
        <w:rPr>
          <w:rFonts w:hint="eastAsia" w:ascii="宋体"/>
          <w:bCs/>
          <w:color w:val="auto"/>
          <w:sz w:val="24"/>
          <w:highlight w:val="none"/>
          <w:u w:val="single"/>
          <w:lang w:val="en-US" w:eastAsia="zh-CN"/>
        </w:rPr>
        <w:t>投入本项目的</w:t>
      </w:r>
      <w:r>
        <w:rPr>
          <w:rFonts w:hint="eastAsia" w:ascii="宋体"/>
          <w:bCs/>
          <w:color w:val="auto"/>
          <w:sz w:val="24"/>
          <w:highlight w:val="none"/>
          <w:u w:val="single"/>
        </w:rPr>
        <w:t>项目负责人）；</w:t>
      </w:r>
    </w:p>
    <w:p w14:paraId="02B7D442">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（7）专职安全员（按网上投标登记时选择拟</w:t>
      </w:r>
      <w:r>
        <w:rPr>
          <w:rFonts w:hint="eastAsia" w:ascii="宋体"/>
          <w:bCs/>
          <w:color w:val="auto"/>
          <w:sz w:val="24"/>
          <w:highlight w:val="none"/>
          <w:u w:val="single"/>
          <w:lang w:val="en-US" w:eastAsia="zh-CN"/>
        </w:rPr>
        <w:t>投入本项目的</w:t>
      </w:r>
      <w:r>
        <w:rPr>
          <w:rFonts w:hint="eastAsia" w:ascii="宋体"/>
          <w:bCs/>
          <w:color w:val="auto"/>
          <w:sz w:val="24"/>
          <w:highlight w:val="none"/>
          <w:u w:val="single"/>
        </w:rPr>
        <w:t>专职安全员）；</w:t>
      </w:r>
    </w:p>
    <w:p w14:paraId="300892B5">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（8）拟委</w:t>
      </w:r>
      <w:r>
        <w:rPr>
          <w:rFonts w:hint="eastAsia" w:ascii="宋体"/>
          <w:bCs/>
          <w:color w:val="auto"/>
          <w:sz w:val="24"/>
          <w:highlight w:val="none"/>
          <w:u w:val="single"/>
          <w:lang w:eastAsia="zh-CN"/>
        </w:rPr>
        <w:t>托</w:t>
      </w:r>
      <w:r>
        <w:rPr>
          <w:rFonts w:hint="eastAsia" w:ascii="宋体"/>
          <w:bCs/>
          <w:color w:val="auto"/>
          <w:sz w:val="24"/>
          <w:highlight w:val="none"/>
          <w:u w:val="single"/>
        </w:rPr>
        <w:t>技术负责人的相关证书、资料</w:t>
      </w:r>
      <w:r>
        <w:rPr>
          <w:rFonts w:hint="eastAsia" w:ascii="宋体" w:hAnsi="Times New Roman"/>
          <w:bCs/>
          <w:color w:val="auto"/>
          <w:sz w:val="24"/>
          <w:szCs w:val="20"/>
          <w:highlight w:val="none"/>
          <w:u w:val="single"/>
        </w:rPr>
        <w:t>扫描件或电子证书</w:t>
      </w:r>
      <w:r>
        <w:rPr>
          <w:rFonts w:hint="eastAsia" w:ascii="宋体"/>
          <w:bCs/>
          <w:color w:val="auto"/>
          <w:sz w:val="24"/>
          <w:highlight w:val="none"/>
          <w:u w:val="single"/>
        </w:rPr>
        <w:t>；</w:t>
      </w:r>
    </w:p>
    <w:p w14:paraId="7CD3B766">
      <w:pPr>
        <w:pStyle w:val="4"/>
        <w:spacing w:after="0" w:line="360" w:lineRule="auto"/>
        <w:ind w:firstLine="480" w:firstLineChars="200"/>
        <w:rPr>
          <w:rFonts w:hint="eastAsia" w:ascii="宋体"/>
          <w:bCs/>
          <w:color w:val="auto"/>
          <w:sz w:val="24"/>
          <w:highlight w:val="none"/>
          <w:u w:val="single"/>
        </w:rPr>
      </w:pPr>
      <w:r>
        <w:rPr>
          <w:rFonts w:hint="eastAsia" w:ascii="宋体"/>
          <w:bCs/>
          <w:color w:val="auto"/>
          <w:sz w:val="24"/>
          <w:highlight w:val="none"/>
          <w:u w:val="single"/>
        </w:rPr>
        <w:t>（9）</w:t>
      </w:r>
      <w:r>
        <w:rPr>
          <w:rFonts w:hint="eastAsia" w:ascii="宋体" w:hAnsi="Times New Roman" w:eastAsia="宋体" w:cs="Times New Roman"/>
          <w:bCs/>
          <w:color w:val="auto"/>
          <w:kern w:val="2"/>
          <w:sz w:val="24"/>
          <w:highlight w:val="none"/>
          <w:u w:val="single"/>
        </w:rPr>
        <w:t>拟委派项目负责人的有效期内的建造师注册证书</w:t>
      </w:r>
      <w:r>
        <w:rPr>
          <w:rFonts w:hint="eastAsia" w:ascii="宋体" w:hAnsi="Times New Roman" w:eastAsia="宋体" w:cs="Times New Roman"/>
          <w:b w:val="0"/>
          <w:bCs/>
          <w:color w:val="auto"/>
          <w:kern w:val="2"/>
          <w:sz w:val="24"/>
          <w:highlight w:val="none"/>
          <w:u w:val="single"/>
        </w:rPr>
        <w:t>扫描件或电子证书</w:t>
      </w:r>
      <w:r>
        <w:rPr>
          <w:rFonts w:hint="eastAsia" w:ascii="宋体" w:hAnsi="Times New Roman" w:eastAsia="宋体" w:cs="Times New Roman"/>
          <w:bCs/>
          <w:color w:val="auto"/>
          <w:kern w:val="2"/>
          <w:sz w:val="24"/>
          <w:highlight w:val="none"/>
          <w:u w:val="single"/>
        </w:rPr>
        <w:t>；</w:t>
      </w:r>
    </w:p>
    <w:p w14:paraId="33F42066">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（10）项目负责人须持有有效期内的安全</w:t>
      </w:r>
      <w:r>
        <w:rPr>
          <w:rFonts w:hint="eastAsia" w:ascii="宋体"/>
          <w:bCs/>
          <w:color w:val="auto"/>
          <w:sz w:val="24"/>
          <w:highlight w:val="none"/>
          <w:u w:val="single"/>
          <w:lang w:val="en-US" w:eastAsia="zh-CN"/>
        </w:rPr>
        <w:t>生产</w:t>
      </w:r>
      <w:r>
        <w:rPr>
          <w:rFonts w:hint="eastAsia" w:ascii="宋体"/>
          <w:bCs/>
          <w:color w:val="auto"/>
          <w:sz w:val="24"/>
          <w:highlight w:val="none"/>
          <w:u w:val="single"/>
        </w:rPr>
        <w:t>考核合格证书（B类）或建筑施工企业项目负责人安全生产考核合格证书</w:t>
      </w:r>
      <w:r>
        <w:rPr>
          <w:rFonts w:hint="eastAsia" w:ascii="宋体" w:hAnsi="Times New Roman" w:eastAsia="宋体" w:cs="Times New Roman"/>
          <w:b w:val="0"/>
          <w:bCs/>
          <w:color w:val="auto"/>
          <w:kern w:val="2"/>
          <w:sz w:val="24"/>
          <w:highlight w:val="none"/>
          <w:u w:val="single"/>
        </w:rPr>
        <w:t>扫描件或电子证书</w:t>
      </w:r>
      <w:r>
        <w:rPr>
          <w:rFonts w:hint="eastAsia" w:ascii="宋体" w:hAnsi="Times New Roman" w:eastAsia="宋体" w:cs="Times New Roman"/>
          <w:bCs/>
          <w:color w:val="auto"/>
          <w:kern w:val="2"/>
          <w:sz w:val="24"/>
          <w:highlight w:val="none"/>
          <w:u w:val="single"/>
        </w:rPr>
        <w:t>；</w:t>
      </w:r>
    </w:p>
    <w:p w14:paraId="3C0082F8">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（11）专职安全员须具有安全生产考核合格证（C类）或建筑施工企业专职安全生产管理人员安全生产考核合格证（C3类）扫描件或电子证书；</w:t>
      </w:r>
    </w:p>
    <w:p w14:paraId="3E57F659">
      <w:pPr>
        <w:pStyle w:val="4"/>
        <w:spacing w:after="0" w:line="360" w:lineRule="auto"/>
        <w:ind w:firstLine="480" w:firstLineChars="200"/>
        <w:rPr>
          <w:rFonts w:hint="eastAsia" w:ascii="宋体" w:hAnsi="宋体" w:cs="Calibri"/>
          <w:bCs/>
          <w:color w:val="auto"/>
          <w:sz w:val="24"/>
          <w:szCs w:val="24"/>
          <w:highlight w:val="none"/>
          <w:u w:val="single"/>
        </w:rPr>
      </w:pPr>
      <w:r>
        <w:rPr>
          <w:rFonts w:hint="eastAsia" w:ascii="宋体"/>
          <w:bCs/>
          <w:color w:val="auto"/>
          <w:sz w:val="24"/>
          <w:highlight w:val="none"/>
          <w:u w:val="single"/>
        </w:rPr>
        <w:t>（12）</w:t>
      </w:r>
      <w:r>
        <w:rPr>
          <w:rFonts w:hint="eastAsia" w:ascii="宋体" w:hAnsi="Times New Roman"/>
          <w:bCs/>
          <w:color w:val="auto"/>
          <w:sz w:val="24"/>
          <w:highlight w:val="none"/>
          <w:u w:val="single"/>
        </w:rPr>
        <w:t>资格审查前，投标人须在广州交易集团有限公司（广州公共资源交易中心）办理信息登记等相关投标登记手续及拟担任本工程项目负责人、专职安全员须是本企业的在册人员且与广州交易集团有限公司（广州公共资源交易中心）办理信息登记一致；</w:t>
      </w:r>
      <w:r>
        <w:rPr>
          <w:rFonts w:hint="eastAsia" w:ascii="宋体" w:hAnsi="宋体"/>
          <w:bCs/>
          <w:color w:val="auto"/>
          <w:sz w:val="24"/>
          <w:highlight w:val="none"/>
        </w:rPr>
        <w:t xml:space="preserve"> </w:t>
      </w:r>
    </w:p>
    <w:p w14:paraId="567BC0EF">
      <w:pPr>
        <w:pStyle w:val="4"/>
        <w:spacing w:after="0" w:line="360" w:lineRule="auto"/>
        <w:ind w:firstLine="480" w:firstLineChars="200"/>
        <w:rPr>
          <w:rFonts w:hint="eastAsia" w:ascii="宋体" w:hAnsi="宋体" w:cs="Calibri"/>
          <w:bCs/>
          <w:color w:val="auto"/>
          <w:sz w:val="24"/>
          <w:szCs w:val="24"/>
          <w:highlight w:val="none"/>
          <w:u w:val="single"/>
        </w:rPr>
      </w:pPr>
      <w:r>
        <w:rPr>
          <w:rFonts w:hint="eastAsia" w:ascii="宋体" w:hAnsi="宋体" w:cs="Calibri"/>
          <w:bCs/>
          <w:color w:val="auto"/>
          <w:sz w:val="24"/>
          <w:szCs w:val="24"/>
          <w:highlight w:val="none"/>
          <w:u w:val="single"/>
        </w:rPr>
        <w:t>（13）《中小企业声明函》（如有）、监狱企业证明文件（如有）、《残疾人福利性单位声明函》（如有）（格式见第四章）。</w:t>
      </w:r>
    </w:p>
    <w:p w14:paraId="2DD7F9AE">
      <w:pPr>
        <w:pStyle w:val="4"/>
        <w:spacing w:after="0" w:line="360" w:lineRule="auto"/>
        <w:ind w:firstLine="480" w:firstLineChars="200"/>
        <w:rPr>
          <w:rFonts w:hint="eastAsia" w:ascii="宋体"/>
          <w:bCs/>
          <w:color w:val="auto"/>
          <w:sz w:val="24"/>
          <w:highlight w:val="none"/>
          <w:u w:val="single"/>
        </w:rPr>
      </w:pPr>
      <w:r>
        <w:rPr>
          <w:rFonts w:hint="eastAsia" w:ascii="宋体"/>
          <w:bCs/>
          <w:color w:val="auto"/>
          <w:sz w:val="24"/>
          <w:highlight w:val="none"/>
          <w:u w:val="single"/>
        </w:rPr>
        <w:t>注：</w:t>
      </w:r>
      <w:r>
        <w:rPr>
          <w:rFonts w:hint="eastAsia" w:ascii="宋体"/>
          <w:bCs/>
          <w:color w:val="auto"/>
          <w:sz w:val="24"/>
          <w:highlight w:val="none"/>
          <w:u w:val="single"/>
          <w:lang w:val="en-US" w:eastAsia="zh-CN"/>
        </w:rPr>
        <w:t>1.</w:t>
      </w:r>
      <w:r>
        <w:rPr>
          <w:rFonts w:hint="eastAsia" w:ascii="宋体"/>
          <w:bCs/>
          <w:color w:val="auto"/>
          <w:sz w:val="24"/>
          <w:highlight w:val="none"/>
          <w:u w:val="single"/>
        </w:rPr>
        <w:t>上述没有要求提交的资料，不作为资格审查不合格的依据。</w:t>
      </w:r>
    </w:p>
    <w:p w14:paraId="60F49406">
      <w:pPr>
        <w:widowControl/>
        <w:spacing w:line="360" w:lineRule="exact"/>
        <w:ind w:firstLine="480" w:firstLineChars="200"/>
        <w:jc w:val="left"/>
        <w:rPr>
          <w:rFonts w:hint="eastAsia" w:ascii="宋体" w:hAnsi="Times New Roman" w:eastAsia="宋体" w:cs="Times New Roman"/>
          <w:b w:val="0"/>
          <w:bCs/>
          <w:color w:val="auto"/>
          <w:kern w:val="2"/>
          <w:sz w:val="24"/>
          <w:szCs w:val="20"/>
          <w:highlight w:val="none"/>
          <w:u w:val="single"/>
        </w:rPr>
      </w:pPr>
      <w:r>
        <w:rPr>
          <w:rFonts w:hint="eastAsia" w:ascii="宋体" w:hAnsi="Times New Roman" w:eastAsia="宋体" w:cs="Times New Roman"/>
          <w:b w:val="0"/>
          <w:bCs/>
          <w:color w:val="auto"/>
          <w:kern w:val="2"/>
          <w:sz w:val="24"/>
          <w:szCs w:val="20"/>
          <w:highlight w:val="none"/>
          <w:u w:val="single"/>
          <w:lang w:val="en-US" w:eastAsia="zh-CN"/>
        </w:rPr>
        <w:t>2</w:t>
      </w:r>
      <w:r>
        <w:rPr>
          <w:rFonts w:hint="eastAsia" w:ascii="宋体" w:hAnsi="Times New Roman" w:eastAsia="宋体" w:cs="Times New Roman"/>
          <w:b w:val="0"/>
          <w:bCs/>
          <w:color w:val="auto"/>
          <w:kern w:val="2"/>
          <w:sz w:val="24"/>
          <w:szCs w:val="20"/>
          <w:highlight w:val="none"/>
          <w:u w:val="single"/>
        </w:rPr>
        <w:t>.相关电子证书按规定需打印后手写本人签名的，应按照规定手写本人签名后再扫描提交。</w:t>
      </w:r>
    </w:p>
    <w:p w14:paraId="6FD3649C">
      <w:pPr>
        <w:pStyle w:val="4"/>
        <w:spacing w:after="0" w:line="360" w:lineRule="auto"/>
        <w:ind w:firstLine="480" w:firstLineChars="200"/>
        <w:rPr>
          <w:rFonts w:hint="eastAsia" w:ascii="宋体"/>
          <w:bCs/>
          <w:color w:val="auto"/>
          <w:sz w:val="24"/>
          <w:highlight w:val="none"/>
        </w:rPr>
      </w:pPr>
      <w:r>
        <w:rPr>
          <w:rFonts w:hint="eastAsia" w:ascii="宋体" w:hAnsi="Times New Roman" w:eastAsia="宋体" w:cs="Times New Roman"/>
          <w:b w:val="0"/>
          <w:bCs/>
          <w:color w:val="auto"/>
          <w:kern w:val="2"/>
          <w:sz w:val="24"/>
          <w:highlight w:val="none"/>
          <w:u w:val="single"/>
          <w:lang w:val="en-US" w:eastAsia="zh-CN"/>
        </w:rPr>
        <w:t>3</w:t>
      </w:r>
      <w:r>
        <w:rPr>
          <w:rFonts w:hint="eastAsia" w:ascii="宋体" w:hAnsi="Times New Roman" w:eastAsia="宋体" w:cs="Times New Roman"/>
          <w:b w:val="0"/>
          <w:bCs/>
          <w:color w:val="auto"/>
          <w:kern w:val="2"/>
          <w:sz w:val="24"/>
          <w:highlight w:val="none"/>
          <w:u w:val="single"/>
        </w:rPr>
        <w:t>.</w:t>
      </w:r>
      <w:r>
        <w:rPr>
          <w:rFonts w:hint="eastAsia" w:ascii="宋体" w:hAnsi="Times New Roman"/>
          <w:bCs/>
          <w:color w:val="auto"/>
          <w:sz w:val="24"/>
          <w:highlight w:val="none"/>
          <w:u w:val="single"/>
        </w:rPr>
        <w:t>投标人在投标登记时选择了拟投入本项目的项目负责人、专职安全员，即已满足“资格审查前，投标人须在广州交易集团有限公司（广州公共资源交易中心）办理信息登记等相关投标登记手续，拟担任本工程项目负责人、专职安全员须是本企业信用档案中的在册人员”的要求，投标人无需提供证明材料。</w:t>
      </w:r>
    </w:p>
    <w:p w14:paraId="4D29D26B">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11.2.3项目管理机构配备。</w:t>
      </w:r>
    </w:p>
    <w:p w14:paraId="57AB955B">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（1）本工程的施工组织机构图；</w:t>
      </w:r>
    </w:p>
    <w:p w14:paraId="12422F73">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（2）施工组织机构主要成员的名单及有关证明材料扫描件；</w:t>
      </w:r>
    </w:p>
    <w:p w14:paraId="695F78B1">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11.2.4企业资信相关证明文件；</w:t>
      </w:r>
    </w:p>
    <w:p w14:paraId="646F641F">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11.2.5《投标函》（格式见第四章）；</w:t>
      </w:r>
    </w:p>
    <w:p w14:paraId="69385EC7">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11.2.6《响应招标文件所附施工组织设计要点的承诺书》（格式见第四章）；</w:t>
      </w:r>
    </w:p>
    <w:p w14:paraId="62408164">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11.2.7《技术承诺函》（格式见第四章）；</w:t>
      </w:r>
    </w:p>
    <w:p w14:paraId="24D716CF">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11.2.8《施工项目管理团队人员信息表》（格式见第四章）；</w:t>
      </w:r>
    </w:p>
    <w:p w14:paraId="174F2888">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11.2.9《承诺书》（格式见第四章）；</w:t>
      </w:r>
    </w:p>
    <w:p w14:paraId="3121E3A4">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11.2.10 《投标人基本资料》（格式见第四章，不作为废标条款）；</w:t>
      </w:r>
    </w:p>
    <w:p w14:paraId="5E3D1607">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11.2.11 按照招标文件要求填写的《参与编制技术标投标文件人员名单》。</w:t>
      </w:r>
    </w:p>
    <w:p w14:paraId="1BFB4D39">
      <w:pPr>
        <w:pStyle w:val="4"/>
        <w:spacing w:after="0" w:line="360" w:lineRule="auto"/>
        <w:ind w:firstLine="480" w:firstLineChars="200"/>
        <w:rPr>
          <w:rFonts w:ascii="宋体"/>
          <w:bCs/>
          <w:strike/>
          <w:color w:val="auto"/>
          <w:sz w:val="24"/>
          <w:highlight w:val="none"/>
          <w:u w:val="single"/>
        </w:rPr>
      </w:pPr>
      <w:r>
        <w:rPr>
          <w:rFonts w:hint="eastAsia" w:ascii="宋体"/>
          <w:bCs/>
          <w:strike w:val="0"/>
          <w:color w:val="auto"/>
          <w:sz w:val="24"/>
          <w:highlight w:val="none"/>
          <w:u w:val="single"/>
        </w:rPr>
        <w:t>11.2.12 《危险性较大的分部分项工程清单及超过一定规模的危险性较大的分部分项工程清单》（格式见第四章）；</w:t>
      </w:r>
    </w:p>
    <w:p w14:paraId="6A9414CE">
      <w:pPr>
        <w:pStyle w:val="4"/>
        <w:spacing w:after="0" w:line="360" w:lineRule="auto"/>
        <w:ind w:firstLine="480" w:firstLineChars="200"/>
        <w:rPr>
          <w:rFonts w:hint="eastAsia" w:ascii="宋体" w:eastAsia="宋体"/>
          <w:bCs/>
          <w:color w:val="auto"/>
          <w:sz w:val="24"/>
          <w:highlight w:val="none"/>
          <w:u w:val="single"/>
          <w:lang w:eastAsia="zh-CN"/>
        </w:rPr>
      </w:pPr>
      <w:r>
        <w:rPr>
          <w:rFonts w:hint="eastAsia" w:ascii="宋体"/>
          <w:bCs/>
          <w:color w:val="auto"/>
          <w:sz w:val="24"/>
          <w:highlight w:val="none"/>
          <w:u w:val="single"/>
        </w:rPr>
        <w:t>11.2.13《关于投标保证金的承诺》（格式见第四章）</w:t>
      </w:r>
      <w:r>
        <w:rPr>
          <w:rFonts w:hint="eastAsia" w:ascii="宋体"/>
          <w:bCs/>
          <w:color w:val="auto"/>
          <w:sz w:val="24"/>
          <w:highlight w:val="none"/>
          <w:u w:val="single"/>
          <w:lang w:eastAsia="zh-CN"/>
        </w:rPr>
        <w:t>；</w:t>
      </w:r>
    </w:p>
    <w:p w14:paraId="5323C873">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u w:val="single"/>
        </w:rPr>
        <w:t>11.2.14其他投标人认为应该提供的资料。</w:t>
      </w:r>
    </w:p>
    <w:p w14:paraId="03EF3F75">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11.3 经济部分投标文件主要包括下列内容：</w:t>
      </w:r>
    </w:p>
    <w:p w14:paraId="0F6EB3F7">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11.3.1 经济投标文件(按招标文件的要求填写)。</w:t>
      </w:r>
    </w:p>
    <w:p w14:paraId="018BD596">
      <w:pPr>
        <w:pStyle w:val="4"/>
        <w:spacing w:after="0" w:line="360" w:lineRule="auto"/>
        <w:ind w:firstLine="480" w:firstLineChars="200"/>
        <w:rPr>
          <w:rFonts w:ascii="宋体"/>
          <w:bCs/>
          <w:color w:val="auto"/>
          <w:sz w:val="24"/>
          <w:highlight w:val="none"/>
          <w:u w:val="single"/>
        </w:rPr>
      </w:pPr>
      <w:r>
        <w:rPr>
          <w:rFonts w:hint="eastAsia" w:ascii="宋体"/>
          <w:bCs/>
          <w:color w:val="auto"/>
          <w:sz w:val="24"/>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bCs/>
          <w:color w:val="auto"/>
          <w:sz w:val="24"/>
          <w:highlight w:val="none"/>
          <w:u w:val="single"/>
        </w:rPr>
        <w:t>（投标报价的工程量清单的组成、格式等按</w:t>
      </w:r>
      <w:r>
        <w:rPr>
          <w:rFonts w:hint="eastAsia" w:ascii="宋体"/>
          <w:bCs/>
          <w:color w:val="auto"/>
          <w:sz w:val="24"/>
          <w:highlight w:val="none"/>
          <w:u w:val="single"/>
          <w:lang w:eastAsia="zh-CN"/>
        </w:rPr>
        <w:t>广州交易集团有限公司（广州公共资源交易中心）</w:t>
      </w:r>
      <w:r>
        <w:rPr>
          <w:rFonts w:hint="eastAsia" w:ascii="宋体"/>
          <w:bCs/>
          <w:color w:val="auto"/>
          <w:sz w:val="24"/>
          <w:highlight w:val="none"/>
          <w:u w:val="single"/>
        </w:rPr>
        <w:t>的投标文件管理软件自动生成）。</w:t>
      </w:r>
    </w:p>
    <w:p w14:paraId="40AD6CC4">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11.3.3按照招标文件要求填写的《参与编制经济标投标文件人员名单》。</w:t>
      </w:r>
    </w:p>
    <w:p w14:paraId="5532C05D">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 xml:space="preserve">11.3.4 </w:t>
      </w:r>
      <w:r>
        <w:rPr>
          <w:rFonts w:hint="eastAsia" w:ascii="宋体"/>
          <w:bCs/>
          <w:color w:val="auto"/>
          <w:sz w:val="24"/>
          <w:highlight w:val="none"/>
          <w:u w:val="single"/>
        </w:rPr>
        <w:t>《对投标文件编制的承诺》</w:t>
      </w:r>
      <w:r>
        <w:rPr>
          <w:rFonts w:hint="eastAsia" w:ascii="宋体"/>
          <w:bCs/>
          <w:color w:val="auto"/>
          <w:sz w:val="24"/>
          <w:highlight w:val="none"/>
          <w:u w:val="single"/>
          <w:lang w:eastAsia="zh-CN"/>
        </w:rPr>
        <w:t>、</w:t>
      </w:r>
      <w:r>
        <w:rPr>
          <w:rFonts w:hint="eastAsia" w:ascii="宋体" w:hAnsi="宋体" w:eastAsia="宋体" w:cs="Times New Roman"/>
          <w:color w:val="auto"/>
          <w:sz w:val="24"/>
          <w:highlight w:val="none"/>
          <w:u w:val="single"/>
        </w:rPr>
        <w:t>《中小企业声明函》（如有）、监狱企业证明文件（如有）、《残疾人福利性单位声明函》（如有）</w:t>
      </w:r>
      <w:r>
        <w:rPr>
          <w:rFonts w:hint="eastAsia" w:ascii="宋体"/>
          <w:bCs/>
          <w:color w:val="auto"/>
          <w:sz w:val="24"/>
          <w:highlight w:val="none"/>
        </w:rPr>
        <w:t>。</w:t>
      </w:r>
    </w:p>
    <w:p w14:paraId="4B0A6119">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11.3.5 若投标人的投标报价低于工程成本警戒价的，投标人还须提供详细的施工组织设计、单价、措施性费用、单价分析表、主要材料价格表、投标人成本分析供评标委员会评审。</w:t>
      </w:r>
    </w:p>
    <w:p w14:paraId="05978DA5">
      <w:pPr>
        <w:pStyle w:val="4"/>
        <w:spacing w:after="0" w:line="360" w:lineRule="auto"/>
        <w:ind w:firstLine="480" w:firstLineChars="200"/>
        <w:rPr>
          <w:rFonts w:ascii="宋体"/>
          <w:bCs/>
          <w:color w:val="auto"/>
          <w:sz w:val="24"/>
          <w:highlight w:val="none"/>
        </w:rPr>
      </w:pPr>
      <w:r>
        <w:rPr>
          <w:rFonts w:hint="eastAsia" w:ascii="宋体"/>
          <w:bCs/>
          <w:color w:val="auto"/>
          <w:sz w:val="24"/>
          <w:highlight w:val="none"/>
        </w:rPr>
        <w:t>11.3.6</w:t>
      </w:r>
      <w:r>
        <w:rPr>
          <w:rFonts w:hint="eastAsia" w:ascii="宋体"/>
          <w:bCs/>
          <w:color w:val="auto"/>
          <w:sz w:val="24"/>
          <w:highlight w:val="none"/>
          <w:u w:val="single"/>
        </w:rPr>
        <w:t>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589DE128">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12</w:t>
      </w:r>
      <w:r>
        <w:rPr>
          <w:rFonts w:hint="eastAsia" w:ascii="宋体" w:hAnsi="宋体"/>
          <w:b/>
          <w:bCs/>
          <w:color w:val="auto"/>
          <w:sz w:val="24"/>
          <w:highlight w:val="none"/>
        </w:rPr>
        <w:t>．投标文件格式</w:t>
      </w:r>
    </w:p>
    <w:p w14:paraId="42D09644">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12.1 </w:t>
      </w:r>
      <w:r>
        <w:rPr>
          <w:rFonts w:hint="eastAsia" w:ascii="宋体" w:hAnsi="宋体"/>
          <w:color w:val="auto"/>
          <w:sz w:val="24"/>
          <w:highlight w:val="none"/>
        </w:rPr>
        <w:t>投标文件包括本须知第</w:t>
      </w:r>
      <w:r>
        <w:rPr>
          <w:rFonts w:ascii="宋体" w:hAnsi="宋体"/>
          <w:color w:val="auto"/>
          <w:sz w:val="24"/>
          <w:highlight w:val="none"/>
        </w:rPr>
        <w:t>11</w:t>
      </w:r>
      <w:r>
        <w:rPr>
          <w:rFonts w:hint="eastAsia" w:ascii="宋体" w:hAnsi="宋体"/>
          <w:color w:val="auto"/>
          <w:sz w:val="24"/>
          <w:highlight w:val="none"/>
        </w:rPr>
        <w:t>条中规定的内容，投标人提交的投标文件应当使用招标文件所提供的投标文件全部格式（表格可以按同样格式扩展）。</w:t>
      </w:r>
    </w:p>
    <w:p w14:paraId="0360A635">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12.2  投标文件全部采用电子文档，投标文件所附证书证件均为原件扫描件，并采用单位数字证书，按招标文件要求在相应位置加盖电子印章。投标文件中需个人签字或盖章的，</w:t>
      </w:r>
      <w:r>
        <w:rPr>
          <w:rFonts w:hint="eastAsia" w:ascii="宋体" w:hAnsi="宋体"/>
          <w:color w:val="auto"/>
          <w:sz w:val="24"/>
          <w:highlight w:val="none"/>
          <w:u w:val="single"/>
        </w:rPr>
        <w:t>应加盖个人电子印章或手签或盖章</w:t>
      </w:r>
      <w:r>
        <w:rPr>
          <w:rFonts w:hint="eastAsia" w:ascii="宋体" w:hAnsi="宋体"/>
          <w:color w:val="auto"/>
          <w:sz w:val="24"/>
          <w:highlight w:val="none"/>
        </w:rPr>
        <w:t>后扫描上传。</w:t>
      </w:r>
      <w:r>
        <w:rPr>
          <w:rFonts w:hint="eastAsia" w:ascii="宋体" w:hAnsi="宋体"/>
          <w:color w:val="auto"/>
          <w:sz w:val="24"/>
          <w:highlight w:val="none"/>
          <w:u w:val="single"/>
        </w:rPr>
        <w:t>由广州投标文件管理专用软件系统生成的“工程量清单主表--工程量清单报价表”封面页及扉页可以仅采用单位数字</w:t>
      </w:r>
    </w:p>
    <w:p w14:paraId="7F3677AC">
      <w:pPr>
        <w:pStyle w:val="4"/>
        <w:spacing w:after="0" w:line="360" w:lineRule="auto"/>
        <w:ind w:left="0" w:leftChars="0" w:firstLine="0" w:firstLineChars="0"/>
        <w:rPr>
          <w:rFonts w:hint="eastAsia" w:ascii="宋体" w:hAnsi="宋体"/>
          <w:color w:val="auto"/>
          <w:sz w:val="24"/>
          <w:highlight w:val="none"/>
          <w:u w:val="single"/>
        </w:rPr>
      </w:pPr>
      <w:r>
        <w:rPr>
          <w:rFonts w:hint="eastAsia" w:ascii="宋体" w:hAnsi="宋体"/>
          <w:color w:val="auto"/>
          <w:sz w:val="24"/>
          <w:highlight w:val="none"/>
          <w:u w:val="single"/>
        </w:rPr>
        <w:t>证书加盖电子印章处理。</w:t>
      </w:r>
      <w:r>
        <w:rPr>
          <w:rFonts w:hint="eastAsia" w:ascii="宋体" w:hAnsi="宋体"/>
          <w:color w:val="auto"/>
          <w:sz w:val="24"/>
          <w:highlight w:val="none"/>
        </w:rPr>
        <w:t>按照交易平台关于全流程电子化项目的相关指南进行操作。</w:t>
      </w:r>
      <w:r>
        <w:rPr>
          <w:rFonts w:hint="eastAsia" w:ascii="宋体" w:hAnsi="宋体"/>
          <w:color w:val="auto"/>
          <w:sz w:val="24"/>
          <w:highlight w:val="none"/>
          <w:u w:val="single"/>
        </w:rPr>
        <w:t>详见：【全流程电子化项目】电子招投标操作手册（无纸化）。</w:t>
      </w:r>
    </w:p>
    <w:p w14:paraId="4676740B">
      <w:pPr>
        <w:pStyle w:val="4"/>
        <w:spacing w:after="0" w:line="360" w:lineRule="auto"/>
        <w:ind w:firstLine="480" w:firstLineChars="200"/>
        <w:rPr>
          <w:rFonts w:hint="eastAsia" w:ascii="宋体" w:hAnsi="宋体"/>
          <w:color w:val="auto"/>
          <w:sz w:val="24"/>
          <w:szCs w:val="20"/>
          <w:highlight w:val="none"/>
          <w:u w:val="none"/>
        </w:rPr>
      </w:pPr>
      <w:r>
        <w:rPr>
          <w:rFonts w:hint="eastAsia" w:ascii="宋体" w:hAnsi="宋体"/>
          <w:color w:val="auto"/>
          <w:sz w:val="24"/>
          <w:szCs w:val="20"/>
          <w:highlight w:val="none"/>
          <w:u w:val="none"/>
        </w:rPr>
        <w:t>注释：投标文件电子文档需要投标人单位盖章的材料，投标人加盖电子印章即可，不得将投标人未对电子文档加盖实物印章作为否决投标的情形。</w:t>
      </w:r>
    </w:p>
    <w:p w14:paraId="3B8401E9">
      <w:pPr>
        <w:pStyle w:val="4"/>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12.3 </w:t>
      </w:r>
      <w:r>
        <w:rPr>
          <w:rFonts w:hint="eastAsia" w:ascii="宋体" w:hAnsi="宋体"/>
          <w:bCs/>
          <w:color w:val="auto"/>
          <w:sz w:val="24"/>
          <w:szCs w:val="24"/>
          <w:highlight w:val="none"/>
        </w:rPr>
        <w:t>投标文件应按</w:t>
      </w:r>
      <w:r>
        <w:rPr>
          <w:rFonts w:hint="eastAsia" w:ascii="宋体" w:hAnsi="宋体"/>
          <w:color w:val="auto"/>
          <w:sz w:val="24"/>
          <w:highlight w:val="none"/>
        </w:rPr>
        <w:t>照交易平台关于全流程电子化项目的相关指南进行编制，详见：</w:t>
      </w:r>
      <w:r>
        <w:rPr>
          <w:rFonts w:hint="eastAsia"/>
          <w:color w:val="auto"/>
          <w:sz w:val="24"/>
          <w:szCs w:val="24"/>
          <w:highlight w:val="none"/>
          <w:u w:val="single"/>
          <w:lang w:eastAsia="zh-CN"/>
        </w:rPr>
        <w:t>广州交易集团有限公司（广州公共资源交易中心）</w:t>
      </w:r>
      <w:r>
        <w:rPr>
          <w:rFonts w:hint="eastAsia"/>
          <w:color w:val="auto"/>
          <w:sz w:val="24"/>
          <w:szCs w:val="24"/>
          <w:highlight w:val="none"/>
          <w:u w:val="single"/>
        </w:rPr>
        <w:t>网站</w:t>
      </w:r>
      <w:r>
        <w:rPr>
          <w:rFonts w:hint="eastAsia" w:ascii="宋体" w:hAnsi="宋体"/>
          <w:color w:val="auto"/>
          <w:sz w:val="24"/>
          <w:highlight w:val="none"/>
        </w:rPr>
        <w:t>。</w:t>
      </w:r>
    </w:p>
    <w:p w14:paraId="561FEEE0">
      <w:pPr>
        <w:pStyle w:val="4"/>
        <w:spacing w:after="0" w:line="360" w:lineRule="auto"/>
        <w:ind w:firstLine="480" w:firstLineChars="200"/>
        <w:rPr>
          <w:rFonts w:ascii="宋体" w:hAnsi="宋体"/>
          <w:color w:val="auto"/>
          <w:sz w:val="24"/>
          <w:highlight w:val="none"/>
        </w:rPr>
      </w:pPr>
      <w:r>
        <w:rPr>
          <w:rFonts w:hint="eastAsia" w:ascii="宋体" w:hAnsi="宋体"/>
          <w:bCs/>
          <w:color w:val="auto"/>
          <w:sz w:val="24"/>
          <w:szCs w:val="24"/>
          <w:highlight w:val="none"/>
        </w:rPr>
        <w:t>如不按上述要求编制引起系统无法检索、读取相关信息的，其后果由投标人承担。</w:t>
      </w:r>
    </w:p>
    <w:p w14:paraId="75E36471">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13</w:t>
      </w:r>
      <w:r>
        <w:rPr>
          <w:rFonts w:hint="eastAsia" w:ascii="宋体" w:hAnsi="宋体"/>
          <w:b/>
          <w:bCs/>
          <w:color w:val="auto"/>
          <w:sz w:val="24"/>
          <w:highlight w:val="none"/>
        </w:rPr>
        <w:t>．投标报价及造价承包和变更结算方式</w:t>
      </w:r>
    </w:p>
    <w:p w14:paraId="4DA2ADC6">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13.1 </w:t>
      </w:r>
      <w:r>
        <w:rPr>
          <w:rFonts w:hint="eastAsia" w:ascii="宋体" w:hAnsi="宋体"/>
          <w:color w:val="auto"/>
          <w:sz w:val="24"/>
          <w:highlight w:val="none"/>
        </w:rPr>
        <w:t>本工程的投标报价采用投标须知前附表第</w:t>
      </w:r>
      <w:r>
        <w:rPr>
          <w:rFonts w:ascii="宋体" w:hAnsi="宋体"/>
          <w:color w:val="auto"/>
          <w:sz w:val="24"/>
          <w:highlight w:val="none"/>
        </w:rPr>
        <w:t>12</w:t>
      </w:r>
      <w:r>
        <w:rPr>
          <w:rFonts w:hint="eastAsia" w:ascii="宋体" w:hAnsi="宋体"/>
          <w:color w:val="auto"/>
          <w:sz w:val="24"/>
          <w:highlight w:val="none"/>
        </w:rPr>
        <w:t>项所规定的方式。投标报价（含单价及总价）精确到“分”。</w:t>
      </w:r>
    </w:p>
    <w:p w14:paraId="6E786C54">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13.1.1投标报价的计费依据：</w:t>
      </w:r>
    </w:p>
    <w:p w14:paraId="0D1A4ED9">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13.1.1.1工程计价执行《广东省建设工程计价依据（2018）》等有关规定。</w:t>
      </w:r>
    </w:p>
    <w:p w14:paraId="73E3EFE9">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13.1.1.2材料综合价格部分、人工日工资价格及机械台班价格执行本项目概算财政评审批复所参考的同期月度有关文件。</w:t>
      </w:r>
    </w:p>
    <w:p w14:paraId="3FC5544C">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14:paraId="49B491E0">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13.1.1.4本项目所使用的材料、其质量档次按本招标文件所附施工合同专用条款49.9要求进行计价。</w:t>
      </w:r>
    </w:p>
    <w:p w14:paraId="3CD26D21">
      <w:pPr>
        <w:pStyle w:val="4"/>
        <w:spacing w:after="0" w:line="360" w:lineRule="auto"/>
        <w:ind w:firstLine="480" w:firstLineChars="200"/>
        <w:rPr>
          <w:rFonts w:ascii="宋体"/>
          <w:color w:val="auto"/>
          <w:sz w:val="24"/>
          <w:highlight w:val="none"/>
        </w:rPr>
      </w:pPr>
      <w:r>
        <w:rPr>
          <w:rFonts w:ascii="宋体" w:hAnsi="宋体"/>
          <w:color w:val="auto"/>
          <w:sz w:val="24"/>
          <w:highlight w:val="none"/>
        </w:rPr>
        <w:t>13.2</w:t>
      </w:r>
      <w:r>
        <w:rPr>
          <w:rFonts w:hint="eastAsia" w:ascii="宋体" w:hAnsi="宋体"/>
          <w:color w:val="auto"/>
          <w:sz w:val="24"/>
          <w:highlight w:val="none"/>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14:paraId="2DED3373">
      <w:pPr>
        <w:pStyle w:val="4"/>
        <w:spacing w:after="0" w:line="360" w:lineRule="auto"/>
        <w:ind w:firstLine="480" w:firstLineChars="200"/>
        <w:rPr>
          <w:rFonts w:ascii="宋体" w:hAnsi="宋体"/>
          <w:color w:val="auto"/>
          <w:sz w:val="24"/>
          <w:szCs w:val="24"/>
          <w:highlight w:val="none"/>
        </w:rPr>
      </w:pPr>
      <w:r>
        <w:rPr>
          <w:rFonts w:ascii="宋体" w:hAnsi="宋体"/>
          <w:color w:val="auto"/>
          <w:sz w:val="24"/>
          <w:highlight w:val="none"/>
        </w:rPr>
        <w:t>13.3</w:t>
      </w:r>
      <w:r>
        <w:rPr>
          <w:rFonts w:hint="eastAsia" w:ascii="宋体" w:hAnsi="宋体"/>
          <w:color w:val="auto"/>
          <w:sz w:val="24"/>
          <w:highlight w:val="none"/>
        </w:rPr>
        <w:t>投标人的投标报价，应是按照投标须知前附表第</w:t>
      </w:r>
      <w:r>
        <w:rPr>
          <w:rFonts w:ascii="宋体" w:hAnsi="宋体"/>
          <w:color w:val="auto"/>
          <w:sz w:val="24"/>
          <w:highlight w:val="none"/>
        </w:rPr>
        <w:t>8</w:t>
      </w:r>
      <w:r>
        <w:rPr>
          <w:rFonts w:hint="eastAsia" w:ascii="宋体" w:hAnsi="宋体"/>
          <w:color w:val="auto"/>
          <w:sz w:val="24"/>
          <w:highlight w:val="none"/>
        </w:rPr>
        <w:t>项的工期要求，在投标须知前附表第</w:t>
      </w:r>
      <w:r>
        <w:rPr>
          <w:rFonts w:ascii="宋体" w:hAnsi="宋体"/>
          <w:color w:val="auto"/>
          <w:sz w:val="24"/>
          <w:highlight w:val="none"/>
        </w:rPr>
        <w:t>3</w:t>
      </w:r>
      <w:r>
        <w:rPr>
          <w:rFonts w:hint="eastAsia" w:ascii="宋体" w:hAnsi="宋体"/>
          <w:color w:val="auto"/>
          <w:sz w:val="24"/>
          <w:highlight w:val="none"/>
        </w:rPr>
        <w:t>项的建设地点，完成投标须知前附表第</w:t>
      </w:r>
      <w:r>
        <w:rPr>
          <w:rFonts w:ascii="宋体" w:hAnsi="宋体"/>
          <w:color w:val="auto"/>
          <w:sz w:val="24"/>
          <w:highlight w:val="none"/>
        </w:rPr>
        <w:t>7</w:t>
      </w:r>
      <w:r>
        <w:rPr>
          <w:rFonts w:hint="eastAsia" w:ascii="宋体" w:hAnsi="宋体"/>
          <w:color w:val="auto"/>
          <w:sz w:val="24"/>
          <w:highlight w:val="none"/>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313381FF">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13.3.1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14:paraId="692BC97B">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4FF51FE4">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14:paraId="4E2A231A">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13.3.3凡施工图纸中未有详细注明的做法，则按国家及广东省有关的设计规范及施工验收规范进行施工，投标人在投标报价时须将些因素考虑在内。</w:t>
      </w:r>
    </w:p>
    <w:p w14:paraId="4F5641E4">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14:paraId="0BC650C0">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13.3.5承包人按现行的相关规定及施工合同条款要求购买工程保险，所需费用由各投标人综合考虑在投标报价中。</w:t>
      </w:r>
    </w:p>
    <w:p w14:paraId="7B11BE0B">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13.3.6本工程开工日期以发包人书面通知时间为准，工期需与其它标段配合，施工需与其它标段穿插进行，相关费用及工期须在投标报价中考虑，发包人不再另行增加费用及工期。</w:t>
      </w:r>
    </w:p>
    <w:p w14:paraId="342A7468">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13.3.7招标人不提供取土点，土方的运距按15公里考虑进行计价，因运距而引起造价变化属投标风险，招标人在项目实施时对相关影响不作增减。</w:t>
      </w:r>
    </w:p>
    <w:p w14:paraId="0204E340">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14:paraId="05DACAAA">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14:paraId="7DE17B34">
      <w:pPr>
        <w:pStyle w:val="4"/>
        <w:spacing w:after="0" w:line="360" w:lineRule="auto"/>
        <w:ind w:firstLine="480" w:firstLineChars="200"/>
        <w:rPr>
          <w:rFonts w:ascii="宋体"/>
          <w:color w:val="auto"/>
          <w:sz w:val="24"/>
          <w:highlight w:val="none"/>
        </w:rPr>
      </w:pPr>
      <w:r>
        <w:rPr>
          <w:rFonts w:ascii="宋体" w:hAnsi="宋体"/>
          <w:color w:val="auto"/>
          <w:sz w:val="24"/>
          <w:highlight w:val="none"/>
        </w:rPr>
        <w:t>13.4</w:t>
      </w:r>
      <w:r>
        <w:rPr>
          <w:rFonts w:hint="eastAsia" w:ascii="宋体" w:hAnsi="宋体"/>
          <w:color w:val="auto"/>
          <w:sz w:val="24"/>
          <w:highlight w:val="none"/>
        </w:rPr>
        <w:t>投标人一旦中标，投标人对招标人提供的招标工程量清单中列出的工程项目所报出的综合单价，</w:t>
      </w:r>
      <w:r>
        <w:rPr>
          <w:rFonts w:hint="eastAsia" w:ascii="宋体" w:hAnsi="宋体"/>
          <w:color w:val="auto"/>
          <w:sz w:val="24"/>
          <w:highlight w:val="none"/>
          <w:u w:val="single"/>
        </w:rPr>
        <w:t>原则上不得变更，但涉及建设工程材料价格波动异常，超出发承包双方按以往经验所能预见与避免的范围和承担的风险的情况除外，由招标人在招标文件及合同中明确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1E093619">
      <w:pPr>
        <w:pStyle w:val="4"/>
        <w:spacing w:after="0" w:line="360" w:lineRule="auto"/>
        <w:ind w:firstLine="480" w:firstLineChars="200"/>
        <w:rPr>
          <w:rFonts w:ascii="宋体"/>
          <w:color w:val="auto"/>
          <w:sz w:val="24"/>
          <w:highlight w:val="none"/>
        </w:rPr>
      </w:pPr>
      <w:r>
        <w:rPr>
          <w:rFonts w:ascii="宋体" w:hAnsi="宋体"/>
          <w:color w:val="auto"/>
          <w:sz w:val="24"/>
          <w:highlight w:val="none"/>
        </w:rPr>
        <w:t>13.5</w:t>
      </w:r>
      <w:r>
        <w:rPr>
          <w:rFonts w:hint="eastAsia" w:ascii="宋体" w:hAnsi="宋体"/>
          <w:color w:val="auto"/>
          <w:sz w:val="24"/>
          <w:highlight w:val="none"/>
        </w:rPr>
        <w:t>工程项目实施期间和结算时，招标文件工程量清单中漏列而由监理单位和招标人现场签证确认的工程项目、原设计没有而由招标人批准设计变更产生的工程项目，视为新增项目，增加或减少工程量确定价格办法详施工合同。</w:t>
      </w:r>
    </w:p>
    <w:p w14:paraId="7B9DFD78">
      <w:pPr>
        <w:pStyle w:val="4"/>
        <w:spacing w:after="0" w:line="360" w:lineRule="auto"/>
        <w:ind w:firstLine="480" w:firstLineChars="200"/>
        <w:rPr>
          <w:rFonts w:ascii="宋体"/>
          <w:color w:val="auto"/>
          <w:sz w:val="24"/>
          <w:highlight w:val="none"/>
        </w:rPr>
      </w:pPr>
      <w:r>
        <w:rPr>
          <w:rFonts w:ascii="宋体" w:hAnsi="宋体"/>
          <w:color w:val="auto"/>
          <w:sz w:val="24"/>
          <w:highlight w:val="none"/>
        </w:rPr>
        <w:t>13.5.1</w:t>
      </w:r>
      <w:r>
        <w:rPr>
          <w:rFonts w:hint="eastAsia" w:ascii="宋体" w:hAnsi="宋体"/>
          <w:color w:val="auto"/>
          <w:sz w:val="24"/>
          <w:highlight w:val="none"/>
        </w:rPr>
        <w:t>中标的投标文件工程量清单中已有相同项目的适用综合单价，则沿用；</w:t>
      </w:r>
    </w:p>
    <w:p w14:paraId="30174E3F">
      <w:pPr>
        <w:pStyle w:val="4"/>
        <w:spacing w:after="0" w:line="360" w:lineRule="auto"/>
        <w:ind w:firstLine="480" w:firstLineChars="200"/>
        <w:rPr>
          <w:rFonts w:ascii="宋体"/>
          <w:color w:val="auto"/>
          <w:sz w:val="24"/>
          <w:highlight w:val="none"/>
          <w:u w:val="single"/>
        </w:rPr>
      </w:pPr>
      <w:r>
        <w:rPr>
          <w:rFonts w:ascii="宋体" w:hAnsi="宋体"/>
          <w:color w:val="auto"/>
          <w:sz w:val="24"/>
          <w:highlight w:val="none"/>
        </w:rPr>
        <w:t>13.5.2</w:t>
      </w:r>
      <w:r>
        <w:rPr>
          <w:rFonts w:hint="eastAsia" w:ascii="宋体" w:hAnsi="宋体"/>
          <w:color w:val="auto"/>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color w:val="auto"/>
          <w:sz w:val="24"/>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p>
    <w:p w14:paraId="37C3F408">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13.5.3 </w:t>
      </w:r>
      <w:r>
        <w:rPr>
          <w:rFonts w:hint="eastAsia" w:ascii="宋体" w:hAnsi="宋体"/>
          <w:color w:val="auto"/>
          <w:sz w:val="24"/>
          <w:highlight w:val="none"/>
        </w:rPr>
        <w:t>中标的投标文件工程量清单中没有相同项目或类似项目的，如可套取相关定额，则以相关定额为基数下浮计算单价,下浮率为中标价相对于最高投标限价的下浮率（下浮率=(最高投标限价-中标价)/ 最高投标限价）。</w:t>
      </w:r>
      <w:r>
        <w:rPr>
          <w:rFonts w:hint="eastAsia" w:ascii="宋体" w:hAnsi="宋体"/>
          <w:color w:val="auto"/>
          <w:sz w:val="24"/>
          <w:highlight w:val="none"/>
          <w:u w:val="single"/>
        </w:rPr>
        <w:t>材料价格按广州市造价管理站同期《广州地区建设工程常用材料税前综合价格》计算，《广州地区建设工程常用材料税前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14:paraId="0B7CF840">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13.5.4 </w:t>
      </w:r>
      <w:r>
        <w:rPr>
          <w:rFonts w:hint="eastAsia" w:ascii="宋体" w:hAnsi="宋体"/>
          <w:color w:val="auto"/>
          <w:sz w:val="24"/>
          <w:highlight w:val="none"/>
        </w:rPr>
        <w:t>如相关定额没有相应子目的，其计价方式由招标人在本招标文件第三章中另行规定。未规定的，中标后双方协商约定。</w:t>
      </w:r>
    </w:p>
    <w:p w14:paraId="6D0EE5BE">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w:t>
      </w:r>
      <w:r>
        <w:rPr>
          <w:rFonts w:hint="eastAsia" w:ascii="宋体" w:hAnsi="宋体"/>
          <w:color w:val="auto"/>
          <w:sz w:val="24"/>
          <w:highlight w:val="none"/>
        </w:rPr>
        <w:t>暂列金额、暂估价</w:t>
      </w:r>
    </w:p>
    <w:p w14:paraId="33F2DF73">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13.6.1</w:t>
      </w:r>
      <w:r>
        <w:rPr>
          <w:rFonts w:hint="eastAsia" w:ascii="宋体" w:hAnsi="宋体"/>
          <w:color w:val="auto"/>
          <w:sz w:val="24"/>
          <w:highlight w:val="none"/>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14:paraId="45437B89">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暂估价是指招标人在工程量清单中提供的用于支付必然发生但暂时不能确定价格的材料的单价以及专业工程的金额。</w:t>
      </w:r>
    </w:p>
    <w:p w14:paraId="2720D1CA">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13.6.2</w:t>
      </w:r>
      <w:r>
        <w:rPr>
          <w:rFonts w:hint="eastAsia" w:ascii="宋体" w:hAnsi="宋体"/>
          <w:color w:val="auto"/>
          <w:sz w:val="24"/>
          <w:highlight w:val="none"/>
        </w:rPr>
        <w:t>在工程实施中，暂列金额、暂估价所包含的工作范围和图纸、标准深化固定后，按照工程专业、设备、材料类别等分类汇总的金额，达到法定招标范围标准的，应由招标人同中标人联合招标，确定承包人和承包价格。</w:t>
      </w:r>
    </w:p>
    <w:p w14:paraId="136417BA">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13.6.3</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52EA6F73">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13.6.4</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color w:val="auto"/>
          <w:sz w:val="24"/>
          <w:highlight w:val="none"/>
        </w:rPr>
        <w:t>13.5</w:t>
      </w:r>
      <w:r>
        <w:rPr>
          <w:rFonts w:hint="eastAsia" w:ascii="宋体" w:hAnsi="宋体"/>
          <w:color w:val="auto"/>
          <w:sz w:val="24"/>
          <w:highlight w:val="none"/>
        </w:rPr>
        <w:t>款规定确定。</w:t>
      </w:r>
    </w:p>
    <w:p w14:paraId="488E7F34">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13.6.5</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5C58F580">
      <w:pPr>
        <w:ind w:firstLine="480" w:firstLineChars="200"/>
        <w:rPr>
          <w:rFonts w:hint="eastAsia" w:ascii="宋体" w:hAnsi="宋体"/>
          <w:color w:val="auto"/>
          <w:sz w:val="24"/>
          <w:highlight w:val="none"/>
        </w:rPr>
      </w:pPr>
      <w:r>
        <w:rPr>
          <w:rFonts w:ascii="宋体" w:hAnsi="宋体"/>
          <w:color w:val="auto"/>
          <w:sz w:val="24"/>
          <w:highlight w:val="none"/>
        </w:rPr>
        <w:t xml:space="preserve">13.6.6 </w:t>
      </w:r>
      <w:r>
        <w:rPr>
          <w:rFonts w:hint="eastAsia" w:ascii="宋体" w:hAnsi="宋体"/>
          <w:color w:val="auto"/>
          <w:sz w:val="24"/>
          <w:highlight w:val="none"/>
        </w:rPr>
        <w:t>在工程实施中，暂列金额、暂估价所包含的工作范围由其他承包人承包的，纳入本项目承包人的管理和协调范围，由其他承包人向本项目承包人承担质量、安全、</w:t>
      </w:r>
    </w:p>
    <w:p w14:paraId="71735067">
      <w:pPr>
        <w:pStyle w:val="4"/>
        <w:spacing w:after="0" w:line="360" w:lineRule="auto"/>
        <w:ind w:left="0" w:leftChars="0" w:firstLine="0" w:firstLineChars="0"/>
        <w:rPr>
          <w:rFonts w:ascii="宋体"/>
          <w:color w:val="auto"/>
          <w:sz w:val="24"/>
          <w:highlight w:val="none"/>
        </w:rPr>
      </w:pPr>
      <w:r>
        <w:rPr>
          <w:rFonts w:hint="eastAsia" w:ascii="宋体" w:hAnsi="宋体"/>
          <w:color w:val="auto"/>
          <w:sz w:val="24"/>
          <w:highlight w:val="none"/>
        </w:rPr>
        <w:t>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2F1D072F">
      <w:pPr>
        <w:pStyle w:val="4"/>
        <w:spacing w:after="0" w:line="360" w:lineRule="auto"/>
        <w:ind w:firstLine="480" w:firstLineChars="200"/>
        <w:rPr>
          <w:rFonts w:ascii="宋体"/>
          <w:color w:val="auto"/>
          <w:sz w:val="24"/>
          <w:highlight w:val="none"/>
        </w:rPr>
      </w:pPr>
      <w:r>
        <w:rPr>
          <w:rFonts w:ascii="宋体" w:hAnsi="宋体"/>
          <w:color w:val="auto"/>
          <w:sz w:val="24"/>
          <w:highlight w:val="none"/>
        </w:rPr>
        <w:t>13.7</w:t>
      </w:r>
      <w:r>
        <w:rPr>
          <w:rFonts w:hint="eastAsia" w:ascii="宋体" w:hAnsi="宋体"/>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14:paraId="28EED5B6">
      <w:pPr>
        <w:pStyle w:val="4"/>
        <w:spacing w:after="0" w:line="360" w:lineRule="auto"/>
        <w:ind w:firstLine="480" w:firstLineChars="200"/>
        <w:rPr>
          <w:rFonts w:ascii="宋体"/>
          <w:color w:val="auto"/>
          <w:sz w:val="24"/>
          <w:highlight w:val="none"/>
        </w:rPr>
      </w:pPr>
      <w:r>
        <w:rPr>
          <w:rFonts w:ascii="宋体" w:hAnsi="宋体"/>
          <w:color w:val="auto"/>
          <w:sz w:val="24"/>
          <w:highlight w:val="none"/>
        </w:rPr>
        <w:t>13.8</w:t>
      </w:r>
      <w:r>
        <w:rPr>
          <w:rFonts w:hint="eastAsia" w:ascii="宋体" w:hAnsi="宋体"/>
          <w:color w:val="auto"/>
          <w:sz w:val="24"/>
          <w:highlight w:val="none"/>
        </w:rPr>
        <w:t>属于承包人自行采购的主要材料、设备，招标人应当在招标文件中提出材料、设备的技术标准或者质量要求，或者提出不少于</w:t>
      </w:r>
      <w:r>
        <w:rPr>
          <w:rFonts w:ascii="宋体" w:hAnsi="宋体"/>
          <w:color w:val="auto"/>
          <w:sz w:val="24"/>
          <w:highlight w:val="none"/>
        </w:rPr>
        <w:t>3</w:t>
      </w:r>
      <w:r>
        <w:rPr>
          <w:rFonts w:hint="eastAsia" w:ascii="宋体" w:hAnsi="宋体"/>
          <w:color w:val="auto"/>
          <w:sz w:val="24"/>
          <w:highlight w:val="none"/>
        </w:rPr>
        <w:t>个同等档次品牌或分包商供投标人报价时选择</w:t>
      </w:r>
      <w:r>
        <w:rPr>
          <w:rFonts w:ascii="宋体"/>
          <w:color w:val="auto"/>
          <w:sz w:val="24"/>
          <w:highlight w:val="none"/>
        </w:rPr>
        <w:t>,</w:t>
      </w:r>
      <w:r>
        <w:rPr>
          <w:rFonts w:hint="eastAsia" w:ascii="宋体" w:hAnsi="宋体"/>
          <w:color w:val="auto"/>
          <w:sz w:val="24"/>
          <w:highlight w:val="none"/>
        </w:rPr>
        <w:t>凡招标人在招标文件中提出参考品牌的，必须在参考品牌后面加上“或相当于”字样。投标人在投标文件中应明确所选用主要材料、设备的品牌、厂家以及质量等级，并且应当符合招标文件的要求。</w:t>
      </w:r>
    </w:p>
    <w:p w14:paraId="05032832">
      <w:pPr>
        <w:pStyle w:val="4"/>
        <w:spacing w:after="0" w:line="360" w:lineRule="auto"/>
        <w:ind w:firstLine="480" w:firstLineChars="200"/>
        <w:rPr>
          <w:rFonts w:ascii="宋体"/>
          <w:color w:val="auto"/>
          <w:sz w:val="24"/>
          <w:szCs w:val="24"/>
          <w:highlight w:val="none"/>
        </w:rPr>
      </w:pPr>
      <w:r>
        <w:rPr>
          <w:rFonts w:ascii="宋体" w:hAnsi="宋体"/>
          <w:color w:val="auto"/>
          <w:sz w:val="24"/>
          <w:highlight w:val="none"/>
        </w:rPr>
        <w:t>13.9</w:t>
      </w:r>
      <w:r>
        <w:rPr>
          <w:rFonts w:hint="eastAsia" w:ascii="宋体"/>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14:paraId="5D55AFDF">
      <w:pPr>
        <w:pStyle w:val="4"/>
        <w:spacing w:after="0" w:line="360" w:lineRule="auto"/>
        <w:ind w:firstLine="480" w:firstLineChars="200"/>
        <w:rPr>
          <w:rFonts w:ascii="宋体"/>
          <w:color w:val="auto"/>
          <w:sz w:val="24"/>
          <w:szCs w:val="24"/>
          <w:highlight w:val="none"/>
          <w:u w:val="single"/>
        </w:rPr>
      </w:pPr>
      <w:r>
        <w:rPr>
          <w:rFonts w:hint="eastAsia" w:ascii="宋体"/>
          <w:color w:val="auto"/>
          <w:sz w:val="24"/>
          <w:szCs w:val="24"/>
          <w:highlight w:val="none"/>
        </w:rPr>
        <w:t>13.10</w:t>
      </w:r>
      <w:r>
        <w:rPr>
          <w:rFonts w:hint="eastAsia" w:ascii="宋体"/>
          <w:color w:val="auto"/>
          <w:sz w:val="24"/>
          <w:szCs w:val="24"/>
          <w:highlight w:val="none"/>
          <w:u w:val="single"/>
        </w:rPr>
        <w:t>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14:paraId="2F507DE9">
      <w:pPr>
        <w:pStyle w:val="4"/>
        <w:spacing w:after="0" w:line="360" w:lineRule="auto"/>
        <w:ind w:firstLine="480" w:firstLineChars="200"/>
        <w:rPr>
          <w:rFonts w:ascii="宋体"/>
          <w:color w:val="auto"/>
          <w:sz w:val="24"/>
          <w:szCs w:val="24"/>
          <w:highlight w:val="none"/>
          <w:u w:val="single"/>
        </w:rPr>
      </w:pPr>
      <w:r>
        <w:rPr>
          <w:rFonts w:hint="eastAsia" w:ascii="宋体"/>
          <w:color w:val="auto"/>
          <w:sz w:val="24"/>
          <w:szCs w:val="24"/>
          <w:highlight w:val="none"/>
          <w:u w:val="single"/>
        </w:rPr>
        <w:t>13.11工程变更详见本招标文件所附施工合同专用条款第72.工程变更事件的有关规定。</w:t>
      </w:r>
    </w:p>
    <w:p w14:paraId="36F1835E">
      <w:pPr>
        <w:pStyle w:val="4"/>
        <w:spacing w:after="0" w:line="360" w:lineRule="auto"/>
        <w:ind w:firstLine="480" w:firstLineChars="200"/>
        <w:rPr>
          <w:rFonts w:ascii="宋体"/>
          <w:color w:val="auto"/>
          <w:sz w:val="24"/>
          <w:szCs w:val="24"/>
          <w:highlight w:val="none"/>
          <w:u w:val="single"/>
        </w:rPr>
      </w:pPr>
      <w:r>
        <w:rPr>
          <w:rFonts w:hint="eastAsia" w:ascii="宋体"/>
          <w:color w:val="auto"/>
          <w:sz w:val="24"/>
          <w:szCs w:val="24"/>
          <w:highlight w:val="none"/>
          <w:u w:val="single"/>
        </w:rPr>
        <w:t>13.12工程量清单说明详见本招标文件第七章。</w:t>
      </w:r>
    </w:p>
    <w:p w14:paraId="773ADB41">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14</w:t>
      </w:r>
      <w:r>
        <w:rPr>
          <w:rFonts w:hint="eastAsia" w:ascii="宋体" w:hAnsi="宋体"/>
          <w:b/>
          <w:bCs/>
          <w:color w:val="auto"/>
          <w:sz w:val="24"/>
          <w:highlight w:val="none"/>
        </w:rPr>
        <w:t>．投标货币</w:t>
      </w:r>
    </w:p>
    <w:p w14:paraId="512F8BC5">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14.1 </w:t>
      </w:r>
      <w:r>
        <w:rPr>
          <w:rFonts w:hint="eastAsia" w:ascii="宋体" w:hAnsi="宋体"/>
          <w:color w:val="auto"/>
          <w:sz w:val="24"/>
          <w:highlight w:val="none"/>
        </w:rPr>
        <w:t>本工程投标报价采用的币种为人民币。</w:t>
      </w:r>
    </w:p>
    <w:p w14:paraId="401F044F">
      <w:pPr>
        <w:pStyle w:val="4"/>
        <w:spacing w:after="0" w:line="360" w:lineRule="auto"/>
        <w:ind w:firstLine="482" w:firstLineChars="200"/>
        <w:rPr>
          <w:rFonts w:ascii="宋体"/>
          <w:color w:val="auto"/>
          <w:sz w:val="24"/>
          <w:highlight w:val="none"/>
        </w:rPr>
      </w:pPr>
      <w:r>
        <w:rPr>
          <w:rFonts w:ascii="宋体" w:hAnsi="宋体"/>
          <w:b/>
          <w:bCs/>
          <w:color w:val="auto"/>
          <w:sz w:val="24"/>
          <w:highlight w:val="none"/>
        </w:rPr>
        <w:t>15</w:t>
      </w:r>
      <w:r>
        <w:rPr>
          <w:rFonts w:hint="eastAsia" w:ascii="宋体" w:hAnsi="宋体"/>
          <w:b/>
          <w:bCs/>
          <w:color w:val="auto"/>
          <w:sz w:val="24"/>
          <w:highlight w:val="none"/>
        </w:rPr>
        <w:t>．投标有效期</w:t>
      </w:r>
    </w:p>
    <w:p w14:paraId="1237BC11">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15.1 </w:t>
      </w:r>
      <w:r>
        <w:rPr>
          <w:rFonts w:hint="eastAsia" w:ascii="宋体" w:hAnsi="宋体"/>
          <w:color w:val="auto"/>
          <w:sz w:val="24"/>
          <w:highlight w:val="none"/>
        </w:rPr>
        <w:t>投标有效期见投标须知前附表第</w:t>
      </w:r>
      <w:r>
        <w:rPr>
          <w:rFonts w:ascii="宋体" w:hAnsi="宋体"/>
          <w:color w:val="auto"/>
          <w:sz w:val="24"/>
          <w:highlight w:val="none"/>
        </w:rPr>
        <w:t>13</w:t>
      </w:r>
      <w:r>
        <w:rPr>
          <w:rFonts w:hint="eastAsia" w:ascii="宋体" w:hAnsi="宋体"/>
          <w:color w:val="auto"/>
          <w:sz w:val="24"/>
          <w:highlight w:val="none"/>
        </w:rPr>
        <w:t>项所规定的期限，在此期限内，凡符合本招标文件要求的投标文件均保持有效。</w:t>
      </w:r>
    </w:p>
    <w:p w14:paraId="6099D4EC">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color w:val="auto"/>
          <w:sz w:val="24"/>
          <w:highlight w:val="none"/>
        </w:rPr>
        <w:t>16</w:t>
      </w:r>
      <w:r>
        <w:rPr>
          <w:rFonts w:hint="eastAsia" w:ascii="宋体" w:hAnsi="宋体"/>
          <w:color w:val="auto"/>
          <w:sz w:val="24"/>
          <w:highlight w:val="none"/>
        </w:rPr>
        <w:t>条关于投标保证金的退还与不予退还的规定仍然适用。</w:t>
      </w:r>
    </w:p>
    <w:p w14:paraId="31E1BD79">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16</w:t>
      </w:r>
      <w:r>
        <w:rPr>
          <w:rFonts w:hint="eastAsia" w:ascii="宋体" w:hAnsi="宋体"/>
          <w:b/>
          <w:bCs/>
          <w:color w:val="auto"/>
          <w:sz w:val="24"/>
          <w:highlight w:val="none"/>
        </w:rPr>
        <w:t>．投标保证金</w:t>
      </w:r>
    </w:p>
    <w:p w14:paraId="153C397B">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16.1本项目免收投标保证金，投标人提供《关于投标保证金的承诺》（详见附件</w:t>
      </w:r>
      <w:r>
        <w:rPr>
          <w:rFonts w:hint="eastAsia" w:ascii="宋体" w:hAnsi="宋体"/>
          <w:color w:val="auto"/>
          <w:sz w:val="24"/>
          <w:highlight w:val="none"/>
          <w:u w:val="single"/>
          <w:lang w:val="en-US" w:eastAsia="zh-CN"/>
        </w:rPr>
        <w:t>2</w:t>
      </w:r>
      <w:r>
        <w:rPr>
          <w:rFonts w:hint="eastAsia" w:ascii="宋体" w:hAnsi="宋体"/>
          <w:color w:val="auto"/>
          <w:sz w:val="24"/>
          <w:highlight w:val="none"/>
          <w:u w:val="single"/>
        </w:rPr>
        <w:t>）。</w:t>
      </w:r>
    </w:p>
    <w:p w14:paraId="268D8D23">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16.2对于投标人已提供《关于投标保证金的承诺》，若投标人存在16.4条款所列情形，该投标人应在发现存在16.4条款所列情形之日起5个工作日内按投标须知前附表第14项所述金额补交投标保证金。若未按要求补交投标保证金的将暂停其参与招标人后续工程投标，直至完成补交手续为止。</w:t>
      </w:r>
    </w:p>
    <w:p w14:paraId="26B616DB">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16.3开标时投标人没有按招标文件要求提交《关于投标保证金的承诺》的投标人，视为未按要求提供投标保证金。</w:t>
      </w:r>
    </w:p>
    <w:p w14:paraId="7495EA29">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16.4如有下列情况之一的，招标人可以不予退还投标保证金（是否退还投标保证金由招标人在招标文件中规定）：</w:t>
      </w:r>
    </w:p>
    <w:p w14:paraId="09608304">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16.4.1因投标人原因造成投标文件未解密的；</w:t>
      </w:r>
    </w:p>
    <w:p w14:paraId="5F4BD691">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16.4.2投标人在投标有效期内撤销投标文件；</w:t>
      </w:r>
    </w:p>
    <w:p w14:paraId="701516E6">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16.4.3中标人未能在规定期限内按要求提交履约担保；</w:t>
      </w:r>
    </w:p>
    <w:p w14:paraId="5A4C4D0C">
      <w:pPr>
        <w:pStyle w:val="4"/>
        <w:spacing w:after="0"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16.4.4中标人未能在规定期限内签署合同协议。</w:t>
      </w:r>
    </w:p>
    <w:p w14:paraId="1A74B1CF">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17</w:t>
      </w:r>
      <w:r>
        <w:rPr>
          <w:rFonts w:hint="eastAsia" w:ascii="宋体" w:hAnsi="宋体"/>
          <w:b/>
          <w:bCs/>
          <w:color w:val="auto"/>
          <w:sz w:val="24"/>
          <w:highlight w:val="none"/>
        </w:rPr>
        <w:t>．投标文件的签署</w:t>
      </w:r>
    </w:p>
    <w:p w14:paraId="7D275327">
      <w:pPr>
        <w:spacing w:line="360" w:lineRule="auto"/>
        <w:ind w:firstLine="480" w:firstLineChars="200"/>
        <w:rPr>
          <w:rFonts w:ascii="宋体" w:hAnsi="宋体"/>
          <w:color w:val="auto"/>
          <w:sz w:val="24"/>
          <w:highlight w:val="none"/>
        </w:rPr>
      </w:pPr>
      <w:r>
        <w:rPr>
          <w:rFonts w:ascii="宋体" w:hAnsi="宋体"/>
          <w:color w:val="auto"/>
          <w:sz w:val="24"/>
          <w:highlight w:val="none"/>
        </w:rPr>
        <w:t>17.</w:t>
      </w:r>
      <w:r>
        <w:rPr>
          <w:rFonts w:hint="eastAsia" w:ascii="宋体" w:hAnsi="宋体"/>
          <w:color w:val="auto"/>
          <w:sz w:val="24"/>
          <w:highlight w:val="none"/>
        </w:rPr>
        <w:t>1投标人应采用单位数字证书，按招标文件要求在相应位置加盖电子印章。投标文件中需个人签字或盖章的，应</w:t>
      </w:r>
      <w:r>
        <w:rPr>
          <w:rFonts w:hint="eastAsia" w:ascii="宋体" w:hAnsi="宋体"/>
          <w:color w:val="auto"/>
          <w:sz w:val="24"/>
          <w:highlight w:val="none"/>
          <w:u w:val="single"/>
        </w:rPr>
        <w:t>加盖个人电子印章或手签或盖章</w:t>
      </w:r>
      <w:r>
        <w:rPr>
          <w:rFonts w:hint="eastAsia" w:ascii="宋体" w:hAnsi="宋体"/>
          <w:color w:val="auto"/>
          <w:sz w:val="24"/>
          <w:highlight w:val="none"/>
        </w:rPr>
        <w:t>后扫描上传。</w:t>
      </w:r>
      <w:r>
        <w:rPr>
          <w:rFonts w:hint="eastAsia" w:ascii="宋体" w:hAnsi="宋体"/>
          <w:color w:val="auto"/>
          <w:sz w:val="24"/>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 w:val="24"/>
          <w:highlight w:val="none"/>
        </w:rPr>
        <w:t>按照交易平台关于全流程电子化项目的相关指南进行操作。详见：</w:t>
      </w:r>
      <w:r>
        <w:rPr>
          <w:rFonts w:hint="eastAsia" w:ascii="宋体" w:hAnsi="宋体"/>
          <w:color w:val="auto"/>
          <w:sz w:val="24"/>
          <w:highlight w:val="none"/>
          <w:u w:val="single"/>
        </w:rPr>
        <w:t>【全流程电子化项目】电子招投标操作手册（无纸化）</w:t>
      </w:r>
      <w:r>
        <w:rPr>
          <w:rFonts w:hint="eastAsia" w:ascii="宋体" w:hAnsi="宋体"/>
          <w:color w:val="auto"/>
          <w:sz w:val="24"/>
          <w:highlight w:val="none"/>
        </w:rPr>
        <w:t>。</w:t>
      </w:r>
    </w:p>
    <w:p w14:paraId="32150828">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17.2发放中标通知书后3个工作天内投标人需到招标人处，在招标人、招标代理、投标人三方共同见证下，将在</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u w:val="single"/>
        </w:rPr>
        <w:t>网站下载的投标文件打印(其中的预算文件需转换成《建设工程工程量清单计价规范》规定的格式)，并三方签名确认，投标人加盖公章，然后再复印4套，合共5套投标文件提供给招标人，相关费用由投标人支付。</w:t>
      </w:r>
    </w:p>
    <w:p w14:paraId="68568919">
      <w:pPr>
        <w:pStyle w:val="7"/>
        <w:spacing w:before="156" w:after="156"/>
        <w:rPr>
          <w:color w:val="auto"/>
          <w:highlight w:val="none"/>
        </w:rPr>
      </w:pPr>
      <w:bookmarkStart w:id="12" w:name="_Toc21525496"/>
      <w:bookmarkStart w:id="13" w:name="_Toc2272552"/>
      <w:r>
        <w:rPr>
          <w:rFonts w:hint="eastAsia"/>
          <w:color w:val="auto"/>
          <w:highlight w:val="none"/>
        </w:rPr>
        <w:t>（四）投标文件的提交</w:t>
      </w:r>
      <w:bookmarkEnd w:id="12"/>
      <w:bookmarkEnd w:id="13"/>
    </w:p>
    <w:p w14:paraId="5FC9F09A">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18</w:t>
      </w:r>
      <w:r>
        <w:rPr>
          <w:rFonts w:hint="eastAsia" w:ascii="宋体" w:hAnsi="宋体"/>
          <w:b/>
          <w:bCs/>
          <w:color w:val="auto"/>
          <w:sz w:val="24"/>
          <w:highlight w:val="none"/>
        </w:rPr>
        <w:t>．</w:t>
      </w:r>
      <w:r>
        <w:rPr>
          <w:rFonts w:hint="eastAsia"/>
          <w:b/>
          <w:color w:val="auto"/>
          <w:sz w:val="24"/>
          <w:szCs w:val="24"/>
          <w:highlight w:val="none"/>
        </w:rPr>
        <w:t>投标文件的密封和标记</w:t>
      </w:r>
    </w:p>
    <w:p w14:paraId="4065FD6F">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.1</w:t>
      </w:r>
      <w:r>
        <w:rPr>
          <w:rFonts w:hint="eastAsia" w:ascii="宋体" w:hAnsi="宋体"/>
          <w:bCs/>
          <w:color w:val="auto"/>
          <w:sz w:val="24"/>
          <w:highlight w:val="none"/>
        </w:rPr>
        <w:t>递交的电子投标文件（不含备用光盘）必须进行加密。按照交易平台关于</w:t>
      </w:r>
      <w:r>
        <w:rPr>
          <w:rFonts w:hint="eastAsia"/>
          <w:color w:val="auto"/>
          <w:sz w:val="24"/>
          <w:szCs w:val="24"/>
          <w:highlight w:val="none"/>
        </w:rPr>
        <w:t>全流程电子化项目的相关指南进行操作。详见：</w:t>
      </w:r>
      <w:r>
        <w:rPr>
          <w:rFonts w:hint="eastAsia"/>
          <w:color w:val="auto"/>
          <w:sz w:val="24"/>
          <w:szCs w:val="24"/>
          <w:highlight w:val="none"/>
          <w:u w:val="single"/>
          <w:lang w:eastAsia="zh-CN"/>
        </w:rPr>
        <w:t>广州交易集团有限公司（广州公共资源交易中心）</w:t>
      </w:r>
      <w:r>
        <w:rPr>
          <w:rFonts w:hint="eastAsia"/>
          <w:color w:val="auto"/>
          <w:sz w:val="24"/>
          <w:szCs w:val="24"/>
          <w:highlight w:val="none"/>
          <w:u w:val="single"/>
        </w:rPr>
        <w:t>网站</w:t>
      </w:r>
      <w:r>
        <w:rPr>
          <w:color w:val="auto"/>
          <w:sz w:val="24"/>
          <w:szCs w:val="24"/>
          <w:highlight w:val="none"/>
          <w:u w:val="single"/>
        </w:rPr>
        <w:t xml:space="preserve"> </w:t>
      </w:r>
      <w:r>
        <w:rPr>
          <w:rFonts w:hint="eastAsia"/>
          <w:color w:val="auto"/>
          <w:sz w:val="24"/>
          <w:szCs w:val="24"/>
          <w:highlight w:val="none"/>
        </w:rPr>
        <w:t xml:space="preserve"> 。</w:t>
      </w:r>
    </w:p>
    <w:p w14:paraId="21177C2C">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.2</w:t>
      </w:r>
      <w:r>
        <w:rPr>
          <w:rFonts w:ascii="宋体"/>
          <w:bCs/>
          <w:color w:val="auto"/>
          <w:sz w:val="24"/>
          <w:highlight w:val="none"/>
        </w:rPr>
        <w:t xml:space="preserve"> </w:t>
      </w:r>
      <w:r>
        <w:rPr>
          <w:rFonts w:hint="eastAsia" w:ascii="宋体"/>
          <w:bCs/>
          <w:color w:val="auto"/>
          <w:sz w:val="24"/>
          <w:highlight w:val="none"/>
        </w:rPr>
        <w:t>未按要求加密的投标文件，</w:t>
      </w:r>
      <w:r>
        <w:rPr>
          <w:rFonts w:hint="eastAsia"/>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bCs/>
          <w:color w:val="auto"/>
          <w:sz w:val="24"/>
          <w:highlight w:val="none"/>
        </w:rPr>
        <w:t>将予以拒收。</w:t>
      </w:r>
    </w:p>
    <w:p w14:paraId="502B2428">
      <w:pPr>
        <w:spacing w:line="360" w:lineRule="auto"/>
        <w:ind w:firstLine="482" w:firstLineChars="200"/>
        <w:rPr>
          <w:rFonts w:ascii="宋体"/>
          <w:b/>
          <w:bCs/>
          <w:color w:val="auto"/>
          <w:sz w:val="24"/>
          <w:highlight w:val="none"/>
        </w:rPr>
      </w:pPr>
      <w:r>
        <w:rPr>
          <w:rFonts w:ascii="宋体" w:hAnsi="宋体"/>
          <w:b/>
          <w:bCs/>
          <w:color w:val="auto"/>
          <w:sz w:val="24"/>
          <w:highlight w:val="none"/>
        </w:rPr>
        <w:t>19</w:t>
      </w:r>
      <w:r>
        <w:rPr>
          <w:rFonts w:hint="eastAsia" w:ascii="宋体" w:hAnsi="宋体"/>
          <w:b/>
          <w:bCs/>
          <w:color w:val="auto"/>
          <w:sz w:val="24"/>
          <w:highlight w:val="none"/>
        </w:rPr>
        <w:t>．投标文件的递交和接收</w:t>
      </w:r>
    </w:p>
    <w:p w14:paraId="06514094">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1投标人通过</w:t>
      </w:r>
      <w:r>
        <w:rPr>
          <w:rFonts w:hint="eastAsia"/>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递交电子投标文件。</w:t>
      </w:r>
    </w:p>
    <w:p w14:paraId="316F5968">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2投标人完成电子</w:t>
      </w:r>
      <w:r>
        <w:rPr>
          <w:rFonts w:hint="eastAsia" w:ascii="宋体" w:hAnsi="宋体"/>
          <w:color w:val="auto"/>
          <w:sz w:val="24"/>
          <w:highlight w:val="none"/>
        </w:rPr>
        <w:t>投标文件</w:t>
      </w:r>
      <w:r>
        <w:rPr>
          <w:rFonts w:hint="eastAsia" w:ascii="宋体" w:hAnsi="宋体"/>
          <w:bCs/>
          <w:color w:val="auto"/>
          <w:sz w:val="24"/>
          <w:highlight w:val="none"/>
        </w:rPr>
        <w:t>上传后，</w:t>
      </w:r>
      <w:r>
        <w:rPr>
          <w:rFonts w:hint="eastAsia"/>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即时向投标人发出递交回执通知。递交时间以递交回执通知载明的传输完成时间为准。</w:t>
      </w:r>
    </w:p>
    <w:p w14:paraId="31917734">
      <w:pPr>
        <w:spacing w:line="360" w:lineRule="auto"/>
        <w:ind w:firstLine="480" w:firstLineChars="200"/>
        <w:rPr>
          <w:rFonts w:ascii="宋体" w:hAnsi="宋体"/>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3</w:t>
      </w:r>
      <w:r>
        <w:rPr>
          <w:rFonts w:hint="eastAsia"/>
          <w:bCs/>
          <w:color w:val="auto"/>
          <w:sz w:val="24"/>
          <w:szCs w:val="24"/>
          <w:highlight w:val="none"/>
        </w:rPr>
        <w:t>逾期送达的</w:t>
      </w:r>
      <w:r>
        <w:rPr>
          <w:rFonts w:hint="eastAsia" w:ascii="宋体" w:hAnsi="宋体"/>
          <w:bCs/>
          <w:color w:val="auto"/>
          <w:sz w:val="24"/>
          <w:highlight w:val="none"/>
        </w:rPr>
        <w:t>电子投标文件，</w:t>
      </w:r>
      <w:r>
        <w:rPr>
          <w:rFonts w:hint="eastAsia"/>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6EAFF330">
      <w:pPr>
        <w:spacing w:line="360" w:lineRule="auto"/>
        <w:ind w:firstLine="480" w:firstLineChars="200"/>
        <w:rPr>
          <w:rFonts w:ascii="宋体"/>
          <w:color w:val="auto"/>
          <w:sz w:val="24"/>
          <w:highlight w:val="none"/>
        </w:rPr>
      </w:pPr>
      <w:r>
        <w:rPr>
          <w:rFonts w:ascii="宋体" w:hAnsi="宋体"/>
          <w:color w:val="auto"/>
          <w:sz w:val="24"/>
          <w:highlight w:val="none"/>
        </w:rPr>
        <w:t>19.</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szCs w:val="24"/>
          <w:highlight w:val="none"/>
        </w:rPr>
        <w:t>投标截止前，</w:t>
      </w:r>
      <w:r>
        <w:rPr>
          <w:rFonts w:hint="eastAsia"/>
          <w:color w:val="auto"/>
          <w:sz w:val="24"/>
          <w:szCs w:val="24"/>
          <w:highlight w:val="none"/>
        </w:rPr>
        <w:t>招标人拒绝接收符合条件的投标文件，投标人可向招标投标监督机构投诉。</w:t>
      </w:r>
    </w:p>
    <w:p w14:paraId="6E47C94D">
      <w:pPr>
        <w:spacing w:line="360" w:lineRule="auto"/>
        <w:ind w:firstLine="482" w:firstLineChars="200"/>
        <w:rPr>
          <w:rFonts w:asci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．投标文件提交的截止时间</w:t>
      </w:r>
    </w:p>
    <w:p w14:paraId="3F5397D1">
      <w:pPr>
        <w:spacing w:line="360" w:lineRule="auto"/>
        <w:ind w:firstLine="480" w:firstLineChars="200"/>
        <w:rPr>
          <w:rFonts w:ascii="宋体"/>
          <w:b/>
          <w:bCs/>
          <w:color w:val="auto"/>
          <w:sz w:val="24"/>
          <w:highlight w:val="none"/>
        </w:rPr>
      </w:pPr>
      <w:r>
        <w:rPr>
          <w:rFonts w:ascii="宋体" w:hAnsi="宋体"/>
          <w:color w:val="auto"/>
          <w:sz w:val="24"/>
          <w:highlight w:val="none"/>
        </w:rPr>
        <w:t>20.1</w:t>
      </w:r>
      <w:r>
        <w:rPr>
          <w:rFonts w:hint="eastAsia" w:ascii="宋体" w:hAnsi="宋体"/>
          <w:color w:val="auto"/>
          <w:sz w:val="24"/>
          <w:highlight w:val="none"/>
        </w:rPr>
        <w:t>投标人应在投标须知前附表第17项所述的时间前提交投标文件。</w:t>
      </w:r>
    </w:p>
    <w:p w14:paraId="7CA307B5">
      <w:pPr>
        <w:spacing w:line="360" w:lineRule="auto"/>
        <w:ind w:firstLine="480" w:firstLineChars="200"/>
        <w:rPr>
          <w:rFonts w:ascii="宋体"/>
          <w:color w:val="auto"/>
          <w:sz w:val="24"/>
          <w:highlight w:val="none"/>
        </w:rPr>
      </w:pPr>
      <w:r>
        <w:rPr>
          <w:rFonts w:ascii="宋体" w:hAnsi="宋体"/>
          <w:color w:val="auto"/>
          <w:sz w:val="24"/>
          <w:highlight w:val="none"/>
        </w:rPr>
        <w:t>20.2</w:t>
      </w:r>
      <w:r>
        <w:rPr>
          <w:rFonts w:hint="eastAsia" w:ascii="宋体" w:hAnsi="宋体"/>
          <w:color w:val="auto"/>
          <w:sz w:val="24"/>
          <w:highlight w:val="none"/>
        </w:rPr>
        <w:t>招标人可按本须知第</w:t>
      </w:r>
      <w:r>
        <w:rPr>
          <w:rFonts w:ascii="宋体" w:hAnsi="宋体"/>
          <w:color w:val="auto"/>
          <w:sz w:val="24"/>
          <w:highlight w:val="none"/>
        </w:rPr>
        <w:t>9</w:t>
      </w:r>
      <w:r>
        <w:rPr>
          <w:rFonts w:hint="eastAsia" w:ascii="宋体" w:hAnsi="宋体"/>
          <w:color w:val="auto"/>
          <w:sz w:val="24"/>
          <w:highlight w:val="none"/>
        </w:rPr>
        <w:t>条规定以招标文件修改的方式，酌情延长提交投标文件的截止时间。在此情况下，投标人的所有权利和义务以及投标人受制约的截止时间，均以延长后新的投标截止时间为准。</w:t>
      </w:r>
    </w:p>
    <w:p w14:paraId="1F6EA9C1">
      <w:pPr>
        <w:spacing w:line="360" w:lineRule="auto"/>
        <w:ind w:firstLine="480" w:firstLineChars="200"/>
        <w:rPr>
          <w:rFonts w:ascii="宋体"/>
          <w:color w:val="auto"/>
          <w:sz w:val="24"/>
          <w:highlight w:val="none"/>
        </w:rPr>
      </w:pPr>
      <w:r>
        <w:rPr>
          <w:rFonts w:ascii="宋体" w:hAnsi="宋体"/>
          <w:color w:val="auto"/>
          <w:sz w:val="24"/>
          <w:highlight w:val="none"/>
        </w:rPr>
        <w:t xml:space="preserve">20.3 </w:t>
      </w:r>
      <w:r>
        <w:rPr>
          <w:rFonts w:hint="eastAsia" w:ascii="宋体" w:hAnsi="宋体"/>
          <w:color w:val="auto"/>
          <w:sz w:val="24"/>
          <w:highlight w:val="none"/>
        </w:rPr>
        <w:t>到投标截止时间止，招标人收到的投标文件少于3家的，招标人将重新组织招标</w:t>
      </w:r>
      <w:r>
        <w:rPr>
          <w:rFonts w:hint="eastAsia" w:ascii="宋体" w:hAnsi="宋体"/>
          <w:color w:val="auto"/>
          <w:sz w:val="24"/>
          <w:szCs w:val="24"/>
          <w:highlight w:val="none"/>
        </w:rPr>
        <w:t>（当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highlight w:val="none"/>
        </w:rPr>
        <w:t>。</w:t>
      </w:r>
    </w:p>
    <w:p w14:paraId="42CC9DFD">
      <w:pPr>
        <w:spacing w:line="360" w:lineRule="auto"/>
        <w:ind w:firstLine="482" w:firstLineChars="200"/>
        <w:rPr>
          <w:rFonts w:ascii="宋体"/>
          <w:b/>
          <w:bCs/>
          <w:color w:val="auto"/>
          <w:sz w:val="24"/>
          <w:highlight w:val="none"/>
        </w:rPr>
      </w:pPr>
      <w:r>
        <w:rPr>
          <w:rFonts w:ascii="宋体" w:hAnsi="宋体"/>
          <w:b/>
          <w:bCs/>
          <w:color w:val="auto"/>
          <w:sz w:val="24"/>
          <w:highlight w:val="none"/>
        </w:rPr>
        <w:t>21</w:t>
      </w:r>
      <w:r>
        <w:rPr>
          <w:rFonts w:hint="eastAsia" w:ascii="宋体" w:hAnsi="宋体"/>
          <w:b/>
          <w:bCs/>
          <w:color w:val="auto"/>
          <w:sz w:val="24"/>
          <w:highlight w:val="none"/>
        </w:rPr>
        <w:t>．迟交的投标文件</w:t>
      </w:r>
    </w:p>
    <w:p w14:paraId="6C558857">
      <w:pPr>
        <w:spacing w:line="360" w:lineRule="auto"/>
        <w:ind w:firstLine="480" w:firstLineChars="200"/>
        <w:rPr>
          <w:rFonts w:ascii="宋体"/>
          <w:color w:val="auto"/>
          <w:sz w:val="24"/>
          <w:highlight w:val="none"/>
        </w:rPr>
      </w:pPr>
      <w:r>
        <w:rPr>
          <w:rFonts w:ascii="宋体" w:hAnsi="宋体"/>
          <w:color w:val="auto"/>
          <w:sz w:val="24"/>
          <w:highlight w:val="none"/>
        </w:rPr>
        <w:t xml:space="preserve">21.1 </w:t>
      </w:r>
      <w:r>
        <w:rPr>
          <w:rFonts w:hint="eastAsia" w:ascii="宋体" w:hAnsi="宋体"/>
          <w:color w:val="auto"/>
          <w:sz w:val="24"/>
          <w:highlight w:val="none"/>
        </w:rPr>
        <w:t>本须知前附表第</w:t>
      </w:r>
      <w:r>
        <w:rPr>
          <w:rFonts w:ascii="宋体" w:hAnsi="宋体"/>
          <w:color w:val="auto"/>
          <w:sz w:val="24"/>
          <w:highlight w:val="none"/>
        </w:rPr>
        <w:t>1</w:t>
      </w:r>
      <w:r>
        <w:rPr>
          <w:rFonts w:hint="eastAsia" w:ascii="宋体" w:hAnsi="宋体"/>
          <w:color w:val="auto"/>
          <w:sz w:val="24"/>
          <w:highlight w:val="none"/>
        </w:rPr>
        <w:t>7项规定的投标截止时间</w:t>
      </w:r>
      <w:r>
        <w:rPr>
          <w:rFonts w:hint="eastAsia"/>
          <w:bCs/>
          <w:color w:val="auto"/>
          <w:sz w:val="24"/>
          <w:szCs w:val="24"/>
          <w:highlight w:val="none"/>
        </w:rPr>
        <w:t>后送达的</w:t>
      </w:r>
      <w:r>
        <w:rPr>
          <w:rFonts w:hint="eastAsia" w:ascii="宋体" w:hAnsi="宋体"/>
          <w:bCs/>
          <w:color w:val="auto"/>
          <w:sz w:val="24"/>
          <w:highlight w:val="none"/>
        </w:rPr>
        <w:t>电子投标文件，</w:t>
      </w:r>
      <w:r>
        <w:rPr>
          <w:rFonts w:hint="eastAsia"/>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4A708138">
      <w:pPr>
        <w:spacing w:line="360" w:lineRule="auto"/>
        <w:ind w:firstLine="482" w:firstLineChars="200"/>
        <w:rPr>
          <w:rFonts w:ascii="宋体"/>
          <w:b/>
          <w:bCs/>
          <w:color w:val="auto"/>
          <w:sz w:val="24"/>
          <w:highlight w:val="none"/>
        </w:rPr>
      </w:pPr>
      <w:r>
        <w:rPr>
          <w:rFonts w:ascii="宋体" w:hAnsi="宋体"/>
          <w:b/>
          <w:bCs/>
          <w:color w:val="auto"/>
          <w:sz w:val="24"/>
          <w:highlight w:val="none"/>
        </w:rPr>
        <w:t>22</w:t>
      </w:r>
      <w:r>
        <w:rPr>
          <w:rFonts w:hint="eastAsia" w:ascii="宋体" w:hAnsi="宋体"/>
          <w:b/>
          <w:bCs/>
          <w:color w:val="auto"/>
          <w:sz w:val="24"/>
          <w:highlight w:val="none"/>
        </w:rPr>
        <w:t>．投标文件的修改与撤回</w:t>
      </w:r>
    </w:p>
    <w:p w14:paraId="75DC9457">
      <w:pPr>
        <w:spacing w:line="360" w:lineRule="auto"/>
        <w:ind w:firstLine="480" w:firstLineChars="200"/>
        <w:rPr>
          <w:rFonts w:ascii="宋体"/>
          <w:color w:val="auto"/>
          <w:sz w:val="24"/>
          <w:highlight w:val="none"/>
        </w:rPr>
      </w:pPr>
      <w:r>
        <w:rPr>
          <w:rFonts w:ascii="宋体" w:hAnsi="宋体"/>
          <w:color w:val="auto"/>
          <w:sz w:val="24"/>
          <w:highlight w:val="none"/>
        </w:rPr>
        <w:t>22.1</w:t>
      </w:r>
      <w:r>
        <w:rPr>
          <w:rFonts w:hint="eastAsia" w:ascii="宋体" w:hAnsi="宋体"/>
          <w:color w:val="auto"/>
          <w:sz w:val="24"/>
          <w:highlight w:val="none"/>
        </w:rPr>
        <w:t>在规定的投标截止时间前，投标人可以修改或撤回已递交的投标文件，但应以书面形式通知招标人。</w:t>
      </w:r>
    </w:p>
    <w:p w14:paraId="0B262A4B">
      <w:pPr>
        <w:spacing w:line="360" w:lineRule="auto"/>
        <w:ind w:firstLine="480" w:firstLineChars="200"/>
        <w:rPr>
          <w:color w:val="auto"/>
          <w:sz w:val="24"/>
          <w:szCs w:val="24"/>
          <w:highlight w:val="none"/>
        </w:rPr>
      </w:pPr>
      <w:r>
        <w:rPr>
          <w:rFonts w:ascii="宋体" w:hAnsi="宋体"/>
          <w:color w:val="auto"/>
          <w:sz w:val="24"/>
          <w:szCs w:val="24"/>
          <w:highlight w:val="none"/>
        </w:rPr>
        <w:t>22.2</w:t>
      </w:r>
      <w:r>
        <w:rPr>
          <w:color w:val="auto"/>
          <w:sz w:val="24"/>
          <w:szCs w:val="24"/>
          <w:highlight w:val="none"/>
        </w:rPr>
        <w:t>投标人修改或撤回已递交</w:t>
      </w:r>
      <w:r>
        <w:rPr>
          <w:rFonts w:hint="eastAsia"/>
          <w:color w:val="auto"/>
          <w:sz w:val="24"/>
          <w:szCs w:val="24"/>
          <w:highlight w:val="none"/>
        </w:rPr>
        <w:t>的</w:t>
      </w:r>
      <w:r>
        <w:rPr>
          <w:color w:val="auto"/>
          <w:sz w:val="24"/>
          <w:szCs w:val="24"/>
          <w:highlight w:val="none"/>
        </w:rPr>
        <w:t>投标文件</w:t>
      </w:r>
      <w:r>
        <w:rPr>
          <w:rFonts w:hint="eastAsia"/>
          <w:color w:val="auto"/>
          <w:sz w:val="24"/>
          <w:szCs w:val="24"/>
          <w:highlight w:val="none"/>
        </w:rPr>
        <w:t>，需在</w:t>
      </w:r>
      <w:r>
        <w:rPr>
          <w:rFonts w:hint="eastAsia" w:ascii="宋体" w:hAnsi="宋体"/>
          <w:color w:val="auto"/>
          <w:sz w:val="24"/>
          <w:highlight w:val="none"/>
        </w:rPr>
        <w:t>交易平台发出修改或撤回</w:t>
      </w:r>
      <w:r>
        <w:rPr>
          <w:color w:val="auto"/>
          <w:sz w:val="24"/>
          <w:szCs w:val="24"/>
          <w:highlight w:val="none"/>
        </w:rPr>
        <w:t>通知，</w:t>
      </w:r>
      <w:r>
        <w:rPr>
          <w:rFonts w:hint="eastAsia"/>
          <w:color w:val="auto"/>
          <w:sz w:val="24"/>
          <w:szCs w:val="24"/>
          <w:highlight w:val="none"/>
        </w:rPr>
        <w:t>并按</w:t>
      </w:r>
      <w:r>
        <w:rPr>
          <w:color w:val="auto"/>
          <w:sz w:val="24"/>
          <w:szCs w:val="24"/>
          <w:highlight w:val="none"/>
        </w:rPr>
        <w:t>要求加盖电子印章。</w:t>
      </w:r>
      <w:r>
        <w:rPr>
          <w:bCs/>
          <w:iCs/>
          <w:color w:val="auto"/>
          <w:sz w:val="24"/>
          <w:szCs w:val="24"/>
          <w:highlight w:val="none"/>
        </w:rPr>
        <w:t>电子招标投标交易平台收到通知后，</w:t>
      </w:r>
      <w:r>
        <w:rPr>
          <w:color w:val="auto"/>
          <w:sz w:val="24"/>
          <w:szCs w:val="24"/>
          <w:highlight w:val="none"/>
        </w:rPr>
        <w:t>即时向投标人发出确认回执通知。</w:t>
      </w:r>
    </w:p>
    <w:p w14:paraId="6E0B9FA7">
      <w:pPr>
        <w:spacing w:line="360" w:lineRule="auto"/>
        <w:ind w:firstLine="480" w:firstLineChars="200"/>
        <w:rPr>
          <w:color w:val="auto"/>
          <w:sz w:val="24"/>
          <w:szCs w:val="24"/>
          <w:highlight w:val="none"/>
        </w:rPr>
      </w:pPr>
      <w:r>
        <w:rPr>
          <w:rFonts w:hint="eastAsia" w:ascii="宋体" w:hAnsi="宋体"/>
          <w:color w:val="auto"/>
          <w:sz w:val="24"/>
          <w:szCs w:val="24"/>
          <w:highlight w:val="none"/>
        </w:rPr>
        <w:t>22.3</w:t>
      </w:r>
      <w:r>
        <w:rPr>
          <w:rFonts w:hint="eastAsia"/>
          <w:color w:val="auto"/>
          <w:sz w:val="24"/>
          <w:szCs w:val="24"/>
          <w:highlight w:val="none"/>
        </w:rPr>
        <w:t>修改后再次递交的，按19点的规定执行。</w:t>
      </w:r>
    </w:p>
    <w:p w14:paraId="34EEFE2C">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在投标截止时间之后，投标人不得补充、修改和更换投标文件。</w:t>
      </w:r>
    </w:p>
    <w:p w14:paraId="4FD0AA30">
      <w:pPr>
        <w:pStyle w:val="7"/>
        <w:spacing w:before="156" w:after="156"/>
        <w:rPr>
          <w:color w:val="auto"/>
          <w:highlight w:val="none"/>
        </w:rPr>
      </w:pPr>
      <w:bookmarkStart w:id="14" w:name="_Toc2272553"/>
      <w:bookmarkStart w:id="15" w:name="_Toc21525497"/>
      <w:r>
        <w:rPr>
          <w:rFonts w:hint="eastAsia"/>
          <w:color w:val="auto"/>
          <w:highlight w:val="none"/>
        </w:rPr>
        <w:t>（五）开标、评标、定标及合同签定</w:t>
      </w:r>
      <w:bookmarkEnd w:id="14"/>
      <w:bookmarkEnd w:id="15"/>
    </w:p>
    <w:p w14:paraId="35758DCF">
      <w:pPr>
        <w:spacing w:line="360" w:lineRule="auto"/>
        <w:ind w:firstLine="482" w:firstLineChars="200"/>
        <w:rPr>
          <w:rFonts w:ascii="宋体"/>
          <w:b/>
          <w:bCs/>
          <w:color w:val="auto"/>
          <w:sz w:val="24"/>
          <w:highlight w:val="none"/>
        </w:rPr>
      </w:pPr>
      <w:r>
        <w:rPr>
          <w:rFonts w:ascii="宋体" w:hAnsi="宋体"/>
          <w:b/>
          <w:bCs/>
          <w:color w:val="auto"/>
          <w:sz w:val="24"/>
          <w:highlight w:val="none"/>
        </w:rPr>
        <w:t>23</w:t>
      </w:r>
      <w:r>
        <w:rPr>
          <w:rFonts w:hint="eastAsia" w:ascii="宋体" w:hAnsi="宋体"/>
          <w:b/>
          <w:bCs/>
          <w:color w:val="auto"/>
          <w:sz w:val="24"/>
          <w:highlight w:val="none"/>
        </w:rPr>
        <w:t>、开标。</w:t>
      </w:r>
    </w:p>
    <w:p w14:paraId="5CF7FF3A">
      <w:pPr>
        <w:spacing w:line="360" w:lineRule="auto"/>
        <w:ind w:firstLine="480" w:firstLineChars="200"/>
        <w:rPr>
          <w:rFonts w:ascii="宋体"/>
          <w:color w:val="auto"/>
          <w:sz w:val="24"/>
          <w:highlight w:val="none"/>
        </w:rPr>
      </w:pPr>
      <w:r>
        <w:rPr>
          <w:rFonts w:hint="eastAsia" w:ascii="宋体" w:hAnsi="宋体"/>
          <w:color w:val="auto"/>
          <w:sz w:val="24"/>
          <w:highlight w:val="none"/>
        </w:rPr>
        <w:t>详见第二章开标、评标及定标办法</w:t>
      </w:r>
    </w:p>
    <w:p w14:paraId="33006CF1">
      <w:pPr>
        <w:spacing w:line="360" w:lineRule="auto"/>
        <w:ind w:firstLine="482" w:firstLineChars="200"/>
        <w:rPr>
          <w:rFonts w:ascii="宋体"/>
          <w:b/>
          <w:bCs/>
          <w:color w:val="auto"/>
          <w:sz w:val="24"/>
          <w:highlight w:val="none"/>
        </w:rPr>
      </w:pPr>
      <w:r>
        <w:rPr>
          <w:rFonts w:ascii="宋体" w:hAnsi="宋体"/>
          <w:b/>
          <w:bCs/>
          <w:color w:val="auto"/>
          <w:sz w:val="24"/>
          <w:highlight w:val="none"/>
        </w:rPr>
        <w:t>24</w:t>
      </w:r>
      <w:r>
        <w:rPr>
          <w:rFonts w:hint="eastAsia" w:ascii="宋体" w:hAnsi="宋体"/>
          <w:b/>
          <w:bCs/>
          <w:color w:val="auto"/>
          <w:sz w:val="24"/>
          <w:highlight w:val="none"/>
        </w:rPr>
        <w:t>．评标过程的保密</w:t>
      </w:r>
    </w:p>
    <w:p w14:paraId="307A8E70">
      <w:pPr>
        <w:spacing w:line="360" w:lineRule="auto"/>
        <w:ind w:firstLine="480" w:firstLineChars="200"/>
        <w:rPr>
          <w:rFonts w:ascii="宋体"/>
          <w:color w:val="auto"/>
          <w:sz w:val="24"/>
          <w:highlight w:val="none"/>
        </w:rPr>
      </w:pPr>
      <w:r>
        <w:rPr>
          <w:rFonts w:ascii="宋体" w:hAnsi="宋体"/>
          <w:color w:val="auto"/>
          <w:sz w:val="24"/>
          <w:highlight w:val="none"/>
        </w:rPr>
        <w:t xml:space="preserve">24.1 </w:t>
      </w:r>
      <w:r>
        <w:rPr>
          <w:rFonts w:hint="eastAsia" w:ascii="宋体" w:hAnsi="宋体"/>
          <w:color w:val="auto"/>
          <w:sz w:val="24"/>
          <w:highlight w:val="none"/>
        </w:rPr>
        <w:t>开标后，直至中标公示为止，凡属于对投标文件的审查、澄清、评价和比较有关的资料以及中标候选人的推荐情况，与评标有关的其他任何情况均严格保密。</w:t>
      </w:r>
    </w:p>
    <w:p w14:paraId="50661127">
      <w:pPr>
        <w:spacing w:line="360" w:lineRule="auto"/>
        <w:ind w:firstLine="480" w:firstLineChars="200"/>
        <w:rPr>
          <w:rFonts w:asci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在投标文件的评审和比较、中标候选人推荐以及授予合同的过程中，投标人向招标人和评标委员会施加不公正影响的任何行为，都将会导致其投标被拒绝。</w:t>
      </w:r>
    </w:p>
    <w:p w14:paraId="063D328E">
      <w:pPr>
        <w:spacing w:line="360" w:lineRule="auto"/>
        <w:ind w:firstLine="482" w:firstLineChars="200"/>
        <w:rPr>
          <w:rFonts w:ascii="宋体"/>
          <w:b/>
          <w:bCs/>
          <w:color w:val="auto"/>
          <w:sz w:val="24"/>
          <w:highlight w:val="none"/>
        </w:rPr>
      </w:pPr>
      <w:r>
        <w:rPr>
          <w:rFonts w:ascii="宋体" w:hAnsi="宋体"/>
          <w:b/>
          <w:bCs/>
          <w:color w:val="auto"/>
          <w:sz w:val="24"/>
          <w:highlight w:val="none"/>
        </w:rPr>
        <w:t>25</w:t>
      </w:r>
      <w:r>
        <w:rPr>
          <w:rFonts w:hint="eastAsia" w:ascii="宋体" w:hAnsi="宋体"/>
          <w:b/>
          <w:bCs/>
          <w:color w:val="auto"/>
          <w:sz w:val="24"/>
          <w:highlight w:val="none"/>
        </w:rPr>
        <w:t>．投标文件的澄清，计算错误的修正</w:t>
      </w:r>
    </w:p>
    <w:p w14:paraId="2A95A5F0">
      <w:pPr>
        <w:spacing w:line="360" w:lineRule="auto"/>
        <w:ind w:firstLine="480" w:firstLineChars="200"/>
        <w:rPr>
          <w:rFonts w:ascii="宋体"/>
          <w:color w:val="auto"/>
          <w:sz w:val="24"/>
          <w:highlight w:val="none"/>
        </w:rPr>
      </w:pPr>
      <w:r>
        <w:rPr>
          <w:rFonts w:hint="eastAsia" w:ascii="宋体" w:hAnsi="宋体"/>
          <w:color w:val="auto"/>
          <w:sz w:val="24"/>
          <w:highlight w:val="none"/>
        </w:rPr>
        <w:t>详见招标文件第二章开标、评标及定标办法</w:t>
      </w:r>
    </w:p>
    <w:p w14:paraId="254D3C72">
      <w:pPr>
        <w:spacing w:line="360" w:lineRule="auto"/>
        <w:ind w:firstLine="482" w:firstLineChars="200"/>
        <w:rPr>
          <w:rFonts w:ascii="宋体"/>
          <w:b/>
          <w:bCs/>
          <w:color w:val="auto"/>
          <w:sz w:val="24"/>
          <w:highlight w:val="none"/>
        </w:rPr>
      </w:pPr>
      <w:r>
        <w:rPr>
          <w:rFonts w:ascii="宋体" w:hAnsi="宋体"/>
          <w:b/>
          <w:bCs/>
          <w:color w:val="auto"/>
          <w:sz w:val="24"/>
          <w:highlight w:val="none"/>
        </w:rPr>
        <w:t>26</w:t>
      </w:r>
      <w:r>
        <w:rPr>
          <w:rFonts w:hint="eastAsia" w:ascii="宋体" w:hAnsi="宋体"/>
          <w:b/>
          <w:bCs/>
          <w:color w:val="auto"/>
          <w:sz w:val="24"/>
          <w:highlight w:val="none"/>
        </w:rPr>
        <w:t>．投标文件的评审、比较和否决</w:t>
      </w:r>
    </w:p>
    <w:p w14:paraId="70C49442">
      <w:pPr>
        <w:spacing w:line="360" w:lineRule="auto"/>
        <w:ind w:firstLine="480" w:firstLineChars="200"/>
        <w:rPr>
          <w:rFonts w:ascii="宋体"/>
          <w:bCs/>
          <w:color w:val="auto"/>
          <w:sz w:val="24"/>
          <w:szCs w:val="24"/>
          <w:highlight w:val="none"/>
        </w:rPr>
      </w:pPr>
      <w:r>
        <w:rPr>
          <w:rFonts w:hint="eastAsia" w:ascii="宋体" w:hAnsi="宋体"/>
          <w:color w:val="auto"/>
          <w:sz w:val="24"/>
          <w:highlight w:val="none"/>
        </w:rPr>
        <w:t>详见招标文件第二章开标、评标及定标办法。</w:t>
      </w:r>
    </w:p>
    <w:p w14:paraId="76343972">
      <w:pPr>
        <w:spacing w:line="360" w:lineRule="auto"/>
        <w:ind w:firstLine="482" w:firstLineChars="200"/>
        <w:rPr>
          <w:rFonts w:ascii="宋体"/>
          <w:b/>
          <w:bCs/>
          <w:color w:val="auto"/>
          <w:sz w:val="24"/>
          <w:highlight w:val="none"/>
        </w:rPr>
      </w:pPr>
      <w:r>
        <w:rPr>
          <w:rFonts w:ascii="宋体" w:hAnsi="宋体"/>
          <w:b/>
          <w:bCs/>
          <w:color w:val="auto"/>
          <w:sz w:val="24"/>
          <w:highlight w:val="none"/>
        </w:rPr>
        <w:t>27</w:t>
      </w:r>
      <w:r>
        <w:rPr>
          <w:rFonts w:hint="eastAsia" w:ascii="宋体" w:hAnsi="宋体"/>
          <w:b/>
          <w:bCs/>
          <w:color w:val="auto"/>
          <w:sz w:val="24"/>
          <w:highlight w:val="none"/>
        </w:rPr>
        <w:t>．中标通知书</w:t>
      </w:r>
    </w:p>
    <w:p w14:paraId="3BE7B32E">
      <w:pPr>
        <w:spacing w:line="360" w:lineRule="auto"/>
        <w:ind w:firstLine="480" w:firstLineChars="200"/>
        <w:rPr>
          <w:rFonts w:ascii="宋体"/>
          <w:color w:val="auto"/>
          <w:sz w:val="24"/>
          <w:highlight w:val="none"/>
        </w:rPr>
      </w:pPr>
      <w:r>
        <w:rPr>
          <w:rFonts w:hint="eastAsia" w:ascii="宋体" w:hAnsi="宋体"/>
          <w:color w:val="auto"/>
          <w:sz w:val="24"/>
          <w:highlight w:val="none"/>
        </w:rPr>
        <w:t>27.1招标人将在</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rPr>
        <w:t>交易平台、</w:t>
      </w:r>
      <w:r>
        <w:rPr>
          <w:rFonts w:hint="eastAsia" w:ascii="宋体" w:hAnsi="宋体"/>
          <w:color w:val="auto"/>
          <w:sz w:val="24"/>
          <w:highlight w:val="none"/>
          <w:u w:val="none"/>
        </w:rPr>
        <w:t>广东省招标投标监管网和中国招标投标公共服务平台公</w:t>
      </w:r>
      <w:r>
        <w:rPr>
          <w:rFonts w:hint="eastAsia" w:ascii="宋体" w:hAnsi="宋体"/>
          <w:color w:val="auto"/>
          <w:sz w:val="24"/>
          <w:highlight w:val="none"/>
        </w:rPr>
        <w:t>示中标候选人，公示期为三天。</w:t>
      </w:r>
      <w:r>
        <w:rPr>
          <w:rFonts w:hint="eastAsia" w:ascii="宋体" w:hAnsi="宋体"/>
          <w:b/>
          <w:bCs/>
          <w:color w:val="auto"/>
          <w:sz w:val="24"/>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color w:val="auto"/>
          <w:sz w:val="24"/>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1个月的社保证明原件、复印件（加盖中标单位公章）到建设（或代建）单位进行身份核查备案。经核查，确认与投标文件一致的，方可签订施工合同。若身份核查发现与投标文件不一致的，中标无效。逾期不办理的，视为自动放弃中标资格，由其他中标候选人顺次序替补。</w:t>
      </w:r>
    </w:p>
    <w:p w14:paraId="216A3FA2">
      <w:pPr>
        <w:ind w:firstLine="480" w:firstLineChars="200"/>
        <w:rPr>
          <w:rFonts w:hint="eastAsia" w:ascii="宋体" w:hAnsi="宋体"/>
          <w:color w:val="auto"/>
          <w:sz w:val="24"/>
          <w:highlight w:val="none"/>
        </w:rPr>
      </w:pPr>
      <w:r>
        <w:rPr>
          <w:rFonts w:ascii="宋体" w:hAnsi="宋体"/>
          <w:color w:val="auto"/>
          <w:sz w:val="24"/>
          <w:highlight w:val="none"/>
        </w:rPr>
        <w:t>27.2</w:t>
      </w:r>
      <w:r>
        <w:rPr>
          <w:rFonts w:hint="eastAsia" w:ascii="宋体" w:hAnsi="宋体"/>
          <w:color w:val="auto"/>
          <w:sz w:val="24"/>
          <w:highlight w:val="none"/>
        </w:rPr>
        <w:t>招标人应当自确定中标人后，向招标投标监管机构提交招标投标情况的书面报</w:t>
      </w:r>
    </w:p>
    <w:p w14:paraId="5F74B89E">
      <w:pPr>
        <w:rPr>
          <w:rFonts w:hint="eastAsia" w:ascii="宋体" w:hAnsi="宋体"/>
          <w:color w:val="auto"/>
          <w:sz w:val="24"/>
          <w:highlight w:val="none"/>
        </w:rPr>
      </w:pPr>
    </w:p>
    <w:p w14:paraId="26FD871B">
      <w:pPr>
        <w:spacing w:line="360" w:lineRule="auto"/>
        <w:rPr>
          <w:rFonts w:ascii="仿宋_GB2312" w:hAnsi="宋体" w:eastAsia="仿宋_GB2312"/>
          <w:color w:val="auto"/>
          <w:sz w:val="24"/>
          <w:highlight w:val="none"/>
        </w:rPr>
      </w:pPr>
      <w:r>
        <w:rPr>
          <w:rFonts w:hint="eastAsia" w:ascii="宋体" w:hAnsi="宋体"/>
          <w:color w:val="auto"/>
          <w:sz w:val="24"/>
          <w:highlight w:val="none"/>
        </w:rPr>
        <w:t>告；经招投标监管机构备案后，方可发出中标通知书。</w:t>
      </w:r>
    </w:p>
    <w:p w14:paraId="06F939E6">
      <w:pPr>
        <w:spacing w:line="360" w:lineRule="auto"/>
        <w:ind w:firstLine="480" w:firstLineChars="200"/>
        <w:rPr>
          <w:rFonts w:ascii="宋体" w:hAnsi="宋体"/>
          <w:color w:val="auto"/>
          <w:sz w:val="24"/>
          <w:highlight w:val="none"/>
        </w:rPr>
      </w:pPr>
      <w:r>
        <w:rPr>
          <w:rFonts w:ascii="宋体" w:hAnsi="宋体"/>
          <w:color w:val="auto"/>
          <w:sz w:val="24"/>
          <w:highlight w:val="none"/>
        </w:rPr>
        <w:t>27.3</w:t>
      </w:r>
      <w:r>
        <w:rPr>
          <w:rFonts w:hint="eastAsia" w:ascii="宋体" w:hAnsi="宋体"/>
          <w:color w:val="auto"/>
          <w:sz w:val="24"/>
          <w:highlight w:val="none"/>
        </w:rPr>
        <w:t>中标人必须在收到中标通知书后</w:t>
      </w:r>
      <w:r>
        <w:rPr>
          <w:rFonts w:ascii="宋体" w:hAnsi="宋体"/>
          <w:color w:val="auto"/>
          <w:sz w:val="24"/>
          <w:highlight w:val="none"/>
        </w:rPr>
        <w:t>24</w:t>
      </w:r>
      <w:r>
        <w:rPr>
          <w:rFonts w:hint="eastAsia" w:ascii="宋体" w:hAnsi="宋体"/>
          <w:color w:val="auto"/>
          <w:sz w:val="24"/>
          <w:highlight w:val="none"/>
        </w:rPr>
        <w:t>小时之内以书面形式回复招标人，确认收到。</w:t>
      </w:r>
    </w:p>
    <w:p w14:paraId="199C48F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27.4在产生中标候选人后，招标人将中标候选人的投标文件商务部分文件的所有内容（包括人员、业绩、奖项等资料）在</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rPr>
        <w:t>交易平台和广东省招标投标监管网公开。</w:t>
      </w:r>
    </w:p>
    <w:p w14:paraId="61127724">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27.5在</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u w:val="single"/>
        </w:rPr>
        <w:t>交易平台发布中标通知书之日起，即视为中标人确认收到中标通知书。中标人必须在3个工作日内由其委托代理人携带身份证及法人授权委托证明按招标人通知的时间和地点领取纸质图纸。中标人领取纸质图纸后必须与招标人在网上发布的电子版图纸进行核对，如有不符须于收到纸质图纸后五个工作日内将问题以书面形式向招标人提出；如纸质图纸和电子版图纸核对无误，中标人须于领取纸质图纸后五个工作日内在其中两套图纸上每页盖公章确认连同经盖公章的图纸确认函（一式两份）一并送回给招标人，表明中标人认同纸质图纸中内容与投标时的电子版图纸内容一致。</w:t>
      </w:r>
    </w:p>
    <w:p w14:paraId="15930ADF">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27.6 招标人或招标代理机构将在中标候选人公示结束后对第一中标候选人的企业资质证书有效期进行复核，如果第一中标候选人在中标候选人公示结束后7天内尚未取得资质有效期延续核准的，招标人有权否决其投标，由其他中标候选人顺次序替补或重新组织招标。</w:t>
      </w:r>
    </w:p>
    <w:p w14:paraId="65F58481">
      <w:pPr>
        <w:spacing w:line="360" w:lineRule="auto"/>
        <w:ind w:firstLine="482" w:firstLineChars="200"/>
        <w:rPr>
          <w:rFonts w:ascii="宋体"/>
          <w:b/>
          <w:bCs/>
          <w:color w:val="auto"/>
          <w:sz w:val="24"/>
          <w:highlight w:val="none"/>
        </w:rPr>
      </w:pPr>
      <w:r>
        <w:rPr>
          <w:rFonts w:ascii="宋体" w:hAnsi="宋体"/>
          <w:b/>
          <w:bCs/>
          <w:color w:val="auto"/>
          <w:sz w:val="24"/>
          <w:highlight w:val="none"/>
        </w:rPr>
        <w:t>28</w:t>
      </w:r>
      <w:r>
        <w:rPr>
          <w:rFonts w:hint="eastAsia" w:ascii="宋体" w:hAnsi="宋体"/>
          <w:b/>
          <w:bCs/>
          <w:color w:val="auto"/>
          <w:sz w:val="24"/>
          <w:highlight w:val="none"/>
        </w:rPr>
        <w:t>．合同协议书的签订</w:t>
      </w:r>
    </w:p>
    <w:p w14:paraId="00B9A1D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28.1 招标人与中标人将于中标通知书发出之日起</w:t>
      </w:r>
      <w:r>
        <w:rPr>
          <w:rFonts w:hint="eastAsia" w:ascii="宋体" w:hAnsi="宋体"/>
          <w:color w:val="auto"/>
          <w:sz w:val="24"/>
          <w:highlight w:val="none"/>
          <w:u w:val="single"/>
        </w:rPr>
        <w:t>18个日历天</w:t>
      </w:r>
      <w:r>
        <w:rPr>
          <w:rFonts w:hint="eastAsia" w:ascii="宋体" w:hAnsi="宋体"/>
          <w:color w:val="auto"/>
          <w:sz w:val="24"/>
          <w:highlight w:val="none"/>
        </w:rPr>
        <w:t>内，按照招标文件和中标人的投标文件商定和签订合同，招标人和中标人不得再行订立背离合同实质性内容的其他协议。</w:t>
      </w:r>
      <w:r>
        <w:rPr>
          <w:rFonts w:hint="eastAsia" w:ascii="宋体" w:hAnsi="宋体"/>
          <w:color w:val="auto"/>
          <w:sz w:val="24"/>
          <w:highlight w:val="none"/>
          <w:u w:val="single"/>
        </w:rPr>
        <w:t>施工合同价在5000万元以上的，书面合同应由招标人和中标人双方法定代表人当面签署。</w:t>
      </w:r>
    </w:p>
    <w:p w14:paraId="4628363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28.2中标通知书发出之日起</w:t>
      </w:r>
      <w:r>
        <w:rPr>
          <w:rFonts w:hint="eastAsia" w:ascii="宋体" w:hAnsi="宋体"/>
          <w:color w:val="auto"/>
          <w:sz w:val="24"/>
          <w:highlight w:val="none"/>
          <w:u w:val="single"/>
        </w:rPr>
        <w:t>18个日历天</w:t>
      </w:r>
      <w:r>
        <w:rPr>
          <w:rFonts w:hint="eastAsia" w:ascii="宋体" w:hAnsi="宋体"/>
          <w:color w:val="auto"/>
          <w:sz w:val="24"/>
          <w:highlight w:val="none"/>
        </w:rPr>
        <w:t>后，中标人未按上款的规定与招标人订立合同，招标人</w:t>
      </w:r>
      <w:r>
        <w:rPr>
          <w:rFonts w:hint="eastAsia" w:ascii="宋体" w:hAnsi="宋体"/>
          <w:color w:val="auto"/>
          <w:sz w:val="24"/>
          <w:highlight w:val="none"/>
          <w:u w:val="single"/>
        </w:rPr>
        <w:t>有权</w:t>
      </w:r>
      <w:r>
        <w:rPr>
          <w:rFonts w:hint="eastAsia" w:ascii="宋体" w:hAnsi="宋体"/>
          <w:color w:val="auto"/>
          <w:sz w:val="24"/>
          <w:highlight w:val="none"/>
        </w:rPr>
        <w:t>解除中标通知书，原中标人按《关于投标保证金的承诺》执行，且依法承担相应法律责任，</w:t>
      </w:r>
      <w:r>
        <w:rPr>
          <w:rFonts w:hint="eastAsia" w:ascii="宋体" w:hAnsi="宋体"/>
          <w:color w:val="auto"/>
          <w:sz w:val="24"/>
          <w:highlight w:val="none"/>
          <w:u w:val="single"/>
        </w:rPr>
        <w:t>招标人并且有权确定排名第二的中标候选人为中标人，排名第二的中标候选人出现前款所列的情形的，招标人可以确定排名第三的中标候选人为中标人。</w:t>
      </w:r>
      <w:r>
        <w:rPr>
          <w:rFonts w:hint="eastAsia" w:ascii="宋体" w:hAnsi="宋体"/>
          <w:color w:val="auto"/>
          <w:sz w:val="24"/>
          <w:highlight w:val="none"/>
        </w:rPr>
        <w:t>原中标人给招标人造成的损失超过投标担保数额的，还应当对超过部分予以赔偿。原中标人有异议的，可以向人民法院起诉。</w:t>
      </w:r>
    </w:p>
    <w:p w14:paraId="1C6204A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28.3</w:t>
      </w:r>
      <w:r>
        <w:rPr>
          <w:rFonts w:hint="eastAsia" w:ascii="宋体" w:hAnsi="宋体"/>
          <w:color w:val="auto"/>
          <w:sz w:val="24"/>
          <w:highlight w:val="none"/>
          <w:u w:val="single"/>
        </w:rPr>
        <w:t>根据《番禺区基建办工程项目银行专户管理办法》（番基建办规章【2019】10号）规定，中标人在施工合同签订前需按相关规定设立本工程的银行专户</w:t>
      </w:r>
      <w:r>
        <w:rPr>
          <w:rFonts w:hint="eastAsia" w:ascii="宋体" w:hAnsi="宋体"/>
          <w:color w:val="auto"/>
          <w:sz w:val="24"/>
          <w:highlight w:val="none"/>
        </w:rPr>
        <w:t>，未经招标人同意，中标人在投标过程中使用的银行名称及帐号至完成竣工结算不得变更，</w:t>
      </w:r>
      <w:r>
        <w:rPr>
          <w:rFonts w:hint="eastAsia" w:ascii="宋体" w:hAnsi="宋体"/>
          <w:color w:val="auto"/>
          <w:sz w:val="24"/>
          <w:highlight w:val="none"/>
          <w:u w:val="single"/>
        </w:rPr>
        <w:t>若中标人违反上述约定的，招标人有权停止工程款项的拔付及至解除合同</w:t>
      </w:r>
      <w:r>
        <w:rPr>
          <w:rFonts w:hint="eastAsia" w:ascii="宋体" w:hAnsi="宋体"/>
          <w:color w:val="auto"/>
          <w:sz w:val="24"/>
          <w:highlight w:val="none"/>
        </w:rPr>
        <w:t>，由此造成的一切责任由中标人承担。</w:t>
      </w:r>
    </w:p>
    <w:p w14:paraId="45A12B23">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28.4</w:t>
      </w:r>
      <w:r>
        <w:rPr>
          <w:rFonts w:hint="eastAsia" w:ascii="宋体" w:hAnsi="宋体"/>
          <w:color w:val="auto"/>
          <w:sz w:val="24"/>
          <w:highlight w:val="none"/>
          <w:u w:val="single"/>
        </w:rPr>
        <w:t>中标人须以工程项目为单位，在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p>
    <w:p w14:paraId="4654A8C4">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28.5招标人和中标人应当自中标通知书发出之日起三十日内通过电子招标投标交易平台在线签订合同。</w:t>
      </w:r>
    </w:p>
    <w:p w14:paraId="4DD267B3">
      <w:pPr>
        <w:spacing w:line="360" w:lineRule="auto"/>
        <w:ind w:firstLine="482" w:firstLineChars="200"/>
        <w:rPr>
          <w:rFonts w:ascii="宋体"/>
          <w:b/>
          <w:bCs/>
          <w:color w:val="auto"/>
          <w:sz w:val="24"/>
          <w:highlight w:val="none"/>
        </w:rPr>
      </w:pPr>
      <w:r>
        <w:rPr>
          <w:rFonts w:ascii="宋体" w:hAnsi="宋体"/>
          <w:b/>
          <w:bCs/>
          <w:color w:val="auto"/>
          <w:sz w:val="24"/>
          <w:highlight w:val="none"/>
        </w:rPr>
        <w:t>29</w:t>
      </w:r>
      <w:r>
        <w:rPr>
          <w:rFonts w:hint="eastAsia" w:ascii="宋体" w:hAnsi="宋体"/>
          <w:b/>
          <w:bCs/>
          <w:color w:val="auto"/>
          <w:sz w:val="24"/>
          <w:highlight w:val="none"/>
        </w:rPr>
        <w:t>．履约担保</w:t>
      </w:r>
    </w:p>
    <w:p w14:paraId="5136537C">
      <w:pPr>
        <w:snapToGrid w:val="0"/>
        <w:spacing w:line="360" w:lineRule="auto"/>
        <w:ind w:firstLine="480" w:firstLineChars="200"/>
        <w:rPr>
          <w:rFonts w:ascii="宋体" w:hAnsi="宋体"/>
          <w:color w:val="auto"/>
          <w:sz w:val="24"/>
          <w:highlight w:val="none"/>
          <w:u w:val="single"/>
        </w:rPr>
      </w:pPr>
      <w:r>
        <w:rPr>
          <w:rFonts w:ascii="宋体" w:hAnsi="宋体"/>
          <w:color w:val="auto"/>
          <w:sz w:val="24"/>
          <w:highlight w:val="none"/>
        </w:rPr>
        <w:t>29.1</w:t>
      </w:r>
      <w:r>
        <w:rPr>
          <w:rFonts w:hint="eastAsia" w:ascii="宋体" w:hAnsi="宋体"/>
          <w:color w:val="auto"/>
          <w:sz w:val="24"/>
          <w:highlight w:val="none"/>
        </w:rPr>
        <w:t>在收到中标通知书后的</w:t>
      </w:r>
      <w:r>
        <w:rPr>
          <w:rFonts w:hint="eastAsia" w:ascii="宋体" w:hAnsi="宋体"/>
          <w:color w:val="auto"/>
          <w:sz w:val="24"/>
          <w:highlight w:val="none"/>
          <w:u w:val="single"/>
        </w:rPr>
        <w:t>15个日历天</w:t>
      </w:r>
      <w:r>
        <w:rPr>
          <w:rFonts w:hint="eastAsia" w:ascii="宋体" w:hAnsi="宋体"/>
          <w:color w:val="auto"/>
          <w:sz w:val="24"/>
          <w:highlight w:val="none"/>
        </w:rPr>
        <w:t>内，中标人应按本须知前附表第2</w:t>
      </w:r>
      <w:r>
        <w:rPr>
          <w:rFonts w:hint="eastAsia" w:ascii="宋体" w:hAnsi="宋体"/>
          <w:color w:val="auto"/>
          <w:sz w:val="24"/>
          <w:highlight w:val="none"/>
          <w:lang w:val="en-US" w:eastAsia="zh-CN"/>
        </w:rPr>
        <w:t>0</w:t>
      </w:r>
      <w:r>
        <w:rPr>
          <w:rFonts w:hint="eastAsia" w:ascii="宋体" w:hAnsi="宋体"/>
          <w:color w:val="auto"/>
          <w:sz w:val="24"/>
          <w:highlight w:val="none"/>
        </w:rPr>
        <w:t>项的规定向招标人递交履约担保；</w:t>
      </w:r>
      <w:r>
        <w:rPr>
          <w:rFonts w:hint="eastAsia" w:ascii="宋体" w:hAnsi="宋体"/>
          <w:color w:val="auto"/>
          <w:sz w:val="24"/>
          <w:highlight w:val="none"/>
          <w:u w:val="single"/>
        </w:rPr>
        <w:t xml:space="preserve">履约担保缴交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    </w:t>
      </w:r>
    </w:p>
    <w:p w14:paraId="6BB3DFAE">
      <w:pPr>
        <w:snapToGri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方式二：中标人按本合同附件中的格式3向发包人提供保证额为中标价款的10%的履约保证金银行保函，该银行保函应由在中国注册的银行开具。</w:t>
      </w:r>
    </w:p>
    <w:p w14:paraId="7DFBAE17">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29.2中标通知书发出之日起</w:t>
      </w:r>
      <w:r>
        <w:rPr>
          <w:rFonts w:hint="eastAsia" w:ascii="宋体" w:hAnsi="宋体"/>
          <w:color w:val="auto"/>
          <w:sz w:val="24"/>
          <w:highlight w:val="none"/>
          <w:u w:val="single"/>
        </w:rPr>
        <w:t>15个日历天内</w:t>
      </w:r>
      <w:r>
        <w:rPr>
          <w:rFonts w:hint="eastAsia" w:ascii="宋体" w:hAnsi="宋体"/>
          <w:color w:val="auto"/>
          <w:sz w:val="24"/>
          <w:highlight w:val="none"/>
        </w:rPr>
        <w:t>，中标人未按上款的规定递交履约担保</w:t>
      </w:r>
      <w:r>
        <w:rPr>
          <w:rFonts w:hint="eastAsia" w:ascii="宋体" w:hAnsi="宋体"/>
          <w:color w:val="auto"/>
          <w:sz w:val="24"/>
          <w:highlight w:val="none"/>
          <w:u w:val="single"/>
        </w:rPr>
        <w:t>且未征得招标人同意延期缴交的</w:t>
      </w:r>
      <w:r>
        <w:rPr>
          <w:rFonts w:hint="eastAsia" w:ascii="宋体" w:hAnsi="宋体"/>
          <w:color w:val="auto"/>
          <w:sz w:val="24"/>
          <w:highlight w:val="none"/>
        </w:rPr>
        <w:t>，招标人将解除中标通知书，原中标人按《关于投标保证金的承诺》执行，且依法承担相应法律责任。原中标人给招标人造成的损失超过投标担保数额的，还应当对超过部分予以赔偿。原中标人有异议的，可以向人民法院起诉。</w:t>
      </w:r>
    </w:p>
    <w:p w14:paraId="150940C1">
      <w:pPr>
        <w:spacing w:line="360" w:lineRule="auto"/>
        <w:ind w:firstLine="482" w:firstLineChars="200"/>
        <w:rPr>
          <w:rFonts w:ascii="宋体"/>
          <w:b/>
          <w:bCs/>
          <w:color w:val="auto"/>
          <w:sz w:val="24"/>
          <w:highlight w:val="none"/>
        </w:rPr>
      </w:pPr>
      <w:r>
        <w:rPr>
          <w:rFonts w:ascii="宋体" w:hAnsi="宋体"/>
          <w:b/>
          <w:bCs/>
          <w:color w:val="auto"/>
          <w:sz w:val="24"/>
          <w:highlight w:val="none"/>
        </w:rPr>
        <w:t>30</w:t>
      </w:r>
      <w:r>
        <w:rPr>
          <w:rFonts w:hint="eastAsia" w:ascii="宋体" w:hAnsi="宋体"/>
          <w:b/>
          <w:bCs/>
          <w:color w:val="auto"/>
          <w:sz w:val="24"/>
          <w:highlight w:val="none"/>
        </w:rPr>
        <w:t>．合同生效</w:t>
      </w:r>
    </w:p>
    <w:p w14:paraId="5E4DB484">
      <w:pPr>
        <w:spacing w:line="360" w:lineRule="auto"/>
        <w:ind w:firstLine="480" w:firstLineChars="200"/>
        <w:rPr>
          <w:rFonts w:ascii="宋体"/>
          <w:color w:val="auto"/>
          <w:sz w:val="24"/>
          <w:highlight w:val="none"/>
        </w:rPr>
      </w:pPr>
      <w:r>
        <w:rPr>
          <w:rFonts w:ascii="宋体" w:hAnsi="宋体"/>
          <w:color w:val="auto"/>
          <w:sz w:val="24"/>
          <w:highlight w:val="none"/>
        </w:rPr>
        <w:t>30.1</w:t>
      </w:r>
      <w:r>
        <w:rPr>
          <w:rFonts w:hint="eastAsia" w:ascii="宋体" w:hAnsi="宋体"/>
          <w:color w:val="auto"/>
          <w:sz w:val="24"/>
          <w:highlight w:val="none"/>
        </w:rPr>
        <w:t>在合同双方全权代表在合同协议书上签字，并分别加盖双方单位的公章后，合同正式生效。</w:t>
      </w:r>
    </w:p>
    <w:p w14:paraId="60010D9A">
      <w:pPr>
        <w:numPr>
          <w:ilvl w:val="0"/>
          <w:numId w:val="2"/>
        </w:num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其它费用</w:t>
      </w:r>
    </w:p>
    <w:p w14:paraId="3B8BB0D4">
      <w:pPr>
        <w:spacing w:line="360" w:lineRule="auto"/>
        <w:rPr>
          <w:rFonts w:ascii="宋体" w:hAnsi="宋体"/>
          <w:b/>
          <w:bCs/>
          <w:color w:val="auto"/>
          <w:sz w:val="24"/>
          <w:highlight w:val="none"/>
        </w:rPr>
      </w:pPr>
      <w:r>
        <w:rPr>
          <w:rFonts w:hint="eastAsia" w:ascii="宋体" w:hAnsi="宋体"/>
          <w:b/>
          <w:bCs/>
          <w:color w:val="auto"/>
          <w:sz w:val="24"/>
          <w:highlight w:val="none"/>
        </w:rPr>
        <w:t xml:space="preserve">   </w:t>
      </w:r>
      <w:r>
        <w:rPr>
          <w:rFonts w:hint="eastAsia" w:ascii="宋体" w:hAnsi="宋体"/>
          <w:color w:val="auto"/>
          <w:sz w:val="24"/>
          <w:highlight w:val="none"/>
        </w:rPr>
        <w:t xml:space="preserve"> 中标人代缴公共资源交易服务费，其费用包含在中标人投标报价中，由</w:t>
      </w:r>
      <w:r>
        <w:rPr>
          <w:rFonts w:hint="eastAsia" w:ascii="宋体" w:hAnsi="宋体"/>
          <w:color w:val="auto"/>
          <w:sz w:val="24"/>
          <w:highlight w:val="none"/>
          <w:u w:val="single"/>
          <w:lang w:eastAsia="zh-CN"/>
        </w:rPr>
        <w:t>广州交易集团有限公司（广州公共资源交易中心）</w:t>
      </w:r>
      <w:r>
        <w:rPr>
          <w:rFonts w:hint="eastAsia" w:ascii="宋体" w:hAnsi="宋体"/>
          <w:color w:val="auto"/>
          <w:sz w:val="24"/>
          <w:highlight w:val="none"/>
        </w:rPr>
        <w:t>向中标人开具增值税发票。</w:t>
      </w:r>
    </w:p>
    <w:p w14:paraId="4E3AF662">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32</w:t>
      </w:r>
      <w:r>
        <w:rPr>
          <w:rFonts w:hint="eastAsia" w:ascii="宋体" w:hAnsi="宋体"/>
          <w:b/>
          <w:bCs/>
          <w:color w:val="auto"/>
          <w:sz w:val="24"/>
          <w:highlight w:val="none"/>
        </w:rPr>
        <w:t>．腐败与欺诈行为</w:t>
      </w:r>
    </w:p>
    <w:p w14:paraId="6F7C3E83">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在招标和合同实施期间，招标人要求投标人和承包人遵守最高的道德标准。</w:t>
      </w:r>
    </w:p>
    <w:p w14:paraId="4976FB73">
      <w:pPr>
        <w:pStyle w:val="4"/>
        <w:spacing w:after="0" w:line="360" w:lineRule="auto"/>
        <w:ind w:firstLine="480" w:firstLineChars="200"/>
        <w:rPr>
          <w:rFonts w:asci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对本条款的规定，特定义如下词汇：</w:t>
      </w:r>
    </w:p>
    <w:p w14:paraId="47537606">
      <w:pPr>
        <w:pStyle w:val="4"/>
        <w:spacing w:after="0"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）、“腐败行为”是指在招标或合同执行期间，通过提供、给予、接受或索要任何有价值的东西，从而影响招标人有关人员工作的行为；</w:t>
      </w:r>
    </w:p>
    <w:p w14:paraId="38DE952E">
      <w:pPr>
        <w:pStyle w:val="4"/>
        <w:spacing w:after="0"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13AC7178">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如果投标人被认定在本招标的竞争中有腐败或欺诈行为，则会被取消投标资格。</w:t>
      </w:r>
    </w:p>
    <w:p w14:paraId="7779228E">
      <w:pPr>
        <w:pStyle w:val="4"/>
        <w:spacing w:after="0" w:line="360" w:lineRule="auto"/>
        <w:ind w:firstLine="480" w:firstLineChars="200"/>
        <w:rPr>
          <w:rFonts w:ascii="宋体"/>
          <w:color w:val="auto"/>
          <w:sz w:val="24"/>
          <w:highlight w:val="none"/>
        </w:rPr>
      </w:pPr>
      <w:r>
        <w:rPr>
          <w:rFonts w:hint="eastAsia" w:ascii="宋体"/>
          <w:color w:val="auto"/>
          <w:sz w:val="24"/>
          <w:highlight w:val="none"/>
        </w:rPr>
        <w:t>32.3投标人如在本项目中存在串通投标、弄虚作假骗取中标、行贿情形的，中标无效，行政监督部门将对其违法行为进行政处罚。该投标人将被招标人列入黑名单并限制其参与招标人后续项目的投标。</w:t>
      </w:r>
    </w:p>
    <w:p w14:paraId="4D128326">
      <w:pPr>
        <w:rPr>
          <w:rFonts w:hint="eastAsia" w:ascii="宋体" w:hAnsi="宋体"/>
          <w:color w:val="auto"/>
          <w:sz w:val="24"/>
          <w:highlight w:val="none"/>
          <w:lang w:eastAsia="zh-CN"/>
        </w:rPr>
      </w:pPr>
    </w:p>
    <w:p w14:paraId="67D087D1">
      <w:pPr>
        <w:rPr>
          <w:rFonts w:hint="eastAsia" w:ascii="宋体" w:hAnsi="宋体"/>
          <w:color w:val="auto"/>
          <w:sz w:val="24"/>
          <w:highlight w:val="none"/>
          <w:lang w:eastAsia="zh-CN"/>
        </w:rPr>
      </w:pPr>
    </w:p>
    <w:p w14:paraId="5B6B387F">
      <w:pPr>
        <w:rPr>
          <w:rFonts w:hint="eastAsia" w:ascii="宋体" w:hAnsi="宋体"/>
          <w:color w:val="auto"/>
          <w:sz w:val="24"/>
          <w:highlight w:val="none"/>
          <w:lang w:eastAsia="zh-CN"/>
        </w:rPr>
      </w:pPr>
    </w:p>
    <w:p w14:paraId="546CDE19">
      <w:pPr>
        <w:rPr>
          <w:rFonts w:hint="eastAsia" w:ascii="宋体" w:hAnsi="宋体"/>
          <w:color w:val="auto"/>
          <w:sz w:val="24"/>
          <w:highlight w:val="none"/>
          <w:lang w:eastAsia="zh-CN"/>
        </w:rPr>
      </w:pPr>
    </w:p>
    <w:p w14:paraId="69BAC8C7">
      <w:pPr>
        <w:rPr>
          <w:rFonts w:hint="eastAsia" w:ascii="宋体" w:hAnsi="宋体"/>
          <w:color w:val="auto"/>
          <w:sz w:val="24"/>
          <w:highlight w:val="none"/>
          <w:lang w:eastAsia="zh-CN"/>
        </w:rPr>
      </w:pPr>
    </w:p>
    <w:p w14:paraId="4C5D7D21">
      <w:pPr>
        <w:rPr>
          <w:rFonts w:hint="eastAsia" w:ascii="宋体" w:hAnsi="宋体"/>
          <w:color w:val="auto"/>
          <w:sz w:val="24"/>
          <w:highlight w:val="none"/>
          <w:lang w:eastAsia="zh-CN"/>
        </w:rPr>
      </w:pPr>
    </w:p>
    <w:p w14:paraId="7C3FC934">
      <w:pPr>
        <w:rPr>
          <w:rFonts w:hint="eastAsia" w:ascii="宋体" w:hAnsi="宋体"/>
          <w:color w:val="auto"/>
          <w:sz w:val="24"/>
          <w:highlight w:val="none"/>
          <w:lang w:eastAsia="zh-CN"/>
        </w:rPr>
      </w:pPr>
    </w:p>
    <w:p w14:paraId="1E06B7E4">
      <w:pPr>
        <w:rPr>
          <w:rFonts w:hint="eastAsia" w:ascii="宋体" w:hAnsi="宋体"/>
          <w:color w:val="auto"/>
          <w:sz w:val="24"/>
          <w:highlight w:val="none"/>
          <w:lang w:eastAsia="zh-CN"/>
        </w:rPr>
      </w:pPr>
    </w:p>
    <w:p w14:paraId="0C427221">
      <w:pPr>
        <w:rPr>
          <w:rFonts w:hint="eastAsia" w:ascii="宋体" w:hAnsi="宋体"/>
          <w:color w:val="auto"/>
          <w:sz w:val="24"/>
          <w:highlight w:val="none"/>
          <w:lang w:eastAsia="zh-CN"/>
        </w:rPr>
      </w:pPr>
    </w:p>
    <w:p w14:paraId="117C1FB0">
      <w:pPr>
        <w:rPr>
          <w:rFonts w:hint="eastAsia" w:ascii="宋体" w:hAnsi="宋体"/>
          <w:color w:val="auto"/>
          <w:sz w:val="24"/>
          <w:highlight w:val="none"/>
          <w:lang w:eastAsia="zh-CN"/>
        </w:rPr>
      </w:pPr>
    </w:p>
    <w:p w14:paraId="32030C43">
      <w:pPr>
        <w:rPr>
          <w:rFonts w:hint="eastAsia" w:ascii="宋体" w:hAnsi="宋体"/>
          <w:color w:val="auto"/>
          <w:sz w:val="24"/>
          <w:highlight w:val="none"/>
          <w:lang w:eastAsia="zh-CN"/>
        </w:rPr>
      </w:pPr>
    </w:p>
    <w:p w14:paraId="254244D3">
      <w:pPr>
        <w:rPr>
          <w:rFonts w:hint="eastAsia" w:ascii="宋体" w:hAnsi="宋体"/>
          <w:color w:val="auto"/>
          <w:sz w:val="24"/>
          <w:highlight w:val="none"/>
          <w:lang w:eastAsia="zh-CN"/>
        </w:rPr>
      </w:pPr>
    </w:p>
    <w:p w14:paraId="1FD0EF8F">
      <w:pPr>
        <w:rPr>
          <w:rFonts w:hint="eastAsia" w:ascii="宋体" w:hAnsi="宋体"/>
          <w:color w:val="auto"/>
          <w:sz w:val="24"/>
          <w:highlight w:val="none"/>
          <w:lang w:eastAsia="zh-CN"/>
        </w:rPr>
      </w:pPr>
    </w:p>
    <w:p w14:paraId="2CCFAAB5">
      <w:pPr>
        <w:rPr>
          <w:rFonts w:hint="eastAsia" w:ascii="宋体" w:hAnsi="宋体"/>
          <w:color w:val="auto"/>
          <w:sz w:val="24"/>
          <w:highlight w:val="none"/>
          <w:lang w:eastAsia="zh-CN"/>
        </w:rPr>
      </w:pPr>
    </w:p>
    <w:p w14:paraId="3CDD925F">
      <w:pPr>
        <w:rPr>
          <w:rFonts w:hint="eastAsia" w:ascii="宋体" w:hAnsi="宋体"/>
          <w:color w:val="auto"/>
          <w:sz w:val="24"/>
          <w:highlight w:val="none"/>
          <w:lang w:eastAsia="zh-CN"/>
        </w:rPr>
      </w:pPr>
    </w:p>
    <w:p w14:paraId="3184EA67">
      <w:pPr>
        <w:rPr>
          <w:rFonts w:hint="eastAsia" w:ascii="宋体" w:hAnsi="宋体"/>
          <w:color w:val="auto"/>
          <w:sz w:val="24"/>
          <w:highlight w:val="none"/>
          <w:lang w:eastAsia="zh-CN"/>
        </w:rPr>
      </w:pPr>
    </w:p>
    <w:p w14:paraId="60F79B52">
      <w:pPr>
        <w:rPr>
          <w:rFonts w:hint="eastAsia" w:ascii="宋体" w:hAnsi="宋体"/>
          <w:color w:val="auto"/>
          <w:sz w:val="24"/>
          <w:highlight w:val="none"/>
          <w:lang w:eastAsia="zh-CN"/>
        </w:rPr>
      </w:pPr>
    </w:p>
    <w:p w14:paraId="311FEA77">
      <w:pPr>
        <w:rPr>
          <w:rFonts w:hint="eastAsia" w:ascii="宋体" w:hAnsi="宋体"/>
          <w:color w:val="auto"/>
          <w:sz w:val="24"/>
          <w:highlight w:val="none"/>
          <w:lang w:eastAsia="zh-CN"/>
        </w:rPr>
      </w:pPr>
    </w:p>
    <w:p w14:paraId="5A9B3641">
      <w:pPr>
        <w:rPr>
          <w:rFonts w:hint="eastAsia" w:ascii="宋体" w:hAnsi="宋体"/>
          <w:color w:val="auto"/>
          <w:sz w:val="24"/>
          <w:highlight w:val="none"/>
          <w:lang w:eastAsia="zh-CN"/>
        </w:rPr>
      </w:pPr>
    </w:p>
    <w:p w14:paraId="37EAAF29">
      <w:pPr>
        <w:rPr>
          <w:rFonts w:hint="eastAsia" w:ascii="宋体" w:hAnsi="宋体"/>
          <w:color w:val="auto"/>
          <w:sz w:val="24"/>
          <w:highlight w:val="none"/>
          <w:lang w:eastAsia="zh-CN"/>
        </w:rPr>
      </w:pPr>
    </w:p>
    <w:p w14:paraId="566B9888">
      <w:pPr>
        <w:rPr>
          <w:rFonts w:hint="eastAsia" w:ascii="宋体" w:hAnsi="宋体"/>
          <w:color w:val="auto"/>
          <w:sz w:val="24"/>
          <w:highlight w:val="none"/>
          <w:lang w:eastAsia="zh-CN"/>
        </w:rPr>
      </w:pPr>
    </w:p>
    <w:p w14:paraId="32C9FF6E">
      <w:pPr>
        <w:rPr>
          <w:rFonts w:hint="eastAsia" w:ascii="宋体" w:hAnsi="宋体"/>
          <w:color w:val="auto"/>
          <w:sz w:val="24"/>
          <w:highlight w:val="none"/>
          <w:lang w:eastAsia="zh-CN"/>
        </w:rPr>
      </w:pPr>
    </w:p>
    <w:p w14:paraId="4C45693B">
      <w:pPr>
        <w:rPr>
          <w:rFonts w:hint="eastAsia" w:ascii="宋体" w:hAnsi="宋体"/>
          <w:color w:val="auto"/>
          <w:sz w:val="24"/>
          <w:highlight w:val="none"/>
          <w:lang w:eastAsia="zh-CN"/>
        </w:rPr>
      </w:pPr>
    </w:p>
    <w:p w14:paraId="233C01AE">
      <w:pPr>
        <w:rPr>
          <w:rFonts w:hint="eastAsia" w:ascii="宋体" w:hAnsi="宋体"/>
          <w:color w:val="auto"/>
          <w:sz w:val="24"/>
          <w:highlight w:val="none"/>
          <w:lang w:eastAsia="zh-CN"/>
        </w:rPr>
      </w:pPr>
    </w:p>
    <w:p w14:paraId="7F4443FF">
      <w:pPr>
        <w:rPr>
          <w:rFonts w:hint="eastAsia" w:ascii="宋体" w:hAnsi="宋体"/>
          <w:color w:val="auto"/>
          <w:sz w:val="24"/>
          <w:highlight w:val="none"/>
          <w:lang w:eastAsia="zh-CN"/>
        </w:rPr>
      </w:pPr>
    </w:p>
    <w:p w14:paraId="4DF9235B">
      <w:pPr>
        <w:rPr>
          <w:rFonts w:hint="eastAsia" w:ascii="宋体" w:hAnsi="宋体"/>
          <w:color w:val="auto"/>
          <w:sz w:val="24"/>
          <w:highlight w:val="none"/>
          <w:lang w:eastAsia="zh-CN"/>
        </w:rPr>
      </w:pPr>
    </w:p>
    <w:p w14:paraId="559AFC59">
      <w:pPr>
        <w:rPr>
          <w:rFonts w:hint="eastAsia" w:ascii="宋体" w:hAnsi="宋体"/>
          <w:color w:val="auto"/>
          <w:sz w:val="24"/>
          <w:highlight w:val="none"/>
          <w:lang w:eastAsia="zh-CN"/>
        </w:rPr>
      </w:pPr>
    </w:p>
    <w:p w14:paraId="587ED9F2">
      <w:pPr>
        <w:rPr>
          <w:rFonts w:hint="eastAsia" w:ascii="宋体" w:hAnsi="宋体"/>
          <w:color w:val="auto"/>
          <w:sz w:val="24"/>
          <w:highlight w:val="none"/>
          <w:lang w:eastAsia="zh-CN"/>
        </w:rPr>
      </w:pPr>
    </w:p>
    <w:p w14:paraId="2537C50E">
      <w:pPr>
        <w:rPr>
          <w:rFonts w:hint="eastAsia" w:ascii="宋体" w:hAnsi="宋体"/>
          <w:color w:val="auto"/>
          <w:sz w:val="24"/>
          <w:highlight w:val="none"/>
          <w:lang w:eastAsia="zh-CN"/>
        </w:rPr>
      </w:pPr>
    </w:p>
    <w:p w14:paraId="00525EC2">
      <w:pPr>
        <w:pStyle w:val="2"/>
        <w:rPr>
          <w:color w:val="auto"/>
          <w:highlight w:val="none"/>
        </w:rPr>
      </w:pPr>
      <w:r>
        <w:rPr>
          <w:rFonts w:hint="eastAsia"/>
          <w:color w:val="auto"/>
          <w:highlight w:val="none"/>
        </w:rPr>
        <w:t>第二章</w:t>
      </w:r>
      <w:r>
        <w:rPr>
          <w:color w:val="auto"/>
          <w:highlight w:val="none"/>
        </w:rPr>
        <w:t xml:space="preserve">  </w:t>
      </w:r>
      <w:r>
        <w:rPr>
          <w:rFonts w:hint="eastAsia"/>
          <w:color w:val="auto"/>
          <w:highlight w:val="none"/>
        </w:rPr>
        <w:t>开标、评标及定标办法</w:t>
      </w:r>
    </w:p>
    <w:p w14:paraId="174AE6BC">
      <w:pPr>
        <w:pStyle w:val="6"/>
        <w:rPr>
          <w:color w:val="auto"/>
          <w:highlight w:val="none"/>
        </w:rPr>
      </w:pPr>
      <w:bookmarkStart w:id="16" w:name="_Toc21525499"/>
      <w:bookmarkStart w:id="17" w:name="_Toc2272555"/>
      <w:r>
        <w:rPr>
          <w:rFonts w:hint="eastAsia"/>
          <w:color w:val="auto"/>
          <w:sz w:val="28"/>
          <w:szCs w:val="28"/>
          <w:highlight w:val="none"/>
        </w:rPr>
        <w:t>一、</w:t>
      </w:r>
      <w:r>
        <w:rPr>
          <w:rFonts w:hint="eastAsia"/>
          <w:color w:val="auto"/>
          <w:highlight w:val="none"/>
        </w:rPr>
        <w:t>开标、评标及定标办法修改表</w:t>
      </w:r>
      <w:bookmarkEnd w:id="16"/>
      <w:bookmarkEnd w:id="17"/>
    </w:p>
    <w:p w14:paraId="36D8BCD9">
      <w:pPr>
        <w:pStyle w:val="4"/>
        <w:spacing w:after="0" w:line="360" w:lineRule="auto"/>
        <w:rPr>
          <w:b/>
          <w:color w:val="auto"/>
          <w:szCs w:val="21"/>
          <w:highlight w:val="none"/>
        </w:rPr>
      </w:pPr>
      <w:r>
        <w:rPr>
          <w:rFonts w:hint="eastAsia"/>
          <w:b/>
          <w:color w:val="auto"/>
          <w:szCs w:val="21"/>
          <w:highlight w:val="none"/>
        </w:rPr>
        <w:t>声明：本</w:t>
      </w:r>
      <w:r>
        <w:rPr>
          <w:rFonts w:hint="eastAsia"/>
          <w:b/>
          <w:color w:val="auto"/>
          <w:highlight w:val="none"/>
        </w:rPr>
        <w:t>开标、评标及定标办法使用GZZB2018-3招标文件范本的开标、评标及定标办法通用条款，与该通用条款不同之处，均在本表中列明，并以现文为准，原</w:t>
      </w:r>
      <w:r>
        <w:rPr>
          <w:rFonts w:hint="eastAsia"/>
          <w:b/>
          <w:color w:val="auto"/>
          <w:szCs w:val="21"/>
          <w:highlight w:val="none"/>
        </w:rPr>
        <w:t>文不再有效。本招标文件中不再转录</w:t>
      </w:r>
      <w:r>
        <w:rPr>
          <w:rFonts w:hint="eastAsia"/>
          <w:b/>
          <w:color w:val="auto"/>
          <w:highlight w:val="none"/>
        </w:rPr>
        <w:t>开标、评标及定标办法</w:t>
      </w:r>
      <w:r>
        <w:rPr>
          <w:rFonts w:hint="eastAsia"/>
          <w:b/>
          <w:color w:val="auto"/>
          <w:szCs w:val="21"/>
          <w:highlight w:val="none"/>
        </w:rPr>
        <w:t>通用条款，请投标人自行到广州市住房和城乡建设局网站（网址：</w:t>
      </w:r>
      <w:r>
        <w:rPr>
          <w:color w:val="auto"/>
          <w:highlight w:val="none"/>
        </w:rPr>
        <w:fldChar w:fldCharType="begin"/>
      </w:r>
      <w:r>
        <w:rPr>
          <w:color w:val="auto"/>
          <w:highlight w:val="none"/>
        </w:rPr>
        <w:instrText xml:space="preserve"> HYPERLINK "http://www.gzcc.gov.cn/）下载GZZB2018-3" </w:instrText>
      </w:r>
      <w:r>
        <w:rPr>
          <w:color w:val="auto"/>
          <w:highlight w:val="none"/>
        </w:rPr>
        <w:fldChar w:fldCharType="separate"/>
      </w:r>
      <w:r>
        <w:rPr>
          <w:rStyle w:val="20"/>
          <w:b/>
          <w:color w:val="auto"/>
          <w:szCs w:val="21"/>
          <w:highlight w:val="none"/>
          <w:u w:val="none"/>
        </w:rPr>
        <w:t>http://zfcj.gz.gov.cn/</w:t>
      </w:r>
      <w:r>
        <w:rPr>
          <w:rStyle w:val="20"/>
          <w:rFonts w:hint="eastAsia"/>
          <w:b/>
          <w:color w:val="auto"/>
          <w:szCs w:val="21"/>
          <w:highlight w:val="none"/>
          <w:u w:val="none"/>
        </w:rPr>
        <w:t>）下载GZZB2018-3</w:t>
      </w:r>
      <w:r>
        <w:rPr>
          <w:rStyle w:val="20"/>
          <w:rFonts w:hint="eastAsia"/>
          <w:b/>
          <w:color w:val="auto"/>
          <w:szCs w:val="21"/>
          <w:highlight w:val="none"/>
          <w:u w:val="none"/>
        </w:rPr>
        <w:fldChar w:fldCharType="end"/>
      </w:r>
      <w:r>
        <w:rPr>
          <w:rFonts w:hint="eastAsia"/>
          <w:b/>
          <w:color w:val="auto"/>
          <w:szCs w:val="21"/>
          <w:highlight w:val="none"/>
        </w:rPr>
        <w:t>范本查阅。</w:t>
      </w:r>
    </w:p>
    <w:p w14:paraId="6E5DE6CC">
      <w:pPr>
        <w:spacing w:line="360" w:lineRule="auto"/>
        <w:ind w:firstLine="472" w:firstLineChars="224"/>
        <w:rPr>
          <w:b/>
          <w:color w:val="auto"/>
          <w:szCs w:val="21"/>
          <w:highlight w:val="none"/>
        </w:rPr>
      </w:pPr>
      <w:r>
        <w:rPr>
          <w:rFonts w:hint="eastAsia"/>
          <w:b/>
          <w:color w:val="auto"/>
          <w:szCs w:val="21"/>
          <w:highlight w:val="none"/>
        </w:rPr>
        <w:t>条款号：可选办法一</w:t>
      </w:r>
      <w:r>
        <w:rPr>
          <w:b/>
          <w:color w:val="auto"/>
          <w:szCs w:val="21"/>
          <w:highlight w:val="none"/>
        </w:rPr>
        <w:t xml:space="preserve">             </w:t>
      </w:r>
      <w:r>
        <w:rPr>
          <w:rFonts w:hint="eastAsia"/>
          <w:b/>
          <w:color w:val="auto"/>
          <w:szCs w:val="21"/>
          <w:highlight w:val="none"/>
        </w:rPr>
        <w:t>修改类型：删除</w:t>
      </w:r>
    </w:p>
    <w:p w14:paraId="7FBEF4E8">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可选办法一（适合综合评分法一，技术标与经济标先后分别开启）</w:t>
      </w:r>
    </w:p>
    <w:p w14:paraId="63DCC7C6">
      <w:pPr>
        <w:spacing w:line="360" w:lineRule="auto"/>
        <w:ind w:firstLine="472" w:firstLineChars="224"/>
        <w:rPr>
          <w:b/>
          <w:color w:val="auto"/>
          <w:szCs w:val="21"/>
          <w:highlight w:val="none"/>
        </w:rPr>
      </w:pPr>
      <w:r>
        <w:rPr>
          <w:rFonts w:hint="eastAsia"/>
          <w:b/>
          <w:color w:val="auto"/>
          <w:szCs w:val="21"/>
          <w:highlight w:val="none"/>
        </w:rPr>
        <w:t>条款号：可选办法二</w:t>
      </w:r>
      <w:r>
        <w:rPr>
          <w:b/>
          <w:color w:val="auto"/>
          <w:szCs w:val="21"/>
          <w:highlight w:val="none"/>
        </w:rPr>
        <w:t xml:space="preserve">             </w:t>
      </w:r>
      <w:r>
        <w:rPr>
          <w:rFonts w:hint="eastAsia"/>
          <w:b/>
          <w:color w:val="auto"/>
          <w:szCs w:val="21"/>
          <w:highlight w:val="none"/>
        </w:rPr>
        <w:t>修改类型：删除</w:t>
      </w:r>
    </w:p>
    <w:p w14:paraId="0BC52A8D">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可选办法二（适合综合评分法一，技术标与经济标同时开启）</w:t>
      </w:r>
    </w:p>
    <w:p w14:paraId="40A24706">
      <w:pPr>
        <w:spacing w:line="360" w:lineRule="auto"/>
        <w:ind w:firstLine="472" w:firstLineChars="224"/>
        <w:rPr>
          <w:b/>
          <w:color w:val="auto"/>
          <w:szCs w:val="21"/>
          <w:highlight w:val="none"/>
        </w:rPr>
      </w:pPr>
      <w:r>
        <w:rPr>
          <w:rFonts w:hint="eastAsia"/>
          <w:b/>
          <w:color w:val="auto"/>
          <w:szCs w:val="21"/>
          <w:highlight w:val="none"/>
        </w:rPr>
        <w:t>条款号：可选办法三</w:t>
      </w:r>
      <w:r>
        <w:rPr>
          <w:b/>
          <w:color w:val="auto"/>
          <w:szCs w:val="21"/>
          <w:highlight w:val="none"/>
        </w:rPr>
        <w:t xml:space="preserve">             </w:t>
      </w:r>
      <w:r>
        <w:rPr>
          <w:rFonts w:hint="eastAsia"/>
          <w:b/>
          <w:color w:val="auto"/>
          <w:szCs w:val="21"/>
          <w:highlight w:val="none"/>
        </w:rPr>
        <w:t>修改类型：删除</w:t>
      </w:r>
    </w:p>
    <w:p w14:paraId="35064428">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可选办法三</w:t>
      </w:r>
    </w:p>
    <w:p w14:paraId="2A645FBB">
      <w:pPr>
        <w:spacing w:line="360" w:lineRule="auto"/>
        <w:ind w:firstLine="472" w:firstLineChars="224"/>
        <w:rPr>
          <w:b/>
          <w:color w:val="auto"/>
          <w:szCs w:val="21"/>
          <w:highlight w:val="none"/>
        </w:rPr>
      </w:pPr>
      <w:r>
        <w:rPr>
          <w:rFonts w:hint="eastAsia"/>
          <w:b/>
          <w:color w:val="auto"/>
          <w:szCs w:val="21"/>
          <w:highlight w:val="none"/>
        </w:rPr>
        <w:t>条款号：可选办法四</w:t>
      </w:r>
      <w:r>
        <w:rPr>
          <w:b/>
          <w:color w:val="auto"/>
          <w:szCs w:val="21"/>
          <w:highlight w:val="none"/>
        </w:rPr>
        <w:t xml:space="preserve">             </w:t>
      </w:r>
      <w:r>
        <w:rPr>
          <w:rFonts w:hint="eastAsia"/>
          <w:b/>
          <w:color w:val="auto"/>
          <w:szCs w:val="21"/>
          <w:highlight w:val="none"/>
        </w:rPr>
        <w:t>修改类型：删除</w:t>
      </w:r>
    </w:p>
    <w:p w14:paraId="298223E0">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可选办法四（适合综合评分法二，技术标与经济标同时开启）</w:t>
      </w:r>
    </w:p>
    <w:p w14:paraId="1B27185F">
      <w:pPr>
        <w:spacing w:line="360" w:lineRule="auto"/>
        <w:ind w:firstLine="472" w:firstLineChars="224"/>
        <w:rPr>
          <w:b/>
          <w:color w:val="auto"/>
          <w:szCs w:val="21"/>
          <w:highlight w:val="none"/>
        </w:rPr>
      </w:pPr>
      <w:r>
        <w:rPr>
          <w:rFonts w:hint="eastAsia"/>
          <w:b/>
          <w:color w:val="auto"/>
          <w:szCs w:val="21"/>
          <w:highlight w:val="none"/>
        </w:rPr>
        <w:t>条款号：可选办法五</w:t>
      </w:r>
      <w:r>
        <w:rPr>
          <w:b/>
          <w:color w:val="auto"/>
          <w:szCs w:val="21"/>
          <w:highlight w:val="none"/>
        </w:rPr>
        <w:t xml:space="preserve">             </w:t>
      </w:r>
      <w:r>
        <w:rPr>
          <w:rFonts w:hint="eastAsia"/>
          <w:b/>
          <w:color w:val="auto"/>
          <w:szCs w:val="21"/>
          <w:highlight w:val="none"/>
        </w:rPr>
        <w:t>修改类型：删除</w:t>
      </w:r>
    </w:p>
    <w:p w14:paraId="76763C71">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可选办法五（适合综合评分法三，技术标与经济标先后分别开启）</w:t>
      </w:r>
    </w:p>
    <w:p w14:paraId="2FA923DF">
      <w:pPr>
        <w:spacing w:line="360" w:lineRule="auto"/>
        <w:ind w:firstLine="472" w:firstLineChars="224"/>
        <w:rPr>
          <w:b/>
          <w:color w:val="auto"/>
          <w:szCs w:val="21"/>
          <w:highlight w:val="none"/>
        </w:rPr>
      </w:pPr>
      <w:r>
        <w:rPr>
          <w:rFonts w:hint="eastAsia"/>
          <w:b/>
          <w:color w:val="auto"/>
          <w:szCs w:val="21"/>
          <w:highlight w:val="none"/>
        </w:rPr>
        <w:t>条款号：可选办法六</w:t>
      </w:r>
      <w:r>
        <w:rPr>
          <w:b/>
          <w:color w:val="auto"/>
          <w:szCs w:val="21"/>
          <w:highlight w:val="none"/>
        </w:rPr>
        <w:t xml:space="preserve">             </w:t>
      </w:r>
      <w:r>
        <w:rPr>
          <w:rFonts w:hint="eastAsia"/>
          <w:b/>
          <w:color w:val="auto"/>
          <w:szCs w:val="21"/>
          <w:highlight w:val="none"/>
        </w:rPr>
        <w:t>修改类型：删除</w:t>
      </w:r>
    </w:p>
    <w:p w14:paraId="0955B07F">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可选办法六（适合综合评分法三，技术标与经济标同时开启）</w:t>
      </w:r>
    </w:p>
    <w:p w14:paraId="657D6BF0">
      <w:pPr>
        <w:spacing w:line="360" w:lineRule="auto"/>
        <w:ind w:firstLine="472" w:firstLineChars="224"/>
        <w:rPr>
          <w:b/>
          <w:color w:val="auto"/>
          <w:szCs w:val="21"/>
          <w:highlight w:val="none"/>
        </w:rPr>
      </w:pPr>
      <w:r>
        <w:rPr>
          <w:rFonts w:hint="eastAsia"/>
          <w:b/>
          <w:color w:val="auto"/>
          <w:szCs w:val="21"/>
          <w:highlight w:val="none"/>
        </w:rPr>
        <w:t>条款号：可选办法</w:t>
      </w:r>
      <w:r>
        <w:rPr>
          <w:rFonts w:hint="eastAsia" w:ascii="Calibri" w:hAnsi="Calibri"/>
          <w:b/>
          <w:color w:val="auto"/>
          <w:sz w:val="21"/>
          <w:szCs w:val="21"/>
          <w:highlight w:val="none"/>
        </w:rPr>
        <w:t>八</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 xml:space="preserve"> </w:t>
      </w:r>
      <w:r>
        <w:rPr>
          <w:rFonts w:hint="eastAsia"/>
          <w:b/>
          <w:color w:val="auto"/>
          <w:szCs w:val="21"/>
          <w:highlight w:val="none"/>
        </w:rPr>
        <w:t>修改类型：删除</w:t>
      </w:r>
    </w:p>
    <w:p w14:paraId="0E2F07B5">
      <w:pPr>
        <w:pBdr>
          <w:bottom w:val="single" w:color="auto" w:sz="6" w:space="1"/>
        </w:pBdr>
        <w:spacing w:line="360" w:lineRule="auto"/>
        <w:ind w:firstLine="472" w:firstLineChars="224"/>
        <w:rPr>
          <w:color w:val="auto"/>
          <w:szCs w:val="21"/>
          <w:highlight w:val="none"/>
        </w:rPr>
      </w:pPr>
      <w:r>
        <w:rPr>
          <w:rFonts w:hint="eastAsia"/>
          <w:b/>
          <w:color w:val="auto"/>
          <w:szCs w:val="21"/>
          <w:highlight w:val="none"/>
        </w:rPr>
        <w:t>原文：</w:t>
      </w:r>
      <w:r>
        <w:rPr>
          <w:rFonts w:hint="eastAsia"/>
          <w:color w:val="auto"/>
          <w:szCs w:val="21"/>
          <w:highlight w:val="none"/>
        </w:rPr>
        <w:t>可选办法八（适合经评审的最低投标价法，技术标与经济标同时开启）</w:t>
      </w:r>
    </w:p>
    <w:p w14:paraId="43787C1D">
      <w:pPr>
        <w:spacing w:line="360" w:lineRule="auto"/>
        <w:ind w:firstLine="472" w:firstLineChars="224"/>
        <w:rPr>
          <w:rFonts w:ascii="宋体" w:hAnsi="宋体"/>
          <w:b/>
          <w:bCs w:val="0"/>
          <w:color w:val="auto"/>
          <w:sz w:val="24"/>
          <w:szCs w:val="24"/>
          <w:highlight w:val="none"/>
        </w:rPr>
      </w:pPr>
      <w:r>
        <w:rPr>
          <w:rFonts w:hint="eastAsia"/>
          <w:b/>
          <w:bCs w:val="0"/>
          <w:color w:val="auto"/>
          <w:szCs w:val="21"/>
          <w:highlight w:val="none"/>
        </w:rPr>
        <w:t>条款</w:t>
      </w:r>
      <w:r>
        <w:rPr>
          <w:rFonts w:hint="eastAsia" w:ascii="宋体" w:hAnsi="宋体"/>
          <w:b/>
          <w:bCs w:val="0"/>
          <w:color w:val="auto"/>
          <w:sz w:val="24"/>
          <w:szCs w:val="24"/>
          <w:highlight w:val="none"/>
        </w:rPr>
        <w:t>号</w:t>
      </w:r>
      <w:r>
        <w:rPr>
          <w:rFonts w:hint="eastAsia" w:ascii="宋体" w:hAnsi="宋体"/>
          <w:b/>
          <w:bCs w:val="0"/>
          <w:color w:val="auto"/>
          <w:szCs w:val="21"/>
          <w:highlight w:val="none"/>
        </w:rPr>
        <w:t>：</w:t>
      </w:r>
      <w:r>
        <w:rPr>
          <w:rFonts w:hint="eastAsia" w:ascii="宋体" w:hAnsi="宋体"/>
          <w:b/>
          <w:bCs w:val="0"/>
          <w:color w:val="auto"/>
          <w:szCs w:val="21"/>
          <w:highlight w:val="none"/>
          <w:lang w:val="en-US" w:eastAsia="zh-CN"/>
        </w:rPr>
        <w:t>36.5.1</w:t>
      </w:r>
      <w:r>
        <w:rPr>
          <w:rFonts w:hint="eastAsia" w:ascii="宋体" w:hAnsi="宋体"/>
          <w:b/>
          <w:bCs w:val="0"/>
          <w:color w:val="auto"/>
          <w:szCs w:val="21"/>
          <w:highlight w:val="none"/>
        </w:rPr>
        <w:t xml:space="preserve">  </w:t>
      </w:r>
      <w:r>
        <w:rPr>
          <w:rFonts w:hint="eastAsia" w:ascii="宋体" w:hAnsi="宋体"/>
          <w:b/>
          <w:bCs w:val="0"/>
          <w:color w:val="auto"/>
          <w:sz w:val="24"/>
          <w:szCs w:val="24"/>
          <w:highlight w:val="none"/>
        </w:rPr>
        <w:t xml:space="preserve">  </w:t>
      </w:r>
      <w:r>
        <w:rPr>
          <w:b/>
          <w:bCs w:val="0"/>
          <w:color w:val="auto"/>
          <w:szCs w:val="21"/>
          <w:highlight w:val="none"/>
        </w:rPr>
        <w:t xml:space="preserve">       </w:t>
      </w:r>
      <w:r>
        <w:rPr>
          <w:rFonts w:hint="eastAsia"/>
          <w:b/>
          <w:bCs w:val="0"/>
          <w:color w:val="auto"/>
          <w:szCs w:val="21"/>
          <w:highlight w:val="none"/>
        </w:rPr>
        <w:t>修改类型：修改</w:t>
      </w:r>
    </w:p>
    <w:p w14:paraId="3A9D2DDE">
      <w:pPr>
        <w:spacing w:line="360" w:lineRule="auto"/>
        <w:ind w:firstLine="422" w:firstLineChars="200"/>
        <w:rPr>
          <w:rFonts w:hint="eastAsia" w:ascii="宋体" w:hAnsi="宋体" w:cs="宋体"/>
          <w:color w:val="auto"/>
          <w:sz w:val="24"/>
          <w:szCs w:val="24"/>
          <w:highlight w:val="none"/>
        </w:rPr>
      </w:pPr>
      <w:r>
        <w:rPr>
          <w:rFonts w:hint="eastAsia" w:ascii="宋体" w:hAnsi="宋体"/>
          <w:b/>
          <w:bCs/>
          <w:color w:val="auto"/>
          <w:szCs w:val="21"/>
          <w:highlight w:val="none"/>
        </w:rPr>
        <w:t>原文：</w:t>
      </w:r>
      <w:r>
        <w:rPr>
          <w:rFonts w:hint="eastAsia" w:ascii="宋体" w:hAnsi="宋体" w:cs="宋体"/>
          <w:color w:val="auto"/>
          <w:szCs w:val="21"/>
          <w:highlight w:val="none"/>
        </w:rPr>
        <w:t>36.5.1在投标截止时间后一个小时内，投标人通过交易平台对已递交的电子投标文件进行解密。投标人完成解密后，再由招标人进行解密。解密完成后，公布招标项目名称、投标人名称、投标保证金的递交情况、投标报价、工期及其他内容；</w:t>
      </w:r>
    </w:p>
    <w:p w14:paraId="0BAACC40">
      <w:pPr>
        <w:spacing w:line="360" w:lineRule="auto"/>
        <w:ind w:firstLine="422" w:firstLineChars="200"/>
        <w:rPr>
          <w:rFonts w:ascii="宋体" w:hAnsi="宋体"/>
          <w:color w:val="auto"/>
          <w:sz w:val="24"/>
          <w:szCs w:val="24"/>
          <w:highlight w:val="none"/>
          <w:u w:val="single"/>
        </w:rPr>
      </w:pPr>
      <w:r>
        <w:rPr>
          <w:rFonts w:hint="eastAsia" w:ascii="宋体" w:hAnsi="宋体" w:cs="宋体"/>
          <w:b/>
          <w:bCs/>
          <w:color w:val="auto"/>
          <w:szCs w:val="21"/>
          <w:highlight w:val="none"/>
        </w:rPr>
        <w:t>现文：</w:t>
      </w:r>
      <w:r>
        <w:rPr>
          <w:rFonts w:hint="eastAsia" w:ascii="宋体" w:hAnsi="宋体" w:cs="宋体"/>
          <w:color w:val="auto"/>
          <w:szCs w:val="21"/>
          <w:highlight w:val="none"/>
        </w:rPr>
        <w:t>36.5.1在</w:t>
      </w:r>
      <w:r>
        <w:rPr>
          <w:rFonts w:hint="eastAsia"/>
          <w:color w:val="auto"/>
          <w:szCs w:val="21"/>
          <w:highlight w:val="none"/>
        </w:rPr>
        <w:t>投标截止时间后一个小时内，投标人通过交易平台对已递交的电子投标文件进行解密。投标人完成解密后，再由招标人进行解密。解密完成后，公布招标项目名称、投标人名称、投标报价、工期及其他内容；</w:t>
      </w:r>
    </w:p>
    <w:p w14:paraId="3A8F21ED">
      <w:pPr>
        <w:spacing w:before="156" w:beforeLines="50" w:line="360" w:lineRule="auto"/>
        <w:ind w:firstLine="0" w:firstLineChars="0"/>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                                                                                 </w:t>
      </w:r>
    </w:p>
    <w:p w14:paraId="62670E90">
      <w:pPr>
        <w:spacing w:line="360" w:lineRule="auto"/>
        <w:ind w:firstLine="472" w:firstLineChars="224"/>
        <w:rPr>
          <w:rFonts w:hint="eastAsia"/>
          <w:b/>
          <w:color w:val="auto"/>
          <w:szCs w:val="21"/>
          <w:highlight w:val="none"/>
        </w:rPr>
      </w:pPr>
    </w:p>
    <w:p w14:paraId="02771CE4">
      <w:pPr>
        <w:spacing w:line="360" w:lineRule="auto"/>
        <w:ind w:firstLine="472" w:firstLineChars="224"/>
        <w:rPr>
          <w:rFonts w:ascii="宋体" w:hAnsi="宋体"/>
          <w:color w:val="auto"/>
          <w:sz w:val="24"/>
          <w:szCs w:val="24"/>
          <w:highlight w:val="none"/>
        </w:rPr>
      </w:pPr>
      <w:r>
        <w:rPr>
          <w:rFonts w:hint="eastAsia"/>
          <w:b/>
          <w:color w:val="auto"/>
          <w:szCs w:val="21"/>
          <w:highlight w:val="none"/>
        </w:rPr>
        <w:t>条款</w:t>
      </w:r>
      <w:r>
        <w:rPr>
          <w:rFonts w:hint="eastAsia" w:ascii="宋体" w:hAnsi="宋体"/>
          <w:color w:val="auto"/>
          <w:sz w:val="24"/>
          <w:szCs w:val="24"/>
          <w:highlight w:val="none"/>
        </w:rPr>
        <w:t>号</w:t>
      </w:r>
      <w:r>
        <w:rPr>
          <w:rFonts w:hint="eastAsia" w:ascii="宋体" w:hAnsi="宋体"/>
          <w:color w:val="auto"/>
          <w:szCs w:val="21"/>
          <w:highlight w:val="none"/>
        </w:rPr>
        <w:t xml:space="preserve">：38.5  </w:t>
      </w:r>
      <w:r>
        <w:rPr>
          <w:rFonts w:hint="eastAsia" w:ascii="宋体" w:hAnsi="宋体"/>
          <w:color w:val="auto"/>
          <w:sz w:val="24"/>
          <w:szCs w:val="24"/>
          <w:highlight w:val="none"/>
        </w:rPr>
        <w:t xml:space="preserve">  </w:t>
      </w:r>
      <w:r>
        <w:rPr>
          <w:b/>
          <w:color w:val="auto"/>
          <w:szCs w:val="21"/>
          <w:highlight w:val="none"/>
        </w:rPr>
        <w:t xml:space="preserve">       </w:t>
      </w:r>
      <w:r>
        <w:rPr>
          <w:rFonts w:hint="eastAsia"/>
          <w:b/>
          <w:color w:val="auto"/>
          <w:szCs w:val="21"/>
          <w:highlight w:val="none"/>
        </w:rPr>
        <w:t>修改类型：修改</w:t>
      </w:r>
    </w:p>
    <w:p w14:paraId="46C48E62">
      <w:pPr>
        <w:spacing w:line="360" w:lineRule="auto"/>
        <w:ind w:firstLine="422" w:firstLineChars="200"/>
        <w:rPr>
          <w:rFonts w:hint="eastAsia" w:ascii="宋体" w:hAnsi="宋体" w:cs="宋体"/>
          <w:color w:val="auto"/>
          <w:sz w:val="24"/>
          <w:szCs w:val="24"/>
          <w:highlight w:val="none"/>
        </w:rPr>
      </w:pPr>
      <w:r>
        <w:rPr>
          <w:rFonts w:hint="eastAsia" w:ascii="宋体" w:hAnsi="宋体"/>
          <w:b/>
          <w:bCs/>
          <w:color w:val="auto"/>
          <w:szCs w:val="21"/>
          <w:highlight w:val="none"/>
        </w:rPr>
        <w:t>原文</w:t>
      </w:r>
      <w:r>
        <w:rPr>
          <w:rFonts w:hint="eastAsia" w:ascii="宋体" w:hAnsi="宋体" w:cs="宋体"/>
          <w:b/>
          <w:bCs/>
          <w:color w:val="auto"/>
          <w:szCs w:val="21"/>
          <w:highlight w:val="none"/>
        </w:rPr>
        <w:t>：</w:t>
      </w:r>
      <w:r>
        <w:rPr>
          <w:rFonts w:hint="eastAsia" w:ascii="宋体" w:hAnsi="宋体" w:cs="宋体"/>
          <w:color w:val="auto"/>
          <w:szCs w:val="21"/>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7CC9C02C">
      <w:pPr>
        <w:spacing w:line="360" w:lineRule="auto"/>
        <w:ind w:firstLine="422" w:firstLineChars="200"/>
        <w:rPr>
          <w:rFonts w:ascii="宋体" w:hAnsi="宋体"/>
          <w:color w:val="auto"/>
          <w:sz w:val="24"/>
          <w:szCs w:val="24"/>
          <w:highlight w:val="none"/>
        </w:rPr>
      </w:pPr>
      <w:r>
        <w:rPr>
          <w:rFonts w:hint="eastAsia" w:ascii="宋体" w:hAnsi="宋体" w:cs="宋体"/>
          <w:b/>
          <w:bCs/>
          <w:color w:val="auto"/>
          <w:szCs w:val="21"/>
          <w:highlight w:val="none"/>
        </w:rPr>
        <w:t>现文：</w:t>
      </w:r>
      <w:r>
        <w:rPr>
          <w:rFonts w:hint="eastAsia" w:ascii="宋体" w:hAnsi="宋体" w:cs="宋体"/>
          <w:bCs/>
          <w:color w:val="auto"/>
          <w:szCs w:val="21"/>
          <w:highlight w:val="none"/>
        </w:rPr>
        <w:t>38.5</w:t>
      </w:r>
      <w:r>
        <w:rPr>
          <w:rFonts w:hint="eastAsia" w:ascii="宋体" w:hAnsi="宋体" w:cs="宋体"/>
          <w:bCs/>
          <w:color w:val="auto"/>
          <w:szCs w:val="21"/>
          <w:highlight w:val="none"/>
          <w:u w:val="single"/>
        </w:rPr>
        <w:t>依法必须进行招标的项目，除第一中标候选人或者中标人以外的其他投标人存在串通投标、弄虚作假、行贿情形且在评标过程中未被发现的，视为对中标结果没有造成实质性影响，招标人可以依法继续开展招</w:t>
      </w:r>
      <w:r>
        <w:rPr>
          <w:rFonts w:hint="eastAsia"/>
          <w:bCs/>
          <w:color w:val="auto"/>
          <w:szCs w:val="21"/>
          <w:highlight w:val="none"/>
          <w:u w:val="single"/>
        </w:rPr>
        <w:t>标活动。</w:t>
      </w:r>
    </w:p>
    <w:p w14:paraId="775ACFF2">
      <w:pPr>
        <w:spacing w:before="156" w:beforeLines="50" w:line="360" w:lineRule="auto"/>
        <w:ind w:firstLine="0" w:firstLineChars="0"/>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                                                                                 </w:t>
      </w:r>
    </w:p>
    <w:p w14:paraId="5918F1D4">
      <w:pPr>
        <w:spacing w:before="156" w:beforeLines="50" w:line="360" w:lineRule="auto"/>
        <w:ind w:firstLine="527" w:firstLineChars="250"/>
        <w:rPr>
          <w:rFonts w:ascii="宋体" w:hAnsi="宋体" w:cs="宋体"/>
          <w:b/>
          <w:color w:val="auto"/>
          <w:szCs w:val="21"/>
          <w:highlight w:val="none"/>
        </w:rPr>
      </w:pPr>
      <w:r>
        <w:rPr>
          <w:rFonts w:hint="eastAsia" w:ascii="宋体" w:hAnsi="宋体" w:cs="宋体"/>
          <w:b/>
          <w:color w:val="auto"/>
          <w:szCs w:val="21"/>
          <w:highlight w:val="none"/>
        </w:rPr>
        <w:t>条款号：41.1                        修改类型：修改</w:t>
      </w:r>
    </w:p>
    <w:p w14:paraId="440210E9">
      <w:pPr>
        <w:spacing w:line="360" w:lineRule="auto"/>
        <w:ind w:firstLine="527" w:firstLineChars="250"/>
        <w:rPr>
          <w:rFonts w:ascii="宋体" w:hAnsi="宋体" w:cs="宋体"/>
          <w:color w:val="auto"/>
          <w:szCs w:val="21"/>
          <w:highlight w:val="none"/>
        </w:rPr>
      </w:pPr>
      <w:r>
        <w:rPr>
          <w:rFonts w:hint="eastAsia" w:ascii="宋体" w:hAnsi="宋体"/>
          <w:b/>
          <w:color w:val="auto"/>
          <w:szCs w:val="21"/>
          <w:highlight w:val="none"/>
        </w:rPr>
        <w:t>原文</w:t>
      </w:r>
      <w:r>
        <w:rPr>
          <w:rFonts w:hint="eastAsia" w:ascii="宋体" w:hAnsi="宋体" w:cs="宋体"/>
          <w:b/>
          <w:color w:val="auto"/>
          <w:szCs w:val="21"/>
          <w:highlight w:val="none"/>
        </w:rPr>
        <w:t>：</w:t>
      </w:r>
      <w:r>
        <w:rPr>
          <w:rFonts w:hint="eastAsia" w:ascii="宋体" w:hAnsi="宋体" w:cs="宋体"/>
          <w:color w:val="auto"/>
          <w:szCs w:val="21"/>
          <w:highlight w:val="none"/>
        </w:rPr>
        <w:t>41.1开标由招标人主持；</w:t>
      </w:r>
    </w:p>
    <w:p w14:paraId="04AAF144">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41.1开标由招标人</w:t>
      </w:r>
      <w:r>
        <w:rPr>
          <w:rFonts w:hint="eastAsia" w:ascii="宋体" w:hAnsi="宋体"/>
          <w:color w:val="auto"/>
          <w:szCs w:val="21"/>
          <w:highlight w:val="none"/>
          <w:u w:val="single"/>
        </w:rPr>
        <w:t>或招标代理</w:t>
      </w:r>
      <w:r>
        <w:rPr>
          <w:rFonts w:hint="eastAsia" w:ascii="宋体" w:hAnsi="宋体"/>
          <w:color w:val="auto"/>
          <w:szCs w:val="21"/>
          <w:highlight w:val="none"/>
        </w:rPr>
        <w:t>主持；</w:t>
      </w:r>
    </w:p>
    <w:p w14:paraId="35BA2A42">
      <w:pPr>
        <w:pStyle w:val="5"/>
        <w:rPr>
          <w:color w:val="auto"/>
          <w:highlight w:val="none"/>
          <w:u w:val="single"/>
        </w:rPr>
      </w:pPr>
      <w:r>
        <w:rPr>
          <w:rFonts w:hint="eastAsia" w:ascii="宋体" w:hAnsi="宋体"/>
          <w:color w:val="auto"/>
          <w:szCs w:val="21"/>
          <w:highlight w:val="none"/>
          <w:u w:val="single"/>
        </w:rPr>
        <w:t xml:space="preserve">                                                                                      </w:t>
      </w:r>
    </w:p>
    <w:p w14:paraId="73AA4C66">
      <w:pPr>
        <w:spacing w:before="156" w:beforeLines="50" w:line="360" w:lineRule="auto"/>
        <w:ind w:firstLine="527" w:firstLineChars="250"/>
        <w:rPr>
          <w:rFonts w:ascii="宋体" w:hAnsi="宋体" w:cs="宋体"/>
          <w:b/>
          <w:color w:val="auto"/>
          <w:szCs w:val="21"/>
          <w:highlight w:val="none"/>
        </w:rPr>
      </w:pPr>
      <w:r>
        <w:rPr>
          <w:rFonts w:hint="eastAsia" w:ascii="宋体" w:hAnsi="宋体" w:cs="宋体"/>
          <w:b/>
          <w:color w:val="auto"/>
          <w:szCs w:val="21"/>
          <w:highlight w:val="none"/>
        </w:rPr>
        <w:t>条款号：41.2.1                        修改类型：修改</w:t>
      </w:r>
    </w:p>
    <w:p w14:paraId="4797F759">
      <w:pPr>
        <w:spacing w:before="156" w:beforeLines="50" w:line="360" w:lineRule="auto"/>
        <w:ind w:firstLine="527" w:firstLineChars="250"/>
        <w:rPr>
          <w:rFonts w:hint="eastAsia" w:ascii="宋体"/>
          <w:color w:val="auto"/>
          <w:sz w:val="21"/>
          <w:szCs w:val="21"/>
          <w:highlight w:val="none"/>
        </w:rPr>
      </w:pPr>
      <w:r>
        <w:rPr>
          <w:rFonts w:hint="eastAsia" w:ascii="宋体" w:hAnsi="宋体"/>
          <w:b/>
          <w:color w:val="auto"/>
          <w:szCs w:val="21"/>
          <w:highlight w:val="none"/>
        </w:rPr>
        <w:t>原文</w:t>
      </w:r>
      <w:r>
        <w:rPr>
          <w:rFonts w:hint="eastAsia" w:ascii="宋体" w:hAnsi="宋体" w:cs="宋体"/>
          <w:b/>
          <w:color w:val="auto"/>
          <w:szCs w:val="21"/>
          <w:highlight w:val="none"/>
        </w:rPr>
        <w:t>：</w:t>
      </w:r>
      <w:r>
        <w:rPr>
          <w:rFonts w:hint="eastAsia" w:ascii="宋体"/>
          <w:color w:val="auto"/>
          <w:sz w:val="21"/>
          <w:szCs w:val="21"/>
          <w:highlight w:val="none"/>
        </w:rPr>
        <w:t>41.2.1投标截止期前，各投标人递交投标文件（包括技术标投标文件、经济标投标文件）至</w:t>
      </w:r>
      <w:r>
        <w:rPr>
          <w:rFonts w:hint="eastAsia" w:ascii="宋体"/>
          <w:color w:val="auto"/>
          <w:sz w:val="21"/>
          <w:szCs w:val="21"/>
          <w:highlight w:val="none"/>
          <w:u w:val="single"/>
        </w:rPr>
        <w:t xml:space="preserve">        </w:t>
      </w:r>
      <w:r>
        <w:rPr>
          <w:rFonts w:hint="eastAsia" w:ascii="宋体"/>
          <w:color w:val="auto"/>
          <w:sz w:val="21"/>
          <w:szCs w:val="21"/>
          <w:highlight w:val="none"/>
        </w:rPr>
        <w:t>交易平台。有关投标文件提交的事项详见第一章投标须知。</w:t>
      </w:r>
    </w:p>
    <w:p w14:paraId="7DF83CB1">
      <w:pPr>
        <w:spacing w:before="156" w:beforeLines="50" w:line="360" w:lineRule="auto"/>
        <w:ind w:firstLine="527" w:firstLineChars="250"/>
        <w:rPr>
          <w:rFonts w:hint="eastAsia" w:ascii="宋体" w:hAnsi="宋体"/>
          <w:b/>
          <w:color w:val="auto"/>
          <w:szCs w:val="21"/>
          <w:highlight w:val="none"/>
        </w:rPr>
      </w:pPr>
      <w:r>
        <w:rPr>
          <w:rFonts w:hint="eastAsia" w:ascii="宋体" w:hAnsi="宋体"/>
          <w:b/>
          <w:color w:val="auto"/>
          <w:szCs w:val="21"/>
          <w:highlight w:val="none"/>
        </w:rPr>
        <w:t>现文：</w:t>
      </w:r>
      <w:r>
        <w:rPr>
          <w:rFonts w:hint="eastAsia" w:ascii="宋体"/>
          <w:color w:val="auto"/>
          <w:sz w:val="21"/>
          <w:szCs w:val="21"/>
          <w:highlight w:val="none"/>
        </w:rPr>
        <w:t>投标截止期前，各投标人递交投标文件（包括技术标投标文件、经济标投标文件）至</w:t>
      </w:r>
      <w:r>
        <w:rPr>
          <w:rFonts w:hint="eastAsia" w:ascii="宋体"/>
          <w:color w:val="auto"/>
          <w:sz w:val="21"/>
          <w:szCs w:val="21"/>
          <w:highlight w:val="none"/>
          <w:u w:val="single"/>
          <w:lang w:eastAsia="zh-CN"/>
        </w:rPr>
        <w:t>广州交易集团有限公司（广州公共资源交易中心）</w:t>
      </w:r>
      <w:r>
        <w:rPr>
          <w:rFonts w:hint="eastAsia" w:ascii="宋体"/>
          <w:color w:val="auto"/>
          <w:sz w:val="21"/>
          <w:szCs w:val="21"/>
          <w:highlight w:val="none"/>
        </w:rPr>
        <w:t xml:space="preserve">交易平台。有关投标文件提交的事项详见第一章投标须知。 </w:t>
      </w:r>
    </w:p>
    <w:p w14:paraId="443BB8F7">
      <w:pPr>
        <w:pStyle w:val="5"/>
        <w:rPr>
          <w:color w:val="auto"/>
          <w:highlight w:val="none"/>
          <w:u w:val="single"/>
        </w:rPr>
      </w:pPr>
      <w:r>
        <w:rPr>
          <w:rFonts w:hint="eastAsia" w:ascii="宋体" w:hAnsi="宋体"/>
          <w:color w:val="auto"/>
          <w:szCs w:val="21"/>
          <w:highlight w:val="none"/>
          <w:u w:val="single"/>
        </w:rPr>
        <w:t xml:space="preserve">                                                                                      </w:t>
      </w:r>
    </w:p>
    <w:p w14:paraId="643D244B">
      <w:pPr>
        <w:spacing w:before="156" w:beforeLines="50" w:line="360" w:lineRule="auto"/>
        <w:ind w:firstLine="527" w:firstLineChars="250"/>
        <w:rPr>
          <w:rFonts w:ascii="宋体" w:hAnsi="宋体" w:cs="宋体"/>
          <w:b/>
          <w:color w:val="auto"/>
          <w:szCs w:val="21"/>
          <w:highlight w:val="none"/>
        </w:rPr>
      </w:pPr>
      <w:r>
        <w:rPr>
          <w:rFonts w:hint="eastAsia" w:ascii="宋体" w:hAnsi="宋体" w:cs="宋体"/>
          <w:b/>
          <w:color w:val="auto"/>
          <w:szCs w:val="21"/>
          <w:highlight w:val="none"/>
        </w:rPr>
        <w:t>条款号：41.</w:t>
      </w:r>
      <w:r>
        <w:rPr>
          <w:rFonts w:hint="eastAsia" w:ascii="宋体" w:hAnsi="宋体" w:cs="宋体"/>
          <w:b/>
          <w:color w:val="auto"/>
          <w:szCs w:val="21"/>
          <w:highlight w:val="none"/>
          <w:lang w:val="en-US" w:eastAsia="zh-CN"/>
        </w:rPr>
        <w:t>2.4.</w:t>
      </w:r>
      <w:r>
        <w:rPr>
          <w:rFonts w:hint="eastAsia" w:ascii="宋体" w:hAnsi="宋体" w:cs="宋体"/>
          <w:b/>
          <w:color w:val="auto"/>
          <w:szCs w:val="21"/>
          <w:highlight w:val="none"/>
        </w:rPr>
        <w:t>1                        修改类型：修改</w:t>
      </w:r>
    </w:p>
    <w:p w14:paraId="2DEE7AB0">
      <w:pPr>
        <w:spacing w:line="360" w:lineRule="auto"/>
        <w:ind w:firstLine="527" w:firstLineChars="250"/>
        <w:rPr>
          <w:rFonts w:ascii="宋体" w:hAnsi="宋体" w:cs="宋体"/>
          <w:color w:val="auto"/>
          <w:szCs w:val="21"/>
          <w:highlight w:val="none"/>
        </w:rPr>
      </w:pPr>
      <w:r>
        <w:rPr>
          <w:rFonts w:hint="eastAsia" w:ascii="宋体" w:hAnsi="宋体"/>
          <w:b/>
          <w:color w:val="auto"/>
          <w:szCs w:val="21"/>
          <w:highlight w:val="none"/>
        </w:rPr>
        <w:t>原文</w:t>
      </w:r>
      <w:r>
        <w:rPr>
          <w:rFonts w:hint="eastAsia" w:ascii="宋体" w:hAnsi="宋体" w:cs="宋体"/>
          <w:b/>
          <w:color w:val="auto"/>
          <w:szCs w:val="21"/>
          <w:highlight w:val="none"/>
        </w:rPr>
        <w:t>：</w:t>
      </w:r>
      <w:r>
        <w:rPr>
          <w:rFonts w:hint="eastAsia" w:ascii="宋体" w:hAnsi="宋体" w:cs="宋体"/>
          <w:color w:val="auto"/>
          <w:szCs w:val="21"/>
          <w:highlight w:val="none"/>
        </w:rPr>
        <w:t>41.2.4.1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14:paraId="333E3C37">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41.2.4.1开标时，公布：a、投标人名称；b、投标文件密封情况；c、投标报价；</w:t>
      </w:r>
      <w:r>
        <w:rPr>
          <w:rFonts w:hint="eastAsia" w:ascii="宋体" w:hAnsi="宋体"/>
          <w:color w:val="auto"/>
          <w:szCs w:val="21"/>
          <w:highlight w:val="none"/>
          <w:u w:val="single"/>
        </w:rPr>
        <w:t>d、项目经理（负责人）名称；e、</w:t>
      </w:r>
      <w:r>
        <w:rPr>
          <w:rFonts w:hint="eastAsia" w:ascii="宋体" w:hAnsi="宋体"/>
          <w:color w:val="auto"/>
          <w:szCs w:val="21"/>
          <w:highlight w:val="none"/>
        </w:rPr>
        <w:t>法定代表人证明及授权委托等主要内容及开标记录表中的其他必要内容。投标报价以数字和文字两种方式表述的，应公布文字表述的投标报价。</w:t>
      </w:r>
    </w:p>
    <w:p w14:paraId="16C70B8C">
      <w:pPr>
        <w:spacing w:before="156" w:beforeLines="50" w:line="360" w:lineRule="auto"/>
        <w:ind w:left="0" w:leftChars="0" w:firstLine="0" w:firstLineChars="0"/>
        <w:rPr>
          <w:rFonts w:hint="eastAsia" w:ascii="宋体" w:hAnsi="宋体"/>
          <w:color w:val="auto"/>
          <w:szCs w:val="21"/>
          <w:highlight w:val="none"/>
          <w:u w:val="single"/>
        </w:rPr>
      </w:pP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932C769">
      <w:pPr>
        <w:spacing w:before="156" w:beforeLines="50" w:line="360" w:lineRule="auto"/>
        <w:ind w:left="0" w:leftChars="0" w:firstLine="632" w:firstLineChars="30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4</w:t>
      </w:r>
      <w:r>
        <w:rPr>
          <w:rFonts w:hint="eastAsia" w:ascii="宋体" w:hAnsi="宋体"/>
          <w:b/>
          <w:color w:val="auto"/>
          <w:szCs w:val="21"/>
          <w:highlight w:val="none"/>
        </w:rPr>
        <w:t>2</w:t>
      </w:r>
      <w:r>
        <w:rPr>
          <w:rFonts w:ascii="宋体" w:hAnsi="宋体"/>
          <w:b/>
          <w:color w:val="auto"/>
          <w:szCs w:val="21"/>
          <w:highlight w:val="none"/>
        </w:rPr>
        <w:t xml:space="preserve">.2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39D8785E">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w:t>
      </w:r>
      <w:r>
        <w:rPr>
          <w:rFonts w:hint="eastAsia" w:ascii="宋体" w:hAnsi="宋体"/>
          <w:color w:val="auto"/>
          <w:szCs w:val="21"/>
          <w:highlight w:val="none"/>
        </w:rPr>
        <w:t>42.</w:t>
      </w:r>
      <w:r>
        <w:rPr>
          <w:rFonts w:ascii="宋体" w:hAnsi="宋体"/>
          <w:color w:val="auto"/>
          <w:szCs w:val="21"/>
          <w:highlight w:val="none"/>
        </w:rPr>
        <w:t>2</w:t>
      </w:r>
      <w:r>
        <w:rPr>
          <w:rFonts w:hint="eastAsia" w:ascii="宋体" w:hAnsi="宋体"/>
          <w:color w:val="auto"/>
          <w:szCs w:val="21"/>
          <w:highlight w:val="none"/>
        </w:rPr>
        <w:t>评标委员会的组成：方式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9DB8051">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方式一：评标委员会为综合评标委员会，负责资格审查及评标工作。</w:t>
      </w:r>
    </w:p>
    <w:p w14:paraId="076824CA">
      <w:pPr>
        <w:spacing w:line="360" w:lineRule="auto"/>
        <w:ind w:firstLine="525" w:firstLineChars="250"/>
        <w:rPr>
          <w:rFonts w:ascii="宋体" w:hAnsi="宋体"/>
          <w:b/>
          <w:color w:val="auto"/>
          <w:szCs w:val="21"/>
          <w:highlight w:val="none"/>
        </w:rPr>
      </w:pPr>
      <w:r>
        <w:rPr>
          <w:rFonts w:hint="eastAsia" w:ascii="宋体" w:hAnsi="宋体"/>
          <w:color w:val="auto"/>
          <w:szCs w:val="21"/>
          <w:highlight w:val="none"/>
        </w:rPr>
        <w:t>方式二：评标委员会由技术评审组和经济评审组组成。其中：资格审查及技术评审由技术评标组负责，经济评审由经济评审组负责。</w:t>
      </w:r>
    </w:p>
    <w:p w14:paraId="541F3E53">
      <w:pPr>
        <w:pBdr>
          <w:bottom w:val="single" w:color="auto" w:sz="6" w:space="1"/>
        </w:pBd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42.</w:t>
      </w:r>
      <w:r>
        <w:rPr>
          <w:rFonts w:ascii="宋体" w:hAnsi="宋体"/>
          <w:color w:val="auto"/>
          <w:szCs w:val="21"/>
          <w:highlight w:val="none"/>
        </w:rPr>
        <w:t>2</w:t>
      </w:r>
      <w:r>
        <w:rPr>
          <w:rFonts w:hint="eastAsia" w:ascii="宋体" w:hAnsi="宋体"/>
          <w:color w:val="auto"/>
          <w:szCs w:val="21"/>
          <w:highlight w:val="none"/>
        </w:rPr>
        <w:t>评标委员会的组成：方式</w:t>
      </w:r>
      <w:r>
        <w:rPr>
          <w:rFonts w:hint="eastAsia" w:ascii="宋体" w:hAnsi="宋体"/>
          <w:color w:val="auto"/>
          <w:szCs w:val="21"/>
          <w:highlight w:val="none"/>
          <w:u w:val="single"/>
        </w:rPr>
        <w:t xml:space="preserve">  一  </w:t>
      </w:r>
      <w:r>
        <w:rPr>
          <w:rFonts w:hint="eastAsia" w:ascii="宋体" w:hAnsi="宋体"/>
          <w:color w:val="auto"/>
          <w:szCs w:val="21"/>
          <w:highlight w:val="none"/>
        </w:rPr>
        <w:t>。</w:t>
      </w:r>
    </w:p>
    <w:p w14:paraId="407DC776">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方式一：评标委员会为综合评标委员会，负责资格审查及评标工作。</w:t>
      </w:r>
    </w:p>
    <w:p w14:paraId="401E747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条款号：4</w:t>
      </w:r>
      <w:r>
        <w:rPr>
          <w:rFonts w:ascii="宋体" w:hAnsi="宋体"/>
          <w:b/>
          <w:color w:val="auto"/>
          <w:szCs w:val="21"/>
          <w:highlight w:val="none"/>
        </w:rPr>
        <w:t xml:space="preserve">5.2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55C5980C">
      <w:pPr>
        <w:pBdr>
          <w:bottom w:val="single" w:color="auto" w:sz="6" w:space="1"/>
        </w:pBdr>
        <w:spacing w:line="360" w:lineRule="auto"/>
        <w:ind w:firstLine="527" w:firstLineChars="250"/>
        <w:rPr>
          <w:rFonts w:ascii="宋体" w:hAnsi="宋体"/>
          <w:b/>
          <w:color w:val="auto"/>
          <w:highlight w:val="none"/>
        </w:rPr>
      </w:pPr>
      <w:r>
        <w:rPr>
          <w:rFonts w:hint="eastAsia" w:ascii="宋体" w:hAnsi="宋体"/>
          <w:b/>
          <w:color w:val="auto"/>
          <w:szCs w:val="21"/>
          <w:highlight w:val="none"/>
        </w:rPr>
        <w:t>原文</w:t>
      </w:r>
      <w:r>
        <w:rPr>
          <w:rFonts w:hint="eastAsia" w:ascii="宋体" w:hAnsi="宋体"/>
          <w:b/>
          <w:color w:val="auto"/>
          <w:highlight w:val="none"/>
        </w:rPr>
        <w:t>：</w:t>
      </w:r>
      <w:r>
        <w:rPr>
          <w:rFonts w:hint="eastAsia" w:ascii="宋体" w:hAnsi="宋体"/>
          <w:color w:val="auto"/>
          <w:highlight w:val="none"/>
        </w:rPr>
        <w:t>4</w:t>
      </w:r>
      <w:r>
        <w:rPr>
          <w:rFonts w:ascii="宋体" w:hAnsi="宋体"/>
          <w:color w:val="auto"/>
          <w:highlight w:val="none"/>
        </w:rPr>
        <w:t>5.2</w:t>
      </w:r>
      <w:r>
        <w:rPr>
          <w:rFonts w:hint="eastAsia" w:ascii="宋体" w:hAnsi="宋体"/>
          <w:b/>
          <w:color w:val="auto"/>
          <w:highlight w:val="none"/>
        </w:rPr>
        <w:t>区间抽取法</w:t>
      </w:r>
    </w:p>
    <w:p w14:paraId="28D25578">
      <w:pPr>
        <w:pBdr>
          <w:bottom w:val="single" w:color="auto" w:sz="6" w:space="1"/>
        </w:pBdr>
        <w:spacing w:line="360" w:lineRule="auto"/>
        <w:ind w:firstLine="525" w:firstLineChars="250"/>
        <w:rPr>
          <w:rFonts w:ascii="宋体" w:hAnsi="宋体"/>
          <w:color w:val="auto"/>
          <w:highlight w:val="none"/>
        </w:rPr>
      </w:pPr>
      <w:r>
        <w:rPr>
          <w:rFonts w:hint="eastAsia" w:ascii="宋体" w:hAnsi="宋体"/>
          <w:color w:val="auto"/>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27712BFE">
      <w:pPr>
        <w:pBdr>
          <w:bottom w:val="single" w:color="auto" w:sz="6" w:space="1"/>
        </w:pBdr>
        <w:spacing w:line="360" w:lineRule="auto"/>
        <w:ind w:firstLine="525" w:firstLineChars="250"/>
        <w:rPr>
          <w:rFonts w:ascii="宋体" w:hAnsi="宋体"/>
          <w:color w:val="auto"/>
          <w:highlight w:val="none"/>
        </w:rPr>
      </w:pPr>
      <w:r>
        <w:rPr>
          <w:rFonts w:hint="eastAsia" w:ascii="宋体" w:hAnsi="宋体"/>
          <w:color w:val="auto"/>
          <w:highlight w:val="none"/>
        </w:rPr>
        <w:t>评标参考价</w:t>
      </w:r>
      <w:r>
        <w:rPr>
          <w:rFonts w:ascii="宋体" w:hAnsi="宋体"/>
          <w:color w:val="auto"/>
          <w:highlight w:val="none"/>
        </w:rPr>
        <w:t>=</w:t>
      </w:r>
      <w:r>
        <w:rPr>
          <w:rFonts w:hint="eastAsia" w:ascii="宋体" w:hAnsi="宋体"/>
          <w:color w:val="auto"/>
          <w:highlight w:val="none"/>
        </w:rPr>
        <w:t>（</w:t>
      </w:r>
      <w:r>
        <w:rPr>
          <w:rFonts w:ascii="宋体" w:hAnsi="宋体"/>
          <w:color w:val="auto"/>
          <w:highlight w:val="none"/>
        </w:rPr>
        <w:t>Q</w:t>
      </w:r>
      <w:r>
        <w:rPr>
          <w:rFonts w:hint="eastAsia" w:ascii="宋体" w:hAnsi="宋体"/>
          <w:color w:val="auto"/>
          <w:highlight w:val="none"/>
        </w:rPr>
        <w:t>高</w:t>
      </w:r>
      <w:r>
        <w:rPr>
          <w:rFonts w:ascii="宋体" w:hAnsi="宋体"/>
          <w:color w:val="auto"/>
          <w:highlight w:val="none"/>
        </w:rPr>
        <w:t>-Q</w:t>
      </w:r>
      <w:r>
        <w:rPr>
          <w:rFonts w:hint="eastAsia" w:ascii="宋体" w:hAnsi="宋体"/>
          <w:color w:val="auto"/>
          <w:highlight w:val="none"/>
        </w:rPr>
        <w:t>低）</w:t>
      </w:r>
      <w:r>
        <w:rPr>
          <w:rFonts w:ascii="宋体" w:hAnsi="宋体"/>
          <w:color w:val="auto"/>
          <w:highlight w:val="none"/>
        </w:rPr>
        <w:t>/100*</w:t>
      </w:r>
      <w:r>
        <w:rPr>
          <w:rFonts w:hint="eastAsia" w:ascii="宋体" w:hAnsi="宋体"/>
          <w:color w:val="auto"/>
          <w:highlight w:val="none"/>
        </w:rPr>
        <w:t>Ｘ</w:t>
      </w:r>
      <w:r>
        <w:rPr>
          <w:rFonts w:ascii="宋体" w:hAnsi="宋体"/>
          <w:color w:val="auto"/>
          <w:highlight w:val="none"/>
        </w:rPr>
        <w:t>+Q</w:t>
      </w:r>
      <w:r>
        <w:rPr>
          <w:rFonts w:hint="eastAsia" w:ascii="宋体" w:hAnsi="宋体"/>
          <w:color w:val="auto"/>
          <w:highlight w:val="none"/>
        </w:rPr>
        <w:t>低</w:t>
      </w:r>
    </w:p>
    <w:p w14:paraId="7B5689B2">
      <w:pPr>
        <w:pBdr>
          <w:bottom w:val="single" w:color="auto" w:sz="6" w:space="1"/>
        </w:pBdr>
        <w:spacing w:line="360" w:lineRule="auto"/>
        <w:ind w:firstLine="525" w:firstLineChars="250"/>
        <w:rPr>
          <w:rFonts w:ascii="宋体" w:hAnsi="宋体"/>
          <w:color w:val="auto"/>
          <w:highlight w:val="none"/>
        </w:rPr>
      </w:pPr>
      <w:r>
        <w:rPr>
          <w:rFonts w:ascii="宋体" w:hAnsi="宋体"/>
          <w:color w:val="auto"/>
          <w:highlight w:val="none"/>
        </w:rPr>
        <w:t>Q</w:t>
      </w:r>
      <w:r>
        <w:rPr>
          <w:rFonts w:hint="eastAsia" w:ascii="宋体" w:hAnsi="宋体"/>
          <w:color w:val="auto"/>
          <w:highlight w:val="none"/>
        </w:rPr>
        <w:t>低：为达到或超过技术标及格分数线的投标人最低报价与工程成本警示价两者中的较高值；</w:t>
      </w:r>
    </w:p>
    <w:p w14:paraId="2DFBC18E">
      <w:pPr>
        <w:pBdr>
          <w:bottom w:val="single" w:color="auto" w:sz="6" w:space="1"/>
        </w:pBdr>
        <w:spacing w:line="360" w:lineRule="auto"/>
        <w:ind w:firstLine="525" w:firstLineChars="250"/>
        <w:rPr>
          <w:rFonts w:ascii="宋体" w:hAnsi="宋体"/>
          <w:color w:val="auto"/>
          <w:highlight w:val="none"/>
        </w:rPr>
      </w:pPr>
      <w:r>
        <w:rPr>
          <w:rFonts w:ascii="宋体" w:hAnsi="宋体"/>
          <w:color w:val="auto"/>
          <w:highlight w:val="none"/>
        </w:rPr>
        <w:t>Q</w:t>
      </w:r>
      <w:r>
        <w:rPr>
          <w:rFonts w:hint="eastAsia" w:ascii="宋体" w:hAnsi="宋体"/>
          <w:color w:val="auto"/>
          <w:highlight w:val="none"/>
        </w:rPr>
        <w:t>高：为最高投标限价</w:t>
      </w:r>
    </w:p>
    <w:p w14:paraId="052ABE99">
      <w:pPr>
        <w:pBdr>
          <w:bottom w:val="single" w:color="auto" w:sz="6" w:space="1"/>
        </w:pBdr>
        <w:spacing w:line="360" w:lineRule="auto"/>
        <w:ind w:firstLine="525" w:firstLineChars="250"/>
        <w:rPr>
          <w:rFonts w:ascii="宋体" w:hAnsi="宋体" w:cs="仿宋"/>
          <w:color w:val="auto"/>
          <w:sz w:val="24"/>
          <w:szCs w:val="24"/>
          <w:highlight w:val="none"/>
        </w:rPr>
      </w:pPr>
      <w:r>
        <w:rPr>
          <w:rFonts w:hint="eastAsia" w:ascii="宋体" w:hAnsi="宋体"/>
          <w:color w:val="auto"/>
          <w:highlight w:val="none"/>
        </w:rPr>
        <w:t xml:space="preserve">    </w:t>
      </w:r>
      <w:r>
        <w:rPr>
          <w:rFonts w:ascii="宋体" w:hAnsi="宋体"/>
          <w:color w:val="auto"/>
          <w:highlight w:val="none"/>
        </w:rPr>
        <w:t>X:</w:t>
      </w:r>
      <w:r>
        <w:rPr>
          <w:rFonts w:hint="eastAsia" w:ascii="宋体" w:hAnsi="宋体"/>
          <w:color w:val="auto"/>
          <w:highlight w:val="none"/>
        </w:rPr>
        <w:t>为等分点值，从</w:t>
      </w:r>
      <w:r>
        <w:rPr>
          <w:rFonts w:ascii="宋体" w:hAnsi="宋体"/>
          <w:color w:val="auto"/>
          <w:highlight w:val="none"/>
        </w:rPr>
        <w:t>[0,100]</w:t>
      </w:r>
      <w:r>
        <w:rPr>
          <w:rFonts w:hint="eastAsia" w:ascii="宋体" w:hAnsi="宋体"/>
          <w:color w:val="auto"/>
          <w:highlight w:val="none"/>
        </w:rPr>
        <w:t>整数中随机抽取</w:t>
      </w:r>
    </w:p>
    <w:p w14:paraId="11AA6206">
      <w:pPr>
        <w:pBdr>
          <w:bottom w:val="single" w:color="auto" w:sz="6" w:space="1"/>
        </w:pBdr>
        <w:spacing w:line="360" w:lineRule="auto"/>
        <w:ind w:firstLine="527" w:firstLineChars="250"/>
        <w:rPr>
          <w:rFonts w:ascii="宋体" w:hAnsi="宋体"/>
          <w:b/>
          <w:color w:val="auto"/>
          <w:highlight w:val="none"/>
        </w:rPr>
      </w:pPr>
      <w:r>
        <w:rPr>
          <w:rFonts w:hint="eastAsia" w:ascii="宋体" w:hAnsi="宋体"/>
          <w:b/>
          <w:color w:val="auto"/>
          <w:szCs w:val="21"/>
          <w:highlight w:val="none"/>
        </w:rPr>
        <w:t>现文：</w:t>
      </w:r>
      <w:r>
        <w:rPr>
          <w:rFonts w:hint="eastAsia" w:ascii="宋体" w:hAnsi="宋体"/>
          <w:color w:val="auto"/>
          <w:highlight w:val="none"/>
        </w:rPr>
        <w:t>4</w:t>
      </w:r>
      <w:r>
        <w:rPr>
          <w:rFonts w:ascii="宋体" w:hAnsi="宋体"/>
          <w:color w:val="auto"/>
          <w:highlight w:val="none"/>
        </w:rPr>
        <w:t>5.2</w:t>
      </w:r>
      <w:r>
        <w:rPr>
          <w:rFonts w:hint="eastAsia" w:ascii="宋体" w:hAnsi="宋体"/>
          <w:b/>
          <w:color w:val="auto"/>
          <w:highlight w:val="none"/>
        </w:rPr>
        <w:t>区间抽取法</w:t>
      </w:r>
    </w:p>
    <w:p w14:paraId="67DDB5FF">
      <w:pPr>
        <w:pBdr>
          <w:bottom w:val="single" w:color="auto" w:sz="6" w:space="1"/>
        </w:pBdr>
        <w:spacing w:line="360" w:lineRule="auto"/>
        <w:ind w:firstLine="525" w:firstLineChars="250"/>
        <w:rPr>
          <w:rFonts w:ascii="宋体" w:hAnsi="宋体"/>
          <w:color w:val="auto"/>
          <w:highlight w:val="none"/>
        </w:rPr>
      </w:pPr>
      <w:r>
        <w:rPr>
          <w:rFonts w:hint="eastAsia" w:ascii="宋体" w:hAnsi="宋体"/>
          <w:color w:val="auto"/>
          <w:highlight w:val="none"/>
        </w:rPr>
        <w:t>设立入围合格分数线</w:t>
      </w:r>
      <w:r>
        <w:rPr>
          <w:rFonts w:hint="eastAsia" w:ascii="Calibri" w:hAnsi="Calibri" w:eastAsia="宋体" w:cs="Times New Roman"/>
          <w:b w:val="0"/>
          <w:bCs w:val="0"/>
          <w:color w:val="auto"/>
          <w:kern w:val="2"/>
          <w:sz w:val="21"/>
          <w:szCs w:val="21"/>
          <w:highlight w:val="none"/>
          <w:u w:val="single"/>
        </w:rPr>
        <w:t>（本项目</w:t>
      </w:r>
      <w:r>
        <w:rPr>
          <w:rFonts w:hint="eastAsia" w:ascii="宋体" w:hAnsi="宋体"/>
          <w:color w:val="auto"/>
          <w:highlight w:val="none"/>
          <w:u w:val="single"/>
        </w:rPr>
        <w:t>入围</w:t>
      </w:r>
      <w:r>
        <w:rPr>
          <w:rFonts w:hint="eastAsia" w:ascii="Calibri" w:hAnsi="Calibri" w:eastAsia="宋体" w:cs="Times New Roman"/>
          <w:b w:val="0"/>
          <w:bCs w:val="0"/>
          <w:color w:val="auto"/>
          <w:kern w:val="2"/>
          <w:sz w:val="21"/>
          <w:szCs w:val="21"/>
          <w:highlight w:val="none"/>
          <w:u w:val="single"/>
        </w:rPr>
        <w:t>及格分数线为技术标得分大于或等于</w:t>
      </w:r>
      <w:r>
        <w:rPr>
          <w:rFonts w:hint="eastAsia" w:cs="Times New Roman"/>
          <w:b w:val="0"/>
          <w:bCs w:val="0"/>
          <w:color w:val="auto"/>
          <w:kern w:val="2"/>
          <w:sz w:val="21"/>
          <w:szCs w:val="21"/>
          <w:highlight w:val="none"/>
          <w:u w:val="single"/>
          <w:lang w:val="en-US" w:eastAsia="zh-CN"/>
        </w:rPr>
        <w:t>70</w:t>
      </w:r>
      <w:r>
        <w:rPr>
          <w:rFonts w:hint="eastAsia" w:ascii="Calibri" w:hAnsi="Calibri" w:eastAsia="宋体" w:cs="Times New Roman"/>
          <w:b w:val="0"/>
          <w:bCs w:val="0"/>
          <w:color w:val="auto"/>
          <w:kern w:val="2"/>
          <w:sz w:val="21"/>
          <w:szCs w:val="21"/>
          <w:highlight w:val="none"/>
          <w:u w:val="single"/>
        </w:rPr>
        <w:t>分）</w:t>
      </w:r>
      <w:r>
        <w:rPr>
          <w:rFonts w:hint="eastAsia" w:ascii="宋体" w:hAnsi="宋体"/>
          <w:color w:val="auto"/>
          <w:highlight w:val="none"/>
        </w:rPr>
        <w:t>，达到或超过及格线的投标人的报价方能参与评标参考价的计算。将达到或超过技术标及格分数线的投标报价由低至高进行排列，按以下公式计算评标参考价，计算公式如下：</w:t>
      </w:r>
    </w:p>
    <w:p w14:paraId="0F43136A">
      <w:pPr>
        <w:pBdr>
          <w:bottom w:val="single" w:color="auto" w:sz="6" w:space="1"/>
        </w:pBdr>
        <w:spacing w:line="360" w:lineRule="auto"/>
        <w:ind w:firstLine="525" w:firstLineChars="250"/>
        <w:rPr>
          <w:rFonts w:ascii="宋体" w:hAnsi="宋体"/>
          <w:color w:val="auto"/>
          <w:highlight w:val="none"/>
        </w:rPr>
      </w:pPr>
      <w:r>
        <w:rPr>
          <w:rFonts w:hint="eastAsia" w:ascii="宋体" w:hAnsi="宋体"/>
          <w:color w:val="auto"/>
          <w:highlight w:val="none"/>
        </w:rPr>
        <w:t>评标参考价</w:t>
      </w:r>
      <w:r>
        <w:rPr>
          <w:rFonts w:ascii="宋体" w:hAnsi="宋体"/>
          <w:color w:val="auto"/>
          <w:highlight w:val="none"/>
        </w:rPr>
        <w:t>=</w:t>
      </w:r>
      <w:r>
        <w:rPr>
          <w:rFonts w:hint="eastAsia" w:ascii="宋体" w:hAnsi="宋体"/>
          <w:color w:val="auto"/>
          <w:highlight w:val="none"/>
        </w:rPr>
        <w:t>（</w:t>
      </w:r>
      <w:r>
        <w:rPr>
          <w:rFonts w:ascii="宋体" w:hAnsi="宋体"/>
          <w:color w:val="auto"/>
          <w:highlight w:val="none"/>
        </w:rPr>
        <w:t>Q</w:t>
      </w:r>
      <w:r>
        <w:rPr>
          <w:rFonts w:hint="eastAsia" w:ascii="宋体" w:hAnsi="宋体"/>
          <w:color w:val="auto"/>
          <w:highlight w:val="none"/>
        </w:rPr>
        <w:t>高</w:t>
      </w:r>
      <w:r>
        <w:rPr>
          <w:rFonts w:ascii="宋体" w:hAnsi="宋体"/>
          <w:color w:val="auto"/>
          <w:highlight w:val="none"/>
        </w:rPr>
        <w:t>-Q</w:t>
      </w:r>
      <w:r>
        <w:rPr>
          <w:rFonts w:hint="eastAsia" w:ascii="宋体" w:hAnsi="宋体"/>
          <w:color w:val="auto"/>
          <w:highlight w:val="none"/>
        </w:rPr>
        <w:t>低）</w:t>
      </w:r>
      <w:r>
        <w:rPr>
          <w:rFonts w:ascii="宋体" w:hAnsi="宋体"/>
          <w:color w:val="auto"/>
          <w:highlight w:val="none"/>
        </w:rPr>
        <w:t>/100*</w:t>
      </w:r>
      <w:r>
        <w:rPr>
          <w:rFonts w:hint="eastAsia" w:ascii="宋体" w:hAnsi="宋体"/>
          <w:color w:val="auto"/>
          <w:highlight w:val="none"/>
        </w:rPr>
        <w:t>Ｘ</w:t>
      </w:r>
      <w:r>
        <w:rPr>
          <w:rFonts w:ascii="宋体" w:hAnsi="宋体"/>
          <w:color w:val="auto"/>
          <w:highlight w:val="none"/>
        </w:rPr>
        <w:t>+Q</w:t>
      </w:r>
      <w:r>
        <w:rPr>
          <w:rFonts w:hint="eastAsia" w:ascii="宋体" w:hAnsi="宋体"/>
          <w:color w:val="auto"/>
          <w:highlight w:val="none"/>
        </w:rPr>
        <w:t>低</w:t>
      </w:r>
    </w:p>
    <w:p w14:paraId="5D4C10BA">
      <w:pPr>
        <w:pBdr>
          <w:bottom w:val="single" w:color="auto" w:sz="6" w:space="1"/>
        </w:pBdr>
        <w:spacing w:line="360" w:lineRule="auto"/>
        <w:ind w:firstLine="525" w:firstLineChars="250"/>
        <w:rPr>
          <w:rFonts w:ascii="宋体" w:hAnsi="宋体"/>
          <w:color w:val="auto"/>
          <w:highlight w:val="none"/>
        </w:rPr>
      </w:pPr>
      <w:r>
        <w:rPr>
          <w:rFonts w:ascii="宋体" w:hAnsi="宋体"/>
          <w:color w:val="auto"/>
          <w:highlight w:val="none"/>
        </w:rPr>
        <w:t>Q</w:t>
      </w:r>
      <w:r>
        <w:rPr>
          <w:rFonts w:hint="eastAsia" w:ascii="宋体" w:hAnsi="宋体"/>
          <w:color w:val="auto"/>
          <w:highlight w:val="none"/>
        </w:rPr>
        <w:t>低：为达到或超过技术标及格分数线的投标人最低报价与工程成本警示价两者中的较高值；</w:t>
      </w:r>
    </w:p>
    <w:p w14:paraId="5DE3476E">
      <w:pPr>
        <w:pBdr>
          <w:bottom w:val="single" w:color="auto" w:sz="6" w:space="1"/>
        </w:pBdr>
        <w:spacing w:line="360" w:lineRule="auto"/>
        <w:ind w:firstLine="525" w:firstLineChars="250"/>
        <w:rPr>
          <w:rFonts w:hint="eastAsia" w:ascii="宋体" w:hAnsi="宋体"/>
          <w:color w:val="auto"/>
          <w:highlight w:val="none"/>
        </w:rPr>
      </w:pPr>
      <w:r>
        <w:rPr>
          <w:rFonts w:ascii="宋体" w:hAnsi="宋体"/>
          <w:color w:val="auto"/>
          <w:highlight w:val="none"/>
        </w:rPr>
        <w:t>Q</w:t>
      </w:r>
      <w:r>
        <w:rPr>
          <w:rFonts w:hint="eastAsia" w:ascii="宋体" w:hAnsi="宋体"/>
          <w:color w:val="auto"/>
          <w:highlight w:val="none"/>
        </w:rPr>
        <w:t>高：为最高投标限价</w:t>
      </w:r>
    </w:p>
    <w:p w14:paraId="3096EEFF">
      <w:pPr>
        <w:pBdr>
          <w:bottom w:val="single" w:color="auto" w:sz="6" w:space="1"/>
        </w:pBdr>
        <w:spacing w:line="360" w:lineRule="auto"/>
        <w:ind w:firstLine="525" w:firstLineChars="250"/>
        <w:rPr>
          <w:rFonts w:ascii="宋体" w:hAnsi="宋体"/>
          <w:color w:val="auto"/>
          <w:highlight w:val="none"/>
          <w:u w:val="single"/>
        </w:rPr>
      </w:pPr>
      <w:r>
        <w:rPr>
          <w:rFonts w:hint="eastAsia" w:ascii="宋体" w:hAnsi="宋体"/>
          <w:color w:val="auto"/>
          <w:highlight w:val="none"/>
        </w:rPr>
        <w:t xml:space="preserve">    </w:t>
      </w:r>
      <w:r>
        <w:rPr>
          <w:rFonts w:ascii="宋体" w:hAnsi="宋体"/>
          <w:color w:val="auto"/>
          <w:highlight w:val="none"/>
        </w:rPr>
        <w:t>X:</w:t>
      </w:r>
      <w:r>
        <w:rPr>
          <w:rFonts w:hint="eastAsia" w:ascii="宋体" w:hAnsi="宋体"/>
          <w:color w:val="auto"/>
          <w:highlight w:val="none"/>
        </w:rPr>
        <w:t>为等分点值，从</w:t>
      </w:r>
      <w:r>
        <w:rPr>
          <w:rFonts w:ascii="宋体" w:hAnsi="宋体"/>
          <w:color w:val="auto"/>
          <w:highlight w:val="none"/>
        </w:rPr>
        <w:t>[0,100]</w:t>
      </w:r>
      <w:r>
        <w:rPr>
          <w:rFonts w:hint="eastAsia" w:ascii="宋体" w:hAnsi="宋体"/>
          <w:color w:val="auto"/>
          <w:highlight w:val="none"/>
        </w:rPr>
        <w:t>整数中随机抽取</w:t>
      </w:r>
    </w:p>
    <w:p w14:paraId="25B85FFA">
      <w:pPr>
        <w:spacing w:line="360" w:lineRule="auto"/>
        <w:ind w:firstLine="472" w:firstLineChars="224"/>
        <w:rPr>
          <w:b/>
          <w:color w:val="auto"/>
          <w:szCs w:val="21"/>
          <w:highlight w:val="none"/>
        </w:rPr>
      </w:pPr>
      <w:r>
        <w:rPr>
          <w:rFonts w:hint="eastAsia"/>
          <w:b/>
          <w:color w:val="auto"/>
          <w:szCs w:val="21"/>
          <w:highlight w:val="none"/>
        </w:rPr>
        <w:t>条款号：4</w:t>
      </w:r>
      <w:r>
        <w:rPr>
          <w:b/>
          <w:color w:val="auto"/>
          <w:szCs w:val="21"/>
          <w:highlight w:val="none"/>
        </w:rPr>
        <w:t xml:space="preserve">5.4            </w:t>
      </w:r>
      <w:r>
        <w:rPr>
          <w:rFonts w:hint="eastAsia"/>
          <w:b/>
          <w:color w:val="auto"/>
          <w:szCs w:val="21"/>
          <w:highlight w:val="none"/>
        </w:rPr>
        <w:t>修改类型：修改</w:t>
      </w:r>
    </w:p>
    <w:p w14:paraId="30135914">
      <w:pP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14:paraId="1CA3E716">
      <w:pPr>
        <w:spacing w:line="360" w:lineRule="auto"/>
        <w:ind w:firstLine="422" w:firstLineChars="200"/>
        <w:rPr>
          <w:rFonts w:hint="eastAsia"/>
          <w:color w:val="auto"/>
          <w:szCs w:val="21"/>
          <w:highlight w:val="none"/>
          <w:u w:val="single"/>
        </w:rPr>
      </w:pPr>
      <w:r>
        <w:rPr>
          <w:rFonts w:hint="eastAsia"/>
          <w:b/>
          <w:color w:val="auto"/>
          <w:szCs w:val="21"/>
          <w:highlight w:val="none"/>
        </w:rPr>
        <w:t>现文：</w:t>
      </w:r>
      <w:r>
        <w:rPr>
          <w:rFonts w:hint="eastAsia"/>
          <w:color w:val="auto"/>
          <w:szCs w:val="21"/>
          <w:highlight w:val="none"/>
        </w:rPr>
        <w:t>计算通过技术标有效性审查的投标人总得分。</w:t>
      </w:r>
      <w:r>
        <w:rPr>
          <w:rFonts w:hint="eastAsia"/>
          <w:color w:val="auto"/>
          <w:szCs w:val="21"/>
          <w:highlight w:val="none"/>
          <w:u w:val="single"/>
        </w:rPr>
        <w:t>投标人总得分=技术得分×技术得分权重20%＋经济得分×经济得分权重80%</w:t>
      </w:r>
      <w:r>
        <w:rPr>
          <w:rFonts w:hint="eastAsia"/>
          <w:color w:val="auto"/>
          <w:szCs w:val="21"/>
          <w:highlight w:val="none"/>
        </w:rPr>
        <w:t>。技术、经济得分权重按投标须知前附表的规定执行。总得分四舍五入保留两位小数。</w:t>
      </w:r>
      <w:r>
        <w:rPr>
          <w:rFonts w:hint="eastAsia"/>
          <w:color w:val="auto"/>
          <w:szCs w:val="21"/>
          <w:highlight w:val="none"/>
          <w:u w:val="single"/>
        </w:rPr>
        <w:t>若出现总得分相同的投标文件，以技术得分较高的排前；总得分与技术得</w:t>
      </w:r>
    </w:p>
    <w:p w14:paraId="0B12A7B8">
      <w:pPr>
        <w:spacing w:line="360" w:lineRule="auto"/>
        <w:rPr>
          <w:color w:val="auto"/>
          <w:szCs w:val="21"/>
          <w:highlight w:val="none"/>
        </w:rPr>
      </w:pPr>
      <w:r>
        <w:rPr>
          <w:rFonts w:hint="eastAsia"/>
          <w:color w:val="auto"/>
          <w:szCs w:val="21"/>
          <w:highlight w:val="none"/>
          <w:u w:val="single"/>
        </w:rPr>
        <w:t>分均相同的投标人，投标报价低的排前；如仍存在相同情况，则对具有相同情况的投标人，由评标委员会采用投票方式，确定投标人的排序。注：记名投票方式确定排序的具体操作步骤为：由评标委员会对出现该情况的投标人采取记名投票的方式确定，按得票数高低进行排序，</w:t>
      </w:r>
      <w:r>
        <w:rPr>
          <w:rFonts w:hint="eastAsia" w:ascii="宋体" w:hAnsi="宋体"/>
          <w:color w:val="auto"/>
          <w:szCs w:val="21"/>
          <w:highlight w:val="none"/>
          <w:u w:val="single"/>
        </w:rPr>
        <w:t>记名投票的形式及排序依据（须书面列举排序依据）由评标委员会研定</w:t>
      </w:r>
      <w:r>
        <w:rPr>
          <w:rFonts w:hint="eastAsia"/>
          <w:color w:val="auto"/>
          <w:szCs w:val="21"/>
          <w:highlight w:val="none"/>
        </w:rPr>
        <w:t>。</w:t>
      </w:r>
    </w:p>
    <w:p w14:paraId="2F515279">
      <w:pPr>
        <w:spacing w:line="360" w:lineRule="auto"/>
        <w:rPr>
          <w:color w:val="auto"/>
          <w:szCs w:val="21"/>
          <w:highlight w:val="none"/>
          <w:u w:val="single"/>
        </w:rPr>
      </w:pPr>
      <w:r>
        <w:rPr>
          <w:rFonts w:hint="eastAsia"/>
          <w:color w:val="auto"/>
          <w:szCs w:val="21"/>
          <w:highlight w:val="none"/>
          <w:u w:val="single"/>
        </w:rPr>
        <w:t xml:space="preserve">                                                                                        </w:t>
      </w:r>
    </w:p>
    <w:p w14:paraId="00B45965">
      <w:pPr>
        <w:spacing w:line="360" w:lineRule="auto"/>
        <w:ind w:firstLine="472" w:firstLineChars="224"/>
        <w:rPr>
          <w:rFonts w:hint="eastAsia" w:ascii="宋体" w:hAnsi="宋体" w:cs="宋体"/>
          <w:color w:val="auto"/>
          <w:sz w:val="24"/>
          <w:szCs w:val="24"/>
          <w:highlight w:val="none"/>
        </w:rPr>
      </w:pPr>
      <w:r>
        <w:rPr>
          <w:rFonts w:hint="eastAsia"/>
          <w:b/>
          <w:color w:val="auto"/>
          <w:szCs w:val="21"/>
          <w:highlight w:val="none"/>
        </w:rPr>
        <w:t>条款</w:t>
      </w:r>
      <w:r>
        <w:rPr>
          <w:rFonts w:hint="eastAsia" w:ascii="宋体" w:hAnsi="宋体"/>
          <w:color w:val="auto"/>
          <w:sz w:val="24"/>
          <w:szCs w:val="24"/>
          <w:highlight w:val="none"/>
        </w:rPr>
        <w:t>号</w:t>
      </w:r>
      <w:r>
        <w:rPr>
          <w:rFonts w:hint="eastAsia" w:ascii="宋体" w:hAnsi="宋体"/>
          <w:color w:val="auto"/>
          <w:szCs w:val="21"/>
          <w:highlight w:val="none"/>
        </w:rPr>
        <w:t>：</w:t>
      </w:r>
      <w:r>
        <w:rPr>
          <w:rFonts w:hint="eastAsia" w:ascii="宋体" w:hAnsi="宋体" w:cs="宋体"/>
          <w:color w:val="auto"/>
          <w:szCs w:val="21"/>
          <w:highlight w:val="none"/>
          <w:lang w:val="en-US" w:eastAsia="zh-CN"/>
        </w:rPr>
        <w:t>46.2.8</w:t>
      </w:r>
      <w:r>
        <w:rPr>
          <w:rFonts w:hint="eastAsia" w:ascii="宋体" w:hAnsi="宋体" w:cs="宋体"/>
          <w:color w:val="auto"/>
          <w:szCs w:val="21"/>
          <w:highlight w:val="none"/>
        </w:rPr>
        <w:t xml:space="preserve">  </w:t>
      </w:r>
      <w:r>
        <w:rPr>
          <w:rFonts w:hint="eastAsia" w:ascii="宋体" w:hAnsi="宋体" w:cs="宋体"/>
          <w:color w:val="auto"/>
          <w:sz w:val="24"/>
          <w:szCs w:val="24"/>
          <w:highlight w:val="none"/>
        </w:rPr>
        <w:t xml:space="preserve">  </w:t>
      </w:r>
      <w:r>
        <w:rPr>
          <w:rFonts w:hint="eastAsia" w:ascii="宋体" w:hAnsi="宋体" w:cs="宋体"/>
          <w:b/>
          <w:color w:val="auto"/>
          <w:szCs w:val="21"/>
          <w:highlight w:val="none"/>
        </w:rPr>
        <w:t xml:space="preserve">       修改类型：修改</w:t>
      </w:r>
    </w:p>
    <w:p w14:paraId="7AEAD288">
      <w:pPr>
        <w:spacing w:line="360" w:lineRule="auto"/>
        <w:ind w:firstLine="422" w:firstLineChars="200"/>
        <w:rPr>
          <w:rFonts w:hint="eastAsia" w:ascii="宋体" w:hAnsi="宋体" w:cs="宋体"/>
          <w:color w:val="auto"/>
          <w:sz w:val="24"/>
          <w:szCs w:val="24"/>
          <w:highlight w:val="none"/>
        </w:rPr>
      </w:pPr>
      <w:r>
        <w:rPr>
          <w:rFonts w:hint="eastAsia" w:ascii="宋体" w:hAnsi="宋体" w:cs="宋体"/>
          <w:b/>
          <w:bCs/>
          <w:color w:val="auto"/>
          <w:szCs w:val="21"/>
          <w:highlight w:val="none"/>
        </w:rPr>
        <w:t>原文：</w:t>
      </w:r>
      <w:r>
        <w:rPr>
          <w:rFonts w:hint="eastAsia" w:ascii="宋体" w:hAnsi="宋体" w:cs="宋体"/>
          <w:color w:val="auto"/>
          <w:szCs w:val="21"/>
          <w:highlight w:val="none"/>
        </w:rPr>
        <w:t>46.2.8按上述修正错误的原则及方法调整或修正投标文件的投标报价，调整后的投标报价对投标人起约束作用。如果投标人不接受修正后的报价，则取消其投标资格，并且其投标保证金也将不予退还。</w:t>
      </w:r>
    </w:p>
    <w:p w14:paraId="3DBFE3FB">
      <w:pPr>
        <w:spacing w:line="360" w:lineRule="auto"/>
        <w:ind w:firstLine="422" w:firstLineChars="200"/>
        <w:rPr>
          <w:rFonts w:hint="eastAsia" w:ascii="宋体" w:hAnsi="宋体"/>
          <w:b w:val="0"/>
          <w:bCs w:val="0"/>
          <w:color w:val="auto"/>
          <w:sz w:val="21"/>
          <w:szCs w:val="21"/>
          <w:highlight w:val="none"/>
        </w:rPr>
      </w:pPr>
      <w:r>
        <w:rPr>
          <w:rFonts w:hint="eastAsia" w:ascii="宋体" w:hAnsi="宋体"/>
          <w:b/>
          <w:bCs/>
          <w:color w:val="auto"/>
          <w:szCs w:val="21"/>
          <w:highlight w:val="none"/>
        </w:rPr>
        <w:t>现文：</w:t>
      </w:r>
      <w:r>
        <w:rPr>
          <w:rFonts w:hint="eastAsia" w:ascii="宋体" w:hAnsi="宋体"/>
          <w:b w:val="0"/>
          <w:bCs w:val="0"/>
          <w:color w:val="auto"/>
          <w:szCs w:val="21"/>
          <w:highlight w:val="none"/>
        </w:rPr>
        <w:t>46.2.8按上述修正错误的原则及方法调整或修正投标文件的投标报价，调整后的投标报价对投标人起约束作用。如果投标人不接受修正后的报价，则取消其投标资格</w:t>
      </w:r>
      <w:r>
        <w:rPr>
          <w:rFonts w:hint="eastAsia" w:ascii="宋体" w:hAnsi="宋体"/>
          <w:b w:val="0"/>
          <w:bCs w:val="0"/>
          <w:strike/>
          <w:color w:val="auto"/>
          <w:szCs w:val="21"/>
          <w:highlight w:val="none"/>
        </w:rPr>
        <w:t>，并且其投标保证金也将不予退还</w:t>
      </w:r>
      <w:r>
        <w:rPr>
          <w:rFonts w:hint="eastAsia" w:ascii="宋体" w:hAnsi="宋体"/>
          <w:b w:val="0"/>
          <w:bCs w:val="0"/>
          <w:color w:val="auto"/>
          <w:szCs w:val="21"/>
          <w:highlight w:val="none"/>
        </w:rPr>
        <w:t>。</w:t>
      </w:r>
    </w:p>
    <w:p w14:paraId="4A794C8E">
      <w:pPr>
        <w:spacing w:before="0" w:beforeLines="-2147483648" w:line="360" w:lineRule="auto"/>
        <w:ind w:firstLine="0" w:firstLineChars="0"/>
        <w:rPr>
          <w:rFonts w:hint="eastAsia" w:ascii="宋体" w:hAnsi="宋体" w:cs="Times New Roman"/>
          <w:b/>
          <w:bCs/>
          <w:color w:val="auto"/>
          <w:szCs w:val="21"/>
          <w:highlight w:val="none"/>
          <w:u w:val="single"/>
        </w:rPr>
      </w:pPr>
      <w:r>
        <w:rPr>
          <w:rFonts w:hint="eastAsia" w:ascii="宋体" w:hAnsi="宋体" w:cs="Times New Roman"/>
          <w:b/>
          <w:bCs/>
          <w:color w:val="auto"/>
          <w:szCs w:val="21"/>
          <w:highlight w:val="none"/>
          <w:u w:val="none"/>
        </w:rPr>
        <w:t xml:space="preserve"> </w:t>
      </w:r>
      <w:r>
        <w:rPr>
          <w:rFonts w:hint="eastAsia" w:ascii="宋体" w:hAnsi="宋体" w:cs="Times New Roman"/>
          <w:b/>
          <w:bCs/>
          <w:color w:val="auto"/>
          <w:szCs w:val="21"/>
          <w:highlight w:val="none"/>
          <w:u w:val="single"/>
        </w:rPr>
        <w:t xml:space="preserve">                                                                             </w:t>
      </w:r>
      <w:r>
        <w:rPr>
          <w:rFonts w:hint="eastAsia" w:ascii="宋体" w:hAnsi="宋体" w:cs="Times New Roman"/>
          <w:b/>
          <w:bCs/>
          <w:color w:val="auto"/>
          <w:szCs w:val="21"/>
          <w:highlight w:val="none"/>
          <w:u w:val="single"/>
          <w:lang w:val="en-US" w:eastAsia="zh-CN"/>
        </w:rPr>
        <w:t xml:space="preserve">      </w:t>
      </w:r>
      <w:r>
        <w:rPr>
          <w:rFonts w:hint="eastAsia" w:ascii="宋体" w:hAnsi="宋体" w:cs="Times New Roman"/>
          <w:b/>
          <w:bCs/>
          <w:color w:val="auto"/>
          <w:szCs w:val="21"/>
          <w:highlight w:val="none"/>
          <w:u w:val="single"/>
        </w:rPr>
        <w:t xml:space="preserve">  </w:t>
      </w:r>
    </w:p>
    <w:p w14:paraId="6DC9EB53">
      <w:pPr>
        <w:spacing w:line="360" w:lineRule="auto"/>
        <w:ind w:firstLine="472" w:firstLineChars="224"/>
        <w:rPr>
          <w:b/>
          <w:color w:val="auto"/>
          <w:szCs w:val="21"/>
          <w:highlight w:val="none"/>
        </w:rPr>
      </w:pPr>
      <w:r>
        <w:rPr>
          <w:rFonts w:hint="eastAsia"/>
          <w:b/>
          <w:color w:val="auto"/>
          <w:szCs w:val="21"/>
          <w:highlight w:val="none"/>
        </w:rPr>
        <w:t>条款号：附表一</w:t>
      </w:r>
      <w:r>
        <w:rPr>
          <w:b/>
          <w:color w:val="auto"/>
          <w:szCs w:val="21"/>
          <w:highlight w:val="none"/>
        </w:rPr>
        <w:t xml:space="preserve">             </w:t>
      </w:r>
      <w:r>
        <w:rPr>
          <w:rFonts w:hint="eastAsia"/>
          <w:b/>
          <w:color w:val="auto"/>
          <w:szCs w:val="21"/>
          <w:highlight w:val="none"/>
        </w:rPr>
        <w:t>修改类型：修改</w:t>
      </w:r>
    </w:p>
    <w:p w14:paraId="4048822C">
      <w:pP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《资格审查表》</w:t>
      </w:r>
    </w:p>
    <w:p w14:paraId="76C75D33">
      <w:pPr>
        <w:pBdr>
          <w:bottom w:val="single" w:color="auto" w:sz="6" w:space="1"/>
        </w:pBdr>
        <w:spacing w:line="360" w:lineRule="auto"/>
        <w:ind w:firstLine="527" w:firstLineChars="250"/>
        <w:rPr>
          <w:b/>
          <w:color w:val="auto"/>
          <w:szCs w:val="21"/>
          <w:highlight w:val="none"/>
        </w:rPr>
      </w:pPr>
      <w:r>
        <w:rPr>
          <w:rFonts w:hint="eastAsia"/>
          <w:b/>
          <w:color w:val="auto"/>
          <w:szCs w:val="21"/>
          <w:highlight w:val="none"/>
        </w:rPr>
        <w:t>现文：</w:t>
      </w:r>
      <w:r>
        <w:rPr>
          <w:rFonts w:hint="eastAsia"/>
          <w:color w:val="auto"/>
          <w:szCs w:val="21"/>
          <w:highlight w:val="none"/>
        </w:rPr>
        <w:t>详见修改《资格审查表》</w:t>
      </w:r>
    </w:p>
    <w:p w14:paraId="488DB104">
      <w:pPr>
        <w:spacing w:line="360" w:lineRule="auto"/>
        <w:ind w:firstLine="472" w:firstLineChars="224"/>
        <w:rPr>
          <w:b/>
          <w:color w:val="auto"/>
          <w:szCs w:val="21"/>
          <w:highlight w:val="none"/>
        </w:rPr>
      </w:pPr>
      <w:r>
        <w:rPr>
          <w:rFonts w:hint="eastAsia"/>
          <w:b/>
          <w:color w:val="auto"/>
          <w:szCs w:val="21"/>
          <w:highlight w:val="none"/>
        </w:rPr>
        <w:t>条款号：附表二</w:t>
      </w:r>
      <w:r>
        <w:rPr>
          <w:b/>
          <w:color w:val="auto"/>
          <w:szCs w:val="21"/>
          <w:highlight w:val="none"/>
        </w:rPr>
        <w:t xml:space="preserve">             </w:t>
      </w:r>
      <w:r>
        <w:rPr>
          <w:rFonts w:hint="eastAsia"/>
          <w:b/>
          <w:color w:val="auto"/>
          <w:szCs w:val="21"/>
          <w:highlight w:val="none"/>
        </w:rPr>
        <w:t>修改类型：修改</w:t>
      </w:r>
    </w:p>
    <w:p w14:paraId="61D5120E">
      <w:pPr>
        <w:pBdr>
          <w:bottom w:val="single" w:color="auto" w:sz="6" w:space="1"/>
        </w:pBdr>
        <w:spacing w:line="360" w:lineRule="auto"/>
        <w:ind w:firstLine="527" w:firstLineChars="250"/>
        <w:rPr>
          <w:color w:val="auto"/>
          <w:szCs w:val="21"/>
          <w:highlight w:val="none"/>
        </w:rPr>
      </w:pPr>
      <w:r>
        <w:rPr>
          <w:rFonts w:hint="eastAsia"/>
          <w:b/>
          <w:color w:val="auto"/>
          <w:szCs w:val="21"/>
          <w:highlight w:val="none"/>
        </w:rPr>
        <w:t>原文：</w:t>
      </w:r>
      <w:r>
        <w:rPr>
          <w:rFonts w:hint="eastAsia"/>
          <w:color w:val="auto"/>
          <w:szCs w:val="21"/>
          <w:highlight w:val="none"/>
        </w:rPr>
        <w:t>《技术标有效性审查表》</w:t>
      </w:r>
    </w:p>
    <w:p w14:paraId="02C32F67">
      <w:pPr>
        <w:pBdr>
          <w:bottom w:val="single" w:color="auto" w:sz="6" w:space="1"/>
        </w:pBdr>
        <w:spacing w:line="360" w:lineRule="auto"/>
        <w:ind w:firstLine="527" w:firstLineChars="250"/>
        <w:rPr>
          <w:b/>
          <w:color w:val="auto"/>
          <w:szCs w:val="21"/>
          <w:highlight w:val="none"/>
        </w:rPr>
      </w:pPr>
      <w:r>
        <w:rPr>
          <w:rFonts w:hint="eastAsia"/>
          <w:b/>
          <w:color w:val="auto"/>
          <w:szCs w:val="21"/>
          <w:highlight w:val="none"/>
        </w:rPr>
        <w:t>现文：</w:t>
      </w:r>
      <w:r>
        <w:rPr>
          <w:rFonts w:hint="eastAsia"/>
          <w:color w:val="auto"/>
          <w:szCs w:val="21"/>
          <w:highlight w:val="none"/>
        </w:rPr>
        <w:t>详见修改《技术标有效性审查表》</w:t>
      </w:r>
    </w:p>
    <w:p w14:paraId="42A48CA7">
      <w:pPr>
        <w:spacing w:line="360" w:lineRule="auto"/>
        <w:ind w:firstLine="472" w:firstLineChars="224"/>
        <w:rPr>
          <w:b/>
          <w:color w:val="auto"/>
          <w:szCs w:val="21"/>
          <w:highlight w:val="none"/>
        </w:rPr>
      </w:pPr>
      <w:r>
        <w:rPr>
          <w:rFonts w:hint="eastAsia"/>
          <w:b/>
          <w:color w:val="auto"/>
          <w:szCs w:val="21"/>
          <w:highlight w:val="none"/>
        </w:rPr>
        <w:t>条款号：附表三</w:t>
      </w:r>
      <w:r>
        <w:rPr>
          <w:b/>
          <w:color w:val="auto"/>
          <w:szCs w:val="21"/>
          <w:highlight w:val="none"/>
        </w:rPr>
        <w:t xml:space="preserve">           </w:t>
      </w:r>
      <w:r>
        <w:rPr>
          <w:rFonts w:hint="eastAsia"/>
          <w:b/>
          <w:color w:val="auto"/>
          <w:szCs w:val="21"/>
          <w:highlight w:val="none"/>
        </w:rPr>
        <w:t>修改类型：修改</w:t>
      </w:r>
    </w:p>
    <w:p w14:paraId="7D2370E9">
      <w:pPr>
        <w:pBdr>
          <w:bottom w:val="single" w:color="auto" w:sz="6" w:space="1"/>
        </w:pBdr>
        <w:spacing w:line="360" w:lineRule="auto"/>
        <w:ind w:firstLine="527" w:firstLineChars="250"/>
        <w:rPr>
          <w:b/>
          <w:color w:val="auto"/>
          <w:szCs w:val="21"/>
          <w:highlight w:val="none"/>
        </w:rPr>
      </w:pPr>
      <w:r>
        <w:rPr>
          <w:rFonts w:hint="eastAsia"/>
          <w:b/>
          <w:color w:val="auto"/>
          <w:szCs w:val="21"/>
          <w:highlight w:val="none"/>
        </w:rPr>
        <w:t>原文：</w:t>
      </w:r>
      <w:r>
        <w:rPr>
          <w:rFonts w:hint="eastAsia"/>
          <w:color w:val="auto"/>
          <w:szCs w:val="21"/>
          <w:highlight w:val="none"/>
        </w:rPr>
        <w:t>《经济标有效性审查表》</w:t>
      </w:r>
    </w:p>
    <w:p w14:paraId="1259EA29">
      <w:pPr>
        <w:pBdr>
          <w:bottom w:val="single" w:color="auto" w:sz="6" w:space="1"/>
        </w:pBdr>
        <w:spacing w:line="360" w:lineRule="auto"/>
        <w:ind w:firstLine="422" w:firstLineChars="200"/>
        <w:rPr>
          <w:b/>
          <w:color w:val="auto"/>
          <w:szCs w:val="21"/>
          <w:highlight w:val="none"/>
        </w:rPr>
      </w:pPr>
      <w:r>
        <w:rPr>
          <w:rFonts w:hint="eastAsia"/>
          <w:b/>
          <w:color w:val="auto"/>
          <w:szCs w:val="21"/>
          <w:highlight w:val="none"/>
        </w:rPr>
        <w:t>现文：</w:t>
      </w:r>
      <w:r>
        <w:rPr>
          <w:rFonts w:hint="eastAsia"/>
          <w:color w:val="auto"/>
          <w:szCs w:val="21"/>
          <w:highlight w:val="none"/>
        </w:rPr>
        <w:t>详见修改《经济标有效性审查表》</w:t>
      </w:r>
    </w:p>
    <w:p w14:paraId="58AE1213">
      <w:pPr>
        <w:spacing w:line="360" w:lineRule="auto"/>
        <w:ind w:firstLine="422" w:firstLineChars="200"/>
        <w:rPr>
          <w:b/>
          <w:color w:val="auto"/>
          <w:szCs w:val="21"/>
          <w:highlight w:val="none"/>
        </w:rPr>
      </w:pPr>
      <w:r>
        <w:rPr>
          <w:rFonts w:hint="eastAsia"/>
          <w:b/>
          <w:color w:val="auto"/>
          <w:szCs w:val="21"/>
          <w:highlight w:val="none"/>
        </w:rPr>
        <w:t>条款号：附件一</w:t>
      </w:r>
      <w:r>
        <w:rPr>
          <w:b/>
          <w:color w:val="auto"/>
          <w:szCs w:val="21"/>
          <w:highlight w:val="none"/>
        </w:rPr>
        <w:t xml:space="preserve">            </w:t>
      </w:r>
      <w:r>
        <w:rPr>
          <w:rFonts w:hint="eastAsia"/>
          <w:b/>
          <w:color w:val="auto"/>
          <w:szCs w:val="21"/>
          <w:highlight w:val="none"/>
        </w:rPr>
        <w:t>修改类型：删除</w:t>
      </w:r>
    </w:p>
    <w:p w14:paraId="6D492D57">
      <w:pP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附件一（适用于技术标与经济标分别开启）</w:t>
      </w:r>
    </w:p>
    <w:p w14:paraId="07A0242E">
      <w:pPr>
        <w:autoSpaceDE w:val="0"/>
        <w:autoSpaceDN w:val="0"/>
        <w:adjustRightInd w:val="0"/>
        <w:spacing w:line="360" w:lineRule="auto"/>
        <w:ind w:firstLine="0" w:firstLineChars="0"/>
        <w:rPr>
          <w:b/>
          <w:color w:val="auto"/>
          <w:szCs w:val="21"/>
          <w:highlight w:val="none"/>
          <w:u w:val="single"/>
        </w:rPr>
      </w:pPr>
      <w:r>
        <w:rPr>
          <w:rFonts w:hint="eastAsia"/>
          <w:b w:val="0"/>
          <w:bCs/>
          <w:color w:val="auto"/>
          <w:szCs w:val="21"/>
          <w:highlight w:val="none"/>
          <w:u w:val="single"/>
        </w:rPr>
        <w:t xml:space="preserve">                                                                            </w:t>
      </w:r>
      <w:r>
        <w:rPr>
          <w:rFonts w:hint="eastAsia"/>
          <w:b w:val="0"/>
          <w:bCs/>
          <w:color w:val="auto"/>
          <w:szCs w:val="21"/>
          <w:highlight w:val="none"/>
          <w:u w:val="single"/>
          <w:lang w:val="en-US" w:eastAsia="zh-CN"/>
        </w:rPr>
        <w:t xml:space="preserve">           </w:t>
      </w:r>
      <w:r>
        <w:rPr>
          <w:rFonts w:hint="eastAsia"/>
          <w:b/>
          <w:color w:val="auto"/>
          <w:szCs w:val="21"/>
          <w:highlight w:val="none"/>
          <w:u w:val="single"/>
        </w:rPr>
        <w:t xml:space="preserve"> </w:t>
      </w:r>
    </w:p>
    <w:p w14:paraId="705BE791">
      <w:pPr>
        <w:spacing w:line="360" w:lineRule="auto"/>
        <w:ind w:firstLine="211" w:firstLineChars="100"/>
        <w:rPr>
          <w:b/>
          <w:color w:val="auto"/>
          <w:szCs w:val="21"/>
          <w:highlight w:val="none"/>
        </w:rPr>
      </w:pPr>
      <w:r>
        <w:rPr>
          <w:rFonts w:hint="eastAsia"/>
          <w:b/>
          <w:color w:val="auto"/>
          <w:szCs w:val="21"/>
          <w:highlight w:val="none"/>
        </w:rPr>
        <w:t>注：以上修改，仅限于本范本中有可供选择条款的情形。</w:t>
      </w:r>
    </w:p>
    <w:p w14:paraId="2AD9CF5C">
      <w:pPr>
        <w:spacing w:line="360" w:lineRule="auto"/>
        <w:rPr>
          <w:color w:val="auto"/>
          <w:highlight w:val="none"/>
        </w:rPr>
      </w:pPr>
      <w:r>
        <w:rPr>
          <w:rFonts w:hint="eastAsia"/>
          <w:b/>
          <w:color w:val="auto"/>
          <w:szCs w:val="21"/>
          <w:highlight w:val="none"/>
        </w:rPr>
        <w:t>（以下无正文）</w:t>
      </w:r>
    </w:p>
    <w:p w14:paraId="693A4A72">
      <w:pPr>
        <w:rPr>
          <w:rFonts w:hint="eastAsia"/>
          <w:color w:val="auto"/>
          <w:szCs w:val="21"/>
          <w:highlight w:val="none"/>
          <w:u w:val="single"/>
          <w:lang w:eastAsia="zh-CN"/>
        </w:rPr>
      </w:pPr>
    </w:p>
    <w:p w14:paraId="3DA0CE99">
      <w:pPr>
        <w:rPr>
          <w:rFonts w:hint="eastAsia"/>
          <w:color w:val="auto"/>
          <w:szCs w:val="21"/>
          <w:highlight w:val="none"/>
          <w:u w:val="single"/>
          <w:lang w:eastAsia="zh-CN"/>
        </w:rPr>
      </w:pPr>
    </w:p>
    <w:p w14:paraId="09E4521B">
      <w:pPr>
        <w:rPr>
          <w:rFonts w:hint="eastAsia"/>
          <w:color w:val="auto"/>
          <w:szCs w:val="21"/>
          <w:highlight w:val="none"/>
          <w:u w:val="single"/>
          <w:lang w:eastAsia="zh-CN"/>
        </w:rPr>
      </w:pPr>
    </w:p>
    <w:p w14:paraId="12B4BDEC">
      <w:pPr>
        <w:rPr>
          <w:rFonts w:hint="eastAsia"/>
          <w:color w:val="auto"/>
          <w:szCs w:val="21"/>
          <w:highlight w:val="none"/>
          <w:u w:val="single"/>
          <w:lang w:eastAsia="zh-CN"/>
        </w:rPr>
      </w:pPr>
    </w:p>
    <w:p w14:paraId="093E1C32">
      <w:pPr>
        <w:rPr>
          <w:rFonts w:hint="eastAsia"/>
          <w:color w:val="auto"/>
          <w:szCs w:val="21"/>
          <w:highlight w:val="none"/>
          <w:u w:val="single"/>
          <w:lang w:eastAsia="zh-CN"/>
        </w:rPr>
      </w:pPr>
    </w:p>
    <w:p w14:paraId="37F2687A">
      <w:pPr>
        <w:pStyle w:val="6"/>
        <w:ind w:firstLine="525"/>
        <w:rPr>
          <w:color w:val="auto"/>
          <w:highlight w:val="none"/>
        </w:rPr>
      </w:pPr>
      <w:r>
        <w:rPr>
          <w:rFonts w:hint="eastAsia"/>
          <w:color w:val="auto"/>
          <w:highlight w:val="none"/>
        </w:rPr>
        <w:t>二、开标、评标及定标办法</w:t>
      </w:r>
      <w:r>
        <w:rPr>
          <w:rFonts w:hint="eastAsia"/>
          <w:color w:val="auto"/>
          <w:szCs w:val="30"/>
          <w:highlight w:val="none"/>
        </w:rPr>
        <w:t>通用条款</w:t>
      </w:r>
    </w:p>
    <w:p w14:paraId="6797B7E8">
      <w:pPr>
        <w:pStyle w:val="7"/>
        <w:spacing w:before="156" w:after="156"/>
        <w:ind w:firstLine="540" w:firstLineChars="200"/>
        <w:rPr>
          <w:color w:val="auto"/>
          <w:highlight w:val="none"/>
        </w:rPr>
      </w:pPr>
      <w:bookmarkStart w:id="18" w:name="_Toc21525501"/>
      <w:bookmarkStart w:id="19" w:name="_Toc2272557"/>
      <w:r>
        <w:rPr>
          <w:rFonts w:hint="eastAsia"/>
          <w:color w:val="auto"/>
          <w:highlight w:val="none"/>
        </w:rPr>
        <w:t>（一）总则</w:t>
      </w:r>
      <w:bookmarkEnd w:id="18"/>
      <w:bookmarkEnd w:id="19"/>
    </w:p>
    <w:p w14:paraId="786D2B2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 开标、评标及定标所依据的规则</w:t>
      </w:r>
    </w:p>
    <w:p w14:paraId="45041F2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35.1《中华人民共和国招标投标法》；</w:t>
      </w:r>
    </w:p>
    <w:p w14:paraId="41D247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35.2《中华人民共和国招标投标法实施条例》；</w:t>
      </w:r>
    </w:p>
    <w:p w14:paraId="192113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35.3《评标委员会和评标方法暂行规定》（七部委第12号令）；</w:t>
      </w:r>
    </w:p>
    <w:p w14:paraId="2D138FF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35.4《工程建设项目施工招标投标办法》（七部委2003年第30号令）；</w:t>
      </w:r>
    </w:p>
    <w:p w14:paraId="437698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35.5《广东省实施〈中华人民共和国招标投标法〉办法》；</w:t>
      </w:r>
    </w:p>
    <w:p w14:paraId="70516FC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35.6《房屋建筑和市政基础设施工程施工招标投标管理办法》（建设部令第89号）；</w:t>
      </w:r>
    </w:p>
    <w:p w14:paraId="039E8041">
      <w:pPr>
        <w:spacing w:line="360" w:lineRule="auto"/>
        <w:ind w:firstLine="480" w:firstLineChars="200"/>
        <w:rPr>
          <w:rFonts w:hint="eastAsia" w:ascii="宋体" w:hAnsi="宋体"/>
          <w:color w:val="auto"/>
          <w:sz w:val="24"/>
          <w:szCs w:val="24"/>
          <w:highlight w:val="none"/>
          <w:u w:val="none"/>
        </w:rPr>
      </w:pPr>
      <w:r>
        <w:rPr>
          <w:rFonts w:hint="eastAsia" w:ascii="宋体" w:hAnsi="宋体"/>
          <w:color w:val="auto"/>
          <w:sz w:val="24"/>
          <w:szCs w:val="24"/>
          <w:highlight w:val="none"/>
          <w:u w:val="none"/>
        </w:rPr>
        <w:t>35.7《财政部 工业和信息化部关于印发〈政府采购促进中小企业发展管理办法〉的通知》（财库〔2020〕46号）</w:t>
      </w:r>
    </w:p>
    <w:p w14:paraId="195867B1">
      <w:pPr>
        <w:spacing w:line="360" w:lineRule="auto"/>
        <w:ind w:firstLine="480" w:firstLineChars="200"/>
        <w:rPr>
          <w:rFonts w:ascii="宋体" w:hAnsi="宋体"/>
          <w:color w:val="auto"/>
          <w:sz w:val="24"/>
          <w:szCs w:val="24"/>
          <w:highlight w:val="none"/>
          <w:u w:val="none"/>
        </w:rPr>
      </w:pPr>
      <w:r>
        <w:rPr>
          <w:rFonts w:hint="eastAsia" w:ascii="宋体" w:hAnsi="宋体"/>
          <w:color w:val="auto"/>
          <w:sz w:val="24"/>
          <w:szCs w:val="24"/>
          <w:highlight w:val="none"/>
          <w:u w:val="none"/>
        </w:rPr>
        <w:t>35.8《广东省加强建设工程招标投标监督管理的若干规定》（粤发〔2004〕4号）；</w:t>
      </w:r>
    </w:p>
    <w:p w14:paraId="0626C82C">
      <w:pPr>
        <w:spacing w:line="360" w:lineRule="auto"/>
        <w:ind w:firstLine="480" w:firstLineChars="200"/>
        <w:rPr>
          <w:rFonts w:hint="eastAsia" w:ascii="宋体" w:hAnsi="宋体"/>
          <w:color w:val="auto"/>
          <w:sz w:val="24"/>
          <w:szCs w:val="24"/>
          <w:highlight w:val="none"/>
          <w:u w:val="none"/>
        </w:rPr>
      </w:pPr>
      <w:r>
        <w:rPr>
          <w:rFonts w:hint="eastAsia" w:ascii="宋体" w:hAnsi="宋体"/>
          <w:color w:val="auto"/>
          <w:sz w:val="24"/>
          <w:szCs w:val="24"/>
          <w:highlight w:val="none"/>
          <w:u w:val="none"/>
        </w:rPr>
        <w:t>35.9《广东省政府采购促进中小企业发展实施细则（试行）》</w:t>
      </w:r>
    </w:p>
    <w:p w14:paraId="452D8D1C">
      <w:pPr>
        <w:spacing w:line="360" w:lineRule="auto"/>
        <w:ind w:firstLine="480" w:firstLineChars="200"/>
        <w:rPr>
          <w:rFonts w:ascii="宋体" w:hAnsi="宋体"/>
          <w:color w:val="auto"/>
          <w:sz w:val="24"/>
          <w:szCs w:val="24"/>
          <w:highlight w:val="none"/>
          <w:u w:val="none"/>
        </w:rPr>
      </w:pPr>
      <w:r>
        <w:rPr>
          <w:rFonts w:hint="eastAsia" w:ascii="宋体" w:hAnsi="宋体"/>
          <w:color w:val="auto"/>
          <w:sz w:val="24"/>
          <w:szCs w:val="24"/>
          <w:highlight w:val="none"/>
          <w:u w:val="none"/>
        </w:rPr>
        <w:t>35.10《广州市工程建设项目招标投标管理办法》（穗建规字〔2023〕12号）；</w:t>
      </w:r>
    </w:p>
    <w:p w14:paraId="77BE1193">
      <w:pPr>
        <w:spacing w:line="360" w:lineRule="auto"/>
        <w:ind w:firstLine="480" w:firstLineChars="200"/>
        <w:rPr>
          <w:rFonts w:hint="eastAsia" w:ascii="宋体" w:hAnsi="宋体"/>
          <w:color w:val="auto"/>
          <w:sz w:val="24"/>
          <w:szCs w:val="24"/>
          <w:highlight w:val="none"/>
          <w:u w:val="none"/>
        </w:rPr>
      </w:pPr>
      <w:r>
        <w:rPr>
          <w:rFonts w:hint="eastAsia" w:ascii="宋体" w:hAnsi="宋体"/>
          <w:color w:val="auto"/>
          <w:sz w:val="24"/>
          <w:szCs w:val="24"/>
          <w:highlight w:val="none"/>
          <w:u w:val="none"/>
        </w:rPr>
        <w:t>35.11《广州市财政局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14:paraId="7571726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35.12</w:t>
      </w:r>
      <w:r>
        <w:rPr>
          <w:rFonts w:hint="eastAsia" w:ascii="宋体" w:hAnsi="宋体"/>
          <w:color w:val="auto"/>
          <w:sz w:val="24"/>
          <w:szCs w:val="24"/>
          <w:highlight w:val="none"/>
        </w:rPr>
        <w:t>本项目招标文件。</w:t>
      </w:r>
    </w:p>
    <w:p w14:paraId="1CAE4B5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w:t>
      </w:r>
      <w:r>
        <w:rPr>
          <w:rFonts w:hint="eastAsia" w:ascii="宋体" w:hAnsi="宋体"/>
          <w:color w:val="auto"/>
          <w:sz w:val="24"/>
          <w:szCs w:val="24"/>
          <w:highlight w:val="none"/>
        </w:rPr>
        <w:t>．开标</w:t>
      </w:r>
    </w:p>
    <w:p w14:paraId="0E0B0E9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36.1 </w:t>
      </w:r>
      <w:r>
        <w:rPr>
          <w:rFonts w:hint="eastAsia" w:ascii="宋体" w:hAnsi="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14:paraId="56EEC32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36.2</w:t>
      </w:r>
      <w:r>
        <w:rPr>
          <w:rFonts w:hint="eastAsia" w:ascii="宋体" w:hAnsi="宋体"/>
          <w:color w:val="auto"/>
          <w:sz w:val="24"/>
          <w:szCs w:val="24"/>
          <w:highlight w:val="none"/>
        </w:rPr>
        <w:t xml:space="preserve"> 招标人在招标文件要求提交投标文件的截止时间前收到的投标文件，开标时都当众予以解密、公布。</w:t>
      </w:r>
    </w:p>
    <w:p w14:paraId="15A7112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14:paraId="565F200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36.4若递交投标文件的投标人不足3家，则重新组织招标。（当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p>
    <w:p w14:paraId="0C34474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36.5按下列程序进行开标：</w:t>
      </w:r>
    </w:p>
    <w:p w14:paraId="22C4E5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36.5.1在投标截止时间后一个小时内，投标人通过交易平台对已递交的电子投标文件进行解密。投标人完成解密后，再由招标人进行解密。解密完成后，公布招标项目名称、投标人名称、投标报价、工期及其他内容；</w:t>
      </w:r>
    </w:p>
    <w:p w14:paraId="5F8EAA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36.5.2备用光盘的读取按投标须知前附表第</w:t>
      </w:r>
      <w:r>
        <w:rPr>
          <w:rFonts w:hint="eastAsia" w:ascii="宋体" w:hAnsi="宋体"/>
          <w:color w:val="auto"/>
          <w:sz w:val="24"/>
          <w:highlight w:val="none"/>
          <w:u w:val="single"/>
        </w:rPr>
        <w:t>3</w:t>
      </w:r>
      <w:r>
        <w:rPr>
          <w:rFonts w:hint="eastAsia" w:ascii="宋体" w:hAnsi="宋体"/>
          <w:color w:val="auto"/>
          <w:sz w:val="24"/>
          <w:highlight w:val="none"/>
          <w:u w:val="single"/>
          <w:lang w:val="en-US" w:eastAsia="zh-CN"/>
        </w:rPr>
        <w:t>2</w:t>
      </w:r>
      <w:r>
        <w:rPr>
          <w:rFonts w:hint="eastAsia" w:ascii="宋体" w:hAnsi="宋体"/>
          <w:color w:val="auto"/>
          <w:sz w:val="24"/>
          <w:highlight w:val="none"/>
        </w:rPr>
        <w:t>项的规定执行；</w:t>
      </w:r>
    </w:p>
    <w:p w14:paraId="17E716B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36.5.3投标人代表、招标人代表、监标人、记录人等有关人员在开标记录上签字确认；若有关人员不签字的，不影响开标程序；</w:t>
      </w:r>
    </w:p>
    <w:p w14:paraId="555C14E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36.5.4开标结束。</w:t>
      </w:r>
    </w:p>
    <w:p w14:paraId="5F3484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5707279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36.7开标时，两个（含两个）以上的投标人加密打包投标文件电脑机器特征码一致的，不参与下一程序，并由评标委员会否决其投标。</w:t>
      </w:r>
    </w:p>
    <w:p w14:paraId="749747C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．评标</w:t>
      </w:r>
    </w:p>
    <w:p w14:paraId="485232C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37.1</w:t>
      </w:r>
      <w:r>
        <w:rPr>
          <w:rFonts w:hint="eastAsia" w:ascii="宋体" w:hAnsi="宋体"/>
          <w:color w:val="auto"/>
          <w:sz w:val="24"/>
          <w:szCs w:val="24"/>
          <w:highlight w:val="none"/>
        </w:rPr>
        <w:t>评标委员会由招标人依法组建。</w:t>
      </w:r>
    </w:p>
    <w:p w14:paraId="5C25A8A6">
      <w:pPr>
        <w:spacing w:line="360" w:lineRule="auto"/>
        <w:ind w:firstLine="480" w:firstLineChars="200"/>
        <w:rPr>
          <w:rFonts w:hint="eastAsia" w:ascii="宋体" w:hAnsi="宋体" w:eastAsia="宋体"/>
          <w:color w:val="auto"/>
          <w:sz w:val="24"/>
          <w:szCs w:val="24"/>
          <w:highlight w:val="none"/>
          <w:lang w:eastAsia="zh-CN"/>
        </w:rPr>
      </w:pPr>
      <w:r>
        <w:rPr>
          <w:rFonts w:ascii="宋体" w:hAnsi="宋体"/>
          <w:color w:val="auto"/>
          <w:sz w:val="24"/>
          <w:szCs w:val="24"/>
          <w:highlight w:val="none"/>
        </w:rPr>
        <w:t>37.2</w:t>
      </w:r>
      <w:r>
        <w:rPr>
          <w:rFonts w:hint="eastAsia" w:ascii="宋体" w:hAnsi="宋体"/>
          <w:color w:val="auto"/>
          <w:sz w:val="24"/>
          <w:szCs w:val="24"/>
          <w:highlight w:val="none"/>
          <w:u w:val="none"/>
        </w:rPr>
        <w:t>评标委员会在开始评标前，应了解评标专家的职责及守则，认真阅读附件1《评标委员会成员声明》的内容并签名，签字后方可进行评标</w:t>
      </w:r>
      <w:r>
        <w:rPr>
          <w:rFonts w:hint="eastAsia" w:ascii="宋体" w:hAnsi="宋体"/>
          <w:color w:val="auto"/>
          <w:sz w:val="24"/>
          <w:szCs w:val="24"/>
          <w:highlight w:val="none"/>
          <w:u w:val="none"/>
          <w:lang w:eastAsia="zh-CN"/>
        </w:rPr>
        <w:t>。</w:t>
      </w:r>
    </w:p>
    <w:p w14:paraId="18AC0BA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评标委员会的职责及守则：</w:t>
      </w:r>
    </w:p>
    <w:p w14:paraId="4DFC1C8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.1</w:t>
      </w:r>
      <w:r>
        <w:rPr>
          <w:rFonts w:hint="eastAsia" w:ascii="宋体" w:hAnsi="宋体"/>
          <w:color w:val="auto"/>
          <w:sz w:val="24"/>
          <w:szCs w:val="24"/>
          <w:highlight w:val="none"/>
        </w:rPr>
        <w:t>根据评标细则，对</w:t>
      </w:r>
      <w:r>
        <w:rPr>
          <w:rFonts w:hint="eastAsia" w:ascii="宋体" w:hAnsi="宋体"/>
          <w:color w:val="auto"/>
          <w:sz w:val="24"/>
          <w:highlight w:val="none"/>
        </w:rPr>
        <w:t>投标文件</w:t>
      </w:r>
      <w:r>
        <w:rPr>
          <w:rFonts w:hint="eastAsia" w:ascii="宋体" w:hAnsi="宋体"/>
          <w:color w:val="auto"/>
          <w:sz w:val="24"/>
          <w:szCs w:val="24"/>
          <w:highlight w:val="none"/>
        </w:rPr>
        <w:t>进行认真评审，完成评审报告；</w:t>
      </w:r>
    </w:p>
    <w:p w14:paraId="6DADB03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.2</w:t>
      </w:r>
      <w:r>
        <w:rPr>
          <w:rFonts w:hint="eastAsia" w:ascii="宋体" w:hAnsi="宋体"/>
          <w:color w:val="auto"/>
          <w:sz w:val="24"/>
          <w:szCs w:val="24"/>
          <w:highlight w:val="none"/>
        </w:rPr>
        <w:t>向招标人报告评审意见，推荐合格的中标候选人。</w:t>
      </w:r>
    </w:p>
    <w:p w14:paraId="08B36939">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37.</w:t>
      </w:r>
      <w:r>
        <w:rPr>
          <w:rFonts w:hint="eastAsia" w:ascii="宋体" w:hAnsi="宋体"/>
          <w:bCs/>
          <w:color w:val="auto"/>
          <w:sz w:val="24"/>
          <w:szCs w:val="24"/>
          <w:highlight w:val="none"/>
          <w:lang w:val="en-US" w:eastAsia="zh-CN"/>
        </w:rPr>
        <w:t>3</w:t>
      </w:r>
      <w:r>
        <w:rPr>
          <w:rFonts w:ascii="宋体" w:hAnsi="宋体"/>
          <w:bCs/>
          <w:color w:val="auto"/>
          <w:sz w:val="24"/>
          <w:szCs w:val="24"/>
          <w:highlight w:val="none"/>
        </w:rPr>
        <w:t>.3</w:t>
      </w:r>
      <w:r>
        <w:rPr>
          <w:rFonts w:ascii="宋体" w:hAnsi="宋体"/>
          <w:b/>
          <w:bCs/>
          <w:color w:val="auto"/>
          <w:sz w:val="24"/>
          <w:szCs w:val="24"/>
          <w:highlight w:val="none"/>
        </w:rPr>
        <w:t xml:space="preserve"> </w:t>
      </w:r>
      <w:r>
        <w:rPr>
          <w:rFonts w:hint="eastAsia" w:ascii="宋体" w:hAnsi="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14:paraId="62A7147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.4</w:t>
      </w:r>
      <w:r>
        <w:rPr>
          <w:rFonts w:hint="eastAsia" w:ascii="宋体" w:hAnsi="宋体"/>
          <w:color w:val="auto"/>
          <w:sz w:val="24"/>
          <w:szCs w:val="24"/>
          <w:highlight w:val="none"/>
        </w:rPr>
        <w:t>全体参与评标人员：</w:t>
      </w:r>
    </w:p>
    <w:p w14:paraId="6C9D7F4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.4.1 </w:t>
      </w:r>
      <w:r>
        <w:rPr>
          <w:rFonts w:hint="eastAsia" w:ascii="宋体" w:hAnsi="宋体"/>
          <w:color w:val="auto"/>
          <w:sz w:val="24"/>
          <w:szCs w:val="24"/>
          <w:highlight w:val="none"/>
        </w:rPr>
        <w:t>必须遵守评标纪律、不得泄密；</w:t>
      </w:r>
    </w:p>
    <w:p w14:paraId="412EA6F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.4.2 </w:t>
      </w:r>
      <w:r>
        <w:rPr>
          <w:rFonts w:hint="eastAsia" w:ascii="宋体" w:hAnsi="宋体"/>
          <w:color w:val="auto"/>
          <w:sz w:val="24"/>
          <w:szCs w:val="24"/>
          <w:highlight w:val="none"/>
        </w:rPr>
        <w:t>必须公正、不得循私；</w:t>
      </w:r>
    </w:p>
    <w:p w14:paraId="52BF112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.4.3 </w:t>
      </w:r>
      <w:r>
        <w:rPr>
          <w:rFonts w:hint="eastAsia" w:ascii="宋体" w:hAnsi="宋体"/>
          <w:color w:val="auto"/>
          <w:sz w:val="24"/>
          <w:szCs w:val="24"/>
          <w:highlight w:val="none"/>
        </w:rPr>
        <w:t>必须科学、不得草率；</w:t>
      </w:r>
    </w:p>
    <w:p w14:paraId="7CBCA7D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.4.4 </w:t>
      </w:r>
      <w:r>
        <w:rPr>
          <w:rFonts w:hint="eastAsia" w:ascii="宋体" w:hAnsi="宋体"/>
          <w:color w:val="auto"/>
          <w:sz w:val="24"/>
          <w:szCs w:val="24"/>
          <w:highlight w:val="none"/>
        </w:rPr>
        <w:t>必须客观、不得带有成见；</w:t>
      </w:r>
    </w:p>
    <w:p w14:paraId="5151B89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.4.5 </w:t>
      </w:r>
      <w:r>
        <w:rPr>
          <w:rFonts w:hint="eastAsia" w:ascii="宋体" w:hAnsi="宋体"/>
          <w:color w:val="auto"/>
          <w:sz w:val="24"/>
          <w:szCs w:val="24"/>
          <w:highlight w:val="none"/>
        </w:rPr>
        <w:t>必须平等、不得强加于人；</w:t>
      </w:r>
    </w:p>
    <w:p w14:paraId="43DE27A4">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.4.6 </w:t>
      </w:r>
      <w:r>
        <w:rPr>
          <w:rFonts w:hint="eastAsia" w:ascii="宋体" w:hAnsi="宋体"/>
          <w:color w:val="auto"/>
          <w:sz w:val="24"/>
          <w:szCs w:val="24"/>
          <w:highlight w:val="none"/>
        </w:rPr>
        <w:t>必须严谨、不得随意马虎。</w:t>
      </w:r>
    </w:p>
    <w:p w14:paraId="1FC61C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w:t>
      </w:r>
      <w:r>
        <w:rPr>
          <w:rFonts w:hint="eastAsia" w:ascii="宋体" w:hAnsi="宋体"/>
          <w:color w:val="auto"/>
          <w:sz w:val="24"/>
          <w:szCs w:val="24"/>
          <w:highlight w:val="none"/>
          <w:lang w:val="en-US" w:eastAsia="zh-CN"/>
        </w:rPr>
        <w:t>4</w:t>
      </w:r>
      <w:r>
        <w:rPr>
          <w:rFonts w:hint="eastAsia" w:ascii="宋体" w:hAnsi="宋体"/>
          <w:b/>
          <w:bCs/>
          <w:color w:val="auto"/>
          <w:sz w:val="24"/>
          <w:szCs w:val="24"/>
          <w:highlight w:val="none"/>
        </w:rPr>
        <w:t>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14:paraId="620807A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5</w:t>
      </w:r>
      <w:r>
        <w:rPr>
          <w:rFonts w:ascii="宋体" w:hAnsi="宋体"/>
          <w:color w:val="auto"/>
          <w:sz w:val="24"/>
          <w:szCs w:val="24"/>
          <w:highlight w:val="none"/>
        </w:rPr>
        <w:t xml:space="preserve"> </w:t>
      </w:r>
      <w:r>
        <w:rPr>
          <w:rFonts w:hint="eastAsia" w:ascii="宋体" w:hAnsi="宋体"/>
          <w:color w:val="auto"/>
          <w:sz w:val="24"/>
          <w:szCs w:val="24"/>
          <w:highlight w:val="none"/>
        </w:rPr>
        <w:t>评标结束后，评标委员会递交评标报告并依法推荐中标候选人。</w:t>
      </w:r>
      <w:r>
        <w:rPr>
          <w:rFonts w:ascii="宋体" w:hAnsi="宋体"/>
          <w:color w:val="auto"/>
          <w:sz w:val="24"/>
          <w:szCs w:val="24"/>
          <w:highlight w:val="none"/>
        </w:rPr>
        <w:t xml:space="preserve"> </w:t>
      </w:r>
    </w:p>
    <w:p w14:paraId="01F06B6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w:t>
      </w:r>
      <w:r>
        <w:rPr>
          <w:rFonts w:hint="eastAsia" w:ascii="宋体" w:hAnsi="宋体"/>
          <w:color w:val="auto"/>
          <w:sz w:val="24"/>
          <w:szCs w:val="24"/>
          <w:highlight w:val="none"/>
        </w:rPr>
        <w:t>．投标文件的澄清</w:t>
      </w:r>
    </w:p>
    <w:p w14:paraId="5B6B01D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38.1</w:t>
      </w:r>
      <w:r>
        <w:rPr>
          <w:rFonts w:hint="eastAsia" w:ascii="宋体" w:hAnsi="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7C00F4D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38.2 </w:t>
      </w:r>
      <w:r>
        <w:rPr>
          <w:rFonts w:hint="eastAsia" w:ascii="宋体" w:hAnsi="宋体"/>
          <w:color w:val="auto"/>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21EF3A4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38.3 </w:t>
      </w:r>
      <w:r>
        <w:rPr>
          <w:rFonts w:hint="eastAsia" w:ascii="宋体" w:hAnsi="宋体"/>
          <w:color w:val="auto"/>
          <w:sz w:val="24"/>
          <w:szCs w:val="24"/>
          <w:highlight w:val="none"/>
        </w:rPr>
        <w:t>评标委员会或评标委员会专业评审组成员均应当阅读投标人的澄清，但应独立参考澄清对投标文件进行评审。</w:t>
      </w:r>
    </w:p>
    <w:p w14:paraId="6AA2A92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38.4</w:t>
      </w:r>
      <w:r>
        <w:rPr>
          <w:rFonts w:hint="eastAsia" w:ascii="宋体" w:hAnsi="宋体"/>
          <w:color w:val="auto"/>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14:paraId="41EBE3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38.5</w:t>
      </w:r>
      <w:r>
        <w:rPr>
          <w:rFonts w:hint="eastAsia" w:ascii="宋体" w:hAnsi="宋体"/>
          <w:color w:val="auto"/>
          <w:sz w:val="24"/>
          <w:szCs w:val="24"/>
          <w:highlight w:val="none"/>
          <w:u w:val="singl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6AFCAFE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w:t>
      </w:r>
      <w:r>
        <w:rPr>
          <w:rFonts w:hint="eastAsia" w:ascii="宋体" w:hAnsi="宋体"/>
          <w:color w:val="auto"/>
          <w:sz w:val="24"/>
          <w:szCs w:val="24"/>
          <w:highlight w:val="none"/>
        </w:rPr>
        <w:t>．定标</w:t>
      </w:r>
    </w:p>
    <w:p w14:paraId="3627C01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39.1 </w:t>
      </w:r>
      <w:r>
        <w:rPr>
          <w:rFonts w:hint="eastAsia" w:ascii="宋体" w:hAnsi="宋体"/>
          <w:color w:val="auto"/>
          <w:sz w:val="24"/>
          <w:szCs w:val="24"/>
          <w:highlight w:val="none"/>
        </w:rPr>
        <w:t>招标人根据评标委员会递交的评标报告，最终审定中标人。</w:t>
      </w:r>
    </w:p>
    <w:p w14:paraId="408D9E6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39.2 </w:t>
      </w:r>
      <w:r>
        <w:rPr>
          <w:rFonts w:hint="eastAsia" w:ascii="宋体" w:hAnsi="宋体"/>
          <w:color w:val="auto"/>
          <w:sz w:val="24"/>
          <w:szCs w:val="24"/>
          <w:highlight w:val="none"/>
        </w:rPr>
        <w:t>依法必须进行公开招标的项目，招标人应当确定排名第一的中标候选人为中标人。</w:t>
      </w:r>
    </w:p>
    <w:p w14:paraId="5F03AE7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39.3</w:t>
      </w:r>
      <w:r>
        <w:rPr>
          <w:rFonts w:hint="eastAsia" w:ascii="宋体" w:hAnsi="宋体"/>
          <w:color w:val="auto"/>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14:paraId="3374EBD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39.4</w:t>
      </w:r>
      <w:r>
        <w:rPr>
          <w:rFonts w:hint="eastAsia" w:ascii="宋体" w:hAnsi="宋体"/>
          <w:color w:val="auto"/>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14:paraId="07097A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14:paraId="1650A867">
      <w:pPr>
        <w:pStyle w:val="7"/>
        <w:spacing w:before="156" w:after="156"/>
        <w:ind w:firstLine="540" w:firstLineChars="200"/>
        <w:rPr>
          <w:color w:val="auto"/>
          <w:highlight w:val="none"/>
        </w:rPr>
      </w:pPr>
      <w:bookmarkStart w:id="20" w:name="_Toc21525502"/>
      <w:bookmarkStart w:id="21" w:name="_Toc2272558"/>
      <w:r>
        <w:rPr>
          <w:rFonts w:hint="eastAsia"/>
          <w:color w:val="auto"/>
          <w:highlight w:val="none"/>
        </w:rPr>
        <w:t>（二）开标评标办法程序和细则</w:t>
      </w:r>
      <w:bookmarkEnd w:id="20"/>
      <w:bookmarkEnd w:id="21"/>
    </w:p>
    <w:p w14:paraId="17B5830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注：企业综合诚信评价分数即投标截止当日广州市工程招标行业协会网站上公布的企业综合诚信评价</w:t>
      </w:r>
      <w:r>
        <w:rPr>
          <w:rFonts w:ascii="宋体" w:hAnsi="宋体"/>
          <w:color w:val="auto"/>
          <w:sz w:val="24"/>
          <w:szCs w:val="24"/>
          <w:highlight w:val="none"/>
        </w:rPr>
        <w:t>60</w:t>
      </w:r>
      <w:r>
        <w:rPr>
          <w:rFonts w:hint="eastAsia" w:ascii="宋体" w:hAnsi="宋体"/>
          <w:color w:val="auto"/>
          <w:sz w:val="24"/>
          <w:szCs w:val="24"/>
          <w:highlight w:val="none"/>
        </w:rPr>
        <w:t>日诚信分。</w:t>
      </w:r>
    </w:p>
    <w:p w14:paraId="354EF4F7">
      <w:pPr>
        <w:spacing w:line="360" w:lineRule="auto"/>
        <w:rPr>
          <w:rFonts w:ascii="宋体" w:hAnsi="宋体"/>
          <w:color w:val="auto"/>
          <w:sz w:val="24"/>
          <w:szCs w:val="24"/>
          <w:highlight w:val="none"/>
        </w:rPr>
      </w:pPr>
    </w:p>
    <w:p w14:paraId="3A8E10BA">
      <w:pPr>
        <w:pStyle w:val="7"/>
        <w:spacing w:before="156" w:after="156"/>
        <w:ind w:firstLine="540" w:firstLineChars="200"/>
        <w:rPr>
          <w:color w:val="auto"/>
          <w:highlight w:val="none"/>
        </w:rPr>
      </w:pPr>
      <w:bookmarkStart w:id="22" w:name="_Toc2272564"/>
      <w:bookmarkStart w:id="23" w:name="_Toc21525509"/>
      <w:r>
        <w:rPr>
          <w:rFonts w:hint="eastAsia"/>
          <w:color w:val="auto"/>
          <w:highlight w:val="none"/>
        </w:rPr>
        <w:t>可选办法七（适合综合评分法四，技术标与经济标同时开启）</w:t>
      </w:r>
      <w:bookmarkEnd w:id="22"/>
      <w:bookmarkEnd w:id="23"/>
    </w:p>
    <w:p w14:paraId="22723895">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40．开标和评标程序</w:t>
      </w:r>
    </w:p>
    <w:p w14:paraId="010332A3">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40.1技术标（含资格审查文件）与经济标投标文件同时公开开标；</w:t>
      </w:r>
    </w:p>
    <w:p w14:paraId="4F66344A">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40.2由评标委员会对所有已公开开标的投标人进行资格审查；</w:t>
      </w:r>
    </w:p>
    <w:p w14:paraId="3F3BA8AA">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40.3技术标投标文件有效性审查；</w:t>
      </w:r>
    </w:p>
    <w:p w14:paraId="5DD567D4">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40.4技术标详细审查评分；</w:t>
      </w:r>
    </w:p>
    <w:p w14:paraId="22FB9916">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40.5经济标详细审查评分；</w:t>
      </w:r>
      <w:r>
        <w:rPr>
          <w:rFonts w:ascii="宋体"/>
          <w:color w:val="auto"/>
          <w:sz w:val="24"/>
          <w:szCs w:val="24"/>
          <w:highlight w:val="none"/>
        </w:rPr>
        <w:t xml:space="preserve"> </w:t>
      </w:r>
    </w:p>
    <w:p w14:paraId="63BD3CA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40.6评标委员会按照投标人总得分由高至低排序；</w:t>
      </w:r>
    </w:p>
    <w:p w14:paraId="3AD49E40">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40.7经济标投标文件有效性审查；</w:t>
      </w:r>
    </w:p>
    <w:p w14:paraId="2D00F9FE">
      <w:pPr>
        <w:snapToGrid w:val="0"/>
        <w:spacing w:line="360" w:lineRule="auto"/>
        <w:ind w:firstLine="480" w:firstLineChars="200"/>
        <w:rPr>
          <w:rFonts w:ascii="宋体"/>
          <w:color w:val="auto"/>
          <w:szCs w:val="21"/>
          <w:highlight w:val="none"/>
        </w:rPr>
      </w:pPr>
      <w:r>
        <w:rPr>
          <w:rFonts w:hint="eastAsia" w:ascii="宋体"/>
          <w:color w:val="auto"/>
          <w:sz w:val="24"/>
          <w:szCs w:val="24"/>
          <w:highlight w:val="none"/>
        </w:rPr>
        <w:t>40.8评标委员会按排序向招标人推荐中标候选人名单，并递交资格审查报告及评标报告。</w:t>
      </w:r>
    </w:p>
    <w:p w14:paraId="4FF8F418">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41．开标细则</w:t>
      </w:r>
    </w:p>
    <w:p w14:paraId="66C2F79D">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41.1开标由招标人</w:t>
      </w:r>
      <w:r>
        <w:rPr>
          <w:rFonts w:hint="eastAsia" w:ascii="宋体"/>
          <w:color w:val="auto"/>
          <w:sz w:val="24"/>
          <w:szCs w:val="24"/>
          <w:highlight w:val="none"/>
          <w:u w:val="single"/>
        </w:rPr>
        <w:t>或招标代理</w:t>
      </w:r>
      <w:r>
        <w:rPr>
          <w:rFonts w:hint="eastAsia" w:ascii="宋体"/>
          <w:color w:val="auto"/>
          <w:sz w:val="24"/>
          <w:szCs w:val="24"/>
          <w:highlight w:val="none"/>
        </w:rPr>
        <w:t>主持；</w:t>
      </w:r>
    </w:p>
    <w:p w14:paraId="0D4547EA">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 细则</w:t>
      </w:r>
    </w:p>
    <w:p w14:paraId="46EB8815">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41.2.1投标截止期前，各投标人递交投标文件（包括技术标投标文件、经济标投标文件）至</w:t>
      </w:r>
      <w:r>
        <w:rPr>
          <w:rFonts w:hint="eastAsia" w:ascii="宋体"/>
          <w:color w:val="auto"/>
          <w:sz w:val="24"/>
          <w:szCs w:val="24"/>
          <w:highlight w:val="none"/>
          <w:u w:val="single"/>
          <w:lang w:eastAsia="zh-CN"/>
        </w:rPr>
        <w:t>广州交易集团有限公司（广州公共资源交易中心）</w:t>
      </w:r>
      <w:r>
        <w:rPr>
          <w:rFonts w:hint="eastAsia" w:ascii="宋体"/>
          <w:color w:val="auto"/>
          <w:sz w:val="24"/>
          <w:szCs w:val="24"/>
          <w:highlight w:val="none"/>
        </w:rPr>
        <w:t xml:space="preserve">交易平台。有关投标文件提交的事项详见第一章投标须知。 </w:t>
      </w:r>
    </w:p>
    <w:p w14:paraId="62A6B956">
      <w:pPr>
        <w:snapToGrid w:val="0"/>
        <w:spacing w:line="360" w:lineRule="auto"/>
        <w:ind w:firstLine="480" w:firstLineChars="200"/>
        <w:rPr>
          <w:rFonts w:ascii="宋体"/>
          <w:strike w:val="0"/>
          <w:color w:val="auto"/>
          <w:sz w:val="24"/>
          <w:szCs w:val="24"/>
          <w:highlight w:val="none"/>
        </w:rPr>
      </w:pPr>
      <w:r>
        <w:rPr>
          <w:rFonts w:hint="eastAsia" w:ascii="宋体"/>
          <w:strike w:val="0"/>
          <w:color w:val="auto"/>
          <w:sz w:val="24"/>
          <w:szCs w:val="24"/>
          <w:highlight w:val="none"/>
        </w:rPr>
        <w:t>41.2.2开标前，首先由招标人随机抽取确定该工程计算评标参考价的等分点值X。</w:t>
      </w:r>
    </w:p>
    <w:p w14:paraId="05488F44">
      <w:pPr>
        <w:spacing w:line="360" w:lineRule="auto"/>
        <w:ind w:firstLine="480" w:firstLineChars="200"/>
        <w:rPr>
          <w:rFonts w:ascii="宋体" w:hAnsi="宋体"/>
          <w:color w:val="auto"/>
          <w:sz w:val="24"/>
          <w:szCs w:val="24"/>
          <w:highlight w:val="none"/>
        </w:rPr>
      </w:pPr>
      <w:r>
        <w:rPr>
          <w:rFonts w:hint="eastAsia" w:ascii="宋体"/>
          <w:color w:val="auto"/>
          <w:sz w:val="24"/>
          <w:szCs w:val="24"/>
          <w:highlight w:val="none"/>
        </w:rPr>
        <w:t>41.2.3</w:t>
      </w:r>
      <w:r>
        <w:rPr>
          <w:rFonts w:hint="eastAsia" w:ascii="宋体" w:hAnsi="宋体"/>
          <w:color w:val="auto"/>
          <w:sz w:val="24"/>
          <w:szCs w:val="24"/>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49CA6B61">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 xml:space="preserve">41.2.4按36.5.1的规定完成解密后，公布下列内容，并予以记录，记录提交评标委员会评审： </w:t>
      </w:r>
    </w:p>
    <w:p w14:paraId="3840D82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41.2.4.1开标时，公布：a、投标人名称；b、投标文件密封情况；c、投标报价；</w:t>
      </w:r>
      <w:r>
        <w:rPr>
          <w:rFonts w:hint="eastAsia" w:ascii="宋体"/>
          <w:color w:val="auto"/>
          <w:sz w:val="24"/>
          <w:szCs w:val="24"/>
          <w:highlight w:val="none"/>
          <w:u w:val="single"/>
        </w:rPr>
        <w:t>d、项目经理（负责人）名称；e、</w:t>
      </w:r>
      <w:r>
        <w:rPr>
          <w:rFonts w:hint="eastAsia" w:ascii="宋体"/>
          <w:color w:val="auto"/>
          <w:sz w:val="24"/>
          <w:szCs w:val="24"/>
          <w:highlight w:val="none"/>
        </w:rPr>
        <w:t>法定代表人证明及授权委托等主要内容及开标记录表中的其他必要内容。投标报价以数字和文字两种方式表述的，应公布文字表述的投标报价。</w:t>
      </w:r>
    </w:p>
    <w:p w14:paraId="1A6EAA43">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41.3招标人对开标过程进行记录，并存档备查，投标人在技术标开标记录上签字。</w:t>
      </w:r>
    </w:p>
    <w:p w14:paraId="74A87E20">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41.4 招标人将上述符合要求的投标文件，送至评标委员会进行评审。</w:t>
      </w:r>
    </w:p>
    <w:p w14:paraId="7266412E">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 资格审查及评标细则</w:t>
      </w:r>
    </w:p>
    <w:p w14:paraId="59B664F3">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42.1资格审查及评标均由招标人依法组建的评标委员会负责。</w:t>
      </w:r>
    </w:p>
    <w:p w14:paraId="2E6A4505">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42.2评标委员会的组成：方式</w:t>
      </w:r>
      <w:r>
        <w:rPr>
          <w:rFonts w:hint="eastAsia" w:ascii="宋体"/>
          <w:color w:val="auto"/>
          <w:sz w:val="24"/>
          <w:szCs w:val="24"/>
          <w:highlight w:val="none"/>
          <w:u w:val="single"/>
        </w:rPr>
        <w:t xml:space="preserve">一 </w:t>
      </w:r>
      <w:r>
        <w:rPr>
          <w:rFonts w:hint="eastAsia" w:ascii="宋体"/>
          <w:color w:val="auto"/>
          <w:sz w:val="24"/>
          <w:szCs w:val="24"/>
          <w:highlight w:val="none"/>
        </w:rPr>
        <w:t>。</w:t>
      </w:r>
    </w:p>
    <w:p w14:paraId="56E2FC97">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方式一：评标委员会为综合评标委员会，负责资格审查及评标工作。</w:t>
      </w:r>
    </w:p>
    <w:p w14:paraId="0E0A03A9">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43．投标人资格审查</w:t>
      </w:r>
    </w:p>
    <w:p w14:paraId="3E61E764">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14:paraId="7D84773C">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43.2汇总资格审查情况，编写资格审查报告。</w:t>
      </w:r>
    </w:p>
    <w:p w14:paraId="62CDB95B">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43.3资格审查不合格的投标文件不参加下一阶段的评标，不参与评标参考价的计算。</w:t>
      </w:r>
    </w:p>
    <w:p w14:paraId="116322E2">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14:paraId="1353BD72">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43.5资审合格后，投标人的资格发生变化而不满足投标人合格条件，在发出中标通知书前，资格问题仍未解决的，招标人将取消其中标资格。</w:t>
      </w:r>
    </w:p>
    <w:p w14:paraId="048E61B8">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43.6资格审查合格的投标人少于3名的（当N个标段同时招标且不允许兼中时，资格审查合格的投标人少于N+2名），则本项目招标失败。</w:t>
      </w:r>
    </w:p>
    <w:p w14:paraId="4124B3C6">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44．技术标评审</w:t>
      </w:r>
    </w:p>
    <w:p w14:paraId="49C9010A">
      <w:pPr>
        <w:spacing w:line="360" w:lineRule="auto"/>
        <w:ind w:firstLine="480" w:firstLineChars="200"/>
        <w:rPr>
          <w:rFonts w:hint="eastAsia" w:ascii="宋体" w:hAnsi="宋体"/>
          <w:color w:val="auto"/>
          <w:sz w:val="24"/>
          <w:szCs w:val="24"/>
          <w:highlight w:val="none"/>
        </w:rPr>
      </w:pPr>
      <w:r>
        <w:rPr>
          <w:rFonts w:hint="eastAsia" w:ascii="宋体"/>
          <w:color w:val="auto"/>
          <w:sz w:val="24"/>
          <w:szCs w:val="24"/>
          <w:highlight w:val="none"/>
        </w:rPr>
        <w:t>44.1</w:t>
      </w:r>
      <w:r>
        <w:rPr>
          <w:rFonts w:hint="eastAsia" w:ascii="宋体" w:hAnsi="宋体"/>
          <w:color w:val="auto"/>
          <w:sz w:val="24"/>
          <w:szCs w:val="24"/>
          <w:highlight w:val="none"/>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w:t>
      </w:r>
    </w:p>
    <w:p w14:paraId="60CD79B4">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审查投标人不足N+2名），则本项目招标失败。</w:t>
      </w:r>
      <w:r>
        <w:rPr>
          <w:rFonts w:hint="eastAsia" w:ascii="宋体" w:hAnsi="宋体"/>
          <w:b/>
          <w:color w:val="auto"/>
          <w:sz w:val="24"/>
          <w:szCs w:val="24"/>
          <w:highlight w:val="none"/>
        </w:rPr>
        <w:t>评委</w:t>
      </w:r>
      <w:r>
        <w:rPr>
          <w:rFonts w:ascii="宋体" w:hAnsi="宋体"/>
          <w:b/>
          <w:color w:val="auto"/>
          <w:sz w:val="24"/>
          <w:szCs w:val="24"/>
          <w:highlight w:val="none"/>
        </w:rPr>
        <w:t>发现投标</w:t>
      </w:r>
      <w:r>
        <w:rPr>
          <w:rFonts w:hint="eastAsia" w:ascii="宋体" w:hAnsi="宋体"/>
          <w:b/>
          <w:color w:val="auto"/>
          <w:sz w:val="24"/>
          <w:szCs w:val="24"/>
          <w:highlight w:val="none"/>
        </w:rPr>
        <w:t>文件</w:t>
      </w:r>
      <w:r>
        <w:rPr>
          <w:rFonts w:ascii="宋体" w:hAnsi="宋体"/>
          <w:b/>
          <w:color w:val="auto"/>
          <w:sz w:val="24"/>
          <w:szCs w:val="24"/>
          <w:highlight w:val="none"/>
        </w:rPr>
        <w:t>中</w:t>
      </w:r>
      <w:r>
        <w:rPr>
          <w:rFonts w:hint="eastAsia" w:ascii="宋体" w:hAnsi="宋体"/>
          <w:b/>
          <w:color w:val="auto"/>
          <w:sz w:val="24"/>
          <w:szCs w:val="24"/>
          <w:highlight w:val="none"/>
        </w:rPr>
        <w:t>含义不明确</w:t>
      </w:r>
      <w:r>
        <w:rPr>
          <w:rFonts w:ascii="宋体" w:hAnsi="宋体"/>
          <w:b/>
          <w:color w:val="auto"/>
          <w:sz w:val="24"/>
          <w:szCs w:val="24"/>
          <w:highlight w:val="none"/>
        </w:rPr>
        <w:t>、对同类问题表述不一致、有明显</w:t>
      </w:r>
      <w:r>
        <w:rPr>
          <w:rFonts w:hint="eastAsia" w:ascii="宋体" w:hAnsi="宋体"/>
          <w:b/>
          <w:color w:val="auto"/>
          <w:sz w:val="24"/>
          <w:szCs w:val="24"/>
          <w:highlight w:val="none"/>
        </w:rPr>
        <w:t>文字</w:t>
      </w:r>
      <w:r>
        <w:rPr>
          <w:rFonts w:ascii="宋体" w:hAnsi="宋体"/>
          <w:b/>
          <w:color w:val="auto"/>
          <w:sz w:val="24"/>
          <w:szCs w:val="24"/>
          <w:highlight w:val="none"/>
        </w:rPr>
        <w:t>和计算错误</w:t>
      </w:r>
      <w:r>
        <w:rPr>
          <w:rFonts w:hint="eastAsia" w:ascii="宋体" w:hAnsi="宋体"/>
          <w:b/>
          <w:color w:val="auto"/>
          <w:sz w:val="24"/>
          <w:szCs w:val="24"/>
          <w:highlight w:val="none"/>
        </w:rPr>
        <w:t>的，</w:t>
      </w:r>
      <w:r>
        <w:rPr>
          <w:rFonts w:ascii="宋体" w:hAnsi="宋体"/>
          <w:b/>
          <w:color w:val="auto"/>
          <w:sz w:val="24"/>
          <w:szCs w:val="24"/>
          <w:highlight w:val="none"/>
        </w:rPr>
        <w:t>应当</w:t>
      </w:r>
      <w:r>
        <w:rPr>
          <w:rFonts w:hint="eastAsia" w:ascii="宋体" w:hAnsi="宋体"/>
          <w:b/>
          <w:color w:val="auto"/>
          <w:sz w:val="24"/>
          <w:szCs w:val="24"/>
          <w:highlight w:val="none"/>
        </w:rPr>
        <w:t>要求</w:t>
      </w:r>
      <w:r>
        <w:rPr>
          <w:rFonts w:ascii="宋体" w:hAnsi="宋体"/>
          <w:b/>
          <w:color w:val="auto"/>
          <w:sz w:val="24"/>
          <w:szCs w:val="24"/>
          <w:highlight w:val="none"/>
        </w:rPr>
        <w:t>投标人作必要的澄清、说明</w:t>
      </w:r>
      <w:r>
        <w:rPr>
          <w:rFonts w:hint="eastAsia" w:ascii="宋体" w:hAnsi="宋体"/>
          <w:b/>
          <w:color w:val="auto"/>
          <w:sz w:val="24"/>
          <w:szCs w:val="24"/>
          <w:highlight w:val="none"/>
        </w:rPr>
        <w:t>后再判定投标人是否通过有效性审查</w:t>
      </w:r>
      <w:r>
        <w:rPr>
          <w:rFonts w:ascii="宋体" w:hAnsi="宋体"/>
          <w:b/>
          <w:color w:val="auto"/>
          <w:sz w:val="24"/>
          <w:szCs w:val="24"/>
          <w:highlight w:val="none"/>
        </w:rPr>
        <w:t>，不得直接否决投标</w:t>
      </w:r>
      <w:r>
        <w:rPr>
          <w:rFonts w:hint="eastAsia" w:ascii="宋体" w:hAnsi="宋体"/>
          <w:color w:val="auto"/>
          <w:sz w:val="24"/>
          <w:szCs w:val="24"/>
          <w:highlight w:val="none"/>
        </w:rPr>
        <w:t>。</w:t>
      </w:r>
    </w:p>
    <w:p w14:paraId="1E18633D">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14:paraId="2AE50D02">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45．经济标评审和得分汇总</w:t>
      </w:r>
    </w:p>
    <w:p w14:paraId="23537EA4">
      <w:pPr>
        <w:pStyle w:val="4"/>
        <w:tabs>
          <w:tab w:val="left" w:pos="7380"/>
        </w:tabs>
        <w:snapToGrid w:val="0"/>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45.1</w:t>
      </w:r>
      <w:r>
        <w:rPr>
          <w:rFonts w:hint="eastAsia" w:ascii="宋体" w:hAnsi="宋体"/>
          <w:color w:val="auto"/>
          <w:sz w:val="24"/>
          <w:szCs w:val="24"/>
          <w:highlight w:val="none"/>
          <w:u w:val="none"/>
        </w:rPr>
        <w:t>若通过技术标有效性审查的投标人中所有投标报价均大于等于最高投标限价，则本项目招标失败，由招标人依法重新招标。</w:t>
      </w:r>
    </w:p>
    <w:p w14:paraId="1E80FBAF">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45.2</w:t>
      </w:r>
      <w:r>
        <w:rPr>
          <w:rFonts w:hint="eastAsia" w:ascii="宋体" w:hAnsi="宋体"/>
          <w:b/>
          <w:bCs/>
          <w:color w:val="auto"/>
          <w:sz w:val="24"/>
          <w:szCs w:val="24"/>
          <w:highlight w:val="none"/>
        </w:rPr>
        <w:t>区间抽取法</w:t>
      </w:r>
    </w:p>
    <w:p w14:paraId="3CFF8F7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设立入围合格分数线（</w:t>
      </w:r>
      <w:r>
        <w:rPr>
          <w:rFonts w:hint="eastAsia" w:ascii="宋体" w:hAnsi="宋体" w:eastAsia="宋体" w:cs="宋体"/>
          <w:color w:val="auto"/>
          <w:kern w:val="0"/>
          <w:sz w:val="24"/>
          <w:szCs w:val="24"/>
          <w:highlight w:val="none"/>
        </w:rPr>
        <w:t>本项目及格分数线为技术标得分大于或等于</w:t>
      </w:r>
      <w:r>
        <w:rPr>
          <w:rFonts w:hint="eastAsia" w:ascii="宋体" w:hAnsi="宋体" w:cs="宋体"/>
          <w:color w:val="auto"/>
          <w:kern w:val="0"/>
          <w:sz w:val="24"/>
          <w:szCs w:val="24"/>
          <w:highlight w:val="none"/>
          <w:lang w:val="en-US" w:eastAsia="zh-CN"/>
        </w:rPr>
        <w:t>70</w:t>
      </w:r>
      <w:r>
        <w:rPr>
          <w:rFonts w:hint="eastAsia" w:ascii="宋体" w:hAnsi="宋体" w:eastAsia="宋体" w:cs="宋体"/>
          <w:color w:val="auto"/>
          <w:kern w:val="0"/>
          <w:sz w:val="24"/>
          <w:szCs w:val="24"/>
          <w:highlight w:val="none"/>
        </w:rPr>
        <w:t>分</w:t>
      </w:r>
      <w:r>
        <w:rPr>
          <w:rFonts w:hint="eastAsia" w:ascii="宋体" w:hAnsi="宋体"/>
          <w:color w:val="auto"/>
          <w:sz w:val="24"/>
          <w:szCs w:val="24"/>
          <w:highlight w:val="none"/>
        </w:rPr>
        <w:t>），达到或超过及格线的投标人的报价方能参与评标参考价的计算。将达到或超过技术标及格分数线的投标报价由低至高进行排列，按以下公式计算评标参考价，计算公式如下：</w:t>
      </w:r>
    </w:p>
    <w:p w14:paraId="26DD6543">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评标参考价=（Q高-Q低）/100*Ｘ+Q低</w:t>
      </w:r>
    </w:p>
    <w:p w14:paraId="4B71F5AD">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Q低：为达到或超过技术标及格分数线的投标人最低报价与工程成本警示价两者中的较高值；</w:t>
      </w:r>
    </w:p>
    <w:p w14:paraId="2CAA8F2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Q高：为最高投标限价</w:t>
      </w:r>
    </w:p>
    <w:p w14:paraId="444A3D16">
      <w:pPr>
        <w:spacing w:line="360" w:lineRule="auto"/>
        <w:ind w:firstLine="480" w:firstLineChars="200"/>
        <w:rPr>
          <w:rFonts w:hint="eastAsia" w:ascii="宋体" w:hAnsi="宋体" w:cs="仿宋"/>
          <w:color w:val="auto"/>
          <w:sz w:val="24"/>
          <w:szCs w:val="24"/>
          <w:highlight w:val="none"/>
          <w:u w:val="single"/>
        </w:rPr>
      </w:pPr>
      <w:r>
        <w:rPr>
          <w:rFonts w:hint="eastAsia" w:ascii="宋体" w:hAnsi="宋体"/>
          <w:color w:val="auto"/>
          <w:sz w:val="24"/>
          <w:szCs w:val="24"/>
          <w:highlight w:val="none"/>
        </w:rPr>
        <w:t xml:space="preserve">    X:为等分点值，从[0,100]整数中随机抽取</w:t>
      </w:r>
    </w:p>
    <w:p w14:paraId="551AE438">
      <w:pPr>
        <w:spacing w:line="360" w:lineRule="auto"/>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45.3</w:t>
      </w:r>
      <w:r>
        <w:rPr>
          <w:rFonts w:hint="eastAsia" w:ascii="宋体" w:hAnsi="宋体"/>
          <w:color w:val="auto"/>
          <w:sz w:val="24"/>
          <w:szCs w:val="24"/>
          <w:highlight w:val="none"/>
        </w:rPr>
        <w:t>当标价等于评标参考价时得</w:t>
      </w:r>
      <w:r>
        <w:rPr>
          <w:rFonts w:ascii="宋体" w:hAnsi="宋体"/>
          <w:color w:val="auto"/>
          <w:sz w:val="24"/>
          <w:szCs w:val="24"/>
          <w:highlight w:val="none"/>
        </w:rPr>
        <w:t>100</w:t>
      </w:r>
      <w:r>
        <w:rPr>
          <w:rFonts w:hint="eastAsia" w:ascii="宋体" w:hAnsi="宋体"/>
          <w:color w:val="auto"/>
          <w:sz w:val="24"/>
          <w:szCs w:val="24"/>
          <w:highlight w:val="none"/>
        </w:rPr>
        <w:t>分，标价每高于评标参考价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rPr>
        <w:t>分，每低于评标参考价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分，扣至</w:t>
      </w:r>
      <w:r>
        <w:rPr>
          <w:rFonts w:ascii="宋体" w:hAnsi="宋体"/>
          <w:color w:val="auto"/>
          <w:sz w:val="24"/>
          <w:szCs w:val="24"/>
          <w:highlight w:val="none"/>
        </w:rPr>
        <w:t>0</w:t>
      </w:r>
      <w:r>
        <w:rPr>
          <w:rFonts w:hint="eastAsia" w:ascii="宋体" w:hAnsi="宋体"/>
          <w:color w:val="auto"/>
          <w:sz w:val="24"/>
          <w:szCs w:val="24"/>
          <w:highlight w:val="none"/>
        </w:rPr>
        <w:t>分为止，得出经济分，精确到小数点后两位。</w:t>
      </w:r>
    </w:p>
    <w:p w14:paraId="78444B35">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45.4</w:t>
      </w:r>
      <w:r>
        <w:rPr>
          <w:rFonts w:hint="eastAsia" w:ascii="宋体"/>
          <w:color w:val="auto"/>
          <w:sz w:val="24"/>
          <w:szCs w:val="24"/>
          <w:highlight w:val="none"/>
        </w:rPr>
        <w:t>计算通过技术标有效性审查的投标人总得分。</w:t>
      </w:r>
      <w:r>
        <w:rPr>
          <w:rFonts w:hint="eastAsia" w:ascii="宋体"/>
          <w:color w:val="auto"/>
          <w:sz w:val="24"/>
          <w:szCs w:val="24"/>
          <w:highlight w:val="none"/>
          <w:u w:val="single"/>
        </w:rPr>
        <w:t>投标人总得分=技术得分×技术得分权重20%</w:t>
      </w:r>
      <w:r>
        <w:rPr>
          <w:rFonts w:hint="eastAsia" w:ascii="宋体" w:cs="宋体"/>
          <w:color w:val="auto"/>
          <w:sz w:val="24"/>
          <w:szCs w:val="24"/>
          <w:highlight w:val="none"/>
          <w:u w:val="single"/>
        </w:rPr>
        <w:t>＋</w:t>
      </w:r>
      <w:r>
        <w:rPr>
          <w:rFonts w:hint="eastAsia" w:ascii="宋体"/>
          <w:color w:val="auto"/>
          <w:sz w:val="24"/>
          <w:szCs w:val="24"/>
          <w:highlight w:val="none"/>
          <w:u w:val="single"/>
        </w:rPr>
        <w:t>经济得分×经济得分权重80%。</w:t>
      </w:r>
      <w:r>
        <w:rPr>
          <w:rFonts w:hint="eastAsia" w:ascii="宋体"/>
          <w:color w:val="auto"/>
          <w:sz w:val="24"/>
          <w:szCs w:val="24"/>
          <w:highlight w:val="none"/>
        </w:rPr>
        <w:t>技术、经济得分权重按投标须知前附表的规定执行。总得分四舍五入保留两位小数。</w:t>
      </w:r>
      <w:r>
        <w:rPr>
          <w:rFonts w:hint="eastAsia" w:ascii="宋体"/>
          <w:color w:val="auto"/>
          <w:sz w:val="24"/>
          <w:szCs w:val="24"/>
          <w:highlight w:val="none"/>
          <w:u w:val="single"/>
        </w:rPr>
        <w:t>若出现总得分相同的投标文件，以技术得分较高的排前；总得分与技术得分均相同的投标人，投标报价低的排前；如仍存在相同情况，则对具有相同情况的投标人，由评标委员会采用投票方式，确定投标人的排序。注：记名投票方式确定排序的具体操作步骤为：由评标委员会对出现该情况的投标人采取记名投票的方式确定，按得票数高低进行排序，记名投票的形式及排序依据（须书面列举排序依据）由评标委员会研定。</w:t>
      </w:r>
    </w:p>
    <w:p w14:paraId="0C689622">
      <w:pPr>
        <w:pStyle w:val="4"/>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46.经济标的有效性审查</w:t>
      </w:r>
    </w:p>
    <w:p w14:paraId="0BB957F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76F2D17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6.2经济标的算术校核。评标委员会对进行经济标有效性审查的投标文件投标报价按照就低不就高的原则进行算术校核，具体标准如下：</w:t>
      </w:r>
    </w:p>
    <w:p w14:paraId="64972CD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6.2.1如果数字表示的金额和用文字表示的金额不一致时，应以文字表示的金额为准；</w:t>
      </w:r>
    </w:p>
    <w:p w14:paraId="0546E6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6.2.2经算术复核的投标人报价与其投标报价不一致时，按就低不就高原则确定其最终报价；</w:t>
      </w:r>
    </w:p>
    <w:p w14:paraId="71B76C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4E9251E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4</w:t>
      </w:r>
      <w:r>
        <w:rPr>
          <w:rFonts w:hint="eastAsia" w:ascii="宋体" w:hAnsi="宋体"/>
          <w:color w:val="auto"/>
          <w:sz w:val="24"/>
          <w:szCs w:val="24"/>
          <w:highlight w:val="none"/>
        </w:rPr>
        <w:t>当合价、金额累加错误时，按就低不就高原则，如果累加修正值小于原累加值，则按累加修正值；如果累加修正值大于原累加值，则按原累加值；</w:t>
      </w:r>
    </w:p>
    <w:p w14:paraId="17CBFCA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5</w:t>
      </w:r>
      <w:r>
        <w:rPr>
          <w:rFonts w:hint="eastAsia" w:ascii="宋体" w:hAnsi="宋体"/>
          <w:color w:val="auto"/>
          <w:sz w:val="24"/>
          <w:szCs w:val="24"/>
          <w:highlight w:val="none"/>
        </w:rPr>
        <w:t>如果投标人的有关规费、暂列金额、暂估价、绿色施工安全防护措施费等未按招标文件规定的金额填写的，由评标委员会按照招标文件规定的金额进行修正；</w:t>
      </w:r>
    </w:p>
    <w:p w14:paraId="12094BA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6</w:t>
      </w:r>
      <w:r>
        <w:rPr>
          <w:rFonts w:hint="eastAsia" w:ascii="宋体" w:hAnsi="宋体"/>
          <w:color w:val="auto"/>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14:paraId="1093DF8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7</w:t>
      </w:r>
      <w:r>
        <w:rPr>
          <w:rFonts w:hint="eastAsia" w:ascii="宋体" w:hAnsi="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p>
    <w:p w14:paraId="148AFC0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8</w:t>
      </w:r>
      <w:r>
        <w:rPr>
          <w:rFonts w:hint="eastAsia" w:ascii="宋体" w:hAnsi="宋体"/>
          <w:color w:val="auto"/>
          <w:sz w:val="24"/>
          <w:szCs w:val="24"/>
          <w:highlight w:val="none"/>
        </w:rPr>
        <w:t>按上述修正错误的原则及方法调整或修正投标文件的投标报价，调整后的投标报价对投标人起约束作用。如果投标人不接受修正后的报价，则取消其投标资格</w:t>
      </w:r>
      <w:r>
        <w:rPr>
          <w:rFonts w:hint="eastAsia" w:ascii="宋体" w:hAnsi="宋体"/>
          <w:strike/>
          <w:color w:val="auto"/>
          <w:sz w:val="24"/>
          <w:szCs w:val="24"/>
          <w:highlight w:val="none"/>
        </w:rPr>
        <w:t>，并且其投标保证金也将不予退还</w:t>
      </w:r>
      <w:r>
        <w:rPr>
          <w:rFonts w:hint="eastAsia" w:ascii="宋体" w:hAnsi="宋体"/>
          <w:color w:val="auto"/>
          <w:sz w:val="24"/>
          <w:szCs w:val="24"/>
          <w:highlight w:val="none"/>
        </w:rPr>
        <w:t>。</w:t>
      </w:r>
    </w:p>
    <w:p w14:paraId="72321E2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14:paraId="5BF202B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8.评标委员会应在通过投标文件经济标有效性审查的投标人中，按步骤45.4确定的投标人第二阶段排序，推荐前</w:t>
      </w:r>
      <w:r>
        <w:rPr>
          <w:rFonts w:ascii="宋体" w:hAnsi="宋体"/>
          <w:color w:val="auto"/>
          <w:sz w:val="24"/>
          <w:szCs w:val="24"/>
          <w:highlight w:val="none"/>
        </w:rPr>
        <w:t>3</w:t>
      </w:r>
      <w:r>
        <w:rPr>
          <w:rFonts w:hint="eastAsia" w:ascii="宋体" w:hAnsi="宋体"/>
          <w:color w:val="auto"/>
          <w:sz w:val="24"/>
          <w:szCs w:val="24"/>
          <w:highlight w:val="none"/>
        </w:rPr>
        <w:t>名依次为第一中标候选人至第三中标候选人</w:t>
      </w:r>
      <w:r>
        <w:rPr>
          <w:rFonts w:ascii="宋体" w:hAnsi="宋体"/>
          <w:color w:val="auto"/>
          <w:sz w:val="24"/>
          <w:szCs w:val="24"/>
          <w:highlight w:val="none"/>
        </w:rPr>
        <w:t>,</w:t>
      </w:r>
      <w:r>
        <w:rPr>
          <w:rFonts w:hint="eastAsia" w:ascii="宋体" w:hAnsi="宋体"/>
          <w:color w:val="auto"/>
          <w:sz w:val="24"/>
          <w:szCs w:val="24"/>
          <w:highlight w:val="none"/>
        </w:rPr>
        <w:t>并编制评标报告。</w:t>
      </w:r>
    </w:p>
    <w:p w14:paraId="48A45F9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9.若通过经济标有效性审查的投标人不足三家，应当依法重新招标。（当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N+2</w:t>
      </w:r>
      <w:r>
        <w:rPr>
          <w:rFonts w:hint="eastAsia" w:ascii="宋体" w:hAnsi="宋体"/>
          <w:color w:val="auto"/>
          <w:sz w:val="24"/>
          <w:szCs w:val="24"/>
          <w:highlight w:val="none"/>
        </w:rPr>
        <w:t>家，应当依法重新招标）</w:t>
      </w:r>
    </w:p>
    <w:p w14:paraId="2ADEA603">
      <w:pPr>
        <w:rPr>
          <w:rFonts w:hint="eastAsia" w:ascii="宋体" w:hAnsi="宋体"/>
          <w:color w:val="auto"/>
          <w:sz w:val="24"/>
          <w:szCs w:val="24"/>
          <w:highlight w:val="none"/>
          <w:lang w:eastAsia="zh-CN"/>
        </w:rPr>
      </w:pPr>
    </w:p>
    <w:p w14:paraId="6BB6CFC9">
      <w:pPr>
        <w:rPr>
          <w:rFonts w:hint="eastAsia" w:ascii="宋体" w:hAnsi="宋体"/>
          <w:color w:val="auto"/>
          <w:sz w:val="24"/>
          <w:szCs w:val="24"/>
          <w:highlight w:val="none"/>
          <w:lang w:eastAsia="zh-CN"/>
        </w:rPr>
      </w:pPr>
    </w:p>
    <w:p w14:paraId="2AF7A85D">
      <w:pPr>
        <w:rPr>
          <w:rFonts w:hint="eastAsia" w:ascii="宋体" w:hAnsi="宋体"/>
          <w:color w:val="auto"/>
          <w:sz w:val="24"/>
          <w:szCs w:val="24"/>
          <w:highlight w:val="none"/>
          <w:lang w:eastAsia="zh-CN"/>
        </w:rPr>
      </w:pPr>
    </w:p>
    <w:p w14:paraId="47BBA77D">
      <w:pPr>
        <w:rPr>
          <w:rFonts w:hint="eastAsia" w:ascii="宋体" w:hAnsi="宋体"/>
          <w:color w:val="auto"/>
          <w:sz w:val="24"/>
          <w:szCs w:val="24"/>
          <w:highlight w:val="none"/>
          <w:lang w:eastAsia="zh-CN"/>
        </w:rPr>
      </w:pPr>
    </w:p>
    <w:p w14:paraId="350FA841">
      <w:pPr>
        <w:rPr>
          <w:rFonts w:hint="eastAsia" w:ascii="宋体" w:hAnsi="宋体"/>
          <w:color w:val="auto"/>
          <w:sz w:val="24"/>
          <w:szCs w:val="24"/>
          <w:highlight w:val="none"/>
          <w:lang w:eastAsia="zh-CN"/>
        </w:rPr>
      </w:pPr>
    </w:p>
    <w:p w14:paraId="770355B8">
      <w:pPr>
        <w:rPr>
          <w:rFonts w:hint="eastAsia" w:ascii="宋体" w:hAnsi="宋体"/>
          <w:color w:val="auto"/>
          <w:sz w:val="24"/>
          <w:szCs w:val="24"/>
          <w:highlight w:val="none"/>
          <w:lang w:eastAsia="zh-CN"/>
        </w:rPr>
      </w:pPr>
    </w:p>
    <w:p w14:paraId="5430BECB">
      <w:pPr>
        <w:rPr>
          <w:rFonts w:hint="eastAsia" w:ascii="宋体" w:hAnsi="宋体"/>
          <w:color w:val="auto"/>
          <w:sz w:val="24"/>
          <w:szCs w:val="24"/>
          <w:highlight w:val="none"/>
          <w:lang w:eastAsia="zh-CN"/>
        </w:rPr>
      </w:pPr>
    </w:p>
    <w:p w14:paraId="198BE717">
      <w:pPr>
        <w:rPr>
          <w:rFonts w:hint="eastAsia" w:ascii="宋体" w:hAnsi="宋体"/>
          <w:color w:val="auto"/>
          <w:sz w:val="24"/>
          <w:szCs w:val="24"/>
          <w:highlight w:val="none"/>
          <w:lang w:eastAsia="zh-CN"/>
        </w:rPr>
      </w:pPr>
    </w:p>
    <w:p w14:paraId="42F4D8CC">
      <w:pPr>
        <w:rPr>
          <w:rFonts w:hint="eastAsia" w:ascii="宋体" w:hAnsi="宋体"/>
          <w:color w:val="auto"/>
          <w:sz w:val="24"/>
          <w:szCs w:val="24"/>
          <w:highlight w:val="none"/>
          <w:lang w:eastAsia="zh-CN"/>
        </w:rPr>
      </w:pPr>
    </w:p>
    <w:p w14:paraId="586DFE42">
      <w:pPr>
        <w:rPr>
          <w:rFonts w:hint="eastAsia" w:ascii="宋体" w:hAnsi="宋体"/>
          <w:color w:val="auto"/>
          <w:sz w:val="24"/>
          <w:szCs w:val="24"/>
          <w:highlight w:val="none"/>
          <w:lang w:eastAsia="zh-CN"/>
        </w:rPr>
      </w:pPr>
    </w:p>
    <w:p w14:paraId="0B0FD83C">
      <w:pPr>
        <w:rPr>
          <w:rFonts w:hint="eastAsia" w:ascii="宋体" w:hAnsi="宋体"/>
          <w:color w:val="auto"/>
          <w:sz w:val="24"/>
          <w:szCs w:val="24"/>
          <w:highlight w:val="none"/>
          <w:lang w:eastAsia="zh-CN"/>
        </w:rPr>
      </w:pPr>
    </w:p>
    <w:p w14:paraId="738478E2">
      <w:pPr>
        <w:rPr>
          <w:rFonts w:hint="eastAsia" w:ascii="宋体" w:hAnsi="宋体"/>
          <w:color w:val="auto"/>
          <w:sz w:val="24"/>
          <w:szCs w:val="24"/>
          <w:highlight w:val="none"/>
          <w:lang w:eastAsia="zh-CN"/>
        </w:rPr>
      </w:pPr>
    </w:p>
    <w:p w14:paraId="4FECF83A">
      <w:pPr>
        <w:rPr>
          <w:rFonts w:hint="eastAsia" w:ascii="宋体" w:hAnsi="宋体"/>
          <w:color w:val="auto"/>
          <w:sz w:val="24"/>
          <w:szCs w:val="24"/>
          <w:highlight w:val="none"/>
          <w:lang w:eastAsia="zh-CN"/>
        </w:rPr>
      </w:pPr>
    </w:p>
    <w:p w14:paraId="7ED8981D">
      <w:pPr>
        <w:rPr>
          <w:rFonts w:hint="eastAsia" w:ascii="宋体" w:hAnsi="宋体"/>
          <w:color w:val="auto"/>
          <w:sz w:val="24"/>
          <w:szCs w:val="24"/>
          <w:highlight w:val="none"/>
          <w:lang w:eastAsia="zh-CN"/>
        </w:rPr>
      </w:pPr>
    </w:p>
    <w:p w14:paraId="07DA3210">
      <w:pPr>
        <w:rPr>
          <w:rFonts w:hint="eastAsia" w:ascii="宋体" w:hAnsi="宋体"/>
          <w:color w:val="auto"/>
          <w:sz w:val="24"/>
          <w:szCs w:val="24"/>
          <w:highlight w:val="none"/>
          <w:lang w:eastAsia="zh-CN"/>
        </w:rPr>
      </w:pPr>
    </w:p>
    <w:p w14:paraId="7B095733">
      <w:pPr>
        <w:rPr>
          <w:rFonts w:hint="eastAsia" w:ascii="宋体" w:hAnsi="宋体"/>
          <w:color w:val="auto"/>
          <w:sz w:val="24"/>
          <w:szCs w:val="24"/>
          <w:highlight w:val="none"/>
          <w:lang w:eastAsia="zh-CN"/>
        </w:rPr>
      </w:pPr>
    </w:p>
    <w:p w14:paraId="5F5C3796">
      <w:pPr>
        <w:rPr>
          <w:rFonts w:hint="eastAsia" w:ascii="宋体" w:hAnsi="宋体"/>
          <w:color w:val="auto"/>
          <w:sz w:val="24"/>
          <w:szCs w:val="24"/>
          <w:highlight w:val="none"/>
          <w:lang w:eastAsia="zh-CN"/>
        </w:rPr>
      </w:pPr>
    </w:p>
    <w:p w14:paraId="1CBB07CC">
      <w:pPr>
        <w:rPr>
          <w:rFonts w:hint="eastAsia" w:ascii="宋体" w:hAnsi="宋体"/>
          <w:color w:val="auto"/>
          <w:sz w:val="24"/>
          <w:szCs w:val="24"/>
          <w:highlight w:val="none"/>
          <w:lang w:eastAsia="zh-CN"/>
        </w:rPr>
      </w:pPr>
    </w:p>
    <w:p w14:paraId="1FE82E9B">
      <w:pPr>
        <w:rPr>
          <w:rFonts w:hint="eastAsia" w:ascii="宋体" w:hAnsi="宋体"/>
          <w:color w:val="auto"/>
          <w:sz w:val="24"/>
          <w:szCs w:val="24"/>
          <w:highlight w:val="none"/>
          <w:lang w:eastAsia="zh-CN"/>
        </w:rPr>
      </w:pPr>
    </w:p>
    <w:p w14:paraId="4ED0530F">
      <w:pPr>
        <w:rPr>
          <w:rFonts w:hint="eastAsia" w:ascii="宋体" w:hAnsi="宋体"/>
          <w:color w:val="auto"/>
          <w:sz w:val="24"/>
          <w:szCs w:val="24"/>
          <w:highlight w:val="none"/>
          <w:lang w:eastAsia="zh-CN"/>
        </w:rPr>
      </w:pPr>
    </w:p>
    <w:p w14:paraId="09120789">
      <w:pPr>
        <w:rPr>
          <w:rFonts w:hint="eastAsia" w:ascii="宋体" w:hAnsi="宋体"/>
          <w:color w:val="auto"/>
          <w:sz w:val="24"/>
          <w:szCs w:val="24"/>
          <w:highlight w:val="none"/>
          <w:lang w:eastAsia="zh-CN"/>
        </w:rPr>
      </w:pPr>
    </w:p>
    <w:p w14:paraId="6B460E65">
      <w:pPr>
        <w:rPr>
          <w:rFonts w:hint="eastAsia" w:ascii="宋体" w:hAnsi="宋体"/>
          <w:color w:val="auto"/>
          <w:sz w:val="24"/>
          <w:szCs w:val="24"/>
          <w:highlight w:val="none"/>
          <w:lang w:eastAsia="zh-CN"/>
        </w:rPr>
      </w:pPr>
    </w:p>
    <w:p w14:paraId="6D9506B1">
      <w:pPr>
        <w:rPr>
          <w:rFonts w:hint="eastAsia" w:ascii="宋体" w:hAnsi="宋体"/>
          <w:color w:val="auto"/>
          <w:sz w:val="24"/>
          <w:szCs w:val="24"/>
          <w:highlight w:val="none"/>
          <w:lang w:eastAsia="zh-CN"/>
        </w:rPr>
      </w:pPr>
    </w:p>
    <w:p w14:paraId="2C21766A">
      <w:pPr>
        <w:rPr>
          <w:rFonts w:hint="eastAsia" w:ascii="宋体" w:hAnsi="宋体"/>
          <w:color w:val="auto"/>
          <w:sz w:val="24"/>
          <w:szCs w:val="24"/>
          <w:highlight w:val="none"/>
          <w:lang w:eastAsia="zh-CN"/>
        </w:rPr>
      </w:pPr>
    </w:p>
    <w:p w14:paraId="1127D9E5">
      <w:pPr>
        <w:rPr>
          <w:rFonts w:hint="eastAsia" w:ascii="宋体" w:hAnsi="宋体"/>
          <w:color w:val="auto"/>
          <w:sz w:val="24"/>
          <w:szCs w:val="24"/>
          <w:highlight w:val="none"/>
          <w:lang w:eastAsia="zh-CN"/>
        </w:rPr>
      </w:pPr>
    </w:p>
    <w:p w14:paraId="748A6EF9">
      <w:pPr>
        <w:rPr>
          <w:rFonts w:hint="eastAsia" w:ascii="宋体" w:hAnsi="宋体"/>
          <w:color w:val="auto"/>
          <w:sz w:val="24"/>
          <w:szCs w:val="24"/>
          <w:highlight w:val="none"/>
          <w:lang w:eastAsia="zh-CN"/>
        </w:rPr>
      </w:pPr>
    </w:p>
    <w:p w14:paraId="24364FFC">
      <w:pPr>
        <w:rPr>
          <w:rFonts w:hint="eastAsia" w:ascii="宋体" w:hAnsi="宋体"/>
          <w:color w:val="auto"/>
          <w:sz w:val="24"/>
          <w:szCs w:val="24"/>
          <w:highlight w:val="none"/>
          <w:lang w:eastAsia="zh-CN"/>
        </w:rPr>
      </w:pPr>
    </w:p>
    <w:p w14:paraId="6C6C1CE7">
      <w:pPr>
        <w:rPr>
          <w:rFonts w:hint="eastAsia" w:ascii="宋体" w:hAnsi="宋体"/>
          <w:color w:val="auto"/>
          <w:sz w:val="24"/>
          <w:szCs w:val="24"/>
          <w:highlight w:val="none"/>
          <w:lang w:eastAsia="zh-CN"/>
        </w:rPr>
      </w:pPr>
    </w:p>
    <w:p w14:paraId="0E97BC57">
      <w:pPr>
        <w:jc w:val="left"/>
        <w:rPr>
          <w:rFonts w:hint="eastAsia" w:ascii="黑体" w:hAnsi="黑体" w:eastAsia="黑体"/>
          <w:color w:val="auto"/>
          <w:sz w:val="24"/>
          <w:szCs w:val="24"/>
          <w:highlight w:val="none"/>
          <w:lang w:eastAsia="zh-CN"/>
        </w:rPr>
      </w:pPr>
      <w:r>
        <w:rPr>
          <w:rFonts w:hint="eastAsia" w:ascii="黑体" w:hAnsi="黑体" w:eastAsia="黑体"/>
          <w:color w:val="auto"/>
          <w:sz w:val="24"/>
          <w:szCs w:val="24"/>
          <w:highlight w:val="none"/>
        </w:rPr>
        <w:t>附件</w:t>
      </w:r>
      <w:r>
        <w:rPr>
          <w:rFonts w:hint="eastAsia" w:ascii="黑体" w:hAnsi="黑体" w:eastAsia="黑体"/>
          <w:color w:val="auto"/>
          <w:sz w:val="24"/>
          <w:szCs w:val="24"/>
          <w:highlight w:val="none"/>
          <w:lang w:val="en-US" w:eastAsia="zh-CN"/>
        </w:rPr>
        <w:t>1</w:t>
      </w:r>
    </w:p>
    <w:p w14:paraId="22E39DCE">
      <w:pPr>
        <w:spacing w:line="360" w:lineRule="auto"/>
        <w:ind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评标委员会成员声明</w:t>
      </w:r>
    </w:p>
    <w:p w14:paraId="224C8EB3">
      <w:pPr>
        <w:spacing w:line="360" w:lineRule="auto"/>
        <w:rPr>
          <w:rFonts w:ascii="仿宋_GB2312" w:eastAsia="仿宋_GB2312"/>
          <w:color w:val="auto"/>
          <w:sz w:val="24"/>
          <w:szCs w:val="24"/>
          <w:highlight w:val="none"/>
        </w:rPr>
      </w:pPr>
      <w:r>
        <w:rPr>
          <w:rFonts w:hint="eastAsia" w:ascii="仿宋_GB2312" w:eastAsia="仿宋_GB2312"/>
          <w:color w:val="auto"/>
          <w:sz w:val="24"/>
          <w:szCs w:val="24"/>
          <w:highlight w:val="none"/>
          <w:u w:val="single"/>
        </w:rPr>
        <w:t>广州市番禺区基本建设投资管理中心</w:t>
      </w:r>
      <w:r>
        <w:rPr>
          <w:rFonts w:hint="eastAsia" w:ascii="仿宋_GB2312" w:eastAsia="仿宋_GB2312"/>
          <w:color w:val="auto"/>
          <w:sz w:val="24"/>
          <w:szCs w:val="24"/>
          <w:highlight w:val="none"/>
        </w:rPr>
        <w:t>：</w:t>
      </w:r>
    </w:p>
    <w:p w14:paraId="0C8F2886">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本人就参与</w:t>
      </w:r>
      <w:r>
        <w:rPr>
          <w:rFonts w:hint="eastAsia" w:ascii="仿宋_GB2312" w:eastAsia="仿宋_GB2312"/>
          <w:color w:val="auto"/>
          <w:sz w:val="24"/>
          <w:szCs w:val="24"/>
          <w:highlight w:val="none"/>
          <w:u w:val="single"/>
        </w:rPr>
        <w:t>广州市公安局番禺区分局公安基地配电改造工程</w:t>
      </w:r>
      <w:r>
        <w:rPr>
          <w:rFonts w:hint="eastAsia" w:ascii="仿宋_GB2312" w:eastAsia="仿宋_GB2312"/>
          <w:color w:val="auto"/>
          <w:sz w:val="24"/>
          <w:szCs w:val="24"/>
          <w:highlight w:val="none"/>
        </w:rPr>
        <w:t>项目的评标工作，作出郑重声明：</w:t>
      </w:r>
    </w:p>
    <w:p w14:paraId="34271EB1">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6C307436">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1B458A06">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077B0E04">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0FEB32B9">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08A75D1F">
      <w:pPr>
        <w:spacing w:line="360" w:lineRule="auto"/>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如果本人违反上述声明内容，造成的后果由本人自行承担。</w:t>
      </w:r>
    </w:p>
    <w:p w14:paraId="45FA18FA">
      <w:pPr>
        <w:spacing w:line="360" w:lineRule="auto"/>
        <w:ind w:firstLine="480" w:firstLineChars="200"/>
        <w:rPr>
          <w:rFonts w:ascii="仿宋_GB2312" w:eastAsia="仿宋_GB2312"/>
          <w:color w:val="auto"/>
          <w:sz w:val="24"/>
          <w:szCs w:val="24"/>
          <w:highlight w:val="none"/>
        </w:rPr>
      </w:pPr>
    </w:p>
    <w:p w14:paraId="28AC04B2">
      <w:pPr>
        <w:widowControl/>
        <w:snapToGrid w:val="0"/>
        <w:spacing w:line="360" w:lineRule="auto"/>
        <w:ind w:right="102"/>
        <w:jc w:val="right"/>
        <w:rPr>
          <w:rFonts w:hint="eastAsia" w:ascii="仿宋_GB2312" w:eastAsia="仿宋_GB2312"/>
          <w:color w:val="auto"/>
          <w:sz w:val="24"/>
          <w:szCs w:val="24"/>
          <w:highlight w:val="none"/>
          <w:u w:val="single"/>
        </w:rPr>
        <w:sectPr>
          <w:footerReference r:id="rId10" w:type="first"/>
          <w:footerReference r:id="rId9" w:type="default"/>
          <w:endnotePr>
            <w:numFmt w:val="decimal"/>
          </w:endnotePr>
          <w:pgSz w:w="11906" w:h="16838"/>
          <w:pgMar w:top="1134" w:right="1418" w:bottom="1247" w:left="1418" w:header="851" w:footer="907" w:gutter="0"/>
          <w:pgNumType w:fmt="decimal"/>
          <w:cols w:space="425" w:num="1"/>
          <w:titlePg/>
          <w:docGrid w:type="lines" w:linePitch="312" w:charSpace="0"/>
        </w:sectPr>
      </w:pPr>
      <w:r>
        <w:rPr>
          <w:rFonts w:hint="eastAsia" w:ascii="仿宋_GB2312" w:eastAsia="仿宋_GB2312"/>
          <w:color w:val="auto"/>
          <w:sz w:val="24"/>
          <w:szCs w:val="24"/>
          <w:highlight w:val="none"/>
        </w:rPr>
        <w:t xml:space="preserve">                             声明人：</w:t>
      </w:r>
      <w:r>
        <w:rPr>
          <w:rFonts w:hint="eastAsia" w:ascii="仿宋_GB2312" w:eastAsia="仿宋_GB2312"/>
          <w:color w:val="auto"/>
          <w:sz w:val="24"/>
          <w:szCs w:val="24"/>
          <w:highlight w:val="none"/>
          <w:u w:val="single"/>
        </w:rPr>
        <w:t xml:space="preserve">（签名）  </w:t>
      </w:r>
    </w:p>
    <w:p w14:paraId="7A49F47C">
      <w:pPr>
        <w:widowControl/>
        <w:snapToGrid w:val="0"/>
        <w:spacing w:line="360" w:lineRule="auto"/>
        <w:ind w:right="102"/>
        <w:jc w:val="left"/>
        <w:rPr>
          <w:rFonts w:ascii="宋体"/>
          <w:color w:val="auto"/>
          <w:szCs w:val="21"/>
          <w:highlight w:val="none"/>
        </w:rPr>
      </w:pPr>
      <w:r>
        <w:rPr>
          <w:rFonts w:hint="eastAsia" w:ascii="宋体" w:hAnsi="宋体"/>
          <w:color w:val="auto"/>
          <w:szCs w:val="21"/>
          <w:highlight w:val="none"/>
        </w:rPr>
        <w:t>附表一：</w:t>
      </w:r>
    </w:p>
    <w:p w14:paraId="358FA621">
      <w:pPr>
        <w:jc w:val="center"/>
        <w:rPr>
          <w:b/>
          <w:color w:val="auto"/>
          <w:sz w:val="32"/>
          <w:szCs w:val="32"/>
          <w:highlight w:val="none"/>
        </w:rPr>
      </w:pPr>
      <w:r>
        <w:rPr>
          <w:rFonts w:hint="eastAsia"/>
          <w:b/>
          <w:color w:val="auto"/>
          <w:sz w:val="32"/>
          <w:szCs w:val="32"/>
          <w:highlight w:val="none"/>
        </w:rPr>
        <w:t>资格审查表</w:t>
      </w:r>
    </w:p>
    <w:p w14:paraId="27E6B561">
      <w:pPr>
        <w:spacing w:line="480" w:lineRule="auto"/>
        <w:rPr>
          <w:color w:val="auto"/>
          <w:sz w:val="24"/>
          <w:szCs w:val="24"/>
          <w:highlight w:val="none"/>
        </w:rPr>
      </w:pPr>
      <w:r>
        <w:rPr>
          <w:rFonts w:hint="eastAsia"/>
          <w:color w:val="auto"/>
          <w:sz w:val="24"/>
          <w:szCs w:val="24"/>
          <w:highlight w:val="none"/>
        </w:rPr>
        <w:t>工程名称：</w:t>
      </w:r>
    </w:p>
    <w:p w14:paraId="55652205">
      <w:pPr>
        <w:spacing w:line="480" w:lineRule="auto"/>
        <w:rPr>
          <w:color w:val="auto"/>
          <w:sz w:val="24"/>
          <w:szCs w:val="24"/>
          <w:highlight w:val="none"/>
        </w:rPr>
      </w:pPr>
      <w:r>
        <w:rPr>
          <w:rFonts w:hint="eastAsia"/>
          <w:color w:val="auto"/>
          <w:sz w:val="24"/>
          <w:szCs w:val="24"/>
          <w:highlight w:val="none"/>
        </w:rPr>
        <w:t>投标人名称：</w:t>
      </w:r>
    </w:p>
    <w:tbl>
      <w:tblPr>
        <w:tblStyle w:val="17"/>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780"/>
        <w:gridCol w:w="3420"/>
        <w:gridCol w:w="720"/>
      </w:tblGrid>
      <w:tr w14:paraId="7E30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16EB6071">
            <w:pPr>
              <w:spacing w:before="120" w:after="60"/>
              <w:jc w:val="center"/>
              <w:rPr>
                <w:rFonts w:ascii="宋体" w:hAnsi="宋体"/>
                <w:b/>
                <w:color w:val="auto"/>
                <w:szCs w:val="21"/>
                <w:highlight w:val="none"/>
              </w:rPr>
            </w:pPr>
            <w:r>
              <w:rPr>
                <w:rFonts w:hint="eastAsia" w:ascii="宋体" w:hAnsi="宋体"/>
                <w:b/>
                <w:color w:val="auto"/>
                <w:szCs w:val="21"/>
                <w:highlight w:val="none"/>
              </w:rPr>
              <w:t>序号</w:t>
            </w:r>
          </w:p>
        </w:tc>
        <w:tc>
          <w:tcPr>
            <w:tcW w:w="3780" w:type="dxa"/>
            <w:tcBorders>
              <w:top w:val="single" w:color="auto" w:sz="4" w:space="0"/>
              <w:left w:val="single" w:color="auto" w:sz="4" w:space="0"/>
              <w:bottom w:val="single" w:color="auto" w:sz="4" w:space="0"/>
              <w:right w:val="single" w:color="auto" w:sz="4" w:space="0"/>
            </w:tcBorders>
            <w:vAlign w:val="center"/>
          </w:tcPr>
          <w:p w14:paraId="3F479EBB">
            <w:pPr>
              <w:spacing w:before="120" w:after="60"/>
              <w:jc w:val="center"/>
              <w:rPr>
                <w:rFonts w:ascii="宋体" w:hAnsi="宋体"/>
                <w:b/>
                <w:color w:val="auto"/>
                <w:szCs w:val="21"/>
                <w:highlight w:val="none"/>
              </w:rPr>
            </w:pPr>
            <w:r>
              <w:rPr>
                <w:rFonts w:hint="eastAsia" w:ascii="宋体" w:hAnsi="宋体"/>
                <w:b/>
                <w:color w:val="auto"/>
                <w:szCs w:val="21"/>
                <w:highlight w:val="none"/>
              </w:rPr>
              <w:t>审查项目</w:t>
            </w:r>
          </w:p>
        </w:tc>
        <w:tc>
          <w:tcPr>
            <w:tcW w:w="3420" w:type="dxa"/>
            <w:tcBorders>
              <w:top w:val="single" w:color="auto" w:sz="4" w:space="0"/>
              <w:left w:val="single" w:color="auto" w:sz="4" w:space="0"/>
              <w:bottom w:val="single" w:color="auto" w:sz="4" w:space="0"/>
              <w:right w:val="single" w:color="auto" w:sz="4" w:space="0"/>
            </w:tcBorders>
            <w:vAlign w:val="center"/>
          </w:tcPr>
          <w:p w14:paraId="3F53958A">
            <w:pPr>
              <w:spacing w:before="120" w:after="60"/>
              <w:jc w:val="center"/>
              <w:rPr>
                <w:rFonts w:ascii="宋体" w:hAnsi="宋体"/>
                <w:b/>
                <w:color w:val="auto"/>
                <w:szCs w:val="21"/>
                <w:highlight w:val="none"/>
              </w:rPr>
            </w:pPr>
            <w:r>
              <w:rPr>
                <w:rFonts w:hint="eastAsia" w:ascii="宋体" w:hAnsi="宋体"/>
                <w:b/>
                <w:color w:val="auto"/>
                <w:szCs w:val="21"/>
                <w:highlight w:val="none"/>
              </w:rPr>
              <w:t>须审查的资料</w:t>
            </w:r>
          </w:p>
        </w:tc>
        <w:tc>
          <w:tcPr>
            <w:tcW w:w="720" w:type="dxa"/>
            <w:tcBorders>
              <w:top w:val="single" w:color="auto" w:sz="4" w:space="0"/>
              <w:left w:val="single" w:color="auto" w:sz="4" w:space="0"/>
              <w:bottom w:val="single" w:color="auto" w:sz="4" w:space="0"/>
              <w:right w:val="single" w:color="auto" w:sz="4" w:space="0"/>
            </w:tcBorders>
            <w:vAlign w:val="center"/>
          </w:tcPr>
          <w:p w14:paraId="016CC554">
            <w:pPr>
              <w:spacing w:before="120" w:after="60"/>
              <w:jc w:val="center"/>
              <w:rPr>
                <w:rFonts w:ascii="宋体" w:hAnsi="宋体"/>
                <w:b/>
                <w:color w:val="auto"/>
                <w:szCs w:val="21"/>
                <w:highlight w:val="none"/>
              </w:rPr>
            </w:pPr>
            <w:r>
              <w:rPr>
                <w:rFonts w:hint="eastAsia" w:ascii="宋体" w:hAnsi="宋体"/>
                <w:b/>
                <w:color w:val="auto"/>
                <w:szCs w:val="21"/>
                <w:highlight w:val="none"/>
              </w:rPr>
              <w:t>审查结果</w:t>
            </w:r>
          </w:p>
        </w:tc>
      </w:tr>
      <w:tr w14:paraId="0093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4F11F9F1">
            <w:pPr>
              <w:spacing w:before="120" w:after="60"/>
              <w:jc w:val="center"/>
              <w:rPr>
                <w:rFonts w:ascii="宋体" w:hAnsi="宋体"/>
                <w:color w:val="auto"/>
                <w:szCs w:val="21"/>
                <w:highlight w:val="none"/>
              </w:rPr>
            </w:pPr>
            <w:r>
              <w:rPr>
                <w:rFonts w:ascii="宋体" w:hAnsi="宋体"/>
                <w:color w:val="auto"/>
                <w:szCs w:val="21"/>
                <w:highlight w:val="none"/>
              </w:rPr>
              <w:t>1</w:t>
            </w:r>
          </w:p>
        </w:tc>
        <w:tc>
          <w:tcPr>
            <w:tcW w:w="3780" w:type="dxa"/>
            <w:tcBorders>
              <w:top w:val="single" w:color="auto" w:sz="4" w:space="0"/>
              <w:left w:val="single" w:color="auto" w:sz="4" w:space="0"/>
              <w:bottom w:val="single" w:color="auto" w:sz="4" w:space="0"/>
              <w:right w:val="single" w:color="auto" w:sz="4" w:space="0"/>
            </w:tcBorders>
            <w:vAlign w:val="center"/>
          </w:tcPr>
          <w:p w14:paraId="0996AE87">
            <w:pPr>
              <w:spacing w:before="120" w:after="60"/>
              <w:jc w:val="center"/>
              <w:rPr>
                <w:rFonts w:ascii="宋体" w:hAnsi="宋体"/>
                <w:color w:val="auto"/>
                <w:szCs w:val="21"/>
                <w:highlight w:val="none"/>
              </w:rPr>
            </w:pPr>
            <w:r>
              <w:rPr>
                <w:rFonts w:hint="eastAsia" w:ascii="宋体" w:hAnsi="宋体"/>
                <w:color w:val="auto"/>
                <w:szCs w:val="21"/>
                <w:highlight w:val="none"/>
              </w:rPr>
              <w:t>投标人参加投标的意思表达清楚，投标人代表被授权有效</w:t>
            </w:r>
          </w:p>
        </w:tc>
        <w:tc>
          <w:tcPr>
            <w:tcW w:w="3420" w:type="dxa"/>
            <w:tcBorders>
              <w:top w:val="single" w:color="auto" w:sz="4" w:space="0"/>
              <w:left w:val="single" w:color="auto" w:sz="4" w:space="0"/>
              <w:bottom w:val="single" w:color="auto" w:sz="4" w:space="0"/>
              <w:right w:val="single" w:color="auto" w:sz="4" w:space="0"/>
            </w:tcBorders>
            <w:vAlign w:val="center"/>
          </w:tcPr>
          <w:p w14:paraId="54F74878">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r>
              <w:rPr>
                <w:rFonts w:hint="eastAsia" w:ascii="宋体" w:hAnsi="宋体" w:cs="宋体"/>
                <w:color w:val="auto"/>
                <w:szCs w:val="21"/>
                <w:highlight w:val="none"/>
                <w:u w:val="single"/>
              </w:rPr>
              <w:t>（按招标公告的要求填写）</w:t>
            </w:r>
            <w:r>
              <w:rPr>
                <w:rFonts w:hint="eastAsia" w:ascii="宋体" w:hAnsi="宋体"/>
                <w:color w:val="auto"/>
                <w:szCs w:val="21"/>
                <w:highlight w:val="none"/>
              </w:rPr>
              <w:t>、法定代表人证明书；委托投标的还应提供法人授权委托证明书</w:t>
            </w:r>
          </w:p>
        </w:tc>
        <w:tc>
          <w:tcPr>
            <w:tcW w:w="720" w:type="dxa"/>
            <w:tcBorders>
              <w:top w:val="single" w:color="auto" w:sz="4" w:space="0"/>
              <w:left w:val="single" w:color="auto" w:sz="4" w:space="0"/>
              <w:bottom w:val="single" w:color="auto" w:sz="4" w:space="0"/>
              <w:right w:val="single" w:color="auto" w:sz="4" w:space="0"/>
            </w:tcBorders>
            <w:vAlign w:val="center"/>
          </w:tcPr>
          <w:p w14:paraId="0D61235B">
            <w:pPr>
              <w:spacing w:before="120" w:after="60"/>
              <w:jc w:val="center"/>
              <w:rPr>
                <w:rFonts w:ascii="宋体" w:hAnsi="宋体"/>
                <w:color w:val="auto"/>
                <w:szCs w:val="21"/>
                <w:highlight w:val="none"/>
              </w:rPr>
            </w:pPr>
          </w:p>
        </w:tc>
      </w:tr>
      <w:tr w14:paraId="756E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33FBBBA">
            <w:pPr>
              <w:spacing w:before="120" w:after="60"/>
              <w:jc w:val="center"/>
              <w:rPr>
                <w:rFonts w:ascii="宋体" w:hAnsi="宋体"/>
                <w:color w:val="auto"/>
                <w:szCs w:val="21"/>
                <w:highlight w:val="none"/>
              </w:rPr>
            </w:pPr>
            <w:r>
              <w:rPr>
                <w:rFonts w:ascii="宋体" w:hAnsi="宋体"/>
                <w:color w:val="auto"/>
                <w:szCs w:val="21"/>
                <w:highlight w:val="none"/>
              </w:rPr>
              <w:t>2</w:t>
            </w:r>
          </w:p>
        </w:tc>
        <w:tc>
          <w:tcPr>
            <w:tcW w:w="3780" w:type="dxa"/>
            <w:tcBorders>
              <w:top w:val="single" w:color="auto" w:sz="4" w:space="0"/>
              <w:left w:val="single" w:color="auto" w:sz="4" w:space="0"/>
              <w:bottom w:val="single" w:color="auto" w:sz="4" w:space="0"/>
              <w:right w:val="single" w:color="auto" w:sz="4" w:space="0"/>
            </w:tcBorders>
            <w:vAlign w:val="center"/>
          </w:tcPr>
          <w:p w14:paraId="3EF9C503">
            <w:pPr>
              <w:spacing w:before="120" w:after="60"/>
              <w:jc w:val="center"/>
              <w:rPr>
                <w:rFonts w:ascii="宋体" w:hAnsi="宋体"/>
                <w:color w:val="auto"/>
                <w:szCs w:val="21"/>
                <w:highlight w:val="none"/>
              </w:rPr>
            </w:pPr>
            <w:r>
              <w:rPr>
                <w:rFonts w:hint="eastAsia" w:ascii="宋体" w:hAnsi="宋体"/>
                <w:color w:val="auto"/>
                <w:szCs w:val="21"/>
                <w:highlight w:val="none"/>
              </w:rPr>
              <w:t>投标人均具有独立法人资格，按国家法律经营</w:t>
            </w:r>
          </w:p>
        </w:tc>
        <w:tc>
          <w:tcPr>
            <w:tcW w:w="3420" w:type="dxa"/>
            <w:tcBorders>
              <w:top w:val="single" w:color="auto" w:sz="4" w:space="0"/>
              <w:left w:val="single" w:color="auto" w:sz="4" w:space="0"/>
              <w:bottom w:val="single" w:color="auto" w:sz="4" w:space="0"/>
              <w:right w:val="single" w:color="auto" w:sz="4" w:space="0"/>
            </w:tcBorders>
            <w:vAlign w:val="center"/>
          </w:tcPr>
          <w:p w14:paraId="1C6D1BF5">
            <w:pPr>
              <w:spacing w:before="120" w:after="60" w:line="240" w:lineRule="exact"/>
              <w:jc w:val="center"/>
              <w:rPr>
                <w:rFonts w:ascii="宋体" w:hAnsi="宋体" w:cs="宋体"/>
                <w:color w:val="auto"/>
                <w:szCs w:val="21"/>
                <w:highlight w:val="none"/>
              </w:rPr>
            </w:pPr>
            <w:r>
              <w:rPr>
                <w:rFonts w:hint="eastAsia" w:ascii="宋体" w:hAnsi="宋体"/>
                <w:color w:val="auto"/>
                <w:szCs w:val="21"/>
                <w:highlight w:val="none"/>
                <w:u w:val="single"/>
              </w:rPr>
              <w:t>营业执照扫描件或电子证照</w:t>
            </w:r>
          </w:p>
        </w:tc>
        <w:tc>
          <w:tcPr>
            <w:tcW w:w="720" w:type="dxa"/>
            <w:tcBorders>
              <w:top w:val="single" w:color="auto" w:sz="4" w:space="0"/>
              <w:left w:val="single" w:color="auto" w:sz="4" w:space="0"/>
              <w:bottom w:val="single" w:color="auto" w:sz="4" w:space="0"/>
              <w:right w:val="single" w:color="auto" w:sz="4" w:space="0"/>
            </w:tcBorders>
            <w:vAlign w:val="center"/>
          </w:tcPr>
          <w:p w14:paraId="3027D18E">
            <w:pPr>
              <w:spacing w:before="120" w:after="60"/>
              <w:jc w:val="center"/>
              <w:rPr>
                <w:rFonts w:ascii="宋体" w:hAnsi="宋体"/>
                <w:color w:val="auto"/>
                <w:szCs w:val="21"/>
                <w:highlight w:val="none"/>
              </w:rPr>
            </w:pPr>
          </w:p>
        </w:tc>
      </w:tr>
      <w:tr w14:paraId="4553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6FB0B939">
            <w:pPr>
              <w:spacing w:before="120" w:after="60"/>
              <w:jc w:val="center"/>
              <w:rPr>
                <w:rFonts w:ascii="宋体" w:hAnsi="宋体"/>
                <w:color w:val="auto"/>
                <w:szCs w:val="21"/>
                <w:highlight w:val="none"/>
              </w:rPr>
            </w:pPr>
            <w:r>
              <w:rPr>
                <w:rFonts w:ascii="宋体" w:hAnsi="宋体"/>
                <w:color w:val="auto"/>
                <w:szCs w:val="21"/>
                <w:highlight w:val="none"/>
              </w:rPr>
              <w:t>3</w:t>
            </w:r>
          </w:p>
        </w:tc>
        <w:tc>
          <w:tcPr>
            <w:tcW w:w="3780" w:type="dxa"/>
            <w:tcBorders>
              <w:top w:val="single" w:color="auto" w:sz="4" w:space="0"/>
              <w:left w:val="single" w:color="auto" w:sz="4" w:space="0"/>
              <w:bottom w:val="single" w:color="auto" w:sz="4" w:space="0"/>
              <w:right w:val="single" w:color="auto" w:sz="4" w:space="0"/>
            </w:tcBorders>
            <w:vAlign w:val="center"/>
          </w:tcPr>
          <w:p w14:paraId="046ABB5F">
            <w:pPr>
              <w:spacing w:before="120" w:after="60"/>
              <w:jc w:val="center"/>
              <w:rPr>
                <w:rFonts w:ascii="宋体" w:hAnsi="宋体"/>
                <w:color w:val="auto"/>
                <w:szCs w:val="21"/>
                <w:highlight w:val="none"/>
              </w:rPr>
            </w:pPr>
            <w:r>
              <w:rPr>
                <w:rFonts w:hint="eastAsia" w:ascii="宋体" w:hAnsi="宋体"/>
                <w:color w:val="auto"/>
                <w:szCs w:val="21"/>
                <w:highlight w:val="none"/>
              </w:rPr>
              <w:t>投标人均持有建设行政主管部门颁发的有效期内的企业资质证书及安全生产许可证；投标人资质符合公告要求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1CAC2503">
            <w:pPr>
              <w:spacing w:before="120" w:after="60"/>
              <w:jc w:val="center"/>
              <w:rPr>
                <w:rFonts w:ascii="宋体" w:hAnsi="宋体"/>
                <w:color w:val="auto"/>
                <w:szCs w:val="21"/>
                <w:highlight w:val="none"/>
              </w:rPr>
            </w:pPr>
            <w:r>
              <w:rPr>
                <w:rFonts w:hint="eastAsia" w:ascii="宋体" w:hAnsi="宋体"/>
                <w:color w:val="auto"/>
                <w:szCs w:val="21"/>
                <w:highlight w:val="none"/>
                <w:u w:val="single"/>
              </w:rPr>
              <w:t>资质证书扫描件或电子证照、安全生产许可证扫描件或电子证照；</w:t>
            </w:r>
          </w:p>
          <w:p w14:paraId="49F328DD">
            <w:pPr>
              <w:spacing w:before="120" w:after="60"/>
              <w:jc w:val="center"/>
              <w:rPr>
                <w:rFonts w:ascii="宋体" w:hAnsi="宋体"/>
                <w:color w:val="auto"/>
                <w:szCs w:val="21"/>
                <w:highlight w:val="none"/>
              </w:rPr>
            </w:pPr>
            <w:r>
              <w:rPr>
                <w:rFonts w:hint="eastAsia" w:ascii="宋体" w:hAnsi="宋体"/>
                <w:color w:val="auto"/>
                <w:szCs w:val="21"/>
                <w:highlight w:val="none"/>
                <w:u w:val="single"/>
              </w:rPr>
              <w:t>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p>
        </w:tc>
        <w:tc>
          <w:tcPr>
            <w:tcW w:w="720" w:type="dxa"/>
            <w:tcBorders>
              <w:top w:val="single" w:color="auto" w:sz="4" w:space="0"/>
              <w:left w:val="single" w:color="auto" w:sz="4" w:space="0"/>
              <w:bottom w:val="single" w:color="auto" w:sz="4" w:space="0"/>
              <w:right w:val="single" w:color="auto" w:sz="4" w:space="0"/>
            </w:tcBorders>
            <w:vAlign w:val="center"/>
          </w:tcPr>
          <w:p w14:paraId="33D219B2">
            <w:pPr>
              <w:spacing w:before="120" w:after="60"/>
              <w:jc w:val="center"/>
              <w:rPr>
                <w:rFonts w:ascii="宋体" w:hAnsi="宋体"/>
                <w:color w:val="auto"/>
                <w:szCs w:val="21"/>
                <w:highlight w:val="none"/>
              </w:rPr>
            </w:pPr>
          </w:p>
        </w:tc>
      </w:tr>
      <w:tr w14:paraId="01EC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27406BE">
            <w:pPr>
              <w:spacing w:before="120" w:after="60"/>
              <w:jc w:val="center"/>
              <w:rPr>
                <w:rFonts w:ascii="宋体" w:hAnsi="宋体"/>
                <w:color w:val="auto"/>
                <w:szCs w:val="21"/>
                <w:highlight w:val="none"/>
              </w:rPr>
            </w:pPr>
            <w:r>
              <w:rPr>
                <w:rFonts w:ascii="宋体" w:hAnsi="宋体"/>
                <w:color w:val="auto"/>
                <w:szCs w:val="21"/>
                <w:highlight w:val="none"/>
              </w:rPr>
              <w:t>4</w:t>
            </w:r>
          </w:p>
        </w:tc>
        <w:tc>
          <w:tcPr>
            <w:tcW w:w="3780" w:type="dxa"/>
            <w:tcBorders>
              <w:top w:val="single" w:color="auto" w:sz="4" w:space="0"/>
              <w:left w:val="single" w:color="auto" w:sz="4" w:space="0"/>
              <w:bottom w:val="single" w:color="auto" w:sz="4" w:space="0"/>
              <w:right w:val="single" w:color="auto" w:sz="4" w:space="0"/>
            </w:tcBorders>
            <w:vAlign w:val="center"/>
          </w:tcPr>
          <w:p w14:paraId="08EB8BC9">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投标人拟担任本工程项目负责人符合公告要求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17C3F760">
            <w:pPr>
              <w:spacing w:before="120" w:after="60"/>
              <w:jc w:val="center"/>
              <w:rPr>
                <w:rFonts w:ascii="宋体" w:hAnsi="宋体"/>
                <w:color w:val="auto"/>
                <w:szCs w:val="21"/>
                <w:highlight w:val="none"/>
              </w:rPr>
            </w:pPr>
            <w:r>
              <w:rPr>
                <w:rFonts w:hint="eastAsia" w:ascii="宋体" w:hAnsi="宋体"/>
                <w:color w:val="auto"/>
                <w:szCs w:val="21"/>
                <w:highlight w:val="none"/>
              </w:rPr>
              <w:t>有效期内的建造师注册证书扫描件或电子证书（注：打印建造师电子证书后，在个人签名处手写本人签名再扫描提交。）</w:t>
            </w:r>
          </w:p>
        </w:tc>
        <w:tc>
          <w:tcPr>
            <w:tcW w:w="720" w:type="dxa"/>
            <w:tcBorders>
              <w:top w:val="single" w:color="auto" w:sz="4" w:space="0"/>
              <w:left w:val="single" w:color="auto" w:sz="4" w:space="0"/>
              <w:bottom w:val="single" w:color="auto" w:sz="4" w:space="0"/>
              <w:right w:val="single" w:color="auto" w:sz="4" w:space="0"/>
            </w:tcBorders>
            <w:vAlign w:val="center"/>
          </w:tcPr>
          <w:p w14:paraId="7B1BEAF6">
            <w:pPr>
              <w:spacing w:before="120" w:after="60"/>
              <w:jc w:val="center"/>
              <w:rPr>
                <w:rFonts w:ascii="宋体" w:hAnsi="宋体"/>
                <w:color w:val="auto"/>
                <w:szCs w:val="21"/>
                <w:highlight w:val="none"/>
              </w:rPr>
            </w:pPr>
          </w:p>
        </w:tc>
      </w:tr>
      <w:tr w14:paraId="2E88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3E6EADC7">
            <w:pPr>
              <w:spacing w:before="120" w:after="60"/>
              <w:jc w:val="center"/>
              <w:rPr>
                <w:rFonts w:ascii="宋体" w:hAnsi="宋体"/>
                <w:color w:val="auto"/>
                <w:szCs w:val="21"/>
                <w:highlight w:val="none"/>
              </w:rPr>
            </w:pPr>
            <w:r>
              <w:rPr>
                <w:rFonts w:ascii="宋体" w:hAnsi="宋体"/>
                <w:color w:val="auto"/>
                <w:szCs w:val="21"/>
                <w:highlight w:val="none"/>
              </w:rPr>
              <w:t>5</w:t>
            </w:r>
          </w:p>
        </w:tc>
        <w:tc>
          <w:tcPr>
            <w:tcW w:w="3780" w:type="dxa"/>
            <w:tcBorders>
              <w:top w:val="single" w:color="auto" w:sz="4" w:space="0"/>
              <w:left w:val="single" w:color="auto" w:sz="4" w:space="0"/>
              <w:bottom w:val="single" w:color="auto" w:sz="4" w:space="0"/>
              <w:right w:val="single" w:color="auto" w:sz="4" w:space="0"/>
            </w:tcBorders>
            <w:vAlign w:val="center"/>
          </w:tcPr>
          <w:p w14:paraId="2A54436D">
            <w:pPr>
              <w:spacing w:before="120" w:after="60"/>
              <w:jc w:val="center"/>
              <w:rPr>
                <w:rFonts w:ascii="宋体" w:hAnsi="宋体"/>
                <w:color w:val="auto"/>
                <w:szCs w:val="21"/>
                <w:highlight w:val="none"/>
              </w:rPr>
            </w:pPr>
            <w:r>
              <w:rPr>
                <w:rFonts w:hint="eastAsia" w:ascii="宋体" w:hAnsi="宋体"/>
                <w:color w:val="auto"/>
                <w:szCs w:val="21"/>
                <w:highlight w:val="none"/>
              </w:rPr>
              <w:t>持有项目负责人安全生产考核合格证（B类）或建筑施工企业项目负责人安全生产考核合格证</w:t>
            </w:r>
          </w:p>
        </w:tc>
        <w:tc>
          <w:tcPr>
            <w:tcW w:w="3420" w:type="dxa"/>
            <w:tcBorders>
              <w:top w:val="single" w:color="auto" w:sz="4" w:space="0"/>
              <w:left w:val="single" w:color="auto" w:sz="4" w:space="0"/>
              <w:bottom w:val="single" w:color="auto" w:sz="4" w:space="0"/>
              <w:right w:val="single" w:color="auto" w:sz="4" w:space="0"/>
            </w:tcBorders>
            <w:vAlign w:val="center"/>
          </w:tcPr>
          <w:p w14:paraId="432C3AE3">
            <w:pPr>
              <w:spacing w:before="120" w:after="60"/>
              <w:jc w:val="center"/>
              <w:rPr>
                <w:rFonts w:hint="eastAsia" w:ascii="宋体" w:hAnsi="宋体"/>
                <w:color w:val="auto"/>
                <w:szCs w:val="21"/>
                <w:highlight w:val="none"/>
                <w:u w:val="single"/>
              </w:rPr>
            </w:pPr>
            <w:r>
              <w:rPr>
                <w:rFonts w:hint="eastAsia" w:ascii="宋体" w:hAnsi="宋体"/>
                <w:color w:val="auto"/>
                <w:szCs w:val="21"/>
                <w:highlight w:val="none"/>
              </w:rPr>
              <w:t>项目负责人安全生产考核合格证（B类）或建筑施工企业项目负责人安全生产考核合格证</w:t>
            </w:r>
            <w:r>
              <w:rPr>
                <w:rFonts w:hint="eastAsia" w:ascii="宋体" w:hAnsi="宋体"/>
                <w:color w:val="auto"/>
                <w:szCs w:val="21"/>
                <w:highlight w:val="none"/>
                <w:u w:val="single"/>
              </w:rPr>
              <w:t>证书扫描件或电子证书</w:t>
            </w:r>
          </w:p>
          <w:p w14:paraId="46B511BE">
            <w:pPr>
              <w:spacing w:before="120" w:after="60"/>
              <w:jc w:val="center"/>
              <w:rPr>
                <w:rFonts w:hint="eastAsia" w:ascii="宋体" w:hAnsi="宋体"/>
                <w:color w:val="auto"/>
                <w:szCs w:val="21"/>
                <w:highlight w:val="none"/>
                <w:u w:val="single"/>
              </w:rPr>
            </w:pPr>
            <w:r>
              <w:rPr>
                <w:rFonts w:hint="eastAsia" w:ascii="宋体" w:hAnsi="宋体" w:cs="宋体"/>
                <w:color w:val="auto"/>
                <w:szCs w:val="21"/>
                <w:highlight w:val="none"/>
              </w:rPr>
              <w:t>注：</w:t>
            </w:r>
            <w:r>
              <w:rPr>
                <w:rFonts w:hint="eastAsia" w:ascii="宋体" w:hAnsi="宋体" w:cs="宋体"/>
                <w:bCs/>
                <w:color w:val="auto"/>
                <w:kern w:val="0"/>
                <w:szCs w:val="21"/>
                <w:highlight w:val="none"/>
                <w:u w:val="single"/>
              </w:rPr>
              <w:t>广东省建筑施工企业安全生产管理人员执行《广东省住房和城乡建设厅关于加快推进建筑施工企业安全生产管理人员考核合格证书电子证照办理相关工作的通知》（粤建质函〔2023〕754号），在10月底前完成换证业务，从2023年11月1日起，旧版电子证照停止使用。其他地区建筑施工企业安全生产管理人员执行属地安全生产管理人员考核合格证书电子证照相关规定。</w:t>
            </w:r>
          </w:p>
        </w:tc>
        <w:tc>
          <w:tcPr>
            <w:tcW w:w="720" w:type="dxa"/>
            <w:tcBorders>
              <w:top w:val="single" w:color="auto" w:sz="4" w:space="0"/>
              <w:left w:val="single" w:color="auto" w:sz="4" w:space="0"/>
              <w:bottom w:val="single" w:color="auto" w:sz="4" w:space="0"/>
              <w:right w:val="single" w:color="auto" w:sz="4" w:space="0"/>
            </w:tcBorders>
            <w:vAlign w:val="center"/>
          </w:tcPr>
          <w:p w14:paraId="1AEA92A5">
            <w:pPr>
              <w:spacing w:before="120" w:after="60"/>
              <w:jc w:val="center"/>
              <w:rPr>
                <w:rFonts w:ascii="宋体" w:hAnsi="宋体"/>
                <w:color w:val="auto"/>
                <w:szCs w:val="21"/>
                <w:highlight w:val="none"/>
              </w:rPr>
            </w:pPr>
          </w:p>
        </w:tc>
      </w:tr>
      <w:tr w14:paraId="260C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4C89168">
            <w:pPr>
              <w:spacing w:before="120" w:after="60"/>
              <w:jc w:val="center"/>
              <w:rPr>
                <w:rFonts w:ascii="宋体" w:hAnsi="宋体"/>
                <w:color w:val="auto"/>
                <w:szCs w:val="21"/>
                <w:highlight w:val="none"/>
              </w:rPr>
            </w:pPr>
            <w:r>
              <w:rPr>
                <w:rFonts w:hint="eastAsia" w:ascii="宋体" w:hAnsi="宋体"/>
                <w:color w:val="auto"/>
                <w:szCs w:val="21"/>
                <w:highlight w:val="none"/>
              </w:rPr>
              <w:t>6</w:t>
            </w:r>
          </w:p>
        </w:tc>
        <w:tc>
          <w:tcPr>
            <w:tcW w:w="3780" w:type="dxa"/>
            <w:tcBorders>
              <w:top w:val="single" w:color="auto" w:sz="4" w:space="0"/>
              <w:left w:val="single" w:color="auto" w:sz="4" w:space="0"/>
              <w:bottom w:val="single" w:color="auto" w:sz="4" w:space="0"/>
              <w:right w:val="single" w:color="auto" w:sz="4" w:space="0"/>
            </w:tcBorders>
            <w:vAlign w:val="center"/>
          </w:tcPr>
          <w:p w14:paraId="69E61B4F">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投标人拟担任本工程技术负责人符合公告要求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56E240A0">
            <w:pPr>
              <w:spacing w:before="120" w:after="60"/>
              <w:jc w:val="center"/>
              <w:rPr>
                <w:rFonts w:ascii="宋体" w:hAnsi="宋体"/>
                <w:color w:val="auto"/>
                <w:szCs w:val="21"/>
                <w:highlight w:val="none"/>
              </w:rPr>
            </w:pPr>
            <w:r>
              <w:rPr>
                <w:rFonts w:hint="eastAsia" w:ascii="宋体" w:hAnsi="宋体"/>
                <w:color w:val="auto"/>
                <w:szCs w:val="21"/>
                <w:highlight w:val="none"/>
                <w:u w:val="single"/>
              </w:rPr>
              <w:t>拟委</w:t>
            </w:r>
            <w:r>
              <w:rPr>
                <w:rFonts w:hint="eastAsia" w:ascii="宋体" w:hAnsi="宋体"/>
                <w:color w:val="auto"/>
                <w:szCs w:val="21"/>
                <w:highlight w:val="none"/>
                <w:u w:val="single"/>
                <w:lang w:eastAsia="zh-CN"/>
              </w:rPr>
              <w:t>托</w:t>
            </w:r>
            <w:r>
              <w:rPr>
                <w:rFonts w:hint="eastAsia" w:ascii="宋体" w:hAnsi="宋体"/>
                <w:color w:val="auto"/>
                <w:szCs w:val="21"/>
                <w:highlight w:val="none"/>
                <w:u w:val="single"/>
              </w:rPr>
              <w:t>技术负责人的相关证书、资料扫描件或电子证书</w:t>
            </w:r>
          </w:p>
        </w:tc>
        <w:tc>
          <w:tcPr>
            <w:tcW w:w="720" w:type="dxa"/>
            <w:tcBorders>
              <w:top w:val="single" w:color="auto" w:sz="4" w:space="0"/>
              <w:left w:val="single" w:color="auto" w:sz="4" w:space="0"/>
              <w:bottom w:val="single" w:color="auto" w:sz="4" w:space="0"/>
              <w:right w:val="single" w:color="auto" w:sz="4" w:space="0"/>
            </w:tcBorders>
            <w:vAlign w:val="center"/>
          </w:tcPr>
          <w:p w14:paraId="5CA8D40D">
            <w:pPr>
              <w:spacing w:before="120" w:after="60"/>
              <w:jc w:val="center"/>
              <w:rPr>
                <w:rFonts w:ascii="宋体" w:hAnsi="宋体"/>
                <w:color w:val="auto"/>
                <w:szCs w:val="21"/>
                <w:highlight w:val="none"/>
              </w:rPr>
            </w:pPr>
          </w:p>
        </w:tc>
      </w:tr>
      <w:tr w14:paraId="38F4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3F444216">
            <w:pPr>
              <w:spacing w:before="120" w:after="60"/>
              <w:jc w:val="center"/>
              <w:rPr>
                <w:rFonts w:ascii="宋体" w:hAnsi="宋体"/>
                <w:color w:val="auto"/>
                <w:szCs w:val="21"/>
                <w:highlight w:val="none"/>
              </w:rPr>
            </w:pPr>
            <w:r>
              <w:rPr>
                <w:rFonts w:hint="eastAsia" w:ascii="宋体" w:hAnsi="宋体"/>
                <w:color w:val="auto"/>
                <w:szCs w:val="21"/>
                <w:highlight w:val="none"/>
              </w:rPr>
              <w:t>7</w:t>
            </w:r>
          </w:p>
        </w:tc>
        <w:tc>
          <w:tcPr>
            <w:tcW w:w="3780" w:type="dxa"/>
            <w:tcBorders>
              <w:top w:val="single" w:color="auto" w:sz="4" w:space="0"/>
              <w:left w:val="single" w:color="auto" w:sz="4" w:space="0"/>
              <w:bottom w:val="single" w:color="auto" w:sz="4" w:space="0"/>
              <w:right w:val="single" w:color="auto" w:sz="4" w:space="0"/>
            </w:tcBorders>
            <w:vAlign w:val="center"/>
          </w:tcPr>
          <w:p w14:paraId="3B4D9365">
            <w:pPr>
              <w:spacing w:before="120" w:after="60"/>
              <w:jc w:val="center"/>
              <w:rPr>
                <w:rFonts w:ascii="宋体" w:hAnsi="宋体"/>
                <w:color w:val="auto"/>
                <w:szCs w:val="21"/>
                <w:highlight w:val="none"/>
              </w:rPr>
            </w:pPr>
            <w:r>
              <w:rPr>
                <w:rFonts w:hint="eastAsia" w:ascii="宋体" w:hAnsi="宋体"/>
                <w:color w:val="auto"/>
                <w:szCs w:val="21"/>
                <w:highlight w:val="none"/>
              </w:rPr>
              <w:t>专职安全员须具有在有效期内的安全生产考核合格证（C类）或建筑施工企业专职安全生产管理人员安全生产考核合格证书（C3）</w:t>
            </w:r>
          </w:p>
        </w:tc>
        <w:tc>
          <w:tcPr>
            <w:tcW w:w="3420" w:type="dxa"/>
            <w:tcBorders>
              <w:top w:val="single" w:color="auto" w:sz="4" w:space="0"/>
              <w:left w:val="single" w:color="auto" w:sz="4" w:space="0"/>
              <w:bottom w:val="single" w:color="auto" w:sz="4" w:space="0"/>
              <w:right w:val="single" w:color="auto" w:sz="4" w:space="0"/>
            </w:tcBorders>
            <w:vAlign w:val="center"/>
          </w:tcPr>
          <w:p w14:paraId="1491B1D8">
            <w:pPr>
              <w:spacing w:before="120" w:after="60"/>
              <w:jc w:val="center"/>
              <w:rPr>
                <w:rFonts w:hint="eastAsia" w:ascii="宋体" w:hAnsi="宋体" w:eastAsia="宋体" w:cs="Times New Roman"/>
                <w:b w:val="0"/>
                <w:bCs w:val="0"/>
                <w:color w:val="auto"/>
                <w:kern w:val="2"/>
                <w:sz w:val="21"/>
                <w:szCs w:val="21"/>
                <w:highlight w:val="none"/>
                <w:u w:val="single"/>
              </w:rPr>
            </w:pPr>
            <w:r>
              <w:rPr>
                <w:rFonts w:hint="eastAsia" w:ascii="宋体" w:hAnsi="宋体" w:eastAsia="宋体" w:cs="Times New Roman"/>
                <w:color w:val="auto"/>
                <w:kern w:val="2"/>
                <w:sz w:val="21"/>
                <w:szCs w:val="21"/>
                <w:highlight w:val="none"/>
                <w:u w:val="single"/>
              </w:rPr>
              <w:t>专职安全员的安全生产考核合格证（C类）或建筑施工企业专职安全生产管理人员安全生产考核合格证</w:t>
            </w:r>
            <w:r>
              <w:rPr>
                <w:rFonts w:hint="eastAsia" w:ascii="宋体" w:hAnsi="宋体"/>
                <w:color w:val="auto"/>
                <w:szCs w:val="21"/>
                <w:highlight w:val="none"/>
              </w:rPr>
              <w:t>（</w:t>
            </w:r>
            <w:r>
              <w:rPr>
                <w:rFonts w:ascii="宋体" w:hAnsi="宋体"/>
                <w:color w:val="auto"/>
                <w:szCs w:val="21"/>
                <w:highlight w:val="none"/>
              </w:rPr>
              <w:t>C</w:t>
            </w:r>
            <w:r>
              <w:rPr>
                <w:rFonts w:hint="eastAsia" w:ascii="宋体" w:hAnsi="宋体"/>
                <w:color w:val="auto"/>
                <w:szCs w:val="21"/>
                <w:highlight w:val="none"/>
              </w:rPr>
              <w:t>3）</w:t>
            </w:r>
            <w:r>
              <w:rPr>
                <w:rFonts w:hint="eastAsia" w:ascii="宋体" w:hAnsi="宋体" w:eastAsia="宋体" w:cs="Times New Roman"/>
                <w:color w:val="auto"/>
                <w:kern w:val="2"/>
                <w:sz w:val="21"/>
                <w:szCs w:val="21"/>
                <w:highlight w:val="none"/>
                <w:u w:val="single"/>
              </w:rPr>
              <w:t>证书</w:t>
            </w:r>
            <w:r>
              <w:rPr>
                <w:rFonts w:hint="eastAsia" w:ascii="宋体" w:hAnsi="宋体" w:eastAsia="宋体" w:cs="Times New Roman"/>
                <w:b w:val="0"/>
                <w:bCs w:val="0"/>
                <w:color w:val="auto"/>
                <w:kern w:val="2"/>
                <w:sz w:val="21"/>
                <w:szCs w:val="21"/>
                <w:highlight w:val="none"/>
                <w:u w:val="single"/>
              </w:rPr>
              <w:t>扫描件或电子证书</w:t>
            </w:r>
          </w:p>
          <w:p w14:paraId="404CE58C">
            <w:pPr>
              <w:spacing w:before="120" w:after="60"/>
              <w:jc w:val="center"/>
              <w:rPr>
                <w:rFonts w:hint="eastAsia" w:ascii="宋体" w:hAnsi="宋体" w:eastAsia="宋体" w:cs="Times New Roman"/>
                <w:b w:val="0"/>
                <w:bCs w:val="0"/>
                <w:color w:val="auto"/>
                <w:kern w:val="2"/>
                <w:sz w:val="21"/>
                <w:szCs w:val="21"/>
                <w:highlight w:val="none"/>
                <w:u w:val="single"/>
              </w:rPr>
            </w:pPr>
            <w:r>
              <w:rPr>
                <w:rFonts w:hint="eastAsia" w:ascii="宋体" w:hAnsi="宋体" w:cs="宋体"/>
                <w:bCs/>
                <w:color w:val="auto"/>
                <w:szCs w:val="21"/>
                <w:highlight w:val="none"/>
                <w:u w:val="single"/>
              </w:rPr>
              <w:t>注：</w:t>
            </w:r>
            <w:r>
              <w:rPr>
                <w:rFonts w:hint="eastAsia" w:ascii="宋体" w:hAnsi="宋体" w:cs="宋体"/>
                <w:color w:val="auto"/>
                <w:szCs w:val="21"/>
                <w:highlight w:val="none"/>
                <w:u w:val="single"/>
              </w:rPr>
              <w:t>根据《建筑施工企业主要负责人、项目负责人和专职安全生产管理人员安全生产管理规定》（住房城乡建设部令第17号）《关于印发建筑施工企业主要负责人、项目负责人和专职安全生产管理人员安全生产管理规定实施意见的通知》（建质〔2015〕206号），若投标人所属地区建设行政主管部门已对建筑施工企业专职安全生产管理人员实施机械、土建、综合分类管理的，本项目要求安全生产考核合格证（C类）或建筑施工企业专职安全生产管理人员安全生产考核合格证书须为综合类（C3）。广东省建筑施工企业安全生产管理人员执行《广东省住房和城乡建设厅关于加快推进建筑施工企业安全生产管理人员考核合格证书电子证照办理相关工作的通知》（粤建质函〔2023〕754号），在10月底前完成换证业务，从2023年11月1日起，旧版电子证照停止使用。其他地区建筑施工企业安全生产管理人员执行属地安全生产管理人员考核合格证书电子证照相关规定。</w:t>
            </w:r>
          </w:p>
        </w:tc>
        <w:tc>
          <w:tcPr>
            <w:tcW w:w="720" w:type="dxa"/>
            <w:tcBorders>
              <w:top w:val="single" w:color="auto" w:sz="4" w:space="0"/>
              <w:left w:val="single" w:color="auto" w:sz="4" w:space="0"/>
              <w:bottom w:val="single" w:color="auto" w:sz="4" w:space="0"/>
              <w:right w:val="single" w:color="auto" w:sz="4" w:space="0"/>
            </w:tcBorders>
            <w:vAlign w:val="center"/>
          </w:tcPr>
          <w:p w14:paraId="5E7DC635">
            <w:pPr>
              <w:spacing w:before="120" w:after="60"/>
              <w:jc w:val="center"/>
              <w:rPr>
                <w:rFonts w:ascii="宋体" w:hAnsi="宋体"/>
                <w:color w:val="auto"/>
                <w:szCs w:val="21"/>
                <w:highlight w:val="none"/>
              </w:rPr>
            </w:pPr>
          </w:p>
        </w:tc>
      </w:tr>
      <w:tr w14:paraId="7BE9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7B08EF6">
            <w:pPr>
              <w:spacing w:before="120" w:after="60"/>
              <w:jc w:val="center"/>
              <w:rPr>
                <w:rFonts w:ascii="宋体" w:hAnsi="宋体"/>
                <w:color w:val="auto"/>
                <w:szCs w:val="21"/>
                <w:highlight w:val="none"/>
              </w:rPr>
            </w:pPr>
            <w:r>
              <w:rPr>
                <w:rFonts w:hint="eastAsia" w:ascii="宋体" w:hAnsi="宋体"/>
                <w:color w:val="auto"/>
                <w:szCs w:val="21"/>
                <w:highlight w:val="none"/>
              </w:rPr>
              <w:t>8</w:t>
            </w:r>
          </w:p>
        </w:tc>
        <w:tc>
          <w:tcPr>
            <w:tcW w:w="3780" w:type="dxa"/>
            <w:tcBorders>
              <w:top w:val="single" w:color="auto" w:sz="4" w:space="0"/>
              <w:left w:val="single" w:color="auto" w:sz="4" w:space="0"/>
              <w:bottom w:val="single" w:color="auto" w:sz="4" w:space="0"/>
              <w:right w:val="single" w:color="auto" w:sz="4" w:space="0"/>
            </w:tcBorders>
            <w:vAlign w:val="center"/>
          </w:tcPr>
          <w:p w14:paraId="7AB7DB2A">
            <w:pPr>
              <w:spacing w:before="120" w:after="60"/>
              <w:jc w:val="center"/>
              <w:rPr>
                <w:rFonts w:ascii="宋体" w:hAnsi="宋体"/>
                <w:color w:val="auto"/>
                <w:szCs w:val="21"/>
                <w:highlight w:val="none"/>
              </w:rPr>
            </w:pPr>
            <w:r>
              <w:rPr>
                <w:rFonts w:hint="eastAsia" w:ascii="宋体" w:hAnsi="宋体"/>
                <w:color w:val="auto"/>
                <w:szCs w:val="21"/>
                <w:highlight w:val="none"/>
              </w:rPr>
              <w:t>投标人提供的投标人声明符合公告要求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64906343">
            <w:pPr>
              <w:spacing w:before="120" w:after="60"/>
              <w:jc w:val="center"/>
              <w:rPr>
                <w:rFonts w:ascii="宋体" w:hAnsi="宋体"/>
                <w:color w:val="auto"/>
                <w:szCs w:val="21"/>
                <w:highlight w:val="none"/>
              </w:rPr>
            </w:pPr>
            <w:r>
              <w:rPr>
                <w:rFonts w:hint="eastAsia" w:ascii="宋体" w:hAnsi="宋体"/>
                <w:color w:val="auto"/>
                <w:szCs w:val="21"/>
                <w:highlight w:val="none"/>
              </w:rPr>
              <w:t>投标人声明（按招标公告的要求填写）</w:t>
            </w:r>
          </w:p>
        </w:tc>
        <w:tc>
          <w:tcPr>
            <w:tcW w:w="720" w:type="dxa"/>
            <w:tcBorders>
              <w:top w:val="single" w:color="auto" w:sz="4" w:space="0"/>
              <w:left w:val="single" w:color="auto" w:sz="4" w:space="0"/>
              <w:bottom w:val="single" w:color="auto" w:sz="4" w:space="0"/>
              <w:right w:val="single" w:color="auto" w:sz="4" w:space="0"/>
            </w:tcBorders>
            <w:vAlign w:val="center"/>
          </w:tcPr>
          <w:p w14:paraId="08F5BB78">
            <w:pPr>
              <w:spacing w:before="120" w:after="60"/>
              <w:jc w:val="center"/>
              <w:rPr>
                <w:rFonts w:ascii="宋体" w:hAnsi="宋体"/>
                <w:color w:val="auto"/>
                <w:szCs w:val="21"/>
                <w:highlight w:val="none"/>
              </w:rPr>
            </w:pPr>
          </w:p>
        </w:tc>
      </w:tr>
      <w:tr w14:paraId="7FDC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75191F74">
            <w:pPr>
              <w:spacing w:before="120" w:after="60"/>
              <w:jc w:val="center"/>
              <w:rPr>
                <w:rFonts w:ascii="宋体" w:hAnsi="宋体"/>
                <w:color w:val="auto"/>
                <w:szCs w:val="21"/>
                <w:highlight w:val="none"/>
              </w:rPr>
            </w:pPr>
            <w:r>
              <w:rPr>
                <w:rFonts w:hint="eastAsia" w:ascii="宋体" w:hAnsi="宋体"/>
                <w:color w:val="auto"/>
                <w:szCs w:val="21"/>
                <w:highlight w:val="none"/>
              </w:rPr>
              <w:t>9</w:t>
            </w:r>
          </w:p>
        </w:tc>
        <w:tc>
          <w:tcPr>
            <w:tcW w:w="3780" w:type="dxa"/>
            <w:tcBorders>
              <w:top w:val="single" w:color="auto" w:sz="4" w:space="0"/>
              <w:left w:val="single" w:color="auto" w:sz="4" w:space="0"/>
              <w:bottom w:val="single" w:color="auto" w:sz="4" w:space="0"/>
              <w:right w:val="single" w:color="auto" w:sz="4" w:space="0"/>
            </w:tcBorders>
            <w:vAlign w:val="center"/>
          </w:tcPr>
          <w:p w14:paraId="3E1C79AD">
            <w:pPr>
              <w:spacing w:before="120" w:after="60"/>
              <w:jc w:val="center"/>
              <w:rPr>
                <w:rFonts w:ascii="宋体" w:hAnsi="宋体"/>
                <w:color w:val="auto"/>
                <w:szCs w:val="21"/>
                <w:highlight w:val="none"/>
              </w:rPr>
            </w:pPr>
            <w:r>
              <w:rPr>
                <w:rFonts w:hint="eastAsia" w:ascii="宋体" w:hAnsi="宋体"/>
                <w:color w:val="auto"/>
                <w:szCs w:val="21"/>
                <w:highlight w:val="none"/>
              </w:rPr>
              <w:t>投标人声明中签字的项目负责人和技术负责人与本项目拟派的项目负责人和技术负责人一致</w:t>
            </w:r>
          </w:p>
        </w:tc>
        <w:tc>
          <w:tcPr>
            <w:tcW w:w="3420" w:type="dxa"/>
            <w:tcBorders>
              <w:top w:val="single" w:color="auto" w:sz="4" w:space="0"/>
              <w:left w:val="single" w:color="auto" w:sz="4" w:space="0"/>
              <w:bottom w:val="single" w:color="auto" w:sz="4" w:space="0"/>
              <w:right w:val="single" w:color="auto" w:sz="4" w:space="0"/>
            </w:tcBorders>
            <w:vAlign w:val="center"/>
          </w:tcPr>
          <w:p w14:paraId="3FD0E342">
            <w:pPr>
              <w:spacing w:before="120" w:after="60"/>
              <w:jc w:val="center"/>
              <w:rPr>
                <w:rFonts w:ascii="宋体" w:hAnsi="宋体"/>
                <w:color w:val="auto"/>
                <w:szCs w:val="21"/>
                <w:highlight w:val="none"/>
              </w:rPr>
            </w:pPr>
            <w:r>
              <w:rPr>
                <w:rFonts w:hint="eastAsia" w:ascii="宋体" w:hAnsi="宋体"/>
                <w:color w:val="auto"/>
                <w:szCs w:val="21"/>
                <w:highlight w:val="none"/>
              </w:rPr>
              <w:t>网上投标时选择拟投标的项目负责人、资格审查文件中拟委派的技术负责人及投标人声明</w:t>
            </w:r>
          </w:p>
        </w:tc>
        <w:tc>
          <w:tcPr>
            <w:tcW w:w="720" w:type="dxa"/>
            <w:tcBorders>
              <w:top w:val="single" w:color="auto" w:sz="4" w:space="0"/>
              <w:left w:val="single" w:color="auto" w:sz="4" w:space="0"/>
              <w:bottom w:val="single" w:color="auto" w:sz="4" w:space="0"/>
              <w:right w:val="single" w:color="auto" w:sz="4" w:space="0"/>
            </w:tcBorders>
            <w:vAlign w:val="center"/>
          </w:tcPr>
          <w:p w14:paraId="2D9D4357">
            <w:pPr>
              <w:spacing w:before="120" w:after="60"/>
              <w:jc w:val="center"/>
              <w:rPr>
                <w:rFonts w:ascii="宋体" w:hAnsi="宋体"/>
                <w:color w:val="auto"/>
                <w:szCs w:val="21"/>
                <w:highlight w:val="none"/>
              </w:rPr>
            </w:pPr>
          </w:p>
        </w:tc>
      </w:tr>
      <w:tr w14:paraId="0FB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3D7C5E35">
            <w:pPr>
              <w:spacing w:before="120" w:after="60" w:line="2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3780" w:type="dxa"/>
            <w:tcBorders>
              <w:top w:val="single" w:color="auto" w:sz="4" w:space="0"/>
              <w:left w:val="single" w:color="auto" w:sz="4" w:space="0"/>
              <w:bottom w:val="single" w:color="auto" w:sz="4" w:space="0"/>
              <w:right w:val="single" w:color="auto" w:sz="4" w:space="0"/>
            </w:tcBorders>
            <w:vAlign w:val="center"/>
          </w:tcPr>
          <w:p w14:paraId="06A407C3">
            <w:pPr>
              <w:snapToGrid w:val="0"/>
              <w:spacing w:before="31" w:beforeLines="10" w:after="31" w:afterLines="10" w:line="240" w:lineRule="exact"/>
              <w:ind w:left="-40" w:leftChars="-19" w:right="-57" w:rightChars="-27"/>
              <w:jc w:val="center"/>
              <w:rPr>
                <w:rFonts w:ascii="宋体" w:hAnsi="宋体" w:cs="宋体"/>
                <w:color w:val="auto"/>
                <w:szCs w:val="21"/>
                <w:highlight w:val="none"/>
              </w:rPr>
            </w:pPr>
            <w:r>
              <w:rPr>
                <w:rFonts w:hint="eastAsia" w:ascii="宋体" w:hAnsi="宋体" w:cs="宋体"/>
                <w:color w:val="auto"/>
                <w:szCs w:val="21"/>
                <w:highlight w:val="none"/>
              </w:rPr>
              <w:t>关于联合体投标：本项目不接受联合体投标。</w:t>
            </w:r>
          </w:p>
        </w:tc>
        <w:tc>
          <w:tcPr>
            <w:tcW w:w="3420" w:type="dxa"/>
            <w:tcBorders>
              <w:top w:val="single" w:color="auto" w:sz="4" w:space="0"/>
              <w:left w:val="single" w:color="auto" w:sz="4" w:space="0"/>
              <w:bottom w:val="single" w:color="auto" w:sz="4" w:space="0"/>
              <w:right w:val="single" w:color="auto" w:sz="4" w:space="0"/>
            </w:tcBorders>
            <w:vAlign w:val="center"/>
          </w:tcPr>
          <w:p w14:paraId="2448E1DC">
            <w:pPr>
              <w:snapToGrid w:val="0"/>
              <w:spacing w:before="31" w:beforeLines="10" w:after="31" w:afterLines="10" w:line="240" w:lineRule="exact"/>
              <w:ind w:left="-40" w:leftChars="-19" w:right="-57" w:rightChars="-27"/>
              <w:jc w:val="center"/>
              <w:rPr>
                <w:rFonts w:ascii="宋体" w:hAnsi="宋体" w:cs="宋体"/>
                <w:color w:val="auto"/>
                <w:szCs w:val="21"/>
                <w:highlight w:val="none"/>
              </w:rPr>
            </w:pPr>
            <w:r>
              <w:rPr>
                <w:rFonts w:hint="eastAsia" w:ascii="宋体" w:hAnsi="宋体" w:cs="宋体"/>
                <w:color w:val="auto"/>
                <w:szCs w:val="21"/>
                <w:highlight w:val="none"/>
              </w:rPr>
              <w:t>非联合体投标。</w:t>
            </w:r>
          </w:p>
        </w:tc>
        <w:tc>
          <w:tcPr>
            <w:tcW w:w="720" w:type="dxa"/>
            <w:tcBorders>
              <w:top w:val="single" w:color="auto" w:sz="4" w:space="0"/>
              <w:left w:val="single" w:color="auto" w:sz="4" w:space="0"/>
              <w:bottom w:val="single" w:color="auto" w:sz="4" w:space="0"/>
              <w:right w:val="single" w:color="auto" w:sz="4" w:space="0"/>
            </w:tcBorders>
            <w:vAlign w:val="center"/>
          </w:tcPr>
          <w:p w14:paraId="1ADBFD77">
            <w:pPr>
              <w:spacing w:before="120" w:after="60"/>
              <w:jc w:val="center"/>
              <w:rPr>
                <w:rFonts w:ascii="宋体" w:hAnsi="宋体"/>
                <w:color w:val="auto"/>
                <w:szCs w:val="21"/>
                <w:highlight w:val="none"/>
              </w:rPr>
            </w:pPr>
          </w:p>
        </w:tc>
      </w:tr>
      <w:tr w14:paraId="1BBE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B83993A">
            <w:pPr>
              <w:spacing w:before="120" w:after="60" w:line="2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3780" w:type="dxa"/>
            <w:tcBorders>
              <w:top w:val="single" w:color="auto" w:sz="4" w:space="0"/>
              <w:left w:val="single" w:color="auto" w:sz="4" w:space="0"/>
              <w:bottom w:val="single" w:color="auto" w:sz="4" w:space="0"/>
              <w:right w:val="single" w:color="auto" w:sz="4" w:space="0"/>
            </w:tcBorders>
            <w:vAlign w:val="center"/>
          </w:tcPr>
          <w:p w14:paraId="5BC29E19">
            <w:pPr>
              <w:spacing w:before="120" w:after="60" w:line="240" w:lineRule="exact"/>
              <w:jc w:val="center"/>
              <w:rPr>
                <w:rFonts w:ascii="宋体" w:hAnsi="宋体" w:cs="宋体"/>
                <w:color w:val="auto"/>
                <w:szCs w:val="21"/>
                <w:highlight w:val="none"/>
              </w:rPr>
            </w:pPr>
            <w:r>
              <w:rPr>
                <w:rFonts w:hint="eastAsia" w:ascii="宋体" w:hAnsi="宋体"/>
                <w:color w:val="auto"/>
                <w:szCs w:val="21"/>
                <w:highlight w:val="none"/>
              </w:rPr>
              <w:t>资格审查前，投标人须在广州交易集团有限公司（广州公共资源交易中心）办理信息登记等相关投标登记手续及拟担任本工程项目负责人、专职安全员须是本企业的在册人员且与广州交易集团有限公司（广州公共资源交易中心）办理信息登记一致。</w:t>
            </w:r>
          </w:p>
        </w:tc>
        <w:tc>
          <w:tcPr>
            <w:tcW w:w="3420" w:type="dxa"/>
            <w:tcBorders>
              <w:top w:val="single" w:color="auto" w:sz="4" w:space="0"/>
              <w:left w:val="single" w:color="auto" w:sz="4" w:space="0"/>
              <w:bottom w:val="single" w:color="auto" w:sz="4" w:space="0"/>
              <w:right w:val="single" w:color="auto" w:sz="4" w:space="0"/>
            </w:tcBorders>
            <w:vAlign w:val="center"/>
          </w:tcPr>
          <w:p w14:paraId="3AFF83E6">
            <w:pPr>
              <w:spacing w:before="120" w:after="60" w:line="240" w:lineRule="exact"/>
              <w:jc w:val="center"/>
              <w:rPr>
                <w:rFonts w:ascii="宋体" w:hAnsi="宋体" w:cs="宋体"/>
                <w:color w:val="auto"/>
                <w:szCs w:val="21"/>
                <w:highlight w:val="none"/>
              </w:rPr>
            </w:pPr>
            <w:r>
              <w:rPr>
                <w:rFonts w:hint="eastAsia" w:ascii="宋体" w:hAnsi="宋体"/>
                <w:color w:val="auto"/>
                <w:szCs w:val="21"/>
                <w:highlight w:val="none"/>
              </w:rPr>
              <w:t>投标人在广州交易集团有限公司（广州公共资源交易中心）企业信息库内的企业和人员信息</w:t>
            </w:r>
          </w:p>
        </w:tc>
        <w:tc>
          <w:tcPr>
            <w:tcW w:w="720" w:type="dxa"/>
            <w:tcBorders>
              <w:top w:val="single" w:color="auto" w:sz="4" w:space="0"/>
              <w:left w:val="single" w:color="auto" w:sz="4" w:space="0"/>
              <w:bottom w:val="single" w:color="auto" w:sz="4" w:space="0"/>
              <w:right w:val="single" w:color="auto" w:sz="4" w:space="0"/>
            </w:tcBorders>
            <w:vAlign w:val="center"/>
          </w:tcPr>
          <w:p w14:paraId="3EDF51EC">
            <w:pPr>
              <w:spacing w:before="120" w:after="60"/>
              <w:jc w:val="center"/>
              <w:rPr>
                <w:rFonts w:ascii="宋体" w:hAnsi="宋体"/>
                <w:color w:val="auto"/>
                <w:szCs w:val="21"/>
                <w:highlight w:val="none"/>
              </w:rPr>
            </w:pPr>
          </w:p>
        </w:tc>
      </w:tr>
      <w:tr w14:paraId="7130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187FC16E">
            <w:pPr>
              <w:spacing w:before="120" w:after="60" w:line="24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3780" w:type="dxa"/>
            <w:tcBorders>
              <w:top w:val="single" w:color="auto" w:sz="4" w:space="0"/>
              <w:left w:val="single" w:color="auto" w:sz="4" w:space="0"/>
              <w:bottom w:val="single" w:color="auto" w:sz="4" w:space="0"/>
              <w:right w:val="single" w:color="auto" w:sz="4" w:space="0"/>
            </w:tcBorders>
            <w:vAlign w:val="center"/>
          </w:tcPr>
          <w:p w14:paraId="300CE707">
            <w:pPr>
              <w:spacing w:before="120" w:after="60"/>
              <w:jc w:val="center"/>
              <w:rPr>
                <w:rFonts w:ascii="宋体" w:hAnsi="宋体"/>
                <w:color w:val="auto"/>
                <w:szCs w:val="21"/>
                <w:highlight w:val="none"/>
              </w:rPr>
            </w:pPr>
            <w:r>
              <w:rPr>
                <w:rFonts w:hint="eastAsia" w:ascii="宋体" w:hAnsi="宋体"/>
                <w:color w:val="auto"/>
                <w:szCs w:val="21"/>
                <w:highlight w:val="none"/>
              </w:rPr>
              <w:t>未在以往工程中因不充分履约行为被本项目招标人书面拒绝投标的</w:t>
            </w:r>
          </w:p>
        </w:tc>
        <w:tc>
          <w:tcPr>
            <w:tcW w:w="3420" w:type="dxa"/>
            <w:tcBorders>
              <w:top w:val="single" w:color="auto" w:sz="4" w:space="0"/>
              <w:left w:val="single" w:color="auto" w:sz="4" w:space="0"/>
              <w:bottom w:val="single" w:color="auto" w:sz="4" w:space="0"/>
              <w:right w:val="single" w:color="auto" w:sz="4" w:space="0"/>
            </w:tcBorders>
            <w:vAlign w:val="center"/>
          </w:tcPr>
          <w:p w14:paraId="4FFE37EF">
            <w:pPr>
              <w:spacing w:before="120" w:after="60"/>
              <w:jc w:val="center"/>
              <w:rPr>
                <w:rFonts w:ascii="宋体" w:hAnsi="宋体"/>
                <w:color w:val="auto"/>
                <w:szCs w:val="21"/>
                <w:highlight w:val="none"/>
              </w:rPr>
            </w:pPr>
            <w:r>
              <w:rPr>
                <w:rFonts w:hint="eastAsia" w:ascii="宋体" w:hAnsi="宋体" w:cs="宋体"/>
                <w:color w:val="auto"/>
                <w:szCs w:val="21"/>
                <w:highlight w:val="none"/>
              </w:rPr>
              <w:t>按招标公告附件三《被招标人拒绝投标的企业名单》进行评审</w:t>
            </w:r>
          </w:p>
        </w:tc>
        <w:tc>
          <w:tcPr>
            <w:tcW w:w="720" w:type="dxa"/>
            <w:tcBorders>
              <w:top w:val="single" w:color="auto" w:sz="4" w:space="0"/>
              <w:left w:val="single" w:color="auto" w:sz="4" w:space="0"/>
              <w:bottom w:val="single" w:color="auto" w:sz="4" w:space="0"/>
              <w:right w:val="single" w:color="auto" w:sz="4" w:space="0"/>
            </w:tcBorders>
            <w:vAlign w:val="center"/>
          </w:tcPr>
          <w:p w14:paraId="38F66240">
            <w:pPr>
              <w:spacing w:before="120" w:after="60"/>
              <w:jc w:val="center"/>
              <w:rPr>
                <w:rFonts w:ascii="宋体" w:hAnsi="宋体"/>
                <w:color w:val="auto"/>
                <w:szCs w:val="21"/>
                <w:highlight w:val="none"/>
              </w:rPr>
            </w:pPr>
          </w:p>
        </w:tc>
      </w:tr>
      <w:tr w14:paraId="14C4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1C1423E4">
            <w:pPr>
              <w:spacing w:before="120" w:after="60" w:line="24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3780" w:type="dxa"/>
            <w:tcBorders>
              <w:top w:val="single" w:color="auto" w:sz="4" w:space="0"/>
              <w:left w:val="single" w:color="auto" w:sz="4" w:space="0"/>
              <w:bottom w:val="single" w:color="auto" w:sz="4" w:space="0"/>
              <w:right w:val="single" w:color="auto" w:sz="4" w:space="0"/>
            </w:tcBorders>
            <w:vAlign w:val="center"/>
          </w:tcPr>
          <w:p w14:paraId="01772AEE">
            <w:pPr>
              <w:spacing w:before="120" w:after="60"/>
              <w:jc w:val="center"/>
              <w:rPr>
                <w:rFonts w:ascii="宋体" w:hAnsi="宋体"/>
                <w:color w:val="auto"/>
                <w:szCs w:val="21"/>
                <w:highlight w:val="none"/>
              </w:rPr>
            </w:pPr>
            <w:r>
              <w:rPr>
                <w:rFonts w:hint="eastAsia" w:ascii="宋体" w:hAnsi="宋体"/>
                <w:color w:val="auto"/>
                <w:szCs w:val="21"/>
                <w:highlight w:val="none"/>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single" w:color="auto" w:sz="4" w:space="0"/>
              <w:bottom w:val="single" w:color="auto" w:sz="4" w:space="0"/>
              <w:right w:val="single" w:color="auto" w:sz="4" w:space="0"/>
            </w:tcBorders>
            <w:vAlign w:val="center"/>
          </w:tcPr>
          <w:p w14:paraId="21505EA3">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p>
        </w:tc>
        <w:tc>
          <w:tcPr>
            <w:tcW w:w="720" w:type="dxa"/>
            <w:tcBorders>
              <w:top w:val="single" w:color="auto" w:sz="4" w:space="0"/>
              <w:left w:val="single" w:color="auto" w:sz="4" w:space="0"/>
              <w:bottom w:val="single" w:color="auto" w:sz="4" w:space="0"/>
              <w:right w:val="single" w:color="auto" w:sz="4" w:space="0"/>
            </w:tcBorders>
            <w:vAlign w:val="center"/>
          </w:tcPr>
          <w:p w14:paraId="5A94D0BE">
            <w:pPr>
              <w:spacing w:before="120" w:after="60"/>
              <w:jc w:val="center"/>
              <w:rPr>
                <w:rFonts w:ascii="宋体" w:hAnsi="宋体"/>
                <w:color w:val="auto"/>
                <w:szCs w:val="21"/>
                <w:highlight w:val="none"/>
              </w:rPr>
            </w:pPr>
          </w:p>
        </w:tc>
      </w:tr>
      <w:tr w14:paraId="738F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620C38AC">
            <w:pPr>
              <w:spacing w:before="120" w:after="60" w:line="240" w:lineRule="exact"/>
              <w:jc w:val="center"/>
              <w:rPr>
                <w:rFonts w:ascii="宋体" w:hAnsi="宋体" w:cs="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p>
        </w:tc>
        <w:tc>
          <w:tcPr>
            <w:tcW w:w="3780" w:type="dxa"/>
            <w:tcBorders>
              <w:top w:val="single" w:color="auto" w:sz="4" w:space="0"/>
              <w:left w:val="single" w:color="auto" w:sz="4" w:space="0"/>
              <w:bottom w:val="single" w:color="auto" w:sz="4" w:space="0"/>
              <w:right w:val="single" w:color="auto" w:sz="4" w:space="0"/>
            </w:tcBorders>
            <w:vAlign w:val="center"/>
          </w:tcPr>
          <w:p w14:paraId="6BD43224">
            <w:pPr>
              <w:spacing w:before="120" w:after="60"/>
              <w:jc w:val="center"/>
              <w:rPr>
                <w:rFonts w:ascii="宋体" w:hAnsi="宋体"/>
                <w:color w:val="auto"/>
                <w:szCs w:val="21"/>
                <w:highlight w:val="none"/>
              </w:rPr>
            </w:pPr>
            <w:r>
              <w:rPr>
                <w:rFonts w:hint="eastAsia" w:ascii="宋体" w:hAnsi="宋体" w:eastAsia="Times New Roman"/>
                <w:color w:val="auto"/>
                <w:szCs w:val="21"/>
                <w:highlight w:val="none"/>
              </w:rPr>
              <w:t>未被列入拖欠农民工工资失信联合惩戒对象名单</w:t>
            </w:r>
          </w:p>
        </w:tc>
        <w:tc>
          <w:tcPr>
            <w:tcW w:w="3420" w:type="dxa"/>
            <w:tcBorders>
              <w:top w:val="single" w:color="auto" w:sz="4" w:space="0"/>
              <w:left w:val="single" w:color="auto" w:sz="4" w:space="0"/>
              <w:bottom w:val="single" w:color="auto" w:sz="4" w:space="0"/>
              <w:right w:val="single" w:color="auto" w:sz="4" w:space="0"/>
            </w:tcBorders>
            <w:vAlign w:val="center"/>
          </w:tcPr>
          <w:p w14:paraId="43AA22D3">
            <w:pPr>
              <w:spacing w:before="120" w:after="60"/>
              <w:jc w:val="center"/>
              <w:rPr>
                <w:rFonts w:ascii="宋体" w:hAnsi="宋体"/>
                <w:color w:val="auto"/>
                <w:szCs w:val="21"/>
                <w:highlight w:val="none"/>
              </w:rPr>
            </w:pPr>
            <w:r>
              <w:rPr>
                <w:rFonts w:hint="eastAsia" w:ascii="宋体" w:hAnsi="宋体"/>
                <w:color w:val="auto"/>
                <w:szCs w:val="21"/>
                <w:highlight w:val="none"/>
              </w:rPr>
              <w:t>投标人无需提供资料，按</w:t>
            </w:r>
            <w:r>
              <w:rPr>
                <w:rFonts w:hint="eastAsia" w:ascii="宋体" w:hAnsi="宋体"/>
                <w:color w:val="auto"/>
                <w:szCs w:val="21"/>
                <w:highlight w:val="none"/>
                <w:lang w:eastAsia="zh-CN"/>
              </w:rPr>
              <w:t>投标截止时间</w:t>
            </w:r>
            <w:r>
              <w:rPr>
                <w:rFonts w:hint="eastAsia" w:ascii="宋体" w:hAnsi="宋体"/>
                <w:color w:val="auto"/>
                <w:szCs w:val="21"/>
                <w:highlight w:val="none"/>
              </w:rPr>
              <w:t>交易系统比对的结果进行评审</w:t>
            </w:r>
          </w:p>
        </w:tc>
        <w:tc>
          <w:tcPr>
            <w:tcW w:w="720" w:type="dxa"/>
            <w:tcBorders>
              <w:top w:val="single" w:color="auto" w:sz="4" w:space="0"/>
              <w:left w:val="single" w:color="auto" w:sz="4" w:space="0"/>
              <w:bottom w:val="single" w:color="auto" w:sz="4" w:space="0"/>
              <w:right w:val="single" w:color="auto" w:sz="4" w:space="0"/>
            </w:tcBorders>
            <w:vAlign w:val="center"/>
          </w:tcPr>
          <w:p w14:paraId="2FE370D0">
            <w:pPr>
              <w:spacing w:before="120" w:after="60"/>
              <w:jc w:val="center"/>
              <w:rPr>
                <w:rFonts w:ascii="宋体" w:hAnsi="宋体"/>
                <w:color w:val="auto"/>
                <w:szCs w:val="21"/>
                <w:highlight w:val="none"/>
              </w:rPr>
            </w:pPr>
          </w:p>
        </w:tc>
      </w:tr>
      <w:tr w14:paraId="6817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3F205468">
            <w:pPr>
              <w:spacing w:before="120" w:after="60" w:line="240" w:lineRule="exact"/>
              <w:jc w:val="center"/>
              <w:rPr>
                <w:rFonts w:hint="eastAsia" w:ascii="宋体" w:hAnsi="宋体"/>
                <w:color w:val="auto"/>
                <w:szCs w:val="21"/>
                <w:highlight w:val="none"/>
              </w:rPr>
            </w:pPr>
            <w:r>
              <w:rPr>
                <w:rFonts w:hint="eastAsia" w:ascii="宋体" w:hAnsi="宋体"/>
                <w:color w:val="auto"/>
                <w:szCs w:val="21"/>
                <w:highlight w:val="none"/>
                <w:lang w:val="en-US" w:eastAsia="zh-CN"/>
              </w:rPr>
              <w:t>15</w:t>
            </w:r>
          </w:p>
        </w:tc>
        <w:tc>
          <w:tcPr>
            <w:tcW w:w="3780" w:type="dxa"/>
            <w:tcBorders>
              <w:top w:val="single" w:color="auto" w:sz="4" w:space="0"/>
              <w:left w:val="single" w:color="auto" w:sz="4" w:space="0"/>
              <w:bottom w:val="single" w:color="auto" w:sz="4" w:space="0"/>
              <w:right w:val="single" w:color="auto" w:sz="4" w:space="0"/>
            </w:tcBorders>
            <w:vAlign w:val="center"/>
          </w:tcPr>
          <w:p w14:paraId="34EFA42F">
            <w:pPr>
              <w:pStyle w:val="21"/>
              <w:jc w:val="center"/>
              <w:rPr>
                <w:rFonts w:hint="eastAsia" w:ascii="宋体" w:hAnsi="宋体" w:eastAsia="Times New Roman"/>
                <w:color w:val="auto"/>
                <w:szCs w:val="21"/>
                <w:highlight w:val="none"/>
              </w:rPr>
            </w:pPr>
            <w:r>
              <w:rPr>
                <w:rFonts w:ascii="宋体" w:hAnsi="宋体" w:eastAsia="Times New Roman" w:cs="Times New Roman"/>
                <w:color w:val="auto"/>
                <w:kern w:val="2"/>
                <w:sz w:val="21"/>
                <w:szCs w:val="21"/>
                <w:highlight w:val="none"/>
                <w:lang w:eastAsia="zh-CN" w:bidi="ar-SA"/>
              </w:rPr>
              <w:t>面向中小企业</w:t>
            </w:r>
          </w:p>
        </w:tc>
        <w:tc>
          <w:tcPr>
            <w:tcW w:w="3420" w:type="dxa"/>
            <w:tcBorders>
              <w:top w:val="single" w:color="auto" w:sz="4" w:space="0"/>
              <w:left w:val="single" w:color="auto" w:sz="4" w:space="0"/>
              <w:bottom w:val="single" w:color="auto" w:sz="4" w:space="0"/>
              <w:right w:val="single" w:color="auto" w:sz="4" w:space="0"/>
            </w:tcBorders>
            <w:vAlign w:val="center"/>
          </w:tcPr>
          <w:p w14:paraId="319ADEBA">
            <w:pPr>
              <w:spacing w:before="120" w:after="60"/>
              <w:jc w:val="center"/>
              <w:rPr>
                <w:rFonts w:hint="eastAsia" w:ascii="宋体" w:hAnsi="宋体"/>
                <w:color w:val="auto"/>
                <w:szCs w:val="21"/>
                <w:highlight w:val="none"/>
              </w:rPr>
            </w:pPr>
            <w:r>
              <w:rPr>
                <w:rFonts w:hint="eastAsia" w:ascii="宋体" w:hAnsi="宋体" w:cs="Times New Roman"/>
                <w:color w:val="auto"/>
                <w:sz w:val="21"/>
                <w:szCs w:val="21"/>
                <w:highlight w:val="none"/>
                <w:lang w:val="en-US" w:eastAsia="zh-CN"/>
              </w:rPr>
              <w:t>本项目为整体面向中小企业，投标人必须为中小微企业、监狱企业、残疾人福利性单位。（提供《中小企业声明函》或属于监狱企业的证明材料或《残疾人福利性单位声明函》）。</w:t>
            </w:r>
          </w:p>
        </w:tc>
        <w:tc>
          <w:tcPr>
            <w:tcW w:w="720" w:type="dxa"/>
            <w:tcBorders>
              <w:top w:val="single" w:color="auto" w:sz="4" w:space="0"/>
              <w:left w:val="single" w:color="auto" w:sz="4" w:space="0"/>
              <w:bottom w:val="single" w:color="auto" w:sz="4" w:space="0"/>
              <w:right w:val="single" w:color="auto" w:sz="4" w:space="0"/>
            </w:tcBorders>
            <w:vAlign w:val="center"/>
          </w:tcPr>
          <w:p w14:paraId="7BE526D7">
            <w:pPr>
              <w:spacing w:before="120" w:after="60"/>
              <w:jc w:val="center"/>
              <w:rPr>
                <w:rFonts w:ascii="宋体" w:hAnsi="宋体"/>
                <w:color w:val="auto"/>
                <w:szCs w:val="21"/>
                <w:highlight w:val="none"/>
              </w:rPr>
            </w:pPr>
          </w:p>
        </w:tc>
      </w:tr>
    </w:tbl>
    <w:p w14:paraId="1D08F0F5">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备注：</w:t>
      </w:r>
    </w:p>
    <w:p w14:paraId="4A8E8E38">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 xml:space="preserve">1、每一项目符合的打“○”，不符合的打“×”； </w:t>
      </w:r>
    </w:p>
    <w:p w14:paraId="4304CA5E">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2、若评委意见不一致时，则按少数服从多数的原则，作出评审结论。汇总后，出现一个“×”的结论为“不通过”。</w:t>
      </w:r>
    </w:p>
    <w:p w14:paraId="67CF9540">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78E395DB">
      <w:pPr>
        <w:rPr>
          <w:color w:val="auto"/>
          <w:highlight w:val="none"/>
        </w:rPr>
        <w:sectPr>
          <w:footerReference r:id="rId12" w:type="first"/>
          <w:footerReference r:id="rId11" w:type="default"/>
          <w:endnotePr>
            <w:numFmt w:val="decimal"/>
          </w:endnotePr>
          <w:pgSz w:w="11906" w:h="16838"/>
          <w:pgMar w:top="1134" w:right="1418" w:bottom="1247" w:left="1418" w:header="851" w:footer="907" w:gutter="0"/>
          <w:pgNumType w:fmt="decimal"/>
          <w:cols w:space="425" w:num="1"/>
          <w:titlePg/>
          <w:docGrid w:type="lines" w:linePitch="312" w:charSpace="0"/>
        </w:sectPr>
      </w:pPr>
    </w:p>
    <w:p w14:paraId="7512DE06">
      <w:pPr>
        <w:rPr>
          <w:color w:val="auto"/>
          <w:szCs w:val="21"/>
          <w:highlight w:val="none"/>
        </w:rPr>
      </w:pPr>
      <w:r>
        <w:rPr>
          <w:rFonts w:hint="eastAsia"/>
          <w:color w:val="auto"/>
          <w:szCs w:val="21"/>
          <w:highlight w:val="none"/>
        </w:rPr>
        <w:t>附表二</w:t>
      </w:r>
    </w:p>
    <w:p w14:paraId="28B22B00">
      <w:pPr>
        <w:jc w:val="center"/>
        <w:rPr>
          <w:b/>
          <w:color w:val="auto"/>
          <w:sz w:val="36"/>
          <w:szCs w:val="36"/>
          <w:highlight w:val="none"/>
        </w:rPr>
      </w:pPr>
      <w:r>
        <w:rPr>
          <w:rFonts w:hint="eastAsia"/>
          <w:b/>
          <w:color w:val="auto"/>
          <w:sz w:val="36"/>
          <w:szCs w:val="36"/>
          <w:highlight w:val="none"/>
        </w:rPr>
        <w:t>技术标有效性审查表</w:t>
      </w:r>
    </w:p>
    <w:p w14:paraId="46818753">
      <w:pPr>
        <w:rPr>
          <w:color w:val="auto"/>
          <w:szCs w:val="21"/>
          <w:highlight w:val="none"/>
        </w:rPr>
      </w:pPr>
      <w:r>
        <w:rPr>
          <w:rFonts w:hint="eastAsia"/>
          <w:color w:val="auto"/>
          <w:szCs w:val="21"/>
          <w:highlight w:val="none"/>
        </w:rPr>
        <w:t>工程名称：</w:t>
      </w:r>
    </w:p>
    <w:tbl>
      <w:tblPr>
        <w:tblStyle w:val="1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4299"/>
        <w:gridCol w:w="1602"/>
        <w:gridCol w:w="1603"/>
        <w:gridCol w:w="1603"/>
        <w:gridCol w:w="1603"/>
        <w:gridCol w:w="1603"/>
        <w:gridCol w:w="1603"/>
      </w:tblGrid>
      <w:tr w14:paraId="3EE2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1CADD076">
            <w:pPr>
              <w:adjustRightInd w:val="0"/>
              <w:rPr>
                <w:rFonts w:ascii="宋体" w:hAnsi="宋体"/>
                <w:color w:val="auto"/>
                <w:szCs w:val="21"/>
                <w:highlight w:val="none"/>
              </w:rPr>
            </w:pPr>
            <w:r>
              <w:rPr>
                <w:rFonts w:hint="eastAsia" w:ascii="宋体" w:hAnsi="宋体"/>
                <w:color w:val="auto"/>
                <w:szCs w:val="21"/>
                <w:highlight w:val="none"/>
              </w:rPr>
              <w:t>序号</w:t>
            </w:r>
          </w:p>
        </w:tc>
        <w:tc>
          <w:tcPr>
            <w:tcW w:w="4299" w:type="dxa"/>
            <w:tcBorders>
              <w:top w:val="single" w:color="auto" w:sz="4" w:space="0"/>
              <w:left w:val="single" w:color="auto" w:sz="4" w:space="0"/>
              <w:bottom w:val="single" w:color="auto" w:sz="4" w:space="0"/>
              <w:right w:val="single" w:color="auto" w:sz="4" w:space="0"/>
              <w:tl2br w:val="single" w:color="auto" w:sz="4" w:space="0"/>
            </w:tcBorders>
          </w:tcPr>
          <w:p w14:paraId="34262AFE">
            <w:pPr>
              <w:adjustRightInd w:val="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71E68FC8">
            <w:pPr>
              <w:adjustRightInd w:val="0"/>
              <w:rPr>
                <w:rFonts w:ascii="宋体" w:hAnsi="宋体"/>
                <w:color w:val="auto"/>
                <w:szCs w:val="21"/>
                <w:highlight w:val="none"/>
              </w:rPr>
            </w:pPr>
          </w:p>
          <w:p w14:paraId="3B8C50FD">
            <w:pPr>
              <w:adjustRightInd w:val="0"/>
              <w:rPr>
                <w:rFonts w:ascii="宋体" w:hAnsi="宋体"/>
                <w:color w:val="auto"/>
                <w:szCs w:val="21"/>
                <w:highlight w:val="none"/>
              </w:rPr>
            </w:pPr>
            <w:r>
              <w:rPr>
                <w:rFonts w:hint="eastAsia" w:ascii="宋体" w:hAnsi="宋体"/>
                <w:color w:val="auto"/>
                <w:szCs w:val="21"/>
                <w:highlight w:val="none"/>
              </w:rPr>
              <w:t>评审内容</w:t>
            </w:r>
          </w:p>
        </w:tc>
        <w:tc>
          <w:tcPr>
            <w:tcW w:w="1602" w:type="dxa"/>
            <w:tcBorders>
              <w:top w:val="single" w:color="auto" w:sz="4" w:space="0"/>
              <w:left w:val="single" w:color="auto" w:sz="4" w:space="0"/>
              <w:bottom w:val="single" w:color="auto" w:sz="4" w:space="0"/>
              <w:right w:val="single" w:color="auto" w:sz="4" w:space="0"/>
            </w:tcBorders>
          </w:tcPr>
          <w:p w14:paraId="0E6CBF5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D1B221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6CB360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52FCE6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6FC9D3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A6B32FB">
            <w:pPr>
              <w:adjustRightInd w:val="0"/>
              <w:rPr>
                <w:rFonts w:ascii="宋体" w:hAnsi="宋体"/>
                <w:color w:val="auto"/>
                <w:szCs w:val="21"/>
                <w:highlight w:val="none"/>
              </w:rPr>
            </w:pPr>
          </w:p>
        </w:tc>
      </w:tr>
      <w:tr w14:paraId="316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35D3B440">
            <w:pPr>
              <w:adjustRightInd w:val="0"/>
              <w:rPr>
                <w:rFonts w:ascii="宋体" w:hAnsi="宋体"/>
                <w:color w:val="auto"/>
                <w:szCs w:val="21"/>
                <w:highlight w:val="none"/>
              </w:rPr>
            </w:pPr>
            <w:r>
              <w:rPr>
                <w:rFonts w:hint="eastAsia" w:ascii="宋体" w:hAnsi="宋体"/>
                <w:color w:val="auto"/>
                <w:szCs w:val="21"/>
                <w:highlight w:val="none"/>
              </w:rPr>
              <w:t>1</w:t>
            </w:r>
          </w:p>
        </w:tc>
        <w:tc>
          <w:tcPr>
            <w:tcW w:w="4299" w:type="dxa"/>
            <w:tcBorders>
              <w:top w:val="single" w:color="auto" w:sz="4" w:space="0"/>
              <w:left w:val="single" w:color="auto" w:sz="4" w:space="0"/>
              <w:bottom w:val="single" w:color="auto" w:sz="4" w:space="0"/>
              <w:right w:val="single" w:color="auto" w:sz="4" w:space="0"/>
            </w:tcBorders>
            <w:vAlign w:val="center"/>
          </w:tcPr>
          <w:p w14:paraId="4B6E4D70">
            <w:pPr>
              <w:adjustRightInd w:val="0"/>
              <w:rPr>
                <w:rFonts w:ascii="宋体" w:hAnsi="宋体"/>
                <w:color w:val="auto"/>
                <w:szCs w:val="21"/>
                <w:highlight w:val="none"/>
              </w:rPr>
            </w:pPr>
            <w:r>
              <w:rPr>
                <w:rFonts w:hint="eastAsia" w:ascii="宋体" w:hAnsi="宋体"/>
                <w:color w:val="auto"/>
                <w:szCs w:val="21"/>
                <w:highlight w:val="none"/>
              </w:rPr>
              <w:t>《广州建设工程施工招标投标书》中工期不能满足完成投标项</w:t>
            </w:r>
            <w:r>
              <w:rPr>
                <w:rFonts w:hint="eastAsia" w:ascii="宋体" w:hAnsi="宋体"/>
                <w:color w:val="auto"/>
                <w:szCs w:val="21"/>
                <w:highlight w:val="none"/>
                <w:lang w:val="en-US" w:eastAsia="zh-CN"/>
              </w:rPr>
              <w:t>目</w:t>
            </w:r>
            <w:r>
              <w:rPr>
                <w:rFonts w:hint="eastAsia" w:ascii="宋体" w:hAnsi="宋体"/>
                <w:color w:val="auto"/>
                <w:szCs w:val="21"/>
                <w:highlight w:val="none"/>
              </w:rPr>
              <w:t>工期的</w:t>
            </w:r>
            <w:r>
              <w:rPr>
                <w:rFonts w:hint="eastAsia" w:ascii="宋体" w:hAnsi="宋体"/>
                <w:color w:val="auto"/>
                <w:szCs w:val="21"/>
                <w:highlight w:val="none"/>
                <w:lang w:eastAsia="zh-CN"/>
              </w:rPr>
              <w:t>；</w:t>
            </w:r>
          </w:p>
        </w:tc>
        <w:tc>
          <w:tcPr>
            <w:tcW w:w="1602" w:type="dxa"/>
            <w:tcBorders>
              <w:top w:val="single" w:color="auto" w:sz="4" w:space="0"/>
              <w:left w:val="single" w:color="auto" w:sz="4" w:space="0"/>
              <w:bottom w:val="single" w:color="auto" w:sz="4" w:space="0"/>
              <w:right w:val="single" w:color="auto" w:sz="4" w:space="0"/>
            </w:tcBorders>
          </w:tcPr>
          <w:p w14:paraId="732CEB5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3F6626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411140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5257F5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060FF9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0C3DB01">
            <w:pPr>
              <w:adjustRightInd w:val="0"/>
              <w:rPr>
                <w:rFonts w:ascii="宋体" w:hAnsi="宋体"/>
                <w:color w:val="auto"/>
                <w:szCs w:val="21"/>
                <w:highlight w:val="none"/>
              </w:rPr>
            </w:pPr>
          </w:p>
        </w:tc>
      </w:tr>
      <w:tr w14:paraId="7C1C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7253A41D">
            <w:pPr>
              <w:adjustRightInd w:val="0"/>
              <w:rPr>
                <w:rFonts w:ascii="宋体" w:hAnsi="宋体"/>
                <w:color w:val="auto"/>
                <w:szCs w:val="21"/>
                <w:highlight w:val="none"/>
              </w:rPr>
            </w:pPr>
            <w:r>
              <w:rPr>
                <w:rFonts w:hint="eastAsia" w:ascii="宋体" w:hAnsi="宋体"/>
                <w:color w:val="auto"/>
                <w:szCs w:val="21"/>
                <w:highlight w:val="none"/>
              </w:rPr>
              <w:t>2</w:t>
            </w:r>
          </w:p>
        </w:tc>
        <w:tc>
          <w:tcPr>
            <w:tcW w:w="4299" w:type="dxa"/>
            <w:tcBorders>
              <w:top w:val="single" w:color="auto" w:sz="4" w:space="0"/>
              <w:left w:val="single" w:color="auto" w:sz="4" w:space="0"/>
              <w:bottom w:val="single" w:color="auto" w:sz="4" w:space="0"/>
              <w:right w:val="single" w:color="auto" w:sz="4" w:space="0"/>
            </w:tcBorders>
            <w:vAlign w:val="center"/>
          </w:tcPr>
          <w:p w14:paraId="75C03211">
            <w:pPr>
              <w:adjustRightInd w:val="0"/>
              <w:rPr>
                <w:rFonts w:ascii="宋体" w:hAnsi="宋体"/>
                <w:color w:val="auto"/>
                <w:szCs w:val="21"/>
                <w:highlight w:val="none"/>
              </w:rPr>
            </w:pPr>
            <w:r>
              <w:rPr>
                <w:rFonts w:hint="eastAsia" w:ascii="宋体" w:hAnsi="宋体"/>
                <w:color w:val="auto"/>
                <w:szCs w:val="21"/>
                <w:highlight w:val="none"/>
              </w:rPr>
              <w:t>《广州建设工程施工招标投标书》中质量标准不符合招标文件的；</w:t>
            </w:r>
          </w:p>
        </w:tc>
        <w:tc>
          <w:tcPr>
            <w:tcW w:w="1602" w:type="dxa"/>
            <w:tcBorders>
              <w:top w:val="single" w:color="auto" w:sz="4" w:space="0"/>
              <w:left w:val="single" w:color="auto" w:sz="4" w:space="0"/>
              <w:bottom w:val="single" w:color="auto" w:sz="4" w:space="0"/>
              <w:right w:val="single" w:color="auto" w:sz="4" w:space="0"/>
            </w:tcBorders>
          </w:tcPr>
          <w:p w14:paraId="1EE5C0E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368D62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5633DA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3D2A59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05648D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2DB9A59">
            <w:pPr>
              <w:adjustRightInd w:val="0"/>
              <w:rPr>
                <w:rFonts w:ascii="宋体" w:hAnsi="宋体"/>
                <w:color w:val="auto"/>
                <w:szCs w:val="21"/>
                <w:highlight w:val="none"/>
              </w:rPr>
            </w:pPr>
          </w:p>
        </w:tc>
      </w:tr>
      <w:tr w14:paraId="601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EE8E51D">
            <w:pPr>
              <w:adjustRightInd w:val="0"/>
              <w:rPr>
                <w:rFonts w:ascii="宋体" w:hAnsi="宋体"/>
                <w:color w:val="auto"/>
                <w:szCs w:val="21"/>
                <w:highlight w:val="none"/>
              </w:rPr>
            </w:pPr>
            <w:r>
              <w:rPr>
                <w:rFonts w:hint="eastAsia" w:ascii="宋体" w:hAnsi="宋体"/>
                <w:color w:val="auto"/>
                <w:szCs w:val="21"/>
                <w:highlight w:val="none"/>
              </w:rPr>
              <w:t>3</w:t>
            </w:r>
          </w:p>
        </w:tc>
        <w:tc>
          <w:tcPr>
            <w:tcW w:w="4299" w:type="dxa"/>
            <w:tcBorders>
              <w:top w:val="single" w:color="auto" w:sz="4" w:space="0"/>
              <w:left w:val="single" w:color="auto" w:sz="4" w:space="0"/>
              <w:bottom w:val="single" w:color="auto" w:sz="4" w:space="0"/>
              <w:right w:val="single" w:color="auto" w:sz="4" w:space="0"/>
            </w:tcBorders>
            <w:vAlign w:val="center"/>
          </w:tcPr>
          <w:p w14:paraId="7F572BFD">
            <w:pPr>
              <w:adjustRightInd w:val="0"/>
              <w:rPr>
                <w:rFonts w:ascii="宋体" w:hAnsi="宋体"/>
                <w:color w:val="auto"/>
                <w:szCs w:val="21"/>
                <w:highlight w:val="none"/>
              </w:rPr>
            </w:pPr>
            <w:r>
              <w:rPr>
                <w:rFonts w:hint="eastAsia" w:ascii="宋体" w:hAnsi="宋体"/>
                <w:color w:val="auto"/>
                <w:szCs w:val="21"/>
                <w:highlight w:val="none"/>
              </w:rPr>
              <w:t>投标文件中没有有效的法定代表人证明书，或由委托代理人签署的投标文件中没有法定代表人授权书；</w:t>
            </w:r>
          </w:p>
        </w:tc>
        <w:tc>
          <w:tcPr>
            <w:tcW w:w="1602" w:type="dxa"/>
            <w:tcBorders>
              <w:top w:val="single" w:color="auto" w:sz="4" w:space="0"/>
              <w:left w:val="single" w:color="auto" w:sz="4" w:space="0"/>
              <w:bottom w:val="single" w:color="auto" w:sz="4" w:space="0"/>
              <w:right w:val="single" w:color="auto" w:sz="4" w:space="0"/>
            </w:tcBorders>
          </w:tcPr>
          <w:p w14:paraId="3FFBD9A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60377E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87CD34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F3FAD2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345496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A456D0">
            <w:pPr>
              <w:adjustRightInd w:val="0"/>
              <w:rPr>
                <w:rFonts w:ascii="宋体" w:hAnsi="宋体"/>
                <w:color w:val="auto"/>
                <w:szCs w:val="21"/>
                <w:highlight w:val="none"/>
              </w:rPr>
            </w:pPr>
          </w:p>
        </w:tc>
      </w:tr>
      <w:tr w14:paraId="6638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8F5BB75">
            <w:pPr>
              <w:adjustRightInd w:val="0"/>
              <w:rPr>
                <w:rFonts w:ascii="宋体" w:hAnsi="宋体"/>
                <w:color w:val="auto"/>
                <w:szCs w:val="21"/>
                <w:highlight w:val="none"/>
              </w:rPr>
            </w:pPr>
            <w:r>
              <w:rPr>
                <w:rFonts w:hint="eastAsia" w:ascii="宋体" w:hAnsi="宋体"/>
                <w:color w:val="auto"/>
                <w:szCs w:val="21"/>
                <w:highlight w:val="none"/>
              </w:rPr>
              <w:t>4</w:t>
            </w:r>
          </w:p>
        </w:tc>
        <w:tc>
          <w:tcPr>
            <w:tcW w:w="4299" w:type="dxa"/>
            <w:tcBorders>
              <w:top w:val="single" w:color="auto" w:sz="4" w:space="0"/>
              <w:left w:val="single" w:color="auto" w:sz="4" w:space="0"/>
              <w:bottom w:val="single" w:color="auto" w:sz="4" w:space="0"/>
              <w:right w:val="single" w:color="auto" w:sz="4" w:space="0"/>
            </w:tcBorders>
            <w:vAlign w:val="center"/>
          </w:tcPr>
          <w:p w14:paraId="05DF3C13">
            <w:pPr>
              <w:adjustRightInd w:val="0"/>
              <w:rPr>
                <w:rFonts w:ascii="宋体" w:hAnsi="宋体"/>
                <w:color w:val="auto"/>
                <w:szCs w:val="21"/>
                <w:highlight w:val="none"/>
              </w:rPr>
            </w:pPr>
            <w:r>
              <w:rPr>
                <w:rFonts w:hint="eastAsia" w:ascii="宋体" w:hAnsi="宋体"/>
                <w:color w:val="auto"/>
                <w:szCs w:val="21"/>
                <w:highlight w:val="none"/>
              </w:rPr>
              <w:t>投标文件未按规定的格式填写，或主要内容不全，或关键字迹模糊、无法辨认的；</w:t>
            </w:r>
          </w:p>
        </w:tc>
        <w:tc>
          <w:tcPr>
            <w:tcW w:w="1602" w:type="dxa"/>
            <w:tcBorders>
              <w:top w:val="single" w:color="auto" w:sz="4" w:space="0"/>
              <w:left w:val="single" w:color="auto" w:sz="4" w:space="0"/>
              <w:bottom w:val="single" w:color="auto" w:sz="4" w:space="0"/>
              <w:right w:val="single" w:color="auto" w:sz="4" w:space="0"/>
            </w:tcBorders>
          </w:tcPr>
          <w:p w14:paraId="4C31AF8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4EC4D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C0F0F8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447EB2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E9BB45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3FEF299">
            <w:pPr>
              <w:adjustRightInd w:val="0"/>
              <w:rPr>
                <w:rFonts w:ascii="宋体" w:hAnsi="宋体"/>
                <w:color w:val="auto"/>
                <w:szCs w:val="21"/>
                <w:highlight w:val="none"/>
              </w:rPr>
            </w:pPr>
          </w:p>
        </w:tc>
      </w:tr>
      <w:tr w14:paraId="7965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8F4939E">
            <w:pPr>
              <w:adjustRightInd w:val="0"/>
              <w:rPr>
                <w:rFonts w:ascii="宋体" w:hAnsi="宋体"/>
                <w:color w:val="auto"/>
                <w:szCs w:val="21"/>
                <w:highlight w:val="none"/>
              </w:rPr>
            </w:pPr>
            <w:r>
              <w:rPr>
                <w:rFonts w:hint="eastAsia" w:ascii="宋体" w:hAnsi="宋体"/>
                <w:color w:val="auto"/>
                <w:szCs w:val="21"/>
                <w:highlight w:val="none"/>
              </w:rPr>
              <w:t>5</w:t>
            </w:r>
          </w:p>
        </w:tc>
        <w:tc>
          <w:tcPr>
            <w:tcW w:w="4299" w:type="dxa"/>
            <w:tcBorders>
              <w:top w:val="single" w:color="auto" w:sz="4" w:space="0"/>
              <w:left w:val="single" w:color="auto" w:sz="4" w:space="0"/>
              <w:bottom w:val="single" w:color="auto" w:sz="4" w:space="0"/>
              <w:right w:val="single" w:color="auto" w:sz="4" w:space="0"/>
            </w:tcBorders>
            <w:vAlign w:val="center"/>
          </w:tcPr>
          <w:p w14:paraId="19DD2877">
            <w:pPr>
              <w:adjustRightInd w:val="0"/>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602" w:type="dxa"/>
            <w:tcBorders>
              <w:top w:val="single" w:color="auto" w:sz="4" w:space="0"/>
              <w:left w:val="single" w:color="auto" w:sz="4" w:space="0"/>
              <w:bottom w:val="single" w:color="auto" w:sz="4" w:space="0"/>
              <w:right w:val="single" w:color="auto" w:sz="4" w:space="0"/>
            </w:tcBorders>
          </w:tcPr>
          <w:p w14:paraId="2AA7368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7FEF079A">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51C5F219">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45695DBA">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1CADD49D">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60D0D0E2">
            <w:pPr>
              <w:adjustRightInd w:val="0"/>
              <w:rPr>
                <w:rFonts w:ascii="宋体" w:hAnsi="宋体"/>
                <w:color w:val="auto"/>
                <w:szCs w:val="21"/>
                <w:highlight w:val="none"/>
                <w:shd w:val="pct10" w:color="auto" w:fill="FFFFFF"/>
              </w:rPr>
            </w:pPr>
          </w:p>
        </w:tc>
      </w:tr>
      <w:tr w14:paraId="25B5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5D642EB0">
            <w:pPr>
              <w:adjustRightInd w:val="0"/>
              <w:rPr>
                <w:rFonts w:ascii="宋体" w:hAnsi="宋体"/>
                <w:color w:val="auto"/>
                <w:szCs w:val="21"/>
                <w:highlight w:val="none"/>
              </w:rPr>
            </w:pPr>
            <w:r>
              <w:rPr>
                <w:rFonts w:hint="eastAsia" w:ascii="宋体" w:hAnsi="宋体"/>
                <w:color w:val="auto"/>
                <w:szCs w:val="21"/>
                <w:highlight w:val="none"/>
              </w:rPr>
              <w:t>6</w:t>
            </w:r>
          </w:p>
        </w:tc>
        <w:tc>
          <w:tcPr>
            <w:tcW w:w="4299" w:type="dxa"/>
            <w:tcBorders>
              <w:top w:val="single" w:color="auto" w:sz="4" w:space="0"/>
              <w:left w:val="single" w:color="auto" w:sz="4" w:space="0"/>
              <w:bottom w:val="single" w:color="auto" w:sz="4" w:space="0"/>
              <w:right w:val="single" w:color="auto" w:sz="4" w:space="0"/>
            </w:tcBorders>
            <w:vAlign w:val="center"/>
          </w:tcPr>
          <w:p w14:paraId="42A16B54">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投标人未按规定的格式及内容要求签署《投标函》；</w:t>
            </w:r>
          </w:p>
        </w:tc>
        <w:tc>
          <w:tcPr>
            <w:tcW w:w="1602" w:type="dxa"/>
            <w:tcBorders>
              <w:top w:val="single" w:color="auto" w:sz="4" w:space="0"/>
              <w:left w:val="single" w:color="auto" w:sz="4" w:space="0"/>
              <w:bottom w:val="single" w:color="auto" w:sz="4" w:space="0"/>
              <w:right w:val="single" w:color="auto" w:sz="4" w:space="0"/>
            </w:tcBorders>
          </w:tcPr>
          <w:p w14:paraId="7EB9482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476461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E5A792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E78F18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55204A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84A6D06">
            <w:pPr>
              <w:adjustRightInd w:val="0"/>
              <w:rPr>
                <w:rFonts w:ascii="宋体" w:hAnsi="宋体"/>
                <w:color w:val="auto"/>
                <w:szCs w:val="21"/>
                <w:highlight w:val="none"/>
              </w:rPr>
            </w:pPr>
          </w:p>
        </w:tc>
      </w:tr>
      <w:tr w14:paraId="03F1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1370DCBA">
            <w:pPr>
              <w:adjustRightInd w:val="0"/>
              <w:rPr>
                <w:rFonts w:ascii="宋体" w:hAnsi="宋体"/>
                <w:color w:val="auto"/>
                <w:szCs w:val="21"/>
                <w:highlight w:val="none"/>
              </w:rPr>
            </w:pPr>
            <w:r>
              <w:rPr>
                <w:rFonts w:hint="eastAsia" w:ascii="宋体" w:hAnsi="宋体"/>
                <w:color w:val="auto"/>
                <w:szCs w:val="21"/>
                <w:highlight w:val="none"/>
              </w:rPr>
              <w:t>7</w:t>
            </w:r>
          </w:p>
        </w:tc>
        <w:tc>
          <w:tcPr>
            <w:tcW w:w="4299" w:type="dxa"/>
            <w:tcBorders>
              <w:top w:val="single" w:color="auto" w:sz="4" w:space="0"/>
              <w:left w:val="single" w:color="auto" w:sz="4" w:space="0"/>
              <w:bottom w:val="single" w:color="auto" w:sz="4" w:space="0"/>
              <w:right w:val="single" w:color="auto" w:sz="4" w:space="0"/>
            </w:tcBorders>
            <w:vAlign w:val="center"/>
          </w:tcPr>
          <w:p w14:paraId="06475CF0">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投标人未按规定的格式及内容要求签署《技术承诺函》；</w:t>
            </w:r>
          </w:p>
        </w:tc>
        <w:tc>
          <w:tcPr>
            <w:tcW w:w="1602" w:type="dxa"/>
            <w:tcBorders>
              <w:top w:val="single" w:color="auto" w:sz="4" w:space="0"/>
              <w:left w:val="single" w:color="auto" w:sz="4" w:space="0"/>
              <w:bottom w:val="single" w:color="auto" w:sz="4" w:space="0"/>
              <w:right w:val="single" w:color="auto" w:sz="4" w:space="0"/>
            </w:tcBorders>
          </w:tcPr>
          <w:p w14:paraId="4814E02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2AB475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6CC2FF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AB4164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EB06CA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BA52733">
            <w:pPr>
              <w:adjustRightInd w:val="0"/>
              <w:rPr>
                <w:rFonts w:ascii="宋体" w:hAnsi="宋体"/>
                <w:color w:val="auto"/>
                <w:szCs w:val="21"/>
                <w:highlight w:val="none"/>
              </w:rPr>
            </w:pPr>
          </w:p>
        </w:tc>
      </w:tr>
      <w:tr w14:paraId="2285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DE4241D">
            <w:pPr>
              <w:adjustRightInd w:val="0"/>
              <w:rPr>
                <w:rFonts w:ascii="宋体" w:hAnsi="宋体"/>
                <w:color w:val="auto"/>
                <w:szCs w:val="21"/>
                <w:highlight w:val="none"/>
              </w:rPr>
            </w:pPr>
            <w:r>
              <w:rPr>
                <w:rFonts w:hint="eastAsia" w:ascii="宋体" w:hAnsi="宋体"/>
                <w:color w:val="auto"/>
                <w:szCs w:val="21"/>
                <w:highlight w:val="none"/>
              </w:rPr>
              <w:t>8</w:t>
            </w:r>
          </w:p>
        </w:tc>
        <w:tc>
          <w:tcPr>
            <w:tcW w:w="4299" w:type="dxa"/>
            <w:tcBorders>
              <w:top w:val="single" w:color="auto" w:sz="4" w:space="0"/>
              <w:left w:val="single" w:color="auto" w:sz="4" w:space="0"/>
              <w:bottom w:val="single" w:color="auto" w:sz="4" w:space="0"/>
              <w:right w:val="single" w:color="auto" w:sz="4" w:space="0"/>
            </w:tcBorders>
            <w:vAlign w:val="center"/>
          </w:tcPr>
          <w:p w14:paraId="6E5D9594">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投标人未按规定的格式及内容要求签署《施工项目管理团队人员信息表》</w:t>
            </w:r>
          </w:p>
        </w:tc>
        <w:tc>
          <w:tcPr>
            <w:tcW w:w="1602" w:type="dxa"/>
            <w:tcBorders>
              <w:top w:val="single" w:color="auto" w:sz="4" w:space="0"/>
              <w:left w:val="single" w:color="auto" w:sz="4" w:space="0"/>
              <w:bottom w:val="single" w:color="auto" w:sz="4" w:space="0"/>
              <w:right w:val="single" w:color="auto" w:sz="4" w:space="0"/>
            </w:tcBorders>
          </w:tcPr>
          <w:p w14:paraId="51BC99E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552342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6731E2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BA3E64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CB7B9A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84AD92B">
            <w:pPr>
              <w:adjustRightInd w:val="0"/>
              <w:rPr>
                <w:rFonts w:ascii="宋体" w:hAnsi="宋体"/>
                <w:color w:val="auto"/>
                <w:szCs w:val="21"/>
                <w:highlight w:val="none"/>
              </w:rPr>
            </w:pPr>
          </w:p>
        </w:tc>
      </w:tr>
      <w:tr w14:paraId="07D0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76B5AB95">
            <w:pPr>
              <w:adjustRightInd w:val="0"/>
              <w:rPr>
                <w:rFonts w:ascii="宋体" w:hAnsi="宋体"/>
                <w:color w:val="auto"/>
                <w:szCs w:val="21"/>
                <w:highlight w:val="none"/>
              </w:rPr>
            </w:pPr>
            <w:r>
              <w:rPr>
                <w:rFonts w:hint="eastAsia" w:ascii="宋体" w:hAnsi="宋体"/>
                <w:color w:val="auto"/>
                <w:szCs w:val="21"/>
                <w:highlight w:val="none"/>
              </w:rPr>
              <w:t>9</w:t>
            </w:r>
          </w:p>
        </w:tc>
        <w:tc>
          <w:tcPr>
            <w:tcW w:w="4299" w:type="dxa"/>
            <w:tcBorders>
              <w:top w:val="single" w:color="auto" w:sz="4" w:space="0"/>
              <w:left w:val="single" w:color="auto" w:sz="4" w:space="0"/>
              <w:bottom w:val="single" w:color="auto" w:sz="4" w:space="0"/>
              <w:right w:val="single" w:color="auto" w:sz="4" w:space="0"/>
            </w:tcBorders>
            <w:vAlign w:val="center"/>
          </w:tcPr>
          <w:p w14:paraId="15842107">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投标人未按规定的格式及内容要求签署《响应招标文件所附施工组织设计要点的承诺书》</w:t>
            </w:r>
          </w:p>
        </w:tc>
        <w:tc>
          <w:tcPr>
            <w:tcW w:w="1602" w:type="dxa"/>
            <w:tcBorders>
              <w:top w:val="single" w:color="auto" w:sz="4" w:space="0"/>
              <w:left w:val="single" w:color="auto" w:sz="4" w:space="0"/>
              <w:bottom w:val="single" w:color="auto" w:sz="4" w:space="0"/>
              <w:right w:val="single" w:color="auto" w:sz="4" w:space="0"/>
            </w:tcBorders>
          </w:tcPr>
          <w:p w14:paraId="7E787F9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F598B3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0035A0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27D8FD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5C5923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C10EF2B">
            <w:pPr>
              <w:adjustRightInd w:val="0"/>
              <w:rPr>
                <w:rFonts w:ascii="宋体" w:hAnsi="宋体"/>
                <w:color w:val="auto"/>
                <w:szCs w:val="21"/>
                <w:highlight w:val="none"/>
              </w:rPr>
            </w:pPr>
          </w:p>
        </w:tc>
      </w:tr>
      <w:tr w14:paraId="2899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325D5838">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0</w:t>
            </w:r>
          </w:p>
        </w:tc>
        <w:tc>
          <w:tcPr>
            <w:tcW w:w="4299" w:type="dxa"/>
            <w:tcBorders>
              <w:top w:val="single" w:color="auto" w:sz="4" w:space="0"/>
              <w:left w:val="single" w:color="auto" w:sz="4" w:space="0"/>
              <w:bottom w:val="single" w:color="auto" w:sz="4" w:space="0"/>
              <w:right w:val="single" w:color="auto" w:sz="4" w:space="0"/>
            </w:tcBorders>
            <w:vAlign w:val="center"/>
          </w:tcPr>
          <w:p w14:paraId="76C15C7A">
            <w:pPr>
              <w:adjustRightInd w:val="0"/>
              <w:rPr>
                <w:rFonts w:ascii="宋体" w:hAnsi="宋体"/>
                <w:color w:val="auto"/>
                <w:szCs w:val="21"/>
                <w:highlight w:val="none"/>
              </w:rPr>
            </w:pPr>
            <w:r>
              <w:rPr>
                <w:rFonts w:hint="eastAsia" w:ascii="宋体" w:hAnsi="宋体" w:eastAsia="Times New Roman"/>
                <w:color w:val="auto"/>
                <w:szCs w:val="21"/>
                <w:highlight w:val="none"/>
              </w:rPr>
              <w:t>投标人未按规定的格式及内容要求签署《承诺书》</w:t>
            </w:r>
          </w:p>
        </w:tc>
        <w:tc>
          <w:tcPr>
            <w:tcW w:w="1602" w:type="dxa"/>
            <w:tcBorders>
              <w:top w:val="single" w:color="auto" w:sz="4" w:space="0"/>
              <w:left w:val="single" w:color="auto" w:sz="4" w:space="0"/>
              <w:bottom w:val="single" w:color="auto" w:sz="4" w:space="0"/>
              <w:right w:val="single" w:color="auto" w:sz="4" w:space="0"/>
            </w:tcBorders>
          </w:tcPr>
          <w:p w14:paraId="159E9D1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2FA3D9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831C38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1E3383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AD7EFE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19B3657">
            <w:pPr>
              <w:adjustRightInd w:val="0"/>
              <w:rPr>
                <w:rFonts w:ascii="宋体" w:hAnsi="宋体"/>
                <w:color w:val="auto"/>
                <w:szCs w:val="21"/>
                <w:highlight w:val="none"/>
              </w:rPr>
            </w:pPr>
          </w:p>
        </w:tc>
      </w:tr>
      <w:tr w14:paraId="5EDF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3E03186D">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1</w:t>
            </w:r>
          </w:p>
        </w:tc>
        <w:tc>
          <w:tcPr>
            <w:tcW w:w="4299" w:type="dxa"/>
            <w:tcBorders>
              <w:top w:val="single" w:color="auto" w:sz="4" w:space="0"/>
              <w:left w:val="single" w:color="auto" w:sz="4" w:space="0"/>
              <w:bottom w:val="single" w:color="auto" w:sz="4" w:space="0"/>
              <w:right w:val="single" w:color="auto" w:sz="4" w:space="0"/>
            </w:tcBorders>
            <w:vAlign w:val="center"/>
          </w:tcPr>
          <w:p w14:paraId="2453295C">
            <w:pPr>
              <w:adjustRightInd w:val="0"/>
              <w:rPr>
                <w:rFonts w:ascii="宋体" w:hAnsi="宋体"/>
                <w:color w:val="auto"/>
                <w:szCs w:val="21"/>
                <w:highlight w:val="none"/>
              </w:rPr>
            </w:pPr>
            <w:r>
              <w:rPr>
                <w:rFonts w:hint="eastAsia" w:ascii="宋体" w:hAnsi="宋体" w:eastAsia="Times New Roman"/>
                <w:color w:val="auto"/>
                <w:szCs w:val="21"/>
                <w:highlight w:val="none"/>
              </w:rPr>
              <w:t>无《参与编制技术标投标文件人员名单》的</w:t>
            </w:r>
          </w:p>
        </w:tc>
        <w:tc>
          <w:tcPr>
            <w:tcW w:w="1602" w:type="dxa"/>
            <w:tcBorders>
              <w:top w:val="single" w:color="auto" w:sz="4" w:space="0"/>
              <w:left w:val="single" w:color="auto" w:sz="4" w:space="0"/>
              <w:bottom w:val="single" w:color="auto" w:sz="4" w:space="0"/>
              <w:right w:val="single" w:color="auto" w:sz="4" w:space="0"/>
            </w:tcBorders>
          </w:tcPr>
          <w:p w14:paraId="7CBFF04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02C14F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F515D2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30705D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2274A6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CC445E4">
            <w:pPr>
              <w:adjustRightInd w:val="0"/>
              <w:rPr>
                <w:rFonts w:ascii="宋体" w:hAnsi="宋体"/>
                <w:color w:val="auto"/>
                <w:szCs w:val="21"/>
                <w:highlight w:val="none"/>
              </w:rPr>
            </w:pPr>
          </w:p>
        </w:tc>
      </w:tr>
      <w:tr w14:paraId="628F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BB30CBE">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4299" w:type="dxa"/>
            <w:tcBorders>
              <w:top w:val="single" w:color="auto" w:sz="4" w:space="0"/>
              <w:left w:val="single" w:color="auto" w:sz="4" w:space="0"/>
              <w:bottom w:val="single" w:color="auto" w:sz="4" w:space="0"/>
              <w:right w:val="single" w:color="auto" w:sz="4" w:space="0"/>
            </w:tcBorders>
            <w:vAlign w:val="center"/>
          </w:tcPr>
          <w:p w14:paraId="33302232">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投标人未按规定的格式及内容要求签署《危险性较大的分部分项工程清单及超过一定规模的危险性较大的分部分项工程清单》</w:t>
            </w:r>
          </w:p>
        </w:tc>
        <w:tc>
          <w:tcPr>
            <w:tcW w:w="1602" w:type="dxa"/>
            <w:tcBorders>
              <w:top w:val="single" w:color="auto" w:sz="4" w:space="0"/>
              <w:left w:val="single" w:color="auto" w:sz="4" w:space="0"/>
              <w:bottom w:val="single" w:color="auto" w:sz="4" w:space="0"/>
              <w:right w:val="single" w:color="auto" w:sz="4" w:space="0"/>
            </w:tcBorders>
          </w:tcPr>
          <w:p w14:paraId="392375B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7CFCB4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CBFAF1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F33643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365082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D9C0F18">
            <w:pPr>
              <w:adjustRightInd w:val="0"/>
              <w:rPr>
                <w:rFonts w:ascii="宋体" w:hAnsi="宋体"/>
                <w:color w:val="auto"/>
                <w:szCs w:val="21"/>
                <w:highlight w:val="none"/>
              </w:rPr>
            </w:pPr>
          </w:p>
        </w:tc>
      </w:tr>
      <w:tr w14:paraId="63DB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5F56FEF2">
            <w:pPr>
              <w:adjustRightInd w:val="0"/>
              <w:rPr>
                <w:rFonts w:hint="eastAsia" w:ascii="宋体" w:hAnsi="宋体" w:eastAsia="宋体"/>
                <w:color w:val="auto"/>
                <w:szCs w:val="21"/>
                <w:highlight w:val="non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4299" w:type="dxa"/>
            <w:tcBorders>
              <w:top w:val="single" w:color="auto" w:sz="4" w:space="0"/>
              <w:left w:val="single" w:color="auto" w:sz="4" w:space="0"/>
              <w:bottom w:val="single" w:color="auto" w:sz="4" w:space="0"/>
              <w:right w:val="single" w:color="auto" w:sz="4" w:space="0"/>
            </w:tcBorders>
            <w:vAlign w:val="center"/>
          </w:tcPr>
          <w:p w14:paraId="32EA872B">
            <w:pPr>
              <w:adjustRightInd w:val="0"/>
              <w:rPr>
                <w:rFonts w:ascii="宋体" w:hAnsi="宋体"/>
                <w:color w:val="auto"/>
                <w:szCs w:val="21"/>
                <w:highlight w:val="none"/>
              </w:rPr>
            </w:pPr>
            <w:r>
              <w:rPr>
                <w:rFonts w:hint="eastAsia" w:ascii="宋体" w:hAnsi="宋体" w:eastAsia="Times New Roman"/>
                <w:color w:val="auto"/>
                <w:szCs w:val="21"/>
                <w:highlight w:val="none"/>
                <w:u w:val="single"/>
              </w:rPr>
              <w:t>投标人未按规定的格式及内容要求签署《关于投标保证金的承诺》</w:t>
            </w:r>
          </w:p>
        </w:tc>
        <w:tc>
          <w:tcPr>
            <w:tcW w:w="1602" w:type="dxa"/>
            <w:tcBorders>
              <w:top w:val="single" w:color="auto" w:sz="4" w:space="0"/>
              <w:left w:val="single" w:color="auto" w:sz="4" w:space="0"/>
              <w:bottom w:val="single" w:color="auto" w:sz="4" w:space="0"/>
              <w:right w:val="single" w:color="auto" w:sz="4" w:space="0"/>
            </w:tcBorders>
          </w:tcPr>
          <w:p w14:paraId="14F07A1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264E09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D13FFC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DFA912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93A825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6F09887">
            <w:pPr>
              <w:adjustRightInd w:val="0"/>
              <w:rPr>
                <w:rFonts w:ascii="宋体" w:hAnsi="宋体"/>
                <w:color w:val="auto"/>
                <w:szCs w:val="21"/>
                <w:highlight w:val="none"/>
              </w:rPr>
            </w:pPr>
          </w:p>
        </w:tc>
      </w:tr>
      <w:tr w14:paraId="7910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A45294E">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4299" w:type="dxa"/>
            <w:tcBorders>
              <w:top w:val="single" w:color="auto" w:sz="4" w:space="0"/>
              <w:left w:val="single" w:color="auto" w:sz="4" w:space="0"/>
              <w:bottom w:val="single" w:color="auto" w:sz="4" w:space="0"/>
              <w:right w:val="single" w:color="auto" w:sz="4" w:space="0"/>
            </w:tcBorders>
            <w:vAlign w:val="center"/>
          </w:tcPr>
          <w:p w14:paraId="21D65BD5">
            <w:pPr>
              <w:adjustRightInd w:val="0"/>
              <w:rPr>
                <w:rFonts w:ascii="宋体" w:hAnsi="宋体"/>
                <w:color w:val="auto"/>
                <w:szCs w:val="21"/>
                <w:highlight w:val="none"/>
              </w:rPr>
            </w:pPr>
            <w:r>
              <w:rPr>
                <w:rFonts w:hint="eastAsia" w:ascii="宋体" w:hAnsi="宋体" w:eastAsia="Times New Roman" w:cs="Times New Roman"/>
                <w:color w:val="auto"/>
                <w:kern w:val="2"/>
                <w:sz w:val="21"/>
                <w:szCs w:val="21"/>
                <w:highlight w:val="none"/>
                <w:u w:val="single"/>
              </w:rPr>
              <w:t>投标人与</w:t>
            </w:r>
            <w:r>
              <w:rPr>
                <w:rFonts w:hint="eastAsia" w:ascii="宋体" w:hAnsi="宋体" w:eastAsia="Times New Roman" w:cs="Times New Roman"/>
                <w:b/>
                <w:bCs/>
                <w:color w:val="auto"/>
                <w:kern w:val="2"/>
                <w:sz w:val="21"/>
                <w:szCs w:val="21"/>
                <w:highlight w:val="none"/>
                <w:u w:val="single"/>
              </w:rPr>
              <w:t>本项目</w:t>
            </w:r>
            <w:r>
              <w:rPr>
                <w:rFonts w:hint="eastAsia" w:ascii="宋体" w:hAnsi="宋体" w:eastAsia="Times New Roman" w:cs="Times New Roman"/>
                <w:color w:val="auto"/>
                <w:kern w:val="2"/>
                <w:sz w:val="21"/>
                <w:szCs w:val="21"/>
                <w:highlight w:val="none"/>
                <w:u w:val="single"/>
              </w:rPr>
              <w:t>其他投标人加密打包投标文件电脑机器特征码一致的(以</w:t>
            </w:r>
            <w:r>
              <w:rPr>
                <w:rFonts w:hint="eastAsia" w:ascii="宋体" w:hAnsi="宋体" w:eastAsia="Times New Roman" w:cs="Times New Roman"/>
                <w:color w:val="auto"/>
                <w:kern w:val="2"/>
                <w:sz w:val="21"/>
                <w:szCs w:val="21"/>
                <w:highlight w:val="none"/>
                <w:u w:val="single"/>
                <w:lang w:eastAsia="zh-CN"/>
              </w:rPr>
              <w:t>广州交易集团有限公司（广州公共资源交易中心）</w:t>
            </w:r>
            <w:r>
              <w:rPr>
                <w:rFonts w:hint="eastAsia" w:ascii="宋体" w:hAnsi="宋体" w:eastAsia="Times New Roman" w:cs="Times New Roman"/>
                <w:color w:val="auto"/>
                <w:kern w:val="2"/>
                <w:sz w:val="21"/>
                <w:szCs w:val="21"/>
                <w:highlight w:val="none"/>
                <w:u w:val="single"/>
              </w:rPr>
              <w:t>交易平台评标系统的检索信息为准)</w:t>
            </w:r>
          </w:p>
        </w:tc>
        <w:tc>
          <w:tcPr>
            <w:tcW w:w="1602" w:type="dxa"/>
            <w:tcBorders>
              <w:top w:val="single" w:color="auto" w:sz="4" w:space="0"/>
              <w:left w:val="single" w:color="auto" w:sz="4" w:space="0"/>
              <w:bottom w:val="single" w:color="auto" w:sz="4" w:space="0"/>
              <w:right w:val="single" w:color="auto" w:sz="4" w:space="0"/>
            </w:tcBorders>
          </w:tcPr>
          <w:p w14:paraId="19C08B2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37E795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A2CA6B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2A96F6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60FA4A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3DF6D46">
            <w:pPr>
              <w:adjustRightInd w:val="0"/>
              <w:rPr>
                <w:rFonts w:ascii="宋体" w:hAnsi="宋体"/>
                <w:color w:val="auto"/>
                <w:szCs w:val="21"/>
                <w:highlight w:val="none"/>
              </w:rPr>
            </w:pPr>
          </w:p>
        </w:tc>
      </w:tr>
    </w:tbl>
    <w:p w14:paraId="14DB0457">
      <w:pPr>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注：1.本表使用GZZB2018-3招标文件范本，与范本内容不同之处均以下划线标明。技术标评审中，响应性、承诺性内容不应作为评分因素，可在该表中对上述内容进行符合性审查。审查标准须具备可操作性。</w:t>
      </w:r>
    </w:p>
    <w:p w14:paraId="5B91CD50">
      <w:pPr>
        <w:rPr>
          <w:rFonts w:ascii="宋体" w:hAnsi="宋体"/>
          <w:color w:val="auto"/>
          <w:szCs w:val="21"/>
          <w:highlight w:val="none"/>
        </w:rPr>
      </w:pPr>
      <w:r>
        <w:rPr>
          <w:rFonts w:hint="eastAsia" w:ascii="宋体" w:hAnsi="宋体"/>
          <w:color w:val="auto"/>
          <w:szCs w:val="21"/>
          <w:highlight w:val="none"/>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14:paraId="068280F3">
      <w:pPr>
        <w:rPr>
          <w:rFonts w:ascii="宋体" w:hAnsi="宋体"/>
          <w:color w:val="auto"/>
          <w:szCs w:val="21"/>
          <w:highlight w:val="none"/>
        </w:rPr>
      </w:pPr>
      <w:r>
        <w:rPr>
          <w:rFonts w:hint="eastAsia" w:ascii="宋体" w:hAnsi="宋体"/>
          <w:color w:val="auto"/>
          <w:szCs w:val="21"/>
          <w:highlight w:val="none"/>
        </w:rPr>
        <w:t>3.凡出现以上任何一项情形，结论均为无效，否则就为有效。</w:t>
      </w:r>
    </w:p>
    <w:p w14:paraId="1ECAA783">
      <w:pPr>
        <w:rPr>
          <w:color w:val="auto"/>
          <w:szCs w:val="21"/>
          <w:highlight w:val="none"/>
        </w:rPr>
      </w:pPr>
      <w:r>
        <w:rPr>
          <w:rFonts w:hint="eastAsia" w:ascii="宋体" w:hAnsi="宋体"/>
          <w:color w:val="auto"/>
          <w:szCs w:val="21"/>
          <w:highlight w:val="none"/>
        </w:rPr>
        <w:t>4.如对本表中某种情形的评审意见不一致时，以评标委员会过半数成员的意见作为评标委员会对该情形的认定结论。</w:t>
      </w:r>
      <w:r>
        <w:rPr>
          <w:color w:val="auto"/>
          <w:highlight w:val="none"/>
        </w:rPr>
        <w:br w:type="page"/>
      </w:r>
      <w:r>
        <w:rPr>
          <w:rFonts w:hint="eastAsia"/>
          <w:color w:val="auto"/>
          <w:szCs w:val="21"/>
          <w:highlight w:val="none"/>
        </w:rPr>
        <w:t>附表三</w:t>
      </w:r>
    </w:p>
    <w:p w14:paraId="760BA9BE">
      <w:pPr>
        <w:jc w:val="center"/>
        <w:rPr>
          <w:b/>
          <w:color w:val="auto"/>
          <w:sz w:val="36"/>
          <w:szCs w:val="36"/>
          <w:highlight w:val="none"/>
        </w:rPr>
      </w:pPr>
      <w:r>
        <w:rPr>
          <w:rFonts w:hint="eastAsia"/>
          <w:b/>
          <w:color w:val="auto"/>
          <w:sz w:val="36"/>
          <w:szCs w:val="36"/>
          <w:highlight w:val="none"/>
        </w:rPr>
        <w:t>经济标有效性审查表</w:t>
      </w:r>
    </w:p>
    <w:p w14:paraId="043B2DB0">
      <w:pPr>
        <w:rPr>
          <w:color w:val="auto"/>
          <w:szCs w:val="21"/>
          <w:highlight w:val="none"/>
        </w:rPr>
      </w:pPr>
      <w:r>
        <w:rPr>
          <w:rFonts w:hint="eastAsia"/>
          <w:color w:val="auto"/>
          <w:szCs w:val="21"/>
          <w:highlight w:val="none"/>
        </w:rPr>
        <w:t>工程名称：</w:t>
      </w:r>
    </w:p>
    <w:tbl>
      <w:tblPr>
        <w:tblStyle w:val="17"/>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039"/>
        <w:gridCol w:w="1240"/>
        <w:gridCol w:w="1240"/>
        <w:gridCol w:w="1240"/>
        <w:gridCol w:w="1240"/>
        <w:gridCol w:w="1240"/>
        <w:gridCol w:w="1244"/>
      </w:tblGrid>
      <w:tr w14:paraId="1E05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vAlign w:val="center"/>
          </w:tcPr>
          <w:p w14:paraId="64D50F0D">
            <w:pPr>
              <w:rPr>
                <w:rFonts w:ascii="宋体" w:hAnsi="宋体"/>
                <w:color w:val="auto"/>
                <w:szCs w:val="21"/>
                <w:highlight w:val="none"/>
              </w:rPr>
            </w:pPr>
            <w:r>
              <w:rPr>
                <w:rFonts w:hint="eastAsia" w:ascii="宋体" w:hAnsi="宋体"/>
                <w:color w:val="auto"/>
                <w:szCs w:val="21"/>
                <w:highlight w:val="none"/>
              </w:rPr>
              <w:t>序号</w:t>
            </w:r>
          </w:p>
        </w:tc>
        <w:tc>
          <w:tcPr>
            <w:tcW w:w="7039" w:type="dxa"/>
            <w:tcBorders>
              <w:top w:val="single" w:color="auto" w:sz="4" w:space="0"/>
              <w:left w:val="single" w:color="auto" w:sz="4" w:space="0"/>
              <w:bottom w:val="single" w:color="auto" w:sz="4" w:space="0"/>
              <w:right w:val="single" w:color="auto" w:sz="4" w:space="0"/>
              <w:tl2br w:val="single" w:color="auto" w:sz="4" w:space="0"/>
            </w:tcBorders>
          </w:tcPr>
          <w:p w14:paraId="1511745C">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48346783">
            <w:pPr>
              <w:rPr>
                <w:rFonts w:ascii="宋体" w:hAnsi="宋体"/>
                <w:color w:val="auto"/>
                <w:szCs w:val="21"/>
                <w:highlight w:val="none"/>
              </w:rPr>
            </w:pPr>
          </w:p>
          <w:p w14:paraId="4EBC7381">
            <w:pPr>
              <w:rPr>
                <w:rFonts w:ascii="宋体" w:hAnsi="宋体"/>
                <w:color w:val="auto"/>
                <w:szCs w:val="21"/>
                <w:highlight w:val="none"/>
              </w:rPr>
            </w:pPr>
            <w:r>
              <w:rPr>
                <w:rFonts w:hint="eastAsia" w:ascii="宋体" w:hAnsi="宋体"/>
                <w:color w:val="auto"/>
                <w:szCs w:val="21"/>
                <w:highlight w:val="none"/>
              </w:rPr>
              <w:t>评审内容</w:t>
            </w:r>
          </w:p>
        </w:tc>
        <w:tc>
          <w:tcPr>
            <w:tcW w:w="1240" w:type="dxa"/>
            <w:tcBorders>
              <w:top w:val="single" w:color="auto" w:sz="4" w:space="0"/>
              <w:left w:val="single" w:color="auto" w:sz="4" w:space="0"/>
              <w:bottom w:val="single" w:color="auto" w:sz="4" w:space="0"/>
              <w:right w:val="single" w:color="auto" w:sz="4" w:space="0"/>
            </w:tcBorders>
          </w:tcPr>
          <w:p w14:paraId="3A6AA40F">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4B38659E">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15A554F4">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FA442A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5A46793">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07436EBF">
            <w:pPr>
              <w:rPr>
                <w:rFonts w:ascii="宋体" w:hAnsi="宋体"/>
                <w:color w:val="auto"/>
                <w:szCs w:val="21"/>
                <w:highlight w:val="none"/>
              </w:rPr>
            </w:pPr>
          </w:p>
        </w:tc>
      </w:tr>
      <w:tr w14:paraId="24E8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3C6B4180">
            <w:pPr>
              <w:rPr>
                <w:rFonts w:ascii="宋体" w:hAnsi="宋体"/>
                <w:color w:val="auto"/>
                <w:szCs w:val="21"/>
                <w:highlight w:val="none"/>
              </w:rPr>
            </w:pPr>
            <w:r>
              <w:rPr>
                <w:rFonts w:ascii="宋体" w:hAnsi="宋体"/>
                <w:color w:val="auto"/>
                <w:szCs w:val="21"/>
                <w:highlight w:val="none"/>
              </w:rPr>
              <w:t>1</w:t>
            </w:r>
          </w:p>
        </w:tc>
        <w:tc>
          <w:tcPr>
            <w:tcW w:w="7039" w:type="dxa"/>
            <w:tcBorders>
              <w:top w:val="single" w:color="auto" w:sz="4" w:space="0"/>
              <w:left w:val="single" w:color="auto" w:sz="4" w:space="0"/>
              <w:bottom w:val="single" w:color="auto" w:sz="4" w:space="0"/>
              <w:right w:val="single" w:color="auto" w:sz="4" w:space="0"/>
            </w:tcBorders>
            <w:vAlign w:val="center"/>
          </w:tcPr>
          <w:p w14:paraId="5E824EE4">
            <w:pPr>
              <w:rPr>
                <w:rFonts w:ascii="宋体" w:hAnsi="宋体"/>
                <w:color w:val="auto"/>
                <w:szCs w:val="21"/>
                <w:highlight w:val="none"/>
              </w:rPr>
            </w:pPr>
            <w:r>
              <w:rPr>
                <w:rFonts w:hint="eastAsia" w:ascii="宋体" w:hAnsi="宋体"/>
                <w:color w:val="auto"/>
                <w:szCs w:val="21"/>
                <w:highlight w:val="none"/>
              </w:rPr>
              <w:t>对同一招标项目出现两个或以上的投标报价，且没有申明哪个有效；</w:t>
            </w:r>
          </w:p>
        </w:tc>
        <w:tc>
          <w:tcPr>
            <w:tcW w:w="1240" w:type="dxa"/>
            <w:tcBorders>
              <w:top w:val="single" w:color="auto" w:sz="4" w:space="0"/>
              <w:left w:val="single" w:color="auto" w:sz="4" w:space="0"/>
              <w:bottom w:val="single" w:color="auto" w:sz="4" w:space="0"/>
              <w:right w:val="single" w:color="auto" w:sz="4" w:space="0"/>
            </w:tcBorders>
          </w:tcPr>
          <w:p w14:paraId="30952CEB">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495EC277">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7B15182">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7385382">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29845D07">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10472B97">
            <w:pPr>
              <w:rPr>
                <w:rFonts w:ascii="宋体" w:hAnsi="宋体"/>
                <w:color w:val="auto"/>
                <w:szCs w:val="21"/>
                <w:highlight w:val="none"/>
              </w:rPr>
            </w:pPr>
          </w:p>
        </w:tc>
      </w:tr>
      <w:tr w14:paraId="00E6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1B6AE4D6">
            <w:pPr>
              <w:rPr>
                <w:rFonts w:ascii="宋体" w:hAnsi="宋体"/>
                <w:color w:val="auto"/>
                <w:szCs w:val="21"/>
                <w:highlight w:val="none"/>
              </w:rPr>
            </w:pPr>
            <w:r>
              <w:rPr>
                <w:rFonts w:ascii="宋体" w:hAnsi="宋体"/>
                <w:color w:val="auto"/>
                <w:szCs w:val="21"/>
                <w:highlight w:val="none"/>
              </w:rPr>
              <w:t>2</w:t>
            </w:r>
          </w:p>
        </w:tc>
        <w:tc>
          <w:tcPr>
            <w:tcW w:w="7039" w:type="dxa"/>
            <w:tcBorders>
              <w:top w:val="single" w:color="auto" w:sz="4" w:space="0"/>
              <w:left w:val="single" w:color="auto" w:sz="4" w:space="0"/>
              <w:bottom w:val="single" w:color="auto" w:sz="4" w:space="0"/>
              <w:right w:val="single" w:color="auto" w:sz="4" w:space="0"/>
            </w:tcBorders>
            <w:vAlign w:val="center"/>
          </w:tcPr>
          <w:p w14:paraId="558A2DFE">
            <w:pPr>
              <w:rPr>
                <w:rFonts w:ascii="宋体" w:hAnsi="宋体"/>
                <w:color w:val="auto"/>
                <w:szCs w:val="21"/>
                <w:highlight w:val="none"/>
              </w:rPr>
            </w:pPr>
            <w:r>
              <w:rPr>
                <w:rFonts w:hint="eastAsia" w:ascii="宋体" w:hAnsi="宋体"/>
                <w:color w:val="auto"/>
                <w:szCs w:val="21"/>
                <w:highlight w:val="none"/>
                <w:u w:val="single"/>
              </w:rPr>
              <w:t>投标总报价高于最高投标限价或投标报价中任一项投标综合单价高于最高投标限价公布函或工程量清单（综合单价限价）文件中相应的综合单价最高价；</w:t>
            </w:r>
          </w:p>
        </w:tc>
        <w:tc>
          <w:tcPr>
            <w:tcW w:w="1240" w:type="dxa"/>
            <w:tcBorders>
              <w:top w:val="single" w:color="auto" w:sz="4" w:space="0"/>
              <w:left w:val="single" w:color="auto" w:sz="4" w:space="0"/>
              <w:bottom w:val="single" w:color="auto" w:sz="4" w:space="0"/>
              <w:right w:val="single" w:color="auto" w:sz="4" w:space="0"/>
            </w:tcBorders>
          </w:tcPr>
          <w:p w14:paraId="5BD1025D">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5452AE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82EAA3A">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3FD409AB">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F8805FB">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7A55A74A">
            <w:pPr>
              <w:rPr>
                <w:rFonts w:ascii="宋体" w:hAnsi="宋体"/>
                <w:color w:val="auto"/>
                <w:szCs w:val="21"/>
                <w:highlight w:val="none"/>
              </w:rPr>
            </w:pPr>
          </w:p>
        </w:tc>
      </w:tr>
      <w:tr w14:paraId="7573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531B51B9">
            <w:pPr>
              <w:rPr>
                <w:rFonts w:ascii="宋体" w:hAnsi="宋体"/>
                <w:color w:val="auto"/>
                <w:szCs w:val="21"/>
                <w:highlight w:val="none"/>
              </w:rPr>
            </w:pPr>
            <w:r>
              <w:rPr>
                <w:rFonts w:ascii="宋体" w:hAnsi="宋体"/>
                <w:color w:val="auto"/>
                <w:szCs w:val="21"/>
                <w:highlight w:val="none"/>
              </w:rPr>
              <w:t>3</w:t>
            </w:r>
          </w:p>
        </w:tc>
        <w:tc>
          <w:tcPr>
            <w:tcW w:w="7039" w:type="dxa"/>
            <w:tcBorders>
              <w:top w:val="single" w:color="auto" w:sz="4" w:space="0"/>
              <w:left w:val="single" w:color="auto" w:sz="4" w:space="0"/>
              <w:bottom w:val="single" w:color="auto" w:sz="4" w:space="0"/>
              <w:right w:val="single" w:color="auto" w:sz="4" w:space="0"/>
            </w:tcBorders>
            <w:vAlign w:val="center"/>
          </w:tcPr>
          <w:p w14:paraId="43DEBBBB">
            <w:pPr>
              <w:autoSpaceDE w:val="0"/>
              <w:autoSpaceDN w:val="0"/>
              <w:adjustRightInd w:val="0"/>
              <w:ind w:left="-2" w:leftChars="-1"/>
              <w:jc w:val="left"/>
              <w:rPr>
                <w:rFonts w:ascii="宋体" w:hAnsi="宋体"/>
                <w:color w:val="auto"/>
                <w:szCs w:val="21"/>
                <w:highlight w:val="none"/>
              </w:rPr>
            </w:pPr>
            <w:r>
              <w:rPr>
                <w:rFonts w:hint="eastAsia" w:ascii="宋体" w:hAnsi="宋体"/>
                <w:color w:val="auto"/>
                <w:szCs w:val="21"/>
                <w:highlight w:val="none"/>
                <w:u w:val="single"/>
              </w:rPr>
              <w:t>投标报价低于成本的；</w:t>
            </w:r>
          </w:p>
        </w:tc>
        <w:tc>
          <w:tcPr>
            <w:tcW w:w="1240" w:type="dxa"/>
            <w:tcBorders>
              <w:top w:val="single" w:color="auto" w:sz="4" w:space="0"/>
              <w:left w:val="single" w:color="auto" w:sz="4" w:space="0"/>
              <w:bottom w:val="single" w:color="auto" w:sz="4" w:space="0"/>
              <w:right w:val="single" w:color="auto" w:sz="4" w:space="0"/>
            </w:tcBorders>
          </w:tcPr>
          <w:p w14:paraId="39ABE681">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0BFF543A">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E1B1255">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2405D7E8">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2EE7185F">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6AA55693">
            <w:pPr>
              <w:rPr>
                <w:rFonts w:ascii="宋体" w:hAnsi="宋体"/>
                <w:color w:val="auto"/>
                <w:szCs w:val="21"/>
                <w:highlight w:val="none"/>
              </w:rPr>
            </w:pPr>
          </w:p>
        </w:tc>
      </w:tr>
      <w:tr w14:paraId="5C5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277AF0D">
            <w:pPr>
              <w:rPr>
                <w:rFonts w:ascii="宋体" w:hAnsi="宋体"/>
                <w:color w:val="auto"/>
                <w:szCs w:val="21"/>
                <w:highlight w:val="none"/>
              </w:rPr>
            </w:pPr>
            <w:r>
              <w:rPr>
                <w:rFonts w:ascii="宋体" w:hAnsi="宋体"/>
                <w:color w:val="auto"/>
                <w:szCs w:val="21"/>
                <w:highlight w:val="none"/>
              </w:rPr>
              <w:t>4</w:t>
            </w:r>
          </w:p>
        </w:tc>
        <w:tc>
          <w:tcPr>
            <w:tcW w:w="7039" w:type="dxa"/>
            <w:tcBorders>
              <w:top w:val="single" w:color="auto" w:sz="4" w:space="0"/>
              <w:left w:val="single" w:color="auto" w:sz="4" w:space="0"/>
              <w:bottom w:val="single" w:color="auto" w:sz="4" w:space="0"/>
              <w:right w:val="single" w:color="auto" w:sz="4" w:space="0"/>
            </w:tcBorders>
            <w:vAlign w:val="center"/>
          </w:tcPr>
          <w:p w14:paraId="2480C905">
            <w:pPr>
              <w:rPr>
                <w:rFonts w:ascii="宋体" w:hAnsi="宋体"/>
                <w:color w:val="auto"/>
                <w:szCs w:val="21"/>
                <w:highlight w:val="none"/>
              </w:rPr>
            </w:pPr>
            <w:r>
              <w:rPr>
                <w:rFonts w:hint="eastAsia" w:ascii="宋体" w:hAnsi="宋体"/>
                <w:color w:val="auto"/>
                <w:szCs w:val="21"/>
                <w:highlight w:val="none"/>
                <w:u w:val="single"/>
              </w:rPr>
              <w:t>投标报价中对招标文件规定的绿色施工安全防护措施费进行浮动或改变的，由评标委员会按照招标文件规定的金额进行修正后，投标人不接受修正后的报价；</w:t>
            </w:r>
          </w:p>
        </w:tc>
        <w:tc>
          <w:tcPr>
            <w:tcW w:w="1240" w:type="dxa"/>
            <w:tcBorders>
              <w:top w:val="single" w:color="auto" w:sz="4" w:space="0"/>
              <w:left w:val="single" w:color="auto" w:sz="4" w:space="0"/>
              <w:bottom w:val="single" w:color="auto" w:sz="4" w:space="0"/>
              <w:right w:val="single" w:color="auto" w:sz="4" w:space="0"/>
            </w:tcBorders>
          </w:tcPr>
          <w:p w14:paraId="352B933B">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1CA4CAAF">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0BE204E8">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4329DF1">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1D7ACC00">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25A9BB74">
            <w:pPr>
              <w:rPr>
                <w:rFonts w:ascii="宋体" w:hAnsi="宋体"/>
                <w:color w:val="auto"/>
                <w:szCs w:val="21"/>
                <w:highlight w:val="none"/>
              </w:rPr>
            </w:pPr>
          </w:p>
        </w:tc>
      </w:tr>
      <w:tr w14:paraId="6389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3957F5DE">
            <w:pPr>
              <w:rPr>
                <w:rFonts w:ascii="宋体" w:hAnsi="宋体"/>
                <w:color w:val="auto"/>
                <w:szCs w:val="21"/>
                <w:highlight w:val="none"/>
              </w:rPr>
            </w:pPr>
            <w:r>
              <w:rPr>
                <w:rFonts w:hint="eastAsia" w:ascii="宋体" w:hAnsi="宋体"/>
                <w:color w:val="auto"/>
                <w:szCs w:val="21"/>
                <w:highlight w:val="none"/>
              </w:rPr>
              <w:t>5</w:t>
            </w:r>
          </w:p>
        </w:tc>
        <w:tc>
          <w:tcPr>
            <w:tcW w:w="7039" w:type="dxa"/>
            <w:tcBorders>
              <w:top w:val="single" w:color="auto" w:sz="4" w:space="0"/>
              <w:left w:val="single" w:color="auto" w:sz="4" w:space="0"/>
              <w:bottom w:val="single" w:color="auto" w:sz="4" w:space="0"/>
              <w:right w:val="single" w:color="auto" w:sz="4" w:space="0"/>
            </w:tcBorders>
            <w:vAlign w:val="center"/>
          </w:tcPr>
          <w:p w14:paraId="6D7ECB62">
            <w:pPr>
              <w:rPr>
                <w:rFonts w:ascii="宋体" w:hAnsi="宋体"/>
                <w:color w:val="auto"/>
                <w:szCs w:val="21"/>
                <w:highlight w:val="none"/>
              </w:rPr>
            </w:pPr>
            <w:r>
              <w:rPr>
                <w:rFonts w:hint="eastAsia" w:ascii="宋体" w:hAnsi="宋体"/>
                <w:color w:val="auto"/>
                <w:szCs w:val="21"/>
                <w:highlight w:val="none"/>
              </w:rPr>
              <w:t>投标文件未按规定的格式填写，或主要内容不全，或关键字迹模糊、无法辨认的；</w:t>
            </w:r>
          </w:p>
        </w:tc>
        <w:tc>
          <w:tcPr>
            <w:tcW w:w="1240" w:type="dxa"/>
            <w:tcBorders>
              <w:top w:val="single" w:color="auto" w:sz="4" w:space="0"/>
              <w:left w:val="single" w:color="auto" w:sz="4" w:space="0"/>
              <w:bottom w:val="single" w:color="auto" w:sz="4" w:space="0"/>
              <w:right w:val="single" w:color="auto" w:sz="4" w:space="0"/>
            </w:tcBorders>
          </w:tcPr>
          <w:p w14:paraId="1BF3692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FF47DBB">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9BBC4A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90AEE0D">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165BF76D">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5DA08952">
            <w:pPr>
              <w:rPr>
                <w:rFonts w:ascii="宋体" w:hAnsi="宋体"/>
                <w:color w:val="auto"/>
                <w:szCs w:val="21"/>
                <w:highlight w:val="none"/>
              </w:rPr>
            </w:pPr>
          </w:p>
        </w:tc>
      </w:tr>
      <w:tr w14:paraId="0E7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0839711B">
            <w:pPr>
              <w:rPr>
                <w:rFonts w:ascii="宋体" w:hAnsi="宋体"/>
                <w:color w:val="auto"/>
                <w:szCs w:val="21"/>
                <w:highlight w:val="none"/>
              </w:rPr>
            </w:pPr>
            <w:r>
              <w:rPr>
                <w:rFonts w:hint="eastAsia" w:ascii="宋体" w:hAnsi="宋体"/>
                <w:color w:val="auto"/>
                <w:szCs w:val="21"/>
                <w:highlight w:val="none"/>
              </w:rPr>
              <w:t>6</w:t>
            </w:r>
          </w:p>
        </w:tc>
        <w:tc>
          <w:tcPr>
            <w:tcW w:w="7039" w:type="dxa"/>
            <w:tcBorders>
              <w:top w:val="single" w:color="auto" w:sz="4" w:space="0"/>
              <w:left w:val="single" w:color="auto" w:sz="4" w:space="0"/>
              <w:bottom w:val="single" w:color="auto" w:sz="4" w:space="0"/>
              <w:right w:val="single" w:color="auto" w:sz="4" w:space="0"/>
            </w:tcBorders>
            <w:vAlign w:val="center"/>
          </w:tcPr>
          <w:p w14:paraId="66ED282D">
            <w:pPr>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240" w:type="dxa"/>
            <w:tcBorders>
              <w:top w:val="single" w:color="auto" w:sz="4" w:space="0"/>
              <w:left w:val="single" w:color="auto" w:sz="4" w:space="0"/>
              <w:bottom w:val="single" w:color="auto" w:sz="4" w:space="0"/>
              <w:right w:val="single" w:color="auto" w:sz="4" w:space="0"/>
            </w:tcBorders>
          </w:tcPr>
          <w:p w14:paraId="0193B4F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03B54A26">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DB9A166">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34645CA8">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9D20198">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0FAA7017">
            <w:pPr>
              <w:rPr>
                <w:rFonts w:ascii="宋体" w:hAnsi="宋体"/>
                <w:color w:val="auto"/>
                <w:szCs w:val="21"/>
                <w:highlight w:val="none"/>
              </w:rPr>
            </w:pPr>
          </w:p>
        </w:tc>
      </w:tr>
      <w:tr w14:paraId="3E32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537093E">
            <w:pPr>
              <w:rPr>
                <w:rFonts w:ascii="宋体" w:hAnsi="宋体"/>
                <w:color w:val="auto"/>
                <w:szCs w:val="21"/>
                <w:highlight w:val="none"/>
              </w:rPr>
            </w:pPr>
            <w:r>
              <w:rPr>
                <w:rFonts w:hint="eastAsia" w:ascii="宋体" w:hAnsi="宋体"/>
                <w:color w:val="auto"/>
                <w:szCs w:val="21"/>
                <w:highlight w:val="none"/>
              </w:rPr>
              <w:t>7</w:t>
            </w:r>
          </w:p>
        </w:tc>
        <w:tc>
          <w:tcPr>
            <w:tcW w:w="7039" w:type="dxa"/>
            <w:tcBorders>
              <w:top w:val="single" w:color="auto" w:sz="4" w:space="0"/>
              <w:left w:val="single" w:color="auto" w:sz="4" w:space="0"/>
              <w:bottom w:val="single" w:color="auto" w:sz="4" w:space="0"/>
              <w:right w:val="single" w:color="auto" w:sz="4" w:space="0"/>
            </w:tcBorders>
            <w:vAlign w:val="center"/>
          </w:tcPr>
          <w:p w14:paraId="2EC82808">
            <w:pPr>
              <w:rPr>
                <w:rFonts w:ascii="宋体" w:hAnsi="宋体"/>
                <w:color w:val="auto"/>
                <w:szCs w:val="21"/>
                <w:highlight w:val="none"/>
              </w:rPr>
            </w:pPr>
            <w:r>
              <w:rPr>
                <w:rFonts w:hint="eastAsia" w:ascii="宋体" w:hAnsi="宋体"/>
                <w:color w:val="auto"/>
                <w:szCs w:val="21"/>
                <w:highlight w:val="none"/>
              </w:rPr>
              <w:t>无《参与编制经济标投标文件人员名单》的；</w:t>
            </w:r>
          </w:p>
        </w:tc>
        <w:tc>
          <w:tcPr>
            <w:tcW w:w="1240" w:type="dxa"/>
            <w:tcBorders>
              <w:top w:val="single" w:color="auto" w:sz="4" w:space="0"/>
              <w:left w:val="single" w:color="auto" w:sz="4" w:space="0"/>
              <w:bottom w:val="single" w:color="auto" w:sz="4" w:space="0"/>
              <w:right w:val="single" w:color="auto" w:sz="4" w:space="0"/>
            </w:tcBorders>
          </w:tcPr>
          <w:p w14:paraId="503A5910">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1CC8B55">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BADB4EC">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448F8FCB">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7CCD4156">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4C55E320">
            <w:pPr>
              <w:rPr>
                <w:rFonts w:ascii="宋体" w:hAnsi="宋体"/>
                <w:color w:val="auto"/>
                <w:szCs w:val="21"/>
                <w:highlight w:val="none"/>
              </w:rPr>
            </w:pPr>
          </w:p>
        </w:tc>
      </w:tr>
      <w:tr w14:paraId="5231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69E5F681">
            <w:pPr>
              <w:rPr>
                <w:rFonts w:hint="eastAsia" w:ascii="宋体" w:hAnsi="宋体"/>
                <w:color w:val="auto"/>
                <w:szCs w:val="21"/>
                <w:highlight w:val="none"/>
              </w:rPr>
            </w:pPr>
            <w:r>
              <w:rPr>
                <w:rFonts w:hint="eastAsia" w:ascii="宋体" w:hAnsi="宋体"/>
                <w:color w:val="auto"/>
                <w:szCs w:val="21"/>
                <w:highlight w:val="none"/>
              </w:rPr>
              <w:t>8</w:t>
            </w:r>
          </w:p>
        </w:tc>
        <w:tc>
          <w:tcPr>
            <w:tcW w:w="7039" w:type="dxa"/>
            <w:tcBorders>
              <w:top w:val="single" w:color="auto" w:sz="4" w:space="0"/>
              <w:left w:val="single" w:color="auto" w:sz="4" w:space="0"/>
              <w:bottom w:val="single" w:color="auto" w:sz="4" w:space="0"/>
              <w:right w:val="single" w:color="auto" w:sz="4" w:space="0"/>
            </w:tcBorders>
            <w:vAlign w:val="center"/>
          </w:tcPr>
          <w:p w14:paraId="57018FA2">
            <w:pPr>
              <w:rPr>
                <w:rFonts w:hint="eastAsia" w:ascii="宋体" w:hAnsi="宋体" w:eastAsia="宋体"/>
                <w:color w:val="auto"/>
                <w:szCs w:val="21"/>
                <w:highlight w:val="none"/>
                <w:lang w:val="en-US" w:eastAsia="zh-CN"/>
              </w:rPr>
            </w:pPr>
            <w:r>
              <w:rPr>
                <w:rFonts w:hint="eastAsia" w:ascii="宋体" w:hAnsi="宋体" w:eastAsia="Times New Roman"/>
                <w:color w:val="auto"/>
                <w:szCs w:val="21"/>
                <w:highlight w:val="none"/>
                <w:u w:val="single"/>
              </w:rPr>
              <w:t>投标人未按规定的格式及内容要求签署《对投标文件编制的承诺》</w:t>
            </w:r>
            <w:r>
              <w:rPr>
                <w:rFonts w:hint="eastAsia" w:ascii="宋体" w:hAnsi="宋体"/>
                <w:color w:val="auto"/>
                <w:szCs w:val="21"/>
                <w:highlight w:val="none"/>
                <w:u w:val="single"/>
                <w:lang w:eastAsia="zh-CN"/>
              </w:rPr>
              <w:t>的</w:t>
            </w:r>
            <w:r>
              <w:rPr>
                <w:rFonts w:hint="eastAsia" w:ascii="宋体" w:hAnsi="宋体"/>
                <w:color w:val="auto"/>
                <w:szCs w:val="21"/>
                <w:highlight w:val="none"/>
                <w:u w:val="single"/>
                <w:lang w:val="en-US" w:eastAsia="zh-CN"/>
              </w:rPr>
              <w:t>；</w:t>
            </w:r>
          </w:p>
        </w:tc>
        <w:tc>
          <w:tcPr>
            <w:tcW w:w="1240" w:type="dxa"/>
            <w:tcBorders>
              <w:top w:val="single" w:color="auto" w:sz="4" w:space="0"/>
              <w:left w:val="single" w:color="auto" w:sz="4" w:space="0"/>
              <w:bottom w:val="single" w:color="auto" w:sz="4" w:space="0"/>
              <w:right w:val="single" w:color="auto" w:sz="4" w:space="0"/>
            </w:tcBorders>
          </w:tcPr>
          <w:p w14:paraId="2625509F">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88EB241">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437461C">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47F676FE">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2014AEA1">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73B7D781">
            <w:pPr>
              <w:rPr>
                <w:rFonts w:ascii="宋体" w:hAnsi="宋体"/>
                <w:color w:val="auto"/>
                <w:szCs w:val="21"/>
                <w:highlight w:val="none"/>
              </w:rPr>
            </w:pPr>
          </w:p>
        </w:tc>
      </w:tr>
      <w:tr w14:paraId="66EA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53F479A1">
            <w:pP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9</w:t>
            </w:r>
          </w:p>
        </w:tc>
        <w:tc>
          <w:tcPr>
            <w:tcW w:w="7039" w:type="dxa"/>
            <w:tcBorders>
              <w:top w:val="single" w:color="auto" w:sz="4" w:space="0"/>
              <w:left w:val="single" w:color="auto" w:sz="4" w:space="0"/>
              <w:bottom w:val="single" w:color="auto" w:sz="4" w:space="0"/>
              <w:right w:val="single" w:color="auto" w:sz="4" w:space="0"/>
            </w:tcBorders>
            <w:vAlign w:val="center"/>
          </w:tcPr>
          <w:p w14:paraId="092A33B0">
            <w:pPr>
              <w:rPr>
                <w:rFonts w:ascii="宋体" w:hAnsi="宋体"/>
                <w:color w:val="auto"/>
                <w:szCs w:val="21"/>
                <w:highlight w:val="none"/>
              </w:rPr>
            </w:pPr>
            <w:r>
              <w:rPr>
                <w:rFonts w:hint="eastAsia" w:ascii="宋体" w:hAnsi="宋体"/>
                <w:color w:val="auto"/>
                <w:szCs w:val="21"/>
                <w:highlight w:val="none"/>
              </w:rPr>
              <w:t>投标人与本项目其他投标人的投标文件工程量清单编制机器硬件信息一致的（以</w:t>
            </w:r>
            <w:r>
              <w:rPr>
                <w:rFonts w:hint="eastAsia" w:ascii="宋体" w:hAnsi="宋体"/>
                <w:color w:val="auto"/>
                <w:szCs w:val="21"/>
                <w:highlight w:val="none"/>
                <w:u w:val="single"/>
                <w:lang w:eastAsia="zh-CN"/>
              </w:rPr>
              <w:t>广州交易集团有限公司（广州公共资源交易中心）</w:t>
            </w:r>
            <w:r>
              <w:rPr>
                <w:rFonts w:hint="eastAsia" w:ascii="宋体" w:hAnsi="宋体"/>
                <w:color w:val="auto"/>
                <w:szCs w:val="21"/>
                <w:highlight w:val="none"/>
              </w:rPr>
              <w:t>交易平台评标系统的检索信息为准）</w:t>
            </w:r>
          </w:p>
        </w:tc>
        <w:tc>
          <w:tcPr>
            <w:tcW w:w="1240" w:type="dxa"/>
            <w:tcBorders>
              <w:top w:val="single" w:color="auto" w:sz="4" w:space="0"/>
              <w:left w:val="single" w:color="auto" w:sz="4" w:space="0"/>
              <w:bottom w:val="single" w:color="auto" w:sz="4" w:space="0"/>
              <w:right w:val="single" w:color="auto" w:sz="4" w:space="0"/>
            </w:tcBorders>
          </w:tcPr>
          <w:p w14:paraId="6ECBE795">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DE44D0D">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635EF1F0">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27F4689">
            <w:pPr>
              <w:rPr>
                <w:rFonts w:ascii="宋体" w:hAnsi="宋体"/>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tcPr>
          <w:p w14:paraId="5F4568C4">
            <w:pPr>
              <w:rPr>
                <w:rFonts w:ascii="宋体" w:hAnsi="宋体"/>
                <w:color w:val="auto"/>
                <w:szCs w:val="21"/>
                <w:highlight w:val="none"/>
              </w:rPr>
            </w:pPr>
          </w:p>
        </w:tc>
        <w:tc>
          <w:tcPr>
            <w:tcW w:w="1244" w:type="dxa"/>
            <w:tcBorders>
              <w:top w:val="single" w:color="auto" w:sz="4" w:space="0"/>
              <w:left w:val="single" w:color="auto" w:sz="4" w:space="0"/>
              <w:bottom w:val="single" w:color="auto" w:sz="4" w:space="0"/>
              <w:right w:val="single" w:color="auto" w:sz="4" w:space="0"/>
            </w:tcBorders>
          </w:tcPr>
          <w:p w14:paraId="0EC3A221">
            <w:pPr>
              <w:rPr>
                <w:rFonts w:ascii="宋体" w:hAnsi="宋体"/>
                <w:color w:val="auto"/>
                <w:szCs w:val="21"/>
                <w:highlight w:val="none"/>
              </w:rPr>
            </w:pPr>
          </w:p>
        </w:tc>
      </w:tr>
    </w:tbl>
    <w:p w14:paraId="46F0C132">
      <w:pPr>
        <w:ind w:firstLine="458"/>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w:t>
      </w:r>
    </w:p>
    <w:p w14:paraId="665A2900">
      <w:pPr>
        <w:ind w:firstLine="458"/>
        <w:rPr>
          <w:rFonts w:ascii="宋体" w:hAnsi="宋体"/>
          <w:color w:val="auto"/>
          <w:szCs w:val="21"/>
          <w:highlight w:val="none"/>
        </w:rPr>
      </w:pPr>
      <w:r>
        <w:rPr>
          <w:rFonts w:hint="eastAsia" w:ascii="宋体" w:hAnsi="宋体"/>
          <w:color w:val="auto"/>
          <w:szCs w:val="21"/>
          <w:highlight w:val="none"/>
        </w:rPr>
        <w:t>2.凡出现以上任何一项情形，结论均为无效，否则就为有效。</w:t>
      </w:r>
    </w:p>
    <w:p w14:paraId="5110AEFC">
      <w:pPr>
        <w:ind w:firstLine="458"/>
        <w:rPr>
          <w:rFonts w:ascii="宋体" w:hAnsi="宋体"/>
          <w:color w:val="auto"/>
          <w:szCs w:val="21"/>
          <w:highlight w:val="none"/>
        </w:rPr>
      </w:pPr>
      <w:r>
        <w:rPr>
          <w:rFonts w:hint="eastAsia" w:ascii="宋体" w:hAnsi="宋体"/>
          <w:color w:val="auto"/>
          <w:szCs w:val="21"/>
          <w:highlight w:val="none"/>
        </w:rPr>
        <w:t>3.如对本表中某种情形的评审意见不一致时，以评标委员会过半数成员的意见作为评标委员会对该情形的认定结论。</w:t>
      </w:r>
    </w:p>
    <w:p w14:paraId="6DEB7599">
      <w:pPr>
        <w:ind w:firstLine="458"/>
        <w:rPr>
          <w:rFonts w:ascii="宋体" w:hAnsi="宋体"/>
          <w:color w:val="auto"/>
          <w:szCs w:val="21"/>
          <w:highlight w:val="none"/>
        </w:rPr>
      </w:pPr>
      <w:r>
        <w:rPr>
          <w:rFonts w:hint="eastAsia" w:ascii="宋体" w:hAnsi="宋体"/>
          <w:color w:val="auto"/>
          <w:szCs w:val="21"/>
          <w:highlight w:val="none"/>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688E6495">
      <w:pPr>
        <w:pStyle w:val="4"/>
        <w:ind w:firstLine="458"/>
        <w:rPr>
          <w:rFonts w:ascii="宋体" w:hAnsi="宋体"/>
          <w:color w:val="auto"/>
          <w:szCs w:val="21"/>
          <w:highlight w:val="none"/>
        </w:rPr>
        <w:sectPr>
          <w:footerReference r:id="rId14" w:type="first"/>
          <w:footerReference r:id="rId13" w:type="default"/>
          <w:endnotePr>
            <w:numFmt w:val="decimal"/>
          </w:endnotePr>
          <w:pgSz w:w="16838" w:h="11906" w:orient="landscape"/>
          <w:pgMar w:top="1418" w:right="1247" w:bottom="1418" w:left="1134" w:header="851" w:footer="907" w:gutter="0"/>
          <w:pgNumType w:fmt="decimal"/>
          <w:cols w:space="425" w:num="1"/>
          <w:titlePg/>
          <w:docGrid w:type="lines" w:linePitch="312" w:charSpace="0"/>
        </w:sectPr>
      </w:pPr>
      <w:r>
        <w:rPr>
          <w:rFonts w:hint="eastAsia" w:ascii="宋体" w:hAnsi="宋体"/>
          <w:color w:val="auto"/>
          <w:szCs w:val="21"/>
          <w:highlight w:val="none"/>
        </w:rPr>
        <w:t>评委签名：</w:t>
      </w:r>
    </w:p>
    <w:p w14:paraId="58C1CAA8">
      <w:pPr>
        <w:rPr>
          <w:color w:val="auto"/>
          <w:szCs w:val="21"/>
          <w:highlight w:val="none"/>
        </w:rPr>
      </w:pPr>
      <w:r>
        <w:rPr>
          <w:rFonts w:hint="eastAsia"/>
          <w:color w:val="auto"/>
          <w:szCs w:val="21"/>
          <w:highlight w:val="none"/>
        </w:rPr>
        <w:t>附表四</w:t>
      </w:r>
    </w:p>
    <w:p w14:paraId="23013BC1">
      <w:pPr>
        <w:jc w:val="center"/>
        <w:rPr>
          <w:b/>
          <w:color w:val="auto"/>
          <w:sz w:val="36"/>
          <w:szCs w:val="36"/>
          <w:highlight w:val="none"/>
        </w:rPr>
      </w:pPr>
      <w:r>
        <w:rPr>
          <w:rFonts w:hint="eastAsia"/>
          <w:b/>
          <w:color w:val="auto"/>
          <w:sz w:val="36"/>
          <w:szCs w:val="36"/>
          <w:highlight w:val="none"/>
        </w:rPr>
        <w:t>技术标详细审查评分表</w:t>
      </w:r>
    </w:p>
    <w:tbl>
      <w:tblPr>
        <w:tblStyle w:val="17"/>
        <w:tblW w:w="14862"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832"/>
        <w:gridCol w:w="644"/>
        <w:gridCol w:w="11343"/>
      </w:tblGrid>
      <w:tr w14:paraId="52A7BA97">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blHeader/>
          <w:jc w:val="center"/>
        </w:trPr>
        <w:tc>
          <w:tcPr>
            <w:tcW w:w="1043" w:type="dxa"/>
            <w:tcBorders>
              <w:top w:val="single" w:color="auto" w:sz="8" w:space="0"/>
              <w:left w:val="single" w:color="auto" w:sz="8" w:space="0"/>
              <w:bottom w:val="single" w:color="auto" w:sz="4" w:space="0"/>
              <w:right w:val="single" w:color="auto" w:sz="4" w:space="0"/>
            </w:tcBorders>
            <w:vAlign w:val="center"/>
          </w:tcPr>
          <w:p w14:paraId="55796FFB">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评分</w:t>
            </w:r>
          </w:p>
          <w:p w14:paraId="14917ACC">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项目</w:t>
            </w:r>
          </w:p>
        </w:tc>
        <w:tc>
          <w:tcPr>
            <w:tcW w:w="1832" w:type="dxa"/>
            <w:tcBorders>
              <w:top w:val="single" w:color="auto" w:sz="8" w:space="0"/>
              <w:left w:val="single" w:color="auto" w:sz="4" w:space="0"/>
              <w:bottom w:val="single" w:color="auto" w:sz="4" w:space="0"/>
              <w:right w:val="single" w:color="auto" w:sz="4" w:space="0"/>
            </w:tcBorders>
            <w:vAlign w:val="center"/>
          </w:tcPr>
          <w:p w14:paraId="2BC99DDC">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评分内容</w:t>
            </w:r>
          </w:p>
        </w:tc>
        <w:tc>
          <w:tcPr>
            <w:tcW w:w="644" w:type="dxa"/>
            <w:tcBorders>
              <w:top w:val="single" w:color="auto" w:sz="8" w:space="0"/>
              <w:left w:val="single" w:color="auto" w:sz="4" w:space="0"/>
              <w:bottom w:val="single" w:color="auto" w:sz="4" w:space="0"/>
              <w:right w:val="single" w:color="auto" w:sz="4" w:space="0"/>
            </w:tcBorders>
            <w:vAlign w:val="center"/>
          </w:tcPr>
          <w:p w14:paraId="5DE925AC">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分值</w:t>
            </w:r>
          </w:p>
        </w:tc>
        <w:tc>
          <w:tcPr>
            <w:tcW w:w="11343" w:type="dxa"/>
            <w:tcBorders>
              <w:top w:val="single" w:color="auto" w:sz="8" w:space="0"/>
              <w:left w:val="single" w:color="auto" w:sz="4" w:space="0"/>
              <w:bottom w:val="single" w:color="auto" w:sz="4" w:space="0"/>
              <w:right w:val="single" w:color="auto" w:sz="4" w:space="0"/>
            </w:tcBorders>
            <w:vAlign w:val="center"/>
          </w:tcPr>
          <w:p w14:paraId="33A79802">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评审标准</w:t>
            </w:r>
          </w:p>
        </w:tc>
      </w:tr>
      <w:tr w14:paraId="7B425851">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43" w:type="dxa"/>
            <w:vMerge w:val="restart"/>
            <w:tcBorders>
              <w:left w:val="single" w:color="auto" w:sz="8" w:space="0"/>
              <w:right w:val="single" w:color="auto" w:sz="4" w:space="0"/>
            </w:tcBorders>
            <w:vAlign w:val="center"/>
          </w:tcPr>
          <w:p w14:paraId="73452251">
            <w:pPr>
              <w:widowControl/>
              <w:jc w:val="lef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一、企业业绩、信誉</w:t>
            </w:r>
          </w:p>
          <w:p w14:paraId="508359B0">
            <w:pPr>
              <w:widowControl/>
              <w:jc w:val="lef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w:t>
            </w:r>
            <w:r>
              <w:rPr>
                <w:rFonts w:hint="eastAsia" w:ascii="宋体" w:hAnsi="宋体" w:eastAsia="宋体"/>
                <w:color w:val="auto"/>
                <w:sz w:val="18"/>
                <w:szCs w:val="18"/>
                <w:highlight w:val="none"/>
                <w:lang w:val="en-US" w:eastAsia="zh-CN"/>
              </w:rPr>
              <w:t>2</w:t>
            </w:r>
            <w:r>
              <w:rPr>
                <w:rFonts w:ascii="宋体" w:hAnsi="宋体" w:eastAsia="Times New Roman"/>
                <w:color w:val="auto"/>
                <w:sz w:val="18"/>
                <w:szCs w:val="18"/>
                <w:highlight w:val="none"/>
              </w:rPr>
              <w:t>0</w:t>
            </w:r>
            <w:r>
              <w:rPr>
                <w:rFonts w:hint="eastAsia" w:ascii="宋体" w:hAnsi="宋体" w:eastAsia="Times New Roman"/>
                <w:color w:val="auto"/>
                <w:sz w:val="18"/>
                <w:szCs w:val="18"/>
                <w:highlight w:val="none"/>
              </w:rPr>
              <w:t>分）</w:t>
            </w:r>
          </w:p>
        </w:tc>
        <w:tc>
          <w:tcPr>
            <w:tcW w:w="1832" w:type="dxa"/>
            <w:tcBorders>
              <w:top w:val="single" w:color="auto" w:sz="4" w:space="0"/>
              <w:left w:val="single" w:color="auto" w:sz="4" w:space="0"/>
              <w:right w:val="single" w:color="auto" w:sz="4" w:space="0"/>
            </w:tcBorders>
            <w:vAlign w:val="center"/>
          </w:tcPr>
          <w:p w14:paraId="290FD90A">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企业类似工程业绩</w:t>
            </w:r>
          </w:p>
        </w:tc>
        <w:tc>
          <w:tcPr>
            <w:tcW w:w="644" w:type="dxa"/>
            <w:tcBorders>
              <w:top w:val="single" w:color="auto" w:sz="4" w:space="0"/>
              <w:left w:val="single" w:color="auto" w:sz="4" w:space="0"/>
              <w:right w:val="single" w:color="auto" w:sz="4" w:space="0"/>
            </w:tcBorders>
            <w:vAlign w:val="center"/>
          </w:tcPr>
          <w:p w14:paraId="61F80A3F">
            <w:pPr>
              <w:adjustRightInd w:val="0"/>
              <w:snapToGrid w:val="0"/>
              <w:ind w:firstLine="180" w:firstLineChars="100"/>
              <w:rPr>
                <w:rFonts w:hint="eastAsia" w:ascii="宋体" w:hAnsi="宋体" w:eastAsia="宋体"/>
                <w:color w:val="auto"/>
                <w:sz w:val="18"/>
                <w:szCs w:val="18"/>
                <w:highlight w:val="none"/>
                <w:lang w:eastAsia="zh-CN"/>
              </w:rPr>
            </w:pPr>
            <w:r>
              <w:rPr>
                <w:rFonts w:hint="eastAsia" w:ascii="宋体" w:hAnsi="宋体"/>
                <w:color w:val="auto"/>
                <w:sz w:val="18"/>
                <w:szCs w:val="18"/>
                <w:highlight w:val="none"/>
                <w:lang w:val="en-US" w:eastAsia="zh-CN"/>
              </w:rPr>
              <w:t>8</w:t>
            </w:r>
          </w:p>
        </w:tc>
        <w:tc>
          <w:tcPr>
            <w:tcW w:w="11343" w:type="dxa"/>
            <w:tcBorders>
              <w:top w:val="single" w:color="auto" w:sz="4" w:space="0"/>
              <w:left w:val="single" w:color="auto" w:sz="4" w:space="0"/>
              <w:right w:val="single" w:color="auto" w:sz="4" w:space="0"/>
            </w:tcBorders>
            <w:vAlign w:val="center"/>
          </w:tcPr>
          <w:p w14:paraId="66B8C85A">
            <w:pPr>
              <w:spacing w:line="280" w:lineRule="exact"/>
              <w:rPr>
                <w:rFonts w:ascii="宋体" w:hAnsi="宋体"/>
                <w:color w:val="auto"/>
                <w:sz w:val="18"/>
                <w:szCs w:val="18"/>
                <w:highlight w:val="none"/>
              </w:rPr>
            </w:pPr>
            <w:r>
              <w:rPr>
                <w:rFonts w:hint="eastAsia" w:ascii="宋体" w:hAnsi="宋体"/>
                <w:color w:val="auto"/>
                <w:sz w:val="18"/>
                <w:szCs w:val="18"/>
                <w:highlight w:val="none"/>
              </w:rPr>
              <w:t>投标人自</w:t>
            </w:r>
            <w:r>
              <w:rPr>
                <w:rFonts w:hint="eastAsia" w:ascii="宋体" w:hAnsi="宋体"/>
                <w:color w:val="auto"/>
                <w:sz w:val="18"/>
                <w:szCs w:val="18"/>
                <w:highlight w:val="none"/>
                <w:lang w:eastAsia="zh-CN"/>
              </w:rPr>
              <w:t>2020</w:t>
            </w:r>
            <w:r>
              <w:rPr>
                <w:rFonts w:hint="eastAsia" w:ascii="宋体" w:hAnsi="宋体"/>
                <w:color w:val="auto"/>
                <w:sz w:val="18"/>
                <w:szCs w:val="18"/>
                <w:highlight w:val="none"/>
              </w:rPr>
              <w:t>年1月1日至今完成过质量合格且中标金额</w:t>
            </w:r>
            <w:r>
              <w:rPr>
                <w:rFonts w:hint="eastAsia" w:ascii="宋体" w:hAnsi="宋体"/>
                <w:color w:val="auto"/>
                <w:sz w:val="18"/>
                <w:szCs w:val="18"/>
                <w:highlight w:val="none"/>
                <w:u w:val="single"/>
                <w:lang w:val="en-US" w:eastAsia="zh-CN"/>
              </w:rPr>
              <w:t>600万元</w:t>
            </w:r>
            <w:r>
              <w:rPr>
                <w:rFonts w:hint="eastAsia" w:ascii="宋体" w:hAnsi="宋体"/>
                <w:color w:val="auto"/>
                <w:sz w:val="18"/>
                <w:szCs w:val="18"/>
                <w:highlight w:val="none"/>
              </w:rPr>
              <w:t>（或以上）的</w:t>
            </w:r>
            <w:r>
              <w:rPr>
                <w:rFonts w:hint="eastAsia" w:ascii="宋体" w:hAnsi="宋体"/>
                <w:color w:val="auto"/>
                <w:sz w:val="18"/>
                <w:szCs w:val="18"/>
                <w:highlight w:val="none"/>
                <w:u w:val="single"/>
              </w:rPr>
              <w:t>10KV或以上电力工程施工</w:t>
            </w:r>
            <w:r>
              <w:rPr>
                <w:rFonts w:hint="eastAsia" w:ascii="宋体" w:hAnsi="宋体"/>
                <w:color w:val="auto"/>
                <w:sz w:val="18"/>
                <w:szCs w:val="18"/>
                <w:highlight w:val="none"/>
              </w:rPr>
              <w:t>业绩。</w:t>
            </w:r>
          </w:p>
          <w:p w14:paraId="629D98CB">
            <w:pPr>
              <w:snapToGrid w:val="0"/>
              <w:spacing w:line="280" w:lineRule="exact"/>
              <w:rPr>
                <w:rFonts w:ascii="宋体" w:hAnsi="宋体" w:eastAsia="Times New Roman"/>
                <w:color w:val="auto"/>
                <w:sz w:val="18"/>
                <w:szCs w:val="18"/>
                <w:highlight w:val="none"/>
              </w:rPr>
            </w:pPr>
            <w:r>
              <w:rPr>
                <w:rFonts w:hint="eastAsia" w:ascii="宋体" w:hAnsi="宋体"/>
                <w:color w:val="auto"/>
                <w:sz w:val="18"/>
                <w:szCs w:val="18"/>
                <w:highlight w:val="none"/>
              </w:rPr>
              <w:t>提供一个业绩得</w:t>
            </w:r>
            <w:r>
              <w:rPr>
                <w:rFonts w:ascii="宋体" w:hAnsi="宋体"/>
                <w:b/>
                <w:color w:val="auto"/>
                <w:sz w:val="18"/>
                <w:szCs w:val="18"/>
                <w:highlight w:val="none"/>
              </w:rPr>
              <w:t>1</w:t>
            </w:r>
            <w:r>
              <w:rPr>
                <w:rFonts w:hint="eastAsia" w:ascii="宋体" w:hAnsi="宋体"/>
                <w:b/>
                <w:color w:val="auto"/>
                <w:sz w:val="18"/>
                <w:szCs w:val="18"/>
                <w:highlight w:val="none"/>
              </w:rPr>
              <w:t>分</w:t>
            </w:r>
            <w:r>
              <w:rPr>
                <w:rFonts w:hint="eastAsia" w:ascii="宋体" w:hAnsi="宋体"/>
                <w:color w:val="auto"/>
                <w:sz w:val="18"/>
                <w:szCs w:val="18"/>
                <w:highlight w:val="none"/>
              </w:rPr>
              <w:t>，本项最高得</w:t>
            </w:r>
            <w:r>
              <w:rPr>
                <w:rFonts w:hint="eastAsia" w:ascii="宋体" w:hAnsi="宋体"/>
                <w:b/>
                <w:color w:val="auto"/>
                <w:sz w:val="18"/>
                <w:szCs w:val="18"/>
                <w:highlight w:val="none"/>
                <w:lang w:val="en-US" w:eastAsia="zh-CN"/>
              </w:rPr>
              <w:t>8</w:t>
            </w:r>
            <w:r>
              <w:rPr>
                <w:rFonts w:hint="eastAsia" w:ascii="宋体" w:hAnsi="宋体"/>
                <w:b/>
                <w:color w:val="auto"/>
                <w:sz w:val="18"/>
                <w:szCs w:val="18"/>
                <w:highlight w:val="none"/>
              </w:rPr>
              <w:t>分</w:t>
            </w:r>
            <w:r>
              <w:rPr>
                <w:rFonts w:hint="eastAsia" w:ascii="宋体" w:hAnsi="宋体"/>
                <w:color w:val="auto"/>
                <w:sz w:val="18"/>
                <w:szCs w:val="18"/>
                <w:highlight w:val="none"/>
              </w:rPr>
              <w:t>。</w:t>
            </w:r>
          </w:p>
        </w:tc>
      </w:tr>
      <w:tr w14:paraId="5AC0448A">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043" w:type="dxa"/>
            <w:vMerge w:val="continue"/>
            <w:tcBorders>
              <w:left w:val="single" w:color="auto" w:sz="8" w:space="0"/>
              <w:right w:val="single" w:color="auto" w:sz="4" w:space="0"/>
            </w:tcBorders>
            <w:vAlign w:val="center"/>
          </w:tcPr>
          <w:p w14:paraId="5BCC6DB4">
            <w:pPr>
              <w:widowControl/>
              <w:jc w:val="left"/>
              <w:rPr>
                <w:rFonts w:ascii="宋体" w:hAnsi="宋体" w:eastAsia="Times New Roman"/>
                <w:color w:val="auto"/>
                <w:sz w:val="18"/>
                <w:szCs w:val="18"/>
                <w:highlight w:val="none"/>
              </w:rPr>
            </w:pPr>
          </w:p>
        </w:tc>
        <w:tc>
          <w:tcPr>
            <w:tcW w:w="1832" w:type="dxa"/>
            <w:tcBorders>
              <w:top w:val="single" w:color="auto" w:sz="4" w:space="0"/>
              <w:left w:val="single" w:color="auto" w:sz="4" w:space="0"/>
              <w:right w:val="single" w:color="auto" w:sz="4" w:space="0"/>
            </w:tcBorders>
            <w:vAlign w:val="center"/>
          </w:tcPr>
          <w:p w14:paraId="7DD99D84">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企业工程获奖情况</w:t>
            </w:r>
          </w:p>
        </w:tc>
        <w:tc>
          <w:tcPr>
            <w:tcW w:w="644" w:type="dxa"/>
            <w:tcBorders>
              <w:top w:val="single" w:color="auto" w:sz="4" w:space="0"/>
              <w:left w:val="single" w:color="auto" w:sz="4" w:space="0"/>
              <w:right w:val="single" w:color="auto" w:sz="4" w:space="0"/>
            </w:tcBorders>
            <w:vAlign w:val="center"/>
          </w:tcPr>
          <w:p w14:paraId="2E356C49">
            <w:pPr>
              <w:adjustRightInd w:val="0"/>
              <w:snapToGrid w:val="0"/>
              <w:ind w:firstLine="180" w:firstLineChars="100"/>
              <w:rPr>
                <w:rFonts w:hint="eastAsia" w:ascii="宋体" w:hAnsi="宋体" w:eastAsia="宋体"/>
                <w:color w:val="auto"/>
                <w:sz w:val="18"/>
                <w:szCs w:val="18"/>
                <w:highlight w:val="none"/>
                <w:lang w:eastAsia="zh-CN"/>
              </w:rPr>
            </w:pPr>
            <w:r>
              <w:rPr>
                <w:rFonts w:hint="eastAsia" w:ascii="宋体" w:hAnsi="宋体"/>
                <w:color w:val="auto"/>
                <w:sz w:val="18"/>
                <w:szCs w:val="18"/>
                <w:highlight w:val="none"/>
                <w:lang w:val="en-US" w:eastAsia="zh-CN"/>
              </w:rPr>
              <w:t>6</w:t>
            </w:r>
          </w:p>
        </w:tc>
        <w:tc>
          <w:tcPr>
            <w:tcW w:w="11343" w:type="dxa"/>
            <w:tcBorders>
              <w:top w:val="single" w:color="auto" w:sz="4" w:space="0"/>
              <w:left w:val="single" w:color="auto" w:sz="4" w:space="0"/>
              <w:right w:val="single" w:color="auto" w:sz="4" w:space="0"/>
            </w:tcBorders>
            <w:vAlign w:val="center"/>
          </w:tcPr>
          <w:p w14:paraId="40F3C2A5">
            <w:pPr>
              <w:rPr>
                <w:rFonts w:ascii="宋体" w:hAnsi="宋体"/>
                <w:color w:val="auto"/>
                <w:sz w:val="18"/>
                <w:szCs w:val="18"/>
                <w:highlight w:val="none"/>
              </w:rPr>
            </w:pPr>
            <w:r>
              <w:rPr>
                <w:rFonts w:hint="eastAsia" w:ascii="宋体" w:hAnsi="宋体"/>
                <w:color w:val="auto"/>
                <w:sz w:val="18"/>
                <w:szCs w:val="18"/>
                <w:highlight w:val="none"/>
              </w:rPr>
              <w:t>投标人完成过的项目</w:t>
            </w:r>
            <w:r>
              <w:rPr>
                <w:rFonts w:hint="eastAsia" w:ascii="宋体" w:hAnsi="宋体"/>
                <w:color w:val="auto"/>
                <w:sz w:val="18"/>
                <w:szCs w:val="18"/>
                <w:highlight w:val="none"/>
                <w:lang w:eastAsia="zh-CN"/>
              </w:rPr>
              <w:t>2020</w:t>
            </w:r>
            <w:r>
              <w:rPr>
                <w:rFonts w:hint="eastAsia" w:ascii="宋体" w:hAnsi="宋体"/>
                <w:color w:val="auto"/>
                <w:sz w:val="18"/>
                <w:szCs w:val="18"/>
                <w:highlight w:val="none"/>
              </w:rPr>
              <w:t>年</w:t>
            </w:r>
            <w:r>
              <w:rPr>
                <w:rFonts w:ascii="宋体" w:hAnsi="宋体"/>
                <w:color w:val="auto"/>
                <w:sz w:val="18"/>
                <w:szCs w:val="18"/>
                <w:highlight w:val="none"/>
              </w:rPr>
              <w:t>1</w:t>
            </w:r>
            <w:r>
              <w:rPr>
                <w:rFonts w:hint="eastAsia" w:ascii="宋体" w:hAnsi="宋体"/>
                <w:color w:val="auto"/>
                <w:sz w:val="18"/>
                <w:szCs w:val="18"/>
                <w:highlight w:val="none"/>
              </w:rPr>
              <w:t>月</w:t>
            </w:r>
            <w:r>
              <w:rPr>
                <w:rFonts w:ascii="宋体" w:hAnsi="宋体"/>
                <w:color w:val="auto"/>
                <w:sz w:val="18"/>
                <w:szCs w:val="18"/>
                <w:highlight w:val="none"/>
              </w:rPr>
              <w:t>1</w:t>
            </w:r>
            <w:r>
              <w:rPr>
                <w:rFonts w:hint="eastAsia" w:ascii="宋体" w:hAnsi="宋体"/>
                <w:color w:val="auto"/>
                <w:sz w:val="18"/>
                <w:szCs w:val="18"/>
                <w:highlight w:val="none"/>
              </w:rPr>
              <w:t>日至今获得过国家级工程质量奖项（以证书颁发时间为准）每项得</w:t>
            </w:r>
            <w:r>
              <w:rPr>
                <w:rFonts w:hint="eastAsia" w:ascii="宋体" w:hAnsi="宋体"/>
                <w:b/>
                <w:bCs/>
                <w:color w:val="auto"/>
                <w:sz w:val="18"/>
                <w:szCs w:val="18"/>
                <w:highlight w:val="none"/>
                <w:lang w:val="en-US" w:eastAsia="zh-CN"/>
              </w:rPr>
              <w:t>1.5</w:t>
            </w:r>
            <w:r>
              <w:rPr>
                <w:rFonts w:hint="eastAsia" w:ascii="宋体" w:hAnsi="宋体"/>
                <w:color w:val="auto"/>
                <w:sz w:val="18"/>
                <w:szCs w:val="18"/>
                <w:highlight w:val="none"/>
              </w:rPr>
              <w:t>分；获得过省（部）级工程质量奖项（以证书颁发时间为准）每项得</w:t>
            </w:r>
            <w:r>
              <w:rPr>
                <w:rFonts w:hint="eastAsia" w:ascii="宋体" w:hAnsi="宋体"/>
                <w:b/>
                <w:bCs/>
                <w:color w:val="auto"/>
                <w:sz w:val="18"/>
                <w:szCs w:val="18"/>
                <w:highlight w:val="none"/>
              </w:rPr>
              <w:t xml:space="preserve"> </w:t>
            </w:r>
            <w:r>
              <w:rPr>
                <w:rFonts w:hint="eastAsia" w:ascii="宋体" w:hAnsi="宋体"/>
                <w:b/>
                <w:bCs/>
                <w:color w:val="auto"/>
                <w:sz w:val="18"/>
                <w:szCs w:val="18"/>
                <w:highlight w:val="none"/>
                <w:lang w:val="en-US" w:eastAsia="zh-CN"/>
              </w:rPr>
              <w:t>1</w:t>
            </w:r>
            <w:r>
              <w:rPr>
                <w:rFonts w:hint="eastAsia" w:ascii="宋体" w:hAnsi="宋体"/>
                <w:color w:val="auto"/>
                <w:sz w:val="18"/>
                <w:szCs w:val="18"/>
                <w:highlight w:val="none"/>
              </w:rPr>
              <w:t>分；获得过市（副省）级工程质量奖项（以证书</w:t>
            </w:r>
            <w:r>
              <w:rPr>
                <w:rFonts w:hint="eastAsia" w:ascii="宋体" w:hAnsi="宋体" w:cs="宋体"/>
                <w:color w:val="auto"/>
                <w:sz w:val="18"/>
                <w:szCs w:val="18"/>
                <w:highlight w:val="none"/>
              </w:rPr>
              <w:t>颁发时间为准）</w:t>
            </w:r>
            <w:r>
              <w:rPr>
                <w:rFonts w:hint="eastAsia" w:ascii="宋体" w:hAnsi="宋体"/>
                <w:color w:val="auto"/>
                <w:sz w:val="18"/>
                <w:szCs w:val="18"/>
                <w:highlight w:val="none"/>
              </w:rPr>
              <w:t>每项</w:t>
            </w:r>
            <w:r>
              <w:rPr>
                <w:rFonts w:hint="eastAsia" w:ascii="宋体" w:hAnsi="宋体" w:cs="宋体"/>
                <w:color w:val="auto"/>
                <w:sz w:val="18"/>
                <w:szCs w:val="18"/>
                <w:highlight w:val="none"/>
              </w:rPr>
              <w:t>得</w:t>
            </w:r>
            <w:r>
              <w:rPr>
                <w:rFonts w:hint="eastAsia" w:ascii="宋体" w:hAnsi="宋体"/>
                <w:b/>
                <w:color w:val="auto"/>
                <w:sz w:val="18"/>
                <w:szCs w:val="18"/>
                <w:highlight w:val="none"/>
                <w:lang w:val="en-US" w:eastAsia="zh-CN"/>
              </w:rPr>
              <w:t>0.5</w:t>
            </w:r>
            <w:r>
              <w:rPr>
                <w:rFonts w:hint="eastAsia" w:ascii="宋体" w:hAnsi="宋体" w:cs="宋体"/>
                <w:b/>
                <w:color w:val="auto"/>
                <w:sz w:val="18"/>
                <w:szCs w:val="18"/>
                <w:highlight w:val="none"/>
              </w:rPr>
              <w:t>分</w:t>
            </w:r>
            <w:r>
              <w:rPr>
                <w:rFonts w:hint="eastAsia" w:ascii="宋体" w:hAnsi="宋体" w:cs="宋体"/>
                <w:color w:val="auto"/>
                <w:sz w:val="18"/>
                <w:szCs w:val="18"/>
                <w:highlight w:val="none"/>
              </w:rPr>
              <w:t>；不满足前述要求者，得</w:t>
            </w:r>
            <w:r>
              <w:rPr>
                <w:rFonts w:hint="eastAsia" w:ascii="宋体" w:hAnsi="宋体"/>
                <w:b/>
                <w:color w:val="auto"/>
                <w:sz w:val="18"/>
                <w:szCs w:val="18"/>
                <w:highlight w:val="none"/>
              </w:rPr>
              <w:t>0</w:t>
            </w:r>
            <w:r>
              <w:rPr>
                <w:rFonts w:hint="eastAsia" w:ascii="宋体" w:hAnsi="宋体" w:cs="宋体"/>
                <w:b/>
                <w:color w:val="auto"/>
                <w:sz w:val="18"/>
                <w:szCs w:val="18"/>
                <w:highlight w:val="none"/>
              </w:rPr>
              <w:t>分</w:t>
            </w:r>
            <w:r>
              <w:rPr>
                <w:rFonts w:hint="eastAsia" w:ascii="宋体" w:hAnsi="宋体" w:cs="宋体"/>
                <w:color w:val="auto"/>
                <w:sz w:val="18"/>
                <w:szCs w:val="18"/>
                <w:highlight w:val="none"/>
              </w:rPr>
              <w:t>。本项最高得</w:t>
            </w:r>
            <w:r>
              <w:rPr>
                <w:rFonts w:hint="eastAsia" w:ascii="宋体" w:hAnsi="宋体"/>
                <w:b/>
                <w:color w:val="auto"/>
                <w:sz w:val="18"/>
                <w:szCs w:val="18"/>
                <w:highlight w:val="none"/>
                <w:lang w:val="en-US" w:eastAsia="zh-CN"/>
              </w:rPr>
              <w:t>6</w:t>
            </w:r>
            <w:r>
              <w:rPr>
                <w:rFonts w:hint="eastAsia" w:ascii="宋体" w:hAnsi="宋体" w:cs="宋体"/>
                <w:b/>
                <w:color w:val="auto"/>
                <w:sz w:val="18"/>
                <w:szCs w:val="18"/>
                <w:highlight w:val="none"/>
              </w:rPr>
              <w:t>分</w:t>
            </w:r>
            <w:r>
              <w:rPr>
                <w:rFonts w:hint="eastAsia" w:ascii="宋体" w:hAnsi="宋体" w:cs="宋体"/>
                <w:color w:val="auto"/>
                <w:sz w:val="18"/>
                <w:szCs w:val="18"/>
                <w:highlight w:val="none"/>
              </w:rPr>
              <w:t>。</w:t>
            </w:r>
          </w:p>
        </w:tc>
      </w:tr>
      <w:tr w14:paraId="24657280">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1043" w:type="dxa"/>
            <w:vMerge w:val="continue"/>
            <w:tcBorders>
              <w:left w:val="single" w:color="auto" w:sz="8" w:space="0"/>
              <w:right w:val="single" w:color="auto" w:sz="4" w:space="0"/>
            </w:tcBorders>
            <w:vAlign w:val="center"/>
          </w:tcPr>
          <w:p w14:paraId="64A1EA94">
            <w:pPr>
              <w:rPr>
                <w:rFonts w:ascii="宋体" w:hAnsi="宋体" w:eastAsia="Times New Roman"/>
                <w:color w:val="auto"/>
                <w:sz w:val="18"/>
                <w:szCs w:val="18"/>
                <w:highlight w:val="none"/>
              </w:rPr>
            </w:pPr>
          </w:p>
        </w:tc>
        <w:tc>
          <w:tcPr>
            <w:tcW w:w="1832" w:type="dxa"/>
            <w:tcBorders>
              <w:left w:val="single" w:color="auto" w:sz="4" w:space="0"/>
              <w:right w:val="single" w:color="auto" w:sz="4" w:space="0"/>
            </w:tcBorders>
            <w:vAlign w:val="center"/>
          </w:tcPr>
          <w:p w14:paraId="35315BBC">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第三方评价</w:t>
            </w:r>
          </w:p>
        </w:tc>
        <w:tc>
          <w:tcPr>
            <w:tcW w:w="644" w:type="dxa"/>
            <w:tcBorders>
              <w:left w:val="single" w:color="auto" w:sz="4" w:space="0"/>
              <w:right w:val="single" w:color="auto" w:sz="4" w:space="0"/>
            </w:tcBorders>
            <w:vAlign w:val="center"/>
          </w:tcPr>
          <w:p w14:paraId="059F5699">
            <w:pPr>
              <w:adjustRightInd w:val="0"/>
              <w:snapToGrid w:val="0"/>
              <w:jc w:val="center"/>
              <w:rPr>
                <w:rFonts w:ascii="宋体" w:hAnsi="宋体"/>
                <w:color w:val="auto"/>
                <w:sz w:val="18"/>
                <w:szCs w:val="18"/>
                <w:highlight w:val="none"/>
              </w:rPr>
            </w:pPr>
            <w:r>
              <w:rPr>
                <w:rFonts w:hint="eastAsia" w:ascii="宋体" w:hAnsi="宋体"/>
                <w:color w:val="auto"/>
                <w:sz w:val="18"/>
                <w:szCs w:val="18"/>
                <w:highlight w:val="none"/>
              </w:rPr>
              <w:t>6</w:t>
            </w:r>
          </w:p>
        </w:tc>
        <w:tc>
          <w:tcPr>
            <w:tcW w:w="11343" w:type="dxa"/>
            <w:tcBorders>
              <w:top w:val="single" w:color="auto" w:sz="4" w:space="0"/>
              <w:left w:val="single" w:color="auto" w:sz="4" w:space="0"/>
              <w:right w:val="single" w:color="auto" w:sz="4" w:space="0"/>
            </w:tcBorders>
            <w:vAlign w:val="center"/>
          </w:tcPr>
          <w:p w14:paraId="2A4CFC4E">
            <w:pPr>
              <w:snapToGrid w:val="0"/>
              <w:spacing w:line="280" w:lineRule="exact"/>
              <w:jc w:val="left"/>
              <w:rPr>
                <w:rFonts w:ascii="宋体" w:hAnsi="宋体" w:eastAsia="Times New Roman" w:cs="宋体"/>
                <w:color w:val="auto"/>
                <w:sz w:val="18"/>
                <w:szCs w:val="18"/>
                <w:highlight w:val="none"/>
              </w:rPr>
            </w:pPr>
            <w:r>
              <w:rPr>
                <w:rFonts w:hint="eastAsia" w:ascii="宋体" w:hAnsi="宋体"/>
                <w:color w:val="auto"/>
                <w:sz w:val="18"/>
                <w:szCs w:val="18"/>
                <w:highlight w:val="none"/>
              </w:rPr>
              <w:t>企业获得在有效期内且年检合格的质量管理体系认证的，得</w:t>
            </w:r>
            <w:r>
              <w:rPr>
                <w:rFonts w:hint="eastAsia" w:ascii="宋体" w:hAnsi="宋体"/>
                <w:b/>
                <w:color w:val="auto"/>
                <w:sz w:val="18"/>
                <w:szCs w:val="18"/>
                <w:highlight w:val="none"/>
              </w:rPr>
              <w:t>3分</w:t>
            </w:r>
            <w:r>
              <w:rPr>
                <w:rFonts w:hint="eastAsia" w:ascii="宋体" w:hAnsi="宋体"/>
                <w:color w:val="auto"/>
                <w:sz w:val="18"/>
                <w:szCs w:val="18"/>
                <w:highlight w:val="none"/>
              </w:rPr>
              <w:t>；企业获得在有效期内且年检合格的职业健康安全管理体系认证，得</w:t>
            </w:r>
            <w:r>
              <w:rPr>
                <w:rFonts w:hint="eastAsia" w:ascii="宋体" w:hAnsi="宋体"/>
                <w:b/>
                <w:color w:val="auto"/>
                <w:sz w:val="18"/>
                <w:szCs w:val="18"/>
                <w:highlight w:val="none"/>
              </w:rPr>
              <w:t>3分</w:t>
            </w:r>
            <w:r>
              <w:rPr>
                <w:rFonts w:hint="eastAsia" w:ascii="宋体" w:hAnsi="宋体"/>
                <w:color w:val="auto"/>
                <w:sz w:val="18"/>
                <w:szCs w:val="18"/>
                <w:highlight w:val="none"/>
              </w:rPr>
              <w:t>；不满足前述要求者不得分。本项最高得</w:t>
            </w:r>
            <w:r>
              <w:rPr>
                <w:rFonts w:hint="eastAsia" w:ascii="宋体" w:hAnsi="宋体"/>
                <w:b/>
                <w:color w:val="auto"/>
                <w:sz w:val="18"/>
                <w:szCs w:val="18"/>
                <w:highlight w:val="none"/>
              </w:rPr>
              <w:t>6分</w:t>
            </w:r>
            <w:r>
              <w:rPr>
                <w:rFonts w:hint="eastAsia" w:ascii="宋体" w:hAnsi="宋体" w:eastAsia="Times New Roman"/>
                <w:color w:val="auto"/>
                <w:sz w:val="18"/>
                <w:szCs w:val="18"/>
                <w:highlight w:val="none"/>
              </w:rPr>
              <w:t>。</w:t>
            </w:r>
          </w:p>
        </w:tc>
      </w:tr>
      <w:tr w14:paraId="3C642F62">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1043" w:type="dxa"/>
            <w:vMerge w:val="restart"/>
            <w:tcBorders>
              <w:top w:val="single" w:color="auto" w:sz="4" w:space="0"/>
              <w:left w:val="single" w:color="auto" w:sz="8" w:space="0"/>
              <w:right w:val="single" w:color="auto" w:sz="4" w:space="0"/>
            </w:tcBorders>
            <w:vAlign w:val="center"/>
          </w:tcPr>
          <w:p w14:paraId="3D989429">
            <w:pPr>
              <w:widowControl/>
              <w:jc w:val="left"/>
              <w:rPr>
                <w:rFonts w:ascii="宋体" w:hAnsi="宋体" w:eastAsia="Times New Roman"/>
                <w:strike/>
                <w:color w:val="auto"/>
                <w:sz w:val="18"/>
                <w:szCs w:val="18"/>
                <w:highlight w:val="none"/>
              </w:rPr>
            </w:pPr>
            <w:r>
              <w:rPr>
                <w:rFonts w:hint="eastAsia" w:ascii="宋体" w:hAnsi="宋体" w:eastAsia="Times New Roman"/>
                <w:color w:val="auto"/>
                <w:sz w:val="18"/>
                <w:szCs w:val="18"/>
                <w:highlight w:val="none"/>
              </w:rPr>
              <w:t>二、项目管理机构能力（</w:t>
            </w:r>
            <w:r>
              <w:rPr>
                <w:rFonts w:hint="eastAsia" w:ascii="宋体" w:hAnsi="宋体" w:eastAsia="宋体"/>
                <w:color w:val="auto"/>
                <w:sz w:val="18"/>
                <w:szCs w:val="18"/>
                <w:highlight w:val="none"/>
                <w:lang w:val="en-US" w:eastAsia="zh-CN"/>
              </w:rPr>
              <w:t>8</w:t>
            </w:r>
            <w:r>
              <w:rPr>
                <w:rFonts w:hint="eastAsia" w:ascii="宋体" w:hAnsi="宋体" w:eastAsia="Times New Roman"/>
                <w:color w:val="auto"/>
                <w:sz w:val="18"/>
                <w:szCs w:val="18"/>
                <w:highlight w:val="none"/>
              </w:rPr>
              <w:t>0分）</w:t>
            </w:r>
          </w:p>
        </w:tc>
        <w:tc>
          <w:tcPr>
            <w:tcW w:w="1832" w:type="dxa"/>
            <w:vMerge w:val="restart"/>
            <w:tcBorders>
              <w:top w:val="single" w:color="auto" w:sz="4" w:space="0"/>
              <w:left w:val="single" w:color="auto" w:sz="8" w:space="0"/>
              <w:right w:val="single" w:color="auto" w:sz="4" w:space="0"/>
            </w:tcBorders>
            <w:vAlign w:val="center"/>
          </w:tcPr>
          <w:p w14:paraId="1B7B02D7">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项目负责人情况</w:t>
            </w:r>
          </w:p>
        </w:tc>
        <w:tc>
          <w:tcPr>
            <w:tcW w:w="644" w:type="dxa"/>
            <w:tcBorders>
              <w:top w:val="single" w:color="auto" w:sz="4" w:space="0"/>
              <w:left w:val="single" w:color="auto" w:sz="4" w:space="0"/>
              <w:right w:val="single" w:color="auto" w:sz="4" w:space="0"/>
            </w:tcBorders>
            <w:vAlign w:val="center"/>
          </w:tcPr>
          <w:p w14:paraId="4993A276">
            <w:pPr>
              <w:widowControl/>
              <w:adjustRightInd w:val="0"/>
              <w:snapToGrid w:val="0"/>
              <w:jc w:val="center"/>
              <w:rPr>
                <w:rFonts w:hint="default"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12</w:t>
            </w:r>
          </w:p>
        </w:tc>
        <w:tc>
          <w:tcPr>
            <w:tcW w:w="11343" w:type="dxa"/>
            <w:tcBorders>
              <w:top w:val="single" w:color="auto" w:sz="4" w:space="0"/>
              <w:left w:val="single" w:color="auto" w:sz="4" w:space="0"/>
              <w:right w:val="single" w:color="auto" w:sz="4" w:space="0"/>
            </w:tcBorders>
            <w:vAlign w:val="center"/>
          </w:tcPr>
          <w:p w14:paraId="449FF15B">
            <w:pPr>
              <w:snapToGrid w:val="0"/>
              <w:spacing w:line="280" w:lineRule="exact"/>
              <w:rPr>
                <w:rFonts w:hint="eastAsia" w:ascii="宋体" w:hAnsi="宋体"/>
                <w:color w:val="auto"/>
                <w:sz w:val="18"/>
                <w:szCs w:val="18"/>
                <w:highlight w:val="none"/>
              </w:rPr>
            </w:pPr>
            <w:r>
              <w:rPr>
                <w:rFonts w:hint="eastAsia" w:ascii="宋体" w:hAnsi="宋体"/>
                <w:color w:val="auto"/>
                <w:sz w:val="18"/>
                <w:szCs w:val="18"/>
                <w:highlight w:val="none"/>
              </w:rPr>
              <w:t>1.项目负责人的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专业壹级建造师执业注册年限≥5年的，得</w:t>
            </w:r>
            <w:r>
              <w:rPr>
                <w:rFonts w:hint="eastAsia" w:ascii="宋体" w:hAnsi="宋体"/>
                <w:color w:val="auto"/>
                <w:sz w:val="18"/>
                <w:szCs w:val="18"/>
                <w:highlight w:val="none"/>
                <w:lang w:val="en-US" w:eastAsia="zh-CN"/>
              </w:rPr>
              <w:t>12</w:t>
            </w:r>
            <w:r>
              <w:rPr>
                <w:rFonts w:hint="eastAsia" w:ascii="宋体" w:hAnsi="宋体"/>
                <w:color w:val="auto"/>
                <w:sz w:val="18"/>
                <w:szCs w:val="18"/>
                <w:highlight w:val="none"/>
              </w:rPr>
              <w:t>分；项目负责人的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专业壹级建造师执业注册年限为[3,5)年的，得</w:t>
            </w:r>
            <w:r>
              <w:rPr>
                <w:rFonts w:hint="eastAsia" w:ascii="宋体" w:hAnsi="宋体"/>
                <w:color w:val="auto"/>
                <w:sz w:val="18"/>
                <w:szCs w:val="18"/>
                <w:highlight w:val="none"/>
                <w:lang w:val="en-US" w:eastAsia="zh-CN"/>
              </w:rPr>
              <w:t>10</w:t>
            </w:r>
            <w:r>
              <w:rPr>
                <w:rFonts w:hint="eastAsia" w:ascii="宋体" w:hAnsi="宋体"/>
                <w:color w:val="auto"/>
                <w:sz w:val="18"/>
                <w:szCs w:val="18"/>
                <w:highlight w:val="none"/>
              </w:rPr>
              <w:t>分；项目负责人的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专业壹级建造师执业注册年限为（0,3）年的，得</w:t>
            </w:r>
            <w:r>
              <w:rPr>
                <w:rFonts w:hint="eastAsia" w:ascii="宋体" w:hAnsi="宋体"/>
                <w:color w:val="auto"/>
                <w:sz w:val="18"/>
                <w:szCs w:val="18"/>
                <w:highlight w:val="none"/>
                <w:lang w:val="en-US" w:eastAsia="zh-CN"/>
              </w:rPr>
              <w:t>7</w:t>
            </w:r>
            <w:r>
              <w:rPr>
                <w:rFonts w:hint="eastAsia" w:ascii="宋体" w:hAnsi="宋体"/>
                <w:color w:val="auto"/>
                <w:sz w:val="18"/>
                <w:szCs w:val="18"/>
                <w:highlight w:val="none"/>
              </w:rPr>
              <w:t>分，其余不得分。</w:t>
            </w:r>
          </w:p>
          <w:p w14:paraId="60D5F0D4">
            <w:pPr>
              <w:snapToGrid w:val="0"/>
              <w:spacing w:line="280" w:lineRule="exact"/>
              <w:rPr>
                <w:rFonts w:hint="eastAsia" w:ascii="宋体" w:hAnsi="宋体"/>
                <w:color w:val="auto"/>
                <w:sz w:val="18"/>
                <w:szCs w:val="18"/>
                <w:highlight w:val="none"/>
              </w:rPr>
            </w:pPr>
            <w:r>
              <w:rPr>
                <w:rFonts w:hint="eastAsia" w:ascii="宋体" w:hAnsi="宋体"/>
                <w:color w:val="auto"/>
                <w:sz w:val="18"/>
                <w:szCs w:val="18"/>
                <w:highlight w:val="none"/>
              </w:rPr>
              <w:t>2.项目负责人的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专业贰级建造师执业注册年限≥5年的，得</w:t>
            </w:r>
            <w:r>
              <w:rPr>
                <w:rFonts w:hint="eastAsia" w:ascii="宋体" w:hAnsi="宋体"/>
                <w:color w:val="auto"/>
                <w:sz w:val="18"/>
                <w:szCs w:val="18"/>
                <w:highlight w:val="none"/>
                <w:lang w:val="en-US" w:eastAsia="zh-CN"/>
              </w:rPr>
              <w:t>6</w:t>
            </w:r>
            <w:r>
              <w:rPr>
                <w:rFonts w:hint="eastAsia" w:ascii="宋体" w:hAnsi="宋体"/>
                <w:color w:val="auto"/>
                <w:sz w:val="18"/>
                <w:szCs w:val="18"/>
                <w:highlight w:val="none"/>
              </w:rPr>
              <w:t>分；项目负责人的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专业贰级建造师执业注册年限为[3,5)年的，得</w:t>
            </w:r>
            <w:r>
              <w:rPr>
                <w:rFonts w:hint="eastAsia" w:ascii="宋体" w:hAnsi="宋体"/>
                <w:color w:val="auto"/>
                <w:sz w:val="18"/>
                <w:szCs w:val="18"/>
                <w:highlight w:val="none"/>
                <w:lang w:val="en-US" w:eastAsia="zh-CN"/>
              </w:rPr>
              <w:t>4</w:t>
            </w:r>
            <w:r>
              <w:rPr>
                <w:rFonts w:hint="eastAsia" w:ascii="宋体" w:hAnsi="宋体"/>
                <w:color w:val="auto"/>
                <w:sz w:val="18"/>
                <w:szCs w:val="18"/>
                <w:highlight w:val="none"/>
              </w:rPr>
              <w:t>分；项目负责人的</w:t>
            </w:r>
            <w:r>
              <w:rPr>
                <w:rFonts w:hint="eastAsia" w:ascii="宋体" w:hAnsi="宋体"/>
                <w:color w:val="auto"/>
                <w:sz w:val="18"/>
                <w:szCs w:val="18"/>
                <w:highlight w:val="none"/>
                <w:u w:val="single"/>
                <w:lang w:eastAsia="zh-CN"/>
              </w:rPr>
              <w:t>机电工程</w:t>
            </w:r>
            <w:r>
              <w:rPr>
                <w:rFonts w:hint="eastAsia" w:ascii="宋体" w:hAnsi="宋体"/>
                <w:color w:val="auto"/>
                <w:sz w:val="18"/>
                <w:szCs w:val="18"/>
                <w:highlight w:val="none"/>
              </w:rPr>
              <w:t>专业贰级建造师执业注册年限为（0,3）年的，得1分，其余不得分。</w:t>
            </w:r>
          </w:p>
          <w:p w14:paraId="28CD1C3E">
            <w:pPr>
              <w:pStyle w:val="5"/>
              <w:rPr>
                <w:color w:val="auto"/>
                <w:highlight w:val="none"/>
              </w:rPr>
            </w:pPr>
            <w:r>
              <w:rPr>
                <w:rFonts w:hint="eastAsia" w:ascii="宋体" w:hAnsi="宋体"/>
                <w:color w:val="auto"/>
                <w:sz w:val="18"/>
                <w:szCs w:val="18"/>
                <w:highlight w:val="none"/>
              </w:rPr>
              <w:t>备注：项目负责人的建造师执业注册年限以建造师有效执业注册累计年限为准，须提供建造师注册证书或相关建造师执业注册证明资料，否则不计分。</w:t>
            </w:r>
          </w:p>
        </w:tc>
      </w:tr>
      <w:tr w14:paraId="12BC525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1043" w:type="dxa"/>
            <w:vMerge w:val="continue"/>
            <w:tcBorders>
              <w:left w:val="single" w:color="auto" w:sz="8" w:space="0"/>
              <w:right w:val="single" w:color="auto" w:sz="4" w:space="0"/>
            </w:tcBorders>
            <w:vAlign w:val="center"/>
          </w:tcPr>
          <w:p w14:paraId="76CDD120">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vAlign w:val="center"/>
          </w:tcPr>
          <w:p w14:paraId="368BB03C">
            <w:pPr>
              <w:widowControl/>
              <w:adjustRightInd w:val="0"/>
              <w:snapToGrid w:val="0"/>
              <w:jc w:val="center"/>
              <w:rPr>
                <w:rFonts w:ascii="宋体" w:hAnsi="宋体" w:eastAsia="Times New Roman"/>
                <w:color w:val="auto"/>
                <w:sz w:val="18"/>
                <w:szCs w:val="18"/>
                <w:highlight w:val="none"/>
              </w:rPr>
            </w:pPr>
          </w:p>
        </w:tc>
        <w:tc>
          <w:tcPr>
            <w:tcW w:w="644" w:type="dxa"/>
            <w:tcBorders>
              <w:top w:val="single" w:color="auto" w:sz="4" w:space="0"/>
              <w:left w:val="single" w:color="auto" w:sz="4" w:space="0"/>
              <w:right w:val="single" w:color="auto" w:sz="4" w:space="0"/>
            </w:tcBorders>
            <w:vAlign w:val="center"/>
          </w:tcPr>
          <w:p w14:paraId="6F2D513F">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5</w:t>
            </w:r>
          </w:p>
        </w:tc>
        <w:tc>
          <w:tcPr>
            <w:tcW w:w="11343" w:type="dxa"/>
            <w:tcBorders>
              <w:left w:val="single" w:color="auto" w:sz="4" w:space="0"/>
              <w:right w:val="single" w:color="auto" w:sz="4" w:space="0"/>
            </w:tcBorders>
            <w:vAlign w:val="center"/>
          </w:tcPr>
          <w:p w14:paraId="39C045BC">
            <w:pPr>
              <w:snapToGrid w:val="0"/>
              <w:spacing w:line="280" w:lineRule="exact"/>
              <w:jc w:val="left"/>
              <w:rPr>
                <w:rFonts w:ascii="宋体" w:hAnsi="宋体" w:eastAsia="Times New Roman"/>
                <w:color w:val="auto"/>
                <w:sz w:val="18"/>
                <w:szCs w:val="18"/>
                <w:highlight w:val="none"/>
              </w:rPr>
            </w:pPr>
            <w:r>
              <w:rPr>
                <w:rFonts w:hint="eastAsia" w:ascii="宋体" w:hAnsi="宋体"/>
                <w:color w:val="auto"/>
                <w:sz w:val="18"/>
                <w:szCs w:val="18"/>
                <w:highlight w:val="none"/>
              </w:rPr>
              <w:t>项目负责人为</w:t>
            </w:r>
            <w:r>
              <w:rPr>
                <w:rFonts w:hint="eastAsia" w:ascii="宋体" w:hAnsi="宋体"/>
                <w:color w:val="auto"/>
                <w:sz w:val="18"/>
                <w:szCs w:val="18"/>
                <w:highlight w:val="none"/>
                <w:u w:val="single"/>
              </w:rPr>
              <w:t>机电类或电气类或电力类相关</w:t>
            </w:r>
            <w:r>
              <w:rPr>
                <w:rFonts w:hint="eastAsia" w:ascii="宋体" w:hAnsi="宋体"/>
                <w:color w:val="auto"/>
                <w:sz w:val="18"/>
                <w:szCs w:val="18"/>
                <w:highlight w:val="none"/>
              </w:rPr>
              <w:t>专业的高级工程师或以上职称，得</w:t>
            </w:r>
            <w:r>
              <w:rPr>
                <w:rFonts w:ascii="宋体" w:hAnsi="宋体"/>
                <w:color w:val="auto"/>
                <w:sz w:val="18"/>
                <w:szCs w:val="18"/>
                <w:highlight w:val="none"/>
              </w:rPr>
              <w:t>5</w:t>
            </w:r>
            <w:r>
              <w:rPr>
                <w:rFonts w:hint="eastAsia" w:ascii="宋体" w:hAnsi="宋体"/>
                <w:color w:val="auto"/>
                <w:sz w:val="18"/>
                <w:szCs w:val="18"/>
                <w:highlight w:val="none"/>
              </w:rPr>
              <w:t>分；项目负责人为</w:t>
            </w:r>
            <w:r>
              <w:rPr>
                <w:rFonts w:hint="eastAsia" w:ascii="宋体" w:hAnsi="宋体"/>
                <w:color w:val="auto"/>
                <w:sz w:val="18"/>
                <w:szCs w:val="18"/>
                <w:highlight w:val="none"/>
                <w:u w:val="single"/>
              </w:rPr>
              <w:t>机电类或电气类或电力类相关</w:t>
            </w:r>
            <w:r>
              <w:rPr>
                <w:rFonts w:hint="eastAsia" w:ascii="宋体" w:hAnsi="宋体"/>
                <w:color w:val="auto"/>
                <w:sz w:val="18"/>
                <w:szCs w:val="18"/>
                <w:highlight w:val="none"/>
              </w:rPr>
              <w:t>专业的工程师，得</w:t>
            </w:r>
            <w:r>
              <w:rPr>
                <w:rFonts w:ascii="宋体" w:hAnsi="宋体"/>
                <w:color w:val="auto"/>
                <w:sz w:val="18"/>
                <w:szCs w:val="18"/>
                <w:highlight w:val="none"/>
              </w:rPr>
              <w:t>3</w:t>
            </w:r>
            <w:r>
              <w:rPr>
                <w:rFonts w:hint="eastAsia" w:ascii="宋体" w:hAnsi="宋体"/>
                <w:color w:val="auto"/>
                <w:sz w:val="18"/>
                <w:szCs w:val="18"/>
                <w:highlight w:val="none"/>
              </w:rPr>
              <w:t>分，其他不得分。</w:t>
            </w:r>
          </w:p>
        </w:tc>
      </w:tr>
      <w:tr w14:paraId="6F52B5BA">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1043" w:type="dxa"/>
            <w:vMerge w:val="continue"/>
            <w:tcBorders>
              <w:left w:val="single" w:color="auto" w:sz="8" w:space="0"/>
              <w:right w:val="single" w:color="auto" w:sz="4" w:space="0"/>
            </w:tcBorders>
            <w:vAlign w:val="center"/>
          </w:tcPr>
          <w:p w14:paraId="6D402A29">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vAlign w:val="center"/>
          </w:tcPr>
          <w:p w14:paraId="2770B080">
            <w:pPr>
              <w:widowControl/>
              <w:adjustRightInd w:val="0"/>
              <w:snapToGrid w:val="0"/>
              <w:jc w:val="center"/>
              <w:rPr>
                <w:rFonts w:ascii="宋体" w:hAnsi="宋体" w:eastAsia="Times New Roman"/>
                <w:color w:val="auto"/>
                <w:sz w:val="18"/>
                <w:szCs w:val="18"/>
                <w:highlight w:val="none"/>
              </w:rPr>
            </w:pPr>
          </w:p>
        </w:tc>
        <w:tc>
          <w:tcPr>
            <w:tcW w:w="644" w:type="dxa"/>
            <w:tcBorders>
              <w:top w:val="single" w:color="auto" w:sz="4" w:space="0"/>
              <w:left w:val="single" w:color="auto" w:sz="4" w:space="0"/>
              <w:right w:val="single" w:color="auto" w:sz="4" w:space="0"/>
            </w:tcBorders>
            <w:vAlign w:val="center"/>
          </w:tcPr>
          <w:p w14:paraId="2828ECDE">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5</w:t>
            </w:r>
          </w:p>
        </w:tc>
        <w:tc>
          <w:tcPr>
            <w:tcW w:w="11343" w:type="dxa"/>
            <w:tcBorders>
              <w:left w:val="single" w:color="auto" w:sz="4" w:space="0"/>
              <w:right w:val="single" w:color="auto" w:sz="4" w:space="0"/>
            </w:tcBorders>
            <w:vAlign w:val="center"/>
          </w:tcPr>
          <w:p w14:paraId="7D445E2B">
            <w:pPr>
              <w:snapToGrid w:val="0"/>
              <w:spacing w:line="280" w:lineRule="exact"/>
              <w:rPr>
                <w:rFonts w:ascii="宋体" w:hAnsi="宋体" w:eastAsia="Times New Roman"/>
                <w:bCs/>
                <w:color w:val="auto"/>
                <w:sz w:val="18"/>
                <w:szCs w:val="18"/>
                <w:highlight w:val="none"/>
              </w:rPr>
            </w:pPr>
            <w:r>
              <w:rPr>
                <w:rFonts w:hint="eastAsia" w:ascii="宋体" w:hAnsi="宋体" w:eastAsia="Times New Roman"/>
                <w:bCs/>
                <w:color w:val="auto"/>
                <w:sz w:val="18"/>
                <w:szCs w:val="18"/>
                <w:highlight w:val="none"/>
              </w:rPr>
              <w:t>项目负责人曾</w:t>
            </w:r>
            <w:r>
              <w:rPr>
                <w:rFonts w:hint="eastAsia" w:ascii="宋体" w:hAnsi="宋体"/>
                <w:bCs/>
                <w:color w:val="auto"/>
                <w:sz w:val="18"/>
                <w:szCs w:val="18"/>
                <w:highlight w:val="none"/>
              </w:rPr>
              <w:t>参与</w:t>
            </w:r>
            <w:r>
              <w:rPr>
                <w:rFonts w:hint="eastAsia" w:ascii="宋体" w:hAnsi="宋体" w:eastAsia="Times New Roman"/>
                <w:bCs/>
                <w:color w:val="auto"/>
                <w:sz w:val="18"/>
                <w:szCs w:val="18"/>
                <w:highlight w:val="none"/>
              </w:rPr>
              <w:t>过质量合格且中标金额</w:t>
            </w:r>
            <w:r>
              <w:rPr>
                <w:rFonts w:hint="eastAsia" w:ascii="宋体" w:hAnsi="宋体" w:eastAsiaTheme="minorEastAsia"/>
                <w:bCs/>
                <w:color w:val="auto"/>
                <w:sz w:val="18"/>
                <w:szCs w:val="18"/>
                <w:highlight w:val="none"/>
                <w:u w:val="single"/>
                <w:lang w:val="en-US" w:eastAsia="zh-CN"/>
              </w:rPr>
              <w:t>600万元</w:t>
            </w:r>
            <w:r>
              <w:rPr>
                <w:rFonts w:hint="eastAsia" w:ascii="宋体" w:hAnsi="宋体" w:eastAsia="Times New Roman"/>
                <w:bCs/>
                <w:color w:val="auto"/>
                <w:sz w:val="18"/>
                <w:szCs w:val="18"/>
                <w:highlight w:val="none"/>
              </w:rPr>
              <w:t>（或以上）的</w:t>
            </w:r>
            <w:r>
              <w:rPr>
                <w:rFonts w:hint="eastAsia" w:ascii="宋体" w:hAnsi="宋体"/>
                <w:color w:val="auto"/>
                <w:sz w:val="18"/>
                <w:szCs w:val="18"/>
                <w:highlight w:val="none"/>
                <w:u w:val="single"/>
              </w:rPr>
              <w:t>10KV或以上电力工程施工</w:t>
            </w:r>
            <w:r>
              <w:rPr>
                <w:rFonts w:hint="eastAsia" w:ascii="宋体" w:hAnsi="宋体" w:eastAsia="Times New Roman"/>
                <w:bCs/>
                <w:color w:val="auto"/>
                <w:sz w:val="18"/>
                <w:szCs w:val="18"/>
                <w:highlight w:val="none"/>
              </w:rPr>
              <w:t>项目的，每项得</w:t>
            </w:r>
            <w:r>
              <w:rPr>
                <w:rFonts w:ascii="宋体" w:hAnsi="宋体" w:eastAsia="Times New Roman"/>
                <w:b/>
                <w:color w:val="auto"/>
                <w:sz w:val="18"/>
                <w:szCs w:val="18"/>
                <w:highlight w:val="none"/>
              </w:rPr>
              <w:t>2.5</w:t>
            </w:r>
            <w:r>
              <w:rPr>
                <w:rFonts w:hint="eastAsia" w:ascii="宋体" w:hAnsi="宋体" w:eastAsia="Times New Roman"/>
                <w:b/>
                <w:color w:val="auto"/>
                <w:sz w:val="18"/>
                <w:szCs w:val="18"/>
                <w:highlight w:val="none"/>
              </w:rPr>
              <w:t>分</w:t>
            </w:r>
            <w:r>
              <w:rPr>
                <w:rFonts w:hint="eastAsia" w:ascii="宋体" w:hAnsi="宋体" w:eastAsia="Times New Roman"/>
                <w:bCs/>
                <w:color w:val="auto"/>
                <w:sz w:val="18"/>
                <w:szCs w:val="18"/>
                <w:highlight w:val="none"/>
              </w:rPr>
              <w:t>，最高得</w:t>
            </w:r>
            <w:r>
              <w:rPr>
                <w:rFonts w:ascii="宋体" w:hAnsi="宋体" w:eastAsia="Times New Roman"/>
                <w:b/>
                <w:color w:val="auto"/>
                <w:sz w:val="18"/>
                <w:szCs w:val="18"/>
                <w:highlight w:val="none"/>
              </w:rPr>
              <w:t>5</w:t>
            </w:r>
            <w:r>
              <w:rPr>
                <w:rFonts w:hint="eastAsia" w:ascii="宋体" w:hAnsi="宋体" w:eastAsia="Times New Roman"/>
                <w:b/>
                <w:color w:val="auto"/>
                <w:sz w:val="18"/>
                <w:szCs w:val="18"/>
                <w:highlight w:val="none"/>
              </w:rPr>
              <w:t>分</w:t>
            </w:r>
            <w:r>
              <w:rPr>
                <w:rFonts w:hint="eastAsia" w:ascii="宋体" w:hAnsi="宋体" w:eastAsia="Times New Roman"/>
                <w:bCs/>
                <w:color w:val="auto"/>
                <w:sz w:val="18"/>
                <w:szCs w:val="18"/>
                <w:highlight w:val="none"/>
              </w:rPr>
              <w:t>。</w:t>
            </w:r>
          </w:p>
          <w:p w14:paraId="495B1471">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注：1、项目负责人曾参与的业绩指拟派项目负责人曾以项目负责人或技术负责人或质量负责人或安全负责人或造价负责人等负责人职务身份完成的业绩。</w:t>
            </w:r>
          </w:p>
          <w:p w14:paraId="67AF0B2B">
            <w:pPr>
              <w:pStyle w:val="10"/>
              <w:rPr>
                <w:color w:val="auto"/>
                <w:highlight w:val="none"/>
              </w:rPr>
            </w:pPr>
            <w:r>
              <w:rPr>
                <w:rFonts w:hint="eastAsia" w:hAnsi="宋体"/>
                <w:bCs/>
                <w:color w:val="auto"/>
                <w:sz w:val="18"/>
                <w:szCs w:val="18"/>
                <w:highlight w:val="none"/>
              </w:rPr>
              <w:t>2、职务身份的认定以中标通知书或施工合同或竣工验收报告或竣工验收证明或工程竣工验收备案表或其他竣工验收证明材料显示担任的职务身份内容为准。</w:t>
            </w:r>
          </w:p>
        </w:tc>
      </w:tr>
      <w:tr w14:paraId="5FA9541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043" w:type="dxa"/>
            <w:vMerge w:val="continue"/>
            <w:tcBorders>
              <w:left w:val="single" w:color="auto" w:sz="8" w:space="0"/>
              <w:right w:val="single" w:color="auto" w:sz="4" w:space="0"/>
            </w:tcBorders>
            <w:vAlign w:val="center"/>
          </w:tcPr>
          <w:p w14:paraId="0A33E0FC">
            <w:pPr>
              <w:widowControl/>
              <w:adjustRightInd w:val="0"/>
              <w:snapToGrid w:val="0"/>
              <w:jc w:val="center"/>
              <w:rPr>
                <w:rFonts w:ascii="宋体" w:hAnsi="宋体" w:eastAsia="Times New Roman"/>
                <w:color w:val="auto"/>
                <w:sz w:val="18"/>
                <w:szCs w:val="18"/>
                <w:highlight w:val="none"/>
              </w:rPr>
            </w:pPr>
          </w:p>
        </w:tc>
        <w:tc>
          <w:tcPr>
            <w:tcW w:w="1832" w:type="dxa"/>
            <w:vMerge w:val="restart"/>
            <w:tcBorders>
              <w:top w:val="single" w:color="auto" w:sz="4" w:space="0"/>
              <w:left w:val="single" w:color="auto" w:sz="8" w:space="0"/>
              <w:right w:val="single" w:color="auto" w:sz="4" w:space="0"/>
            </w:tcBorders>
            <w:vAlign w:val="center"/>
          </w:tcPr>
          <w:p w14:paraId="498930CF">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其他管理人员情况</w:t>
            </w:r>
          </w:p>
          <w:p w14:paraId="48D571C3">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（质量</w:t>
            </w:r>
            <w:r>
              <w:rPr>
                <w:rFonts w:hint="eastAsia" w:ascii="宋体" w:hAnsi="宋体"/>
                <w:color w:val="auto"/>
                <w:sz w:val="18"/>
                <w:szCs w:val="18"/>
                <w:highlight w:val="none"/>
              </w:rPr>
              <w:t>负责人</w:t>
            </w:r>
            <w:r>
              <w:rPr>
                <w:rFonts w:hint="eastAsia" w:ascii="宋体" w:hAnsi="宋体" w:eastAsia="Times New Roman"/>
                <w:color w:val="auto"/>
                <w:sz w:val="18"/>
                <w:szCs w:val="18"/>
                <w:highlight w:val="none"/>
              </w:rPr>
              <w:t>和安全</w:t>
            </w:r>
            <w:r>
              <w:rPr>
                <w:rFonts w:hint="eastAsia" w:ascii="宋体" w:hAnsi="宋体"/>
                <w:color w:val="auto"/>
                <w:sz w:val="18"/>
                <w:szCs w:val="18"/>
                <w:highlight w:val="none"/>
              </w:rPr>
              <w:t>负责人</w:t>
            </w:r>
            <w:r>
              <w:rPr>
                <w:rFonts w:hint="eastAsia" w:ascii="宋体" w:hAnsi="宋体" w:eastAsia="Times New Roman"/>
                <w:color w:val="auto"/>
                <w:sz w:val="18"/>
                <w:szCs w:val="18"/>
                <w:highlight w:val="none"/>
              </w:rPr>
              <w:t>为同一人的，只计一项得分）</w:t>
            </w:r>
          </w:p>
        </w:tc>
        <w:tc>
          <w:tcPr>
            <w:tcW w:w="644" w:type="dxa"/>
            <w:tcBorders>
              <w:left w:val="single" w:color="auto" w:sz="4" w:space="0"/>
              <w:right w:val="single" w:color="auto" w:sz="4" w:space="0"/>
            </w:tcBorders>
            <w:vAlign w:val="center"/>
          </w:tcPr>
          <w:p w14:paraId="3A12B687">
            <w:pPr>
              <w:widowControl/>
              <w:adjustRightInd w:val="0"/>
              <w:snapToGrid w:val="0"/>
              <w:jc w:val="center"/>
              <w:rPr>
                <w:rFonts w:hint="eastAsia" w:ascii="宋体" w:hAnsi="宋体" w:eastAsia="宋体"/>
                <w:color w:val="auto"/>
                <w:sz w:val="18"/>
                <w:szCs w:val="18"/>
                <w:highlight w:val="none"/>
                <w:lang w:eastAsia="zh-CN"/>
              </w:rPr>
            </w:pPr>
            <w:r>
              <w:rPr>
                <w:rFonts w:ascii="宋体" w:hAnsi="宋体" w:eastAsia="Times New Roman"/>
                <w:color w:val="auto"/>
                <w:sz w:val="18"/>
                <w:szCs w:val="18"/>
                <w:highlight w:val="none"/>
              </w:rPr>
              <w:t>1</w:t>
            </w:r>
            <w:r>
              <w:rPr>
                <w:rFonts w:hint="eastAsia" w:ascii="宋体" w:hAnsi="宋体" w:eastAsia="宋体"/>
                <w:color w:val="auto"/>
                <w:sz w:val="18"/>
                <w:szCs w:val="18"/>
                <w:highlight w:val="none"/>
                <w:lang w:val="en-US" w:eastAsia="zh-CN"/>
              </w:rPr>
              <w:t>2</w:t>
            </w:r>
          </w:p>
        </w:tc>
        <w:tc>
          <w:tcPr>
            <w:tcW w:w="11343" w:type="dxa"/>
            <w:tcBorders>
              <w:left w:val="single" w:color="auto" w:sz="4" w:space="0"/>
              <w:right w:val="single" w:color="auto" w:sz="4" w:space="0"/>
            </w:tcBorders>
            <w:vAlign w:val="center"/>
          </w:tcPr>
          <w:p w14:paraId="34D7D625">
            <w:pPr>
              <w:rPr>
                <w:color w:val="auto"/>
                <w:highlight w:val="none"/>
              </w:rPr>
            </w:pPr>
            <w:r>
              <w:rPr>
                <w:rFonts w:hint="eastAsia" w:ascii="宋体" w:hAnsi="宋体" w:eastAsia="Times New Roman"/>
                <w:bCs/>
                <w:color w:val="auto"/>
                <w:sz w:val="18"/>
                <w:szCs w:val="18"/>
                <w:highlight w:val="none"/>
              </w:rPr>
              <w:t>技术负责人为</w:t>
            </w:r>
            <w:r>
              <w:rPr>
                <w:rFonts w:hint="eastAsia" w:ascii="宋体" w:hAnsi="宋体" w:eastAsia="Times New Roman"/>
                <w:bCs/>
                <w:color w:val="auto"/>
                <w:sz w:val="18"/>
                <w:szCs w:val="18"/>
                <w:highlight w:val="none"/>
                <w:u w:val="single"/>
              </w:rPr>
              <w:t>机电类或电气类或电力类</w:t>
            </w:r>
            <w:r>
              <w:rPr>
                <w:rFonts w:hint="eastAsia" w:ascii="宋体" w:hAnsi="宋体" w:eastAsia="Times New Roman"/>
                <w:bCs/>
                <w:color w:val="auto"/>
                <w:sz w:val="18"/>
                <w:szCs w:val="18"/>
                <w:highlight w:val="none"/>
                <w:u w:val="none"/>
                <w:lang w:val="en-US" w:eastAsia="zh-CN"/>
              </w:rPr>
              <w:t>相关</w:t>
            </w:r>
            <w:r>
              <w:rPr>
                <w:rFonts w:hint="eastAsia" w:ascii="宋体" w:hAnsi="宋体" w:eastAsia="Times New Roman"/>
                <w:bCs/>
                <w:color w:val="auto"/>
                <w:sz w:val="18"/>
                <w:szCs w:val="18"/>
                <w:highlight w:val="none"/>
              </w:rPr>
              <w:t>专业的高级工程师或以上职称，得</w:t>
            </w:r>
            <w:r>
              <w:rPr>
                <w:rFonts w:hint="eastAsia" w:ascii="宋体" w:hAnsi="宋体" w:eastAsia="宋体"/>
                <w:b/>
                <w:bCs/>
                <w:color w:val="auto"/>
                <w:sz w:val="18"/>
                <w:szCs w:val="18"/>
                <w:highlight w:val="none"/>
                <w:lang w:val="en-US" w:eastAsia="zh-CN"/>
              </w:rPr>
              <w:t>1</w:t>
            </w:r>
            <w:r>
              <w:rPr>
                <w:rFonts w:hint="eastAsia" w:ascii="宋体" w:hAnsi="宋体"/>
                <w:b/>
                <w:bCs/>
                <w:color w:val="auto"/>
                <w:sz w:val="18"/>
                <w:szCs w:val="18"/>
                <w:highlight w:val="none"/>
                <w:lang w:val="en-US" w:eastAsia="zh-CN"/>
              </w:rPr>
              <w:t>2</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w:t>
            </w:r>
          </w:p>
        </w:tc>
      </w:tr>
      <w:tr w14:paraId="193EAD9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043" w:type="dxa"/>
            <w:vMerge w:val="continue"/>
            <w:tcBorders>
              <w:left w:val="single" w:color="auto" w:sz="8" w:space="0"/>
              <w:right w:val="single" w:color="auto" w:sz="4" w:space="0"/>
            </w:tcBorders>
            <w:vAlign w:val="center"/>
          </w:tcPr>
          <w:p w14:paraId="26E49D93">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vAlign w:val="center"/>
          </w:tcPr>
          <w:p w14:paraId="56EB4800">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vAlign w:val="center"/>
          </w:tcPr>
          <w:p w14:paraId="58E03EE7">
            <w:pPr>
              <w:widowControl/>
              <w:adjustRightInd w:val="0"/>
              <w:snapToGrid w:val="0"/>
              <w:jc w:val="center"/>
              <w:rPr>
                <w:rFonts w:hint="eastAsia" w:ascii="宋体" w:hAnsi="宋体" w:eastAsia="宋体"/>
                <w:color w:val="auto"/>
                <w:sz w:val="18"/>
                <w:szCs w:val="18"/>
                <w:highlight w:val="none"/>
                <w:lang w:eastAsia="zh-CN"/>
              </w:rPr>
            </w:pPr>
            <w:r>
              <w:rPr>
                <w:rFonts w:ascii="宋体" w:hAnsi="宋体" w:eastAsia="Times New Roman"/>
                <w:color w:val="auto"/>
                <w:sz w:val="18"/>
                <w:szCs w:val="18"/>
                <w:highlight w:val="none"/>
              </w:rPr>
              <w:t>1</w:t>
            </w:r>
            <w:r>
              <w:rPr>
                <w:rFonts w:hint="eastAsia" w:ascii="宋体" w:hAnsi="宋体" w:eastAsia="宋体"/>
                <w:color w:val="auto"/>
                <w:sz w:val="18"/>
                <w:szCs w:val="18"/>
                <w:highlight w:val="none"/>
                <w:lang w:val="en-US" w:eastAsia="zh-CN"/>
              </w:rPr>
              <w:t>2</w:t>
            </w:r>
          </w:p>
        </w:tc>
        <w:tc>
          <w:tcPr>
            <w:tcW w:w="11343" w:type="dxa"/>
            <w:tcBorders>
              <w:left w:val="single" w:color="auto" w:sz="4" w:space="0"/>
              <w:right w:val="single" w:color="auto" w:sz="4" w:space="0"/>
            </w:tcBorders>
            <w:vAlign w:val="center"/>
          </w:tcPr>
          <w:p w14:paraId="3DB280DF">
            <w:pPr>
              <w:snapToGrid w:val="0"/>
              <w:spacing w:line="280" w:lineRule="exact"/>
              <w:rPr>
                <w:rFonts w:ascii="宋体" w:hAnsi="宋体"/>
                <w:color w:val="auto"/>
                <w:sz w:val="18"/>
                <w:szCs w:val="18"/>
                <w:highlight w:val="none"/>
              </w:rPr>
            </w:pPr>
            <w:r>
              <w:rPr>
                <w:rFonts w:hint="eastAsia" w:ascii="宋体" w:hAnsi="宋体"/>
                <w:color w:val="auto"/>
                <w:sz w:val="18"/>
                <w:szCs w:val="18"/>
                <w:highlight w:val="none"/>
              </w:rPr>
              <w:t>拟派的质量负责人为</w:t>
            </w:r>
            <w:r>
              <w:rPr>
                <w:rFonts w:hint="eastAsia" w:ascii="宋体" w:hAnsi="宋体"/>
                <w:color w:val="auto"/>
                <w:sz w:val="18"/>
                <w:szCs w:val="18"/>
                <w:highlight w:val="none"/>
                <w:u w:val="single"/>
              </w:rPr>
              <w:t>机电类或电气类或电力类</w:t>
            </w:r>
            <w:r>
              <w:rPr>
                <w:rFonts w:hint="eastAsia" w:ascii="宋体" w:hAnsi="宋体"/>
                <w:color w:val="auto"/>
                <w:sz w:val="18"/>
                <w:szCs w:val="18"/>
                <w:highlight w:val="none"/>
              </w:rPr>
              <w:t>相关专业的高级工程师或以上职称，得1</w:t>
            </w:r>
            <w:r>
              <w:rPr>
                <w:rFonts w:hint="eastAsia" w:ascii="宋体" w:hAnsi="宋体"/>
                <w:color w:val="auto"/>
                <w:sz w:val="18"/>
                <w:szCs w:val="18"/>
                <w:highlight w:val="none"/>
                <w:lang w:val="en-US" w:eastAsia="zh-CN"/>
              </w:rPr>
              <w:t>2</w:t>
            </w:r>
            <w:r>
              <w:rPr>
                <w:rFonts w:hint="eastAsia" w:ascii="宋体" w:hAnsi="宋体"/>
                <w:color w:val="auto"/>
                <w:sz w:val="18"/>
                <w:szCs w:val="18"/>
                <w:highlight w:val="none"/>
              </w:rPr>
              <w:t>分；质量负责人为</w:t>
            </w:r>
            <w:r>
              <w:rPr>
                <w:rFonts w:hint="eastAsia" w:ascii="宋体" w:hAnsi="宋体"/>
                <w:color w:val="auto"/>
                <w:sz w:val="18"/>
                <w:szCs w:val="18"/>
                <w:highlight w:val="none"/>
                <w:u w:val="single"/>
              </w:rPr>
              <w:t>机电类或电气类或电力类</w:t>
            </w:r>
            <w:r>
              <w:rPr>
                <w:rFonts w:hint="eastAsia" w:ascii="宋体" w:hAnsi="宋体"/>
                <w:color w:val="auto"/>
                <w:sz w:val="18"/>
                <w:szCs w:val="18"/>
                <w:highlight w:val="none"/>
              </w:rPr>
              <w:t>相关专业的工程师职称，得</w:t>
            </w:r>
            <w:r>
              <w:rPr>
                <w:rFonts w:hint="eastAsia" w:ascii="宋体" w:hAnsi="宋体"/>
                <w:color w:val="auto"/>
                <w:sz w:val="18"/>
                <w:szCs w:val="18"/>
                <w:highlight w:val="none"/>
                <w:lang w:val="en-US" w:eastAsia="zh-CN"/>
              </w:rPr>
              <w:t>6</w:t>
            </w:r>
            <w:r>
              <w:rPr>
                <w:rFonts w:hint="eastAsia" w:ascii="宋体" w:hAnsi="宋体"/>
                <w:color w:val="auto"/>
                <w:sz w:val="18"/>
                <w:szCs w:val="18"/>
                <w:highlight w:val="none"/>
              </w:rPr>
              <w:t>分，其他不得分。</w:t>
            </w:r>
          </w:p>
          <w:p w14:paraId="7BD20A92">
            <w:pPr>
              <w:pStyle w:val="10"/>
              <w:rPr>
                <w:color w:val="auto"/>
                <w:highlight w:val="none"/>
              </w:rPr>
            </w:pPr>
            <w:r>
              <w:rPr>
                <w:rFonts w:hint="eastAsia" w:hAnsi="宋体"/>
                <w:color w:val="auto"/>
                <w:sz w:val="18"/>
                <w:szCs w:val="18"/>
                <w:highlight w:val="none"/>
              </w:rPr>
              <w:t>注：质量负责人应具有住房和城乡建设领域施工现场专业人员职业培训合格证（岗位名称为“设备安装质量员”）</w:t>
            </w:r>
          </w:p>
        </w:tc>
      </w:tr>
      <w:tr w14:paraId="00B15DF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043" w:type="dxa"/>
            <w:vMerge w:val="continue"/>
            <w:tcBorders>
              <w:left w:val="single" w:color="auto" w:sz="8" w:space="0"/>
              <w:right w:val="single" w:color="auto" w:sz="4" w:space="0"/>
            </w:tcBorders>
            <w:vAlign w:val="center"/>
          </w:tcPr>
          <w:p w14:paraId="64FC7580">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vAlign w:val="center"/>
          </w:tcPr>
          <w:p w14:paraId="62CBAA02">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vAlign w:val="center"/>
          </w:tcPr>
          <w:p w14:paraId="7182D175">
            <w:pPr>
              <w:widowControl/>
              <w:adjustRightInd w:val="0"/>
              <w:snapToGrid w:val="0"/>
              <w:jc w:val="center"/>
              <w:rPr>
                <w:rFonts w:hint="eastAsia" w:ascii="宋体" w:hAnsi="宋体" w:eastAsia="宋体"/>
                <w:color w:val="auto"/>
                <w:sz w:val="18"/>
                <w:szCs w:val="18"/>
                <w:highlight w:val="none"/>
                <w:lang w:eastAsia="zh-CN"/>
              </w:rPr>
            </w:pPr>
            <w:r>
              <w:rPr>
                <w:rFonts w:ascii="宋体" w:hAnsi="宋体" w:eastAsia="Times New Roman"/>
                <w:color w:val="auto"/>
                <w:sz w:val="18"/>
                <w:szCs w:val="18"/>
                <w:highlight w:val="none"/>
              </w:rPr>
              <w:t>1</w:t>
            </w:r>
            <w:r>
              <w:rPr>
                <w:rFonts w:hint="eastAsia" w:ascii="宋体" w:hAnsi="宋体" w:eastAsia="宋体"/>
                <w:color w:val="auto"/>
                <w:sz w:val="18"/>
                <w:szCs w:val="18"/>
                <w:highlight w:val="none"/>
                <w:lang w:val="en-US" w:eastAsia="zh-CN"/>
              </w:rPr>
              <w:t>2</w:t>
            </w:r>
          </w:p>
        </w:tc>
        <w:tc>
          <w:tcPr>
            <w:tcW w:w="11343" w:type="dxa"/>
            <w:tcBorders>
              <w:left w:val="single" w:color="auto" w:sz="4" w:space="0"/>
              <w:right w:val="single" w:color="auto" w:sz="4" w:space="0"/>
            </w:tcBorders>
            <w:vAlign w:val="center"/>
          </w:tcPr>
          <w:p w14:paraId="1BA630C2">
            <w:pPr>
              <w:snapToGrid w:val="0"/>
              <w:spacing w:line="280" w:lineRule="exact"/>
              <w:rPr>
                <w:rFonts w:ascii="宋体" w:hAnsi="宋体" w:eastAsiaTheme="minorEastAsia"/>
                <w:bCs/>
                <w:color w:val="auto"/>
                <w:sz w:val="18"/>
                <w:szCs w:val="18"/>
                <w:highlight w:val="none"/>
              </w:rPr>
            </w:pPr>
            <w:r>
              <w:rPr>
                <w:rFonts w:hint="eastAsia" w:ascii="宋体" w:hAnsi="宋体" w:eastAsia="Times New Roman"/>
                <w:bCs/>
                <w:color w:val="auto"/>
                <w:sz w:val="18"/>
                <w:szCs w:val="18"/>
                <w:highlight w:val="none"/>
              </w:rPr>
              <w:t>安全</w:t>
            </w:r>
            <w:r>
              <w:rPr>
                <w:rFonts w:hint="eastAsia" w:ascii="宋体" w:hAnsi="宋体"/>
                <w:bCs/>
                <w:color w:val="auto"/>
                <w:sz w:val="18"/>
                <w:szCs w:val="18"/>
                <w:highlight w:val="none"/>
              </w:rPr>
              <w:t>负责人</w:t>
            </w:r>
            <w:r>
              <w:rPr>
                <w:rFonts w:hint="eastAsia" w:ascii="宋体" w:hAnsi="宋体" w:eastAsia="Times New Roman"/>
                <w:bCs/>
                <w:color w:val="auto"/>
                <w:sz w:val="18"/>
                <w:szCs w:val="18"/>
                <w:highlight w:val="none"/>
              </w:rPr>
              <w:t>为</w:t>
            </w:r>
            <w:r>
              <w:rPr>
                <w:rFonts w:hint="eastAsia" w:ascii="宋体" w:hAnsi="宋体"/>
                <w:color w:val="auto"/>
                <w:sz w:val="18"/>
                <w:szCs w:val="18"/>
                <w:highlight w:val="none"/>
                <w:u w:val="single"/>
              </w:rPr>
              <w:t>机电类或电气类或电力类</w:t>
            </w:r>
            <w:r>
              <w:rPr>
                <w:rFonts w:hint="eastAsia" w:ascii="宋体" w:hAnsi="宋体" w:eastAsia="Times New Roman"/>
                <w:bCs/>
                <w:color w:val="auto"/>
                <w:sz w:val="18"/>
                <w:szCs w:val="18"/>
                <w:highlight w:val="none"/>
              </w:rPr>
              <w:t>专业的高级工程师或以上职称，得</w:t>
            </w:r>
            <w:r>
              <w:rPr>
                <w:rFonts w:ascii="宋体" w:hAnsi="宋体" w:eastAsia="Times New Roman"/>
                <w:b/>
                <w:bCs/>
                <w:color w:val="auto"/>
                <w:sz w:val="18"/>
                <w:szCs w:val="18"/>
                <w:highlight w:val="none"/>
              </w:rPr>
              <w:t>1</w:t>
            </w:r>
            <w:r>
              <w:rPr>
                <w:rFonts w:hint="eastAsia" w:ascii="宋体" w:hAnsi="宋体" w:eastAsia="宋体"/>
                <w:b/>
                <w:bCs/>
                <w:color w:val="auto"/>
                <w:sz w:val="18"/>
                <w:szCs w:val="18"/>
                <w:highlight w:val="none"/>
                <w:lang w:val="en-US" w:eastAsia="zh-CN"/>
              </w:rPr>
              <w:t>2</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；安全</w:t>
            </w:r>
            <w:r>
              <w:rPr>
                <w:rFonts w:hint="eastAsia" w:ascii="宋体" w:hAnsi="宋体"/>
                <w:bCs/>
                <w:color w:val="auto"/>
                <w:sz w:val="18"/>
                <w:szCs w:val="18"/>
                <w:highlight w:val="none"/>
              </w:rPr>
              <w:t>负责人</w:t>
            </w:r>
            <w:r>
              <w:rPr>
                <w:rFonts w:hint="eastAsia" w:ascii="宋体" w:hAnsi="宋体" w:eastAsia="Times New Roman"/>
                <w:bCs/>
                <w:color w:val="auto"/>
                <w:sz w:val="18"/>
                <w:szCs w:val="18"/>
                <w:highlight w:val="none"/>
              </w:rPr>
              <w:t>为</w:t>
            </w:r>
            <w:r>
              <w:rPr>
                <w:rFonts w:hint="eastAsia" w:ascii="宋体" w:hAnsi="宋体"/>
                <w:color w:val="auto"/>
                <w:sz w:val="18"/>
                <w:szCs w:val="18"/>
                <w:highlight w:val="none"/>
                <w:u w:val="single"/>
              </w:rPr>
              <w:t>机电类或电气类或电力类</w:t>
            </w:r>
            <w:r>
              <w:rPr>
                <w:rFonts w:hint="eastAsia" w:ascii="宋体" w:hAnsi="宋体" w:eastAsia="Times New Roman"/>
                <w:bCs/>
                <w:color w:val="auto"/>
                <w:sz w:val="18"/>
                <w:szCs w:val="18"/>
                <w:highlight w:val="none"/>
              </w:rPr>
              <w:t>专业的工程师职称，得</w:t>
            </w:r>
            <w:r>
              <w:rPr>
                <w:rFonts w:hint="eastAsia" w:ascii="宋体" w:hAnsi="宋体" w:eastAsia="宋体"/>
                <w:b/>
                <w:bCs/>
                <w:color w:val="auto"/>
                <w:sz w:val="18"/>
                <w:szCs w:val="18"/>
                <w:highlight w:val="none"/>
                <w:lang w:val="en-US" w:eastAsia="zh-CN"/>
              </w:rPr>
              <w:t>6</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，其他不得分。</w:t>
            </w:r>
          </w:p>
          <w:p w14:paraId="0D2E10F8">
            <w:pPr>
              <w:snapToGrid w:val="0"/>
              <w:spacing w:line="280" w:lineRule="exact"/>
              <w:rPr>
                <w:rFonts w:hint="eastAsia" w:ascii="宋体" w:hAnsi="宋体" w:eastAsia="宋体"/>
                <w:bCs/>
                <w:color w:val="auto"/>
                <w:sz w:val="18"/>
                <w:szCs w:val="18"/>
                <w:highlight w:val="none"/>
                <w:lang w:eastAsia="zh-CN"/>
              </w:rPr>
            </w:pPr>
            <w:r>
              <w:rPr>
                <w:rFonts w:hint="eastAsia" w:ascii="宋体" w:hAnsi="宋体"/>
                <w:bCs/>
                <w:color w:val="auto"/>
                <w:sz w:val="18"/>
                <w:szCs w:val="18"/>
                <w:highlight w:val="none"/>
              </w:rPr>
              <w:t>注：安全负责人应具有安全生产考核合格证（C类）或建筑施工企业专职安全生产管理人员安全生产考核合格证书（C3类）</w:t>
            </w:r>
            <w:r>
              <w:rPr>
                <w:rFonts w:hint="eastAsia" w:ascii="宋体" w:hAnsi="宋体"/>
                <w:bCs/>
                <w:color w:val="auto"/>
                <w:sz w:val="18"/>
                <w:szCs w:val="18"/>
                <w:highlight w:val="none"/>
                <w:lang w:eastAsia="zh-CN"/>
              </w:rPr>
              <w:t>。</w:t>
            </w:r>
          </w:p>
        </w:tc>
      </w:tr>
      <w:tr w14:paraId="7EE2675D">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vAlign w:val="center"/>
          </w:tcPr>
          <w:p w14:paraId="25375046">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vAlign w:val="center"/>
          </w:tcPr>
          <w:p w14:paraId="77946D6F">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vAlign w:val="center"/>
          </w:tcPr>
          <w:p w14:paraId="4FDE33D1">
            <w:pPr>
              <w:widowControl/>
              <w:adjustRightInd w:val="0"/>
              <w:snapToGrid w:val="0"/>
              <w:jc w:val="center"/>
              <w:rPr>
                <w:rFonts w:hint="default"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10</w:t>
            </w:r>
          </w:p>
        </w:tc>
        <w:tc>
          <w:tcPr>
            <w:tcW w:w="11343" w:type="dxa"/>
            <w:tcBorders>
              <w:left w:val="single" w:color="auto" w:sz="4" w:space="0"/>
              <w:right w:val="single" w:color="auto" w:sz="4" w:space="0"/>
            </w:tcBorders>
            <w:vAlign w:val="center"/>
          </w:tcPr>
          <w:p w14:paraId="1223745A">
            <w:pPr>
              <w:snapToGrid w:val="0"/>
              <w:spacing w:line="280" w:lineRule="exact"/>
              <w:rPr>
                <w:rFonts w:ascii="宋体" w:hAnsi="宋体" w:eastAsia="Times New Roman"/>
                <w:bCs/>
                <w:color w:val="auto"/>
                <w:sz w:val="18"/>
                <w:szCs w:val="18"/>
                <w:highlight w:val="none"/>
              </w:rPr>
            </w:pPr>
            <w:r>
              <w:rPr>
                <w:rFonts w:hint="eastAsia" w:ascii="宋体" w:hAnsi="宋体"/>
                <w:bCs/>
                <w:color w:val="auto"/>
                <w:sz w:val="18"/>
                <w:szCs w:val="18"/>
                <w:highlight w:val="none"/>
              </w:rPr>
              <w:t>造价负责人为一级注册造价工程师，得</w:t>
            </w:r>
            <w:r>
              <w:rPr>
                <w:rFonts w:hint="eastAsia" w:ascii="宋体" w:hAnsi="宋体"/>
                <w:b/>
                <w:bCs/>
                <w:color w:val="auto"/>
                <w:sz w:val="18"/>
                <w:szCs w:val="18"/>
                <w:highlight w:val="none"/>
                <w:lang w:val="en-US" w:eastAsia="zh-CN"/>
              </w:rPr>
              <w:t>10</w:t>
            </w:r>
            <w:r>
              <w:rPr>
                <w:rFonts w:hint="eastAsia" w:ascii="宋体" w:hAnsi="宋体"/>
                <w:b/>
                <w:bCs/>
                <w:color w:val="auto"/>
                <w:sz w:val="18"/>
                <w:szCs w:val="18"/>
                <w:highlight w:val="none"/>
              </w:rPr>
              <w:t>分</w:t>
            </w:r>
            <w:r>
              <w:rPr>
                <w:rFonts w:hint="eastAsia" w:ascii="宋体" w:hAnsi="宋体"/>
                <w:bCs/>
                <w:color w:val="auto"/>
                <w:sz w:val="18"/>
                <w:szCs w:val="18"/>
                <w:highlight w:val="none"/>
              </w:rPr>
              <w:t>；造价负责人为二级注册造价工程师，得</w:t>
            </w:r>
            <w:r>
              <w:rPr>
                <w:rFonts w:hint="eastAsia" w:ascii="宋体" w:hAnsi="宋体"/>
                <w:b/>
                <w:bCs/>
                <w:color w:val="auto"/>
                <w:sz w:val="18"/>
                <w:szCs w:val="18"/>
                <w:highlight w:val="none"/>
                <w:lang w:val="en-US" w:eastAsia="zh-CN"/>
              </w:rPr>
              <w:t>5</w:t>
            </w:r>
            <w:r>
              <w:rPr>
                <w:rFonts w:hint="eastAsia" w:ascii="宋体" w:hAnsi="宋体"/>
                <w:b/>
                <w:bCs/>
                <w:color w:val="auto"/>
                <w:sz w:val="18"/>
                <w:szCs w:val="18"/>
                <w:highlight w:val="none"/>
              </w:rPr>
              <w:t>分</w:t>
            </w:r>
            <w:r>
              <w:rPr>
                <w:rFonts w:hint="eastAsia" w:ascii="宋体" w:hAnsi="宋体"/>
                <w:bCs/>
                <w:color w:val="auto"/>
                <w:sz w:val="18"/>
                <w:szCs w:val="18"/>
                <w:highlight w:val="none"/>
              </w:rPr>
              <w:t>，其他不得分。</w:t>
            </w:r>
          </w:p>
        </w:tc>
      </w:tr>
      <w:tr w14:paraId="2E67E261">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vAlign w:val="center"/>
          </w:tcPr>
          <w:p w14:paraId="6052BBBB">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vAlign w:val="center"/>
          </w:tcPr>
          <w:p w14:paraId="1F7372DA">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vAlign w:val="center"/>
          </w:tcPr>
          <w:p w14:paraId="4EFFE9D1">
            <w:pPr>
              <w:widowControl/>
              <w:adjustRightInd w:val="0"/>
              <w:snapToGrid w:val="0"/>
              <w:jc w:val="center"/>
              <w:rPr>
                <w:rFonts w:ascii="宋体" w:hAnsi="宋体"/>
                <w:color w:val="auto"/>
                <w:sz w:val="18"/>
                <w:szCs w:val="18"/>
                <w:highlight w:val="none"/>
              </w:rPr>
            </w:pPr>
            <w:r>
              <w:rPr>
                <w:rFonts w:hint="eastAsia" w:ascii="宋体" w:hAnsi="宋体"/>
                <w:color w:val="auto"/>
                <w:sz w:val="18"/>
                <w:szCs w:val="18"/>
                <w:highlight w:val="none"/>
              </w:rPr>
              <w:t>2</w:t>
            </w:r>
          </w:p>
        </w:tc>
        <w:tc>
          <w:tcPr>
            <w:tcW w:w="11343" w:type="dxa"/>
            <w:tcBorders>
              <w:left w:val="single" w:color="auto" w:sz="4" w:space="0"/>
              <w:right w:val="single" w:color="auto" w:sz="4" w:space="0"/>
            </w:tcBorders>
            <w:vAlign w:val="center"/>
          </w:tcPr>
          <w:p w14:paraId="409E4B8B">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资料员为</w:t>
            </w:r>
            <w:r>
              <w:rPr>
                <w:rFonts w:hint="eastAsia" w:ascii="宋体" w:hAnsi="宋体"/>
                <w:color w:val="auto"/>
                <w:sz w:val="18"/>
                <w:szCs w:val="18"/>
                <w:highlight w:val="none"/>
                <w:u w:val="single"/>
              </w:rPr>
              <w:t>机电类或电气类或电力类相关的</w:t>
            </w:r>
            <w:r>
              <w:rPr>
                <w:rFonts w:hint="eastAsia" w:ascii="宋体" w:hAnsi="宋体"/>
                <w:bCs/>
                <w:color w:val="auto"/>
                <w:sz w:val="18"/>
                <w:szCs w:val="18"/>
                <w:highlight w:val="none"/>
              </w:rPr>
              <w:t>专业工程师（或以上）职称的，得2分；资料员为其他专业工程师（或以上）职称的，得1分；</w:t>
            </w:r>
          </w:p>
          <w:p w14:paraId="29D3DB05">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资料员无工程师（或以上）职称的不得分。</w:t>
            </w:r>
          </w:p>
        </w:tc>
      </w:tr>
      <w:tr w14:paraId="68DF8DE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043" w:type="dxa"/>
            <w:vMerge w:val="continue"/>
            <w:tcBorders>
              <w:left w:val="single" w:color="auto" w:sz="8" w:space="0"/>
              <w:bottom w:val="single" w:color="auto" w:sz="4" w:space="0"/>
              <w:right w:val="single" w:color="auto" w:sz="4" w:space="0"/>
            </w:tcBorders>
            <w:vAlign w:val="center"/>
          </w:tcPr>
          <w:p w14:paraId="1FE45004">
            <w:pPr>
              <w:widowControl/>
              <w:adjustRightInd w:val="0"/>
              <w:snapToGrid w:val="0"/>
              <w:jc w:val="center"/>
              <w:rPr>
                <w:rFonts w:ascii="宋体" w:hAnsi="宋体" w:eastAsia="Times New Roman"/>
                <w:color w:val="auto"/>
                <w:sz w:val="18"/>
                <w:szCs w:val="18"/>
                <w:highlight w:val="none"/>
              </w:rPr>
            </w:pPr>
          </w:p>
        </w:tc>
        <w:tc>
          <w:tcPr>
            <w:tcW w:w="1832" w:type="dxa"/>
            <w:tcBorders>
              <w:top w:val="single" w:color="auto" w:sz="4" w:space="0"/>
              <w:left w:val="single" w:color="auto" w:sz="8" w:space="0"/>
              <w:bottom w:val="single" w:color="auto" w:sz="4" w:space="0"/>
              <w:right w:val="single" w:color="auto" w:sz="4" w:space="0"/>
            </w:tcBorders>
            <w:vAlign w:val="center"/>
          </w:tcPr>
          <w:p w14:paraId="7174A5B5">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项目管理机构资源调动能力</w:t>
            </w:r>
          </w:p>
        </w:tc>
        <w:tc>
          <w:tcPr>
            <w:tcW w:w="644" w:type="dxa"/>
            <w:tcBorders>
              <w:left w:val="single" w:color="auto" w:sz="4" w:space="0"/>
              <w:bottom w:val="single" w:color="auto" w:sz="4" w:space="0"/>
              <w:right w:val="single" w:color="auto" w:sz="4" w:space="0"/>
            </w:tcBorders>
            <w:vAlign w:val="center"/>
          </w:tcPr>
          <w:p w14:paraId="2A4D2355">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10</w:t>
            </w:r>
          </w:p>
        </w:tc>
        <w:tc>
          <w:tcPr>
            <w:tcW w:w="11343" w:type="dxa"/>
            <w:tcBorders>
              <w:left w:val="single" w:color="auto" w:sz="4" w:space="0"/>
              <w:bottom w:val="single" w:color="auto" w:sz="4" w:space="0"/>
              <w:right w:val="single" w:color="auto" w:sz="4" w:space="0"/>
            </w:tcBorders>
            <w:vAlign w:val="center"/>
          </w:tcPr>
          <w:p w14:paraId="3CC816DD">
            <w:pPr>
              <w:adjustRightInd w:val="0"/>
              <w:snapToGrid w:val="0"/>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投标人安排</w:t>
            </w:r>
            <w:r>
              <w:rPr>
                <w:rFonts w:hint="eastAsia" w:ascii="宋体" w:hAnsi="宋体"/>
                <w:color w:val="auto"/>
                <w:sz w:val="18"/>
                <w:szCs w:val="18"/>
                <w:highlight w:val="none"/>
              </w:rPr>
              <w:t>企业总工程师</w:t>
            </w:r>
            <w:r>
              <w:rPr>
                <w:rFonts w:hint="eastAsia" w:ascii="宋体" w:hAnsi="宋体" w:eastAsia="Times New Roman"/>
                <w:color w:val="auto"/>
                <w:sz w:val="18"/>
                <w:szCs w:val="18"/>
                <w:highlight w:val="none"/>
              </w:rPr>
              <w:t>担任项目指挥长并承诺每月至少组织一次工地例会，得</w:t>
            </w:r>
            <w:r>
              <w:rPr>
                <w:rFonts w:ascii="宋体" w:hAnsi="宋体" w:eastAsia="Times New Roman"/>
                <w:b/>
                <w:color w:val="auto"/>
                <w:sz w:val="18"/>
                <w:szCs w:val="18"/>
                <w:highlight w:val="none"/>
              </w:rPr>
              <w:t>10</w:t>
            </w:r>
            <w:r>
              <w:rPr>
                <w:rFonts w:hint="eastAsia" w:ascii="宋体" w:hAnsi="宋体" w:eastAsia="Times New Roman"/>
                <w:b/>
                <w:color w:val="auto"/>
                <w:sz w:val="18"/>
                <w:szCs w:val="18"/>
                <w:highlight w:val="none"/>
              </w:rPr>
              <w:t>分</w:t>
            </w:r>
            <w:r>
              <w:rPr>
                <w:rFonts w:hint="eastAsia" w:ascii="宋体" w:hAnsi="宋体" w:eastAsia="Times New Roman"/>
                <w:color w:val="auto"/>
                <w:sz w:val="18"/>
                <w:szCs w:val="18"/>
                <w:highlight w:val="none"/>
              </w:rPr>
              <w:t>；不满足前述要求者，得</w:t>
            </w:r>
            <w:r>
              <w:rPr>
                <w:rFonts w:hint="eastAsia" w:ascii="宋体" w:hAnsi="宋体" w:eastAsia="Times New Roman"/>
                <w:b/>
                <w:bCs/>
                <w:color w:val="auto"/>
                <w:sz w:val="18"/>
                <w:szCs w:val="18"/>
                <w:highlight w:val="none"/>
              </w:rPr>
              <w:t>0</w:t>
            </w:r>
            <w:r>
              <w:rPr>
                <w:rFonts w:hint="eastAsia" w:ascii="宋体" w:hAnsi="宋体" w:eastAsia="Times New Roman"/>
                <w:b/>
                <w:color w:val="auto"/>
                <w:sz w:val="18"/>
                <w:szCs w:val="18"/>
                <w:highlight w:val="none"/>
              </w:rPr>
              <w:t>分</w:t>
            </w:r>
            <w:r>
              <w:rPr>
                <w:rFonts w:hint="eastAsia" w:ascii="宋体" w:hAnsi="宋体" w:eastAsia="Times New Roman"/>
                <w:color w:val="auto"/>
                <w:sz w:val="18"/>
                <w:szCs w:val="18"/>
                <w:highlight w:val="none"/>
              </w:rPr>
              <w:t>。</w:t>
            </w:r>
          </w:p>
        </w:tc>
      </w:tr>
      <w:tr w14:paraId="35850425">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2875" w:type="dxa"/>
            <w:gridSpan w:val="2"/>
            <w:tcBorders>
              <w:top w:val="single" w:color="auto" w:sz="4" w:space="0"/>
              <w:left w:val="single" w:color="auto" w:sz="8" w:space="0"/>
              <w:bottom w:val="single" w:color="auto" w:sz="4" w:space="0"/>
              <w:right w:val="single" w:color="auto" w:sz="4" w:space="0"/>
            </w:tcBorders>
            <w:vAlign w:val="center"/>
          </w:tcPr>
          <w:p w14:paraId="299899B3">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合计（一+二）</w:t>
            </w:r>
          </w:p>
        </w:tc>
        <w:tc>
          <w:tcPr>
            <w:tcW w:w="644" w:type="dxa"/>
            <w:tcBorders>
              <w:top w:val="single" w:color="auto" w:sz="4" w:space="0"/>
              <w:left w:val="single" w:color="auto" w:sz="4" w:space="0"/>
              <w:bottom w:val="single" w:color="auto" w:sz="4" w:space="0"/>
              <w:right w:val="single" w:color="auto" w:sz="4" w:space="0"/>
            </w:tcBorders>
            <w:vAlign w:val="center"/>
          </w:tcPr>
          <w:p w14:paraId="6C45E4B3">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100</w:t>
            </w:r>
          </w:p>
        </w:tc>
        <w:tc>
          <w:tcPr>
            <w:tcW w:w="11343" w:type="dxa"/>
            <w:tcBorders>
              <w:top w:val="single" w:color="auto" w:sz="4" w:space="0"/>
              <w:left w:val="single" w:color="auto" w:sz="4" w:space="0"/>
              <w:bottom w:val="single" w:color="auto" w:sz="4" w:space="0"/>
              <w:right w:val="single" w:color="auto" w:sz="4" w:space="0"/>
            </w:tcBorders>
            <w:vAlign w:val="center"/>
          </w:tcPr>
          <w:p w14:paraId="2353696E">
            <w:pPr>
              <w:adjustRightInd w:val="0"/>
              <w:snapToGrid w:val="0"/>
              <w:rPr>
                <w:rFonts w:ascii="宋体" w:hAnsi="宋体" w:eastAsia="Times New Roman"/>
                <w:color w:val="auto"/>
                <w:sz w:val="18"/>
                <w:szCs w:val="18"/>
                <w:highlight w:val="none"/>
              </w:rPr>
            </w:pPr>
          </w:p>
        </w:tc>
      </w:tr>
    </w:tbl>
    <w:p w14:paraId="6B32E6AC">
      <w:pPr>
        <w:spacing w:line="276" w:lineRule="auto"/>
        <w:ind w:firstLine="459"/>
        <w:rPr>
          <w:rFonts w:hint="eastAsia" w:ascii="宋体" w:hAnsi="宋体" w:eastAsia="宋体" w:cs="宋体"/>
          <w:color w:val="auto"/>
          <w:sz w:val="18"/>
          <w:szCs w:val="18"/>
          <w:highlight w:val="none"/>
          <w:lang w:val="en-US" w:eastAsia="zh-CN"/>
        </w:rPr>
      </w:pPr>
      <w:r>
        <w:rPr>
          <w:rFonts w:hint="eastAsia" w:ascii="宋体" w:hAnsi="宋体"/>
          <w:color w:val="auto"/>
          <w:sz w:val="18"/>
          <w:szCs w:val="18"/>
          <w:highlight w:val="none"/>
        </w:rPr>
        <w:t>注: 1、类似工程业绩是指：</w:t>
      </w:r>
      <w:r>
        <w:rPr>
          <w:rFonts w:hint="eastAsia" w:ascii="宋体" w:hAnsi="宋体" w:eastAsia="宋体" w:cs="宋体"/>
          <w:color w:val="auto"/>
          <w:sz w:val="18"/>
          <w:szCs w:val="18"/>
          <w:highlight w:val="none"/>
          <w:lang w:val="en-US" w:eastAsia="zh-CN"/>
        </w:rPr>
        <w:t>（1）</w:t>
      </w:r>
      <w:r>
        <w:rPr>
          <w:rFonts w:hint="eastAsia" w:ascii="宋体" w:hAnsi="宋体"/>
          <w:color w:val="auto"/>
          <w:sz w:val="18"/>
          <w:szCs w:val="18"/>
          <w:highlight w:val="none"/>
        </w:rPr>
        <w:t>投标人自</w:t>
      </w:r>
      <w:r>
        <w:rPr>
          <w:rFonts w:hint="eastAsia" w:ascii="宋体" w:hAnsi="宋体"/>
          <w:color w:val="auto"/>
          <w:sz w:val="18"/>
          <w:szCs w:val="18"/>
          <w:highlight w:val="none"/>
          <w:lang w:eastAsia="zh-CN"/>
        </w:rPr>
        <w:t>2020</w:t>
      </w:r>
      <w:r>
        <w:rPr>
          <w:rFonts w:hint="eastAsia" w:ascii="宋体" w:hAnsi="宋体"/>
          <w:color w:val="auto"/>
          <w:sz w:val="18"/>
          <w:szCs w:val="18"/>
          <w:highlight w:val="none"/>
        </w:rPr>
        <w:t>年1月1日至投标截止时间止，完成过</w:t>
      </w:r>
      <w:r>
        <w:rPr>
          <w:rFonts w:hint="eastAsia" w:ascii="宋体" w:hAnsi="宋体" w:eastAsia="Times New Roman"/>
          <w:bCs/>
          <w:color w:val="auto"/>
          <w:sz w:val="18"/>
          <w:szCs w:val="18"/>
          <w:highlight w:val="none"/>
        </w:rPr>
        <w:t>质量合格且中标金额</w:t>
      </w:r>
      <w:r>
        <w:rPr>
          <w:rFonts w:hint="eastAsia" w:ascii="宋体" w:hAnsi="宋体" w:eastAsiaTheme="minorEastAsia"/>
          <w:bCs/>
          <w:color w:val="auto"/>
          <w:sz w:val="18"/>
          <w:szCs w:val="18"/>
          <w:highlight w:val="none"/>
          <w:u w:val="single"/>
          <w:lang w:val="en-US" w:eastAsia="zh-CN"/>
        </w:rPr>
        <w:t>600万元</w:t>
      </w:r>
      <w:r>
        <w:rPr>
          <w:rFonts w:hint="eastAsia" w:ascii="宋体" w:hAnsi="宋体" w:eastAsia="Times New Roman"/>
          <w:bCs/>
          <w:color w:val="auto"/>
          <w:sz w:val="18"/>
          <w:szCs w:val="18"/>
          <w:highlight w:val="none"/>
        </w:rPr>
        <w:t>（或以上）的</w:t>
      </w:r>
      <w:r>
        <w:rPr>
          <w:rFonts w:hint="eastAsia" w:ascii="宋体" w:hAnsi="宋体"/>
          <w:color w:val="auto"/>
          <w:sz w:val="18"/>
          <w:szCs w:val="18"/>
          <w:highlight w:val="none"/>
          <w:u w:val="single"/>
        </w:rPr>
        <w:t>10KV或以上电力工程</w:t>
      </w:r>
      <w:r>
        <w:rPr>
          <w:rFonts w:hint="eastAsia" w:ascii="宋体" w:hAnsi="宋体" w:eastAsia="宋体" w:cs="宋体"/>
          <w:color w:val="auto"/>
          <w:sz w:val="18"/>
          <w:szCs w:val="18"/>
          <w:highlight w:val="none"/>
          <w:lang w:val="en-US" w:eastAsia="zh-CN"/>
        </w:rPr>
        <w:t>施工总承包业绩或单独发包的电力工程业绩，需同时提供中标通知书或免招标的相关证明、施工合同、竣工验收报告或竣工验收证明。由总承包单位依法分包的电力工程业绩，需同时提供分包合同、竣工验收报告或竣工验收证明扫描件。</w:t>
      </w:r>
      <w:r>
        <w:rPr>
          <w:rFonts w:hint="eastAsia" w:ascii="宋体" w:hAnsi="宋体"/>
          <w:color w:val="auto"/>
          <w:sz w:val="18"/>
          <w:szCs w:val="18"/>
          <w:highlight w:val="none"/>
        </w:rPr>
        <w:t>验收文件至少具有建设单位、设计、施工和监理单位盖章。</w:t>
      </w:r>
      <w:r>
        <w:rPr>
          <w:rFonts w:hint="eastAsia" w:ascii="宋体" w:hAnsi="宋体" w:eastAsia="宋体" w:cs="宋体"/>
          <w:color w:val="auto"/>
          <w:sz w:val="18"/>
          <w:szCs w:val="18"/>
          <w:highlight w:val="none"/>
          <w:lang w:val="en-US" w:eastAsia="zh-CN"/>
        </w:rPr>
        <w:t>如以上资料不能证明业绩规模的技术指标（指电压等级、金额等）的，须另提供可证明业绩技术指标的其他资料。提供施工合同或分包合同扫描件证明材料，可提供合同关键页，但应至少包括合同封面、合同指标金额规模页、合同盖章页。</w:t>
      </w:r>
      <w:r>
        <w:rPr>
          <w:rFonts w:hint="eastAsia" w:ascii="宋体" w:hAnsi="宋体" w:cs="宋体"/>
          <w:color w:val="auto"/>
          <w:sz w:val="18"/>
          <w:szCs w:val="18"/>
          <w:highlight w:val="none"/>
          <w:lang w:val="en-US" w:eastAsia="zh-CN"/>
        </w:rPr>
        <w:t>以上文件如提供复印件须加盖</w:t>
      </w:r>
      <w:r>
        <w:rPr>
          <w:rFonts w:hint="eastAsia" w:ascii="宋体" w:hAnsi="宋体" w:eastAsia="宋体" w:cs="宋体"/>
          <w:color w:val="auto"/>
          <w:sz w:val="18"/>
          <w:szCs w:val="18"/>
          <w:highlight w:val="none"/>
          <w:lang w:val="en-US" w:eastAsia="zh-CN"/>
        </w:rPr>
        <w:t>投标人</w:t>
      </w:r>
      <w:r>
        <w:rPr>
          <w:rFonts w:hint="eastAsia" w:ascii="宋体" w:hAnsi="宋体" w:cs="宋体"/>
          <w:color w:val="auto"/>
          <w:sz w:val="18"/>
          <w:szCs w:val="18"/>
          <w:highlight w:val="none"/>
          <w:lang w:val="en-US" w:eastAsia="zh-CN"/>
        </w:rPr>
        <w:t>公章。</w:t>
      </w:r>
    </w:p>
    <w:p w14:paraId="40404B2E">
      <w:pPr>
        <w:spacing w:line="276" w:lineRule="auto"/>
        <w:ind w:firstLine="459"/>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完成时间以竣工验收文件为准。业绩金额按以下方式认定：</w:t>
      </w:r>
    </w:p>
    <w:p w14:paraId="12C4BAEE">
      <w:pPr>
        <w:spacing w:line="276" w:lineRule="auto"/>
        <w:ind w:firstLine="459"/>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a、适用于施工总承包项目：金额以中标通知书为准，中标通知书上没有金额或免招标的，以施工合同（不含补充合同）为准。</w:t>
      </w:r>
    </w:p>
    <w:p w14:paraId="0DB91027">
      <w:pPr>
        <w:spacing w:line="276" w:lineRule="auto"/>
        <w:ind w:firstLine="459"/>
        <w:rPr>
          <w:rFonts w:hint="eastAsia" w:ascii="宋体" w:hAnsi="宋体" w:cs="宋体"/>
          <w:color w:val="auto"/>
          <w:sz w:val="18"/>
          <w:szCs w:val="18"/>
          <w:highlight w:val="none"/>
        </w:rPr>
      </w:pPr>
      <w:r>
        <w:rPr>
          <w:rFonts w:hint="eastAsia" w:ascii="宋体" w:hAnsi="宋体" w:eastAsia="宋体" w:cs="宋体"/>
          <w:color w:val="auto"/>
          <w:sz w:val="18"/>
          <w:szCs w:val="18"/>
          <w:highlight w:val="none"/>
          <w:lang w:val="en-US" w:eastAsia="zh-CN"/>
        </w:rPr>
        <w:t>b、适用于施工专业承包项目：单独发包的电力工程的业绩金额以中标通知书为准，中标通知书上没有金额或免招标的，以施工合同（不含补充合同）为准。如中标通知书未能体现对应的电力工程金额，则以施工合同载明的对应的电力工程金额为准，如中标通知书与施工合同均不能单独体现对应的电力工程金额，则以建设单位提供的证明资料中载明的对应电力工程金额为准。由总承包单位依法分包的电力工程业绩其金额以分包合同中约定的合同金额为准。</w:t>
      </w:r>
      <w:r>
        <w:rPr>
          <w:rFonts w:hint="eastAsia" w:ascii="宋体" w:hAnsi="宋体" w:cs="宋体"/>
          <w:color w:val="auto"/>
          <w:sz w:val="18"/>
          <w:szCs w:val="18"/>
          <w:highlight w:val="none"/>
        </w:rPr>
        <w:t>（招标人在中标结果公示时同时公示）。</w:t>
      </w:r>
    </w:p>
    <w:p w14:paraId="0F2BF8B2">
      <w:pPr>
        <w:spacing w:line="276" w:lineRule="auto"/>
        <w:ind w:firstLine="459" w:firstLineChars="0"/>
        <w:rPr>
          <w:rFonts w:ascii="宋体" w:hAnsi="宋体"/>
          <w:color w:val="auto"/>
          <w:sz w:val="18"/>
          <w:szCs w:val="18"/>
          <w:highlight w:val="none"/>
        </w:rPr>
      </w:pPr>
      <w:r>
        <w:rPr>
          <w:rFonts w:hint="eastAsia" w:ascii="宋体" w:hAnsi="宋体" w:cs="宋体"/>
          <w:color w:val="auto"/>
          <w:sz w:val="18"/>
          <w:szCs w:val="18"/>
          <w:highlight w:val="none"/>
        </w:rPr>
        <w:t>2、企业获奖：</w:t>
      </w:r>
      <w:r>
        <w:rPr>
          <w:rFonts w:hint="eastAsia" w:ascii="宋体" w:hAnsi="宋体" w:eastAsia="宋体" w:cs="宋体"/>
          <w:color w:val="auto"/>
          <w:sz w:val="18"/>
          <w:szCs w:val="18"/>
          <w:highlight w:val="none"/>
          <w:lang w:val="en-US" w:eastAsia="zh-CN"/>
        </w:rPr>
        <w:t>①国家级质量奖项是指：</w:t>
      </w:r>
      <w:r>
        <w:rPr>
          <w:rFonts w:hint="eastAsia" w:ascii="宋体" w:hAnsi="宋体"/>
          <w:color w:val="auto"/>
          <w:sz w:val="18"/>
          <w:szCs w:val="18"/>
          <w:highlight w:val="none"/>
        </w:rPr>
        <w:t>包括但不限于</w:t>
      </w:r>
      <w:r>
        <w:rPr>
          <w:rFonts w:hint="eastAsia" w:ascii="宋体" w:hAnsi="宋体" w:eastAsia="宋体" w:cs="宋体"/>
          <w:color w:val="auto"/>
          <w:sz w:val="18"/>
          <w:szCs w:val="18"/>
          <w:highlight w:val="none"/>
          <w:lang w:val="en-US" w:eastAsia="zh-CN"/>
        </w:rPr>
        <w:t>中国建设工程鲁班奖、国家优质工程（金质奖）、国家优质工程（银质奖）、国家优质工程奖、中国土木工程詹天佑奖、中国电力优质工程奖；省</w:t>
      </w:r>
      <w:r>
        <w:rPr>
          <w:rFonts w:hint="eastAsia" w:ascii="宋体" w:hAnsi="宋体"/>
          <w:color w:val="auto"/>
          <w:sz w:val="18"/>
          <w:szCs w:val="18"/>
          <w:highlight w:val="none"/>
        </w:rPr>
        <w:t>（部）</w:t>
      </w:r>
      <w:r>
        <w:rPr>
          <w:rFonts w:hint="eastAsia" w:ascii="宋体" w:hAnsi="宋体" w:eastAsia="宋体" w:cs="宋体"/>
          <w:color w:val="auto"/>
          <w:sz w:val="18"/>
          <w:szCs w:val="18"/>
          <w:highlight w:val="none"/>
          <w:lang w:val="en-US" w:eastAsia="zh-CN"/>
        </w:rPr>
        <w:t>级及市</w:t>
      </w:r>
      <w:r>
        <w:rPr>
          <w:rFonts w:hint="eastAsia" w:ascii="宋体" w:hAnsi="宋体"/>
          <w:color w:val="auto"/>
          <w:sz w:val="18"/>
          <w:szCs w:val="18"/>
          <w:highlight w:val="none"/>
        </w:rPr>
        <w:t>（副省）</w:t>
      </w:r>
      <w:r>
        <w:rPr>
          <w:rFonts w:hint="eastAsia" w:ascii="宋体" w:hAnsi="宋体" w:eastAsia="宋体" w:cs="宋体"/>
          <w:color w:val="auto"/>
          <w:sz w:val="18"/>
          <w:szCs w:val="18"/>
          <w:highlight w:val="none"/>
          <w:lang w:val="en-US" w:eastAsia="zh-CN"/>
        </w:rPr>
        <w:t>级质量奖项指：</w:t>
      </w:r>
      <w:r>
        <w:rPr>
          <w:rFonts w:hint="eastAsia" w:ascii="宋体" w:hAnsi="宋体"/>
          <w:color w:val="auto"/>
          <w:sz w:val="18"/>
          <w:szCs w:val="18"/>
          <w:highlight w:val="none"/>
        </w:rPr>
        <w:t>包括但不限于</w:t>
      </w:r>
      <w:r>
        <w:rPr>
          <w:rFonts w:hint="eastAsia" w:ascii="宋体" w:hAnsi="宋体" w:eastAsia="宋体" w:cs="宋体"/>
          <w:color w:val="auto"/>
          <w:sz w:val="18"/>
          <w:szCs w:val="18"/>
          <w:highlight w:val="none"/>
          <w:lang w:val="en-US" w:eastAsia="zh-CN"/>
        </w:rPr>
        <w:t>由</w:t>
      </w:r>
      <w:r>
        <w:rPr>
          <w:rFonts w:hint="eastAsia" w:ascii="宋体" w:hAnsi="宋体"/>
          <w:color w:val="auto"/>
          <w:sz w:val="18"/>
          <w:szCs w:val="18"/>
          <w:highlight w:val="none"/>
        </w:rPr>
        <w:t>省（部）级、市（副省）级</w:t>
      </w:r>
      <w:r>
        <w:rPr>
          <w:rFonts w:hint="eastAsia" w:ascii="宋体" w:hAnsi="宋体" w:eastAsia="宋体" w:cs="宋体"/>
          <w:color w:val="auto"/>
          <w:sz w:val="18"/>
          <w:szCs w:val="18"/>
          <w:highlight w:val="none"/>
          <w:lang w:val="en-US" w:eastAsia="zh-CN"/>
        </w:rPr>
        <w:t>行政主管部门或行业协会颁发的质量奖项，不包含安全文明、绿色施工、技术创新、QC成果、科技进步及技术应用类等奖项。同一项目只按最高奖项计算一次得分，不得重复计算。②获奖时间以发证时间为准，投标人须提供相关获奖证书扫描件，并加盖投标人</w:t>
      </w:r>
      <w:r>
        <w:rPr>
          <w:rFonts w:hint="eastAsia" w:ascii="宋体" w:hAnsi="宋体" w:cs="宋体"/>
          <w:color w:val="auto"/>
          <w:sz w:val="18"/>
          <w:szCs w:val="18"/>
          <w:highlight w:val="none"/>
          <w:lang w:val="en-US" w:eastAsia="zh-CN"/>
        </w:rPr>
        <w:t>公章</w:t>
      </w:r>
      <w:r>
        <w:rPr>
          <w:rFonts w:hint="eastAsia" w:ascii="宋体" w:hAnsi="宋体" w:eastAsia="宋体" w:cs="宋体"/>
          <w:color w:val="auto"/>
          <w:sz w:val="18"/>
          <w:szCs w:val="18"/>
          <w:highlight w:val="none"/>
          <w:lang w:val="en-US" w:eastAsia="zh-CN"/>
        </w:rPr>
        <w:t>，不符合上述条件或未提供上述资料的不得分。③若为社会组织机构颁发的证书，还需提供该机构已在民证管理部门登记备案的官网查询结果截图（不符合条件或无提交网页信息截图不计分；所提交的奖项依据是否符合本次招标要求由评标委员会审定）</w:t>
      </w:r>
      <w:r>
        <w:rPr>
          <w:rFonts w:hint="eastAsia" w:ascii="宋体" w:hAnsi="宋体" w:eastAsia="宋体" w:cs="宋体"/>
          <w:color w:val="auto"/>
          <w:sz w:val="18"/>
          <w:szCs w:val="18"/>
          <w:highlight w:val="none"/>
          <w:lang w:eastAsia="zh-CN"/>
        </w:rPr>
        <w:t>；获奖单位须为投标单位，子分公司均不计算在内。未提供或所提供的证明资料不符合要求的，则不予得分。</w:t>
      </w:r>
    </w:p>
    <w:p w14:paraId="79EFBF10">
      <w:pPr>
        <w:spacing w:line="276" w:lineRule="auto"/>
        <w:ind w:firstLine="459" w:firstLineChars="0"/>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3、第三方评价：管理体系认证：需同时提供证书扫描件并加盖投标人</w:t>
      </w:r>
      <w:r>
        <w:rPr>
          <w:rFonts w:hint="eastAsia" w:ascii="宋体" w:hAnsi="宋体" w:cs="宋体"/>
          <w:color w:val="auto"/>
          <w:sz w:val="18"/>
          <w:szCs w:val="18"/>
          <w:highlight w:val="none"/>
          <w:lang w:val="en-US" w:eastAsia="zh-CN"/>
        </w:rPr>
        <w:t>公章</w:t>
      </w:r>
      <w:r>
        <w:rPr>
          <w:rFonts w:hint="eastAsia" w:ascii="宋体" w:hAnsi="宋体" w:eastAsia="宋体" w:cs="宋体"/>
          <w:color w:val="auto"/>
          <w:sz w:val="18"/>
          <w:szCs w:val="18"/>
          <w:highlight w:val="none"/>
          <w:lang w:val="en-US" w:eastAsia="zh-CN"/>
        </w:rPr>
        <w:t>及在全国认证认可信息公共服务平台（http://cx.cnca.cn/CertECloud/index/index/page）上查询结果的截图，证书状态必须为“有效”，证书编号或注册编号与查询结果一致，不提供、提供不全或不符合要求不得分。</w:t>
      </w:r>
    </w:p>
    <w:p w14:paraId="266D0118">
      <w:pPr>
        <w:spacing w:line="276" w:lineRule="auto"/>
        <w:ind w:firstLine="360" w:firstLineChars="200"/>
        <w:rPr>
          <w:rFonts w:ascii="宋体" w:hAnsi="宋体"/>
          <w:color w:val="auto"/>
          <w:sz w:val="18"/>
          <w:szCs w:val="18"/>
          <w:highlight w:val="none"/>
        </w:rPr>
      </w:pPr>
      <w:r>
        <w:rPr>
          <w:rFonts w:hint="eastAsia" w:ascii="宋体" w:hAnsi="宋体"/>
          <w:color w:val="auto"/>
          <w:sz w:val="18"/>
          <w:szCs w:val="18"/>
          <w:highlight w:val="none"/>
          <w:lang w:eastAsia="zh-CN"/>
        </w:rPr>
        <w:t>4</w:t>
      </w:r>
      <w:r>
        <w:rPr>
          <w:rFonts w:hint="eastAsia" w:ascii="宋体" w:hAnsi="宋体"/>
          <w:color w:val="auto"/>
          <w:sz w:val="18"/>
          <w:szCs w:val="18"/>
          <w:highlight w:val="none"/>
        </w:rPr>
        <w:t>、项目负责人曾参与的业绩，投标人需同时提交下列三项证明文件：1、中标通知书或免招标的相关证明2、施工合同3、竣工验收报告或竣工验收证明或工程竣工验收备案表或其他竣工验收证明材料，以上文件如提供扫描件须并加盖投标</w:t>
      </w:r>
      <w:r>
        <w:rPr>
          <w:rFonts w:hint="eastAsia" w:ascii="宋体" w:hAnsi="宋体" w:eastAsia="宋体" w:cs="宋体"/>
          <w:color w:val="auto"/>
          <w:sz w:val="18"/>
          <w:szCs w:val="18"/>
          <w:highlight w:val="none"/>
          <w:lang w:val="en-US" w:eastAsia="zh-CN"/>
        </w:rPr>
        <w:t>人</w:t>
      </w:r>
      <w:r>
        <w:rPr>
          <w:rFonts w:hint="eastAsia" w:ascii="宋体" w:hAnsi="宋体"/>
          <w:color w:val="auto"/>
          <w:sz w:val="18"/>
          <w:szCs w:val="18"/>
          <w:highlight w:val="none"/>
        </w:rPr>
        <w:t>公章，以供核对（不符合条件或无提交证明材料或扫描件无加盖投标</w:t>
      </w:r>
      <w:r>
        <w:rPr>
          <w:rFonts w:hint="eastAsia" w:ascii="宋体" w:hAnsi="宋体" w:eastAsia="宋体" w:cs="宋体"/>
          <w:color w:val="auto"/>
          <w:sz w:val="18"/>
          <w:szCs w:val="18"/>
          <w:highlight w:val="none"/>
          <w:lang w:val="en-US" w:eastAsia="zh-CN"/>
        </w:rPr>
        <w:t>人</w:t>
      </w:r>
      <w:r>
        <w:rPr>
          <w:rFonts w:hint="eastAsia" w:ascii="宋体" w:hAnsi="宋体"/>
          <w:color w:val="auto"/>
          <w:sz w:val="18"/>
          <w:szCs w:val="18"/>
          <w:highlight w:val="none"/>
        </w:rPr>
        <w:t>公章的不计分）。</w:t>
      </w:r>
    </w:p>
    <w:p w14:paraId="3A6215F9">
      <w:pPr>
        <w:ind w:firstLine="360" w:firstLineChars="200"/>
        <w:rPr>
          <w:rFonts w:ascii="宋体" w:hAnsi="宋体"/>
          <w:color w:val="auto"/>
          <w:sz w:val="18"/>
          <w:szCs w:val="18"/>
          <w:highlight w:val="none"/>
        </w:rPr>
      </w:pPr>
      <w:r>
        <w:rPr>
          <w:rFonts w:hint="eastAsia" w:ascii="宋体" w:hAnsi="宋体"/>
          <w:color w:val="auto"/>
          <w:sz w:val="18"/>
          <w:szCs w:val="18"/>
          <w:highlight w:val="none"/>
          <w:lang w:eastAsia="zh-CN"/>
        </w:rPr>
        <w:t>5</w:t>
      </w:r>
      <w:r>
        <w:rPr>
          <w:rFonts w:hint="eastAsia" w:ascii="宋体" w:hAnsi="宋体"/>
          <w:color w:val="auto"/>
          <w:sz w:val="18"/>
          <w:szCs w:val="18"/>
          <w:highlight w:val="none"/>
        </w:rPr>
        <w:t>、“项目负责人情况”和“其他管理人员情况”所涉及的负责人资格证明无效或相关人员年</w:t>
      </w:r>
      <w:r>
        <w:rPr>
          <w:rFonts w:hint="eastAsia" w:ascii="宋体" w:hAnsi="宋体"/>
          <w:color w:val="auto"/>
          <w:sz w:val="18"/>
          <w:szCs w:val="18"/>
          <w:highlight w:val="none"/>
          <w:lang w:eastAsia="zh-CN"/>
        </w:rPr>
        <w:t>龄</w:t>
      </w:r>
      <w:r>
        <w:rPr>
          <w:rFonts w:hint="eastAsia" w:ascii="宋体" w:hAnsi="宋体"/>
          <w:color w:val="auto"/>
          <w:sz w:val="18"/>
          <w:szCs w:val="18"/>
          <w:highlight w:val="none"/>
        </w:rPr>
        <w:t>超过65周岁(即出生日期在</w:t>
      </w:r>
      <w:r>
        <w:rPr>
          <w:rFonts w:hint="eastAsia" w:ascii="宋体" w:hAnsi="宋体"/>
          <w:color w:val="auto"/>
          <w:sz w:val="18"/>
          <w:szCs w:val="18"/>
          <w:highlight w:val="none"/>
          <w:lang w:val="en-US" w:eastAsia="zh-CN"/>
        </w:rPr>
        <w:t>1960</w:t>
      </w:r>
      <w:r>
        <w:rPr>
          <w:rFonts w:hint="eastAsia" w:ascii="宋体" w:hAnsi="宋体"/>
          <w:color w:val="auto"/>
          <w:sz w:val="18"/>
          <w:szCs w:val="18"/>
          <w:highlight w:val="none"/>
        </w:rPr>
        <w:t>年</w:t>
      </w:r>
      <w:r>
        <w:rPr>
          <w:rFonts w:hint="eastAsia" w:ascii="宋体" w:hAnsi="宋体"/>
          <w:color w:val="auto"/>
          <w:sz w:val="18"/>
          <w:szCs w:val="18"/>
          <w:highlight w:val="none"/>
          <w:lang w:val="en-US" w:eastAsia="zh-CN"/>
        </w:rPr>
        <w:t>12</w:t>
      </w:r>
      <w:r>
        <w:rPr>
          <w:rFonts w:hint="eastAsia" w:ascii="宋体" w:hAnsi="宋体"/>
          <w:color w:val="auto"/>
          <w:sz w:val="18"/>
          <w:szCs w:val="18"/>
          <w:highlight w:val="none"/>
        </w:rPr>
        <w:t>月</w:t>
      </w:r>
      <w:r>
        <w:rPr>
          <w:rFonts w:hint="eastAsia" w:ascii="宋体" w:hAnsi="宋体"/>
          <w:color w:val="auto"/>
          <w:sz w:val="18"/>
          <w:szCs w:val="18"/>
          <w:highlight w:val="none"/>
          <w:lang w:val="en-US" w:eastAsia="zh-CN"/>
        </w:rPr>
        <w:t>8</w:t>
      </w:r>
      <w:r>
        <w:rPr>
          <w:rFonts w:hint="eastAsia" w:ascii="宋体" w:hAnsi="宋体"/>
          <w:color w:val="auto"/>
          <w:sz w:val="18"/>
          <w:szCs w:val="18"/>
          <w:highlight w:val="none"/>
        </w:rPr>
        <w:t>日前)不能覆盖本项目工期者，该项均不得分。</w:t>
      </w:r>
      <w:r>
        <w:rPr>
          <w:rFonts w:hint="eastAsia" w:ascii="宋体" w:hAnsi="宋体"/>
          <w:color w:val="auto"/>
          <w:sz w:val="18"/>
          <w:szCs w:val="18"/>
          <w:highlight w:val="none"/>
          <w:lang w:eastAsia="zh-CN"/>
        </w:rPr>
        <w:t>“</w:t>
      </w:r>
      <w:r>
        <w:rPr>
          <w:rFonts w:hint="eastAsia" w:ascii="宋体" w:hAnsi="宋体"/>
          <w:color w:val="auto"/>
          <w:sz w:val="18"/>
          <w:szCs w:val="18"/>
          <w:highlight w:val="none"/>
        </w:rPr>
        <w:t>项目管理机构能力</w:t>
      </w:r>
      <w:r>
        <w:rPr>
          <w:rFonts w:hint="eastAsia" w:ascii="宋体" w:hAnsi="宋体"/>
          <w:color w:val="auto"/>
          <w:sz w:val="18"/>
          <w:szCs w:val="18"/>
          <w:highlight w:val="none"/>
          <w:lang w:eastAsia="zh-CN"/>
        </w:rPr>
        <w:t>”</w:t>
      </w:r>
      <w:r>
        <w:rPr>
          <w:rFonts w:hint="eastAsia" w:ascii="宋体" w:hAnsi="宋体"/>
          <w:color w:val="auto"/>
          <w:sz w:val="18"/>
          <w:szCs w:val="18"/>
          <w:highlight w:val="none"/>
        </w:rPr>
        <w:t>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项目负责人情况</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其他管理人员情况</w:t>
      </w:r>
      <w:r>
        <w:rPr>
          <w:rFonts w:hint="eastAsia" w:ascii="宋体" w:hAnsi="宋体"/>
          <w:color w:val="auto"/>
          <w:sz w:val="18"/>
          <w:szCs w:val="18"/>
          <w:highlight w:val="none"/>
          <w:lang w:eastAsia="zh-CN"/>
        </w:rPr>
        <w:t>”配备人数</w:t>
      </w:r>
      <w:r>
        <w:rPr>
          <w:rFonts w:hint="eastAsia" w:ascii="宋体" w:hAnsi="宋体"/>
          <w:color w:val="auto"/>
          <w:sz w:val="18"/>
          <w:szCs w:val="18"/>
          <w:highlight w:val="none"/>
        </w:rPr>
        <w:t>，须满足招标文件第四章《施工项目管理团队人员信息表》配备最低人数要求，提供各人员须与《施工项目管理团队人员信息表》中相应岗位的人员信息一致并已按《施工项目管理团队人员信息表》要求提供相关证书扫描件等资料,否则不得分。</w:t>
      </w:r>
    </w:p>
    <w:p w14:paraId="2958BE74">
      <w:pPr>
        <w:ind w:firstLine="360" w:firstLineChars="200"/>
        <w:rPr>
          <w:rFonts w:ascii="宋体" w:hAnsi="宋体"/>
          <w:color w:val="auto"/>
          <w:sz w:val="18"/>
          <w:szCs w:val="18"/>
          <w:highlight w:val="none"/>
        </w:rPr>
      </w:pPr>
      <w:r>
        <w:rPr>
          <w:rFonts w:hint="eastAsia" w:ascii="宋体" w:hAnsi="宋体"/>
          <w:color w:val="auto"/>
          <w:sz w:val="18"/>
          <w:szCs w:val="18"/>
          <w:highlight w:val="none"/>
          <w:lang w:eastAsia="zh-CN"/>
        </w:rPr>
        <w:t>6</w:t>
      </w:r>
      <w:r>
        <w:rPr>
          <w:rFonts w:hint="eastAsia" w:ascii="宋体" w:hAnsi="宋体"/>
          <w:color w:val="auto"/>
          <w:sz w:val="18"/>
          <w:szCs w:val="18"/>
          <w:highlight w:val="none"/>
        </w:rPr>
        <w:t>、项目管理机构资源调动能力中要求的项目指挥长需提供投标截止前一个月(20</w:t>
      </w:r>
      <w:r>
        <w:rPr>
          <w:rFonts w:hint="eastAsia" w:ascii="宋体" w:hAnsi="宋体"/>
          <w:color w:val="auto"/>
          <w:sz w:val="18"/>
          <w:szCs w:val="18"/>
          <w:highlight w:val="none"/>
          <w:lang w:eastAsia="zh-CN"/>
        </w:rPr>
        <w:t>25</w:t>
      </w:r>
      <w:r>
        <w:rPr>
          <w:rFonts w:hint="eastAsia" w:ascii="宋体" w:hAnsi="宋体"/>
          <w:color w:val="auto"/>
          <w:sz w:val="18"/>
          <w:szCs w:val="18"/>
          <w:highlight w:val="none"/>
        </w:rPr>
        <w:t>年</w:t>
      </w:r>
      <w:r>
        <w:rPr>
          <w:rFonts w:hint="eastAsia" w:ascii="宋体" w:hAnsi="宋体"/>
          <w:color w:val="auto"/>
          <w:sz w:val="18"/>
          <w:szCs w:val="18"/>
          <w:highlight w:val="none"/>
          <w:lang w:val="en-US" w:eastAsia="zh-CN"/>
        </w:rPr>
        <w:t>3</w:t>
      </w:r>
      <w:r>
        <w:rPr>
          <w:rFonts w:hint="eastAsia" w:ascii="宋体" w:hAnsi="宋体"/>
          <w:color w:val="auto"/>
          <w:sz w:val="18"/>
          <w:szCs w:val="18"/>
          <w:highlight w:val="none"/>
        </w:rPr>
        <w:t>月)在单位购买社保的证明及任职满一个月的证明文件或能反映其任职情况的企业资质证书或公司章程等证明文件扫描件，否则不计分。</w:t>
      </w:r>
    </w:p>
    <w:p w14:paraId="2196C4F5">
      <w:pPr>
        <w:pStyle w:val="5"/>
        <w:rPr>
          <w:rFonts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color w:val="auto"/>
          <w:sz w:val="18"/>
          <w:szCs w:val="18"/>
          <w:highlight w:val="none"/>
          <w:lang w:eastAsia="zh-CN"/>
        </w:rPr>
        <w:t>7</w:t>
      </w:r>
      <w:r>
        <w:rPr>
          <w:rFonts w:hint="eastAsia" w:ascii="宋体" w:hAnsi="宋体"/>
          <w:color w:val="auto"/>
          <w:sz w:val="18"/>
          <w:szCs w:val="18"/>
          <w:highlight w:val="none"/>
        </w:rPr>
        <w:t>、投标人拟配备人员若为香港专业人士，并已在广东省住房和城乡建设主管部门备案，且备案的业务范围符合本项目对应要求的亦给予认可。香港专业人士的备案业务范围依据《广东省住房和城乡建设厅关于印发香港工程建设咨询企业和专业人士在粤港澳大湾区内地城市开业执业试点管理暂行办法的通知》（粤建规范〔2020〕1号）确定。</w:t>
      </w:r>
    </w:p>
    <w:p w14:paraId="65219AB5">
      <w:pPr>
        <w:pStyle w:val="5"/>
        <w:ind w:firstLine="282" w:firstLineChars="157"/>
        <w:rPr>
          <w:rFonts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color w:val="auto"/>
          <w:sz w:val="18"/>
          <w:szCs w:val="18"/>
          <w:highlight w:val="none"/>
          <w:lang w:eastAsia="zh-CN"/>
        </w:rPr>
        <w:t>8</w:t>
      </w:r>
      <w:r>
        <w:rPr>
          <w:rFonts w:hint="eastAsia" w:ascii="宋体" w:hAnsi="宋体"/>
          <w:color w:val="auto"/>
          <w:sz w:val="18"/>
          <w:szCs w:val="18"/>
          <w:highlight w:val="none"/>
        </w:rPr>
        <w:t>、根据住房城乡建设部、交通运输部、水利部、人力资源社会保障部关于印发《造价工程师职业资格制度规定》 《造价工程师职业资格考试实施办法》的通知（建人〔2018〕67号）第三十二条规定，根据原人事部、原建设部发布的《造价工程师执业资格制度暂行规定》（人发〔1996〕77号）取得的造价工程师注册执业证书与一级造价工程师注册执业证书效用等同。</w:t>
      </w:r>
    </w:p>
    <w:p w14:paraId="7991D04D">
      <w:pPr>
        <w:ind w:firstLine="360" w:firstLineChars="200"/>
        <w:rPr>
          <w:rFonts w:ascii="宋体" w:hAnsi="宋体"/>
          <w:color w:val="auto"/>
          <w:sz w:val="18"/>
          <w:szCs w:val="18"/>
          <w:highlight w:val="none"/>
        </w:rPr>
      </w:pPr>
      <w:r>
        <w:rPr>
          <w:rFonts w:hint="eastAsia" w:ascii="宋体" w:hAnsi="宋体"/>
          <w:color w:val="auto"/>
          <w:sz w:val="18"/>
          <w:szCs w:val="18"/>
          <w:highlight w:val="none"/>
          <w:lang w:val="en-US" w:eastAsia="zh-CN"/>
        </w:rPr>
        <w:t>9</w:t>
      </w:r>
      <w:r>
        <w:rPr>
          <w:rFonts w:hint="eastAsia" w:ascii="宋体" w:hAnsi="宋体"/>
          <w:color w:val="auto"/>
          <w:sz w:val="18"/>
          <w:szCs w:val="18"/>
          <w:highlight w:val="none"/>
        </w:rPr>
        <w:t>、本表按百分制评分，所有评委每个分项的分数汇总后去掉一个最高分和一个最低分的算术平均值为投标人的最终得分。分数出现小数点，保留小数点后二位小数，第三位小数四舍五入。</w:t>
      </w:r>
    </w:p>
    <w:p w14:paraId="3CF86332">
      <w:pPr>
        <w:ind w:firstLine="360" w:firstLineChars="200"/>
        <w:rPr>
          <w:color w:val="auto"/>
          <w:highlight w:val="none"/>
        </w:rPr>
      </w:pPr>
      <w:r>
        <w:rPr>
          <w:rFonts w:hint="eastAsia" w:ascii="宋体" w:hAnsi="宋体"/>
          <w:color w:val="auto"/>
          <w:sz w:val="18"/>
          <w:szCs w:val="18"/>
          <w:highlight w:val="none"/>
          <w:lang w:val="en-US" w:eastAsia="zh-CN"/>
        </w:rPr>
        <w:t>10</w:t>
      </w:r>
      <w:r>
        <w:rPr>
          <w:rFonts w:hint="eastAsia" w:ascii="宋体" w:hAnsi="宋体"/>
          <w:color w:val="auto"/>
          <w:sz w:val="18"/>
          <w:szCs w:val="18"/>
          <w:highlight w:val="none"/>
        </w:rPr>
        <w:t>、[a，b)为包含a，不包含b；（a，b]为包含b,不包含a。</w:t>
      </w:r>
    </w:p>
    <w:p w14:paraId="5ABDB0EF">
      <w:pPr>
        <w:widowControl/>
        <w:jc w:val="left"/>
        <w:rPr>
          <w:color w:val="auto"/>
          <w:szCs w:val="21"/>
          <w:highlight w:val="none"/>
        </w:rPr>
      </w:pPr>
      <w:r>
        <w:rPr>
          <w:color w:val="auto"/>
          <w:szCs w:val="21"/>
          <w:highlight w:val="none"/>
        </w:rPr>
        <w:br w:type="page"/>
      </w:r>
    </w:p>
    <w:p w14:paraId="64A86C65">
      <w:pPr>
        <w:rPr>
          <w:color w:val="auto"/>
          <w:sz w:val="24"/>
          <w:szCs w:val="24"/>
          <w:highlight w:val="none"/>
        </w:rPr>
      </w:pPr>
      <w:r>
        <w:rPr>
          <w:rFonts w:hint="eastAsia"/>
          <w:color w:val="auto"/>
          <w:szCs w:val="21"/>
          <w:highlight w:val="none"/>
        </w:rPr>
        <w:t>附表五（适用于区间抽取法）</w:t>
      </w:r>
    </w:p>
    <w:p w14:paraId="77A807A2">
      <w:pPr>
        <w:jc w:val="center"/>
        <w:rPr>
          <w:b/>
          <w:color w:val="auto"/>
          <w:sz w:val="36"/>
          <w:szCs w:val="36"/>
          <w:highlight w:val="none"/>
        </w:rPr>
      </w:pPr>
      <w:r>
        <w:rPr>
          <w:rFonts w:hint="eastAsia"/>
          <w:b/>
          <w:color w:val="auto"/>
          <w:sz w:val="36"/>
          <w:szCs w:val="36"/>
          <w:highlight w:val="none"/>
        </w:rPr>
        <w:t>经济标评分表</w:t>
      </w:r>
    </w:p>
    <w:p w14:paraId="6236E1C4">
      <w:pPr>
        <w:rPr>
          <w:color w:val="auto"/>
          <w:szCs w:val="21"/>
          <w:highlight w:val="none"/>
        </w:rPr>
      </w:pPr>
      <w:r>
        <w:rPr>
          <w:rFonts w:hint="eastAsia"/>
          <w:color w:val="auto"/>
          <w:szCs w:val="21"/>
          <w:highlight w:val="none"/>
        </w:rPr>
        <w:t>工程名称：</w:t>
      </w:r>
    </w:p>
    <w:tbl>
      <w:tblPr>
        <w:tblStyle w:val="1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1"/>
        <w:gridCol w:w="1031"/>
        <w:gridCol w:w="1031"/>
        <w:gridCol w:w="1031"/>
        <w:gridCol w:w="1031"/>
        <w:gridCol w:w="1031"/>
        <w:gridCol w:w="1031"/>
        <w:gridCol w:w="1031"/>
        <w:gridCol w:w="1031"/>
        <w:gridCol w:w="1031"/>
        <w:gridCol w:w="1031"/>
        <w:gridCol w:w="1032"/>
      </w:tblGrid>
      <w:tr w14:paraId="4612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74" w:type="dxa"/>
            <w:tcBorders>
              <w:top w:val="single" w:color="auto" w:sz="4" w:space="0"/>
              <w:left w:val="single" w:color="auto" w:sz="4" w:space="0"/>
              <w:bottom w:val="single" w:color="auto" w:sz="4" w:space="0"/>
              <w:right w:val="single" w:color="auto" w:sz="4" w:space="0"/>
            </w:tcBorders>
            <w:vAlign w:val="center"/>
          </w:tcPr>
          <w:p w14:paraId="2441B97B">
            <w:pPr>
              <w:rPr>
                <w:rFonts w:ascii="宋体" w:hAnsi="宋体"/>
                <w:color w:val="auto"/>
                <w:szCs w:val="21"/>
                <w:highlight w:val="none"/>
              </w:rPr>
            </w:pPr>
            <w:r>
              <w:rPr>
                <w:rFonts w:hint="eastAsia" w:ascii="宋体" w:hAnsi="宋体"/>
                <w:color w:val="auto"/>
                <w:szCs w:val="21"/>
                <w:highlight w:val="none"/>
              </w:rPr>
              <w:t>投标人名称</w:t>
            </w:r>
          </w:p>
        </w:tc>
        <w:tc>
          <w:tcPr>
            <w:tcW w:w="1031" w:type="dxa"/>
            <w:tcBorders>
              <w:top w:val="single" w:color="auto" w:sz="4" w:space="0"/>
              <w:left w:val="single" w:color="auto" w:sz="4" w:space="0"/>
              <w:bottom w:val="single" w:color="auto" w:sz="4" w:space="0"/>
              <w:right w:val="single" w:color="auto" w:sz="4" w:space="0"/>
            </w:tcBorders>
            <w:vAlign w:val="center"/>
          </w:tcPr>
          <w:p w14:paraId="77040FB1">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39BFCF9">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78338C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2C84389">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2C982B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B1ED17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D5C2BE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BB9C88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E4BE3F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EE28CE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F8731FE">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A5A90AB">
            <w:pPr>
              <w:rPr>
                <w:rFonts w:ascii="宋体" w:hAnsi="宋体"/>
                <w:color w:val="auto"/>
                <w:szCs w:val="21"/>
                <w:highlight w:val="none"/>
              </w:rPr>
            </w:pPr>
          </w:p>
        </w:tc>
      </w:tr>
      <w:tr w14:paraId="70E0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14:paraId="379FF1DC">
            <w:pPr>
              <w:rPr>
                <w:rFonts w:ascii="宋体" w:hAnsi="宋体"/>
                <w:color w:val="auto"/>
                <w:szCs w:val="21"/>
                <w:highlight w:val="none"/>
              </w:rPr>
            </w:pPr>
            <w:r>
              <w:rPr>
                <w:rFonts w:hint="eastAsia" w:ascii="宋体" w:hAnsi="宋体"/>
                <w:color w:val="auto"/>
                <w:szCs w:val="21"/>
                <w:highlight w:val="none"/>
              </w:rPr>
              <w:t>投标报价</w:t>
            </w:r>
            <w:r>
              <w:rPr>
                <w:rFonts w:ascii="宋体" w:hAnsi="宋体"/>
                <w:color w:val="auto"/>
                <w:szCs w:val="21"/>
                <w:highlight w:val="none"/>
              </w:rPr>
              <w:t>PT</w:t>
            </w:r>
            <w:r>
              <w:rPr>
                <w:rFonts w:hint="eastAsia" w:ascii="宋体" w:hAnsi="宋体"/>
                <w:color w:val="auto"/>
                <w:szCs w:val="21"/>
                <w:highlight w:val="none"/>
              </w:rPr>
              <w:t>（元）</w:t>
            </w:r>
          </w:p>
        </w:tc>
        <w:tc>
          <w:tcPr>
            <w:tcW w:w="1031" w:type="dxa"/>
            <w:tcBorders>
              <w:top w:val="single" w:color="auto" w:sz="4" w:space="0"/>
              <w:left w:val="single" w:color="auto" w:sz="4" w:space="0"/>
              <w:bottom w:val="single" w:color="auto" w:sz="4" w:space="0"/>
              <w:right w:val="single" w:color="auto" w:sz="4" w:space="0"/>
            </w:tcBorders>
            <w:vAlign w:val="center"/>
          </w:tcPr>
          <w:p w14:paraId="579D79EA">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7C8F87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360172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888116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83A451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1F3B29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6DEEF2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0243FD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20F2EA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A1D04B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2982B4A">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4E5538C">
            <w:pPr>
              <w:rPr>
                <w:rFonts w:ascii="宋体" w:hAnsi="宋体"/>
                <w:color w:val="auto"/>
                <w:szCs w:val="21"/>
                <w:highlight w:val="none"/>
              </w:rPr>
            </w:pPr>
          </w:p>
        </w:tc>
      </w:tr>
      <w:tr w14:paraId="7DCD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3E98D568">
            <w:pPr>
              <w:rPr>
                <w:rFonts w:ascii="宋体" w:hAnsi="宋体"/>
                <w:color w:val="auto"/>
                <w:szCs w:val="21"/>
                <w:highlight w:val="none"/>
              </w:rPr>
            </w:pPr>
            <w:r>
              <w:rPr>
                <w:rFonts w:hint="eastAsia" w:ascii="宋体" w:hAnsi="宋体"/>
                <w:color w:val="auto"/>
                <w:szCs w:val="21"/>
                <w:highlight w:val="none"/>
              </w:rPr>
              <w:t>计算评标参考价的等分点值X</w:t>
            </w:r>
          </w:p>
        </w:tc>
        <w:tc>
          <w:tcPr>
            <w:tcW w:w="12373" w:type="dxa"/>
            <w:gridSpan w:val="12"/>
            <w:tcBorders>
              <w:top w:val="single" w:color="auto" w:sz="4" w:space="0"/>
              <w:left w:val="single" w:color="auto" w:sz="4" w:space="0"/>
              <w:bottom w:val="single" w:color="auto" w:sz="4" w:space="0"/>
              <w:right w:val="single" w:color="auto" w:sz="4" w:space="0"/>
            </w:tcBorders>
            <w:vAlign w:val="center"/>
          </w:tcPr>
          <w:p w14:paraId="60F607E9">
            <w:pPr>
              <w:rPr>
                <w:rFonts w:ascii="宋体" w:hAnsi="宋体"/>
                <w:color w:val="auto"/>
                <w:szCs w:val="21"/>
                <w:highlight w:val="none"/>
              </w:rPr>
            </w:pPr>
          </w:p>
        </w:tc>
      </w:tr>
      <w:tr w14:paraId="45E2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5BC75003">
            <w:pPr>
              <w:rPr>
                <w:rFonts w:ascii="宋体" w:hAnsi="宋体"/>
                <w:color w:val="auto"/>
                <w:szCs w:val="21"/>
                <w:highlight w:val="none"/>
              </w:rPr>
            </w:pPr>
            <w:r>
              <w:rPr>
                <w:rFonts w:hint="eastAsia" w:ascii="宋体" w:hAnsi="宋体"/>
                <w:color w:val="auto"/>
                <w:szCs w:val="21"/>
                <w:highlight w:val="none"/>
              </w:rPr>
              <w:t>评标参考价PC（元）</w:t>
            </w:r>
          </w:p>
        </w:tc>
        <w:tc>
          <w:tcPr>
            <w:tcW w:w="12373" w:type="dxa"/>
            <w:gridSpan w:val="12"/>
            <w:tcBorders>
              <w:top w:val="single" w:color="auto" w:sz="4" w:space="0"/>
              <w:left w:val="single" w:color="auto" w:sz="4" w:space="0"/>
              <w:bottom w:val="single" w:color="auto" w:sz="4" w:space="0"/>
              <w:right w:val="single" w:color="auto" w:sz="4" w:space="0"/>
            </w:tcBorders>
            <w:vAlign w:val="center"/>
          </w:tcPr>
          <w:p w14:paraId="0DAC24E2">
            <w:pPr>
              <w:rPr>
                <w:rFonts w:ascii="宋体" w:hAnsi="宋体"/>
                <w:color w:val="auto"/>
                <w:szCs w:val="21"/>
                <w:highlight w:val="none"/>
              </w:rPr>
            </w:pPr>
          </w:p>
        </w:tc>
      </w:tr>
      <w:tr w14:paraId="559E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297A6242">
            <w:pPr>
              <w:rPr>
                <w:rFonts w:ascii="宋体" w:hAnsi="宋体"/>
                <w:color w:val="auto"/>
                <w:szCs w:val="21"/>
                <w:highlight w:val="none"/>
              </w:rPr>
            </w:pPr>
            <w:r>
              <w:rPr>
                <w:rFonts w:hint="eastAsia" w:ascii="宋体" w:hAnsi="宋体"/>
                <w:color w:val="auto"/>
                <w:szCs w:val="21"/>
                <w:highlight w:val="none"/>
              </w:rPr>
              <w:t>偏差（（</w:t>
            </w:r>
            <w:r>
              <w:rPr>
                <w:rFonts w:ascii="宋体" w:hAnsi="宋体"/>
                <w:color w:val="auto"/>
                <w:szCs w:val="21"/>
                <w:highlight w:val="none"/>
              </w:rPr>
              <w:t>PT-PC</w:t>
            </w:r>
            <w:r>
              <w:rPr>
                <w:rFonts w:hint="eastAsia" w:ascii="宋体" w:hAnsi="宋体"/>
                <w:color w:val="auto"/>
                <w:szCs w:val="21"/>
                <w:highlight w:val="none"/>
              </w:rPr>
              <w:t>）</w:t>
            </w:r>
            <w:r>
              <w:rPr>
                <w:rFonts w:ascii="宋体" w:hAnsi="宋体"/>
                <w:color w:val="auto"/>
                <w:szCs w:val="21"/>
                <w:highlight w:val="none"/>
              </w:rPr>
              <w:t>/PC</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w:t>
            </w:r>
          </w:p>
        </w:tc>
        <w:tc>
          <w:tcPr>
            <w:tcW w:w="1031" w:type="dxa"/>
            <w:tcBorders>
              <w:top w:val="single" w:color="auto" w:sz="4" w:space="0"/>
              <w:left w:val="single" w:color="auto" w:sz="4" w:space="0"/>
              <w:bottom w:val="single" w:color="auto" w:sz="4" w:space="0"/>
              <w:right w:val="single" w:color="auto" w:sz="4" w:space="0"/>
            </w:tcBorders>
            <w:vAlign w:val="center"/>
          </w:tcPr>
          <w:p w14:paraId="1C4E3DA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8B34E3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4ADDF2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4F411A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05CBB6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A1A8B5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81CB17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ED30B8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4F163D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A23202A">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BDAB861">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35C972D">
            <w:pPr>
              <w:rPr>
                <w:rFonts w:ascii="宋体" w:hAnsi="宋体"/>
                <w:color w:val="auto"/>
                <w:szCs w:val="21"/>
                <w:highlight w:val="none"/>
              </w:rPr>
            </w:pPr>
          </w:p>
        </w:tc>
      </w:tr>
      <w:tr w14:paraId="3FB0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14:paraId="186967AC">
            <w:pPr>
              <w:rPr>
                <w:rFonts w:ascii="宋体" w:hAnsi="宋体"/>
                <w:color w:val="auto"/>
                <w:szCs w:val="21"/>
                <w:highlight w:val="none"/>
              </w:rPr>
            </w:pPr>
            <w:r>
              <w:rPr>
                <w:rFonts w:hint="eastAsia" w:ascii="宋体" w:hAnsi="宋体"/>
                <w:color w:val="auto"/>
                <w:szCs w:val="21"/>
                <w:highlight w:val="none"/>
              </w:rPr>
              <w:t>减分（</w:t>
            </w:r>
            <w:r>
              <w:rPr>
                <w:rFonts w:ascii="宋体" w:hAnsi="宋体"/>
                <w:color w:val="auto"/>
                <w:szCs w:val="21"/>
                <w:highlight w:val="none"/>
              </w:rPr>
              <w:t>A</w:t>
            </w:r>
            <w:r>
              <w:rPr>
                <w:rFonts w:hint="eastAsia" w:ascii="宋体" w:hAnsi="宋体"/>
                <w:color w:val="auto"/>
                <w:szCs w:val="21"/>
                <w:highlight w:val="none"/>
              </w:rPr>
              <w:t>）</w:t>
            </w:r>
          </w:p>
        </w:tc>
        <w:tc>
          <w:tcPr>
            <w:tcW w:w="1031" w:type="dxa"/>
            <w:tcBorders>
              <w:top w:val="single" w:color="auto" w:sz="4" w:space="0"/>
              <w:left w:val="single" w:color="auto" w:sz="4" w:space="0"/>
              <w:bottom w:val="single" w:color="auto" w:sz="4" w:space="0"/>
              <w:right w:val="single" w:color="auto" w:sz="4" w:space="0"/>
            </w:tcBorders>
            <w:vAlign w:val="center"/>
          </w:tcPr>
          <w:p w14:paraId="32E74B41">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A0F874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6C6C34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CA85DF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D40438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7CE1D5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4A36DDA">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36AFC9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79DBDF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388E3A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984DA4B">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2187B4F">
            <w:pPr>
              <w:rPr>
                <w:rFonts w:ascii="宋体" w:hAnsi="宋体"/>
                <w:color w:val="auto"/>
                <w:szCs w:val="21"/>
                <w:highlight w:val="none"/>
              </w:rPr>
            </w:pPr>
          </w:p>
        </w:tc>
      </w:tr>
      <w:tr w14:paraId="185C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7D094692">
            <w:pPr>
              <w:rPr>
                <w:rFonts w:ascii="宋体" w:hAnsi="宋体"/>
                <w:color w:val="auto"/>
                <w:szCs w:val="21"/>
                <w:highlight w:val="none"/>
              </w:rPr>
            </w:pPr>
            <w:r>
              <w:rPr>
                <w:rFonts w:hint="eastAsia" w:ascii="宋体" w:hAnsi="宋体"/>
                <w:color w:val="auto"/>
                <w:szCs w:val="21"/>
                <w:highlight w:val="none"/>
              </w:rPr>
              <w:t>得分</w:t>
            </w:r>
            <w:r>
              <w:rPr>
                <w:rFonts w:ascii="宋体" w:hAnsi="宋体"/>
                <w:color w:val="auto"/>
                <w:szCs w:val="21"/>
                <w:highlight w:val="none"/>
              </w:rPr>
              <w:t>(I=100-A)</w:t>
            </w:r>
          </w:p>
        </w:tc>
        <w:tc>
          <w:tcPr>
            <w:tcW w:w="1031" w:type="dxa"/>
            <w:tcBorders>
              <w:top w:val="single" w:color="auto" w:sz="4" w:space="0"/>
              <w:left w:val="single" w:color="auto" w:sz="4" w:space="0"/>
              <w:bottom w:val="single" w:color="auto" w:sz="4" w:space="0"/>
              <w:right w:val="single" w:color="auto" w:sz="4" w:space="0"/>
            </w:tcBorders>
            <w:vAlign w:val="center"/>
          </w:tcPr>
          <w:p w14:paraId="44F1E32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3C8B96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957E28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BF2147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D4D478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981EDE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C966E0A">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FE8B72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83CACE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3EA57C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B7EFA2A">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A2F82C0">
            <w:pPr>
              <w:rPr>
                <w:rFonts w:ascii="宋体" w:hAnsi="宋体"/>
                <w:color w:val="auto"/>
                <w:szCs w:val="21"/>
                <w:highlight w:val="none"/>
              </w:rPr>
            </w:pPr>
          </w:p>
        </w:tc>
      </w:tr>
      <w:tr w14:paraId="7E25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244F8083">
            <w:pPr>
              <w:rPr>
                <w:rFonts w:ascii="宋体" w:hAnsi="宋体"/>
                <w:color w:val="auto"/>
                <w:szCs w:val="21"/>
                <w:highlight w:val="none"/>
              </w:rPr>
            </w:pPr>
            <w:r>
              <w:rPr>
                <w:rFonts w:hint="eastAsia" w:ascii="宋体" w:hAnsi="宋体"/>
                <w:color w:val="auto"/>
                <w:szCs w:val="21"/>
                <w:highlight w:val="none"/>
              </w:rPr>
              <w:t>得分排名次序</w:t>
            </w:r>
          </w:p>
        </w:tc>
        <w:tc>
          <w:tcPr>
            <w:tcW w:w="1031" w:type="dxa"/>
            <w:tcBorders>
              <w:top w:val="single" w:color="auto" w:sz="4" w:space="0"/>
              <w:left w:val="single" w:color="auto" w:sz="4" w:space="0"/>
              <w:bottom w:val="single" w:color="auto" w:sz="4" w:space="0"/>
              <w:right w:val="single" w:color="auto" w:sz="4" w:space="0"/>
            </w:tcBorders>
            <w:vAlign w:val="center"/>
          </w:tcPr>
          <w:p w14:paraId="3CAB85A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912758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E6781C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E4A9EB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949C75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CD7C3D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AD569B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EE4281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F1241D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72837E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E2A6A25">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84061D5">
            <w:pPr>
              <w:rPr>
                <w:rFonts w:ascii="宋体" w:hAnsi="宋体"/>
                <w:color w:val="auto"/>
                <w:szCs w:val="21"/>
                <w:highlight w:val="none"/>
              </w:rPr>
            </w:pPr>
          </w:p>
        </w:tc>
      </w:tr>
    </w:tbl>
    <w:p w14:paraId="16F3214E">
      <w:pPr>
        <w:rPr>
          <w:color w:val="auto"/>
          <w:szCs w:val="21"/>
          <w:highlight w:val="none"/>
        </w:rPr>
      </w:pPr>
      <w:r>
        <w:rPr>
          <w:rFonts w:hint="eastAsia"/>
          <w:color w:val="auto"/>
          <w:szCs w:val="21"/>
          <w:highlight w:val="none"/>
        </w:rPr>
        <w:t>评委签名：</w:t>
      </w:r>
    </w:p>
    <w:p w14:paraId="49500DFE">
      <w:pPr>
        <w:rPr>
          <w:b/>
          <w:color w:val="auto"/>
          <w:szCs w:val="21"/>
          <w:highlight w:val="none"/>
        </w:rPr>
      </w:pPr>
      <w:r>
        <w:rPr>
          <w:b/>
          <w:color w:val="auto"/>
          <w:sz w:val="36"/>
          <w:szCs w:val="36"/>
          <w:highlight w:val="none"/>
        </w:rPr>
        <w:br w:type="page"/>
      </w:r>
      <w:r>
        <w:rPr>
          <w:rFonts w:hint="eastAsia"/>
          <w:color w:val="auto"/>
          <w:szCs w:val="21"/>
          <w:highlight w:val="none"/>
        </w:rPr>
        <w:t>附表六</w:t>
      </w:r>
    </w:p>
    <w:p w14:paraId="07ED458A">
      <w:pPr>
        <w:jc w:val="center"/>
        <w:rPr>
          <w:b/>
          <w:color w:val="auto"/>
          <w:sz w:val="36"/>
          <w:szCs w:val="36"/>
          <w:highlight w:val="none"/>
        </w:rPr>
      </w:pPr>
      <w:r>
        <w:rPr>
          <w:rFonts w:hint="eastAsia"/>
          <w:b/>
          <w:color w:val="auto"/>
          <w:sz w:val="36"/>
          <w:szCs w:val="36"/>
          <w:highlight w:val="none"/>
        </w:rPr>
        <w:t>算术复核表</w:t>
      </w:r>
    </w:p>
    <w:p w14:paraId="595CB958">
      <w:pPr>
        <w:rPr>
          <w:rFonts w:ascii="宋体" w:hAnsi="宋体"/>
          <w:color w:val="auto"/>
          <w:kern w:val="0"/>
          <w:szCs w:val="21"/>
          <w:highlight w:val="none"/>
        </w:rPr>
      </w:pPr>
      <w:r>
        <w:rPr>
          <w:rFonts w:hint="eastAsia"/>
          <w:color w:val="auto"/>
          <w:kern w:val="0"/>
          <w:szCs w:val="21"/>
          <w:highlight w:val="none"/>
        </w:rPr>
        <w:t>工程名称：</w:t>
      </w:r>
      <w:r>
        <w:rPr>
          <w:color w:val="auto"/>
          <w:kern w:val="0"/>
          <w:szCs w:val="21"/>
          <w:highlight w:val="non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投标人</w:t>
      </w:r>
      <w:r>
        <w:rPr>
          <w:rFonts w:ascii="宋体" w:hAnsi="宋体"/>
          <w:color w:val="auto"/>
          <w:kern w:val="0"/>
          <w:szCs w:val="21"/>
          <w:highlight w:val="none"/>
        </w:rPr>
        <w:t xml:space="preserve">:                                                  </w:t>
      </w:r>
      <w:r>
        <w:rPr>
          <w:rFonts w:hint="eastAsia" w:ascii="宋体" w:hAnsi="宋体"/>
          <w:color w:val="auto"/>
          <w:kern w:val="0"/>
          <w:szCs w:val="21"/>
          <w:highlight w:val="none"/>
        </w:rPr>
        <w:t>单位：元</w:t>
      </w:r>
    </w:p>
    <w:tbl>
      <w:tblPr>
        <w:tblStyle w:val="17"/>
        <w:tblW w:w="14820" w:type="dxa"/>
        <w:tblInd w:w="0" w:type="dxa"/>
        <w:tblLayout w:type="fixed"/>
        <w:tblCellMar>
          <w:top w:w="0" w:type="dxa"/>
          <w:left w:w="108" w:type="dxa"/>
          <w:bottom w:w="0" w:type="dxa"/>
          <w:right w:w="108" w:type="dxa"/>
        </w:tblCellMar>
      </w:tblPr>
      <w:tblGrid>
        <w:gridCol w:w="645"/>
        <w:gridCol w:w="4488"/>
        <w:gridCol w:w="1602"/>
        <w:gridCol w:w="1575"/>
        <w:gridCol w:w="1575"/>
        <w:gridCol w:w="1470"/>
        <w:gridCol w:w="3465"/>
      </w:tblGrid>
      <w:tr w14:paraId="19572DB1">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vAlign w:val="center"/>
          </w:tcPr>
          <w:p w14:paraId="05E98ED5">
            <w:pPr>
              <w:rPr>
                <w:rFonts w:ascii="宋体" w:hAnsi="宋体"/>
                <w:color w:val="auto"/>
                <w:kern w:val="0"/>
                <w:szCs w:val="21"/>
                <w:highlight w:val="none"/>
              </w:rPr>
            </w:pPr>
            <w:r>
              <w:rPr>
                <w:rFonts w:hint="eastAsia" w:ascii="宋体" w:hAnsi="宋体"/>
                <w:color w:val="auto"/>
                <w:kern w:val="0"/>
                <w:szCs w:val="21"/>
                <w:highlight w:val="none"/>
              </w:rPr>
              <w:t>编号</w:t>
            </w:r>
          </w:p>
        </w:tc>
        <w:tc>
          <w:tcPr>
            <w:tcW w:w="4488" w:type="dxa"/>
            <w:tcBorders>
              <w:top w:val="single" w:color="auto" w:sz="4" w:space="0"/>
              <w:left w:val="nil"/>
              <w:bottom w:val="single" w:color="auto" w:sz="4" w:space="0"/>
              <w:right w:val="single" w:color="auto" w:sz="4" w:space="0"/>
            </w:tcBorders>
            <w:vAlign w:val="center"/>
          </w:tcPr>
          <w:p w14:paraId="543D9D3A">
            <w:pPr>
              <w:rPr>
                <w:rFonts w:ascii="宋体" w:hAnsi="宋体"/>
                <w:color w:val="auto"/>
                <w:kern w:val="0"/>
                <w:szCs w:val="21"/>
                <w:highlight w:val="none"/>
              </w:rPr>
            </w:pPr>
            <w:r>
              <w:rPr>
                <w:rFonts w:hint="eastAsia" w:ascii="宋体" w:hAnsi="宋体"/>
                <w:color w:val="auto"/>
                <w:kern w:val="0"/>
                <w:szCs w:val="21"/>
                <w:highlight w:val="none"/>
              </w:rPr>
              <w:t>算术校核项目</w:t>
            </w:r>
          </w:p>
        </w:tc>
        <w:tc>
          <w:tcPr>
            <w:tcW w:w="1602" w:type="dxa"/>
            <w:tcBorders>
              <w:top w:val="single" w:color="auto" w:sz="4" w:space="0"/>
              <w:left w:val="nil"/>
              <w:bottom w:val="single" w:color="auto" w:sz="4" w:space="0"/>
              <w:right w:val="single" w:color="auto" w:sz="4" w:space="0"/>
            </w:tcBorders>
            <w:vAlign w:val="center"/>
          </w:tcPr>
          <w:p w14:paraId="2C7A5C99">
            <w:pPr>
              <w:rPr>
                <w:rFonts w:ascii="宋体" w:hAnsi="宋体"/>
                <w:color w:val="auto"/>
                <w:kern w:val="0"/>
                <w:szCs w:val="21"/>
                <w:highlight w:val="none"/>
              </w:rPr>
            </w:pPr>
            <w:r>
              <w:rPr>
                <w:rFonts w:hint="eastAsia" w:ascii="宋体" w:hAnsi="宋体"/>
                <w:color w:val="auto"/>
                <w:kern w:val="0"/>
                <w:szCs w:val="21"/>
                <w:highlight w:val="none"/>
              </w:rPr>
              <w:t>修正前投标</w:t>
            </w:r>
          </w:p>
          <w:p w14:paraId="5CA00058">
            <w:pPr>
              <w:rPr>
                <w:rFonts w:ascii="宋体" w:hAnsi="宋体"/>
                <w:color w:val="auto"/>
                <w:kern w:val="0"/>
                <w:szCs w:val="21"/>
                <w:highlight w:val="none"/>
              </w:rPr>
            </w:pPr>
            <w:r>
              <w:rPr>
                <w:rFonts w:hint="eastAsia" w:ascii="宋体" w:hAnsi="宋体"/>
                <w:color w:val="auto"/>
                <w:kern w:val="0"/>
                <w:szCs w:val="21"/>
                <w:highlight w:val="none"/>
              </w:rPr>
              <w:t>报价</w:t>
            </w:r>
            <w:r>
              <w:rPr>
                <w:rFonts w:ascii="宋体" w:hAnsi="宋体"/>
                <w:color w:val="auto"/>
                <w:kern w:val="0"/>
                <w:szCs w:val="21"/>
                <w:highlight w:val="none"/>
              </w:rPr>
              <w:t>A</w:t>
            </w:r>
          </w:p>
        </w:tc>
        <w:tc>
          <w:tcPr>
            <w:tcW w:w="1575" w:type="dxa"/>
            <w:tcBorders>
              <w:top w:val="single" w:color="auto" w:sz="4" w:space="0"/>
              <w:left w:val="nil"/>
              <w:bottom w:val="single" w:color="auto" w:sz="4" w:space="0"/>
              <w:right w:val="single" w:color="auto" w:sz="4" w:space="0"/>
            </w:tcBorders>
            <w:vAlign w:val="center"/>
          </w:tcPr>
          <w:p w14:paraId="422F39BC">
            <w:pPr>
              <w:rPr>
                <w:rFonts w:ascii="宋体" w:hAnsi="宋体"/>
                <w:color w:val="auto"/>
                <w:kern w:val="0"/>
                <w:szCs w:val="21"/>
                <w:highlight w:val="none"/>
              </w:rPr>
            </w:pPr>
            <w:r>
              <w:rPr>
                <w:rFonts w:hint="eastAsia" w:ascii="宋体" w:hAnsi="宋体"/>
                <w:color w:val="auto"/>
                <w:kern w:val="0"/>
                <w:szCs w:val="21"/>
                <w:highlight w:val="none"/>
              </w:rPr>
              <w:t>修正后投标</w:t>
            </w:r>
          </w:p>
          <w:p w14:paraId="3C5DDC4D">
            <w:pPr>
              <w:rPr>
                <w:rFonts w:ascii="宋体" w:hAnsi="宋体"/>
                <w:color w:val="auto"/>
                <w:kern w:val="0"/>
                <w:szCs w:val="21"/>
                <w:highlight w:val="none"/>
              </w:rPr>
            </w:pPr>
            <w:r>
              <w:rPr>
                <w:rFonts w:hint="eastAsia" w:ascii="宋体" w:hAnsi="宋体"/>
                <w:color w:val="auto"/>
                <w:kern w:val="0"/>
                <w:szCs w:val="21"/>
                <w:highlight w:val="none"/>
              </w:rPr>
              <w:t>报价</w:t>
            </w:r>
            <w:r>
              <w:rPr>
                <w:rFonts w:ascii="宋体" w:hAnsi="宋体"/>
                <w:color w:val="auto"/>
                <w:kern w:val="0"/>
                <w:szCs w:val="21"/>
                <w:highlight w:val="none"/>
              </w:rPr>
              <w:t>B</w:t>
            </w:r>
          </w:p>
        </w:tc>
        <w:tc>
          <w:tcPr>
            <w:tcW w:w="1575" w:type="dxa"/>
            <w:tcBorders>
              <w:top w:val="single" w:color="auto" w:sz="4" w:space="0"/>
              <w:left w:val="nil"/>
              <w:bottom w:val="single" w:color="auto" w:sz="4" w:space="0"/>
              <w:right w:val="single" w:color="auto" w:sz="4" w:space="0"/>
            </w:tcBorders>
            <w:vAlign w:val="center"/>
          </w:tcPr>
          <w:p w14:paraId="14504960">
            <w:pPr>
              <w:rPr>
                <w:rFonts w:ascii="宋体" w:hAnsi="宋体"/>
                <w:color w:val="auto"/>
                <w:kern w:val="0"/>
                <w:szCs w:val="21"/>
                <w:highlight w:val="none"/>
              </w:rPr>
            </w:pPr>
            <w:r>
              <w:rPr>
                <w:rFonts w:hint="eastAsia" w:ascii="宋体" w:hAnsi="宋体"/>
                <w:color w:val="auto"/>
                <w:kern w:val="0"/>
                <w:szCs w:val="21"/>
                <w:highlight w:val="none"/>
              </w:rPr>
              <w:t>修正率</w:t>
            </w:r>
            <w:r>
              <w:rPr>
                <w:rFonts w:ascii="宋体" w:hAnsi="宋体"/>
                <w:color w:val="auto"/>
                <w:kern w:val="0"/>
                <w:szCs w:val="21"/>
                <w:highlight w:val="none"/>
              </w:rPr>
              <w:br w:type="textWrapping"/>
            </w:r>
            <w:r>
              <w:rPr>
                <w:rFonts w:ascii="宋体" w:hAnsi="宋体"/>
                <w:color w:val="auto"/>
                <w:kern w:val="0"/>
                <w:szCs w:val="21"/>
                <w:highlight w:val="none"/>
              </w:rPr>
              <w:t>r=|A-B|/A*100%</w:t>
            </w:r>
          </w:p>
        </w:tc>
        <w:tc>
          <w:tcPr>
            <w:tcW w:w="1470" w:type="dxa"/>
            <w:tcBorders>
              <w:top w:val="single" w:color="auto" w:sz="4" w:space="0"/>
              <w:left w:val="nil"/>
              <w:bottom w:val="single" w:color="auto" w:sz="4" w:space="0"/>
              <w:right w:val="single" w:color="auto" w:sz="4" w:space="0"/>
            </w:tcBorders>
            <w:vAlign w:val="center"/>
          </w:tcPr>
          <w:p w14:paraId="3EECFCFA">
            <w:pPr>
              <w:rPr>
                <w:rFonts w:ascii="宋体" w:hAnsi="宋体"/>
                <w:color w:val="auto"/>
                <w:kern w:val="0"/>
                <w:szCs w:val="21"/>
                <w:highlight w:val="none"/>
              </w:rPr>
            </w:pPr>
            <w:r>
              <w:rPr>
                <w:rFonts w:hint="eastAsia" w:ascii="宋体" w:hAnsi="宋体"/>
                <w:color w:val="auto"/>
                <w:kern w:val="0"/>
                <w:szCs w:val="21"/>
                <w:highlight w:val="none"/>
              </w:rPr>
              <w:t>经评审的最终投标报价</w:t>
            </w:r>
          </w:p>
        </w:tc>
        <w:tc>
          <w:tcPr>
            <w:tcW w:w="3465" w:type="dxa"/>
            <w:tcBorders>
              <w:top w:val="single" w:color="auto" w:sz="4" w:space="0"/>
              <w:left w:val="nil"/>
              <w:bottom w:val="single" w:color="auto" w:sz="4" w:space="0"/>
              <w:right w:val="single" w:color="auto" w:sz="4" w:space="0"/>
            </w:tcBorders>
            <w:vAlign w:val="center"/>
          </w:tcPr>
          <w:p w14:paraId="486E696D">
            <w:pPr>
              <w:rPr>
                <w:rFonts w:ascii="宋体" w:hAnsi="宋体"/>
                <w:color w:val="auto"/>
                <w:kern w:val="0"/>
                <w:szCs w:val="21"/>
                <w:highlight w:val="none"/>
              </w:rPr>
            </w:pPr>
            <w:r>
              <w:rPr>
                <w:rFonts w:hint="eastAsia" w:ascii="宋体" w:hAnsi="宋体"/>
                <w:color w:val="auto"/>
                <w:kern w:val="0"/>
                <w:szCs w:val="21"/>
                <w:highlight w:val="none"/>
              </w:rPr>
              <w:t>当</w:t>
            </w:r>
            <w:r>
              <w:rPr>
                <w:rFonts w:ascii="宋体" w:hAnsi="宋体"/>
                <w:color w:val="auto"/>
                <w:kern w:val="0"/>
                <w:szCs w:val="21"/>
                <w:highlight w:val="none"/>
              </w:rPr>
              <w:t>B&gt;A</w:t>
            </w:r>
            <w:r>
              <w:rPr>
                <w:rFonts w:hint="eastAsia" w:ascii="宋体" w:hAnsi="宋体"/>
                <w:color w:val="auto"/>
                <w:kern w:val="0"/>
                <w:szCs w:val="21"/>
                <w:highlight w:val="none"/>
              </w:rPr>
              <w:t>时，修正后报价与原报价的差额；当</w:t>
            </w:r>
            <w:r>
              <w:rPr>
                <w:rFonts w:ascii="宋体" w:hAnsi="宋体"/>
                <w:color w:val="auto"/>
                <w:kern w:val="0"/>
                <w:szCs w:val="21"/>
                <w:highlight w:val="none"/>
              </w:rPr>
              <w:t>B</w:t>
            </w:r>
            <w:r>
              <w:rPr>
                <w:rFonts w:hint="eastAsia" w:ascii="宋体" w:hAnsi="宋体"/>
                <w:color w:val="auto"/>
                <w:kern w:val="0"/>
                <w:szCs w:val="21"/>
                <w:highlight w:val="none"/>
              </w:rPr>
              <w:t>≤</w:t>
            </w:r>
            <w:r>
              <w:rPr>
                <w:rFonts w:ascii="宋体" w:hAnsi="宋体"/>
                <w:color w:val="auto"/>
                <w:kern w:val="0"/>
                <w:szCs w:val="21"/>
                <w:highlight w:val="none"/>
              </w:rPr>
              <w:t>A</w:t>
            </w:r>
            <w:r>
              <w:rPr>
                <w:rFonts w:hint="eastAsia" w:ascii="宋体" w:hAnsi="宋体"/>
                <w:color w:val="auto"/>
                <w:kern w:val="0"/>
                <w:szCs w:val="21"/>
                <w:highlight w:val="none"/>
              </w:rPr>
              <w:t>时</w:t>
            </w:r>
            <w:r>
              <w:rPr>
                <w:rFonts w:ascii="宋体" w:hAnsi="宋体"/>
                <w:color w:val="auto"/>
                <w:kern w:val="0"/>
                <w:szCs w:val="21"/>
                <w:highlight w:val="none"/>
              </w:rPr>
              <w:t>,R=0</w:t>
            </w:r>
          </w:p>
        </w:tc>
      </w:tr>
      <w:tr w14:paraId="6821349A">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5D9ECC78">
            <w:pPr>
              <w:rPr>
                <w:rFonts w:ascii="宋体" w:hAnsi="宋体"/>
                <w:color w:val="auto"/>
                <w:kern w:val="0"/>
                <w:szCs w:val="21"/>
                <w:highlight w:val="none"/>
              </w:rPr>
            </w:pPr>
            <w:r>
              <w:rPr>
                <w:rFonts w:ascii="宋体" w:hAnsi="宋体"/>
                <w:color w:val="auto"/>
                <w:kern w:val="0"/>
                <w:szCs w:val="21"/>
                <w:highlight w:val="none"/>
              </w:rPr>
              <w:t>1</w:t>
            </w:r>
          </w:p>
        </w:tc>
        <w:tc>
          <w:tcPr>
            <w:tcW w:w="4488" w:type="dxa"/>
            <w:tcBorders>
              <w:top w:val="nil"/>
              <w:left w:val="nil"/>
              <w:bottom w:val="single" w:color="auto" w:sz="4" w:space="0"/>
              <w:right w:val="single" w:color="auto" w:sz="4" w:space="0"/>
            </w:tcBorders>
            <w:vAlign w:val="center"/>
          </w:tcPr>
          <w:p w14:paraId="49739CC7">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1]</w:t>
            </w:r>
          </w:p>
        </w:tc>
        <w:tc>
          <w:tcPr>
            <w:tcW w:w="1602" w:type="dxa"/>
            <w:tcBorders>
              <w:top w:val="nil"/>
              <w:left w:val="nil"/>
              <w:bottom w:val="single" w:color="auto" w:sz="4" w:space="0"/>
              <w:right w:val="single" w:color="auto" w:sz="4" w:space="0"/>
            </w:tcBorders>
            <w:vAlign w:val="center"/>
          </w:tcPr>
          <w:p w14:paraId="654617D9">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FD88FB8">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7D081E95">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16245300">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394EF50B">
            <w:pPr>
              <w:rPr>
                <w:rFonts w:ascii="宋体" w:hAnsi="宋体"/>
                <w:color w:val="auto"/>
                <w:kern w:val="0"/>
                <w:szCs w:val="21"/>
                <w:highlight w:val="none"/>
              </w:rPr>
            </w:pPr>
          </w:p>
        </w:tc>
      </w:tr>
      <w:tr w14:paraId="26369A02">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4ADC8B9D">
            <w:pPr>
              <w:rPr>
                <w:rFonts w:ascii="宋体" w:hAnsi="宋体"/>
                <w:color w:val="auto"/>
                <w:kern w:val="0"/>
                <w:szCs w:val="21"/>
                <w:highlight w:val="none"/>
              </w:rPr>
            </w:pPr>
            <w:r>
              <w:rPr>
                <w:rFonts w:ascii="宋体" w:hAnsi="宋体"/>
                <w:color w:val="auto"/>
                <w:kern w:val="0"/>
                <w:szCs w:val="21"/>
                <w:highlight w:val="none"/>
              </w:rPr>
              <w:t>2</w:t>
            </w:r>
          </w:p>
        </w:tc>
        <w:tc>
          <w:tcPr>
            <w:tcW w:w="4488" w:type="dxa"/>
            <w:tcBorders>
              <w:top w:val="nil"/>
              <w:left w:val="nil"/>
              <w:bottom w:val="single" w:color="auto" w:sz="4" w:space="0"/>
              <w:right w:val="single" w:color="auto" w:sz="4" w:space="0"/>
            </w:tcBorders>
            <w:vAlign w:val="center"/>
          </w:tcPr>
          <w:p w14:paraId="547F3922">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2]</w:t>
            </w:r>
          </w:p>
        </w:tc>
        <w:tc>
          <w:tcPr>
            <w:tcW w:w="1602" w:type="dxa"/>
            <w:tcBorders>
              <w:top w:val="nil"/>
              <w:left w:val="nil"/>
              <w:bottom w:val="single" w:color="auto" w:sz="4" w:space="0"/>
              <w:right w:val="single" w:color="auto" w:sz="4" w:space="0"/>
            </w:tcBorders>
            <w:vAlign w:val="center"/>
          </w:tcPr>
          <w:p w14:paraId="105ECD63">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76310B51">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FB36F08">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25058483">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2ED4CCB8">
            <w:pPr>
              <w:rPr>
                <w:rFonts w:ascii="宋体" w:hAnsi="宋体"/>
                <w:color w:val="auto"/>
                <w:kern w:val="0"/>
                <w:szCs w:val="21"/>
                <w:highlight w:val="none"/>
              </w:rPr>
            </w:pPr>
          </w:p>
        </w:tc>
      </w:tr>
      <w:tr w14:paraId="20F7E155">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1EADFC48">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762BE772">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7A37DC43">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7603C599">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5A25C38F">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114B2C56">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7A98AC01">
            <w:pPr>
              <w:rPr>
                <w:rFonts w:ascii="宋体" w:hAnsi="宋体"/>
                <w:color w:val="auto"/>
                <w:kern w:val="0"/>
                <w:szCs w:val="21"/>
                <w:highlight w:val="none"/>
              </w:rPr>
            </w:pPr>
          </w:p>
        </w:tc>
      </w:tr>
      <w:tr w14:paraId="7631E86C">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77B1EE33">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21763F88">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37131639">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67C02F7E">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2CD4E780">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4A23A6A4">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7D2EF88E">
            <w:pPr>
              <w:rPr>
                <w:rFonts w:ascii="宋体" w:hAnsi="宋体"/>
                <w:color w:val="auto"/>
                <w:kern w:val="0"/>
                <w:szCs w:val="21"/>
                <w:highlight w:val="none"/>
              </w:rPr>
            </w:pPr>
          </w:p>
        </w:tc>
      </w:tr>
      <w:tr w14:paraId="63AF74C7">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615F0201">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72F13DAB">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313914F7">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2E9E2FF6">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07DACFB7">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659E3AAE">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40DA7F9E">
            <w:pPr>
              <w:rPr>
                <w:rFonts w:ascii="宋体" w:hAnsi="宋体"/>
                <w:color w:val="auto"/>
                <w:kern w:val="0"/>
                <w:szCs w:val="21"/>
                <w:highlight w:val="none"/>
              </w:rPr>
            </w:pPr>
          </w:p>
        </w:tc>
      </w:tr>
      <w:tr w14:paraId="04EC6371">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0100EF53">
            <w:pPr>
              <w:rPr>
                <w:rFonts w:ascii="宋体" w:hAnsi="宋体"/>
                <w:color w:val="auto"/>
                <w:kern w:val="0"/>
                <w:szCs w:val="21"/>
                <w:highlight w:val="none"/>
              </w:rPr>
            </w:pPr>
            <w:r>
              <w:rPr>
                <w:rFonts w:ascii="宋体" w:hAnsi="宋体"/>
                <w:color w:val="auto"/>
                <w:kern w:val="0"/>
                <w:szCs w:val="21"/>
                <w:highlight w:val="none"/>
              </w:rPr>
              <w:t>n</w:t>
            </w:r>
          </w:p>
        </w:tc>
        <w:tc>
          <w:tcPr>
            <w:tcW w:w="4488" w:type="dxa"/>
            <w:tcBorders>
              <w:top w:val="nil"/>
              <w:left w:val="nil"/>
              <w:bottom w:val="single" w:color="auto" w:sz="4" w:space="0"/>
              <w:right w:val="single" w:color="auto" w:sz="4" w:space="0"/>
            </w:tcBorders>
            <w:vAlign w:val="center"/>
          </w:tcPr>
          <w:p w14:paraId="3852E30E">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n]</w:t>
            </w:r>
          </w:p>
        </w:tc>
        <w:tc>
          <w:tcPr>
            <w:tcW w:w="1602" w:type="dxa"/>
            <w:tcBorders>
              <w:top w:val="nil"/>
              <w:left w:val="nil"/>
              <w:bottom w:val="single" w:color="auto" w:sz="4" w:space="0"/>
              <w:right w:val="single" w:color="auto" w:sz="4" w:space="0"/>
            </w:tcBorders>
            <w:vAlign w:val="center"/>
          </w:tcPr>
          <w:p w14:paraId="1CCA741F">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04AC247A">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2EC1218C">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1E60F24E">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33FFDCDB">
            <w:pPr>
              <w:rPr>
                <w:rFonts w:ascii="宋体" w:hAnsi="宋体"/>
                <w:color w:val="auto"/>
                <w:kern w:val="0"/>
                <w:szCs w:val="21"/>
                <w:highlight w:val="none"/>
              </w:rPr>
            </w:pPr>
          </w:p>
        </w:tc>
      </w:tr>
      <w:tr w14:paraId="0222147C">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35A2C264">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786FB023">
            <w:pPr>
              <w:rPr>
                <w:rFonts w:ascii="宋体" w:hAnsi="宋体"/>
                <w:color w:val="auto"/>
                <w:kern w:val="0"/>
                <w:szCs w:val="21"/>
                <w:highlight w:val="none"/>
              </w:rPr>
            </w:pPr>
            <w:r>
              <w:rPr>
                <w:rFonts w:hint="eastAsia" w:ascii="宋体" w:hAnsi="宋体"/>
                <w:color w:val="auto"/>
                <w:kern w:val="0"/>
                <w:szCs w:val="21"/>
                <w:highlight w:val="none"/>
              </w:rPr>
              <w:t>投标总报价</w:t>
            </w:r>
          </w:p>
        </w:tc>
        <w:tc>
          <w:tcPr>
            <w:tcW w:w="1602" w:type="dxa"/>
            <w:tcBorders>
              <w:top w:val="nil"/>
              <w:left w:val="nil"/>
              <w:bottom w:val="single" w:color="auto" w:sz="4" w:space="0"/>
              <w:right w:val="single" w:color="auto" w:sz="4" w:space="0"/>
            </w:tcBorders>
            <w:vAlign w:val="center"/>
          </w:tcPr>
          <w:p w14:paraId="57790BEC">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1F8EDCBE">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r2bl w:val="single" w:color="auto" w:sz="4" w:space="0"/>
            </w:tcBorders>
            <w:vAlign w:val="center"/>
          </w:tcPr>
          <w:p w14:paraId="53A1E63B">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4CA033D0">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001B74E5">
            <w:pPr>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A=A</w:t>
            </w:r>
            <w:r>
              <w:rPr>
                <w:rFonts w:ascii="宋体" w:hAnsi="宋体"/>
                <w:color w:val="auto"/>
                <w:kern w:val="0"/>
                <w:szCs w:val="21"/>
                <w:highlight w:val="none"/>
                <w:vertAlign w:val="subscript"/>
              </w:rPr>
              <w:t>1</w:t>
            </w:r>
            <w:r>
              <w:rPr>
                <w:rFonts w:ascii="宋体" w:hAnsi="宋体"/>
                <w:color w:val="auto"/>
                <w:kern w:val="0"/>
                <w:szCs w:val="21"/>
                <w:highlight w:val="none"/>
              </w:rPr>
              <w:t>+A</w:t>
            </w:r>
            <w:r>
              <w:rPr>
                <w:rFonts w:ascii="宋体" w:hAnsi="宋体"/>
                <w:color w:val="auto"/>
                <w:kern w:val="0"/>
                <w:szCs w:val="21"/>
                <w:highlight w:val="none"/>
                <w:vertAlign w:val="subscript"/>
              </w:rPr>
              <w:t>2</w:t>
            </w:r>
            <w:r>
              <w:rPr>
                <w:rFonts w:ascii="宋体" w:hAnsi="宋体"/>
                <w:color w:val="auto"/>
                <w:kern w:val="0"/>
                <w:szCs w:val="21"/>
                <w:highlight w:val="none"/>
              </w:rPr>
              <w:t>+</w:t>
            </w:r>
            <w:r>
              <w:rPr>
                <w:rFonts w:hint="eastAsia" w:ascii="宋体" w:hAnsi="宋体"/>
                <w:color w:val="auto"/>
                <w:kern w:val="0"/>
                <w:szCs w:val="21"/>
                <w:highlight w:val="none"/>
              </w:rPr>
              <w:t>…</w:t>
            </w:r>
            <w:r>
              <w:rPr>
                <w:rFonts w:ascii="宋体" w:hAnsi="宋体"/>
                <w:color w:val="auto"/>
                <w:kern w:val="0"/>
                <w:szCs w:val="21"/>
                <w:highlight w:val="none"/>
              </w:rPr>
              <w:t>An</w:t>
            </w:r>
            <w:r>
              <w:rPr>
                <w:rFonts w:hint="eastAsia" w:ascii="宋体" w:hAnsi="宋体"/>
                <w:color w:val="auto"/>
                <w:kern w:val="0"/>
                <w:szCs w:val="21"/>
                <w:highlight w:val="none"/>
              </w:rPr>
              <w:t>；∑</w:t>
            </w:r>
            <w:r>
              <w:rPr>
                <w:rFonts w:ascii="宋体" w:hAnsi="宋体"/>
                <w:color w:val="auto"/>
                <w:kern w:val="0"/>
                <w:szCs w:val="21"/>
                <w:highlight w:val="none"/>
              </w:rPr>
              <w:t>B=B</w:t>
            </w:r>
            <w:r>
              <w:rPr>
                <w:rFonts w:ascii="宋体" w:hAnsi="宋体"/>
                <w:color w:val="auto"/>
                <w:kern w:val="0"/>
                <w:szCs w:val="21"/>
                <w:highlight w:val="none"/>
                <w:vertAlign w:val="subscript"/>
              </w:rPr>
              <w:t>1</w:t>
            </w:r>
            <w:r>
              <w:rPr>
                <w:rFonts w:ascii="宋体" w:hAnsi="宋体"/>
                <w:color w:val="auto"/>
                <w:kern w:val="0"/>
                <w:szCs w:val="21"/>
                <w:highlight w:val="none"/>
              </w:rPr>
              <w:t>+B</w:t>
            </w:r>
            <w:r>
              <w:rPr>
                <w:rFonts w:ascii="宋体" w:hAnsi="宋体"/>
                <w:color w:val="auto"/>
                <w:kern w:val="0"/>
                <w:szCs w:val="21"/>
                <w:highlight w:val="none"/>
                <w:vertAlign w:val="subscript"/>
              </w:rPr>
              <w:t>2</w:t>
            </w:r>
            <w:r>
              <w:rPr>
                <w:rFonts w:ascii="宋体" w:hAnsi="宋体"/>
                <w:color w:val="auto"/>
                <w:kern w:val="0"/>
                <w:szCs w:val="21"/>
                <w:highlight w:val="none"/>
              </w:rPr>
              <w:t>+</w:t>
            </w:r>
            <w:r>
              <w:rPr>
                <w:rFonts w:hint="eastAsia" w:ascii="宋体" w:hAnsi="宋体"/>
                <w:color w:val="auto"/>
                <w:kern w:val="0"/>
                <w:szCs w:val="21"/>
                <w:highlight w:val="none"/>
              </w:rPr>
              <w:t>…</w:t>
            </w:r>
            <w:r>
              <w:rPr>
                <w:rFonts w:ascii="宋体" w:hAnsi="宋体"/>
                <w:color w:val="auto"/>
                <w:kern w:val="0"/>
                <w:szCs w:val="21"/>
                <w:highlight w:val="none"/>
              </w:rPr>
              <w:t>Bn</w:t>
            </w:r>
          </w:p>
        </w:tc>
      </w:tr>
    </w:tbl>
    <w:p w14:paraId="329E1DC7">
      <w:pPr>
        <w:rPr>
          <w:rFonts w:cs="宋体"/>
          <w:color w:val="auto"/>
          <w:kern w:val="0"/>
          <w:szCs w:val="21"/>
          <w:highlight w:val="none"/>
        </w:rPr>
      </w:pPr>
      <w:r>
        <w:rPr>
          <w:rFonts w:hint="eastAsia" w:cs="宋体"/>
          <w:color w:val="auto"/>
          <w:kern w:val="0"/>
          <w:szCs w:val="21"/>
          <w:highlight w:val="none"/>
        </w:rPr>
        <w:t>修正原则：</w:t>
      </w:r>
      <w:r>
        <w:rPr>
          <w:rFonts w:hint="eastAsia"/>
          <w:color w:val="auto"/>
          <w:szCs w:val="21"/>
          <w:highlight w:val="none"/>
        </w:rPr>
        <w:t>按就低不就高原则，当修正后报价小于原报价，总价按修正后报价；当修正后报价大于原报价，总价按原报价，并在签订合同时载明在结算价中扣除修正报价与原报价的差额。</w:t>
      </w:r>
      <w:r>
        <w:rPr>
          <w:rFonts w:cs="宋体"/>
          <w:color w:val="auto"/>
          <w:kern w:val="0"/>
          <w:szCs w:val="21"/>
          <w:highlight w:val="none"/>
        </w:rPr>
        <w:tab/>
      </w:r>
    </w:p>
    <w:p w14:paraId="53D4B10E">
      <w:pPr>
        <w:rPr>
          <w:color w:val="auto"/>
          <w:kern w:val="0"/>
          <w:szCs w:val="21"/>
          <w:highlight w:val="none"/>
        </w:rPr>
      </w:pPr>
      <w:r>
        <w:rPr>
          <w:rFonts w:hint="eastAsia"/>
          <w:color w:val="auto"/>
          <w:kern w:val="0"/>
          <w:szCs w:val="21"/>
          <w:highlight w:val="none"/>
        </w:rPr>
        <w:t>评委签名：</w:t>
      </w:r>
      <w:r>
        <w:rPr>
          <w:color w:val="auto"/>
          <w:kern w:val="0"/>
          <w:szCs w:val="21"/>
          <w:highlight w:val="none"/>
        </w:rPr>
        <w:tab/>
      </w:r>
      <w:r>
        <w:rPr>
          <w:color w:val="auto"/>
          <w:kern w:val="0"/>
          <w:szCs w:val="21"/>
          <w:highlight w:val="none"/>
        </w:rPr>
        <w:tab/>
      </w:r>
      <w:r>
        <w:rPr>
          <w:color w:val="auto"/>
          <w:kern w:val="0"/>
          <w:szCs w:val="21"/>
          <w:highlight w:val="none"/>
        </w:rPr>
        <w:tab/>
      </w:r>
      <w:r>
        <w:rPr>
          <w:color w:val="auto"/>
          <w:kern w:val="0"/>
          <w:szCs w:val="21"/>
          <w:highlight w:val="none"/>
        </w:rPr>
        <w:tab/>
      </w:r>
      <w:r>
        <w:rPr>
          <w:color w:val="auto"/>
          <w:kern w:val="0"/>
          <w:szCs w:val="21"/>
          <w:highlight w:val="none"/>
        </w:rPr>
        <w:tab/>
      </w:r>
      <w:r>
        <w:rPr>
          <w:rFonts w:hint="eastAsia"/>
          <w:color w:val="auto"/>
          <w:kern w:val="0"/>
          <w:szCs w:val="21"/>
          <w:highlight w:val="none"/>
        </w:rPr>
        <w:t>日期：</w:t>
      </w:r>
    </w:p>
    <w:p w14:paraId="7D013EBA">
      <w:pPr>
        <w:rPr>
          <w:color w:val="auto"/>
          <w:highlight w:val="none"/>
        </w:rPr>
      </w:pPr>
    </w:p>
    <w:p w14:paraId="66AD09B6">
      <w:pPr>
        <w:rPr>
          <w:color w:val="auto"/>
          <w:highlight w:val="none"/>
        </w:rPr>
      </w:pPr>
      <w:r>
        <w:rPr>
          <w:color w:val="auto"/>
          <w:highlight w:val="none"/>
        </w:rPr>
        <w:br w:type="page"/>
      </w:r>
    </w:p>
    <w:p w14:paraId="47CC3467">
      <w:pPr>
        <w:jc w:val="center"/>
        <w:rPr>
          <w:b/>
          <w:color w:val="auto"/>
          <w:sz w:val="36"/>
          <w:szCs w:val="36"/>
          <w:highlight w:val="none"/>
        </w:rPr>
      </w:pPr>
      <w:r>
        <w:rPr>
          <w:rFonts w:hint="eastAsia"/>
          <w:b/>
          <w:color w:val="auto"/>
          <w:sz w:val="36"/>
          <w:szCs w:val="36"/>
          <w:highlight w:val="none"/>
        </w:rPr>
        <w:t>算术复核表</w:t>
      </w:r>
    </w:p>
    <w:p w14:paraId="5E30B8CF">
      <w:pPr>
        <w:rPr>
          <w:color w:val="auto"/>
          <w:szCs w:val="21"/>
          <w:highlight w:val="none"/>
        </w:rPr>
      </w:pPr>
      <w:r>
        <w:rPr>
          <w:rFonts w:hint="eastAsia"/>
          <w:color w:val="auto"/>
          <w:szCs w:val="21"/>
          <w:highlight w:val="none"/>
        </w:rPr>
        <w:t>工程名称：</w:t>
      </w:r>
    </w:p>
    <w:tbl>
      <w:tblPr>
        <w:tblStyle w:val="1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3423"/>
      </w:tblGrid>
      <w:tr w14:paraId="3C33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46649967">
            <w:pPr>
              <w:rPr>
                <w:b/>
                <w:color w:val="auto"/>
                <w:sz w:val="28"/>
                <w:szCs w:val="28"/>
                <w:highlight w:val="none"/>
              </w:rPr>
            </w:pPr>
            <w:r>
              <w:rPr>
                <w:rFonts w:hint="eastAsia"/>
                <w:b/>
                <w:color w:val="auto"/>
                <w:sz w:val="28"/>
                <w:szCs w:val="28"/>
                <w:highlight w:val="none"/>
              </w:rPr>
              <w:t>编号</w:t>
            </w:r>
          </w:p>
        </w:tc>
        <w:tc>
          <w:tcPr>
            <w:tcW w:w="4297" w:type="dxa"/>
            <w:tcBorders>
              <w:top w:val="single" w:color="auto" w:sz="4" w:space="0"/>
              <w:left w:val="single" w:color="auto" w:sz="4" w:space="0"/>
              <w:bottom w:val="single" w:color="auto" w:sz="4" w:space="0"/>
              <w:right w:val="single" w:color="auto" w:sz="4" w:space="0"/>
            </w:tcBorders>
          </w:tcPr>
          <w:p w14:paraId="3DCF7463">
            <w:pPr>
              <w:rPr>
                <w:b/>
                <w:color w:val="auto"/>
                <w:sz w:val="28"/>
                <w:szCs w:val="28"/>
                <w:highlight w:val="none"/>
              </w:rPr>
            </w:pPr>
            <w:r>
              <w:rPr>
                <w:rFonts w:hint="eastAsia"/>
                <w:b/>
                <w:color w:val="auto"/>
                <w:sz w:val="28"/>
                <w:szCs w:val="28"/>
                <w:highlight w:val="none"/>
              </w:rPr>
              <w:t>投标人名称</w:t>
            </w:r>
          </w:p>
        </w:tc>
        <w:tc>
          <w:tcPr>
            <w:tcW w:w="2330" w:type="dxa"/>
            <w:tcBorders>
              <w:top w:val="single" w:color="auto" w:sz="4" w:space="0"/>
              <w:left w:val="single" w:color="auto" w:sz="4" w:space="0"/>
              <w:bottom w:val="single" w:color="auto" w:sz="4" w:space="0"/>
              <w:right w:val="single" w:color="auto" w:sz="4" w:space="0"/>
            </w:tcBorders>
          </w:tcPr>
          <w:p w14:paraId="2C9BB955">
            <w:pPr>
              <w:rPr>
                <w:b/>
                <w:color w:val="auto"/>
                <w:sz w:val="28"/>
                <w:szCs w:val="28"/>
                <w:highlight w:val="none"/>
              </w:rPr>
            </w:pPr>
            <w:r>
              <w:rPr>
                <w:rFonts w:hint="eastAsia"/>
                <w:b/>
                <w:color w:val="auto"/>
                <w:sz w:val="28"/>
                <w:szCs w:val="28"/>
                <w:highlight w:val="none"/>
              </w:rPr>
              <w:t>原投标报价（</w:t>
            </w:r>
            <w:r>
              <w:rPr>
                <w:b/>
                <w:color w:val="auto"/>
                <w:sz w:val="28"/>
                <w:szCs w:val="28"/>
                <w:highlight w:val="none"/>
              </w:rPr>
              <w:t>A</w:t>
            </w:r>
            <w:r>
              <w:rPr>
                <w:rFonts w:hint="eastAsia"/>
                <w:b/>
                <w:color w:val="auto"/>
                <w:sz w:val="28"/>
                <w:szCs w:val="28"/>
                <w:highlight w:val="none"/>
              </w:rPr>
              <w:t>）</w:t>
            </w:r>
          </w:p>
        </w:tc>
        <w:tc>
          <w:tcPr>
            <w:tcW w:w="3101" w:type="dxa"/>
            <w:tcBorders>
              <w:top w:val="single" w:color="auto" w:sz="4" w:space="0"/>
              <w:left w:val="single" w:color="auto" w:sz="4" w:space="0"/>
              <w:bottom w:val="single" w:color="auto" w:sz="4" w:space="0"/>
              <w:right w:val="single" w:color="auto" w:sz="4" w:space="0"/>
            </w:tcBorders>
          </w:tcPr>
          <w:p w14:paraId="64A943E9">
            <w:pPr>
              <w:rPr>
                <w:b/>
                <w:color w:val="auto"/>
                <w:sz w:val="28"/>
                <w:szCs w:val="28"/>
                <w:highlight w:val="none"/>
              </w:rPr>
            </w:pPr>
            <w:r>
              <w:rPr>
                <w:rFonts w:hint="eastAsia"/>
                <w:b/>
                <w:color w:val="auto"/>
                <w:sz w:val="28"/>
                <w:szCs w:val="28"/>
                <w:highlight w:val="none"/>
              </w:rPr>
              <w:t>算数复核后投标报价（</w:t>
            </w:r>
            <w:r>
              <w:rPr>
                <w:b/>
                <w:color w:val="auto"/>
                <w:sz w:val="28"/>
                <w:szCs w:val="28"/>
                <w:highlight w:val="none"/>
              </w:rPr>
              <w:t>B</w:t>
            </w:r>
            <w:r>
              <w:rPr>
                <w:rFonts w:hint="eastAsia"/>
                <w:b/>
                <w:color w:val="auto"/>
                <w:sz w:val="28"/>
                <w:szCs w:val="28"/>
                <w:highlight w:val="none"/>
              </w:rPr>
              <w:t>）</w:t>
            </w:r>
          </w:p>
        </w:tc>
        <w:tc>
          <w:tcPr>
            <w:tcW w:w="3423" w:type="dxa"/>
            <w:tcBorders>
              <w:top w:val="single" w:color="auto" w:sz="4" w:space="0"/>
              <w:left w:val="single" w:color="auto" w:sz="4" w:space="0"/>
              <w:bottom w:val="single" w:color="auto" w:sz="4" w:space="0"/>
              <w:right w:val="single" w:color="auto" w:sz="4" w:space="0"/>
            </w:tcBorders>
          </w:tcPr>
          <w:p w14:paraId="3A8185B7">
            <w:pPr>
              <w:rPr>
                <w:b/>
                <w:color w:val="auto"/>
                <w:sz w:val="28"/>
                <w:szCs w:val="28"/>
                <w:highlight w:val="none"/>
              </w:rPr>
            </w:pPr>
            <w:r>
              <w:rPr>
                <w:rFonts w:hint="eastAsia"/>
                <w:b/>
                <w:color w:val="auto"/>
                <w:sz w:val="28"/>
                <w:szCs w:val="28"/>
                <w:highlight w:val="none"/>
              </w:rPr>
              <w:t>误差率（</w:t>
            </w:r>
            <w:r>
              <w:rPr>
                <w:b/>
                <w:color w:val="auto"/>
                <w:sz w:val="28"/>
                <w:szCs w:val="28"/>
                <w:highlight w:val="none"/>
              </w:rPr>
              <w:t>r=|A-B|/A*100%</w:t>
            </w:r>
            <w:r>
              <w:rPr>
                <w:rFonts w:hint="eastAsia"/>
                <w:b/>
                <w:color w:val="auto"/>
                <w:sz w:val="28"/>
                <w:szCs w:val="28"/>
                <w:highlight w:val="none"/>
              </w:rPr>
              <w:t>）</w:t>
            </w:r>
          </w:p>
        </w:tc>
      </w:tr>
      <w:tr w14:paraId="483D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6ABEE038">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36C6A013">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0BDDA59E">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5013C940">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5FB705D7">
            <w:pPr>
              <w:rPr>
                <w:color w:val="auto"/>
                <w:sz w:val="36"/>
                <w:szCs w:val="36"/>
                <w:highlight w:val="none"/>
              </w:rPr>
            </w:pPr>
          </w:p>
        </w:tc>
      </w:tr>
      <w:tr w14:paraId="5C52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6EA708CD">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2E90B465">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002755E2">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0380A241">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4D9A44F2">
            <w:pPr>
              <w:rPr>
                <w:color w:val="auto"/>
                <w:sz w:val="36"/>
                <w:szCs w:val="36"/>
                <w:highlight w:val="none"/>
              </w:rPr>
            </w:pPr>
          </w:p>
        </w:tc>
      </w:tr>
      <w:tr w14:paraId="2CB2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62C1C2A6">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571E125B">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4A2F878A">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7C74490E">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632836DE">
            <w:pPr>
              <w:rPr>
                <w:color w:val="auto"/>
                <w:sz w:val="36"/>
                <w:szCs w:val="36"/>
                <w:highlight w:val="none"/>
              </w:rPr>
            </w:pPr>
          </w:p>
        </w:tc>
      </w:tr>
      <w:tr w14:paraId="21F5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6BFE268F">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41371EFC">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65665680">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238F0171">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3A8621C4">
            <w:pPr>
              <w:rPr>
                <w:color w:val="auto"/>
                <w:sz w:val="36"/>
                <w:szCs w:val="36"/>
                <w:highlight w:val="none"/>
              </w:rPr>
            </w:pPr>
          </w:p>
        </w:tc>
      </w:tr>
      <w:tr w14:paraId="6B7D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5F2598B2">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1140D3AE">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4FA8A6A3">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534400D1">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24407961">
            <w:pPr>
              <w:rPr>
                <w:color w:val="auto"/>
                <w:sz w:val="36"/>
                <w:szCs w:val="36"/>
                <w:highlight w:val="none"/>
              </w:rPr>
            </w:pPr>
          </w:p>
        </w:tc>
      </w:tr>
      <w:tr w14:paraId="14D9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3826A787">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74286F7D">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52598561">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1DC982BD">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13A891CB">
            <w:pPr>
              <w:rPr>
                <w:color w:val="auto"/>
                <w:sz w:val="36"/>
                <w:szCs w:val="36"/>
                <w:highlight w:val="none"/>
              </w:rPr>
            </w:pPr>
          </w:p>
        </w:tc>
      </w:tr>
      <w:tr w14:paraId="6CFF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3632D48A">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008EB769">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5D5706A8">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24CB939F">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3A7F7455">
            <w:pPr>
              <w:rPr>
                <w:color w:val="auto"/>
                <w:sz w:val="36"/>
                <w:szCs w:val="36"/>
                <w:highlight w:val="none"/>
              </w:rPr>
            </w:pPr>
          </w:p>
        </w:tc>
      </w:tr>
      <w:tr w14:paraId="02A7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14:paraId="4818A84A">
            <w:pPr>
              <w:rPr>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14:paraId="3806346E">
            <w:pPr>
              <w:rPr>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14:paraId="7B5C910D">
            <w:pPr>
              <w:rPr>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14:paraId="1A07F9EF">
            <w:pPr>
              <w:rPr>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14:paraId="57C648E7">
            <w:pPr>
              <w:rPr>
                <w:color w:val="auto"/>
                <w:sz w:val="36"/>
                <w:szCs w:val="36"/>
                <w:highlight w:val="none"/>
              </w:rPr>
            </w:pPr>
          </w:p>
        </w:tc>
      </w:tr>
    </w:tbl>
    <w:p w14:paraId="012B123A">
      <w:pPr>
        <w:rPr>
          <w:color w:val="auto"/>
          <w:szCs w:val="21"/>
          <w:highlight w:val="none"/>
        </w:rPr>
      </w:pPr>
      <w:r>
        <w:rPr>
          <w:rFonts w:hint="eastAsia"/>
          <w:color w:val="auto"/>
          <w:szCs w:val="21"/>
          <w:highlight w:val="none"/>
        </w:rPr>
        <w:t>评委签名：</w:t>
      </w:r>
    </w:p>
    <w:p w14:paraId="199F8091">
      <w:pPr>
        <w:spacing w:line="360" w:lineRule="auto"/>
        <w:jc w:val="center"/>
        <w:rPr>
          <w:rFonts w:ascii="仿宋_GB2312" w:hAnsi="宋体" w:eastAsia="仿宋_GB2312"/>
          <w:color w:val="auto"/>
          <w:szCs w:val="21"/>
          <w:highlight w:val="none"/>
        </w:rPr>
        <w:sectPr>
          <w:headerReference r:id="rId17" w:type="first"/>
          <w:footerReference r:id="rId19" w:type="first"/>
          <w:headerReference r:id="rId15" w:type="default"/>
          <w:headerReference r:id="rId16" w:type="even"/>
          <w:footerReference r:id="rId18" w:type="even"/>
          <w:endnotePr>
            <w:numFmt w:val="decimal"/>
          </w:endnotePr>
          <w:pgSz w:w="16838" w:h="11906" w:orient="landscape"/>
          <w:pgMar w:top="1418" w:right="1247" w:bottom="1418" w:left="1134" w:header="851" w:footer="907" w:gutter="0"/>
          <w:pgNumType w:fmt="decimal"/>
          <w:cols w:space="425" w:num="1"/>
          <w:titlePg/>
          <w:docGrid w:type="lines" w:linePitch="312" w:charSpace="0"/>
        </w:sectPr>
      </w:pPr>
    </w:p>
    <w:p w14:paraId="61C27080">
      <w:pPr>
        <w:pStyle w:val="2"/>
        <w:rPr>
          <w:color w:val="auto"/>
          <w:highlight w:val="none"/>
        </w:rPr>
      </w:pPr>
      <w:bookmarkStart w:id="24" w:name="_Toc21525511"/>
      <w:bookmarkStart w:id="25" w:name="_Toc2272566"/>
      <w:r>
        <w:rPr>
          <w:rFonts w:hint="eastAsia"/>
          <w:color w:val="auto"/>
          <w:highlight w:val="none"/>
        </w:rPr>
        <w:t>第三章</w:t>
      </w:r>
      <w:r>
        <w:rPr>
          <w:color w:val="auto"/>
          <w:highlight w:val="none"/>
        </w:rPr>
        <w:t xml:space="preserve">  </w:t>
      </w:r>
      <w:r>
        <w:rPr>
          <w:rFonts w:hint="eastAsia"/>
          <w:color w:val="auto"/>
          <w:highlight w:val="none"/>
        </w:rPr>
        <w:t>合同条款</w:t>
      </w:r>
      <w:bookmarkEnd w:id="24"/>
      <w:bookmarkEnd w:id="25"/>
    </w:p>
    <w:p w14:paraId="58BA83E9">
      <w:pPr>
        <w:ind w:firstLine="4080" w:firstLineChars="1700"/>
        <w:rPr>
          <w:rFonts w:ascii="宋体"/>
          <w:b/>
          <w:color w:val="auto"/>
          <w:sz w:val="24"/>
          <w:szCs w:val="24"/>
          <w:highlight w:val="none"/>
        </w:rPr>
      </w:pPr>
      <w:r>
        <w:rPr>
          <w:rFonts w:hint="eastAsia" w:ascii="宋体" w:hAnsi="宋体"/>
          <w:color w:val="auto"/>
          <w:sz w:val="24"/>
          <w:szCs w:val="24"/>
          <w:highlight w:val="none"/>
        </w:rPr>
        <w:t>另册</w:t>
      </w:r>
    </w:p>
    <w:p w14:paraId="30ABBBBA">
      <w:pPr>
        <w:rPr>
          <w:color w:val="auto"/>
          <w:sz w:val="24"/>
          <w:szCs w:val="24"/>
          <w:highlight w:val="none"/>
        </w:rPr>
      </w:pPr>
    </w:p>
    <w:p w14:paraId="118B9F31">
      <w:pPr>
        <w:pStyle w:val="4"/>
        <w:spacing w:line="360" w:lineRule="auto"/>
        <w:rPr>
          <w:color w:val="auto"/>
          <w:sz w:val="24"/>
          <w:szCs w:val="24"/>
          <w:highlight w:val="none"/>
        </w:rPr>
      </w:pPr>
    </w:p>
    <w:p w14:paraId="4F6D2514">
      <w:pPr>
        <w:pStyle w:val="4"/>
        <w:spacing w:line="360" w:lineRule="auto"/>
        <w:rPr>
          <w:color w:val="auto"/>
          <w:sz w:val="24"/>
          <w:szCs w:val="24"/>
          <w:highlight w:val="none"/>
        </w:rPr>
      </w:pPr>
    </w:p>
    <w:p w14:paraId="50594281">
      <w:pPr>
        <w:pStyle w:val="4"/>
        <w:spacing w:line="360" w:lineRule="auto"/>
        <w:rPr>
          <w:color w:val="auto"/>
          <w:sz w:val="24"/>
          <w:szCs w:val="24"/>
          <w:highlight w:val="none"/>
        </w:rPr>
      </w:pPr>
    </w:p>
    <w:p w14:paraId="14383F49">
      <w:pPr>
        <w:pStyle w:val="4"/>
        <w:spacing w:line="360" w:lineRule="auto"/>
        <w:rPr>
          <w:color w:val="auto"/>
          <w:sz w:val="24"/>
          <w:szCs w:val="24"/>
          <w:highlight w:val="none"/>
        </w:rPr>
      </w:pPr>
    </w:p>
    <w:p w14:paraId="28A432F1">
      <w:pPr>
        <w:pStyle w:val="4"/>
        <w:spacing w:line="360" w:lineRule="auto"/>
        <w:rPr>
          <w:color w:val="auto"/>
          <w:sz w:val="24"/>
          <w:szCs w:val="24"/>
          <w:highlight w:val="none"/>
        </w:rPr>
      </w:pPr>
    </w:p>
    <w:p w14:paraId="596739E8">
      <w:pPr>
        <w:pStyle w:val="4"/>
        <w:spacing w:line="360" w:lineRule="auto"/>
        <w:rPr>
          <w:color w:val="auto"/>
          <w:sz w:val="24"/>
          <w:szCs w:val="24"/>
          <w:highlight w:val="none"/>
        </w:rPr>
      </w:pPr>
    </w:p>
    <w:p w14:paraId="7F922FF3">
      <w:pPr>
        <w:pStyle w:val="4"/>
        <w:spacing w:line="360" w:lineRule="auto"/>
        <w:rPr>
          <w:color w:val="auto"/>
          <w:sz w:val="24"/>
          <w:szCs w:val="24"/>
          <w:highlight w:val="none"/>
        </w:rPr>
      </w:pPr>
    </w:p>
    <w:p w14:paraId="4796CD3A">
      <w:pPr>
        <w:pStyle w:val="4"/>
        <w:spacing w:line="360" w:lineRule="auto"/>
        <w:rPr>
          <w:color w:val="auto"/>
          <w:sz w:val="24"/>
          <w:szCs w:val="24"/>
          <w:highlight w:val="none"/>
        </w:rPr>
      </w:pPr>
    </w:p>
    <w:p w14:paraId="3E46A6F7">
      <w:pPr>
        <w:pStyle w:val="4"/>
        <w:spacing w:line="360" w:lineRule="auto"/>
        <w:rPr>
          <w:color w:val="auto"/>
          <w:sz w:val="24"/>
          <w:szCs w:val="24"/>
          <w:highlight w:val="none"/>
        </w:rPr>
      </w:pPr>
    </w:p>
    <w:p w14:paraId="48F9AA02">
      <w:pPr>
        <w:pStyle w:val="4"/>
        <w:spacing w:line="360" w:lineRule="auto"/>
        <w:rPr>
          <w:color w:val="auto"/>
          <w:sz w:val="24"/>
          <w:szCs w:val="24"/>
          <w:highlight w:val="none"/>
        </w:rPr>
      </w:pPr>
    </w:p>
    <w:p w14:paraId="5F84D358">
      <w:pPr>
        <w:pStyle w:val="4"/>
        <w:spacing w:line="360" w:lineRule="auto"/>
        <w:rPr>
          <w:color w:val="auto"/>
          <w:sz w:val="24"/>
          <w:szCs w:val="24"/>
          <w:highlight w:val="none"/>
        </w:rPr>
      </w:pPr>
    </w:p>
    <w:p w14:paraId="7D990EC1">
      <w:pPr>
        <w:pStyle w:val="4"/>
        <w:spacing w:line="360" w:lineRule="auto"/>
        <w:rPr>
          <w:color w:val="auto"/>
          <w:sz w:val="24"/>
          <w:szCs w:val="24"/>
          <w:highlight w:val="none"/>
        </w:rPr>
      </w:pPr>
    </w:p>
    <w:p w14:paraId="164048B5">
      <w:pPr>
        <w:pStyle w:val="4"/>
        <w:spacing w:line="360" w:lineRule="auto"/>
        <w:rPr>
          <w:color w:val="auto"/>
          <w:sz w:val="24"/>
          <w:szCs w:val="24"/>
          <w:highlight w:val="none"/>
        </w:rPr>
      </w:pPr>
    </w:p>
    <w:p w14:paraId="46BB52E2">
      <w:pPr>
        <w:pStyle w:val="4"/>
        <w:spacing w:line="360" w:lineRule="auto"/>
        <w:rPr>
          <w:color w:val="auto"/>
          <w:sz w:val="24"/>
          <w:szCs w:val="24"/>
          <w:highlight w:val="none"/>
        </w:rPr>
      </w:pPr>
    </w:p>
    <w:p w14:paraId="3AC5DB5E">
      <w:pPr>
        <w:pStyle w:val="4"/>
        <w:spacing w:line="360" w:lineRule="auto"/>
        <w:rPr>
          <w:color w:val="auto"/>
          <w:sz w:val="24"/>
          <w:szCs w:val="24"/>
          <w:highlight w:val="none"/>
        </w:rPr>
      </w:pPr>
    </w:p>
    <w:p w14:paraId="18423B14">
      <w:pPr>
        <w:pStyle w:val="4"/>
        <w:spacing w:line="360" w:lineRule="auto"/>
        <w:rPr>
          <w:color w:val="auto"/>
          <w:sz w:val="24"/>
          <w:szCs w:val="24"/>
          <w:highlight w:val="none"/>
        </w:rPr>
      </w:pPr>
    </w:p>
    <w:p w14:paraId="4BF43845">
      <w:pPr>
        <w:pStyle w:val="4"/>
        <w:spacing w:line="360" w:lineRule="auto"/>
        <w:rPr>
          <w:color w:val="auto"/>
          <w:sz w:val="24"/>
          <w:szCs w:val="24"/>
          <w:highlight w:val="none"/>
        </w:rPr>
      </w:pPr>
    </w:p>
    <w:p w14:paraId="145F3E3C">
      <w:pPr>
        <w:pStyle w:val="4"/>
        <w:spacing w:line="360" w:lineRule="auto"/>
        <w:rPr>
          <w:color w:val="auto"/>
          <w:sz w:val="24"/>
          <w:szCs w:val="24"/>
          <w:highlight w:val="none"/>
        </w:rPr>
      </w:pPr>
    </w:p>
    <w:p w14:paraId="760C98BF">
      <w:pPr>
        <w:pStyle w:val="10"/>
        <w:spacing w:line="360" w:lineRule="auto"/>
        <w:rPr>
          <w:color w:val="auto"/>
          <w:sz w:val="24"/>
          <w:szCs w:val="24"/>
          <w:highlight w:val="none"/>
        </w:rPr>
      </w:pPr>
    </w:p>
    <w:p w14:paraId="721A8A4B">
      <w:pPr>
        <w:pStyle w:val="10"/>
        <w:spacing w:line="360" w:lineRule="auto"/>
        <w:rPr>
          <w:color w:val="auto"/>
          <w:sz w:val="24"/>
          <w:szCs w:val="24"/>
          <w:highlight w:val="none"/>
        </w:rPr>
      </w:pPr>
      <w:r>
        <w:rPr>
          <w:color w:val="auto"/>
          <w:sz w:val="24"/>
          <w:szCs w:val="24"/>
          <w:highlight w:val="none"/>
        </w:rPr>
        <w:br w:type="page"/>
      </w:r>
    </w:p>
    <w:p w14:paraId="1C597C50">
      <w:pPr>
        <w:pStyle w:val="2"/>
        <w:rPr>
          <w:color w:val="auto"/>
          <w:highlight w:val="none"/>
        </w:rPr>
      </w:pPr>
      <w:bookmarkStart w:id="26" w:name="_Toc21525512"/>
      <w:bookmarkStart w:id="27" w:name="_Toc2272567"/>
      <w:r>
        <w:rPr>
          <w:rFonts w:hint="eastAsia"/>
          <w:color w:val="auto"/>
          <w:highlight w:val="none"/>
        </w:rPr>
        <w:t>第四章</w:t>
      </w:r>
      <w:r>
        <w:rPr>
          <w:color w:val="auto"/>
          <w:highlight w:val="none"/>
        </w:rPr>
        <w:t xml:space="preserve">  </w:t>
      </w:r>
      <w:r>
        <w:rPr>
          <w:rFonts w:hint="eastAsia"/>
          <w:color w:val="auto"/>
          <w:highlight w:val="none"/>
        </w:rPr>
        <w:t>投标文件格式</w:t>
      </w:r>
      <w:bookmarkEnd w:id="26"/>
      <w:bookmarkEnd w:id="27"/>
    </w:p>
    <w:p w14:paraId="0A09F334">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投标人应按以下规定的格式及要求编制投标文件。</w:t>
      </w:r>
    </w:p>
    <w:p w14:paraId="1CC2313D">
      <w:pPr>
        <w:pStyle w:val="4"/>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一、《广州建设工程施工招标投标书》是投标文件的重要组成部分，其内容是投标人开标信息的主要来源，投标人应准确填写《广州建设工程施工招标投标书》的相关内容。</w:t>
      </w:r>
    </w:p>
    <w:p w14:paraId="7B0B40AF">
      <w:pPr>
        <w:pStyle w:val="4"/>
        <w:spacing w:line="360" w:lineRule="auto"/>
        <w:ind w:firstLine="513" w:firstLineChars="214"/>
        <w:rPr>
          <w:rFonts w:ascii="宋体" w:hAnsi="宋体"/>
          <w:bCs/>
          <w:color w:val="auto"/>
          <w:sz w:val="24"/>
          <w:szCs w:val="24"/>
          <w:highlight w:val="none"/>
        </w:rPr>
      </w:pPr>
      <w:r>
        <w:rPr>
          <w:rFonts w:hint="eastAsia" w:ascii="宋体" w:hAnsi="宋体"/>
          <w:bCs/>
          <w:color w:val="auto"/>
          <w:sz w:val="24"/>
          <w:szCs w:val="24"/>
          <w:highlight w:val="none"/>
        </w:rPr>
        <w:t>二、投标人在编制工程量清单时应只填写主体单位全称，且要求填写的全称与</w:t>
      </w:r>
      <w:r>
        <w:rPr>
          <w:rFonts w:hint="eastAsia" w:ascii="宋体" w:hAnsi="宋体" w:cs="宋体"/>
          <w:color w:val="auto"/>
          <w:sz w:val="24"/>
          <w:szCs w:val="24"/>
          <w:highlight w:val="none"/>
          <w:u w:val="single"/>
          <w:lang w:eastAsia="zh-CN"/>
        </w:rPr>
        <w:t>广州交易集团有限公司（广州公共资源交易中心）</w:t>
      </w:r>
      <w:r>
        <w:rPr>
          <w:rFonts w:hint="eastAsia" w:ascii="宋体" w:hAnsi="宋体" w:cs="宋体"/>
          <w:color w:val="auto"/>
          <w:sz w:val="24"/>
          <w:szCs w:val="24"/>
          <w:highlight w:val="none"/>
          <w:u w:val="single"/>
        </w:rPr>
        <w:t>办理信息登记</w:t>
      </w:r>
      <w:r>
        <w:rPr>
          <w:rFonts w:hint="eastAsia" w:ascii="宋体" w:hAnsi="宋体"/>
          <w:bCs/>
          <w:color w:val="auto"/>
          <w:sz w:val="24"/>
          <w:szCs w:val="24"/>
          <w:highlight w:val="none"/>
        </w:rPr>
        <w:t>名称完全一致。</w:t>
      </w:r>
    </w:p>
    <w:p w14:paraId="6B0D58ED">
      <w:pPr>
        <w:autoSpaceDE w:val="0"/>
        <w:autoSpaceDN w:val="0"/>
        <w:adjustRightInd w:val="0"/>
        <w:rPr>
          <w:color w:val="auto"/>
          <w:highlight w:val="none"/>
        </w:rPr>
      </w:pPr>
      <w:r>
        <w:rPr>
          <w:color w:val="auto"/>
          <w:highlight w:val="none"/>
        </w:rPr>
        <w:br w:type="page"/>
      </w:r>
    </w:p>
    <w:p w14:paraId="1BB854E6">
      <w:pPr>
        <w:spacing w:line="360" w:lineRule="auto"/>
        <w:ind w:firstLine="3235" w:firstLineChars="895"/>
        <w:rPr>
          <w:rFonts w:ascii="宋体" w:hAnsi="宋体"/>
          <w:b/>
          <w:color w:val="auto"/>
          <w:sz w:val="36"/>
          <w:szCs w:val="36"/>
          <w:highlight w:val="none"/>
        </w:rPr>
      </w:pPr>
      <w:r>
        <w:rPr>
          <w:rFonts w:hint="eastAsia" w:ascii="宋体" w:hAnsi="宋体"/>
          <w:b/>
          <w:color w:val="auto"/>
          <w:sz w:val="36"/>
          <w:szCs w:val="36"/>
          <w:highlight w:val="none"/>
        </w:rPr>
        <w:t xml:space="preserve">投  </w:t>
      </w:r>
      <w:r>
        <w:rPr>
          <w:rFonts w:hint="eastAsia" w:ascii="宋体" w:hAnsi="宋体" w:cs="宋体"/>
          <w:b/>
          <w:color w:val="auto"/>
          <w:sz w:val="36"/>
          <w:szCs w:val="36"/>
          <w:highlight w:val="none"/>
        </w:rPr>
        <w:t>标</w:t>
      </w:r>
      <w:r>
        <w:rPr>
          <w:rFonts w:hint="eastAsia" w:ascii="宋体" w:hAnsi="宋体"/>
          <w:b/>
          <w:color w:val="auto"/>
          <w:sz w:val="36"/>
          <w:szCs w:val="36"/>
          <w:highlight w:val="none"/>
        </w:rPr>
        <w:t xml:space="preserve">  函</w:t>
      </w:r>
    </w:p>
    <w:p w14:paraId="7D73B2DB">
      <w:pPr>
        <w:spacing w:line="360" w:lineRule="auto"/>
        <w:rPr>
          <w:rFonts w:ascii="宋体" w:hAnsi="宋体"/>
          <w:b/>
          <w:color w:val="auto"/>
          <w:sz w:val="24"/>
          <w:szCs w:val="24"/>
          <w:highlight w:val="none"/>
        </w:rPr>
      </w:pPr>
      <w:r>
        <w:rPr>
          <w:rFonts w:hint="eastAsia" w:ascii="宋体" w:hAnsi="宋体"/>
          <w:b/>
          <w:color w:val="auto"/>
          <w:sz w:val="24"/>
          <w:szCs w:val="24"/>
          <w:highlight w:val="none"/>
        </w:rPr>
        <w:t>致：</w:t>
      </w:r>
      <w:r>
        <w:rPr>
          <w:rFonts w:hint="eastAsia" w:ascii="宋体" w:hAnsi="宋体"/>
          <w:b/>
          <w:bCs/>
          <w:color w:val="auto"/>
          <w:sz w:val="24"/>
          <w:highlight w:val="none"/>
          <w:u w:val="single"/>
        </w:rPr>
        <w:t>广州市番禺区基本建设投资管理中心</w:t>
      </w:r>
    </w:p>
    <w:p w14:paraId="0799C2DF">
      <w:pPr>
        <w:spacing w:line="360" w:lineRule="auto"/>
        <w:rPr>
          <w:rFonts w:ascii="宋体" w:hAnsi="宋体"/>
          <w:b/>
          <w:color w:val="auto"/>
          <w:sz w:val="24"/>
          <w:szCs w:val="24"/>
          <w:highlight w:val="none"/>
        </w:rPr>
      </w:pPr>
    </w:p>
    <w:p w14:paraId="5B43413C">
      <w:pPr>
        <w:ind w:firstLine="480" w:firstLineChars="200"/>
        <w:rPr>
          <w:rFonts w:ascii="宋体" w:hAnsi="宋体"/>
          <w:color w:val="auto"/>
          <w:sz w:val="24"/>
          <w:szCs w:val="24"/>
          <w:highlight w:val="none"/>
        </w:rPr>
      </w:pPr>
      <w:r>
        <w:rPr>
          <w:rFonts w:hint="eastAsia" w:ascii="宋体" w:hAnsi="宋体"/>
          <w:color w:val="auto"/>
          <w:sz w:val="24"/>
          <w:szCs w:val="24"/>
          <w:highlight w:val="none"/>
        </w:rPr>
        <w:t>1.根据已收到贵方的项目编号为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的</w:t>
      </w:r>
      <w:r>
        <w:rPr>
          <w:rFonts w:hint="eastAsia" w:ascii="宋体" w:hAnsi="宋体"/>
          <w:color w:val="auto"/>
          <w:sz w:val="24"/>
          <w:highlight w:val="none"/>
          <w:u w:val="single"/>
        </w:rPr>
        <w:t>广州市公安局番禺区分局公安基地配电改造工程</w:t>
      </w:r>
      <w:r>
        <w:rPr>
          <w:rFonts w:hint="eastAsia" w:ascii="宋体" w:hAnsi="宋体"/>
          <w:color w:val="auto"/>
          <w:sz w:val="24"/>
          <w:szCs w:val="24"/>
          <w:highlight w:val="none"/>
        </w:rPr>
        <w:t>的招标文件，并已详细审核了全部招标文件及有关附件。</w:t>
      </w:r>
    </w:p>
    <w:p w14:paraId="1EAC2C93">
      <w:pPr>
        <w:snapToGrid w:val="0"/>
        <w:ind w:firstLine="523" w:firstLineChars="218"/>
        <w:rPr>
          <w:rFonts w:ascii="宋体" w:hAnsi="宋体"/>
          <w:color w:val="auto"/>
          <w:sz w:val="24"/>
          <w:szCs w:val="24"/>
          <w:highlight w:val="none"/>
        </w:rPr>
      </w:pPr>
      <w:r>
        <w:rPr>
          <w:rFonts w:hint="eastAsia" w:ascii="宋体" w:hAnsi="宋体"/>
          <w:color w:val="auto"/>
          <w:sz w:val="24"/>
          <w:szCs w:val="24"/>
          <w:highlight w:val="none"/>
        </w:rPr>
        <w:t>2.遵照《中华人民共和国招标投标法》、《中华人民共和国招标投标法实施条例》、《广东省实施〈中华人民共和国招标投标法〉办法》、等有关规定，经考察现场和研究上述招标文件的投标须知、合同条款、标准和技术规范、图纸、工程量清单及其他有关文件后，我方承诺：</w:t>
      </w:r>
    </w:p>
    <w:p w14:paraId="65C50B8F">
      <w:pPr>
        <w:ind w:firstLine="480" w:firstLineChars="200"/>
        <w:rPr>
          <w:rFonts w:ascii="宋体" w:hAnsi="宋体"/>
          <w:color w:val="auto"/>
          <w:sz w:val="24"/>
          <w:szCs w:val="24"/>
          <w:highlight w:val="none"/>
        </w:rPr>
      </w:pPr>
      <w:r>
        <w:rPr>
          <w:rFonts w:hint="eastAsia" w:ascii="宋体" w:hAnsi="宋体"/>
          <w:color w:val="auto"/>
          <w:sz w:val="24"/>
          <w:szCs w:val="24"/>
          <w:highlight w:val="none"/>
        </w:rPr>
        <w:t>愿以经济标中的投标报价并按上述合同条款、标准和技术规范、图纸、工程量清单等的要求承包上述工程的施工、竣工并修补其任何缺陷。</w:t>
      </w:r>
    </w:p>
    <w:p w14:paraId="2646A5C5">
      <w:pPr>
        <w:rPr>
          <w:rFonts w:ascii="宋体" w:hAnsi="宋体"/>
          <w:color w:val="auto"/>
          <w:sz w:val="24"/>
          <w:szCs w:val="24"/>
          <w:highlight w:val="none"/>
        </w:rPr>
      </w:pPr>
      <w:r>
        <w:rPr>
          <w:rFonts w:hint="eastAsia" w:ascii="宋体" w:hAnsi="宋体"/>
          <w:color w:val="auto"/>
          <w:sz w:val="24"/>
          <w:szCs w:val="24"/>
          <w:highlight w:val="none"/>
        </w:rPr>
        <w:t xml:space="preserve">    3.我方同意所递交的投标文件在投标须知规定的投标有效期内有效，在此期间内我方的投标有可能中标，我方将受此约束。如果在投标有效期内撤回投标或放弃中标资格，我方的投标担保将不予退还，给贵方造成的损失超过我方投标担保金额的，贵方还有权要求我方对超过部分进行赔偿。</w:t>
      </w:r>
    </w:p>
    <w:p w14:paraId="4AA9C87A">
      <w:pPr>
        <w:rPr>
          <w:rFonts w:ascii="宋体" w:hAnsi="宋体"/>
          <w:color w:val="auto"/>
          <w:sz w:val="24"/>
          <w:szCs w:val="24"/>
          <w:highlight w:val="none"/>
        </w:rPr>
      </w:pPr>
      <w:r>
        <w:rPr>
          <w:rFonts w:hint="eastAsia" w:ascii="宋体" w:hAnsi="宋体"/>
          <w:color w:val="auto"/>
          <w:sz w:val="24"/>
          <w:szCs w:val="24"/>
          <w:highlight w:val="none"/>
        </w:rPr>
        <w:t xml:space="preserve">    4.我方理解贵方将不受必须接受你们所收到的最低标价或其它任何投标文件的约束。</w:t>
      </w:r>
    </w:p>
    <w:p w14:paraId="5745096E">
      <w:pPr>
        <w:ind w:firstLine="480" w:firstLineChars="200"/>
        <w:rPr>
          <w:rFonts w:ascii="宋体" w:hAnsi="宋体"/>
          <w:color w:val="auto"/>
          <w:sz w:val="24"/>
          <w:szCs w:val="24"/>
          <w:highlight w:val="none"/>
        </w:rPr>
      </w:pPr>
      <w:r>
        <w:rPr>
          <w:rFonts w:hint="eastAsia" w:ascii="宋体" w:hAnsi="宋体"/>
          <w:color w:val="auto"/>
          <w:sz w:val="24"/>
          <w:szCs w:val="24"/>
          <w:highlight w:val="none"/>
        </w:rPr>
        <w:t>5.如果我方中标，我方保证按招标文件中规定的工期，在</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日历天内完成并移交本工程，质量标准达到招标文件中的要求。</w:t>
      </w:r>
    </w:p>
    <w:p w14:paraId="290C9662">
      <w:pPr>
        <w:ind w:firstLine="480" w:firstLineChars="200"/>
        <w:rPr>
          <w:rFonts w:ascii="宋体" w:hAnsi="宋体"/>
          <w:color w:val="auto"/>
          <w:sz w:val="24"/>
          <w:szCs w:val="24"/>
          <w:highlight w:val="none"/>
        </w:rPr>
      </w:pPr>
      <w:r>
        <w:rPr>
          <w:rFonts w:hint="eastAsia" w:ascii="宋体" w:hAnsi="宋体"/>
          <w:color w:val="auto"/>
          <w:sz w:val="24"/>
          <w:szCs w:val="24"/>
          <w:highlight w:val="none"/>
        </w:rPr>
        <w:t>6.如果我方中标，我方将按照规定递交由招标人认可，并在招标文件中规定金额的履约保函。</w:t>
      </w:r>
    </w:p>
    <w:p w14:paraId="5B940311">
      <w:pPr>
        <w:ind w:firstLine="480"/>
        <w:rPr>
          <w:rFonts w:ascii="宋体" w:hAnsi="宋体"/>
          <w:color w:val="auto"/>
          <w:sz w:val="24"/>
          <w:szCs w:val="24"/>
          <w:highlight w:val="none"/>
        </w:rPr>
      </w:pPr>
      <w:r>
        <w:rPr>
          <w:rFonts w:hint="eastAsia" w:ascii="宋体" w:hAnsi="宋体"/>
          <w:color w:val="auto"/>
          <w:sz w:val="24"/>
          <w:szCs w:val="24"/>
          <w:highlight w:val="none"/>
        </w:rPr>
        <w:t>7.除非另外达成协议并生效，贵方的中标通知书和本投标文件将成为约束双方的合同文件的组成部分。</w:t>
      </w:r>
    </w:p>
    <w:p w14:paraId="194FF293">
      <w:pPr>
        <w:ind w:firstLine="480"/>
        <w:rPr>
          <w:rFonts w:ascii="宋体" w:hAnsi="宋体"/>
          <w:color w:val="auto"/>
          <w:sz w:val="24"/>
          <w:szCs w:val="24"/>
          <w:highlight w:val="none"/>
        </w:rPr>
      </w:pPr>
      <w:r>
        <w:rPr>
          <w:rFonts w:hint="eastAsia" w:ascii="宋体" w:hAnsi="宋体"/>
          <w:color w:val="auto"/>
          <w:sz w:val="24"/>
          <w:szCs w:val="24"/>
          <w:highlight w:val="none"/>
        </w:rPr>
        <w:t>8、如果我方中标，我方将实行项目经理负责制，并按投标文件配备项目管理班子。如未经招标人同意更换项目班子成员，招标人有权取消我公司的中标资格或单方面终止合同，由此造成的违约责任由我公司承担。</w:t>
      </w:r>
    </w:p>
    <w:p w14:paraId="29B94792">
      <w:pPr>
        <w:ind w:firstLine="480"/>
        <w:rPr>
          <w:rFonts w:ascii="宋体" w:hAnsi="宋体"/>
          <w:color w:val="auto"/>
          <w:sz w:val="24"/>
          <w:szCs w:val="24"/>
          <w:highlight w:val="none"/>
        </w:rPr>
      </w:pPr>
    </w:p>
    <w:p w14:paraId="5CD8D8E7">
      <w:pPr>
        <w:rPr>
          <w:rFonts w:ascii="宋体" w:hAnsi="宋体"/>
          <w:color w:val="auto"/>
          <w:sz w:val="24"/>
          <w:szCs w:val="24"/>
          <w:highlight w:val="none"/>
        </w:rPr>
      </w:pPr>
    </w:p>
    <w:p w14:paraId="5C0FE9DC">
      <w:pPr>
        <w:rPr>
          <w:rFonts w:ascii="宋体" w:hAnsi="宋体"/>
          <w:color w:val="auto"/>
          <w:sz w:val="24"/>
          <w:szCs w:val="24"/>
          <w:highlight w:val="none"/>
        </w:rPr>
      </w:pPr>
    </w:p>
    <w:p w14:paraId="2BF5F6AD">
      <w:pPr>
        <w:ind w:firstLine="6000" w:firstLineChars="2500"/>
        <w:rPr>
          <w:rFonts w:ascii="宋体" w:hAnsi="宋体"/>
          <w:color w:val="auto"/>
          <w:sz w:val="24"/>
          <w:szCs w:val="24"/>
          <w:highlight w:val="none"/>
        </w:rPr>
      </w:pPr>
    </w:p>
    <w:p w14:paraId="4EFD818A">
      <w:pPr>
        <w:ind w:firstLine="6000" w:firstLineChars="2500"/>
        <w:rPr>
          <w:rFonts w:ascii="宋体" w:hAnsi="宋体"/>
          <w:color w:val="auto"/>
          <w:sz w:val="24"/>
          <w:szCs w:val="24"/>
          <w:highlight w:val="none"/>
        </w:rPr>
      </w:pPr>
    </w:p>
    <w:p w14:paraId="1982D4AF">
      <w:pPr>
        <w:rPr>
          <w:rFonts w:ascii="宋体" w:hAnsi="宋体"/>
          <w:color w:val="auto"/>
          <w:sz w:val="24"/>
          <w:szCs w:val="24"/>
          <w:highlight w:val="none"/>
        </w:rPr>
      </w:pPr>
      <w:r>
        <w:rPr>
          <w:rFonts w:hint="eastAsia" w:ascii="宋体" w:hAnsi="宋体"/>
          <w:color w:val="auto"/>
          <w:sz w:val="24"/>
          <w:szCs w:val="24"/>
          <w:highlight w:val="none"/>
        </w:rPr>
        <w:t xml:space="preserve">投标人企业公章：                      </w:t>
      </w:r>
    </w:p>
    <w:p w14:paraId="32294F59">
      <w:pPr>
        <w:rPr>
          <w:rFonts w:ascii="宋体" w:hAnsi="宋体"/>
          <w:color w:val="auto"/>
          <w:sz w:val="24"/>
          <w:szCs w:val="24"/>
          <w:highlight w:val="none"/>
        </w:rPr>
      </w:pPr>
    </w:p>
    <w:p w14:paraId="5E6C7928">
      <w:pPr>
        <w:ind w:firstLine="6000" w:firstLineChars="2500"/>
        <w:rPr>
          <w:rFonts w:ascii="宋体" w:hAnsi="宋体"/>
          <w:color w:val="auto"/>
          <w:sz w:val="24"/>
          <w:szCs w:val="24"/>
          <w:highlight w:val="none"/>
        </w:rPr>
      </w:pPr>
    </w:p>
    <w:p w14:paraId="700F7F99">
      <w:pPr>
        <w:rPr>
          <w:rFonts w:ascii="宋体" w:hAnsi="宋体"/>
          <w:color w:val="auto"/>
          <w:sz w:val="24"/>
          <w:szCs w:val="24"/>
          <w:highlight w:val="none"/>
        </w:rPr>
      </w:pPr>
    </w:p>
    <w:p w14:paraId="1E3AC11D">
      <w:pPr>
        <w:rPr>
          <w:rFonts w:ascii="宋体" w:hAnsi="宋体"/>
          <w:color w:val="auto"/>
          <w:sz w:val="24"/>
          <w:szCs w:val="24"/>
          <w:highlight w:val="none"/>
          <w:u w:val="single"/>
        </w:rPr>
      </w:pPr>
      <w:r>
        <w:rPr>
          <w:rFonts w:hint="eastAsia" w:ascii="宋体" w:hAnsi="宋体"/>
          <w:color w:val="auto"/>
          <w:sz w:val="24"/>
          <w:szCs w:val="24"/>
          <w:highlight w:val="none"/>
        </w:rPr>
        <w:t xml:space="preserve">日期：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rPr>
        <w:t>日</w:t>
      </w:r>
    </w:p>
    <w:p w14:paraId="103E1C99">
      <w:pPr>
        <w:autoSpaceDE w:val="0"/>
        <w:autoSpaceDN w:val="0"/>
        <w:adjustRightInd w:val="0"/>
        <w:rPr>
          <w:color w:val="auto"/>
          <w:highlight w:val="none"/>
        </w:rPr>
      </w:pPr>
    </w:p>
    <w:p w14:paraId="7D49411B">
      <w:pPr>
        <w:autoSpaceDE w:val="0"/>
        <w:autoSpaceDN w:val="0"/>
        <w:adjustRightInd w:val="0"/>
        <w:rPr>
          <w:bCs/>
          <w:color w:val="auto"/>
          <w:szCs w:val="21"/>
          <w:highlight w:val="none"/>
        </w:rPr>
      </w:pPr>
    </w:p>
    <w:p w14:paraId="5E9BFA49">
      <w:pPr>
        <w:autoSpaceDE w:val="0"/>
        <w:autoSpaceDN w:val="0"/>
        <w:adjustRightInd w:val="0"/>
        <w:rPr>
          <w:bCs/>
          <w:color w:val="auto"/>
          <w:szCs w:val="21"/>
          <w:highlight w:val="none"/>
        </w:rPr>
      </w:pPr>
    </w:p>
    <w:p w14:paraId="1CFEDEBA">
      <w:pPr>
        <w:autoSpaceDE w:val="0"/>
        <w:autoSpaceDN w:val="0"/>
        <w:adjustRightInd w:val="0"/>
        <w:rPr>
          <w:bCs/>
          <w:color w:val="auto"/>
          <w:szCs w:val="21"/>
          <w:highlight w:val="none"/>
        </w:rPr>
      </w:pPr>
    </w:p>
    <w:p w14:paraId="396A3618">
      <w:pPr>
        <w:autoSpaceDE w:val="0"/>
        <w:autoSpaceDN w:val="0"/>
        <w:adjustRightInd w:val="0"/>
        <w:rPr>
          <w:bCs/>
          <w:color w:val="auto"/>
          <w:szCs w:val="21"/>
          <w:highlight w:val="none"/>
        </w:rPr>
      </w:pPr>
    </w:p>
    <w:p w14:paraId="359D3F5F">
      <w:pPr>
        <w:autoSpaceDE w:val="0"/>
        <w:autoSpaceDN w:val="0"/>
        <w:adjustRightInd w:val="0"/>
        <w:rPr>
          <w:rFonts w:hint="eastAsia"/>
          <w:bCs/>
          <w:color w:val="auto"/>
          <w:szCs w:val="21"/>
          <w:highlight w:val="none"/>
        </w:rPr>
      </w:pPr>
    </w:p>
    <w:p w14:paraId="7C155143">
      <w:pPr>
        <w:autoSpaceDE w:val="0"/>
        <w:autoSpaceDN w:val="0"/>
        <w:adjustRightInd w:val="0"/>
        <w:rPr>
          <w:bCs/>
          <w:color w:val="auto"/>
          <w:szCs w:val="21"/>
          <w:highlight w:val="none"/>
        </w:rPr>
      </w:pPr>
      <w:r>
        <w:rPr>
          <w:rFonts w:hint="eastAsia"/>
          <w:bCs/>
          <w:color w:val="auto"/>
          <w:szCs w:val="21"/>
          <w:highlight w:val="none"/>
        </w:rPr>
        <w:t>附件一</w:t>
      </w:r>
    </w:p>
    <w:p w14:paraId="670DAB93">
      <w:pPr>
        <w:autoSpaceDE w:val="0"/>
        <w:autoSpaceDN w:val="0"/>
        <w:adjustRightInd w:val="0"/>
        <w:ind w:left="-540" w:leftChars="-257" w:firstLine="1135" w:firstLineChars="257"/>
        <w:jc w:val="center"/>
        <w:rPr>
          <w:rFonts w:ascii="宋体" w:hAnsi="宋体" w:cs="宋体"/>
          <w:b/>
          <w:bCs/>
          <w:color w:val="auto"/>
          <w:sz w:val="44"/>
          <w:szCs w:val="44"/>
          <w:highlight w:val="none"/>
          <w:lang w:val="zh-CN"/>
        </w:rPr>
      </w:pPr>
    </w:p>
    <w:p w14:paraId="448D605A">
      <w:pPr>
        <w:autoSpaceDE w:val="0"/>
        <w:autoSpaceDN w:val="0"/>
        <w:adjustRightInd w:val="0"/>
        <w:ind w:left="-540" w:leftChars="-257" w:firstLine="1135" w:firstLineChars="257"/>
        <w:jc w:val="center"/>
        <w:rPr>
          <w:rFonts w:ascii="宋体"/>
          <w:b/>
          <w:bCs/>
          <w:color w:val="auto"/>
          <w:sz w:val="52"/>
          <w:szCs w:val="52"/>
          <w:highlight w:val="none"/>
        </w:rPr>
      </w:pPr>
      <w:r>
        <w:rPr>
          <w:rFonts w:hint="eastAsia" w:ascii="宋体" w:hAnsi="宋体" w:cs="宋体"/>
          <w:b/>
          <w:bCs/>
          <w:color w:val="auto"/>
          <w:sz w:val="44"/>
          <w:szCs w:val="44"/>
          <w:highlight w:val="none"/>
          <w:lang w:val="zh-CN"/>
        </w:rPr>
        <w:t>广州建设工程施工招标投标书</w:t>
      </w:r>
    </w:p>
    <w:tbl>
      <w:tblPr>
        <w:tblStyle w:val="17"/>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14:paraId="0045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1759047C">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工</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程</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名</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称</w:t>
            </w:r>
          </w:p>
        </w:tc>
        <w:tc>
          <w:tcPr>
            <w:tcW w:w="3574" w:type="dxa"/>
            <w:tcBorders>
              <w:top w:val="single" w:color="auto" w:sz="4" w:space="0"/>
              <w:left w:val="single" w:color="auto" w:sz="4" w:space="0"/>
              <w:bottom w:val="single" w:color="auto" w:sz="4" w:space="0"/>
              <w:right w:val="single" w:color="auto" w:sz="4" w:space="0"/>
            </w:tcBorders>
          </w:tcPr>
          <w:p w14:paraId="0C2DB64F">
            <w:pPr>
              <w:autoSpaceDE w:val="0"/>
              <w:autoSpaceDN w:val="0"/>
              <w:adjustRightInd w:val="0"/>
              <w:rPr>
                <w:rFonts w:ascii="宋体" w:cs="宋体"/>
                <w:b/>
                <w:bCs/>
                <w:color w:val="auto"/>
                <w:sz w:val="24"/>
                <w:szCs w:val="24"/>
                <w:highlight w:val="none"/>
                <w:lang w:val="zh-CN"/>
              </w:rPr>
            </w:pPr>
          </w:p>
        </w:tc>
      </w:tr>
      <w:tr w14:paraId="20A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29964211">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14:paraId="13F97E96">
            <w:pPr>
              <w:autoSpaceDE w:val="0"/>
              <w:autoSpaceDN w:val="0"/>
              <w:adjustRightInd w:val="0"/>
              <w:rPr>
                <w:rFonts w:ascii="宋体" w:cs="宋体"/>
                <w:b/>
                <w:bCs/>
                <w:color w:val="auto"/>
                <w:sz w:val="24"/>
                <w:szCs w:val="24"/>
                <w:highlight w:val="none"/>
                <w:lang w:val="zh-CN"/>
              </w:rPr>
            </w:pPr>
          </w:p>
        </w:tc>
      </w:tr>
      <w:tr w14:paraId="6B5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21AC4507">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14:paraId="39C4A632">
            <w:pPr>
              <w:autoSpaceDE w:val="0"/>
              <w:autoSpaceDN w:val="0"/>
              <w:adjustRightInd w:val="0"/>
              <w:rPr>
                <w:rFonts w:ascii="宋体" w:cs="宋体"/>
                <w:b/>
                <w:bCs/>
                <w:color w:val="auto"/>
                <w:sz w:val="24"/>
                <w:szCs w:val="24"/>
                <w:highlight w:val="none"/>
                <w:lang w:val="zh-CN"/>
              </w:rPr>
            </w:pPr>
          </w:p>
        </w:tc>
      </w:tr>
      <w:tr w14:paraId="1222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1FFF00E8">
            <w:pPr>
              <w:widowControl/>
              <w:jc w:val="center"/>
              <w:rPr>
                <w:rFonts w:asci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vAlign w:val="center"/>
          </w:tcPr>
          <w:p w14:paraId="528B28C8">
            <w:pPr>
              <w:autoSpaceDE w:val="0"/>
              <w:autoSpaceDN w:val="0"/>
              <w:adjustRightInd w:val="0"/>
              <w:rPr>
                <w:rFonts w:ascii="宋体" w:cs="宋体"/>
                <w:b/>
                <w:bCs/>
                <w:color w:val="auto"/>
                <w:sz w:val="24"/>
                <w:szCs w:val="24"/>
                <w:highlight w:val="none"/>
                <w:lang w:val="zh-CN"/>
              </w:rPr>
            </w:pPr>
          </w:p>
        </w:tc>
      </w:tr>
      <w:tr w14:paraId="6BFE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690C5399">
            <w:pPr>
              <w:jc w:val="center"/>
              <w:rPr>
                <w:rFonts w:hint="eastAsia" w:ascii="宋体" w:hAnsi="宋体" w:cs="宋体"/>
                <w:b/>
                <w:color w:val="auto"/>
                <w:sz w:val="24"/>
                <w:szCs w:val="24"/>
                <w:highlight w:val="none"/>
                <w:lang w:val="zh-CN"/>
              </w:rPr>
            </w:pPr>
            <w:r>
              <w:rPr>
                <w:rFonts w:hint="eastAsia" w:ascii="宋体" w:hAnsi="宋体" w:cs="宋体"/>
                <w:b/>
                <w:color w:val="auto"/>
                <w:sz w:val="24"/>
                <w:szCs w:val="24"/>
                <w:highlight w:val="none"/>
                <w:lang w:val="zh-CN"/>
              </w:rPr>
              <w:t>投</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标</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总 工</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期</w:t>
            </w:r>
          </w:p>
          <w:p w14:paraId="4C498A4F">
            <w:pPr>
              <w:jc w:val="center"/>
              <w:rPr>
                <w:rFonts w:hint="eastAsia" w:ascii="宋体" w:hAnsi="宋体" w:cs="宋体"/>
                <w:b/>
                <w:color w:val="auto"/>
                <w:sz w:val="24"/>
                <w:szCs w:val="24"/>
                <w:highlight w:val="none"/>
                <w:lang w:val="zh-CN"/>
              </w:rPr>
            </w:pPr>
            <w:r>
              <w:rPr>
                <w:rFonts w:hint="eastAsia" w:ascii="宋体" w:hAnsi="宋体" w:cs="宋体"/>
                <w:b w:val="0"/>
                <w:bCs/>
                <w:color w:val="auto"/>
                <w:sz w:val="24"/>
                <w:szCs w:val="24"/>
                <w:highlight w:val="none"/>
                <w:lang w:val="en-US" w:eastAsia="zh-CN"/>
              </w:rPr>
              <w:t>(应满足或优于投标须知前附表的工期要求）</w:t>
            </w:r>
          </w:p>
        </w:tc>
        <w:tc>
          <w:tcPr>
            <w:tcW w:w="3574" w:type="dxa"/>
            <w:tcBorders>
              <w:top w:val="single" w:color="auto" w:sz="4" w:space="0"/>
              <w:left w:val="single" w:color="auto" w:sz="4" w:space="0"/>
              <w:bottom w:val="single" w:color="auto" w:sz="4" w:space="0"/>
              <w:right w:val="single" w:color="auto" w:sz="4" w:space="0"/>
            </w:tcBorders>
          </w:tcPr>
          <w:p w14:paraId="2A7D47E6">
            <w:pPr>
              <w:autoSpaceDE w:val="0"/>
              <w:autoSpaceDN w:val="0"/>
              <w:adjustRightInd w:val="0"/>
              <w:rPr>
                <w:rFonts w:ascii="宋体" w:cs="宋体"/>
                <w:b/>
                <w:bCs/>
                <w:color w:val="auto"/>
                <w:sz w:val="24"/>
                <w:szCs w:val="24"/>
                <w:highlight w:val="none"/>
                <w:lang w:val="zh-CN"/>
              </w:rPr>
            </w:pPr>
          </w:p>
        </w:tc>
      </w:tr>
      <w:tr w14:paraId="11B7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37BF737F">
            <w:pPr>
              <w:jc w:val="center"/>
              <w:rPr>
                <w:rFonts w:ascii="宋体"/>
                <w:b/>
                <w:color w:val="auto"/>
                <w:sz w:val="24"/>
                <w:szCs w:val="24"/>
                <w:highlight w:val="none"/>
              </w:rPr>
            </w:pPr>
            <w:r>
              <w:rPr>
                <w:rFonts w:hint="eastAsia" w:ascii="宋体" w:hAnsi="宋体" w:cs="宋体"/>
                <w:b/>
                <w:color w:val="auto"/>
                <w:sz w:val="24"/>
                <w:szCs w:val="24"/>
                <w:highlight w:val="none"/>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14:paraId="2B4944FB">
            <w:pPr>
              <w:autoSpaceDE w:val="0"/>
              <w:autoSpaceDN w:val="0"/>
              <w:adjustRightInd w:val="0"/>
              <w:rPr>
                <w:rFonts w:ascii="宋体" w:cs="宋体"/>
                <w:b/>
                <w:bCs/>
                <w:color w:val="auto"/>
                <w:sz w:val="24"/>
                <w:szCs w:val="24"/>
                <w:highlight w:val="none"/>
                <w:lang w:val="zh-CN"/>
              </w:rPr>
            </w:pPr>
          </w:p>
        </w:tc>
      </w:tr>
      <w:tr w14:paraId="71DB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6CFF73A5">
            <w:pPr>
              <w:autoSpaceDE w:val="0"/>
              <w:autoSpaceDN w:val="0"/>
              <w:adjustRightInd w:val="0"/>
              <w:ind w:firstLine="2159" w:firstLineChars="896"/>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保</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修</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期</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限</w:t>
            </w:r>
          </w:p>
        </w:tc>
        <w:tc>
          <w:tcPr>
            <w:tcW w:w="3574" w:type="dxa"/>
            <w:tcBorders>
              <w:top w:val="single" w:color="auto" w:sz="4" w:space="0"/>
              <w:left w:val="single" w:color="auto" w:sz="4" w:space="0"/>
              <w:bottom w:val="single" w:color="auto" w:sz="4" w:space="0"/>
              <w:right w:val="single" w:color="auto" w:sz="4" w:space="0"/>
            </w:tcBorders>
          </w:tcPr>
          <w:p w14:paraId="47D7B66E">
            <w:pPr>
              <w:autoSpaceDE w:val="0"/>
              <w:autoSpaceDN w:val="0"/>
              <w:adjustRightInd w:val="0"/>
              <w:rPr>
                <w:rFonts w:ascii="宋体" w:cs="宋体"/>
                <w:b/>
                <w:bCs/>
                <w:color w:val="auto"/>
                <w:sz w:val="24"/>
                <w:szCs w:val="24"/>
                <w:highlight w:val="none"/>
                <w:lang w:val="zh-CN"/>
              </w:rPr>
            </w:pPr>
          </w:p>
        </w:tc>
      </w:tr>
    </w:tbl>
    <w:p w14:paraId="02F65BB6">
      <w:pPr>
        <w:tabs>
          <w:tab w:val="left" w:pos="720"/>
        </w:tabs>
        <w:snapToGrid w:val="0"/>
        <w:spacing w:line="360" w:lineRule="auto"/>
        <w:rPr>
          <w:color w:val="auto"/>
          <w:sz w:val="24"/>
          <w:szCs w:val="24"/>
          <w:highlight w:val="none"/>
        </w:rPr>
      </w:pPr>
    </w:p>
    <w:tbl>
      <w:tblPr>
        <w:tblStyle w:val="17"/>
        <w:tblW w:w="9008" w:type="dxa"/>
        <w:tblInd w:w="0" w:type="dxa"/>
        <w:tblLayout w:type="fixed"/>
        <w:tblCellMar>
          <w:top w:w="0" w:type="dxa"/>
          <w:left w:w="108" w:type="dxa"/>
          <w:bottom w:w="0" w:type="dxa"/>
          <w:right w:w="108" w:type="dxa"/>
        </w:tblCellMar>
      </w:tblPr>
      <w:tblGrid>
        <w:gridCol w:w="9008"/>
      </w:tblGrid>
      <w:tr w14:paraId="75849B79">
        <w:tblPrEx>
          <w:tblCellMar>
            <w:top w:w="0" w:type="dxa"/>
            <w:left w:w="108" w:type="dxa"/>
            <w:bottom w:w="0" w:type="dxa"/>
            <w:right w:w="108" w:type="dxa"/>
          </w:tblCellMar>
        </w:tblPrEx>
        <w:trPr>
          <w:trHeight w:val="195" w:hRule="atLeast"/>
        </w:trPr>
        <w:tc>
          <w:tcPr>
            <w:tcW w:w="9008" w:type="dxa"/>
            <w:tcBorders>
              <w:top w:val="nil"/>
              <w:left w:val="nil"/>
              <w:bottom w:val="nil"/>
              <w:right w:val="nil"/>
            </w:tcBorders>
            <w:noWrap/>
            <w:vAlign w:val="bottom"/>
          </w:tcPr>
          <w:p w14:paraId="788D0F87">
            <w:pPr>
              <w:widowControl/>
              <w:spacing w:line="360" w:lineRule="auto"/>
              <w:jc w:val="left"/>
              <w:rPr>
                <w:rFonts w:ascii="宋体" w:cs="宋体"/>
                <w:color w:val="auto"/>
                <w:kern w:val="0"/>
                <w:sz w:val="28"/>
                <w:szCs w:val="28"/>
                <w:highlight w:val="none"/>
              </w:rPr>
            </w:pPr>
            <w:r>
              <w:rPr>
                <w:rFonts w:ascii="宋体" w:hAnsi="宋体" w:cs="宋体"/>
                <w:color w:val="auto"/>
                <w:kern w:val="0"/>
                <w:sz w:val="28"/>
                <w:szCs w:val="28"/>
                <w:highlight w:val="none"/>
              </w:rPr>
              <w:t xml:space="preserve">                                                                                             </w:t>
            </w:r>
          </w:p>
        </w:tc>
      </w:tr>
    </w:tbl>
    <w:p w14:paraId="2146CD7F">
      <w:pPr>
        <w:autoSpaceDE w:val="0"/>
        <w:autoSpaceDN w:val="0"/>
        <w:adjustRightInd w:val="0"/>
        <w:ind w:left="-540" w:leftChars="-257" w:firstLine="616" w:firstLineChars="257"/>
        <w:jc w:val="center"/>
        <w:rPr>
          <w:rFonts w:ascii="宋体" w:hAnsi="宋体" w:cs="宋体"/>
          <w:b/>
          <w:bCs/>
          <w:color w:val="auto"/>
          <w:sz w:val="44"/>
          <w:szCs w:val="44"/>
          <w:highlight w:val="none"/>
          <w:lang w:val="zh-CN"/>
        </w:rPr>
      </w:pPr>
      <w:r>
        <w:rPr>
          <w:color w:val="auto"/>
          <w:sz w:val="24"/>
          <w:szCs w:val="24"/>
          <w:highlight w:val="none"/>
        </w:rPr>
        <w:br w:type="page"/>
      </w:r>
    </w:p>
    <w:p w14:paraId="0F201EDE">
      <w:pPr>
        <w:jc w:val="center"/>
        <w:rPr>
          <w:rFonts w:ascii="宋体" w:hAnsi="宋体"/>
          <w:b/>
          <w:color w:val="auto"/>
          <w:sz w:val="36"/>
          <w:szCs w:val="36"/>
          <w:highlight w:val="none"/>
        </w:rPr>
      </w:pPr>
      <w:r>
        <w:rPr>
          <w:rFonts w:hint="eastAsia" w:ascii="宋体" w:hAnsi="宋体"/>
          <w:b/>
          <w:color w:val="auto"/>
          <w:sz w:val="36"/>
          <w:szCs w:val="36"/>
          <w:highlight w:val="none"/>
        </w:rPr>
        <w:t>响应招标文件所附</w:t>
      </w:r>
      <w:r>
        <w:rPr>
          <w:rFonts w:hint="eastAsia" w:ascii="宋体" w:hAnsi="宋体"/>
          <w:b/>
          <w:color w:val="auto"/>
          <w:sz w:val="36"/>
          <w:szCs w:val="36"/>
          <w:highlight w:val="none"/>
          <w:u w:val="single"/>
        </w:rPr>
        <w:t>施工组织设计要点</w:t>
      </w:r>
      <w:r>
        <w:rPr>
          <w:rFonts w:hint="eastAsia" w:ascii="宋体" w:hAnsi="宋体"/>
          <w:b/>
          <w:color w:val="auto"/>
          <w:sz w:val="36"/>
          <w:szCs w:val="36"/>
          <w:highlight w:val="none"/>
        </w:rPr>
        <w:t>的承诺书</w:t>
      </w:r>
    </w:p>
    <w:p w14:paraId="2B1A16C7">
      <w:pPr>
        <w:spacing w:line="360" w:lineRule="auto"/>
        <w:rPr>
          <w:rFonts w:ascii="宋体" w:hAnsi="宋体"/>
          <w:color w:val="auto"/>
          <w:highlight w:val="none"/>
        </w:rPr>
      </w:pPr>
    </w:p>
    <w:p w14:paraId="46E614F8">
      <w:pPr>
        <w:spacing w:line="360" w:lineRule="auto"/>
        <w:rPr>
          <w:rFonts w:ascii="宋体" w:hAnsi="宋体"/>
          <w:color w:val="auto"/>
          <w:highlight w:val="none"/>
        </w:rPr>
      </w:pPr>
    </w:p>
    <w:p w14:paraId="120615E5">
      <w:pPr>
        <w:spacing w:line="360" w:lineRule="auto"/>
        <w:rPr>
          <w:rFonts w:ascii="宋体" w:hAnsi="宋体"/>
          <w:color w:val="auto"/>
          <w:sz w:val="24"/>
          <w:highlight w:val="none"/>
        </w:rPr>
      </w:pPr>
    </w:p>
    <w:p w14:paraId="0E77CCD2">
      <w:pPr>
        <w:spacing w:line="360" w:lineRule="auto"/>
        <w:rPr>
          <w:rFonts w:ascii="宋体" w:hAnsi="宋体"/>
          <w:color w:val="auto"/>
          <w:sz w:val="24"/>
          <w:highlight w:val="none"/>
          <w:u w:val="single"/>
        </w:rPr>
      </w:pPr>
      <w:r>
        <w:rPr>
          <w:rFonts w:hint="eastAsia" w:ascii="宋体" w:hAnsi="宋体"/>
          <w:color w:val="auto"/>
          <w:sz w:val="24"/>
          <w:highlight w:val="none"/>
          <w:u w:val="single"/>
        </w:rPr>
        <w:t>广州市番禺区基本建设投资管理中心</w:t>
      </w:r>
      <w:r>
        <w:rPr>
          <w:rFonts w:hint="eastAsia" w:ascii="宋体" w:hAnsi="宋体"/>
          <w:color w:val="auto"/>
          <w:sz w:val="24"/>
          <w:highlight w:val="none"/>
        </w:rPr>
        <w:t>：</w:t>
      </w:r>
    </w:p>
    <w:p w14:paraId="6373CE1E">
      <w:pPr>
        <w:spacing w:line="360" w:lineRule="auto"/>
        <w:ind w:firstLine="435"/>
        <w:rPr>
          <w:rFonts w:ascii="宋体" w:hAnsi="宋体"/>
          <w:color w:val="auto"/>
          <w:sz w:val="24"/>
          <w:highlight w:val="none"/>
        </w:rPr>
      </w:pPr>
      <w:r>
        <w:rPr>
          <w:rFonts w:hint="eastAsia" w:ascii="宋体" w:hAnsi="宋体"/>
          <w:color w:val="auto"/>
          <w:sz w:val="24"/>
          <w:highlight w:val="none"/>
        </w:rPr>
        <w:t>我方承诺，如中标承建</w:t>
      </w:r>
      <w:r>
        <w:rPr>
          <w:rFonts w:hint="eastAsia" w:ascii="宋体" w:hAnsi="宋体"/>
          <w:color w:val="auto"/>
          <w:sz w:val="24"/>
          <w:highlight w:val="none"/>
          <w:u w:val="single"/>
        </w:rPr>
        <w:t>广州市公安局番禺区分局公安基地配电改造工程</w:t>
      </w:r>
      <w:r>
        <w:rPr>
          <w:rFonts w:hint="eastAsia" w:ascii="宋体" w:hAnsi="宋体"/>
          <w:color w:val="auto"/>
          <w:sz w:val="24"/>
          <w:highlight w:val="none"/>
        </w:rPr>
        <w:t>，将按招标文件所附的本工程</w:t>
      </w:r>
      <w:r>
        <w:rPr>
          <w:rFonts w:hint="eastAsia" w:ascii="宋体" w:hAnsi="宋体"/>
          <w:color w:val="auto"/>
          <w:sz w:val="24"/>
          <w:highlight w:val="none"/>
          <w:u w:val="single"/>
        </w:rPr>
        <w:t>（施工组织设计要点）</w:t>
      </w:r>
      <w:r>
        <w:rPr>
          <w:rFonts w:hint="eastAsia" w:ascii="宋体" w:hAnsi="宋体"/>
          <w:color w:val="auto"/>
          <w:sz w:val="24"/>
          <w:highlight w:val="none"/>
        </w:rPr>
        <w:t>进行响应的基础上自行组织施工。并承诺在中标后按招标文件所附的</w:t>
      </w:r>
      <w:r>
        <w:rPr>
          <w:rFonts w:hint="eastAsia" w:ascii="宋体" w:hAnsi="宋体"/>
          <w:color w:val="auto"/>
          <w:sz w:val="24"/>
          <w:highlight w:val="none"/>
          <w:u w:val="single"/>
        </w:rPr>
        <w:t>（施工组织设计要点）</w:t>
      </w:r>
      <w:r>
        <w:rPr>
          <w:rFonts w:hint="eastAsia" w:ascii="宋体" w:hAnsi="宋体"/>
          <w:color w:val="auto"/>
          <w:sz w:val="24"/>
          <w:highlight w:val="none"/>
        </w:rPr>
        <w:t>基础上编制详细的施工组织设计，并报经监理单位和建设单位审批后实施。</w:t>
      </w:r>
    </w:p>
    <w:p w14:paraId="42C746A5">
      <w:pPr>
        <w:spacing w:line="360" w:lineRule="auto"/>
        <w:ind w:firstLine="435"/>
        <w:rPr>
          <w:rFonts w:ascii="宋体" w:hAnsi="宋体"/>
          <w:color w:val="auto"/>
          <w:sz w:val="24"/>
          <w:highlight w:val="none"/>
        </w:rPr>
      </w:pPr>
    </w:p>
    <w:p w14:paraId="2DCAF989">
      <w:pPr>
        <w:spacing w:line="360" w:lineRule="auto"/>
        <w:ind w:firstLine="435"/>
        <w:rPr>
          <w:rFonts w:ascii="宋体" w:hAnsi="宋体"/>
          <w:color w:val="auto"/>
          <w:sz w:val="24"/>
          <w:highlight w:val="none"/>
        </w:rPr>
      </w:pPr>
    </w:p>
    <w:p w14:paraId="35F95D6F">
      <w:pPr>
        <w:spacing w:line="360" w:lineRule="auto"/>
        <w:ind w:firstLine="435"/>
        <w:rPr>
          <w:rFonts w:ascii="宋体" w:hAnsi="宋体"/>
          <w:color w:val="auto"/>
          <w:sz w:val="24"/>
          <w:highlight w:val="none"/>
        </w:rPr>
      </w:pPr>
    </w:p>
    <w:p w14:paraId="43E81D71">
      <w:pPr>
        <w:spacing w:line="360" w:lineRule="auto"/>
        <w:ind w:firstLine="435"/>
        <w:rPr>
          <w:rFonts w:ascii="宋体" w:hAnsi="宋体"/>
          <w:color w:val="auto"/>
          <w:sz w:val="24"/>
          <w:highlight w:val="none"/>
        </w:rPr>
      </w:pPr>
    </w:p>
    <w:p w14:paraId="73004798">
      <w:pPr>
        <w:spacing w:line="360" w:lineRule="auto"/>
        <w:ind w:firstLine="435"/>
        <w:rPr>
          <w:rFonts w:ascii="宋体" w:hAnsi="宋体"/>
          <w:color w:val="auto"/>
          <w:sz w:val="24"/>
          <w:highlight w:val="none"/>
        </w:rPr>
      </w:pPr>
    </w:p>
    <w:p w14:paraId="110E93A3">
      <w:pPr>
        <w:spacing w:line="360" w:lineRule="auto"/>
        <w:ind w:firstLine="3000" w:firstLineChars="1250"/>
        <w:rPr>
          <w:rFonts w:ascii="宋体" w:hAnsi="宋体"/>
          <w:color w:val="auto"/>
          <w:sz w:val="24"/>
          <w:highlight w:val="none"/>
          <w:u w:val="single"/>
        </w:rPr>
      </w:pPr>
      <w:r>
        <w:rPr>
          <w:rFonts w:hint="eastAsia" w:ascii="宋体" w:hAnsi="宋体"/>
          <w:color w:val="auto"/>
          <w:sz w:val="24"/>
          <w:highlight w:val="none"/>
        </w:rPr>
        <w:t>投标人名称（盖法人公章）：</w:t>
      </w:r>
      <w:r>
        <w:rPr>
          <w:rFonts w:hint="eastAsia" w:ascii="宋体" w:hAnsi="宋体"/>
          <w:color w:val="auto"/>
          <w:sz w:val="24"/>
          <w:highlight w:val="none"/>
          <w:u w:val="single"/>
        </w:rPr>
        <w:t xml:space="preserve">                   </w:t>
      </w:r>
    </w:p>
    <w:p w14:paraId="20108B92">
      <w:pPr>
        <w:spacing w:line="360" w:lineRule="auto"/>
        <w:ind w:firstLine="3000" w:firstLineChars="1250"/>
        <w:rPr>
          <w:rFonts w:ascii="宋体" w:hAnsi="宋体"/>
          <w:color w:val="auto"/>
          <w:sz w:val="24"/>
          <w:highlight w:val="none"/>
          <w:u w:val="single"/>
        </w:rPr>
      </w:pPr>
    </w:p>
    <w:p w14:paraId="6CDEE607">
      <w:pPr>
        <w:spacing w:line="360" w:lineRule="auto"/>
        <w:ind w:firstLine="3000" w:firstLineChars="1250"/>
        <w:rPr>
          <w:rFonts w:ascii="宋体" w:hAnsi="宋体"/>
          <w:color w:val="auto"/>
          <w:sz w:val="24"/>
          <w:highlight w:val="none"/>
          <w:u w:val="single"/>
        </w:rPr>
      </w:pPr>
    </w:p>
    <w:p w14:paraId="043E9D83">
      <w:pPr>
        <w:spacing w:line="360" w:lineRule="auto"/>
        <w:ind w:firstLine="4440" w:firstLineChars="1850"/>
        <w:rPr>
          <w:rFonts w:ascii="宋体" w:hAns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692AA972">
      <w:pPr>
        <w:autoSpaceDE w:val="0"/>
        <w:autoSpaceDN w:val="0"/>
        <w:adjustRightInd w:val="0"/>
        <w:rPr>
          <w:color w:val="auto"/>
          <w:szCs w:val="21"/>
          <w:highlight w:val="none"/>
        </w:rPr>
      </w:pPr>
    </w:p>
    <w:p w14:paraId="402626F2">
      <w:pPr>
        <w:autoSpaceDE w:val="0"/>
        <w:autoSpaceDN w:val="0"/>
        <w:adjustRightInd w:val="0"/>
        <w:rPr>
          <w:color w:val="auto"/>
          <w:szCs w:val="21"/>
          <w:highlight w:val="none"/>
        </w:rPr>
      </w:pPr>
    </w:p>
    <w:p w14:paraId="23510220">
      <w:pPr>
        <w:autoSpaceDE w:val="0"/>
        <w:autoSpaceDN w:val="0"/>
        <w:adjustRightInd w:val="0"/>
        <w:rPr>
          <w:color w:val="auto"/>
          <w:szCs w:val="21"/>
          <w:highlight w:val="none"/>
        </w:rPr>
      </w:pPr>
    </w:p>
    <w:p w14:paraId="22214BC8">
      <w:pPr>
        <w:autoSpaceDE w:val="0"/>
        <w:autoSpaceDN w:val="0"/>
        <w:adjustRightInd w:val="0"/>
        <w:rPr>
          <w:color w:val="auto"/>
          <w:szCs w:val="21"/>
          <w:highlight w:val="none"/>
        </w:rPr>
      </w:pPr>
    </w:p>
    <w:p w14:paraId="0FA08486">
      <w:pPr>
        <w:autoSpaceDE w:val="0"/>
        <w:autoSpaceDN w:val="0"/>
        <w:adjustRightInd w:val="0"/>
        <w:rPr>
          <w:color w:val="auto"/>
          <w:szCs w:val="21"/>
          <w:highlight w:val="none"/>
        </w:rPr>
      </w:pPr>
    </w:p>
    <w:p w14:paraId="7796EC1F">
      <w:pPr>
        <w:autoSpaceDE w:val="0"/>
        <w:autoSpaceDN w:val="0"/>
        <w:adjustRightInd w:val="0"/>
        <w:rPr>
          <w:color w:val="auto"/>
          <w:szCs w:val="21"/>
          <w:highlight w:val="none"/>
        </w:rPr>
      </w:pPr>
    </w:p>
    <w:p w14:paraId="0B323D35">
      <w:pPr>
        <w:autoSpaceDE w:val="0"/>
        <w:autoSpaceDN w:val="0"/>
        <w:adjustRightInd w:val="0"/>
        <w:rPr>
          <w:color w:val="auto"/>
          <w:szCs w:val="21"/>
          <w:highlight w:val="none"/>
        </w:rPr>
      </w:pPr>
    </w:p>
    <w:p w14:paraId="7560E896">
      <w:pPr>
        <w:autoSpaceDE w:val="0"/>
        <w:autoSpaceDN w:val="0"/>
        <w:adjustRightInd w:val="0"/>
        <w:rPr>
          <w:color w:val="auto"/>
          <w:szCs w:val="21"/>
          <w:highlight w:val="none"/>
        </w:rPr>
      </w:pPr>
    </w:p>
    <w:p w14:paraId="30E5B0F7">
      <w:pPr>
        <w:autoSpaceDE w:val="0"/>
        <w:autoSpaceDN w:val="0"/>
        <w:adjustRightInd w:val="0"/>
        <w:rPr>
          <w:color w:val="auto"/>
          <w:szCs w:val="21"/>
          <w:highlight w:val="none"/>
        </w:rPr>
      </w:pPr>
    </w:p>
    <w:p w14:paraId="3FBF3B48">
      <w:pPr>
        <w:autoSpaceDE w:val="0"/>
        <w:autoSpaceDN w:val="0"/>
        <w:adjustRightInd w:val="0"/>
        <w:rPr>
          <w:color w:val="auto"/>
          <w:szCs w:val="21"/>
          <w:highlight w:val="none"/>
        </w:rPr>
      </w:pPr>
    </w:p>
    <w:p w14:paraId="36445C97">
      <w:pPr>
        <w:autoSpaceDE w:val="0"/>
        <w:autoSpaceDN w:val="0"/>
        <w:adjustRightInd w:val="0"/>
        <w:rPr>
          <w:color w:val="auto"/>
          <w:szCs w:val="21"/>
          <w:highlight w:val="none"/>
        </w:rPr>
      </w:pPr>
    </w:p>
    <w:p w14:paraId="32520746">
      <w:pPr>
        <w:autoSpaceDE w:val="0"/>
        <w:autoSpaceDN w:val="0"/>
        <w:adjustRightInd w:val="0"/>
        <w:rPr>
          <w:color w:val="auto"/>
          <w:szCs w:val="21"/>
          <w:highlight w:val="none"/>
        </w:rPr>
      </w:pPr>
    </w:p>
    <w:p w14:paraId="52479261">
      <w:pPr>
        <w:autoSpaceDE w:val="0"/>
        <w:autoSpaceDN w:val="0"/>
        <w:adjustRightInd w:val="0"/>
        <w:rPr>
          <w:color w:val="auto"/>
          <w:szCs w:val="21"/>
          <w:highlight w:val="none"/>
        </w:rPr>
      </w:pPr>
    </w:p>
    <w:p w14:paraId="113B0DDA">
      <w:pPr>
        <w:autoSpaceDE w:val="0"/>
        <w:autoSpaceDN w:val="0"/>
        <w:adjustRightInd w:val="0"/>
        <w:rPr>
          <w:color w:val="auto"/>
          <w:szCs w:val="21"/>
          <w:highlight w:val="none"/>
        </w:rPr>
      </w:pPr>
    </w:p>
    <w:p w14:paraId="2B3EFA29">
      <w:pPr>
        <w:autoSpaceDE w:val="0"/>
        <w:autoSpaceDN w:val="0"/>
        <w:adjustRightInd w:val="0"/>
        <w:rPr>
          <w:color w:val="auto"/>
          <w:szCs w:val="21"/>
          <w:highlight w:val="none"/>
        </w:rPr>
      </w:pPr>
    </w:p>
    <w:p w14:paraId="3CE7D120">
      <w:pPr>
        <w:autoSpaceDE w:val="0"/>
        <w:autoSpaceDN w:val="0"/>
        <w:adjustRightInd w:val="0"/>
        <w:rPr>
          <w:rFonts w:hint="eastAsia"/>
          <w:color w:val="auto"/>
          <w:szCs w:val="21"/>
          <w:highlight w:val="none"/>
        </w:rPr>
      </w:pPr>
    </w:p>
    <w:p w14:paraId="15670F46">
      <w:pPr>
        <w:autoSpaceDE w:val="0"/>
        <w:autoSpaceDN w:val="0"/>
        <w:adjustRightInd w:val="0"/>
        <w:rPr>
          <w:rFonts w:hint="eastAsia"/>
          <w:color w:val="auto"/>
          <w:szCs w:val="21"/>
          <w:highlight w:val="none"/>
        </w:rPr>
      </w:pPr>
    </w:p>
    <w:p w14:paraId="119ABFC1">
      <w:pPr>
        <w:autoSpaceDE w:val="0"/>
        <w:autoSpaceDN w:val="0"/>
        <w:adjustRightInd w:val="0"/>
        <w:rPr>
          <w:color w:val="auto"/>
          <w:szCs w:val="21"/>
          <w:highlight w:val="none"/>
        </w:rPr>
      </w:pPr>
      <w:r>
        <w:rPr>
          <w:rFonts w:hint="eastAsia"/>
          <w:color w:val="auto"/>
          <w:szCs w:val="21"/>
          <w:highlight w:val="none"/>
        </w:rPr>
        <w:t>附件二</w:t>
      </w:r>
    </w:p>
    <w:p w14:paraId="5C33D191">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14:paraId="40B8B115">
      <w:pPr>
        <w:tabs>
          <w:tab w:val="left" w:pos="720"/>
        </w:tabs>
        <w:snapToGrid w:val="0"/>
        <w:spacing w:line="360" w:lineRule="auto"/>
        <w:rPr>
          <w:color w:val="auto"/>
          <w:sz w:val="24"/>
          <w:szCs w:val="24"/>
          <w:highlight w:val="none"/>
        </w:rPr>
      </w:pPr>
    </w:p>
    <w:p w14:paraId="58E6D2C4">
      <w:pPr>
        <w:tabs>
          <w:tab w:val="left" w:pos="720"/>
        </w:tabs>
        <w:snapToGrid w:val="0"/>
        <w:spacing w:line="360" w:lineRule="auto"/>
        <w:jc w:val="center"/>
        <w:rPr>
          <w:color w:val="auto"/>
          <w:szCs w:val="21"/>
          <w:highlight w:val="none"/>
        </w:rPr>
      </w:pPr>
      <w:r>
        <w:rPr>
          <w:rFonts w:hint="eastAsia"/>
          <w:color w:val="auto"/>
          <w:szCs w:val="21"/>
          <w:highlight w:val="none"/>
        </w:rPr>
        <w:t>一、参与编制技术标投标文件人员名单</w:t>
      </w: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1E1A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1752517A">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7E8B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1341B43C">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E9321DE">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488CEC26">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0A93BA8F">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667121FE">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19D6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39E09CC4">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59B62F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AEE73FC">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2A1C966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376D93D">
            <w:pPr>
              <w:tabs>
                <w:tab w:val="left" w:pos="720"/>
              </w:tabs>
              <w:snapToGrid w:val="0"/>
              <w:spacing w:line="360" w:lineRule="auto"/>
              <w:jc w:val="center"/>
              <w:rPr>
                <w:rFonts w:ascii="宋体" w:hAnsi="宋体"/>
                <w:color w:val="auto"/>
                <w:szCs w:val="21"/>
                <w:highlight w:val="none"/>
              </w:rPr>
            </w:pPr>
          </w:p>
        </w:tc>
      </w:tr>
      <w:tr w14:paraId="0A94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67E6E8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5C0E9CB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0DB8625B">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47076F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CBF43E7">
            <w:pPr>
              <w:tabs>
                <w:tab w:val="left" w:pos="720"/>
              </w:tabs>
              <w:snapToGrid w:val="0"/>
              <w:spacing w:line="360" w:lineRule="auto"/>
              <w:jc w:val="center"/>
              <w:rPr>
                <w:rFonts w:ascii="宋体" w:hAnsi="宋体"/>
                <w:color w:val="auto"/>
                <w:szCs w:val="21"/>
                <w:highlight w:val="none"/>
              </w:rPr>
            </w:pPr>
          </w:p>
        </w:tc>
      </w:tr>
      <w:tr w14:paraId="4712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0D54630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7EFAE6B">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AC6CF1E">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1A55CEA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C71FC50">
            <w:pPr>
              <w:tabs>
                <w:tab w:val="left" w:pos="720"/>
              </w:tabs>
              <w:snapToGrid w:val="0"/>
              <w:spacing w:line="360" w:lineRule="auto"/>
              <w:jc w:val="center"/>
              <w:rPr>
                <w:rFonts w:ascii="宋体" w:hAnsi="宋体"/>
                <w:color w:val="auto"/>
                <w:szCs w:val="21"/>
                <w:highlight w:val="none"/>
              </w:rPr>
            </w:pPr>
          </w:p>
        </w:tc>
      </w:tr>
      <w:tr w14:paraId="7E84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F008E10">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7AF437FB">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0339FCB">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613BFC5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551F3E74">
            <w:pPr>
              <w:tabs>
                <w:tab w:val="left" w:pos="720"/>
              </w:tabs>
              <w:snapToGrid w:val="0"/>
              <w:spacing w:line="360" w:lineRule="auto"/>
              <w:jc w:val="center"/>
              <w:rPr>
                <w:rFonts w:ascii="宋体" w:hAnsi="宋体"/>
                <w:color w:val="auto"/>
                <w:szCs w:val="21"/>
                <w:highlight w:val="none"/>
              </w:rPr>
            </w:pPr>
          </w:p>
        </w:tc>
      </w:tr>
      <w:tr w14:paraId="00FE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59678DC">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70E55A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5DB2D1C">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BF8FF4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036FE20">
            <w:pPr>
              <w:tabs>
                <w:tab w:val="left" w:pos="720"/>
              </w:tabs>
              <w:snapToGrid w:val="0"/>
              <w:spacing w:line="360" w:lineRule="auto"/>
              <w:jc w:val="center"/>
              <w:rPr>
                <w:rFonts w:ascii="宋体" w:hAnsi="宋体"/>
                <w:color w:val="auto"/>
                <w:szCs w:val="21"/>
                <w:highlight w:val="none"/>
              </w:rPr>
            </w:pPr>
          </w:p>
        </w:tc>
      </w:tr>
      <w:tr w14:paraId="01A1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B830AC0">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F44FED4">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53D019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29B4962F">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8A7226C">
            <w:pPr>
              <w:tabs>
                <w:tab w:val="left" w:pos="720"/>
              </w:tabs>
              <w:snapToGrid w:val="0"/>
              <w:spacing w:line="360" w:lineRule="auto"/>
              <w:jc w:val="center"/>
              <w:rPr>
                <w:rFonts w:ascii="宋体" w:hAnsi="宋体"/>
                <w:color w:val="auto"/>
                <w:szCs w:val="21"/>
                <w:highlight w:val="none"/>
              </w:rPr>
            </w:pPr>
          </w:p>
        </w:tc>
      </w:tr>
      <w:tr w14:paraId="5F2D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6F1C705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25DEFA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1186CC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3B387CA">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068C4E4">
            <w:pPr>
              <w:tabs>
                <w:tab w:val="left" w:pos="720"/>
              </w:tabs>
              <w:snapToGrid w:val="0"/>
              <w:spacing w:line="360" w:lineRule="auto"/>
              <w:jc w:val="center"/>
              <w:rPr>
                <w:rFonts w:ascii="宋体" w:hAnsi="宋体"/>
                <w:color w:val="auto"/>
                <w:szCs w:val="21"/>
                <w:highlight w:val="none"/>
              </w:rPr>
            </w:pPr>
          </w:p>
        </w:tc>
      </w:tr>
      <w:tr w14:paraId="70D5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02A5334E">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4D351DF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53C6862">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3EA9987">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475E8F4E">
            <w:pPr>
              <w:tabs>
                <w:tab w:val="left" w:pos="720"/>
              </w:tabs>
              <w:snapToGrid w:val="0"/>
              <w:spacing w:line="360" w:lineRule="auto"/>
              <w:jc w:val="center"/>
              <w:rPr>
                <w:rFonts w:ascii="宋体" w:hAnsi="宋体"/>
                <w:color w:val="auto"/>
                <w:szCs w:val="21"/>
                <w:highlight w:val="none"/>
              </w:rPr>
            </w:pPr>
          </w:p>
        </w:tc>
      </w:tr>
    </w:tbl>
    <w:p w14:paraId="31ABCA93">
      <w:pPr>
        <w:tabs>
          <w:tab w:val="left" w:pos="720"/>
        </w:tabs>
        <w:snapToGrid w:val="0"/>
        <w:spacing w:line="360" w:lineRule="auto"/>
        <w:rPr>
          <w:color w:val="auto"/>
          <w:sz w:val="24"/>
          <w:szCs w:val="24"/>
          <w:highlight w:val="none"/>
        </w:rPr>
      </w:pPr>
    </w:p>
    <w:p w14:paraId="1F7C39BE">
      <w:pPr>
        <w:tabs>
          <w:tab w:val="left" w:pos="720"/>
        </w:tabs>
        <w:snapToGrid w:val="0"/>
        <w:spacing w:line="360" w:lineRule="auto"/>
        <w:rPr>
          <w:color w:val="auto"/>
          <w:sz w:val="24"/>
          <w:szCs w:val="24"/>
          <w:highlight w:val="none"/>
        </w:rPr>
      </w:pPr>
    </w:p>
    <w:p w14:paraId="4C3A690E">
      <w:pPr>
        <w:tabs>
          <w:tab w:val="left" w:pos="720"/>
        </w:tabs>
        <w:snapToGrid w:val="0"/>
        <w:spacing w:line="360" w:lineRule="auto"/>
        <w:jc w:val="center"/>
        <w:rPr>
          <w:color w:val="auto"/>
          <w:szCs w:val="21"/>
          <w:highlight w:val="none"/>
        </w:rPr>
      </w:pPr>
      <w:r>
        <w:rPr>
          <w:rFonts w:hint="eastAsia"/>
          <w:color w:val="auto"/>
          <w:szCs w:val="21"/>
          <w:highlight w:val="none"/>
        </w:rPr>
        <w:t>二、参与编制经济标投标文件人员名单</w:t>
      </w: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07DF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4E56CDF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6D0B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77CA66F0">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4919EE88">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4F3FE521">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2D367090">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11582BB5">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1DC4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426E9E9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70B71FCD">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2D3C9E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11EFEB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F213C33">
            <w:pPr>
              <w:tabs>
                <w:tab w:val="left" w:pos="720"/>
              </w:tabs>
              <w:snapToGrid w:val="0"/>
              <w:spacing w:line="360" w:lineRule="auto"/>
              <w:jc w:val="center"/>
              <w:rPr>
                <w:rFonts w:ascii="宋体" w:hAnsi="宋体"/>
                <w:color w:val="auto"/>
                <w:szCs w:val="21"/>
                <w:highlight w:val="none"/>
              </w:rPr>
            </w:pPr>
          </w:p>
        </w:tc>
      </w:tr>
      <w:tr w14:paraId="251C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0B9C779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7422EAE4">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0F7512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72FE0F7">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F0AC986">
            <w:pPr>
              <w:tabs>
                <w:tab w:val="left" w:pos="720"/>
              </w:tabs>
              <w:snapToGrid w:val="0"/>
              <w:spacing w:line="360" w:lineRule="auto"/>
              <w:jc w:val="center"/>
              <w:rPr>
                <w:rFonts w:ascii="宋体" w:hAnsi="宋体"/>
                <w:color w:val="auto"/>
                <w:szCs w:val="21"/>
                <w:highlight w:val="none"/>
              </w:rPr>
            </w:pPr>
          </w:p>
        </w:tc>
      </w:tr>
      <w:tr w14:paraId="3D9E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1F5A51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99F025B">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688C395">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14BCDE8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8599827">
            <w:pPr>
              <w:tabs>
                <w:tab w:val="left" w:pos="720"/>
              </w:tabs>
              <w:snapToGrid w:val="0"/>
              <w:spacing w:line="360" w:lineRule="auto"/>
              <w:jc w:val="center"/>
              <w:rPr>
                <w:rFonts w:ascii="宋体" w:hAnsi="宋体"/>
                <w:color w:val="auto"/>
                <w:szCs w:val="21"/>
                <w:highlight w:val="none"/>
              </w:rPr>
            </w:pPr>
          </w:p>
        </w:tc>
      </w:tr>
      <w:tr w14:paraId="3653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13CAD8EA">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E93602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79FA47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6588C3AA">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AF265CB">
            <w:pPr>
              <w:tabs>
                <w:tab w:val="left" w:pos="720"/>
              </w:tabs>
              <w:snapToGrid w:val="0"/>
              <w:spacing w:line="360" w:lineRule="auto"/>
              <w:jc w:val="center"/>
              <w:rPr>
                <w:rFonts w:ascii="宋体" w:hAnsi="宋体"/>
                <w:color w:val="auto"/>
                <w:szCs w:val="21"/>
                <w:highlight w:val="none"/>
              </w:rPr>
            </w:pPr>
          </w:p>
        </w:tc>
      </w:tr>
      <w:tr w14:paraId="619C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2D3E78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37FBFA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B9D8BBC">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966B8EA">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B279E4C">
            <w:pPr>
              <w:tabs>
                <w:tab w:val="left" w:pos="720"/>
              </w:tabs>
              <w:snapToGrid w:val="0"/>
              <w:spacing w:line="360" w:lineRule="auto"/>
              <w:jc w:val="center"/>
              <w:rPr>
                <w:rFonts w:ascii="宋体" w:hAnsi="宋体"/>
                <w:color w:val="auto"/>
                <w:szCs w:val="21"/>
                <w:highlight w:val="none"/>
              </w:rPr>
            </w:pPr>
          </w:p>
        </w:tc>
      </w:tr>
      <w:tr w14:paraId="2365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0087F8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8AE4338">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FF965E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3F0180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644317B">
            <w:pPr>
              <w:tabs>
                <w:tab w:val="left" w:pos="720"/>
              </w:tabs>
              <w:snapToGrid w:val="0"/>
              <w:spacing w:line="360" w:lineRule="auto"/>
              <w:jc w:val="center"/>
              <w:rPr>
                <w:rFonts w:ascii="宋体" w:hAnsi="宋体"/>
                <w:color w:val="auto"/>
                <w:szCs w:val="21"/>
                <w:highlight w:val="none"/>
              </w:rPr>
            </w:pPr>
          </w:p>
        </w:tc>
      </w:tr>
      <w:tr w14:paraId="42A9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26BC8142">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3D59C84">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67D6C8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2C89D367">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2DA242C">
            <w:pPr>
              <w:tabs>
                <w:tab w:val="left" w:pos="720"/>
              </w:tabs>
              <w:snapToGrid w:val="0"/>
              <w:spacing w:line="360" w:lineRule="auto"/>
              <w:jc w:val="center"/>
              <w:rPr>
                <w:rFonts w:ascii="宋体" w:hAnsi="宋体"/>
                <w:color w:val="auto"/>
                <w:szCs w:val="21"/>
                <w:highlight w:val="none"/>
              </w:rPr>
            </w:pPr>
          </w:p>
        </w:tc>
      </w:tr>
      <w:tr w14:paraId="5CE2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5A139FBC">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341DF19">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7A0E35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E5620C1">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CA5E992">
            <w:pPr>
              <w:tabs>
                <w:tab w:val="left" w:pos="720"/>
              </w:tabs>
              <w:snapToGrid w:val="0"/>
              <w:spacing w:line="360" w:lineRule="auto"/>
              <w:jc w:val="center"/>
              <w:rPr>
                <w:rFonts w:ascii="宋体" w:hAnsi="宋体"/>
                <w:color w:val="auto"/>
                <w:szCs w:val="21"/>
                <w:highlight w:val="none"/>
              </w:rPr>
            </w:pPr>
          </w:p>
        </w:tc>
      </w:tr>
    </w:tbl>
    <w:p w14:paraId="43C3EE13">
      <w:pPr>
        <w:tabs>
          <w:tab w:val="left" w:pos="720"/>
        </w:tabs>
        <w:snapToGrid w:val="0"/>
        <w:spacing w:line="360" w:lineRule="auto"/>
        <w:rPr>
          <w:color w:val="auto"/>
          <w:sz w:val="24"/>
          <w:szCs w:val="24"/>
          <w:highlight w:val="none"/>
        </w:rPr>
      </w:pPr>
    </w:p>
    <w:p w14:paraId="007D94F4">
      <w:pPr>
        <w:pStyle w:val="4"/>
        <w:spacing w:after="0" w:line="360" w:lineRule="auto"/>
        <w:ind w:left="-2" w:leftChars="-1" w:firstLine="367"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57B7F862">
      <w:pPr>
        <w:autoSpaceDE w:val="0"/>
        <w:autoSpaceDN w:val="0"/>
        <w:adjustRightInd w:val="0"/>
        <w:rPr>
          <w:color w:val="auto"/>
          <w:szCs w:val="21"/>
          <w:highlight w:val="none"/>
        </w:rPr>
      </w:pPr>
      <w:r>
        <w:rPr>
          <w:rFonts w:hint="eastAsia"/>
          <w:color w:val="auto"/>
          <w:szCs w:val="21"/>
          <w:highlight w:val="none"/>
        </w:rPr>
        <w:t>附件三</w:t>
      </w:r>
    </w:p>
    <w:p w14:paraId="0816A1CE">
      <w:pPr>
        <w:pStyle w:val="4"/>
        <w:spacing w:after="0" w:line="360" w:lineRule="auto"/>
        <w:ind w:firstLine="0"/>
        <w:jc w:val="center"/>
        <w:rPr>
          <w:color w:val="auto"/>
          <w:sz w:val="32"/>
          <w:szCs w:val="32"/>
          <w:highlight w:val="none"/>
        </w:rPr>
      </w:pPr>
      <w:r>
        <w:rPr>
          <w:rFonts w:hint="eastAsia"/>
          <w:b/>
          <w:color w:val="auto"/>
          <w:sz w:val="32"/>
          <w:szCs w:val="32"/>
          <w:highlight w:val="none"/>
        </w:rPr>
        <w:t>对投标文件编制的承诺</w:t>
      </w:r>
    </w:p>
    <w:p w14:paraId="19356281">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本公司授权</w:t>
      </w:r>
      <w:r>
        <w:rPr>
          <w:rFonts w:hint="eastAsia" w:ascii="宋体" w:hAnsi="宋体"/>
          <w:color w:val="auto"/>
          <w:sz w:val="24"/>
          <w:szCs w:val="24"/>
          <w:highlight w:val="none"/>
          <w:u w:val="single"/>
        </w:rPr>
        <w:t xml:space="preserve">         （身份证号：               ）</w:t>
      </w:r>
      <w:r>
        <w:rPr>
          <w:rFonts w:hint="eastAsia" w:ascii="宋体" w:hAnsi="宋体"/>
          <w:color w:val="auto"/>
          <w:sz w:val="24"/>
          <w:szCs w:val="24"/>
          <w:highlight w:val="none"/>
        </w:rPr>
        <w:t>负责对投标文件的编制及内容进行解释、说明，并承诺以下事项：</w:t>
      </w:r>
    </w:p>
    <w:p w14:paraId="47D71B9F">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1.被授权人清楚投标文件编制的具体情况，包括技术方案文件、工程量清单、以及投标文件的加密打包的理解；</w:t>
      </w:r>
    </w:p>
    <w:p w14:paraId="259625AC">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2.在本项目开标至评标结束前，努力确保被授权人在项目评标所在地附近；</w:t>
      </w:r>
    </w:p>
    <w:p w14:paraId="518186D3">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3.从评标委员会要求澄清起二小时内，被授权人应如实地书面澄清。</w:t>
      </w:r>
    </w:p>
    <w:p w14:paraId="7CE81D2F">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 xml:space="preserve">如由于未遵守上述承诺内容之一导致无法进行澄清的，我公司认可和接受评标委员会作出的评审结论。                                 </w:t>
      </w:r>
    </w:p>
    <w:p w14:paraId="29172D57">
      <w:pPr>
        <w:pStyle w:val="4"/>
        <w:spacing w:after="0"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 xml:space="preserve"> </w:t>
      </w:r>
    </w:p>
    <w:p w14:paraId="406FA7C9">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附件：《投标文件编制情况》</w:t>
      </w:r>
    </w:p>
    <w:p w14:paraId="3DE0C00F">
      <w:pPr>
        <w:spacing w:line="360" w:lineRule="auto"/>
        <w:ind w:right="90" w:firstLine="4440" w:firstLineChars="18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w:t>
      </w:r>
      <w:r>
        <w:rPr>
          <w:rFonts w:hint="eastAsia" w:ascii="宋体" w:hAnsi="宋体"/>
          <w:color w:val="auto"/>
          <w:sz w:val="24"/>
          <w:szCs w:val="24"/>
          <w:highlight w:val="none"/>
          <w:u w:val="single"/>
        </w:rPr>
        <w:t xml:space="preserve">                  </w:t>
      </w:r>
    </w:p>
    <w:p w14:paraId="3A8E50F6">
      <w:pPr>
        <w:spacing w:line="360" w:lineRule="auto"/>
        <w:ind w:firstLine="4440" w:firstLineChars="1850"/>
        <w:jc w:val="center"/>
        <w:rPr>
          <w:color w:val="auto"/>
          <w:sz w:val="24"/>
          <w:szCs w:val="24"/>
          <w:highlight w:val="none"/>
        </w:rPr>
      </w:pPr>
      <w:r>
        <w:rPr>
          <w:rFonts w:hint="eastAsia"/>
          <w:color w:val="auto"/>
          <w:sz w:val="24"/>
          <w:szCs w:val="24"/>
          <w:highlight w:val="none"/>
        </w:rPr>
        <w:t xml:space="preserve"> 日期：      年   月   日 </w:t>
      </w:r>
      <w:r>
        <w:rPr>
          <w:rFonts w:hint="eastAsia"/>
          <w:color w:val="auto"/>
          <w:sz w:val="18"/>
          <w:szCs w:val="18"/>
          <w:highlight w:val="none"/>
        </w:rPr>
        <w:t xml:space="preserve"> </w:t>
      </w:r>
      <w:r>
        <w:rPr>
          <w:rFonts w:hint="eastAsia"/>
          <w:color w:val="auto"/>
          <w:sz w:val="24"/>
          <w:szCs w:val="24"/>
          <w:highlight w:val="none"/>
        </w:rPr>
        <w:t xml:space="preserve">    </w:t>
      </w:r>
    </w:p>
    <w:p w14:paraId="3708BE8B">
      <w:pPr>
        <w:pStyle w:val="4"/>
        <w:spacing w:after="0" w:line="360" w:lineRule="auto"/>
        <w:ind w:firstLine="0"/>
        <w:rPr>
          <w:b/>
          <w:color w:val="auto"/>
          <w:sz w:val="32"/>
          <w:szCs w:val="32"/>
          <w:highlight w:val="none"/>
        </w:rPr>
      </w:pPr>
    </w:p>
    <w:p w14:paraId="19E0624F">
      <w:pPr>
        <w:pStyle w:val="4"/>
        <w:spacing w:after="0" w:line="360" w:lineRule="auto"/>
        <w:ind w:firstLine="643" w:firstLineChars="200"/>
        <w:jc w:val="center"/>
        <w:rPr>
          <w:color w:val="auto"/>
          <w:sz w:val="18"/>
          <w:szCs w:val="18"/>
          <w:highlight w:val="none"/>
        </w:rPr>
      </w:pPr>
      <w:r>
        <w:rPr>
          <w:rFonts w:hint="eastAsia"/>
          <w:b/>
          <w:color w:val="auto"/>
          <w:sz w:val="32"/>
          <w:szCs w:val="32"/>
          <w:highlight w:val="none"/>
        </w:rPr>
        <w:t>投标文件编制情况</w:t>
      </w:r>
    </w:p>
    <w:p w14:paraId="3E4A37A8">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1.投标文件报价编制方式: □自行编制的，编制的负责人：</w:t>
      </w:r>
      <w:r>
        <w:rPr>
          <w:rFonts w:hint="eastAsia" w:ascii="宋体" w:hAnsi="宋体"/>
          <w:color w:val="auto"/>
          <w:sz w:val="24"/>
          <w:szCs w:val="24"/>
          <w:highlight w:val="none"/>
          <w:u w:val="single"/>
        </w:rPr>
        <w:t xml:space="preserve"> （盖造价工程师执业专用章或全国建设工程造价员章，执业单位应与投标人一致） </w:t>
      </w:r>
      <w:r>
        <w:rPr>
          <w:rFonts w:hint="eastAsia" w:ascii="宋体" w:hAnsi="宋体"/>
          <w:color w:val="auto"/>
          <w:sz w:val="24"/>
          <w:szCs w:val="24"/>
          <w:highlight w:val="none"/>
        </w:rPr>
        <w:t>。□委托编制的，受委托单位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，编制的负责人：</w:t>
      </w:r>
      <w:r>
        <w:rPr>
          <w:rFonts w:hint="eastAsia" w:ascii="宋体" w:hAnsi="宋体"/>
          <w:color w:val="auto"/>
          <w:sz w:val="24"/>
          <w:szCs w:val="24"/>
          <w:highlight w:val="none"/>
          <w:u w:val="single"/>
        </w:rPr>
        <w:t xml:space="preserve"> （盖造价工程师执业专用章或全国建设工程造价员章，执业单位应与受委托单位一致） </w:t>
      </w:r>
      <w:r>
        <w:rPr>
          <w:rFonts w:hint="eastAsia" w:ascii="宋体" w:hAnsi="宋体"/>
          <w:color w:val="auto"/>
          <w:sz w:val="24"/>
          <w:szCs w:val="24"/>
          <w:highlight w:val="none"/>
        </w:rPr>
        <w:t>。</w:t>
      </w:r>
    </w:p>
    <w:p w14:paraId="044900D7">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2.投标文件加密打包的电脑情况</w:t>
      </w:r>
    </w:p>
    <w:tbl>
      <w:tblPr>
        <w:tblStyle w:val="17"/>
        <w:tblW w:w="8306" w:type="dxa"/>
        <w:tblInd w:w="0" w:type="dxa"/>
        <w:tblLayout w:type="fixed"/>
        <w:tblCellMar>
          <w:top w:w="0" w:type="dxa"/>
          <w:left w:w="108" w:type="dxa"/>
          <w:bottom w:w="0" w:type="dxa"/>
          <w:right w:w="108" w:type="dxa"/>
        </w:tblCellMar>
      </w:tblPr>
      <w:tblGrid>
        <w:gridCol w:w="8306"/>
      </w:tblGrid>
      <w:tr w14:paraId="5DDF14A6">
        <w:tblPrEx>
          <w:tblCellMar>
            <w:top w:w="0" w:type="dxa"/>
            <w:left w:w="108" w:type="dxa"/>
            <w:bottom w:w="0" w:type="dxa"/>
            <w:right w:w="108" w:type="dxa"/>
          </w:tblCellMar>
        </w:tblPrEx>
        <w:trPr>
          <w:trHeight w:val="2819" w:hRule="atLeast"/>
        </w:trPr>
        <w:tc>
          <w:tcPr>
            <w:tcW w:w="8306" w:type="dxa"/>
            <w:shd w:val="clear" w:color="auto" w:fill="auto"/>
          </w:tcPr>
          <w:p w14:paraId="0D9B89B5">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投标文件加密打包的电脑     自有    □      外包    □     其他    □</w:t>
            </w:r>
          </w:p>
          <w:p w14:paraId="6BB8045A">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电脑类型</w:t>
            </w:r>
          </w:p>
          <w:p w14:paraId="2B679587">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电脑所属单位</w:t>
            </w:r>
          </w:p>
          <w:p w14:paraId="1C3D2468">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电脑所在地址        （如××市××区(县) ××街（路）××号××大厦××房）</w:t>
            </w:r>
          </w:p>
        </w:tc>
      </w:tr>
    </w:tbl>
    <w:p w14:paraId="54C2351E">
      <w:pPr>
        <w:pStyle w:val="22"/>
        <w:spacing w:line="240" w:lineRule="auto"/>
        <w:ind w:left="420" w:right="98" w:firstLine="0"/>
        <w:jc w:val="center"/>
        <w:rPr>
          <w:rFonts w:hint="eastAsia" w:ascii="宋体" w:hAnsi="宋体" w:eastAsia="宋体"/>
          <w:b/>
          <w:color w:val="auto"/>
          <w:szCs w:val="32"/>
          <w:highlight w:val="none"/>
        </w:rPr>
        <w:sectPr>
          <w:pgSz w:w="11906" w:h="16838"/>
          <w:pgMar w:top="1440" w:right="1800" w:bottom="1440" w:left="1800" w:header="851" w:footer="992" w:gutter="0"/>
          <w:pgNumType w:fmt="decimal"/>
          <w:cols w:space="425" w:num="1"/>
          <w:docGrid w:type="lines" w:linePitch="312" w:charSpace="0"/>
        </w:sectPr>
      </w:pPr>
    </w:p>
    <w:p w14:paraId="0A697B44">
      <w:pPr>
        <w:pStyle w:val="22"/>
        <w:spacing w:line="240" w:lineRule="auto"/>
        <w:ind w:left="420" w:right="98" w:firstLine="0"/>
        <w:jc w:val="center"/>
        <w:rPr>
          <w:rFonts w:ascii="宋体" w:hAnsi="宋体" w:eastAsia="宋体"/>
          <w:b/>
          <w:color w:val="auto"/>
          <w:sz w:val="36"/>
          <w:highlight w:val="none"/>
        </w:rPr>
      </w:pPr>
      <w:r>
        <w:rPr>
          <w:rFonts w:hint="eastAsia" w:ascii="宋体" w:hAnsi="宋体" w:eastAsia="宋体"/>
          <w:b/>
          <w:color w:val="auto"/>
          <w:szCs w:val="32"/>
          <w:highlight w:val="none"/>
        </w:rPr>
        <w:t>技术承诺函</w:t>
      </w:r>
    </w:p>
    <w:p w14:paraId="442FBBA2">
      <w:pPr>
        <w:spacing w:line="360" w:lineRule="auto"/>
        <w:rPr>
          <w:rFonts w:ascii="宋体" w:hAnsi="宋体"/>
          <w:color w:val="auto"/>
          <w:sz w:val="24"/>
          <w:highlight w:val="none"/>
        </w:rPr>
      </w:pPr>
    </w:p>
    <w:p w14:paraId="2287AC6C">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广州市番禺区基本建设投资管理中心</w:t>
      </w:r>
      <w:r>
        <w:rPr>
          <w:rFonts w:hint="eastAsia" w:ascii="宋体" w:hAnsi="宋体"/>
          <w:color w:val="auto"/>
          <w:sz w:val="24"/>
          <w:highlight w:val="none"/>
        </w:rPr>
        <w:t>：</w:t>
      </w:r>
    </w:p>
    <w:p w14:paraId="32CA5B3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非常荣幸参加贵方实施的</w:t>
      </w:r>
      <w:r>
        <w:rPr>
          <w:rFonts w:hint="eastAsia" w:ascii="宋体" w:hAnsi="宋体"/>
          <w:color w:val="auto"/>
          <w:sz w:val="24"/>
          <w:highlight w:val="none"/>
          <w:u w:val="single"/>
        </w:rPr>
        <w:t>广州市公安局番禺区分局公安基地配电改造工程</w:t>
      </w:r>
      <w:r>
        <w:rPr>
          <w:rFonts w:hint="eastAsia" w:ascii="宋体" w:hAnsi="宋体"/>
          <w:color w:val="auto"/>
          <w:sz w:val="24"/>
          <w:highlight w:val="none"/>
        </w:rPr>
        <w:t>的投标活动，若我单位有幸中标，将承诺在施工技术、安全防护、文明施工方面做到如下几点：</w:t>
      </w:r>
    </w:p>
    <w:p w14:paraId="6848A17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严格按招标文件、合同约定、国家有关施工、验收规范要求及该工程招标文件第五章“技术条件（工程建设标准）”要求及我单位编制的经监理单位、发包人及有关部门审批的施工组织设计方案进行施工，保证按质、按量、按时完成施工任务。</w:t>
      </w:r>
    </w:p>
    <w:p w14:paraId="41A7E7C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2、保证按我单位拟派的项目负责人全程到位，非经招标人同意，不得更换。</w:t>
      </w:r>
    </w:p>
    <w:p w14:paraId="7F2AD2A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3、保证按工程需要投入相应的施工机械设备。</w:t>
      </w:r>
    </w:p>
    <w:p w14:paraId="53A5D8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4、严格按照《建筑施工安全检查标准》（JGJ59-99）及相关的安全防护、文明施工、文明施工法律法规、规章制度及该工程招标文件第五章“技术条件（工程建设标准）”进行安全文明施工。</w:t>
      </w:r>
    </w:p>
    <w:p w14:paraId="16C0AAD2">
      <w:pPr>
        <w:spacing w:line="360" w:lineRule="auto"/>
        <w:ind w:right="-108" w:firstLine="6000" w:firstLineChars="2500"/>
        <w:rPr>
          <w:rFonts w:ascii="宋体" w:hAnsi="宋体"/>
          <w:color w:val="auto"/>
          <w:sz w:val="24"/>
          <w:highlight w:val="none"/>
        </w:rPr>
      </w:pPr>
    </w:p>
    <w:p w14:paraId="44A93155">
      <w:pPr>
        <w:spacing w:line="360" w:lineRule="auto"/>
        <w:ind w:right="-108" w:firstLine="6000" w:firstLineChars="2500"/>
        <w:rPr>
          <w:rFonts w:ascii="宋体" w:hAnsi="宋体"/>
          <w:color w:val="auto"/>
          <w:sz w:val="24"/>
          <w:highlight w:val="none"/>
        </w:rPr>
      </w:pPr>
    </w:p>
    <w:p w14:paraId="0E30A255">
      <w:pPr>
        <w:spacing w:line="360" w:lineRule="auto"/>
        <w:ind w:right="-108" w:firstLine="6000" w:firstLineChars="2500"/>
        <w:rPr>
          <w:rFonts w:ascii="宋体" w:hAnsi="宋体"/>
          <w:color w:val="auto"/>
          <w:sz w:val="24"/>
          <w:highlight w:val="none"/>
        </w:rPr>
      </w:pPr>
    </w:p>
    <w:p w14:paraId="53D0649E">
      <w:pPr>
        <w:spacing w:line="360" w:lineRule="auto"/>
        <w:ind w:right="-108" w:firstLine="6000" w:firstLineChars="2500"/>
        <w:rPr>
          <w:rFonts w:ascii="宋体" w:hAnsi="宋体"/>
          <w:color w:val="auto"/>
          <w:sz w:val="24"/>
          <w:highlight w:val="none"/>
        </w:rPr>
      </w:pPr>
      <w:r>
        <w:rPr>
          <w:rFonts w:hint="eastAsia" w:ascii="宋体" w:hAnsi="宋体"/>
          <w:color w:val="auto"/>
          <w:sz w:val="24"/>
          <w:highlight w:val="none"/>
        </w:rPr>
        <w:t>投标人（盖公章）：</w:t>
      </w:r>
    </w:p>
    <w:p w14:paraId="0CED0DF6">
      <w:pPr>
        <w:spacing w:line="360" w:lineRule="auto"/>
        <w:ind w:right="-108" w:firstLine="5280" w:firstLineChars="2200"/>
        <w:rPr>
          <w:rFonts w:ascii="宋体" w:hAnsi="宋体"/>
          <w:color w:val="auto"/>
          <w:sz w:val="24"/>
          <w:highlight w:val="none"/>
        </w:rPr>
      </w:pPr>
    </w:p>
    <w:p w14:paraId="3E49923A">
      <w:pPr>
        <w:widowControl/>
        <w:wordWrap w:val="0"/>
        <w:jc w:val="right"/>
        <w:rPr>
          <w:rFonts w:ascii="宋体" w:hAnsi="宋体"/>
          <w:color w:val="auto"/>
          <w:sz w:val="24"/>
          <w:highlight w:val="none"/>
        </w:rPr>
      </w:pPr>
      <w:r>
        <w:rPr>
          <w:rFonts w:hint="eastAsia" w:ascii="宋体" w:hAnsi="宋体"/>
          <w:color w:val="auto"/>
          <w:sz w:val="24"/>
          <w:highlight w:val="none"/>
        </w:rPr>
        <w:t xml:space="preserve">                        年   月    日   </w:t>
      </w:r>
    </w:p>
    <w:p w14:paraId="6C9CFDC6">
      <w:pPr>
        <w:spacing w:line="360" w:lineRule="auto"/>
        <w:rPr>
          <w:rFonts w:ascii="宋体" w:hAnsi="宋体"/>
          <w:color w:val="auto"/>
          <w:sz w:val="24"/>
          <w:szCs w:val="24"/>
          <w:highlight w:val="none"/>
        </w:rPr>
      </w:pPr>
      <w:r>
        <w:rPr>
          <w:rFonts w:hint="eastAsia"/>
          <w:color w:val="auto"/>
          <w:szCs w:val="21"/>
          <w:highlight w:val="none"/>
        </w:rPr>
        <w:br w:type="page"/>
      </w:r>
    </w:p>
    <w:p w14:paraId="22B38FFA">
      <w:pPr>
        <w:pStyle w:val="4"/>
        <w:spacing w:after="0" w:line="360" w:lineRule="auto"/>
        <w:ind w:left="-2" w:leftChars="-1" w:firstLine="562" w:firstLineChars="175"/>
        <w:jc w:val="center"/>
        <w:rPr>
          <w:rFonts w:ascii="宋体" w:hAnsi="宋体"/>
          <w:b/>
          <w:color w:val="auto"/>
          <w:szCs w:val="32"/>
          <w:highlight w:val="none"/>
        </w:rPr>
      </w:pPr>
      <w:r>
        <w:rPr>
          <w:rFonts w:hint="eastAsia" w:ascii="宋体" w:hAnsi="宋体"/>
          <w:b/>
          <w:color w:val="auto"/>
          <w:sz w:val="32"/>
          <w:szCs w:val="32"/>
          <w:highlight w:val="none"/>
        </w:rPr>
        <w:t>施工项目管理团队人员信息表</w:t>
      </w:r>
    </w:p>
    <w:tbl>
      <w:tblPr>
        <w:tblStyle w:val="1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87"/>
        <w:gridCol w:w="1280"/>
        <w:gridCol w:w="1560"/>
        <w:gridCol w:w="1857"/>
        <w:gridCol w:w="963"/>
        <w:gridCol w:w="2130"/>
      </w:tblGrid>
      <w:tr w14:paraId="510C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761DF07F">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序号</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73D6F125">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姓名</w:t>
            </w:r>
          </w:p>
        </w:tc>
        <w:tc>
          <w:tcPr>
            <w:tcW w:w="1560" w:type="dxa"/>
            <w:tcBorders>
              <w:top w:val="single" w:color="auto" w:sz="4" w:space="0"/>
              <w:left w:val="single" w:color="auto" w:sz="4" w:space="0"/>
              <w:bottom w:val="single" w:color="auto" w:sz="4" w:space="0"/>
              <w:right w:val="single" w:color="auto" w:sz="4" w:space="0"/>
            </w:tcBorders>
            <w:vAlign w:val="center"/>
          </w:tcPr>
          <w:p w14:paraId="3A5591FA">
            <w:pPr>
              <w:spacing w:line="360" w:lineRule="auto"/>
              <w:jc w:val="center"/>
              <w:rPr>
                <w:rFonts w:ascii="宋体" w:hAnsi="宋体"/>
                <w:color w:val="auto"/>
                <w:sz w:val="24"/>
                <w:highlight w:val="none"/>
              </w:rPr>
            </w:pPr>
            <w:r>
              <w:rPr>
                <w:rFonts w:hint="eastAsia" w:ascii="宋体" w:hAnsi="宋体"/>
                <w:color w:val="auto"/>
                <w:sz w:val="24"/>
                <w:highlight w:val="none"/>
              </w:rPr>
              <w:t>身份证号码</w:t>
            </w:r>
          </w:p>
        </w:tc>
        <w:tc>
          <w:tcPr>
            <w:tcW w:w="1857" w:type="dxa"/>
            <w:tcBorders>
              <w:top w:val="single" w:color="auto" w:sz="4" w:space="0"/>
              <w:left w:val="single" w:color="auto" w:sz="4" w:space="0"/>
              <w:bottom w:val="single" w:color="auto" w:sz="4" w:space="0"/>
              <w:right w:val="single" w:color="auto" w:sz="4" w:space="0"/>
            </w:tcBorders>
            <w:vAlign w:val="center"/>
          </w:tcPr>
          <w:p w14:paraId="27B14194">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岗位</w:t>
            </w:r>
          </w:p>
        </w:tc>
        <w:tc>
          <w:tcPr>
            <w:tcW w:w="963" w:type="dxa"/>
            <w:tcBorders>
              <w:top w:val="single" w:color="auto" w:sz="4" w:space="0"/>
              <w:left w:val="single" w:color="auto" w:sz="4" w:space="0"/>
              <w:bottom w:val="single" w:color="auto" w:sz="4" w:space="0"/>
              <w:right w:val="single" w:color="auto" w:sz="4" w:space="0"/>
            </w:tcBorders>
            <w:vAlign w:val="center"/>
          </w:tcPr>
          <w:p w14:paraId="4C3E7C91">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职称</w:t>
            </w:r>
          </w:p>
        </w:tc>
        <w:tc>
          <w:tcPr>
            <w:tcW w:w="2130" w:type="dxa"/>
            <w:tcBorders>
              <w:top w:val="single" w:color="auto" w:sz="4" w:space="0"/>
              <w:left w:val="single" w:color="auto" w:sz="4" w:space="0"/>
              <w:bottom w:val="single" w:color="auto" w:sz="4" w:space="0"/>
              <w:right w:val="single" w:color="auto" w:sz="4" w:space="0"/>
            </w:tcBorders>
            <w:vAlign w:val="center"/>
          </w:tcPr>
          <w:p w14:paraId="740EC7D0">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职称证</w:t>
            </w:r>
            <w:r>
              <w:rPr>
                <w:rFonts w:hint="eastAsia" w:ascii="宋体" w:hAnsi="宋体" w:eastAsia="宋体"/>
                <w:color w:val="auto"/>
                <w:sz w:val="24"/>
                <w:highlight w:val="none"/>
                <w:lang w:eastAsia="zh-CN"/>
              </w:rPr>
              <w:t>书</w:t>
            </w:r>
            <w:r>
              <w:rPr>
                <w:rFonts w:hint="default" w:ascii="宋体" w:hAnsi="宋体" w:eastAsia="Times New Roman"/>
                <w:color w:val="auto"/>
                <w:sz w:val="24"/>
                <w:highlight w:val="none"/>
                <w:lang w:val="en-US"/>
              </w:rPr>
              <w:t>或</w:t>
            </w:r>
            <w:r>
              <w:rPr>
                <w:rFonts w:hint="eastAsia" w:ascii="宋体" w:hAnsi="宋体" w:eastAsia="Times New Roman"/>
                <w:color w:val="auto"/>
                <w:sz w:val="24"/>
                <w:highlight w:val="none"/>
              </w:rPr>
              <w:t>资格证书编号</w:t>
            </w:r>
          </w:p>
        </w:tc>
      </w:tr>
      <w:tr w14:paraId="5DBA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2CB9C687">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1</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72448D36">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988E84A">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14D7AF7A">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项目负责人</w:t>
            </w:r>
          </w:p>
        </w:tc>
        <w:tc>
          <w:tcPr>
            <w:tcW w:w="963" w:type="dxa"/>
            <w:tcBorders>
              <w:top w:val="single" w:color="auto" w:sz="4" w:space="0"/>
              <w:left w:val="single" w:color="auto" w:sz="4" w:space="0"/>
              <w:bottom w:val="single" w:color="auto" w:sz="4" w:space="0"/>
              <w:right w:val="single" w:color="auto" w:sz="4" w:space="0"/>
            </w:tcBorders>
            <w:vAlign w:val="center"/>
          </w:tcPr>
          <w:p w14:paraId="37FCE95A">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60CD271D">
            <w:pPr>
              <w:spacing w:line="360" w:lineRule="auto"/>
              <w:jc w:val="center"/>
              <w:rPr>
                <w:rFonts w:ascii="宋体" w:hAnsi="宋体" w:eastAsia="Times New Roman"/>
                <w:color w:val="auto"/>
                <w:sz w:val="24"/>
                <w:highlight w:val="none"/>
              </w:rPr>
            </w:pPr>
          </w:p>
        </w:tc>
      </w:tr>
      <w:tr w14:paraId="3135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11BF06DC">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2</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6B7407FA">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012CED78">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7AED1DE2">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技术负责人</w:t>
            </w:r>
          </w:p>
        </w:tc>
        <w:tc>
          <w:tcPr>
            <w:tcW w:w="963" w:type="dxa"/>
            <w:tcBorders>
              <w:top w:val="single" w:color="auto" w:sz="4" w:space="0"/>
              <w:left w:val="single" w:color="auto" w:sz="4" w:space="0"/>
              <w:bottom w:val="single" w:color="auto" w:sz="4" w:space="0"/>
              <w:right w:val="single" w:color="auto" w:sz="4" w:space="0"/>
            </w:tcBorders>
            <w:vAlign w:val="center"/>
          </w:tcPr>
          <w:p w14:paraId="3615A2C1">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765CE3FF">
            <w:pPr>
              <w:spacing w:line="360" w:lineRule="auto"/>
              <w:jc w:val="center"/>
              <w:rPr>
                <w:rFonts w:ascii="宋体" w:hAnsi="宋体" w:eastAsia="Times New Roman"/>
                <w:color w:val="auto"/>
                <w:sz w:val="24"/>
                <w:highlight w:val="none"/>
              </w:rPr>
            </w:pPr>
          </w:p>
        </w:tc>
      </w:tr>
      <w:tr w14:paraId="1EB8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3B80BDE0">
            <w:pPr>
              <w:spacing w:line="360" w:lineRule="auto"/>
              <w:jc w:val="center"/>
              <w:rPr>
                <w:rFonts w:ascii="宋体" w:hAnsi="宋体"/>
                <w:color w:val="auto"/>
                <w:sz w:val="24"/>
                <w:highlight w:val="none"/>
              </w:rPr>
            </w:pPr>
            <w:r>
              <w:rPr>
                <w:rFonts w:hint="eastAsia" w:ascii="宋体" w:hAnsi="宋体"/>
                <w:color w:val="auto"/>
                <w:sz w:val="24"/>
                <w:highlight w:val="none"/>
              </w:rPr>
              <w:t>3</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445AADCE">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3AE0C52">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61E0E3B6">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造价负责人</w:t>
            </w:r>
          </w:p>
        </w:tc>
        <w:tc>
          <w:tcPr>
            <w:tcW w:w="963" w:type="dxa"/>
            <w:tcBorders>
              <w:top w:val="single" w:color="auto" w:sz="4" w:space="0"/>
              <w:left w:val="single" w:color="auto" w:sz="4" w:space="0"/>
              <w:bottom w:val="single" w:color="auto" w:sz="4" w:space="0"/>
              <w:right w:val="single" w:color="auto" w:sz="4" w:space="0"/>
            </w:tcBorders>
            <w:vAlign w:val="center"/>
          </w:tcPr>
          <w:p w14:paraId="49689CA9">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5C3EBBF8">
            <w:pPr>
              <w:spacing w:line="360" w:lineRule="auto"/>
              <w:jc w:val="center"/>
              <w:rPr>
                <w:rFonts w:ascii="宋体" w:hAnsi="宋体" w:eastAsia="Times New Roman"/>
                <w:color w:val="auto"/>
                <w:sz w:val="24"/>
                <w:highlight w:val="none"/>
              </w:rPr>
            </w:pPr>
          </w:p>
        </w:tc>
      </w:tr>
      <w:tr w14:paraId="2745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0B12090E">
            <w:pPr>
              <w:spacing w:line="360" w:lineRule="auto"/>
              <w:jc w:val="center"/>
              <w:rPr>
                <w:rFonts w:ascii="宋体" w:hAnsi="宋体"/>
                <w:color w:val="auto"/>
                <w:sz w:val="24"/>
                <w:highlight w:val="none"/>
              </w:rPr>
            </w:pPr>
            <w:r>
              <w:rPr>
                <w:rFonts w:hint="eastAsia" w:ascii="宋体" w:hAnsi="宋体"/>
                <w:color w:val="auto"/>
                <w:sz w:val="24"/>
                <w:highlight w:val="none"/>
              </w:rPr>
              <w:t>4</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516A7D15">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4BCD930">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1FB57909">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施工员</w:t>
            </w:r>
          </w:p>
        </w:tc>
        <w:tc>
          <w:tcPr>
            <w:tcW w:w="963" w:type="dxa"/>
            <w:tcBorders>
              <w:top w:val="single" w:color="auto" w:sz="4" w:space="0"/>
              <w:left w:val="single" w:color="auto" w:sz="4" w:space="0"/>
              <w:bottom w:val="single" w:color="auto" w:sz="4" w:space="0"/>
              <w:right w:val="single" w:color="auto" w:sz="4" w:space="0"/>
            </w:tcBorders>
            <w:vAlign w:val="center"/>
          </w:tcPr>
          <w:p w14:paraId="2870934F">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0699120A">
            <w:pPr>
              <w:spacing w:line="360" w:lineRule="auto"/>
              <w:jc w:val="center"/>
              <w:rPr>
                <w:rFonts w:ascii="宋体" w:hAnsi="宋体" w:eastAsia="Times New Roman"/>
                <w:color w:val="auto"/>
                <w:sz w:val="24"/>
                <w:highlight w:val="none"/>
              </w:rPr>
            </w:pPr>
          </w:p>
        </w:tc>
      </w:tr>
      <w:tr w14:paraId="27E1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4AD284C4">
            <w:pPr>
              <w:spacing w:line="360" w:lineRule="auto"/>
              <w:jc w:val="center"/>
              <w:rPr>
                <w:rFonts w:ascii="宋体" w:hAnsi="宋体"/>
                <w:color w:val="auto"/>
                <w:sz w:val="24"/>
                <w:highlight w:val="none"/>
              </w:rPr>
            </w:pPr>
            <w:r>
              <w:rPr>
                <w:rFonts w:hint="eastAsia" w:ascii="宋体" w:hAnsi="宋体"/>
                <w:color w:val="auto"/>
                <w:sz w:val="24"/>
                <w:highlight w:val="none"/>
              </w:rPr>
              <w:t>5</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3B358500">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7C4D256C">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F7456AB">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施工员</w:t>
            </w:r>
          </w:p>
        </w:tc>
        <w:tc>
          <w:tcPr>
            <w:tcW w:w="963" w:type="dxa"/>
            <w:tcBorders>
              <w:top w:val="single" w:color="auto" w:sz="4" w:space="0"/>
              <w:left w:val="single" w:color="auto" w:sz="4" w:space="0"/>
              <w:bottom w:val="single" w:color="auto" w:sz="4" w:space="0"/>
              <w:right w:val="single" w:color="auto" w:sz="4" w:space="0"/>
            </w:tcBorders>
            <w:vAlign w:val="center"/>
          </w:tcPr>
          <w:p w14:paraId="015B757C">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093662C0">
            <w:pPr>
              <w:spacing w:line="360" w:lineRule="auto"/>
              <w:jc w:val="center"/>
              <w:rPr>
                <w:rFonts w:ascii="宋体" w:hAnsi="宋体" w:eastAsia="Times New Roman"/>
                <w:color w:val="auto"/>
                <w:sz w:val="24"/>
                <w:highlight w:val="none"/>
              </w:rPr>
            </w:pPr>
          </w:p>
        </w:tc>
      </w:tr>
      <w:tr w14:paraId="7B93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0E911589">
            <w:pPr>
              <w:spacing w:line="360" w:lineRule="auto"/>
              <w:jc w:val="center"/>
              <w:rPr>
                <w:rFonts w:ascii="宋体" w:hAnsi="宋体"/>
                <w:color w:val="auto"/>
                <w:sz w:val="24"/>
                <w:highlight w:val="none"/>
              </w:rPr>
            </w:pPr>
            <w:r>
              <w:rPr>
                <w:rFonts w:hint="eastAsia" w:ascii="宋体" w:hAnsi="宋体"/>
                <w:color w:val="auto"/>
                <w:sz w:val="24"/>
                <w:highlight w:val="none"/>
              </w:rPr>
              <w:t>6</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72D49939">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1B084725">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0C0D2B52">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质量负责人（质量检查员）</w:t>
            </w:r>
          </w:p>
        </w:tc>
        <w:tc>
          <w:tcPr>
            <w:tcW w:w="963" w:type="dxa"/>
            <w:tcBorders>
              <w:top w:val="single" w:color="auto" w:sz="4" w:space="0"/>
              <w:left w:val="single" w:color="auto" w:sz="4" w:space="0"/>
              <w:bottom w:val="single" w:color="auto" w:sz="4" w:space="0"/>
              <w:right w:val="single" w:color="auto" w:sz="4" w:space="0"/>
            </w:tcBorders>
            <w:vAlign w:val="center"/>
          </w:tcPr>
          <w:p w14:paraId="713536B0">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4F3E8E34">
            <w:pPr>
              <w:spacing w:line="360" w:lineRule="auto"/>
              <w:jc w:val="center"/>
              <w:rPr>
                <w:rFonts w:ascii="宋体" w:hAnsi="宋体" w:eastAsia="Times New Roman"/>
                <w:color w:val="auto"/>
                <w:sz w:val="24"/>
                <w:highlight w:val="none"/>
              </w:rPr>
            </w:pPr>
          </w:p>
        </w:tc>
      </w:tr>
      <w:tr w14:paraId="1C31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6B74AB16">
            <w:pPr>
              <w:spacing w:line="360" w:lineRule="auto"/>
              <w:jc w:val="center"/>
              <w:rPr>
                <w:rFonts w:ascii="宋体" w:hAnsi="宋体"/>
                <w:color w:val="auto"/>
                <w:sz w:val="24"/>
                <w:highlight w:val="none"/>
              </w:rPr>
            </w:pPr>
            <w:r>
              <w:rPr>
                <w:rFonts w:hint="eastAsia" w:ascii="宋体" w:hAnsi="宋体"/>
                <w:color w:val="auto"/>
                <w:sz w:val="24"/>
                <w:highlight w:val="none"/>
              </w:rPr>
              <w:t>7</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269B0031">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68E884A5">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5084DFE">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安全负责人（专职安全员）</w:t>
            </w:r>
          </w:p>
        </w:tc>
        <w:tc>
          <w:tcPr>
            <w:tcW w:w="963" w:type="dxa"/>
            <w:tcBorders>
              <w:top w:val="single" w:color="auto" w:sz="4" w:space="0"/>
              <w:left w:val="single" w:color="auto" w:sz="4" w:space="0"/>
              <w:bottom w:val="single" w:color="auto" w:sz="4" w:space="0"/>
              <w:right w:val="single" w:color="auto" w:sz="4" w:space="0"/>
            </w:tcBorders>
            <w:vAlign w:val="center"/>
          </w:tcPr>
          <w:p w14:paraId="185E80B2">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57048958">
            <w:pPr>
              <w:spacing w:line="360" w:lineRule="auto"/>
              <w:jc w:val="center"/>
              <w:rPr>
                <w:rFonts w:ascii="宋体" w:hAnsi="宋体" w:eastAsia="Times New Roman"/>
                <w:color w:val="auto"/>
                <w:sz w:val="24"/>
                <w:highlight w:val="none"/>
              </w:rPr>
            </w:pPr>
          </w:p>
        </w:tc>
      </w:tr>
      <w:tr w14:paraId="2DDF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5B8DE8E4">
            <w:pPr>
              <w:spacing w:line="360" w:lineRule="auto"/>
              <w:jc w:val="center"/>
              <w:rPr>
                <w:rFonts w:ascii="宋体" w:hAnsi="宋体"/>
                <w:color w:val="auto"/>
                <w:sz w:val="24"/>
                <w:highlight w:val="none"/>
              </w:rPr>
            </w:pPr>
            <w:r>
              <w:rPr>
                <w:rFonts w:hint="eastAsia" w:ascii="宋体" w:hAnsi="宋体"/>
                <w:color w:val="auto"/>
                <w:sz w:val="24"/>
                <w:highlight w:val="none"/>
              </w:rPr>
              <w:t>8</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25EBE247">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2211C0E">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4BFFC2E5">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材料员</w:t>
            </w:r>
          </w:p>
        </w:tc>
        <w:tc>
          <w:tcPr>
            <w:tcW w:w="963" w:type="dxa"/>
            <w:tcBorders>
              <w:top w:val="single" w:color="auto" w:sz="4" w:space="0"/>
              <w:left w:val="single" w:color="auto" w:sz="4" w:space="0"/>
              <w:bottom w:val="single" w:color="auto" w:sz="4" w:space="0"/>
              <w:right w:val="single" w:color="auto" w:sz="4" w:space="0"/>
            </w:tcBorders>
            <w:vAlign w:val="center"/>
          </w:tcPr>
          <w:p w14:paraId="2AFD07D3">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22242774">
            <w:pPr>
              <w:spacing w:line="360" w:lineRule="auto"/>
              <w:jc w:val="center"/>
              <w:rPr>
                <w:rFonts w:ascii="宋体" w:hAnsi="宋体" w:eastAsia="Times New Roman"/>
                <w:color w:val="auto"/>
                <w:sz w:val="24"/>
                <w:highlight w:val="none"/>
              </w:rPr>
            </w:pPr>
          </w:p>
        </w:tc>
      </w:tr>
      <w:tr w14:paraId="6990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6F8DCC0C">
            <w:pPr>
              <w:spacing w:line="360" w:lineRule="auto"/>
              <w:jc w:val="center"/>
              <w:rPr>
                <w:rFonts w:ascii="宋体" w:hAnsi="宋体"/>
                <w:color w:val="auto"/>
                <w:sz w:val="24"/>
                <w:highlight w:val="none"/>
              </w:rPr>
            </w:pPr>
            <w:r>
              <w:rPr>
                <w:rFonts w:hint="eastAsia" w:ascii="宋体" w:hAnsi="宋体"/>
                <w:color w:val="auto"/>
                <w:sz w:val="24"/>
                <w:highlight w:val="none"/>
              </w:rPr>
              <w:t>9</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2791304F">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7C8CA48E">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2259821C">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预算员</w:t>
            </w:r>
          </w:p>
        </w:tc>
        <w:tc>
          <w:tcPr>
            <w:tcW w:w="963" w:type="dxa"/>
            <w:tcBorders>
              <w:top w:val="single" w:color="auto" w:sz="4" w:space="0"/>
              <w:left w:val="single" w:color="auto" w:sz="4" w:space="0"/>
              <w:bottom w:val="single" w:color="auto" w:sz="4" w:space="0"/>
              <w:right w:val="single" w:color="auto" w:sz="4" w:space="0"/>
            </w:tcBorders>
            <w:vAlign w:val="center"/>
          </w:tcPr>
          <w:p w14:paraId="4222F491">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0C3FD052">
            <w:pPr>
              <w:spacing w:line="360" w:lineRule="auto"/>
              <w:jc w:val="center"/>
              <w:rPr>
                <w:rFonts w:ascii="宋体" w:hAnsi="宋体" w:eastAsia="Times New Roman"/>
                <w:color w:val="auto"/>
                <w:sz w:val="24"/>
                <w:highlight w:val="none"/>
              </w:rPr>
            </w:pPr>
          </w:p>
        </w:tc>
      </w:tr>
      <w:tr w14:paraId="137F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55A0666D">
            <w:pPr>
              <w:spacing w:line="360" w:lineRule="auto"/>
              <w:jc w:val="center"/>
              <w:rPr>
                <w:rFonts w:ascii="宋体" w:hAnsi="宋体"/>
                <w:color w:val="auto"/>
                <w:sz w:val="24"/>
                <w:highlight w:val="none"/>
              </w:rPr>
            </w:pPr>
            <w:r>
              <w:rPr>
                <w:rFonts w:hint="eastAsia" w:ascii="宋体" w:hAnsi="宋体"/>
                <w:color w:val="auto"/>
                <w:sz w:val="24"/>
                <w:highlight w:val="none"/>
              </w:rPr>
              <w:t>10</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4F744279">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193DEB3">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19F15B87">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资料员</w:t>
            </w:r>
          </w:p>
        </w:tc>
        <w:tc>
          <w:tcPr>
            <w:tcW w:w="963" w:type="dxa"/>
            <w:tcBorders>
              <w:top w:val="single" w:color="auto" w:sz="4" w:space="0"/>
              <w:left w:val="single" w:color="auto" w:sz="4" w:space="0"/>
              <w:bottom w:val="single" w:color="auto" w:sz="4" w:space="0"/>
              <w:right w:val="single" w:color="auto" w:sz="4" w:space="0"/>
            </w:tcBorders>
            <w:vAlign w:val="center"/>
          </w:tcPr>
          <w:p w14:paraId="56DB835C">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7539EE2B">
            <w:pPr>
              <w:spacing w:line="360" w:lineRule="auto"/>
              <w:jc w:val="center"/>
              <w:rPr>
                <w:rFonts w:ascii="宋体" w:hAnsi="宋体" w:eastAsia="Times New Roman"/>
                <w:color w:val="auto"/>
                <w:sz w:val="24"/>
                <w:highlight w:val="none"/>
              </w:rPr>
            </w:pPr>
          </w:p>
        </w:tc>
      </w:tr>
      <w:tr w14:paraId="58CE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022701D9">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3E7D724C">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4DA25C0D">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31190C94">
            <w:pPr>
              <w:spacing w:line="360" w:lineRule="auto"/>
              <w:jc w:val="center"/>
              <w:rPr>
                <w:rFonts w:ascii="宋体" w:hAnsi="宋体" w:eastAsia="Times New Roman"/>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vAlign w:val="center"/>
          </w:tcPr>
          <w:p w14:paraId="42AAA1B9">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69831101">
            <w:pPr>
              <w:spacing w:line="360" w:lineRule="auto"/>
              <w:jc w:val="center"/>
              <w:rPr>
                <w:rFonts w:ascii="宋体" w:hAnsi="宋体" w:eastAsia="Times New Roman"/>
                <w:color w:val="auto"/>
                <w:sz w:val="24"/>
                <w:highlight w:val="none"/>
              </w:rPr>
            </w:pPr>
          </w:p>
        </w:tc>
      </w:tr>
      <w:tr w14:paraId="5D59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gridSpan w:val="2"/>
            <w:tcBorders>
              <w:top w:val="single" w:color="auto" w:sz="4" w:space="0"/>
              <w:left w:val="single" w:color="auto" w:sz="4" w:space="0"/>
              <w:bottom w:val="single" w:color="auto" w:sz="4" w:space="0"/>
              <w:right w:val="single" w:color="auto" w:sz="4" w:space="0"/>
            </w:tcBorders>
            <w:vAlign w:val="center"/>
          </w:tcPr>
          <w:p w14:paraId="5806F203">
            <w:pPr>
              <w:spacing w:line="360" w:lineRule="auto"/>
              <w:jc w:val="center"/>
              <w:rPr>
                <w:rFonts w:ascii="宋体" w:hAnsi="宋体" w:eastAsia="Times New Roman"/>
                <w:color w:val="auto"/>
                <w:szCs w:val="21"/>
                <w:highlight w:val="none"/>
              </w:rPr>
            </w:pPr>
          </w:p>
        </w:tc>
        <w:tc>
          <w:tcPr>
            <w:tcW w:w="7790" w:type="dxa"/>
            <w:gridSpan w:val="5"/>
            <w:tcBorders>
              <w:top w:val="single" w:color="auto" w:sz="4" w:space="0"/>
              <w:left w:val="single" w:color="auto" w:sz="4" w:space="0"/>
              <w:bottom w:val="single" w:color="auto" w:sz="4" w:space="0"/>
              <w:right w:val="single" w:color="auto" w:sz="4" w:space="0"/>
            </w:tcBorders>
            <w:vAlign w:val="center"/>
          </w:tcPr>
          <w:p w14:paraId="61059B6F">
            <w:pPr>
              <w:spacing w:line="360" w:lineRule="auto"/>
              <w:jc w:val="left"/>
              <w:rPr>
                <w:rFonts w:ascii="宋体" w:hAnsi="宋体"/>
                <w:color w:val="auto"/>
                <w:szCs w:val="21"/>
                <w:highlight w:val="none"/>
              </w:rPr>
            </w:pPr>
            <w:r>
              <w:rPr>
                <w:rFonts w:hint="eastAsia" w:ascii="宋体" w:hAnsi="宋体" w:eastAsia="Times New Roman"/>
                <w:color w:val="auto"/>
                <w:szCs w:val="21"/>
                <w:highlight w:val="none"/>
              </w:rPr>
              <w:t>备注：1、“岗位”要求（除项目负责人和专职安全员外）由招标人根据项目管理需要在本表备注中明确提出，如：拟派驻施工现场的指挥长、技术负责人、造价负责人、施工员、质量负责人、安全负责人、资料员等。以上项目管理团队人员信息将由交易系统提取后供各相关单位在履约时比对、查核。</w:t>
            </w:r>
          </w:p>
          <w:p w14:paraId="08369A2C">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2、投标人应根据本表备注中的“岗位”要求，填写本表“岗位”栏和相关人员“姓名”、“职称”和“</w:t>
            </w:r>
            <w:r>
              <w:rPr>
                <w:rFonts w:hint="eastAsia" w:ascii="宋体" w:hAnsi="宋体" w:eastAsia="Times New Roman"/>
                <w:color w:val="auto"/>
                <w:sz w:val="21"/>
                <w:szCs w:val="21"/>
                <w:highlight w:val="none"/>
              </w:rPr>
              <w:t>职称证</w:t>
            </w:r>
            <w:r>
              <w:rPr>
                <w:rFonts w:hint="eastAsia" w:ascii="宋体" w:hAnsi="宋体" w:eastAsia="宋体"/>
                <w:color w:val="auto"/>
                <w:sz w:val="21"/>
                <w:szCs w:val="21"/>
                <w:highlight w:val="none"/>
                <w:lang w:eastAsia="zh-CN"/>
              </w:rPr>
              <w:t>书或</w:t>
            </w:r>
            <w:r>
              <w:rPr>
                <w:rFonts w:hint="eastAsia" w:ascii="宋体" w:hAnsi="宋体" w:eastAsia="Times New Roman"/>
                <w:color w:val="auto"/>
                <w:sz w:val="21"/>
                <w:szCs w:val="21"/>
                <w:highlight w:val="none"/>
              </w:rPr>
              <w:t>资格证书编号</w:t>
            </w:r>
            <w:r>
              <w:rPr>
                <w:rFonts w:hint="eastAsia" w:ascii="宋体" w:hAnsi="宋体" w:eastAsia="Times New Roman"/>
                <w:color w:val="auto"/>
                <w:szCs w:val="21"/>
                <w:highlight w:val="none"/>
              </w:rPr>
              <w:t>”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14:paraId="3C23962E">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3、如评标办法对投标人拟投入的项目管理团队进行评审的，如相同岗位投入人员姓名与本表不一致的，以本表中姓名为准；投标人提供的团队人员职称或资格（含证书编号）情况与本表不一致的，以投标人提供的相关证明材料为准。</w:t>
            </w:r>
          </w:p>
          <w:p w14:paraId="1743C367">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4、“职务”和“配备最低人数要求”栏目由招标人填写，其他栏目内容由投标单位按本工程要求配备人员填写上表并盖章确认。</w:t>
            </w:r>
          </w:p>
          <w:p w14:paraId="65A0023E">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5、项目机构管理人员应满足最低人数要求。若因工程特殊需要，招标人在工程施工过程中提出需增加管理人员的，中标单位必须确保增加人员在五个工作日内到位。</w:t>
            </w:r>
          </w:p>
          <w:p w14:paraId="7CE6246C">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6、用于施工报建的安全员证件必须在有效期内。</w:t>
            </w:r>
          </w:p>
          <w:p w14:paraId="4E5A5CDE">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7、配备最低人数要求:施工员不少于2名，质量负责人（质量检查员</w:t>
            </w:r>
            <w:r>
              <w:rPr>
                <w:rFonts w:hint="eastAsia" w:ascii="宋体" w:hAnsi="宋体" w:eastAsia="宋体"/>
                <w:color w:val="auto"/>
                <w:szCs w:val="21"/>
                <w:highlight w:val="none"/>
                <w:lang w:eastAsia="zh-CN"/>
              </w:rPr>
              <w:t>）</w:t>
            </w:r>
            <w:r>
              <w:rPr>
                <w:rFonts w:hint="eastAsia" w:ascii="宋体" w:hAnsi="宋体" w:eastAsia="Times New Roman"/>
                <w:color w:val="auto"/>
                <w:szCs w:val="21"/>
                <w:highlight w:val="none"/>
              </w:rPr>
              <w:t>不少于1名、安全负责人（专职安全员）不少于1名，材料员不少于1名、预算员不少于1名、资料员不少于1名。</w:t>
            </w:r>
          </w:p>
          <w:p w14:paraId="0B110793">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8、配备的质量负责人（质量检查员）需具有住房和城乡建设领域施工现场专业人员职业培训合格证（岗位名称为“设备安装质量员”）。</w:t>
            </w:r>
          </w:p>
          <w:p w14:paraId="065599FB">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9、配备的安全负责人（专职安全员）须具有安全生产考核合格证（C类）或建筑施工企业专职安全生产管理人员安全生产考核合格证书（C3类）。</w:t>
            </w:r>
          </w:p>
          <w:p w14:paraId="7DEC9555">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10、本表后附上居民身份证、注册资格证书（如有）、注册执业证（如有）、职称资格证（如有）、上岗证书（如有）等资料</w:t>
            </w:r>
            <w:r>
              <w:rPr>
                <w:rFonts w:hint="eastAsia" w:asciiTheme="minorEastAsia" w:hAnsiTheme="minorEastAsia" w:eastAsiaTheme="minorEastAsia"/>
                <w:color w:val="auto"/>
                <w:szCs w:val="21"/>
                <w:highlight w:val="none"/>
              </w:rPr>
              <w:t>。</w:t>
            </w:r>
          </w:p>
        </w:tc>
      </w:tr>
    </w:tbl>
    <w:p w14:paraId="5CFB5D93">
      <w:pPr>
        <w:spacing w:line="360" w:lineRule="auto"/>
        <w:ind w:right="-108"/>
        <w:rPr>
          <w:rFonts w:ascii="宋体" w:hAnsi="宋体"/>
          <w:color w:val="auto"/>
          <w:sz w:val="24"/>
          <w:highlight w:val="none"/>
        </w:rPr>
      </w:pPr>
    </w:p>
    <w:p w14:paraId="26254AD0">
      <w:pPr>
        <w:spacing w:line="360" w:lineRule="auto"/>
        <w:ind w:right="-108"/>
        <w:jc w:val="right"/>
        <w:rPr>
          <w:rFonts w:ascii="宋体" w:hAnsi="宋体"/>
          <w:color w:val="auto"/>
          <w:highlight w:val="none"/>
        </w:rPr>
      </w:pPr>
      <w:r>
        <w:rPr>
          <w:rFonts w:hint="eastAsia" w:ascii="宋体" w:hAnsi="宋体"/>
          <w:color w:val="auto"/>
          <w:sz w:val="24"/>
          <w:highlight w:val="none"/>
        </w:rPr>
        <w:t>投标单位（盖公章）：</w:t>
      </w:r>
    </w:p>
    <w:p w14:paraId="4324A992">
      <w:pPr>
        <w:spacing w:line="320" w:lineRule="exact"/>
        <w:rPr>
          <w:rFonts w:ascii="仿宋_GB2312" w:hAnsi="楷体" w:eastAsia="仿宋_GB2312"/>
          <w:color w:val="auto"/>
          <w:szCs w:val="21"/>
          <w:highlight w:val="none"/>
        </w:rPr>
      </w:pPr>
      <w:r>
        <w:rPr>
          <w:rFonts w:hint="eastAsia" w:ascii="宋体" w:hAnsi="宋体"/>
          <w:color w:val="auto"/>
          <w:sz w:val="24"/>
          <w:highlight w:val="none"/>
        </w:rPr>
        <w:t xml:space="preserve">                                                    年   月    日  </w:t>
      </w:r>
    </w:p>
    <w:p w14:paraId="32CE3914">
      <w:pPr>
        <w:rPr>
          <w:rFonts w:hint="eastAsia" w:ascii="宋体" w:hAnsi="宋体"/>
          <w:color w:val="auto"/>
          <w:sz w:val="24"/>
          <w:szCs w:val="24"/>
          <w:highlight w:val="none"/>
          <w:lang w:eastAsia="zh-CN"/>
        </w:rPr>
      </w:pPr>
    </w:p>
    <w:p w14:paraId="63553BAA">
      <w:pPr>
        <w:rPr>
          <w:rFonts w:hint="eastAsia" w:ascii="宋体" w:hAnsi="宋体"/>
          <w:color w:val="auto"/>
          <w:sz w:val="24"/>
          <w:szCs w:val="24"/>
          <w:highlight w:val="none"/>
          <w:lang w:eastAsia="zh-CN"/>
        </w:rPr>
      </w:pPr>
    </w:p>
    <w:p w14:paraId="013FC0F3">
      <w:pPr>
        <w:rPr>
          <w:rFonts w:hint="eastAsia" w:ascii="宋体" w:hAnsi="宋体"/>
          <w:color w:val="auto"/>
          <w:sz w:val="24"/>
          <w:szCs w:val="24"/>
          <w:highlight w:val="none"/>
          <w:lang w:eastAsia="zh-CN"/>
        </w:rPr>
      </w:pPr>
    </w:p>
    <w:p w14:paraId="597C1C06">
      <w:pPr>
        <w:rPr>
          <w:rFonts w:hint="eastAsia" w:ascii="宋体" w:hAnsi="宋体"/>
          <w:color w:val="auto"/>
          <w:sz w:val="24"/>
          <w:szCs w:val="24"/>
          <w:highlight w:val="none"/>
          <w:lang w:eastAsia="zh-CN"/>
        </w:rPr>
      </w:pPr>
    </w:p>
    <w:p w14:paraId="07D03BA7">
      <w:pPr>
        <w:rPr>
          <w:rFonts w:hint="eastAsia" w:ascii="宋体" w:hAnsi="宋体"/>
          <w:color w:val="auto"/>
          <w:sz w:val="24"/>
          <w:szCs w:val="24"/>
          <w:highlight w:val="none"/>
          <w:lang w:eastAsia="zh-CN"/>
        </w:rPr>
      </w:pPr>
    </w:p>
    <w:p w14:paraId="1B441437">
      <w:pPr>
        <w:rPr>
          <w:rFonts w:hint="eastAsia" w:ascii="宋体" w:hAnsi="宋体"/>
          <w:color w:val="auto"/>
          <w:sz w:val="24"/>
          <w:szCs w:val="24"/>
          <w:highlight w:val="none"/>
          <w:lang w:eastAsia="zh-CN"/>
        </w:rPr>
      </w:pPr>
    </w:p>
    <w:p w14:paraId="6AF5BA2D">
      <w:pPr>
        <w:rPr>
          <w:rFonts w:hint="eastAsia" w:ascii="宋体" w:hAnsi="宋体"/>
          <w:color w:val="auto"/>
          <w:sz w:val="24"/>
          <w:szCs w:val="24"/>
          <w:highlight w:val="none"/>
          <w:lang w:eastAsia="zh-CN"/>
        </w:rPr>
      </w:pPr>
    </w:p>
    <w:p w14:paraId="3F5DBF16">
      <w:pPr>
        <w:rPr>
          <w:rFonts w:hint="eastAsia" w:ascii="宋体" w:hAnsi="宋体"/>
          <w:color w:val="auto"/>
          <w:sz w:val="24"/>
          <w:szCs w:val="24"/>
          <w:highlight w:val="none"/>
          <w:lang w:eastAsia="zh-CN"/>
        </w:rPr>
      </w:pPr>
    </w:p>
    <w:p w14:paraId="0F5B7038">
      <w:pPr>
        <w:rPr>
          <w:rFonts w:hint="eastAsia" w:ascii="宋体" w:hAnsi="宋体"/>
          <w:color w:val="auto"/>
          <w:sz w:val="24"/>
          <w:szCs w:val="24"/>
          <w:highlight w:val="none"/>
          <w:lang w:eastAsia="zh-CN"/>
        </w:rPr>
      </w:pPr>
    </w:p>
    <w:p w14:paraId="40B88270">
      <w:pPr>
        <w:rPr>
          <w:rFonts w:hint="eastAsia" w:ascii="宋体" w:hAnsi="宋体"/>
          <w:color w:val="auto"/>
          <w:sz w:val="24"/>
          <w:szCs w:val="24"/>
          <w:highlight w:val="none"/>
          <w:lang w:eastAsia="zh-CN"/>
        </w:rPr>
      </w:pPr>
    </w:p>
    <w:p w14:paraId="7335D84A">
      <w:pPr>
        <w:rPr>
          <w:rFonts w:hint="eastAsia" w:ascii="宋体" w:hAnsi="宋体"/>
          <w:color w:val="auto"/>
          <w:sz w:val="24"/>
          <w:szCs w:val="24"/>
          <w:highlight w:val="none"/>
          <w:lang w:eastAsia="zh-CN"/>
        </w:rPr>
      </w:pPr>
    </w:p>
    <w:p w14:paraId="75A2E8D4">
      <w:pPr>
        <w:rPr>
          <w:rFonts w:hint="eastAsia" w:ascii="宋体" w:hAnsi="宋体"/>
          <w:color w:val="auto"/>
          <w:sz w:val="24"/>
          <w:szCs w:val="24"/>
          <w:highlight w:val="none"/>
          <w:lang w:eastAsia="zh-CN"/>
        </w:rPr>
      </w:pPr>
    </w:p>
    <w:p w14:paraId="0EA929D0">
      <w:pPr>
        <w:rPr>
          <w:rFonts w:hint="eastAsia" w:ascii="宋体" w:hAnsi="宋体"/>
          <w:color w:val="auto"/>
          <w:sz w:val="24"/>
          <w:szCs w:val="24"/>
          <w:highlight w:val="none"/>
          <w:lang w:eastAsia="zh-CN"/>
        </w:rPr>
      </w:pPr>
    </w:p>
    <w:p w14:paraId="23C645EF">
      <w:pPr>
        <w:rPr>
          <w:rFonts w:hint="eastAsia" w:ascii="宋体" w:hAnsi="宋体"/>
          <w:color w:val="auto"/>
          <w:sz w:val="24"/>
          <w:szCs w:val="24"/>
          <w:highlight w:val="none"/>
          <w:lang w:eastAsia="zh-CN"/>
        </w:rPr>
      </w:pPr>
    </w:p>
    <w:p w14:paraId="4CD6B619">
      <w:pPr>
        <w:rPr>
          <w:rFonts w:hint="eastAsia" w:ascii="宋体" w:hAnsi="宋体"/>
          <w:color w:val="auto"/>
          <w:sz w:val="24"/>
          <w:szCs w:val="24"/>
          <w:highlight w:val="none"/>
          <w:lang w:eastAsia="zh-CN"/>
        </w:rPr>
      </w:pPr>
    </w:p>
    <w:p w14:paraId="0E6E10AE">
      <w:pPr>
        <w:rPr>
          <w:rFonts w:hint="eastAsia" w:ascii="宋体" w:hAnsi="宋体"/>
          <w:color w:val="auto"/>
          <w:sz w:val="24"/>
          <w:szCs w:val="24"/>
          <w:highlight w:val="none"/>
          <w:lang w:eastAsia="zh-CN"/>
        </w:rPr>
      </w:pPr>
    </w:p>
    <w:p w14:paraId="0B828D07">
      <w:pPr>
        <w:rPr>
          <w:rFonts w:hint="eastAsia" w:ascii="宋体" w:hAnsi="宋体"/>
          <w:color w:val="auto"/>
          <w:sz w:val="24"/>
          <w:szCs w:val="24"/>
          <w:highlight w:val="none"/>
          <w:lang w:eastAsia="zh-CN"/>
        </w:rPr>
      </w:pPr>
    </w:p>
    <w:p w14:paraId="768140FD">
      <w:pPr>
        <w:rPr>
          <w:rFonts w:hint="eastAsia" w:ascii="宋体" w:hAnsi="宋体"/>
          <w:color w:val="auto"/>
          <w:sz w:val="24"/>
          <w:szCs w:val="24"/>
          <w:highlight w:val="none"/>
          <w:lang w:eastAsia="zh-CN"/>
        </w:rPr>
      </w:pPr>
    </w:p>
    <w:p w14:paraId="0AC557F1">
      <w:pPr>
        <w:rPr>
          <w:rFonts w:hint="eastAsia" w:ascii="宋体" w:hAnsi="宋体"/>
          <w:color w:val="auto"/>
          <w:sz w:val="24"/>
          <w:szCs w:val="24"/>
          <w:highlight w:val="none"/>
          <w:lang w:eastAsia="zh-CN"/>
        </w:rPr>
      </w:pPr>
    </w:p>
    <w:p w14:paraId="26863E5E">
      <w:pPr>
        <w:rPr>
          <w:rFonts w:hint="eastAsia" w:ascii="宋体" w:hAnsi="宋体"/>
          <w:color w:val="auto"/>
          <w:sz w:val="24"/>
          <w:szCs w:val="24"/>
          <w:highlight w:val="none"/>
          <w:lang w:eastAsia="zh-CN"/>
        </w:rPr>
      </w:pPr>
    </w:p>
    <w:p w14:paraId="03AE6852">
      <w:pPr>
        <w:rPr>
          <w:rFonts w:hint="eastAsia" w:ascii="宋体" w:hAnsi="宋体"/>
          <w:color w:val="auto"/>
          <w:sz w:val="24"/>
          <w:szCs w:val="24"/>
          <w:highlight w:val="none"/>
          <w:lang w:eastAsia="zh-CN"/>
        </w:rPr>
      </w:pPr>
    </w:p>
    <w:p w14:paraId="424BD73B">
      <w:pPr>
        <w:pStyle w:val="23"/>
        <w:tabs>
          <w:tab w:val="left" w:pos="1080"/>
        </w:tabs>
        <w:spacing w:line="360" w:lineRule="auto"/>
        <w:ind w:firstLine="813"/>
        <w:jc w:val="center"/>
        <w:rPr>
          <w:rFonts w:ascii="宋体" w:hAnsi="宋体"/>
          <w:b/>
          <w:color w:val="auto"/>
          <w:sz w:val="36"/>
          <w:szCs w:val="36"/>
          <w:highlight w:val="none"/>
        </w:rPr>
      </w:pPr>
      <w:r>
        <w:rPr>
          <w:rFonts w:hint="eastAsia" w:ascii="宋体" w:hAnsi="宋体"/>
          <w:b/>
          <w:color w:val="auto"/>
          <w:kern w:val="0"/>
          <w:sz w:val="32"/>
          <w:szCs w:val="32"/>
          <w:highlight w:val="none"/>
        </w:rPr>
        <w:t>投标人基本资料</w:t>
      </w:r>
    </w:p>
    <w:p w14:paraId="776E69F5">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单位名称：  </w:t>
      </w:r>
    </w:p>
    <w:p w14:paraId="585C4566">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住  所：    </w:t>
      </w:r>
    </w:p>
    <w:p w14:paraId="216598A8">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法定代表人：</w:t>
      </w:r>
    </w:p>
    <w:p w14:paraId="383BFFE0">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法定代表人办公电话：</w:t>
      </w:r>
    </w:p>
    <w:p w14:paraId="56711636">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公司行政办公室负责人：</w:t>
      </w:r>
    </w:p>
    <w:p w14:paraId="14013625">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公司行政办公室电话：</w:t>
      </w:r>
    </w:p>
    <w:p w14:paraId="3C3E2C17">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项目负责人：</w:t>
      </w:r>
    </w:p>
    <w:p w14:paraId="498BCBCC">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项目负责人电话：</w:t>
      </w:r>
    </w:p>
    <w:p w14:paraId="5519905D">
      <w:pPr>
        <w:pStyle w:val="5"/>
        <w:ind w:firstLine="240" w:firstLineChars="100"/>
        <w:rPr>
          <w:color w:val="auto"/>
          <w:highlight w:val="none"/>
        </w:rPr>
      </w:pPr>
      <w:r>
        <w:rPr>
          <w:rFonts w:hint="eastAsia" w:ascii="宋体" w:hAnsi="宋体"/>
          <w:snapToGrid w:val="0"/>
          <w:color w:val="auto"/>
          <w:kern w:val="13"/>
          <w:sz w:val="24"/>
          <w:highlight w:val="none"/>
        </w:rPr>
        <w:t>项目负责人邮箱：</w:t>
      </w:r>
    </w:p>
    <w:p w14:paraId="3EFA22B9">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传  真： </w:t>
      </w:r>
    </w:p>
    <w:p w14:paraId="5DCB50BF">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开户银行：</w:t>
      </w:r>
    </w:p>
    <w:p w14:paraId="15041AD9">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账  号：</w:t>
      </w:r>
    </w:p>
    <w:p w14:paraId="21B191C1">
      <w:pPr>
        <w:pStyle w:val="22"/>
        <w:spacing w:line="240" w:lineRule="auto"/>
        <w:ind w:right="98" w:firstLine="240" w:firstLineChars="100"/>
        <w:rPr>
          <w:rFonts w:ascii="宋体" w:hAnsi="宋体" w:eastAsia="宋体"/>
          <w:snapToGrid w:val="0"/>
          <w:color w:val="auto"/>
          <w:kern w:val="13"/>
          <w:sz w:val="24"/>
          <w:highlight w:val="none"/>
        </w:rPr>
      </w:pPr>
      <w:r>
        <w:rPr>
          <w:rFonts w:hint="eastAsia" w:ascii="宋体" w:hAnsi="宋体" w:eastAsia="宋体"/>
          <w:snapToGrid w:val="0"/>
          <w:color w:val="auto"/>
          <w:kern w:val="13"/>
          <w:sz w:val="24"/>
          <w:highlight w:val="none"/>
        </w:rPr>
        <w:t>公司邮政编码：</w:t>
      </w:r>
    </w:p>
    <w:p w14:paraId="035AA525">
      <w:pPr>
        <w:pStyle w:val="22"/>
        <w:spacing w:line="240" w:lineRule="auto"/>
        <w:ind w:right="98" w:firstLine="240" w:firstLineChars="100"/>
        <w:rPr>
          <w:rFonts w:ascii="宋体" w:hAnsi="宋体" w:eastAsia="宋体"/>
          <w:snapToGrid w:val="0"/>
          <w:color w:val="auto"/>
          <w:kern w:val="13"/>
          <w:sz w:val="24"/>
          <w:highlight w:val="none"/>
        </w:rPr>
      </w:pPr>
    </w:p>
    <w:p w14:paraId="0F95116A">
      <w:pPr>
        <w:pStyle w:val="22"/>
        <w:spacing w:line="240" w:lineRule="auto"/>
        <w:ind w:right="98" w:firstLine="240" w:firstLineChars="100"/>
        <w:rPr>
          <w:rFonts w:ascii="宋体" w:hAnsi="宋体" w:eastAsia="宋体"/>
          <w:snapToGrid w:val="0"/>
          <w:color w:val="auto"/>
          <w:kern w:val="13"/>
          <w:sz w:val="24"/>
          <w:highlight w:val="none"/>
        </w:rPr>
      </w:pPr>
    </w:p>
    <w:p w14:paraId="19BBCC94">
      <w:pPr>
        <w:pStyle w:val="22"/>
        <w:spacing w:line="240" w:lineRule="auto"/>
        <w:ind w:right="98" w:firstLine="240" w:firstLineChars="100"/>
        <w:rPr>
          <w:rFonts w:ascii="宋体" w:hAnsi="宋体" w:eastAsia="宋体"/>
          <w:snapToGrid w:val="0"/>
          <w:color w:val="auto"/>
          <w:kern w:val="13"/>
          <w:sz w:val="24"/>
          <w:highlight w:val="none"/>
        </w:rPr>
      </w:pPr>
    </w:p>
    <w:p w14:paraId="4BA6DF47">
      <w:pPr>
        <w:spacing w:line="360" w:lineRule="auto"/>
        <w:ind w:right="-108" w:firstLine="4560" w:firstLineChars="1900"/>
        <w:rPr>
          <w:rFonts w:ascii="宋体" w:hAnsi="宋体"/>
          <w:color w:val="auto"/>
          <w:sz w:val="24"/>
          <w:highlight w:val="none"/>
        </w:rPr>
      </w:pPr>
      <w:r>
        <w:rPr>
          <w:rFonts w:hint="eastAsia" w:ascii="宋体" w:hAnsi="宋体"/>
          <w:color w:val="auto"/>
          <w:sz w:val="24"/>
          <w:highlight w:val="none"/>
        </w:rPr>
        <w:t>投标单位（盖公章）：</w:t>
      </w:r>
    </w:p>
    <w:p w14:paraId="032F439A">
      <w:pPr>
        <w:spacing w:line="360" w:lineRule="auto"/>
        <w:ind w:right="-108" w:firstLine="4560" w:firstLineChars="1900"/>
        <w:rPr>
          <w:rFonts w:ascii="宋体" w:hAnsi="宋体"/>
          <w:color w:val="auto"/>
          <w:sz w:val="24"/>
          <w:highlight w:val="none"/>
        </w:rPr>
      </w:pPr>
    </w:p>
    <w:p w14:paraId="3F7A1F19">
      <w:pPr>
        <w:pStyle w:val="22"/>
        <w:spacing w:line="240" w:lineRule="auto"/>
        <w:ind w:right="98" w:firstLine="240" w:firstLineChars="100"/>
        <w:jc w:val="right"/>
        <w:rPr>
          <w:rFonts w:ascii="宋体" w:hAnsi="宋体" w:eastAsia="宋体"/>
          <w:color w:val="auto"/>
          <w:sz w:val="24"/>
          <w:highlight w:val="none"/>
        </w:rPr>
      </w:pPr>
      <w:r>
        <w:rPr>
          <w:rFonts w:hint="eastAsia" w:ascii="宋体" w:hAnsi="宋体" w:eastAsia="宋体"/>
          <w:color w:val="auto"/>
          <w:sz w:val="24"/>
          <w:highlight w:val="none"/>
        </w:rPr>
        <w:t xml:space="preserve">                                   年   月    日 </w:t>
      </w:r>
    </w:p>
    <w:p w14:paraId="2AD5D3A1">
      <w:pPr>
        <w:tabs>
          <w:tab w:val="left" w:pos="720"/>
        </w:tabs>
        <w:snapToGrid w:val="0"/>
        <w:spacing w:line="360" w:lineRule="auto"/>
        <w:jc w:val="center"/>
        <w:rPr>
          <w:color w:val="auto"/>
          <w:sz w:val="24"/>
          <w:szCs w:val="24"/>
          <w:highlight w:val="none"/>
        </w:rPr>
      </w:pPr>
    </w:p>
    <w:p w14:paraId="26EF5322">
      <w:pPr>
        <w:tabs>
          <w:tab w:val="left" w:pos="720"/>
        </w:tabs>
        <w:snapToGrid w:val="0"/>
        <w:spacing w:line="360" w:lineRule="auto"/>
        <w:rPr>
          <w:color w:val="auto"/>
          <w:sz w:val="24"/>
          <w:szCs w:val="24"/>
          <w:highlight w:val="none"/>
        </w:rPr>
      </w:pPr>
      <w:r>
        <w:rPr>
          <w:color w:val="auto"/>
          <w:sz w:val="24"/>
          <w:szCs w:val="24"/>
          <w:highlight w:val="none"/>
        </w:rPr>
        <w:br w:type="page"/>
      </w:r>
    </w:p>
    <w:p w14:paraId="5ACF265D">
      <w:pPr>
        <w:pStyle w:val="22"/>
        <w:spacing w:line="240" w:lineRule="auto"/>
        <w:ind w:left="420" w:right="98" w:firstLine="0"/>
        <w:jc w:val="center"/>
        <w:rPr>
          <w:rFonts w:ascii="宋体" w:hAnsi="宋体" w:eastAsia="宋体"/>
          <w:b/>
          <w:color w:val="auto"/>
          <w:sz w:val="36"/>
          <w:highlight w:val="none"/>
        </w:rPr>
      </w:pPr>
      <w:r>
        <w:rPr>
          <w:rFonts w:hint="eastAsia" w:ascii="宋体" w:hAnsi="宋体" w:eastAsia="宋体"/>
          <w:b/>
          <w:color w:val="auto"/>
          <w:szCs w:val="32"/>
          <w:highlight w:val="none"/>
        </w:rPr>
        <w:t>承诺书</w:t>
      </w:r>
    </w:p>
    <w:p w14:paraId="486B7638">
      <w:pPr>
        <w:widowControl/>
        <w:snapToGrid w:val="0"/>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致广州市番禺区基本建设投资管理中心：</w:t>
      </w:r>
    </w:p>
    <w:p w14:paraId="1DAA7EFF">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若我方成为</w:t>
      </w:r>
      <w:r>
        <w:rPr>
          <w:rFonts w:hint="eastAsia" w:ascii="宋体" w:hAnsi="宋体"/>
          <w:color w:val="auto"/>
          <w:sz w:val="21"/>
          <w:szCs w:val="21"/>
          <w:highlight w:val="none"/>
          <w:u w:val="single"/>
        </w:rPr>
        <w:t>广州市公安局番禺区分局公安基地配电改造工程</w:t>
      </w:r>
      <w:r>
        <w:rPr>
          <w:rFonts w:hint="eastAsia" w:ascii="宋体" w:hAnsi="宋体" w:cs="宋体"/>
          <w:color w:val="auto"/>
          <w:szCs w:val="21"/>
          <w:highlight w:val="none"/>
        </w:rPr>
        <w:t>的中标单位，我方郑重承诺，将切实完成以下工作，若不在限定时间内完成以下任何一项工作</w:t>
      </w:r>
      <w:r>
        <w:rPr>
          <w:rFonts w:hint="eastAsia" w:ascii="宋体" w:hAnsi="宋体" w:eastAsia="宋体" w:cs="宋体"/>
          <w:color w:val="auto"/>
          <w:szCs w:val="21"/>
          <w:highlight w:val="none"/>
        </w:rPr>
        <w:t>或承诺陈述与事实不符</w:t>
      </w:r>
      <w:r>
        <w:rPr>
          <w:rFonts w:hint="eastAsia" w:ascii="宋体" w:hAnsi="宋体" w:cs="宋体"/>
          <w:color w:val="auto"/>
          <w:szCs w:val="21"/>
          <w:highlight w:val="none"/>
        </w:rPr>
        <w:t>，可视为我方放弃本次中标资格，招标人可另择中标单位：</w:t>
      </w:r>
    </w:p>
    <w:p w14:paraId="6694700B">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1.中标公示完后1个工作日内缴交交易服务费。</w:t>
      </w:r>
    </w:p>
    <w:p w14:paraId="4D850A3A">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在广州公共资源交易网发布中标通知书，即视为</w:t>
      </w:r>
      <w:r>
        <w:rPr>
          <w:rFonts w:hint="eastAsia" w:ascii="宋体" w:hAnsi="宋体" w:cs="宋体"/>
          <w:color w:val="auto"/>
          <w:szCs w:val="21"/>
          <w:highlight w:val="none"/>
          <w:lang w:eastAsia="zh-CN"/>
        </w:rPr>
        <w:t>我方</w:t>
      </w:r>
      <w:r>
        <w:rPr>
          <w:rFonts w:hint="eastAsia" w:ascii="宋体" w:hAnsi="宋体" w:cs="宋体"/>
          <w:color w:val="auto"/>
          <w:szCs w:val="21"/>
          <w:highlight w:val="none"/>
        </w:rPr>
        <w:t>确认收到中标通知书。</w:t>
      </w:r>
      <w:r>
        <w:rPr>
          <w:rFonts w:hint="eastAsia" w:ascii="宋体" w:hAnsi="宋体" w:cs="宋体"/>
          <w:color w:val="auto"/>
          <w:szCs w:val="21"/>
          <w:highlight w:val="none"/>
          <w:lang w:eastAsia="zh-CN"/>
        </w:rPr>
        <w:t>我方</w:t>
      </w:r>
      <w:r>
        <w:rPr>
          <w:rFonts w:hint="eastAsia" w:ascii="宋体" w:hAnsi="宋体" w:cs="宋体"/>
          <w:color w:val="auto"/>
          <w:szCs w:val="21"/>
          <w:highlight w:val="none"/>
        </w:rPr>
        <w:t>收到中标通知书后2个工作日内提交按照招投标文件、答疑纪要及有关补充说明、通知拟写的合同稿及其电子文件给招标人。</w:t>
      </w:r>
    </w:p>
    <w:p w14:paraId="33DBFFCF">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3.我单位合同签订负责人收到招标人已审定的合同正式稿后，5个工作日内签订合同并送给招标人。</w:t>
      </w:r>
    </w:p>
    <w:p w14:paraId="73E08CEE">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4.招标人通知领取已签订的合同文件后2个工作日内领取合同文件。</w:t>
      </w:r>
    </w:p>
    <w:p w14:paraId="5AEAFE9B">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5.我方承诺，在收到中标通知书后15个日历天内向招标人缴交履约保证金或履约保函。</w:t>
      </w:r>
    </w:p>
    <w:p w14:paraId="65E19CB4">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承诺，在收到中标通知书后3个工作日内向招标人提供可行的施工组织设计文件，且我方保证在工程施工中我方派出的工程技术管理人员及工人可满足本项目的需求，否则招标人可按合同的相关条款对我方进行处罚。</w:t>
      </w:r>
    </w:p>
    <w:p w14:paraId="77EE055C">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7.我方承诺，本项目拟委派的项目负责人没有在其他在建项目中任施工单位项目负责人，本项目拟派的专职安全员没有在其他在建项目中任职。</w:t>
      </w:r>
    </w:p>
    <w:p w14:paraId="266D51DD">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8.我方承诺，从本项目投标文件截止时间所在月份前6个月至投标文件截止时间前一天的时间段，我方的银行基本存款账户“未出现过被有权机关冻结”的情形。</w:t>
      </w:r>
    </w:p>
    <w:p w14:paraId="231B4008">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.我方承诺，严格按照上述1～6项要求办理相关工作，若不能按上述1～6项要求办理相关工作，及我方违反上述7～8项承诺内容或承诺陈述与事实不符，我方自动放弃中标人资格和同意接受相关条款处罚。</w:t>
      </w:r>
    </w:p>
    <w:p w14:paraId="33D24A18">
      <w:pPr>
        <w:widowControl/>
        <w:snapToGrid w:val="0"/>
        <w:spacing w:before="0" w:after="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.合同签订负责人和项目负责人保持电话联系畅通。</w:t>
      </w:r>
    </w:p>
    <w:p w14:paraId="467A35DC">
      <w:pPr>
        <w:spacing w:line="460" w:lineRule="exact"/>
        <w:rPr>
          <w:rFonts w:ascii="宋体" w:hAnsi="宋体" w:cs="宋体"/>
          <w:color w:val="auto"/>
          <w:szCs w:val="21"/>
          <w:highlight w:val="none"/>
        </w:rPr>
      </w:pPr>
      <w:r>
        <w:rPr>
          <w:rFonts w:hint="eastAsia" w:ascii="宋体" w:hAnsi="宋体" w:cs="宋体"/>
          <w:color w:val="auto"/>
          <w:szCs w:val="21"/>
          <w:highlight w:val="none"/>
        </w:rPr>
        <w:t>投标单位（盖公章）：</w:t>
      </w:r>
    </w:p>
    <w:p w14:paraId="3CCEF186">
      <w:pPr>
        <w:spacing w:line="460" w:lineRule="exact"/>
        <w:rPr>
          <w:rFonts w:ascii="宋体" w:hAnsi="宋体" w:cs="宋体"/>
          <w:color w:val="auto"/>
          <w:szCs w:val="21"/>
          <w:highlight w:val="none"/>
        </w:rPr>
      </w:pPr>
      <w:r>
        <w:rPr>
          <w:rFonts w:hint="eastAsia" w:ascii="宋体" w:hAnsi="宋体" w:cs="宋体"/>
          <w:color w:val="auto"/>
          <w:szCs w:val="21"/>
          <w:highlight w:val="none"/>
        </w:rPr>
        <w:t>法定代表人（签字或盖章）：</w:t>
      </w:r>
    </w:p>
    <w:p w14:paraId="5EB0025D">
      <w:pPr>
        <w:spacing w:line="460" w:lineRule="exact"/>
        <w:rPr>
          <w:rFonts w:ascii="宋体" w:hAnsi="宋体" w:cs="宋体"/>
          <w:color w:val="auto"/>
          <w:szCs w:val="21"/>
          <w:highlight w:val="none"/>
        </w:rPr>
      </w:pPr>
      <w:r>
        <w:rPr>
          <w:rFonts w:hint="eastAsia" w:ascii="宋体" w:hAnsi="宋体" w:cs="宋体"/>
          <w:color w:val="auto"/>
          <w:szCs w:val="21"/>
          <w:highlight w:val="none"/>
        </w:rPr>
        <w:t>项目负责人（签名或盖章）：</w:t>
      </w:r>
    </w:p>
    <w:p w14:paraId="6B4D3EBF">
      <w:pPr>
        <w:spacing w:line="460" w:lineRule="exact"/>
        <w:rPr>
          <w:rFonts w:ascii="宋体" w:hAnsi="宋体" w:cs="宋体"/>
          <w:color w:val="auto"/>
          <w:szCs w:val="21"/>
          <w:highlight w:val="none"/>
        </w:rPr>
      </w:pPr>
      <w:r>
        <w:rPr>
          <w:rFonts w:hint="eastAsia" w:ascii="宋体" w:hAnsi="宋体" w:cs="宋体"/>
          <w:color w:val="auto"/>
          <w:szCs w:val="21"/>
          <w:highlight w:val="none"/>
        </w:rPr>
        <w:t>项目负责人联系电话：</w:t>
      </w:r>
    </w:p>
    <w:p w14:paraId="40FF8839">
      <w:pPr>
        <w:spacing w:line="460" w:lineRule="exact"/>
        <w:rPr>
          <w:rFonts w:ascii="宋体" w:hAnsi="宋体" w:cs="宋体"/>
          <w:color w:val="auto"/>
          <w:szCs w:val="21"/>
          <w:highlight w:val="none"/>
        </w:rPr>
      </w:pPr>
      <w:r>
        <w:rPr>
          <w:rFonts w:hint="eastAsia" w:ascii="宋体" w:hAnsi="宋体" w:cs="宋体"/>
          <w:color w:val="auto"/>
          <w:szCs w:val="21"/>
          <w:highlight w:val="none"/>
        </w:rPr>
        <w:t>合同签订负责人（签名或盖章）：</w:t>
      </w:r>
    </w:p>
    <w:p w14:paraId="3B7ACDAA">
      <w:pPr>
        <w:spacing w:line="460" w:lineRule="exact"/>
        <w:rPr>
          <w:rFonts w:ascii="宋体" w:hAnsi="宋体" w:cs="宋体"/>
          <w:color w:val="auto"/>
          <w:highlight w:val="none"/>
        </w:rPr>
      </w:pPr>
      <w:r>
        <w:rPr>
          <w:rFonts w:hint="eastAsia" w:ascii="宋体" w:hAnsi="宋体" w:cs="宋体"/>
          <w:color w:val="auto"/>
          <w:szCs w:val="21"/>
          <w:highlight w:val="none"/>
        </w:rPr>
        <w:t>合同签订负责人联系电话：</w:t>
      </w:r>
    </w:p>
    <w:p w14:paraId="28DBBCB9">
      <w:pPr>
        <w:pStyle w:val="22"/>
        <w:spacing w:line="460" w:lineRule="exact"/>
        <w:ind w:right="518" w:firstLine="5880" w:firstLineChars="28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年  月  日</w:t>
      </w:r>
    </w:p>
    <w:p w14:paraId="7EEB04BB">
      <w:pPr>
        <w:jc w:val="both"/>
        <w:rPr>
          <w:rFonts w:hint="eastAsia" w:ascii="宋体" w:hAnsi="宋体"/>
          <w:b/>
          <w:strike w:val="0"/>
          <w:color w:val="auto"/>
          <w:sz w:val="30"/>
          <w:szCs w:val="30"/>
          <w:highlight w:val="none"/>
        </w:rPr>
      </w:pPr>
    </w:p>
    <w:p w14:paraId="7EA57617">
      <w:pPr>
        <w:jc w:val="center"/>
        <w:rPr>
          <w:rFonts w:ascii="宋体" w:hAnsi="宋体"/>
          <w:strike w:val="0"/>
          <w:color w:val="auto"/>
          <w:sz w:val="30"/>
          <w:szCs w:val="30"/>
          <w:highlight w:val="none"/>
        </w:rPr>
      </w:pPr>
      <w:r>
        <w:rPr>
          <w:rFonts w:hint="eastAsia" w:ascii="宋体" w:hAnsi="宋体"/>
          <w:b/>
          <w:strike w:val="0"/>
          <w:color w:val="auto"/>
          <w:sz w:val="30"/>
          <w:szCs w:val="30"/>
          <w:highlight w:val="none"/>
        </w:rPr>
        <w:t>危险性较大的分部分项工程清单及超过一定规模的危险性较大的分部分项工程清单</w:t>
      </w:r>
    </w:p>
    <w:p w14:paraId="69E31EA7">
      <w:pPr>
        <w:pStyle w:val="24"/>
        <w:numPr>
          <w:ilvl w:val="0"/>
          <w:numId w:val="3"/>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28"/>
          <w:highlight w:val="none"/>
        </w:rPr>
        <w:t>根据中华人民共和国住房和城乡建设部令第37号《危险性较大的分部分项工程安全管理规定》（以下简称“37号文”），投标人在投标时须补充完善危大工程清单并明确相应的安全管理措施。</w:t>
      </w:r>
    </w:p>
    <w:p w14:paraId="06951C50">
      <w:pPr>
        <w:pStyle w:val="24"/>
        <w:numPr>
          <w:ilvl w:val="0"/>
          <w:numId w:val="3"/>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28"/>
          <w:highlight w:val="none"/>
        </w:rPr>
        <w:t>招标人根据设计文件的要求及37号文的规定列出“危险性较大的分部分项工程清单及超过一定规模的危险性较大的分部分项工程清单”中与本招标项目相关的清单项，具体详见第5点“打</w:t>
      </w:r>
      <w:r>
        <w:rPr>
          <w:rFonts w:hint="eastAsia" w:ascii="宋体" w:hAnsi="宋体"/>
          <w:strike w:val="0"/>
          <w:color w:val="auto"/>
          <w:szCs w:val="36"/>
          <w:highlight w:val="none"/>
        </w:rPr>
        <w:t>√”标识。</w:t>
      </w:r>
    </w:p>
    <w:p w14:paraId="13E313C0">
      <w:pPr>
        <w:pStyle w:val="24"/>
        <w:numPr>
          <w:ilvl w:val="0"/>
          <w:numId w:val="4"/>
        </w:numPr>
        <w:autoSpaceDE w:val="0"/>
        <w:autoSpaceDN w:val="0"/>
        <w:adjustRightInd w:val="0"/>
        <w:spacing w:before="156" w:after="156"/>
        <w:ind w:firstLineChars="0"/>
        <w:jc w:val="left"/>
        <w:rPr>
          <w:rFonts w:ascii="宋体" w:hAnsi="宋体"/>
          <w:strike w:val="0"/>
          <w:color w:val="auto"/>
          <w:szCs w:val="36"/>
          <w:highlight w:val="none"/>
        </w:rPr>
      </w:pPr>
      <w:r>
        <w:rPr>
          <w:rFonts w:hint="eastAsia" w:ascii="宋体" w:hAnsi="宋体"/>
          <w:strike w:val="0"/>
          <w:color w:val="auto"/>
          <w:szCs w:val="28"/>
          <w:highlight w:val="none"/>
        </w:rPr>
        <w:t>投标单位同意建设单位在清单中标识的该项请在对应项打“</w:t>
      </w:r>
      <w:r>
        <w:rPr>
          <w:rFonts w:hint="eastAsia" w:ascii="宋体" w:hAnsi="宋体"/>
          <w:strike w:val="0"/>
          <w:color w:val="auto"/>
          <w:szCs w:val="36"/>
          <w:highlight w:val="none"/>
        </w:rPr>
        <w:t>√”标识，并与投标文件中提供相应的安全管理措施。</w:t>
      </w:r>
    </w:p>
    <w:p w14:paraId="31E787A9">
      <w:pPr>
        <w:pStyle w:val="24"/>
        <w:numPr>
          <w:ilvl w:val="0"/>
          <w:numId w:val="4"/>
        </w:numPr>
        <w:autoSpaceDE w:val="0"/>
        <w:autoSpaceDN w:val="0"/>
        <w:adjustRightInd w:val="0"/>
        <w:spacing w:before="156" w:after="156"/>
        <w:ind w:firstLineChars="0"/>
        <w:jc w:val="left"/>
        <w:rPr>
          <w:rFonts w:ascii="宋体" w:hAnsi="宋体"/>
          <w:strike w:val="0"/>
          <w:color w:val="auto"/>
          <w:szCs w:val="36"/>
          <w:highlight w:val="none"/>
        </w:rPr>
      </w:pPr>
      <w:r>
        <w:rPr>
          <w:rFonts w:hint="eastAsia" w:ascii="宋体" w:hAnsi="宋体"/>
          <w:strike w:val="0"/>
          <w:color w:val="auto"/>
          <w:szCs w:val="28"/>
          <w:highlight w:val="none"/>
        </w:rPr>
        <w:t>投标单位对清单中认为需要补充的该项请在对应项打“</w:t>
      </w:r>
      <w:r>
        <w:rPr>
          <w:rFonts w:hint="eastAsia" w:ascii="宋体" w:hAnsi="宋体"/>
          <w:strike w:val="0"/>
          <w:color w:val="auto"/>
          <w:szCs w:val="36"/>
          <w:highlight w:val="none"/>
        </w:rPr>
        <w:t>√”标识，并与投标文件中提供相应的安全管理措施。</w:t>
      </w:r>
    </w:p>
    <w:p w14:paraId="05FFCD45">
      <w:pPr>
        <w:pStyle w:val="24"/>
        <w:numPr>
          <w:ilvl w:val="0"/>
          <w:numId w:val="4"/>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36"/>
          <w:highlight w:val="none"/>
        </w:rPr>
        <w:t>投标单位不同意建设单位</w:t>
      </w:r>
      <w:r>
        <w:rPr>
          <w:rFonts w:hint="eastAsia" w:ascii="宋体" w:hAnsi="宋体"/>
          <w:strike w:val="0"/>
          <w:color w:val="auto"/>
          <w:szCs w:val="28"/>
          <w:highlight w:val="none"/>
        </w:rPr>
        <w:t>在清单中标识的该项</w:t>
      </w:r>
      <w:r>
        <w:rPr>
          <w:rFonts w:hint="eastAsia" w:ascii="宋体" w:hAnsi="宋体"/>
          <w:strike w:val="0"/>
          <w:color w:val="auto"/>
          <w:szCs w:val="36"/>
          <w:highlight w:val="none"/>
        </w:rPr>
        <w:t>请在对应项打“×”标识，并在备注栏填上相关说明。</w:t>
      </w:r>
    </w:p>
    <w:p w14:paraId="20B75010">
      <w:pPr>
        <w:pStyle w:val="24"/>
        <w:numPr>
          <w:ilvl w:val="0"/>
          <w:numId w:val="3"/>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28"/>
          <w:highlight w:val="none"/>
        </w:rPr>
        <w:t>投标单位应当在投标时根据招标人提供的下述第5点清单，在投标施工组织中编制专项施工方案。</w:t>
      </w:r>
    </w:p>
    <w:p w14:paraId="3672BFC6">
      <w:pPr>
        <w:pStyle w:val="24"/>
        <w:numPr>
          <w:ilvl w:val="0"/>
          <w:numId w:val="3"/>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28"/>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7A013BD5">
      <w:pPr>
        <w:pStyle w:val="24"/>
        <w:numPr>
          <w:ilvl w:val="0"/>
          <w:numId w:val="3"/>
        </w:numPr>
        <w:autoSpaceDE w:val="0"/>
        <w:autoSpaceDN w:val="0"/>
        <w:adjustRightInd w:val="0"/>
        <w:spacing w:before="156" w:after="156"/>
        <w:ind w:firstLineChars="0"/>
        <w:jc w:val="left"/>
        <w:rPr>
          <w:rFonts w:ascii="宋体" w:hAnsi="宋体"/>
          <w:strike w:val="0"/>
          <w:color w:val="auto"/>
          <w:szCs w:val="28"/>
          <w:highlight w:val="none"/>
        </w:rPr>
      </w:pPr>
      <w:r>
        <w:rPr>
          <w:rFonts w:hint="eastAsia" w:ascii="宋体" w:hAnsi="宋体"/>
          <w:strike w:val="0"/>
          <w:color w:val="auto"/>
          <w:szCs w:val="28"/>
          <w:highlight w:val="none"/>
        </w:rPr>
        <w:t>危险性较大的分部分项工程清单及超过一定规模的危险性较大的分部分项工程清单：</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0"/>
        <w:gridCol w:w="1368"/>
        <w:gridCol w:w="1284"/>
        <w:gridCol w:w="979"/>
      </w:tblGrid>
      <w:tr w14:paraId="7262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vAlign w:val="center"/>
          </w:tcPr>
          <w:p w14:paraId="4213A939">
            <w:pPr>
              <w:jc w:val="center"/>
              <w:rPr>
                <w:rFonts w:ascii="宋体" w:hAnsi="宋体" w:cs="宋体"/>
                <w:b/>
                <w:strike w:val="0"/>
                <w:color w:val="auto"/>
                <w:szCs w:val="21"/>
                <w:highlight w:val="none"/>
              </w:rPr>
            </w:pPr>
            <w:r>
              <w:rPr>
                <w:rFonts w:hint="eastAsia" w:ascii="宋体" w:hAnsi="宋体" w:cs="宋体"/>
                <w:b/>
                <w:strike w:val="0"/>
                <w:color w:val="auto"/>
                <w:szCs w:val="21"/>
                <w:highlight w:val="none"/>
              </w:rPr>
              <w:t>一、危险性较大的分部分项工程清单</w:t>
            </w:r>
          </w:p>
        </w:tc>
        <w:tc>
          <w:tcPr>
            <w:tcW w:w="1368" w:type="dxa"/>
            <w:tcBorders>
              <w:top w:val="single" w:color="auto" w:sz="4" w:space="0"/>
              <w:left w:val="single" w:color="auto" w:sz="4" w:space="0"/>
              <w:bottom w:val="single" w:color="auto" w:sz="4" w:space="0"/>
              <w:right w:val="single" w:color="auto" w:sz="4" w:space="0"/>
            </w:tcBorders>
            <w:vAlign w:val="center"/>
          </w:tcPr>
          <w:p w14:paraId="5A95969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建设单位</w:t>
            </w:r>
          </w:p>
        </w:tc>
        <w:tc>
          <w:tcPr>
            <w:tcW w:w="1284" w:type="dxa"/>
            <w:tcBorders>
              <w:top w:val="single" w:color="auto" w:sz="4" w:space="0"/>
              <w:left w:val="single" w:color="auto" w:sz="4" w:space="0"/>
              <w:bottom w:val="single" w:color="auto" w:sz="4" w:space="0"/>
              <w:right w:val="single" w:color="auto" w:sz="4" w:space="0"/>
            </w:tcBorders>
            <w:vAlign w:val="center"/>
          </w:tcPr>
          <w:p w14:paraId="5BCA2924">
            <w:pPr>
              <w:jc w:val="center"/>
              <w:rPr>
                <w:rFonts w:ascii="宋体" w:hAnsi="宋体" w:cs="宋体"/>
                <w:strike w:val="0"/>
                <w:color w:val="auto"/>
                <w:szCs w:val="21"/>
                <w:highlight w:val="none"/>
              </w:rPr>
            </w:pPr>
            <w:r>
              <w:rPr>
                <w:rFonts w:hint="eastAsia" w:ascii="宋体" w:hAnsi="宋体" w:cs="宋体"/>
                <w:strike w:val="0"/>
                <w:color w:val="auto"/>
                <w:szCs w:val="21"/>
                <w:highlight w:val="none"/>
              </w:rPr>
              <w:t>投标单位</w:t>
            </w:r>
          </w:p>
        </w:tc>
        <w:tc>
          <w:tcPr>
            <w:tcW w:w="979" w:type="dxa"/>
            <w:tcBorders>
              <w:top w:val="single" w:color="auto" w:sz="4" w:space="0"/>
              <w:left w:val="single" w:color="auto" w:sz="4" w:space="0"/>
              <w:bottom w:val="single" w:color="auto" w:sz="4" w:space="0"/>
              <w:right w:val="single" w:color="auto" w:sz="4" w:space="0"/>
            </w:tcBorders>
            <w:vAlign w:val="center"/>
          </w:tcPr>
          <w:p w14:paraId="174568F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备注</w:t>
            </w:r>
          </w:p>
        </w:tc>
      </w:tr>
      <w:tr w14:paraId="1BC8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C1B0D43">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一、基坑支护</w:t>
            </w:r>
          </w:p>
        </w:tc>
        <w:tc>
          <w:tcPr>
            <w:tcW w:w="1368" w:type="dxa"/>
            <w:tcBorders>
              <w:top w:val="single" w:color="auto" w:sz="4" w:space="0"/>
              <w:left w:val="single" w:color="auto" w:sz="4" w:space="0"/>
              <w:bottom w:val="single" w:color="auto" w:sz="4" w:space="0"/>
              <w:right w:val="single" w:color="auto" w:sz="4" w:space="0"/>
            </w:tcBorders>
            <w:vAlign w:val="center"/>
          </w:tcPr>
          <w:p w14:paraId="526D601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EC4282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F7C6FEC">
            <w:pPr>
              <w:jc w:val="center"/>
              <w:rPr>
                <w:rFonts w:ascii="宋体" w:hAnsi="宋体" w:cs="宋体"/>
                <w:strike w:val="0"/>
                <w:color w:val="auto"/>
                <w:szCs w:val="21"/>
                <w:highlight w:val="none"/>
              </w:rPr>
            </w:pPr>
          </w:p>
        </w:tc>
      </w:tr>
      <w:tr w14:paraId="2B68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13AD9D5">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（一）开挖深度超过3m（含3m）的基坑（槽）的土方开挖、支护、降水工程。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54E035C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xml:space="preserve">( </w:t>
            </w:r>
            <w:r>
              <w:rPr>
                <w:rFonts w:hint="eastAsia" w:ascii="宋体" w:hAnsi="宋体"/>
                <w:strike w:val="0"/>
                <w:color w:val="auto"/>
                <w:szCs w:val="36"/>
                <w:highlight w:val="none"/>
                <w:lang w:val="en-US" w:eastAsia="zh-CN"/>
              </w:rPr>
              <w:t xml:space="preserve">  </w:t>
            </w:r>
            <w:r>
              <w:rPr>
                <w:rFonts w:hint="eastAsia" w:ascii="宋体" w:hAnsi="宋体" w:cs="宋体"/>
                <w:strike w:val="0"/>
                <w:color w:val="auto"/>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55C6CCB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E857416">
            <w:pPr>
              <w:jc w:val="center"/>
              <w:rPr>
                <w:rFonts w:ascii="宋体" w:hAnsi="宋体" w:cs="宋体"/>
                <w:strike w:val="0"/>
                <w:color w:val="auto"/>
                <w:szCs w:val="21"/>
                <w:highlight w:val="none"/>
              </w:rPr>
            </w:pPr>
          </w:p>
        </w:tc>
      </w:tr>
      <w:tr w14:paraId="48C9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D43139D">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（二）开挖深度虽未超过3m，但地质条件、周围环境和地下管线复杂，或影响毗邻建、构筑物安全的基坑（槽）的土方开挖、支护、降水工程。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17889804">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xml:space="preserve">( </w:t>
            </w:r>
            <w:r>
              <w:rPr>
                <w:rFonts w:hint="default" w:ascii="宋体" w:hAnsi="宋体"/>
                <w:strike w:val="0"/>
                <w:color w:val="auto"/>
                <w:szCs w:val="36"/>
                <w:highlight w:val="none"/>
                <w:lang w:val="en-US"/>
              </w:rPr>
              <w:t>√</w:t>
            </w:r>
            <w:r>
              <w:rPr>
                <w:rFonts w:hint="eastAsia" w:ascii="宋体" w:hAnsi="宋体"/>
                <w:strike w:val="0"/>
                <w:color w:val="auto"/>
                <w:szCs w:val="36"/>
                <w:highlight w:val="none"/>
                <w:lang w:val="en-US" w:eastAsia="zh-CN"/>
              </w:rPr>
              <w:t xml:space="preserve"> </w:t>
            </w:r>
            <w:r>
              <w:rPr>
                <w:rFonts w:hint="eastAsia" w:ascii="宋体" w:hAnsi="宋体" w:cs="宋体"/>
                <w:strike w:val="0"/>
                <w:color w:val="auto"/>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71F0696B">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939B440">
            <w:pPr>
              <w:jc w:val="center"/>
              <w:rPr>
                <w:rFonts w:ascii="宋体" w:hAnsi="宋体" w:cs="宋体"/>
                <w:strike w:val="0"/>
                <w:color w:val="auto"/>
                <w:szCs w:val="21"/>
                <w:highlight w:val="none"/>
              </w:rPr>
            </w:pPr>
          </w:p>
        </w:tc>
      </w:tr>
      <w:tr w14:paraId="6897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940" w:type="dxa"/>
            <w:tcBorders>
              <w:top w:val="single" w:color="auto" w:sz="4" w:space="0"/>
              <w:left w:val="single" w:color="auto" w:sz="4" w:space="0"/>
              <w:bottom w:val="single" w:color="auto" w:sz="4" w:space="0"/>
              <w:right w:val="single" w:color="auto" w:sz="4" w:space="0"/>
            </w:tcBorders>
          </w:tcPr>
          <w:p w14:paraId="77D9EF4C">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6D6D174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7B9311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E54EAC8">
            <w:pPr>
              <w:jc w:val="center"/>
              <w:rPr>
                <w:rFonts w:ascii="宋体" w:hAnsi="宋体" w:cs="宋体"/>
                <w:strike w:val="0"/>
                <w:color w:val="auto"/>
                <w:szCs w:val="21"/>
                <w:highlight w:val="none"/>
              </w:rPr>
            </w:pPr>
          </w:p>
        </w:tc>
      </w:tr>
      <w:tr w14:paraId="1FED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940" w:type="dxa"/>
            <w:tcBorders>
              <w:top w:val="single" w:color="auto" w:sz="4" w:space="0"/>
              <w:left w:val="single" w:color="auto" w:sz="4" w:space="0"/>
              <w:bottom w:val="single" w:color="auto" w:sz="4" w:space="0"/>
              <w:right w:val="single" w:color="auto" w:sz="4" w:space="0"/>
            </w:tcBorders>
          </w:tcPr>
          <w:p w14:paraId="10369C0C">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vAlign w:val="center"/>
          </w:tcPr>
          <w:p w14:paraId="5502227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7629F2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A596F60">
            <w:pPr>
              <w:jc w:val="center"/>
              <w:rPr>
                <w:rFonts w:ascii="宋体" w:hAnsi="宋体" w:cs="宋体"/>
                <w:strike w:val="0"/>
                <w:color w:val="auto"/>
                <w:szCs w:val="21"/>
                <w:highlight w:val="none"/>
              </w:rPr>
            </w:pPr>
          </w:p>
        </w:tc>
      </w:tr>
      <w:tr w14:paraId="6908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B08378C">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8" w:type="dxa"/>
            <w:tcBorders>
              <w:top w:val="single" w:color="auto" w:sz="4" w:space="0"/>
              <w:left w:val="single" w:color="auto" w:sz="4" w:space="0"/>
              <w:bottom w:val="single" w:color="auto" w:sz="4" w:space="0"/>
              <w:right w:val="single" w:color="auto" w:sz="4" w:space="0"/>
            </w:tcBorders>
            <w:vAlign w:val="center"/>
          </w:tcPr>
          <w:p w14:paraId="3C103E9B">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769C99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B12DEE5">
            <w:pPr>
              <w:jc w:val="center"/>
              <w:rPr>
                <w:rFonts w:ascii="宋体" w:hAnsi="宋体" w:cs="宋体"/>
                <w:strike w:val="0"/>
                <w:color w:val="auto"/>
                <w:szCs w:val="21"/>
                <w:highlight w:val="none"/>
              </w:rPr>
            </w:pPr>
          </w:p>
        </w:tc>
      </w:tr>
      <w:tr w14:paraId="477C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2DB19E6">
            <w:pPr>
              <w:widowControl/>
              <w:spacing w:line="360" w:lineRule="atLeast"/>
              <w:jc w:val="left"/>
              <w:rPr>
                <w:rFonts w:ascii="宋体" w:hAnsi="宋体" w:cs="宋体"/>
                <w:strike w:val="0"/>
                <w:color w:val="auto"/>
                <w:szCs w:val="21"/>
                <w:highlight w:val="none"/>
              </w:rPr>
            </w:pPr>
            <w:r>
              <w:rPr>
                <w:rFonts w:hint="eastAsia" w:ascii="宋体" w:hAnsi="宋体" w:cs="宋体"/>
                <w:strike w:val="0"/>
                <w:color w:val="auto"/>
                <w:szCs w:val="21"/>
                <w:highlight w:val="none"/>
              </w:rPr>
              <w:t>（三）承重支撑体系：用于钢结构安装等满堂支撑体系。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71ED8EA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5882E8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15B8468">
            <w:pPr>
              <w:jc w:val="center"/>
              <w:rPr>
                <w:rFonts w:ascii="宋体" w:hAnsi="宋体" w:cs="宋体"/>
                <w:strike w:val="0"/>
                <w:color w:val="auto"/>
                <w:szCs w:val="21"/>
                <w:highlight w:val="none"/>
              </w:rPr>
            </w:pPr>
          </w:p>
        </w:tc>
      </w:tr>
      <w:tr w14:paraId="2FF0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2037117">
            <w:pPr>
              <w:widowControl/>
              <w:spacing w:line="360" w:lineRule="atLeast"/>
              <w:jc w:val="left"/>
              <w:rPr>
                <w:rFonts w:ascii="宋体" w:hAnsi="宋体" w:cs="宋体"/>
                <w:strike w:val="0"/>
                <w:color w:val="auto"/>
                <w:szCs w:val="21"/>
                <w:highlight w:val="none"/>
              </w:rPr>
            </w:pPr>
            <w:r>
              <w:rPr>
                <w:rFonts w:hint="eastAsia" w:ascii="宋体" w:hAnsi="宋体" w:cs="宋体"/>
                <w:strike w:val="0"/>
                <w:color w:val="auto"/>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0A69BA9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2E8E6E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D641213">
            <w:pPr>
              <w:jc w:val="center"/>
              <w:rPr>
                <w:rFonts w:ascii="宋体" w:hAnsi="宋体" w:cs="宋体"/>
                <w:strike w:val="0"/>
                <w:color w:val="auto"/>
                <w:szCs w:val="21"/>
                <w:highlight w:val="none"/>
              </w:rPr>
            </w:pPr>
          </w:p>
        </w:tc>
      </w:tr>
      <w:tr w14:paraId="1D38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2E73B22">
            <w:pPr>
              <w:widowControl/>
              <w:spacing w:line="360" w:lineRule="atLeast"/>
              <w:jc w:val="left"/>
              <w:rPr>
                <w:rFonts w:ascii="宋体" w:hAnsi="宋体" w:cs="宋体"/>
                <w:strike w:val="0"/>
                <w:color w:val="auto"/>
                <w:szCs w:val="21"/>
                <w:highlight w:val="none"/>
              </w:rPr>
            </w:pPr>
            <w:r>
              <w:rPr>
                <w:rFonts w:hint="eastAsia" w:ascii="宋体" w:hAnsi="宋体" w:cs="宋体"/>
                <w:strike w:val="0"/>
                <w:color w:val="auto"/>
                <w:szCs w:val="21"/>
                <w:highlight w:val="none"/>
              </w:rPr>
              <w:t>（一）采用非常规起重设备、方法，且单件起吊重量在10kN及以上的起重吊装工程。</w:t>
            </w:r>
          </w:p>
        </w:tc>
        <w:tc>
          <w:tcPr>
            <w:tcW w:w="1368" w:type="dxa"/>
            <w:tcBorders>
              <w:top w:val="single" w:color="auto" w:sz="4" w:space="0"/>
              <w:left w:val="single" w:color="auto" w:sz="4" w:space="0"/>
              <w:bottom w:val="single" w:color="auto" w:sz="4" w:space="0"/>
              <w:right w:val="single" w:color="auto" w:sz="4" w:space="0"/>
            </w:tcBorders>
            <w:vAlign w:val="center"/>
          </w:tcPr>
          <w:p w14:paraId="305B7CC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618786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F818921">
            <w:pPr>
              <w:jc w:val="center"/>
              <w:rPr>
                <w:rFonts w:ascii="宋体" w:hAnsi="宋体" w:cs="宋体"/>
                <w:strike w:val="0"/>
                <w:color w:val="auto"/>
                <w:szCs w:val="21"/>
                <w:highlight w:val="none"/>
              </w:rPr>
            </w:pPr>
          </w:p>
        </w:tc>
      </w:tr>
      <w:tr w14:paraId="106B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45B6928">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（二）采用起重机械进行安装的工程。</w:t>
            </w:r>
          </w:p>
        </w:tc>
        <w:tc>
          <w:tcPr>
            <w:tcW w:w="1368" w:type="dxa"/>
            <w:tcBorders>
              <w:top w:val="single" w:color="auto" w:sz="4" w:space="0"/>
              <w:left w:val="single" w:color="auto" w:sz="4" w:space="0"/>
              <w:bottom w:val="single" w:color="auto" w:sz="4" w:space="0"/>
              <w:right w:val="single" w:color="auto" w:sz="4" w:space="0"/>
            </w:tcBorders>
            <w:vAlign w:val="center"/>
          </w:tcPr>
          <w:p w14:paraId="46C1004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xml:space="preserve">( </w:t>
            </w:r>
            <w:r>
              <w:rPr>
                <w:rFonts w:hint="default" w:ascii="宋体" w:hAnsi="宋体"/>
                <w:strike w:val="0"/>
                <w:color w:val="auto"/>
                <w:szCs w:val="36"/>
                <w:highlight w:val="none"/>
                <w:lang w:val="en-US"/>
              </w:rPr>
              <w:t>√</w:t>
            </w:r>
            <w:r>
              <w:rPr>
                <w:rFonts w:hint="eastAsia" w:ascii="宋体" w:hAnsi="宋体"/>
                <w:strike w:val="0"/>
                <w:color w:val="auto"/>
                <w:szCs w:val="36"/>
                <w:highlight w:val="none"/>
                <w:lang w:val="en-US" w:eastAsia="zh-CN"/>
              </w:rPr>
              <w:t xml:space="preserve"> </w:t>
            </w:r>
            <w:r>
              <w:rPr>
                <w:rFonts w:hint="eastAsia" w:ascii="宋体" w:hAnsi="宋体" w:cs="宋体"/>
                <w:strike w:val="0"/>
                <w:color w:val="auto"/>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3B1CAA9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98FEA89">
            <w:pPr>
              <w:jc w:val="center"/>
              <w:rPr>
                <w:rFonts w:ascii="宋体" w:hAnsi="宋体" w:cs="宋体"/>
                <w:strike w:val="0"/>
                <w:color w:val="auto"/>
                <w:szCs w:val="21"/>
                <w:highlight w:val="none"/>
              </w:rPr>
            </w:pPr>
          </w:p>
        </w:tc>
      </w:tr>
      <w:tr w14:paraId="01BF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8D0CA7E">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（三）起重机械安装和拆卸工程。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04F0A81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A6DDAD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58C3E43">
            <w:pPr>
              <w:jc w:val="center"/>
              <w:rPr>
                <w:rFonts w:ascii="宋体" w:hAnsi="宋体" w:cs="宋体"/>
                <w:strike w:val="0"/>
                <w:color w:val="auto"/>
                <w:szCs w:val="21"/>
                <w:highlight w:val="none"/>
              </w:rPr>
            </w:pPr>
          </w:p>
        </w:tc>
      </w:tr>
      <w:tr w14:paraId="085C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4E940BE">
            <w:pPr>
              <w:jc w:val="left"/>
              <w:rPr>
                <w:rFonts w:ascii="宋体" w:hAnsi="宋体" w:cs="宋体"/>
                <w:strike w:val="0"/>
                <w:color w:val="auto"/>
                <w:szCs w:val="21"/>
                <w:highlight w:val="none"/>
              </w:rPr>
            </w:pPr>
            <w:r>
              <w:rPr>
                <w:rFonts w:hint="eastAsia" w:ascii="宋体" w:hAnsi="宋体" w:cs="宋体"/>
                <w:strike w:val="0"/>
                <w:color w:val="auto"/>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1B8EA9A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CF34B5B">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0D00695">
            <w:pPr>
              <w:jc w:val="center"/>
              <w:rPr>
                <w:rFonts w:ascii="宋体" w:hAnsi="宋体" w:cs="宋体"/>
                <w:strike w:val="0"/>
                <w:color w:val="auto"/>
                <w:szCs w:val="21"/>
                <w:highlight w:val="none"/>
              </w:rPr>
            </w:pPr>
          </w:p>
        </w:tc>
      </w:tr>
      <w:tr w14:paraId="6D80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92E117E">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（一）搭设高度24m及以上的落地式钢管脚手架工程（包括采光井、电梯井脚手架）。</w:t>
            </w:r>
          </w:p>
        </w:tc>
        <w:tc>
          <w:tcPr>
            <w:tcW w:w="1368" w:type="dxa"/>
            <w:tcBorders>
              <w:top w:val="single" w:color="auto" w:sz="4" w:space="0"/>
              <w:left w:val="single" w:color="auto" w:sz="4" w:space="0"/>
              <w:bottom w:val="single" w:color="auto" w:sz="4" w:space="0"/>
              <w:right w:val="single" w:color="auto" w:sz="4" w:space="0"/>
            </w:tcBorders>
            <w:vAlign w:val="center"/>
          </w:tcPr>
          <w:p w14:paraId="0FE469C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B699E3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57726F0">
            <w:pPr>
              <w:jc w:val="center"/>
              <w:rPr>
                <w:rFonts w:ascii="宋体" w:hAnsi="宋体" w:cs="宋体"/>
                <w:strike w:val="0"/>
                <w:color w:val="auto"/>
                <w:szCs w:val="21"/>
                <w:highlight w:val="none"/>
              </w:rPr>
            </w:pPr>
          </w:p>
        </w:tc>
      </w:tr>
      <w:tr w14:paraId="3B1B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DF8D901">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（二）附着式升降脚手架工程。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21272B2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55DF4F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9660657">
            <w:pPr>
              <w:jc w:val="center"/>
              <w:rPr>
                <w:rFonts w:ascii="宋体" w:hAnsi="宋体" w:cs="宋体"/>
                <w:strike w:val="0"/>
                <w:color w:val="auto"/>
                <w:szCs w:val="21"/>
                <w:highlight w:val="none"/>
              </w:rPr>
            </w:pPr>
          </w:p>
        </w:tc>
      </w:tr>
      <w:tr w14:paraId="1ECA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93748FC">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（三）悬挑式脚手架工程。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43A3319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CE728F5">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0FFBBFF">
            <w:pPr>
              <w:jc w:val="center"/>
              <w:rPr>
                <w:rFonts w:ascii="宋体" w:hAnsi="宋体" w:cs="宋体"/>
                <w:strike w:val="0"/>
                <w:color w:val="auto"/>
                <w:szCs w:val="21"/>
                <w:highlight w:val="none"/>
              </w:rPr>
            </w:pPr>
          </w:p>
        </w:tc>
      </w:tr>
      <w:tr w14:paraId="1979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8B62F06">
            <w:pPr>
              <w:jc w:val="left"/>
              <w:rPr>
                <w:rFonts w:ascii="宋体" w:hAnsi="宋体" w:cs="宋体"/>
                <w:strike w:val="0"/>
                <w:color w:val="auto"/>
                <w:szCs w:val="21"/>
                <w:highlight w:val="none"/>
              </w:rPr>
            </w:pPr>
            <w:r>
              <w:rPr>
                <w:rFonts w:hint="eastAsia" w:ascii="宋体" w:hAnsi="宋体" w:cs="宋体"/>
                <w:strike w:val="0"/>
                <w:color w:val="auto"/>
                <w:szCs w:val="21"/>
                <w:highlight w:val="none"/>
              </w:rPr>
              <w:t>（四）高处作业吊篮。</w:t>
            </w:r>
          </w:p>
        </w:tc>
        <w:tc>
          <w:tcPr>
            <w:tcW w:w="1368" w:type="dxa"/>
            <w:tcBorders>
              <w:top w:val="single" w:color="auto" w:sz="4" w:space="0"/>
              <w:left w:val="single" w:color="auto" w:sz="4" w:space="0"/>
              <w:bottom w:val="single" w:color="auto" w:sz="4" w:space="0"/>
              <w:right w:val="single" w:color="auto" w:sz="4" w:space="0"/>
            </w:tcBorders>
            <w:vAlign w:val="center"/>
          </w:tcPr>
          <w:p w14:paraId="4CBEEF1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A75347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C7501CF">
            <w:pPr>
              <w:jc w:val="center"/>
              <w:rPr>
                <w:rFonts w:ascii="宋体" w:hAnsi="宋体" w:cs="宋体"/>
                <w:strike w:val="0"/>
                <w:color w:val="auto"/>
                <w:szCs w:val="21"/>
                <w:highlight w:val="none"/>
              </w:rPr>
            </w:pPr>
          </w:p>
        </w:tc>
      </w:tr>
      <w:tr w14:paraId="280F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D3BC6C7">
            <w:pPr>
              <w:jc w:val="left"/>
              <w:rPr>
                <w:rFonts w:ascii="宋体" w:hAnsi="宋体" w:cs="宋体"/>
                <w:strike w:val="0"/>
                <w:color w:val="auto"/>
                <w:szCs w:val="21"/>
                <w:highlight w:val="none"/>
              </w:rPr>
            </w:pPr>
            <w:r>
              <w:rPr>
                <w:rFonts w:hint="eastAsia" w:ascii="宋体" w:hAnsi="宋体" w:cs="宋体"/>
                <w:strike w:val="0"/>
                <w:color w:val="auto"/>
                <w:szCs w:val="21"/>
                <w:highlight w:val="none"/>
              </w:rPr>
              <w:t>（五）卸料平台、操作平台工程。</w:t>
            </w:r>
          </w:p>
        </w:tc>
        <w:tc>
          <w:tcPr>
            <w:tcW w:w="1368" w:type="dxa"/>
            <w:tcBorders>
              <w:top w:val="single" w:color="auto" w:sz="4" w:space="0"/>
              <w:left w:val="single" w:color="auto" w:sz="4" w:space="0"/>
              <w:bottom w:val="single" w:color="auto" w:sz="4" w:space="0"/>
              <w:right w:val="single" w:color="auto" w:sz="4" w:space="0"/>
            </w:tcBorders>
            <w:vAlign w:val="center"/>
          </w:tcPr>
          <w:p w14:paraId="44F7E71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E97E72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2BC53EC">
            <w:pPr>
              <w:jc w:val="center"/>
              <w:rPr>
                <w:rFonts w:ascii="宋体" w:hAnsi="宋体" w:cs="宋体"/>
                <w:strike w:val="0"/>
                <w:color w:val="auto"/>
                <w:szCs w:val="21"/>
                <w:highlight w:val="none"/>
              </w:rPr>
            </w:pPr>
          </w:p>
        </w:tc>
      </w:tr>
      <w:tr w14:paraId="799D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C627317">
            <w:pPr>
              <w:jc w:val="left"/>
              <w:rPr>
                <w:rFonts w:ascii="宋体" w:hAnsi="宋体" w:cs="宋体"/>
                <w:strike w:val="0"/>
                <w:color w:val="auto"/>
                <w:szCs w:val="21"/>
                <w:highlight w:val="none"/>
              </w:rPr>
            </w:pPr>
            <w:r>
              <w:rPr>
                <w:rFonts w:hint="eastAsia" w:ascii="宋体" w:hAnsi="宋体" w:cs="宋体"/>
                <w:strike w:val="0"/>
                <w:color w:val="auto"/>
                <w:szCs w:val="21"/>
                <w:highlight w:val="none"/>
              </w:rPr>
              <w:t>（六）异型脚手架工程。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73A6834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FB9FAF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4E06116">
            <w:pPr>
              <w:jc w:val="center"/>
              <w:rPr>
                <w:rFonts w:ascii="宋体" w:hAnsi="宋体" w:cs="宋体"/>
                <w:strike w:val="0"/>
                <w:color w:val="auto"/>
                <w:szCs w:val="21"/>
                <w:highlight w:val="none"/>
              </w:rPr>
            </w:pPr>
          </w:p>
        </w:tc>
      </w:tr>
      <w:tr w14:paraId="2CB2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9E43D7B">
            <w:pPr>
              <w:jc w:val="left"/>
              <w:rPr>
                <w:rFonts w:ascii="宋体" w:hAnsi="宋体" w:cs="宋体"/>
                <w:strike w:val="0"/>
                <w:color w:val="auto"/>
                <w:szCs w:val="21"/>
                <w:highlight w:val="none"/>
              </w:rPr>
            </w:pPr>
            <w:r>
              <w:rPr>
                <w:rFonts w:hint="eastAsia" w:ascii="宋体" w:hAnsi="宋体" w:cs="宋体"/>
                <w:strike w:val="0"/>
                <w:color w:val="auto"/>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4D07217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EBF83E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27177A0">
            <w:pPr>
              <w:jc w:val="center"/>
              <w:rPr>
                <w:rFonts w:ascii="宋体" w:hAnsi="宋体" w:cs="宋体"/>
                <w:strike w:val="0"/>
                <w:color w:val="auto"/>
                <w:szCs w:val="21"/>
                <w:highlight w:val="none"/>
              </w:rPr>
            </w:pPr>
          </w:p>
        </w:tc>
      </w:tr>
      <w:tr w14:paraId="07DB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76910A0">
            <w:pPr>
              <w:jc w:val="left"/>
              <w:rPr>
                <w:rFonts w:ascii="宋体" w:hAnsi="宋体" w:cs="宋体"/>
                <w:strike w:val="0"/>
                <w:color w:val="auto"/>
                <w:szCs w:val="21"/>
                <w:highlight w:val="none"/>
              </w:rPr>
            </w:pPr>
            <w:r>
              <w:rPr>
                <w:rFonts w:hint="eastAsia" w:ascii="宋体" w:hAnsi="宋体" w:cs="宋体"/>
                <w:strike w:val="0"/>
                <w:color w:val="auto"/>
                <w:szCs w:val="21"/>
                <w:highlight w:val="none"/>
              </w:rPr>
              <w:t>可能影响行人、交通、电力设施、通讯设施或其它建、构筑物安全的拆除工程。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0C8E3B5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84AA32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9030C2E">
            <w:pPr>
              <w:jc w:val="center"/>
              <w:rPr>
                <w:rFonts w:ascii="宋体" w:hAnsi="宋体" w:cs="宋体"/>
                <w:strike w:val="0"/>
                <w:color w:val="auto"/>
                <w:szCs w:val="21"/>
                <w:highlight w:val="none"/>
              </w:rPr>
            </w:pPr>
          </w:p>
        </w:tc>
      </w:tr>
      <w:tr w14:paraId="5BAC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F520765">
            <w:pPr>
              <w:jc w:val="left"/>
              <w:rPr>
                <w:rFonts w:ascii="宋体" w:hAnsi="宋体" w:cs="宋体"/>
                <w:strike w:val="0"/>
                <w:color w:val="auto"/>
                <w:szCs w:val="21"/>
                <w:highlight w:val="none"/>
              </w:rPr>
            </w:pPr>
            <w:r>
              <w:rPr>
                <w:rFonts w:hint="eastAsia" w:ascii="宋体" w:hAnsi="宋体" w:cs="宋体"/>
                <w:strike w:val="0"/>
                <w:color w:val="auto"/>
                <w:szCs w:val="21"/>
                <w:highlight w:val="none"/>
              </w:rPr>
              <w:t>　六、暗挖工程</w:t>
            </w:r>
          </w:p>
        </w:tc>
        <w:tc>
          <w:tcPr>
            <w:tcW w:w="1368" w:type="dxa"/>
            <w:tcBorders>
              <w:top w:val="single" w:color="auto" w:sz="4" w:space="0"/>
              <w:left w:val="single" w:color="auto" w:sz="4" w:space="0"/>
              <w:bottom w:val="single" w:color="auto" w:sz="4" w:space="0"/>
              <w:right w:val="single" w:color="auto" w:sz="4" w:space="0"/>
            </w:tcBorders>
            <w:vAlign w:val="center"/>
          </w:tcPr>
          <w:p w14:paraId="3DAF51D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24CB9B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CA25B7E">
            <w:pPr>
              <w:jc w:val="center"/>
              <w:rPr>
                <w:rFonts w:ascii="宋体" w:hAnsi="宋体" w:cs="宋体"/>
                <w:strike w:val="0"/>
                <w:color w:val="auto"/>
                <w:szCs w:val="21"/>
                <w:highlight w:val="none"/>
              </w:rPr>
            </w:pPr>
          </w:p>
        </w:tc>
      </w:tr>
      <w:tr w14:paraId="6908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597A4ED">
            <w:pPr>
              <w:jc w:val="left"/>
              <w:rPr>
                <w:rFonts w:ascii="宋体" w:hAnsi="宋体" w:cs="宋体"/>
                <w:strike w:val="0"/>
                <w:color w:val="auto"/>
                <w:szCs w:val="21"/>
                <w:highlight w:val="none"/>
              </w:rPr>
            </w:pPr>
            <w:r>
              <w:rPr>
                <w:rFonts w:hint="eastAsia" w:ascii="宋体" w:hAnsi="宋体" w:cs="宋体"/>
                <w:strike w:val="0"/>
                <w:color w:val="auto"/>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vAlign w:val="center"/>
          </w:tcPr>
          <w:p w14:paraId="53CD52B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A3695A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A0B84C5">
            <w:pPr>
              <w:jc w:val="center"/>
              <w:rPr>
                <w:rFonts w:ascii="宋体" w:hAnsi="宋体" w:cs="宋体"/>
                <w:strike w:val="0"/>
                <w:color w:val="auto"/>
                <w:szCs w:val="21"/>
                <w:highlight w:val="none"/>
              </w:rPr>
            </w:pPr>
          </w:p>
        </w:tc>
      </w:tr>
      <w:tr w14:paraId="2CE9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A7E98A9">
            <w:pPr>
              <w:jc w:val="left"/>
              <w:rPr>
                <w:rFonts w:ascii="宋体" w:hAnsi="宋体" w:cs="宋体"/>
                <w:strike w:val="0"/>
                <w:color w:val="auto"/>
                <w:szCs w:val="21"/>
                <w:highlight w:val="none"/>
              </w:rPr>
            </w:pPr>
            <w:r>
              <w:rPr>
                <w:rFonts w:hint="eastAsia" w:ascii="宋体" w:hAnsi="宋体" w:cs="宋体"/>
                <w:strike w:val="0"/>
                <w:color w:val="auto"/>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vAlign w:val="center"/>
          </w:tcPr>
          <w:p w14:paraId="0C325831">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E9F205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52AEE84">
            <w:pPr>
              <w:jc w:val="center"/>
              <w:rPr>
                <w:rFonts w:ascii="宋体" w:hAnsi="宋体" w:cs="宋体"/>
                <w:strike w:val="0"/>
                <w:color w:val="auto"/>
                <w:szCs w:val="21"/>
                <w:highlight w:val="none"/>
              </w:rPr>
            </w:pPr>
          </w:p>
        </w:tc>
      </w:tr>
      <w:tr w14:paraId="1D76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4831189">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（一）水下作业工程。</w:t>
            </w:r>
          </w:p>
        </w:tc>
        <w:tc>
          <w:tcPr>
            <w:tcW w:w="1368" w:type="dxa"/>
            <w:tcBorders>
              <w:top w:val="single" w:color="auto" w:sz="4" w:space="0"/>
              <w:left w:val="single" w:color="auto" w:sz="4" w:space="0"/>
              <w:bottom w:val="single" w:color="auto" w:sz="4" w:space="0"/>
              <w:right w:val="single" w:color="auto" w:sz="4" w:space="0"/>
            </w:tcBorders>
            <w:vAlign w:val="center"/>
          </w:tcPr>
          <w:p w14:paraId="425ECD6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82AFC2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69F44EB">
            <w:pPr>
              <w:jc w:val="center"/>
              <w:rPr>
                <w:rFonts w:ascii="宋体" w:hAnsi="宋体" w:cs="宋体"/>
                <w:strike w:val="0"/>
                <w:color w:val="auto"/>
                <w:szCs w:val="21"/>
                <w:highlight w:val="none"/>
              </w:rPr>
            </w:pPr>
          </w:p>
        </w:tc>
      </w:tr>
      <w:tr w14:paraId="0866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3643924">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（二）装配式建筑混凝土预制构件安装工程。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565417D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326359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5593854">
            <w:pPr>
              <w:jc w:val="center"/>
              <w:rPr>
                <w:rFonts w:ascii="宋体" w:hAnsi="宋体" w:cs="宋体"/>
                <w:strike w:val="0"/>
                <w:color w:val="auto"/>
                <w:szCs w:val="21"/>
                <w:highlight w:val="none"/>
              </w:rPr>
            </w:pPr>
          </w:p>
        </w:tc>
      </w:tr>
      <w:tr w14:paraId="6AE3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E687EDB">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vAlign w:val="center"/>
          </w:tcPr>
          <w:p w14:paraId="6AF3033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0349A9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F4DC72F">
            <w:pPr>
              <w:jc w:val="center"/>
              <w:rPr>
                <w:rFonts w:ascii="宋体" w:hAnsi="宋体" w:cs="宋体"/>
                <w:strike w:val="0"/>
                <w:color w:val="auto"/>
                <w:szCs w:val="21"/>
                <w:highlight w:val="none"/>
              </w:rPr>
            </w:pPr>
          </w:p>
        </w:tc>
      </w:tr>
      <w:tr w14:paraId="538F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vAlign w:val="center"/>
          </w:tcPr>
          <w:p w14:paraId="38E5E076">
            <w:pPr>
              <w:widowControl/>
              <w:spacing w:line="360" w:lineRule="atLeast"/>
              <w:rPr>
                <w:rFonts w:ascii="宋体" w:hAnsi="宋体" w:cs="宋体"/>
                <w:b/>
                <w:strike w:val="0"/>
                <w:color w:val="auto"/>
                <w:szCs w:val="21"/>
                <w:highlight w:val="none"/>
              </w:rPr>
            </w:pPr>
            <w:r>
              <w:rPr>
                <w:rFonts w:hint="eastAsia" w:ascii="宋体" w:hAnsi="宋体" w:cs="宋体"/>
                <w:b/>
                <w:bCs/>
                <w:strike w:val="0"/>
                <w:color w:val="auto"/>
                <w:szCs w:val="21"/>
                <w:highlight w:val="none"/>
              </w:rPr>
              <w:t>二、超过一定规模的危险性较大的分部分项工程清单</w:t>
            </w:r>
          </w:p>
        </w:tc>
        <w:tc>
          <w:tcPr>
            <w:tcW w:w="1368" w:type="dxa"/>
            <w:tcBorders>
              <w:top w:val="single" w:color="auto" w:sz="4" w:space="0"/>
              <w:left w:val="single" w:color="auto" w:sz="4" w:space="0"/>
              <w:bottom w:val="single" w:color="auto" w:sz="4" w:space="0"/>
              <w:right w:val="single" w:color="auto" w:sz="4" w:space="0"/>
            </w:tcBorders>
            <w:vAlign w:val="center"/>
          </w:tcPr>
          <w:p w14:paraId="03101A11">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5B7681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EF6164C">
            <w:pPr>
              <w:jc w:val="center"/>
              <w:rPr>
                <w:rFonts w:ascii="宋体" w:hAnsi="宋体" w:cs="宋体"/>
                <w:strike w:val="0"/>
                <w:color w:val="auto"/>
                <w:szCs w:val="21"/>
                <w:highlight w:val="none"/>
              </w:rPr>
            </w:pPr>
          </w:p>
        </w:tc>
      </w:tr>
      <w:tr w14:paraId="0F96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84251AF">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一、深基坑工程</w:t>
            </w:r>
          </w:p>
        </w:tc>
        <w:tc>
          <w:tcPr>
            <w:tcW w:w="1368" w:type="dxa"/>
            <w:tcBorders>
              <w:top w:val="single" w:color="auto" w:sz="4" w:space="0"/>
              <w:left w:val="single" w:color="auto" w:sz="4" w:space="0"/>
              <w:bottom w:val="single" w:color="auto" w:sz="4" w:space="0"/>
              <w:right w:val="single" w:color="auto" w:sz="4" w:space="0"/>
            </w:tcBorders>
            <w:vAlign w:val="center"/>
          </w:tcPr>
          <w:p w14:paraId="16AA435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CC33E6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6E673F6">
            <w:pPr>
              <w:jc w:val="center"/>
              <w:rPr>
                <w:rFonts w:ascii="宋体" w:hAnsi="宋体" w:cs="宋体"/>
                <w:strike w:val="0"/>
                <w:color w:val="auto"/>
                <w:szCs w:val="21"/>
                <w:highlight w:val="none"/>
              </w:rPr>
            </w:pPr>
          </w:p>
        </w:tc>
      </w:tr>
      <w:tr w14:paraId="2E4A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9F04194">
            <w:pPr>
              <w:jc w:val="left"/>
              <w:rPr>
                <w:rFonts w:ascii="宋体" w:hAnsi="宋体" w:cs="宋体"/>
                <w:strike w:val="0"/>
                <w:color w:val="auto"/>
                <w:szCs w:val="21"/>
                <w:highlight w:val="none"/>
              </w:rPr>
            </w:pPr>
            <w:r>
              <w:rPr>
                <w:rFonts w:hint="eastAsia" w:ascii="宋体" w:hAnsi="宋体" w:cs="宋体"/>
                <w:strike w:val="0"/>
                <w:color w:val="auto"/>
                <w:szCs w:val="21"/>
                <w:highlight w:val="none"/>
              </w:rPr>
              <w:t>开挖深度超过5m（含5m）的基坑（槽）的土方开挖、支护、降水工程。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69F960C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3FEA21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2C482E9">
            <w:pPr>
              <w:jc w:val="center"/>
              <w:rPr>
                <w:rFonts w:ascii="宋体" w:hAnsi="宋体" w:cs="宋体"/>
                <w:strike w:val="0"/>
                <w:color w:val="auto"/>
                <w:szCs w:val="21"/>
                <w:highlight w:val="none"/>
              </w:rPr>
            </w:pPr>
          </w:p>
        </w:tc>
      </w:tr>
      <w:tr w14:paraId="5821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88C8499">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3770B3E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A382FCB">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F3FAD4F">
            <w:pPr>
              <w:jc w:val="center"/>
              <w:rPr>
                <w:rFonts w:ascii="宋体" w:hAnsi="宋体" w:cs="宋体"/>
                <w:strike w:val="0"/>
                <w:color w:val="auto"/>
                <w:szCs w:val="21"/>
                <w:highlight w:val="none"/>
              </w:rPr>
            </w:pPr>
          </w:p>
        </w:tc>
      </w:tr>
      <w:tr w14:paraId="6DB5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4940" w:type="dxa"/>
            <w:tcBorders>
              <w:top w:val="single" w:color="auto" w:sz="4" w:space="0"/>
              <w:left w:val="single" w:color="auto" w:sz="4" w:space="0"/>
              <w:bottom w:val="single" w:color="auto" w:sz="4" w:space="0"/>
              <w:right w:val="single" w:color="auto" w:sz="4" w:space="0"/>
            </w:tcBorders>
          </w:tcPr>
          <w:p w14:paraId="46E2D92A">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vAlign w:val="center"/>
          </w:tcPr>
          <w:p w14:paraId="04CA9021">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F93F05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B8CD62E">
            <w:pPr>
              <w:jc w:val="center"/>
              <w:rPr>
                <w:rFonts w:ascii="宋体" w:hAnsi="宋体" w:cs="宋体"/>
                <w:strike w:val="0"/>
                <w:color w:val="auto"/>
                <w:szCs w:val="21"/>
                <w:highlight w:val="none"/>
              </w:rPr>
            </w:pPr>
          </w:p>
        </w:tc>
      </w:tr>
      <w:tr w14:paraId="4415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BD3BD3C">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（二）混凝土模板支撑工程：搭设高度8m及以上，或搭设跨度18m及以上，或施工总荷载（设计值）15kN/m2及以上，或集中线荷载（设计值）20kN/m及以上。</w:t>
            </w:r>
          </w:p>
        </w:tc>
        <w:tc>
          <w:tcPr>
            <w:tcW w:w="1368" w:type="dxa"/>
            <w:tcBorders>
              <w:top w:val="single" w:color="auto" w:sz="4" w:space="0"/>
              <w:left w:val="single" w:color="auto" w:sz="4" w:space="0"/>
              <w:bottom w:val="single" w:color="auto" w:sz="4" w:space="0"/>
              <w:right w:val="single" w:color="auto" w:sz="4" w:space="0"/>
            </w:tcBorders>
            <w:vAlign w:val="center"/>
          </w:tcPr>
          <w:p w14:paraId="26BE4B5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E8705BC">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CDFDD8D">
            <w:pPr>
              <w:jc w:val="center"/>
              <w:rPr>
                <w:rFonts w:ascii="宋体" w:hAnsi="宋体" w:cs="宋体"/>
                <w:strike w:val="0"/>
                <w:color w:val="auto"/>
                <w:szCs w:val="21"/>
                <w:highlight w:val="none"/>
              </w:rPr>
            </w:pPr>
          </w:p>
        </w:tc>
      </w:tr>
      <w:tr w14:paraId="3B6A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7468B64">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（三）承重支撑体系：用于钢结构安装等满堂支撑体系，承受单点集中荷载7kN及以上。</w:t>
            </w:r>
          </w:p>
        </w:tc>
        <w:tc>
          <w:tcPr>
            <w:tcW w:w="1368" w:type="dxa"/>
            <w:tcBorders>
              <w:top w:val="single" w:color="auto" w:sz="4" w:space="0"/>
              <w:left w:val="single" w:color="auto" w:sz="4" w:space="0"/>
              <w:bottom w:val="single" w:color="auto" w:sz="4" w:space="0"/>
              <w:right w:val="single" w:color="auto" w:sz="4" w:space="0"/>
            </w:tcBorders>
            <w:vAlign w:val="center"/>
          </w:tcPr>
          <w:p w14:paraId="31583ED4">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3CC550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DD99BBF">
            <w:pPr>
              <w:jc w:val="center"/>
              <w:rPr>
                <w:rFonts w:ascii="宋体" w:hAnsi="宋体" w:cs="宋体"/>
                <w:strike w:val="0"/>
                <w:color w:val="auto"/>
                <w:szCs w:val="21"/>
                <w:highlight w:val="none"/>
              </w:rPr>
            </w:pPr>
          </w:p>
        </w:tc>
      </w:tr>
      <w:tr w14:paraId="453C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5BB84DF">
            <w:pPr>
              <w:jc w:val="left"/>
              <w:rPr>
                <w:rFonts w:ascii="宋体" w:hAnsi="宋体" w:cs="宋体"/>
                <w:strike w:val="0"/>
                <w:color w:val="auto"/>
                <w:szCs w:val="21"/>
                <w:highlight w:val="none"/>
              </w:rPr>
            </w:pPr>
            <w:r>
              <w:rPr>
                <w:rFonts w:hint="eastAsia" w:ascii="宋体" w:hAnsi="宋体" w:cs="宋体"/>
                <w:strike w:val="0"/>
                <w:color w:val="auto"/>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24A8CD3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CC1AFD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8823B88">
            <w:pPr>
              <w:jc w:val="center"/>
              <w:rPr>
                <w:rFonts w:ascii="宋体" w:hAnsi="宋体" w:cs="宋体"/>
                <w:strike w:val="0"/>
                <w:color w:val="auto"/>
                <w:szCs w:val="21"/>
                <w:highlight w:val="none"/>
              </w:rPr>
            </w:pPr>
          </w:p>
        </w:tc>
      </w:tr>
      <w:tr w14:paraId="6730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EE79455">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（一）采用非常规起重设备、方法，且单件起吊重量在100kN及以上的起重吊装工程。</w:t>
            </w:r>
          </w:p>
        </w:tc>
        <w:tc>
          <w:tcPr>
            <w:tcW w:w="1368" w:type="dxa"/>
            <w:tcBorders>
              <w:top w:val="single" w:color="auto" w:sz="4" w:space="0"/>
              <w:left w:val="single" w:color="auto" w:sz="4" w:space="0"/>
              <w:bottom w:val="single" w:color="auto" w:sz="4" w:space="0"/>
              <w:right w:val="single" w:color="auto" w:sz="4" w:space="0"/>
            </w:tcBorders>
            <w:vAlign w:val="center"/>
          </w:tcPr>
          <w:p w14:paraId="7FB74AAB">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41E5D0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BEBF30D">
            <w:pPr>
              <w:jc w:val="center"/>
              <w:rPr>
                <w:rFonts w:ascii="宋体" w:hAnsi="宋体" w:cs="宋体"/>
                <w:strike w:val="0"/>
                <w:color w:val="auto"/>
                <w:szCs w:val="21"/>
                <w:highlight w:val="none"/>
              </w:rPr>
            </w:pPr>
          </w:p>
        </w:tc>
      </w:tr>
      <w:tr w14:paraId="4F85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FD1E9F8">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（二）起重量300kN及以上，或搭设总高度200m及以上，或搭设基础标高在200m及以上的起重机械安装和拆卸工程。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3EBEE945">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800E1B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ECE9EE2">
            <w:pPr>
              <w:jc w:val="center"/>
              <w:rPr>
                <w:rFonts w:ascii="宋体" w:hAnsi="宋体" w:cs="宋体"/>
                <w:strike w:val="0"/>
                <w:color w:val="auto"/>
                <w:szCs w:val="21"/>
                <w:highlight w:val="none"/>
              </w:rPr>
            </w:pPr>
          </w:p>
        </w:tc>
      </w:tr>
      <w:tr w14:paraId="4BC9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A602402">
            <w:pPr>
              <w:jc w:val="left"/>
              <w:rPr>
                <w:rFonts w:ascii="宋体" w:hAnsi="宋体" w:cs="宋体"/>
                <w:strike w:val="0"/>
                <w:color w:val="auto"/>
                <w:szCs w:val="21"/>
                <w:highlight w:val="none"/>
              </w:rPr>
            </w:pPr>
            <w:r>
              <w:rPr>
                <w:rFonts w:hint="eastAsia" w:ascii="宋体" w:hAnsi="宋体" w:cs="宋体"/>
                <w:strike w:val="0"/>
                <w:color w:val="auto"/>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528242C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0DB3CE1">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72F52BB">
            <w:pPr>
              <w:jc w:val="center"/>
              <w:rPr>
                <w:rFonts w:ascii="宋体" w:hAnsi="宋体" w:cs="宋体"/>
                <w:strike w:val="0"/>
                <w:color w:val="auto"/>
                <w:szCs w:val="21"/>
                <w:highlight w:val="none"/>
              </w:rPr>
            </w:pPr>
          </w:p>
        </w:tc>
      </w:tr>
      <w:tr w14:paraId="6BE3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B842AD6">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（一）搭设高度50m及以上的落地式钢管脚手架工程。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53995C88">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F7324B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1AA7AC6">
            <w:pPr>
              <w:jc w:val="center"/>
              <w:rPr>
                <w:rFonts w:ascii="宋体" w:hAnsi="宋体" w:cs="宋体"/>
                <w:strike w:val="0"/>
                <w:color w:val="auto"/>
                <w:szCs w:val="21"/>
                <w:highlight w:val="none"/>
              </w:rPr>
            </w:pPr>
          </w:p>
        </w:tc>
      </w:tr>
      <w:tr w14:paraId="1AF1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2FA70E1">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（二）提升高度在150m及以上的附着式升降脚手架工程或附着式升降操作平台工程。</w:t>
            </w:r>
          </w:p>
        </w:tc>
        <w:tc>
          <w:tcPr>
            <w:tcW w:w="1368" w:type="dxa"/>
            <w:tcBorders>
              <w:top w:val="single" w:color="auto" w:sz="4" w:space="0"/>
              <w:left w:val="single" w:color="auto" w:sz="4" w:space="0"/>
              <w:bottom w:val="single" w:color="auto" w:sz="4" w:space="0"/>
              <w:right w:val="single" w:color="auto" w:sz="4" w:space="0"/>
            </w:tcBorders>
            <w:vAlign w:val="center"/>
          </w:tcPr>
          <w:p w14:paraId="02C81BE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9E4A37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A5A4046">
            <w:pPr>
              <w:jc w:val="center"/>
              <w:rPr>
                <w:rFonts w:ascii="宋体" w:hAnsi="宋体" w:cs="宋体"/>
                <w:strike w:val="0"/>
                <w:color w:val="auto"/>
                <w:szCs w:val="21"/>
                <w:highlight w:val="none"/>
              </w:rPr>
            </w:pPr>
          </w:p>
        </w:tc>
      </w:tr>
      <w:tr w14:paraId="0F7A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9321C4D">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（三）分段架体搭设高度20m及以上的悬挑式脚手架工程。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4398D99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AF0C161">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5A9E41A">
            <w:pPr>
              <w:jc w:val="center"/>
              <w:rPr>
                <w:rFonts w:ascii="宋体" w:hAnsi="宋体" w:cs="宋体"/>
                <w:strike w:val="0"/>
                <w:color w:val="auto"/>
                <w:szCs w:val="21"/>
                <w:highlight w:val="none"/>
              </w:rPr>
            </w:pPr>
          </w:p>
        </w:tc>
      </w:tr>
      <w:tr w14:paraId="16D5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253D730">
            <w:pPr>
              <w:jc w:val="left"/>
              <w:rPr>
                <w:rFonts w:ascii="宋体" w:hAnsi="宋体" w:cs="宋体"/>
                <w:strike w:val="0"/>
                <w:color w:val="auto"/>
                <w:szCs w:val="21"/>
                <w:highlight w:val="none"/>
              </w:rPr>
            </w:pPr>
            <w:r>
              <w:rPr>
                <w:rFonts w:hint="eastAsia" w:ascii="宋体" w:hAnsi="宋体" w:cs="宋体"/>
                <w:strike w:val="0"/>
                <w:color w:val="auto"/>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6EA198E8">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ABC721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C374C56">
            <w:pPr>
              <w:jc w:val="center"/>
              <w:rPr>
                <w:rFonts w:ascii="宋体" w:hAnsi="宋体" w:cs="宋体"/>
                <w:strike w:val="0"/>
                <w:color w:val="auto"/>
                <w:szCs w:val="21"/>
                <w:highlight w:val="none"/>
              </w:rPr>
            </w:pPr>
          </w:p>
        </w:tc>
      </w:tr>
      <w:tr w14:paraId="3CF5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A0DB975">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（一）码头、桥梁、高架、烟囱、水塔或拆除中容易引起有毒有害气（液）体或粉尘扩散、易燃易爆事故发生的特殊建、构筑物的拆除工程。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22DFECD8">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A13863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29E5A08">
            <w:pPr>
              <w:jc w:val="center"/>
              <w:rPr>
                <w:rFonts w:ascii="宋体" w:hAnsi="宋体" w:cs="宋体"/>
                <w:strike w:val="0"/>
                <w:color w:val="auto"/>
                <w:szCs w:val="21"/>
                <w:highlight w:val="none"/>
              </w:rPr>
            </w:pPr>
          </w:p>
        </w:tc>
      </w:tr>
      <w:tr w14:paraId="7E5B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F195034">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（二）文物保护建筑、优秀历史建筑或历史文化风貌区影响范围内的拆除工程。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4355E2D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CC0EF2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C203487">
            <w:pPr>
              <w:jc w:val="center"/>
              <w:rPr>
                <w:rFonts w:ascii="宋体" w:hAnsi="宋体" w:cs="宋体"/>
                <w:strike w:val="0"/>
                <w:color w:val="auto"/>
                <w:szCs w:val="21"/>
                <w:highlight w:val="none"/>
              </w:rPr>
            </w:pPr>
          </w:p>
        </w:tc>
      </w:tr>
      <w:tr w14:paraId="707B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DC2B6B3">
            <w:pPr>
              <w:jc w:val="left"/>
              <w:rPr>
                <w:rFonts w:ascii="宋体" w:hAnsi="宋体" w:cs="宋体"/>
                <w:strike w:val="0"/>
                <w:color w:val="auto"/>
                <w:szCs w:val="21"/>
                <w:highlight w:val="none"/>
              </w:rPr>
            </w:pPr>
            <w:r>
              <w:rPr>
                <w:rFonts w:hint="eastAsia" w:ascii="宋体" w:hAnsi="宋体" w:cs="宋体"/>
                <w:strike w:val="0"/>
                <w:color w:val="auto"/>
                <w:szCs w:val="21"/>
                <w:highlight w:val="none"/>
              </w:rPr>
              <w:t>六、暗挖工程</w:t>
            </w:r>
          </w:p>
        </w:tc>
        <w:tc>
          <w:tcPr>
            <w:tcW w:w="1368" w:type="dxa"/>
            <w:tcBorders>
              <w:top w:val="single" w:color="auto" w:sz="4" w:space="0"/>
              <w:left w:val="single" w:color="auto" w:sz="4" w:space="0"/>
              <w:bottom w:val="single" w:color="auto" w:sz="4" w:space="0"/>
              <w:right w:val="single" w:color="auto" w:sz="4" w:space="0"/>
            </w:tcBorders>
            <w:vAlign w:val="center"/>
          </w:tcPr>
          <w:p w14:paraId="3138FA4F">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D6F60F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6901E66">
            <w:pPr>
              <w:jc w:val="center"/>
              <w:rPr>
                <w:rFonts w:ascii="宋体" w:hAnsi="宋体" w:cs="宋体"/>
                <w:strike w:val="0"/>
                <w:color w:val="auto"/>
                <w:szCs w:val="21"/>
                <w:highlight w:val="none"/>
              </w:rPr>
            </w:pPr>
          </w:p>
        </w:tc>
      </w:tr>
      <w:tr w14:paraId="1151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DB2CB37">
            <w:pPr>
              <w:jc w:val="left"/>
              <w:rPr>
                <w:rFonts w:ascii="宋体" w:hAnsi="宋体" w:cs="宋体"/>
                <w:strike w:val="0"/>
                <w:color w:val="auto"/>
                <w:szCs w:val="21"/>
                <w:highlight w:val="none"/>
              </w:rPr>
            </w:pPr>
            <w:r>
              <w:rPr>
                <w:rFonts w:hint="eastAsia" w:ascii="宋体" w:hAnsi="宋体" w:cs="宋体"/>
                <w:strike w:val="0"/>
                <w:color w:val="auto"/>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vAlign w:val="center"/>
          </w:tcPr>
          <w:p w14:paraId="0A452FE8">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983A793">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FB2F00D">
            <w:pPr>
              <w:jc w:val="center"/>
              <w:rPr>
                <w:rFonts w:ascii="宋体" w:hAnsi="宋体" w:cs="宋体"/>
                <w:strike w:val="0"/>
                <w:color w:val="auto"/>
                <w:szCs w:val="21"/>
                <w:highlight w:val="none"/>
              </w:rPr>
            </w:pPr>
          </w:p>
        </w:tc>
      </w:tr>
      <w:tr w14:paraId="3678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06BE0B7">
            <w:pPr>
              <w:jc w:val="left"/>
              <w:rPr>
                <w:rFonts w:ascii="宋体" w:hAnsi="宋体" w:cs="宋体"/>
                <w:strike w:val="0"/>
                <w:color w:val="auto"/>
                <w:szCs w:val="21"/>
                <w:highlight w:val="none"/>
              </w:rPr>
            </w:pPr>
            <w:r>
              <w:rPr>
                <w:rFonts w:hint="eastAsia" w:ascii="宋体" w:hAnsi="宋体" w:cs="宋体"/>
                <w:strike w:val="0"/>
                <w:color w:val="auto"/>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vAlign w:val="center"/>
          </w:tcPr>
          <w:p w14:paraId="7F5B1B65">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C711A42">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6FEB1EA">
            <w:pPr>
              <w:jc w:val="center"/>
              <w:rPr>
                <w:rFonts w:ascii="宋体" w:hAnsi="宋体" w:cs="宋体"/>
                <w:strike w:val="0"/>
                <w:color w:val="auto"/>
                <w:szCs w:val="21"/>
                <w:highlight w:val="none"/>
              </w:rPr>
            </w:pPr>
          </w:p>
        </w:tc>
      </w:tr>
      <w:tr w14:paraId="07B9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959FBF0">
            <w:pPr>
              <w:jc w:val="left"/>
              <w:rPr>
                <w:rFonts w:ascii="宋体" w:hAnsi="宋体" w:cs="宋体"/>
                <w:strike w:val="0"/>
                <w:color w:val="auto"/>
                <w:szCs w:val="21"/>
                <w:highlight w:val="none"/>
              </w:rPr>
            </w:pPr>
            <w:r>
              <w:rPr>
                <w:rFonts w:hint="eastAsia" w:ascii="宋体" w:hAnsi="宋体" w:cs="宋体"/>
                <w:strike w:val="0"/>
                <w:color w:val="auto"/>
                <w:szCs w:val="21"/>
                <w:highlight w:val="none"/>
              </w:rPr>
              <w:t>（一）施工高度50m及以上的建筑幕墙安装工程。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5314369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75CE15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79F3774">
            <w:pPr>
              <w:jc w:val="center"/>
              <w:rPr>
                <w:rFonts w:ascii="宋体" w:hAnsi="宋体" w:cs="宋体"/>
                <w:strike w:val="0"/>
                <w:color w:val="auto"/>
                <w:szCs w:val="21"/>
                <w:highlight w:val="none"/>
              </w:rPr>
            </w:pPr>
          </w:p>
        </w:tc>
      </w:tr>
      <w:tr w14:paraId="198B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7C03E08">
            <w:pPr>
              <w:jc w:val="left"/>
              <w:rPr>
                <w:rFonts w:ascii="宋体" w:hAnsi="宋体" w:cs="宋体"/>
                <w:strike w:val="0"/>
                <w:color w:val="auto"/>
                <w:szCs w:val="21"/>
                <w:highlight w:val="none"/>
              </w:rPr>
            </w:pPr>
            <w:r>
              <w:rPr>
                <w:rFonts w:hint="eastAsia" w:ascii="宋体" w:hAnsi="宋体" w:cs="宋体"/>
                <w:strike w:val="0"/>
                <w:color w:val="auto"/>
                <w:szCs w:val="21"/>
                <w:highlight w:val="none"/>
              </w:rPr>
              <w:t>（二）跨度36m及以上的钢结构安装工程，或跨度60m及以上的网架和索膜结构安装工程。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57150897">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3C9E87D">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7590E16">
            <w:pPr>
              <w:jc w:val="center"/>
              <w:rPr>
                <w:rFonts w:ascii="宋体" w:hAnsi="宋体" w:cs="宋体"/>
                <w:strike w:val="0"/>
                <w:color w:val="auto"/>
                <w:szCs w:val="21"/>
                <w:highlight w:val="none"/>
              </w:rPr>
            </w:pPr>
          </w:p>
        </w:tc>
      </w:tr>
      <w:tr w14:paraId="4107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0580EE6">
            <w:pPr>
              <w:jc w:val="left"/>
              <w:rPr>
                <w:rFonts w:ascii="宋体" w:hAnsi="宋体" w:cs="宋体"/>
                <w:strike w:val="0"/>
                <w:color w:val="auto"/>
                <w:szCs w:val="21"/>
                <w:highlight w:val="none"/>
              </w:rPr>
            </w:pPr>
            <w:r>
              <w:rPr>
                <w:rFonts w:hint="eastAsia" w:ascii="宋体" w:hAnsi="宋体" w:cs="宋体"/>
                <w:strike w:val="0"/>
                <w:color w:val="auto"/>
                <w:szCs w:val="21"/>
                <w:highlight w:val="none"/>
              </w:rPr>
              <w:t>（三）开挖深度16m及以上的人工挖孔桩工程。</w:t>
            </w:r>
          </w:p>
        </w:tc>
        <w:tc>
          <w:tcPr>
            <w:tcW w:w="1368" w:type="dxa"/>
            <w:tcBorders>
              <w:top w:val="single" w:color="auto" w:sz="4" w:space="0"/>
              <w:left w:val="single" w:color="auto" w:sz="4" w:space="0"/>
              <w:bottom w:val="single" w:color="auto" w:sz="4" w:space="0"/>
              <w:right w:val="single" w:color="auto" w:sz="4" w:space="0"/>
            </w:tcBorders>
            <w:vAlign w:val="center"/>
          </w:tcPr>
          <w:p w14:paraId="5F3DDA3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1D85D04">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F87C137">
            <w:pPr>
              <w:jc w:val="center"/>
              <w:rPr>
                <w:rFonts w:ascii="宋体" w:hAnsi="宋体" w:cs="宋体"/>
                <w:strike w:val="0"/>
                <w:color w:val="auto"/>
                <w:szCs w:val="21"/>
                <w:highlight w:val="none"/>
              </w:rPr>
            </w:pPr>
          </w:p>
        </w:tc>
      </w:tr>
      <w:tr w14:paraId="4DBF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422027E">
            <w:pPr>
              <w:jc w:val="left"/>
              <w:rPr>
                <w:rFonts w:ascii="宋体" w:hAnsi="宋体" w:cs="宋体"/>
                <w:strike w:val="0"/>
                <w:color w:val="auto"/>
                <w:szCs w:val="21"/>
                <w:highlight w:val="none"/>
              </w:rPr>
            </w:pPr>
            <w:r>
              <w:rPr>
                <w:rFonts w:hint="eastAsia" w:ascii="宋体" w:hAnsi="宋体" w:cs="宋体"/>
                <w:strike w:val="0"/>
                <w:color w:val="auto"/>
                <w:szCs w:val="21"/>
                <w:highlight w:val="none"/>
              </w:rPr>
              <w:t>（四）水下作业工程。</w:t>
            </w:r>
          </w:p>
        </w:tc>
        <w:tc>
          <w:tcPr>
            <w:tcW w:w="1368" w:type="dxa"/>
            <w:tcBorders>
              <w:top w:val="single" w:color="auto" w:sz="4" w:space="0"/>
              <w:left w:val="single" w:color="auto" w:sz="4" w:space="0"/>
              <w:bottom w:val="single" w:color="auto" w:sz="4" w:space="0"/>
              <w:right w:val="single" w:color="auto" w:sz="4" w:space="0"/>
            </w:tcBorders>
            <w:vAlign w:val="center"/>
          </w:tcPr>
          <w:p w14:paraId="157A2639">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64A44BE">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5CBB655">
            <w:pPr>
              <w:jc w:val="center"/>
              <w:rPr>
                <w:rFonts w:ascii="宋体" w:hAnsi="宋体" w:cs="宋体"/>
                <w:strike w:val="0"/>
                <w:color w:val="auto"/>
                <w:szCs w:val="21"/>
                <w:highlight w:val="none"/>
              </w:rPr>
            </w:pPr>
          </w:p>
        </w:tc>
      </w:tr>
      <w:tr w14:paraId="1563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BFA7053">
            <w:pPr>
              <w:jc w:val="left"/>
              <w:rPr>
                <w:rFonts w:ascii="宋体" w:hAnsi="宋体" w:cs="宋体"/>
                <w:strike w:val="0"/>
                <w:color w:val="auto"/>
                <w:szCs w:val="21"/>
                <w:highlight w:val="none"/>
              </w:rPr>
            </w:pPr>
            <w:r>
              <w:rPr>
                <w:rFonts w:hint="eastAsia" w:ascii="宋体" w:hAnsi="宋体" w:cs="宋体"/>
                <w:strike w:val="0"/>
                <w:color w:val="auto"/>
                <w:szCs w:val="21"/>
                <w:highlight w:val="none"/>
              </w:rPr>
              <w:t>（五）重量1000kN及以上的大型结构整体顶升、平移、转体等施工工艺。</w:t>
            </w:r>
          </w:p>
        </w:tc>
        <w:tc>
          <w:tcPr>
            <w:tcW w:w="1368" w:type="dxa"/>
            <w:tcBorders>
              <w:top w:val="single" w:color="auto" w:sz="4" w:space="0"/>
              <w:left w:val="single" w:color="auto" w:sz="4" w:space="0"/>
              <w:bottom w:val="single" w:color="auto" w:sz="4" w:space="0"/>
              <w:right w:val="single" w:color="auto" w:sz="4" w:space="0"/>
            </w:tcBorders>
            <w:vAlign w:val="center"/>
          </w:tcPr>
          <w:p w14:paraId="6FC0DC50">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722560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6411A5C">
            <w:pPr>
              <w:jc w:val="center"/>
              <w:rPr>
                <w:rFonts w:ascii="宋体" w:hAnsi="宋体" w:cs="宋体"/>
                <w:strike w:val="0"/>
                <w:color w:val="auto"/>
                <w:szCs w:val="21"/>
                <w:highlight w:val="none"/>
              </w:rPr>
            </w:pPr>
          </w:p>
        </w:tc>
      </w:tr>
      <w:tr w14:paraId="5A83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0FB8C9D">
            <w:pPr>
              <w:jc w:val="left"/>
              <w:rPr>
                <w:rFonts w:ascii="宋体" w:hAnsi="宋体" w:cs="宋体"/>
                <w:strike w:val="0"/>
                <w:color w:val="auto"/>
                <w:szCs w:val="21"/>
                <w:highlight w:val="none"/>
              </w:rPr>
            </w:pPr>
            <w:r>
              <w:rPr>
                <w:rFonts w:hint="eastAsia" w:ascii="宋体" w:hAnsi="宋体" w:cs="宋体"/>
                <w:strike w:val="0"/>
                <w:color w:val="auto"/>
                <w:szCs w:val="21"/>
                <w:highlight w:val="none"/>
              </w:rPr>
              <w:t>（六）采用新技术、新工艺、新材料、新设备可能影响工程施工安全，尚无国家、行业及地方技术标准的分部分项工程。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vAlign w:val="center"/>
          </w:tcPr>
          <w:p w14:paraId="757830FA">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F73AB66">
            <w:pPr>
              <w:jc w:val="center"/>
              <w:rPr>
                <w:rFonts w:ascii="宋体" w:hAnsi="宋体" w:cs="宋体"/>
                <w:strike w:val="0"/>
                <w:color w:val="auto"/>
                <w:szCs w:val="21"/>
                <w:highlight w:val="none"/>
              </w:rPr>
            </w:pPr>
            <w:r>
              <w:rPr>
                <w:rFonts w:hint="eastAsia" w:ascii="宋体" w:hAnsi="宋体" w:cs="宋体"/>
                <w:strike w:val="0"/>
                <w:color w:val="auto"/>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D129A37">
            <w:pPr>
              <w:jc w:val="center"/>
              <w:rPr>
                <w:rFonts w:ascii="宋体" w:hAnsi="宋体" w:cs="宋体"/>
                <w:strike w:val="0"/>
                <w:color w:val="auto"/>
                <w:szCs w:val="21"/>
                <w:highlight w:val="none"/>
              </w:rPr>
            </w:pPr>
          </w:p>
        </w:tc>
      </w:tr>
    </w:tbl>
    <w:p w14:paraId="55AE41E5">
      <w:pPr>
        <w:spacing w:line="360" w:lineRule="auto"/>
        <w:rPr>
          <w:rFonts w:ascii="宋体" w:hAnsi="宋体" w:cs="宋体"/>
          <w:strike/>
          <w:color w:val="auto"/>
          <w:sz w:val="24"/>
          <w:szCs w:val="20"/>
          <w:highlight w:val="none"/>
          <w:u w:val="single"/>
        </w:rPr>
      </w:pPr>
      <w:r>
        <w:rPr>
          <w:rFonts w:hint="eastAsia" w:ascii="宋体" w:hAnsi="宋体" w:cs="宋体"/>
          <w:strike w:val="0"/>
          <w:color w:val="auto"/>
          <w:sz w:val="24"/>
          <w:szCs w:val="20"/>
          <w:highlight w:val="none"/>
        </w:rPr>
        <w:t>投标人名称（盖法人公章）：</w:t>
      </w:r>
    </w:p>
    <w:p w14:paraId="6194C0B9">
      <w:pPr>
        <w:spacing w:line="360" w:lineRule="auto"/>
        <w:jc w:val="left"/>
        <w:rPr>
          <w:rStyle w:val="25"/>
          <w:strike w:val="0"/>
          <w:color w:val="auto"/>
          <w:highlight w:val="none"/>
        </w:rPr>
      </w:pPr>
      <w:r>
        <w:rPr>
          <w:rFonts w:hint="eastAsia" w:ascii="宋体" w:hAnsi="宋体" w:cs="宋体"/>
          <w:strike w:val="0"/>
          <w:color w:val="auto"/>
          <w:sz w:val="24"/>
          <w:szCs w:val="20"/>
          <w:highlight w:val="none"/>
        </w:rPr>
        <w:t>日期：   年  月  日</w:t>
      </w:r>
    </w:p>
    <w:p w14:paraId="20BAECCC">
      <w:pPr>
        <w:widowControl/>
        <w:jc w:val="left"/>
        <w:rPr>
          <w:color w:val="auto"/>
          <w:kern w:val="0"/>
          <w:sz w:val="20"/>
          <w:szCs w:val="20"/>
          <w:highlight w:val="none"/>
        </w:rPr>
      </w:pPr>
      <w:r>
        <w:rPr>
          <w:color w:val="auto"/>
          <w:highlight w:val="none"/>
        </w:rPr>
        <w:br w:type="page"/>
      </w:r>
    </w:p>
    <w:p w14:paraId="2277A336">
      <w:pPr>
        <w:pStyle w:val="10"/>
        <w:spacing w:line="560" w:lineRule="exact"/>
        <w:ind w:firstLine="0" w:firstLineChars="0"/>
        <w:jc w:val="both"/>
        <w:rPr>
          <w:rFonts w:hint="eastAsia" w:ascii="黑体" w:hAnsi="黑体" w:eastAsia="黑体" w:cs="华文仿宋"/>
          <w:color w:val="auto"/>
          <w:sz w:val="32"/>
          <w:szCs w:val="32"/>
          <w:highlight w:val="none"/>
          <w:lang w:val="en-US" w:eastAsia="zh-CN"/>
        </w:rPr>
      </w:pPr>
      <w:r>
        <w:rPr>
          <w:rFonts w:hint="eastAsia" w:ascii="黑体" w:hAnsi="黑体" w:eastAsia="黑体" w:cs="华文仿宋"/>
          <w:color w:val="auto"/>
          <w:sz w:val="32"/>
          <w:szCs w:val="32"/>
          <w:highlight w:val="none"/>
          <w:lang w:val="en-US" w:eastAsia="zh-CN"/>
        </w:rPr>
        <w:t>附件2：</w:t>
      </w:r>
    </w:p>
    <w:p w14:paraId="407374DA">
      <w:pPr>
        <w:pStyle w:val="10"/>
        <w:spacing w:line="560" w:lineRule="exact"/>
        <w:ind w:firstLine="640" w:firstLineChars="200"/>
        <w:jc w:val="center"/>
        <w:rPr>
          <w:rFonts w:ascii="仿宋_GB2312" w:hAnsi="Times New Roman" w:eastAsia="仿宋_GB2312"/>
          <w:color w:val="auto"/>
          <w:sz w:val="32"/>
          <w:szCs w:val="32"/>
          <w:highlight w:val="none"/>
        </w:rPr>
      </w:pPr>
      <w:r>
        <w:rPr>
          <w:rFonts w:hint="eastAsia" w:ascii="黑体" w:hAnsi="黑体" w:eastAsia="黑体" w:cs="华文仿宋"/>
          <w:color w:val="auto"/>
          <w:sz w:val="32"/>
          <w:szCs w:val="32"/>
          <w:highlight w:val="none"/>
          <w:lang w:val="zh-CN"/>
        </w:rPr>
        <w:t>关于投标保证金的承诺</w:t>
      </w:r>
    </w:p>
    <w:p w14:paraId="37AB03F8">
      <w:pPr>
        <w:pStyle w:val="10"/>
        <w:spacing w:line="560" w:lineRule="exact"/>
        <w:ind w:firstLine="640" w:firstLineChars="200"/>
        <w:rPr>
          <w:rFonts w:ascii="仿宋_GB2312" w:hAnsi="Times New Roman" w:eastAsia="仿宋_GB2312"/>
          <w:color w:val="auto"/>
          <w:sz w:val="32"/>
          <w:szCs w:val="32"/>
          <w:highlight w:val="none"/>
        </w:rPr>
      </w:pPr>
    </w:p>
    <w:p w14:paraId="0DDF4874">
      <w:pPr>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本招标项目招标人及招标监管机构：</w:t>
      </w:r>
    </w:p>
    <w:p w14:paraId="5DAC3F18">
      <w:pPr>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本公司就参加</w:t>
      </w:r>
      <w:r>
        <w:rPr>
          <w:rFonts w:hint="eastAsia" w:ascii="仿宋" w:hAnsi="仿宋" w:eastAsia="仿宋" w:cs="仿宋"/>
          <w:color w:val="auto"/>
          <w:sz w:val="32"/>
          <w:szCs w:val="32"/>
          <w:highlight w:val="none"/>
          <w:u w:val="single"/>
        </w:rPr>
        <w:t>广州市公安局番禺区分局公安基地配电改造工程</w:t>
      </w:r>
      <w:r>
        <w:rPr>
          <w:rFonts w:hint="eastAsia" w:ascii="仿宋_GB2312" w:hAnsi="仿宋_GB2312" w:eastAsia="仿宋_GB2312" w:cs="仿宋_GB2312"/>
          <w:color w:val="auto"/>
          <w:sz w:val="32"/>
          <w:szCs w:val="32"/>
          <w:highlight w:val="none"/>
        </w:rPr>
        <w:t>项目的投标工作，作出郑重声明：</w:t>
      </w:r>
    </w:p>
    <w:p w14:paraId="171EE54B">
      <w:pPr>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本公司满足招标文件中免交投标保证金的相关要求，在投标时未提交投标保证金。我司理解在投标时免交投标保证金是为企业减负的举措，并未免除我司的投标义务，本公司</w:t>
      </w:r>
      <w:r>
        <w:rPr>
          <w:rFonts w:hint="eastAsia" w:ascii="仿宋_GB2312" w:hAnsi="仿宋" w:eastAsia="仿宋_GB2312" w:cs="华文仿宋"/>
          <w:color w:val="auto"/>
          <w:kern w:val="0"/>
          <w:sz w:val="32"/>
          <w:szCs w:val="32"/>
          <w:highlight w:val="none"/>
          <w:lang w:val="zh-CN"/>
        </w:rPr>
        <w:t>一旦发生符合招标文件规定的不予退还投标保证金情形的，将</w:t>
      </w:r>
      <w:r>
        <w:rPr>
          <w:rFonts w:hint="eastAsia" w:ascii="仿宋_GB2312" w:hAnsi="仿宋_GB2312" w:eastAsia="仿宋_GB2312" w:cs="仿宋_GB2312"/>
          <w:color w:val="auto"/>
          <w:sz w:val="32"/>
          <w:szCs w:val="32"/>
          <w:highlight w:val="none"/>
        </w:rPr>
        <w:t>按照招标人的要求，在规定的时间内向招标人足额补交投标保证金。</w:t>
      </w:r>
    </w:p>
    <w:p w14:paraId="6EEA66FD">
      <w:pPr>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本公司违反上述保证的，将被视为虚假承诺，按相关规定进行信用记录。本公司对失信行为产生的一切后果已知悉，并承担由此产生的相应责任。</w:t>
      </w:r>
    </w:p>
    <w:p w14:paraId="2183AE6C">
      <w:pPr>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特此承诺。</w:t>
      </w:r>
    </w:p>
    <w:p w14:paraId="6D169B1B">
      <w:pPr>
        <w:ind w:firstLine="640" w:firstLineChars="200"/>
        <w:jc w:val="left"/>
        <w:rPr>
          <w:rFonts w:ascii="仿宋_GB2312" w:hAnsi="仿宋_GB2312" w:eastAsia="仿宋_GB2312" w:cs="仿宋_GB2312"/>
          <w:color w:val="auto"/>
          <w:sz w:val="32"/>
          <w:szCs w:val="32"/>
          <w:highlight w:val="none"/>
        </w:rPr>
      </w:pPr>
    </w:p>
    <w:p w14:paraId="4F53C81F">
      <w:pPr>
        <w:ind w:firstLine="640" w:firstLineChars="200"/>
        <w:jc w:val="left"/>
        <w:rPr>
          <w:rFonts w:ascii="仿宋_GB2312" w:hAnsi="仿宋_GB2312" w:eastAsia="仿宋_GB2312" w:cs="仿宋_GB2312"/>
          <w:color w:val="auto"/>
          <w:sz w:val="32"/>
          <w:szCs w:val="32"/>
          <w:highlight w:val="none"/>
        </w:rPr>
      </w:pPr>
    </w:p>
    <w:p w14:paraId="6DD5085D">
      <w:pPr>
        <w:ind w:firstLine="640" w:firstLineChars="200"/>
        <w:jc w:val="left"/>
        <w:rPr>
          <w:rFonts w:ascii="仿宋_GB2312" w:hAnsi="仿宋_GB2312" w:eastAsia="仿宋_GB2312" w:cs="仿宋_GB2312"/>
          <w:color w:val="auto"/>
          <w:sz w:val="32"/>
          <w:szCs w:val="32"/>
          <w:highlight w:val="none"/>
        </w:rPr>
      </w:pPr>
    </w:p>
    <w:p w14:paraId="2A267B4F">
      <w:pPr>
        <w:ind w:firstLine="4160" w:firstLineChars="1300"/>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投标人：　　（盖章）</w:t>
      </w:r>
    </w:p>
    <w:p w14:paraId="48B77EC2">
      <w:pPr>
        <w:pStyle w:val="5"/>
        <w:ind w:right="1280" w:firstLine="419" w:firstLineChars="131"/>
        <w:jc w:val="center"/>
        <w:rPr>
          <w:color w:val="auto"/>
          <w:highlight w:val="none"/>
        </w:rPr>
      </w:pPr>
      <w:r>
        <w:rPr>
          <w:rFonts w:hint="eastAsia" w:ascii="仿宋_GB2312" w:hAnsi="仿宋_GB2312" w:eastAsia="仿宋_GB2312" w:cs="仿宋_GB2312"/>
          <w:color w:val="auto"/>
          <w:sz w:val="32"/>
          <w:szCs w:val="32"/>
          <w:highlight w:val="none"/>
        </w:rPr>
        <w:t xml:space="preserve">              </w:t>
      </w:r>
      <w:r>
        <w:rPr>
          <w:rFonts w:ascii="仿宋_GB2312" w:hAnsi="仿宋_GB2312" w:eastAsia="仿宋_GB2312" w:cs="仿宋_GB2312"/>
          <w:color w:val="auto"/>
          <w:sz w:val="32"/>
          <w:szCs w:val="32"/>
          <w:highlight w:val="none"/>
        </w:rPr>
        <w:t xml:space="preserve">日  期：    </w:t>
      </w:r>
    </w:p>
    <w:p w14:paraId="14B9E70B">
      <w:pPr>
        <w:tabs>
          <w:tab w:val="left" w:pos="720"/>
        </w:tabs>
        <w:snapToGrid w:val="0"/>
        <w:spacing w:line="360" w:lineRule="auto"/>
        <w:rPr>
          <w:color w:val="auto"/>
          <w:sz w:val="24"/>
          <w:szCs w:val="24"/>
          <w:highlight w:val="none"/>
        </w:rPr>
      </w:pPr>
    </w:p>
    <w:p w14:paraId="5C955B37">
      <w:pPr>
        <w:tabs>
          <w:tab w:val="left" w:pos="720"/>
        </w:tabs>
        <w:snapToGrid w:val="0"/>
        <w:spacing w:line="360" w:lineRule="auto"/>
        <w:rPr>
          <w:color w:val="auto"/>
          <w:sz w:val="24"/>
          <w:szCs w:val="24"/>
          <w:highlight w:val="none"/>
        </w:rPr>
      </w:pPr>
    </w:p>
    <w:p w14:paraId="2E34C5E6">
      <w:pPr>
        <w:spacing w:before="116" w:line="225" w:lineRule="auto"/>
        <w:ind w:left="0"/>
        <w:jc w:val="center"/>
        <w:outlineLvl w:val="0"/>
        <w:rPr>
          <w:rFonts w:ascii="宋体" w:hAnsi="宋体" w:eastAsia="宋体" w:cs="宋体"/>
          <w:color w:val="auto"/>
          <w:sz w:val="30"/>
          <w:szCs w:val="30"/>
          <w:highlight w:val="none"/>
        </w:rPr>
      </w:pPr>
      <w:r>
        <w:rPr>
          <w:rFonts w:ascii="宋体" w:hAnsi="宋体" w:eastAsia="宋体" w:cs="宋体"/>
          <w:b/>
          <w:bCs/>
          <w:snapToGrid w:val="0"/>
          <w:color w:val="auto"/>
          <w:spacing w:val="3"/>
          <w:kern w:val="0"/>
          <w:sz w:val="30"/>
          <w:szCs w:val="30"/>
          <w:highlight w:val="none"/>
          <w:lang w:eastAsia="en-US"/>
        </w:rPr>
        <w:t>中小企业声明函（工程）</w:t>
      </w:r>
    </w:p>
    <w:p w14:paraId="1455122C">
      <w:pPr>
        <w:spacing w:line="275" w:lineRule="auto"/>
        <w:rPr>
          <w:rFonts w:ascii="Arial"/>
          <w:color w:val="auto"/>
          <w:sz w:val="21"/>
          <w:highlight w:val="none"/>
        </w:rPr>
      </w:pPr>
    </w:p>
    <w:p w14:paraId="0AD509AF">
      <w:pPr>
        <w:spacing w:line="275" w:lineRule="auto"/>
        <w:rPr>
          <w:rFonts w:ascii="Arial"/>
          <w:color w:val="auto"/>
          <w:sz w:val="21"/>
          <w:highlight w:val="none"/>
        </w:rPr>
      </w:pPr>
    </w:p>
    <w:p w14:paraId="18BC851F">
      <w:pPr>
        <w:pStyle w:val="16"/>
        <w:keepNext w:val="0"/>
        <w:keepLines w:val="0"/>
        <w:widowControl/>
        <w:suppressLineNumbers w:val="0"/>
        <w:kinsoku w:val="0"/>
        <w:autoSpaceDE w:val="0"/>
        <w:autoSpaceDN w:val="0"/>
        <w:adjustRightInd w:val="0"/>
        <w:snapToGrid w:val="0"/>
        <w:spacing w:before="101" w:beforeAutospacing="0" w:after="0" w:afterAutospacing="0" w:line="300" w:lineRule="auto"/>
        <w:ind w:left="36" w:right="84" w:firstLine="640"/>
        <w:jc w:val="both"/>
        <w:textAlignment w:val="baseline"/>
        <w:rPr>
          <w:rFonts w:hint="eastAsia" w:ascii="宋体" w:hAnsi="宋体" w:eastAsia="宋体" w:cs="宋体"/>
          <w:i w:val="0"/>
          <w:iCs w:val="0"/>
          <w:color w:val="auto"/>
          <w:kern w:val="0"/>
          <w:sz w:val="30"/>
          <w:szCs w:val="30"/>
          <w:highlight w:val="none"/>
        </w:rPr>
      </w:pPr>
      <w:r>
        <w:rPr>
          <w:rFonts w:hint="eastAsia" w:ascii="宋体" w:hAnsi="宋体" w:eastAsia="宋体" w:cs="宋体"/>
          <w:i w:val="0"/>
          <w:iCs w:val="0"/>
          <w:snapToGrid/>
          <w:color w:val="auto"/>
          <w:spacing w:val="8"/>
          <w:kern w:val="0"/>
          <w:sz w:val="30"/>
          <w:szCs w:val="30"/>
          <w:highlight w:val="none"/>
          <w:u w:val="none"/>
          <w:lang w:val="en-US" w:eastAsia="zh-CN" w:bidi="ar"/>
        </w:rPr>
        <w:t>本公司郑重声明，根据《政府采购促进中小</w:t>
      </w:r>
      <w:r>
        <w:rPr>
          <w:rFonts w:hint="eastAsia" w:ascii="宋体" w:hAnsi="宋体" w:eastAsia="宋体" w:cs="宋体"/>
          <w:i w:val="0"/>
          <w:iCs w:val="0"/>
          <w:snapToGrid/>
          <w:color w:val="auto"/>
          <w:spacing w:val="4"/>
          <w:kern w:val="0"/>
          <w:sz w:val="30"/>
          <w:szCs w:val="30"/>
          <w:highlight w:val="none"/>
          <w:u w:val="none"/>
          <w:lang w:val="en-US" w:eastAsia="zh-CN" w:bidi="ar"/>
        </w:rPr>
        <w:t>企业发展管理办法》（财库﹝2020﹞46</w:t>
      </w:r>
      <w:r>
        <w:rPr>
          <w:rFonts w:hint="eastAsia" w:ascii="宋体" w:hAnsi="宋体" w:eastAsia="宋体" w:cs="宋体"/>
          <w:i w:val="0"/>
          <w:iCs w:val="0"/>
          <w:snapToGrid/>
          <w:color w:val="auto"/>
          <w:spacing w:val="-44"/>
          <w:kern w:val="0"/>
          <w:sz w:val="30"/>
          <w:szCs w:val="30"/>
          <w:highlight w:val="none"/>
          <w:u w:val="none"/>
          <w:lang w:val="en-US" w:eastAsia="zh-CN" w:bidi="ar"/>
        </w:rPr>
        <w:t xml:space="preserve"> </w:t>
      </w:r>
      <w:r>
        <w:rPr>
          <w:rFonts w:hint="eastAsia" w:ascii="宋体" w:hAnsi="宋体" w:eastAsia="宋体" w:cs="宋体"/>
          <w:i w:val="0"/>
          <w:iCs w:val="0"/>
          <w:snapToGrid/>
          <w:color w:val="auto"/>
          <w:spacing w:val="4"/>
          <w:kern w:val="0"/>
          <w:sz w:val="30"/>
          <w:szCs w:val="30"/>
          <w:highlight w:val="none"/>
          <w:u w:val="none"/>
          <w:lang w:val="en-US" w:eastAsia="zh-CN" w:bidi="ar"/>
        </w:rPr>
        <w:t>号）的规</w:t>
      </w:r>
      <w:r>
        <w:rPr>
          <w:rFonts w:hint="eastAsia" w:ascii="宋体" w:hAnsi="宋体" w:eastAsia="宋体" w:cs="宋体"/>
          <w:i w:val="0"/>
          <w:iCs w:val="0"/>
          <w:snapToGrid/>
          <w:color w:val="auto"/>
          <w:spacing w:val="3"/>
          <w:kern w:val="0"/>
          <w:sz w:val="30"/>
          <w:szCs w:val="30"/>
          <w:highlight w:val="none"/>
          <w:u w:val="none"/>
          <w:lang w:val="en-US" w:eastAsia="zh-CN" w:bidi="ar"/>
        </w:rPr>
        <w:t>定，本公司</w:t>
      </w:r>
      <w:r>
        <w:rPr>
          <w:rFonts w:hint="eastAsia" w:ascii="宋体" w:hAnsi="宋体" w:eastAsia="宋体" w:cs="宋体"/>
          <w:i w:val="0"/>
          <w:iCs w:val="0"/>
          <w:snapToGrid/>
          <w:color w:val="auto"/>
          <w:spacing w:val="-1"/>
          <w:kern w:val="0"/>
          <w:sz w:val="30"/>
          <w:szCs w:val="30"/>
          <w:highlight w:val="none"/>
          <w:u w:val="none"/>
          <w:lang w:val="en-US" w:eastAsia="zh-CN" w:bidi="ar"/>
        </w:rPr>
        <w:t>参加</w:t>
      </w:r>
      <w:r>
        <w:rPr>
          <w:rFonts w:hint="eastAsia" w:ascii="宋体" w:hAnsi="宋体" w:eastAsia="宋体" w:cs="宋体"/>
          <w:i w:val="0"/>
          <w:iCs w:val="0"/>
          <w:snapToGrid/>
          <w:color w:val="auto"/>
          <w:spacing w:val="-1"/>
          <w:kern w:val="0"/>
          <w:sz w:val="30"/>
          <w:szCs w:val="30"/>
          <w:highlight w:val="none"/>
          <w:u w:val="single"/>
          <w:lang w:val="en-US" w:eastAsia="zh-CN" w:bidi="ar"/>
        </w:rPr>
        <w:t>广州市番禺区基本建设投资管理中心</w:t>
      </w:r>
      <w:r>
        <w:rPr>
          <w:rFonts w:hint="eastAsia" w:ascii="宋体" w:hAnsi="宋体" w:eastAsia="宋体" w:cs="宋体"/>
          <w:i w:val="0"/>
          <w:iCs w:val="0"/>
          <w:snapToGrid/>
          <w:color w:val="auto"/>
          <w:spacing w:val="-1"/>
          <w:kern w:val="0"/>
          <w:sz w:val="30"/>
          <w:szCs w:val="30"/>
          <w:highlight w:val="none"/>
          <w:lang w:val="en-US" w:eastAsia="zh-CN" w:bidi="ar"/>
        </w:rPr>
        <w:t>的</w:t>
      </w:r>
      <w:r>
        <w:rPr>
          <w:rFonts w:hint="eastAsia" w:ascii="宋体" w:hAnsi="宋体"/>
          <w:color w:val="auto"/>
          <w:sz w:val="30"/>
          <w:szCs w:val="30"/>
          <w:highlight w:val="none"/>
          <w:u w:val="single"/>
        </w:rPr>
        <w:t>广州市公安局番禺区分局公安基地配电改造工程</w:t>
      </w:r>
      <w:r>
        <w:rPr>
          <w:rFonts w:hint="eastAsia" w:ascii="宋体" w:hAnsi="宋体" w:eastAsia="宋体" w:cs="宋体"/>
          <w:i w:val="0"/>
          <w:iCs w:val="0"/>
          <w:snapToGrid/>
          <w:color w:val="auto"/>
          <w:spacing w:val="-1"/>
          <w:kern w:val="0"/>
          <w:sz w:val="30"/>
          <w:szCs w:val="30"/>
          <w:highlight w:val="none"/>
          <w:lang w:val="en-US" w:eastAsia="zh-CN" w:bidi="ar"/>
        </w:rPr>
        <w:t>招标活动，工</w:t>
      </w:r>
      <w:r>
        <w:rPr>
          <w:rFonts w:hint="eastAsia" w:ascii="宋体" w:hAnsi="宋体" w:eastAsia="宋体" w:cs="宋体"/>
          <w:i w:val="0"/>
          <w:iCs w:val="0"/>
          <w:snapToGrid/>
          <w:color w:val="auto"/>
          <w:spacing w:val="8"/>
          <w:kern w:val="0"/>
          <w:sz w:val="30"/>
          <w:szCs w:val="30"/>
          <w:highlight w:val="none"/>
          <w:lang w:val="en-US" w:eastAsia="zh-CN" w:bidi="ar"/>
        </w:rPr>
        <w:t>程的施工单位全部为符合政策要求的中小企业。相关企业的具体情</w:t>
      </w:r>
      <w:r>
        <w:rPr>
          <w:rFonts w:hint="eastAsia" w:ascii="宋体" w:hAnsi="宋体" w:eastAsia="宋体" w:cs="宋体"/>
          <w:i w:val="0"/>
          <w:iCs w:val="0"/>
          <w:snapToGrid/>
          <w:color w:val="auto"/>
          <w:spacing w:val="1"/>
          <w:kern w:val="0"/>
          <w:sz w:val="30"/>
          <w:szCs w:val="30"/>
          <w:highlight w:val="none"/>
          <w:lang w:val="en-US" w:eastAsia="zh-CN" w:bidi="ar"/>
        </w:rPr>
        <w:t>况如下：</w:t>
      </w:r>
    </w:p>
    <w:p w14:paraId="08B91C04">
      <w:pPr>
        <w:pStyle w:val="16"/>
        <w:keepNext w:val="0"/>
        <w:keepLines w:val="0"/>
        <w:widowControl/>
        <w:suppressLineNumbers w:val="0"/>
        <w:kinsoku w:val="0"/>
        <w:autoSpaceDE w:val="0"/>
        <w:autoSpaceDN w:val="0"/>
        <w:adjustRightInd w:val="0"/>
        <w:snapToGrid w:val="0"/>
        <w:spacing w:before="101" w:beforeAutospacing="0" w:after="0" w:afterAutospacing="0" w:line="300" w:lineRule="auto"/>
        <w:ind w:left="36" w:right="84" w:firstLine="640"/>
        <w:jc w:val="both"/>
        <w:textAlignment w:val="baseline"/>
        <w:rPr>
          <w:rFonts w:hint="eastAsia" w:ascii="宋体" w:hAnsi="宋体" w:eastAsia="宋体" w:cs="宋体"/>
          <w:i w:val="0"/>
          <w:iCs w:val="0"/>
          <w:color w:val="auto"/>
          <w:spacing w:val="8"/>
          <w:kern w:val="0"/>
          <w:sz w:val="30"/>
          <w:szCs w:val="30"/>
          <w:highlight w:val="none"/>
          <w:lang w:bidi="ar"/>
        </w:rPr>
      </w:pPr>
      <w:r>
        <w:rPr>
          <w:rFonts w:hint="eastAsia" w:ascii="宋体" w:hAnsi="宋体"/>
          <w:color w:val="auto"/>
          <w:sz w:val="30"/>
          <w:szCs w:val="30"/>
          <w:highlight w:val="none"/>
          <w:u w:val="single"/>
        </w:rPr>
        <w:t>广州市公安局番禺区分局公安基地配电改造工程</w:t>
      </w:r>
      <w:r>
        <w:rPr>
          <w:rFonts w:hint="eastAsia" w:ascii="宋体" w:hAnsi="宋体" w:eastAsia="宋体" w:cs="宋体"/>
          <w:i w:val="0"/>
          <w:iCs w:val="0"/>
          <w:snapToGrid/>
          <w:color w:val="auto"/>
          <w:spacing w:val="8"/>
          <w:kern w:val="0"/>
          <w:sz w:val="30"/>
          <w:szCs w:val="30"/>
          <w:highlight w:val="none"/>
          <w:lang w:val="en-US" w:eastAsia="zh-CN" w:bidi="ar"/>
        </w:rPr>
        <w:t>，属于</w:t>
      </w:r>
      <w:r>
        <w:rPr>
          <w:rFonts w:hint="eastAsia" w:ascii="宋体" w:hAnsi="宋体" w:eastAsia="宋体" w:cs="宋体"/>
          <w:i w:val="0"/>
          <w:iCs w:val="0"/>
          <w:snapToGrid/>
          <w:color w:val="auto"/>
          <w:spacing w:val="8"/>
          <w:kern w:val="0"/>
          <w:sz w:val="30"/>
          <w:szCs w:val="30"/>
          <w:highlight w:val="none"/>
          <w:u w:val="single"/>
          <w:lang w:val="en-US" w:eastAsia="zh-CN" w:bidi="ar"/>
        </w:rPr>
        <w:t>建筑业</w:t>
      </w:r>
      <w:r>
        <w:rPr>
          <w:rFonts w:hint="eastAsia" w:ascii="宋体" w:hAnsi="宋体" w:eastAsia="宋体" w:cs="宋体"/>
          <w:i w:val="0"/>
          <w:iCs w:val="0"/>
          <w:snapToGrid/>
          <w:color w:val="auto"/>
          <w:spacing w:val="8"/>
          <w:kern w:val="0"/>
          <w:sz w:val="30"/>
          <w:szCs w:val="30"/>
          <w:highlight w:val="none"/>
          <w:lang w:val="en-US" w:eastAsia="zh-CN" w:bidi="ar"/>
        </w:rPr>
        <w:t>；承建（承接）企业为</w:t>
      </w:r>
      <w:r>
        <w:rPr>
          <w:rFonts w:hint="eastAsia" w:ascii="宋体" w:hAnsi="宋体" w:cs="宋体"/>
          <w:i w:val="0"/>
          <w:iCs w:val="0"/>
          <w:snapToGrid/>
          <w:color w:val="auto"/>
          <w:spacing w:val="8"/>
          <w:kern w:val="0"/>
          <w:sz w:val="30"/>
          <w:szCs w:val="30"/>
          <w:highlight w:val="none"/>
          <w:u w:val="single"/>
          <w:lang w:val="en-US" w:eastAsia="zh-CN" w:bidi="ar"/>
        </w:rPr>
        <w:t xml:space="preserve">    </w:t>
      </w:r>
      <w:r>
        <w:rPr>
          <w:rFonts w:hint="eastAsia" w:ascii="宋体" w:hAnsi="宋体" w:eastAsia="宋体" w:cs="宋体"/>
          <w:i w:val="0"/>
          <w:iCs w:val="0"/>
          <w:snapToGrid/>
          <w:color w:val="auto"/>
          <w:spacing w:val="8"/>
          <w:kern w:val="0"/>
          <w:sz w:val="30"/>
          <w:szCs w:val="30"/>
          <w:highlight w:val="none"/>
          <w:u w:val="single"/>
          <w:lang w:val="en-US" w:eastAsia="zh-CN" w:bidi="ar"/>
        </w:rPr>
        <w:t>（企业名称）</w:t>
      </w:r>
      <w:r>
        <w:rPr>
          <w:rFonts w:hint="eastAsia" w:ascii="宋体" w:hAnsi="宋体" w:cs="宋体"/>
          <w:i w:val="0"/>
          <w:iCs w:val="0"/>
          <w:snapToGrid/>
          <w:color w:val="auto"/>
          <w:spacing w:val="8"/>
          <w:kern w:val="0"/>
          <w:sz w:val="30"/>
          <w:szCs w:val="30"/>
          <w:highlight w:val="none"/>
          <w:u w:val="single"/>
          <w:lang w:val="en-US" w:eastAsia="zh-CN" w:bidi="ar"/>
        </w:rPr>
        <w:t xml:space="preserve">   </w:t>
      </w:r>
      <w:r>
        <w:rPr>
          <w:rFonts w:hint="eastAsia" w:ascii="宋体" w:hAnsi="宋体" w:eastAsia="宋体" w:cs="宋体"/>
          <w:i w:val="0"/>
          <w:iCs w:val="0"/>
          <w:snapToGrid/>
          <w:color w:val="auto"/>
          <w:spacing w:val="8"/>
          <w:kern w:val="0"/>
          <w:sz w:val="30"/>
          <w:szCs w:val="30"/>
          <w:highlight w:val="none"/>
          <w:lang w:val="en-US" w:eastAsia="zh-CN" w:bidi="ar"/>
        </w:rPr>
        <w:t>，从业人员</w:t>
      </w:r>
      <w:r>
        <w:rPr>
          <w:rFonts w:hint="eastAsia" w:ascii="宋体" w:hAnsi="宋体" w:eastAsia="宋体" w:cs="宋体"/>
          <w:i w:val="0"/>
          <w:iCs w:val="0"/>
          <w:snapToGrid/>
          <w:color w:val="auto"/>
          <w:spacing w:val="8"/>
          <w:kern w:val="0"/>
          <w:sz w:val="30"/>
          <w:szCs w:val="30"/>
          <w:highlight w:val="none"/>
          <w:u w:val="single"/>
          <w:lang w:val="en-US" w:eastAsia="zh-CN" w:bidi="ar"/>
        </w:rPr>
        <w:t xml:space="preserve">      </w:t>
      </w:r>
      <w:r>
        <w:rPr>
          <w:rFonts w:hint="eastAsia" w:ascii="宋体" w:hAnsi="宋体" w:eastAsia="宋体" w:cs="宋体"/>
          <w:i w:val="0"/>
          <w:iCs w:val="0"/>
          <w:snapToGrid/>
          <w:color w:val="auto"/>
          <w:spacing w:val="8"/>
          <w:kern w:val="0"/>
          <w:sz w:val="30"/>
          <w:szCs w:val="30"/>
          <w:highlight w:val="none"/>
          <w:lang w:val="en-US" w:eastAsia="zh-CN" w:bidi="ar"/>
        </w:rPr>
        <w:t>人，营业收入为</w:t>
      </w:r>
      <w:r>
        <w:rPr>
          <w:rFonts w:hint="eastAsia" w:ascii="宋体" w:hAnsi="宋体" w:eastAsia="宋体" w:cs="宋体"/>
          <w:i w:val="0"/>
          <w:iCs w:val="0"/>
          <w:snapToGrid/>
          <w:color w:val="auto"/>
          <w:spacing w:val="8"/>
          <w:kern w:val="0"/>
          <w:sz w:val="30"/>
          <w:szCs w:val="30"/>
          <w:highlight w:val="none"/>
          <w:u w:val="single"/>
          <w:lang w:val="en-US" w:eastAsia="zh-CN" w:bidi="ar"/>
        </w:rPr>
        <w:t xml:space="preserve">      </w:t>
      </w:r>
      <w:r>
        <w:rPr>
          <w:rFonts w:hint="eastAsia" w:ascii="宋体" w:hAnsi="宋体" w:eastAsia="宋体" w:cs="宋体"/>
          <w:i w:val="0"/>
          <w:iCs w:val="0"/>
          <w:snapToGrid/>
          <w:color w:val="auto"/>
          <w:spacing w:val="8"/>
          <w:kern w:val="0"/>
          <w:sz w:val="30"/>
          <w:szCs w:val="30"/>
          <w:highlight w:val="none"/>
          <w:lang w:val="en-US" w:eastAsia="zh-CN" w:bidi="ar"/>
        </w:rPr>
        <w:t>万元，资产总额为</w:t>
      </w:r>
      <w:r>
        <w:rPr>
          <w:rFonts w:hint="eastAsia" w:ascii="宋体" w:hAnsi="宋体" w:eastAsia="宋体" w:cs="宋体"/>
          <w:i w:val="0"/>
          <w:iCs w:val="0"/>
          <w:snapToGrid/>
          <w:color w:val="auto"/>
          <w:spacing w:val="8"/>
          <w:kern w:val="0"/>
          <w:sz w:val="30"/>
          <w:szCs w:val="30"/>
          <w:highlight w:val="none"/>
          <w:u w:val="single"/>
          <w:lang w:val="en-US" w:eastAsia="zh-CN" w:bidi="ar"/>
        </w:rPr>
        <w:t xml:space="preserve">      </w:t>
      </w:r>
      <w:r>
        <w:rPr>
          <w:rFonts w:hint="eastAsia" w:ascii="宋体" w:hAnsi="宋体" w:eastAsia="宋体" w:cs="宋体"/>
          <w:i w:val="0"/>
          <w:iCs w:val="0"/>
          <w:snapToGrid/>
          <w:color w:val="auto"/>
          <w:spacing w:val="8"/>
          <w:kern w:val="0"/>
          <w:sz w:val="30"/>
          <w:szCs w:val="30"/>
          <w:highlight w:val="none"/>
          <w:lang w:val="en-US" w:eastAsia="zh-CN" w:bidi="ar"/>
        </w:rPr>
        <w:t>万元</w:t>
      </w:r>
      <w:r>
        <w:rPr>
          <w:rFonts w:hint="eastAsia" w:ascii="宋体" w:hAnsi="宋体" w:eastAsia="宋体" w:cs="宋体"/>
          <w:i w:val="0"/>
          <w:iCs w:val="0"/>
          <w:snapToGrid/>
          <w:color w:val="auto"/>
          <w:spacing w:val="8"/>
          <w:kern w:val="0"/>
          <w:position w:val="0"/>
          <w:sz w:val="30"/>
          <w:szCs w:val="30"/>
          <w:highlight w:val="none"/>
          <w:lang w:val="en-US" w:eastAsia="zh-CN" w:bidi="ar"/>
        </w:rPr>
        <w:t xml:space="preserve"> </w:t>
      </w:r>
      <w:r>
        <w:rPr>
          <w:rFonts w:hint="eastAsia" w:ascii="宋体" w:hAnsi="宋体" w:eastAsia="宋体" w:cs="宋体"/>
          <w:i w:val="0"/>
          <w:iCs w:val="0"/>
          <w:snapToGrid/>
          <w:color w:val="auto"/>
          <w:spacing w:val="8"/>
          <w:kern w:val="0"/>
          <w:sz w:val="30"/>
          <w:szCs w:val="30"/>
          <w:highlight w:val="none"/>
          <w:lang w:val="en-US" w:eastAsia="zh-CN" w:bidi="ar"/>
        </w:rPr>
        <w:t>，属于</w:t>
      </w:r>
      <w:r>
        <w:rPr>
          <w:rFonts w:hint="eastAsia" w:ascii="宋体" w:hAnsi="宋体" w:cs="宋体"/>
          <w:i w:val="0"/>
          <w:iCs w:val="0"/>
          <w:snapToGrid/>
          <w:color w:val="auto"/>
          <w:spacing w:val="8"/>
          <w:kern w:val="0"/>
          <w:sz w:val="30"/>
          <w:szCs w:val="30"/>
          <w:highlight w:val="none"/>
          <w:u w:val="single"/>
          <w:lang w:val="en-US" w:eastAsia="zh-CN" w:bidi="ar"/>
        </w:rPr>
        <w:t>（</w:t>
      </w:r>
      <w:r>
        <w:rPr>
          <w:rFonts w:hint="eastAsia" w:ascii="宋体" w:hAnsi="宋体" w:eastAsia="宋体" w:cs="宋体"/>
          <w:i w:val="0"/>
          <w:iCs w:val="0"/>
          <w:snapToGrid/>
          <w:color w:val="auto"/>
          <w:spacing w:val="8"/>
          <w:kern w:val="0"/>
          <w:sz w:val="30"/>
          <w:szCs w:val="30"/>
          <w:highlight w:val="none"/>
          <w:u w:val="single"/>
          <w:lang w:val="en-US" w:eastAsia="zh-CN" w:bidi="ar"/>
        </w:rPr>
        <w:sym w:font="Wingdings" w:char="00A8"/>
      </w:r>
      <w:r>
        <w:rPr>
          <w:rFonts w:hint="eastAsia" w:ascii="宋体" w:hAnsi="宋体" w:eastAsia="宋体" w:cs="宋体"/>
          <w:i w:val="0"/>
          <w:iCs w:val="0"/>
          <w:snapToGrid/>
          <w:color w:val="auto"/>
          <w:spacing w:val="8"/>
          <w:kern w:val="0"/>
          <w:sz w:val="30"/>
          <w:szCs w:val="30"/>
          <w:highlight w:val="none"/>
          <w:u w:val="single"/>
          <w:lang w:val="en-US" w:eastAsia="zh-CN" w:bidi="ar"/>
        </w:rPr>
        <w:t>中型企业、</w:t>
      </w:r>
      <w:r>
        <w:rPr>
          <w:rFonts w:hint="eastAsia" w:ascii="宋体" w:hAnsi="宋体" w:eastAsia="宋体" w:cs="宋体"/>
          <w:i w:val="0"/>
          <w:iCs w:val="0"/>
          <w:snapToGrid/>
          <w:color w:val="auto"/>
          <w:spacing w:val="8"/>
          <w:kern w:val="0"/>
          <w:sz w:val="30"/>
          <w:szCs w:val="30"/>
          <w:highlight w:val="none"/>
          <w:u w:val="single"/>
          <w:lang w:val="en-US" w:eastAsia="zh-CN" w:bidi="ar"/>
        </w:rPr>
        <w:sym w:font="Wingdings" w:char="00A8"/>
      </w:r>
      <w:r>
        <w:rPr>
          <w:rFonts w:hint="eastAsia" w:ascii="宋体" w:hAnsi="宋体" w:eastAsia="宋体" w:cs="宋体"/>
          <w:i w:val="0"/>
          <w:iCs w:val="0"/>
          <w:snapToGrid/>
          <w:color w:val="auto"/>
          <w:spacing w:val="8"/>
          <w:kern w:val="0"/>
          <w:sz w:val="30"/>
          <w:szCs w:val="30"/>
          <w:highlight w:val="none"/>
          <w:u w:val="single"/>
          <w:lang w:val="en-US" w:eastAsia="zh-CN" w:bidi="ar"/>
        </w:rPr>
        <w:t>小型企业、</w:t>
      </w:r>
      <w:r>
        <w:rPr>
          <w:rFonts w:hint="eastAsia" w:ascii="宋体" w:hAnsi="宋体" w:eastAsia="宋体" w:cs="宋体"/>
          <w:i w:val="0"/>
          <w:iCs w:val="0"/>
          <w:snapToGrid/>
          <w:color w:val="auto"/>
          <w:spacing w:val="8"/>
          <w:kern w:val="0"/>
          <w:sz w:val="30"/>
          <w:szCs w:val="30"/>
          <w:highlight w:val="none"/>
          <w:u w:val="single"/>
          <w:lang w:val="en-US" w:eastAsia="zh-CN" w:bidi="ar"/>
        </w:rPr>
        <w:sym w:font="Wingdings" w:char="00A8"/>
      </w:r>
      <w:r>
        <w:rPr>
          <w:rFonts w:hint="eastAsia" w:ascii="宋体" w:hAnsi="宋体" w:eastAsia="宋体" w:cs="宋体"/>
          <w:i w:val="0"/>
          <w:iCs w:val="0"/>
          <w:snapToGrid/>
          <w:color w:val="auto"/>
          <w:spacing w:val="8"/>
          <w:kern w:val="0"/>
          <w:sz w:val="30"/>
          <w:szCs w:val="30"/>
          <w:highlight w:val="none"/>
          <w:u w:val="single"/>
          <w:lang w:val="en-US" w:eastAsia="zh-CN" w:bidi="ar"/>
        </w:rPr>
        <w:t>微型企业</w:t>
      </w:r>
      <w:r>
        <w:rPr>
          <w:rFonts w:hint="eastAsia" w:ascii="宋体" w:hAnsi="宋体" w:cs="宋体"/>
          <w:i w:val="0"/>
          <w:iCs w:val="0"/>
          <w:snapToGrid/>
          <w:color w:val="auto"/>
          <w:spacing w:val="8"/>
          <w:kern w:val="0"/>
          <w:sz w:val="30"/>
          <w:szCs w:val="30"/>
          <w:highlight w:val="none"/>
          <w:u w:val="single"/>
          <w:lang w:val="en-US" w:eastAsia="zh-CN" w:bidi="ar"/>
        </w:rPr>
        <w:t>）</w:t>
      </w:r>
      <w:r>
        <w:rPr>
          <w:rFonts w:hint="eastAsia" w:ascii="宋体" w:hAnsi="宋体" w:eastAsia="宋体" w:cs="宋体"/>
          <w:i w:val="0"/>
          <w:iCs w:val="0"/>
          <w:snapToGrid/>
          <w:color w:val="auto"/>
          <w:spacing w:val="8"/>
          <w:kern w:val="0"/>
          <w:sz w:val="30"/>
          <w:szCs w:val="30"/>
          <w:highlight w:val="none"/>
          <w:lang w:val="en-US" w:eastAsia="zh-CN" w:bidi="ar"/>
        </w:rPr>
        <w:t>；</w:t>
      </w:r>
    </w:p>
    <w:p w14:paraId="248702BD">
      <w:pPr>
        <w:pStyle w:val="16"/>
        <w:keepNext w:val="0"/>
        <w:keepLines w:val="0"/>
        <w:widowControl/>
        <w:suppressLineNumbers w:val="0"/>
        <w:kinsoku w:val="0"/>
        <w:autoSpaceDE w:val="0"/>
        <w:autoSpaceDN w:val="0"/>
        <w:adjustRightInd w:val="0"/>
        <w:snapToGrid w:val="0"/>
        <w:spacing w:before="14" w:beforeAutospacing="0" w:after="0" w:afterAutospacing="0" w:line="300" w:lineRule="auto"/>
        <w:ind w:left="35" w:right="86" w:firstLine="678"/>
        <w:jc w:val="left"/>
        <w:textAlignment w:val="baseline"/>
        <w:rPr>
          <w:rFonts w:hint="eastAsia" w:ascii="宋体" w:hAnsi="宋体" w:eastAsia="宋体" w:cs="宋体"/>
          <w:i w:val="0"/>
          <w:iCs w:val="0"/>
          <w:color w:val="auto"/>
          <w:kern w:val="0"/>
          <w:sz w:val="30"/>
          <w:szCs w:val="30"/>
          <w:highlight w:val="none"/>
        </w:rPr>
      </w:pPr>
      <w:r>
        <w:rPr>
          <w:rFonts w:hint="eastAsia" w:ascii="宋体" w:hAnsi="宋体" w:eastAsia="宋体" w:cs="宋体"/>
          <w:i w:val="0"/>
          <w:iCs w:val="0"/>
          <w:snapToGrid/>
          <w:color w:val="auto"/>
          <w:spacing w:val="7"/>
          <w:kern w:val="0"/>
          <w:sz w:val="30"/>
          <w:szCs w:val="30"/>
          <w:highlight w:val="none"/>
          <w:lang w:val="en-US" w:eastAsia="zh-CN" w:bidi="ar"/>
        </w:rPr>
        <w:t>本企业，不属于大企业的分支机构，不存</w:t>
      </w:r>
      <w:r>
        <w:rPr>
          <w:rFonts w:hint="eastAsia" w:ascii="宋体" w:hAnsi="宋体" w:eastAsia="宋体" w:cs="宋体"/>
          <w:i w:val="0"/>
          <w:iCs w:val="0"/>
          <w:snapToGrid/>
          <w:color w:val="auto"/>
          <w:spacing w:val="6"/>
          <w:kern w:val="0"/>
          <w:sz w:val="30"/>
          <w:szCs w:val="30"/>
          <w:highlight w:val="none"/>
          <w:lang w:val="en-US" w:eastAsia="zh-CN" w:bidi="ar"/>
        </w:rPr>
        <w:t>在控股股东</w:t>
      </w:r>
      <w:r>
        <w:rPr>
          <w:rFonts w:hint="eastAsia" w:ascii="宋体" w:hAnsi="宋体" w:eastAsia="宋体" w:cs="宋体"/>
          <w:i w:val="0"/>
          <w:iCs w:val="0"/>
          <w:snapToGrid/>
          <w:color w:val="auto"/>
          <w:spacing w:val="8"/>
          <w:kern w:val="0"/>
          <w:sz w:val="30"/>
          <w:szCs w:val="30"/>
          <w:highlight w:val="none"/>
          <w:lang w:val="en-US" w:eastAsia="zh-CN" w:bidi="ar"/>
        </w:rPr>
        <w:t>为大企业的情形，也不存在与大企业的负责人为同一人的情</w:t>
      </w:r>
      <w:r>
        <w:rPr>
          <w:rFonts w:hint="eastAsia" w:ascii="宋体" w:hAnsi="宋体" w:eastAsia="宋体" w:cs="宋体"/>
          <w:i w:val="0"/>
          <w:iCs w:val="0"/>
          <w:snapToGrid/>
          <w:color w:val="auto"/>
          <w:spacing w:val="-7"/>
          <w:kern w:val="0"/>
          <w:sz w:val="30"/>
          <w:szCs w:val="30"/>
          <w:highlight w:val="none"/>
          <w:lang w:val="en-US" w:eastAsia="zh-CN" w:bidi="ar"/>
        </w:rPr>
        <w:t>形。</w:t>
      </w:r>
    </w:p>
    <w:p w14:paraId="3DDB493E">
      <w:pPr>
        <w:pStyle w:val="16"/>
        <w:keepNext w:val="0"/>
        <w:keepLines w:val="0"/>
        <w:widowControl/>
        <w:suppressLineNumbers w:val="0"/>
        <w:kinsoku w:val="0"/>
        <w:autoSpaceDE w:val="0"/>
        <w:autoSpaceDN w:val="0"/>
        <w:adjustRightInd w:val="0"/>
        <w:snapToGrid w:val="0"/>
        <w:spacing w:before="49" w:beforeAutospacing="0" w:after="0" w:afterAutospacing="0" w:line="292" w:lineRule="auto"/>
        <w:ind w:left="45" w:right="88" w:firstLine="631"/>
        <w:jc w:val="left"/>
        <w:textAlignment w:val="baseline"/>
        <w:rPr>
          <w:rFonts w:hint="eastAsia" w:ascii="宋体" w:hAnsi="宋体" w:eastAsia="宋体" w:cs="宋体"/>
          <w:i w:val="0"/>
          <w:iCs w:val="0"/>
          <w:snapToGrid/>
          <w:color w:val="auto"/>
          <w:spacing w:val="4"/>
          <w:kern w:val="0"/>
          <w:sz w:val="30"/>
          <w:szCs w:val="30"/>
          <w:highlight w:val="none"/>
          <w:lang w:val="en-US" w:eastAsia="zh-CN" w:bidi="ar"/>
        </w:rPr>
      </w:pPr>
      <w:r>
        <w:rPr>
          <w:rFonts w:hint="eastAsia" w:ascii="宋体" w:hAnsi="宋体" w:eastAsia="宋体" w:cs="宋体"/>
          <w:i w:val="0"/>
          <w:iCs w:val="0"/>
          <w:snapToGrid/>
          <w:color w:val="auto"/>
          <w:spacing w:val="8"/>
          <w:kern w:val="0"/>
          <w:sz w:val="30"/>
          <w:szCs w:val="30"/>
          <w:highlight w:val="none"/>
          <w:lang w:val="en-US" w:eastAsia="zh-CN" w:bidi="ar"/>
        </w:rPr>
        <w:t>本企业对上述声明内容的真实性负责。如有虚假，将依</w:t>
      </w:r>
      <w:r>
        <w:rPr>
          <w:rFonts w:hint="eastAsia" w:ascii="宋体" w:hAnsi="宋体" w:eastAsia="宋体" w:cs="宋体"/>
          <w:i w:val="0"/>
          <w:iCs w:val="0"/>
          <w:snapToGrid/>
          <w:color w:val="auto"/>
          <w:spacing w:val="4"/>
          <w:kern w:val="0"/>
          <w:sz w:val="30"/>
          <w:szCs w:val="30"/>
          <w:highlight w:val="none"/>
          <w:lang w:val="en-US" w:eastAsia="zh-CN" w:bidi="ar"/>
        </w:rPr>
        <w:t>法承担相应责任。</w:t>
      </w:r>
    </w:p>
    <w:p w14:paraId="7096E638">
      <w:pPr>
        <w:pStyle w:val="16"/>
        <w:keepNext w:val="0"/>
        <w:keepLines w:val="0"/>
        <w:widowControl/>
        <w:suppressLineNumbers w:val="0"/>
        <w:kinsoku w:val="0"/>
        <w:autoSpaceDE w:val="0"/>
        <w:autoSpaceDN w:val="0"/>
        <w:adjustRightInd w:val="0"/>
        <w:snapToGrid w:val="0"/>
        <w:spacing w:before="49" w:beforeAutospacing="0" w:after="0" w:afterAutospacing="0" w:line="292" w:lineRule="auto"/>
        <w:ind w:left="45" w:right="88" w:firstLine="631"/>
        <w:jc w:val="left"/>
        <w:textAlignment w:val="baseline"/>
        <w:rPr>
          <w:rFonts w:hint="eastAsia" w:ascii="宋体" w:hAnsi="宋体" w:eastAsia="宋体" w:cs="宋体"/>
          <w:i w:val="0"/>
          <w:iCs w:val="0"/>
          <w:snapToGrid/>
          <w:color w:val="auto"/>
          <w:spacing w:val="4"/>
          <w:kern w:val="0"/>
          <w:sz w:val="30"/>
          <w:szCs w:val="30"/>
          <w:highlight w:val="none"/>
          <w:lang w:val="en-US" w:eastAsia="zh-CN" w:bidi="ar"/>
        </w:rPr>
      </w:pPr>
    </w:p>
    <w:p w14:paraId="38D3E56D">
      <w:pPr>
        <w:pStyle w:val="16"/>
        <w:keepNext w:val="0"/>
        <w:keepLines w:val="0"/>
        <w:widowControl/>
        <w:suppressLineNumbers w:val="0"/>
        <w:kinsoku w:val="0"/>
        <w:autoSpaceDE w:val="0"/>
        <w:autoSpaceDN w:val="0"/>
        <w:adjustRightInd w:val="0"/>
        <w:snapToGrid w:val="0"/>
        <w:spacing w:before="86" w:beforeAutospacing="0" w:after="0" w:afterAutospacing="0" w:line="304" w:lineRule="auto"/>
        <w:ind w:left="3942" w:right="1909" w:hanging="66"/>
        <w:jc w:val="left"/>
        <w:textAlignment w:val="baseline"/>
        <w:rPr>
          <w:rFonts w:hint="eastAsia" w:ascii="宋体" w:hAnsi="宋体" w:eastAsia="宋体" w:cs="宋体"/>
          <w:i w:val="0"/>
          <w:iCs w:val="0"/>
          <w:color w:val="auto"/>
          <w:kern w:val="0"/>
          <w:sz w:val="30"/>
          <w:szCs w:val="30"/>
          <w:highlight w:val="none"/>
        </w:rPr>
      </w:pPr>
      <w:r>
        <w:rPr>
          <w:rFonts w:hint="eastAsia" w:ascii="宋体" w:hAnsi="宋体" w:eastAsia="宋体" w:cs="宋体"/>
          <w:i w:val="0"/>
          <w:iCs w:val="0"/>
          <w:snapToGrid/>
          <w:color w:val="auto"/>
          <w:spacing w:val="6"/>
          <w:kern w:val="0"/>
          <w:sz w:val="30"/>
          <w:szCs w:val="30"/>
          <w:highlight w:val="none"/>
          <w:lang w:val="en-US" w:eastAsia="zh-CN" w:bidi="ar"/>
        </w:rPr>
        <w:t>企业名称（盖章</w:t>
      </w:r>
      <w:r>
        <w:rPr>
          <w:rFonts w:hint="eastAsia" w:ascii="宋体" w:hAnsi="宋体" w:eastAsia="宋体" w:cs="宋体"/>
          <w:i w:val="0"/>
          <w:iCs w:val="0"/>
          <w:snapToGrid/>
          <w:color w:val="auto"/>
          <w:spacing w:val="-80"/>
          <w:kern w:val="0"/>
          <w:sz w:val="30"/>
          <w:szCs w:val="30"/>
          <w:highlight w:val="none"/>
          <w:lang w:val="en-US" w:eastAsia="zh-CN" w:bidi="ar"/>
        </w:rPr>
        <w:t>）：</w:t>
      </w:r>
      <w:r>
        <w:rPr>
          <w:rFonts w:hint="eastAsia" w:ascii="宋体" w:hAnsi="宋体" w:eastAsia="宋体" w:cs="宋体"/>
          <w:i w:val="0"/>
          <w:iCs w:val="0"/>
          <w:snapToGrid/>
          <w:color w:val="auto"/>
          <w:spacing w:val="3"/>
          <w:kern w:val="0"/>
          <w:sz w:val="30"/>
          <w:szCs w:val="30"/>
          <w:highlight w:val="none"/>
          <w:lang w:val="en-US" w:eastAsia="zh-CN" w:bidi="ar"/>
        </w:rPr>
        <w:t xml:space="preserve"> </w:t>
      </w:r>
      <w:r>
        <w:rPr>
          <w:rFonts w:hint="eastAsia" w:ascii="宋体" w:hAnsi="宋体" w:eastAsia="宋体" w:cs="宋体"/>
          <w:i w:val="0"/>
          <w:iCs w:val="0"/>
          <w:snapToGrid/>
          <w:color w:val="auto"/>
          <w:kern w:val="0"/>
          <w:sz w:val="30"/>
          <w:szCs w:val="30"/>
          <w:highlight w:val="none"/>
          <w:lang w:val="en-US" w:eastAsia="zh-CN" w:bidi="ar"/>
        </w:rPr>
        <w:t>日期：</w:t>
      </w:r>
    </w:p>
    <w:p w14:paraId="1A5952C1">
      <w:pPr>
        <w:keepNext w:val="0"/>
        <w:keepLines w:val="0"/>
        <w:widowControl/>
        <w:suppressLineNumbers w:val="0"/>
        <w:kinsoku w:val="0"/>
        <w:autoSpaceDE w:val="0"/>
        <w:autoSpaceDN w:val="0"/>
        <w:adjustRightInd w:val="0"/>
        <w:snapToGrid w:val="0"/>
        <w:spacing w:before="0" w:beforeAutospacing="0" w:after="0" w:afterAutospacing="0" w:line="261" w:lineRule="auto"/>
        <w:ind w:left="0" w:right="0"/>
        <w:jc w:val="left"/>
        <w:textAlignment w:val="baseline"/>
        <w:rPr>
          <w:rFonts w:hint="eastAsia" w:ascii="宋体" w:hAnsi="宋体" w:eastAsia="宋体" w:cs="宋体"/>
          <w:i w:val="0"/>
          <w:iCs w:val="0"/>
          <w:color w:val="auto"/>
          <w:kern w:val="0"/>
          <w:sz w:val="30"/>
          <w:szCs w:val="30"/>
          <w:highlight w:val="none"/>
        </w:rPr>
      </w:pPr>
    </w:p>
    <w:p w14:paraId="520A31D6">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i w:val="0"/>
          <w:iCs w:val="0"/>
          <w:snapToGrid w:val="0"/>
          <w:color w:val="auto"/>
          <w:spacing w:val="-1"/>
          <w:kern w:val="0"/>
          <w:sz w:val="30"/>
          <w:szCs w:val="30"/>
          <w:highlight w:val="none"/>
          <w:lang w:eastAsia="en-US"/>
        </w:rPr>
      </w:pPr>
      <w:r>
        <w:rPr>
          <w:rFonts w:hint="eastAsia" w:ascii="宋体" w:hAnsi="宋体" w:eastAsia="宋体" w:cs="宋体"/>
          <w:i w:val="0"/>
          <w:iCs w:val="0"/>
          <w:snapToGrid w:val="0"/>
          <w:color w:val="auto"/>
          <w:spacing w:val="-1"/>
          <w:kern w:val="0"/>
          <w:position w:val="0"/>
          <w:sz w:val="30"/>
          <w:szCs w:val="30"/>
          <w:highlight w:val="none"/>
          <w:lang w:val="en-US" w:eastAsia="zh-CN" w:bidi="ar"/>
        </w:rPr>
        <w:t>注：</w:t>
      </w:r>
      <w:r>
        <w:rPr>
          <w:rFonts w:hint="eastAsia" w:ascii="宋体" w:hAnsi="宋体" w:eastAsia="宋体" w:cs="宋体"/>
          <w:i w:val="0"/>
          <w:iCs w:val="0"/>
          <w:snapToGrid w:val="0"/>
          <w:color w:val="auto"/>
          <w:spacing w:val="-1"/>
          <w:kern w:val="0"/>
          <w:sz w:val="30"/>
          <w:szCs w:val="30"/>
          <w:highlight w:val="none"/>
          <w:lang w:val="en-US" w:eastAsia="en-US" w:bidi="ar"/>
        </w:rPr>
        <w:t>从业人员、营业收入、资产总额填报上一年度数据，无上一年度数据的新成立企业可不填报。</w:t>
      </w:r>
    </w:p>
    <w:p w14:paraId="75821351">
      <w:pPr>
        <w:pStyle w:val="10"/>
        <w:rPr>
          <w:rFonts w:hint="eastAsia" w:ascii="宋体" w:hAnsi="宋体" w:eastAsia="宋体" w:cs="宋体"/>
          <w:i w:val="0"/>
          <w:iCs w:val="0"/>
          <w:color w:val="auto"/>
          <w:spacing w:val="11"/>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i w:val="0"/>
          <w:iCs w:val="0"/>
          <w:color w:val="auto"/>
          <w:spacing w:val="11"/>
          <w:sz w:val="30"/>
          <w:szCs w:val="30"/>
          <w:highlight w:val="none"/>
        </w:rPr>
        <w:t xml:space="preserve"> </w:t>
      </w:r>
    </w:p>
    <w:p w14:paraId="22E19A17">
      <w:pPr>
        <w:pStyle w:val="21"/>
        <w:jc w:val="center"/>
        <w:outlineLvl w:val="3"/>
        <w:rPr>
          <w:rFonts w:hint="eastAsia" w:eastAsia="宋体"/>
          <w:color w:val="auto"/>
          <w:highlight w:val="none"/>
          <w:lang w:eastAsia="zh-CN"/>
        </w:rPr>
      </w:pPr>
      <w:r>
        <w:rPr>
          <w:rFonts w:ascii="宋体" w:hAnsi="宋体" w:eastAsia="宋体" w:cs="宋体"/>
          <w:b/>
          <w:color w:val="auto"/>
          <w:kern w:val="2"/>
          <w:sz w:val="32"/>
          <w:szCs w:val="32"/>
          <w:highlight w:val="none"/>
          <w:lang w:eastAsia="zh-CN" w:bidi="ar-SA"/>
        </w:rPr>
        <w:t>监狱企业</w:t>
      </w:r>
      <w:r>
        <w:rPr>
          <w:rFonts w:hint="eastAsia" w:ascii="宋体" w:hAnsi="宋体" w:eastAsia="宋体" w:cs="宋体"/>
          <w:b/>
          <w:color w:val="auto"/>
          <w:kern w:val="2"/>
          <w:sz w:val="32"/>
          <w:szCs w:val="32"/>
          <w:highlight w:val="none"/>
          <w:lang w:val="en-US" w:eastAsia="zh-CN" w:bidi="ar-SA"/>
        </w:rPr>
        <w:t>证明文件</w:t>
      </w:r>
      <w:r>
        <w:rPr>
          <w:rFonts w:hint="eastAsia" w:ascii="宋体" w:hAnsi="宋体" w:eastAsia="宋体" w:cs="宋体"/>
          <w:b/>
          <w:color w:val="auto"/>
          <w:kern w:val="2"/>
          <w:sz w:val="32"/>
          <w:szCs w:val="32"/>
          <w:highlight w:val="none"/>
          <w:lang w:eastAsia="zh-CN" w:bidi="ar-SA"/>
        </w:rPr>
        <w:t>（</w:t>
      </w:r>
      <w:r>
        <w:rPr>
          <w:rFonts w:hint="eastAsia" w:ascii="宋体" w:hAnsi="宋体" w:eastAsia="宋体" w:cs="宋体"/>
          <w:b/>
          <w:color w:val="auto"/>
          <w:kern w:val="2"/>
          <w:sz w:val="32"/>
          <w:szCs w:val="32"/>
          <w:highlight w:val="none"/>
          <w:lang w:val="en-US" w:eastAsia="zh-CN" w:bidi="ar-SA"/>
        </w:rPr>
        <w:t>如有</w:t>
      </w:r>
      <w:r>
        <w:rPr>
          <w:rFonts w:hint="eastAsia" w:ascii="宋体" w:hAnsi="宋体" w:eastAsia="宋体" w:cs="宋体"/>
          <w:b/>
          <w:color w:val="auto"/>
          <w:kern w:val="2"/>
          <w:sz w:val="32"/>
          <w:szCs w:val="32"/>
          <w:highlight w:val="none"/>
          <w:lang w:eastAsia="zh-CN" w:bidi="ar-SA"/>
        </w:rPr>
        <w:t>）</w:t>
      </w:r>
    </w:p>
    <w:p w14:paraId="57C2EE96">
      <w:pPr>
        <w:pStyle w:val="21"/>
        <w:ind w:firstLine="480"/>
        <w:rPr>
          <w:rFonts w:hint="eastAsia"/>
          <w:color w:val="auto"/>
          <w:highlight w:val="none"/>
          <w:lang w:val="en-US" w:eastAsia="zh-CN"/>
        </w:rPr>
      </w:pPr>
    </w:p>
    <w:p w14:paraId="097B401B">
      <w:pPr>
        <w:pStyle w:val="21"/>
        <w:ind w:firstLine="480"/>
        <w:rPr>
          <w:rFonts w:hint="eastAsia"/>
          <w:color w:val="auto"/>
          <w:highlight w:val="none"/>
          <w:lang w:val="en-US" w:eastAsia="zh-CN"/>
        </w:rPr>
      </w:pPr>
    </w:p>
    <w:p w14:paraId="31900105">
      <w:pPr>
        <w:pStyle w:val="21"/>
        <w:ind w:firstLine="480"/>
        <w:rPr>
          <w:rFonts w:hint="eastAsia"/>
          <w:color w:val="auto"/>
          <w:highlight w:val="none"/>
          <w:lang w:val="en-US" w:eastAsia="zh-CN"/>
        </w:rPr>
      </w:pPr>
    </w:p>
    <w:p w14:paraId="48F6F067">
      <w:pPr>
        <w:pStyle w:val="21"/>
        <w:ind w:firstLine="480"/>
        <w:rPr>
          <w:rFonts w:hint="eastAsia"/>
          <w:color w:val="auto"/>
          <w:highlight w:val="none"/>
          <w:lang w:val="en-US" w:eastAsia="zh-CN"/>
        </w:rPr>
      </w:pPr>
    </w:p>
    <w:p w14:paraId="4361D95B">
      <w:pPr>
        <w:pStyle w:val="21"/>
        <w:ind w:firstLine="480"/>
        <w:rPr>
          <w:rFonts w:hint="eastAsia"/>
          <w:color w:val="auto"/>
          <w:highlight w:val="none"/>
          <w:lang w:val="en-US" w:eastAsia="zh-CN"/>
        </w:rPr>
      </w:pPr>
    </w:p>
    <w:p w14:paraId="22FD1785">
      <w:pPr>
        <w:pStyle w:val="21"/>
        <w:ind w:firstLine="480"/>
        <w:rPr>
          <w:rFonts w:hint="eastAsia"/>
          <w:color w:val="auto"/>
          <w:highlight w:val="none"/>
          <w:lang w:val="en-US" w:eastAsia="zh-CN"/>
        </w:rPr>
      </w:pPr>
    </w:p>
    <w:p w14:paraId="31E30DA7">
      <w:pPr>
        <w:pStyle w:val="21"/>
        <w:ind w:firstLine="480"/>
        <w:rPr>
          <w:rFonts w:hint="eastAsia"/>
          <w:color w:val="auto"/>
          <w:highlight w:val="none"/>
          <w:lang w:val="en-US" w:eastAsia="zh-CN"/>
        </w:rPr>
      </w:pPr>
    </w:p>
    <w:p w14:paraId="5C2BDCA6">
      <w:pPr>
        <w:pStyle w:val="21"/>
        <w:ind w:firstLine="480"/>
        <w:rPr>
          <w:rFonts w:hint="eastAsia"/>
          <w:color w:val="auto"/>
          <w:highlight w:val="none"/>
          <w:lang w:val="en-US" w:eastAsia="zh-CN"/>
        </w:rPr>
      </w:pPr>
    </w:p>
    <w:p w14:paraId="7C197078">
      <w:pPr>
        <w:pStyle w:val="21"/>
        <w:ind w:firstLine="480"/>
        <w:rPr>
          <w:rFonts w:hint="eastAsia"/>
          <w:color w:val="auto"/>
          <w:highlight w:val="none"/>
          <w:lang w:val="en-US" w:eastAsia="zh-CN"/>
        </w:rPr>
      </w:pPr>
    </w:p>
    <w:p w14:paraId="2C6F5BC4">
      <w:pPr>
        <w:pStyle w:val="21"/>
        <w:ind w:firstLine="480"/>
        <w:rPr>
          <w:rFonts w:hint="eastAsia"/>
          <w:color w:val="auto"/>
          <w:highlight w:val="none"/>
          <w:lang w:val="en-US" w:eastAsia="zh-CN"/>
        </w:rPr>
      </w:pPr>
    </w:p>
    <w:p w14:paraId="766B8D71">
      <w:pPr>
        <w:pStyle w:val="21"/>
        <w:ind w:firstLine="480"/>
        <w:rPr>
          <w:rFonts w:hint="eastAsia"/>
          <w:color w:val="auto"/>
          <w:highlight w:val="none"/>
          <w:lang w:val="en-US" w:eastAsia="zh-CN"/>
        </w:rPr>
      </w:pPr>
    </w:p>
    <w:p w14:paraId="4F07FC39">
      <w:pPr>
        <w:pStyle w:val="21"/>
        <w:ind w:firstLine="480"/>
        <w:rPr>
          <w:rFonts w:hint="eastAsia"/>
          <w:color w:val="auto"/>
          <w:highlight w:val="none"/>
          <w:lang w:val="en-US" w:eastAsia="zh-CN"/>
        </w:rPr>
      </w:pPr>
    </w:p>
    <w:p w14:paraId="59927023">
      <w:pPr>
        <w:pStyle w:val="21"/>
        <w:ind w:firstLine="480"/>
        <w:rPr>
          <w:rFonts w:hint="eastAsia"/>
          <w:color w:val="auto"/>
          <w:highlight w:val="none"/>
          <w:lang w:val="en-US" w:eastAsia="zh-CN"/>
        </w:rPr>
      </w:pPr>
    </w:p>
    <w:p w14:paraId="1108635D">
      <w:pPr>
        <w:pStyle w:val="21"/>
        <w:ind w:firstLine="480"/>
        <w:rPr>
          <w:rFonts w:hint="eastAsia"/>
          <w:color w:val="auto"/>
          <w:highlight w:val="none"/>
          <w:lang w:val="en-US" w:eastAsia="zh-CN"/>
        </w:rPr>
      </w:pPr>
    </w:p>
    <w:p w14:paraId="33D6C17D">
      <w:pPr>
        <w:pStyle w:val="21"/>
        <w:ind w:firstLine="480"/>
        <w:rPr>
          <w:rFonts w:hint="eastAsia"/>
          <w:color w:val="auto"/>
          <w:highlight w:val="none"/>
          <w:lang w:val="en-US" w:eastAsia="zh-CN"/>
        </w:rPr>
      </w:pPr>
    </w:p>
    <w:p w14:paraId="32B5C6B1">
      <w:pPr>
        <w:pStyle w:val="21"/>
        <w:ind w:firstLine="480"/>
        <w:rPr>
          <w:rFonts w:hint="eastAsia"/>
          <w:color w:val="auto"/>
          <w:highlight w:val="none"/>
          <w:lang w:val="en-US" w:eastAsia="zh-CN"/>
        </w:rPr>
      </w:pPr>
    </w:p>
    <w:p w14:paraId="365B1DCC">
      <w:pPr>
        <w:pStyle w:val="21"/>
        <w:ind w:firstLine="480"/>
        <w:rPr>
          <w:rFonts w:hint="eastAsia"/>
          <w:color w:val="auto"/>
          <w:highlight w:val="none"/>
          <w:lang w:val="en-US" w:eastAsia="zh-CN"/>
        </w:rPr>
      </w:pPr>
    </w:p>
    <w:p w14:paraId="51A1BE01">
      <w:pPr>
        <w:pStyle w:val="21"/>
        <w:ind w:firstLine="480"/>
        <w:rPr>
          <w:rFonts w:hint="eastAsia"/>
          <w:color w:val="auto"/>
          <w:highlight w:val="none"/>
          <w:lang w:val="en-US" w:eastAsia="zh-CN"/>
        </w:rPr>
      </w:pPr>
    </w:p>
    <w:p w14:paraId="4DCF6D0A">
      <w:pPr>
        <w:pStyle w:val="21"/>
        <w:ind w:firstLine="480"/>
        <w:rPr>
          <w:rFonts w:hint="eastAsia"/>
          <w:color w:val="auto"/>
          <w:highlight w:val="none"/>
          <w:lang w:val="en-US" w:eastAsia="zh-CN"/>
        </w:rPr>
      </w:pPr>
    </w:p>
    <w:p w14:paraId="26FAF116">
      <w:pPr>
        <w:pStyle w:val="21"/>
        <w:ind w:firstLine="480"/>
        <w:rPr>
          <w:rFonts w:hint="eastAsia"/>
          <w:color w:val="auto"/>
          <w:highlight w:val="none"/>
          <w:lang w:val="en-US" w:eastAsia="zh-CN"/>
        </w:rPr>
      </w:pPr>
    </w:p>
    <w:p w14:paraId="0E30B286">
      <w:pPr>
        <w:pStyle w:val="21"/>
        <w:ind w:firstLine="480"/>
        <w:rPr>
          <w:rFonts w:hint="eastAsia"/>
          <w:color w:val="auto"/>
          <w:highlight w:val="none"/>
          <w:lang w:val="en-US" w:eastAsia="zh-CN"/>
        </w:rPr>
      </w:pPr>
    </w:p>
    <w:p w14:paraId="6E7E3179">
      <w:pPr>
        <w:pStyle w:val="21"/>
        <w:ind w:firstLine="480"/>
        <w:rPr>
          <w:rFonts w:hint="eastAsia"/>
          <w:color w:val="auto"/>
          <w:highlight w:val="none"/>
          <w:lang w:val="en-US" w:eastAsia="zh-CN"/>
        </w:rPr>
      </w:pPr>
    </w:p>
    <w:p w14:paraId="6525984F">
      <w:pPr>
        <w:pStyle w:val="21"/>
        <w:ind w:firstLine="480"/>
        <w:rPr>
          <w:rFonts w:hint="eastAsia"/>
          <w:color w:val="auto"/>
          <w:highlight w:val="none"/>
          <w:lang w:val="en-US" w:eastAsia="zh-CN"/>
        </w:rPr>
      </w:pPr>
    </w:p>
    <w:p w14:paraId="57EDB5F9">
      <w:pPr>
        <w:pStyle w:val="21"/>
        <w:ind w:firstLine="480"/>
        <w:rPr>
          <w:rFonts w:hint="eastAsia"/>
          <w:color w:val="auto"/>
          <w:highlight w:val="none"/>
          <w:lang w:val="en-US" w:eastAsia="zh-CN"/>
        </w:rPr>
      </w:pPr>
    </w:p>
    <w:p w14:paraId="40A48020">
      <w:pPr>
        <w:pStyle w:val="21"/>
        <w:ind w:firstLine="480"/>
        <w:rPr>
          <w:rFonts w:hint="eastAsia"/>
          <w:color w:val="auto"/>
          <w:highlight w:val="none"/>
          <w:lang w:val="en-US" w:eastAsia="zh-CN"/>
        </w:rPr>
      </w:pPr>
    </w:p>
    <w:p w14:paraId="7801D4FC">
      <w:pPr>
        <w:pStyle w:val="21"/>
        <w:ind w:firstLine="480"/>
        <w:rPr>
          <w:rFonts w:hint="eastAsia"/>
          <w:color w:val="auto"/>
          <w:highlight w:val="none"/>
          <w:lang w:val="en-US" w:eastAsia="zh-CN"/>
        </w:rPr>
      </w:pPr>
    </w:p>
    <w:p w14:paraId="2414D89D">
      <w:pPr>
        <w:pStyle w:val="21"/>
        <w:ind w:firstLine="480"/>
        <w:rPr>
          <w:rFonts w:hint="eastAsia"/>
          <w:color w:val="auto"/>
          <w:highlight w:val="none"/>
          <w:lang w:val="en-US" w:eastAsia="zh-CN"/>
        </w:rPr>
      </w:pPr>
    </w:p>
    <w:p w14:paraId="5C79B415">
      <w:pPr>
        <w:pStyle w:val="21"/>
        <w:ind w:firstLine="480"/>
        <w:rPr>
          <w:rFonts w:hint="eastAsia"/>
          <w:color w:val="auto"/>
          <w:highlight w:val="none"/>
          <w:lang w:val="en-US" w:eastAsia="zh-CN"/>
        </w:rPr>
      </w:pPr>
    </w:p>
    <w:p w14:paraId="6C3DA843">
      <w:pPr>
        <w:pStyle w:val="21"/>
        <w:ind w:firstLine="480"/>
        <w:rPr>
          <w:rFonts w:hint="eastAsia"/>
          <w:color w:val="auto"/>
          <w:highlight w:val="none"/>
          <w:lang w:val="en-US" w:eastAsia="zh-CN"/>
        </w:rPr>
      </w:pPr>
    </w:p>
    <w:p w14:paraId="700A1FA9">
      <w:pPr>
        <w:pStyle w:val="21"/>
        <w:ind w:firstLine="480"/>
        <w:rPr>
          <w:rFonts w:hint="eastAsia"/>
          <w:color w:val="auto"/>
          <w:highlight w:val="none"/>
          <w:lang w:val="en-US" w:eastAsia="zh-CN"/>
        </w:rPr>
      </w:pPr>
    </w:p>
    <w:p w14:paraId="3BE09010">
      <w:pPr>
        <w:spacing w:line="240" w:lineRule="auto"/>
        <w:ind w:firstLine="422" w:firstLineChars="200"/>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46B3364">
      <w:pPr>
        <w:spacing w:line="240" w:lineRule="auto"/>
        <w:ind w:firstLine="843" w:firstLineChars="400"/>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2、监狱企业参与投标的，需提供由省级以上监狱管理局、戒毒管理局（含新疆生产建设兵团）出具的属于监狱企业的证明文件。监狱企业视同小微企业，无需再提供《中小企业声明函》。</w:t>
      </w:r>
    </w:p>
    <w:p w14:paraId="323C7DB5">
      <w:pPr>
        <w:pStyle w:val="21"/>
        <w:ind w:firstLine="0"/>
        <w:outlineLvl w:val="9"/>
        <w:rPr>
          <w:color w:val="auto"/>
          <w:highlight w:val="none"/>
        </w:rPr>
      </w:pPr>
      <w:r>
        <w:rPr>
          <w:color w:val="auto"/>
          <w:highlight w:val="none"/>
        </w:rPr>
        <w:br w:type="page"/>
      </w:r>
    </w:p>
    <w:p w14:paraId="68BA3572">
      <w:pPr>
        <w:pStyle w:val="21"/>
        <w:ind w:firstLine="480"/>
        <w:rPr>
          <w:color w:val="auto"/>
          <w:highlight w:val="none"/>
        </w:rPr>
      </w:pPr>
    </w:p>
    <w:p w14:paraId="09403A68">
      <w:pPr>
        <w:pStyle w:val="21"/>
        <w:jc w:val="center"/>
        <w:outlineLvl w:val="3"/>
        <w:rPr>
          <w:rFonts w:ascii="宋体" w:hAnsi="宋体" w:eastAsia="宋体" w:cs="宋体"/>
          <w:b/>
          <w:color w:val="auto"/>
          <w:kern w:val="2"/>
          <w:sz w:val="32"/>
          <w:szCs w:val="32"/>
          <w:highlight w:val="none"/>
          <w:lang w:eastAsia="zh-CN" w:bidi="ar-SA"/>
        </w:rPr>
      </w:pPr>
      <w:r>
        <w:rPr>
          <w:rFonts w:ascii="宋体" w:hAnsi="宋体" w:eastAsia="宋体" w:cs="宋体"/>
          <w:b/>
          <w:color w:val="auto"/>
          <w:kern w:val="2"/>
          <w:sz w:val="32"/>
          <w:szCs w:val="32"/>
          <w:highlight w:val="none"/>
          <w:lang w:eastAsia="zh-CN" w:bidi="ar-SA"/>
        </w:rPr>
        <w:t>残疾人福利性单位声明函</w:t>
      </w:r>
      <w:r>
        <w:rPr>
          <w:rFonts w:hint="eastAsia" w:ascii="宋体" w:hAnsi="宋体" w:eastAsia="宋体" w:cs="宋体"/>
          <w:b/>
          <w:color w:val="auto"/>
          <w:kern w:val="2"/>
          <w:sz w:val="32"/>
          <w:szCs w:val="32"/>
          <w:highlight w:val="none"/>
          <w:lang w:eastAsia="zh-CN" w:bidi="ar-SA"/>
        </w:rPr>
        <w:t>（</w:t>
      </w:r>
      <w:r>
        <w:rPr>
          <w:rFonts w:hint="eastAsia" w:ascii="宋体" w:hAnsi="宋体" w:eastAsia="宋体" w:cs="宋体"/>
          <w:b/>
          <w:color w:val="auto"/>
          <w:kern w:val="2"/>
          <w:sz w:val="32"/>
          <w:szCs w:val="32"/>
          <w:highlight w:val="none"/>
          <w:lang w:val="en-US" w:eastAsia="zh-CN" w:bidi="ar-SA"/>
        </w:rPr>
        <w:t>如有</w:t>
      </w:r>
      <w:r>
        <w:rPr>
          <w:rFonts w:hint="eastAsia" w:ascii="宋体" w:hAnsi="宋体" w:eastAsia="宋体" w:cs="宋体"/>
          <w:b/>
          <w:color w:val="auto"/>
          <w:kern w:val="2"/>
          <w:sz w:val="32"/>
          <w:szCs w:val="32"/>
          <w:highlight w:val="none"/>
          <w:lang w:eastAsia="zh-CN" w:bidi="ar-SA"/>
        </w:rPr>
        <w:t>）</w:t>
      </w:r>
    </w:p>
    <w:p w14:paraId="3661950C">
      <w:pPr>
        <w:pStyle w:val="21"/>
        <w:spacing w:line="360" w:lineRule="auto"/>
        <w:ind w:firstLine="480" w:firstLineChars="200"/>
        <w:rPr>
          <w:rFonts w:hint="eastAsia" w:ascii="宋体" w:hAnsi="宋体" w:cs="宋体"/>
          <w:color w:val="auto"/>
          <w:sz w:val="24"/>
          <w:szCs w:val="20"/>
          <w:highlight w:val="none"/>
        </w:rPr>
      </w:pPr>
    </w:p>
    <w:p w14:paraId="322219FC">
      <w:pPr>
        <w:pStyle w:val="21"/>
        <w:spacing w:line="360" w:lineRule="auto"/>
        <w:ind w:firstLine="0" w:firstLineChars="0"/>
        <w:rPr>
          <w:color w:val="auto"/>
          <w:highlight w:val="none"/>
        </w:rPr>
      </w:pPr>
      <w:r>
        <w:rPr>
          <w:rFonts w:hint="eastAsia" w:ascii="宋体" w:hAnsi="宋体" w:cs="宋体"/>
          <w:color w:val="auto"/>
          <w:sz w:val="24"/>
          <w:szCs w:val="20"/>
          <w:highlight w:val="none"/>
        </w:rPr>
        <w:t>致：</w:t>
      </w:r>
      <w:r>
        <w:rPr>
          <w:rFonts w:hint="eastAsia" w:ascii="宋体" w:hAnsi="宋体" w:cs="宋体"/>
          <w:color w:val="auto"/>
          <w:sz w:val="24"/>
          <w:highlight w:val="none"/>
          <w:u w:val="single"/>
        </w:rPr>
        <w:t>广州市番禺区基本建设投资管理中心</w:t>
      </w:r>
    </w:p>
    <w:p w14:paraId="65AAE521">
      <w:pPr>
        <w:pStyle w:val="21"/>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本单位郑重声明，根据《财政部 民政部 中国残疾人联合会关于促进残疾人就业政府采购政策的通知》</w:t>
      </w:r>
      <w:r>
        <w:rPr>
          <w:rFonts w:hint="eastAsia" w:ascii="宋体" w:hAnsi="宋体" w:eastAsia="宋体" w:cs="宋体"/>
          <w:color w:val="auto"/>
          <w:sz w:val="24"/>
          <w:szCs w:val="24"/>
          <w:highlight w:val="none"/>
        </w:rPr>
        <w:t>（财库〔2017〕141号）</w:t>
      </w:r>
      <w:r>
        <w:rPr>
          <w:rFonts w:ascii="宋体" w:hAnsi="宋体" w:eastAsia="宋体" w:cs="宋体"/>
          <w:color w:val="auto"/>
          <w:sz w:val="24"/>
          <w:szCs w:val="24"/>
          <w:highlight w:val="none"/>
        </w:rPr>
        <w:t>的规定，本单位为符合条件的残疾人福利性单位，且本单位参加</w:t>
      </w:r>
      <w:r>
        <w:rPr>
          <w:rFonts w:hint="eastAsia" w:ascii="宋体" w:hAnsi="宋体" w:cs="宋体"/>
          <w:color w:val="auto"/>
          <w:sz w:val="24"/>
          <w:highlight w:val="none"/>
          <w:u w:val="single"/>
        </w:rPr>
        <w:t>广州市番禺区基本建设投资管理中心</w:t>
      </w:r>
      <w:r>
        <w:rPr>
          <w:rFonts w:ascii="宋体" w:hAnsi="宋体" w:eastAsia="宋体" w:cs="宋体"/>
          <w:color w:val="auto"/>
          <w:sz w:val="24"/>
          <w:szCs w:val="24"/>
          <w:highlight w:val="none"/>
        </w:rPr>
        <w:t>的</w:t>
      </w:r>
      <w:r>
        <w:rPr>
          <w:rFonts w:hint="eastAsia" w:ascii="宋体" w:hAnsi="宋体" w:cs="宋体"/>
          <w:color w:val="auto"/>
          <w:sz w:val="24"/>
          <w:szCs w:val="20"/>
          <w:highlight w:val="none"/>
          <w:u w:val="single"/>
        </w:rPr>
        <w:t>广州市公安局番禺区分局公安基地配电改造工程</w:t>
      </w:r>
      <w:r>
        <w:rPr>
          <w:rFonts w:hint="eastAsia" w:ascii="宋体" w:hAnsi="宋体" w:cs="宋体"/>
          <w:color w:val="auto"/>
          <w:sz w:val="24"/>
          <w:szCs w:val="20"/>
          <w:highlight w:val="none"/>
          <w:u w:val="none"/>
          <w:lang w:val="en-US" w:eastAsia="zh-CN"/>
        </w:rPr>
        <w:t>项目</w:t>
      </w:r>
      <w:r>
        <w:rPr>
          <w:rFonts w:hint="eastAsia" w:ascii="宋体" w:hAnsi="宋体" w:eastAsia="宋体" w:cs="宋体"/>
          <w:color w:val="auto"/>
          <w:sz w:val="24"/>
          <w:szCs w:val="24"/>
          <w:highlight w:val="none"/>
          <w:lang w:val="en-US" w:eastAsia="zh-CN"/>
        </w:rPr>
        <w:t>招标</w:t>
      </w:r>
      <w:r>
        <w:rPr>
          <w:rFonts w:ascii="宋体" w:hAnsi="宋体" w:eastAsia="宋体" w:cs="宋体"/>
          <w:color w:val="auto"/>
          <w:sz w:val="24"/>
          <w:szCs w:val="24"/>
          <w:highlight w:val="none"/>
        </w:rPr>
        <w:t>活动</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由本单位承担工程。</w:t>
      </w:r>
    </w:p>
    <w:p w14:paraId="7E396DB8">
      <w:pPr>
        <w:pStyle w:val="21"/>
        <w:spacing w:line="360" w:lineRule="auto"/>
        <w:ind w:firstLine="480" w:firstLineChars="200"/>
        <w:rPr>
          <w:color w:val="auto"/>
          <w:highlight w:val="none"/>
        </w:rPr>
      </w:pPr>
      <w:r>
        <w:rPr>
          <w:rFonts w:ascii="宋体" w:hAnsi="宋体" w:eastAsia="宋体" w:cs="宋体"/>
          <w:color w:val="auto"/>
          <w:sz w:val="24"/>
          <w:szCs w:val="24"/>
          <w:highlight w:val="none"/>
        </w:rPr>
        <w:t>本单位对上述声明的真实性负责。如有虚假，将依法承担相应责任。</w:t>
      </w:r>
    </w:p>
    <w:p w14:paraId="44478C78">
      <w:pPr>
        <w:snapToGrid/>
        <w:spacing w:line="360" w:lineRule="auto"/>
        <w:ind w:firstLine="5040" w:firstLineChars="2100"/>
        <w:jc w:val="both"/>
        <w:rPr>
          <w:rFonts w:hint="eastAsia" w:ascii="宋体" w:hAnsi="宋体" w:cs="宋体"/>
          <w:color w:val="auto"/>
          <w:sz w:val="24"/>
          <w:szCs w:val="20"/>
          <w:highlight w:val="none"/>
          <w:lang w:val="en-US" w:eastAsia="zh-CN"/>
        </w:rPr>
      </w:pPr>
    </w:p>
    <w:p w14:paraId="7D325C4F">
      <w:pPr>
        <w:snapToGrid/>
        <w:spacing w:line="360" w:lineRule="auto"/>
        <w:ind w:firstLine="5040" w:firstLineChars="2100"/>
        <w:jc w:val="both"/>
        <w:rPr>
          <w:rFonts w:hint="eastAsia" w:ascii="宋体" w:hAnsi="宋体" w:cs="宋体"/>
          <w:color w:val="auto"/>
          <w:sz w:val="24"/>
          <w:szCs w:val="20"/>
          <w:highlight w:val="none"/>
          <w:lang w:val="en-US" w:eastAsia="zh-CN"/>
        </w:rPr>
      </w:pPr>
    </w:p>
    <w:p w14:paraId="3CC67CE4">
      <w:pPr>
        <w:pStyle w:val="10"/>
        <w:rPr>
          <w:rFonts w:hint="eastAsia" w:ascii="宋体" w:hAnsi="宋体" w:cs="宋体"/>
          <w:color w:val="auto"/>
          <w:sz w:val="24"/>
          <w:szCs w:val="20"/>
          <w:highlight w:val="none"/>
          <w:lang w:val="en-US" w:eastAsia="zh-CN"/>
        </w:rPr>
      </w:pPr>
    </w:p>
    <w:p w14:paraId="7F3C5F57">
      <w:pPr>
        <w:pStyle w:val="10"/>
        <w:rPr>
          <w:rFonts w:hint="eastAsia" w:ascii="宋体" w:hAnsi="宋体" w:cs="宋体"/>
          <w:color w:val="auto"/>
          <w:sz w:val="24"/>
          <w:szCs w:val="20"/>
          <w:highlight w:val="none"/>
          <w:lang w:val="en-US" w:eastAsia="zh-CN"/>
        </w:rPr>
      </w:pPr>
    </w:p>
    <w:p w14:paraId="02BA6704">
      <w:pPr>
        <w:spacing w:line="360" w:lineRule="auto"/>
        <w:ind w:firstLine="5040" w:firstLineChars="2100"/>
        <w:jc w:val="both"/>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val="en-US" w:eastAsia="zh-CN"/>
        </w:rPr>
        <w:t>投标人</w:t>
      </w:r>
      <w:r>
        <w:rPr>
          <w:rFonts w:hint="eastAsia" w:ascii="宋体" w:hAnsi="宋体" w:eastAsia="宋体" w:cs="宋体"/>
          <w:color w:val="auto"/>
          <w:sz w:val="24"/>
          <w:szCs w:val="20"/>
          <w:highlight w:val="none"/>
        </w:rPr>
        <w:t>名称（盖章）：</w:t>
      </w:r>
    </w:p>
    <w:p w14:paraId="3A7EE08C">
      <w:pPr>
        <w:spacing w:line="360" w:lineRule="auto"/>
        <w:ind w:firstLine="5040" w:firstLineChars="2100"/>
        <w:jc w:val="both"/>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日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期：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  年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月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 日</w:t>
      </w:r>
    </w:p>
    <w:p w14:paraId="5B62776B">
      <w:pPr>
        <w:tabs>
          <w:tab w:val="left" w:pos="720"/>
        </w:tabs>
        <w:snapToGrid w:val="0"/>
        <w:spacing w:line="360" w:lineRule="auto"/>
        <w:rPr>
          <w:color w:val="auto"/>
          <w:sz w:val="24"/>
          <w:szCs w:val="24"/>
          <w:highlight w:val="none"/>
        </w:rPr>
      </w:pPr>
    </w:p>
    <w:p w14:paraId="72A7C6A8">
      <w:pPr>
        <w:tabs>
          <w:tab w:val="left" w:pos="720"/>
        </w:tabs>
        <w:snapToGrid w:val="0"/>
        <w:spacing w:line="360" w:lineRule="auto"/>
        <w:jc w:val="center"/>
        <w:rPr>
          <w:rStyle w:val="25"/>
          <w:rFonts w:hint="eastAsia"/>
          <w:color w:val="auto"/>
          <w:highlight w:val="none"/>
        </w:rPr>
        <w:sectPr>
          <w:pgSz w:w="11906" w:h="16838"/>
          <w:pgMar w:top="1440" w:right="1800" w:bottom="1440" w:left="1800" w:header="851" w:footer="992" w:gutter="0"/>
          <w:pgNumType w:fmt="decimal"/>
          <w:cols w:space="425" w:num="1"/>
          <w:docGrid w:type="lines" w:linePitch="312" w:charSpace="0"/>
        </w:sectPr>
      </w:pPr>
    </w:p>
    <w:p w14:paraId="665CCEF6">
      <w:pPr>
        <w:tabs>
          <w:tab w:val="left" w:pos="720"/>
        </w:tabs>
        <w:snapToGrid w:val="0"/>
        <w:spacing w:line="360" w:lineRule="auto"/>
        <w:jc w:val="center"/>
        <w:rPr>
          <w:rStyle w:val="25"/>
          <w:b/>
          <w:bCs/>
          <w:color w:val="auto"/>
          <w:highlight w:val="none"/>
        </w:rPr>
      </w:pPr>
      <w:r>
        <w:rPr>
          <w:rStyle w:val="25"/>
          <w:rFonts w:hint="eastAsia"/>
          <w:b/>
          <w:bCs/>
          <w:color w:val="auto"/>
          <w:highlight w:val="none"/>
        </w:rPr>
        <w:t>第五章</w:t>
      </w:r>
      <w:r>
        <w:rPr>
          <w:rStyle w:val="25"/>
          <w:b/>
          <w:bCs/>
          <w:color w:val="auto"/>
          <w:highlight w:val="none"/>
        </w:rPr>
        <w:t xml:space="preserve">  </w:t>
      </w:r>
      <w:r>
        <w:rPr>
          <w:rStyle w:val="25"/>
          <w:rFonts w:hint="eastAsia"/>
          <w:b/>
          <w:bCs/>
          <w:color w:val="auto"/>
          <w:highlight w:val="none"/>
        </w:rPr>
        <w:t>技术条件（工程建设标准）</w:t>
      </w:r>
    </w:p>
    <w:p w14:paraId="71D10DA9">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施工组织设计要点</w:t>
      </w:r>
    </w:p>
    <w:p w14:paraId="0327482C">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第一节  编制要求</w:t>
      </w:r>
    </w:p>
    <w:p w14:paraId="466EF81F">
      <w:pPr>
        <w:spacing w:line="360" w:lineRule="auto"/>
        <w:rPr>
          <w:rFonts w:ascii="宋体" w:hAnsi="宋体"/>
          <w:color w:val="auto"/>
          <w:spacing w:val="20"/>
          <w:sz w:val="24"/>
          <w:highlight w:val="none"/>
        </w:rPr>
      </w:pPr>
      <w:r>
        <w:rPr>
          <w:rFonts w:hint="eastAsia" w:ascii="宋体" w:hAnsi="宋体"/>
          <w:color w:val="auto"/>
          <w:spacing w:val="20"/>
          <w:sz w:val="24"/>
          <w:highlight w:val="none"/>
        </w:rPr>
        <w:t>一、编制依据</w:t>
      </w:r>
    </w:p>
    <w:p w14:paraId="2633A01A">
      <w:pPr>
        <w:spacing w:line="360" w:lineRule="auto"/>
        <w:rPr>
          <w:rFonts w:ascii="宋体" w:hAnsi="宋体"/>
          <w:color w:val="auto"/>
          <w:spacing w:val="20"/>
          <w:sz w:val="24"/>
          <w:highlight w:val="none"/>
        </w:rPr>
      </w:pPr>
      <w:r>
        <w:rPr>
          <w:rFonts w:hint="eastAsia" w:ascii="宋体" w:hAnsi="宋体"/>
          <w:color w:val="auto"/>
          <w:spacing w:val="20"/>
          <w:sz w:val="24"/>
          <w:highlight w:val="none"/>
        </w:rPr>
        <w:t>1、本工程招标文件的有关要求。</w:t>
      </w:r>
    </w:p>
    <w:p w14:paraId="1B810C5A">
      <w:pPr>
        <w:spacing w:line="360" w:lineRule="auto"/>
        <w:rPr>
          <w:rFonts w:ascii="宋体" w:hAnsi="宋体"/>
          <w:color w:val="auto"/>
          <w:spacing w:val="20"/>
          <w:sz w:val="24"/>
          <w:highlight w:val="none"/>
        </w:rPr>
      </w:pPr>
      <w:r>
        <w:rPr>
          <w:rFonts w:hint="eastAsia" w:ascii="宋体" w:hAnsi="宋体"/>
          <w:color w:val="auto"/>
          <w:spacing w:val="20"/>
          <w:sz w:val="24"/>
          <w:highlight w:val="none"/>
        </w:rPr>
        <w:t>2、国家、广东省、广州市、番禺区有关施工验收规范、质量标准和操作规程等要求。</w:t>
      </w:r>
    </w:p>
    <w:p w14:paraId="50EA3527">
      <w:pPr>
        <w:spacing w:line="360" w:lineRule="auto"/>
        <w:rPr>
          <w:rFonts w:ascii="宋体" w:hAnsi="宋体"/>
          <w:color w:val="auto"/>
          <w:spacing w:val="20"/>
          <w:sz w:val="24"/>
          <w:highlight w:val="none"/>
        </w:rPr>
      </w:pPr>
      <w:r>
        <w:rPr>
          <w:rFonts w:hint="eastAsia" w:ascii="宋体" w:hAnsi="宋体"/>
          <w:color w:val="auto"/>
          <w:spacing w:val="20"/>
          <w:sz w:val="24"/>
          <w:highlight w:val="none"/>
        </w:rPr>
        <w:t>3、施工图纸及有关资料。</w:t>
      </w:r>
    </w:p>
    <w:p w14:paraId="0A151B1E">
      <w:pPr>
        <w:spacing w:line="360" w:lineRule="auto"/>
        <w:rPr>
          <w:rFonts w:ascii="宋体" w:hAnsi="宋体"/>
          <w:color w:val="auto"/>
          <w:spacing w:val="20"/>
          <w:sz w:val="24"/>
          <w:highlight w:val="none"/>
        </w:rPr>
      </w:pPr>
      <w:r>
        <w:rPr>
          <w:rFonts w:hint="eastAsia" w:ascii="宋体" w:hAnsi="宋体"/>
          <w:color w:val="auto"/>
          <w:spacing w:val="20"/>
          <w:sz w:val="24"/>
          <w:highlight w:val="none"/>
        </w:rPr>
        <w:t>二、具体要求</w:t>
      </w:r>
    </w:p>
    <w:p w14:paraId="254E44E8">
      <w:pPr>
        <w:spacing w:line="360" w:lineRule="auto"/>
        <w:rPr>
          <w:rFonts w:ascii="宋体" w:hAnsi="宋体"/>
          <w:color w:val="auto"/>
          <w:spacing w:val="20"/>
          <w:sz w:val="24"/>
          <w:highlight w:val="none"/>
        </w:rPr>
      </w:pPr>
      <w:r>
        <w:rPr>
          <w:rFonts w:hint="eastAsia" w:ascii="宋体" w:hAnsi="宋体"/>
          <w:color w:val="auto"/>
          <w:spacing w:val="20"/>
          <w:sz w:val="24"/>
          <w:highlight w:val="none"/>
        </w:rPr>
        <w:t>1、“重合同，守信誉”。按本工程规定的总工期，编制出完善的施工进度控制计划，在投标承诺了工期内完成工程任务。</w:t>
      </w:r>
    </w:p>
    <w:p w14:paraId="09482DF8">
      <w:pPr>
        <w:spacing w:line="360" w:lineRule="auto"/>
        <w:rPr>
          <w:rFonts w:ascii="宋体" w:hAnsi="宋体"/>
          <w:color w:val="auto"/>
          <w:spacing w:val="20"/>
          <w:sz w:val="24"/>
          <w:highlight w:val="none"/>
        </w:rPr>
      </w:pPr>
      <w:r>
        <w:rPr>
          <w:rFonts w:hint="eastAsia" w:ascii="宋体" w:hAnsi="宋体"/>
          <w:color w:val="auto"/>
          <w:spacing w:val="20"/>
          <w:sz w:val="24"/>
          <w:highlight w:val="none"/>
        </w:rPr>
        <w:t>2、发挥技术优势，优化管理水平。安排经验丰富的优秀管理人员和高素质的工人参加本项目施工，采用先进的技术设备，优化施工管理，充分发挥施工单位在管理和技术方面的优势。</w:t>
      </w:r>
    </w:p>
    <w:p w14:paraId="631A85CA">
      <w:pPr>
        <w:spacing w:line="360" w:lineRule="auto"/>
        <w:rPr>
          <w:rFonts w:ascii="宋体" w:hAnsi="宋体"/>
          <w:color w:val="auto"/>
          <w:spacing w:val="20"/>
          <w:sz w:val="24"/>
          <w:highlight w:val="none"/>
        </w:rPr>
      </w:pPr>
    </w:p>
    <w:p w14:paraId="3110FD91">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第二节  施工要求</w:t>
      </w:r>
    </w:p>
    <w:p w14:paraId="0F6A3020">
      <w:pPr>
        <w:spacing w:line="360" w:lineRule="auto"/>
        <w:rPr>
          <w:rFonts w:ascii="宋体" w:hAnsi="宋体"/>
          <w:color w:val="auto"/>
          <w:spacing w:val="20"/>
          <w:sz w:val="24"/>
          <w:highlight w:val="none"/>
        </w:rPr>
      </w:pPr>
      <w:r>
        <w:rPr>
          <w:rFonts w:hint="eastAsia" w:ascii="宋体" w:hAnsi="宋体"/>
          <w:color w:val="auto"/>
          <w:spacing w:val="20"/>
          <w:sz w:val="24"/>
          <w:highlight w:val="none"/>
        </w:rPr>
        <w:t>一、施工机构及现场管理要求</w:t>
      </w:r>
    </w:p>
    <w:p w14:paraId="0599418F">
      <w:pPr>
        <w:spacing w:line="360" w:lineRule="auto"/>
        <w:rPr>
          <w:rFonts w:ascii="宋体" w:hAnsi="宋体"/>
          <w:color w:val="auto"/>
          <w:spacing w:val="20"/>
          <w:sz w:val="24"/>
          <w:highlight w:val="none"/>
        </w:rPr>
      </w:pPr>
      <w:r>
        <w:rPr>
          <w:rFonts w:hint="eastAsia" w:ascii="宋体" w:hAnsi="宋体"/>
          <w:color w:val="auto"/>
          <w:spacing w:val="20"/>
          <w:sz w:val="24"/>
          <w:highlight w:val="none"/>
        </w:rPr>
        <w:t>为把好工程质量、安全、进度关，确保工程质量等级达到合格，要求委派一名项目负责人，一名技术负责人，对工程的质量、安全、进度和成本，实行高效益、有计划的组织、协调和管理。建立健全的施工组织管理机构。</w:t>
      </w:r>
    </w:p>
    <w:p w14:paraId="5E712A18">
      <w:pPr>
        <w:spacing w:line="360" w:lineRule="auto"/>
        <w:rPr>
          <w:rFonts w:ascii="宋体" w:hAnsi="宋体"/>
          <w:color w:val="auto"/>
          <w:spacing w:val="20"/>
          <w:sz w:val="24"/>
          <w:highlight w:val="none"/>
        </w:rPr>
      </w:pPr>
      <w:r>
        <w:rPr>
          <w:rFonts w:hint="eastAsia" w:ascii="宋体" w:hAnsi="宋体"/>
          <w:color w:val="auto"/>
          <w:spacing w:val="20"/>
          <w:sz w:val="24"/>
          <w:highlight w:val="none"/>
        </w:rPr>
        <w:t>二、施工要求</w:t>
      </w:r>
    </w:p>
    <w:p w14:paraId="1A5957C3">
      <w:pPr>
        <w:widowControl/>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本工程施工要点如下：</w:t>
      </w:r>
    </w:p>
    <w:p w14:paraId="0842C67E">
      <w:pPr>
        <w:spacing w:line="360" w:lineRule="auto"/>
        <w:rPr>
          <w:rFonts w:ascii="宋体" w:hAnsi="宋体"/>
          <w:color w:val="auto"/>
          <w:spacing w:val="20"/>
          <w:sz w:val="24"/>
          <w:highlight w:val="none"/>
        </w:rPr>
      </w:pPr>
      <w:r>
        <w:rPr>
          <w:rFonts w:hint="eastAsia" w:ascii="宋体" w:hAnsi="宋体"/>
          <w:color w:val="auto"/>
          <w:spacing w:val="20"/>
          <w:sz w:val="24"/>
          <w:highlight w:val="none"/>
        </w:rPr>
        <w:t>1、采用先进的施工技术；</w:t>
      </w:r>
    </w:p>
    <w:p w14:paraId="5975886E">
      <w:pPr>
        <w:spacing w:line="360" w:lineRule="auto"/>
        <w:rPr>
          <w:rFonts w:ascii="宋体" w:hAnsi="宋体"/>
          <w:color w:val="auto"/>
          <w:spacing w:val="20"/>
          <w:sz w:val="24"/>
          <w:highlight w:val="none"/>
        </w:rPr>
      </w:pPr>
      <w:r>
        <w:rPr>
          <w:rFonts w:hint="eastAsia" w:ascii="宋体" w:hAnsi="宋体"/>
          <w:color w:val="auto"/>
          <w:spacing w:val="20"/>
          <w:sz w:val="24"/>
          <w:highlight w:val="none"/>
        </w:rPr>
        <w:t>2、投入现代化的施工机械设备；</w:t>
      </w:r>
    </w:p>
    <w:p w14:paraId="2A6606C5">
      <w:pPr>
        <w:spacing w:line="360" w:lineRule="auto"/>
        <w:rPr>
          <w:rFonts w:ascii="宋体" w:hAnsi="宋体"/>
          <w:color w:val="auto"/>
          <w:spacing w:val="20"/>
          <w:sz w:val="24"/>
          <w:highlight w:val="none"/>
        </w:rPr>
      </w:pPr>
      <w:r>
        <w:rPr>
          <w:rFonts w:hint="eastAsia" w:ascii="宋体" w:hAnsi="宋体"/>
          <w:color w:val="auto"/>
          <w:spacing w:val="20"/>
          <w:sz w:val="24"/>
          <w:highlight w:val="none"/>
        </w:rPr>
        <w:t>3、合理的施工方案和先进的施工组织。</w:t>
      </w:r>
    </w:p>
    <w:p w14:paraId="3F0186CF">
      <w:pPr>
        <w:spacing w:line="360" w:lineRule="auto"/>
        <w:rPr>
          <w:rFonts w:ascii="宋体" w:hAnsi="宋体"/>
          <w:color w:val="auto"/>
          <w:spacing w:val="20"/>
          <w:sz w:val="24"/>
          <w:highlight w:val="none"/>
        </w:rPr>
      </w:pPr>
      <w:r>
        <w:rPr>
          <w:rFonts w:hint="eastAsia" w:ascii="宋体" w:hAnsi="宋体"/>
          <w:color w:val="auto"/>
          <w:spacing w:val="20"/>
          <w:sz w:val="24"/>
          <w:highlight w:val="none"/>
        </w:rPr>
        <w:t>4、施工过程要求</w:t>
      </w:r>
    </w:p>
    <w:p w14:paraId="54301BAF">
      <w:pPr>
        <w:spacing w:line="360" w:lineRule="auto"/>
        <w:rPr>
          <w:rFonts w:ascii="宋体" w:hAnsi="宋体"/>
          <w:color w:val="auto"/>
          <w:spacing w:val="20"/>
          <w:sz w:val="24"/>
          <w:highlight w:val="none"/>
        </w:rPr>
      </w:pPr>
      <w:r>
        <w:rPr>
          <w:rFonts w:hint="eastAsia" w:ascii="宋体" w:hAnsi="宋体"/>
          <w:color w:val="auto"/>
          <w:spacing w:val="20"/>
          <w:sz w:val="24"/>
          <w:highlight w:val="none"/>
        </w:rPr>
        <w:t>A、严格按照国家、省市、地方施工规范要求进行施工。</w:t>
      </w:r>
    </w:p>
    <w:p w14:paraId="4A1FD4FC">
      <w:pPr>
        <w:spacing w:line="360" w:lineRule="auto"/>
        <w:rPr>
          <w:rFonts w:ascii="宋体" w:hAnsi="宋体"/>
          <w:color w:val="auto"/>
          <w:spacing w:val="20"/>
          <w:sz w:val="24"/>
          <w:highlight w:val="none"/>
        </w:rPr>
      </w:pPr>
      <w:r>
        <w:rPr>
          <w:rFonts w:hint="eastAsia" w:ascii="宋体" w:hAnsi="宋体"/>
          <w:color w:val="auto"/>
          <w:spacing w:val="20"/>
          <w:sz w:val="24"/>
          <w:highlight w:val="none"/>
        </w:rPr>
        <w:t>B、根据工程进度计划，编制材料订购、质量检测、配方测试，确保材料质量和供应的计划。</w:t>
      </w:r>
    </w:p>
    <w:p w14:paraId="60D00E43">
      <w:pPr>
        <w:spacing w:line="360" w:lineRule="auto"/>
        <w:rPr>
          <w:rFonts w:ascii="宋体" w:hAnsi="宋体"/>
          <w:color w:val="auto"/>
          <w:spacing w:val="20"/>
          <w:sz w:val="24"/>
          <w:highlight w:val="none"/>
        </w:rPr>
      </w:pPr>
      <w:r>
        <w:rPr>
          <w:rFonts w:hint="eastAsia" w:ascii="宋体" w:hAnsi="宋体"/>
          <w:color w:val="auto"/>
          <w:spacing w:val="20"/>
          <w:sz w:val="24"/>
          <w:highlight w:val="none"/>
        </w:rPr>
        <w:t>三、项目施工目标</w:t>
      </w:r>
    </w:p>
    <w:p w14:paraId="0184688B">
      <w:pPr>
        <w:spacing w:line="360" w:lineRule="auto"/>
        <w:rPr>
          <w:rFonts w:ascii="宋体" w:hAnsi="宋体"/>
          <w:color w:val="auto"/>
          <w:spacing w:val="20"/>
          <w:sz w:val="24"/>
          <w:highlight w:val="none"/>
        </w:rPr>
      </w:pPr>
      <w:r>
        <w:rPr>
          <w:rFonts w:hint="eastAsia" w:ascii="宋体" w:hAnsi="宋体"/>
          <w:color w:val="auto"/>
          <w:spacing w:val="20"/>
          <w:sz w:val="24"/>
          <w:highlight w:val="none"/>
        </w:rPr>
        <w:t>1、质量目标。确保工程质量一次验收合格。</w:t>
      </w:r>
    </w:p>
    <w:p w14:paraId="446036D2">
      <w:pPr>
        <w:spacing w:line="360" w:lineRule="auto"/>
        <w:rPr>
          <w:rFonts w:ascii="宋体" w:hAnsi="宋体"/>
          <w:color w:val="auto"/>
          <w:spacing w:val="20"/>
          <w:sz w:val="24"/>
          <w:highlight w:val="none"/>
        </w:rPr>
      </w:pPr>
      <w:r>
        <w:rPr>
          <w:rFonts w:hint="eastAsia" w:ascii="宋体" w:hAnsi="宋体"/>
          <w:color w:val="auto"/>
          <w:spacing w:val="20"/>
          <w:sz w:val="24"/>
          <w:highlight w:val="none"/>
        </w:rPr>
        <w:t>2、安全目标。杜绝重大安全事故的发生，控制工伤、轻伤事故在千分之一内。</w:t>
      </w:r>
    </w:p>
    <w:p w14:paraId="6955048F">
      <w:pPr>
        <w:spacing w:line="360" w:lineRule="auto"/>
        <w:rPr>
          <w:rFonts w:ascii="宋体" w:hAnsi="宋体"/>
          <w:color w:val="auto"/>
          <w:spacing w:val="20"/>
          <w:sz w:val="24"/>
          <w:highlight w:val="none"/>
        </w:rPr>
      </w:pPr>
      <w:r>
        <w:rPr>
          <w:rFonts w:hint="eastAsia" w:ascii="宋体" w:hAnsi="宋体"/>
          <w:color w:val="auto"/>
          <w:spacing w:val="20"/>
          <w:sz w:val="24"/>
          <w:highlight w:val="none"/>
        </w:rPr>
        <w:t>3、工期目标。</w:t>
      </w:r>
      <w:r>
        <w:rPr>
          <w:rFonts w:hint="eastAsia" w:ascii="宋体" w:hAnsi="宋体"/>
          <w:color w:val="auto"/>
          <w:spacing w:val="20"/>
          <w:sz w:val="24"/>
          <w:szCs w:val="24"/>
          <w:highlight w:val="none"/>
        </w:rPr>
        <w:t>按招标文件目标工期，</w:t>
      </w:r>
      <w:r>
        <w:rPr>
          <w:rFonts w:hint="eastAsia" w:ascii="宋体" w:hAnsi="宋体"/>
          <w:color w:val="auto"/>
          <w:spacing w:val="20"/>
          <w:sz w:val="24"/>
          <w:szCs w:val="24"/>
          <w:highlight w:val="none"/>
          <w:lang w:eastAsia="zh-CN"/>
        </w:rPr>
        <w:t>完成</w:t>
      </w:r>
      <w:r>
        <w:rPr>
          <w:rFonts w:hint="eastAsia" w:ascii="宋体" w:hAnsi="宋体"/>
          <w:color w:val="auto"/>
          <w:spacing w:val="20"/>
          <w:sz w:val="24"/>
          <w:szCs w:val="24"/>
          <w:highlight w:val="none"/>
        </w:rPr>
        <w:t xml:space="preserve">项目实体及相关资料，并经发包方验收合格。 </w:t>
      </w:r>
    </w:p>
    <w:p w14:paraId="078E4EF6">
      <w:pPr>
        <w:spacing w:line="360" w:lineRule="auto"/>
        <w:rPr>
          <w:rFonts w:ascii="宋体" w:hAnsi="宋体"/>
          <w:color w:val="auto"/>
          <w:spacing w:val="20"/>
          <w:sz w:val="24"/>
          <w:highlight w:val="none"/>
        </w:rPr>
      </w:pPr>
      <w:r>
        <w:rPr>
          <w:rFonts w:hint="eastAsia" w:ascii="宋体" w:hAnsi="宋体"/>
          <w:color w:val="auto"/>
          <w:spacing w:val="20"/>
          <w:highlight w:val="none"/>
        </w:rPr>
        <w:t xml:space="preserve"> </w:t>
      </w:r>
    </w:p>
    <w:p w14:paraId="264A94D5">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第三节  主要施工方案与施工方法的要求</w:t>
      </w:r>
    </w:p>
    <w:p w14:paraId="6475A00A">
      <w:pPr>
        <w:spacing w:line="360" w:lineRule="auto"/>
        <w:rPr>
          <w:rFonts w:ascii="宋体" w:hAnsi="宋体"/>
          <w:color w:val="auto"/>
          <w:spacing w:val="20"/>
          <w:sz w:val="24"/>
          <w:highlight w:val="none"/>
        </w:rPr>
      </w:pPr>
      <w:r>
        <w:rPr>
          <w:rFonts w:hint="eastAsia" w:ascii="宋体" w:hAnsi="宋体"/>
          <w:color w:val="auto"/>
          <w:spacing w:val="20"/>
          <w:sz w:val="24"/>
          <w:highlight w:val="none"/>
        </w:rPr>
        <w:t>一、结构施工要求</w:t>
      </w:r>
    </w:p>
    <w:p w14:paraId="6138A636">
      <w:pPr>
        <w:spacing w:line="360" w:lineRule="auto"/>
        <w:rPr>
          <w:rFonts w:ascii="宋体" w:hAnsi="宋体"/>
          <w:color w:val="auto"/>
          <w:spacing w:val="20"/>
          <w:sz w:val="24"/>
          <w:highlight w:val="none"/>
        </w:rPr>
      </w:pPr>
      <w:r>
        <w:rPr>
          <w:rFonts w:hint="eastAsia" w:ascii="宋体" w:hAnsi="宋体"/>
          <w:color w:val="auto"/>
          <w:spacing w:val="20"/>
          <w:sz w:val="24"/>
          <w:highlight w:val="none"/>
        </w:rPr>
        <w:t>1、工程施工要求</w:t>
      </w:r>
    </w:p>
    <w:p w14:paraId="237EC439">
      <w:pPr>
        <w:spacing w:line="360" w:lineRule="auto"/>
        <w:rPr>
          <w:rFonts w:ascii="宋体" w:hAnsi="宋体"/>
          <w:color w:val="auto"/>
          <w:spacing w:val="20"/>
          <w:sz w:val="24"/>
          <w:highlight w:val="none"/>
        </w:rPr>
      </w:pPr>
      <w:r>
        <w:rPr>
          <w:rFonts w:hint="eastAsia" w:ascii="宋体" w:hAnsi="宋体"/>
          <w:color w:val="auto"/>
          <w:spacing w:val="20"/>
          <w:sz w:val="24"/>
          <w:highlight w:val="none"/>
        </w:rPr>
        <w:t>各分项工程在施工前，均应编制相应的施工技术措施，内容包括施工准备、操作工艺、质量标准、成品保护等。</w:t>
      </w:r>
    </w:p>
    <w:p w14:paraId="07A16465">
      <w:pPr>
        <w:spacing w:line="360" w:lineRule="auto"/>
        <w:rPr>
          <w:rFonts w:ascii="宋体" w:hAnsi="宋体"/>
          <w:color w:val="auto"/>
          <w:spacing w:val="20"/>
          <w:sz w:val="24"/>
          <w:highlight w:val="none"/>
        </w:rPr>
      </w:pPr>
      <w:r>
        <w:rPr>
          <w:rFonts w:hint="eastAsia" w:ascii="宋体" w:hAnsi="宋体"/>
          <w:color w:val="auto"/>
          <w:spacing w:val="20"/>
          <w:sz w:val="24"/>
          <w:highlight w:val="none"/>
        </w:rPr>
        <w:t>2、所有施工项目均应按照国家、省市、地方有关法律法规及规范要求制定施工技术方案后方可施工。</w:t>
      </w:r>
    </w:p>
    <w:p w14:paraId="42671E2E">
      <w:pPr>
        <w:spacing w:line="360" w:lineRule="auto"/>
        <w:rPr>
          <w:rFonts w:ascii="宋体" w:hAnsi="宋体"/>
          <w:color w:val="auto"/>
          <w:spacing w:val="20"/>
          <w:sz w:val="24"/>
          <w:highlight w:val="none"/>
        </w:rPr>
      </w:pPr>
    </w:p>
    <w:p w14:paraId="5B1A94B0">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第四节  主要技术组织要求</w:t>
      </w:r>
    </w:p>
    <w:p w14:paraId="50CABCA6">
      <w:pPr>
        <w:spacing w:line="360" w:lineRule="auto"/>
        <w:rPr>
          <w:rFonts w:ascii="宋体" w:hAnsi="宋体"/>
          <w:color w:val="auto"/>
          <w:spacing w:val="20"/>
          <w:sz w:val="24"/>
          <w:highlight w:val="none"/>
        </w:rPr>
      </w:pPr>
      <w:r>
        <w:rPr>
          <w:rFonts w:hint="eastAsia" w:ascii="宋体" w:hAnsi="宋体"/>
          <w:color w:val="auto"/>
          <w:spacing w:val="20"/>
          <w:sz w:val="24"/>
          <w:highlight w:val="none"/>
        </w:rPr>
        <w:t>一、工程施工中，要严格执行有关技术操作的各项规程，要注意落实下列各点中的技术措施。实行目标管理，明确总目标为合格。</w:t>
      </w:r>
    </w:p>
    <w:p w14:paraId="7B980B65">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1、成立以总工程师为首的全面质量和管理小组。</w:t>
      </w:r>
    </w:p>
    <w:p w14:paraId="3F7AC120">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2、明确并认真落实技术岗位责任制和技术交底制度。</w:t>
      </w:r>
    </w:p>
    <w:p w14:paraId="05A635AA">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3、落实图纸会审、定位放线、预检复核、材质验收、成品保护等有关规定。</w:t>
      </w:r>
    </w:p>
    <w:p w14:paraId="0CB8D1C8">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4、制定自检，互检（交接检）末检制度。</w:t>
      </w:r>
    </w:p>
    <w:p w14:paraId="44F687CC">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5、对工程实行质量预控，施工程序及工艺标准施工。</w:t>
      </w:r>
    </w:p>
    <w:p w14:paraId="41ED4841">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6、特殊工种必须持证上岗。</w:t>
      </w:r>
    </w:p>
    <w:p w14:paraId="0A0A2476">
      <w:pPr>
        <w:pStyle w:val="26"/>
        <w:jc w:val="left"/>
        <w:rPr>
          <w:rFonts w:ascii="宋体" w:hAnsi="宋体" w:eastAsia="宋体"/>
          <w:color w:val="auto"/>
          <w:spacing w:val="20"/>
          <w:kern w:val="2"/>
          <w:highlight w:val="none"/>
        </w:rPr>
      </w:pPr>
    </w:p>
    <w:p w14:paraId="117C7DF0">
      <w:pPr>
        <w:spacing w:line="360" w:lineRule="auto"/>
        <w:jc w:val="center"/>
        <w:rPr>
          <w:rFonts w:ascii="宋体" w:hAnsi="宋体"/>
          <w:b/>
          <w:bCs/>
          <w:color w:val="auto"/>
          <w:spacing w:val="20"/>
          <w:sz w:val="30"/>
          <w:szCs w:val="30"/>
          <w:highlight w:val="none"/>
        </w:rPr>
      </w:pPr>
    </w:p>
    <w:p w14:paraId="643E72D9">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第五节  质量、工期保证措施</w:t>
      </w:r>
    </w:p>
    <w:p w14:paraId="18D01AB1">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一、质量保证措施</w:t>
      </w:r>
    </w:p>
    <w:p w14:paraId="124581EE">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1、建立健全结构，施工从设备、材料、半成品、成品进场，施工安装直至交付验收的质量保证体系，并落实到人。</w:t>
      </w:r>
    </w:p>
    <w:p w14:paraId="6EE37FCD">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2、严格贯彻“把关”和“积极预防”相结合的质量管理方法。</w:t>
      </w:r>
    </w:p>
    <w:p w14:paraId="0AD7CA0F">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3、本工程实行全面质量管理、文明施工，整个工程实行专业性管理，提前组织培训，统一思想，熟悉操作。</w:t>
      </w:r>
    </w:p>
    <w:p w14:paraId="19B703A5">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4、按进度计划施工，严格技术管理，当进度与质量发生矛盾时，要服从质量，承包任务者首先要承包质量。</w:t>
      </w:r>
    </w:p>
    <w:p w14:paraId="09F12873">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5、加强质量监督检查，采取专业检查与自检相结合的检查方法，并以自检为主，坚持贯彻执行自检、互检、交接检的三检制度与挂牌制度，对工程质量要求一丝不苟。</w:t>
      </w:r>
    </w:p>
    <w:p w14:paraId="20B366BF">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二、工期保证措施</w:t>
      </w:r>
    </w:p>
    <w:p w14:paraId="54F743F0">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1、运用现代化管理方法指导生产、加强动态管理。充分利用已有资源组织材料、人力资源的合理配置。保障各阶段施工的连续性，消除窝工、停工现象。</w:t>
      </w:r>
    </w:p>
    <w:p w14:paraId="63905758">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2、各工序严格按进度计划施工，项目经理有效协调人力资源，确保施工顺利；</w:t>
      </w:r>
    </w:p>
    <w:p w14:paraId="56748800">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3、保证倒排工期，充分做好施工前的准备工作；</w:t>
      </w:r>
    </w:p>
    <w:p w14:paraId="107146E2">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4、优化网络计划管理，综合考虑机械、设备、材料的相应关系，使各工种、各工序实施紧密的交叉搭接，对每道工序制定相应的调整措施。</w:t>
      </w:r>
    </w:p>
    <w:p w14:paraId="36634E85">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5、合理配置施工机械设施，提高使用效率，保证各项作业、各工种之间的高度协调，发挥最大的生产潜力，实现工期目标值。</w:t>
      </w:r>
    </w:p>
    <w:p w14:paraId="16FA1D0F">
      <w:pPr>
        <w:spacing w:line="360" w:lineRule="auto"/>
        <w:rPr>
          <w:rFonts w:ascii="宋体" w:hAnsi="宋体"/>
          <w:b/>
          <w:bCs/>
          <w:color w:val="auto"/>
          <w:spacing w:val="20"/>
          <w:sz w:val="30"/>
          <w:szCs w:val="30"/>
          <w:highlight w:val="none"/>
        </w:rPr>
      </w:pPr>
    </w:p>
    <w:p w14:paraId="0A57DD3F">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第六节  投入的主要机械设备及劳动力计划</w:t>
      </w:r>
    </w:p>
    <w:p w14:paraId="17574DC4">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根据经建设单位及监理批准的施工进度计划及现场施工情况，投入相应数量的机械设备及劳动力，满足工程进度要求，确保按期完工。</w:t>
      </w:r>
    </w:p>
    <w:p w14:paraId="57845B47">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1、在确保工程质量、安全生产的前提下，优化施工进度计划，动态管理，合理组织，严格控制关键线路节点，确保工期目标。</w:t>
      </w:r>
    </w:p>
    <w:p w14:paraId="764D261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2、采用性能完好的机械设备并配齐数量，设现场专业机修班组，定期检查、调试。</w:t>
      </w:r>
    </w:p>
    <w:p w14:paraId="17C972B4">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3、现场职工及劳务认真挑选，竞争上岗，确保现场施工人员的岗位技能水平及劳动数量满足工期要求。</w:t>
      </w:r>
    </w:p>
    <w:p w14:paraId="37DDE400">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4、根据施工进度控制统筹计划及时合理编制工程施工进度每周计划，直至落实到小时工作安排。</w:t>
      </w:r>
    </w:p>
    <w:p w14:paraId="3DE7B36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5、平面按划定的施工区段组织流水施工，将分为多个工作班组，分段流水协调施工。</w:t>
      </w:r>
    </w:p>
    <w:p w14:paraId="7AF143C8">
      <w:pPr>
        <w:spacing w:line="360" w:lineRule="auto"/>
        <w:rPr>
          <w:rFonts w:ascii="宋体" w:hAnsi="宋体" w:cs="宋体"/>
          <w:color w:val="auto"/>
          <w:spacing w:val="20"/>
          <w:kern w:val="0"/>
          <w:sz w:val="24"/>
          <w:szCs w:val="24"/>
          <w:highlight w:val="none"/>
        </w:rPr>
      </w:pPr>
    </w:p>
    <w:p w14:paraId="27B78A6D">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第七节  安全文明施工措施</w:t>
      </w:r>
    </w:p>
    <w:p w14:paraId="4AD5A33E">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采取严格的施工管理措施，严格按照《广州市安全文明施工管理标准》、《建筑施工安全检查标准》等管理规定的要求，做好本工程安全文明施工工作。</w:t>
      </w:r>
    </w:p>
    <w:p w14:paraId="0B01141E">
      <w:pPr>
        <w:numPr>
          <w:ilvl w:val="0"/>
          <w:numId w:val="5"/>
        </w:numPr>
        <w:tabs>
          <w:tab w:val="left" w:pos="640"/>
          <w:tab w:val="clear" w:pos="1260"/>
        </w:tabs>
        <w:spacing w:line="360" w:lineRule="auto"/>
        <w:ind w:left="0" w:firstLine="0"/>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安全生产管理</w:t>
      </w:r>
    </w:p>
    <w:p w14:paraId="638730F0">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安全生产目标：达到五无目标，即“无死亡事故，无重大伤人事故，无重大机械事故，无火灾，无中毒事故”。并将一般减微事故发生频率控制在3‰以下。</w:t>
      </w:r>
    </w:p>
    <w:p w14:paraId="37B8BD14">
      <w:pPr>
        <w:spacing w:line="360" w:lineRule="auto"/>
        <w:rPr>
          <w:rFonts w:ascii="宋体" w:hAnsi="宋体"/>
          <w:color w:val="auto"/>
          <w:spacing w:val="20"/>
          <w:sz w:val="24"/>
          <w:szCs w:val="24"/>
          <w:highlight w:val="none"/>
        </w:rPr>
      </w:pPr>
      <w:r>
        <w:rPr>
          <w:rFonts w:hint="eastAsia" w:ascii="宋体" w:hAnsi="宋体" w:cs="宋体"/>
          <w:color w:val="auto"/>
          <w:spacing w:val="20"/>
          <w:kern w:val="0"/>
          <w:sz w:val="24"/>
          <w:szCs w:val="24"/>
          <w:highlight w:val="none"/>
        </w:rPr>
        <w:t>安全方针：安全第一，预防为主</w:t>
      </w:r>
    </w:p>
    <w:p w14:paraId="27A40C9A">
      <w:pPr>
        <w:spacing w:line="360" w:lineRule="auto"/>
        <w:rPr>
          <w:rFonts w:ascii="宋体" w:hAnsi="宋体"/>
          <w:color w:val="auto"/>
          <w:spacing w:val="20"/>
          <w:sz w:val="24"/>
          <w:szCs w:val="24"/>
          <w:highlight w:val="none"/>
        </w:rPr>
      </w:pPr>
      <w:r>
        <w:rPr>
          <w:rFonts w:hint="eastAsia" w:ascii="宋体" w:hAnsi="宋体" w:cs="宋体"/>
          <w:color w:val="auto"/>
          <w:spacing w:val="20"/>
          <w:kern w:val="0"/>
          <w:sz w:val="24"/>
          <w:szCs w:val="24"/>
          <w:highlight w:val="none"/>
        </w:rPr>
        <w:t>安全和文明施工目标：</w:t>
      </w:r>
      <w:r>
        <w:rPr>
          <w:rFonts w:hint="eastAsia" w:ascii="宋体" w:hAnsi="宋体"/>
          <w:color w:val="auto"/>
          <w:spacing w:val="20"/>
          <w:sz w:val="24"/>
          <w:szCs w:val="24"/>
          <w:highlight w:val="none"/>
        </w:rPr>
        <w:t xml:space="preserve"> </w:t>
      </w:r>
      <w:r>
        <w:rPr>
          <w:rFonts w:hint="eastAsia" w:ascii="宋体" w:hAnsi="宋体" w:cs="宋体"/>
          <w:color w:val="auto"/>
          <w:spacing w:val="20"/>
          <w:kern w:val="0"/>
          <w:sz w:val="24"/>
          <w:szCs w:val="24"/>
          <w:highlight w:val="none"/>
        </w:rPr>
        <w:t>力争达到安全生产，文明施工优良工地。</w:t>
      </w:r>
    </w:p>
    <w:p w14:paraId="5B8EAD2E">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管理小组：项目经理必须对拆卸工程的安全生产负全面领导责任。项目经理部应设工程安全负责人，检查落实各项安全技术措施。施工安全分为施工管理、安全教育、机械设备、现场维护及日常生活5大部分，各部分设专人进行监督管理，负责将安全小组的决定落实并向各施工班组安全小组交底并监督。做到安全落实到人，专人专项，职权分明。</w:t>
      </w:r>
    </w:p>
    <w:p w14:paraId="2D53266A">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教育制度：实行安全教育制度，加强宣传教育，制订科学合理的施工方案，现场组织切合实际的作业程序，正确严格地执行和运用施工及安全规范。对进场的工人进行摸底测试，统一进行安全教育，增强质量、安全意识。各专业班组认真进行技术交底，认真学习和深刻体会施工技术规范和施工安全规范。经过培训交底达到合格的职工才允许上岗操作，为安全工作顺利圆满开展打下坚实的基础。在施工过程中，建立每周一次的安全教育，由项目经理或专职安全员主持。同时在每道施工工序进行前，由专职安全员做书面的安全技术交底，各班组长带领施工人员认真贯彻落实。</w:t>
      </w:r>
    </w:p>
    <w:p w14:paraId="684A7A20">
      <w:pPr>
        <w:spacing w:line="360" w:lineRule="auto"/>
        <w:rPr>
          <w:rFonts w:ascii="宋体" w:hAnsi="宋体" w:cs="宋体"/>
          <w:b/>
          <w:color w:val="auto"/>
          <w:spacing w:val="20"/>
          <w:kern w:val="0"/>
          <w:sz w:val="24"/>
          <w:szCs w:val="24"/>
          <w:highlight w:val="none"/>
        </w:rPr>
      </w:pPr>
      <w:r>
        <w:rPr>
          <w:rFonts w:hint="eastAsia" w:ascii="宋体" w:hAnsi="宋体" w:cs="宋体"/>
          <w:color w:val="auto"/>
          <w:spacing w:val="20"/>
          <w:kern w:val="0"/>
          <w:sz w:val="24"/>
          <w:szCs w:val="24"/>
          <w:highlight w:val="none"/>
        </w:rPr>
        <w:t>二、文明施工管理</w:t>
      </w:r>
    </w:p>
    <w:p w14:paraId="1D88C8B7">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为加强文明施工管理，在认真学习贯彻国家及地方文明施工管理条例基础上，组织成立文明施工管理小组，由项目经理任组长，从现场施工、垃圾运输到日常生活文明均设专人管理，切实加强施工现场文明施工，并制作文明施工标志牌，放在醒目的地方提醒工人注意，共同维护一个文明的施工条件。</w:t>
      </w:r>
    </w:p>
    <w:p w14:paraId="58DD997B">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文明施工注意事项：</w:t>
      </w:r>
    </w:p>
    <w:p w14:paraId="069B3C08">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1、清运渣土的车辆应在在施工封闭范围内停放；清运渣土的车辆应封闭或采用苫布覆盖，出入现场时应有专人指挥。清运渣土的作业时间应遵守有关规定，做到夜间不施工，减少对周围环境的噪音影响。</w:t>
      </w:r>
    </w:p>
    <w:p w14:paraId="557F4A27">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2、对地下的各类管线，施工前在地面上设置明显标志，并标明管线用途，行进方向。对检查井、污水井也采取相应的保护措施。</w:t>
      </w:r>
    </w:p>
    <w:p w14:paraId="7EAC4B4A">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3、工程完工后，我方将及时将施工渣土清运出场，做到不积压。</w:t>
      </w:r>
    </w:p>
    <w:p w14:paraId="77768E90">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4、执行广东省、广州市有关加强施工现场文明施工管理的规定。</w:t>
      </w:r>
    </w:p>
    <w:p w14:paraId="5118C23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5、落实防火安全责任制，建立义务消防组织，明确责任人，负责施工现场的日常防火安全管理工作。在保证充足的消防水源的基础上，在施工临设工人宿舍、现场办公室均配备足够的灭火器材,做到办公生活区每幢工棚挂设4kg干粉灭火器2—6只,在每幢办公或生活工棚外各设置2~3个消防沙箱；并对工人进行安全消防教育，学习正确使用安全器材的方法，加强安全防火意识。</w:t>
      </w:r>
    </w:p>
    <w:p w14:paraId="0B255FDF">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6、施工现场建立健全用火管理制度，对工人进行用火安全施工教育培训，提高工人用火安全意识。施工作业用火时，须履行用火审批手续，经施工安全负责人审查批准，领取用火证后，方可在指定时间、地点作业。作业时应配备专人监护，作业后必须确认无火源危险后方可离开作业地点。</w:t>
      </w:r>
    </w:p>
    <w:p w14:paraId="26452738">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7、施工现场设置消防车道，并应保持畅通。施工现场道路保持两方向畅通，保证消防车辆能够及时进入事发现场进行救援工作。</w:t>
      </w:r>
    </w:p>
    <w:p w14:paraId="5C11BAE1">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8、对工人进行岗前教育，施工作业应当在批准的施工场地内进行，不得在施工场地范围外堆放物料、机具等。</w:t>
      </w:r>
    </w:p>
    <w:p w14:paraId="0A4C1EED">
      <w:pPr>
        <w:pStyle w:val="26"/>
        <w:jc w:val="left"/>
        <w:rPr>
          <w:rFonts w:ascii="宋体" w:hAnsi="宋体" w:eastAsia="宋体" w:cs="宋体"/>
          <w:color w:val="auto"/>
          <w:spacing w:val="20"/>
          <w:szCs w:val="24"/>
          <w:highlight w:val="none"/>
        </w:rPr>
      </w:pPr>
      <w:r>
        <w:rPr>
          <w:rFonts w:hint="eastAsia" w:ascii="宋体" w:hAnsi="宋体" w:eastAsia="宋体" w:cs="宋体"/>
          <w:color w:val="auto"/>
          <w:spacing w:val="20"/>
          <w:szCs w:val="24"/>
          <w:highlight w:val="none"/>
        </w:rPr>
        <w:t>9、施工现场的工棚和临时厕所等临时设施远离临街一侧，不得改变使用性质。施工现场设置临时环卫设施，有专人负责保洁和管理，做到场区内无暴露性生活垃圾；临时厕所有专人洗涮保洁，做好清掏、消杀工作，做到无蝇蛆孳生。</w:t>
      </w:r>
      <w:r>
        <w:rPr>
          <w:rFonts w:hint="eastAsia" w:ascii="宋体" w:hAnsi="宋体" w:eastAsia="宋体" w:cs="宋体"/>
          <w:color w:val="auto"/>
          <w:spacing w:val="20"/>
          <w:szCs w:val="24"/>
          <w:highlight w:val="none"/>
        </w:rPr>
        <w:br w:type="textWrapping"/>
      </w:r>
      <w:r>
        <w:rPr>
          <w:rFonts w:hint="eastAsia" w:ascii="宋体" w:hAnsi="宋体" w:eastAsia="宋体" w:cs="宋体"/>
          <w:color w:val="auto"/>
          <w:spacing w:val="20"/>
          <w:szCs w:val="24"/>
          <w:highlight w:val="none"/>
        </w:rPr>
        <w:t>10、不得在施工现场焚烧油毡、橡胶、油漆、垃圾以及其他产生有毒、有害烟尘和恶臭气体的物质。</w:t>
      </w:r>
    </w:p>
    <w:p w14:paraId="45D0001D">
      <w:pPr>
        <w:pStyle w:val="26"/>
        <w:jc w:val="left"/>
        <w:rPr>
          <w:rFonts w:ascii="宋体" w:hAnsi="宋体" w:eastAsia="宋体"/>
          <w:color w:val="auto"/>
          <w:spacing w:val="20"/>
          <w:kern w:val="2"/>
          <w:highlight w:val="none"/>
        </w:rPr>
      </w:pPr>
    </w:p>
    <w:p w14:paraId="42975B0B">
      <w:pPr>
        <w:rPr>
          <w:rFonts w:ascii="宋体"/>
          <w:b/>
          <w:color w:val="auto"/>
          <w:sz w:val="24"/>
          <w:szCs w:val="24"/>
          <w:highlight w:val="none"/>
        </w:rPr>
      </w:pPr>
      <w:r>
        <w:rPr>
          <w:rFonts w:hint="eastAsia" w:ascii="宋体" w:hAnsi="宋体" w:cs="宋体"/>
          <w:color w:val="auto"/>
          <w:spacing w:val="20"/>
          <w:szCs w:val="24"/>
          <w:highlight w:val="none"/>
        </w:rPr>
        <w:t>注 : 除应执行本施工组织设计要点外,应参照国家等现行有关规定及工程建设标准作进一步完善。</w:t>
      </w:r>
    </w:p>
    <w:p w14:paraId="477D84D7">
      <w:pPr>
        <w:pStyle w:val="2"/>
        <w:rPr>
          <w:color w:val="auto"/>
          <w:highlight w:val="none"/>
        </w:rPr>
      </w:pPr>
      <w:r>
        <w:rPr>
          <w:color w:val="auto"/>
          <w:sz w:val="24"/>
          <w:szCs w:val="24"/>
          <w:highlight w:val="none"/>
        </w:rPr>
        <w:br w:type="page"/>
      </w:r>
      <w:r>
        <w:rPr>
          <w:rFonts w:hint="eastAsia"/>
          <w:color w:val="auto"/>
          <w:highlight w:val="none"/>
        </w:rPr>
        <w:t>第六章</w:t>
      </w:r>
      <w:r>
        <w:rPr>
          <w:color w:val="auto"/>
          <w:highlight w:val="none"/>
        </w:rPr>
        <w:t xml:space="preserve">  </w:t>
      </w:r>
      <w:r>
        <w:rPr>
          <w:rFonts w:hint="eastAsia"/>
          <w:color w:val="auto"/>
          <w:highlight w:val="none"/>
        </w:rPr>
        <w:t>图纸</w:t>
      </w:r>
      <w:r>
        <w:rPr>
          <w:rFonts w:hint="eastAsia"/>
          <w:strike/>
          <w:color w:val="auto"/>
          <w:highlight w:val="none"/>
        </w:rPr>
        <w:t>及勘察资料</w:t>
      </w:r>
    </w:p>
    <w:p w14:paraId="685BFC3B">
      <w:pPr>
        <w:jc w:val="center"/>
        <w:rPr>
          <w:rFonts w:ascii="宋体"/>
          <w:b/>
          <w:color w:val="auto"/>
          <w:sz w:val="24"/>
          <w:szCs w:val="24"/>
          <w:highlight w:val="none"/>
        </w:rPr>
      </w:pPr>
      <w:r>
        <w:rPr>
          <w:rFonts w:hint="eastAsia" w:ascii="宋体" w:hAnsi="宋体"/>
          <w:color w:val="auto"/>
          <w:sz w:val="24"/>
          <w:szCs w:val="24"/>
          <w:highlight w:val="none"/>
        </w:rPr>
        <w:t>另册。</w:t>
      </w:r>
    </w:p>
    <w:p w14:paraId="7FE38A09">
      <w:pPr>
        <w:pStyle w:val="2"/>
        <w:rPr>
          <w:rFonts w:ascii="宋体"/>
          <w:color w:val="auto"/>
          <w:sz w:val="24"/>
          <w:highlight w:val="none"/>
        </w:rPr>
      </w:pPr>
      <w:r>
        <w:rPr>
          <w:color w:val="auto"/>
          <w:sz w:val="24"/>
          <w:szCs w:val="24"/>
          <w:highlight w:val="none"/>
        </w:rPr>
        <w:br w:type="page"/>
      </w:r>
      <w:r>
        <w:rPr>
          <w:rFonts w:hint="eastAsia"/>
          <w:color w:val="auto"/>
          <w:highlight w:val="none"/>
        </w:rPr>
        <w:t>第七章</w:t>
      </w:r>
      <w:r>
        <w:rPr>
          <w:color w:val="auto"/>
          <w:highlight w:val="none"/>
        </w:rPr>
        <w:t xml:space="preserve">  </w:t>
      </w:r>
      <w:r>
        <w:rPr>
          <w:rFonts w:hint="eastAsia"/>
          <w:color w:val="auto"/>
          <w:highlight w:val="none"/>
        </w:rPr>
        <w:t>工程量清单</w:t>
      </w:r>
    </w:p>
    <w:p w14:paraId="6CDE07E4">
      <w:pPr>
        <w:spacing w:line="408" w:lineRule="auto"/>
        <w:jc w:val="center"/>
        <w:rPr>
          <w:rFonts w:ascii="宋体" w:hAnsi="宋体"/>
          <w:b/>
          <w:color w:val="auto"/>
          <w:sz w:val="28"/>
          <w:highlight w:val="none"/>
        </w:rPr>
      </w:pPr>
      <w:r>
        <w:rPr>
          <w:rFonts w:hint="eastAsia" w:ascii="宋体" w:hAnsi="宋体"/>
          <w:b/>
          <w:color w:val="auto"/>
          <w:sz w:val="28"/>
          <w:highlight w:val="none"/>
        </w:rPr>
        <w:t>工程量清单说明</w:t>
      </w:r>
    </w:p>
    <w:p w14:paraId="5F69EBEA">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w:t>
      </w:r>
    </w:p>
    <w:p w14:paraId="5F0CC082">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招标人提供的工程量清单或招标文件其他部分中有关规费、暂定金额、预留金等非竞争性项目明列了单价或合价的金额的，投标人应按照明列的单价或合价的金额报价，未按照规定金额报价的，由评标委员会按照招标文件规定的金额进行修正。</w:t>
      </w:r>
    </w:p>
    <w:p w14:paraId="1FB8C767">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投标人按招标人提供的工程量清单并结合工程实际情况和自身实力进行报价，并填报综合单价和合价。每一子目只允许有一个报价，而且每一个子目必须报价，若投标人认为该项费用已含在其他项目中可以作零报价。任何有选择的报价将不予接受。投标人未填综合单价或合价的工程项目，在实施后，招标人将不予以支付，并视为该项费用已包括在其他有价款的综合单价或合价内。工程量清单所有的项目不得以负值进行报价。</w:t>
      </w:r>
    </w:p>
    <w:p w14:paraId="03E93481">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工程量清单应结合投标人须知、设计要求、技术规范及招标图纸及构成本招标文件其他组成文件同时阅读。投标人在报价前应仔细阅读招标文件中相关部分的内容以获得对该工程项目的充分和正确的理解。</w:t>
      </w:r>
    </w:p>
    <w:p w14:paraId="6EF30E10">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招标人提供的清单中的项目特征和工程内容应包括清单中的说明及招标图纸、主要材料、技术要求，工程量计算规则按本工程量清单说明的规定执行，如本工程量清单说明没明确规定的按现行清单计价办法的规定执行。</w:t>
      </w:r>
    </w:p>
    <w:p w14:paraId="4F9584B8">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措施项目工程项目均为综合合价包干项目。对于措施项目费，投标人应根据本企业拟采用的施工方案，详细分析其所含的工程内容，自行报价，投标人没有计算或少计算的费用，视为此费用已包含在其他相关费用内，额外的费用除招标文件或合同另有约定外，不予支付。</w:t>
      </w:r>
      <w:r>
        <w:rPr>
          <w:rFonts w:hint="eastAsia" w:ascii="宋体" w:hAnsi="宋体"/>
          <w:b/>
          <w:color w:val="auto"/>
          <w:sz w:val="24"/>
          <w:szCs w:val="24"/>
          <w:highlight w:val="none"/>
        </w:rPr>
        <w:t>投标人应充分考虑施工现场实际情况，考虑风险，发包人将不再另行支付由此而引起的费用增加。</w:t>
      </w:r>
    </w:p>
    <w:p w14:paraId="1E4BADC8">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安全防护、文明施工措施费”：指为确保安全施工或按有关行政管理部门与业主布置而采取的保障措施所发生的相关费用。包括：环境保护费、文明施工费、安全施工费、临时设施费、硬地施工、洗车槽、食堂、厕所等文明施工必须设施而需发生的各项费用，如中标人未能按照粤建管[2007]39号文、番建发[2006]41号文、穗建筑[2006]411号文、穗建质[2008]937号文、穗建质[2008]1008号文、《建筑施工安全检查标准》（JGJ59-99）及广州市人民政府令第62号（2012年）的有关规定实施，则由招标人另行委托队伍施工，其费用由中标人自行负责。</w:t>
      </w:r>
    </w:p>
    <w:p w14:paraId="20F32FA4">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7091BDCA">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试车费用、系统调试、联合调试费：单机运转及无负荷试车的费用含在综合单价中，由承包人承担。系统调试、联合调试费，以合价包干的形式含在投标报价中。</w:t>
      </w:r>
    </w:p>
    <w:p w14:paraId="5C846B4D">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材料设备采购管理服务费”指发包人为方便工程的施工，避免因设备供货和质量影响施工进度和施工质量，对本工程的发包人提供或发包人确定由承包人提供材料设备进行招标，然后交施工单位保管及安装，施工单位必须根据施工进度计划和设计图纸制定详细的阶段性的设备材料供货计划给业主及发包人的设备供应商，并对此计划负责。施工单位可按有关部门规定收取施工合同中规定的（发包人提供或发包人确定由承包人提供）材料设备采购管理服务费。（若有的话）</w:t>
      </w:r>
    </w:p>
    <w:p w14:paraId="203ECA54">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施工总承包管理配合服务：即对发包人另外发包或发包人与承包人联合招标的其它专业工程以及发包人直接供应的材料设备实施总承包管理、协调、配合服务，总承包管理、协调、配合服务费由承包人在合同总价中综合考虑，发包人不另行支付，承包人也不能以任何理由向各专业工程承包人收取。具体内容详见招标文件、施工合同、工程量清单和招标图纸。</w:t>
      </w:r>
    </w:p>
    <w:p w14:paraId="771716F8">
      <w:pPr>
        <w:numPr>
          <w:ilvl w:val="0"/>
          <w:numId w:val="6"/>
        </w:numPr>
        <w:spacing w:line="360" w:lineRule="auto"/>
        <w:rPr>
          <w:rFonts w:ascii="宋体" w:hAnsi="宋体"/>
          <w:color w:val="auto"/>
          <w:sz w:val="24"/>
          <w:szCs w:val="24"/>
          <w:highlight w:val="none"/>
        </w:rPr>
      </w:pPr>
      <w:r>
        <w:rPr>
          <w:rFonts w:hint="eastAsia" w:ascii="宋体" w:hAnsi="宋体"/>
          <w:color w:val="auto"/>
          <w:sz w:val="24"/>
          <w:szCs w:val="24"/>
          <w:highlight w:val="none"/>
        </w:rPr>
        <w:t>在本合同专用条款中要求承包人负责的工作，但在工程量清单中没有列明的，承包人应在各综合单价中综合考虑并包含在内，发包人不另外支付。</w:t>
      </w:r>
    </w:p>
    <w:p w14:paraId="67781E8E">
      <w:pPr>
        <w:numPr>
          <w:ilvl w:val="0"/>
          <w:numId w:val="6"/>
        </w:numPr>
        <w:spacing w:line="360" w:lineRule="auto"/>
        <w:rPr>
          <w:rFonts w:ascii="宋体" w:hAnsi="宋体"/>
          <w:b/>
          <w:bCs/>
          <w:color w:val="auto"/>
          <w:sz w:val="24"/>
          <w:highlight w:val="none"/>
        </w:rPr>
      </w:pPr>
      <w:r>
        <w:rPr>
          <w:rFonts w:hint="eastAsia" w:ascii="宋体" w:hAnsi="宋体"/>
          <w:color w:val="auto"/>
          <w:sz w:val="24"/>
          <w:szCs w:val="24"/>
          <w:highlight w:val="none"/>
        </w:rPr>
        <w:t>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416C9103">
      <w:pPr>
        <w:pStyle w:val="4"/>
        <w:spacing w:after="0" w:line="360" w:lineRule="auto"/>
        <w:ind w:left="-2" w:leftChars="-1" w:firstLine="960" w:firstLineChars="400"/>
        <w:rPr>
          <w:rFonts w:ascii="宋体"/>
          <w:color w:val="auto"/>
          <w:sz w:val="24"/>
          <w:highlight w:val="none"/>
        </w:rPr>
      </w:pPr>
    </w:p>
    <w:p w14:paraId="3F02B1C3">
      <w:pPr>
        <w:rPr>
          <w:color w:val="auto"/>
          <w:highlight w:val="none"/>
        </w:rPr>
      </w:pPr>
    </w:p>
    <w:p w14:paraId="51697D2D">
      <w:pPr>
        <w:pStyle w:val="2"/>
        <w:rPr>
          <w:color w:val="auto"/>
          <w:highlight w:val="none"/>
        </w:rPr>
      </w:pPr>
    </w:p>
    <w:p w14:paraId="6B97CEB3">
      <w:pPr>
        <w:spacing w:line="360" w:lineRule="auto"/>
        <w:ind w:firstLine="480"/>
        <w:rPr>
          <w:rFonts w:hint="eastAsia" w:ascii="宋体" w:hAnsi="宋体" w:eastAsia="宋体" w:cs="宋体"/>
          <w:i w:val="0"/>
          <w:iCs w:val="0"/>
          <w:color w:val="auto"/>
          <w:spacing w:val="11"/>
          <w:sz w:val="30"/>
          <w:szCs w:val="30"/>
          <w:highlight w:val="none"/>
        </w:rPr>
        <w:sectPr>
          <w:pgSz w:w="11906" w:h="16838"/>
          <w:pgMar w:top="1440" w:right="1800" w:bottom="1440" w:left="1800" w:header="851" w:footer="992" w:gutter="0"/>
          <w:cols w:space="425" w:num="1"/>
          <w:docGrid w:type="lines" w:linePitch="312" w:charSpace="0"/>
        </w:sectPr>
      </w:pPr>
      <w:r>
        <w:rPr>
          <w:color w:val="auto"/>
          <w:sz w:val="24"/>
          <w:szCs w:val="24"/>
          <w:highlight w:val="none"/>
        </w:rPr>
        <w:br w:type="page"/>
      </w:r>
    </w:p>
    <w:p w14:paraId="3254CE59">
      <w:pPr>
        <w:pStyle w:val="2"/>
        <w:rPr>
          <w:rFonts w:ascii="宋体"/>
          <w:color w:val="auto"/>
          <w:highlight w:val="none"/>
        </w:rPr>
      </w:pPr>
      <w:bookmarkStart w:id="28" w:name="_Toc2272571"/>
      <w:bookmarkStart w:id="29" w:name="_Toc21525516"/>
      <w:r>
        <w:rPr>
          <w:rFonts w:hint="eastAsia"/>
          <w:color w:val="auto"/>
          <w:highlight w:val="none"/>
        </w:rPr>
        <w:t>第八章</w:t>
      </w:r>
      <w:r>
        <w:rPr>
          <w:color w:val="auto"/>
          <w:highlight w:val="none"/>
        </w:rPr>
        <w:t xml:space="preserve">  </w:t>
      </w:r>
      <w:r>
        <w:rPr>
          <w:rFonts w:hint="eastAsia"/>
          <w:color w:val="auto"/>
          <w:highlight w:val="none"/>
        </w:rPr>
        <w:t>最高投标限价</w:t>
      </w:r>
    </w:p>
    <w:p w14:paraId="131165B0">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招标人应当在发布招标文件时，公布最高投标限价的总价，分部分项工程费、措施项目费、其他项目费、规费和税金，以及绿色施工安全防护措施费、暂列金额等投标人不可竞争的固定报价。</w:t>
      </w:r>
    </w:p>
    <w:bookmarkEnd w:id="28"/>
    <w:bookmarkEnd w:id="29"/>
    <w:p w14:paraId="2773D50E">
      <w:pPr>
        <w:rPr>
          <w:rFonts w:hint="default"/>
          <w:color w:val="auto"/>
          <w:highlight w:val="none"/>
          <w:lang w:val="en-US" w:eastAsia="zh-CN"/>
        </w:rPr>
      </w:pPr>
    </w:p>
    <w:sectPr>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02BDB">
    <w:pPr>
      <w:pStyle w:val="12"/>
      <w:ind w:firstLine="392"/>
      <w:jc w:val="right"/>
      <w:rPr>
        <w:rStyle w:val="19"/>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CD9B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CCD9B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20A46">
    <w:pPr>
      <w:pStyle w:val="12"/>
      <w:framePr w:wrap="around" w:vAnchor="text" w:hAnchor="margin" w:xAlign="outside" w:y="1"/>
      <w:rPr>
        <w:rStyle w:val="19"/>
      </w:rPr>
    </w:pPr>
    <w:r>
      <w:rPr>
        <w:rStyle w:val="19"/>
      </w:rPr>
      <w:fldChar w:fldCharType="begin"/>
    </w:r>
    <w:r>
      <w:rPr>
        <w:rStyle w:val="19"/>
      </w:rPr>
      <w:instrText xml:space="preserve">PAGE  </w:instrText>
    </w:r>
    <w:r>
      <w:rPr>
        <w:rStyle w:val="19"/>
      </w:rPr>
      <w:fldChar w:fldCharType="separate"/>
    </w:r>
    <w:r>
      <w:rPr>
        <w:rStyle w:val="19"/>
        <w:rFonts w:hint="eastAsia"/>
      </w:rPr>
      <w:t>一</w:t>
    </w:r>
    <w:r>
      <w:rPr>
        <w:rStyle w:val="19"/>
      </w:rPr>
      <w:t>–2</w:t>
    </w:r>
    <w:r>
      <w:rPr>
        <w:rStyle w:val="19"/>
      </w:rPr>
      <w:fldChar w:fldCharType="end"/>
    </w:r>
  </w:p>
  <w:p w14:paraId="351CB0B8">
    <w:pPr>
      <w:pStyle w:val="12"/>
      <w:ind w:right="360" w:firstLine="360"/>
      <w:jc w:val="center"/>
    </w:pPr>
    <w:r>
      <w:rPr>
        <w:kern w:val="0"/>
        <w:sz w:val="20"/>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17794">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BD22C">
                          <w:pPr>
                            <w:pStyle w:val="12"/>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E8BD22C">
                    <w:pPr>
                      <w:pStyle w:val="12"/>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79593">
    <w:pPr>
      <w:pStyle w:val="12"/>
      <w:ind w:firstLine="392"/>
      <w:rPr>
        <w:rStyle w:val="19"/>
      </w:rPr>
    </w:pPr>
    <w:r>
      <w:rPr>
        <w:rStyle w:val="19"/>
      </w:rPr>
      <w:fldChar w:fldCharType="begin"/>
    </w:r>
    <w:r>
      <w:rPr>
        <w:rStyle w:val="19"/>
      </w:rPr>
      <w:instrText xml:space="preserve">PAGE  </w:instrText>
    </w:r>
    <w:r>
      <w:rPr>
        <w:rStyle w:val="19"/>
      </w:rPr>
      <w:fldChar w:fldCharType="separate"/>
    </w:r>
    <w:r>
      <w:rPr>
        <w:rStyle w:val="19"/>
        <w:rFonts w:hint="eastAsia"/>
      </w:rPr>
      <w:t>一</w:t>
    </w:r>
    <w:r>
      <w:rPr>
        <w:rStyle w:val="19"/>
      </w:rPr>
      <w:t>–2</w:t>
    </w:r>
    <w:r>
      <w:rPr>
        <w:rStyle w:val="19"/>
      </w:rPr>
      <w:fldChar w:fldCharType="end"/>
    </w:r>
  </w:p>
  <w:p w14:paraId="3F9FE749">
    <w:pPr>
      <w:pStyle w:val="12"/>
      <w:ind w:firstLine="392"/>
    </w:pPr>
    <w:r>
      <w:rPr>
        <w:kern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40F1B">
    <w:pPr>
      <w:pStyle w:val="12"/>
      <w:ind w:firstLine="3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E01B3">
    <w:pPr>
      <w:pStyle w:val="12"/>
      <w:ind w:firstLine="392"/>
      <w:jc w:val="right"/>
      <w:rPr>
        <w:rStyle w:val="1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0ADF8">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C40ADF8">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521A4">
    <w:pPr>
      <w:pStyle w:val="12"/>
      <w:ind w:firstLine="39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CE186">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58CE186">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7ABB6">
    <w:pPr>
      <w:pStyle w:val="12"/>
      <w:ind w:firstLine="392"/>
      <w:jc w:val="right"/>
      <w:rPr>
        <w:rStyle w:val="19"/>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A14C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A9A14C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C30F">
    <w:pPr>
      <w:pStyle w:val="12"/>
      <w:ind w:firstLine="39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FECB7">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5BFECB7">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7A7A">
    <w:pPr>
      <w:pStyle w:val="12"/>
      <w:ind w:firstLine="392"/>
      <w:jc w:val="right"/>
      <w:rPr>
        <w:rStyle w:val="19"/>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AE29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45AE29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7242D">
    <w:pPr>
      <w:pStyle w:val="12"/>
      <w:ind w:firstLine="39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166C">
    <w:pPr>
      <w:pStyle w:val="13"/>
      <w:pBdr>
        <w:bottom w:val="none" w:color="auto" w:sz="0" w:space="1"/>
      </w:pBdr>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46732">
    <w:pPr>
      <w:pStyle w:val="13"/>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7C215">
    <w:pPr>
      <w:pStyle w:val="13"/>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A1B50">
    <w:pPr>
      <w:pStyle w:val="13"/>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2417">
    <w:pPr>
      <w:pStyle w:val="13"/>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ECE39">
    <w:pPr>
      <w:pStyle w:val="13"/>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980733"/>
    <w:multiLevelType w:val="singleLevel"/>
    <w:tmpl w:val="D8980733"/>
    <w:lvl w:ilvl="0" w:tentative="0">
      <w:start w:val="2"/>
      <w:numFmt w:val="decimal"/>
      <w:suff w:val="nothing"/>
      <w:lvlText w:val="%1、"/>
      <w:lvlJc w:val="left"/>
    </w:lvl>
  </w:abstractNum>
  <w:abstractNum w:abstractNumId="1">
    <w:nsid w:val="0000000D"/>
    <w:multiLevelType w:val="multilevel"/>
    <w:tmpl w:val="0000000D"/>
    <w:lvl w:ilvl="0" w:tentative="0">
      <w:start w:val="1"/>
      <w:numFmt w:val="japaneseCounting"/>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
    <w:nsid w:val="0000000E"/>
    <w:multiLevelType w:val="multilevel"/>
    <w:tmpl w:val="0000000E"/>
    <w:lvl w:ilvl="0" w:tentative="0">
      <w:start w:val="1"/>
      <w:numFmt w:val="japaneseCounting"/>
      <w:lvlText w:val="%1、"/>
      <w:lvlJc w:val="left"/>
      <w:pPr>
        <w:tabs>
          <w:tab w:val="left" w:pos="570"/>
        </w:tabs>
        <w:ind w:left="570" w:hanging="570"/>
      </w:pPr>
      <w:rPr>
        <w:rFonts w:hint="eastAsia" w:ascii="仿宋_GB2312" w:hAnsi="宋体" w:eastAsia="仿宋_GB2312"/>
        <w:b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2607BF1"/>
    <w:multiLevelType w:val="multilevel"/>
    <w:tmpl w:val="22607BF1"/>
    <w:lvl w:ilvl="0" w:tentative="0">
      <w:start w:val="1"/>
      <w:numFmt w:val="decimal"/>
      <w:lvlText w:val="（%1）"/>
      <w:lvlJc w:val="left"/>
      <w:pPr>
        <w:ind w:left="1080" w:hanging="720"/>
      </w:pPr>
      <w:rPr>
        <w:rFonts w:hint="default"/>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2A53C34F"/>
    <w:multiLevelType w:val="singleLevel"/>
    <w:tmpl w:val="2A53C34F"/>
    <w:lvl w:ilvl="0" w:tentative="0">
      <w:start w:val="31"/>
      <w:numFmt w:val="decimal"/>
      <w:suff w:val="nothing"/>
      <w:lvlText w:val="%1．"/>
      <w:lvlJc w:val="left"/>
    </w:lvl>
  </w:abstractNum>
  <w:abstractNum w:abstractNumId="5">
    <w:nsid w:val="66830454"/>
    <w:multiLevelType w:val="multilevel"/>
    <w:tmpl w:val="668304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97D2F"/>
    <w:rsid w:val="054A72C8"/>
    <w:rsid w:val="08874912"/>
    <w:rsid w:val="08D524E7"/>
    <w:rsid w:val="0E875C90"/>
    <w:rsid w:val="0ED012A1"/>
    <w:rsid w:val="0F0C6664"/>
    <w:rsid w:val="0F2033CB"/>
    <w:rsid w:val="101F7DA6"/>
    <w:rsid w:val="131F44E0"/>
    <w:rsid w:val="13E0137B"/>
    <w:rsid w:val="15A20DA1"/>
    <w:rsid w:val="160348E3"/>
    <w:rsid w:val="16975AB5"/>
    <w:rsid w:val="1A952EBF"/>
    <w:rsid w:val="1A9A0036"/>
    <w:rsid w:val="1CA4521A"/>
    <w:rsid w:val="1E3E514A"/>
    <w:rsid w:val="1F882FF2"/>
    <w:rsid w:val="22436353"/>
    <w:rsid w:val="254A5492"/>
    <w:rsid w:val="29196914"/>
    <w:rsid w:val="29671ECA"/>
    <w:rsid w:val="29947738"/>
    <w:rsid w:val="2A852D24"/>
    <w:rsid w:val="2B512762"/>
    <w:rsid w:val="2C4C271D"/>
    <w:rsid w:val="2CEE70A9"/>
    <w:rsid w:val="2E4314A7"/>
    <w:rsid w:val="3145378C"/>
    <w:rsid w:val="33983602"/>
    <w:rsid w:val="347706FD"/>
    <w:rsid w:val="3504577C"/>
    <w:rsid w:val="351B358A"/>
    <w:rsid w:val="35A37703"/>
    <w:rsid w:val="38795776"/>
    <w:rsid w:val="393B7F72"/>
    <w:rsid w:val="399161E1"/>
    <w:rsid w:val="3AE315CD"/>
    <w:rsid w:val="3B771FE1"/>
    <w:rsid w:val="3E9E7CE5"/>
    <w:rsid w:val="3EA12F94"/>
    <w:rsid w:val="42980AB9"/>
    <w:rsid w:val="429C4144"/>
    <w:rsid w:val="44235A84"/>
    <w:rsid w:val="447334B4"/>
    <w:rsid w:val="47364BD7"/>
    <w:rsid w:val="488E14F2"/>
    <w:rsid w:val="4A0E6EBB"/>
    <w:rsid w:val="4A97553B"/>
    <w:rsid w:val="4CE247DE"/>
    <w:rsid w:val="53D70A9E"/>
    <w:rsid w:val="5539030F"/>
    <w:rsid w:val="55A97E6D"/>
    <w:rsid w:val="57AB4446"/>
    <w:rsid w:val="580F7F9A"/>
    <w:rsid w:val="5BE663CF"/>
    <w:rsid w:val="60822B6A"/>
    <w:rsid w:val="63276DF7"/>
    <w:rsid w:val="648F1CFA"/>
    <w:rsid w:val="65426D6C"/>
    <w:rsid w:val="661A4CF1"/>
    <w:rsid w:val="67B600C1"/>
    <w:rsid w:val="67FF710F"/>
    <w:rsid w:val="69530BE9"/>
    <w:rsid w:val="69594684"/>
    <w:rsid w:val="69815B41"/>
    <w:rsid w:val="6A1741AE"/>
    <w:rsid w:val="6DEE2B38"/>
    <w:rsid w:val="6E8C5474"/>
    <w:rsid w:val="6FF8291C"/>
    <w:rsid w:val="70134AB9"/>
    <w:rsid w:val="7386076C"/>
    <w:rsid w:val="7439758C"/>
    <w:rsid w:val="74DE3355"/>
    <w:rsid w:val="7561422E"/>
    <w:rsid w:val="75F66C28"/>
    <w:rsid w:val="75F87574"/>
    <w:rsid w:val="78264CE7"/>
    <w:rsid w:val="7ADB040A"/>
    <w:rsid w:val="7B6A1124"/>
    <w:rsid w:val="7C9B1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3"/>
    <w:next w:val="4"/>
    <w:link w:val="25"/>
    <w:qFormat/>
    <w:uiPriority w:val="0"/>
    <w:pPr>
      <w:keepNext/>
      <w:keepLines/>
      <w:spacing w:after="120" w:line="360" w:lineRule="auto"/>
      <w:outlineLvl w:val="0"/>
    </w:pPr>
    <w:rPr>
      <w:kern w:val="44"/>
      <w:sz w:val="28"/>
      <w:szCs w:val="28"/>
    </w:rPr>
  </w:style>
  <w:style w:type="paragraph" w:styleId="6">
    <w:name w:val="heading 2"/>
    <w:basedOn w:val="1"/>
    <w:next w:val="1"/>
    <w:qFormat/>
    <w:uiPriority w:val="0"/>
    <w:pPr>
      <w:keepNext/>
      <w:keepLines/>
      <w:spacing w:before="120" w:after="120" w:line="415" w:lineRule="auto"/>
      <w:ind w:left="454"/>
      <w:jc w:val="center"/>
      <w:outlineLvl w:val="1"/>
    </w:pPr>
    <w:rPr>
      <w:rFonts w:ascii="Arial" w:hAnsi="Arial"/>
      <w:b/>
      <w:color w:val="000000"/>
      <w:sz w:val="24"/>
      <w:szCs w:val="24"/>
    </w:rPr>
  </w:style>
  <w:style w:type="paragraph" w:styleId="7">
    <w:name w:val="heading 3"/>
    <w:basedOn w:val="1"/>
    <w:next w:val="1"/>
    <w:qFormat/>
    <w:uiPriority w:val="0"/>
    <w:pPr>
      <w:widowControl/>
      <w:spacing w:before="100" w:beforeAutospacing="1" w:after="100" w:afterAutospacing="1"/>
      <w:jc w:val="left"/>
      <w:outlineLvl w:val="2"/>
    </w:pPr>
    <w:rPr>
      <w:rFonts w:ascii="宋体" w:hAnsi="宋体" w:cs="宋体"/>
      <w:kern w:val="0"/>
      <w:sz w:val="27"/>
      <w:szCs w:val="27"/>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120" w:after="60"/>
      <w:jc w:val="center"/>
    </w:pPr>
    <w:rPr>
      <w:rFonts w:ascii="Arial" w:hAnsi="Arial"/>
      <w:b/>
      <w:sz w:val="44"/>
      <w:szCs w:val="20"/>
    </w:rPr>
  </w:style>
  <w:style w:type="paragraph" w:styleId="4">
    <w:name w:val="Body Text First Indent"/>
    <w:basedOn w:val="5"/>
    <w:qFormat/>
    <w:uiPriority w:val="0"/>
    <w:pPr>
      <w:ind w:firstLine="420"/>
    </w:pPr>
  </w:style>
  <w:style w:type="paragraph" w:styleId="5">
    <w:name w:val="Body Text"/>
    <w:basedOn w:val="1"/>
    <w:qFormat/>
    <w:uiPriority w:val="0"/>
    <w:pPr>
      <w:spacing w:after="120"/>
    </w:pPr>
    <w:rPr>
      <w:rFonts w:ascii="Times New Roman" w:hAnsi="Times New Roman"/>
      <w:szCs w:val="20"/>
    </w:rPr>
  </w:style>
  <w:style w:type="paragraph" w:styleId="8">
    <w:name w:val="Normal Indent"/>
    <w:basedOn w:val="1"/>
    <w:next w:val="1"/>
    <w:qFormat/>
    <w:uiPriority w:val="0"/>
    <w:pPr>
      <w:ind w:firstLine="420"/>
    </w:pPr>
    <w:rPr>
      <w:rFonts w:ascii="Times New Roman" w:hAnsi="Times New Roman"/>
      <w:szCs w:val="20"/>
    </w:rPr>
  </w:style>
  <w:style w:type="paragraph" w:styleId="9">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10">
    <w:name w:val="Plain Text"/>
    <w:basedOn w:val="1"/>
    <w:qFormat/>
    <w:uiPriority w:val="0"/>
    <w:rPr>
      <w:rFonts w:ascii="宋体" w:hAnsi="Courier New"/>
      <w:szCs w:val="20"/>
    </w:rPr>
  </w:style>
  <w:style w:type="paragraph" w:styleId="11">
    <w:name w:val="Date"/>
    <w:basedOn w:val="1"/>
    <w:next w:val="1"/>
    <w:qFormat/>
    <w:uiPriority w:val="0"/>
    <w:rPr>
      <w:rFonts w:ascii="Times New Roman" w:hAnsi="Times New Roman"/>
      <w:szCs w:val="20"/>
    </w:rPr>
  </w:style>
  <w:style w:type="paragraph" w:styleId="12">
    <w:name w:val="footer"/>
    <w:basedOn w:val="1"/>
    <w:unhideWhenUsed/>
    <w:qFormat/>
    <w:uiPriority w:val="0"/>
    <w:pPr>
      <w:tabs>
        <w:tab w:val="center" w:pos="4153"/>
        <w:tab w:val="right" w:pos="8306"/>
      </w:tabs>
      <w:snapToGrid w:val="0"/>
      <w:jc w:val="left"/>
    </w:pPr>
    <w:rPr>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15">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16">
    <w:name w:val="Normal (Web)"/>
    <w:basedOn w:val="1"/>
    <w:qFormat/>
    <w:uiPriority w:val="0"/>
    <w:rPr>
      <w:sz w:val="24"/>
    </w:rPr>
  </w:style>
  <w:style w:type="character" w:styleId="19">
    <w:name w:val="page number"/>
    <w:qFormat/>
    <w:uiPriority w:val="0"/>
    <w:rPr>
      <w:rFonts w:cs="Times New Roman"/>
    </w:rPr>
  </w:style>
  <w:style w:type="character" w:styleId="20">
    <w:name w:val="Hyperlink"/>
    <w:qFormat/>
    <w:uiPriority w:val="99"/>
    <w:rPr>
      <w:color w:val="0000FF"/>
      <w:u w:val="single"/>
    </w:rPr>
  </w:style>
  <w:style w:type="paragraph" w:customStyle="1" w:styleId="21">
    <w:name w:val="null3"/>
    <w:hidden/>
    <w:qFormat/>
    <w:uiPriority w:val="0"/>
    <w:rPr>
      <w:rFonts w:hint="eastAsia" w:asciiTheme="minorHAnsi" w:hAnsiTheme="minorHAnsi" w:eastAsiaTheme="minorEastAsia" w:cstheme="minorBidi"/>
      <w:lang w:val="en-US" w:eastAsia="zh-Hans"/>
    </w:rPr>
  </w:style>
  <w:style w:type="paragraph" w:customStyle="1" w:styleId="22">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3">
    <w:name w:val="自标题3"/>
    <w:basedOn w:val="1"/>
    <w:qFormat/>
    <w:uiPriority w:val="0"/>
    <w:rPr>
      <w:szCs w:val="20"/>
    </w:rPr>
  </w:style>
  <w:style w:type="paragraph" w:customStyle="1" w:styleId="24">
    <w:name w:val="List Paragraph1"/>
    <w:basedOn w:val="1"/>
    <w:qFormat/>
    <w:uiPriority w:val="0"/>
    <w:pPr>
      <w:ind w:firstLine="420" w:firstLineChars="200"/>
    </w:pPr>
  </w:style>
  <w:style w:type="character" w:customStyle="1" w:styleId="25">
    <w:name w:val="标题 1 Char"/>
    <w:link w:val="2"/>
    <w:qFormat/>
    <w:uiPriority w:val="0"/>
    <w:rPr>
      <w:kern w:val="44"/>
      <w:sz w:val="28"/>
      <w:szCs w:val="28"/>
    </w:rPr>
  </w:style>
  <w:style w:type="paragraph" w:customStyle="1" w:styleId="26">
    <w:name w:val="表头"/>
    <w:basedOn w:val="1"/>
    <w:qFormat/>
    <w:uiPriority w:val="0"/>
    <w:pPr>
      <w:spacing w:line="360" w:lineRule="auto"/>
      <w:jc w:val="center"/>
    </w:pPr>
    <w:rPr>
      <w:rFonts w:ascii="黑体" w:eastAsia="黑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17258</Words>
  <Characters>18187</Characters>
  <Lines>0</Lines>
  <Paragraphs>0</Paragraphs>
  <TotalTime>0</TotalTime>
  <ScaleCrop>false</ScaleCrop>
  <LinksUpToDate>false</LinksUpToDate>
  <CharactersWithSpaces>19585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2025-04-21T08:14:00Z</dcterms:created>
  <dc:creator>Administrator</dc:creator>
  <cp:lastModifiedBy>麦 H 辉（森林）</cp:lastModifiedBy>
  <dcterms:modified xsi:type="dcterms:W3CDTF">2025-04-28T03:49:01Z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eyJoZGlkIjoiNGRhMmEyOTQwMjI4NzIxM2Q3MTg3MTJlMGI4ZjUxYzAiLCJ1c2VySWQiOiIxMDM2OTQ0OTIyIn0=</vt:lpwstr>
  </property>
  <property fmtid="{D5CDD505-2E9C-101B-9397-08002B2CF9AE}" pid="4" name="ICV">
    <vt:lpwstr>E1894734059340C2BEB160FFE8C3E54A_12</vt:lpwstr>
  </property>
</Properties>
</file>