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宋体" w:hAnsi="宋体" w:eastAsia="宋体" w:cs="宋体"/>
          <w:b/>
          <w:color w:val="auto"/>
          <w:kern w:val="0"/>
          <w:sz w:val="32"/>
          <w:szCs w:val="32"/>
          <w:highlight w:val="none"/>
        </w:rPr>
      </w:pPr>
      <w:bookmarkStart w:id="354" w:name="_GoBack"/>
      <w:r>
        <w:rPr>
          <w:rFonts w:hint="eastAsia" w:ascii="宋体" w:hAnsi="宋体" w:eastAsia="宋体" w:cs="宋体"/>
          <w:b/>
          <w:color w:val="auto"/>
          <w:kern w:val="0"/>
          <w:sz w:val="32"/>
          <w:szCs w:val="32"/>
          <w:highlight w:val="none"/>
        </w:rPr>
        <w:t xml:space="preserve">                          </w:t>
      </w:r>
    </w:p>
    <w:p>
      <w:pPr>
        <w:spacing w:line="360" w:lineRule="auto"/>
        <w:outlineLvl w:val="9"/>
        <w:rPr>
          <w:rFonts w:hint="eastAsia" w:ascii="宋体" w:hAnsi="宋体" w:eastAsia="宋体" w:cs="宋体"/>
          <w:bCs/>
          <w:color w:val="auto"/>
          <w:kern w:val="0"/>
          <w:sz w:val="48"/>
          <w:szCs w:val="48"/>
          <w:highlight w:val="none"/>
        </w:rPr>
      </w:pPr>
    </w:p>
    <w:p>
      <w:pPr>
        <w:pStyle w:val="23"/>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360" w:lineRule="auto"/>
        <w:jc w:val="center"/>
        <w:outlineLvl w:val="9"/>
        <w:rPr>
          <w:rFonts w:hint="eastAsia" w:ascii="宋体" w:hAnsi="宋体" w:eastAsia="宋体" w:cs="宋体"/>
          <w:b/>
          <w:bCs w:val="0"/>
          <w:snapToGrid/>
          <w:color w:val="auto"/>
          <w:spacing w:val="0"/>
          <w:kern w:val="0"/>
          <w:sz w:val="52"/>
          <w:szCs w:val="52"/>
          <w:highlight w:val="none"/>
          <w:u w:val="none"/>
          <w:lang w:eastAsia="zh-CN"/>
        </w:rPr>
      </w:pPr>
      <w:bookmarkStart w:id="0" w:name="_Toc7618"/>
      <w:bookmarkStart w:id="1" w:name="_Toc23846"/>
      <w:bookmarkStart w:id="2" w:name="_Toc23827"/>
      <w:bookmarkStart w:id="3" w:name="_Toc2243"/>
      <w:bookmarkStart w:id="4" w:name="_Toc31741"/>
      <w:bookmarkStart w:id="5" w:name="_Toc14543"/>
      <w:r>
        <w:rPr>
          <w:rFonts w:hint="eastAsia" w:ascii="宋体" w:hAnsi="宋体" w:eastAsia="宋体" w:cs="宋体"/>
          <w:b/>
          <w:bCs w:val="0"/>
          <w:snapToGrid/>
          <w:color w:val="auto"/>
          <w:spacing w:val="0"/>
          <w:kern w:val="0"/>
          <w:sz w:val="52"/>
          <w:szCs w:val="52"/>
          <w:highlight w:val="none"/>
          <w:u w:val="none"/>
          <w:lang w:eastAsia="zh-CN"/>
        </w:rPr>
        <w:t>新民村（一期）公共租赁住房项目</w:t>
      </w:r>
      <w:bookmarkEnd w:id="0"/>
    </w:p>
    <w:bookmarkEnd w:id="1"/>
    <w:bookmarkEnd w:id="2"/>
    <w:bookmarkEnd w:id="3"/>
    <w:bookmarkEnd w:id="4"/>
    <w:bookmarkEnd w:id="5"/>
    <w:p>
      <w:pPr>
        <w:adjustRightInd w:val="0"/>
        <w:snapToGrid w:val="0"/>
        <w:spacing w:line="360" w:lineRule="auto"/>
        <w:ind w:firstLine="0" w:firstLineChars="0"/>
        <w:jc w:val="center"/>
        <w:outlineLvl w:val="9"/>
        <w:rPr>
          <w:rFonts w:hint="eastAsia" w:ascii="宋体" w:hAnsi="宋体" w:eastAsia="宋体" w:cs="宋体"/>
          <w:b/>
          <w:bCs w:val="0"/>
          <w:snapToGrid/>
          <w:color w:val="auto"/>
          <w:spacing w:val="0"/>
          <w:kern w:val="0"/>
          <w:sz w:val="52"/>
          <w:szCs w:val="52"/>
          <w:highlight w:val="none"/>
          <w:u w:val="none"/>
        </w:rPr>
      </w:pPr>
      <w:bookmarkStart w:id="6" w:name="_Toc1554"/>
      <w:bookmarkStart w:id="7" w:name="_Toc23885"/>
      <w:bookmarkStart w:id="8" w:name="_Toc10206"/>
      <w:bookmarkStart w:id="9" w:name="_Toc26342"/>
      <w:bookmarkStart w:id="10" w:name="_Toc9022"/>
      <w:bookmarkStart w:id="11" w:name="_Toc13937"/>
      <w:r>
        <w:rPr>
          <w:rFonts w:hint="eastAsia" w:ascii="宋体" w:hAnsi="宋体" w:eastAsia="宋体" w:cs="宋体"/>
          <w:b/>
          <w:bCs w:val="0"/>
          <w:snapToGrid/>
          <w:color w:val="auto"/>
          <w:spacing w:val="0"/>
          <w:kern w:val="0"/>
          <w:sz w:val="52"/>
          <w:szCs w:val="52"/>
          <w:highlight w:val="none"/>
          <w:u w:val="none"/>
        </w:rPr>
        <w:t>全过程造价咨询服务合同</w:t>
      </w:r>
      <w:bookmarkEnd w:id="6"/>
      <w:bookmarkEnd w:id="7"/>
      <w:bookmarkEnd w:id="8"/>
      <w:bookmarkEnd w:id="9"/>
      <w:bookmarkEnd w:id="10"/>
      <w:bookmarkEnd w:id="11"/>
    </w:p>
    <w:p>
      <w:pPr>
        <w:spacing w:line="360" w:lineRule="auto"/>
        <w:outlineLvl w:val="9"/>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jc w:val="both"/>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rPr>
          <w:rFonts w:hint="eastAsia" w:ascii="宋体" w:hAnsi="宋体" w:eastAsia="宋体" w:cs="宋体"/>
          <w:b/>
          <w:color w:val="auto"/>
          <w:szCs w:val="21"/>
          <w:highlight w:val="none"/>
        </w:rPr>
      </w:pPr>
    </w:p>
    <w:p>
      <w:pPr>
        <w:pStyle w:val="23"/>
        <w:jc w:val="both"/>
        <w:rPr>
          <w:rFonts w:hint="eastAsia" w:ascii="宋体" w:hAnsi="宋体" w:eastAsia="宋体" w:cs="宋体"/>
          <w:b/>
          <w:color w:val="auto"/>
          <w:szCs w:val="21"/>
          <w:highlight w:val="none"/>
        </w:rPr>
      </w:pPr>
    </w:p>
    <w:p>
      <w:pPr>
        <w:spacing w:line="360" w:lineRule="auto"/>
        <w:outlineLvl w:val="9"/>
        <w:rPr>
          <w:rFonts w:hint="eastAsia" w:ascii="宋体" w:hAnsi="宋体" w:eastAsia="宋体" w:cs="宋体"/>
          <w:b/>
          <w:color w:val="auto"/>
          <w:szCs w:val="21"/>
          <w:highlight w:val="none"/>
        </w:rPr>
      </w:pP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合 同 编 号：</w:t>
      </w:r>
      <w:r>
        <w:rPr>
          <w:rFonts w:hint="eastAsia" w:ascii="宋体" w:hAnsi="宋体" w:eastAsia="宋体" w:cs="宋体"/>
          <w:b w:val="0"/>
          <w:bCs/>
          <w:color w:val="auto"/>
          <w:sz w:val="28"/>
          <w:szCs w:val="28"/>
          <w:highlight w:val="none"/>
          <w:lang w:val="en-US" w:eastAsia="zh-CN"/>
        </w:rPr>
        <w:tab/>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项 目 名 称：</w:t>
      </w:r>
      <w:r>
        <w:rPr>
          <w:rFonts w:hint="eastAsia" w:ascii="宋体" w:hAnsi="宋体" w:eastAsia="宋体" w:cs="宋体"/>
          <w:b w:val="0"/>
          <w:bCs/>
          <w:color w:val="auto"/>
          <w:sz w:val="28"/>
          <w:szCs w:val="28"/>
          <w:highlight w:val="none"/>
          <w:u w:val="single"/>
          <w:lang w:val="en-US" w:eastAsia="zh-CN"/>
        </w:rPr>
        <w:t>新民村（一期）公共租赁住房项目全过程造价</w:t>
      </w:r>
    </w:p>
    <w:p>
      <w:pPr>
        <w:tabs>
          <w:tab w:val="left" w:leader="underscore" w:pos="7560"/>
        </w:tabs>
        <w:spacing w:line="360" w:lineRule="auto"/>
        <w:ind w:firstLine="2380" w:firstLineChars="8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u w:val="single"/>
          <w:lang w:val="en-US" w:eastAsia="zh-CN"/>
        </w:rPr>
        <w:t>咨询服务</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委托</w:t>
      </w:r>
      <w:r>
        <w:rPr>
          <w:rFonts w:hint="eastAsia" w:ascii="宋体" w:hAnsi="宋体" w:eastAsia="宋体" w:cs="宋体"/>
          <w:b w:val="0"/>
          <w:bCs/>
          <w:color w:val="auto"/>
          <w:sz w:val="28"/>
          <w:szCs w:val="28"/>
          <w:highlight w:val="none"/>
        </w:rPr>
        <w:t>人（甲方）：</w:t>
      </w:r>
      <w:r>
        <w:rPr>
          <w:rFonts w:hint="eastAsia" w:ascii="宋体" w:hAnsi="宋体" w:eastAsia="宋体" w:cs="宋体"/>
          <w:b w:val="0"/>
          <w:bCs/>
          <w:color w:val="auto"/>
          <w:sz w:val="28"/>
          <w:szCs w:val="28"/>
          <w:highlight w:val="none"/>
          <w:u w:val="single"/>
          <w:lang w:val="en-US" w:eastAsia="zh-CN"/>
        </w:rPr>
        <w:t xml:space="preserve">广州珠江住房租赁发展投资有限公司 </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咨询</w:t>
      </w:r>
      <w:r>
        <w:rPr>
          <w:rFonts w:hint="eastAsia" w:ascii="宋体" w:hAnsi="宋体" w:eastAsia="宋体" w:cs="宋体"/>
          <w:b w:val="0"/>
          <w:bCs/>
          <w:color w:val="auto"/>
          <w:sz w:val="28"/>
          <w:szCs w:val="28"/>
          <w:highlight w:val="none"/>
        </w:rPr>
        <w:t>人（乙方）：</w:t>
      </w:r>
      <w:r>
        <w:rPr>
          <w:rFonts w:hint="eastAsia" w:ascii="宋体" w:hAnsi="宋体" w:eastAsia="宋体" w:cs="宋体"/>
          <w:b w:val="0"/>
          <w:bCs/>
          <w:color w:val="auto"/>
          <w:sz w:val="28"/>
          <w:szCs w:val="28"/>
          <w:highlight w:val="none"/>
          <w:u w:val="single"/>
          <w:lang w:val="en-US" w:eastAsia="zh-CN"/>
        </w:rPr>
        <w:t xml:space="preserve">                                </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签 订 日 期：</w:t>
      </w:r>
      <w:r>
        <w:rPr>
          <w:rFonts w:hint="eastAsia" w:ascii="宋体" w:hAnsi="宋体" w:eastAsia="宋体" w:cs="宋体"/>
          <w:b w:val="0"/>
          <w:bCs/>
          <w:color w:val="auto"/>
          <w:sz w:val="28"/>
          <w:szCs w:val="28"/>
          <w:highlight w:val="none"/>
          <w:u w:val="single"/>
          <w:lang w:val="en-US" w:eastAsia="zh-CN"/>
        </w:rPr>
        <w:t>2025年</w:t>
      </w:r>
      <w:r>
        <w:rPr>
          <w:rFonts w:hint="eastAsia" w:ascii="宋体" w:hAnsi="宋体" w:eastAsia="宋体" w:cs="宋体"/>
          <w:b w:val="0"/>
          <w:bCs/>
          <w:color w:val="auto"/>
          <w:sz w:val="28"/>
          <w:szCs w:val="28"/>
          <w:highlight w:val="none"/>
          <w:u w:val="single"/>
        </w:rPr>
        <w:t xml:space="preserve">  月  日</w:t>
      </w:r>
    </w:p>
    <w:p>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签 订 地 点：</w:t>
      </w:r>
      <w:r>
        <w:rPr>
          <w:rFonts w:hint="eastAsia" w:ascii="宋体" w:hAnsi="宋体" w:eastAsia="宋体" w:cs="宋体"/>
          <w:b w:val="0"/>
          <w:bCs/>
          <w:color w:val="auto"/>
          <w:sz w:val="28"/>
          <w:szCs w:val="28"/>
          <w:highlight w:val="none"/>
          <w:u w:val="single"/>
          <w:lang w:eastAsia="zh-CN"/>
        </w:rPr>
        <w:t>广东省广州市</w:t>
      </w:r>
    </w:p>
    <w:p>
      <w:pPr>
        <w:widowControl/>
        <w:spacing w:beforeAutospacing="1" w:afterAutospacing="1" w:line="360" w:lineRule="auto"/>
        <w:jc w:val="center"/>
        <w:outlineLvl w:val="9"/>
        <w:rPr>
          <w:rFonts w:hint="eastAsia" w:ascii="宋体" w:hAnsi="宋体" w:eastAsia="宋体" w:cs="宋体"/>
          <w:b/>
          <w:color w:val="auto"/>
          <w:sz w:val="36"/>
          <w:szCs w:val="36"/>
          <w:highlight w:val="none"/>
        </w:rPr>
        <w:sectPr>
          <w:pgSz w:w="11906" w:h="16838"/>
          <w:pgMar w:top="1417" w:right="1800" w:bottom="1417" w:left="1800" w:header="851" w:footer="992" w:gutter="0"/>
          <w:pgNumType w:start="1"/>
          <w:cols w:space="425" w:num="1"/>
          <w:docGrid w:type="lines" w:linePitch="312" w:charSpace="0"/>
        </w:sectPr>
      </w:pPr>
    </w:p>
    <w:sdt>
      <w:sdtPr>
        <w:rPr>
          <w:rFonts w:hint="eastAsia" w:ascii="宋体" w:hAnsi="宋体" w:eastAsia="宋体" w:cs="宋体"/>
          <w:b/>
          <w:bCs/>
          <w:color w:val="auto"/>
          <w:kern w:val="2"/>
          <w:sz w:val="36"/>
          <w:szCs w:val="36"/>
          <w:highlight w:val="none"/>
          <w:lang w:val="en-US" w:eastAsia="zh-CN" w:bidi="ar-SA"/>
        </w:rPr>
        <w:id w:val="147467120"/>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"1-2"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_Toc20226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rPr>
            <w:t>第一</w:t>
          </w:r>
          <w:r>
            <w:rPr>
              <w:rFonts w:hint="eastAsia" w:ascii="宋体" w:hAnsi="宋体" w:eastAsia="宋体" w:cs="宋体"/>
              <w:b/>
              <w:bCs/>
              <w:color w:val="auto"/>
              <w:kern w:val="44"/>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kern w:val="44"/>
              <w:sz w:val="24"/>
              <w:szCs w:val="24"/>
              <w:highlight w:val="none"/>
            </w:rPr>
            <w:t>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_Toc20226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一、甲方委托乙方为以下项目提供建设工程造价咨询服务：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二、服务范围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三、服务期限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四、服务报酬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五、合同文件构成及优先顺序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、合同生效及终止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、合同份数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_Toc27168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w:t>
          </w:r>
          <w:r>
            <w:rPr>
              <w:rFonts w:hint="eastAsia" w:ascii="宋体" w:hAnsi="宋体" w:eastAsia="宋体" w:cs="宋体"/>
              <w:b/>
              <w:bCs/>
              <w:color w:val="auto"/>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sz w:val="24"/>
              <w:szCs w:val="24"/>
              <w:highlight w:val="none"/>
            </w:rPr>
            <w:t>合同条款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_Toc27168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二、本合同适用的法律、法规及工程造价计价办法和规定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_Toc6622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三、本合同适用的语言文字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_Toc6622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_Toc13619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四、服务内容及相关服务要求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五、甲方的权利和义务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六、乙方的权利和义务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七、服务报酬及其支付方式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八、违约责任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九、合同变更与终止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十、履约担保及索赔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十一、合同争议的解决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十二、其它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_Toc6621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lang w:val="en-US" w:eastAsia="zh-CN" w:bidi="ar-SA"/>
            </w:rPr>
            <w:t>第三篇　合同附件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_Toc6621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附件1：</w:t>
          </w:r>
          <w:r>
            <w:rPr>
              <w:rFonts w:hint="eastAsia" w:ascii="宋体" w:hAnsi="宋体" w:eastAsia="宋体" w:cs="宋体"/>
              <w:bCs/>
              <w:color w:val="auto"/>
              <w:sz w:val="24"/>
              <w:szCs w:val="24"/>
              <w:highlight w:val="none"/>
              <w:lang w:val="en-US" w:eastAsia="zh-CN"/>
            </w:rPr>
            <w:t>廉政合同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附件2：</w:t>
          </w:r>
          <w:r>
            <w:rPr>
              <w:rFonts w:hint="eastAsia" w:ascii="宋体" w:hAnsi="宋体" w:eastAsia="宋体" w:cs="宋体"/>
              <w:bCs/>
              <w:color w:val="auto"/>
              <w:sz w:val="24"/>
              <w:szCs w:val="24"/>
              <w:highlight w:val="none"/>
              <w:lang w:val="en-US" w:eastAsia="zh-CN"/>
            </w:rPr>
            <w:t>保密协议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_Toc25414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中标通知书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_Toc25414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履约担保及承诺书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拟投入本项目造价人员一览表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广州安居集团有限公司造价咨询单位管理办法（试行）</w:t>
          </w:r>
          <w:r>
            <w:rPr>
              <w:rFonts w:hint="eastAsia" w:ascii="宋体" w:hAnsi="宋体" w:eastAsia="宋体" w:cs="宋体"/>
              <w:bCs/>
              <w:color w:val="auto"/>
              <w:sz w:val="24"/>
              <w:szCs w:val="24"/>
              <w:highlight w:val="none"/>
            </w:rPr>
            <w:t>》（另册）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tabs>
              <w:tab w:val="right" w:leader="dot" w:pos="8306"/>
            </w:tabs>
            <w:spacing w:line="312"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：乙方营业执照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widowControl/>
            <w:spacing w:beforeAutospacing="0" w:afterAutospacing="1" w:line="312" w:lineRule="auto"/>
            <w:jc w:val="center"/>
            <w:outlineLvl w:val="9"/>
            <w:rPr>
              <w:rFonts w:hint="eastAsia" w:ascii="宋体" w:hAnsi="宋体" w:eastAsia="宋体" w:cs="宋体"/>
              <w:b/>
              <w:color w:val="auto"/>
              <w:kern w:val="2"/>
              <w:sz w:val="21"/>
              <w:szCs w:val="36"/>
              <w:highlight w:val="none"/>
              <w:lang w:val="en-US" w:eastAsia="zh-CN" w:bidi="ar-SA"/>
            </w:rPr>
            <w:sectPr>
              <w:footerReference r:id="rId3" w:type="default"/>
              <w:pgSz w:w="11906" w:h="16838"/>
              <w:pgMar w:top="1417" w:right="1800" w:bottom="1417"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fldChar w:fldCharType="end"/>
          </w:r>
        </w:p>
      </w:sdtContent>
    </w:sdt>
    <w:p>
      <w:pPr>
        <w:widowControl w:val="0"/>
        <w:adjustRightInd w:val="0"/>
        <w:snapToGrid w:val="0"/>
        <w:spacing w:beforeAutospacing="0" w:afterAutospacing="0" w:line="360" w:lineRule="auto"/>
        <w:jc w:val="center"/>
        <w:outlineLvl w:val="0"/>
        <w:rPr>
          <w:rFonts w:hint="eastAsia" w:ascii="宋体" w:hAnsi="宋体" w:eastAsia="宋体" w:cs="宋体"/>
          <w:b/>
          <w:color w:val="auto"/>
          <w:kern w:val="44"/>
          <w:sz w:val="32"/>
          <w:szCs w:val="32"/>
          <w:highlight w:val="none"/>
        </w:rPr>
      </w:pPr>
      <w:bookmarkStart w:id="12" w:name="_Toc21389"/>
      <w:bookmarkStart w:id="13" w:name="_Toc20226"/>
      <w:bookmarkStart w:id="14" w:name="_Toc21907"/>
      <w:bookmarkStart w:id="15" w:name="_Toc24271"/>
      <w:bookmarkStart w:id="16" w:name="_Toc24054"/>
      <w:bookmarkStart w:id="17" w:name="_Toc5844"/>
      <w:bookmarkStart w:id="18" w:name="_Toc23"/>
      <w:bookmarkStart w:id="19" w:name="_Toc29689"/>
      <w:bookmarkStart w:id="20" w:name="_Toc15340"/>
      <w:bookmarkStart w:id="21" w:name="_Toc8725"/>
      <w:bookmarkStart w:id="22" w:name="_Toc6193"/>
      <w:r>
        <w:rPr>
          <w:rFonts w:hint="eastAsia" w:ascii="宋体" w:hAnsi="宋体" w:eastAsia="宋体" w:cs="宋体"/>
          <w:b/>
          <w:color w:val="auto"/>
          <w:kern w:val="44"/>
          <w:sz w:val="32"/>
          <w:szCs w:val="32"/>
          <w:highlight w:val="none"/>
        </w:rPr>
        <w:t>第一</w:t>
      </w:r>
      <w:r>
        <w:rPr>
          <w:rFonts w:hint="eastAsia" w:ascii="宋体" w:hAnsi="宋体" w:eastAsia="宋体" w:cs="宋体"/>
          <w:b/>
          <w:color w:val="auto"/>
          <w:kern w:val="44"/>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kern w:val="44"/>
          <w:sz w:val="32"/>
          <w:szCs w:val="32"/>
          <w:highlight w:val="none"/>
        </w:rPr>
        <w:t>合同协议书</w:t>
      </w:r>
      <w:bookmarkEnd w:id="12"/>
      <w:bookmarkEnd w:id="13"/>
      <w:bookmarkEnd w:id="14"/>
      <w:bookmarkEnd w:id="15"/>
      <w:bookmarkEnd w:id="16"/>
      <w:bookmarkEnd w:id="17"/>
      <w:bookmarkEnd w:id="18"/>
      <w:bookmarkEnd w:id="19"/>
      <w:bookmarkEnd w:id="20"/>
      <w:bookmarkEnd w:id="21"/>
      <w:bookmarkEnd w:id="22"/>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eastAsia="zh-CN"/>
        </w:rPr>
        <w:t>广州珠江住房租赁发展投资有限公司</w:t>
      </w:r>
      <w:r>
        <w:rPr>
          <w:rFonts w:hint="eastAsia" w:ascii="宋体" w:hAnsi="宋体" w:eastAsia="宋体" w:cs="宋体"/>
          <w:color w:val="auto"/>
          <w:sz w:val="24"/>
          <w:szCs w:val="24"/>
          <w:highlight w:val="none"/>
        </w:rPr>
        <w:t>（以下称甲方）与</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（以下称乙方）依照《中华人民共和国民法典》《中华人民共和国建筑法》</w:t>
      </w:r>
      <w:r>
        <w:rPr>
          <w:rFonts w:hint="eastAsia" w:ascii="宋体" w:hAnsi="宋体" w:eastAsia="宋体" w:cs="宋体"/>
          <w:strike w:val="0"/>
          <w:color w:val="auto"/>
          <w:kern w:val="0"/>
          <w:sz w:val="24"/>
          <w:szCs w:val="24"/>
          <w:highlight w:val="none"/>
        </w:rPr>
        <w:t>及其他有关法律、行政法规、部门规章、地方性法规和规章，以及国家和广东省、广州市人民政府及有关主管部门关于</w:t>
      </w:r>
      <w:r>
        <w:rPr>
          <w:rFonts w:hint="eastAsia" w:ascii="宋体" w:hAnsi="宋体" w:eastAsia="宋体" w:cs="宋体"/>
          <w:strike w:val="0"/>
          <w:color w:val="auto"/>
          <w:kern w:val="0"/>
          <w:sz w:val="24"/>
          <w:szCs w:val="24"/>
          <w:highlight w:val="none"/>
          <w:u w:val="single"/>
          <w:lang w:val="en-US" w:eastAsia="zh-CN"/>
        </w:rPr>
        <w:t>新民村（一期）公共租赁住房</w:t>
      </w:r>
      <w:r>
        <w:rPr>
          <w:rFonts w:hint="eastAsia" w:ascii="宋体" w:hAnsi="宋体" w:eastAsia="宋体" w:cs="宋体"/>
          <w:strike w:val="0"/>
          <w:color w:val="auto"/>
          <w:kern w:val="0"/>
          <w:sz w:val="24"/>
          <w:szCs w:val="24"/>
          <w:highlight w:val="none"/>
        </w:rPr>
        <w:t>项目（以下称本项目）的有关文件，遵循平等、自愿、公平和诚实信用的原则，双方就本项目</w:t>
      </w:r>
      <w:r>
        <w:rPr>
          <w:rFonts w:hint="eastAsia" w:ascii="宋体" w:hAnsi="宋体" w:eastAsia="宋体" w:cs="宋体"/>
          <w:color w:val="auto"/>
          <w:sz w:val="24"/>
          <w:szCs w:val="24"/>
          <w:highlight w:val="none"/>
          <w:u w:val="single"/>
        </w:rPr>
        <w:t>全过程造价咨询</w:t>
      </w:r>
      <w:r>
        <w:rPr>
          <w:rFonts w:hint="eastAsia" w:ascii="宋体" w:hAnsi="宋体" w:eastAsia="宋体" w:cs="宋体"/>
          <w:color w:val="auto"/>
          <w:kern w:val="0"/>
          <w:sz w:val="24"/>
          <w:szCs w:val="24"/>
          <w:highlight w:val="none"/>
        </w:rPr>
        <w:t>服务事项协商一致，订立本合同。</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 w:name="_Toc20345"/>
      <w:bookmarkStart w:id="24" w:name="_Toc12974"/>
      <w:bookmarkStart w:id="25" w:name="_Toc258"/>
      <w:bookmarkStart w:id="26" w:name="_Toc8228"/>
      <w:bookmarkStart w:id="27" w:name="_Toc16949"/>
      <w:bookmarkStart w:id="28" w:name="_Toc6632"/>
      <w:bookmarkStart w:id="29" w:name="_Toc26814"/>
      <w:bookmarkStart w:id="30" w:name="_Toc1133"/>
      <w:bookmarkStart w:id="31" w:name="_Toc8645"/>
      <w:bookmarkStart w:id="32" w:name="_Toc5744"/>
      <w:bookmarkStart w:id="33" w:name="_Toc10711"/>
      <w:r>
        <w:rPr>
          <w:rFonts w:hint="eastAsia" w:ascii="宋体" w:hAnsi="宋体" w:eastAsia="宋体" w:cs="宋体"/>
          <w:b/>
          <w:color w:val="auto"/>
          <w:sz w:val="24"/>
          <w:szCs w:val="24"/>
          <w:highlight w:val="none"/>
        </w:rPr>
        <w:t>一、甲方委托乙方为以下项目提供建设工程造价咨询服务：</w:t>
      </w:r>
      <w:bookmarkEnd w:id="23"/>
      <w:bookmarkEnd w:id="24"/>
      <w:bookmarkEnd w:id="25"/>
      <w:bookmarkEnd w:id="26"/>
      <w:bookmarkEnd w:id="27"/>
      <w:bookmarkEnd w:id="28"/>
      <w:bookmarkEnd w:id="29"/>
      <w:bookmarkEnd w:id="30"/>
      <w:bookmarkEnd w:id="31"/>
      <w:bookmarkEnd w:id="32"/>
      <w:bookmarkEnd w:id="3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eastAsia="zh-CN"/>
        </w:rPr>
        <w:t>新民村（一期）公共租赁住房</w:t>
      </w:r>
      <w:r>
        <w:rPr>
          <w:rFonts w:hint="eastAsia" w:ascii="宋体" w:hAnsi="宋体" w:eastAsia="宋体" w:cs="宋体"/>
          <w:color w:val="auto"/>
          <w:sz w:val="24"/>
          <w:szCs w:val="24"/>
          <w:highlight w:val="none"/>
          <w:u w:val="single"/>
        </w:rPr>
        <w:t>项目全过程造价咨询服务。</w:t>
      </w:r>
    </w:p>
    <w:p>
      <w:pPr>
        <w:adjustRightInd w:val="0"/>
        <w:snapToGrid w:val="0"/>
        <w:spacing w:line="360" w:lineRule="auto"/>
        <w:ind w:firstLine="480"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2.项目地点：</w:t>
      </w:r>
      <w:r>
        <w:rPr>
          <w:rFonts w:hint="eastAsia" w:ascii="宋体" w:hAnsi="宋体" w:eastAsia="宋体" w:cs="宋体"/>
          <w:b w:val="0"/>
          <w:bCs w:val="0"/>
          <w:color w:val="auto"/>
          <w:sz w:val="24"/>
          <w:szCs w:val="24"/>
          <w:highlight w:val="none"/>
          <w:u w:val="single"/>
          <w:lang w:val="en-US" w:eastAsia="zh-CN"/>
        </w:rPr>
        <w:t>广州市花都区芙蓉大道以西、金狮大道以北</w:t>
      </w:r>
      <w:r>
        <w:rPr>
          <w:rFonts w:hint="eastAsia" w:ascii="宋体" w:hAnsi="宋体" w:eastAsia="宋体" w:cs="宋体"/>
          <w:color w:val="auto"/>
          <w:spacing w:val="-11"/>
          <w:sz w:val="24"/>
          <w:szCs w:val="24"/>
          <w:highlight w:val="none"/>
          <w:u w:val="singl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3.项目规模：</w:t>
      </w:r>
      <w:r>
        <w:rPr>
          <w:rFonts w:hint="eastAsia" w:ascii="宋体" w:hAnsi="宋体" w:eastAsia="宋体" w:cs="宋体"/>
          <w:b w:val="0"/>
          <w:bCs w:val="0"/>
          <w:color w:val="auto"/>
          <w:sz w:val="24"/>
          <w:szCs w:val="24"/>
          <w:highlight w:val="none"/>
          <w:u w:val="single"/>
        </w:rPr>
        <w:t>总用地面积</w:t>
      </w:r>
      <w:r>
        <w:rPr>
          <w:rFonts w:hint="eastAsia" w:ascii="宋体" w:hAnsi="宋体" w:eastAsia="宋体" w:cs="宋体"/>
          <w:b w:val="0"/>
          <w:bCs w:val="0"/>
          <w:color w:val="auto"/>
          <w:sz w:val="24"/>
          <w:szCs w:val="24"/>
          <w:highlight w:val="none"/>
          <w:u w:val="single"/>
          <w:lang w:val="en-US" w:eastAsia="zh-CN"/>
        </w:rPr>
        <w:t>30091.53</w:t>
      </w:r>
      <w:r>
        <w:rPr>
          <w:rFonts w:hint="eastAsia" w:ascii="宋体" w:hAnsi="宋体" w:eastAsia="宋体" w:cs="宋体"/>
          <w:b w:val="0"/>
          <w:bCs w:val="0"/>
          <w:color w:val="auto"/>
          <w:sz w:val="24"/>
          <w:szCs w:val="24"/>
          <w:highlight w:val="none"/>
          <w:u w:val="single"/>
        </w:rPr>
        <w:t>㎡，可建设用地面积</w:t>
      </w:r>
      <w:r>
        <w:rPr>
          <w:rFonts w:hint="eastAsia" w:ascii="宋体" w:hAnsi="宋体" w:eastAsia="宋体" w:cs="宋体"/>
          <w:b w:val="0"/>
          <w:bCs w:val="0"/>
          <w:color w:val="auto"/>
          <w:sz w:val="24"/>
          <w:szCs w:val="24"/>
          <w:highlight w:val="none"/>
          <w:u w:val="single"/>
          <w:lang w:val="en-US" w:eastAsia="zh-CN"/>
        </w:rPr>
        <w:t>23566.86</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，容积率≤3.</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lang w:eastAsia="zh-CN"/>
        </w:rPr>
        <w:t>，建筑密度≤28%，绿地率≥35%，计容建筑面积约</w:t>
      </w:r>
      <w:r>
        <w:rPr>
          <w:rFonts w:hint="eastAsia" w:ascii="宋体" w:hAnsi="宋体" w:eastAsia="宋体" w:cs="宋体"/>
          <w:b w:val="0"/>
          <w:bCs w:val="0"/>
          <w:color w:val="auto"/>
          <w:sz w:val="24"/>
          <w:szCs w:val="24"/>
          <w:highlight w:val="none"/>
          <w:u w:val="single"/>
          <w:lang w:val="en-US" w:eastAsia="zh-CN"/>
        </w:rPr>
        <w:t>82484.01</w:t>
      </w:r>
      <w:r>
        <w:rPr>
          <w:rFonts w:hint="eastAsia" w:ascii="宋体" w:hAnsi="宋体" w:eastAsia="宋体" w:cs="宋体"/>
          <w:b w:val="0"/>
          <w:bCs w:val="0"/>
          <w:color w:val="auto"/>
          <w:sz w:val="24"/>
          <w:szCs w:val="24"/>
          <w:highlight w:val="none"/>
          <w:u w:val="single"/>
          <w:lang w:eastAsia="zh-CN"/>
        </w:rPr>
        <w:t>㎡，总建筑面积约</w:t>
      </w:r>
      <w:r>
        <w:rPr>
          <w:rFonts w:hint="eastAsia" w:ascii="宋体" w:hAnsi="宋体" w:eastAsia="宋体" w:cs="宋体"/>
          <w:b w:val="0"/>
          <w:bCs w:val="0"/>
          <w:color w:val="auto"/>
          <w:sz w:val="24"/>
          <w:szCs w:val="24"/>
          <w:highlight w:val="none"/>
          <w:u w:val="single"/>
          <w:lang w:val="en-US" w:eastAsia="zh-CN"/>
        </w:rPr>
        <w:t>113443</w:t>
      </w:r>
      <w:r>
        <w:rPr>
          <w:rFonts w:hint="eastAsia" w:ascii="宋体" w:hAnsi="宋体" w:eastAsia="宋体" w:cs="宋体"/>
          <w:b w:val="0"/>
          <w:bCs w:val="0"/>
          <w:color w:val="auto"/>
          <w:sz w:val="24"/>
          <w:szCs w:val="24"/>
          <w:highlight w:val="none"/>
          <w:u w:val="single"/>
          <w:lang w:eastAsia="zh-CN"/>
        </w:rPr>
        <w:t>㎡，其中地下建筑面积约</w:t>
      </w:r>
      <w:r>
        <w:rPr>
          <w:rFonts w:hint="eastAsia" w:ascii="宋体" w:hAnsi="宋体" w:eastAsia="宋体" w:cs="宋体"/>
          <w:b w:val="0"/>
          <w:bCs w:val="0"/>
          <w:color w:val="auto"/>
          <w:sz w:val="24"/>
          <w:szCs w:val="24"/>
          <w:highlight w:val="none"/>
          <w:u w:val="single"/>
          <w:lang w:val="en-US" w:eastAsia="zh-CN"/>
        </w:rPr>
        <w:t>28900</w:t>
      </w:r>
      <w:r>
        <w:rPr>
          <w:rFonts w:hint="eastAsia" w:ascii="宋体" w:hAnsi="宋体" w:eastAsia="宋体" w:cs="宋体"/>
          <w:b w:val="0"/>
          <w:bCs w:val="0"/>
          <w:color w:val="auto"/>
          <w:sz w:val="24"/>
          <w:szCs w:val="24"/>
          <w:highlight w:val="none"/>
          <w:u w:val="single"/>
          <w:lang w:eastAsia="zh-CN"/>
        </w:rPr>
        <w:t>㎡，住宅面积约</w:t>
      </w:r>
      <w:r>
        <w:rPr>
          <w:rFonts w:hint="eastAsia" w:ascii="宋体" w:hAnsi="宋体" w:eastAsia="宋体" w:cs="宋体"/>
          <w:b w:val="0"/>
          <w:bCs w:val="0"/>
          <w:color w:val="auto"/>
          <w:sz w:val="24"/>
          <w:szCs w:val="24"/>
          <w:highlight w:val="none"/>
          <w:u w:val="single"/>
          <w:lang w:val="en-US" w:eastAsia="zh-CN"/>
        </w:rPr>
        <w:t>79424.01</w:t>
      </w:r>
      <w:r>
        <w:rPr>
          <w:rFonts w:hint="eastAsia" w:ascii="宋体" w:hAnsi="宋体" w:eastAsia="宋体" w:cs="宋体"/>
          <w:b w:val="0"/>
          <w:bCs w:val="0"/>
          <w:color w:val="auto"/>
          <w:sz w:val="24"/>
          <w:szCs w:val="24"/>
          <w:highlight w:val="none"/>
          <w:u w:val="single"/>
          <w:lang w:eastAsia="zh-CN"/>
        </w:rPr>
        <w:t>㎡。建筑限高≤100米，层数暂定为3</w:t>
      </w:r>
      <w:r>
        <w:rPr>
          <w:rFonts w:hint="eastAsia" w:ascii="宋体" w:hAnsi="宋体" w:eastAsia="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u w:val="single"/>
          <w:lang w:eastAsia="zh-CN"/>
        </w:rPr>
        <w:t>层</w:t>
      </w:r>
      <w:r>
        <w:rPr>
          <w:rFonts w:hint="eastAsia" w:ascii="宋体" w:hAnsi="宋体" w:eastAsia="宋体" w:cs="宋体"/>
          <w:b w:val="0"/>
          <w:bCs w:val="0"/>
          <w:color w:val="auto"/>
          <w:sz w:val="24"/>
          <w:szCs w:val="24"/>
          <w:highlight w:val="none"/>
          <w:u w:val="single"/>
        </w:rPr>
        <w:t>。该项目的建设规模及指标最终以政府相关部门的批复及</w:t>
      </w:r>
      <w:r>
        <w:rPr>
          <w:rFonts w:hint="eastAsia" w:ascii="宋体" w:hAnsi="宋体" w:eastAsia="宋体" w:cs="宋体"/>
          <w:b w:val="0"/>
          <w:bCs w:val="0"/>
          <w:color w:val="auto"/>
          <w:sz w:val="24"/>
          <w:szCs w:val="24"/>
          <w:highlight w:val="none"/>
          <w:u w:val="single"/>
          <w:lang w:val="en-US" w:eastAsia="zh-CN"/>
        </w:rPr>
        <w:t>甲方</w:t>
      </w:r>
      <w:r>
        <w:rPr>
          <w:rFonts w:hint="eastAsia" w:ascii="宋体" w:hAnsi="宋体" w:eastAsia="宋体" w:cs="宋体"/>
          <w:b w:val="0"/>
          <w:bCs w:val="0"/>
          <w:color w:val="auto"/>
          <w:sz w:val="24"/>
          <w:szCs w:val="24"/>
          <w:highlight w:val="none"/>
          <w:u w:val="single"/>
        </w:rPr>
        <w:t>选定方案为准</w:t>
      </w:r>
      <w:r>
        <w:rPr>
          <w:rFonts w:hint="eastAsia" w:ascii="宋体" w:hAnsi="宋体" w:eastAsia="宋体" w:cs="宋体"/>
          <w:color w:val="auto"/>
          <w:sz w:val="24"/>
          <w:szCs w:val="24"/>
          <w:highlight w:val="none"/>
          <w:u w:val="single"/>
        </w:rPr>
        <w:t>。</w:t>
      </w:r>
    </w:p>
    <w:p>
      <w:pPr>
        <w:adjustRightInd w:val="0"/>
        <w:snapToGrid w:val="0"/>
        <w:spacing w:line="360" w:lineRule="auto"/>
        <w:ind w:firstLine="482" w:firstLineChars="200"/>
        <w:outlineLvl w:val="0"/>
        <w:rPr>
          <w:rFonts w:hint="eastAsia" w:ascii="宋体" w:hAnsi="宋体" w:eastAsia="宋体" w:cs="宋体"/>
          <w:b/>
          <w:color w:val="auto"/>
          <w:sz w:val="24"/>
          <w:szCs w:val="24"/>
          <w:highlight w:val="none"/>
        </w:rPr>
      </w:pPr>
      <w:bookmarkStart w:id="34" w:name="_Toc16505"/>
      <w:bookmarkStart w:id="35" w:name="_Toc8236"/>
      <w:bookmarkStart w:id="36" w:name="_Toc14030"/>
      <w:bookmarkStart w:id="37" w:name="_Toc28442"/>
      <w:bookmarkStart w:id="38" w:name="_Toc14526"/>
      <w:bookmarkStart w:id="39" w:name="_Toc26575"/>
      <w:bookmarkStart w:id="40" w:name="_Toc11955"/>
      <w:bookmarkStart w:id="41" w:name="_Toc8040"/>
      <w:bookmarkStart w:id="42" w:name="_Toc30379"/>
      <w:bookmarkStart w:id="43" w:name="_Toc5783"/>
      <w:bookmarkStart w:id="44" w:name="_Toc5466"/>
      <w:r>
        <w:rPr>
          <w:rFonts w:hint="eastAsia" w:ascii="宋体" w:hAnsi="宋体" w:eastAsia="宋体" w:cs="宋体"/>
          <w:b/>
          <w:color w:val="auto"/>
          <w:sz w:val="24"/>
          <w:szCs w:val="24"/>
          <w:highlight w:val="none"/>
        </w:rPr>
        <w:t>二、服务范围</w:t>
      </w:r>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主要包括</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投资估算审核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设计概算审核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施工图预算</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招标工程量清单和招标控制价编制</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rPr>
        <w:t>工程量清单和招标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控制价编制</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工程量清单复核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施工、货物、服务等合同</w:t>
      </w:r>
      <w:r>
        <w:rPr>
          <w:rFonts w:hint="eastAsia" w:ascii="宋体" w:hAnsi="宋体" w:eastAsia="宋体" w:cs="宋体"/>
          <w:color w:val="auto"/>
          <w:sz w:val="24"/>
          <w:szCs w:val="24"/>
          <w:highlight w:val="none"/>
        </w:rPr>
        <w:t>计量支付审核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主材单价、综合单价、合同变更费用</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设计变更预算、工程签证预算审核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造价测算、</w:t>
      </w:r>
      <w:r>
        <w:rPr>
          <w:rFonts w:hint="eastAsia" w:ascii="宋体" w:hAnsi="宋体" w:eastAsia="宋体" w:cs="宋体"/>
          <w:color w:val="auto"/>
          <w:sz w:val="24"/>
          <w:szCs w:val="24"/>
          <w:highlight w:val="none"/>
        </w:rPr>
        <w:t>材料设备看样定板会签</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各类</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各类合同</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val="en-US" w:eastAsia="zh-CN"/>
        </w:rPr>
        <w:t>编制或</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配合决算编审</w:t>
      </w:r>
      <w:r>
        <w:rPr>
          <w:rFonts w:hint="eastAsia" w:ascii="宋体" w:hAnsi="宋体" w:eastAsia="宋体" w:cs="宋体"/>
          <w:color w:val="auto"/>
          <w:sz w:val="24"/>
          <w:szCs w:val="24"/>
          <w:highlight w:val="none"/>
          <w:lang w:eastAsia="zh-CN"/>
        </w:rPr>
        <w:t>☑</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14.</w:t>
      </w:r>
      <w:r>
        <w:rPr>
          <w:rFonts w:hint="eastAsia" w:ascii="宋体" w:hAnsi="宋体" w:eastAsia="宋体" w:cs="宋体"/>
          <w:color w:val="auto"/>
          <w:sz w:val="24"/>
          <w:szCs w:val="24"/>
          <w:highlight w:val="none"/>
          <w:lang w:val="en-US" w:eastAsia="zh-CN"/>
        </w:rPr>
        <w:t>其他甲方安排的造价咨询相关工作</w:t>
      </w:r>
      <w:r>
        <w:rPr>
          <w:rFonts w:hint="eastAsia" w:ascii="宋体" w:hAnsi="宋体" w:eastAsia="宋体" w:cs="宋体"/>
          <w:color w:val="auto"/>
          <w:sz w:val="24"/>
          <w:szCs w:val="24"/>
          <w:highlight w:val="none"/>
          <w:lang w:eastAsia="zh-CN"/>
        </w:rPr>
        <w:t>☑</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45" w:name="_Toc30793"/>
      <w:bookmarkStart w:id="46" w:name="_Toc10270"/>
      <w:bookmarkStart w:id="47" w:name="_Toc25174"/>
      <w:bookmarkStart w:id="48" w:name="_Toc28323"/>
      <w:bookmarkStart w:id="49" w:name="_Toc24187"/>
      <w:bookmarkStart w:id="50" w:name="_Toc21396"/>
      <w:bookmarkStart w:id="51" w:name="_Toc31418"/>
      <w:bookmarkStart w:id="52" w:name="_Toc19013"/>
      <w:bookmarkStart w:id="53" w:name="_Toc1502"/>
      <w:bookmarkStart w:id="54" w:name="_Toc17944"/>
      <w:bookmarkStart w:id="55" w:name="_Toc24076"/>
      <w:r>
        <w:rPr>
          <w:rFonts w:hint="eastAsia" w:ascii="宋体" w:hAnsi="宋体" w:eastAsia="宋体" w:cs="宋体"/>
          <w:b/>
          <w:color w:val="auto"/>
          <w:sz w:val="24"/>
          <w:szCs w:val="24"/>
          <w:highlight w:val="none"/>
        </w:rPr>
        <w:t>三、服务期限</w:t>
      </w:r>
      <w:bookmarkEnd w:id="45"/>
      <w:bookmarkEnd w:id="46"/>
      <w:bookmarkEnd w:id="47"/>
      <w:bookmarkEnd w:id="48"/>
      <w:bookmarkEnd w:id="49"/>
      <w:bookmarkEnd w:id="50"/>
      <w:bookmarkEnd w:id="51"/>
      <w:bookmarkEnd w:id="52"/>
      <w:bookmarkEnd w:id="53"/>
      <w:bookmarkEnd w:id="54"/>
      <w:bookmarkEnd w:id="5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本合同服务期限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自</w:t>
      </w:r>
      <w:r>
        <w:rPr>
          <w:rFonts w:hint="eastAsia" w:ascii="宋体" w:hAnsi="宋体" w:eastAsia="宋体" w:cs="宋体"/>
          <w:color w:val="auto"/>
          <w:sz w:val="24"/>
          <w:szCs w:val="24"/>
          <w:highlight w:val="none"/>
          <w:u w:val="single"/>
          <w:lang w:val="en-US" w:eastAsia="zh-CN"/>
        </w:rPr>
        <w:t>签订合同之日起</w:t>
      </w:r>
      <w:r>
        <w:rPr>
          <w:rFonts w:hint="eastAsia" w:ascii="宋体" w:hAnsi="宋体" w:eastAsia="宋体" w:cs="宋体"/>
          <w:color w:val="auto"/>
          <w:sz w:val="24"/>
          <w:szCs w:val="24"/>
          <w:highlight w:val="none"/>
          <w:u w:val="single"/>
        </w:rPr>
        <w:t>至合同约定</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s="宋体"/>
          <w:color w:val="auto"/>
          <w:sz w:val="24"/>
          <w:szCs w:val="24"/>
          <w:highlight w:val="none"/>
          <w:u w:val="single"/>
        </w:rPr>
        <w:t>造价咨询服务工作全部完成止。甲方根据实际情况，有权对本合同服务期限进行适当调整。</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56" w:name="_Toc4936"/>
      <w:bookmarkStart w:id="57" w:name="_Toc32677"/>
      <w:bookmarkStart w:id="58" w:name="_Toc22014"/>
      <w:bookmarkStart w:id="59" w:name="_Toc11312"/>
      <w:bookmarkStart w:id="60" w:name="_Toc29486"/>
      <w:bookmarkStart w:id="61" w:name="_Toc27175"/>
      <w:bookmarkStart w:id="62" w:name="_Toc23776"/>
      <w:bookmarkStart w:id="63" w:name="_Toc4539"/>
      <w:bookmarkStart w:id="64" w:name="_Toc11248"/>
      <w:bookmarkStart w:id="65" w:name="_Toc9001"/>
      <w:bookmarkStart w:id="66" w:name="_Toc293"/>
      <w:r>
        <w:rPr>
          <w:rFonts w:hint="eastAsia" w:ascii="宋体" w:hAnsi="宋体" w:eastAsia="宋体" w:cs="宋体"/>
          <w:b/>
          <w:color w:val="auto"/>
          <w:sz w:val="24"/>
          <w:szCs w:val="24"/>
          <w:highlight w:val="none"/>
        </w:rPr>
        <w:t>四、服务报酬</w:t>
      </w:r>
      <w:bookmarkEnd w:id="56"/>
      <w:bookmarkEnd w:id="57"/>
      <w:bookmarkEnd w:id="58"/>
      <w:bookmarkEnd w:id="59"/>
      <w:bookmarkEnd w:id="60"/>
      <w:bookmarkEnd w:id="61"/>
      <w:bookmarkEnd w:id="62"/>
      <w:bookmarkEnd w:id="63"/>
      <w:bookmarkEnd w:id="64"/>
      <w:bookmarkEnd w:id="65"/>
      <w:bookmarkEnd w:id="6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经甲乙双方协商一致，本合同服务报酬以人民币为计算及支付货币，具体计算方法按第二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合同条款第七条的约定执行。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项目建设资金为申请专项债券资金支付，为配合资金监管，保障政府专项债券资金支付工程款的安全、有效使用，提高专项债券资金支付的透明度和规范性，乙方理解并同意其收款账户银行与项目申请政府专项债的甲方拨款账户银行保持一致。</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67" w:name="_Toc12209"/>
      <w:bookmarkStart w:id="68" w:name="_Toc20871"/>
      <w:bookmarkStart w:id="69" w:name="_Toc22293"/>
      <w:bookmarkStart w:id="70" w:name="_Toc24651"/>
      <w:bookmarkStart w:id="71" w:name="_Toc17391"/>
      <w:bookmarkStart w:id="72" w:name="_Toc9772"/>
      <w:bookmarkStart w:id="73" w:name="_Toc2049"/>
      <w:bookmarkStart w:id="74" w:name="_Toc21960"/>
      <w:bookmarkStart w:id="75" w:name="_Toc9450"/>
      <w:bookmarkStart w:id="76" w:name="_Toc9939"/>
      <w:bookmarkStart w:id="77" w:name="_Toc26751"/>
      <w:r>
        <w:rPr>
          <w:rFonts w:hint="eastAsia" w:ascii="宋体" w:hAnsi="宋体" w:eastAsia="宋体" w:cs="宋体"/>
          <w:b/>
          <w:color w:val="auto"/>
          <w:sz w:val="24"/>
          <w:szCs w:val="24"/>
          <w:highlight w:val="none"/>
        </w:rPr>
        <w:t>五、合同文件构成及优先顺序</w:t>
      </w:r>
      <w:bookmarkEnd w:id="67"/>
      <w:bookmarkEnd w:id="68"/>
      <w:bookmarkEnd w:id="69"/>
      <w:bookmarkEnd w:id="70"/>
      <w:bookmarkEnd w:id="71"/>
      <w:bookmarkEnd w:id="72"/>
      <w:bookmarkEnd w:id="73"/>
      <w:bookmarkEnd w:id="74"/>
      <w:bookmarkEnd w:id="75"/>
      <w:bookmarkEnd w:id="76"/>
      <w:bookmarkEnd w:id="77"/>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下列文件应被认为是组成本合同的一部分，并互为补充和解释，如各文件存在冲突之处，以如下排列次序在前者优先适用：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1.国家和广东省、广州市关于本项目的有关文件；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2.本合同履行期间</w:t>
      </w:r>
      <w:r>
        <w:rPr>
          <w:rFonts w:hint="eastAsia" w:ascii="宋体" w:hAnsi="宋体" w:eastAsia="宋体" w:cs="宋体"/>
          <w:color w:val="auto"/>
          <w:kern w:val="0"/>
          <w:sz w:val="24"/>
          <w:szCs w:val="24"/>
          <w:highlight w:val="none"/>
        </w:rPr>
        <w:t>甲方与乙方双方</w:t>
      </w:r>
      <w:r>
        <w:rPr>
          <w:rFonts w:hint="eastAsia" w:ascii="宋体" w:hAnsi="宋体" w:eastAsia="宋体" w:cs="宋体"/>
          <w:color w:val="auto"/>
          <w:sz w:val="24"/>
          <w:szCs w:val="24"/>
          <w:highlight w:val="none"/>
        </w:rPr>
        <w:t>签订的补充合同（协议）或修正文件；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合同协议书；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中标通知书；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合同条款；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6.甲方针对项目管理的各项制度、规定（如有更新则按更新后的执行，下同）；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属本条第1项和第6项内容的除外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含招标文件补充文件、招标澄清文件、答疑文件等，属本条第7项内容的除外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9.乙方投标文件</w:t>
      </w:r>
      <w:r>
        <w:rPr>
          <w:rFonts w:hint="eastAsia" w:ascii="宋体" w:hAnsi="宋体" w:eastAsia="宋体" w:cs="宋体"/>
          <w:color w:val="auto"/>
          <w:kern w:val="0"/>
          <w:sz w:val="24"/>
          <w:szCs w:val="24"/>
          <w:highlight w:val="none"/>
        </w:rPr>
        <w:t>及其附件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含投标文件澄清等，属本条第7项内容的除外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10.技术标准和要求；</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11.图纸；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.国家及广东省、广州市的标准、规范及有关技术文件；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.组成合同的其它文件。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w:t>
      </w:r>
      <w:r>
        <w:rPr>
          <w:rFonts w:hint="eastAsia" w:ascii="宋体" w:hAnsi="宋体" w:eastAsia="宋体" w:cs="宋体"/>
          <w:color w:val="auto"/>
          <w:sz w:val="24"/>
          <w:szCs w:val="24"/>
          <w:highlight w:val="none"/>
          <w:lang w:eastAsia="zh-CN"/>
        </w:rPr>
        <w:t>三日</w:t>
      </w:r>
      <w:r>
        <w:rPr>
          <w:rFonts w:hint="eastAsia" w:ascii="宋体" w:hAnsi="宋体" w:eastAsia="宋体" w:cs="宋体"/>
          <w:color w:val="auto"/>
          <w:sz w:val="24"/>
          <w:szCs w:val="24"/>
          <w:highlight w:val="none"/>
        </w:rPr>
        <w:t>内提出书面异议；如期满不提出书面异议的，视为同意甲方的决定。甲方收到乙方的书面异议后应作出进一步的决定，如乙方仍有异议的，可按第二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合同条款第十一条的约定处理，但在有关部门没有作出正式裁决之前，乙方必须无条件先行执行甲方的决定。</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lang w:eastAsia="zh-CN"/>
        </w:rPr>
      </w:pPr>
      <w:bookmarkStart w:id="78" w:name="_Toc29989"/>
      <w:bookmarkStart w:id="79" w:name="_Toc348"/>
      <w:bookmarkStart w:id="80" w:name="_Toc15693"/>
      <w:r>
        <w:rPr>
          <w:rFonts w:hint="eastAsia" w:ascii="宋体" w:hAnsi="宋体" w:eastAsia="宋体" w:cs="宋体"/>
          <w:b/>
          <w:color w:val="auto"/>
          <w:sz w:val="24"/>
          <w:szCs w:val="24"/>
          <w:highlight w:val="none"/>
        </w:rPr>
        <w:t>六、</w:t>
      </w:r>
      <w:r>
        <w:rPr>
          <w:rFonts w:hint="eastAsia" w:ascii="宋体" w:hAnsi="宋体" w:eastAsia="宋体" w:cs="宋体"/>
          <w:b/>
          <w:color w:val="auto"/>
          <w:sz w:val="24"/>
          <w:szCs w:val="24"/>
          <w:highlight w:val="none"/>
          <w:lang w:eastAsia="zh-CN"/>
        </w:rPr>
        <w:t>承诺</w:t>
      </w:r>
      <w:bookmarkEnd w:id="78"/>
      <w:bookmarkEnd w:id="79"/>
    </w:p>
    <w:p>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bookmarkEnd w:id="80"/>
      <w:bookmarkStart w:id="81" w:name="_Toc11550"/>
      <w:r>
        <w:rPr>
          <w:rFonts w:hint="eastAsia" w:ascii="宋体" w:hAnsi="宋体" w:eastAsia="宋体" w:cs="宋体"/>
          <w:color w:val="auto"/>
          <w:sz w:val="24"/>
          <w:szCs w:val="24"/>
          <w:highlight w:val="none"/>
        </w:rPr>
        <w:t>甲方承诺按照本合同约定的履行合同义务。</w:t>
      </w:r>
      <w:bookmarkEnd w:id="81"/>
    </w:p>
    <w:p>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乙方承诺按照本合同的约定履行合同义务。</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82" w:name="_Toc19323"/>
      <w:bookmarkStart w:id="83" w:name="_Toc31341"/>
      <w:bookmarkStart w:id="84" w:name="_Toc1453"/>
      <w:bookmarkStart w:id="85" w:name="_Toc27032"/>
      <w:bookmarkStart w:id="86" w:name="_Toc25678"/>
      <w:bookmarkStart w:id="87" w:name="_Toc7095"/>
      <w:bookmarkStart w:id="88" w:name="_Toc28272"/>
      <w:bookmarkStart w:id="89" w:name="_Toc3444"/>
      <w:bookmarkStart w:id="90" w:name="_Toc19543"/>
      <w:bookmarkStart w:id="91" w:name="_Toc15331"/>
      <w:bookmarkStart w:id="92" w:name="_Toc10736"/>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、词语定义</w:t>
      </w:r>
      <w:bookmarkEnd w:id="82"/>
      <w:bookmarkEnd w:id="83"/>
      <w:bookmarkEnd w:id="84"/>
      <w:bookmarkEnd w:id="85"/>
      <w:bookmarkEnd w:id="86"/>
      <w:bookmarkEnd w:id="87"/>
      <w:bookmarkEnd w:id="88"/>
      <w:bookmarkEnd w:id="89"/>
      <w:bookmarkEnd w:id="90"/>
      <w:bookmarkEnd w:id="91"/>
      <w:bookmarkEnd w:id="92"/>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本合同协议书中有关词语含义与合同条款中分别赋予它们的定义相同。</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93" w:name="_Toc28128"/>
      <w:bookmarkStart w:id="94" w:name="_Toc28594"/>
      <w:bookmarkStart w:id="95" w:name="_Toc26913"/>
      <w:bookmarkStart w:id="96" w:name="_Toc6554"/>
      <w:bookmarkStart w:id="97" w:name="_Toc28213"/>
      <w:bookmarkStart w:id="98" w:name="_Toc15710"/>
      <w:bookmarkStart w:id="99" w:name="_Toc29597"/>
      <w:bookmarkStart w:id="100" w:name="_Toc9148"/>
      <w:bookmarkStart w:id="101" w:name="_Toc29475"/>
      <w:bookmarkStart w:id="102" w:name="_Toc25936"/>
      <w:bookmarkStart w:id="103" w:name="_Toc8557"/>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、合同生效及终止</w:t>
      </w:r>
      <w:bookmarkEnd w:id="93"/>
      <w:bookmarkEnd w:id="94"/>
      <w:bookmarkEnd w:id="95"/>
      <w:bookmarkEnd w:id="96"/>
      <w:bookmarkEnd w:id="97"/>
      <w:bookmarkEnd w:id="98"/>
      <w:bookmarkEnd w:id="99"/>
      <w:bookmarkEnd w:id="100"/>
      <w:bookmarkEnd w:id="101"/>
      <w:bookmarkEnd w:id="102"/>
      <w:bookmarkEnd w:id="10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本合同自甲方、乙方双方签字盖章（公章或合同专用章）之日起生效，委托代理人签字的需经另一方书面同意，并提交相应有效授权</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。本合同有效期至双方的责任、义务履行完毕时终止。</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04" w:name="_Toc26131"/>
      <w:bookmarkStart w:id="105" w:name="_Toc10535"/>
      <w:bookmarkStart w:id="106" w:name="_Toc2835"/>
      <w:bookmarkStart w:id="107" w:name="_Toc14974"/>
      <w:bookmarkStart w:id="108" w:name="_Toc518"/>
      <w:bookmarkStart w:id="109" w:name="_Toc4644"/>
      <w:bookmarkStart w:id="110" w:name="_Toc10077"/>
      <w:bookmarkStart w:id="111" w:name="_Toc1837"/>
      <w:bookmarkStart w:id="112" w:name="_Toc4209"/>
      <w:bookmarkStart w:id="113" w:name="_Toc837"/>
      <w:bookmarkStart w:id="114" w:name="_Toc22409"/>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、合同份数</w:t>
      </w:r>
      <w:bookmarkEnd w:id="104"/>
      <w:bookmarkEnd w:id="105"/>
      <w:bookmarkEnd w:id="106"/>
      <w:bookmarkEnd w:id="107"/>
      <w:bookmarkEnd w:id="108"/>
      <w:bookmarkEnd w:id="109"/>
      <w:bookmarkEnd w:id="110"/>
      <w:bookmarkEnd w:id="111"/>
      <w:bookmarkEnd w:id="112"/>
      <w:bookmarkEnd w:id="113"/>
      <w:bookmarkEnd w:id="11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26"/>
        <w:ind w:firstLine="0" w:firstLineChars="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14"/>
          <w:kern w:val="2"/>
          <w:sz w:val="24"/>
          <w:szCs w:val="24"/>
          <w:highlight w:val="none"/>
          <w:lang w:eastAsia="zh-CN"/>
        </w:rPr>
        <w:t>甲方</w:t>
      </w:r>
      <w:r>
        <w:rPr>
          <w:rFonts w:hint="eastAsia" w:ascii="宋体" w:hAnsi="宋体" w:eastAsia="宋体" w:cs="宋体"/>
          <w:color w:val="auto"/>
          <w:spacing w:val="-14"/>
          <w:kern w:val="2"/>
          <w:sz w:val="24"/>
          <w:szCs w:val="24"/>
          <w:highlight w:val="none"/>
        </w:rPr>
        <w:t xml:space="preserve">：                                    </w:t>
      </w:r>
      <w:r>
        <w:rPr>
          <w:rFonts w:hint="eastAsia" w:ascii="宋体" w:hAnsi="宋体" w:eastAsia="宋体" w:cs="宋体"/>
          <w:color w:val="auto"/>
          <w:spacing w:val="-14"/>
          <w:kern w:val="2"/>
          <w:sz w:val="24"/>
          <w:szCs w:val="24"/>
          <w:highlight w:val="none"/>
          <w:lang w:val="en-US" w:eastAsia="zh-CN"/>
        </w:rPr>
        <w:t xml:space="preserve">    </w:t>
      </w:r>
      <w:r>
        <w:rPr>
          <w:rFonts w:hint="eastAsia" w:ascii="宋体" w:hAnsi="宋体" w:eastAsia="宋体" w:cs="宋体"/>
          <w:color w:val="auto"/>
          <w:spacing w:val="-14"/>
          <w:kern w:val="2"/>
          <w:sz w:val="24"/>
          <w:szCs w:val="24"/>
          <w:highlight w:val="none"/>
          <w:lang w:eastAsia="zh-CN"/>
        </w:rPr>
        <w:t>乙方</w:t>
      </w:r>
      <w:r>
        <w:rPr>
          <w:rFonts w:hint="eastAsia" w:ascii="宋体" w:hAnsi="宋体" w:eastAsia="宋体" w:cs="宋体"/>
          <w:color w:val="auto"/>
          <w:spacing w:val="-14"/>
          <w:kern w:val="2"/>
          <w:sz w:val="24"/>
          <w:szCs w:val="24"/>
          <w:highlight w:val="none"/>
        </w:rPr>
        <w:t>：</w:t>
      </w:r>
    </w:p>
    <w:p>
      <w:pPr>
        <w:pStyle w:val="26"/>
        <w:ind w:firstLine="744"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（盖章）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（盖章）</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法定代表人：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法定代表人：</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w:t>
      </w:r>
    </w:p>
    <w:p>
      <w:pPr>
        <w:pStyle w:val="26"/>
        <w:ind w:left="6912" w:right="-248" w:rightChars="-118" w:hanging="5952" w:hangingChars="240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住所：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住所：</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邮编：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邮编</w:t>
      </w:r>
      <w:r>
        <w:rPr>
          <w:rFonts w:hint="eastAsia" w:ascii="宋体" w:hAnsi="宋体" w:eastAsia="宋体" w:cs="宋体"/>
          <w:color w:val="auto"/>
          <w:kern w:val="2"/>
          <w:sz w:val="24"/>
          <w:szCs w:val="24"/>
          <w:highlight w:val="none"/>
          <w:lang w:eastAsia="zh-CN"/>
        </w:rPr>
        <w:t>：</w:t>
      </w:r>
    </w:p>
    <w:p>
      <w:pPr>
        <w:pStyle w:val="26"/>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电话：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电话：</w:t>
      </w:r>
    </w:p>
    <w:p>
      <w:pPr>
        <w:pStyle w:val="26"/>
        <w:ind w:firstLine="4320" w:firstLineChars="1800"/>
        <w:outlineLvl w:val="9"/>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开户银行：</w:t>
      </w:r>
    </w:p>
    <w:p>
      <w:pPr>
        <w:pStyle w:val="26"/>
        <w:ind w:left="0" w:leftChars="0" w:firstLine="4464" w:firstLineChars="18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2"/>
          <w:sz w:val="24"/>
          <w:szCs w:val="24"/>
          <w:highlight w:val="none"/>
        </w:rPr>
        <w:t>：</w:t>
      </w:r>
    </w:p>
    <w:p>
      <w:pPr>
        <w:pStyle w:val="26"/>
        <w:ind w:left="7056" w:hanging="6076" w:hangingChars="245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  月   日</w:t>
      </w:r>
    </w:p>
    <w:p>
      <w:pPr>
        <w:widowControl/>
        <w:spacing w:beforeAutospacing="0" w:afterAutospacing="0" w:line="240" w:lineRule="auto"/>
        <w:ind w:firstLine="0"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kern w:val="2"/>
          <w:sz w:val="24"/>
          <w:szCs w:val="24"/>
          <w:highlight w:val="none"/>
        </w:rPr>
        <w:t>签订地点：广东省广州市</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36"/>
          <w:szCs w:val="36"/>
          <w:highlight w:val="none"/>
        </w:rPr>
        <w:br w:type="page"/>
      </w:r>
      <w:bookmarkStart w:id="115" w:name="_Toc32410"/>
      <w:bookmarkStart w:id="116" w:name="_Toc14378"/>
      <w:bookmarkStart w:id="117" w:name="_Toc14945"/>
      <w:bookmarkStart w:id="118" w:name="_Toc27168"/>
      <w:bookmarkStart w:id="119" w:name="_Toc2373"/>
      <w:bookmarkStart w:id="120" w:name="_Toc15086"/>
      <w:bookmarkStart w:id="121" w:name="_Toc17846"/>
      <w:bookmarkStart w:id="122" w:name="_Toc9780"/>
      <w:bookmarkStart w:id="123" w:name="_Toc24481"/>
      <w:r>
        <w:rPr>
          <w:rFonts w:hint="eastAsia" w:ascii="宋体" w:hAnsi="宋体" w:eastAsia="宋体" w:cs="宋体"/>
          <w:b/>
          <w:color w:val="auto"/>
          <w:sz w:val="32"/>
          <w:szCs w:val="32"/>
          <w:highlight w:val="none"/>
        </w:rPr>
        <w:t>第二</w:t>
      </w:r>
      <w:r>
        <w:rPr>
          <w:rFonts w:hint="eastAsia" w:ascii="宋体" w:hAnsi="宋体" w:eastAsia="宋体" w:cs="宋体"/>
          <w:b/>
          <w:color w:val="auto"/>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sz w:val="32"/>
          <w:szCs w:val="32"/>
          <w:highlight w:val="none"/>
        </w:rPr>
        <w:t>合同条款</w:t>
      </w:r>
      <w:bookmarkEnd w:id="115"/>
      <w:bookmarkEnd w:id="116"/>
      <w:bookmarkEnd w:id="117"/>
      <w:bookmarkEnd w:id="118"/>
      <w:bookmarkEnd w:id="119"/>
      <w:bookmarkEnd w:id="120"/>
      <w:bookmarkEnd w:id="121"/>
      <w:bookmarkEnd w:id="122"/>
      <w:bookmarkEnd w:id="123"/>
    </w:p>
    <w:p>
      <w:pPr>
        <w:widowControl w:val="0"/>
        <w:adjustRightInd w:val="0"/>
        <w:snapToGrid w:val="0"/>
        <w:spacing w:line="360" w:lineRule="auto"/>
        <w:ind w:firstLine="482" w:firstLineChars="200"/>
        <w:jc w:val="both"/>
        <w:outlineLvl w:val="1"/>
        <w:rPr>
          <w:rFonts w:hint="eastAsia" w:ascii="宋体" w:hAnsi="宋体" w:eastAsia="宋体" w:cs="宋体"/>
          <w:b/>
          <w:color w:val="auto"/>
          <w:sz w:val="24"/>
          <w:szCs w:val="24"/>
          <w:highlight w:val="none"/>
        </w:rPr>
      </w:pPr>
      <w:bookmarkStart w:id="124" w:name="_Toc13850"/>
      <w:bookmarkStart w:id="125" w:name="_Toc9047"/>
      <w:bookmarkStart w:id="126" w:name="_Toc11073"/>
      <w:bookmarkStart w:id="127" w:name="_Toc15520"/>
      <w:bookmarkStart w:id="128" w:name="_Toc32294"/>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29" w:name="_Toc4593"/>
      <w:bookmarkStart w:id="130" w:name="_Toc27030"/>
      <w:bookmarkStart w:id="131" w:name="_Toc28339"/>
      <w:bookmarkStart w:id="132" w:name="_Toc4497"/>
      <w:bookmarkStart w:id="133" w:name="_Toc2604"/>
      <w:bookmarkStart w:id="134" w:name="_Toc3762"/>
      <w:r>
        <w:rPr>
          <w:rFonts w:hint="eastAsia" w:ascii="宋体" w:hAnsi="宋体" w:eastAsia="宋体" w:cs="宋体"/>
          <w:b/>
          <w:color w:val="auto"/>
          <w:sz w:val="24"/>
          <w:szCs w:val="24"/>
          <w:highlight w:val="none"/>
        </w:rPr>
        <w:t>一、词语定义</w:t>
      </w:r>
      <w:bookmarkEnd w:id="124"/>
      <w:bookmarkEnd w:id="125"/>
      <w:bookmarkEnd w:id="126"/>
      <w:bookmarkEnd w:id="127"/>
      <w:bookmarkEnd w:id="128"/>
      <w:bookmarkEnd w:id="129"/>
      <w:bookmarkEnd w:id="130"/>
      <w:bookmarkEnd w:id="131"/>
      <w:bookmarkEnd w:id="132"/>
      <w:bookmarkEnd w:id="133"/>
      <w:bookmarkEnd w:id="13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1.1甲方：是指委托建设工程造价咨询业务和聘用工程造价咨询单位的一方，在本合同中特指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广州珠江住房租赁发展投资有限公司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1.2乙方：是指承担建设工程造价咨询业务和工程造价咨询责任的一方，在本合同中特指</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1.3第三人：是指除甲方、乙方以外与本合同约定咨询业务有关的当事人。</w:t>
      </w:r>
    </w:p>
    <w:p>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eastAsia="宋体" w:cs="宋体"/>
          <w:color w:val="auto"/>
          <w:sz w:val="24"/>
          <w:szCs w:val="24"/>
          <w:highlight w:val="none"/>
        </w:rPr>
        <w:t>最后</w:t>
      </w:r>
      <w:r>
        <w:rPr>
          <w:rFonts w:hint="eastAsia" w:ascii="宋体" w:hAnsi="宋体" w:eastAsia="宋体" w:cs="宋体"/>
          <w:color w:val="auto"/>
          <w:kern w:val="0"/>
          <w:sz w:val="24"/>
          <w:szCs w:val="24"/>
          <w:highlight w:val="none"/>
        </w:rPr>
        <w:t>一天。时限的最后一天的截止时间为当日24时。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1.5月：是指根据公历从一个月份中任何一日开始到下一个月相应日期的前一日的时间段。</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35" w:name="_Toc5450"/>
      <w:bookmarkStart w:id="136" w:name="_Toc18613"/>
      <w:bookmarkStart w:id="137" w:name="_Toc21432"/>
      <w:bookmarkStart w:id="138" w:name="_Toc16422"/>
      <w:bookmarkStart w:id="139" w:name="_Toc27040"/>
      <w:bookmarkStart w:id="140" w:name="_Toc25000"/>
      <w:bookmarkStart w:id="141" w:name="_Toc31251"/>
      <w:bookmarkStart w:id="142" w:name="_Toc11380"/>
      <w:bookmarkStart w:id="143" w:name="_Toc12274"/>
      <w:bookmarkStart w:id="144" w:name="_Toc23687"/>
      <w:bookmarkStart w:id="145" w:name="_Toc4376"/>
      <w:r>
        <w:rPr>
          <w:rFonts w:hint="eastAsia" w:ascii="宋体" w:hAnsi="宋体" w:eastAsia="宋体" w:cs="宋体"/>
          <w:b/>
          <w:color w:val="auto"/>
          <w:sz w:val="24"/>
          <w:szCs w:val="24"/>
          <w:highlight w:val="none"/>
        </w:rPr>
        <w:t>二、本合同适用的法律、法规及工程造价计价办法和规定</w:t>
      </w:r>
      <w:bookmarkEnd w:id="135"/>
      <w:bookmarkEnd w:id="136"/>
      <w:bookmarkEnd w:id="137"/>
      <w:bookmarkEnd w:id="138"/>
      <w:bookmarkEnd w:id="139"/>
      <w:bookmarkEnd w:id="140"/>
      <w:bookmarkEnd w:id="141"/>
      <w:bookmarkEnd w:id="142"/>
      <w:bookmarkEnd w:id="143"/>
      <w:bookmarkEnd w:id="144"/>
      <w:bookmarkEnd w:id="14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2.1本合同适用中华人民共和国法律、法规。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2.3其它计价依据：甲方的要求、图纸、招标文件。</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46" w:name="_Toc26963"/>
      <w:bookmarkStart w:id="147" w:name="_Toc5918"/>
      <w:bookmarkStart w:id="148" w:name="_Toc13578"/>
      <w:bookmarkStart w:id="149" w:name="_Toc3701"/>
      <w:bookmarkStart w:id="150" w:name="_Toc6622"/>
      <w:bookmarkStart w:id="151" w:name="_Toc32413"/>
      <w:bookmarkStart w:id="152" w:name="_Toc32592"/>
      <w:bookmarkStart w:id="153" w:name="_Toc29664"/>
      <w:bookmarkStart w:id="154" w:name="_Toc5548"/>
      <w:bookmarkStart w:id="155" w:name="_Toc5477"/>
      <w:bookmarkStart w:id="156" w:name="_Toc4162"/>
      <w:r>
        <w:rPr>
          <w:rFonts w:hint="eastAsia" w:ascii="宋体" w:hAnsi="宋体" w:eastAsia="宋体" w:cs="宋体"/>
          <w:b/>
          <w:color w:val="auto"/>
          <w:sz w:val="24"/>
          <w:szCs w:val="24"/>
          <w:highlight w:val="none"/>
        </w:rPr>
        <w:t>三、本合同适用的语言文字</w:t>
      </w:r>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及其补充协议、甲乙双方来往文件等均使用中文书写。使用其他文字书写的对双方均不具有法律约束力，但如翻译成中文并经双方法定代表人（或其委托代理人）签字或双方盖章确认的，则对双方均具有法律约束力。</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157" w:name="_Toc4547"/>
      <w:bookmarkStart w:id="158" w:name="_Toc12155"/>
      <w:bookmarkStart w:id="159" w:name="_Toc4080"/>
      <w:bookmarkStart w:id="160" w:name="_Toc10766"/>
      <w:bookmarkStart w:id="161" w:name="_Toc9163"/>
      <w:bookmarkStart w:id="162" w:name="_Toc12138"/>
      <w:bookmarkStart w:id="163" w:name="_Toc13619"/>
      <w:bookmarkStart w:id="164" w:name="_Toc19630"/>
      <w:bookmarkStart w:id="165" w:name="_Toc6729"/>
      <w:bookmarkStart w:id="166" w:name="_Toc28368"/>
      <w:bookmarkStart w:id="167" w:name="_Toc10461"/>
      <w:r>
        <w:rPr>
          <w:rFonts w:hint="eastAsia" w:ascii="宋体" w:hAnsi="宋体" w:eastAsia="宋体" w:cs="宋体"/>
          <w:b/>
          <w:color w:val="auto"/>
          <w:sz w:val="24"/>
          <w:szCs w:val="24"/>
          <w:highlight w:val="none"/>
        </w:rPr>
        <w:t>四、服务内容及相关服务要求</w:t>
      </w:r>
      <w:bookmarkEnd w:id="157"/>
      <w:bookmarkEnd w:id="158"/>
      <w:bookmarkEnd w:id="159"/>
      <w:bookmarkEnd w:id="160"/>
      <w:bookmarkEnd w:id="161"/>
      <w:bookmarkEnd w:id="162"/>
      <w:bookmarkEnd w:id="163"/>
      <w:bookmarkEnd w:id="164"/>
      <w:bookmarkEnd w:id="165"/>
      <w:bookmarkEnd w:id="166"/>
      <w:bookmarkEnd w:id="167"/>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4.1本项目</w:t>
      </w:r>
      <w:r>
        <w:rPr>
          <w:rFonts w:hint="eastAsia" w:ascii="宋体" w:hAnsi="宋体" w:eastAsia="宋体" w:cs="宋体"/>
          <w:b w:val="0"/>
          <w:bCs w:val="0"/>
          <w:color w:val="auto"/>
          <w:sz w:val="24"/>
          <w:szCs w:val="24"/>
          <w:highlight w:val="none"/>
          <w:shd w:val="clear" w:color="auto" w:fill="FFFFFF"/>
        </w:rPr>
        <w:t>工程造价咨询服务的主要内容</w:t>
      </w:r>
      <w:r>
        <w:rPr>
          <w:rFonts w:hint="eastAsia" w:ascii="宋体" w:hAnsi="宋体" w:eastAsia="宋体" w:cs="宋体"/>
          <w:b w:val="0"/>
          <w:bCs w:val="0"/>
          <w:color w:val="auto"/>
          <w:kern w:val="0"/>
          <w:sz w:val="24"/>
          <w:szCs w:val="24"/>
          <w:highlight w:val="none"/>
        </w:rPr>
        <w:t>具体如下：</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20"/>
        <w:rPr>
          <w:rFonts w:hint="eastAsia" w:ascii="宋体" w:hAnsi="宋体" w:eastAsia="宋体" w:cs="宋体"/>
          <w:color w:val="auto"/>
          <w:kern w:val="0"/>
          <w:sz w:val="24"/>
          <w:szCs w:val="24"/>
          <w:highlight w:val="none"/>
        </w:rPr>
      </w:pPr>
    </w:p>
    <w:tbl>
      <w:tblPr>
        <w:tblStyle w:val="16"/>
        <w:tblW w:w="8669"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640"/>
        <w:gridCol w:w="1029"/>
        <w:gridCol w:w="7000"/>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9" w:hRule="atLeast"/>
          <w:tblHeader/>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序号</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hd w:val="clear" w:color="auto" w:fill="FFFFFF"/>
              <w:spacing w:before="0" w:beforeAutospacing="0" w:after="0" w:afterAutospacing="0" w:line="273"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服务内容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1</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估算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left="0" w:leftChars="0" w:right="0" w:rightChars="0"/>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r>
              <w:rPr>
                <w:rFonts w:hint="eastAsia" w:ascii="宋体" w:hAnsi="宋体" w:eastAsia="宋体" w:cs="宋体"/>
                <w:color w:val="auto"/>
                <w:kern w:val="0"/>
                <w:sz w:val="21"/>
                <w:szCs w:val="21"/>
                <w:highlight w:val="none"/>
                <w:lang w:val="en-US" w:eastAsia="zh-CN"/>
              </w:rPr>
              <w:t xml:space="preserve"> （如需</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参与可研方案、投资估算讨论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提供主材、设备市场信息，对估算造价提出建议</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审核投资估算（如</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编制或审核前期阶段相关</w:t>
            </w:r>
            <w:r>
              <w:rPr>
                <w:rFonts w:hint="eastAsia" w:ascii="宋体" w:hAnsi="宋体" w:eastAsia="宋体" w:cs="宋体"/>
                <w:color w:val="auto"/>
                <w:kern w:val="0"/>
                <w:sz w:val="21"/>
                <w:szCs w:val="21"/>
                <w:highlight w:val="none"/>
                <w:lang w:val="en-US" w:eastAsia="zh-CN"/>
              </w:rPr>
              <w:t>造价</w:t>
            </w:r>
            <w:r>
              <w:rPr>
                <w:rFonts w:hint="eastAsia" w:ascii="宋体" w:hAnsi="宋体" w:eastAsia="宋体" w:cs="宋体"/>
                <w:color w:val="auto"/>
                <w:kern w:val="0"/>
                <w:sz w:val="21"/>
                <w:szCs w:val="21"/>
                <w:highlight w:val="none"/>
              </w:rPr>
              <w:t>费用</w:t>
            </w:r>
            <w:r>
              <w:rPr>
                <w:rFonts w:hint="eastAsia" w:ascii="宋体" w:hAnsi="宋体" w:eastAsia="宋体" w:cs="宋体"/>
                <w:color w:val="auto"/>
                <w:kern w:val="0"/>
                <w:sz w:val="21"/>
                <w:szCs w:val="21"/>
                <w:highlight w:val="none"/>
                <w:lang w:val="en-US" w:eastAsia="zh-CN"/>
              </w:rPr>
              <w:t>测算文件（如需。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2</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概算</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负责审核</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概算，按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要求提交概算</w:t>
            </w:r>
            <w:r>
              <w:rPr>
                <w:rFonts w:hint="eastAsia" w:ascii="宋体" w:hAnsi="宋体" w:eastAsia="宋体" w:cs="宋体"/>
                <w:color w:val="auto"/>
                <w:kern w:val="0"/>
                <w:sz w:val="21"/>
                <w:szCs w:val="21"/>
                <w:highlight w:val="none"/>
                <w:lang w:val="en-US" w:eastAsia="zh-CN"/>
              </w:rPr>
              <w:t>审核</w:t>
            </w:r>
            <w:r>
              <w:rPr>
                <w:rFonts w:hint="eastAsia" w:ascii="宋体" w:hAnsi="宋体" w:eastAsia="宋体" w:cs="宋体"/>
                <w:snapToGrid/>
                <w:color w:val="auto"/>
                <w:kern w:val="0"/>
                <w:sz w:val="21"/>
                <w:szCs w:val="21"/>
                <w:highlight w:val="none"/>
                <w:lang w:val="en-US" w:eastAsia="zh-CN"/>
              </w:rPr>
              <w:t>成果文件；</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right="0" w:hanging="51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跟进概算</w:t>
            </w:r>
            <w:r>
              <w:rPr>
                <w:rFonts w:hint="eastAsia" w:ascii="宋体" w:hAnsi="宋体" w:eastAsia="宋体" w:cs="宋体"/>
                <w:color w:val="auto"/>
                <w:sz w:val="21"/>
                <w:szCs w:val="21"/>
                <w:highlight w:val="none"/>
                <w:lang w:val="en-US" w:eastAsia="zh-CN"/>
              </w:rPr>
              <w:t>审核过程对数、结果确认等</w:t>
            </w:r>
            <w:r>
              <w:rPr>
                <w:rFonts w:hint="eastAsia" w:ascii="宋体" w:hAnsi="宋体" w:eastAsia="宋体" w:cs="宋体"/>
                <w:color w:val="auto"/>
                <w:sz w:val="21"/>
                <w:szCs w:val="21"/>
                <w:highlight w:val="none"/>
              </w:rPr>
              <w:t>工作，及时反馈意见，</w:t>
            </w:r>
            <w:r>
              <w:rPr>
                <w:rFonts w:hint="eastAsia" w:ascii="宋体" w:hAnsi="宋体" w:eastAsia="宋体" w:cs="宋体"/>
                <w:color w:val="auto"/>
                <w:sz w:val="21"/>
                <w:szCs w:val="21"/>
                <w:highlight w:val="none"/>
                <w:lang w:val="en-US" w:eastAsia="zh-CN"/>
              </w:rPr>
              <w:t>按时保质完成概算审核；</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根据批准的概算，负责</w:t>
            </w:r>
            <w:r>
              <w:rPr>
                <w:rFonts w:hint="eastAsia" w:ascii="宋体" w:hAnsi="宋体" w:eastAsia="宋体" w:cs="宋体"/>
                <w:color w:val="auto"/>
                <w:kern w:val="0"/>
                <w:sz w:val="21"/>
                <w:szCs w:val="21"/>
                <w:highlight w:val="none"/>
                <w:lang w:val="en-US" w:eastAsia="zh-CN"/>
              </w:rPr>
              <w:t>分解</w:t>
            </w:r>
            <w:r>
              <w:rPr>
                <w:rFonts w:hint="eastAsia" w:ascii="宋体" w:hAnsi="宋体" w:eastAsia="宋体" w:cs="宋体"/>
                <w:color w:val="auto"/>
                <w:kern w:val="0"/>
                <w:sz w:val="21"/>
                <w:szCs w:val="21"/>
                <w:highlight w:val="none"/>
              </w:rPr>
              <w:t>项目各专业工程和各阶段造价限额设计量化指标</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3</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施工图预算阶段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w:t>
            </w:r>
            <w:r>
              <w:rPr>
                <w:rFonts w:hint="eastAsia" w:ascii="宋体" w:hAnsi="宋体" w:eastAsia="宋体" w:cs="宋体"/>
                <w:color w:val="auto"/>
                <w:sz w:val="21"/>
                <w:szCs w:val="21"/>
                <w:highlight w:val="none"/>
                <w:lang w:val="en-US" w:eastAsia="zh-CN"/>
              </w:rPr>
              <w:t>编制</w:t>
            </w:r>
            <w:r>
              <w:rPr>
                <w:rFonts w:hint="eastAsia" w:ascii="宋体" w:hAnsi="宋体" w:eastAsia="宋体" w:cs="宋体"/>
                <w:snapToGrid/>
                <w:color w:val="auto"/>
                <w:kern w:val="2"/>
                <w:sz w:val="21"/>
                <w:szCs w:val="21"/>
                <w:highlight w:val="none"/>
                <w:lang w:val="en-US" w:eastAsia="zh-CN"/>
              </w:rPr>
              <w:t>/</w:t>
            </w:r>
            <w:r>
              <w:rPr>
                <w:rFonts w:hint="eastAsia" w:ascii="宋体" w:hAnsi="宋体" w:eastAsia="宋体" w:cs="宋体"/>
                <w:color w:val="auto"/>
                <w:kern w:val="0"/>
                <w:sz w:val="21"/>
                <w:szCs w:val="21"/>
                <w:highlight w:val="none"/>
              </w:rPr>
              <w:t>审核施工图预算（含设计图纸修改后调整相应预算），按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要求提交</w:t>
            </w:r>
            <w:r>
              <w:rPr>
                <w:rFonts w:hint="eastAsia" w:ascii="宋体" w:hAnsi="宋体" w:eastAsia="宋体" w:cs="宋体"/>
                <w:color w:val="auto"/>
                <w:kern w:val="0"/>
                <w:sz w:val="21"/>
                <w:szCs w:val="21"/>
                <w:highlight w:val="none"/>
                <w:lang w:val="en-US" w:eastAsia="zh-CN"/>
              </w:rPr>
              <w:t>预算编审成果文件；</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afterAutospacing="0" w:line="288" w:lineRule="auto"/>
              <w:ind w:left="510" w:lef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4</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负责按甲方要求编制招标工程量清单及招标控制价，负责进行市场调查、询价，在甲方指定地点进行对数、编制或调整等；</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负责根据设计图纸及技术规范、用户需求书，编制</w:t>
            </w:r>
            <w:r>
              <w:rPr>
                <w:rFonts w:hint="eastAsia" w:ascii="宋体" w:hAnsi="宋体" w:eastAsia="宋体" w:cs="宋体"/>
                <w:color w:val="auto"/>
                <w:kern w:val="0"/>
                <w:sz w:val="21"/>
                <w:szCs w:val="21"/>
                <w:highlight w:val="none"/>
                <w:lang w:val="en-US" w:eastAsia="zh-CN"/>
              </w:rPr>
              <w:t>或审核货物（包括但不限于</w:t>
            </w:r>
            <w:r>
              <w:rPr>
                <w:rFonts w:hint="eastAsia" w:ascii="宋体" w:hAnsi="宋体" w:eastAsia="宋体" w:cs="宋体"/>
                <w:color w:val="auto"/>
                <w:kern w:val="0"/>
                <w:sz w:val="21"/>
                <w:szCs w:val="21"/>
                <w:highlight w:val="none"/>
              </w:rPr>
              <w:t>设备、材料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招标（采购）预算及招标（采购）控制价；</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负责编制或审核服务招标（采购）预算、招标控制价</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对投标人等相关单位提出的造价问题的解答。按广州市建设工程造价管理站招标控制价备案要求提供造价文件（含编制说明、最高投标限价公布函、招标控制价软件版、EXCEL版、XML（cos）版、指标分析表等），并会同招标代理单位完成招标控制价备案工作</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负责对中标承建（服务）单位的经济标文件或报价书等进行分析和汇总，提出造价控制建议，</w:t>
            </w:r>
            <w:r>
              <w:rPr>
                <w:rFonts w:hint="eastAsia" w:ascii="宋体" w:hAnsi="宋体" w:eastAsia="宋体" w:cs="宋体"/>
                <w:color w:val="auto"/>
                <w:kern w:val="0"/>
                <w:sz w:val="21"/>
                <w:szCs w:val="21"/>
                <w:highlight w:val="none"/>
                <w:lang w:val="en-US" w:eastAsia="zh-CN"/>
              </w:rPr>
              <w:t>出具工程量清单复核</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负责对合同方式和可能存在的风险因素及解决办法等提出合理化建议供</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参考</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rPr>
              <w:t>协助各项招标、采购其他工作。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2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5</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right="0"/>
              <w:contextualSpacing/>
              <w:jc w:val="center"/>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施工</w:t>
            </w:r>
          </w:p>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负责主材单价、综合单价、</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变更</w:t>
            </w:r>
            <w:r>
              <w:rPr>
                <w:rFonts w:hint="eastAsia" w:ascii="宋体" w:hAnsi="宋体" w:eastAsia="宋体" w:cs="宋体"/>
                <w:color w:val="auto"/>
                <w:kern w:val="0"/>
                <w:sz w:val="21"/>
                <w:szCs w:val="21"/>
                <w:highlight w:val="none"/>
                <w:lang w:val="en-US" w:eastAsia="zh-CN"/>
              </w:rPr>
              <w:t>预算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签证</w:t>
            </w:r>
            <w:r>
              <w:rPr>
                <w:rFonts w:hint="eastAsia" w:ascii="宋体" w:hAnsi="宋体" w:eastAsia="宋体" w:cs="宋体"/>
                <w:color w:val="auto"/>
                <w:kern w:val="0"/>
                <w:sz w:val="21"/>
                <w:szCs w:val="21"/>
                <w:highlight w:val="none"/>
                <w:lang w:val="en-US" w:eastAsia="zh-CN"/>
              </w:rPr>
              <w:t>预算</w:t>
            </w:r>
            <w:r>
              <w:rPr>
                <w:rFonts w:hint="eastAsia" w:ascii="宋体" w:hAnsi="宋体" w:eastAsia="宋体" w:cs="宋体"/>
                <w:color w:val="auto"/>
                <w:kern w:val="0"/>
                <w:sz w:val="21"/>
                <w:szCs w:val="21"/>
                <w:highlight w:val="none"/>
              </w:rPr>
              <w:t>和合同变更</w:t>
            </w:r>
            <w:r>
              <w:rPr>
                <w:rFonts w:hint="eastAsia" w:ascii="宋体" w:hAnsi="宋体" w:eastAsia="宋体" w:cs="宋体"/>
                <w:color w:val="auto"/>
                <w:kern w:val="0"/>
                <w:sz w:val="21"/>
                <w:szCs w:val="21"/>
                <w:highlight w:val="none"/>
                <w:lang w:val="en-US" w:eastAsia="zh-CN"/>
              </w:rPr>
              <w:t>价款</w:t>
            </w:r>
            <w:r>
              <w:rPr>
                <w:rFonts w:hint="eastAsia" w:ascii="宋体" w:hAnsi="宋体" w:eastAsia="宋体" w:cs="宋体"/>
                <w:color w:val="auto"/>
                <w:kern w:val="0"/>
                <w:sz w:val="21"/>
                <w:szCs w:val="21"/>
                <w:highlight w:val="none"/>
              </w:rPr>
              <w:t>等的编制或审核</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参与</w:t>
            </w:r>
            <w:r>
              <w:rPr>
                <w:rFonts w:hint="eastAsia" w:ascii="宋体" w:hAnsi="宋体" w:eastAsia="宋体" w:cs="宋体"/>
                <w:color w:val="auto"/>
                <w:kern w:val="0"/>
                <w:sz w:val="21"/>
                <w:szCs w:val="21"/>
                <w:highlight w:val="none"/>
              </w:rPr>
              <w:t>材料设备看样定板</w:t>
            </w:r>
            <w:r>
              <w:rPr>
                <w:rFonts w:hint="eastAsia" w:ascii="宋体" w:hAnsi="宋体" w:eastAsia="宋体" w:cs="宋体"/>
                <w:color w:val="auto"/>
                <w:kern w:val="0"/>
                <w:sz w:val="21"/>
                <w:szCs w:val="21"/>
                <w:highlight w:val="none"/>
                <w:lang w:val="en-US" w:eastAsia="zh-CN"/>
              </w:rPr>
              <w:t>及并对相关资料审核；</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负责施工过程造价控制（含编制方案及实施计划），审核</w:t>
            </w:r>
            <w:r>
              <w:rPr>
                <w:rFonts w:hint="eastAsia" w:ascii="宋体" w:hAnsi="宋体" w:eastAsia="宋体" w:cs="宋体"/>
                <w:color w:val="auto"/>
                <w:kern w:val="0"/>
                <w:sz w:val="21"/>
                <w:szCs w:val="21"/>
                <w:highlight w:val="none"/>
                <w:lang w:val="en-US" w:eastAsia="zh-CN"/>
              </w:rPr>
              <w:t>所有合同的</w:t>
            </w:r>
            <w:r>
              <w:rPr>
                <w:rFonts w:hint="eastAsia" w:ascii="宋体" w:hAnsi="宋体" w:eastAsia="宋体" w:cs="宋体"/>
                <w:color w:val="auto"/>
                <w:kern w:val="0"/>
                <w:sz w:val="21"/>
                <w:szCs w:val="21"/>
                <w:highlight w:val="none"/>
              </w:rPr>
              <w:t>工程量与</w:t>
            </w:r>
            <w:r>
              <w:rPr>
                <w:rFonts w:hint="eastAsia" w:ascii="宋体" w:hAnsi="宋体" w:eastAsia="宋体" w:cs="宋体"/>
                <w:color w:val="auto"/>
                <w:kern w:val="0"/>
                <w:sz w:val="21"/>
                <w:szCs w:val="21"/>
                <w:highlight w:val="none"/>
                <w:lang w:val="en-US" w:eastAsia="zh-CN"/>
              </w:rPr>
              <w:t>支付</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发出付款建议（避免超付）</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负责</w:t>
            </w:r>
            <w:r>
              <w:rPr>
                <w:rFonts w:hint="eastAsia" w:ascii="宋体" w:hAnsi="宋体" w:eastAsia="宋体" w:cs="宋体"/>
                <w:color w:val="auto"/>
                <w:kern w:val="0"/>
                <w:sz w:val="21"/>
                <w:szCs w:val="21"/>
                <w:highlight w:val="none"/>
              </w:rPr>
              <w:t>制定项目总体投资资金计划，对每月实际投资和计划投资作分析比较，分析差异的原因</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负责建立合同台账、支付台账、变更台账（按变更原因分类）、签证台账、动态投资台账；</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288" w:lineRule="auto"/>
              <w:ind w:left="510" w:lef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负责定期召开造价控制会议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每月底前提交投资控制报告，含项目整体结算价预估分析、人工机械主材设备价格造价影响分析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按甲方要求提交</w:t>
            </w:r>
            <w:r>
              <w:rPr>
                <w:rFonts w:hint="eastAsia" w:ascii="宋体" w:hAnsi="宋体" w:eastAsia="宋体" w:cs="宋体"/>
                <w:color w:val="auto"/>
                <w:kern w:val="0"/>
                <w:sz w:val="21"/>
                <w:szCs w:val="21"/>
                <w:highlight w:val="none"/>
              </w:rPr>
              <w:t>动态成本</w:t>
            </w:r>
            <w:r>
              <w:rPr>
                <w:rFonts w:hint="eastAsia" w:ascii="宋体" w:hAnsi="宋体" w:eastAsia="宋体" w:cs="宋体"/>
                <w:color w:val="auto"/>
                <w:kern w:val="0"/>
                <w:sz w:val="21"/>
                <w:szCs w:val="21"/>
                <w:highlight w:val="none"/>
                <w:lang w:val="en-US" w:eastAsia="zh-CN"/>
              </w:rPr>
              <w:t>偏差分析</w:t>
            </w:r>
            <w:r>
              <w:rPr>
                <w:rFonts w:hint="eastAsia" w:ascii="宋体" w:hAnsi="宋体" w:eastAsia="宋体" w:cs="宋体"/>
                <w:color w:val="auto"/>
                <w:kern w:val="0"/>
                <w:sz w:val="21"/>
                <w:szCs w:val="21"/>
                <w:highlight w:val="none"/>
              </w:rPr>
              <w:t>（须与目标成本对比分析偏差原因及解决方案建议）</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负责定期收集和整理有关设备材料的市场价格动态信息，对施工方案、材料选用提供成本控制建议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负责协助第三方的合同索赔处理，参加合同变更谈判、处理合同变更，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维护</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的合法权益。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4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6</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结（决）算阶段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负责编制结算</w:t>
            </w:r>
            <w:r>
              <w:rPr>
                <w:rFonts w:hint="eastAsia" w:ascii="宋体" w:hAnsi="宋体" w:eastAsia="宋体" w:cs="宋体"/>
                <w:color w:val="auto"/>
                <w:kern w:val="0"/>
                <w:sz w:val="21"/>
                <w:szCs w:val="21"/>
                <w:highlight w:val="none"/>
                <w:lang w:val="en-US" w:eastAsia="zh-CN"/>
              </w:rPr>
              <w:t>编审</w:t>
            </w:r>
            <w:r>
              <w:rPr>
                <w:rFonts w:hint="eastAsia" w:ascii="宋体" w:hAnsi="宋体" w:eastAsia="宋体" w:cs="宋体"/>
                <w:color w:val="auto"/>
                <w:kern w:val="0"/>
                <w:sz w:val="21"/>
                <w:szCs w:val="21"/>
                <w:highlight w:val="none"/>
              </w:rPr>
              <w:t>计划，建立结算台账</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负责收集和整理结算依据资料，负责组织过程结算</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的结算</w:t>
            </w:r>
            <w:r>
              <w:rPr>
                <w:rFonts w:hint="eastAsia" w:ascii="宋体" w:hAnsi="宋体" w:eastAsia="宋体" w:cs="宋体"/>
                <w:color w:val="auto"/>
                <w:kern w:val="0"/>
                <w:sz w:val="21"/>
                <w:szCs w:val="21"/>
                <w:highlight w:val="none"/>
                <w:lang w:val="en-US" w:eastAsia="zh-CN"/>
              </w:rPr>
              <w:t>编审指引等相关制度审核本项目各类（施工、货物、服务等）合同结算书，及时完成对数，根据各方确认意见出具结算审核报告；</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收集项目</w:t>
            </w:r>
            <w:r>
              <w:rPr>
                <w:rFonts w:hint="eastAsia" w:ascii="宋体" w:hAnsi="宋体" w:eastAsia="宋体" w:cs="宋体"/>
                <w:color w:val="auto"/>
                <w:kern w:val="0"/>
                <w:sz w:val="21"/>
                <w:szCs w:val="21"/>
                <w:highlight w:val="none"/>
                <w:lang w:val="en-US" w:eastAsia="zh-CN"/>
              </w:rPr>
              <w:t>完整</w:t>
            </w:r>
            <w:r>
              <w:rPr>
                <w:rFonts w:hint="eastAsia" w:ascii="宋体" w:hAnsi="宋体" w:eastAsia="宋体" w:cs="宋体"/>
                <w:color w:val="auto"/>
                <w:kern w:val="0"/>
                <w:sz w:val="21"/>
                <w:szCs w:val="21"/>
                <w:highlight w:val="none"/>
              </w:rPr>
              <w:t>造价资料，</w:t>
            </w:r>
            <w:r>
              <w:rPr>
                <w:rFonts w:hint="eastAsia" w:ascii="宋体" w:hAnsi="宋体" w:eastAsia="宋体" w:cs="宋体"/>
                <w:color w:val="auto"/>
                <w:kern w:val="0"/>
                <w:sz w:val="21"/>
                <w:szCs w:val="21"/>
                <w:highlight w:val="none"/>
                <w:lang w:val="en-US" w:eastAsia="zh-CN"/>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lang w:val="en-US" w:eastAsia="zh-CN"/>
              </w:rPr>
              <w:t>要求编制建造成本分析报告，</w:t>
            </w:r>
            <w:r>
              <w:rPr>
                <w:rFonts w:hint="eastAsia" w:ascii="宋体" w:hAnsi="宋体" w:eastAsia="宋体" w:cs="宋体"/>
                <w:color w:val="auto"/>
                <w:kern w:val="0"/>
                <w:sz w:val="21"/>
                <w:szCs w:val="21"/>
                <w:highlight w:val="none"/>
              </w:rPr>
              <w:t>并与当地同类项目各类经济指标进行对比分析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整理并移交造价相关归档资料；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配合</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决算工作</w:t>
            </w:r>
            <w:r>
              <w:rPr>
                <w:rFonts w:hint="eastAsia" w:ascii="宋体" w:hAnsi="宋体" w:eastAsia="宋体" w:cs="宋体"/>
                <w:color w:val="auto"/>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09"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rPr>
              <w:t>7</w:t>
            </w:r>
          </w:p>
        </w:tc>
        <w:tc>
          <w:tcPr>
            <w:tcW w:w="10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suppressLineNumbers w:val="0"/>
              <w:shd w:val="solid" w:color="FFFFFF" w:fill="auto"/>
              <w:kinsoku/>
              <w:wordWrap/>
              <w:overflowPunct/>
              <w:topLinePunct w:val="0"/>
              <w:autoSpaceDE w:val="0"/>
              <w:autoSpaceDN w:val="0"/>
              <w:bidi w:val="0"/>
              <w:adjustRightInd w:val="0"/>
              <w:snapToGrid w:val="0"/>
              <w:spacing w:beforeAutospacing="0" w:afterAutospacing="0" w:line="288" w:lineRule="auto"/>
              <w:ind w:left="0" w:leftChars="0" w:right="0" w:rightChars="0"/>
              <w:contextualSpacing/>
              <w:jc w:val="center"/>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其他</w:t>
            </w:r>
          </w:p>
        </w:tc>
        <w:tc>
          <w:tcPr>
            <w:tcW w:w="70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要求编制或审核各类造价管理文件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参与设计方案论证会议、技术经济方案比选、变更论证等专题会，提出造价专业意见；</w:t>
            </w:r>
            <w:r>
              <w:rPr>
                <w:rFonts w:hint="eastAsia" w:ascii="宋体" w:hAnsi="宋体" w:eastAsia="宋体" w:cs="宋体"/>
                <w:color w:val="auto"/>
                <w:sz w:val="21"/>
                <w:szCs w:val="21"/>
                <w:highlight w:val="none"/>
                <w:lang w:val="en-US" w:eastAsia="zh-CN"/>
              </w:rPr>
              <w:t>督促</w:t>
            </w:r>
            <w:r>
              <w:rPr>
                <w:rFonts w:hint="eastAsia" w:ascii="宋体" w:hAnsi="宋体" w:eastAsia="宋体" w:cs="宋体"/>
                <w:color w:val="auto"/>
                <w:sz w:val="21"/>
                <w:szCs w:val="21"/>
                <w:highlight w:val="none"/>
              </w:rPr>
              <w:t>落实各阶段、各专业工程造价限额</w:t>
            </w:r>
            <w:r>
              <w:rPr>
                <w:rFonts w:hint="eastAsia" w:ascii="宋体" w:hAnsi="宋体" w:eastAsia="宋体" w:cs="宋体"/>
                <w:color w:val="auto"/>
                <w:sz w:val="21"/>
                <w:szCs w:val="21"/>
                <w:highlight w:val="none"/>
                <w:lang w:val="en-US" w:eastAsia="zh-CN"/>
              </w:rPr>
              <w:t>设计量化</w:t>
            </w:r>
            <w:r>
              <w:rPr>
                <w:rFonts w:hint="eastAsia" w:ascii="宋体" w:hAnsi="宋体" w:eastAsia="宋体" w:cs="宋体"/>
                <w:color w:val="auto"/>
                <w:sz w:val="21"/>
                <w:szCs w:val="21"/>
                <w:highlight w:val="none"/>
              </w:rPr>
              <w:t>指标</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负责组织相关造价控制会议，包括邀请相应的经济专家。视情况邀请高级经济顾问对造价问题进行咨询把关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费用综合考虑在投标报价中</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根据甲方要求，配合甲方完成</w:t>
            </w:r>
            <w:r>
              <w:rPr>
                <w:rFonts w:hint="eastAsia" w:ascii="宋体" w:hAnsi="宋体" w:eastAsia="宋体" w:cs="宋体"/>
                <w:color w:val="auto"/>
                <w:sz w:val="21"/>
                <w:szCs w:val="21"/>
                <w:highlight w:val="none"/>
              </w:rPr>
              <w:t>其他造价管理工作，如投资匡算、培训等</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负责施工、货物、服务合同的计量支付审核；</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按要求配合项目审计工作</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需求，配合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完成各阶段的目标成本编制工作，施工阶段按季度编制动态成本报告，并及时对成本异常情况及时提交成本预警报告</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按照甲方的各项管理制度及规定开展投资控制、成本管理工作，并满足甲方相关制度要求；</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根据设计方案编（审）详细的工程成本预测和资金流量预测分析，以作为进度和成本控制的目标；随设计的深入定期分析修正工程成本和资金流量预测</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负责为BIM信息模型提供造价信息数据</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hanging="510" w:firstLineChars="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的要求对</w:t>
            </w:r>
            <w:r>
              <w:rPr>
                <w:rFonts w:hint="eastAsia" w:ascii="宋体" w:hAnsi="宋体" w:eastAsia="宋体" w:cs="宋体"/>
                <w:color w:val="auto"/>
                <w:kern w:val="0"/>
                <w:sz w:val="21"/>
                <w:szCs w:val="21"/>
                <w:highlight w:val="none"/>
                <w:lang w:val="en-US" w:eastAsia="zh-CN"/>
              </w:rPr>
              <w:t>招标图、</w:t>
            </w:r>
            <w:r>
              <w:rPr>
                <w:rFonts w:hint="eastAsia" w:ascii="宋体" w:hAnsi="宋体" w:eastAsia="宋体" w:cs="宋体"/>
                <w:color w:val="auto"/>
                <w:kern w:val="0"/>
                <w:sz w:val="21"/>
                <w:szCs w:val="21"/>
                <w:highlight w:val="none"/>
              </w:rPr>
              <w:t>施工图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竣工图</w:t>
            </w:r>
            <w:r>
              <w:rPr>
                <w:rFonts w:hint="eastAsia" w:ascii="宋体" w:hAnsi="宋体" w:eastAsia="宋体" w:cs="宋体"/>
                <w:color w:val="auto"/>
                <w:kern w:val="0"/>
                <w:sz w:val="21"/>
                <w:szCs w:val="21"/>
                <w:highlight w:val="none"/>
                <w:lang w:val="en-US" w:eastAsia="zh-CN"/>
              </w:rPr>
              <w:t>及其他图纸的</w:t>
            </w:r>
            <w:r>
              <w:rPr>
                <w:rFonts w:hint="eastAsia" w:ascii="宋体" w:hAnsi="宋体" w:eastAsia="宋体" w:cs="宋体"/>
                <w:color w:val="auto"/>
                <w:kern w:val="0"/>
                <w:sz w:val="21"/>
                <w:szCs w:val="21"/>
                <w:highlight w:val="none"/>
              </w:rPr>
              <w:t>核对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并提供相应核对报告；</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napToGrid w:val="0"/>
              <w:spacing w:beforeAutospacing="0" w:afterAutospacing="0" w:line="288" w:lineRule="auto"/>
              <w:ind w:left="510" w:leftChars="0" w:right="0" w:rightChars="0" w:hanging="51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安排的其他造价管理工作。</w:t>
            </w:r>
          </w:p>
        </w:tc>
      </w:tr>
    </w:tbl>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4.2服务质量要求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服务原则：乙方</w:t>
      </w:r>
      <w:r>
        <w:rPr>
          <w:rFonts w:hint="eastAsia" w:ascii="宋体" w:hAnsi="宋体" w:eastAsia="宋体" w:cs="宋体"/>
          <w:color w:val="auto"/>
          <w:kern w:val="0"/>
          <w:sz w:val="24"/>
          <w:szCs w:val="24"/>
          <w:highlight w:val="none"/>
        </w:rPr>
        <w:t>应熟悉并严格按照国家、省、市有关</w:t>
      </w:r>
      <w:r>
        <w:rPr>
          <w:rFonts w:hint="eastAsia" w:ascii="宋体" w:hAnsi="宋体" w:eastAsia="宋体" w:cs="宋体"/>
          <w:color w:val="auto"/>
          <w:kern w:val="0"/>
          <w:sz w:val="24"/>
          <w:szCs w:val="24"/>
          <w:highlight w:val="none"/>
          <w:lang w:val="en-US" w:eastAsia="zh-CN"/>
        </w:rPr>
        <w:t>工程项目建设</w:t>
      </w:r>
      <w:r>
        <w:rPr>
          <w:rFonts w:hint="eastAsia" w:ascii="宋体" w:hAnsi="宋体" w:eastAsia="宋体" w:cs="宋体"/>
          <w:color w:val="auto"/>
          <w:kern w:val="0"/>
          <w:sz w:val="24"/>
          <w:szCs w:val="24"/>
          <w:highlight w:val="none"/>
        </w:rPr>
        <w:t>、工程造价方面的法律、法规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以及</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工程造价管理制度要求，依据合同相关约定，本着有依有据、合法合规的原则，科学、客观、公正地开展造价咨询工作，</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提供的</w:t>
      </w:r>
      <w:r>
        <w:rPr>
          <w:rFonts w:hint="eastAsia" w:ascii="宋体" w:hAnsi="宋体" w:eastAsia="宋体" w:cs="宋体"/>
          <w:color w:val="auto"/>
          <w:sz w:val="24"/>
          <w:szCs w:val="24"/>
          <w:highlight w:val="none"/>
        </w:rPr>
        <w:t>工程造价咨询成果文件</w:t>
      </w:r>
      <w:r>
        <w:rPr>
          <w:rFonts w:hint="eastAsia" w:ascii="宋体" w:hAnsi="宋体" w:eastAsia="宋体" w:cs="宋体"/>
          <w:color w:val="auto"/>
          <w:kern w:val="0"/>
          <w:sz w:val="24"/>
          <w:szCs w:val="24"/>
          <w:highlight w:val="none"/>
        </w:rPr>
        <w:t>应合理体现</w:t>
      </w:r>
      <w:r>
        <w:rPr>
          <w:rFonts w:hint="eastAsia" w:ascii="宋体" w:hAnsi="宋体" w:eastAsia="宋体" w:cs="宋体"/>
          <w:color w:val="auto"/>
          <w:kern w:val="0"/>
          <w:sz w:val="24"/>
          <w:szCs w:val="24"/>
          <w:highlight w:val="none"/>
          <w:lang w:val="en-US" w:eastAsia="zh-CN"/>
        </w:rPr>
        <w:t>甲方投资</w:t>
      </w:r>
      <w:r>
        <w:rPr>
          <w:rFonts w:hint="eastAsia" w:ascii="宋体" w:hAnsi="宋体" w:eastAsia="宋体" w:cs="宋体"/>
          <w:color w:val="auto"/>
          <w:kern w:val="0"/>
          <w:sz w:val="24"/>
          <w:szCs w:val="24"/>
          <w:highlight w:val="none"/>
        </w:rPr>
        <w:t>控制</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rPr>
        <w:t>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w:t>
      </w:r>
      <w:r>
        <w:rPr>
          <w:rFonts w:hint="eastAsia" w:ascii="宋体" w:hAnsi="宋体" w:eastAsia="宋体" w:cs="宋体"/>
          <w:b w:val="0"/>
          <w:bCs w:val="0"/>
          <w:color w:val="auto"/>
          <w:sz w:val="24"/>
          <w:szCs w:val="24"/>
          <w:highlight w:val="none"/>
        </w:rPr>
        <w:t>投资控制目标：实行全过程限额设计和施工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成本控制遵循各阶段目标成本控制原则，确保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竣工</w:t>
      </w:r>
      <w:r>
        <w:rPr>
          <w:rFonts w:hint="eastAsia" w:ascii="宋体" w:hAnsi="宋体" w:eastAsia="宋体" w:cs="宋体"/>
          <w:b w:val="0"/>
          <w:bCs w:val="0"/>
          <w:color w:val="auto"/>
          <w:sz w:val="24"/>
          <w:szCs w:val="24"/>
          <w:highlight w:val="none"/>
        </w:rPr>
        <w:t>结算</w:t>
      </w:r>
      <w:r>
        <w:rPr>
          <w:rFonts w:hint="eastAsia" w:ascii="宋体" w:hAnsi="宋体" w:eastAsia="宋体" w:cs="宋体"/>
          <w:b w:val="0"/>
          <w:bCs w:val="0"/>
          <w:color w:val="auto"/>
          <w:sz w:val="24"/>
          <w:szCs w:val="24"/>
          <w:highlight w:val="none"/>
          <w:lang w:val="en-US" w:eastAsia="zh-CN"/>
        </w:rPr>
        <w:t>合计金额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经审定</w:t>
      </w:r>
      <w:r>
        <w:rPr>
          <w:rFonts w:hint="eastAsia" w:ascii="宋体" w:hAnsi="宋体" w:eastAsia="宋体" w:cs="宋体"/>
          <w:b w:val="0"/>
          <w:bCs w:val="0"/>
          <w:color w:val="auto"/>
          <w:sz w:val="24"/>
          <w:szCs w:val="24"/>
          <w:highlight w:val="none"/>
        </w:rPr>
        <w:t>设计概算</w:t>
      </w:r>
      <w:r>
        <w:rPr>
          <w:rFonts w:hint="eastAsia" w:ascii="宋体" w:hAnsi="宋体" w:eastAsia="宋体" w:cs="宋体"/>
          <w:b w:val="0"/>
          <w:bCs w:val="0"/>
          <w:color w:val="auto"/>
          <w:sz w:val="24"/>
          <w:szCs w:val="24"/>
          <w:highlight w:val="none"/>
          <w:lang w:val="en-US" w:eastAsia="zh-CN"/>
        </w:rPr>
        <w:t>实际实施范围所对应金额</w:t>
      </w:r>
      <w:r>
        <w:rPr>
          <w:rFonts w:hint="eastAsia" w:ascii="宋体" w:hAnsi="宋体" w:eastAsia="宋体" w:cs="宋体"/>
          <w:b w:val="0"/>
          <w:bCs w:val="0"/>
          <w:color w:val="auto"/>
          <w:sz w:val="24"/>
          <w:szCs w:val="24"/>
          <w:highlight w:val="none"/>
        </w:rPr>
        <w:t>≤可研估算</w:t>
      </w:r>
      <w:r>
        <w:rPr>
          <w:rFonts w:hint="eastAsia" w:ascii="宋体" w:hAnsi="宋体" w:eastAsia="宋体" w:cs="宋体"/>
          <w:b w:val="0"/>
          <w:bCs w:val="0"/>
          <w:color w:val="auto"/>
          <w:sz w:val="24"/>
          <w:szCs w:val="24"/>
          <w:highlight w:val="none"/>
          <w:lang w:val="en-US" w:eastAsia="zh-CN"/>
        </w:rPr>
        <w:t>对应范围金额（如有）；（2）各类合同结算金额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经审定的概算对应金额；（3）各阶段目标成本</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上阶段同口径目标成本。</w:t>
      </w:r>
      <w:r>
        <w:rPr>
          <w:rFonts w:hint="eastAsia" w:ascii="宋体" w:hAnsi="宋体" w:eastAsia="宋体" w:cs="宋体"/>
          <w:b w:val="0"/>
          <w:bCs w:val="0"/>
          <w:color w:val="auto"/>
          <w:sz w:val="24"/>
          <w:szCs w:val="24"/>
          <w:highlight w:val="none"/>
        </w:rPr>
        <w:t>在不降低勘察设计任务书、初步设计文件、材料设备技术需求书中的主要设计指标（建筑高度、建筑面积、项目定位、装修标准等）的前提下，确保施工图预算不超过有权审核部门审定工程设计概算中的建安工程费总额。</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根据上述投资控制目标开展造价咨询服务各项工作</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应建立健全内部控制制度、质量保证体系和档案管理制度，保证工程造价咨询成果文件的质量，对其完整性、真实性、准确性、有效性负责，并负有保密责任。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（1）造价成果文件必须文字表达清晰、装订整齐。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（2）造价成果文件应执行由造价</w:t>
      </w:r>
      <w:r>
        <w:rPr>
          <w:rFonts w:hint="eastAsia" w:ascii="宋体" w:hAnsi="宋体" w:eastAsia="宋体" w:cs="宋体"/>
          <w:b w:val="0"/>
          <w:bCs w:val="0"/>
          <w:color w:val="auto"/>
          <w:sz w:val="24"/>
          <w:szCs w:val="24"/>
          <w:highlight w:val="none"/>
          <w:lang w:eastAsia="zh-CN"/>
        </w:rPr>
        <w:t>工程</w:t>
      </w:r>
      <w:r>
        <w:rPr>
          <w:rFonts w:hint="eastAsia" w:ascii="宋体" w:hAnsi="宋体" w:eastAsia="宋体" w:cs="宋体"/>
          <w:b w:val="0"/>
          <w:bCs w:val="0"/>
          <w:color w:val="auto"/>
          <w:sz w:val="24"/>
          <w:szCs w:val="24"/>
          <w:highlight w:val="none"/>
        </w:rPr>
        <w:t>师编制、技术负责人审核、项目负责人或指挥长审定的三级审查制度。工程造价咨询成果文件的编制人应具有注册造价工程师执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定代表人签字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（3）编制人应甄别、复核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（4）审核人应进一步审核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（5）审定人应再次审核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提供的书面资料的有效性、合规性，编制人使用工程计价基础资料和编制依据的全面性、真实性和有效性，并应依据工程经济指标进行工程造价的合理性分析，对工程造价咨询质量进行整体控制。</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应建立工程造价咨询项目档案（含书面原件、电子文档及软件文档），保证项目资料的完整，不得损坏、遗失项目资料。加强项目档案管理，及时做好已完项目的资料移交和归档工作。</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（7）加强信息系统管理，及时建立电子信息台账；保证在</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信息系统中录入或审核的工程造价相关信息及时、完整</w:t>
      </w:r>
      <w:r>
        <w:rPr>
          <w:rFonts w:hint="eastAsia" w:ascii="宋体" w:hAnsi="宋体" w:eastAsia="宋体" w:cs="宋体"/>
          <w:color w:val="auto"/>
          <w:kern w:val="0"/>
          <w:sz w:val="24"/>
          <w:szCs w:val="24"/>
          <w:highlight w:val="none"/>
        </w:rPr>
        <w:t>。</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4.2.4乙方应确保本工程方案估算</w:t>
      </w:r>
      <w:r>
        <w:rPr>
          <w:rFonts w:hint="eastAsia" w:ascii="宋体" w:hAnsi="宋体" w:eastAsia="宋体" w:cs="宋体"/>
          <w:color w:val="auto"/>
          <w:kern w:val="0"/>
          <w:sz w:val="21"/>
          <w:szCs w:val="21"/>
          <w:highlight w:val="none"/>
          <w:lang w:val="en-US" w:eastAsia="zh-CN"/>
        </w:rPr>
        <w:t>（如需）</w:t>
      </w:r>
      <w:r>
        <w:rPr>
          <w:rFonts w:hint="eastAsia" w:ascii="宋体" w:hAnsi="宋体" w:eastAsia="宋体" w:cs="宋体"/>
          <w:color w:val="auto"/>
          <w:kern w:val="0"/>
          <w:sz w:val="24"/>
          <w:szCs w:val="24"/>
          <w:highlight w:val="none"/>
          <w:lang w:val="en-US" w:eastAsia="zh-CN"/>
        </w:rPr>
        <w:t>、初步设计概算、施工图预算、工程量清单、招标控制价、变更签证预算、主材及综合单价、合同结算、造价测算等各阶段各类造价文件的编（审）工作质量，必须做到“开项齐全、数量准确、造价合理”，并满足工程投资控制和相关合同的要求。</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4.2.5乙方提供的造价成果文件应包括但不限于：封面、编（审）说明、根据甲方要求编（审）的造价文件及其软件版（含计价及图形算量成果文件）、工程量计算书、经济指标分析表、主要设备材料价格表、主要材料设备定价依据文件（含询价文件等）、审核意见落实情况说明和修改对比表。具体要求以乙方工程造价相关管理制度要求为准。</w:t>
      </w:r>
    </w:p>
    <w:p>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4.2.6乙方至少要提供3个同类项目的技术经济指标供甲方做决策参考。乙方负责对造价成果[包括但不限于：估算（如有）、概算审核报告、工程量清单复核报告、施工图预算审核报告、招标工程量清单及招标控制价、设计变更预算审核报告、工程签证预算审核报告、结算审核报告等]进行分析，对比同类项目，找出技术经济指标偏离内容及原因，及时修正，并提出合理化建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审核工程量与进度款（即计量支付审核）；计量支付与进度相符，不得超付、借项支付等</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4.2.8</w:t>
      </w:r>
      <w:r>
        <w:rPr>
          <w:rFonts w:hint="eastAsia" w:ascii="宋体" w:hAnsi="宋体" w:eastAsia="宋体" w:cs="宋体"/>
          <w:b w:val="0"/>
          <w:bCs w:val="0"/>
          <w:color w:val="auto"/>
          <w:sz w:val="24"/>
          <w:szCs w:val="24"/>
          <w:highlight w:val="none"/>
          <w:lang w:val="en-US" w:eastAsia="zh-CN"/>
        </w:rPr>
        <w:t>造价成果偏差限额：</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（1）投资估算审核</w:t>
      </w:r>
      <w:r>
        <w:rPr>
          <w:rFonts w:hint="eastAsia" w:ascii="宋体" w:hAnsi="宋体" w:eastAsia="宋体" w:cs="宋体"/>
          <w:color w:val="auto"/>
          <w:kern w:val="0"/>
          <w:sz w:val="21"/>
          <w:szCs w:val="21"/>
          <w:highlight w:val="none"/>
          <w:lang w:val="en-US" w:eastAsia="zh-CN"/>
        </w:rPr>
        <w:t>（如需）</w:t>
      </w:r>
      <w:r>
        <w:rPr>
          <w:rFonts w:hint="eastAsia" w:ascii="宋体" w:hAnsi="宋体" w:eastAsia="宋体" w:cs="宋体"/>
          <w:b w:val="0"/>
          <w:bCs w:val="0"/>
          <w:color w:val="auto"/>
          <w:sz w:val="24"/>
          <w:szCs w:val="24"/>
          <w:highlight w:val="none"/>
          <w:lang w:val="en-US" w:eastAsia="zh-CN"/>
        </w:rPr>
        <w:t>：造价偏差率</w:t>
      </w:r>
      <w:r>
        <w:rPr>
          <w:rFonts w:hint="eastAsia" w:ascii="宋体" w:hAnsi="宋体" w:eastAsia="宋体" w:cs="宋体"/>
          <w:b w:val="0"/>
          <w:bCs w:val="0"/>
          <w:color w:val="auto"/>
          <w:sz w:val="24"/>
          <w:szCs w:val="24"/>
          <w:highlight w:val="none"/>
          <w:lang w:eastAsia="zh-CN"/>
        </w:rPr>
        <w:t>±16%以内；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（2）概算审核：造价偏差率</w:t>
      </w:r>
      <w:r>
        <w:rPr>
          <w:rFonts w:hint="eastAsia" w:ascii="宋体" w:hAnsi="宋体" w:eastAsia="宋体" w:cs="宋体"/>
          <w:b w:val="0"/>
          <w:bCs w:val="0"/>
          <w:color w:val="auto"/>
          <w:sz w:val="24"/>
          <w:szCs w:val="24"/>
          <w:highlight w:val="none"/>
          <w:lang w:eastAsia="zh-CN"/>
        </w:rPr>
        <w:t>±6%以内；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施工</w:t>
      </w:r>
      <w:r>
        <w:rPr>
          <w:rFonts w:hint="eastAsia" w:ascii="宋体" w:hAnsi="宋体" w:eastAsia="宋体" w:cs="宋体"/>
          <w:b w:val="0"/>
          <w:bCs w:val="0"/>
          <w:color w:val="auto"/>
          <w:sz w:val="24"/>
          <w:szCs w:val="24"/>
          <w:highlight w:val="none"/>
        </w:rPr>
        <w:t>图预算</w:t>
      </w:r>
      <w:r>
        <w:rPr>
          <w:rFonts w:hint="eastAsia" w:ascii="宋体" w:hAnsi="宋体" w:eastAsia="宋体" w:cs="宋体"/>
          <w:b w:val="0"/>
          <w:bCs w:val="0"/>
          <w:color w:val="auto"/>
          <w:sz w:val="24"/>
          <w:szCs w:val="24"/>
          <w:highlight w:val="none"/>
          <w:lang w:val="en-US" w:eastAsia="zh-CN"/>
        </w:rPr>
        <w:t>编制或审核</w:t>
      </w:r>
      <w:r>
        <w:rPr>
          <w:rFonts w:hint="eastAsia" w:ascii="宋体" w:hAnsi="宋体" w:eastAsia="宋体" w:cs="宋体"/>
          <w:b w:val="0"/>
          <w:bCs w:val="0"/>
          <w:color w:val="auto"/>
          <w:sz w:val="24"/>
          <w:szCs w:val="24"/>
          <w:highlight w:val="none"/>
        </w:rPr>
        <w:t>、招标控制价</w:t>
      </w:r>
      <w:r>
        <w:rPr>
          <w:rFonts w:hint="eastAsia" w:ascii="宋体" w:hAnsi="宋体" w:eastAsia="宋体" w:cs="宋体"/>
          <w:b w:val="0"/>
          <w:bCs w:val="0"/>
          <w:color w:val="auto"/>
          <w:sz w:val="24"/>
          <w:szCs w:val="24"/>
          <w:highlight w:val="none"/>
          <w:lang w:val="en-US" w:eastAsia="zh-CN"/>
        </w:rPr>
        <w:t>编制</w:t>
      </w:r>
      <w:r>
        <w:rPr>
          <w:rFonts w:hint="eastAsia" w:ascii="宋体" w:hAnsi="宋体" w:eastAsia="宋体" w:cs="宋体"/>
          <w:b w:val="0"/>
          <w:bCs w:val="0"/>
          <w:color w:val="auto"/>
          <w:sz w:val="24"/>
          <w:szCs w:val="24"/>
          <w:highlight w:val="none"/>
        </w:rPr>
        <w:t>、工程量清单</w:t>
      </w:r>
      <w:r>
        <w:rPr>
          <w:rFonts w:hint="eastAsia" w:ascii="宋体" w:hAnsi="宋体" w:eastAsia="宋体" w:cs="宋体"/>
          <w:b w:val="0"/>
          <w:bCs w:val="0"/>
          <w:color w:val="auto"/>
          <w:sz w:val="24"/>
          <w:szCs w:val="24"/>
          <w:highlight w:val="none"/>
          <w:lang w:val="en-US" w:eastAsia="zh-CN"/>
        </w:rPr>
        <w:t>复核：造价偏差率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%以内；</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合同结算审核：造价偏差率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%以内。</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注：偏差率=（送审金额-审定金额）/送审金额</w:t>
      </w:r>
      <w:r>
        <w:rPr>
          <w:rFonts w:hint="eastAsia" w:ascii="宋体" w:hAnsi="宋体" w:eastAsia="宋体" w:cs="宋体"/>
          <w:b w:val="0"/>
          <w:bCs w:val="0"/>
          <w:color w:val="auto"/>
          <w:sz w:val="24"/>
          <w:szCs w:val="24"/>
          <w:highlight w:val="none"/>
          <w:lang w:val="en-US" w:eastAsia="zh-CN"/>
        </w:rPr>
        <w:t>×100%</w:t>
      </w:r>
    </w:p>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4.3服务进度要求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应对</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提供资料的完整性、严谨性把关，对因范围不清晰、图纸不详导致基本工程量难以计算等情况，应在收到资料</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个工作日内向</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提出资料补充要求。因资料不完整但</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未能及时提出而造成编审进度延误，由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w:t>
      </w:r>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8" w:name="_Toc16878"/>
      <w:r>
        <w:rPr>
          <w:rFonts w:hint="eastAsia" w:ascii="宋体" w:hAnsi="宋体" w:eastAsia="宋体" w:cs="宋体"/>
          <w:b w:val="0"/>
          <w:bCs w:val="0"/>
          <w:color w:val="auto"/>
          <w:sz w:val="24"/>
          <w:szCs w:val="24"/>
          <w:highlight w:val="none"/>
        </w:rPr>
        <w:t>4.3.2各类造价服务工作任务的工作时限要求（</w:t>
      </w:r>
      <w:r>
        <w:rPr>
          <w:rFonts w:hint="eastAsia" w:ascii="宋体" w:hAnsi="宋体" w:eastAsia="宋体" w:cs="宋体"/>
          <w:b w:val="0"/>
          <w:bCs w:val="0"/>
          <w:color w:val="auto"/>
          <w:sz w:val="24"/>
          <w:szCs w:val="24"/>
          <w:highlight w:val="none"/>
          <w:lang w:val="en-US" w:eastAsia="zh-CN"/>
        </w:rPr>
        <w:t>以下天数指</w:t>
      </w:r>
      <w:r>
        <w:rPr>
          <w:rFonts w:hint="eastAsia" w:ascii="宋体" w:hAnsi="宋体" w:eastAsia="宋体" w:cs="宋体"/>
          <w:b w:val="0"/>
          <w:bCs w:val="0"/>
          <w:color w:val="auto"/>
          <w:sz w:val="24"/>
          <w:szCs w:val="24"/>
          <w:highlight w:val="none"/>
        </w:rPr>
        <w:t>日历天</w:t>
      </w:r>
      <w:r>
        <w:rPr>
          <w:rFonts w:hint="eastAsia" w:ascii="宋体" w:hAnsi="宋体" w:eastAsia="宋体" w:cs="宋体"/>
          <w:b w:val="0"/>
          <w:bCs w:val="0"/>
          <w:color w:val="auto"/>
          <w:sz w:val="24"/>
          <w:szCs w:val="24"/>
          <w:highlight w:val="none"/>
          <w:lang w:val="en-US" w:eastAsia="zh-CN"/>
        </w:rPr>
        <w:t>数</w:t>
      </w:r>
      <w:r>
        <w:rPr>
          <w:rFonts w:hint="eastAsia" w:ascii="宋体" w:hAnsi="宋体" w:eastAsia="宋体" w:cs="宋体"/>
          <w:b w:val="0"/>
          <w:bCs w:val="0"/>
          <w:color w:val="auto"/>
          <w:sz w:val="24"/>
          <w:szCs w:val="24"/>
          <w:highlight w:val="none"/>
        </w:rPr>
        <w:t>）</w:t>
      </w:r>
      <w:bookmarkEnd w:id="168"/>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9" w:name="_Toc15955"/>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统一要求：</w:t>
      </w:r>
      <w:r>
        <w:rPr>
          <w:rFonts w:hint="eastAsia" w:ascii="宋体" w:hAnsi="宋体" w:eastAsia="宋体" w:cs="宋体"/>
          <w:b w:val="0"/>
          <w:bCs w:val="0"/>
          <w:color w:val="auto"/>
          <w:sz w:val="24"/>
          <w:szCs w:val="24"/>
          <w:highlight w:val="none"/>
        </w:rPr>
        <w:t>电子版</w:t>
      </w:r>
      <w:r>
        <w:rPr>
          <w:rFonts w:hint="eastAsia" w:ascii="宋体" w:hAnsi="宋体" w:eastAsia="宋体" w:cs="宋体"/>
          <w:b w:val="0"/>
          <w:bCs w:val="0"/>
          <w:color w:val="auto"/>
          <w:sz w:val="24"/>
          <w:szCs w:val="24"/>
          <w:highlight w:val="none"/>
          <w:lang w:val="en-US" w:eastAsia="zh-CN"/>
        </w:rPr>
        <w:t>成果文件</w:t>
      </w:r>
      <w:r>
        <w:rPr>
          <w:rFonts w:hint="eastAsia" w:ascii="宋体" w:hAnsi="宋体" w:eastAsia="宋体" w:cs="宋体"/>
          <w:b w:val="0"/>
          <w:bCs w:val="0"/>
          <w:color w:val="auto"/>
          <w:sz w:val="24"/>
          <w:szCs w:val="24"/>
          <w:highlight w:val="none"/>
        </w:rPr>
        <w:t>由项目负责人发送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lang w:val="en-US" w:eastAsia="zh-CN"/>
        </w:rPr>
        <w:t>指定的工作邮箱</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送审稿和审定稿</w:t>
      </w:r>
      <w:r>
        <w:rPr>
          <w:rFonts w:hint="eastAsia" w:ascii="宋体" w:hAnsi="宋体" w:eastAsia="宋体" w:cs="宋体"/>
          <w:b w:val="0"/>
          <w:bCs w:val="0"/>
          <w:color w:val="auto"/>
          <w:sz w:val="24"/>
          <w:szCs w:val="24"/>
          <w:highlight w:val="none"/>
        </w:rPr>
        <w:t>纸质版</w:t>
      </w:r>
      <w:r>
        <w:rPr>
          <w:rFonts w:hint="eastAsia" w:ascii="宋体" w:hAnsi="宋体" w:eastAsia="宋体" w:cs="宋体"/>
          <w:b w:val="0"/>
          <w:bCs w:val="0"/>
          <w:color w:val="auto"/>
          <w:sz w:val="24"/>
          <w:szCs w:val="24"/>
          <w:highlight w:val="none"/>
          <w:lang w:val="en-US" w:eastAsia="zh-CN"/>
        </w:rPr>
        <w:t>成果文件完成对数及确认后5天内提交，无需对数的</w:t>
      </w:r>
      <w:r>
        <w:rPr>
          <w:rFonts w:hint="eastAsia" w:ascii="宋体" w:hAnsi="宋体" w:eastAsia="宋体" w:cs="宋体"/>
          <w:b w:val="0"/>
          <w:bCs w:val="0"/>
          <w:color w:val="auto"/>
          <w:sz w:val="24"/>
          <w:szCs w:val="24"/>
          <w:highlight w:val="none"/>
        </w:rPr>
        <w:t>收到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通知后2天内提交</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同步发送与纸质版一致的审定稿电子版</w:t>
      </w:r>
      <w:r>
        <w:rPr>
          <w:rFonts w:hint="eastAsia" w:ascii="宋体" w:hAnsi="宋体" w:eastAsia="宋体" w:cs="宋体"/>
          <w:b w:val="0"/>
          <w:bCs w:val="0"/>
          <w:color w:val="auto"/>
          <w:sz w:val="24"/>
          <w:szCs w:val="24"/>
          <w:highlight w:val="none"/>
        </w:rPr>
        <w:t>；除特别说明外，纸质版成果文件应提交一式</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份。</w:t>
      </w:r>
      <w:bookmarkEnd w:id="169"/>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0" w:name="_Toc24994"/>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）投资估算审核</w:t>
      </w:r>
      <w:r>
        <w:rPr>
          <w:rFonts w:hint="eastAsia" w:ascii="宋体" w:hAnsi="宋体" w:eastAsia="宋体" w:cs="宋体"/>
          <w:b w:val="0"/>
          <w:bCs/>
          <w:color w:val="auto"/>
          <w:kern w:val="0"/>
          <w:sz w:val="21"/>
          <w:szCs w:val="21"/>
          <w:highlight w:val="none"/>
          <w:lang w:val="en-US" w:eastAsia="zh-CN"/>
        </w:rPr>
        <w:t>（如需）</w:t>
      </w:r>
      <w:r>
        <w:rPr>
          <w:rFonts w:hint="eastAsia" w:ascii="宋体" w:hAnsi="宋体" w:eastAsia="宋体" w:cs="宋体"/>
          <w:b w:val="0"/>
          <w:bCs w:val="0"/>
          <w:color w:val="auto"/>
          <w:sz w:val="24"/>
          <w:szCs w:val="24"/>
          <w:highlight w:val="none"/>
        </w:rPr>
        <w:t>：自收到可行性研究报告电子版起3天内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审核报告</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w:t>
      </w:r>
      <w:bookmarkEnd w:id="170"/>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1" w:name="_Toc12460"/>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）设计概算</w:t>
      </w:r>
      <w:r>
        <w:rPr>
          <w:rFonts w:hint="eastAsia" w:ascii="宋体" w:hAnsi="宋体" w:eastAsia="宋体" w:cs="宋体"/>
          <w:b w:val="0"/>
          <w:bCs w:val="0"/>
          <w:color w:val="auto"/>
          <w:sz w:val="24"/>
          <w:szCs w:val="24"/>
          <w:highlight w:val="none"/>
          <w:lang w:val="en-US" w:eastAsia="zh-CN"/>
        </w:rPr>
        <w:t>审核</w:t>
      </w:r>
      <w:r>
        <w:rPr>
          <w:rFonts w:hint="eastAsia" w:ascii="宋体" w:hAnsi="宋体" w:eastAsia="宋体" w:cs="宋体"/>
          <w:b w:val="0"/>
          <w:bCs w:val="0"/>
          <w:color w:val="auto"/>
          <w:sz w:val="24"/>
          <w:szCs w:val="24"/>
          <w:highlight w:val="none"/>
        </w:rPr>
        <w:t>、施工图预算</w:t>
      </w:r>
      <w:r>
        <w:rPr>
          <w:rFonts w:hint="eastAsia" w:ascii="宋体" w:hAnsi="宋体" w:eastAsia="宋体" w:cs="宋体"/>
          <w:b w:val="0"/>
          <w:bCs w:val="0"/>
          <w:color w:val="auto"/>
          <w:sz w:val="24"/>
          <w:szCs w:val="24"/>
          <w:highlight w:val="none"/>
          <w:lang w:val="en-US" w:eastAsia="zh-CN"/>
        </w:rPr>
        <w:t>编制或审核</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施工及货物</w:t>
      </w:r>
      <w:r>
        <w:rPr>
          <w:rFonts w:hint="eastAsia" w:ascii="宋体" w:hAnsi="宋体" w:eastAsia="宋体" w:cs="宋体"/>
          <w:b w:val="0"/>
          <w:bCs w:val="0"/>
          <w:color w:val="auto"/>
          <w:sz w:val="24"/>
          <w:szCs w:val="24"/>
          <w:highlight w:val="none"/>
        </w:rPr>
        <w:t>招标工程量清单</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招标控制价编制：自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1"/>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2" w:name="_Toc20829"/>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类合同招标</w:t>
      </w:r>
      <w:r>
        <w:rPr>
          <w:rFonts w:hint="eastAsia" w:ascii="宋体" w:hAnsi="宋体" w:eastAsia="宋体" w:cs="宋体"/>
          <w:b w:val="0"/>
          <w:bCs w:val="0"/>
          <w:color w:val="auto"/>
          <w:sz w:val="24"/>
          <w:szCs w:val="24"/>
          <w:highlight w:val="none"/>
        </w:rPr>
        <w:t>控制价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工程量清单等的</w:t>
      </w:r>
      <w:r>
        <w:rPr>
          <w:rFonts w:hint="eastAsia" w:ascii="宋体" w:hAnsi="宋体" w:eastAsia="宋体" w:cs="宋体"/>
          <w:b w:val="0"/>
          <w:bCs w:val="0"/>
          <w:color w:val="auto"/>
          <w:sz w:val="24"/>
          <w:szCs w:val="24"/>
          <w:highlight w:val="none"/>
        </w:rPr>
        <w:t>编制</w:t>
      </w:r>
      <w:r>
        <w:rPr>
          <w:rFonts w:hint="eastAsia" w:ascii="宋体" w:hAnsi="宋体" w:eastAsia="宋体" w:cs="宋体"/>
          <w:b w:val="0"/>
          <w:bCs w:val="0"/>
          <w:color w:val="auto"/>
          <w:sz w:val="24"/>
          <w:szCs w:val="24"/>
          <w:highlight w:val="none"/>
          <w:lang w:val="en-US" w:eastAsia="zh-CN"/>
        </w:rPr>
        <w:t>或审核</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kern w:val="0"/>
          <w:sz w:val="24"/>
          <w:szCs w:val="24"/>
          <w:highlight w:val="none"/>
        </w:rPr>
        <w:t>招标文件（含澄清答疑）审核：自收到资料起2天内出具审核说明</w:t>
      </w:r>
      <w:r>
        <w:rPr>
          <w:rFonts w:hint="eastAsia" w:ascii="宋体" w:hAnsi="宋体" w:eastAsia="宋体" w:cs="宋体"/>
          <w:color w:val="auto"/>
          <w:kern w:val="0"/>
          <w:sz w:val="24"/>
          <w:szCs w:val="24"/>
          <w:highlight w:val="none"/>
          <w:lang w:val="en-US" w:eastAsia="zh-CN"/>
        </w:rPr>
        <w:t>电子版</w:t>
      </w:r>
      <w:r>
        <w:rPr>
          <w:rFonts w:hint="eastAsia" w:ascii="宋体" w:hAnsi="宋体" w:eastAsia="宋体" w:cs="宋体"/>
          <w:color w:val="auto"/>
          <w:kern w:val="0"/>
          <w:sz w:val="24"/>
          <w:szCs w:val="24"/>
          <w:highlight w:val="none"/>
        </w:rPr>
        <w:t>。</w:t>
      </w:r>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3" w:name="_Toc23507"/>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工程量清单复核报告</w:t>
      </w:r>
      <w:r>
        <w:rPr>
          <w:rFonts w:hint="eastAsia" w:ascii="宋体" w:hAnsi="宋体" w:eastAsia="宋体" w:cs="宋体"/>
          <w:b w:val="0"/>
          <w:bCs w:val="0"/>
          <w:color w:val="auto"/>
          <w:sz w:val="24"/>
          <w:szCs w:val="24"/>
          <w:highlight w:val="none"/>
        </w:rPr>
        <w:t>：自收到中标人投标文件</w:t>
      </w:r>
      <w:r>
        <w:rPr>
          <w:rFonts w:hint="eastAsia" w:ascii="宋体" w:hAnsi="宋体" w:eastAsia="宋体" w:cs="宋体"/>
          <w:b w:val="0"/>
          <w:bCs w:val="0"/>
          <w:color w:val="auto"/>
          <w:sz w:val="24"/>
          <w:szCs w:val="24"/>
          <w:highlight w:val="none"/>
          <w:lang w:val="en-US" w:eastAsia="zh-CN"/>
        </w:rPr>
        <w:t>起，</w:t>
      </w:r>
      <w:r>
        <w:rPr>
          <w:rFonts w:hint="eastAsia" w:ascii="宋体" w:hAnsi="宋体" w:eastAsia="宋体" w:cs="宋体"/>
          <w:b w:val="0"/>
          <w:bCs w:val="0"/>
          <w:color w:val="auto"/>
          <w:sz w:val="24"/>
          <w:szCs w:val="24"/>
          <w:highlight w:val="none"/>
        </w:rPr>
        <w:t>15天内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w:t>
      </w:r>
      <w:r>
        <w:rPr>
          <w:rFonts w:hint="eastAsia" w:ascii="宋体" w:hAnsi="宋体" w:eastAsia="宋体" w:cs="宋体"/>
          <w:b w:val="0"/>
          <w:bCs w:val="0"/>
          <w:color w:val="auto"/>
          <w:sz w:val="24"/>
          <w:szCs w:val="24"/>
          <w:highlight w:val="none"/>
          <w:lang w:val="en-US" w:eastAsia="zh-CN"/>
        </w:rPr>
        <w:t>报告送审稿电子版，提交送审稿电子版后30天</w:t>
      </w:r>
      <w:r>
        <w:rPr>
          <w:rFonts w:hint="eastAsia" w:ascii="宋体" w:hAnsi="宋体" w:eastAsia="宋体" w:cs="宋体"/>
          <w:b w:val="0"/>
          <w:bCs w:val="0"/>
          <w:color w:val="auto"/>
          <w:sz w:val="24"/>
          <w:szCs w:val="24"/>
          <w:highlight w:val="none"/>
        </w:rPr>
        <w:t>内</w:t>
      </w:r>
      <w:r>
        <w:rPr>
          <w:rFonts w:hint="eastAsia" w:ascii="宋体" w:hAnsi="宋体" w:eastAsia="宋体" w:cs="宋体"/>
          <w:b w:val="0"/>
          <w:bCs w:val="0"/>
          <w:color w:val="auto"/>
          <w:sz w:val="24"/>
          <w:szCs w:val="24"/>
          <w:highlight w:val="none"/>
          <w:lang w:val="en-US" w:eastAsia="zh-CN"/>
        </w:rPr>
        <w:t>完成与中标人的对数及确认。</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3"/>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4" w:name="_Toc29954"/>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）主材单价、综合单价审核：自收到资料起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主材</w:t>
      </w:r>
      <w:r>
        <w:rPr>
          <w:rFonts w:hint="eastAsia" w:ascii="宋体" w:hAnsi="宋体" w:eastAsia="宋体" w:cs="宋体"/>
          <w:b w:val="0"/>
          <w:bCs w:val="0"/>
          <w:color w:val="auto"/>
          <w:sz w:val="24"/>
          <w:szCs w:val="24"/>
          <w:highlight w:val="none"/>
          <w:lang w:val="en-US" w:eastAsia="zh-CN"/>
        </w:rPr>
        <w:t>1-5个</w:t>
      </w:r>
      <w:r>
        <w:rPr>
          <w:rFonts w:hint="eastAsia" w:ascii="宋体" w:hAnsi="宋体" w:eastAsia="宋体" w:cs="宋体"/>
          <w:b w:val="0"/>
          <w:bCs w:val="0"/>
          <w:color w:val="auto"/>
          <w:sz w:val="24"/>
          <w:szCs w:val="24"/>
          <w:highlight w:val="none"/>
        </w:rPr>
        <w:t>5天，</w:t>
      </w:r>
      <w:r>
        <w:rPr>
          <w:rFonts w:hint="eastAsia" w:ascii="宋体" w:hAnsi="宋体" w:eastAsia="宋体" w:cs="宋体"/>
          <w:b w:val="0"/>
          <w:bCs w:val="0"/>
          <w:color w:val="auto"/>
          <w:sz w:val="24"/>
          <w:szCs w:val="24"/>
          <w:highlight w:val="none"/>
          <w:lang w:val="en-US" w:eastAsia="zh-CN"/>
        </w:rPr>
        <w:t>6-10</w:t>
      </w:r>
      <w:r>
        <w:rPr>
          <w:rFonts w:hint="eastAsia" w:ascii="宋体" w:hAnsi="宋体" w:eastAsia="宋体" w:cs="宋体"/>
          <w:b w:val="0"/>
          <w:bCs w:val="0"/>
          <w:color w:val="auto"/>
          <w:sz w:val="24"/>
          <w:szCs w:val="24"/>
          <w:highlight w:val="none"/>
        </w:rPr>
        <w:t>个10天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11个以上15天</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综合单价1</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个3天，</w:t>
      </w:r>
      <w:r>
        <w:rPr>
          <w:rFonts w:hint="eastAsia" w:ascii="宋体" w:hAnsi="宋体" w:eastAsia="宋体" w:cs="宋体"/>
          <w:b w:val="0"/>
          <w:bCs w:val="0"/>
          <w:color w:val="auto"/>
          <w:sz w:val="24"/>
          <w:szCs w:val="24"/>
          <w:highlight w:val="none"/>
          <w:lang w:val="en-US" w:eastAsia="zh-CN"/>
        </w:rPr>
        <w:t>16个以上</w:t>
      </w:r>
      <w:r>
        <w:rPr>
          <w:rFonts w:hint="eastAsia" w:ascii="宋体" w:hAnsi="宋体" w:eastAsia="宋体" w:cs="宋体"/>
          <w:b w:val="0"/>
          <w:bCs w:val="0"/>
          <w:color w:val="auto"/>
          <w:sz w:val="24"/>
          <w:szCs w:val="24"/>
          <w:highlight w:val="none"/>
        </w:rPr>
        <w:t>10天；特殊情况经批准后延长时间不超过10天；争议问题由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4"/>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5" w:name="_Toc17709"/>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设计变更预算、工程</w:t>
      </w:r>
      <w:r>
        <w:rPr>
          <w:rFonts w:hint="eastAsia" w:ascii="宋体" w:hAnsi="宋体" w:eastAsia="宋体" w:cs="宋体"/>
          <w:b w:val="0"/>
          <w:bCs w:val="0"/>
          <w:color w:val="auto"/>
          <w:sz w:val="24"/>
          <w:szCs w:val="24"/>
          <w:highlight w:val="none"/>
        </w:rPr>
        <w:t>签证</w:t>
      </w:r>
      <w:r>
        <w:rPr>
          <w:rFonts w:hint="eastAsia" w:ascii="宋体" w:hAnsi="宋体" w:eastAsia="宋体" w:cs="宋体"/>
          <w:b w:val="0"/>
          <w:bCs w:val="0"/>
          <w:color w:val="auto"/>
          <w:sz w:val="24"/>
          <w:szCs w:val="24"/>
          <w:highlight w:val="none"/>
          <w:lang w:val="en-US" w:eastAsia="zh-CN"/>
        </w:rPr>
        <w:t>预算、</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val="en-US" w:eastAsia="zh-CN"/>
        </w:rPr>
        <w:t>变更</w:t>
      </w:r>
      <w:r>
        <w:rPr>
          <w:rFonts w:hint="eastAsia" w:ascii="宋体" w:hAnsi="宋体" w:eastAsia="宋体" w:cs="宋体"/>
          <w:b w:val="0"/>
          <w:bCs w:val="0"/>
          <w:color w:val="auto"/>
          <w:sz w:val="24"/>
          <w:szCs w:val="24"/>
          <w:highlight w:val="none"/>
        </w:rPr>
        <w:t>费用</w:t>
      </w:r>
      <w:r>
        <w:rPr>
          <w:rFonts w:hint="eastAsia" w:ascii="宋体" w:hAnsi="宋体" w:eastAsia="宋体" w:cs="宋体"/>
          <w:b w:val="0"/>
          <w:bCs w:val="0"/>
          <w:color w:val="auto"/>
          <w:sz w:val="24"/>
          <w:szCs w:val="24"/>
          <w:highlight w:val="none"/>
          <w:lang w:eastAsia="zh-CN"/>
        </w:rPr>
        <w:t>编制或</w:t>
      </w:r>
      <w:r>
        <w:rPr>
          <w:rFonts w:hint="eastAsia" w:ascii="宋体" w:hAnsi="宋体" w:eastAsia="宋体" w:cs="宋体"/>
          <w:b w:val="0"/>
          <w:bCs w:val="0"/>
          <w:color w:val="auto"/>
          <w:sz w:val="24"/>
          <w:szCs w:val="24"/>
          <w:highlight w:val="none"/>
        </w:rPr>
        <w:t>审核：自收到资料起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金额200</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的5天，</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以上</w:t>
      </w:r>
      <w:r>
        <w:rPr>
          <w:rFonts w:hint="eastAsia" w:ascii="宋体" w:hAnsi="宋体" w:eastAsia="宋体" w:cs="宋体"/>
          <w:b w:val="0"/>
          <w:bCs w:val="0"/>
          <w:color w:val="auto"/>
          <w:sz w:val="24"/>
          <w:szCs w:val="24"/>
          <w:highlight w:val="none"/>
        </w:rPr>
        <w:t>的10天，特殊情况经批准后延长时间不超过10天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5"/>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6" w:name="_Toc28982"/>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造价测算、</w:t>
      </w:r>
      <w:r>
        <w:rPr>
          <w:rFonts w:hint="eastAsia" w:ascii="宋体" w:hAnsi="宋体" w:eastAsia="宋体" w:cs="宋体"/>
          <w:b w:val="0"/>
          <w:bCs w:val="0"/>
          <w:color w:val="auto"/>
          <w:sz w:val="24"/>
          <w:szCs w:val="24"/>
          <w:highlight w:val="none"/>
        </w:rPr>
        <w:t>材料设备看样定板会签：自收到资料起5天内完成。</w:t>
      </w:r>
      <w:bookmarkEnd w:id="176"/>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7" w:name="_Toc2164"/>
      <w:r>
        <w:rPr>
          <w:rFonts w:hint="eastAsia" w:ascii="宋体" w:hAnsi="宋体" w:eastAsia="宋体" w:cs="宋体"/>
          <w:b w:val="0"/>
          <w:bCs w:val="0"/>
          <w:color w:val="auto"/>
          <w:sz w:val="24"/>
          <w:szCs w:val="24"/>
          <w:highlight w:val="none"/>
        </w:rPr>
        <w:t>（10）</w:t>
      </w:r>
      <w:r>
        <w:rPr>
          <w:rFonts w:hint="eastAsia" w:ascii="宋体" w:hAnsi="宋体" w:eastAsia="宋体" w:cs="宋体"/>
          <w:b w:val="0"/>
          <w:bCs w:val="0"/>
          <w:color w:val="auto"/>
          <w:sz w:val="24"/>
          <w:szCs w:val="24"/>
          <w:highlight w:val="none"/>
          <w:lang w:eastAsia="zh-CN"/>
        </w:rPr>
        <w:t>施工、货物、服务等合同</w:t>
      </w:r>
      <w:r>
        <w:rPr>
          <w:rFonts w:hint="eastAsia" w:ascii="宋体" w:hAnsi="宋体" w:eastAsia="宋体" w:cs="宋体"/>
          <w:b w:val="0"/>
          <w:bCs w:val="0"/>
          <w:color w:val="auto"/>
          <w:sz w:val="24"/>
          <w:szCs w:val="24"/>
          <w:highlight w:val="none"/>
          <w:lang w:val="en-US" w:eastAsia="zh-CN"/>
        </w:rPr>
        <w:t>计量支付</w:t>
      </w:r>
      <w:r>
        <w:rPr>
          <w:rFonts w:hint="eastAsia" w:ascii="宋体" w:hAnsi="宋体" w:eastAsia="宋体" w:cs="宋体"/>
          <w:b w:val="0"/>
          <w:bCs w:val="0"/>
          <w:color w:val="auto"/>
          <w:sz w:val="24"/>
          <w:szCs w:val="24"/>
          <w:highlight w:val="none"/>
        </w:rPr>
        <w:t>审核：自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完整资料起5</w:t>
      </w:r>
      <w:r>
        <w:rPr>
          <w:rFonts w:hint="eastAsia" w:ascii="宋体" w:hAnsi="宋体" w:eastAsia="宋体" w:cs="宋体"/>
          <w:b w:val="0"/>
          <w:bCs w:val="0"/>
          <w:color w:val="auto"/>
          <w:sz w:val="24"/>
          <w:szCs w:val="24"/>
          <w:highlight w:val="none"/>
          <w:lang w:val="en-US" w:eastAsia="zh-CN"/>
        </w:rPr>
        <w:t>天内</w:t>
      </w:r>
      <w:r>
        <w:rPr>
          <w:rFonts w:hint="eastAsia" w:ascii="宋体" w:hAnsi="宋体" w:eastAsia="宋体" w:cs="宋体"/>
          <w:b w:val="0"/>
          <w:bCs w:val="0"/>
          <w:color w:val="auto"/>
          <w:sz w:val="24"/>
          <w:szCs w:val="24"/>
          <w:highlight w:val="none"/>
        </w:rPr>
        <w:t>完成。</w:t>
      </w:r>
      <w:bookmarkEnd w:id="177"/>
    </w:p>
    <w:p>
      <w:pPr>
        <w:pStyle w:val="21"/>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8" w:name="_Toc24028"/>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施工及货物合同</w:t>
      </w:r>
      <w:r>
        <w:rPr>
          <w:rFonts w:hint="eastAsia" w:ascii="宋体" w:hAnsi="宋体" w:eastAsia="宋体" w:cs="宋体"/>
          <w:b w:val="0"/>
          <w:bCs w:val="0"/>
          <w:color w:val="auto"/>
          <w:sz w:val="24"/>
          <w:szCs w:val="24"/>
          <w:highlight w:val="none"/>
        </w:rPr>
        <w:t>结算</w:t>
      </w:r>
      <w:r>
        <w:rPr>
          <w:rFonts w:hint="eastAsia" w:ascii="宋体" w:hAnsi="宋体" w:eastAsia="宋体" w:cs="宋体"/>
          <w:b w:val="0"/>
          <w:bCs w:val="0"/>
          <w:color w:val="auto"/>
          <w:sz w:val="24"/>
          <w:szCs w:val="24"/>
          <w:highlight w:val="none"/>
          <w:lang w:val="en-US" w:eastAsia="zh-CN"/>
        </w:rPr>
        <w:t>审核</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8"/>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类合同结算审核</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4.3.3以上工作期限为正常的工作期限，特急项目的工作期限由甲方根据实际情况确定，但最短不少于1天；其他咨询服务工作由甲方视具体情况确定；对于甲方提出的疑问，乙方应在24小时内给予答复。</w:t>
      </w:r>
    </w:p>
    <w:p>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4.4服务人员要求</w:t>
      </w:r>
    </w:p>
    <w:p>
      <w:pPr>
        <w:adjustRightInd w:val="0"/>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rPr>
        <w:t>4.4.1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造价咨询服务人员配置应满足或优于下表标准。</w:t>
      </w:r>
    </w:p>
    <w:tbl>
      <w:tblPr>
        <w:tblStyle w:val="16"/>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335"/>
        <w:gridCol w:w="3570"/>
        <w:gridCol w:w="2194"/>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岗位人员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职称和资格要求</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b/>
                <w:bCs/>
                <w:strike w:val="0"/>
                <w:color w:val="auto"/>
                <w:kern w:val="2"/>
                <w:sz w:val="21"/>
                <w:szCs w:val="21"/>
                <w:highlight w:val="none"/>
                <w:lang w:val="en-US"/>
              </w:rPr>
            </w:pPr>
            <w:r>
              <w:rPr>
                <w:rFonts w:hint="eastAsia" w:ascii="宋体" w:hAnsi="宋体" w:eastAsia="宋体" w:cs="宋体"/>
                <w:b/>
                <w:bCs/>
                <w:strike w:val="0"/>
                <w:color w:val="auto"/>
                <w:kern w:val="2"/>
                <w:sz w:val="21"/>
                <w:szCs w:val="21"/>
                <w:highlight w:val="none"/>
                <w:lang w:val="en-US" w:eastAsia="zh-CN"/>
              </w:rPr>
              <w:t>证明资料</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人数要求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项目指挥长</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由乙方</w:t>
            </w:r>
            <w:r>
              <w:rPr>
                <w:rFonts w:hint="eastAsia" w:ascii="宋体" w:hAnsi="宋体" w:eastAsia="宋体" w:cs="宋体"/>
                <w:color w:val="auto"/>
                <w:kern w:val="2"/>
                <w:sz w:val="21"/>
                <w:szCs w:val="21"/>
                <w:highlight w:val="none"/>
                <w:lang w:val="zh-CN"/>
              </w:rPr>
              <w:t>现任公司副总经理、总工程师或以上行政职务</w:t>
            </w:r>
            <w:r>
              <w:rPr>
                <w:rFonts w:hint="eastAsia" w:ascii="宋体" w:hAnsi="宋体" w:eastAsia="宋体" w:cs="宋体"/>
                <w:color w:val="auto"/>
                <w:sz w:val="21"/>
                <w:szCs w:val="21"/>
                <w:highlight w:val="none"/>
                <w:lang w:val="en-US" w:eastAsia="zh-CN"/>
              </w:rPr>
              <w:t>人员担任</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kern w:val="2"/>
                <w:sz w:val="21"/>
                <w:szCs w:val="21"/>
                <w:highlight w:val="none"/>
                <w:lang w:val="zh-CN"/>
              </w:rPr>
              <w:t>任该职满半年或以上。</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任职证明</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项目负责人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与招标公告要求一致</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en-US" w:eastAsia="zh-CN"/>
              </w:rPr>
              <w:t>按资格审查要求提供</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3</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rPr>
              <w:t>土建专业造价负责人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注册一级造价工程师（土木建筑工程专业），</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kern w:val="2"/>
                <w:sz w:val="21"/>
                <w:szCs w:val="21"/>
                <w:highlight w:val="none"/>
              </w:rPr>
              <w:t>10</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zh-CN" w:eastAsia="zh-CN"/>
              </w:rPr>
              <w:t>或</w:t>
            </w:r>
            <w:r>
              <w:rPr>
                <w:rFonts w:hint="eastAsia" w:ascii="宋体" w:hAnsi="宋体" w:eastAsia="宋体" w:cs="宋体"/>
                <w:color w:val="auto"/>
                <w:kern w:val="2"/>
                <w:sz w:val="21"/>
                <w:szCs w:val="21"/>
                <w:highlight w:val="none"/>
                <w:lang w:val="zh-CN"/>
              </w:rPr>
              <w:t>以上工作经验，</w:t>
            </w:r>
            <w:r>
              <w:rPr>
                <w:rFonts w:hint="eastAsia" w:ascii="宋体" w:hAnsi="宋体" w:eastAsia="宋体" w:cs="宋体"/>
                <w:color w:val="auto"/>
                <w:sz w:val="21"/>
                <w:szCs w:val="21"/>
                <w:highlight w:val="none"/>
                <w:lang w:val="en-US" w:eastAsia="zh-CN"/>
              </w:rPr>
              <w:t>工程相关专业副高</w:t>
            </w:r>
            <w:r>
              <w:rPr>
                <w:rFonts w:hint="eastAsia" w:ascii="宋体" w:hAnsi="宋体" w:eastAsia="宋体" w:cs="宋体"/>
                <w:color w:val="auto"/>
                <w:kern w:val="2"/>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zh-CN"/>
              </w:rPr>
              <w:t>职称证、</w:t>
            </w:r>
            <w:r>
              <w:rPr>
                <w:rFonts w:hint="eastAsia" w:ascii="宋体" w:hAnsi="宋体" w:eastAsia="宋体" w:cs="宋体"/>
                <w:color w:val="auto"/>
                <w:sz w:val="21"/>
                <w:szCs w:val="21"/>
                <w:highlight w:val="none"/>
                <w:lang w:val="en-US" w:eastAsia="zh-CN"/>
              </w:rPr>
              <w:t>一级</w:t>
            </w:r>
            <w:r>
              <w:rPr>
                <w:rFonts w:hint="eastAsia" w:ascii="宋体" w:hAnsi="宋体" w:eastAsia="宋体" w:cs="宋体"/>
                <w:strike w:val="0"/>
                <w:color w:val="auto"/>
                <w:kern w:val="2"/>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strike w:val="0"/>
                <w:color w:val="auto"/>
                <w:kern w:val="2"/>
                <w:sz w:val="21"/>
                <w:szCs w:val="21"/>
                <w:highlight w:val="none"/>
                <w:lang w:val="zh-CN"/>
              </w:rPr>
              <w:t>、</w:t>
            </w:r>
            <w:r>
              <w:rPr>
                <w:rFonts w:hint="eastAsia" w:ascii="宋体" w:hAnsi="宋体" w:eastAsia="宋体" w:cs="宋体"/>
                <w:strike w:val="0"/>
                <w:color w:val="auto"/>
                <w:kern w:val="2"/>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4</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土建专业造价人员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注册</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）造价工程师（土木建筑工程专业），</w:t>
            </w:r>
            <w:r>
              <w:rPr>
                <w:rFonts w:hint="eastAsia" w:ascii="宋体" w:hAnsi="宋体" w:eastAsia="宋体" w:cs="宋体"/>
                <w:color w:val="auto"/>
                <w:sz w:val="21"/>
                <w:szCs w:val="21"/>
                <w:highlight w:val="none"/>
                <w:lang w:val="en-US" w:eastAsia="zh-CN"/>
              </w:rPr>
              <w:t>工程相关专业，8</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工程相关专业中级</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en-US"/>
              </w:rPr>
            </w:pPr>
            <w:r>
              <w:rPr>
                <w:rFonts w:hint="eastAsia" w:ascii="宋体" w:hAnsi="宋体" w:eastAsia="宋体" w:cs="宋体"/>
                <w:color w:val="auto"/>
                <w:sz w:val="21"/>
                <w:szCs w:val="21"/>
                <w:highlight w:val="none"/>
                <w:lang w:val="zh-CN"/>
              </w:rPr>
              <w:t>职称证、造价师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5</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机电</w:t>
            </w:r>
            <w:r>
              <w:rPr>
                <w:rFonts w:hint="eastAsia" w:ascii="宋体" w:hAnsi="宋体" w:eastAsia="宋体" w:cs="宋体"/>
                <w:color w:val="auto"/>
                <w:kern w:val="2"/>
                <w:sz w:val="21"/>
                <w:szCs w:val="21"/>
                <w:highlight w:val="none"/>
                <w:lang w:val="zh-CN"/>
              </w:rPr>
              <w:t>安装专业负责人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注册一级造价工程师（</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lang w:val="zh-CN"/>
              </w:rPr>
              <w:t>专业），</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工程相关专业副高</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color w:val="auto"/>
                <w:sz w:val="21"/>
                <w:szCs w:val="21"/>
                <w:highlight w:val="none"/>
                <w:lang w:val="zh-CN"/>
              </w:rPr>
              <w:t>职称证、</w:t>
            </w:r>
            <w:r>
              <w:rPr>
                <w:rFonts w:hint="eastAsia" w:ascii="宋体" w:hAnsi="宋体" w:eastAsia="宋体" w:cs="宋体"/>
                <w:color w:val="auto"/>
                <w:sz w:val="21"/>
                <w:szCs w:val="21"/>
                <w:highlight w:val="none"/>
                <w:lang w:val="en-US" w:eastAsia="zh-CN"/>
              </w:rPr>
              <w:t>一级</w:t>
            </w:r>
            <w:r>
              <w:rPr>
                <w:rFonts w:hint="eastAsia" w:ascii="宋体" w:hAnsi="宋体" w:eastAsia="宋体" w:cs="宋体"/>
                <w:color w:val="auto"/>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6</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机电</w:t>
            </w:r>
            <w:r>
              <w:rPr>
                <w:rFonts w:hint="eastAsia" w:ascii="宋体" w:hAnsi="宋体" w:eastAsia="宋体" w:cs="宋体"/>
                <w:color w:val="auto"/>
                <w:kern w:val="2"/>
                <w:sz w:val="21"/>
                <w:szCs w:val="21"/>
                <w:highlight w:val="none"/>
                <w:lang w:val="zh-CN"/>
              </w:rPr>
              <w:t>安装专业造价人员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zh-CN"/>
              </w:rPr>
              <w:t>注册</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）造价工程师（</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lang w:val="zh-CN"/>
              </w:rPr>
              <w:t>专业），</w:t>
            </w:r>
            <w:r>
              <w:rPr>
                <w:rFonts w:hint="eastAsia" w:ascii="宋体" w:hAnsi="宋体" w:eastAsia="宋体" w:cs="宋体"/>
                <w:color w:val="auto"/>
                <w:sz w:val="21"/>
                <w:szCs w:val="21"/>
                <w:highlight w:val="none"/>
                <w:lang w:val="en-US" w:eastAsia="zh-CN"/>
              </w:rPr>
              <w:t>工程相关专业，8</w:t>
            </w:r>
            <w:r>
              <w:rPr>
                <w:rFonts w:hint="eastAsia" w:ascii="宋体" w:hAnsi="宋体" w:eastAsia="宋体" w:cs="宋体"/>
                <w:color w:val="auto"/>
                <w:sz w:val="21"/>
                <w:szCs w:val="21"/>
                <w:highlight w:val="none"/>
                <w:lang w:val="zh-CN"/>
              </w:rPr>
              <w:t>年或以上工作经验，</w:t>
            </w:r>
            <w:r>
              <w:rPr>
                <w:rFonts w:hint="eastAsia" w:ascii="宋体" w:hAnsi="宋体" w:eastAsia="宋体" w:cs="宋体"/>
                <w:color w:val="auto"/>
                <w:sz w:val="21"/>
                <w:szCs w:val="21"/>
                <w:highlight w:val="none"/>
                <w:lang w:val="en-US" w:eastAsia="zh-CN"/>
              </w:rPr>
              <w:t>工程相关专业中级</w:t>
            </w:r>
            <w:r>
              <w:rPr>
                <w:rFonts w:hint="eastAsia" w:ascii="宋体" w:hAnsi="宋体" w:eastAsia="宋体" w:cs="宋体"/>
                <w:color w:val="auto"/>
                <w:sz w:val="21"/>
                <w:szCs w:val="21"/>
                <w:highlight w:val="non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en-US"/>
              </w:rPr>
            </w:pPr>
            <w:r>
              <w:rPr>
                <w:rFonts w:hint="eastAsia" w:ascii="宋体" w:hAnsi="宋体" w:eastAsia="宋体" w:cs="宋体"/>
                <w:color w:val="auto"/>
                <w:sz w:val="21"/>
                <w:szCs w:val="21"/>
                <w:highlight w:val="none"/>
                <w:lang w:val="zh-CN"/>
              </w:rPr>
              <w:t>职称证、造价师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驻场人员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注册</w:t>
            </w:r>
            <w:r>
              <w:rPr>
                <w:rFonts w:hint="default"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级造价工程师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土木建筑工程专业或安装工程专业，根据甲方要求</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工程相关专业</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zh-CN"/>
              </w:rPr>
              <w:t>年或以上工作经验。</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lang w:val="zh-CN"/>
              </w:rPr>
            </w:pPr>
            <w:r>
              <w:rPr>
                <w:rFonts w:hint="eastAsia" w:ascii="宋体" w:hAnsi="宋体" w:eastAsia="宋体" w:cs="宋体"/>
                <w:strike w:val="0"/>
                <w:color w:val="auto"/>
                <w:kern w:val="2"/>
                <w:sz w:val="21"/>
                <w:szCs w:val="21"/>
                <w:highlight w:val="none"/>
                <w:lang w:val="zh-CN"/>
              </w:rPr>
              <w:t>造价师</w:t>
            </w:r>
            <w:r>
              <w:rPr>
                <w:rFonts w:hint="eastAsia" w:ascii="宋体" w:hAnsi="宋体" w:eastAsia="宋体" w:cs="宋体"/>
                <w:color w:val="auto"/>
                <w:sz w:val="21"/>
                <w:szCs w:val="21"/>
                <w:highlight w:val="none"/>
                <w:lang w:val="en-US" w:eastAsia="zh-CN"/>
              </w:rPr>
              <w:t>注册证书</w:t>
            </w:r>
            <w:r>
              <w:rPr>
                <w:rFonts w:hint="eastAsia" w:ascii="宋体" w:hAnsi="宋体" w:eastAsia="宋体" w:cs="宋体"/>
                <w:color w:val="auto"/>
                <w:kern w:val="2"/>
                <w:sz w:val="21"/>
                <w:szCs w:val="21"/>
                <w:highlight w:val="none"/>
                <w:lang w:val="zh-CN"/>
              </w:rPr>
              <w:t>、</w:t>
            </w:r>
            <w:r>
              <w:rPr>
                <w:rFonts w:hint="eastAsia" w:ascii="宋体" w:hAnsi="宋体" w:eastAsia="宋体" w:cs="宋体"/>
                <w:strike w:val="0"/>
                <w:color w:val="auto"/>
                <w:kern w:val="2"/>
                <w:sz w:val="21"/>
                <w:szCs w:val="21"/>
                <w:highlight w:val="non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资料员、信息联络员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工程相关专业，3年或以上工作经验</w:t>
            </w:r>
            <w:r>
              <w:rPr>
                <w:rFonts w:hint="eastAsia" w:ascii="宋体" w:hAnsi="宋体" w:eastAsia="宋体" w:cs="宋体"/>
                <w:color w:val="auto"/>
                <w:kern w:val="2"/>
                <w:sz w:val="21"/>
                <w:szCs w:val="21"/>
                <w:highlight w:val="none"/>
                <w:lang w:val="zh-CN"/>
              </w:rPr>
              <w:t>。</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88" w:lineRule="auto"/>
              <w:ind w:firstLine="0" w:firstLineChars="0"/>
              <w:jc w:val="left"/>
              <w:rPr>
                <w:rFonts w:hint="eastAsia" w:ascii="宋体" w:hAnsi="宋体" w:eastAsia="宋体" w:cs="宋体"/>
                <w:strike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strike w:val="0"/>
                <w:color w:val="auto"/>
                <w:kern w:val="2"/>
                <w:sz w:val="21"/>
                <w:szCs w:val="21"/>
                <w:highlight w:val="none"/>
                <w:lang w:val="en-US" w:eastAsia="zh-CN"/>
              </w:rPr>
            </w:pPr>
            <w:r>
              <w:rPr>
                <w:rFonts w:hint="eastAsia" w:ascii="宋体" w:hAnsi="宋体" w:eastAsia="宋体" w:cs="宋体"/>
                <w:strike w:val="0"/>
                <w:color w:val="auto"/>
                <w:kern w:val="2"/>
                <w:sz w:val="21"/>
                <w:szCs w:val="21"/>
                <w:highlight w:val="none"/>
                <w:lang w:val="en-US" w:eastAsia="zh-CN"/>
              </w:rPr>
              <w:t>1名</w:t>
            </w:r>
          </w:p>
        </w:tc>
      </w:tr>
    </w:tbl>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rPr>
        <w:t>（1）上述</w:t>
      </w:r>
      <w:r>
        <w:rPr>
          <w:rFonts w:hint="eastAsia" w:ascii="宋体" w:hAnsi="宋体" w:eastAsia="宋体" w:cs="宋体"/>
          <w:b w:val="0"/>
          <w:bCs w:val="0"/>
          <w:color w:val="auto"/>
          <w:sz w:val="24"/>
          <w:szCs w:val="24"/>
          <w:highlight w:val="none"/>
        </w:rPr>
        <w:t>人员不得兼任，需为</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正式员工，须提供投标截止时间前</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个月（</w:t>
      </w:r>
      <w:r>
        <w:rPr>
          <w:rFonts w:hint="eastAsia" w:ascii="宋体" w:hAnsi="宋体" w:eastAsia="宋体" w:cs="宋体"/>
          <w:b w:val="0"/>
          <w:bCs w:val="0"/>
          <w:color w:val="auto"/>
          <w:sz w:val="24"/>
          <w:szCs w:val="24"/>
          <w:highlight w:val="none"/>
          <w:lang w:val="en-US"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   月</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（不含</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企业的子公司，但包括投标人企业非独立法人的分公司、分支机构）为拟投入本项目人员购买的社会保险证明文件扫描件并加盖投标人电子印章。</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注册造价师证书没有注明专业的，专业以全国建筑市场监督公共服务平台（网址：https://jzsc.mohurd.gov.cn/）为准。</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上述</w:t>
      </w:r>
      <w:r>
        <w:rPr>
          <w:rFonts w:hint="eastAsia" w:ascii="宋体" w:hAnsi="宋体" w:eastAsia="宋体" w:cs="宋体"/>
          <w:b w:val="0"/>
          <w:bCs w:val="0"/>
          <w:color w:val="auto"/>
          <w:sz w:val="24"/>
          <w:szCs w:val="24"/>
          <w:highlight w:val="none"/>
          <w:lang w:eastAsia="zh-CN"/>
        </w:rPr>
        <w:t>表格中“工程相关专业”</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大专或以上学历</w:t>
      </w:r>
      <w:r>
        <w:rPr>
          <w:rFonts w:hint="eastAsia" w:ascii="宋体" w:hAnsi="宋体" w:eastAsia="宋体" w:cs="宋体"/>
          <w:b w:val="0"/>
          <w:bCs w:val="0"/>
          <w:color w:val="auto"/>
          <w:sz w:val="24"/>
          <w:szCs w:val="24"/>
          <w:highlight w:val="none"/>
        </w:rPr>
        <w:t>毕业证为准</w:t>
      </w:r>
      <w:r>
        <w:rPr>
          <w:rFonts w:hint="eastAsia" w:ascii="宋体" w:hAnsi="宋体" w:eastAsia="宋体" w:cs="宋体"/>
          <w:b w:val="0"/>
          <w:bCs w:val="0"/>
          <w:color w:val="auto"/>
          <w:sz w:val="24"/>
          <w:szCs w:val="24"/>
          <w:highlight w:val="none"/>
          <w:lang w:eastAsia="zh-CN"/>
        </w:rPr>
        <w:t>；工作经验</w:t>
      </w:r>
      <w:r>
        <w:rPr>
          <w:rFonts w:hint="eastAsia" w:ascii="宋体" w:hAnsi="宋体" w:eastAsia="宋体" w:cs="宋体"/>
          <w:b w:val="0"/>
          <w:bCs w:val="0"/>
          <w:color w:val="auto"/>
          <w:sz w:val="24"/>
          <w:szCs w:val="24"/>
          <w:highlight w:val="none"/>
          <w:lang w:val="en-US" w:eastAsia="zh-CN"/>
        </w:rPr>
        <w:t>以大专或以上学历毕业时间起算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工程相关专业中级</w:t>
      </w:r>
      <w:r>
        <w:rPr>
          <w:rFonts w:hint="eastAsia" w:ascii="宋体" w:hAnsi="宋体" w:eastAsia="宋体" w:cs="宋体"/>
          <w:b w:val="0"/>
          <w:bCs w:val="0"/>
          <w:color w:val="auto"/>
          <w:sz w:val="24"/>
          <w:szCs w:val="24"/>
          <w:highlight w:val="none"/>
          <w:lang w:val="zh-CN"/>
        </w:rPr>
        <w:t>或以上职称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工程相关专业副高</w:t>
      </w:r>
      <w:r>
        <w:rPr>
          <w:rFonts w:hint="eastAsia" w:ascii="宋体" w:hAnsi="宋体" w:eastAsia="宋体" w:cs="宋体"/>
          <w:b w:val="0"/>
          <w:bCs w:val="0"/>
          <w:color w:val="auto"/>
          <w:sz w:val="24"/>
          <w:szCs w:val="24"/>
          <w:highlight w:val="none"/>
          <w:lang w:val="zh-CN"/>
        </w:rPr>
        <w:t>或以上职称</w:t>
      </w:r>
      <w:r>
        <w:rPr>
          <w:rFonts w:hint="eastAsia" w:ascii="宋体" w:hAnsi="宋体" w:eastAsia="宋体" w:cs="宋体"/>
          <w:b w:val="0"/>
          <w:bCs w:val="0"/>
          <w:color w:val="auto"/>
          <w:sz w:val="24"/>
          <w:szCs w:val="24"/>
          <w:highlight w:val="none"/>
          <w:lang w:eastAsia="zh-CN"/>
        </w:rPr>
        <w:t>”以职称证中专业为准。</w:t>
      </w:r>
    </w:p>
    <w:p>
      <w:pPr>
        <w:adjustRightInd w:val="0"/>
        <w:snapToGrid w:val="0"/>
        <w:spacing w:line="360" w:lineRule="auto"/>
        <w:ind w:firstLine="480" w:firstLineChars="200"/>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4.4.2</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在投标文件《拟投入本项目造价人员一览表》中配备的人员在通过</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的面试考核后方可确定为本项目的工程造价咨询服务人员，</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不得擅自更换已确定为本项目的造价咨询服务人员。确因特殊情况需变动时，应提前书面提出更换人员的原因及更换人员的名单，更换人员的资质、资历、职称、实际工作能力等应不低于投标文件中所承诺人员的素质，同时</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应按合同约定承担违约责任，因死亡、重大疾病等合法原因导致不能履行职责除外</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4.4.3</w:t>
      </w:r>
      <w:r>
        <w:rPr>
          <w:rFonts w:hint="eastAsia" w:ascii="宋体" w:hAnsi="宋体" w:eastAsia="宋体" w:cs="宋体"/>
          <w:b w:val="0"/>
          <w:bCs w:val="0"/>
          <w:color w:val="auto"/>
          <w:sz w:val="24"/>
          <w:szCs w:val="24"/>
          <w:highlight w:val="none"/>
        </w:rPr>
        <w:t>本项目造价咨询工作必须由投标文件《拟投入本项目造价人员一览表》中配备的人员完成。当</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工作进度不满足</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要求时，</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有权要求</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上述人员驻场办公，必要时，需按</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要求增加或更换相关人员，直至整改完毕</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4.4.4</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项目负责人需全面熟悉项目情况，准时参加工程或造价管理会议，施工阶段须每周至少两次到工地现场，全面了解工地现场情况</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4.4.5</w:t>
      </w:r>
      <w:r>
        <w:rPr>
          <w:rFonts w:hint="eastAsia" w:ascii="宋体" w:hAnsi="宋体" w:eastAsia="宋体" w:cs="宋体"/>
          <w:b w:val="0"/>
          <w:bCs w:val="0"/>
          <w:color w:val="auto"/>
          <w:sz w:val="24"/>
          <w:szCs w:val="24"/>
          <w:highlight w:val="none"/>
          <w:lang w:val="en-US" w:eastAsia="zh-CN"/>
        </w:rPr>
        <w:t>乙方须安排项目指挥长或公司部门经理及以上级别人员主持或参加造价相关协调会议、对数会议，确保造价审核及对数工作进度。</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4.4.6</w:t>
      </w:r>
      <w:r>
        <w:rPr>
          <w:rFonts w:hint="eastAsia" w:ascii="宋体" w:hAnsi="宋体" w:eastAsia="宋体" w:cs="宋体"/>
          <w:b w:val="0"/>
          <w:bCs w:val="0"/>
          <w:color w:val="auto"/>
          <w:sz w:val="24"/>
          <w:szCs w:val="24"/>
          <w:highlight w:val="none"/>
        </w:rPr>
        <w:t>驻场人员须服从</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的工作安排和管理。驻场人员的相关费用已包含在服务报酬中，其薪资福利费用由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自行承担。驻场人员驻场时间从</w:t>
      </w:r>
      <w:r>
        <w:rPr>
          <w:rFonts w:hint="eastAsia" w:ascii="宋体" w:hAnsi="宋体" w:eastAsia="宋体" w:cs="宋体"/>
          <w:b w:val="0"/>
          <w:bCs w:val="0"/>
          <w:color w:val="auto"/>
          <w:sz w:val="24"/>
          <w:szCs w:val="24"/>
          <w:highlight w:val="none"/>
          <w:lang w:val="en-US" w:eastAsia="zh-CN"/>
        </w:rPr>
        <w:t>签订造价咨询服务合同开始</w:t>
      </w:r>
      <w:r>
        <w:rPr>
          <w:rFonts w:hint="eastAsia" w:ascii="宋体" w:hAnsi="宋体" w:eastAsia="宋体" w:cs="宋体"/>
          <w:b w:val="0"/>
          <w:bCs w:val="0"/>
          <w:color w:val="auto"/>
          <w:sz w:val="24"/>
          <w:szCs w:val="24"/>
          <w:highlight w:val="none"/>
        </w:rPr>
        <w:t>到</w:t>
      </w:r>
      <w:r>
        <w:rPr>
          <w:rFonts w:hint="eastAsia" w:ascii="宋体" w:hAnsi="宋体" w:eastAsia="宋体" w:cs="宋体"/>
          <w:b w:val="0"/>
          <w:bCs w:val="0"/>
          <w:color w:val="auto"/>
          <w:sz w:val="24"/>
          <w:szCs w:val="24"/>
          <w:highlight w:val="none"/>
          <w:lang w:val="en-US" w:eastAsia="zh-CN"/>
        </w:rPr>
        <w:t>完成所有咨询服务内容为止</w:t>
      </w:r>
      <w:r>
        <w:rPr>
          <w:rFonts w:hint="eastAsia" w:ascii="宋体" w:hAnsi="宋体" w:eastAsia="宋体" w:cs="宋体"/>
          <w:b w:val="0"/>
          <w:bCs w:val="0"/>
          <w:color w:val="auto"/>
          <w:sz w:val="24"/>
          <w:szCs w:val="24"/>
          <w:highlight w:val="none"/>
        </w:rPr>
        <w:t>，具体</w:t>
      </w:r>
      <w:r>
        <w:rPr>
          <w:rFonts w:hint="eastAsia" w:ascii="宋体" w:hAnsi="宋体" w:eastAsia="宋体" w:cs="宋体"/>
          <w:b w:val="0"/>
          <w:bCs w:val="0"/>
          <w:color w:val="auto"/>
          <w:sz w:val="24"/>
          <w:szCs w:val="24"/>
          <w:highlight w:val="none"/>
          <w:lang w:val="en-US" w:eastAsia="zh-CN"/>
        </w:rPr>
        <w:t>驻场开始时间</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指令为准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驻场人员驻场正常工作时间，</w:t>
      </w:r>
      <w:r>
        <w:rPr>
          <w:rFonts w:hint="eastAsia" w:ascii="宋体" w:hAnsi="宋体" w:eastAsia="宋体" w:cs="宋体"/>
          <w:b w:val="0"/>
          <w:bCs w:val="0"/>
          <w:color w:val="auto"/>
          <w:sz w:val="24"/>
          <w:szCs w:val="24"/>
          <w:highlight w:val="none"/>
        </w:rPr>
        <w:t>未经</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同意不得</w:t>
      </w:r>
      <w:r>
        <w:rPr>
          <w:rFonts w:hint="eastAsia" w:ascii="宋体" w:hAnsi="宋体" w:eastAsia="宋体" w:cs="宋体"/>
          <w:b w:val="0"/>
          <w:bCs w:val="0"/>
          <w:color w:val="auto"/>
          <w:sz w:val="24"/>
          <w:szCs w:val="24"/>
          <w:highlight w:val="none"/>
          <w:lang w:val="en-US" w:eastAsia="zh-CN"/>
        </w:rPr>
        <w:t>擅自离岗</w:t>
      </w:r>
      <w:r>
        <w:rPr>
          <w:rFonts w:hint="eastAsia" w:ascii="宋体" w:hAnsi="宋体" w:eastAsia="宋体" w:cs="宋体"/>
          <w:b w:val="0"/>
          <w:bCs w:val="0"/>
          <w:color w:val="auto"/>
          <w:sz w:val="24"/>
          <w:szCs w:val="24"/>
          <w:highlight w:val="none"/>
        </w:rPr>
        <w:t>。因项目建设需要，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要求驻场人员延长驻场时间的，双方另行协商</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驻场人员工作内容：根据甲方工作需求常驻甲方办公地点或项目地点，负责协调并落实本项目全过程造价咨询服务相关工作，驻场期间服从甲方安排的非本项目其他造价相关工作</w:t>
      </w:r>
      <w:r>
        <w:rPr>
          <w:rFonts w:hint="eastAsia" w:ascii="宋体" w:hAnsi="宋体" w:eastAsia="宋体" w:cs="宋体"/>
          <w:color w:val="auto"/>
          <w:kern w:val="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乙方所派出的服务本项目的造价咨询专业人员必须勤勉尽责，恪守职业道德，本着热情服务、秉公办事、廉洁自律的原则开展工作。</w:t>
      </w:r>
      <w:r>
        <w:rPr>
          <w:rFonts w:hint="eastAsia" w:ascii="宋体" w:hAnsi="宋体" w:eastAsia="宋体" w:cs="宋体"/>
          <w:b w:val="0"/>
          <w:bCs w:val="0"/>
          <w:color w:val="auto"/>
          <w:sz w:val="24"/>
          <w:szCs w:val="24"/>
          <w:highlight w:val="none"/>
        </w:rPr>
        <w:t>对于出现未按照合同履行职责，或与第三方串通造成经济损失，或不服从工作安排，不满足工作要求，不遵守管理制度，服务态度恶劣，不胜任工作等情形的，</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必须在接到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通知后3天之内予以撤换，撤换人员应等同于原人员或优于以上且需按合同约定承担违约责任</w:t>
      </w:r>
      <w:r>
        <w:rPr>
          <w:rFonts w:hint="eastAsia" w:ascii="宋体" w:hAnsi="宋体" w:eastAsia="宋体" w:cs="宋体"/>
          <w:color w:val="auto"/>
          <w:kern w:val="0"/>
          <w:sz w:val="24"/>
          <w:szCs w:val="24"/>
          <w:highlight w:val="none"/>
        </w:rPr>
        <w:t>。</w:t>
      </w:r>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4.5其它服务要求</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4.5.1乙方须遵守甲方各项规章制度和廉政纪律要求，无条件配合甲方的复核、复审和考核等工作。</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4.5.2</w:t>
      </w:r>
      <w:r>
        <w:rPr>
          <w:rFonts w:hint="eastAsia" w:ascii="宋体" w:hAnsi="宋体" w:eastAsia="宋体" w:cs="宋体"/>
          <w:color w:val="auto"/>
          <w:kern w:val="0"/>
          <w:sz w:val="24"/>
          <w:szCs w:val="24"/>
          <w:highlight w:val="none"/>
          <w:lang w:val="zh-CN"/>
        </w:rPr>
        <w:t>乙方必须配备保证完成业务所必</w:t>
      </w:r>
      <w:r>
        <w:rPr>
          <w:rFonts w:hint="eastAsia" w:ascii="宋体" w:hAnsi="宋体" w:eastAsia="宋体" w:cs="宋体"/>
          <w:color w:val="auto"/>
          <w:kern w:val="0"/>
          <w:sz w:val="24"/>
          <w:szCs w:val="24"/>
          <w:highlight w:val="none"/>
          <w:lang w:val="zh-CN" w:eastAsia="zh-CN"/>
        </w:rPr>
        <w:t>需</w:t>
      </w:r>
      <w:r>
        <w:rPr>
          <w:rFonts w:hint="eastAsia" w:ascii="宋体" w:hAnsi="宋体" w:eastAsia="宋体" w:cs="宋体"/>
          <w:color w:val="auto"/>
          <w:kern w:val="0"/>
          <w:sz w:val="24"/>
          <w:szCs w:val="24"/>
          <w:highlight w:val="none"/>
          <w:lang w:val="zh-CN"/>
        </w:rPr>
        <w:t>的办公设施、设备及造价工作必需的</w:t>
      </w:r>
      <w:r>
        <w:rPr>
          <w:rFonts w:hint="eastAsia" w:ascii="宋体" w:hAnsi="宋体" w:eastAsia="宋体" w:cs="宋体"/>
          <w:color w:val="auto"/>
          <w:kern w:val="0"/>
          <w:sz w:val="24"/>
          <w:szCs w:val="24"/>
          <w:highlight w:val="none"/>
          <w:lang w:val="zh-CN" w:eastAsia="zh-CN"/>
        </w:rPr>
        <w:t>软件等</w:t>
      </w:r>
      <w:r>
        <w:rPr>
          <w:rFonts w:hint="eastAsia" w:ascii="宋体" w:hAnsi="宋体" w:eastAsia="宋体" w:cs="宋体"/>
          <w:color w:val="auto"/>
          <w:kern w:val="0"/>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4.5.3</w:t>
      </w:r>
      <w:r>
        <w:rPr>
          <w:rFonts w:hint="eastAsia" w:ascii="宋体" w:hAnsi="宋体" w:eastAsia="宋体" w:cs="宋体"/>
          <w:color w:val="auto"/>
          <w:kern w:val="0"/>
          <w:sz w:val="24"/>
          <w:szCs w:val="24"/>
          <w:highlight w:val="none"/>
          <w:lang w:val="zh-CN" w:eastAsia="zh-CN"/>
        </w:rPr>
        <w:t>乙方须独立完成造价咨询业务，未经甲方同意不得转让；对有特殊技术要求的咨询项目，需聘请相关专家共同完成咨询业务的，需事先征得甲方同意。未经甲方同意，不得以任何形式向任何单位或个人披露审核项目有关的信息，不得对外提供、泄露审核有关情况。</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4.5.4</w:t>
      </w:r>
      <w:r>
        <w:rPr>
          <w:rFonts w:hint="eastAsia" w:ascii="宋体" w:hAnsi="宋体" w:eastAsia="宋体" w:cs="宋体"/>
          <w:color w:val="auto"/>
          <w:kern w:val="0"/>
          <w:sz w:val="24"/>
          <w:szCs w:val="24"/>
          <w:highlight w:val="none"/>
          <w:lang w:val="zh-CN"/>
        </w:rPr>
        <w:t>乙方需为驻场人员购买商业保险，发生人身安全事故，由乙方承担相应责任。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4.5.5</w:t>
      </w:r>
      <w:r>
        <w:rPr>
          <w:rFonts w:hint="eastAsia" w:ascii="宋体" w:hAnsi="宋体" w:eastAsia="宋体" w:cs="宋体"/>
          <w:color w:val="auto"/>
          <w:kern w:val="0"/>
          <w:sz w:val="24"/>
          <w:szCs w:val="24"/>
          <w:highlight w:val="none"/>
          <w:lang w:val="zh-CN"/>
        </w:rPr>
        <w:t>该项目采用产业化建造和BIM技术，工程造价管理须使用相应的软件与之对接，并配合项目开展工作。</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79" w:name="_Toc10556"/>
      <w:bookmarkStart w:id="180" w:name="_Toc28391"/>
      <w:bookmarkStart w:id="181" w:name="_Toc18669"/>
      <w:bookmarkStart w:id="182" w:name="_Toc8638"/>
      <w:bookmarkStart w:id="183" w:name="_Toc18267"/>
      <w:bookmarkStart w:id="184" w:name="_Toc23735"/>
      <w:bookmarkStart w:id="185" w:name="_Toc18276"/>
      <w:bookmarkStart w:id="186" w:name="_Toc1193"/>
      <w:bookmarkStart w:id="187" w:name="_Toc13240"/>
      <w:bookmarkStart w:id="188" w:name="_Toc5634"/>
      <w:bookmarkStart w:id="189" w:name="_Toc20060"/>
      <w:r>
        <w:rPr>
          <w:rFonts w:hint="eastAsia" w:ascii="宋体" w:hAnsi="宋体" w:eastAsia="宋体" w:cs="宋体"/>
          <w:b/>
          <w:color w:val="auto"/>
          <w:sz w:val="24"/>
          <w:szCs w:val="24"/>
          <w:highlight w:val="none"/>
        </w:rPr>
        <w:t>五、甲方的权利和义务</w:t>
      </w:r>
      <w:bookmarkEnd w:id="179"/>
      <w:bookmarkEnd w:id="180"/>
      <w:bookmarkEnd w:id="181"/>
      <w:bookmarkEnd w:id="182"/>
      <w:bookmarkEnd w:id="183"/>
      <w:bookmarkEnd w:id="184"/>
      <w:bookmarkEnd w:id="185"/>
      <w:bookmarkEnd w:id="186"/>
      <w:bookmarkEnd w:id="187"/>
      <w:bookmarkEnd w:id="188"/>
      <w:bookmarkEnd w:id="189"/>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5.1甲方的权利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5.1.1甲方有权向乙方询问工作进展情况及相关的内容，并要求乙方提交造价咨询服务业务范围内的专项报告。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5.1.2甲方有权阐述对具体问题的意见和建议。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5.2甲方的义务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5.2.1甲方应负责与本合同约定项目造价咨询服务有关的第三人的协调。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5.2.2甲方应及时将所拥有的且是乙方实施本合同约定项目造价咨询服务所必需的有关资料提供给乙方。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5.2.3甲方应在3个工作日内对乙方书面提交并要求做出答复的事宜做出书面答复。乙方要求第三人提供有关资料时，甲方应负责转达及资料转送。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5.2.4甲方指定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（联系电话：</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rPr>
        <w:t>为联系人，负责与乙方联系。</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甲方其它权利和义务详见甲方造价管理制度及项目管理要求。</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90" w:name="_Toc8808"/>
      <w:bookmarkStart w:id="191" w:name="_Toc29153"/>
      <w:bookmarkStart w:id="192" w:name="_Toc3578"/>
      <w:bookmarkStart w:id="193" w:name="_Toc25071"/>
      <w:bookmarkStart w:id="194" w:name="_Toc29624"/>
      <w:bookmarkStart w:id="195" w:name="_Toc23667"/>
      <w:bookmarkStart w:id="196" w:name="_Toc2076"/>
      <w:bookmarkStart w:id="197" w:name="_Toc17116"/>
      <w:bookmarkStart w:id="198" w:name="_Toc11394"/>
      <w:bookmarkStart w:id="199" w:name="_Toc31963"/>
      <w:bookmarkStart w:id="200" w:name="_Toc24828"/>
      <w:r>
        <w:rPr>
          <w:rFonts w:hint="eastAsia" w:ascii="宋体" w:hAnsi="宋体" w:eastAsia="宋体" w:cs="宋体"/>
          <w:b/>
          <w:color w:val="auto"/>
          <w:sz w:val="24"/>
          <w:szCs w:val="24"/>
          <w:highlight w:val="none"/>
        </w:rPr>
        <w:t>六、乙方的权利和义务</w:t>
      </w:r>
      <w:bookmarkEnd w:id="190"/>
      <w:bookmarkEnd w:id="191"/>
      <w:bookmarkEnd w:id="192"/>
      <w:bookmarkEnd w:id="193"/>
      <w:bookmarkEnd w:id="194"/>
      <w:bookmarkEnd w:id="195"/>
      <w:bookmarkEnd w:id="196"/>
      <w:bookmarkEnd w:id="197"/>
      <w:bookmarkEnd w:id="198"/>
      <w:bookmarkEnd w:id="199"/>
      <w:bookmarkEnd w:id="200"/>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6.1乙方的权利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6.1.1服务期限内，乙方有到工程现场勘察的权利。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6.1.2乙方有权按照本合同约定获得服务报酬。</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6.2乙方的义务</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乙方应依据《工程造价咨询企业管理办法》（中华人民共和国建设部令第149号、中华人民共和国住房和城乡建设部令第50号）、《注册造价工程师管理办法》（中华人民共和国建设部令第150号、中华人民共和国住房和城乡建设部令第50号）、《国务院办公厅关于科学绿化的指导意见》（国办发〔2021〕19号）、《广东省人民政府办公厅关于科学绿化的实施意见》（粤府办〔2021〕48号）、《广州市关于科学绿化的实施意见》（穗办〔2021〕11号）和《广州市绿化条例》等国家、广东省、广州市相关规定与本合同约定以及甲方要求实施本合同项下的咨询服务工作、提交工作成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6.2.3服务期限内，乙方发现甲方提供的资料有缺陷、不明确或存在相互矛盾的，应及时书面通知甲方。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6.2.4乙方在履行合同过程中接触到的甲方的文件、资料、信息，均应以绝密件对待；未经甲方书面同意，不得提供给第三人，不得用于本合同以外的其他目的。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6.2.5未经甲方的书面同意，乙方不得转让本合同约定的权利和义务。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6.2.6乙方不得从事或参与可能损害甲方利益的任何活动。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6.2.7未经甲方书面同意，乙方不得更换其派出技术负责人、专业造价工作人员及驻场服务人员。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6.2.8乙方应当在3个工作日内对甲方或第三人书面提出并要求做出答复的事宜做出书面答复。</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6.2.9乙方应严格按照合同约定及甲方相关管理办法的规定从事咨询服务工作。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6.2.10乙方应确保造价咨询工作质量，工程量准确、造价合理，满足工程投资控制的要求。</w:t>
      </w:r>
      <w:r>
        <w:rPr>
          <w:rFonts w:hint="eastAsia" w:ascii="宋体" w:hAnsi="宋体" w:eastAsia="宋体" w:cs="宋体"/>
          <w:bCs/>
          <w:color w:val="auto"/>
          <w:sz w:val="24"/>
          <w:szCs w:val="24"/>
          <w:highlight w:val="none"/>
        </w:rPr>
        <w:t>否则应按本合同条款第8.2款的约定承担</w:t>
      </w:r>
      <w:r>
        <w:rPr>
          <w:rFonts w:hint="eastAsia" w:ascii="宋体" w:hAnsi="宋体" w:eastAsia="宋体" w:cs="宋体"/>
          <w:color w:val="auto"/>
          <w:sz w:val="24"/>
          <w:szCs w:val="24"/>
          <w:highlight w:val="none"/>
        </w:rPr>
        <w:t>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6.2.11乙方指定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（联系电话：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w:t>
      </w:r>
      <w:r>
        <w:rPr>
          <w:rFonts w:hint="eastAsia" w:ascii="宋体" w:hAnsi="宋体" w:eastAsia="宋体" w:cs="宋体"/>
          <w:color w:val="auto"/>
          <w:sz w:val="24"/>
          <w:szCs w:val="24"/>
          <w:highlight w:val="none"/>
        </w:rPr>
        <w:t>为联系人，负责与甲方联系。</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01" w:name="_Toc30684"/>
      <w:bookmarkStart w:id="202" w:name="_Toc12422"/>
      <w:bookmarkStart w:id="203" w:name="_Toc3590"/>
      <w:bookmarkStart w:id="204" w:name="_Toc24338"/>
      <w:bookmarkStart w:id="205" w:name="_Toc32411"/>
      <w:bookmarkStart w:id="206" w:name="_Toc8847"/>
      <w:bookmarkStart w:id="207" w:name="_Toc16720"/>
      <w:bookmarkStart w:id="208" w:name="_Toc26547"/>
      <w:bookmarkStart w:id="209" w:name="_Toc18328"/>
      <w:bookmarkStart w:id="210" w:name="_Toc31809"/>
      <w:bookmarkStart w:id="211" w:name="_Toc23820"/>
      <w:r>
        <w:rPr>
          <w:rFonts w:hint="eastAsia" w:ascii="宋体" w:hAnsi="宋体" w:eastAsia="宋体" w:cs="宋体"/>
          <w:b/>
          <w:color w:val="auto"/>
          <w:sz w:val="24"/>
          <w:szCs w:val="24"/>
          <w:highlight w:val="none"/>
        </w:rPr>
        <w:t>七、服务报酬及其支付方式</w:t>
      </w:r>
      <w:bookmarkEnd w:id="201"/>
      <w:bookmarkEnd w:id="202"/>
      <w:bookmarkEnd w:id="203"/>
      <w:bookmarkEnd w:id="204"/>
      <w:bookmarkEnd w:id="205"/>
      <w:bookmarkEnd w:id="206"/>
      <w:bookmarkEnd w:id="207"/>
      <w:bookmarkEnd w:id="208"/>
      <w:bookmarkEnd w:id="209"/>
      <w:bookmarkEnd w:id="210"/>
      <w:bookmarkEnd w:id="211"/>
    </w:p>
    <w:p>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7.1服务报酬</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7.1.1</w:t>
      </w:r>
      <w:r>
        <w:rPr>
          <w:rFonts w:hint="eastAsia" w:ascii="宋体" w:hAnsi="宋体" w:eastAsia="宋体" w:cs="宋体"/>
          <w:color w:val="auto"/>
          <w:sz w:val="24"/>
          <w:szCs w:val="24"/>
          <w:highlight w:val="none"/>
        </w:rPr>
        <w:t>甲乙双方约定：本合同造价咨询服务报酬（含税）暂定为人民币大写：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元，其中不含税总价为人民币大写：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元；税金为人民币大写：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rPr>
        <w:t>咨询服务费</w:t>
      </w:r>
      <w:r>
        <w:rPr>
          <w:rFonts w:hint="eastAsia" w:ascii="宋体" w:hAnsi="宋体" w:eastAsia="宋体" w:cs="宋体"/>
          <w:color w:val="auto"/>
          <w:sz w:val="24"/>
          <w:szCs w:val="24"/>
          <w:highlight w:val="none"/>
        </w:rPr>
        <w:t>综合单价为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元/㎡，建筑面积暂定：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㎡，服务内容占比暂定为100%</w:t>
      </w:r>
      <w:r>
        <w:rPr>
          <w:rFonts w:hint="eastAsia" w:ascii="宋体" w:hAnsi="宋体" w:eastAsia="宋体" w:cs="宋体"/>
          <w:color w:val="auto"/>
          <w:sz w:val="24"/>
          <w:szCs w:val="24"/>
          <w:highlight w:val="none"/>
          <w:lang w:eastAsia="zh-CN"/>
        </w:rPr>
        <w:t>。</w:t>
      </w:r>
    </w:p>
    <w:p>
      <w:pPr>
        <w:pStyle w:val="20"/>
        <w:widowControl w:val="0"/>
        <w:adjustRightInd w:val="0"/>
        <w:snapToGrid w:val="0"/>
        <w:spacing w:line="360" w:lineRule="auto"/>
        <w:ind w:right="0"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7.1.2甲乙双方一致同意按以下约定进行结算：</w:t>
      </w:r>
    </w:p>
    <w:p>
      <w:pPr>
        <w:widowControl w:val="0"/>
        <w:adjustRightInd w:val="0"/>
        <w:snapToGrid w:val="0"/>
        <w:spacing w:line="360" w:lineRule="auto"/>
        <w:ind w:left="0" w:leftChars="0" w:firstLine="480" w:firstLineChars="200"/>
        <w:contextualSpacing w:val="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本合同造价咨询服务结算价=</w:t>
      </w:r>
      <w:r>
        <w:rPr>
          <w:rFonts w:hint="eastAsia" w:ascii="宋体" w:hAnsi="宋体" w:eastAsia="宋体" w:cs="宋体"/>
          <w:color w:val="auto"/>
          <w:kern w:val="0"/>
          <w:sz w:val="24"/>
          <w:szCs w:val="24"/>
          <w:highlight w:val="none"/>
          <w:lang w:val="en-US"/>
        </w:rPr>
        <w:t>咨询服务费综合单价×建筑面积（建筑面积以规划部门最终批准的总建筑面积为准）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实际</w:t>
      </w:r>
      <w:r>
        <w:rPr>
          <w:rFonts w:hint="eastAsia" w:ascii="宋体" w:hAnsi="宋体" w:eastAsia="宋体" w:cs="宋体"/>
          <w:color w:val="auto"/>
          <w:kern w:val="0"/>
          <w:sz w:val="24"/>
          <w:szCs w:val="24"/>
          <w:highlight w:val="none"/>
        </w:rPr>
        <w:t>服务内容占比</w:t>
      </w:r>
      <w:r>
        <w:rPr>
          <w:rFonts w:hint="eastAsia" w:ascii="宋体" w:hAnsi="宋体" w:eastAsia="宋体" w:cs="宋体"/>
          <w:color w:val="auto"/>
          <w:kern w:val="0"/>
          <w:sz w:val="24"/>
          <w:szCs w:val="24"/>
          <w:highlight w:val="none"/>
          <w:lang w:eastAsia="zh-CN"/>
        </w:rPr>
        <w:t>（各阶段服务内容占比见</w:t>
      </w:r>
      <w:r>
        <w:rPr>
          <w:rFonts w:hint="eastAsia" w:ascii="宋体" w:hAnsi="宋体" w:eastAsia="宋体" w:cs="宋体"/>
          <w:color w:val="auto"/>
          <w:kern w:val="0"/>
          <w:sz w:val="24"/>
          <w:szCs w:val="24"/>
          <w:highlight w:val="none"/>
          <w:lang w:val="en-US" w:eastAsia="zh-CN"/>
        </w:rPr>
        <w:t>7.2表格中对应内容，含项目服务质量评分阶段占比）</w:t>
      </w:r>
      <w:r>
        <w:rPr>
          <w:rFonts w:hint="eastAsia" w:ascii="宋体" w:hAnsi="宋体" w:eastAsia="宋体" w:cs="宋体"/>
          <w:color w:val="auto"/>
          <w:kern w:val="0"/>
          <w:sz w:val="24"/>
          <w:szCs w:val="24"/>
          <w:highlight w:val="none"/>
        </w:rPr>
        <w:t>。</w:t>
      </w:r>
    </w:p>
    <w:p>
      <w:pPr>
        <w:widowControl w:val="0"/>
        <w:adjustRightInd w:val="0"/>
        <w:snapToGrid w:val="0"/>
        <w:spacing w:line="360" w:lineRule="auto"/>
        <w:ind w:left="0" w:leftChars="0" w:firstLine="480" w:firstLineChars="200"/>
        <w:contextualSpacing w:val="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7.1.3服务报酬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组织相关造价控制会议，包括邀请相应的经济专家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高级经济顾问对造价问题进行咨询把关等工作的相关费用已包括在上述费用中，不再另行计费</w:t>
      </w:r>
      <w:r>
        <w:rPr>
          <w:rFonts w:hint="eastAsia" w:ascii="宋体" w:hAnsi="宋体" w:eastAsia="宋体" w:cs="宋体"/>
          <w:color w:val="auto"/>
          <w:sz w:val="24"/>
          <w:szCs w:val="24"/>
          <w:highlight w:val="none"/>
          <w:lang w:eastAsia="zh-CN"/>
        </w:rPr>
        <w:t>。乙方驻场人员完成</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安排的其他造价管理工作</w:t>
      </w:r>
      <w:r>
        <w:rPr>
          <w:rFonts w:hint="eastAsia" w:ascii="宋体" w:hAnsi="宋体" w:eastAsia="宋体" w:cs="宋体"/>
          <w:color w:val="auto"/>
          <w:kern w:val="2"/>
          <w:sz w:val="24"/>
          <w:szCs w:val="24"/>
          <w:highlight w:val="none"/>
          <w:lang w:eastAsia="zh-CN"/>
        </w:rPr>
        <w:t>（包括</w:t>
      </w:r>
      <w:r>
        <w:rPr>
          <w:rFonts w:hint="eastAsia" w:ascii="宋体" w:hAnsi="宋体" w:eastAsia="宋体" w:cs="宋体"/>
          <w:color w:val="auto"/>
          <w:kern w:val="2"/>
          <w:sz w:val="24"/>
          <w:szCs w:val="24"/>
          <w:highlight w:val="none"/>
        </w:rPr>
        <w:t>甲方安排的非本项目其他造价相关工作</w:t>
      </w:r>
      <w:r>
        <w:rPr>
          <w:rFonts w:hint="eastAsia" w:ascii="宋体" w:hAnsi="宋体" w:eastAsia="宋体" w:cs="宋体"/>
          <w:color w:val="auto"/>
          <w:kern w:val="2"/>
          <w:sz w:val="24"/>
          <w:szCs w:val="24"/>
          <w:highlight w:val="none"/>
          <w:lang w:eastAsia="zh-CN"/>
        </w:rPr>
        <w:t>）所产生的费用</w:t>
      </w:r>
      <w:r>
        <w:rPr>
          <w:rFonts w:hint="eastAsia" w:ascii="宋体" w:hAnsi="宋体" w:eastAsia="宋体" w:cs="宋体"/>
          <w:color w:val="auto"/>
          <w:sz w:val="24"/>
          <w:szCs w:val="24"/>
          <w:highlight w:val="none"/>
        </w:rPr>
        <w:t>已包括在上述费用中，不再另行计费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除本合同另有约定外，乙方不得再向甲方要求支付其它任何费用。</w:t>
      </w:r>
    </w:p>
    <w:p>
      <w:pPr>
        <w:adjustRightInd w:val="0"/>
        <w:snapToGrid w:val="0"/>
        <w:spacing w:line="360" w:lineRule="auto"/>
        <w:ind w:firstLine="482" w:firstLineChars="200"/>
        <w:contextualSpacing/>
        <w:rPr>
          <w:rFonts w:hint="eastAsia"/>
          <w:color w:val="auto"/>
          <w:highlight w:val="none"/>
        </w:rPr>
      </w:pPr>
      <w:r>
        <w:rPr>
          <w:rFonts w:hint="eastAsia" w:ascii="宋体" w:hAnsi="宋体" w:eastAsia="宋体" w:cs="宋体"/>
          <w:b/>
          <w:bCs/>
          <w:color w:val="auto"/>
          <w:kern w:val="0"/>
          <w:sz w:val="24"/>
          <w:szCs w:val="24"/>
          <w:highlight w:val="none"/>
        </w:rPr>
        <w:t>7.2服务报酬支付方式</w:t>
      </w:r>
    </w:p>
    <w:tbl>
      <w:tblPr>
        <w:tblStyle w:val="16"/>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71"/>
        <w:gridCol w:w="3735"/>
        <w:gridCol w:w="799"/>
        <w:gridCol w:w="112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支付条件及</w:t>
            </w:r>
            <w:r>
              <w:rPr>
                <w:rFonts w:hint="eastAsia" w:ascii="宋体" w:hAnsi="宋体" w:eastAsia="宋体" w:cs="宋体"/>
                <w:b/>
                <w:color w:val="auto"/>
                <w:sz w:val="21"/>
                <w:szCs w:val="21"/>
                <w:highlight w:val="none"/>
              </w:rPr>
              <w:t>支付时间</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服务内容占比</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支付</w:t>
            </w:r>
          </w:p>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合同暂定价的</w:t>
            </w:r>
            <w:r>
              <w:rPr>
                <w:rFonts w:hint="eastAsia" w:ascii="宋体" w:hAnsi="宋体" w:eastAsia="宋体" w:cs="宋体"/>
                <w:b/>
                <w:color w:val="auto"/>
                <w:sz w:val="21"/>
                <w:szCs w:val="21"/>
                <w:highlight w:val="none"/>
              </w:rPr>
              <w:t>比例</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合同签订生效且乙方已按要求向甲方提交履约担保</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甲方完成审批后5</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估算阶段（如有）及</w:t>
            </w:r>
            <w:r>
              <w:rPr>
                <w:rFonts w:hint="eastAsia" w:ascii="宋体" w:hAnsi="宋体" w:eastAsia="宋体" w:cs="宋体"/>
                <w:color w:val="auto"/>
                <w:sz w:val="21"/>
                <w:szCs w:val="21"/>
                <w:highlight w:val="none"/>
              </w:rPr>
              <w:t>概算阶段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概算审核成果</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并经审定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施工图预算阶段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施工图预算编制或审核成果文件提交并经审定，乙方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招标预算、招标控制价、招标工程量清单等招标或采购成果文件提交并经审定，乙方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施工、货物、服务</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可按造价占比（以甲方认定为准）</w:t>
            </w:r>
            <w:r>
              <w:rPr>
                <w:rFonts w:hint="eastAsia" w:ascii="宋体" w:hAnsi="宋体" w:eastAsia="宋体" w:cs="宋体"/>
                <w:color w:val="auto"/>
                <w:sz w:val="21"/>
                <w:szCs w:val="21"/>
                <w:highlight w:val="none"/>
              </w:rPr>
              <w:t>分次支付。</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按工期分季度支付，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结（决）算阶段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合同结算审核成果文件提交并经审定，乙方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施工、货物、服务</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可按造价占比（以甲方认定为准）</w:t>
            </w:r>
            <w:r>
              <w:rPr>
                <w:rFonts w:hint="eastAsia" w:ascii="宋体" w:hAnsi="宋体" w:eastAsia="宋体" w:cs="宋体"/>
                <w:color w:val="auto"/>
                <w:sz w:val="21"/>
                <w:szCs w:val="21"/>
                <w:highlight w:val="none"/>
              </w:rPr>
              <w:t>分次支付。</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项目服务质量评分阶段</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甲方按《广州安居集团有限公司造价咨询单位管理办法（试行）》完成项目考核后，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乙方完成本合同约定的所有工作内容后，甲方按《广州安居集团有限公司造价咨询单位管理办法（试行）》对乙方进行项目</w:t>
            </w:r>
            <w:r>
              <w:rPr>
                <w:rFonts w:hint="eastAsia" w:ascii="宋体" w:hAnsi="宋体" w:eastAsia="宋体" w:cs="宋体"/>
                <w:color w:val="auto"/>
                <w:sz w:val="21"/>
                <w:szCs w:val="21"/>
                <w:highlight w:val="none"/>
                <w:lang w:val="en-US" w:eastAsia="zh-CN"/>
              </w:rPr>
              <w:t>服务质量评分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根据评分</w:t>
            </w:r>
            <w:r>
              <w:rPr>
                <w:rFonts w:hint="eastAsia" w:ascii="宋体" w:hAnsi="宋体" w:eastAsia="宋体" w:cs="宋体"/>
                <w:color w:val="auto"/>
                <w:sz w:val="21"/>
                <w:szCs w:val="21"/>
                <w:highlight w:val="none"/>
              </w:rPr>
              <w:t>情况</w:t>
            </w:r>
            <w:r>
              <w:rPr>
                <w:rFonts w:hint="eastAsia" w:ascii="宋体" w:hAnsi="宋体" w:eastAsia="宋体" w:cs="宋体"/>
                <w:color w:val="auto"/>
                <w:sz w:val="21"/>
                <w:szCs w:val="21"/>
                <w:highlight w:val="none"/>
                <w:lang w:val="en-US" w:eastAsia="zh-CN"/>
              </w:rPr>
              <w:t>办理本阶段</w:t>
            </w:r>
            <w:r>
              <w:rPr>
                <w:rFonts w:hint="eastAsia" w:ascii="宋体" w:hAnsi="宋体" w:eastAsia="宋体" w:cs="宋体"/>
                <w:color w:val="auto"/>
                <w:sz w:val="21"/>
                <w:szCs w:val="21"/>
                <w:highlight w:val="none"/>
              </w:rPr>
              <w:t>结算</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支付：得分90分或以上的，按10%结算支付；</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分≤得分＜90分，按8%结算支付；</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分≤得分＜</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分，按5%结算支付；</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分≤得分＜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分，按2%结算支付；得分＜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分，则</w:t>
            </w:r>
            <w:r>
              <w:rPr>
                <w:rFonts w:hint="eastAsia" w:ascii="宋体" w:hAnsi="宋体" w:eastAsia="宋体" w:cs="宋体"/>
                <w:color w:val="auto"/>
                <w:sz w:val="21"/>
                <w:szCs w:val="21"/>
                <w:highlight w:val="none"/>
                <w:lang w:val="en-US" w:eastAsia="zh-CN"/>
              </w:rPr>
              <w:t>本阶段</w:t>
            </w:r>
            <w:r>
              <w:rPr>
                <w:rFonts w:hint="eastAsia" w:ascii="宋体" w:hAnsi="宋体" w:eastAsia="宋体" w:cs="宋体"/>
                <w:color w:val="auto"/>
                <w:sz w:val="21"/>
                <w:szCs w:val="21"/>
                <w:highlight w:val="none"/>
              </w:rPr>
              <w:t>不予结算支付。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6" w:hRule="atLeast"/>
          <w:jc w:val="center"/>
        </w:trPr>
        <w:tc>
          <w:tcPr>
            <w:tcW w:w="5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bl>
    <w:p>
      <w:pPr>
        <w:widowControl w:val="0"/>
        <w:adjustRightInd w:val="0"/>
        <w:snapToGrid w:val="0"/>
        <w:spacing w:line="360" w:lineRule="auto"/>
        <w:ind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val="en-US" w:eastAsia="zh-CN"/>
        </w:rPr>
        <w:t>纳入阶段及占比</w:t>
      </w:r>
      <w:r>
        <w:rPr>
          <w:rFonts w:hint="eastAsia" w:ascii="宋体" w:hAnsi="宋体" w:eastAsia="宋体" w:cs="宋体"/>
          <w:color w:val="auto"/>
          <w:sz w:val="24"/>
          <w:szCs w:val="24"/>
          <w:highlight w:val="none"/>
        </w:rPr>
        <w:t>费用分摊的工作，其费用视为已包含在其他阶段的费用中，不单独计量支付。</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每次付款，乙方均需按甲方财务管理制度办理支付申请手续，并提供合法有效增值税一般纳税人服务类专用发票的正式发票，甲方审核确认后办理支付。</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实际支付无需按上表阶段的顺序支付，可按实际完成的服务内容，满足支付条件即可办理相关支付。未</w:t>
      </w: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的阶段及服务内容，不得办理支付申请。</w:t>
      </w:r>
    </w:p>
    <w:p>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
          <w:sz w:val="24"/>
          <w:szCs w:val="24"/>
          <w:highlight w:val="none"/>
          <w:lang w:val="en-US"/>
        </w:rPr>
        <w:t>规划部门最终批准总建筑面积</w:t>
      </w:r>
      <w:r>
        <w:rPr>
          <w:rFonts w:hint="eastAsia" w:ascii="宋体" w:hAnsi="宋体" w:eastAsia="宋体" w:cs="宋体"/>
          <w:color w:val="auto"/>
          <w:kern w:val="2"/>
          <w:sz w:val="24"/>
          <w:szCs w:val="24"/>
          <w:highlight w:val="none"/>
          <w:lang w:val="en-US" w:eastAsia="zh-CN"/>
        </w:rPr>
        <w:t>后，应按规划部门批复的总建筑面积调整后续支付。</w:t>
      </w:r>
    </w:p>
    <w:p>
      <w:pPr>
        <w:adjustRightInd w:val="0"/>
        <w:snapToGrid w:val="0"/>
        <w:spacing w:line="360" w:lineRule="auto"/>
        <w:ind w:firstLine="480" w:firstLineChars="200"/>
        <w:jc w:val="both"/>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服务报酬的具体支付时间以实际支付时间为准，乙方承诺不因支付延迟而向甲方索赔费用或主张相关违约责任，并且此情况不能成为乙方终止或拒绝履行合同约定义务的理由。</w:t>
      </w:r>
    </w:p>
    <w:p>
      <w:pPr>
        <w:adjustRightInd w:val="0"/>
        <w:snapToGrid w:val="0"/>
        <w:spacing w:line="360" w:lineRule="auto"/>
        <w:ind w:firstLine="480" w:firstLineChars="200"/>
        <w:rPr>
          <w:rFonts w:hint="eastAsia" w:ascii="宋体" w:hAnsi="宋体" w:eastAsia="宋体" w:cs="宋体"/>
          <w:b/>
          <w:bCs/>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 xml:space="preserve">如本项目资金来源涉及财政资金、专项债劵资金或其他政府专项资金的，则甲方向乙方支付条件还应包括前述资金获得政府或相关部门批准且拨付到位，若由于政府或相关部门审批、拨付资金未完成等非甲方原因导致甲方向乙方付款超过上述约定支付期限的，甲方不承担任何违约责任，且乙方仍须按本合同约定履行义务。若因乙方原因导致专项债券资金拨付失败的，乙方应承担由此产生的全部责任及甲方损失。 </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7.3</w:t>
      </w:r>
      <w:r>
        <w:rPr>
          <w:rFonts w:hint="eastAsia" w:ascii="宋体" w:hAnsi="宋体" w:eastAsia="宋体" w:cs="宋体"/>
          <w:color w:val="auto"/>
          <w:sz w:val="24"/>
          <w:szCs w:val="24"/>
          <w:highlight w:val="none"/>
        </w:rPr>
        <w:t>双方一致同意，如本合同工程审计机关对结算</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rPr>
        <w:t>提出修正意见的，双方应当本着实事求是的原则予以纠正。</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12" w:name="_Toc14240"/>
      <w:bookmarkStart w:id="213" w:name="_Toc29843"/>
      <w:bookmarkStart w:id="214" w:name="_Toc31198"/>
      <w:bookmarkStart w:id="215" w:name="_Toc24092"/>
      <w:bookmarkStart w:id="216" w:name="_Toc22554"/>
      <w:bookmarkStart w:id="217" w:name="_Toc6642"/>
      <w:bookmarkStart w:id="218" w:name="_Toc17678"/>
      <w:bookmarkStart w:id="219" w:name="_Toc20495"/>
      <w:bookmarkStart w:id="220" w:name="_Toc14967"/>
      <w:bookmarkStart w:id="221" w:name="_Toc11548"/>
      <w:bookmarkStart w:id="222" w:name="_Toc7887"/>
      <w:r>
        <w:rPr>
          <w:rFonts w:hint="eastAsia" w:ascii="宋体" w:hAnsi="宋体" w:eastAsia="宋体" w:cs="宋体"/>
          <w:b/>
          <w:color w:val="auto"/>
          <w:sz w:val="24"/>
          <w:szCs w:val="24"/>
          <w:highlight w:val="none"/>
        </w:rPr>
        <w:t>八、违约责任</w:t>
      </w:r>
      <w:bookmarkEnd w:id="212"/>
      <w:bookmarkEnd w:id="213"/>
      <w:bookmarkEnd w:id="214"/>
      <w:bookmarkEnd w:id="215"/>
      <w:bookmarkEnd w:id="216"/>
      <w:bookmarkEnd w:id="217"/>
      <w:bookmarkEnd w:id="218"/>
      <w:bookmarkEnd w:id="219"/>
      <w:bookmarkEnd w:id="220"/>
      <w:bookmarkEnd w:id="221"/>
      <w:bookmarkEnd w:id="222"/>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8.1甲方违约责任</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若甲方未按合同约定及时提供乙方开展</w:t>
      </w:r>
      <w:r>
        <w:rPr>
          <w:rFonts w:hint="eastAsia" w:ascii="宋体" w:hAnsi="宋体" w:eastAsia="宋体" w:cs="宋体"/>
          <w:snapToGrid w:val="0"/>
          <w:color w:val="auto"/>
          <w:kern w:val="0"/>
          <w:sz w:val="24"/>
          <w:highlight w:val="none"/>
          <w:lang w:val="en-US" w:eastAsia="zh-CN"/>
        </w:rPr>
        <w:t>服务</w:t>
      </w:r>
      <w:r>
        <w:rPr>
          <w:rFonts w:hint="eastAsia" w:ascii="宋体" w:hAnsi="宋体" w:eastAsia="宋体" w:cs="宋体"/>
          <w:snapToGrid w:val="0"/>
          <w:color w:val="auto"/>
          <w:kern w:val="0"/>
          <w:sz w:val="24"/>
          <w:highlight w:val="none"/>
        </w:rPr>
        <w:t>工作所需要</w:t>
      </w:r>
      <w:r>
        <w:rPr>
          <w:rFonts w:hint="eastAsia" w:ascii="宋体" w:hAnsi="宋体" w:eastAsia="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rPr>
        <w:t>技术资料、基础资料等相关资料，或由于甲方变更计划，致使乙方不能按本合同约定时间完成造价咨询工作的，甲方应</w:t>
      </w:r>
      <w:r>
        <w:rPr>
          <w:rFonts w:hint="eastAsia" w:ascii="宋体" w:hAnsi="宋体" w:eastAsia="宋体" w:cs="宋体"/>
          <w:snapToGrid w:val="0"/>
          <w:color w:val="auto"/>
          <w:kern w:val="0"/>
          <w:sz w:val="24"/>
          <w:highlight w:val="none"/>
          <w:lang w:val="en-US" w:eastAsia="zh-CN"/>
        </w:rPr>
        <w:t>实事求是</w:t>
      </w:r>
      <w:r>
        <w:rPr>
          <w:rFonts w:hint="eastAsia" w:ascii="宋体" w:hAnsi="宋体" w:eastAsia="宋体" w:cs="宋体"/>
          <w:snapToGrid w:val="0"/>
          <w:color w:val="auto"/>
          <w:kern w:val="0"/>
          <w:sz w:val="24"/>
          <w:highlight w:val="none"/>
        </w:rPr>
        <w:t>顺延</w:t>
      </w:r>
      <w:r>
        <w:rPr>
          <w:rFonts w:hint="eastAsia" w:ascii="宋体" w:hAnsi="宋体" w:eastAsia="宋体" w:cs="宋体"/>
          <w:snapToGrid w:val="0"/>
          <w:color w:val="auto"/>
          <w:kern w:val="0"/>
          <w:sz w:val="24"/>
          <w:highlight w:val="none"/>
          <w:lang w:val="en-US" w:eastAsia="zh-CN"/>
        </w:rPr>
        <w:t>乙方工作</w:t>
      </w:r>
      <w:r>
        <w:rPr>
          <w:rFonts w:hint="eastAsia" w:ascii="宋体" w:hAnsi="宋体" w:eastAsia="宋体" w:cs="宋体"/>
          <w:snapToGrid w:val="0"/>
          <w:color w:val="auto"/>
          <w:kern w:val="0"/>
          <w:sz w:val="24"/>
          <w:highlight w:val="none"/>
        </w:rPr>
        <w:t>时间。</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如因政策变化、甲方决策、设计变更、</w:t>
      </w:r>
      <w:r>
        <w:rPr>
          <w:rFonts w:hint="eastAsia" w:ascii="宋体" w:hAnsi="宋体" w:eastAsia="宋体" w:cs="宋体"/>
          <w:snapToGrid w:val="0"/>
          <w:color w:val="auto"/>
          <w:kern w:val="0"/>
          <w:sz w:val="24"/>
          <w:highlight w:val="none"/>
          <w:lang w:val="en-US" w:eastAsia="zh-CN"/>
        </w:rPr>
        <w:t>投资规模及</w:t>
      </w:r>
      <w:r>
        <w:rPr>
          <w:rFonts w:hint="eastAsia" w:ascii="宋体" w:hAnsi="宋体" w:eastAsia="宋体" w:cs="宋体"/>
          <w:snapToGrid w:val="0"/>
          <w:color w:val="auto"/>
          <w:kern w:val="0"/>
          <w:sz w:val="24"/>
          <w:highlight w:val="none"/>
        </w:rPr>
        <w:t>结构形式或者预算等发生调整</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导致</w:t>
      </w:r>
      <w:r>
        <w:rPr>
          <w:rFonts w:hint="eastAsia" w:ascii="宋体" w:hAnsi="宋体" w:eastAsia="宋体" w:cs="宋体"/>
          <w:snapToGrid w:val="0"/>
          <w:color w:val="auto"/>
          <w:kern w:val="0"/>
          <w:sz w:val="24"/>
          <w:highlight w:val="none"/>
        </w:rPr>
        <w:t>项目内容</w:t>
      </w:r>
      <w:r>
        <w:rPr>
          <w:rFonts w:hint="eastAsia" w:ascii="宋体" w:hAnsi="宋体" w:eastAsia="宋体" w:cs="宋体"/>
          <w:snapToGrid w:val="0"/>
          <w:color w:val="auto"/>
          <w:kern w:val="0"/>
          <w:sz w:val="24"/>
          <w:highlight w:val="none"/>
          <w:lang w:val="en-US" w:eastAsia="zh-CN"/>
        </w:rPr>
        <w:t>调整或建筑面积减少</w:t>
      </w:r>
      <w:r>
        <w:rPr>
          <w:rFonts w:hint="eastAsia" w:ascii="宋体" w:hAnsi="宋体" w:eastAsia="宋体" w:cs="宋体"/>
          <w:snapToGrid w:val="0"/>
          <w:color w:val="auto"/>
          <w:kern w:val="0"/>
          <w:sz w:val="24"/>
          <w:highlight w:val="none"/>
        </w:rPr>
        <w:t>，乙方已充分理解此风险并无条件接受</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服务报酬结算方式不变</w:t>
      </w:r>
      <w:r>
        <w:rPr>
          <w:rFonts w:hint="eastAsia" w:ascii="宋体" w:hAnsi="宋体" w:eastAsia="宋体" w:cs="宋体"/>
          <w:snapToGrid w:val="0"/>
          <w:color w:val="auto"/>
          <w:kern w:val="0"/>
          <w:sz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w:t>
      </w:r>
      <w:r>
        <w:rPr>
          <w:rFonts w:hint="eastAsia" w:ascii="宋体" w:hAnsi="宋体" w:eastAsia="宋体" w:cs="宋体"/>
          <w:snapToGrid w:val="0"/>
          <w:color w:val="auto"/>
          <w:kern w:val="0"/>
          <w:sz w:val="24"/>
          <w:highlight w:val="none"/>
          <w:lang w:val="en-US" w:eastAsia="zh-CN"/>
        </w:rPr>
        <w:t>因</w:t>
      </w:r>
      <w:r>
        <w:rPr>
          <w:rFonts w:hint="eastAsia" w:ascii="宋体" w:hAnsi="宋体" w:eastAsia="宋体" w:cs="宋体"/>
          <w:snapToGrid w:val="0"/>
          <w:color w:val="auto"/>
          <w:kern w:val="0"/>
          <w:sz w:val="24"/>
          <w:highlight w:val="none"/>
        </w:rPr>
        <w:t>政策变化、甲方决策、土地出让</w:t>
      </w:r>
      <w:r>
        <w:rPr>
          <w:rFonts w:hint="eastAsia" w:ascii="宋体" w:hAnsi="宋体" w:eastAsia="宋体" w:cs="宋体"/>
          <w:snapToGrid w:val="0"/>
          <w:color w:val="auto"/>
          <w:kern w:val="0"/>
          <w:sz w:val="24"/>
          <w:highlight w:val="none"/>
          <w:lang w:val="en-US" w:eastAsia="zh-CN"/>
        </w:rPr>
        <w:t>或其他</w:t>
      </w:r>
      <w:r>
        <w:rPr>
          <w:rFonts w:hint="eastAsia" w:ascii="宋体" w:hAnsi="宋体" w:eastAsia="宋体" w:cs="宋体"/>
          <w:snapToGrid w:val="0"/>
          <w:color w:val="auto"/>
          <w:kern w:val="0"/>
          <w:sz w:val="24"/>
          <w:highlight w:val="none"/>
        </w:rPr>
        <w:t>原因</w:t>
      </w:r>
      <w:r>
        <w:rPr>
          <w:rFonts w:hint="eastAsia" w:ascii="宋体" w:hAnsi="宋体" w:eastAsia="宋体" w:cs="宋体"/>
          <w:snapToGrid w:val="0"/>
          <w:color w:val="auto"/>
          <w:kern w:val="0"/>
          <w:sz w:val="24"/>
          <w:highlight w:val="none"/>
          <w:lang w:val="en-US" w:eastAsia="zh-CN"/>
        </w:rPr>
        <w:t>导致本项目停建或缓建或取消，</w:t>
      </w:r>
      <w:r>
        <w:rPr>
          <w:rFonts w:hint="eastAsia" w:ascii="宋体" w:hAnsi="宋体" w:eastAsia="宋体" w:cs="宋体"/>
          <w:snapToGrid w:val="0"/>
          <w:color w:val="auto"/>
          <w:kern w:val="0"/>
          <w:sz w:val="24"/>
          <w:highlight w:val="none"/>
        </w:rPr>
        <w:t>甲方有权单方解除本合同，双方互不视为违约。双方以乙方实际完成工作量按本合同</w:t>
      </w:r>
      <w:r>
        <w:rPr>
          <w:rFonts w:hint="eastAsia" w:ascii="宋体" w:hAnsi="宋体" w:eastAsia="宋体" w:cs="宋体"/>
          <w:snapToGrid w:val="0"/>
          <w:color w:val="auto"/>
          <w:kern w:val="0"/>
          <w:sz w:val="24"/>
          <w:highlight w:val="none"/>
          <w:lang w:val="en-US" w:eastAsia="zh-CN"/>
        </w:rPr>
        <w:t>约定</w:t>
      </w:r>
      <w:r>
        <w:rPr>
          <w:rFonts w:hint="eastAsia" w:ascii="宋体" w:hAnsi="宋体" w:eastAsia="宋体" w:cs="宋体"/>
          <w:snapToGrid w:val="0"/>
          <w:color w:val="auto"/>
          <w:kern w:val="0"/>
          <w:sz w:val="24"/>
          <w:highlight w:val="none"/>
        </w:rPr>
        <w:t>的</w:t>
      </w:r>
      <w:r>
        <w:rPr>
          <w:rFonts w:hint="eastAsia" w:ascii="宋体" w:hAnsi="宋体" w:eastAsia="宋体" w:cs="宋体"/>
          <w:snapToGrid w:val="0"/>
          <w:color w:val="auto"/>
          <w:kern w:val="0"/>
          <w:sz w:val="24"/>
          <w:highlight w:val="none"/>
          <w:lang w:val="en-US" w:eastAsia="zh-CN"/>
        </w:rPr>
        <w:t>结算方式</w:t>
      </w:r>
      <w:r>
        <w:rPr>
          <w:rFonts w:hint="eastAsia" w:ascii="宋体" w:hAnsi="宋体" w:eastAsia="宋体" w:cs="宋体"/>
          <w:snapToGrid w:val="0"/>
          <w:color w:val="auto"/>
          <w:kern w:val="0"/>
          <w:sz w:val="24"/>
          <w:highlight w:val="none"/>
        </w:rPr>
        <w:t>核定</w:t>
      </w:r>
      <w:r>
        <w:rPr>
          <w:rFonts w:hint="eastAsia" w:ascii="宋体" w:hAnsi="宋体" w:eastAsia="宋体" w:cs="宋体"/>
          <w:snapToGrid w:val="0"/>
          <w:color w:val="auto"/>
          <w:kern w:val="0"/>
          <w:sz w:val="24"/>
          <w:highlight w:val="none"/>
          <w:lang w:val="en-US" w:eastAsia="zh-CN"/>
        </w:rPr>
        <w:t>服务报酬</w:t>
      </w:r>
      <w:r>
        <w:rPr>
          <w:rFonts w:hint="eastAsia" w:ascii="宋体" w:hAnsi="宋体" w:eastAsia="宋体" w:cs="宋体"/>
          <w:snapToGrid w:val="0"/>
          <w:color w:val="auto"/>
          <w:kern w:val="0"/>
          <w:sz w:val="24"/>
          <w:highlight w:val="none"/>
        </w:rPr>
        <w:t>，无须再另行进行相关赔偿。乙方已充分知悉上述风险，并且放弃向甲方主张索赔的权利。</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8.2乙方违约责任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8.2.1乙方承担违约责任的方式包括但不限于：</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（2）一般违约责任。乙方违反本合同的约定须承担一般违约责任时，必须向甲方交纳违约金人民币3000元/次。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（3）严重违约责任。乙方违反本合同的约定须承担严重违约责任时，必须向甲方交纳违约金人民币10000元/次。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（4）下浮支付服务报酬。乙方的违约情节特别严重时，甲方有权在合同约定基础上再下浮支付服务报酬，累计下浮金额不超过服务报酬总额的50%。</w:t>
      </w:r>
    </w:p>
    <w:p>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（5）部分解除合同或解除合同。乙方累计三次以上（含三次）严重违约或甲方认为其违约情节特别恶劣的，甲方有权单方面部分解除合同或解除合同。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赔偿损失。因乙方违约或工作失误给甲方造成损失的，乙方应向甲方赔偿与违约有直接或间接因果关系的所有损失，但赔偿总额不应超过服务报酬总额。如果损失是由于乙方故意或严重渎职造成的，乙方应全额赔偿由此给甲方所造成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8.2.4组织管理方面的违约责任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（4）乙方违反本合同约定，所配备的造价咨询人员（含驻场人员）不按甲方的作息时间在甲方指定的地点驻场办公，</w:t>
      </w:r>
      <w:r>
        <w:rPr>
          <w:rFonts w:hint="eastAsia" w:hAnsi="宋体" w:eastAsia="宋体" w:cs="宋体"/>
          <w:color w:val="auto"/>
          <w:kern w:val="0"/>
          <w:sz w:val="24"/>
          <w:szCs w:val="24"/>
          <w:highlight w:val="none"/>
          <w:lang w:eastAsia="zh-CN"/>
        </w:rPr>
        <w:t>或驻场人员不</w:t>
      </w:r>
      <w:r>
        <w:rPr>
          <w:rFonts w:hint="eastAsia" w:ascii="宋体" w:hAnsi="宋体" w:eastAsia="宋体" w:cs="宋体"/>
          <w:color w:val="auto"/>
          <w:kern w:val="0"/>
          <w:sz w:val="24"/>
          <w:szCs w:val="24"/>
          <w:highlight w:val="none"/>
        </w:rPr>
        <w:t>服从甲方</w:t>
      </w:r>
      <w:r>
        <w:rPr>
          <w:rFonts w:hint="eastAsia" w:ascii="宋体" w:hAnsi="宋体" w:eastAsia="宋体" w:cs="宋体"/>
          <w:color w:val="auto"/>
          <w:kern w:val="0"/>
          <w:sz w:val="24"/>
          <w:szCs w:val="24"/>
          <w:highlight w:val="none"/>
          <w:lang w:eastAsia="zh-CN"/>
        </w:rPr>
        <w:t>工作</w:t>
      </w:r>
      <w:r>
        <w:rPr>
          <w:rFonts w:hint="eastAsia" w:ascii="宋体" w:hAnsi="宋体" w:eastAsia="宋体" w:cs="宋体"/>
          <w:color w:val="auto"/>
          <w:kern w:val="0"/>
          <w:sz w:val="24"/>
          <w:szCs w:val="24"/>
          <w:highlight w:val="none"/>
        </w:rPr>
        <w:t>安排</w:t>
      </w:r>
      <w:r>
        <w:rPr>
          <w:rFonts w:hint="eastAsia" w:ascii="宋体" w:hAnsi="宋体" w:eastAsia="宋体" w:cs="宋体"/>
          <w:color w:val="auto"/>
          <w:kern w:val="0"/>
          <w:sz w:val="24"/>
          <w:szCs w:val="24"/>
          <w:highlight w:val="none"/>
          <w:lang w:eastAsia="zh-CN"/>
        </w:rPr>
        <w:t>（包含甲方安排的</w:t>
      </w:r>
      <w:r>
        <w:rPr>
          <w:rFonts w:hint="eastAsia" w:ascii="宋体" w:hAnsi="宋体" w:eastAsia="宋体" w:cs="宋体"/>
          <w:color w:val="auto"/>
          <w:kern w:val="0"/>
          <w:sz w:val="24"/>
          <w:szCs w:val="24"/>
          <w:highlight w:val="none"/>
        </w:rPr>
        <w:t>非本项目其他造价相关工作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第一次将向乙方发出书面警告，乙方应在甲方规定的时间内改正，第二次以后，每违反一次按一次一般违约处理；同时甲方有权视情况单方面部分解除合同或解除合同。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（7）甲方要求乙方有关人员必须参加的会议（含对数等），有关人员必须到会，未经甲方同意不到会或不按期到会的，甲方有权给予书面警告。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8.2.5工作进度方面的违约责任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（3）乙方不按本合同约定的时间向甲方提交造价咨询工作报告和符合归档要求的造价咨询成果文件的，支付服务报酬的时间相应顺延，且乙方须承担一次严重违约责任。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8.2.6服务质量方面的违约责任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工作成果存在漏项或偏差金额（乙方</w:t>
      </w:r>
      <w:r>
        <w:rPr>
          <w:rFonts w:hint="eastAsia" w:ascii="宋体" w:hAnsi="宋体" w:eastAsia="宋体" w:cs="宋体"/>
          <w:color w:val="auto"/>
          <w:sz w:val="24"/>
          <w:szCs w:val="24"/>
          <w:highlight w:val="none"/>
          <w:lang w:val="en-US" w:eastAsia="zh-CN"/>
        </w:rPr>
        <w:t>送审</w:t>
      </w:r>
      <w:r>
        <w:rPr>
          <w:rFonts w:hint="eastAsia" w:ascii="宋体" w:hAnsi="宋体" w:eastAsia="宋体" w:cs="宋体"/>
          <w:color w:val="auto"/>
          <w:sz w:val="24"/>
          <w:szCs w:val="24"/>
          <w:highlight w:val="none"/>
        </w:rPr>
        <w:t>金额与甲方</w:t>
      </w:r>
      <w:r>
        <w:rPr>
          <w:rFonts w:hint="eastAsia" w:ascii="宋体" w:hAnsi="宋体" w:eastAsia="宋体" w:cs="宋体"/>
          <w:color w:val="auto"/>
          <w:sz w:val="24"/>
          <w:szCs w:val="24"/>
          <w:highlight w:val="none"/>
          <w:lang w:val="en-US" w:eastAsia="zh-CN"/>
        </w:rPr>
        <w:t>审定</w:t>
      </w:r>
      <w:r>
        <w:rPr>
          <w:rFonts w:hint="eastAsia" w:ascii="宋体" w:hAnsi="宋体" w:eastAsia="宋体" w:cs="宋体"/>
          <w:color w:val="auto"/>
          <w:sz w:val="24"/>
          <w:szCs w:val="24"/>
          <w:highlight w:val="none"/>
        </w:rPr>
        <w:t>金额之差的绝对值，下同）＜100万元的，按以下约定处理：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工作成果存在漏项或偏差金额≥100万元的，每发现一次，甲方有权要求乙方承担一次严重违约责任。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乙方因承担本款违约责任支付的违约金总额累计不应超过本合同服务报酬暂定总额的50%。</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实乙方违反本合同约定或者由于乙方的其它原因，致使甲方被投诉的，甲方视情节严重程度有权要求乙方承担一次一般违约或以上的违约责任并且甲方还有权下浮10%支付服务报酬。因此致使中标无效需要重新组织招标的，重新组织招标所需要的费用全部由乙方承担。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甲方有权下浮10%支付服务报酬；延误30天以上，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（6）由于乙方原因，致使本合同项目在施工阶段中发生</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类变更的，甲方有权要求乙方承担一次一般违约责任；发生</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类变更的，乙方除应承担一次严重违约责任外</w:t>
      </w:r>
      <w:r>
        <w:rPr>
          <w:rFonts w:hint="eastAsia" w:ascii="宋体" w:hAnsi="宋体" w:eastAsia="宋体" w:cs="宋体"/>
          <w:bCs/>
          <w:color w:val="auto"/>
          <w:kern w:val="0"/>
          <w:sz w:val="24"/>
          <w:szCs w:val="24"/>
          <w:highlight w:val="none"/>
        </w:rPr>
        <w:t>，还应向甲方赔偿相应的损失</w:t>
      </w:r>
      <w:r>
        <w:rPr>
          <w:rFonts w:hint="eastAsia" w:ascii="宋体" w:hAnsi="宋体" w:eastAsia="宋体" w:cs="宋体"/>
          <w:color w:val="auto"/>
          <w:sz w:val="24"/>
          <w:szCs w:val="24"/>
          <w:highlight w:val="none"/>
        </w:rPr>
        <w:t>；发生</w:t>
      </w:r>
      <w:r>
        <w:rPr>
          <w:rFonts w:hint="eastAsia" w:ascii="宋体" w:hAnsi="宋体" w:eastAsia="宋体" w:cs="宋体"/>
          <w:color w:val="auto"/>
          <w:sz w:val="24"/>
          <w:szCs w:val="24"/>
          <w:highlight w:val="none"/>
          <w:lang w:val="en-US" w:eastAsia="zh-CN"/>
        </w:rPr>
        <w:t>一类或二</w:t>
      </w:r>
      <w:r>
        <w:rPr>
          <w:rFonts w:hint="eastAsia" w:ascii="宋体" w:hAnsi="宋体" w:eastAsia="宋体" w:cs="宋体"/>
          <w:color w:val="auto"/>
          <w:sz w:val="24"/>
          <w:szCs w:val="24"/>
          <w:highlight w:val="none"/>
        </w:rPr>
        <w:t>类变更的，甲方有权下浮10%支付服务报酬，且乙方应向甲方赔偿相应的损失，同时，甲方有权单方面部分解除合同或解除合同。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（7）竣工结算总金额超出</w:t>
      </w:r>
      <w:r>
        <w:rPr>
          <w:rFonts w:hint="eastAsia" w:ascii="宋体" w:hAnsi="宋体" w:eastAsia="宋体" w:cs="宋体"/>
          <w:color w:val="auto"/>
          <w:sz w:val="24"/>
          <w:szCs w:val="24"/>
          <w:highlight w:val="none"/>
          <w:lang w:val="en-US" w:eastAsia="zh-CN"/>
        </w:rPr>
        <w:t>经审定的概算金额中</w:t>
      </w:r>
      <w:r>
        <w:rPr>
          <w:rFonts w:hint="eastAsia" w:ascii="宋体" w:hAnsi="宋体" w:eastAsia="宋体" w:cs="宋体"/>
          <w:color w:val="auto"/>
          <w:sz w:val="24"/>
          <w:szCs w:val="24"/>
          <w:highlight w:val="none"/>
        </w:rPr>
        <w:t>实际实施范围所对应的金额，甲方有权下浮10%支付服务报酬，同时，甲方有权单方面部分解除合同或解除合同。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8.2.7工作纪律方面的违约责任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（2）乙方违反本合同约定，接受了与本合同工程建设项目有关的</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咨询业务，甲方有权单方面部分解除合同或解除合同；同时，甲方将如实通报政府有关部门，由政府有关部门对其进行处罚。若因此给甲方造成损失，乙方应赔偿甲方的全部损失。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eastAsia="宋体" w:cs="宋体"/>
          <w:bCs/>
          <w:color w:val="auto"/>
          <w:sz w:val="24"/>
          <w:szCs w:val="24"/>
          <w:highlight w:val="none"/>
        </w:rPr>
        <w:t>本合同条款第</w:t>
      </w:r>
      <w:r>
        <w:rPr>
          <w:rFonts w:hint="eastAsia" w:ascii="宋体" w:hAnsi="宋体" w:eastAsia="宋体" w:cs="宋体"/>
          <w:color w:val="auto"/>
          <w:sz w:val="24"/>
          <w:szCs w:val="24"/>
          <w:highlight w:val="none"/>
        </w:rPr>
        <w:t>8.2.6（3）款执行。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（6）乙方违反回避制度的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乙方拒绝接受甲方核查的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乙方不按要求保管甲方提供的相关资料的，每次均须承担一般违约责任一次。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（7）乙方违反保密义务，每次均须承担严重违约责任一次，并承担其它相应的法律责任。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8.2.8</w:t>
      </w:r>
      <w:r>
        <w:rPr>
          <w:rFonts w:hint="eastAsia" w:ascii="宋体" w:hAnsi="宋体" w:eastAsia="宋体" w:cs="宋体"/>
          <w:color w:val="auto"/>
          <w:sz w:val="24"/>
          <w:szCs w:val="24"/>
          <w:highlight w:val="none"/>
          <w:lang w:val="en-US" w:eastAsia="zh-CN"/>
        </w:rPr>
        <w:t>甲方对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评分的</w:t>
      </w:r>
      <w:r>
        <w:rPr>
          <w:rFonts w:hint="eastAsia" w:ascii="宋体" w:hAnsi="宋体" w:eastAsia="宋体" w:cs="宋体"/>
          <w:color w:val="auto"/>
          <w:sz w:val="24"/>
          <w:szCs w:val="24"/>
          <w:highlight w:val="none"/>
        </w:rPr>
        <w:t>分数低于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，甲方有权下浮10%支付造价咨询服务报酬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单项得分低于基础分60%的，甲方有权</w:t>
      </w:r>
      <w:r>
        <w:rPr>
          <w:rFonts w:hint="eastAsia" w:ascii="宋体" w:hAnsi="宋体" w:eastAsia="宋体" w:cs="宋体"/>
          <w:color w:val="auto"/>
          <w:sz w:val="24"/>
          <w:szCs w:val="24"/>
          <w:highlight w:val="none"/>
        </w:rPr>
        <w:t>要求乙方整改，乙方必须无条件接受。</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8.2.9乙方向甲方提出的赔偿要求不能成立时，则应补偿由于该赔偿或其他要求所导致甲方的各种费用的支出。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8.2.10在本合同有效期内，乙方的单位名称变更的，应及时以书面形式通知甲方；乙方法定代表人变更的，应在变更后15</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内向甲方提交新法定代表人的职务、职称、联系电话、通信地址等信息。否则视为乙方违约，乙方应当承担一次一般违约责任。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8.2.12乙方违约责任的认定方式：以甲方发出的通知、通报、会议纪要等书面文件确定的内容为准。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8.3除非法律、法规规定或本合同约定，任何一方不得擅自解除合同，擅自解除合同者应向对方支付</w:t>
      </w:r>
      <w:r>
        <w:rPr>
          <w:rFonts w:hint="eastAsia" w:ascii="宋体" w:hAnsi="宋体" w:eastAsia="宋体" w:cs="宋体"/>
          <w:bCs/>
          <w:color w:val="auto"/>
          <w:sz w:val="24"/>
          <w:szCs w:val="24"/>
          <w:highlight w:val="none"/>
        </w:rPr>
        <w:t>本合同服务报酬总额</w:t>
      </w:r>
      <w:r>
        <w:rPr>
          <w:rFonts w:hint="eastAsia" w:ascii="宋体" w:hAnsi="宋体" w:eastAsia="宋体" w:cs="宋体"/>
          <w:color w:val="auto"/>
          <w:sz w:val="24"/>
          <w:szCs w:val="24"/>
          <w:highlight w:val="none"/>
        </w:rPr>
        <w:t>20%的违约金。如乙方擅自解除合同的，还需返还已收取的全部款项。</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23" w:name="_Toc4410"/>
      <w:bookmarkStart w:id="224" w:name="_Toc13212"/>
      <w:bookmarkStart w:id="225" w:name="_Toc18048"/>
      <w:bookmarkStart w:id="226" w:name="_Toc17992"/>
      <w:bookmarkStart w:id="227" w:name="_Toc30549"/>
      <w:bookmarkStart w:id="228" w:name="_Toc28454"/>
      <w:bookmarkStart w:id="229" w:name="_Toc18110"/>
      <w:bookmarkStart w:id="230" w:name="_Toc22188"/>
      <w:bookmarkStart w:id="231" w:name="_Toc28620"/>
      <w:bookmarkStart w:id="232" w:name="_Toc11086"/>
      <w:bookmarkStart w:id="233" w:name="_Toc24905"/>
      <w:r>
        <w:rPr>
          <w:rFonts w:hint="eastAsia" w:ascii="宋体" w:hAnsi="宋体" w:eastAsia="宋体" w:cs="宋体"/>
          <w:b/>
          <w:color w:val="auto"/>
          <w:sz w:val="24"/>
          <w:szCs w:val="24"/>
          <w:highlight w:val="none"/>
        </w:rPr>
        <w:t>九、合同变更与终止</w:t>
      </w:r>
      <w:bookmarkEnd w:id="223"/>
      <w:bookmarkEnd w:id="224"/>
      <w:bookmarkEnd w:id="225"/>
      <w:bookmarkEnd w:id="226"/>
      <w:bookmarkEnd w:id="227"/>
      <w:bookmarkEnd w:id="228"/>
      <w:bookmarkEnd w:id="229"/>
      <w:bookmarkEnd w:id="230"/>
      <w:bookmarkEnd w:id="231"/>
      <w:bookmarkEnd w:id="232"/>
      <w:bookmarkEnd w:id="23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9.1由于甲方或第三人的原因使乙方工作受到阻碍或延误以致增加了工作量或持续时间，则乙方应当将此情况与可能产生的影响及时书面通知甲方，</w:t>
      </w:r>
      <w:r>
        <w:rPr>
          <w:rFonts w:hint="eastAsia" w:ascii="宋体" w:hAnsi="宋体" w:eastAsia="宋体" w:cs="宋体"/>
          <w:color w:val="auto"/>
          <w:sz w:val="24"/>
          <w:szCs w:val="24"/>
          <w:highlight w:val="none"/>
          <w:lang w:val="en-US" w:eastAsia="zh-CN"/>
        </w:rPr>
        <w:t>经甲方同意后，</w:t>
      </w:r>
      <w:r>
        <w:rPr>
          <w:rFonts w:hint="eastAsia" w:ascii="宋体" w:hAnsi="宋体" w:eastAsia="宋体" w:cs="宋体"/>
          <w:color w:val="auto"/>
          <w:sz w:val="24"/>
          <w:szCs w:val="24"/>
          <w:highlight w:val="none"/>
        </w:rPr>
        <w:t>完成造价咨询工作的时间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相应延长。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9.2当事人一方要求变更或解除合同时，应当至少提前14天通知对方；因变更或解除合同使一方遭受损失的，应由责任方负责赔偿。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9.3本合同履行期间，如遇不可抗力，致使合同无法履行的，双方应按有关法律规定及时协商处理。</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是指不能预见、不能避免并不能克服，对本工程的施工造成重大实质性影响的自然灾害和战争、动乱（不包括承包人内部的任何纠纷和纷争）等事件。政府关于本项目政策的重大调整或本项目建设规划方案重大功能性调整，也属不可抗力的范围。</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自然灾害的范围及其认定方式，按如下约定执行：</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（2）里氏5级（含5级）以上的地震。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9.4</w:t>
      </w:r>
      <w:r>
        <w:rPr>
          <w:rFonts w:hint="eastAsia" w:ascii="宋体" w:hAnsi="宋体" w:eastAsia="宋体" w:cs="宋体"/>
          <w:bCs/>
          <w:color w:val="auto"/>
          <w:kern w:val="0"/>
          <w:sz w:val="24"/>
          <w:szCs w:val="24"/>
          <w:highlight w:val="none"/>
        </w:rPr>
        <w:t>因不可抗力事件导致的费用损失，由甲、乙双方各自承担自己的损失。对不可抗力事件导致的乙方成果文件提交时间的延误，由双方协商确定乙方提交成果的提交时间。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变更或解除合同的通知或协议应当采取书面形式，新的协议未达成之前，原合同仍然有效。</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4" w:name="_Toc25856"/>
      <w:bookmarkStart w:id="235" w:name="_Toc10788"/>
      <w:bookmarkStart w:id="236" w:name="_Toc30118"/>
      <w:bookmarkStart w:id="237" w:name="_Toc21780"/>
      <w:bookmarkStart w:id="238" w:name="_Toc15908"/>
      <w:bookmarkStart w:id="239" w:name="_Toc23279"/>
      <w:bookmarkStart w:id="240" w:name="_Toc14927"/>
      <w:bookmarkStart w:id="241" w:name="_Toc12502"/>
      <w:bookmarkStart w:id="242" w:name="_Toc5628"/>
      <w:bookmarkStart w:id="243" w:name="_Toc29279"/>
      <w:bookmarkStart w:id="244" w:name="_Toc9441"/>
      <w:r>
        <w:rPr>
          <w:rFonts w:hint="eastAsia" w:ascii="宋体" w:hAnsi="宋体" w:eastAsia="宋体" w:cs="宋体"/>
          <w:b/>
          <w:color w:val="auto"/>
          <w:sz w:val="24"/>
          <w:szCs w:val="24"/>
          <w:highlight w:val="none"/>
        </w:rPr>
        <w:t>十、履约担保及索赔</w:t>
      </w:r>
      <w:bookmarkEnd w:id="234"/>
      <w:bookmarkEnd w:id="235"/>
      <w:bookmarkEnd w:id="236"/>
      <w:bookmarkEnd w:id="237"/>
      <w:bookmarkEnd w:id="238"/>
      <w:bookmarkEnd w:id="239"/>
      <w:bookmarkEnd w:id="240"/>
      <w:bookmarkEnd w:id="241"/>
      <w:bookmarkEnd w:id="242"/>
      <w:bookmarkEnd w:id="243"/>
      <w:bookmarkEnd w:id="244"/>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10.1乙方应在本合同签订后14天内按合同附件载明的格式向甲方提交由在中华人民共和国注册并经甲方认可的担保机构开出的担保金额为</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11"/>
          <w:kern w:val="0"/>
          <w:sz w:val="24"/>
          <w:szCs w:val="24"/>
          <w:highlight w:val="none"/>
          <w:u w:val="single"/>
        </w:rPr>
        <w:t>项目全过程造价咨询服务</w:t>
      </w:r>
      <w:r>
        <w:rPr>
          <w:rFonts w:hint="eastAsia" w:ascii="宋体" w:hAnsi="宋体" w:eastAsia="宋体" w:cs="宋体"/>
          <w:color w:val="auto"/>
          <w:spacing w:val="11"/>
          <w:kern w:val="0"/>
          <w:sz w:val="24"/>
          <w:szCs w:val="24"/>
          <w:highlight w:val="none"/>
        </w:rPr>
        <w:t>合同总价款的10％，即人民币</w:t>
      </w:r>
    </w:p>
    <w:p>
      <w:pPr>
        <w:adjustRightInd w:val="0"/>
        <w:snapToGrid w:val="0"/>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u w:val="single"/>
          <w:lang w:val="en-US" w:eastAsia="zh-CN"/>
        </w:rPr>
        <w:t>438,706.80</w:t>
      </w:r>
      <w:r>
        <w:rPr>
          <w:rFonts w:hint="eastAsia" w:ascii="宋体" w:hAnsi="宋体" w:eastAsia="宋体" w:cs="宋体"/>
          <w:color w:val="auto"/>
          <w:spacing w:val="4"/>
          <w:kern w:val="0"/>
          <w:sz w:val="24"/>
          <w:szCs w:val="24"/>
          <w:highlight w:val="none"/>
        </w:rPr>
        <w:t>元的《履约担保》原件。</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10.2乙方如未能在上述约定的时间内提交履约担保的，视为自动放弃中标资格，甲方有权取消乙方中标资格并解除</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合同，给甲方造成损失的，甲方有权要求乙方承担赔偿责任。</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10.3乙方提交的履约担保是对</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约定的乙方的全部义务（包括但不限于乙方违约后应支付的违约金和赔偿金）的担保，乙方的任何一次不履行或不完全履行合同义务的行为，甲方均有权将索赔意向书面通知本合同约定的保证人，向保证人提出索赔。</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10.3.1甲方向保证人发出书面索赔意向七天内，乙方依然没有用实际行动纠正自己的违约行为或者纠正行为不能使甲方满意或者纠正行为无法弥补甲方的损失，则甲方直接向保证人发出正式书面索赔通知。</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10.3.2如果通过向保证人索赔的方式依然不能完全弥补甲方的损失，则甲方有权在应支付给乙方的造价咨询服务报酬中直接扣取。同时甲方有权要求乙方在规定时间内按本合同的约定向甲方补充提交履约担保。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10.3.3 如果通过向保证人索赔以及直接扣取造价咨询服务报酬等方式依然不能完全弥补甲方损失的，乙方必须在甲方规定的时间内以现金形式支付剩余索赔额。否则，甲方将按本合同条款第8.2条“乙方违约责任”的约定处理。</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乙方不履行或不完全履行合同义务的行为导致甲方依据履约担保向保证人索赔履约担保金额的一部分或者全部的，乙方必须在甲方规定的时间内补充提交履约担保，使得本合同履行期间有效的履约担保金额等于乙方按本合同约定第一次提交的履约担保金额。</w:t>
      </w:r>
    </w:p>
    <w:p>
      <w:pPr>
        <w:adjustRightInd w:val="0"/>
        <w:snapToGrid w:val="0"/>
        <w:spacing w:line="360" w:lineRule="auto"/>
        <w:ind w:firstLine="496" w:firstLineChars="200"/>
        <w:rPr>
          <w:rFonts w:hint="eastAsia" w:ascii="宋体" w:hAnsi="宋体" w:eastAsia="宋体" w:cs="宋体"/>
          <w:strike/>
          <w:color w:val="auto"/>
          <w:spacing w:val="4"/>
          <w:kern w:val="0"/>
          <w:sz w:val="24"/>
          <w:szCs w:val="24"/>
          <w:highlight w:val="none"/>
        </w:rPr>
      </w:pPr>
      <w:r>
        <w:rPr>
          <w:rFonts w:hint="eastAsia" w:ascii="宋体" w:hAnsi="宋体" w:eastAsia="宋体" w:cs="宋体"/>
          <w:color w:val="auto"/>
          <w:spacing w:val="4"/>
          <w:kern w:val="0"/>
          <w:sz w:val="24"/>
          <w:szCs w:val="24"/>
          <w:highlight w:val="none"/>
        </w:rPr>
        <w:t>10.4.1乙方需保证履约担保在本合同整个履行期间的有效性；若因工程延期或因其他原因导致担保期限未涵盖本合同整个有效期的，乙方应在担保有效期届满前45天办理履约担保的续期手续，并于原担保有效期届满前10天向甲方提交同样格式且更新日期后的有效履约担保，以替代原履约担保。更新后的履约担保金额应与原履约担保金额一致。</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10.4.2若乙方未按合同约定更新履约担保的，应按以下约定承担违约责任，且甲方有权以不超过担保金额为限暂停支付余下的合同价款直至乙方提交新履约担保。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（1）自原担保期限届满之日起5日内未提交新履约担保的，给予书面警告并限期整改。</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（2）若原担保过期达10天（含）仍未提交新履约担保的，则乙方承担一般违约责任；若原担保过期达30天（含）仍未提交新履约担保的，则乙方须再承担严重违约责任。</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（3）若原担保过期达20天（含）仍未提交新履约担保的，则乙方除按上述约定承担违约责任外，自原担保届满第20天起，乙方应向甲方支付违约金（3000元/天），直至乙方提交新履约担保。</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10.5如果乙方不按甲方的要求及时补充提交履约担保，则甲方有权单方面部分解除或解除本合同，并按合同条款第八条的有关约定执行。</w:t>
      </w:r>
    </w:p>
    <w:p>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10.6</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pacing w:val="4"/>
          <w:kern w:val="0"/>
          <w:sz w:val="24"/>
          <w:szCs w:val="24"/>
          <w:highlight w:val="none"/>
        </w:rPr>
        <w:t>合同约定项目结算</w:t>
      </w:r>
      <w:r>
        <w:rPr>
          <w:rFonts w:hint="eastAsia" w:ascii="宋体" w:hAnsi="宋体" w:eastAsia="宋体" w:cs="宋体"/>
          <w:color w:val="auto"/>
          <w:spacing w:val="4"/>
          <w:kern w:val="0"/>
          <w:sz w:val="24"/>
          <w:szCs w:val="24"/>
          <w:highlight w:val="none"/>
          <w:lang w:val="en-US" w:eastAsia="zh-CN"/>
        </w:rPr>
        <w:t>经有权终审单位审定</w:t>
      </w:r>
      <w:r>
        <w:rPr>
          <w:rFonts w:hint="eastAsia" w:ascii="宋体" w:hAnsi="宋体" w:eastAsia="宋体" w:cs="宋体"/>
          <w:color w:val="auto"/>
          <w:spacing w:val="4"/>
          <w:kern w:val="0"/>
          <w:sz w:val="24"/>
          <w:szCs w:val="24"/>
          <w:highlight w:val="none"/>
        </w:rPr>
        <w:t>后，乙方可以向甲方申请退还履约担保。</w:t>
      </w:r>
    </w:p>
    <w:p>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45" w:name="_Toc19880"/>
      <w:bookmarkStart w:id="246" w:name="_Toc15085"/>
      <w:bookmarkStart w:id="247" w:name="_Toc5221"/>
      <w:bookmarkStart w:id="248" w:name="_Toc25801"/>
      <w:bookmarkStart w:id="249" w:name="_Toc6799"/>
      <w:bookmarkStart w:id="250" w:name="_Toc4215"/>
      <w:bookmarkStart w:id="251" w:name="_Toc32198"/>
      <w:bookmarkStart w:id="252" w:name="_Toc14168"/>
      <w:bookmarkStart w:id="253" w:name="_Toc14562"/>
      <w:bookmarkStart w:id="254" w:name="_Toc16206"/>
      <w:bookmarkStart w:id="255" w:name="_Toc6115"/>
      <w:r>
        <w:rPr>
          <w:rFonts w:hint="eastAsia" w:ascii="宋体" w:hAnsi="宋体" w:eastAsia="宋体" w:cs="宋体"/>
          <w:b/>
          <w:color w:val="auto"/>
          <w:sz w:val="24"/>
          <w:szCs w:val="24"/>
          <w:highlight w:val="none"/>
        </w:rPr>
        <w:t>十一、合同争议的解决</w:t>
      </w:r>
      <w:bookmarkEnd w:id="245"/>
      <w:bookmarkEnd w:id="246"/>
      <w:bookmarkEnd w:id="247"/>
      <w:bookmarkEnd w:id="248"/>
      <w:bookmarkEnd w:id="249"/>
      <w:bookmarkEnd w:id="250"/>
      <w:bookmarkEnd w:id="251"/>
      <w:bookmarkEnd w:id="252"/>
      <w:bookmarkEnd w:id="253"/>
      <w:bookmarkEnd w:id="254"/>
      <w:bookmarkEnd w:id="25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11.1凡因履行本合同而引起的一切争议或与本合同有关的争议，应由甲乙双方通过友好协商解决。协商不成时，任何一方均有权向甲方住所地人民法院提起诉讼。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56" w:name="_Toc11128"/>
      <w:bookmarkStart w:id="257" w:name="_Toc5897"/>
      <w:bookmarkStart w:id="258" w:name="_Toc26914"/>
      <w:bookmarkStart w:id="259" w:name="_Toc13315"/>
      <w:bookmarkStart w:id="260" w:name="_Toc13569"/>
      <w:bookmarkStart w:id="261" w:name="_Toc18095"/>
      <w:bookmarkStart w:id="262" w:name="_Toc20330"/>
      <w:bookmarkStart w:id="263" w:name="_Toc7137"/>
      <w:bookmarkStart w:id="264" w:name="_Toc799"/>
      <w:bookmarkStart w:id="265" w:name="_Toc1400"/>
      <w:bookmarkStart w:id="266" w:name="_Toc29765"/>
      <w:r>
        <w:rPr>
          <w:rFonts w:hint="eastAsia" w:ascii="宋体" w:hAnsi="宋体" w:eastAsia="宋体" w:cs="宋体"/>
          <w:b/>
          <w:color w:val="auto"/>
          <w:sz w:val="24"/>
          <w:szCs w:val="24"/>
          <w:highlight w:val="none"/>
        </w:rPr>
        <w:t>十二、其它</w:t>
      </w:r>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12.1补充条款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乙方承诺严格按照合同约定履行义务，并同意甲方将其履行合同、招投标文件义务的履约情况和不诚信行为（包括但不限于甲方组织的</w:t>
      </w:r>
      <w:r>
        <w:rPr>
          <w:rFonts w:hint="eastAsia" w:ascii="宋体" w:hAnsi="宋体" w:eastAsia="宋体" w:cs="宋体"/>
          <w:color w:val="auto"/>
          <w:sz w:val="24"/>
          <w:szCs w:val="24"/>
          <w:highlight w:val="none"/>
          <w:lang w:val="en-US" w:eastAsia="zh-CN"/>
        </w:rPr>
        <w:t>服务质量评分、</w:t>
      </w:r>
      <w:r>
        <w:rPr>
          <w:rFonts w:hint="eastAsia" w:ascii="宋体" w:hAnsi="宋体" w:eastAsia="宋体" w:cs="宋体"/>
          <w:color w:val="auto"/>
          <w:sz w:val="24"/>
          <w:szCs w:val="24"/>
          <w:highlight w:val="none"/>
        </w:rPr>
        <w:t>考核、考评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通报、</w:t>
      </w:r>
      <w:r>
        <w:rPr>
          <w:rFonts w:hint="eastAsia" w:ascii="宋体" w:hAnsi="宋体" w:eastAsia="宋体" w:cs="宋体"/>
          <w:color w:val="auto"/>
          <w:sz w:val="24"/>
          <w:szCs w:val="24"/>
          <w:highlight w:val="none"/>
        </w:rPr>
        <w:t>作出违约责任处理决定等）</w:t>
      </w:r>
      <w:r>
        <w:rPr>
          <w:rFonts w:hint="eastAsia" w:ascii="宋体" w:hAnsi="宋体" w:eastAsia="宋体" w:cs="宋体"/>
          <w:color w:val="auto"/>
          <w:sz w:val="24"/>
          <w:szCs w:val="24"/>
          <w:highlight w:val="none"/>
          <w:lang w:val="en-US" w:eastAsia="zh-CN"/>
        </w:rPr>
        <w:t>向外界媒体</w:t>
      </w:r>
      <w:r>
        <w:rPr>
          <w:rFonts w:hint="eastAsia" w:ascii="宋体" w:hAnsi="宋体" w:eastAsia="宋体" w:cs="宋体"/>
          <w:color w:val="auto"/>
          <w:sz w:val="24"/>
          <w:szCs w:val="24"/>
          <w:highlight w:val="none"/>
        </w:rPr>
        <w:t>公开披露，由此造成的一切损失和不利后果均由乙方自行承担。</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12.2知识产权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乙方应保证在造价咨询服务中所编制的文件不侵犯他人合法权益。乙方为本合同约定项目提供造价咨询服务编制的所有文件的知识产权应属甲方专有。</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12.3回避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乙方不得再接受除甲方外的其他</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对本项目的服务委托，即不能就本项目既接受甲方的委托，又接受项目投标供应商、施工承包单位等相对利益关系人的委托，否则甲方有权解除本合同并按合同条款第8.2款的约定追究乙方的违约责任。</w:t>
      </w:r>
    </w:p>
    <w:p>
      <w:pPr>
        <w:widowControl/>
        <w:spacing w:line="360" w:lineRule="auto"/>
        <w:contextualSpacing/>
        <w:jc w:val="left"/>
        <w:outlineLvl w:val="9"/>
        <w:rPr>
          <w:rFonts w:hint="eastAsia" w:ascii="宋体" w:hAnsi="宋体" w:eastAsia="宋体" w:cs="宋体"/>
          <w:color w:val="auto"/>
          <w:sz w:val="24"/>
          <w:szCs w:val="24"/>
          <w:highlight w:val="none"/>
        </w:rPr>
      </w:pPr>
      <w:bookmarkStart w:id="267" w:name="_Toc18225"/>
      <w:bookmarkStart w:id="268" w:name="_Toc7644"/>
      <w:r>
        <w:rPr>
          <w:rFonts w:hint="eastAsia" w:ascii="宋体" w:hAnsi="宋体" w:eastAsia="宋体" w:cs="宋体"/>
          <w:color w:val="auto"/>
          <w:sz w:val="24"/>
          <w:szCs w:val="24"/>
          <w:highlight w:val="none"/>
        </w:rPr>
        <w:t>（本页以下无正文）</w:t>
      </w:r>
    </w:p>
    <w:p>
      <w:pPr>
        <w:widowControl/>
        <w:spacing w:line="360" w:lineRule="auto"/>
        <w:contextualSpacing/>
        <w:jc w:val="left"/>
        <w:outlineLvl w:val="9"/>
        <w:rPr>
          <w:rFonts w:hint="eastAsia" w:ascii="宋体" w:hAnsi="宋体" w:eastAsia="宋体" w:cs="宋体"/>
          <w:color w:val="auto"/>
          <w:sz w:val="24"/>
          <w:szCs w:val="24"/>
          <w:highlight w:val="none"/>
        </w:rPr>
      </w:pPr>
    </w:p>
    <w:p>
      <w:pPr>
        <w:widowControl/>
        <w:spacing w:line="360" w:lineRule="auto"/>
        <w:contextualSpacing/>
        <w:jc w:val="left"/>
        <w:outlineLvl w:val="9"/>
        <w:rPr>
          <w:rFonts w:hint="eastAsia" w:ascii="宋体" w:hAnsi="宋体" w:eastAsia="宋体" w:cs="宋体"/>
          <w:color w:val="auto"/>
          <w:sz w:val="24"/>
          <w:szCs w:val="24"/>
          <w:highlight w:val="none"/>
        </w:rPr>
        <w:sectPr>
          <w:footerReference r:id="rId4" w:type="default"/>
          <w:pgSz w:w="11906" w:h="16838"/>
          <w:pgMar w:top="1417" w:right="1800" w:bottom="1417" w:left="1800" w:header="851" w:footer="992" w:gutter="0"/>
          <w:pgNumType w:fmt="decimal" w:start="1"/>
          <w:cols w:space="425" w:num="1"/>
          <w:docGrid w:type="lines" w:linePitch="312" w:charSpace="0"/>
        </w:sectPr>
      </w:pPr>
    </w:p>
    <w:p>
      <w:pPr>
        <w:adjustRightInd w:val="0"/>
        <w:snapToGrid w:val="0"/>
        <w:spacing w:line="360" w:lineRule="auto"/>
        <w:ind w:firstLine="0" w:firstLineChars="0"/>
        <w:jc w:val="center"/>
        <w:outlineLvl w:val="0"/>
        <w:rPr>
          <w:rFonts w:hint="eastAsia" w:ascii="宋体" w:hAnsi="宋体" w:eastAsia="宋体" w:cs="宋体"/>
          <w:b/>
          <w:color w:val="auto"/>
          <w:kern w:val="44"/>
          <w:sz w:val="32"/>
          <w:szCs w:val="32"/>
          <w:highlight w:val="none"/>
          <w:lang w:val="en-US"/>
        </w:rPr>
      </w:pPr>
      <w:bookmarkStart w:id="269" w:name="_Toc843"/>
      <w:bookmarkStart w:id="270" w:name="_Toc24649"/>
      <w:bookmarkStart w:id="271" w:name="_Toc17996"/>
      <w:bookmarkStart w:id="272" w:name="_Toc30973"/>
      <w:bookmarkStart w:id="273" w:name="_Toc3414"/>
      <w:bookmarkStart w:id="274" w:name="_Toc10233"/>
      <w:bookmarkStart w:id="275" w:name="_Toc6621"/>
      <w:bookmarkStart w:id="276" w:name="_Toc32672"/>
      <w:bookmarkStart w:id="277" w:name="_Toc26578"/>
      <w:bookmarkStart w:id="278" w:name="_Toc3443"/>
      <w:bookmarkStart w:id="279" w:name="_Toc2466"/>
      <w:bookmarkStart w:id="280" w:name="_Toc31434"/>
      <w:bookmarkStart w:id="281" w:name="_Toc28251"/>
      <w:bookmarkStart w:id="282" w:name="_Toc29790"/>
      <w:r>
        <w:rPr>
          <w:rFonts w:hint="eastAsia" w:ascii="宋体" w:hAnsi="宋体" w:eastAsia="宋体" w:cs="宋体"/>
          <w:b/>
          <w:color w:val="auto"/>
          <w:kern w:val="44"/>
          <w:sz w:val="32"/>
          <w:szCs w:val="32"/>
          <w:highlight w:val="none"/>
          <w:lang w:val="en-US" w:eastAsia="zh-CN" w:bidi="ar-SA"/>
        </w:rPr>
        <w:t>第三篇　合同附件</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tabs>
          <w:tab w:val="center" w:pos="4792"/>
          <w:tab w:val="right" w:pos="9045"/>
        </w:tabs>
        <w:spacing w:line="360" w:lineRule="auto"/>
        <w:ind w:firstLine="482" w:firstLineChars="200"/>
        <w:jc w:val="left"/>
        <w:outlineLvl w:val="9"/>
        <w:rPr>
          <w:rFonts w:hint="eastAsia" w:ascii="宋体" w:hAnsi="宋体" w:eastAsia="宋体" w:cs="宋体"/>
          <w:b/>
          <w:color w:val="auto"/>
          <w:kern w:val="0"/>
          <w:sz w:val="24"/>
          <w:szCs w:val="24"/>
          <w:highlight w:val="none"/>
        </w:rPr>
      </w:pP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附件1：廉政合同</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附件2：保密协议</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附件3：中标通知书</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附件4：履约担保及承诺书</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附件5：拟投入本项目造价人员一览表</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附件6：投标函及投标函附录</w:t>
      </w:r>
    </w:p>
    <w:p>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附件7：《广州安居集团有限公司造价咨询单位管理办法（试行）》（另册）</w:t>
      </w:r>
    </w:p>
    <w:p>
      <w:pPr>
        <w:widowControl/>
        <w:spacing w:line="360" w:lineRule="auto"/>
        <w:ind w:firstLine="480" w:firstLineChars="200"/>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附件8：乙方营业执照</w:t>
      </w:r>
    </w:p>
    <w:p>
      <w:pPr>
        <w:widowControl/>
        <w:spacing w:line="360" w:lineRule="auto"/>
        <w:contextualSpacing/>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83" w:name="_Toc1477"/>
      <w:bookmarkStart w:id="284" w:name="_Toc21953"/>
      <w:bookmarkStart w:id="285" w:name="_Toc220"/>
      <w:bookmarkStart w:id="286" w:name="_Toc2266"/>
      <w:bookmarkStart w:id="287" w:name="_Toc28385"/>
      <w:bookmarkStart w:id="288" w:name="_Toc125"/>
      <w:bookmarkStart w:id="289" w:name="_Toc17341"/>
      <w:r>
        <w:rPr>
          <w:rFonts w:hint="eastAsia" w:ascii="宋体" w:hAnsi="宋体" w:eastAsia="宋体" w:cs="宋体"/>
          <w:b/>
          <w:bCs/>
          <w:color w:val="auto"/>
          <w:sz w:val="24"/>
          <w:szCs w:val="24"/>
          <w:highlight w:val="none"/>
        </w:rPr>
        <w:t>附件1：</w:t>
      </w:r>
      <w:bookmarkEnd w:id="267"/>
      <w:r>
        <w:rPr>
          <w:rFonts w:hint="eastAsia" w:ascii="宋体" w:hAnsi="宋体" w:eastAsia="宋体" w:cs="宋体"/>
          <w:b/>
          <w:bCs/>
          <w:color w:val="auto"/>
          <w:sz w:val="24"/>
          <w:szCs w:val="24"/>
          <w:highlight w:val="none"/>
          <w:lang w:val="en-US" w:eastAsia="zh-CN"/>
        </w:rPr>
        <w:t>廉政合同</w:t>
      </w:r>
      <w:bookmarkEnd w:id="268"/>
      <w:bookmarkEnd w:id="283"/>
      <w:bookmarkEnd w:id="284"/>
      <w:bookmarkEnd w:id="285"/>
      <w:bookmarkEnd w:id="286"/>
      <w:bookmarkEnd w:id="287"/>
      <w:bookmarkEnd w:id="288"/>
      <w:bookmarkEnd w:id="289"/>
    </w:p>
    <w:p>
      <w:pPr>
        <w:pStyle w:val="22"/>
        <w:spacing w:line="312" w:lineRule="auto"/>
        <w:ind w:firstLine="0"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廉</w:t>
      </w:r>
      <w:r>
        <w:rPr>
          <w:rFonts w:hint="eastAsia" w:ascii="宋体" w:hAnsi="宋体" w:eastAsia="宋体" w:cs="宋体"/>
          <w:color w:val="auto"/>
          <w:sz w:val="30"/>
          <w:szCs w:val="30"/>
          <w:highlight w:val="none"/>
          <w:lang w:eastAsia="zh-CN"/>
        </w:rPr>
        <w:t>政</w:t>
      </w:r>
      <w:r>
        <w:rPr>
          <w:rFonts w:hint="eastAsia" w:ascii="宋体" w:hAnsi="宋体" w:eastAsia="宋体" w:cs="宋体"/>
          <w:color w:val="auto"/>
          <w:sz w:val="30"/>
          <w:szCs w:val="30"/>
          <w:highlight w:val="none"/>
        </w:rPr>
        <w:t>合同</w:t>
      </w:r>
    </w:p>
    <w:p>
      <w:pPr>
        <w:autoSpaceDE/>
        <w:autoSpaceDN/>
        <w:snapToGrid w:val="0"/>
        <w:spacing w:line="312" w:lineRule="auto"/>
        <w:rPr>
          <w:rFonts w:hint="eastAsia" w:ascii="宋体" w:hAnsi="宋体" w:eastAsia="宋体" w:cs="宋体"/>
          <w:color w:val="auto"/>
          <w:kern w:val="0"/>
          <w:sz w:val="24"/>
          <w:szCs w:val="24"/>
          <w:highlight w:val="none"/>
          <w:lang w:val="zh-CN"/>
        </w:rPr>
      </w:pPr>
    </w:p>
    <w:p>
      <w:pPr>
        <w:autoSpaceDE/>
        <w:autoSpaceDN/>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rPr>
        <w:t xml:space="preserve">广州珠江住房租赁发展投资有限公司 </w:t>
      </w:r>
    </w:p>
    <w:p>
      <w:pPr>
        <w:autoSpaceDE/>
        <w:autoSpaceDN/>
        <w:snapToGrid w:val="0"/>
        <w:spacing w:line="312" w:lineRule="auto"/>
        <w:ind w:firstLine="480" w:firstLineChars="200"/>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lang w:val="en-US" w:eastAsia="zh-CN"/>
        </w:rPr>
        <w:t xml:space="preserve">                            </w:t>
      </w:r>
    </w:p>
    <w:p>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双方权利和义务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严格遵守国家、省有关法律法规的规定。</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严格执行合同工程一切合同文件，自觉按合同办事。</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  </w:t>
      </w:r>
      <w:r>
        <w:rPr>
          <w:rFonts w:hint="eastAsia" w:ascii="宋体" w:hAnsi="宋体" w:eastAsia="宋体" w:cs="宋体"/>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建立健全廉政制度，开展廉政教育，设立廉政告示牌，公布举报电话，监督并认真查处违法违纪行为。</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发现对方在业务活动中有违反廉政建设规定的行为，应及时给予提醒和纠正。</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发现对方严重违反合同的行为，有向其主管部门举报、建议给予处理并要求告知处理结果的权利。</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甲方义务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甲方及其工作人员不得索要或接受乙方的礼金、有价证券和贵重物品，不得在乙方报销任何应由甲方或工作人员个人支付的费用等。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甲方及其工作人员不得参加乙方安排的宴请（工作餐除外）和娱乐活动；不得接受乙方</w:t>
      </w:r>
      <w:r>
        <w:rPr>
          <w:rFonts w:hint="eastAsia" w:ascii="宋体" w:hAnsi="宋体" w:eastAsia="宋体" w:cs="宋体"/>
          <w:color w:val="auto"/>
          <w:kern w:val="0"/>
          <w:sz w:val="24"/>
          <w:szCs w:val="24"/>
          <w:highlight w:val="none"/>
          <w:lang w:eastAsia="zh-CN"/>
        </w:rPr>
        <w:t>提供的通信</w:t>
      </w:r>
      <w:r>
        <w:rPr>
          <w:rFonts w:hint="eastAsia" w:ascii="宋体" w:hAnsi="宋体" w:eastAsia="宋体" w:cs="宋体"/>
          <w:color w:val="auto"/>
          <w:kern w:val="0"/>
          <w:sz w:val="24"/>
          <w:szCs w:val="24"/>
          <w:highlight w:val="none"/>
        </w:rPr>
        <w:t>工具、交通工具和高档办公用品等。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甲方及其工作人员不得要求或者接受乙方为其住房装修、婚丧嫁娶活动、配偶子女的工作安排以及出国出境、旅游等提供方便等。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2.4  </w:t>
      </w:r>
      <w:r>
        <w:rPr>
          <w:rFonts w:hint="eastAsia" w:ascii="宋体" w:hAnsi="宋体" w:eastAsia="宋体" w:cs="宋体"/>
          <w:color w:val="auto"/>
          <w:kern w:val="0"/>
          <w:sz w:val="24"/>
          <w:szCs w:val="24"/>
          <w:highlight w:val="none"/>
          <w:lang w:val="zh-CN"/>
        </w:rPr>
        <w:t>甲方及其工作人员不得以任何理由向乙方推荐分包人、推销工程材料和工程设备，不得要求乙方购买合同以外的工程材料和工程设备</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kern w:val="0"/>
          <w:sz w:val="24"/>
          <w:szCs w:val="24"/>
          <w:highlight w:val="none"/>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  </w:t>
      </w:r>
      <w:r>
        <w:rPr>
          <w:rFonts w:hint="eastAsia" w:ascii="宋体" w:hAnsi="宋体" w:eastAsia="宋体" w:cs="宋体"/>
          <w:color w:val="auto"/>
          <w:kern w:val="0"/>
          <w:sz w:val="24"/>
          <w:szCs w:val="24"/>
          <w:highlight w:val="none"/>
          <w:lang w:val="zh-CN"/>
        </w:rPr>
        <w:t>甲方及其工作人员（含其配偶、子女）不得从事与合同工程有关的工程材料和工程设备供应、工程分包、劳务等经济活动</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乙方义务</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乙方不得以任何理由向甲方及其工作人员行贿或馈赠礼金、有价证券、贵重礼品。</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乙方不得以任何名义为甲方及其工作人员报销应由甲方或工作人员个人支付的任何费用。</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乙方不得以任何理由安排甲方及其工作人员参加宴请（工作餐除外）及娱乐活动。</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乙方不得为甲方和个人购置或</w:t>
      </w:r>
      <w:r>
        <w:rPr>
          <w:rFonts w:hint="eastAsia" w:ascii="宋体" w:hAnsi="宋体" w:eastAsia="宋体" w:cs="宋体"/>
          <w:color w:val="auto"/>
          <w:kern w:val="0"/>
          <w:sz w:val="24"/>
          <w:szCs w:val="24"/>
          <w:highlight w:val="none"/>
          <w:lang w:eastAsia="zh-CN"/>
        </w:rPr>
        <w:t>提供通信</w:t>
      </w:r>
      <w:r>
        <w:rPr>
          <w:rFonts w:hint="eastAsia" w:ascii="宋体" w:hAnsi="宋体" w:eastAsia="宋体" w:cs="宋体"/>
          <w:color w:val="auto"/>
          <w:kern w:val="0"/>
          <w:sz w:val="24"/>
          <w:szCs w:val="24"/>
          <w:highlight w:val="none"/>
        </w:rPr>
        <w:t>工具、交通工具和高档办公用品等。</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  </w:t>
      </w:r>
      <w:r>
        <w:rPr>
          <w:rFonts w:hint="eastAsia" w:ascii="宋体" w:hAnsi="宋体" w:eastAsia="宋体" w:cs="宋体"/>
          <w:color w:val="auto"/>
          <w:kern w:val="0"/>
          <w:sz w:val="24"/>
          <w:szCs w:val="24"/>
          <w:highlight w:val="none"/>
          <w:lang w:val="zh-CN"/>
        </w:rPr>
        <w:t>乙方不得为甲方及其工作人员的住房装修、婚丧嫁娶活动、配偶子女工作安排以及出国出境、旅游等提供方便。</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违约责任</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甲方及其工作人员违反本合同第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条和第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条约定，应依据有关规定给予廉政建设规定的处分；涉嫌犯罪的，移交司法机关追究刑事责任；给乙方造成经济损失的，应予赔偿。</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  </w:t>
      </w:r>
      <w:r>
        <w:rPr>
          <w:rFonts w:hint="eastAsia" w:ascii="宋体" w:hAnsi="宋体" w:eastAsia="宋体" w:cs="宋体"/>
          <w:color w:val="auto"/>
          <w:kern w:val="0"/>
          <w:sz w:val="24"/>
          <w:szCs w:val="24"/>
          <w:highlight w:val="none"/>
          <w:lang w:val="zh-CN"/>
        </w:rPr>
        <w:t>乙方及其工作人员违反本合同第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条和第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条约定，应按照廉政建设的有关规定给予处分；涉嫌犯罪的，移交司法机关追究刑事责任；给甲方造成损失的，应予赔偿。</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双方约定</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本合同由合同双方当事人或其主管部门负责监督执行</w:t>
      </w:r>
      <w:r>
        <w:rPr>
          <w:rFonts w:hint="eastAsia" w:ascii="宋体" w:hAnsi="宋体" w:eastAsia="宋体" w:cs="宋体"/>
          <w:color w:val="auto"/>
          <w:kern w:val="0"/>
          <w:sz w:val="24"/>
          <w:szCs w:val="24"/>
          <w:highlight w:val="none"/>
        </w:rPr>
        <w:t>。</w:t>
      </w:r>
    </w:p>
    <w:p>
      <w:pPr>
        <w:pStyle w:val="14"/>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合同法律效力</w:t>
      </w:r>
    </w:p>
    <w:p>
      <w:pPr>
        <w:pStyle w:val="14"/>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本合同作为</w:t>
      </w:r>
      <w:r>
        <w:rPr>
          <w:rFonts w:hint="eastAsia" w:ascii="宋体" w:hAnsi="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kern w:val="0"/>
          <w:sz w:val="24"/>
          <w:szCs w:val="24"/>
          <w:highlight w:val="none"/>
          <w:u w:val="single"/>
        </w:rPr>
        <w:t>合同</w:t>
      </w:r>
      <w:r>
        <w:rPr>
          <w:rFonts w:hint="eastAsia" w:ascii="宋体" w:hAnsi="宋体" w:eastAsia="宋体" w:cs="宋体"/>
          <w:color w:val="auto"/>
          <w:kern w:val="0"/>
          <w:sz w:val="24"/>
          <w:szCs w:val="24"/>
          <w:highlight w:val="none"/>
        </w:rPr>
        <w:t>的附件，与主合同具有同等的法律效力。</w:t>
      </w:r>
    </w:p>
    <w:p>
      <w:pPr>
        <w:pStyle w:val="14"/>
        <w:autoSpaceDE/>
        <w:autoSpaceDN/>
        <w:adjustRightInd w:val="0"/>
        <w:snapToGrid w:val="0"/>
        <w:spacing w:line="312"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合同份数</w:t>
      </w:r>
    </w:p>
    <w:p>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本合同一式陆份，甲、乙双方各执叁份，均具有同等法律效力。</w:t>
      </w:r>
    </w:p>
    <w:p>
      <w:pPr>
        <w:snapToGrid w:val="0"/>
        <w:spacing w:line="312" w:lineRule="auto"/>
        <w:ind w:firstLine="0" w:firstLineChars="0"/>
        <w:rPr>
          <w:rFonts w:hint="eastAsia" w:ascii="宋体" w:hAnsi="宋体" w:eastAsia="宋体" w:cs="宋体"/>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pStyle w:val="23"/>
        <w:snapToGrid w:val="0"/>
        <w:spacing w:line="312" w:lineRule="auto"/>
        <w:ind w:firstLine="482" w:firstLineChars="200"/>
        <w:jc w:val="both"/>
        <w:rPr>
          <w:rFonts w:hint="eastAsia" w:ascii="宋体" w:hAnsi="宋体" w:eastAsia="宋体" w:cs="宋体"/>
          <w:color w:val="auto"/>
          <w:kern w:val="0"/>
          <w:sz w:val="24"/>
          <w:szCs w:val="24"/>
          <w:highlight w:val="none"/>
        </w:rPr>
      </w:pPr>
    </w:p>
    <w:p>
      <w:pPr>
        <w:pStyle w:val="23"/>
        <w:snapToGrid w:val="0"/>
        <w:spacing w:line="312" w:lineRule="auto"/>
        <w:ind w:firstLine="482" w:firstLineChars="200"/>
        <w:jc w:val="both"/>
        <w:rPr>
          <w:rFonts w:hint="eastAsia" w:ascii="宋体" w:hAnsi="宋体" w:eastAsia="宋体" w:cs="宋体"/>
          <w:color w:val="auto"/>
          <w:kern w:val="0"/>
          <w:sz w:val="24"/>
          <w:szCs w:val="24"/>
          <w:highlight w:val="none"/>
        </w:rPr>
      </w:pPr>
    </w:p>
    <w:p>
      <w:pPr>
        <w:tabs>
          <w:tab w:val="left" w:pos="525"/>
          <w:tab w:val="left" w:pos="1155"/>
        </w:tabs>
        <w:snapToGrid w:val="0"/>
        <w:spacing w:line="360" w:lineRule="auto"/>
        <w:ind w:firstLine="1680" w:firstLineChars="7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pPr>
        <w:widowControl/>
        <w:spacing w:line="360" w:lineRule="auto"/>
        <w:contextualSpacing/>
        <w:jc w:val="left"/>
        <w:rPr>
          <w:rFonts w:hint="eastAsia" w:ascii="宋体" w:hAnsi="宋体" w:eastAsia="宋体" w:cs="宋体"/>
          <w:color w:val="auto"/>
          <w:sz w:val="24"/>
          <w:szCs w:val="24"/>
          <w:highlight w:val="none"/>
        </w:rPr>
      </w:pPr>
    </w:p>
    <w:p>
      <w:pPr>
        <w:widowControl/>
        <w:spacing w:line="360" w:lineRule="auto"/>
        <w:contextualSpacing/>
        <w:jc w:val="left"/>
        <w:rPr>
          <w:rFonts w:hint="eastAsia" w:ascii="宋体" w:hAnsi="宋体" w:eastAsia="宋体" w:cs="宋体"/>
          <w:color w:val="auto"/>
          <w:sz w:val="24"/>
          <w:szCs w:val="24"/>
          <w:highlight w:val="none"/>
        </w:rPr>
      </w:pPr>
    </w:p>
    <w:p>
      <w:pPr>
        <w:widowControl w:val="0"/>
        <w:adjustRightInd w:val="0"/>
        <w:snapToGrid w:val="0"/>
        <w:spacing w:line="360" w:lineRule="auto"/>
        <w:ind w:firstLine="0" w:firstLineChars="0"/>
        <w:contextualSpacing/>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90" w:name="_Toc6988"/>
      <w:bookmarkStart w:id="291" w:name="_Toc31353"/>
      <w:bookmarkStart w:id="292" w:name="_Toc25548"/>
      <w:bookmarkStart w:id="293" w:name="_Toc29012"/>
      <w:bookmarkStart w:id="294" w:name="_Toc20975"/>
      <w:bookmarkStart w:id="295" w:name="_Toc2131"/>
      <w:bookmarkStart w:id="296" w:name="_Toc25207"/>
      <w:bookmarkStart w:id="297" w:name="_Toc24941"/>
      <w:bookmarkStart w:id="298" w:name="_Toc8513"/>
      <w:r>
        <w:rPr>
          <w:rFonts w:hint="eastAsia" w:ascii="宋体" w:hAnsi="宋体" w:eastAsia="宋体" w:cs="宋体"/>
          <w:b/>
          <w:bCs/>
          <w:color w:val="auto"/>
          <w:sz w:val="24"/>
          <w:szCs w:val="24"/>
          <w:highlight w:val="none"/>
        </w:rPr>
        <w:t>附件2：</w:t>
      </w:r>
      <w:bookmarkEnd w:id="290"/>
      <w:r>
        <w:rPr>
          <w:rFonts w:hint="eastAsia" w:ascii="宋体" w:hAnsi="宋体" w:eastAsia="宋体" w:cs="宋体"/>
          <w:b/>
          <w:bCs/>
          <w:color w:val="auto"/>
          <w:sz w:val="24"/>
          <w:szCs w:val="24"/>
          <w:highlight w:val="none"/>
          <w:lang w:val="en-US" w:eastAsia="zh-CN"/>
        </w:rPr>
        <w:t>保密协议</w:t>
      </w:r>
      <w:bookmarkEnd w:id="291"/>
      <w:bookmarkEnd w:id="292"/>
      <w:bookmarkEnd w:id="293"/>
      <w:bookmarkEnd w:id="294"/>
      <w:bookmarkEnd w:id="295"/>
      <w:bookmarkEnd w:id="296"/>
      <w:bookmarkEnd w:id="297"/>
      <w:bookmarkEnd w:id="298"/>
    </w:p>
    <w:p>
      <w:pPr>
        <w:snapToGrid w:val="0"/>
        <w:spacing w:line="312" w:lineRule="auto"/>
        <w:ind w:firstLine="602" w:firstLineChars="20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保密协议</w:t>
      </w:r>
    </w:p>
    <w:p>
      <w:pPr>
        <w:snapToGrid w:val="0"/>
        <w:spacing w:line="312" w:lineRule="auto"/>
        <w:ind w:firstLine="482" w:firstLineChars="200"/>
        <w:rPr>
          <w:rFonts w:hint="eastAsia" w:ascii="宋体" w:hAnsi="宋体" w:eastAsia="宋体" w:cs="宋体"/>
          <w:b/>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甲方：（全称）</w:t>
      </w:r>
      <w:r>
        <w:rPr>
          <w:rFonts w:hint="eastAsia" w:ascii="宋体" w:hAnsi="宋体" w:eastAsia="宋体" w:cs="宋体"/>
          <w:color w:val="auto"/>
          <w:kern w:val="0"/>
          <w:sz w:val="24"/>
          <w:szCs w:val="24"/>
          <w:highlight w:val="none"/>
          <w:u w:val="single"/>
        </w:rPr>
        <w:t>广州珠江住房租赁发展投资有限公司</w:t>
      </w:r>
    </w:p>
    <w:p>
      <w:pPr>
        <w:snapToGrid w:val="0"/>
        <w:spacing w:line="312" w:lineRule="auto"/>
        <w:ind w:firstLine="480" w:firstLineChars="200"/>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乙方：（全称）</w:t>
      </w:r>
      <w:r>
        <w:rPr>
          <w:rFonts w:hint="eastAsia" w:ascii="宋体" w:hAnsi="宋体" w:eastAsia="宋体" w:cs="宋体"/>
          <w:color w:val="auto"/>
          <w:kern w:val="0"/>
          <w:sz w:val="24"/>
          <w:szCs w:val="24"/>
          <w:highlight w:val="none"/>
          <w:u w:val="single"/>
          <w:lang w:val="en-US" w:eastAsia="zh-CN"/>
        </w:rPr>
        <w:t xml:space="preserve">                             </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乙方作为甲方服务单位，乙方同意遵守甲方下列保密条款：</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一、保密信息的范围</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“保密信息”在本保密协议中是指乙方在为甲方提供服务工作的过程中所获取的重要工作信息。</w:t>
      </w:r>
      <w:r>
        <w:rPr>
          <w:rFonts w:hint="eastAsia" w:ascii="宋体" w:hAnsi="宋体" w:eastAsia="宋体" w:cs="宋体"/>
          <w:color w:val="auto"/>
          <w:kern w:val="0"/>
          <w:sz w:val="24"/>
          <w:szCs w:val="24"/>
          <w:highlight w:val="none"/>
          <w:lang w:val="zh-CN"/>
        </w:rPr>
        <w:t>该保密信息包括但不限于投资计划、项目规模、项目计划、项目相关数据和图纸、招标文件资料及信息、合同、价格、成本、研究报告、会议资料和文件。</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不论以何种形式或载于何种载体，无论在披露时是否以口头、图像或以书面方式表明其具有保密性，都视为甲方的保密信息。</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二、乙方的保密义务</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乙方对已知悉的甲方保密信息，在此同意：</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（一）未经甲方事前书面批准，不论服务期间或以后，乙方及其工作人员不得以任何方式泄漏甲方的保密信息。</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（二）一旦服务工作终止，乙方及其工作人员将退还保存的属于甲方的所有保密信息及资料，如方案、制度、报告、合同等。</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三、保密期限</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保密期限包括但不限于：从获知甲方保密信息时起，至保密信息已由甲方通过合法途径让普通公众知悉时止。</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四、违约责任</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乙方违反本保密协议约定，要承担违约责任，甲方有权通过任何合理方式追究乙方的责任并终止服务合同。造成损失的，甲方有权要求乙方进行赔偿并追究乙方其他的法律责任。</w:t>
      </w:r>
    </w:p>
    <w:p>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五、其他约定</w:t>
      </w:r>
    </w:p>
    <w:p>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本保密协议一式</w:t>
      </w:r>
      <w:r>
        <w:rPr>
          <w:rFonts w:hint="eastAsia" w:ascii="宋体" w:hAnsi="宋体" w:eastAsia="宋体" w:cs="宋体"/>
          <w:color w:val="auto"/>
          <w:kern w:val="0"/>
          <w:sz w:val="24"/>
          <w:szCs w:val="24"/>
          <w:highlight w:val="none"/>
          <w:u w:val="single"/>
        </w:rPr>
        <w:t>陆</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叁</w:t>
      </w:r>
      <w:r>
        <w:rPr>
          <w:rFonts w:hint="eastAsia" w:ascii="宋体" w:hAnsi="宋体" w:eastAsia="宋体" w:cs="宋体"/>
          <w:color w:val="auto"/>
          <w:kern w:val="0"/>
          <w:sz w:val="24"/>
          <w:szCs w:val="24"/>
          <w:highlight w:val="none"/>
        </w:rPr>
        <w:t>份，具同等法律效力。本保密协议经甲、乙双方签字盖章后生效。</w:t>
      </w:r>
    </w:p>
    <w:p>
      <w:pPr>
        <w:autoSpaceDE w:val="0"/>
        <w:autoSpaceDN w:val="0"/>
        <w:snapToGrid w:val="0"/>
        <w:spacing w:line="312" w:lineRule="auto"/>
        <w:ind w:firstLine="0" w:firstLineChars="0"/>
        <w:rPr>
          <w:rFonts w:hint="eastAsia" w:ascii="宋体" w:hAnsi="宋体" w:eastAsia="宋体" w:cs="宋体"/>
          <w:color w:val="auto"/>
          <w:kern w:val="0"/>
          <w:sz w:val="24"/>
          <w:szCs w:val="24"/>
          <w:highlight w:val="none"/>
        </w:rPr>
      </w:pPr>
    </w:p>
    <w:p>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tabs>
          <w:tab w:val="left" w:pos="525"/>
          <w:tab w:val="left" w:pos="1155"/>
        </w:tabs>
        <w:snapToGrid w:val="0"/>
        <w:spacing w:line="312" w:lineRule="auto"/>
        <w:ind w:firstLine="0" w:firstLineChars="0"/>
        <w:rPr>
          <w:rFonts w:hint="eastAsia" w:ascii="宋体" w:hAnsi="宋体" w:eastAsia="宋体" w:cs="宋体"/>
          <w:color w:val="auto"/>
          <w:kern w:val="0"/>
          <w:sz w:val="24"/>
          <w:szCs w:val="24"/>
          <w:highlight w:val="none"/>
        </w:rPr>
      </w:pPr>
    </w:p>
    <w:p>
      <w:pPr>
        <w:widowControl/>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t>签订日期：年  月  日</w:t>
      </w:r>
    </w:p>
    <w:p>
      <w:pPr>
        <w:widowControl/>
        <w:spacing w:line="360" w:lineRule="auto"/>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contextualSpacing/>
        <w:jc w:val="left"/>
        <w:outlineLvl w:val="0"/>
        <w:rPr>
          <w:rFonts w:hint="eastAsia" w:ascii="宋体" w:hAnsi="宋体" w:eastAsia="宋体" w:cs="宋体"/>
          <w:b/>
          <w:bCs/>
          <w:color w:val="auto"/>
          <w:sz w:val="24"/>
          <w:szCs w:val="24"/>
          <w:highlight w:val="none"/>
          <w:lang w:val="en-US" w:eastAsia="zh-CN"/>
        </w:rPr>
      </w:pPr>
      <w:bookmarkStart w:id="299" w:name="_Toc9692"/>
      <w:bookmarkStart w:id="300" w:name="_Toc15399"/>
      <w:bookmarkStart w:id="301" w:name="_Toc22816"/>
      <w:bookmarkStart w:id="302" w:name="_Toc3686"/>
      <w:bookmarkStart w:id="303" w:name="_Toc6775"/>
      <w:bookmarkStart w:id="304" w:name="_Toc11705"/>
      <w:bookmarkStart w:id="305" w:name="_Toc9240"/>
      <w:bookmarkStart w:id="306" w:name="_Toc25414"/>
      <w:bookmarkStart w:id="307" w:name="_Toc4132"/>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bookmarkEnd w:id="299"/>
      <w:r>
        <w:rPr>
          <w:rFonts w:hint="eastAsia" w:ascii="宋体" w:hAnsi="宋体" w:eastAsia="宋体" w:cs="宋体"/>
          <w:b/>
          <w:bCs/>
          <w:color w:val="auto"/>
          <w:sz w:val="24"/>
          <w:szCs w:val="24"/>
          <w:highlight w:val="none"/>
          <w:lang w:val="en-US" w:eastAsia="zh-CN"/>
        </w:rPr>
        <w:t>中标通知书</w:t>
      </w:r>
      <w:bookmarkEnd w:id="300"/>
      <w:bookmarkEnd w:id="301"/>
      <w:bookmarkEnd w:id="302"/>
      <w:bookmarkEnd w:id="303"/>
      <w:bookmarkEnd w:id="304"/>
      <w:bookmarkEnd w:id="305"/>
      <w:bookmarkEnd w:id="306"/>
      <w:bookmarkEnd w:id="307"/>
    </w:p>
    <w:p>
      <w:pPr>
        <w:widowControl/>
        <w:adjustRightInd w:val="0"/>
        <w:snapToGrid w:val="0"/>
        <w:spacing w:line="360" w:lineRule="auto"/>
        <w:jc w:val="center"/>
        <w:outlineLvl w:val="9"/>
        <w:rPr>
          <w:rFonts w:hint="eastAsia" w:ascii="宋体" w:hAnsi="宋体" w:eastAsia="宋体" w:cs="宋体"/>
          <w:b/>
          <w:color w:val="auto"/>
          <w:kern w:val="0"/>
          <w:sz w:val="32"/>
          <w:szCs w:val="32"/>
          <w:highlight w:val="none"/>
        </w:rPr>
      </w:pPr>
      <w:bookmarkStart w:id="308" w:name="_Toc7869"/>
    </w:p>
    <w:p>
      <w:pPr>
        <w:widowControl/>
        <w:adjustRightInd w:val="0"/>
        <w:snapToGri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中标通知书</w:t>
      </w:r>
      <w:bookmarkEnd w:id="308"/>
    </w:p>
    <w:p>
      <w:pPr>
        <w:widowControl/>
        <w:spacing w:line="360" w:lineRule="auto"/>
        <w:contextualSpacing/>
        <w:jc w:val="both"/>
        <w:outlineLvl w:val="9"/>
        <w:rPr>
          <w:rFonts w:hint="eastAsia" w:ascii="宋体" w:hAnsi="宋体" w:eastAsia="宋体" w:cs="宋体"/>
          <w:color w:val="auto"/>
          <w:sz w:val="24"/>
          <w:szCs w:val="24"/>
          <w:highlight w:val="none"/>
          <w:lang w:eastAsia="zh-CN"/>
        </w:rPr>
      </w:pPr>
    </w:p>
    <w:p>
      <w:pPr>
        <w:pStyle w:val="2"/>
        <w:rPr>
          <w:rFonts w:hint="eastAsia"/>
          <w:color w:val="auto"/>
          <w:highlight w:val="none"/>
        </w:rPr>
        <w:sectPr>
          <w:pgSz w:w="11906" w:h="16838"/>
          <w:pgMar w:top="1417" w:right="1800" w:bottom="1417" w:left="1800" w:header="851" w:footer="992" w:gutter="0"/>
          <w:pgNumType w:fmt="decimal"/>
          <w:cols w:space="425" w:num="1"/>
          <w:docGrid w:type="lines" w:linePitch="312" w:charSpace="0"/>
        </w:sectPr>
      </w:pPr>
    </w:p>
    <w:p>
      <w:pPr>
        <w:widowControl/>
        <w:adjustRightInd w:val="0"/>
        <w:snapToGrid w:val="0"/>
        <w:spacing w:line="360" w:lineRule="auto"/>
        <w:contextualSpacing/>
        <w:jc w:val="left"/>
        <w:outlineLvl w:val="0"/>
        <w:rPr>
          <w:rFonts w:hint="eastAsia" w:ascii="宋体" w:hAnsi="宋体" w:eastAsia="宋体" w:cs="宋体"/>
          <w:color w:val="auto"/>
          <w:sz w:val="24"/>
          <w:szCs w:val="24"/>
          <w:highlight w:val="none"/>
        </w:rPr>
      </w:pPr>
      <w:bookmarkStart w:id="309" w:name="_Toc12887"/>
      <w:bookmarkStart w:id="310" w:name="_Toc21141"/>
      <w:bookmarkStart w:id="311" w:name="_Toc14581"/>
      <w:bookmarkStart w:id="312" w:name="_Toc31550"/>
      <w:bookmarkStart w:id="313" w:name="_Toc1661"/>
      <w:bookmarkStart w:id="314" w:name="_Toc7965"/>
      <w:bookmarkStart w:id="315" w:name="_Toc14092"/>
      <w:bookmarkStart w:id="316" w:name="_Toc12257"/>
      <w:bookmarkStart w:id="317" w:name="_Toc28204"/>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bookmarkEnd w:id="309"/>
      <w:r>
        <w:rPr>
          <w:rFonts w:hint="eastAsia" w:ascii="宋体" w:hAnsi="宋体" w:eastAsia="宋体" w:cs="宋体"/>
          <w:b/>
          <w:bCs/>
          <w:color w:val="auto"/>
          <w:sz w:val="24"/>
          <w:szCs w:val="24"/>
          <w:highlight w:val="none"/>
          <w:lang w:val="en-US" w:eastAsia="zh-CN"/>
        </w:rPr>
        <w:t>履约担保及承诺书</w:t>
      </w:r>
      <w:bookmarkEnd w:id="310"/>
      <w:bookmarkEnd w:id="311"/>
      <w:bookmarkEnd w:id="312"/>
      <w:bookmarkEnd w:id="313"/>
      <w:bookmarkEnd w:id="314"/>
      <w:bookmarkEnd w:id="315"/>
      <w:bookmarkEnd w:id="316"/>
      <w:bookmarkEnd w:id="317"/>
    </w:p>
    <w:p>
      <w:pPr>
        <w:widowControl/>
        <w:adjustRightInd w:val="0"/>
        <w:snapToGrid w:val="0"/>
        <w:spacing w:line="312"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履约担保（格式）</w:t>
      </w:r>
    </w:p>
    <w:p>
      <w:pPr>
        <w:widowControl/>
        <w:adjustRightInd w:val="0"/>
        <w:snapToGrid w:val="0"/>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b/>
          <w:color w:val="auto"/>
          <w:kern w:val="0"/>
          <w:sz w:val="24"/>
          <w:szCs w:val="24"/>
          <w:highlight w:val="none"/>
          <w:u w:val="single"/>
        </w:rPr>
        <w:t>：</w:t>
      </w:r>
    </w:p>
    <w:p>
      <w:pPr>
        <w:widowControl/>
        <w:spacing w:line="312" w:lineRule="auto"/>
        <w:ind w:firstLine="48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24"/>
          <w:szCs w:val="24"/>
          <w:highlight w:val="none"/>
        </w:rPr>
        <w:t>鉴于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（以下称咨询人）已</w:t>
      </w:r>
      <w:r>
        <w:rPr>
          <w:rFonts w:hint="eastAsia" w:ascii="宋体" w:hAnsi="宋体" w:eastAsia="宋体" w:cs="宋体"/>
          <w:color w:val="auto"/>
          <w:sz w:val="24"/>
          <w:szCs w:val="24"/>
          <w:highlight w:val="none"/>
          <w:lang w:val="en-US" w:eastAsia="zh-CN" w:bidi="ar"/>
        </w:rPr>
        <w:t>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日</w:t>
      </w:r>
      <w:r>
        <w:rPr>
          <w:rFonts w:hint="eastAsia" w:ascii="宋体" w:hAnsi="宋体" w:eastAsia="宋体" w:cs="宋体"/>
          <w:color w:val="auto"/>
          <w:kern w:val="0"/>
          <w:sz w:val="24"/>
          <w:szCs w:val="24"/>
          <w:highlight w:val="none"/>
        </w:rPr>
        <w:t>与贵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订立《</w:t>
      </w:r>
      <w:r>
        <w:rPr>
          <w:rFonts w:hint="eastAsia" w:ascii="宋体" w:hAnsi="宋体" w:eastAsia="宋体" w:cs="宋体"/>
          <w:color w:val="auto"/>
          <w:spacing w:val="4"/>
          <w:kern w:val="0"/>
          <w:sz w:val="24"/>
          <w:szCs w:val="24"/>
          <w:highlight w:val="none"/>
          <w:u w:val="none"/>
          <w:lang w:eastAsia="zh-CN"/>
        </w:rPr>
        <w:t>新民村（一期）公共租赁住房</w:t>
      </w:r>
      <w:r>
        <w:rPr>
          <w:rFonts w:hint="eastAsia" w:ascii="宋体" w:hAnsi="宋体" w:eastAsia="宋体" w:cs="宋体"/>
          <w:color w:val="auto"/>
          <w:spacing w:val="4"/>
          <w:kern w:val="0"/>
          <w:sz w:val="24"/>
          <w:szCs w:val="24"/>
          <w:highlight w:val="none"/>
          <w:u w:val="none"/>
        </w:rPr>
        <w:t>项目全过程造价咨询服务</w:t>
      </w:r>
      <w:r>
        <w:rPr>
          <w:rFonts w:hint="eastAsia" w:ascii="宋体" w:hAnsi="宋体" w:eastAsia="宋体" w:cs="宋体"/>
          <w:color w:val="auto"/>
          <w:kern w:val="0"/>
          <w:sz w:val="24"/>
          <w:szCs w:val="24"/>
          <w:highlight w:val="none"/>
        </w:rPr>
        <w:t>合同》（合同编号：</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，以下简称为合同）。我方同意为咨询人出具担保，以担保金额为人民币</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提供不可撤销的连带责任保证，担保的范围为：咨询人按合同约定应向贵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履行的全部义务，包括但不限于合同约定的义务，应向贵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 xml:space="preserve">支付的利息，在人力资源、办公设备、服务质量及服务期限等方面的违约金，损害赔偿金，实现债权的费用。 </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我方承诺如下：</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1．咨询人在履行合同中，由于资金、技术、质量或非不可抗力及违约等原因需向贵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支付违约金或赔偿金时，在贵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sz w:val="24"/>
          <w:szCs w:val="24"/>
          <w:highlight w:val="none"/>
        </w:rPr>
        <w:t>以书面索赔通知纸质原件形式提出要求得到上述金额内的任何付款时（需提供本担保正本原件供我方核对），我方在7个工作日内予以支付累计不超过上述担保金额的款项</w:t>
      </w:r>
      <w:r>
        <w:rPr>
          <w:rFonts w:hint="eastAsia" w:ascii="宋体" w:hAnsi="宋体" w:eastAsia="宋体" w:cs="宋体"/>
          <w:color w:val="auto"/>
          <w:kern w:val="0"/>
          <w:sz w:val="24"/>
          <w:szCs w:val="24"/>
          <w:highlight w:val="none"/>
        </w:rPr>
        <w:t>，不挑剔、不争辩，也不要求贵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出具证明或说明背景、理由。</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2．我方放弃贵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应先向咨询人要求赔偿上述金额然后再向我方提出要求的权利。</w:t>
      </w:r>
    </w:p>
    <w:p>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3．我方进一步同意，在贵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和咨询人之间的合同条件、合同项下的服务或合同发生变化、补充或修改，</w:t>
      </w:r>
      <w:r>
        <w:rPr>
          <w:rFonts w:hint="eastAsia" w:ascii="宋体" w:hAnsi="宋体" w:eastAsia="宋体" w:cs="宋体"/>
          <w:color w:val="auto"/>
          <w:sz w:val="24"/>
          <w:szCs w:val="24"/>
          <w:highlight w:val="none"/>
        </w:rPr>
        <w:t>在不加重我方担保责任的情况下，</w:t>
      </w:r>
      <w:r>
        <w:rPr>
          <w:rFonts w:hint="eastAsia" w:ascii="宋体" w:hAnsi="宋体" w:eastAsia="宋体" w:cs="宋体"/>
          <w:color w:val="auto"/>
          <w:kern w:val="0"/>
          <w:sz w:val="24"/>
          <w:szCs w:val="24"/>
          <w:highlight w:val="none"/>
        </w:rPr>
        <w:t>我方承担本担保的责任也不改变。有关上述变化、补充和修改也无须通知我方。</w:t>
      </w:r>
    </w:p>
    <w:p>
      <w:pPr>
        <w:widowControl/>
        <w:autoSpaceDE/>
        <w:autoSpaceDN/>
        <w:adjustRightInd w:val="0"/>
        <w:snapToGrid w:val="0"/>
        <w:spacing w:line="312" w:lineRule="auto"/>
        <w:ind w:firstLine="480"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kern w:val="0"/>
          <w:sz w:val="24"/>
          <w:szCs w:val="24"/>
          <w:highlight w:val="none"/>
        </w:rPr>
        <w:t>4．本担保</w:t>
      </w:r>
      <w:r>
        <w:rPr>
          <w:rFonts w:hint="eastAsia" w:ascii="宋体" w:hAnsi="宋体" w:eastAsia="宋体" w:cs="宋体"/>
          <w:color w:val="auto"/>
          <w:spacing w:val="-4"/>
          <w:kern w:val="0"/>
          <w:sz w:val="24"/>
          <w:szCs w:val="24"/>
          <w:highlight w:val="none"/>
        </w:rPr>
        <w:t>有效期间为：自本担保签署之</w:t>
      </w:r>
      <w:r>
        <w:rPr>
          <w:rFonts w:hint="eastAsia" w:ascii="宋体" w:hAnsi="宋体" w:eastAsia="宋体" w:cs="宋体"/>
          <w:color w:val="auto"/>
          <w:kern w:val="0"/>
          <w:sz w:val="24"/>
          <w:szCs w:val="24"/>
          <w:highlight w:val="none"/>
        </w:rPr>
        <w:t>日起至合同约定项目结算定审之日止，但最迟不超过</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本担保适用中华人民共和国法律，任何与本担保有关的争议均需提交贵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所在地人民法院提起诉讼。</w:t>
      </w:r>
    </w:p>
    <w:p>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本担保自我方负责人（或委托代理人）签字并加盖公章之日起生效。</w:t>
      </w:r>
    </w:p>
    <w:p>
      <w:pPr>
        <w:widowControl/>
        <w:autoSpaceDE/>
        <w:autoSpaceDN/>
        <w:adjustRightInd w:val="0"/>
        <w:snapToGrid w:val="0"/>
        <w:spacing w:line="312" w:lineRule="auto"/>
        <w:jc w:val="left"/>
        <w:rPr>
          <w:rFonts w:hint="eastAsia" w:ascii="宋体" w:hAnsi="宋体" w:eastAsia="宋体" w:cs="宋体"/>
          <w:color w:val="auto"/>
          <w:kern w:val="0"/>
          <w:sz w:val="24"/>
          <w:szCs w:val="24"/>
          <w:highlight w:val="none"/>
        </w:rPr>
      </w:pP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保证人：（盖章）</w:t>
      </w:r>
    </w:p>
    <w:p>
      <w:pPr>
        <w:widowControl/>
        <w:autoSpaceDE/>
        <w:autoSpaceDN/>
        <w:adjustRightInd w:val="0"/>
        <w:snapToGrid w:val="0"/>
        <w:spacing w:line="312" w:lineRule="auto"/>
        <w:ind w:firstLine="4271"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rPr>
        <w:t>负责人</w:t>
      </w:r>
      <w:r>
        <w:rPr>
          <w:rFonts w:hint="eastAsia" w:ascii="宋体" w:hAnsi="宋体" w:eastAsia="宋体" w:cs="宋体"/>
          <w:color w:val="auto"/>
          <w:kern w:val="0"/>
          <w:sz w:val="24"/>
          <w:szCs w:val="24"/>
          <w:highlight w:val="none"/>
        </w:rPr>
        <w:t>（或委托代理人）：</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p>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pPr>
        <w:adjustRightInd w:val="0"/>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sz w:val="30"/>
          <w:szCs w:val="30"/>
          <w:highlight w:val="none"/>
        </w:rPr>
        <w:t>承诺书</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p>
    <w:p>
      <w:pPr>
        <w:autoSpaceDE/>
        <w:autoSpaceDN/>
        <w:adjustRightInd w:val="0"/>
        <w:snapToGrid w:val="0"/>
        <w:spacing w:line="360" w:lineRule="auto"/>
        <w:outlineLvl w:val="9"/>
        <w:rPr>
          <w:rFonts w:hint="eastAsia" w:ascii="宋体" w:hAnsi="宋体" w:eastAsia="宋体" w:cs="宋体"/>
          <w:b/>
          <w:color w:val="auto"/>
          <w:sz w:val="24"/>
          <w:szCs w:val="24"/>
          <w:highlight w:val="none"/>
          <w:u w:val="single"/>
        </w:rPr>
      </w:pPr>
      <w:bookmarkStart w:id="318" w:name="_Toc25861"/>
      <w:r>
        <w:rPr>
          <w:rFonts w:hint="eastAsia" w:ascii="宋体" w:hAnsi="宋体" w:eastAsia="宋体" w:cs="宋体"/>
          <w:b/>
          <w:color w:val="auto"/>
          <w:sz w:val="24"/>
          <w:szCs w:val="24"/>
          <w:highlight w:val="none"/>
          <w:u w:val="single"/>
          <w:lang w:val="en-US" w:eastAsia="zh-CN"/>
        </w:rPr>
        <w:t>广州珠江住房租赁发展投资有限公司</w:t>
      </w:r>
      <w:r>
        <w:rPr>
          <w:rFonts w:hint="eastAsia" w:ascii="宋体" w:hAnsi="宋体" w:eastAsia="宋体" w:cs="宋体"/>
          <w:b/>
          <w:color w:val="auto"/>
          <w:sz w:val="24"/>
          <w:szCs w:val="24"/>
          <w:highlight w:val="none"/>
          <w:u w:val="single"/>
        </w:rPr>
        <w:t>：</w:t>
      </w:r>
      <w:bookmarkEnd w:id="318"/>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我司已于20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提交了</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项目的履约担保，履约担保最长有效期至20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如在履约担保最长有效期届满时</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合同约定项目</w:t>
      </w:r>
      <w:r>
        <w:rPr>
          <w:rFonts w:hint="eastAsia" w:ascii="宋体" w:hAnsi="宋体" w:eastAsia="宋体" w:cs="宋体"/>
          <w:color w:val="auto"/>
          <w:spacing w:val="4"/>
          <w:sz w:val="24"/>
          <w:szCs w:val="24"/>
          <w:highlight w:val="none"/>
        </w:rPr>
        <w:t>未完成</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pacing w:val="4"/>
          <w:sz w:val="24"/>
          <w:szCs w:val="24"/>
          <w:highlight w:val="none"/>
        </w:rPr>
        <w:t>的</w:t>
      </w:r>
      <w:r>
        <w:rPr>
          <w:rFonts w:hint="eastAsia" w:ascii="宋体" w:hAnsi="宋体" w:eastAsia="宋体" w:cs="宋体"/>
          <w:color w:val="auto"/>
          <w:sz w:val="24"/>
          <w:szCs w:val="24"/>
          <w:highlight w:val="none"/>
        </w:rPr>
        <w:t>，我司将在履约担保最长有效期届满十天前按原履约担保格式提交新的履约担保，否则，贵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有权暂停支付余下的合同价款，直至我司提交新的履约担保或完成</w:t>
      </w:r>
      <w:r>
        <w:rPr>
          <w:rFonts w:hint="eastAsia" w:ascii="宋体" w:hAnsi="宋体" w:eastAsia="宋体" w:cs="宋体"/>
          <w:color w:val="auto"/>
          <w:spacing w:val="4"/>
          <w:kern w:val="0"/>
          <w:sz w:val="24"/>
          <w:szCs w:val="24"/>
          <w:highlight w:val="none"/>
          <w:u w:val="single"/>
          <w:lang w:eastAsia="zh-CN"/>
        </w:rPr>
        <w:t>新民村（一期）公共租赁住房</w:t>
      </w:r>
      <w:r>
        <w:rPr>
          <w:rFonts w:hint="eastAsia" w:ascii="宋体" w:hAnsi="宋体" w:eastAsia="宋体" w:cs="宋体"/>
          <w:color w:val="auto"/>
          <w:spacing w:val="4"/>
          <w:kern w:val="0"/>
          <w:sz w:val="24"/>
          <w:szCs w:val="24"/>
          <w:highlight w:val="none"/>
          <w:u w:val="single"/>
        </w:rPr>
        <w:t>项目全过程造价咨询服务</w:t>
      </w:r>
      <w:r>
        <w:rPr>
          <w:rFonts w:hint="eastAsia" w:ascii="宋体" w:hAnsi="宋体" w:eastAsia="宋体" w:cs="宋体"/>
          <w:color w:val="auto"/>
          <w:sz w:val="24"/>
          <w:szCs w:val="24"/>
          <w:highlight w:val="none"/>
        </w:rPr>
        <w:t>合同约定项目</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z w:val="24"/>
          <w:szCs w:val="24"/>
          <w:highlight w:val="none"/>
        </w:rPr>
        <w:t>。</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p>
    <w:p>
      <w:pPr>
        <w:wordWrap w:val="0"/>
        <w:autoSpaceDE/>
        <w:autoSpaceDN/>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p>
    <w:p>
      <w:pPr>
        <w:autoSpaceDE/>
        <w:autoSpaceDN/>
        <w:adjustRightInd w:val="0"/>
        <w:snapToGrid w:val="0"/>
        <w:spacing w:line="360" w:lineRule="auto"/>
        <w:ind w:right="480" w:firstLine="5301" w:firstLineChars="2200"/>
        <w:outlineLvl w:val="9"/>
        <w:rPr>
          <w:rFonts w:hint="eastAsia" w:ascii="宋体" w:hAnsi="宋体" w:eastAsia="宋体" w:cs="宋体"/>
          <w:b/>
          <w:color w:val="auto"/>
          <w:sz w:val="24"/>
          <w:szCs w:val="24"/>
          <w:highlight w:val="none"/>
        </w:rPr>
      </w:pPr>
      <w:bookmarkStart w:id="319" w:name="_Toc3065"/>
      <w:r>
        <w:rPr>
          <w:rFonts w:hint="eastAsia" w:ascii="宋体" w:hAnsi="宋体" w:eastAsia="宋体" w:cs="宋体"/>
          <w:b/>
          <w:color w:val="auto"/>
          <w:sz w:val="24"/>
          <w:szCs w:val="24"/>
          <w:highlight w:val="none"/>
        </w:rPr>
        <w:t>承诺人：</w:t>
      </w:r>
      <w:bookmarkEnd w:id="319"/>
      <w:r>
        <w:rPr>
          <w:rFonts w:hint="eastAsia" w:ascii="宋体" w:hAnsi="宋体" w:eastAsia="宋体" w:cs="宋体"/>
          <w:b/>
          <w:color w:val="auto"/>
          <w:sz w:val="24"/>
          <w:szCs w:val="24"/>
          <w:highlight w:val="none"/>
        </w:rPr>
        <w:t xml:space="preserve"> </w:t>
      </w:r>
    </w:p>
    <w:p>
      <w:pPr>
        <w:autoSpaceDE/>
        <w:autoSpaceDN/>
        <w:adjustRightInd w:val="0"/>
        <w:snapToGrid w:val="0"/>
        <w:spacing w:line="360" w:lineRule="auto"/>
        <w:ind w:left="0" w:leftChars="0" w:right="480" w:firstLine="6720" w:firstLine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pPr>
        <w:autoSpaceDE/>
        <w:autoSpaceDN/>
        <w:adjustRightInd w:val="0"/>
        <w:snapToGrid w:val="0"/>
        <w:spacing w:line="360" w:lineRule="auto"/>
        <w:ind w:right="480" w:firstLine="5301" w:firstLineChars="2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pPr>
        <w:pStyle w:val="13"/>
        <w:widowControl w:val="0"/>
        <w:adjustRightInd w:val="0"/>
        <w:snapToGrid w:val="0"/>
        <w:spacing w:beforeAutospacing="0" w:afterAutospacing="0" w:line="360" w:lineRule="auto"/>
        <w:ind w:firstLine="480" w:firstLineChars="200"/>
        <w:jc w:val="both"/>
        <w:rPr>
          <w:rFonts w:hint="eastAsia" w:cs="宋体"/>
          <w:color w:val="auto"/>
          <w:kern w:val="2"/>
          <w:sz w:val="24"/>
          <w:szCs w:val="24"/>
          <w:highlight w:val="none"/>
        </w:rPr>
      </w:pPr>
    </w:p>
    <w:p>
      <w:pPr>
        <w:autoSpaceDE/>
        <w:autoSpaceDN/>
        <w:adjustRightInd w:val="0"/>
        <w:snapToGrid w:val="0"/>
        <w:spacing w:line="360" w:lineRule="auto"/>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日</w:t>
      </w:r>
    </w:p>
    <w:p>
      <w:pPr>
        <w:widowControl/>
        <w:autoSpaceDE w:val="0"/>
        <w:autoSpaceDN w:val="0"/>
        <w:adjustRightInd w:val="0"/>
        <w:snapToGrid w:val="0"/>
        <w:spacing w:line="360" w:lineRule="exact"/>
        <w:jc w:val="left"/>
        <w:rPr>
          <w:rFonts w:hint="eastAsia" w:ascii="宋体" w:hAnsi="宋体" w:eastAsia="宋体" w:cs="宋体"/>
          <w:color w:val="auto"/>
          <w:szCs w:val="21"/>
          <w:highlight w:val="none"/>
        </w:rPr>
      </w:pPr>
    </w:p>
    <w:p>
      <w:pPr>
        <w:widowControl/>
        <w:spacing w:line="360" w:lineRule="auto"/>
        <w:contextualSpacing/>
        <w:jc w:val="left"/>
        <w:outlineLvl w:val="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br w:type="page"/>
      </w:r>
      <w:bookmarkStart w:id="320" w:name="_Toc979"/>
      <w:bookmarkStart w:id="321" w:name="_Toc14466"/>
      <w:bookmarkStart w:id="322" w:name="_Toc11527"/>
      <w:bookmarkStart w:id="323" w:name="_Toc19627"/>
      <w:bookmarkStart w:id="324" w:name="_Toc1074"/>
      <w:bookmarkStart w:id="325" w:name="_Toc15388"/>
      <w:bookmarkStart w:id="326" w:name="_Toc26835"/>
      <w:bookmarkStart w:id="327" w:name="_Toc12945"/>
      <w:bookmarkStart w:id="328" w:name="_Toc7518"/>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bookmarkEnd w:id="320"/>
      <w:r>
        <w:rPr>
          <w:rFonts w:hint="eastAsia" w:ascii="宋体" w:hAnsi="宋体" w:eastAsia="宋体" w:cs="宋体"/>
          <w:b/>
          <w:bCs/>
          <w:color w:val="auto"/>
          <w:sz w:val="24"/>
          <w:szCs w:val="24"/>
          <w:highlight w:val="none"/>
          <w:lang w:val="en-US" w:eastAsia="zh-CN"/>
        </w:rPr>
        <w:t>拟投入本项目造价人员一览表</w:t>
      </w:r>
      <w:bookmarkEnd w:id="321"/>
      <w:bookmarkEnd w:id="322"/>
      <w:bookmarkEnd w:id="323"/>
      <w:bookmarkEnd w:id="324"/>
      <w:bookmarkEnd w:id="325"/>
      <w:bookmarkEnd w:id="326"/>
      <w:bookmarkEnd w:id="327"/>
      <w:bookmarkEnd w:id="328"/>
    </w:p>
    <w:p>
      <w:pPr>
        <w:widowControl/>
        <w:adjustRightInd w:val="0"/>
        <w:snapToGrid w:val="0"/>
        <w:spacing w:line="360" w:lineRule="auto"/>
        <w:jc w:val="both"/>
        <w:rPr>
          <w:rFonts w:hint="eastAsia" w:ascii="宋体" w:hAnsi="宋体" w:eastAsia="宋体" w:cs="宋体"/>
          <w:b/>
          <w:color w:val="auto"/>
          <w:kern w:val="0"/>
          <w:sz w:val="32"/>
          <w:szCs w:val="32"/>
          <w:highlight w:val="none"/>
          <w:lang w:eastAsia="zh-CN"/>
        </w:rPr>
      </w:pPr>
    </w:p>
    <w:p>
      <w:pPr>
        <w:pStyle w:val="15"/>
        <w:ind w:left="0" w:leftChars="0" w:firstLine="0" w:firstLineChars="0"/>
        <w:rPr>
          <w:rFonts w:hint="eastAsia" w:ascii="宋体" w:hAnsi="宋体" w:eastAsia="宋体" w:cs="宋体"/>
          <w:color w:val="auto"/>
          <w:kern w:val="0"/>
          <w:sz w:val="24"/>
          <w:szCs w:val="24"/>
          <w:highlight w:val="none"/>
          <w:lang w:eastAsia="zh-CN"/>
        </w:rPr>
      </w:pPr>
    </w:p>
    <w:p>
      <w:pPr>
        <w:pStyle w:val="15"/>
        <w:rPr>
          <w:rFonts w:hint="eastAsia" w:ascii="宋体" w:hAnsi="宋体" w:eastAsia="宋体" w:cs="宋体"/>
          <w:color w:val="auto"/>
          <w:kern w:val="0"/>
          <w:sz w:val="24"/>
          <w:szCs w:val="24"/>
          <w:highlight w:val="none"/>
        </w:rPr>
      </w:pPr>
    </w:p>
    <w:p>
      <w:pPr>
        <w:pStyle w:val="15"/>
        <w:ind w:left="0" w:leftChars="0" w:firstLine="0" w:firstLineChars="0"/>
        <w:jc w:val="both"/>
        <w:rPr>
          <w:rFonts w:hint="eastAsia" w:ascii="宋体" w:hAnsi="宋体" w:eastAsia="宋体" w:cs="宋体"/>
          <w:color w:val="auto"/>
          <w:kern w:val="0"/>
          <w:sz w:val="24"/>
          <w:szCs w:val="24"/>
          <w:highlight w:val="none"/>
          <w:lang w:eastAsia="zh-CN"/>
        </w:rPr>
      </w:pPr>
    </w:p>
    <w:p>
      <w:pPr>
        <w:pStyle w:val="15"/>
        <w:ind w:left="0" w:leftChars="0" w:firstLine="0" w:firstLineChars="0"/>
        <w:jc w:val="both"/>
        <w:rPr>
          <w:rFonts w:hint="eastAsia" w:ascii="宋体" w:hAnsi="宋体" w:eastAsia="宋体" w:cs="宋体"/>
          <w:color w:val="auto"/>
          <w:kern w:val="0"/>
          <w:sz w:val="24"/>
          <w:szCs w:val="24"/>
          <w:highlight w:val="none"/>
          <w:lang w:eastAsia="zh-CN"/>
        </w:rPr>
      </w:pPr>
    </w:p>
    <w:p>
      <w:pPr>
        <w:pStyle w:val="15"/>
        <w:rPr>
          <w:rFonts w:hint="eastAsia" w:ascii="宋体" w:hAnsi="宋体" w:eastAsia="宋体" w:cs="宋体"/>
          <w:color w:val="auto"/>
          <w:kern w:val="0"/>
          <w:sz w:val="24"/>
          <w:szCs w:val="24"/>
          <w:highlight w:val="none"/>
          <w:lang w:eastAsia="zh-CN"/>
        </w:rPr>
      </w:pPr>
    </w:p>
    <w:p>
      <w:pPr>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br w:type="page"/>
      </w:r>
      <w:bookmarkStart w:id="329" w:name="_Toc4334"/>
      <w:bookmarkStart w:id="330" w:name="_Toc27621"/>
      <w:bookmarkStart w:id="331" w:name="_Toc10633"/>
      <w:bookmarkStart w:id="332" w:name="_Toc17471"/>
      <w:bookmarkStart w:id="333" w:name="_Toc31002"/>
      <w:bookmarkStart w:id="334" w:name="_Toc10767"/>
      <w:bookmarkStart w:id="335" w:name="_Toc24566"/>
      <w:bookmarkStart w:id="336" w:name="_Toc15441"/>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：投标函及投标函附录</w:t>
      </w:r>
      <w:bookmarkEnd w:id="329"/>
      <w:bookmarkEnd w:id="330"/>
      <w:bookmarkEnd w:id="331"/>
      <w:bookmarkEnd w:id="332"/>
      <w:bookmarkEnd w:id="333"/>
      <w:bookmarkEnd w:id="334"/>
      <w:bookmarkEnd w:id="335"/>
      <w:bookmarkEnd w:id="336"/>
    </w:p>
    <w:p>
      <w:pPr>
        <w:widowControl/>
        <w:spacing w:line="360" w:lineRule="auto"/>
        <w:contextualSpacing/>
        <w:jc w:val="left"/>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rPr>
          <w:rFonts w:hint="eastAsia" w:ascii="宋体" w:hAnsi="宋体" w:eastAsia="宋体" w:cs="宋体"/>
          <w:color w:val="auto"/>
          <w:kern w:val="0"/>
          <w:sz w:val="24"/>
          <w:szCs w:val="24"/>
          <w:highlight w:val="none"/>
          <w:lang w:eastAsia="zh-CN"/>
        </w:rPr>
      </w:pPr>
    </w:p>
    <w:p>
      <w:pPr>
        <w:pStyle w:val="2"/>
        <w:rPr>
          <w:rFonts w:hint="eastAsia" w:ascii="宋体" w:hAnsi="宋体" w:eastAsia="宋体" w:cs="宋体"/>
          <w:color w:val="auto"/>
          <w:kern w:val="0"/>
          <w:sz w:val="24"/>
          <w:szCs w:val="24"/>
          <w:highlight w:val="none"/>
          <w:lang w:eastAsia="zh-CN"/>
        </w:rPr>
      </w:pPr>
    </w:p>
    <w:p>
      <w:pPr>
        <w:jc w:val="both"/>
        <w:rPr>
          <w:rFonts w:hint="eastAsia"/>
          <w:color w:val="auto"/>
          <w:highlight w:val="none"/>
          <w:lang w:eastAsia="zh-CN"/>
        </w:rPr>
      </w:pPr>
    </w:p>
    <w:p>
      <w:pPr>
        <w:widowControl/>
        <w:spacing w:line="360" w:lineRule="auto"/>
        <w:contextualSpacing/>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37" w:name="_Toc24707"/>
      <w:bookmarkStart w:id="338" w:name="_Toc11969"/>
      <w:bookmarkStart w:id="339" w:name="_Toc19055"/>
      <w:bookmarkStart w:id="340" w:name="_Toc1646"/>
      <w:bookmarkStart w:id="341" w:name="_Toc5492"/>
      <w:bookmarkStart w:id="342" w:name="_Toc16062"/>
      <w:bookmarkStart w:id="343" w:name="_Toc6424"/>
      <w:bookmarkStart w:id="344" w:name="_Toc2543"/>
      <w:bookmarkStart w:id="345" w:name="_Toc16791"/>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广州安居集团有限公司造价咨询单位管理办法（试行）</w:t>
      </w:r>
      <w:r>
        <w:rPr>
          <w:rFonts w:hint="eastAsia" w:ascii="宋体" w:hAnsi="宋体" w:eastAsia="宋体" w:cs="宋体"/>
          <w:b/>
          <w:bCs/>
          <w:color w:val="auto"/>
          <w:sz w:val="24"/>
          <w:szCs w:val="24"/>
          <w:highlight w:val="none"/>
        </w:rPr>
        <w:t>》（另册）</w:t>
      </w:r>
      <w:bookmarkEnd w:id="337"/>
      <w:bookmarkEnd w:id="338"/>
      <w:bookmarkEnd w:id="339"/>
      <w:bookmarkEnd w:id="340"/>
      <w:bookmarkEnd w:id="341"/>
      <w:bookmarkEnd w:id="342"/>
      <w:bookmarkEnd w:id="343"/>
      <w:bookmarkEnd w:id="344"/>
      <w:bookmarkEnd w:id="345"/>
    </w:p>
    <w:p>
      <w:pPr>
        <w:widowControl/>
        <w:spacing w:line="360" w:lineRule="auto"/>
        <w:contextualSpacing/>
        <w:jc w:val="left"/>
        <w:rPr>
          <w:rFonts w:hint="eastAsia" w:ascii="宋体" w:hAnsi="宋体" w:eastAsia="宋体" w:cs="宋体"/>
          <w:color w:val="auto"/>
          <w:sz w:val="24"/>
          <w:szCs w:val="24"/>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keepNext/>
        <w:keepLines/>
        <w:spacing w:beforeLines="20" w:afterLines="20" w:line="360" w:lineRule="auto"/>
        <w:outlineLvl w:val="9"/>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outlineLvl w:val="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br w:type="page"/>
      </w:r>
      <w:bookmarkStart w:id="346" w:name="_Toc30433"/>
      <w:bookmarkStart w:id="347" w:name="_Toc16069"/>
      <w:bookmarkStart w:id="348" w:name="_Toc13300"/>
      <w:bookmarkStart w:id="349" w:name="_Toc30197"/>
      <w:bookmarkStart w:id="350" w:name="_Toc26473"/>
      <w:bookmarkStart w:id="351" w:name="_Toc21242"/>
      <w:bookmarkStart w:id="352" w:name="_Toc3214"/>
      <w:bookmarkStart w:id="353" w:name="_Toc3598"/>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：乙方营业执照</w:t>
      </w:r>
      <w:bookmarkEnd w:id="346"/>
      <w:bookmarkEnd w:id="347"/>
      <w:bookmarkEnd w:id="348"/>
      <w:bookmarkEnd w:id="349"/>
      <w:bookmarkEnd w:id="350"/>
      <w:bookmarkEnd w:id="351"/>
      <w:bookmarkEnd w:id="352"/>
      <w:bookmarkEnd w:id="353"/>
    </w:p>
    <w:p>
      <w:pPr>
        <w:pStyle w:val="19"/>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bookmarkEnd w:id="354"/>
    <w:sectPr>
      <w:pgSz w:w="11906" w:h="16838"/>
      <w:pgMar w:top="1417" w:right="1800" w:bottom="141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22983"/>
    <w:multiLevelType w:val="multilevel"/>
    <w:tmpl w:val="98122983"/>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9EF4478"/>
    <w:multiLevelType w:val="multilevel"/>
    <w:tmpl w:val="D9EF4478"/>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9374009"/>
    <w:multiLevelType w:val="multilevel"/>
    <w:tmpl w:val="E9374009"/>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B73757"/>
    <w:multiLevelType w:val="singleLevel"/>
    <w:tmpl w:val="11B73757"/>
    <w:lvl w:ilvl="0" w:tentative="0">
      <w:start w:val="1"/>
      <w:numFmt w:val="decimal"/>
      <w:suff w:val="nothing"/>
      <w:lvlText w:val="（%1）"/>
      <w:lvlJc w:val="left"/>
      <w:pPr>
        <w:ind w:left="510" w:leftChars="0" w:hanging="510" w:firstLineChars="0"/>
      </w:pPr>
    </w:lvl>
  </w:abstractNum>
  <w:abstractNum w:abstractNumId="4">
    <w:nsid w:val="18D0239A"/>
    <w:multiLevelType w:val="multilevel"/>
    <w:tmpl w:val="18D0239A"/>
    <w:lvl w:ilvl="0" w:tentative="0">
      <w:start w:val="1"/>
      <w:numFmt w:val="decimal"/>
      <w:suff w:val="nothing"/>
      <w:lvlText w:val="（%1）"/>
      <w:lvlJc w:val="left"/>
      <w:pPr>
        <w:ind w:left="510" w:leftChars="0" w:hanging="51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4EB3FF"/>
    <w:multiLevelType w:val="singleLevel"/>
    <w:tmpl w:val="1C4EB3FF"/>
    <w:lvl w:ilvl="0" w:tentative="0">
      <w:start w:val="1"/>
      <w:numFmt w:val="decimal"/>
      <w:suff w:val="nothing"/>
      <w:lvlText w:val="（%1）"/>
      <w:lvlJc w:val="left"/>
      <w:pPr>
        <w:ind w:left="510" w:leftChars="0" w:hanging="510" w:firstLineChars="0"/>
      </w:pPr>
    </w:lvl>
  </w:abstractNum>
  <w:abstractNum w:abstractNumId="6">
    <w:nsid w:val="47A56316"/>
    <w:multiLevelType w:val="multilevel"/>
    <w:tmpl w:val="47A56316"/>
    <w:lvl w:ilvl="0" w:tentative="0">
      <w:start w:val="1"/>
      <w:numFmt w:val="decimal"/>
      <w:suff w:val="nothing"/>
      <w:lvlText w:val="（%1）"/>
      <w:lvlJc w:val="left"/>
      <w:pPr>
        <w:ind w:left="510" w:leftChars="0" w:hanging="510" w:firstLineChars="0"/>
      </w:pPr>
      <w:rPr>
        <w:rFonts w:hint="default"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704"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zZjMmEyY2U4NWIxODliYmZiOTc5ODc0YjBkNWEifQ=="/>
  </w:docVars>
  <w:rsids>
    <w:rsidRoot w:val="50AF2B7F"/>
    <w:rsid w:val="018E4670"/>
    <w:rsid w:val="04FD6D1D"/>
    <w:rsid w:val="052C74E4"/>
    <w:rsid w:val="05990531"/>
    <w:rsid w:val="059D25DB"/>
    <w:rsid w:val="08976462"/>
    <w:rsid w:val="09C439BA"/>
    <w:rsid w:val="0BA876C4"/>
    <w:rsid w:val="0D3279F0"/>
    <w:rsid w:val="0DF56526"/>
    <w:rsid w:val="0E097B78"/>
    <w:rsid w:val="10A0319D"/>
    <w:rsid w:val="112A5AE8"/>
    <w:rsid w:val="116149E9"/>
    <w:rsid w:val="12336EB5"/>
    <w:rsid w:val="13685340"/>
    <w:rsid w:val="13796F9F"/>
    <w:rsid w:val="18753EA0"/>
    <w:rsid w:val="1876696A"/>
    <w:rsid w:val="199E6130"/>
    <w:rsid w:val="1A4F5CA7"/>
    <w:rsid w:val="1AF45F20"/>
    <w:rsid w:val="1C2210DB"/>
    <w:rsid w:val="20E20286"/>
    <w:rsid w:val="20ED78A1"/>
    <w:rsid w:val="2156235C"/>
    <w:rsid w:val="2234570D"/>
    <w:rsid w:val="22896DB2"/>
    <w:rsid w:val="23C169D0"/>
    <w:rsid w:val="24354D1F"/>
    <w:rsid w:val="25624329"/>
    <w:rsid w:val="25716489"/>
    <w:rsid w:val="25782F0A"/>
    <w:rsid w:val="25D37FC6"/>
    <w:rsid w:val="26BB32EB"/>
    <w:rsid w:val="26EA4592"/>
    <w:rsid w:val="2A2E4796"/>
    <w:rsid w:val="2A8A6B4F"/>
    <w:rsid w:val="2C161E9A"/>
    <w:rsid w:val="2D0F191F"/>
    <w:rsid w:val="2E237E24"/>
    <w:rsid w:val="30A32036"/>
    <w:rsid w:val="358160C2"/>
    <w:rsid w:val="35F21DD1"/>
    <w:rsid w:val="3643563B"/>
    <w:rsid w:val="36AC507B"/>
    <w:rsid w:val="371D0584"/>
    <w:rsid w:val="37335AE2"/>
    <w:rsid w:val="37E46849"/>
    <w:rsid w:val="39AD14FF"/>
    <w:rsid w:val="3A220ED9"/>
    <w:rsid w:val="3D9A1FDB"/>
    <w:rsid w:val="3DEA5796"/>
    <w:rsid w:val="3F4F1536"/>
    <w:rsid w:val="404E5813"/>
    <w:rsid w:val="4111156D"/>
    <w:rsid w:val="44941FB6"/>
    <w:rsid w:val="450059B8"/>
    <w:rsid w:val="452C734A"/>
    <w:rsid w:val="463D5E25"/>
    <w:rsid w:val="46807B1C"/>
    <w:rsid w:val="46BA58D8"/>
    <w:rsid w:val="47B7493C"/>
    <w:rsid w:val="4E2339A4"/>
    <w:rsid w:val="50AF2B7F"/>
    <w:rsid w:val="529575FC"/>
    <w:rsid w:val="530A6089"/>
    <w:rsid w:val="53D029CB"/>
    <w:rsid w:val="57693A7A"/>
    <w:rsid w:val="5B1E26FE"/>
    <w:rsid w:val="5BFD2097"/>
    <w:rsid w:val="5CAC0394"/>
    <w:rsid w:val="5E926EB6"/>
    <w:rsid w:val="5FF852DD"/>
    <w:rsid w:val="636F63BE"/>
    <w:rsid w:val="66FF4134"/>
    <w:rsid w:val="672406DF"/>
    <w:rsid w:val="6AC75C26"/>
    <w:rsid w:val="6B924E56"/>
    <w:rsid w:val="6D9358BB"/>
    <w:rsid w:val="6DD30377"/>
    <w:rsid w:val="6E6829CA"/>
    <w:rsid w:val="712C4B86"/>
    <w:rsid w:val="718F0F0F"/>
    <w:rsid w:val="71B40AF9"/>
    <w:rsid w:val="73085AC2"/>
    <w:rsid w:val="73FC65D0"/>
    <w:rsid w:val="748C1B26"/>
    <w:rsid w:val="75C6345E"/>
    <w:rsid w:val="77F2210F"/>
    <w:rsid w:val="790A7709"/>
    <w:rsid w:val="79ED2FF6"/>
    <w:rsid w:val="7C2234F6"/>
    <w:rsid w:val="7CC82843"/>
    <w:rsid w:val="7D963EBC"/>
    <w:rsid w:val="7DD575A2"/>
    <w:rsid w:val="7E4F532B"/>
    <w:rsid w:val="7E671248"/>
    <w:rsid w:val="7FBB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bCs/>
      <w:kern w:val="44"/>
      <w:sz w:val="36"/>
      <w:szCs w:val="36"/>
    </w:rPr>
  </w:style>
  <w:style w:type="paragraph" w:styleId="4">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5">
    <w:name w:val="Body Text"/>
    <w:basedOn w:val="1"/>
    <w:next w:val="6"/>
    <w:qFormat/>
    <w:uiPriority w:val="0"/>
    <w:pPr>
      <w:spacing w:after="120"/>
    </w:pPr>
    <w:rPr>
      <w:rFonts w:eastAsia="宋体"/>
      <w:szCs w:val="24"/>
    </w:rPr>
  </w:style>
  <w:style w:type="paragraph" w:styleId="6">
    <w:name w:val="Date"/>
    <w:basedOn w:val="1"/>
    <w:next w:val="1"/>
    <w:qFormat/>
    <w:uiPriority w:val="99"/>
    <w:pPr>
      <w:ind w:left="100" w:leftChars="2500"/>
    </w:pPr>
    <w:rPr>
      <w:rFonts w:ascii="仿宋_GB2312" w:eastAsia="仿宋_GB2312" w:cs="Times New Roman"/>
      <w:b/>
      <w:bCs/>
      <w:kern w:val="0"/>
      <w:sz w:val="24"/>
      <w:szCs w:val="24"/>
    </w:rPr>
  </w:style>
  <w:style w:type="paragraph" w:styleId="7">
    <w:name w:val="Body Text Indent"/>
    <w:basedOn w:val="1"/>
    <w:next w:val="8"/>
    <w:semiHidden/>
    <w:unhideWhenUsed/>
    <w:qFormat/>
    <w:uiPriority w:val="99"/>
    <w:pPr>
      <w:spacing w:after="120"/>
      <w:ind w:left="420" w:leftChars="200"/>
    </w:pPr>
    <w:rPr>
      <w:rFonts w:ascii="Times New Roman" w:hAnsi="Times New Roman" w:eastAsia="等线" w:cs="Times New Roman"/>
      <w:kern w:val="0"/>
      <w:sz w:val="20"/>
      <w:szCs w:val="20"/>
    </w:rPr>
  </w:style>
  <w:style w:type="paragraph" w:styleId="8">
    <w:name w:val="envelope return"/>
    <w:basedOn w:val="1"/>
    <w:qFormat/>
    <w:uiPriority w:val="0"/>
    <w:pPr>
      <w:snapToGrid w:val="0"/>
    </w:pPr>
    <w:rPr>
      <w:rFonts w:ascii="Arial" w:hAnsi="Arial"/>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next w:val="3"/>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14">
    <w:name w:val="Body Text First Indent"/>
    <w:basedOn w:val="5"/>
    <w:next w:val="5"/>
    <w:qFormat/>
    <w:uiPriority w:val="0"/>
    <w:pPr>
      <w:ind w:firstLine="420"/>
    </w:pPr>
    <w:rPr>
      <w:rFonts w:ascii="Times New Roman"/>
      <w:szCs w:val="20"/>
    </w:rPr>
  </w:style>
  <w:style w:type="paragraph" w:styleId="15">
    <w:name w:val="Body Text First Indent 2"/>
    <w:basedOn w:val="7"/>
    <w:unhideWhenUsed/>
    <w:qFormat/>
    <w:uiPriority w:val="0"/>
    <w:pPr>
      <w:ind w:firstLine="420" w:firstLineChars="200"/>
    </w:pPr>
    <w:rPr>
      <w:szCs w:val="22"/>
    </w:rPr>
  </w:style>
  <w:style w:type="paragraph" w:customStyle="1" w:styleId="18">
    <w:name w:val="BodyText"/>
    <w:basedOn w:val="1"/>
    <w:qFormat/>
    <w:uiPriority w:val="0"/>
    <w:pPr>
      <w:spacing w:after="120"/>
    </w:pPr>
    <w:rPr>
      <w:kern w:val="0"/>
      <w:sz w:val="20"/>
      <w:szCs w:val="20"/>
    </w:rPr>
  </w:style>
  <w:style w:type="paragraph" w:customStyle="1" w:styleId="19">
    <w:name w:val="Plain Text1"/>
    <w:basedOn w:val="1"/>
    <w:qFormat/>
    <w:uiPriority w:val="0"/>
    <w:rPr>
      <w:rFonts w:ascii="Courier New" w:hAnsi="Courier New" w:eastAsia="楷体_GB2312"/>
    </w:rPr>
  </w:style>
  <w:style w:type="paragraph" w:customStyle="1" w:styleId="20">
    <w:name w:val="样式"/>
    <w:basedOn w:val="1"/>
    <w:next w:val="7"/>
    <w:qFormat/>
    <w:uiPriority w:val="0"/>
    <w:pPr>
      <w:jc w:val="center"/>
    </w:pPr>
    <w:rPr>
      <w:rFonts w:hint="eastAsia" w:ascii="宋体" w:hAnsi="宋体" w:eastAsia="宋体" w:cs="Times New Roman"/>
      <w:color w:val="FF0000"/>
      <w:sz w:val="24"/>
      <w:szCs w:val="24"/>
    </w:rPr>
  </w:style>
  <w:style w:type="paragraph" w:customStyle="1" w:styleId="21">
    <w:name w:val="样式 标题 2 +"/>
    <w:basedOn w:val="4"/>
    <w:qFormat/>
    <w:uiPriority w:val="0"/>
    <w:pPr>
      <w:tabs>
        <w:tab w:val="left" w:pos="0"/>
        <w:tab w:val="left" w:pos="567"/>
      </w:tabs>
      <w:spacing w:line="415" w:lineRule="auto"/>
      <w:ind w:left="420" w:hanging="420"/>
    </w:pPr>
    <w:rPr>
      <w:rFonts w:ascii="Arial" w:hAnsi="Arial" w:eastAsia="黑体" w:cs="Times New Roman"/>
      <w:kern w:val="0"/>
    </w:rPr>
  </w:style>
  <w:style w:type="paragraph" w:customStyle="1" w:styleId="22">
    <w:name w:val="附件标题"/>
    <w:basedOn w:val="1"/>
    <w:qFormat/>
    <w:uiPriority w:val="0"/>
    <w:pPr>
      <w:snapToGrid w:val="0"/>
      <w:spacing w:line="360" w:lineRule="auto"/>
      <w:ind w:firstLine="562" w:firstLineChars="200"/>
      <w:jc w:val="center"/>
    </w:pPr>
    <w:rPr>
      <w:rFonts w:hint="eastAsia" w:ascii="宋体" w:hAnsi="宋体" w:eastAsia="宋体" w:cs="仿宋_GB2312"/>
      <w:b/>
      <w:kern w:val="0"/>
      <w:sz w:val="32"/>
      <w:szCs w:val="32"/>
    </w:rPr>
  </w:style>
  <w:style w:type="paragraph" w:customStyle="1" w:styleId="23">
    <w:name w:val="样式 宋体 行距: 1.5 倍行距"/>
    <w:basedOn w:val="1"/>
    <w:qFormat/>
    <w:uiPriority w:val="99"/>
    <w:pPr>
      <w:jc w:val="center"/>
    </w:pPr>
    <w:rPr>
      <w:b/>
      <w:bCs/>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文一"/>
    <w:basedOn w:val="1"/>
    <w:qFormat/>
    <w:uiPriority w:val="0"/>
    <w:pPr>
      <w:topLinePunct/>
      <w:adjustRightInd w:val="0"/>
      <w:snapToGrid w:val="0"/>
      <w:spacing w:line="360" w:lineRule="auto"/>
      <w:ind w:firstLine="200" w:firstLineChars="200"/>
    </w:pPr>
    <w:rPr>
      <w:rFonts w:ascii="Calibri" w:hAnsi="Calibri"/>
      <w:spacing w:val="4"/>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15907</Words>
  <Characters>16643</Characters>
  <Lines>0</Lines>
  <Paragraphs>0</Paragraphs>
  <TotalTime>2</TotalTime>
  <ScaleCrop>false</ScaleCrop>
  <LinksUpToDate>false</LinksUpToDate>
  <CharactersWithSpaces>17158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2024-02-26T05:35:00Z</dcterms:created>
  <dc:creator>–婷儿–</dc:creator>
  <cp:lastModifiedBy>张蕊</cp:lastModifiedBy>
  <dcterms:modified xsi:type="dcterms:W3CDTF">2025-04-14T09:28:54Z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38CDA4C450CF44CEBFF83F0F61D0BC14_13</vt:lpwstr>
  </property>
  <property fmtid="{D5CDD505-2E9C-101B-9397-08002B2CF9AE}" pid="4" name="KSOTemplateDocerSaveRecord">
    <vt:lpwstr>eyJoZGlkIjoiNmFhYmYwNjhkNjhhZDljNWIzNWJmMjk2YjFlYWQ5YTUiLCJ1c2VySWQiOiIxNDkxOTUyNTQ3In0=</vt:lpwstr>
  </property>
</Properties>
</file>