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10.vsd" ContentType="application/vnd.visio"/>
  <Override PartName="/word/embeddings/Microsoft_Visio_2003-2010___11.vsd" ContentType="application/vnd.visio"/>
  <Override PartName="/word/embeddings/Microsoft_Visio_2003-2010___12.vsd" ContentType="application/vnd.visio"/>
  <Override PartName="/word/embeddings/Microsoft_Visio_2003-2010___13.vsd" ContentType="application/vnd.visio"/>
  <Override PartName="/word/embeddings/Microsoft_Visio_2003-2010___14.vsd" ContentType="application/vnd.visio"/>
  <Override PartName="/word/embeddings/Microsoft_Visio_2003-2010___15.vsd" ContentType="application/vnd.visio"/>
  <Override PartName="/word/embeddings/Microsoft_Visio_2003-2010___2.vsd" ContentType="application/vnd.visio"/>
  <Override PartName="/word/embeddings/Microsoft_Visio_2003-2010___3.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7"/>
        <w:ind w:firstLine="0" w:firstLineChars="0"/>
        <w:jc w:val="center"/>
        <w:rPr>
          <w:b/>
          <w:bCs/>
          <w:sz w:val="32"/>
          <w:szCs w:val="32"/>
        </w:rPr>
      </w:pPr>
      <w:bookmarkStart w:id="0" w:name="_Toc294430188"/>
      <w:bookmarkStart w:id="1" w:name="_Toc294429974"/>
      <w:bookmarkStart w:id="2" w:name="_Toc107829620"/>
    </w:p>
    <w:p>
      <w:pPr>
        <w:pStyle w:val="17"/>
        <w:ind w:firstLine="0" w:firstLineChars="0"/>
        <w:jc w:val="center"/>
        <w:rPr>
          <w:b/>
          <w:bCs/>
          <w:sz w:val="32"/>
          <w:szCs w:val="32"/>
        </w:rPr>
      </w:pPr>
    </w:p>
    <w:p>
      <w:pPr>
        <w:pStyle w:val="17"/>
        <w:ind w:firstLine="0" w:firstLineChars="0"/>
        <w:jc w:val="center"/>
        <w:rPr>
          <w:b/>
          <w:bCs/>
          <w:sz w:val="32"/>
          <w:szCs w:val="32"/>
        </w:rPr>
      </w:pPr>
    </w:p>
    <w:p>
      <w:pPr>
        <w:spacing w:line="360" w:lineRule="auto"/>
        <w:jc w:val="center"/>
        <w:rPr>
          <w:rFonts w:ascii="Times New Roman" w:hAnsi="Times New Roman"/>
          <w:b/>
          <w:sz w:val="30"/>
          <w:szCs w:val="30"/>
        </w:rPr>
      </w:pPr>
      <w:r>
        <w:rPr>
          <w:rFonts w:hint="eastAsia" w:ascii="黑体" w:eastAsia="黑体"/>
          <w:b/>
          <w:bCs/>
          <w:sz w:val="52"/>
          <w:szCs w:val="52"/>
        </w:rPr>
        <w:t>广州市轨道交通线网指挥平台二期通信系统及大屏幕等终端设备采购项目</w:t>
      </w:r>
    </w:p>
    <w:p>
      <w:pPr>
        <w:spacing w:line="360" w:lineRule="auto"/>
        <w:jc w:val="center"/>
        <w:rPr>
          <w:rFonts w:ascii="宋体" w:hAnsi="Courier New" w:cs="Courier New"/>
          <w:szCs w:val="21"/>
        </w:rPr>
      </w:pPr>
    </w:p>
    <w:p>
      <w:pPr>
        <w:spacing w:line="360" w:lineRule="auto"/>
        <w:jc w:val="center"/>
        <w:rPr>
          <w:rFonts w:ascii="黑体" w:hAnsi="Courier New" w:eastAsia="黑体" w:cs="Courier New"/>
          <w:b/>
          <w:bCs/>
          <w:sz w:val="52"/>
          <w:szCs w:val="52"/>
        </w:rPr>
      </w:pPr>
      <w:r>
        <w:rPr>
          <w:rFonts w:hint="eastAsia" w:ascii="黑体" w:hAnsi="Courier New" w:eastAsia="黑体" w:cs="Courier New"/>
          <w:b/>
          <w:bCs/>
          <w:sz w:val="52"/>
          <w:szCs w:val="52"/>
        </w:rPr>
        <w:t>用户需求书</w:t>
      </w:r>
    </w:p>
    <w:p>
      <w:pPr>
        <w:spacing w:line="360" w:lineRule="auto"/>
        <w:rPr>
          <w:rFonts w:ascii="宋体" w:hAnsi="Courier New" w:cs="Courier New"/>
          <w:szCs w:val="21"/>
        </w:rPr>
      </w:pPr>
    </w:p>
    <w:p>
      <w:pPr>
        <w:jc w:val="center"/>
        <w:rPr>
          <w:b/>
          <w:sz w:val="30"/>
          <w:szCs w:val="30"/>
        </w:rPr>
      </w:pPr>
      <w:r>
        <w:rPr>
          <w:rFonts w:hint="eastAsia"/>
          <w:b/>
          <w:sz w:val="30"/>
          <w:szCs w:val="30"/>
        </w:rPr>
        <w:t>第五册  接口附录</w:t>
      </w:r>
    </w:p>
    <w:p>
      <w:pPr>
        <w:pStyle w:val="17"/>
        <w:ind w:firstLine="0" w:firstLineChars="0"/>
        <w:jc w:val="center"/>
      </w:pPr>
    </w:p>
    <w:p>
      <w:pPr>
        <w:pStyle w:val="17"/>
        <w:ind w:firstLine="0" w:firstLineChars="0"/>
      </w:pPr>
    </w:p>
    <w:p>
      <w:pPr>
        <w:pStyle w:val="17"/>
        <w:ind w:firstLine="0" w:firstLineChars="0"/>
      </w:pPr>
    </w:p>
    <w:p>
      <w:pPr>
        <w:pStyle w:val="17"/>
        <w:ind w:firstLine="0" w:firstLineChars="0"/>
      </w:pPr>
    </w:p>
    <w:p>
      <w:pPr>
        <w:pStyle w:val="17"/>
        <w:ind w:firstLine="0" w:firstLineChars="0"/>
      </w:pPr>
    </w:p>
    <w:p>
      <w:pPr>
        <w:pStyle w:val="17"/>
        <w:ind w:firstLine="0" w:firstLineChars="0"/>
      </w:pPr>
    </w:p>
    <w:p>
      <w:pPr>
        <w:pStyle w:val="17"/>
        <w:ind w:firstLine="0" w:firstLineChars="0"/>
      </w:pPr>
    </w:p>
    <w:p>
      <w:pPr>
        <w:pStyle w:val="17"/>
        <w:ind w:firstLine="0" w:firstLineChars="0"/>
      </w:pPr>
    </w:p>
    <w:p>
      <w:pPr>
        <w:pStyle w:val="17"/>
        <w:ind w:firstLine="0" w:firstLineChars="0"/>
      </w:pPr>
    </w:p>
    <w:p>
      <w:pPr>
        <w:pStyle w:val="17"/>
        <w:ind w:firstLine="0" w:firstLineChars="0"/>
      </w:pPr>
    </w:p>
    <w:p>
      <w:pPr>
        <w:pStyle w:val="17"/>
        <w:ind w:firstLine="0" w:firstLineChars="0"/>
      </w:pPr>
    </w:p>
    <w:p>
      <w:pPr>
        <w:widowControl/>
        <w:jc w:val="center"/>
        <w:sectPr>
          <w:headerReference r:id="rId4" w:type="first"/>
          <w:footerReference r:id="rId7" w:type="first"/>
          <w:footerReference r:id="rId5" w:type="default"/>
          <w:headerReference r:id="rId3" w:type="even"/>
          <w:footerReference r:id="rId6" w:type="even"/>
          <w:pgSz w:w="11906" w:h="16838"/>
          <w:pgMar w:top="1440" w:right="1800" w:bottom="1440" w:left="1800" w:header="851" w:footer="992" w:gutter="0"/>
          <w:pgNumType w:start="1"/>
          <w:cols w:space="425" w:num="1"/>
          <w:docGrid w:type="lines" w:linePitch="312" w:charSpace="0"/>
        </w:sectPr>
      </w:pPr>
      <w:r>
        <w:rPr>
          <w:rFonts w:hint="eastAsia"/>
        </w:rPr>
        <w:t>2025年4月</w:t>
      </w:r>
    </w:p>
    <w:p>
      <w:pPr>
        <w:widowControl/>
        <w:jc w:val="center"/>
      </w:pPr>
      <w:r>
        <w:rPr>
          <w:rFonts w:hint="eastAsia"/>
          <w:b/>
          <w:sz w:val="28"/>
          <w:szCs w:val="28"/>
        </w:rPr>
        <w:t>目   录</w:t>
      </w:r>
    </w:p>
    <w:p>
      <w:pPr>
        <w:pStyle w:val="23"/>
        <w:tabs>
          <w:tab w:val="right" w:leader="dot" w:pos="8306"/>
          <w:tab w:val="clear" w:pos="420"/>
          <w:tab w:val="clear" w:pos="8296"/>
        </w:tabs>
      </w:pPr>
      <w:r>
        <w:fldChar w:fldCharType="begin"/>
      </w:r>
      <w:r>
        <w:instrText xml:space="preserve"> TOC \o "1-3" \h \z \u </w:instrText>
      </w:r>
      <w:r>
        <w:fldChar w:fldCharType="separate"/>
      </w:r>
      <w:r>
        <w:fldChar w:fldCharType="begin"/>
      </w:r>
      <w:r>
        <w:instrText xml:space="preserve"> HYPERLINK \l _Toc18559 </w:instrText>
      </w:r>
      <w:r>
        <w:fldChar w:fldCharType="separate"/>
      </w:r>
      <w:r>
        <w:rPr>
          <w:rFonts w:hint="eastAsia" w:ascii="黑体" w:eastAsia="黑体"/>
          <w:i w:val="0"/>
        </w:rPr>
        <w:t xml:space="preserve">1 </w:t>
      </w:r>
      <w:r>
        <w:rPr>
          <w:rFonts w:hint="eastAsia"/>
        </w:rPr>
        <w:t>分册说明</w:t>
      </w:r>
      <w:r>
        <w:tab/>
      </w:r>
      <w:r>
        <w:fldChar w:fldCharType="begin"/>
      </w:r>
      <w:r>
        <w:instrText xml:space="preserve"> PAGEREF _Toc18559 \h </w:instrText>
      </w:r>
      <w:r>
        <w:fldChar w:fldCharType="separate"/>
      </w:r>
      <w:r>
        <w:t>4</w:t>
      </w:r>
      <w:r>
        <w:fldChar w:fldCharType="end"/>
      </w:r>
      <w:r>
        <w:fldChar w:fldCharType="end"/>
      </w:r>
    </w:p>
    <w:p>
      <w:pPr>
        <w:pStyle w:val="23"/>
        <w:tabs>
          <w:tab w:val="right" w:leader="dot" w:pos="8306"/>
          <w:tab w:val="clear" w:pos="420"/>
          <w:tab w:val="clear" w:pos="8296"/>
        </w:tabs>
      </w:pPr>
      <w:r>
        <w:fldChar w:fldCharType="begin"/>
      </w:r>
      <w:r>
        <w:instrText xml:space="preserve"> HYPERLINK \l _Toc19590 </w:instrText>
      </w:r>
      <w:r>
        <w:fldChar w:fldCharType="separate"/>
      </w:r>
      <w:r>
        <w:rPr>
          <w:rFonts w:hint="eastAsia" w:ascii="黑体" w:eastAsia="黑体"/>
          <w:i w:val="0"/>
        </w:rPr>
        <w:t xml:space="preserve">2 </w:t>
      </w:r>
      <w:r>
        <w:rPr>
          <w:rFonts w:hint="eastAsia"/>
          <w:kern w:val="2"/>
        </w:rPr>
        <w:t>接口概述</w:t>
      </w:r>
      <w:r>
        <w:tab/>
      </w:r>
      <w:r>
        <w:fldChar w:fldCharType="begin"/>
      </w:r>
      <w:r>
        <w:instrText xml:space="preserve"> PAGEREF _Toc19590 \h </w:instrText>
      </w:r>
      <w:r>
        <w:fldChar w:fldCharType="separate"/>
      </w:r>
      <w:r>
        <w:t>4</w:t>
      </w:r>
      <w:r>
        <w:fldChar w:fldCharType="end"/>
      </w:r>
      <w:r>
        <w:fldChar w:fldCharType="end"/>
      </w:r>
    </w:p>
    <w:p>
      <w:pPr>
        <w:pStyle w:val="27"/>
        <w:tabs>
          <w:tab w:val="right" w:leader="dot" w:pos="8306"/>
          <w:tab w:val="clear" w:pos="993"/>
          <w:tab w:val="clear" w:pos="8296"/>
        </w:tabs>
      </w:pPr>
      <w:r>
        <w:fldChar w:fldCharType="begin"/>
      </w:r>
      <w:r>
        <w:instrText xml:space="preserve"> HYPERLINK \l _Toc31628 </w:instrText>
      </w:r>
      <w:r>
        <w:fldChar w:fldCharType="separate"/>
      </w:r>
      <w:r>
        <w:rPr>
          <w:rFonts w:hint="eastAsia" w:ascii="黑体" w:hAnsi="Times New Roman" w:eastAsia="黑体"/>
          <w:bCs w:val="0"/>
          <w:i w:val="0"/>
          <w:kern w:val="44"/>
          <w:szCs w:val="21"/>
          <w:lang w:eastAsia="zh-CN"/>
        </w:rPr>
        <w:t xml:space="preserve">2.1 </w:t>
      </w:r>
      <w:r>
        <w:rPr>
          <w:rFonts w:hint="eastAsia" w:ascii="Times New Roman" w:hAnsi="Times New Roman" w:eastAsia="宋体"/>
          <w:szCs w:val="21"/>
        </w:rPr>
        <w:t>接口总述</w:t>
      </w:r>
      <w:r>
        <w:tab/>
      </w:r>
      <w:r>
        <w:fldChar w:fldCharType="begin"/>
      </w:r>
      <w:r>
        <w:instrText xml:space="preserve"> PAGEREF _Toc31628 \h </w:instrText>
      </w:r>
      <w:r>
        <w:fldChar w:fldCharType="separate"/>
      </w:r>
      <w:r>
        <w:t>4</w:t>
      </w:r>
      <w:r>
        <w:fldChar w:fldCharType="end"/>
      </w:r>
      <w:r>
        <w:fldChar w:fldCharType="end"/>
      </w:r>
    </w:p>
    <w:p>
      <w:pPr>
        <w:pStyle w:val="27"/>
        <w:tabs>
          <w:tab w:val="right" w:leader="dot" w:pos="8306"/>
          <w:tab w:val="clear" w:pos="993"/>
          <w:tab w:val="clear" w:pos="8296"/>
        </w:tabs>
      </w:pPr>
      <w:r>
        <w:fldChar w:fldCharType="begin"/>
      </w:r>
      <w:r>
        <w:instrText xml:space="preserve"> HYPERLINK \l _Toc22233 </w:instrText>
      </w:r>
      <w:r>
        <w:fldChar w:fldCharType="separate"/>
      </w:r>
      <w:r>
        <w:rPr>
          <w:rFonts w:hint="eastAsia" w:ascii="黑体" w:hAnsi="Times New Roman" w:eastAsia="黑体"/>
          <w:i w:val="0"/>
          <w:szCs w:val="21"/>
          <w:lang w:eastAsia="zh-CN"/>
        </w:rPr>
        <w:t xml:space="preserve">2.2 </w:t>
      </w:r>
      <w:r>
        <w:rPr>
          <w:rFonts w:hint="eastAsia" w:ascii="Times New Roman" w:hAnsi="Times New Roman" w:eastAsia="宋体"/>
          <w:szCs w:val="21"/>
        </w:rPr>
        <w:t>功能接口原则</w:t>
      </w:r>
      <w:r>
        <w:tab/>
      </w:r>
      <w:r>
        <w:fldChar w:fldCharType="begin"/>
      </w:r>
      <w:r>
        <w:instrText xml:space="preserve"> PAGEREF _Toc22233 \h </w:instrText>
      </w:r>
      <w:r>
        <w:fldChar w:fldCharType="separate"/>
      </w:r>
      <w:r>
        <w:t>4</w:t>
      </w:r>
      <w:r>
        <w:fldChar w:fldCharType="end"/>
      </w:r>
      <w:r>
        <w:fldChar w:fldCharType="end"/>
      </w:r>
    </w:p>
    <w:p>
      <w:pPr>
        <w:pStyle w:val="27"/>
        <w:tabs>
          <w:tab w:val="right" w:leader="dot" w:pos="8306"/>
          <w:tab w:val="clear" w:pos="993"/>
          <w:tab w:val="clear" w:pos="8296"/>
        </w:tabs>
      </w:pPr>
      <w:r>
        <w:fldChar w:fldCharType="begin"/>
      </w:r>
      <w:r>
        <w:instrText xml:space="preserve"> HYPERLINK \l _Toc32450 </w:instrText>
      </w:r>
      <w:r>
        <w:fldChar w:fldCharType="separate"/>
      </w:r>
      <w:r>
        <w:rPr>
          <w:rFonts w:hint="eastAsia" w:ascii="黑体" w:hAnsi="Times New Roman" w:eastAsia="黑体"/>
          <w:i w:val="0"/>
          <w:szCs w:val="21"/>
          <w:lang w:eastAsia="zh-CN"/>
        </w:rPr>
        <w:t xml:space="preserve">2.3 </w:t>
      </w:r>
      <w:r>
        <w:rPr>
          <w:rFonts w:hint="eastAsia" w:ascii="Times New Roman" w:hAnsi="Times New Roman" w:eastAsia="宋体"/>
          <w:szCs w:val="21"/>
        </w:rPr>
        <w:t>信息安全原则</w:t>
      </w:r>
      <w:r>
        <w:tab/>
      </w:r>
      <w:r>
        <w:fldChar w:fldCharType="begin"/>
      </w:r>
      <w:r>
        <w:instrText xml:space="preserve"> PAGEREF _Toc32450 \h </w:instrText>
      </w:r>
      <w:r>
        <w:fldChar w:fldCharType="separate"/>
      </w:r>
      <w:r>
        <w:t>4</w:t>
      </w:r>
      <w:r>
        <w:fldChar w:fldCharType="end"/>
      </w:r>
      <w:r>
        <w:fldChar w:fldCharType="end"/>
      </w:r>
    </w:p>
    <w:p>
      <w:pPr>
        <w:pStyle w:val="27"/>
        <w:tabs>
          <w:tab w:val="right" w:leader="dot" w:pos="8306"/>
          <w:tab w:val="clear" w:pos="993"/>
          <w:tab w:val="clear" w:pos="8296"/>
        </w:tabs>
      </w:pPr>
      <w:r>
        <w:fldChar w:fldCharType="begin"/>
      </w:r>
      <w:r>
        <w:instrText xml:space="preserve"> HYPERLINK \l _Toc16585 </w:instrText>
      </w:r>
      <w:r>
        <w:fldChar w:fldCharType="separate"/>
      </w:r>
      <w:r>
        <w:rPr>
          <w:rFonts w:hint="eastAsia" w:ascii="黑体" w:hAnsi="Times New Roman" w:eastAsia="黑体"/>
          <w:i w:val="0"/>
          <w:szCs w:val="21"/>
          <w:lang w:eastAsia="zh-CN"/>
        </w:rPr>
        <w:t xml:space="preserve">2.4 </w:t>
      </w:r>
      <w:r>
        <w:rPr>
          <w:rFonts w:hint="eastAsia" w:ascii="Times New Roman" w:hAnsi="Times New Roman" w:eastAsia="宋体"/>
          <w:szCs w:val="21"/>
        </w:rPr>
        <w:t>对外、互联网访问原则</w:t>
      </w:r>
      <w:r>
        <w:tab/>
      </w:r>
      <w:r>
        <w:fldChar w:fldCharType="begin"/>
      </w:r>
      <w:r>
        <w:instrText xml:space="preserve"> PAGEREF _Toc16585 \h </w:instrText>
      </w:r>
      <w:r>
        <w:fldChar w:fldCharType="separate"/>
      </w:r>
      <w:r>
        <w:t>4</w:t>
      </w:r>
      <w:r>
        <w:fldChar w:fldCharType="end"/>
      </w:r>
      <w:r>
        <w:fldChar w:fldCharType="end"/>
      </w:r>
    </w:p>
    <w:p>
      <w:pPr>
        <w:pStyle w:val="27"/>
        <w:tabs>
          <w:tab w:val="right" w:leader="dot" w:pos="8306"/>
          <w:tab w:val="clear" w:pos="993"/>
          <w:tab w:val="clear" w:pos="8296"/>
        </w:tabs>
      </w:pPr>
      <w:r>
        <w:fldChar w:fldCharType="begin"/>
      </w:r>
      <w:r>
        <w:instrText xml:space="preserve"> HYPERLINK \l _Toc22500 </w:instrText>
      </w:r>
      <w:r>
        <w:fldChar w:fldCharType="separate"/>
      </w:r>
      <w:r>
        <w:rPr>
          <w:rFonts w:hint="eastAsia" w:ascii="黑体" w:hAnsi="Times New Roman" w:eastAsia="黑体"/>
          <w:i w:val="0"/>
          <w:szCs w:val="21"/>
          <w:lang w:eastAsia="zh-CN"/>
        </w:rPr>
        <w:t xml:space="preserve">2.5 </w:t>
      </w:r>
      <w:r>
        <w:rPr>
          <w:rFonts w:hint="eastAsia" w:ascii="Times New Roman" w:hAnsi="Times New Roman" w:eastAsia="宋体"/>
          <w:szCs w:val="21"/>
        </w:rPr>
        <w:t>接口汇总表</w:t>
      </w:r>
      <w:r>
        <w:tab/>
      </w:r>
      <w:r>
        <w:fldChar w:fldCharType="begin"/>
      </w:r>
      <w:r>
        <w:instrText xml:space="preserve"> PAGEREF _Toc22500 \h </w:instrText>
      </w:r>
      <w:r>
        <w:fldChar w:fldCharType="separate"/>
      </w:r>
      <w:r>
        <w:t>4</w:t>
      </w:r>
      <w:r>
        <w:fldChar w:fldCharType="end"/>
      </w:r>
      <w:r>
        <w:fldChar w:fldCharType="end"/>
      </w:r>
    </w:p>
    <w:p>
      <w:pPr>
        <w:pStyle w:val="23"/>
        <w:tabs>
          <w:tab w:val="right" w:leader="dot" w:pos="8306"/>
          <w:tab w:val="clear" w:pos="420"/>
          <w:tab w:val="clear" w:pos="8296"/>
        </w:tabs>
      </w:pPr>
      <w:r>
        <w:fldChar w:fldCharType="begin"/>
      </w:r>
      <w:r>
        <w:instrText xml:space="preserve"> HYPERLINK \l _Toc7088 </w:instrText>
      </w:r>
      <w:r>
        <w:fldChar w:fldCharType="separate"/>
      </w:r>
      <w:r>
        <w:rPr>
          <w:rFonts w:hint="eastAsia" w:ascii="黑体" w:eastAsia="黑体"/>
          <w:i w:val="0"/>
        </w:rPr>
        <w:t xml:space="preserve">3 </w:t>
      </w:r>
      <w:r>
        <w:rPr>
          <w:rFonts w:hint="eastAsia"/>
          <w:kern w:val="2"/>
        </w:rPr>
        <w:t>本标段内系统间相关接口</w:t>
      </w:r>
      <w:r>
        <w:tab/>
      </w:r>
      <w:r>
        <w:fldChar w:fldCharType="begin"/>
      </w:r>
      <w:r>
        <w:instrText xml:space="preserve"> PAGEREF _Toc7088 \h </w:instrText>
      </w:r>
      <w:r>
        <w:fldChar w:fldCharType="separate"/>
      </w:r>
      <w:r>
        <w:t>5</w:t>
      </w:r>
      <w:r>
        <w:fldChar w:fldCharType="end"/>
      </w:r>
      <w:r>
        <w:fldChar w:fldCharType="end"/>
      </w:r>
    </w:p>
    <w:p>
      <w:pPr>
        <w:pStyle w:val="27"/>
        <w:tabs>
          <w:tab w:val="right" w:leader="dot" w:pos="8306"/>
          <w:tab w:val="clear" w:pos="993"/>
          <w:tab w:val="clear" w:pos="8296"/>
        </w:tabs>
      </w:pPr>
      <w:r>
        <w:fldChar w:fldCharType="begin"/>
      </w:r>
      <w:r>
        <w:instrText xml:space="preserve"> HYPERLINK \l _Toc4834 </w:instrText>
      </w:r>
      <w:r>
        <w:fldChar w:fldCharType="separate"/>
      </w:r>
      <w:r>
        <w:rPr>
          <w:rFonts w:hint="eastAsia" w:ascii="黑体" w:hAnsi="Times New Roman" w:eastAsia="黑体"/>
          <w:i w:val="0"/>
          <w:szCs w:val="22"/>
          <w:lang w:eastAsia="zh-CN"/>
        </w:rPr>
        <w:t xml:space="preserve">3.1 </w:t>
      </w:r>
      <w:r>
        <w:rPr>
          <w:rFonts w:hint="eastAsia" w:ascii="Times New Roman" w:hAnsi="Times New Roman" w:eastAsia="宋体"/>
          <w:szCs w:val="21"/>
        </w:rPr>
        <w:t>网络及安全配套设备与相关系统的接口</w:t>
      </w:r>
      <w:r>
        <w:tab/>
      </w:r>
      <w:r>
        <w:fldChar w:fldCharType="begin"/>
      </w:r>
      <w:r>
        <w:instrText xml:space="preserve"> PAGEREF _Toc4834 \h </w:instrText>
      </w:r>
      <w:r>
        <w:fldChar w:fldCharType="separate"/>
      </w:r>
      <w:r>
        <w:t>5</w:t>
      </w:r>
      <w:r>
        <w:fldChar w:fldCharType="end"/>
      </w:r>
      <w:r>
        <w:fldChar w:fldCharType="end"/>
      </w:r>
    </w:p>
    <w:p>
      <w:pPr>
        <w:pStyle w:val="16"/>
        <w:tabs>
          <w:tab w:val="right" w:leader="dot" w:pos="8306"/>
        </w:tabs>
      </w:pPr>
      <w:r>
        <w:fldChar w:fldCharType="begin"/>
      </w:r>
      <w:r>
        <w:instrText xml:space="preserve"> HYPERLINK \l _Toc3007 </w:instrText>
      </w:r>
      <w:r>
        <w:fldChar w:fldCharType="separate"/>
      </w:r>
      <w:r>
        <w:rPr>
          <w:rFonts w:hint="eastAsia" w:ascii="黑体" w:hAnsi="Times New Roman" w:eastAsia="黑体"/>
          <w:bCs w:val="0"/>
          <w:i w:val="0"/>
          <w:szCs w:val="22"/>
          <w:lang w:eastAsia="zh-CN"/>
        </w:rPr>
        <w:t xml:space="preserve">3.1.1 </w:t>
      </w:r>
      <w:r>
        <w:rPr>
          <w:rFonts w:hint="eastAsia" w:ascii="Times New Roman" w:hAnsi="Times New Roman" w:eastAsia="宋体"/>
        </w:rPr>
        <w:t>与线网视频、线网广播等系统的接口</w:t>
      </w:r>
      <w:r>
        <w:tab/>
      </w:r>
      <w:r>
        <w:fldChar w:fldCharType="begin"/>
      </w:r>
      <w:r>
        <w:instrText xml:space="preserve"> PAGEREF _Toc3007 \h </w:instrText>
      </w:r>
      <w:r>
        <w:fldChar w:fldCharType="separate"/>
      </w:r>
      <w:r>
        <w:t>5</w:t>
      </w:r>
      <w:r>
        <w:fldChar w:fldCharType="end"/>
      </w:r>
      <w:r>
        <w:fldChar w:fldCharType="end"/>
      </w:r>
    </w:p>
    <w:p>
      <w:pPr>
        <w:pStyle w:val="27"/>
        <w:tabs>
          <w:tab w:val="right" w:leader="dot" w:pos="8306"/>
          <w:tab w:val="clear" w:pos="993"/>
          <w:tab w:val="clear" w:pos="8296"/>
        </w:tabs>
      </w:pPr>
      <w:r>
        <w:fldChar w:fldCharType="begin"/>
      </w:r>
      <w:r>
        <w:instrText xml:space="preserve"> HYPERLINK \l _Toc21306 </w:instrText>
      </w:r>
      <w:r>
        <w:fldChar w:fldCharType="separate"/>
      </w:r>
      <w:r>
        <w:rPr>
          <w:rFonts w:hint="eastAsia" w:ascii="黑体" w:hAnsi="Times New Roman" w:eastAsia="黑体"/>
          <w:i w:val="0"/>
          <w:szCs w:val="22"/>
          <w:lang w:eastAsia="zh-CN"/>
        </w:rPr>
        <w:t xml:space="preserve">3.2 </w:t>
      </w:r>
      <w:r>
        <w:rPr>
          <w:rFonts w:hint="eastAsia" w:ascii="Times New Roman" w:hAnsi="Times New Roman" w:eastAsia="宋体"/>
          <w:szCs w:val="21"/>
        </w:rPr>
        <w:t>大屏幕与通信系统的接口</w:t>
      </w:r>
      <w:r>
        <w:tab/>
      </w:r>
      <w:r>
        <w:fldChar w:fldCharType="begin"/>
      </w:r>
      <w:r>
        <w:instrText xml:space="preserve"> PAGEREF _Toc21306 \h </w:instrText>
      </w:r>
      <w:r>
        <w:fldChar w:fldCharType="separate"/>
      </w:r>
      <w:r>
        <w:t>7</w:t>
      </w:r>
      <w:r>
        <w:fldChar w:fldCharType="end"/>
      </w:r>
      <w:r>
        <w:fldChar w:fldCharType="end"/>
      </w:r>
    </w:p>
    <w:p>
      <w:pPr>
        <w:pStyle w:val="23"/>
        <w:tabs>
          <w:tab w:val="right" w:leader="dot" w:pos="8306"/>
          <w:tab w:val="clear" w:pos="420"/>
          <w:tab w:val="clear" w:pos="8296"/>
        </w:tabs>
      </w:pPr>
      <w:r>
        <w:fldChar w:fldCharType="begin"/>
      </w:r>
      <w:r>
        <w:instrText xml:space="preserve"> HYPERLINK \l _Toc15939 </w:instrText>
      </w:r>
      <w:r>
        <w:fldChar w:fldCharType="separate"/>
      </w:r>
      <w:r>
        <w:rPr>
          <w:rFonts w:hint="eastAsia" w:ascii="黑体" w:eastAsia="黑体"/>
          <w:i w:val="0"/>
        </w:rPr>
        <w:t xml:space="preserve">4 </w:t>
      </w:r>
      <w:r>
        <w:rPr>
          <w:rFonts w:hint="eastAsia"/>
          <w:kern w:val="2"/>
        </w:rPr>
        <w:t>与本标段相关接口</w:t>
      </w:r>
      <w:r>
        <w:tab/>
      </w:r>
      <w:r>
        <w:fldChar w:fldCharType="begin"/>
      </w:r>
      <w:r>
        <w:instrText xml:space="preserve"> PAGEREF _Toc15939 \h </w:instrText>
      </w:r>
      <w:r>
        <w:fldChar w:fldCharType="separate"/>
      </w:r>
      <w:r>
        <w:t>8</w:t>
      </w:r>
      <w:r>
        <w:fldChar w:fldCharType="end"/>
      </w:r>
      <w:r>
        <w:fldChar w:fldCharType="end"/>
      </w:r>
    </w:p>
    <w:p>
      <w:pPr>
        <w:pStyle w:val="27"/>
        <w:tabs>
          <w:tab w:val="right" w:leader="dot" w:pos="8306"/>
          <w:tab w:val="clear" w:pos="993"/>
          <w:tab w:val="clear" w:pos="8296"/>
        </w:tabs>
      </w:pPr>
      <w:r>
        <w:fldChar w:fldCharType="begin"/>
      </w:r>
      <w:r>
        <w:instrText xml:space="preserve"> HYPERLINK \l _Toc29099 </w:instrText>
      </w:r>
      <w:r>
        <w:fldChar w:fldCharType="separate"/>
      </w:r>
      <w:r>
        <w:rPr>
          <w:rFonts w:hint="eastAsia" w:ascii="黑体" w:hAnsi="Times New Roman" w:eastAsia="黑体"/>
          <w:i w:val="0"/>
          <w:szCs w:val="22"/>
          <w:lang w:eastAsia="zh-CN"/>
        </w:rPr>
        <w:t xml:space="preserve">4.1 </w:t>
      </w:r>
      <w:r>
        <w:rPr>
          <w:rFonts w:hint="eastAsia" w:ascii="Times New Roman" w:hAnsi="Times New Roman" w:eastAsia="宋体"/>
          <w:szCs w:val="21"/>
        </w:rPr>
        <w:t>网络及安全配套设备与相关系统的接口</w:t>
      </w:r>
      <w:r>
        <w:tab/>
      </w:r>
      <w:r>
        <w:fldChar w:fldCharType="begin"/>
      </w:r>
      <w:r>
        <w:instrText xml:space="preserve"> PAGEREF _Toc29099 \h </w:instrText>
      </w:r>
      <w:r>
        <w:fldChar w:fldCharType="separate"/>
      </w:r>
      <w:r>
        <w:t>8</w:t>
      </w:r>
      <w:r>
        <w:fldChar w:fldCharType="end"/>
      </w:r>
      <w:r>
        <w:fldChar w:fldCharType="end"/>
      </w:r>
    </w:p>
    <w:p>
      <w:pPr>
        <w:pStyle w:val="16"/>
        <w:tabs>
          <w:tab w:val="right" w:leader="dot" w:pos="8306"/>
        </w:tabs>
      </w:pPr>
      <w:r>
        <w:fldChar w:fldCharType="begin"/>
      </w:r>
      <w:r>
        <w:instrText xml:space="preserve"> HYPERLINK \l _Toc3865 </w:instrText>
      </w:r>
      <w:r>
        <w:fldChar w:fldCharType="separate"/>
      </w:r>
      <w:r>
        <w:rPr>
          <w:rFonts w:hint="eastAsia" w:ascii="黑体" w:eastAsia="黑体"/>
          <w:i w:val="0"/>
          <w:lang w:eastAsia="zh-CN"/>
        </w:rPr>
        <w:t xml:space="preserve">4.1.1 </w:t>
      </w:r>
      <w:r>
        <w:rPr>
          <w:rFonts w:hint="eastAsia"/>
        </w:rPr>
        <w:t>与线网级业务应用系统的接口</w:t>
      </w:r>
      <w:r>
        <w:tab/>
      </w:r>
      <w:r>
        <w:fldChar w:fldCharType="begin"/>
      </w:r>
      <w:r>
        <w:instrText xml:space="preserve"> PAGEREF _Toc3865 \h </w:instrText>
      </w:r>
      <w:r>
        <w:fldChar w:fldCharType="separate"/>
      </w:r>
      <w:r>
        <w:t>11</w:t>
      </w:r>
      <w:r>
        <w:fldChar w:fldCharType="end"/>
      </w:r>
      <w:r>
        <w:fldChar w:fldCharType="end"/>
      </w:r>
    </w:p>
    <w:p>
      <w:pPr>
        <w:pStyle w:val="16"/>
        <w:tabs>
          <w:tab w:val="right" w:leader="dot" w:pos="8306"/>
        </w:tabs>
      </w:pPr>
      <w:r>
        <w:fldChar w:fldCharType="begin"/>
      </w:r>
      <w:r>
        <w:instrText xml:space="preserve"> HYPERLINK \l _Toc4173 </w:instrText>
      </w:r>
      <w:r>
        <w:fldChar w:fldCharType="separate"/>
      </w:r>
      <w:r>
        <w:rPr>
          <w:rFonts w:hint="eastAsia" w:ascii="黑体" w:hAnsi="黑体" w:eastAsia="黑体" w:cs="黑体"/>
          <w:i w:val="0"/>
          <w:szCs w:val="22"/>
          <w:lang w:eastAsia="zh-CN"/>
        </w:rPr>
        <w:t xml:space="preserve">4.1.2 </w:t>
      </w:r>
      <w:r>
        <w:rPr>
          <w:rFonts w:hint="eastAsia" w:ascii="黑体" w:hAnsi="黑体" w:cs="黑体"/>
        </w:rPr>
        <w:t>与</w:t>
      </w:r>
      <w:r>
        <w:rPr>
          <w:rFonts w:hint="eastAsia"/>
        </w:rPr>
        <w:t>已支撑业务运行的综合业务生产云平台</w:t>
      </w:r>
      <w:r>
        <w:rPr>
          <w:rFonts w:hint="eastAsia" w:ascii="黑体" w:hAnsi="黑体" w:cs="黑体"/>
        </w:rPr>
        <w:t>的接口</w:t>
      </w:r>
      <w:r>
        <w:tab/>
      </w:r>
      <w:r>
        <w:fldChar w:fldCharType="begin"/>
      </w:r>
      <w:r>
        <w:instrText xml:space="preserve"> PAGEREF _Toc4173 \h </w:instrText>
      </w:r>
      <w:r>
        <w:fldChar w:fldCharType="separate"/>
      </w:r>
      <w:r>
        <w:t>11</w:t>
      </w:r>
      <w:r>
        <w:fldChar w:fldCharType="end"/>
      </w:r>
      <w:r>
        <w:fldChar w:fldCharType="end"/>
      </w:r>
    </w:p>
    <w:p>
      <w:pPr>
        <w:pStyle w:val="16"/>
        <w:tabs>
          <w:tab w:val="right" w:leader="dot" w:pos="8306"/>
        </w:tabs>
      </w:pPr>
      <w:r>
        <w:fldChar w:fldCharType="begin"/>
      </w:r>
      <w:r>
        <w:instrText xml:space="preserve"> HYPERLINK \l _Toc16098 </w:instrText>
      </w:r>
      <w:r>
        <w:fldChar w:fldCharType="separate"/>
      </w:r>
      <w:r>
        <w:rPr>
          <w:rFonts w:hint="eastAsia" w:ascii="黑体" w:hAnsi="黑体" w:eastAsia="黑体" w:cs="黑体"/>
          <w:i w:val="0"/>
          <w:szCs w:val="22"/>
          <w:lang w:eastAsia="zh-CN"/>
        </w:rPr>
        <w:t xml:space="preserve">4.1.3 </w:t>
      </w:r>
      <w:r>
        <w:rPr>
          <w:rFonts w:hint="eastAsia" w:ascii="黑体" w:hAnsi="黑体" w:cs="黑体"/>
        </w:rPr>
        <w:t>与COCC一期网络的接口</w:t>
      </w:r>
      <w:r>
        <w:tab/>
      </w:r>
      <w:r>
        <w:fldChar w:fldCharType="begin"/>
      </w:r>
      <w:r>
        <w:instrText xml:space="preserve"> PAGEREF _Toc16098 \h </w:instrText>
      </w:r>
      <w:r>
        <w:fldChar w:fldCharType="separate"/>
      </w:r>
      <w:r>
        <w:t>12</w:t>
      </w:r>
      <w:r>
        <w:fldChar w:fldCharType="end"/>
      </w:r>
      <w:r>
        <w:fldChar w:fldCharType="end"/>
      </w:r>
    </w:p>
    <w:p>
      <w:pPr>
        <w:pStyle w:val="16"/>
        <w:tabs>
          <w:tab w:val="right" w:leader="dot" w:pos="8306"/>
        </w:tabs>
      </w:pPr>
      <w:r>
        <w:fldChar w:fldCharType="begin"/>
      </w:r>
      <w:r>
        <w:instrText xml:space="preserve"> HYPERLINK \l _Toc8324 </w:instrText>
      </w:r>
      <w:r>
        <w:fldChar w:fldCharType="separate"/>
      </w:r>
      <w:r>
        <w:rPr>
          <w:rFonts w:hint="eastAsia" w:ascii="黑体" w:hAnsi="黑体" w:eastAsia="黑体" w:cs="黑体"/>
          <w:bCs w:val="0"/>
          <w:i w:val="0"/>
          <w:lang w:eastAsia="zh-CN"/>
        </w:rPr>
        <w:t xml:space="preserve">4.1.4 </w:t>
      </w:r>
      <w:r>
        <w:rPr>
          <w:rFonts w:hint="eastAsia" w:ascii="黑体" w:hAnsi="黑体" w:cs="黑体"/>
        </w:rPr>
        <w:t>与线路综合监控的接口</w:t>
      </w:r>
      <w:r>
        <w:tab/>
      </w:r>
      <w:r>
        <w:fldChar w:fldCharType="begin"/>
      </w:r>
      <w:r>
        <w:instrText xml:space="preserve"> PAGEREF _Toc8324 \h </w:instrText>
      </w:r>
      <w:r>
        <w:fldChar w:fldCharType="separate"/>
      </w:r>
      <w:r>
        <w:t>13</w:t>
      </w:r>
      <w:r>
        <w:fldChar w:fldCharType="end"/>
      </w:r>
      <w:r>
        <w:fldChar w:fldCharType="end"/>
      </w:r>
    </w:p>
    <w:p>
      <w:pPr>
        <w:pStyle w:val="16"/>
        <w:tabs>
          <w:tab w:val="right" w:leader="dot" w:pos="8306"/>
        </w:tabs>
      </w:pPr>
      <w:r>
        <w:fldChar w:fldCharType="begin"/>
      </w:r>
      <w:r>
        <w:instrText xml:space="preserve"> HYPERLINK \l _Toc26543 </w:instrText>
      </w:r>
      <w:r>
        <w:fldChar w:fldCharType="separate"/>
      </w:r>
      <w:r>
        <w:rPr>
          <w:rFonts w:hint="eastAsia" w:ascii="黑体" w:hAnsi="黑体" w:eastAsia="黑体" w:cs="黑体"/>
          <w:i w:val="0"/>
          <w:szCs w:val="22"/>
          <w:lang w:eastAsia="zh-CN"/>
        </w:rPr>
        <w:t xml:space="preserve">4.1.5 </w:t>
      </w:r>
      <w:r>
        <w:rPr>
          <w:rFonts w:hint="eastAsia" w:ascii="黑体" w:hAnsi="黑体" w:cs="黑体"/>
        </w:rPr>
        <w:t>与线路信号的接口</w:t>
      </w:r>
      <w:r>
        <w:tab/>
      </w:r>
      <w:r>
        <w:fldChar w:fldCharType="begin"/>
      </w:r>
      <w:r>
        <w:instrText xml:space="preserve"> PAGEREF _Toc26543 \h </w:instrText>
      </w:r>
      <w:r>
        <w:fldChar w:fldCharType="separate"/>
      </w:r>
      <w:r>
        <w:t>14</w:t>
      </w:r>
      <w:r>
        <w:fldChar w:fldCharType="end"/>
      </w:r>
      <w:r>
        <w:fldChar w:fldCharType="end"/>
      </w:r>
    </w:p>
    <w:p>
      <w:pPr>
        <w:pStyle w:val="16"/>
        <w:tabs>
          <w:tab w:val="right" w:leader="dot" w:pos="8306"/>
        </w:tabs>
      </w:pPr>
      <w:r>
        <w:fldChar w:fldCharType="begin"/>
      </w:r>
      <w:r>
        <w:instrText xml:space="preserve"> HYPERLINK \l _Toc29031 </w:instrText>
      </w:r>
      <w:r>
        <w:fldChar w:fldCharType="separate"/>
      </w:r>
      <w:r>
        <w:rPr>
          <w:rFonts w:hint="eastAsia" w:ascii="黑体" w:hAnsi="黑体" w:eastAsia="黑体" w:cs="黑体"/>
          <w:bCs w:val="0"/>
          <w:i w:val="0"/>
          <w:szCs w:val="22"/>
          <w:lang w:eastAsia="zh-CN"/>
        </w:rPr>
        <w:t xml:space="preserve">4.1.6 </w:t>
      </w:r>
      <w:r>
        <w:rPr>
          <w:rFonts w:hint="eastAsia" w:ascii="黑体" w:hAnsi="黑体" w:cs="黑体"/>
        </w:rPr>
        <w:t>与管理云平台的接口</w:t>
      </w:r>
      <w:r>
        <w:tab/>
      </w:r>
      <w:r>
        <w:fldChar w:fldCharType="begin"/>
      </w:r>
      <w:r>
        <w:instrText xml:space="preserve"> PAGEREF _Toc29031 \h </w:instrText>
      </w:r>
      <w:r>
        <w:fldChar w:fldCharType="separate"/>
      </w:r>
      <w:r>
        <w:t>15</w:t>
      </w:r>
      <w:r>
        <w:fldChar w:fldCharType="end"/>
      </w:r>
      <w:r>
        <w:fldChar w:fldCharType="end"/>
      </w:r>
    </w:p>
    <w:p>
      <w:pPr>
        <w:pStyle w:val="16"/>
        <w:tabs>
          <w:tab w:val="right" w:leader="dot" w:pos="8306"/>
        </w:tabs>
      </w:pPr>
      <w:r>
        <w:fldChar w:fldCharType="begin"/>
      </w:r>
      <w:r>
        <w:instrText xml:space="preserve"> HYPERLINK \l _Toc3139 </w:instrText>
      </w:r>
      <w:r>
        <w:fldChar w:fldCharType="separate"/>
      </w:r>
      <w:r>
        <w:rPr>
          <w:rFonts w:hint="eastAsia" w:ascii="黑体" w:eastAsia="黑体"/>
          <w:i w:val="0"/>
          <w:lang w:eastAsia="zh-CN"/>
        </w:rPr>
        <w:t xml:space="preserve">4.1.7 </w:t>
      </w:r>
      <w:r>
        <w:rPr>
          <w:rFonts w:hint="eastAsia"/>
        </w:rPr>
        <w:t>与大屏幕系统的接口</w:t>
      </w:r>
      <w:r>
        <w:tab/>
      </w:r>
      <w:r>
        <w:fldChar w:fldCharType="begin"/>
      </w:r>
      <w:r>
        <w:instrText xml:space="preserve"> PAGEREF _Toc3139 \h </w:instrText>
      </w:r>
      <w:r>
        <w:fldChar w:fldCharType="separate"/>
      </w:r>
      <w:r>
        <w:t>15</w:t>
      </w:r>
      <w:r>
        <w:fldChar w:fldCharType="end"/>
      </w:r>
      <w:r>
        <w:fldChar w:fldCharType="end"/>
      </w:r>
    </w:p>
    <w:p>
      <w:pPr>
        <w:pStyle w:val="16"/>
        <w:tabs>
          <w:tab w:val="right" w:leader="dot" w:pos="8306"/>
        </w:tabs>
      </w:pPr>
      <w:r>
        <w:fldChar w:fldCharType="begin"/>
      </w:r>
      <w:r>
        <w:instrText xml:space="preserve"> HYPERLINK \l _Toc21143 </w:instrText>
      </w:r>
      <w:r>
        <w:fldChar w:fldCharType="separate"/>
      </w:r>
      <w:r>
        <w:rPr>
          <w:rFonts w:hint="eastAsia" w:ascii="黑体" w:eastAsia="黑体"/>
          <w:i w:val="0"/>
          <w:lang w:eastAsia="zh-CN"/>
        </w:rPr>
        <w:t xml:space="preserve">4.1.8 </w:t>
      </w:r>
      <w:r>
        <w:rPr>
          <w:rFonts w:hint="eastAsia"/>
        </w:rPr>
        <w:t>与工作站的接口</w:t>
      </w:r>
      <w:r>
        <w:tab/>
      </w:r>
      <w:r>
        <w:fldChar w:fldCharType="begin"/>
      </w:r>
      <w:r>
        <w:instrText xml:space="preserve"> PAGEREF _Toc21143 \h </w:instrText>
      </w:r>
      <w:r>
        <w:fldChar w:fldCharType="separate"/>
      </w:r>
      <w:r>
        <w:t>16</w:t>
      </w:r>
      <w:r>
        <w:fldChar w:fldCharType="end"/>
      </w:r>
      <w:r>
        <w:fldChar w:fldCharType="end"/>
      </w:r>
    </w:p>
    <w:p>
      <w:pPr>
        <w:pStyle w:val="16"/>
        <w:tabs>
          <w:tab w:val="right" w:leader="dot" w:pos="8306"/>
        </w:tabs>
      </w:pPr>
      <w:r>
        <w:fldChar w:fldCharType="begin"/>
      </w:r>
      <w:r>
        <w:instrText xml:space="preserve"> HYPERLINK \l _Toc15893 </w:instrText>
      </w:r>
      <w:r>
        <w:fldChar w:fldCharType="separate"/>
      </w:r>
      <w:r>
        <w:rPr>
          <w:rFonts w:hint="eastAsia" w:ascii="黑体" w:eastAsia="黑体"/>
          <w:i w:val="0"/>
          <w:lang w:eastAsia="zh-CN"/>
        </w:rPr>
        <w:t xml:space="preserve">4.1.9 </w:t>
      </w:r>
      <w:r>
        <w:rPr>
          <w:rFonts w:hint="eastAsia"/>
        </w:rPr>
        <w:t>与楼宇低压配电的接口</w:t>
      </w:r>
      <w:r>
        <w:tab/>
      </w:r>
      <w:r>
        <w:fldChar w:fldCharType="begin"/>
      </w:r>
      <w:r>
        <w:instrText xml:space="preserve"> PAGEREF _Toc15893 \h </w:instrText>
      </w:r>
      <w:r>
        <w:fldChar w:fldCharType="separate"/>
      </w:r>
      <w:r>
        <w:t>16</w:t>
      </w:r>
      <w:r>
        <w:fldChar w:fldCharType="end"/>
      </w:r>
      <w:r>
        <w:fldChar w:fldCharType="end"/>
      </w:r>
    </w:p>
    <w:p>
      <w:pPr>
        <w:pStyle w:val="27"/>
        <w:tabs>
          <w:tab w:val="right" w:leader="dot" w:pos="8306"/>
          <w:tab w:val="clear" w:pos="993"/>
          <w:tab w:val="clear" w:pos="8296"/>
        </w:tabs>
      </w:pPr>
      <w:r>
        <w:fldChar w:fldCharType="begin"/>
      </w:r>
      <w:r>
        <w:instrText xml:space="preserve"> HYPERLINK \l _Toc30362 </w:instrText>
      </w:r>
      <w:r>
        <w:fldChar w:fldCharType="separate"/>
      </w:r>
      <w:r>
        <w:rPr>
          <w:rFonts w:hint="eastAsia" w:ascii="黑体" w:hAnsi="Times New Roman" w:eastAsia="黑体"/>
          <w:i w:val="0"/>
          <w:szCs w:val="21"/>
          <w:lang w:eastAsia="zh-CN"/>
        </w:rPr>
        <w:t xml:space="preserve">4.2 </w:t>
      </w:r>
      <w:r>
        <w:rPr>
          <w:rFonts w:hint="eastAsia" w:ascii="Times New Roman" w:hAnsi="Times New Roman" w:eastAsia="宋体"/>
          <w:szCs w:val="21"/>
        </w:rPr>
        <w:t>线网通信与相关系统的接口</w:t>
      </w:r>
      <w:r>
        <w:tab/>
      </w:r>
      <w:r>
        <w:fldChar w:fldCharType="begin"/>
      </w:r>
      <w:r>
        <w:instrText xml:space="preserve"> PAGEREF _Toc30362 \h </w:instrText>
      </w:r>
      <w:r>
        <w:fldChar w:fldCharType="separate"/>
      </w:r>
      <w:r>
        <w:t>16</w:t>
      </w:r>
      <w:r>
        <w:fldChar w:fldCharType="end"/>
      </w:r>
      <w:r>
        <w:fldChar w:fldCharType="end"/>
      </w:r>
    </w:p>
    <w:p>
      <w:pPr>
        <w:pStyle w:val="16"/>
        <w:tabs>
          <w:tab w:val="right" w:leader="dot" w:pos="8306"/>
        </w:tabs>
      </w:pPr>
      <w:r>
        <w:fldChar w:fldCharType="begin"/>
      </w:r>
      <w:r>
        <w:instrText xml:space="preserve"> HYPERLINK \l _Toc30908 </w:instrText>
      </w:r>
      <w:r>
        <w:fldChar w:fldCharType="separate"/>
      </w:r>
      <w:r>
        <w:rPr>
          <w:rFonts w:hint="eastAsia" w:ascii="黑体" w:eastAsia="黑体"/>
          <w:i w:val="0"/>
          <w:lang w:eastAsia="zh-CN"/>
        </w:rPr>
        <w:t xml:space="preserve">4.2.1 </w:t>
      </w:r>
      <w:r>
        <w:rPr>
          <w:rFonts w:hint="eastAsia"/>
        </w:rPr>
        <w:t>线网级业务应用系统与线网通信系统的接口</w:t>
      </w:r>
      <w:r>
        <w:tab/>
      </w:r>
      <w:r>
        <w:fldChar w:fldCharType="begin"/>
      </w:r>
      <w:r>
        <w:instrText xml:space="preserve"> PAGEREF _Toc30908 \h </w:instrText>
      </w:r>
      <w:r>
        <w:fldChar w:fldCharType="separate"/>
      </w:r>
      <w:r>
        <w:t>16</w:t>
      </w:r>
      <w:r>
        <w:fldChar w:fldCharType="end"/>
      </w:r>
      <w:r>
        <w:fldChar w:fldCharType="end"/>
      </w:r>
    </w:p>
    <w:p>
      <w:pPr>
        <w:pStyle w:val="16"/>
        <w:tabs>
          <w:tab w:val="right" w:leader="dot" w:pos="8306"/>
        </w:tabs>
      </w:pPr>
      <w:r>
        <w:fldChar w:fldCharType="begin"/>
      </w:r>
      <w:r>
        <w:instrText xml:space="preserve"> HYPERLINK \l _Toc22834 </w:instrText>
      </w:r>
      <w:r>
        <w:fldChar w:fldCharType="separate"/>
      </w:r>
      <w:r>
        <w:rPr>
          <w:rFonts w:hint="eastAsia" w:ascii="黑体" w:eastAsia="黑体"/>
          <w:i w:val="0"/>
          <w:lang w:eastAsia="zh-CN"/>
        </w:rPr>
        <w:t xml:space="preserve">4.2.2 </w:t>
      </w:r>
      <w:r>
        <w:rPr>
          <w:rFonts w:hint="eastAsia"/>
          <w:lang w:val="en-US" w:eastAsia="zh-CN"/>
        </w:rPr>
        <w:t>轨道交通智能运行平台</w:t>
      </w:r>
      <w:r>
        <w:rPr>
          <w:rFonts w:hint="eastAsia"/>
        </w:rPr>
        <w:t>与线网通信系统的接口</w:t>
      </w:r>
      <w:r>
        <w:tab/>
      </w:r>
      <w:r>
        <w:fldChar w:fldCharType="begin"/>
      </w:r>
      <w:r>
        <w:instrText xml:space="preserve"> PAGEREF _Toc22834 \h </w:instrText>
      </w:r>
      <w:r>
        <w:fldChar w:fldCharType="separate"/>
      </w:r>
      <w:r>
        <w:t>17</w:t>
      </w:r>
      <w:r>
        <w:fldChar w:fldCharType="end"/>
      </w:r>
      <w:r>
        <w:fldChar w:fldCharType="end"/>
      </w:r>
    </w:p>
    <w:p>
      <w:pPr>
        <w:pStyle w:val="16"/>
        <w:tabs>
          <w:tab w:val="right" w:leader="dot" w:pos="8306"/>
        </w:tabs>
      </w:pPr>
      <w:r>
        <w:fldChar w:fldCharType="begin"/>
      </w:r>
      <w:r>
        <w:instrText xml:space="preserve"> HYPERLINK \l _Toc1391 </w:instrText>
      </w:r>
      <w:r>
        <w:fldChar w:fldCharType="separate"/>
      </w:r>
      <w:r>
        <w:rPr>
          <w:rFonts w:hint="eastAsia" w:ascii="黑体" w:eastAsia="黑体"/>
          <w:i w:val="0"/>
          <w:lang w:eastAsia="zh-CN"/>
        </w:rPr>
        <w:t xml:space="preserve">4.2.3 </w:t>
      </w:r>
      <w:r>
        <w:rPr>
          <w:rFonts w:hint="eastAsia"/>
        </w:rPr>
        <w:t>线网通信系统与线网传输系统的接口</w:t>
      </w:r>
      <w:r>
        <w:tab/>
      </w:r>
      <w:r>
        <w:fldChar w:fldCharType="begin"/>
      </w:r>
      <w:r>
        <w:instrText xml:space="preserve"> PAGEREF _Toc1391 \h </w:instrText>
      </w:r>
      <w:r>
        <w:fldChar w:fldCharType="separate"/>
      </w:r>
      <w:r>
        <w:t>17</w:t>
      </w:r>
      <w:r>
        <w:fldChar w:fldCharType="end"/>
      </w:r>
      <w:r>
        <w:fldChar w:fldCharType="end"/>
      </w:r>
    </w:p>
    <w:p>
      <w:pPr>
        <w:pStyle w:val="16"/>
        <w:tabs>
          <w:tab w:val="right" w:leader="dot" w:pos="8306"/>
        </w:tabs>
      </w:pPr>
      <w:r>
        <w:fldChar w:fldCharType="begin"/>
      </w:r>
      <w:r>
        <w:instrText xml:space="preserve"> HYPERLINK \l _Toc20810 </w:instrText>
      </w:r>
      <w:r>
        <w:fldChar w:fldCharType="separate"/>
      </w:r>
      <w:r>
        <w:rPr>
          <w:rFonts w:hint="eastAsia" w:ascii="黑体" w:eastAsia="黑体"/>
          <w:i w:val="0"/>
          <w:lang w:eastAsia="zh-CN"/>
        </w:rPr>
        <w:t xml:space="preserve">4.2.4 </w:t>
      </w:r>
      <w:r>
        <w:rPr>
          <w:rFonts w:hint="eastAsia"/>
        </w:rPr>
        <w:t>线网广播系统与线路广播系统的接口</w:t>
      </w:r>
      <w:r>
        <w:tab/>
      </w:r>
      <w:r>
        <w:fldChar w:fldCharType="begin"/>
      </w:r>
      <w:r>
        <w:instrText xml:space="preserve"> PAGEREF _Toc20810 \h </w:instrText>
      </w:r>
      <w:r>
        <w:fldChar w:fldCharType="separate"/>
      </w:r>
      <w:r>
        <w:t>18</w:t>
      </w:r>
      <w:r>
        <w:fldChar w:fldCharType="end"/>
      </w:r>
      <w:r>
        <w:fldChar w:fldCharType="end"/>
      </w:r>
    </w:p>
    <w:p>
      <w:pPr>
        <w:pStyle w:val="16"/>
        <w:tabs>
          <w:tab w:val="right" w:leader="dot" w:pos="8306"/>
        </w:tabs>
      </w:pPr>
      <w:r>
        <w:fldChar w:fldCharType="begin"/>
      </w:r>
      <w:r>
        <w:instrText xml:space="preserve"> HYPERLINK \l _Toc4021 </w:instrText>
      </w:r>
      <w:r>
        <w:fldChar w:fldCharType="separate"/>
      </w:r>
      <w:r>
        <w:rPr>
          <w:rFonts w:hint="eastAsia" w:ascii="黑体" w:eastAsia="黑体"/>
          <w:i w:val="0"/>
          <w:lang w:eastAsia="zh-CN"/>
        </w:rPr>
        <w:t xml:space="preserve">4.2.5 </w:t>
      </w:r>
      <w:r>
        <w:rPr>
          <w:rFonts w:hint="eastAsia"/>
        </w:rPr>
        <w:t>线网时钟系统与线路时钟系统的接口</w:t>
      </w:r>
      <w:r>
        <w:tab/>
      </w:r>
      <w:r>
        <w:fldChar w:fldCharType="begin"/>
      </w:r>
      <w:r>
        <w:instrText xml:space="preserve"> PAGEREF _Toc4021 \h </w:instrText>
      </w:r>
      <w:r>
        <w:fldChar w:fldCharType="separate"/>
      </w:r>
      <w:r>
        <w:t>19</w:t>
      </w:r>
      <w:r>
        <w:fldChar w:fldCharType="end"/>
      </w:r>
      <w:r>
        <w:fldChar w:fldCharType="end"/>
      </w:r>
    </w:p>
    <w:p>
      <w:pPr>
        <w:pStyle w:val="16"/>
        <w:tabs>
          <w:tab w:val="right" w:leader="dot" w:pos="8306"/>
        </w:tabs>
      </w:pPr>
      <w:r>
        <w:fldChar w:fldCharType="begin"/>
      </w:r>
      <w:r>
        <w:instrText xml:space="preserve"> HYPERLINK \l _Toc29549 </w:instrText>
      </w:r>
      <w:r>
        <w:fldChar w:fldCharType="separate"/>
      </w:r>
      <w:r>
        <w:rPr>
          <w:rFonts w:hint="eastAsia" w:ascii="黑体" w:eastAsia="黑体"/>
          <w:i w:val="0"/>
          <w:lang w:eastAsia="zh-CN"/>
        </w:rPr>
        <w:t xml:space="preserve">4.2.6 </w:t>
      </w:r>
      <w:r>
        <w:rPr>
          <w:rFonts w:hint="eastAsia"/>
        </w:rPr>
        <w:t>线网广播系统与COCC一期线网调度电话系统的接口</w:t>
      </w:r>
      <w:r>
        <w:tab/>
      </w:r>
      <w:r>
        <w:fldChar w:fldCharType="begin"/>
      </w:r>
      <w:r>
        <w:instrText xml:space="preserve"> PAGEREF _Toc29549 \h </w:instrText>
      </w:r>
      <w:r>
        <w:fldChar w:fldCharType="separate"/>
      </w:r>
      <w:r>
        <w:t>20</w:t>
      </w:r>
      <w:r>
        <w:fldChar w:fldCharType="end"/>
      </w:r>
      <w:r>
        <w:fldChar w:fldCharType="end"/>
      </w:r>
    </w:p>
    <w:p>
      <w:pPr>
        <w:pStyle w:val="16"/>
        <w:tabs>
          <w:tab w:val="right" w:leader="dot" w:pos="8306"/>
        </w:tabs>
      </w:pPr>
      <w:r>
        <w:fldChar w:fldCharType="begin"/>
      </w:r>
      <w:r>
        <w:instrText xml:space="preserve"> HYPERLINK \l _Toc7302 </w:instrText>
      </w:r>
      <w:r>
        <w:fldChar w:fldCharType="separate"/>
      </w:r>
      <w:r>
        <w:rPr>
          <w:rFonts w:hint="eastAsia" w:ascii="黑体" w:eastAsia="黑体"/>
          <w:i w:val="0"/>
          <w:lang w:eastAsia="zh-CN"/>
        </w:rPr>
        <w:t xml:space="preserve">4.2.7 </w:t>
      </w:r>
      <w:r>
        <w:rPr>
          <w:rFonts w:hint="eastAsia"/>
        </w:rPr>
        <w:t>线网广播系统与COCC一期线网广播系统的接口</w:t>
      </w:r>
      <w:r>
        <w:tab/>
      </w:r>
      <w:r>
        <w:fldChar w:fldCharType="begin"/>
      </w:r>
      <w:r>
        <w:instrText xml:space="preserve"> PAGEREF _Toc7302 \h </w:instrText>
      </w:r>
      <w:r>
        <w:fldChar w:fldCharType="separate"/>
      </w:r>
      <w:r>
        <w:t>21</w:t>
      </w:r>
      <w:r>
        <w:fldChar w:fldCharType="end"/>
      </w:r>
      <w:r>
        <w:fldChar w:fldCharType="end"/>
      </w:r>
    </w:p>
    <w:p>
      <w:pPr>
        <w:pStyle w:val="16"/>
        <w:tabs>
          <w:tab w:val="right" w:leader="dot" w:pos="8306"/>
        </w:tabs>
      </w:pPr>
      <w:r>
        <w:fldChar w:fldCharType="begin"/>
      </w:r>
      <w:r>
        <w:instrText xml:space="preserve"> HYPERLINK \l _Toc20716 </w:instrText>
      </w:r>
      <w:r>
        <w:fldChar w:fldCharType="separate"/>
      </w:r>
      <w:r>
        <w:rPr>
          <w:rFonts w:hint="eastAsia" w:ascii="黑体" w:eastAsia="黑体"/>
          <w:i w:val="0"/>
          <w:lang w:eastAsia="zh-CN"/>
        </w:rPr>
        <w:t xml:space="preserve">4.2.8 </w:t>
      </w:r>
      <w:r>
        <w:rPr>
          <w:rFonts w:hint="eastAsia"/>
        </w:rPr>
        <w:t>线网视频监视系统与视频综合应用中心的接口</w:t>
      </w:r>
      <w:r>
        <w:tab/>
      </w:r>
      <w:r>
        <w:fldChar w:fldCharType="begin"/>
      </w:r>
      <w:r>
        <w:instrText xml:space="preserve"> PAGEREF _Toc20716 \h </w:instrText>
      </w:r>
      <w:r>
        <w:fldChar w:fldCharType="separate"/>
      </w:r>
      <w:r>
        <w:t>22</w:t>
      </w:r>
      <w:r>
        <w:fldChar w:fldCharType="end"/>
      </w:r>
      <w:r>
        <w:fldChar w:fldCharType="end"/>
      </w:r>
    </w:p>
    <w:p>
      <w:pPr>
        <w:pStyle w:val="16"/>
        <w:tabs>
          <w:tab w:val="right" w:leader="dot" w:pos="8306"/>
        </w:tabs>
      </w:pPr>
      <w:r>
        <w:fldChar w:fldCharType="begin"/>
      </w:r>
      <w:r>
        <w:instrText xml:space="preserve"> HYPERLINK \l _Toc24414 </w:instrText>
      </w:r>
      <w:r>
        <w:fldChar w:fldCharType="separate"/>
      </w:r>
      <w:r>
        <w:rPr>
          <w:rFonts w:hint="eastAsia" w:ascii="黑体" w:eastAsia="黑体"/>
          <w:i w:val="0"/>
          <w:lang w:eastAsia="zh-CN"/>
        </w:rPr>
        <w:t xml:space="preserve">4.2.9 </w:t>
      </w:r>
      <w:r>
        <w:rPr>
          <w:rFonts w:hint="eastAsia"/>
        </w:rPr>
        <w:t>线网视频监视系统与</w:t>
      </w:r>
      <w:r>
        <w:rPr>
          <w:rFonts w:hint="eastAsia" w:ascii="宋体" w:hAnsi="宋体"/>
          <w:szCs w:val="21"/>
        </w:rPr>
        <w:t>地铁既有线高清改造先期项目</w:t>
      </w:r>
      <w:r>
        <w:rPr>
          <w:rFonts w:hint="eastAsia"/>
        </w:rPr>
        <w:t>的接口</w:t>
      </w:r>
      <w:r>
        <w:tab/>
      </w:r>
      <w:r>
        <w:fldChar w:fldCharType="begin"/>
      </w:r>
      <w:r>
        <w:instrText xml:space="preserve"> PAGEREF _Toc24414 \h </w:instrText>
      </w:r>
      <w:r>
        <w:fldChar w:fldCharType="separate"/>
      </w:r>
      <w:r>
        <w:t>22</w:t>
      </w:r>
      <w:r>
        <w:fldChar w:fldCharType="end"/>
      </w:r>
      <w:r>
        <w:fldChar w:fldCharType="end"/>
      </w:r>
    </w:p>
    <w:p>
      <w:pPr>
        <w:pStyle w:val="16"/>
        <w:tabs>
          <w:tab w:val="right" w:leader="dot" w:pos="8306"/>
        </w:tabs>
      </w:pPr>
      <w:r>
        <w:fldChar w:fldCharType="begin"/>
      </w:r>
      <w:r>
        <w:instrText xml:space="preserve"> HYPERLINK \l _Toc16654 </w:instrText>
      </w:r>
      <w:r>
        <w:fldChar w:fldCharType="separate"/>
      </w:r>
      <w:r>
        <w:rPr>
          <w:rFonts w:hint="eastAsia" w:ascii="黑体" w:eastAsia="黑体"/>
          <w:i w:val="0"/>
          <w:lang w:eastAsia="zh-CN"/>
        </w:rPr>
        <w:t xml:space="preserve">4.2.10 </w:t>
      </w:r>
      <w:r>
        <w:rPr>
          <w:rFonts w:hint="eastAsia"/>
        </w:rPr>
        <w:t>线网视频监视系统与</w:t>
      </w:r>
      <w:r>
        <w:rPr>
          <w:rFonts w:hint="eastAsia"/>
          <w:szCs w:val="21"/>
          <w:lang w:val="en-US" w:eastAsia="zh-CN"/>
        </w:rPr>
        <w:t>安检视频</w:t>
      </w:r>
      <w:r>
        <w:rPr>
          <w:rFonts w:hint="eastAsia"/>
        </w:rPr>
        <w:t>的接口</w:t>
      </w:r>
      <w:r>
        <w:tab/>
      </w:r>
      <w:r>
        <w:fldChar w:fldCharType="begin"/>
      </w:r>
      <w:r>
        <w:instrText xml:space="preserve"> PAGEREF _Toc16654 \h </w:instrText>
      </w:r>
      <w:r>
        <w:fldChar w:fldCharType="separate"/>
      </w:r>
      <w:r>
        <w:t>22</w:t>
      </w:r>
      <w:r>
        <w:fldChar w:fldCharType="end"/>
      </w:r>
      <w:r>
        <w:fldChar w:fldCharType="end"/>
      </w:r>
    </w:p>
    <w:p>
      <w:pPr>
        <w:pStyle w:val="16"/>
        <w:tabs>
          <w:tab w:val="right" w:leader="dot" w:pos="8306"/>
        </w:tabs>
      </w:pPr>
      <w:r>
        <w:fldChar w:fldCharType="begin"/>
      </w:r>
      <w:r>
        <w:instrText xml:space="preserve"> HYPERLINK \l _Toc1307 </w:instrText>
      </w:r>
      <w:r>
        <w:fldChar w:fldCharType="separate"/>
      </w:r>
      <w:r>
        <w:rPr>
          <w:rFonts w:hint="eastAsia" w:ascii="黑体" w:hAnsi="宋体" w:eastAsia="黑体"/>
          <w:i w:val="0"/>
          <w:szCs w:val="21"/>
          <w:lang w:val="en-US" w:eastAsia="zh-CN"/>
        </w:rPr>
        <w:t xml:space="preserve">4.2.11 </w:t>
      </w:r>
      <w:r>
        <w:rPr>
          <w:rFonts w:hint="eastAsia"/>
        </w:rPr>
        <w:t>线网视频监视系统与</w:t>
      </w:r>
      <w:r>
        <w:rPr>
          <w:rFonts w:hint="eastAsia"/>
          <w:szCs w:val="21"/>
          <w:lang w:val="en-US" w:eastAsia="zh-CN"/>
        </w:rPr>
        <w:t>地保视频</w:t>
      </w:r>
      <w:r>
        <w:rPr>
          <w:rFonts w:hint="eastAsia"/>
        </w:rPr>
        <w:t>的接口</w:t>
      </w:r>
      <w:r>
        <w:tab/>
      </w:r>
      <w:r>
        <w:fldChar w:fldCharType="begin"/>
      </w:r>
      <w:r>
        <w:instrText xml:space="preserve"> PAGEREF _Toc1307 \h </w:instrText>
      </w:r>
      <w:r>
        <w:fldChar w:fldCharType="separate"/>
      </w:r>
      <w:r>
        <w:t>22</w:t>
      </w:r>
      <w:r>
        <w:fldChar w:fldCharType="end"/>
      </w:r>
      <w:r>
        <w:fldChar w:fldCharType="end"/>
      </w:r>
    </w:p>
    <w:p>
      <w:pPr>
        <w:pStyle w:val="16"/>
        <w:tabs>
          <w:tab w:val="right" w:leader="dot" w:pos="8306"/>
        </w:tabs>
      </w:pPr>
      <w:r>
        <w:fldChar w:fldCharType="begin"/>
      </w:r>
      <w:r>
        <w:instrText xml:space="preserve"> HYPERLINK \l _Toc3340 </w:instrText>
      </w:r>
      <w:r>
        <w:fldChar w:fldCharType="separate"/>
      </w:r>
      <w:r>
        <w:rPr>
          <w:rFonts w:hint="eastAsia" w:ascii="黑体" w:eastAsia="黑体"/>
          <w:i w:val="0"/>
          <w:lang w:eastAsia="zh-CN"/>
        </w:rPr>
        <w:t xml:space="preserve">4.2.12 </w:t>
      </w:r>
      <w:r>
        <w:rPr>
          <w:rFonts w:hint="eastAsia"/>
        </w:rPr>
        <w:t>线网视频监视系统与工地视频的接口</w:t>
      </w:r>
      <w:r>
        <w:tab/>
      </w:r>
      <w:r>
        <w:fldChar w:fldCharType="begin"/>
      </w:r>
      <w:r>
        <w:instrText xml:space="preserve"> PAGEREF _Toc3340 \h </w:instrText>
      </w:r>
      <w:r>
        <w:fldChar w:fldCharType="separate"/>
      </w:r>
      <w:r>
        <w:t>22</w:t>
      </w:r>
      <w:r>
        <w:fldChar w:fldCharType="end"/>
      </w:r>
      <w:r>
        <w:fldChar w:fldCharType="end"/>
      </w:r>
    </w:p>
    <w:p>
      <w:pPr>
        <w:pStyle w:val="16"/>
        <w:tabs>
          <w:tab w:val="right" w:leader="dot" w:pos="8306"/>
        </w:tabs>
      </w:pPr>
      <w:r>
        <w:fldChar w:fldCharType="begin"/>
      </w:r>
      <w:r>
        <w:instrText xml:space="preserve"> HYPERLINK \l _Toc2717 </w:instrText>
      </w:r>
      <w:r>
        <w:fldChar w:fldCharType="separate"/>
      </w:r>
      <w:r>
        <w:rPr>
          <w:rFonts w:hint="eastAsia" w:ascii="黑体" w:eastAsia="黑体"/>
          <w:i w:val="0"/>
          <w:lang w:eastAsia="zh-CN"/>
        </w:rPr>
        <w:t xml:space="preserve">4.2.13 </w:t>
      </w:r>
      <w:r>
        <w:rPr>
          <w:rFonts w:hint="eastAsia"/>
        </w:rPr>
        <w:t>线网视频监视系统与城际视频的接口</w:t>
      </w:r>
      <w:r>
        <w:tab/>
      </w:r>
      <w:r>
        <w:fldChar w:fldCharType="begin"/>
      </w:r>
      <w:r>
        <w:instrText xml:space="preserve"> PAGEREF _Toc2717 \h </w:instrText>
      </w:r>
      <w:r>
        <w:fldChar w:fldCharType="separate"/>
      </w:r>
      <w:r>
        <w:t>23</w:t>
      </w:r>
      <w:r>
        <w:fldChar w:fldCharType="end"/>
      </w:r>
      <w:r>
        <w:fldChar w:fldCharType="end"/>
      </w:r>
    </w:p>
    <w:p>
      <w:pPr>
        <w:pStyle w:val="16"/>
        <w:tabs>
          <w:tab w:val="right" w:leader="dot" w:pos="8306"/>
        </w:tabs>
      </w:pPr>
      <w:r>
        <w:fldChar w:fldCharType="begin"/>
      </w:r>
      <w:r>
        <w:instrText xml:space="preserve"> HYPERLINK \l _Toc23721 </w:instrText>
      </w:r>
      <w:r>
        <w:fldChar w:fldCharType="separate"/>
      </w:r>
      <w:r>
        <w:rPr>
          <w:rFonts w:hint="eastAsia" w:ascii="黑体" w:eastAsia="黑体"/>
          <w:i w:val="0"/>
          <w:lang w:eastAsia="zh-CN"/>
        </w:rPr>
        <w:t xml:space="preserve">4.2.14 </w:t>
      </w:r>
      <w:r>
        <w:rPr>
          <w:rFonts w:hint="eastAsia"/>
        </w:rPr>
        <w:t>线网视频监视系统与有轨电车视频的接口</w:t>
      </w:r>
      <w:r>
        <w:tab/>
      </w:r>
      <w:r>
        <w:fldChar w:fldCharType="begin"/>
      </w:r>
      <w:r>
        <w:instrText xml:space="preserve"> PAGEREF _Toc23721 \h </w:instrText>
      </w:r>
      <w:r>
        <w:fldChar w:fldCharType="separate"/>
      </w:r>
      <w:r>
        <w:t>23</w:t>
      </w:r>
      <w:r>
        <w:fldChar w:fldCharType="end"/>
      </w:r>
      <w:r>
        <w:fldChar w:fldCharType="end"/>
      </w:r>
    </w:p>
    <w:p>
      <w:pPr>
        <w:pStyle w:val="16"/>
        <w:tabs>
          <w:tab w:val="right" w:leader="dot" w:pos="8306"/>
        </w:tabs>
      </w:pPr>
      <w:r>
        <w:fldChar w:fldCharType="begin"/>
      </w:r>
      <w:r>
        <w:instrText xml:space="preserve"> HYPERLINK \l _Toc9595 </w:instrText>
      </w:r>
      <w:r>
        <w:fldChar w:fldCharType="separate"/>
      </w:r>
      <w:r>
        <w:rPr>
          <w:rFonts w:hint="eastAsia" w:ascii="黑体" w:eastAsia="黑体"/>
          <w:i w:val="0"/>
          <w:lang w:val="en-US" w:eastAsia="zh-CN"/>
        </w:rPr>
        <w:t xml:space="preserve">4.2.15 </w:t>
      </w:r>
      <w:r>
        <w:rPr>
          <w:rFonts w:hint="eastAsia"/>
        </w:rPr>
        <w:t>线网视频监视系统与</w:t>
      </w:r>
      <w:r>
        <w:rPr>
          <w:rFonts w:hint="eastAsia"/>
          <w:lang w:val="en-US" w:eastAsia="zh-CN"/>
        </w:rPr>
        <w:t>车载视频系统的接口</w:t>
      </w:r>
      <w:r>
        <w:tab/>
      </w:r>
      <w:r>
        <w:fldChar w:fldCharType="begin"/>
      </w:r>
      <w:r>
        <w:instrText xml:space="preserve"> PAGEREF _Toc9595 \h </w:instrText>
      </w:r>
      <w:r>
        <w:fldChar w:fldCharType="separate"/>
      </w:r>
      <w:r>
        <w:t>23</w:t>
      </w:r>
      <w:r>
        <w:fldChar w:fldCharType="end"/>
      </w:r>
      <w:r>
        <w:fldChar w:fldCharType="end"/>
      </w:r>
    </w:p>
    <w:p>
      <w:pPr>
        <w:pStyle w:val="16"/>
        <w:tabs>
          <w:tab w:val="right" w:leader="dot" w:pos="8306"/>
        </w:tabs>
      </w:pPr>
      <w:r>
        <w:fldChar w:fldCharType="begin"/>
      </w:r>
      <w:r>
        <w:instrText xml:space="preserve"> HYPERLINK \l _Toc28821 </w:instrText>
      </w:r>
      <w:r>
        <w:fldChar w:fldCharType="separate"/>
      </w:r>
      <w:r>
        <w:rPr>
          <w:rFonts w:hint="eastAsia" w:ascii="黑体" w:eastAsia="黑体"/>
          <w:i w:val="0"/>
          <w:lang w:eastAsia="zh-CN"/>
        </w:rPr>
        <w:t xml:space="preserve">4.2.16 </w:t>
      </w:r>
      <w:r>
        <w:rPr>
          <w:rFonts w:hint="eastAsia"/>
        </w:rPr>
        <w:t>线网调度电话系统与COCC一期线网调度电话系统接口</w:t>
      </w:r>
      <w:r>
        <w:tab/>
      </w:r>
      <w:r>
        <w:fldChar w:fldCharType="begin"/>
      </w:r>
      <w:r>
        <w:instrText xml:space="preserve"> PAGEREF _Toc28821 \h </w:instrText>
      </w:r>
      <w:r>
        <w:fldChar w:fldCharType="separate"/>
      </w:r>
      <w:r>
        <w:t>24</w:t>
      </w:r>
      <w:r>
        <w:fldChar w:fldCharType="end"/>
      </w:r>
      <w:r>
        <w:fldChar w:fldCharType="end"/>
      </w:r>
    </w:p>
    <w:p>
      <w:pPr>
        <w:pStyle w:val="16"/>
        <w:tabs>
          <w:tab w:val="right" w:leader="dot" w:pos="8306"/>
        </w:tabs>
      </w:pPr>
      <w:r>
        <w:fldChar w:fldCharType="begin"/>
      </w:r>
      <w:r>
        <w:instrText xml:space="preserve"> HYPERLINK \l _Toc14155 </w:instrText>
      </w:r>
      <w:r>
        <w:fldChar w:fldCharType="separate"/>
      </w:r>
      <w:r>
        <w:rPr>
          <w:rFonts w:hint="eastAsia" w:ascii="黑体" w:eastAsia="黑体"/>
          <w:i w:val="0"/>
          <w:lang w:eastAsia="zh-CN"/>
        </w:rPr>
        <w:t xml:space="preserve">4.2.17 </w:t>
      </w:r>
      <w:r>
        <w:rPr>
          <w:rFonts w:hint="eastAsia"/>
        </w:rPr>
        <w:t>线网调度电话系统与城际的接口</w:t>
      </w:r>
      <w:r>
        <w:tab/>
      </w:r>
      <w:r>
        <w:fldChar w:fldCharType="begin"/>
      </w:r>
      <w:r>
        <w:instrText xml:space="preserve"> PAGEREF _Toc14155 \h </w:instrText>
      </w:r>
      <w:r>
        <w:fldChar w:fldCharType="separate"/>
      </w:r>
      <w:r>
        <w:t>25</w:t>
      </w:r>
      <w:r>
        <w:fldChar w:fldCharType="end"/>
      </w:r>
      <w:r>
        <w:fldChar w:fldCharType="end"/>
      </w:r>
    </w:p>
    <w:p>
      <w:pPr>
        <w:pStyle w:val="16"/>
        <w:tabs>
          <w:tab w:val="right" w:leader="dot" w:pos="8306"/>
        </w:tabs>
      </w:pPr>
      <w:r>
        <w:fldChar w:fldCharType="begin"/>
      </w:r>
      <w:r>
        <w:instrText xml:space="preserve"> HYPERLINK \l _Toc24844 </w:instrText>
      </w:r>
      <w:r>
        <w:fldChar w:fldCharType="separate"/>
      </w:r>
      <w:r>
        <w:rPr>
          <w:rFonts w:hint="eastAsia" w:ascii="黑体" w:eastAsia="黑体"/>
          <w:i w:val="0"/>
          <w:lang w:eastAsia="zh-CN"/>
        </w:rPr>
        <w:t xml:space="preserve">4.2.18 </w:t>
      </w:r>
      <w:r>
        <w:rPr>
          <w:rFonts w:hint="eastAsia"/>
        </w:rPr>
        <w:t>线网调度电话系统与有轨电车的接口</w:t>
      </w:r>
      <w:r>
        <w:tab/>
      </w:r>
      <w:r>
        <w:fldChar w:fldCharType="begin"/>
      </w:r>
      <w:r>
        <w:instrText xml:space="preserve"> PAGEREF _Toc24844 \h </w:instrText>
      </w:r>
      <w:r>
        <w:fldChar w:fldCharType="separate"/>
      </w:r>
      <w:r>
        <w:t>25</w:t>
      </w:r>
      <w:r>
        <w:fldChar w:fldCharType="end"/>
      </w:r>
      <w:r>
        <w:fldChar w:fldCharType="end"/>
      </w:r>
    </w:p>
    <w:p>
      <w:pPr>
        <w:pStyle w:val="27"/>
        <w:tabs>
          <w:tab w:val="right" w:leader="dot" w:pos="8306"/>
          <w:tab w:val="clear" w:pos="993"/>
          <w:tab w:val="clear" w:pos="8296"/>
        </w:tabs>
      </w:pPr>
      <w:r>
        <w:fldChar w:fldCharType="begin"/>
      </w:r>
      <w:r>
        <w:instrText xml:space="preserve"> HYPERLINK \l _Toc18515 </w:instrText>
      </w:r>
      <w:r>
        <w:fldChar w:fldCharType="separate"/>
      </w:r>
      <w:r>
        <w:rPr>
          <w:rFonts w:hint="eastAsia" w:ascii="黑体" w:hAnsi="Times New Roman" w:eastAsia="黑体"/>
          <w:i w:val="0"/>
          <w:szCs w:val="21"/>
          <w:lang w:eastAsia="zh-CN"/>
        </w:rPr>
        <w:t xml:space="preserve">4.3 </w:t>
      </w:r>
      <w:r>
        <w:rPr>
          <w:rFonts w:hint="eastAsia" w:ascii="Times New Roman" w:hAnsi="Times New Roman" w:eastAsia="宋体"/>
          <w:szCs w:val="21"/>
        </w:rPr>
        <w:t>大屏幕与相关系统的接口</w:t>
      </w:r>
      <w:r>
        <w:tab/>
      </w:r>
      <w:r>
        <w:fldChar w:fldCharType="begin"/>
      </w:r>
      <w:r>
        <w:instrText xml:space="preserve"> PAGEREF _Toc18515 \h </w:instrText>
      </w:r>
      <w:r>
        <w:fldChar w:fldCharType="separate"/>
      </w:r>
      <w:r>
        <w:t>26</w:t>
      </w:r>
      <w:r>
        <w:fldChar w:fldCharType="end"/>
      </w:r>
      <w:r>
        <w:fldChar w:fldCharType="end"/>
      </w:r>
    </w:p>
    <w:p>
      <w:pPr>
        <w:pStyle w:val="16"/>
        <w:tabs>
          <w:tab w:val="right" w:leader="dot" w:pos="8306"/>
        </w:tabs>
      </w:pPr>
      <w:r>
        <w:fldChar w:fldCharType="begin"/>
      </w:r>
      <w:r>
        <w:instrText xml:space="preserve"> HYPERLINK \l _Toc2637 </w:instrText>
      </w:r>
      <w:r>
        <w:fldChar w:fldCharType="separate"/>
      </w:r>
      <w:r>
        <w:rPr>
          <w:rFonts w:hint="eastAsia" w:ascii="黑体" w:hAnsi="Times New Roman" w:eastAsia="黑体"/>
          <w:i w:val="0"/>
          <w:lang w:eastAsia="zh-CN"/>
        </w:rPr>
        <w:t xml:space="preserve">4.3.1 </w:t>
      </w:r>
      <w:r>
        <w:rPr>
          <w:rFonts w:hint="eastAsia" w:ascii="Times New Roman" w:hAnsi="Times New Roman" w:eastAsia="宋体"/>
        </w:rPr>
        <w:t>大</w:t>
      </w:r>
      <w:r>
        <w:rPr>
          <w:rFonts w:hint="eastAsia" w:ascii="Times New Roman" w:hAnsi="Times New Roman" w:eastAsia="宋体"/>
          <w:szCs w:val="21"/>
        </w:rPr>
        <w:t>屏幕</w:t>
      </w:r>
      <w:r>
        <w:rPr>
          <w:rFonts w:hint="eastAsia" w:ascii="Times New Roman" w:hAnsi="Times New Roman" w:eastAsia="宋体"/>
        </w:rPr>
        <w:t>与线网级业务应用系统的接口</w:t>
      </w:r>
      <w:r>
        <w:tab/>
      </w:r>
      <w:r>
        <w:fldChar w:fldCharType="begin"/>
      </w:r>
      <w:r>
        <w:instrText xml:space="preserve"> PAGEREF _Toc2637 \h </w:instrText>
      </w:r>
      <w:r>
        <w:fldChar w:fldCharType="separate"/>
      </w:r>
      <w:r>
        <w:t>26</w:t>
      </w:r>
      <w:r>
        <w:fldChar w:fldCharType="end"/>
      </w:r>
      <w:r>
        <w:fldChar w:fldCharType="end"/>
      </w:r>
    </w:p>
    <w:p>
      <w:pPr>
        <w:pStyle w:val="16"/>
        <w:tabs>
          <w:tab w:val="right" w:leader="dot" w:pos="8306"/>
        </w:tabs>
      </w:pPr>
      <w:r>
        <w:fldChar w:fldCharType="begin"/>
      </w:r>
      <w:r>
        <w:instrText xml:space="preserve"> HYPERLINK \l _Toc11423 </w:instrText>
      </w:r>
      <w:r>
        <w:fldChar w:fldCharType="separate"/>
      </w:r>
      <w:r>
        <w:rPr>
          <w:rFonts w:hint="eastAsia" w:ascii="黑体" w:eastAsia="黑体"/>
          <w:i w:val="0"/>
          <w:lang w:eastAsia="zh-CN"/>
        </w:rPr>
        <w:t xml:space="preserve">4.3.2 </w:t>
      </w:r>
      <w:r>
        <w:rPr>
          <w:rFonts w:hint="eastAsia"/>
        </w:rPr>
        <w:t>大屏幕与线路信号系统的接口</w:t>
      </w:r>
      <w:r>
        <w:tab/>
      </w:r>
      <w:r>
        <w:fldChar w:fldCharType="begin"/>
      </w:r>
      <w:r>
        <w:instrText xml:space="preserve"> PAGEREF _Toc11423 \h </w:instrText>
      </w:r>
      <w:r>
        <w:fldChar w:fldCharType="separate"/>
      </w:r>
      <w:r>
        <w:t>28</w:t>
      </w:r>
      <w:r>
        <w:fldChar w:fldCharType="end"/>
      </w:r>
      <w:r>
        <w:fldChar w:fldCharType="end"/>
      </w:r>
    </w:p>
    <w:p>
      <w:pPr>
        <w:widowControl/>
        <w:jc w:val="left"/>
      </w:pPr>
      <w:r>
        <w:fldChar w:fldCharType="end"/>
      </w:r>
    </w:p>
    <w:p>
      <w:pPr>
        <w:widowControl/>
        <w:jc w:val="left"/>
      </w:pPr>
      <w:r>
        <w:br w:type="page"/>
      </w:r>
    </w:p>
    <w:bookmarkEnd w:id="0"/>
    <w:bookmarkEnd w:id="1"/>
    <w:bookmarkEnd w:id="2"/>
    <w:p>
      <w:pPr>
        <w:pStyle w:val="2"/>
      </w:pPr>
      <w:bookmarkStart w:id="3" w:name="_Toc9948"/>
      <w:bookmarkStart w:id="4" w:name="_Toc3397"/>
      <w:bookmarkStart w:id="5" w:name="_Toc18559"/>
      <w:bookmarkStart w:id="6" w:name="_Toc519894100"/>
      <w:r>
        <w:rPr>
          <w:rFonts w:hint="eastAsia"/>
        </w:rPr>
        <w:t>分册说明</w:t>
      </w:r>
      <w:bookmarkEnd w:id="3"/>
      <w:bookmarkEnd w:id="4"/>
      <w:bookmarkEnd w:id="5"/>
      <w:bookmarkEnd w:id="6"/>
    </w:p>
    <w:p>
      <w:pPr>
        <w:pStyle w:val="14"/>
        <w:spacing w:line="480" w:lineRule="exact"/>
        <w:ind w:firstLine="420"/>
        <w:rPr>
          <w:color w:val="auto"/>
          <w:kern w:val="2"/>
          <w:sz w:val="21"/>
        </w:rPr>
      </w:pPr>
      <w:r>
        <w:rPr>
          <w:rFonts w:hint="eastAsia"/>
          <w:color w:val="auto"/>
          <w:kern w:val="2"/>
          <w:sz w:val="21"/>
        </w:rPr>
        <w:t>本用户需求书分为以下分册：</w:t>
      </w:r>
    </w:p>
    <w:p>
      <w:pPr>
        <w:pStyle w:val="14"/>
        <w:spacing w:line="480" w:lineRule="exact"/>
        <w:ind w:firstLine="420"/>
        <w:rPr>
          <w:color w:val="auto"/>
          <w:kern w:val="2"/>
          <w:sz w:val="21"/>
        </w:rPr>
      </w:pPr>
      <w:r>
        <w:rPr>
          <w:rFonts w:hint="eastAsia"/>
          <w:color w:val="auto"/>
          <w:kern w:val="2"/>
          <w:sz w:val="21"/>
        </w:rPr>
        <w:t>《第一册 通用要求》</w:t>
      </w:r>
    </w:p>
    <w:p>
      <w:pPr>
        <w:pStyle w:val="14"/>
        <w:spacing w:line="480" w:lineRule="exact"/>
        <w:ind w:firstLine="420"/>
        <w:rPr>
          <w:color w:val="auto"/>
          <w:kern w:val="2"/>
          <w:sz w:val="21"/>
        </w:rPr>
      </w:pPr>
      <w:r>
        <w:rPr>
          <w:rFonts w:hint="eastAsia"/>
          <w:color w:val="auto"/>
          <w:kern w:val="2"/>
          <w:sz w:val="21"/>
        </w:rPr>
        <w:t>《第二册 工程概况及供货范围》</w:t>
      </w:r>
    </w:p>
    <w:p>
      <w:pPr>
        <w:pStyle w:val="14"/>
        <w:spacing w:line="480" w:lineRule="exact"/>
        <w:ind w:firstLine="420"/>
        <w:rPr>
          <w:color w:val="auto"/>
          <w:kern w:val="2"/>
          <w:sz w:val="21"/>
        </w:rPr>
      </w:pPr>
      <w:r>
        <w:rPr>
          <w:rFonts w:hint="eastAsia"/>
          <w:color w:val="auto"/>
          <w:kern w:val="2"/>
          <w:sz w:val="21"/>
        </w:rPr>
        <w:t>《第三册 线网通信系统》</w:t>
      </w:r>
    </w:p>
    <w:p>
      <w:pPr>
        <w:pStyle w:val="14"/>
        <w:spacing w:line="480" w:lineRule="exact"/>
        <w:ind w:firstLine="420"/>
        <w:rPr>
          <w:color w:val="auto"/>
          <w:kern w:val="2"/>
          <w:sz w:val="21"/>
        </w:rPr>
      </w:pPr>
      <w:r>
        <w:rPr>
          <w:rFonts w:hint="eastAsia"/>
          <w:color w:val="auto"/>
          <w:kern w:val="2"/>
          <w:sz w:val="21"/>
        </w:rPr>
        <w:t>《第四册 终端、网络及安全等配套设备》</w:t>
      </w:r>
    </w:p>
    <w:p>
      <w:pPr>
        <w:pStyle w:val="14"/>
        <w:spacing w:line="480" w:lineRule="exact"/>
        <w:ind w:firstLine="420"/>
        <w:rPr>
          <w:color w:val="auto"/>
          <w:kern w:val="2"/>
          <w:sz w:val="21"/>
        </w:rPr>
      </w:pPr>
      <w:r>
        <w:rPr>
          <w:rFonts w:hint="eastAsia"/>
          <w:color w:val="auto"/>
          <w:kern w:val="2"/>
          <w:sz w:val="21"/>
        </w:rPr>
        <w:t>《第五册 接口附录》</w:t>
      </w:r>
    </w:p>
    <w:p>
      <w:pPr>
        <w:pStyle w:val="14"/>
        <w:spacing w:line="480" w:lineRule="exact"/>
        <w:ind w:firstLine="420"/>
        <w:rPr>
          <w:color w:val="auto"/>
          <w:kern w:val="2"/>
          <w:sz w:val="21"/>
        </w:rPr>
      </w:pPr>
      <w:r>
        <w:rPr>
          <w:rFonts w:hint="eastAsia"/>
          <w:color w:val="auto"/>
          <w:kern w:val="2"/>
          <w:sz w:val="21"/>
        </w:rPr>
        <w:t xml:space="preserve">本册为《第五册 </w:t>
      </w:r>
      <w:r>
        <w:rPr>
          <w:rFonts w:hint="eastAsia"/>
          <w:color w:val="auto"/>
          <w:kern w:val="2"/>
          <w:sz w:val="21"/>
          <w:lang w:val="en-US"/>
        </w:rPr>
        <w:t>接口附录</w:t>
      </w:r>
      <w:r>
        <w:rPr>
          <w:rFonts w:hint="eastAsia"/>
          <w:color w:val="auto"/>
          <w:kern w:val="2"/>
          <w:sz w:val="21"/>
        </w:rPr>
        <w:t>》，重点说明</w:t>
      </w:r>
      <w:r>
        <w:rPr>
          <w:rFonts w:hint="eastAsia"/>
          <w:color w:val="auto"/>
          <w:kern w:val="2"/>
          <w:sz w:val="21"/>
          <w:lang w:val="en-US"/>
        </w:rPr>
        <w:t>本工程标段内及标段外相关系统的接口关系</w:t>
      </w:r>
      <w:r>
        <w:rPr>
          <w:rFonts w:hint="eastAsia"/>
          <w:color w:val="auto"/>
          <w:kern w:val="2"/>
          <w:sz w:val="21"/>
        </w:rPr>
        <w:t>。</w:t>
      </w:r>
    </w:p>
    <w:p/>
    <w:p>
      <w:pPr>
        <w:pStyle w:val="2"/>
        <w:spacing w:line="480" w:lineRule="exact"/>
        <w:ind w:firstLine="480"/>
      </w:pPr>
      <w:bookmarkStart w:id="7" w:name="_Toc15318"/>
      <w:bookmarkStart w:id="8" w:name="_Toc19590"/>
      <w:r>
        <w:rPr>
          <w:rFonts w:hint="eastAsia"/>
          <w:kern w:val="2"/>
          <w:sz w:val="21"/>
        </w:rPr>
        <w:t>接口</w:t>
      </w:r>
      <w:bookmarkEnd w:id="7"/>
      <w:r>
        <w:rPr>
          <w:rFonts w:hint="eastAsia"/>
          <w:kern w:val="2"/>
          <w:sz w:val="21"/>
        </w:rPr>
        <w:t>概述</w:t>
      </w:r>
      <w:bookmarkEnd w:id="8"/>
    </w:p>
    <w:p>
      <w:pPr>
        <w:pStyle w:val="3"/>
        <w:spacing w:line="480" w:lineRule="exact"/>
        <w:ind w:firstLine="560"/>
        <w:rPr>
          <w:rFonts w:ascii="Times New Roman" w:hAnsi="Times New Roman"/>
          <w:b/>
          <w:bCs w:val="0"/>
          <w:kern w:val="44"/>
          <w:szCs w:val="21"/>
        </w:rPr>
      </w:pPr>
      <w:bookmarkStart w:id="9" w:name="_Toc230"/>
      <w:bookmarkStart w:id="10" w:name="_Toc31628"/>
      <w:r>
        <w:rPr>
          <w:rFonts w:hint="eastAsia" w:ascii="Times New Roman" w:hAnsi="Times New Roman" w:eastAsia="宋体"/>
          <w:szCs w:val="21"/>
        </w:rPr>
        <w:t>接口总述</w:t>
      </w:r>
      <w:bookmarkEnd w:id="9"/>
      <w:bookmarkEnd w:id="10"/>
    </w:p>
    <w:p>
      <w:pPr>
        <w:numPr>
          <w:ilvl w:val="255"/>
          <w:numId w:val="0"/>
        </w:numPr>
        <w:spacing w:line="520" w:lineRule="exact"/>
        <w:ind w:firstLine="420" w:firstLineChars="200"/>
        <w:rPr>
          <w:szCs w:val="21"/>
        </w:rPr>
      </w:pPr>
      <w:r>
        <w:rPr>
          <w:rFonts w:hint="eastAsia"/>
          <w:color w:val="000000"/>
          <w:szCs w:val="21"/>
        </w:rPr>
        <w:t>本工程接口范围包括与线网指挥平台二期业务系统及本工程相关的接口，以及工程本身实施时需与建筑、通风、配电等专业的接口。</w:t>
      </w:r>
    </w:p>
    <w:p>
      <w:pPr>
        <w:pStyle w:val="3"/>
        <w:spacing w:line="480" w:lineRule="exact"/>
        <w:ind w:firstLine="560"/>
        <w:rPr>
          <w:rFonts w:ascii="Times New Roman" w:hAnsi="Times New Roman" w:eastAsia="宋体"/>
          <w:szCs w:val="21"/>
        </w:rPr>
      </w:pPr>
      <w:bookmarkStart w:id="11" w:name="_Toc22233"/>
      <w:bookmarkStart w:id="12" w:name="_Toc10133"/>
      <w:r>
        <w:rPr>
          <w:rFonts w:hint="eastAsia" w:ascii="Times New Roman" w:hAnsi="Times New Roman" w:eastAsia="宋体"/>
          <w:szCs w:val="21"/>
        </w:rPr>
        <w:t>功能接口原则</w:t>
      </w:r>
      <w:bookmarkEnd w:id="11"/>
      <w:bookmarkEnd w:id="12"/>
    </w:p>
    <w:p>
      <w:pPr>
        <w:pStyle w:val="49"/>
        <w:spacing w:line="360" w:lineRule="auto"/>
        <w:ind w:firstLineChars="0"/>
        <w:rPr>
          <w:rFonts w:ascii="宋体" w:hAnsi="宋体"/>
          <w:szCs w:val="21"/>
        </w:rPr>
      </w:pPr>
      <w:r>
        <w:rPr>
          <w:rFonts w:hint="eastAsia" w:ascii="宋体" w:hAnsi="宋体"/>
          <w:szCs w:val="21"/>
        </w:rPr>
        <w:t>业务系统的各项功能由业务系统提供并部署在云平台上的业务软件实现。</w:t>
      </w:r>
    </w:p>
    <w:p>
      <w:pPr>
        <w:pStyle w:val="49"/>
        <w:spacing w:line="360" w:lineRule="auto"/>
        <w:ind w:firstLineChars="0"/>
        <w:rPr>
          <w:rFonts w:ascii="宋体" w:hAnsi="宋体"/>
          <w:szCs w:val="21"/>
        </w:rPr>
      </w:pPr>
      <w:r>
        <w:rPr>
          <w:rFonts w:hint="eastAsia" w:ascii="宋体" w:hAnsi="宋体"/>
          <w:szCs w:val="21"/>
        </w:rPr>
        <w:t>对于业务应用相关的接口，接口功能描述仅作为理解工程使用，业务应用功能不在本工程实施范围。</w:t>
      </w:r>
    </w:p>
    <w:p>
      <w:pPr>
        <w:pStyle w:val="3"/>
        <w:spacing w:line="480" w:lineRule="exact"/>
        <w:ind w:firstLine="560"/>
        <w:rPr>
          <w:rFonts w:ascii="Times New Roman" w:hAnsi="Times New Roman" w:eastAsia="宋体"/>
          <w:szCs w:val="21"/>
        </w:rPr>
      </w:pPr>
      <w:bookmarkStart w:id="13" w:name="_Toc32450"/>
      <w:bookmarkStart w:id="14" w:name="_Toc9483"/>
      <w:r>
        <w:rPr>
          <w:rFonts w:hint="eastAsia" w:ascii="Times New Roman" w:hAnsi="Times New Roman" w:eastAsia="宋体"/>
          <w:szCs w:val="21"/>
        </w:rPr>
        <w:t>信息安全原则</w:t>
      </w:r>
      <w:bookmarkEnd w:id="13"/>
      <w:bookmarkEnd w:id="14"/>
    </w:p>
    <w:p>
      <w:pPr>
        <w:pStyle w:val="49"/>
        <w:spacing w:line="360" w:lineRule="auto"/>
        <w:ind w:firstLineChars="0"/>
        <w:rPr>
          <w:rFonts w:ascii="宋体" w:hAnsi="宋体"/>
          <w:szCs w:val="21"/>
        </w:rPr>
      </w:pPr>
      <w:r>
        <w:rPr>
          <w:rFonts w:hint="eastAsia" w:ascii="宋体" w:hAnsi="宋体"/>
          <w:szCs w:val="21"/>
        </w:rPr>
        <w:t>按“系统自保、平台统保、边界防护、等保达标、安全确保”原则执行。</w:t>
      </w:r>
    </w:p>
    <w:p>
      <w:pPr>
        <w:pStyle w:val="3"/>
        <w:spacing w:line="480" w:lineRule="exact"/>
        <w:ind w:firstLine="560"/>
        <w:rPr>
          <w:rFonts w:ascii="Times New Roman" w:hAnsi="Times New Roman" w:eastAsia="宋体"/>
          <w:szCs w:val="21"/>
        </w:rPr>
      </w:pPr>
      <w:bookmarkStart w:id="15" w:name="_Toc12636"/>
      <w:bookmarkStart w:id="16" w:name="_Toc16585"/>
      <w:r>
        <w:rPr>
          <w:rFonts w:hint="eastAsia" w:ascii="Times New Roman" w:hAnsi="Times New Roman" w:eastAsia="宋体"/>
          <w:szCs w:val="21"/>
        </w:rPr>
        <w:t>对外、互联网访问原则</w:t>
      </w:r>
      <w:bookmarkEnd w:id="15"/>
      <w:bookmarkEnd w:id="16"/>
    </w:p>
    <w:p>
      <w:pPr>
        <w:pStyle w:val="49"/>
        <w:spacing w:line="360" w:lineRule="auto"/>
        <w:ind w:firstLineChars="0"/>
        <w:rPr>
          <w:rFonts w:ascii="宋体" w:hAnsi="宋体"/>
          <w:szCs w:val="21"/>
        </w:rPr>
      </w:pPr>
      <w:r>
        <w:rPr>
          <w:rFonts w:hint="eastAsia" w:ascii="宋体" w:hAnsi="宋体"/>
          <w:szCs w:val="21"/>
        </w:rPr>
        <w:t>本工程负责</w:t>
      </w:r>
      <w:r>
        <w:rPr>
          <w:rFonts w:ascii="宋体" w:hAnsi="宋体"/>
          <w:szCs w:val="21"/>
        </w:rPr>
        <w:t>运营商互联网专线</w:t>
      </w:r>
      <w:r>
        <w:rPr>
          <w:rFonts w:hint="eastAsia" w:ascii="宋体" w:hAnsi="宋体"/>
          <w:szCs w:val="21"/>
        </w:rPr>
        <w:t>租赁服务</w:t>
      </w:r>
      <w:r>
        <w:rPr>
          <w:rFonts w:ascii="宋体" w:hAnsi="宋体"/>
          <w:szCs w:val="21"/>
        </w:rPr>
        <w:t>。</w:t>
      </w:r>
    </w:p>
    <w:p>
      <w:pPr>
        <w:pStyle w:val="3"/>
        <w:spacing w:line="480" w:lineRule="exact"/>
        <w:ind w:firstLine="560"/>
        <w:rPr>
          <w:rFonts w:ascii="Times New Roman" w:hAnsi="Times New Roman" w:eastAsia="宋体"/>
          <w:szCs w:val="21"/>
        </w:rPr>
      </w:pPr>
      <w:bookmarkStart w:id="17" w:name="_Toc22500"/>
      <w:r>
        <w:rPr>
          <w:rFonts w:hint="eastAsia" w:ascii="Times New Roman" w:hAnsi="Times New Roman" w:eastAsia="宋体"/>
          <w:szCs w:val="21"/>
        </w:rPr>
        <w:t>接口汇总表</w:t>
      </w:r>
      <w:bookmarkEnd w:id="17"/>
    </w:p>
    <w:p>
      <w:pPr>
        <w:pStyle w:val="49"/>
        <w:tabs>
          <w:tab w:val="left" w:pos="1632"/>
        </w:tabs>
        <w:spacing w:line="360" w:lineRule="auto"/>
        <w:ind w:firstLineChars="0"/>
        <w:rPr>
          <w:rFonts w:ascii="宋体" w:hAnsi="宋体"/>
          <w:szCs w:val="21"/>
        </w:rPr>
      </w:pPr>
      <w:r>
        <w:rPr>
          <w:rFonts w:hint="eastAsia" w:ascii="宋体" w:hAnsi="宋体"/>
          <w:szCs w:val="21"/>
        </w:rPr>
        <w:tab/>
      </w:r>
    </w:p>
    <w:tbl>
      <w:tblPr>
        <w:tblStyle w:val="32"/>
        <w:tblW w:w="8938" w:type="dxa"/>
        <w:tblInd w:w="96" w:type="dxa"/>
        <w:tblLayout w:type="autofit"/>
        <w:tblCellMar>
          <w:top w:w="0" w:type="dxa"/>
          <w:left w:w="108" w:type="dxa"/>
          <w:bottom w:w="0" w:type="dxa"/>
          <w:right w:w="108" w:type="dxa"/>
        </w:tblCellMar>
      </w:tblPr>
      <w:tblGrid>
        <w:gridCol w:w="794"/>
        <w:gridCol w:w="5151"/>
        <w:gridCol w:w="2198"/>
        <w:gridCol w:w="795"/>
      </w:tblGrid>
      <w:tr>
        <w:tblPrEx>
          <w:tblCellMar>
            <w:top w:w="0" w:type="dxa"/>
            <w:left w:w="108" w:type="dxa"/>
            <w:bottom w:w="0" w:type="dxa"/>
            <w:right w:w="108" w:type="dxa"/>
          </w:tblCellMar>
        </w:tblPrEx>
        <w:trPr>
          <w:trHeight w:val="304" w:hRule="atLeast"/>
        </w:trPr>
        <w:tc>
          <w:tcPr>
            <w:tcW w:w="891" w:type="dxa"/>
            <w:tcBorders>
              <w:top w:val="nil"/>
              <w:left w:val="single" w:color="000000" w:sz="8" w:space="0"/>
              <w:bottom w:val="single" w:color="000000" w:sz="8" w:space="0"/>
              <w:right w:val="single" w:color="000000" w:sz="8" w:space="0"/>
            </w:tcBorders>
            <w:shd w:val="clear" w:color="auto" w:fill="E8EEF7"/>
            <w:vAlign w:val="center"/>
          </w:tcPr>
          <w:p>
            <w:pPr>
              <w:widowControl/>
              <w:jc w:val="center"/>
              <w:textAlignment w:val="center"/>
              <w:rPr>
                <w:rFonts w:ascii="黑体" w:hAnsi="宋体" w:eastAsia="黑体" w:cs="黑体"/>
                <w:color w:val="000000"/>
                <w:sz w:val="24"/>
                <w:szCs w:val="24"/>
              </w:rPr>
            </w:pPr>
            <w:r>
              <w:rPr>
                <w:rFonts w:hint="eastAsia" w:ascii="黑体" w:hAnsi="宋体" w:eastAsia="黑体" w:cs="黑体"/>
                <w:color w:val="000000"/>
                <w:kern w:val="0"/>
                <w:sz w:val="24"/>
                <w:szCs w:val="24"/>
                <w:lang w:bidi="ar"/>
              </w:rPr>
              <w:t>序号</w:t>
            </w:r>
          </w:p>
        </w:tc>
        <w:tc>
          <w:tcPr>
            <w:tcW w:w="4689" w:type="dxa"/>
            <w:tcBorders>
              <w:top w:val="nil"/>
              <w:left w:val="nil"/>
              <w:bottom w:val="single" w:color="000000" w:sz="8" w:space="0"/>
              <w:right w:val="single" w:color="000000" w:sz="8" w:space="0"/>
            </w:tcBorders>
            <w:shd w:val="clear" w:color="auto" w:fill="E8EEF7"/>
            <w:vAlign w:val="center"/>
          </w:tcPr>
          <w:p>
            <w:pPr>
              <w:widowControl/>
              <w:jc w:val="center"/>
              <w:textAlignment w:val="center"/>
              <w:rPr>
                <w:rFonts w:ascii="黑体" w:hAnsi="宋体" w:eastAsia="黑体" w:cs="黑体"/>
                <w:color w:val="000000"/>
                <w:sz w:val="24"/>
                <w:szCs w:val="24"/>
              </w:rPr>
            </w:pPr>
            <w:r>
              <w:rPr>
                <w:rFonts w:hint="eastAsia" w:ascii="黑体" w:hAnsi="宋体" w:eastAsia="黑体" w:cs="黑体"/>
                <w:color w:val="000000"/>
                <w:kern w:val="0"/>
                <w:sz w:val="24"/>
                <w:szCs w:val="24"/>
                <w:lang w:bidi="ar"/>
              </w:rPr>
              <w:t>接口系统</w:t>
            </w:r>
          </w:p>
        </w:tc>
        <w:tc>
          <w:tcPr>
            <w:tcW w:w="2466" w:type="dxa"/>
            <w:tcBorders>
              <w:top w:val="nil"/>
              <w:left w:val="nil"/>
              <w:bottom w:val="single" w:color="000000" w:sz="8" w:space="0"/>
              <w:right w:val="single" w:color="000000" w:sz="8" w:space="0"/>
            </w:tcBorders>
            <w:shd w:val="clear" w:color="auto" w:fill="E8EEF7"/>
            <w:vAlign w:val="center"/>
          </w:tcPr>
          <w:p>
            <w:pPr>
              <w:widowControl/>
              <w:jc w:val="center"/>
              <w:textAlignment w:val="center"/>
              <w:rPr>
                <w:rFonts w:ascii="黑体" w:hAnsi="宋体" w:eastAsia="黑体" w:cs="黑体"/>
                <w:color w:val="000000"/>
                <w:sz w:val="24"/>
                <w:szCs w:val="24"/>
              </w:rPr>
            </w:pPr>
            <w:r>
              <w:rPr>
                <w:rFonts w:hint="eastAsia" w:ascii="黑体" w:hAnsi="宋体" w:eastAsia="黑体" w:cs="黑体"/>
                <w:color w:val="000000"/>
                <w:kern w:val="0"/>
                <w:sz w:val="24"/>
                <w:szCs w:val="24"/>
                <w:lang w:bidi="ar"/>
              </w:rPr>
              <w:t>接口类别</w:t>
            </w:r>
          </w:p>
        </w:tc>
        <w:tc>
          <w:tcPr>
            <w:tcW w:w="892" w:type="dxa"/>
            <w:tcBorders>
              <w:top w:val="nil"/>
              <w:left w:val="nil"/>
              <w:bottom w:val="single" w:color="000000" w:sz="8" w:space="0"/>
              <w:right w:val="single" w:color="000000" w:sz="8" w:space="0"/>
            </w:tcBorders>
            <w:shd w:val="clear" w:color="auto" w:fill="E8EEF7"/>
            <w:vAlign w:val="center"/>
          </w:tcPr>
          <w:p>
            <w:pPr>
              <w:widowControl/>
              <w:jc w:val="center"/>
              <w:textAlignment w:val="center"/>
              <w:rPr>
                <w:rFonts w:ascii="黑体" w:hAnsi="宋体" w:eastAsia="黑体" w:cs="黑体"/>
                <w:color w:val="000000"/>
                <w:sz w:val="24"/>
                <w:szCs w:val="24"/>
              </w:rPr>
            </w:pPr>
            <w:r>
              <w:rPr>
                <w:rFonts w:hint="eastAsia" w:ascii="黑体" w:hAnsi="宋体" w:eastAsia="黑体" w:cs="黑体"/>
                <w:color w:val="000000"/>
                <w:kern w:val="0"/>
                <w:sz w:val="24"/>
                <w:szCs w:val="24"/>
                <w:lang w:bidi="ar"/>
              </w:rPr>
              <w:t>备注</w:t>
            </w:r>
          </w:p>
        </w:tc>
      </w:tr>
      <w:tr>
        <w:tblPrEx>
          <w:tblCellMar>
            <w:top w:w="0" w:type="dxa"/>
            <w:left w:w="108" w:type="dxa"/>
            <w:bottom w:w="0" w:type="dxa"/>
            <w:right w:w="108" w:type="dxa"/>
          </w:tblCellMar>
        </w:tblPrEx>
        <w:trPr>
          <w:trHeight w:val="342" w:hRule="atLeast"/>
        </w:trPr>
        <w:tc>
          <w:tcPr>
            <w:tcW w:w="0" w:type="auto"/>
            <w:tcBorders>
              <w:top w:val="nil"/>
              <w:left w:val="single" w:color="000000" w:sz="8" w:space="0"/>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 w:val="22"/>
              </w:rPr>
            </w:pPr>
            <w:r>
              <w:rPr>
                <w:rFonts w:hint="eastAsia" w:ascii="宋体" w:hAnsi="宋体" w:cs="宋体"/>
                <w:color w:val="000000"/>
                <w:kern w:val="0"/>
                <w:sz w:val="22"/>
                <w:lang w:bidi="ar"/>
              </w:rPr>
              <w:t>1</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网络及安全配套与线网视频接口</w:t>
            </w:r>
          </w:p>
        </w:tc>
        <w:tc>
          <w:tcPr>
            <w:tcW w:w="2466" w:type="dxa"/>
            <w:tcBorders>
              <w:top w:val="nil"/>
              <w:left w:val="nil"/>
              <w:bottom w:val="single" w:color="000000" w:sz="8" w:space="0"/>
              <w:right w:val="single" w:color="000000" w:sz="8" w:space="0"/>
            </w:tcBorders>
            <w:shd w:val="clear" w:color="auto" w:fill="auto"/>
            <w:vAlign w:val="center"/>
          </w:tcPr>
          <w:p>
            <w:pPr>
              <w:widowControl/>
              <w:jc w:val="center"/>
              <w:textAlignment w:val="center"/>
              <w:rPr>
                <w:rFonts w:ascii="宋体" w:hAnsi="宋体" w:cs="宋体"/>
                <w:color w:val="000000"/>
                <w:sz w:val="24"/>
                <w:szCs w:val="24"/>
              </w:rPr>
            </w:pPr>
            <w:r>
              <w:rPr>
                <w:rFonts w:hint="eastAsia" w:ascii="宋体" w:hAnsi="宋体" w:cs="宋体"/>
                <w:color w:val="000000"/>
                <w:kern w:val="0"/>
                <w:sz w:val="24"/>
                <w:szCs w:val="24"/>
                <w:lang w:bidi="ar"/>
              </w:rPr>
              <w:t>标段内接口</w:t>
            </w:r>
          </w:p>
        </w:tc>
        <w:tc>
          <w:tcPr>
            <w:tcW w:w="892" w:type="dxa"/>
            <w:tcBorders>
              <w:top w:val="nil"/>
              <w:left w:val="nil"/>
              <w:bottom w:val="single" w:color="000000" w:sz="8" w:space="0"/>
              <w:right w:val="single" w:color="000000" w:sz="8" w:space="0"/>
            </w:tcBorders>
            <w:shd w:val="clear" w:color="auto" w:fill="auto"/>
            <w:vAlign w:val="center"/>
          </w:tcPr>
          <w:p>
            <w:pPr>
              <w:jc w:val="center"/>
              <w:rPr>
                <w:rFonts w:ascii="宋体" w:hAnsi="宋体" w:cs="宋体"/>
                <w:color w:val="000000"/>
                <w:sz w:val="24"/>
                <w:szCs w:val="24"/>
              </w:rPr>
            </w:pPr>
          </w:p>
        </w:tc>
      </w:tr>
      <w:tr>
        <w:tblPrEx>
          <w:tblCellMar>
            <w:top w:w="0" w:type="dxa"/>
            <w:left w:w="108" w:type="dxa"/>
            <w:bottom w:w="0" w:type="dxa"/>
            <w:right w:w="108" w:type="dxa"/>
          </w:tblCellMar>
        </w:tblPrEx>
        <w:trPr>
          <w:trHeight w:val="342" w:hRule="atLeast"/>
        </w:trPr>
        <w:tc>
          <w:tcPr>
            <w:tcW w:w="0" w:type="auto"/>
            <w:tcBorders>
              <w:top w:val="nil"/>
              <w:left w:val="single" w:color="000000" w:sz="8" w:space="0"/>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 w:val="22"/>
              </w:rPr>
            </w:pPr>
            <w:r>
              <w:rPr>
                <w:rFonts w:hint="eastAsia" w:ascii="宋体" w:hAnsi="宋体" w:cs="宋体"/>
                <w:color w:val="000000"/>
                <w:kern w:val="0"/>
                <w:sz w:val="22"/>
                <w:lang w:bidi="ar"/>
              </w:rPr>
              <w:t>2</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网络及安全配套与线网广播接口</w:t>
            </w:r>
          </w:p>
        </w:tc>
        <w:tc>
          <w:tcPr>
            <w:tcW w:w="2466" w:type="dxa"/>
            <w:tcBorders>
              <w:top w:val="nil"/>
              <w:left w:val="nil"/>
              <w:bottom w:val="single" w:color="000000" w:sz="8" w:space="0"/>
              <w:right w:val="single" w:color="000000" w:sz="8" w:space="0"/>
            </w:tcBorders>
            <w:shd w:val="clear" w:color="auto" w:fill="auto"/>
            <w:vAlign w:val="center"/>
          </w:tcPr>
          <w:p>
            <w:pPr>
              <w:widowControl/>
              <w:jc w:val="center"/>
              <w:textAlignment w:val="center"/>
              <w:rPr>
                <w:rFonts w:ascii="宋体" w:hAnsi="宋体" w:cs="宋体"/>
                <w:color w:val="000000"/>
                <w:sz w:val="24"/>
                <w:szCs w:val="24"/>
              </w:rPr>
            </w:pPr>
            <w:r>
              <w:rPr>
                <w:rFonts w:hint="eastAsia" w:ascii="宋体" w:hAnsi="宋体" w:cs="宋体"/>
                <w:color w:val="000000"/>
                <w:kern w:val="0"/>
                <w:sz w:val="24"/>
                <w:szCs w:val="24"/>
                <w:lang w:bidi="ar"/>
              </w:rPr>
              <w:t>标段内接口</w:t>
            </w:r>
          </w:p>
        </w:tc>
        <w:tc>
          <w:tcPr>
            <w:tcW w:w="892" w:type="dxa"/>
            <w:tcBorders>
              <w:top w:val="nil"/>
              <w:left w:val="nil"/>
              <w:bottom w:val="single" w:color="000000" w:sz="8" w:space="0"/>
              <w:right w:val="single" w:color="000000" w:sz="8" w:space="0"/>
            </w:tcBorders>
            <w:shd w:val="clear" w:color="auto" w:fill="auto"/>
            <w:vAlign w:val="center"/>
          </w:tcPr>
          <w:p>
            <w:pPr>
              <w:jc w:val="center"/>
              <w:rPr>
                <w:rFonts w:ascii="宋体" w:hAnsi="宋体" w:cs="宋体"/>
                <w:color w:val="000000"/>
                <w:sz w:val="24"/>
                <w:szCs w:val="24"/>
              </w:rPr>
            </w:pPr>
          </w:p>
        </w:tc>
      </w:tr>
      <w:tr>
        <w:tblPrEx>
          <w:tblCellMar>
            <w:top w:w="0" w:type="dxa"/>
            <w:left w:w="108" w:type="dxa"/>
            <w:bottom w:w="0" w:type="dxa"/>
            <w:right w:w="108" w:type="dxa"/>
          </w:tblCellMar>
        </w:tblPrEx>
        <w:trPr>
          <w:trHeight w:val="342" w:hRule="atLeast"/>
        </w:trPr>
        <w:tc>
          <w:tcPr>
            <w:tcW w:w="0" w:type="auto"/>
            <w:tcBorders>
              <w:top w:val="nil"/>
              <w:left w:val="single" w:color="000000" w:sz="8" w:space="0"/>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 w:val="22"/>
              </w:rPr>
            </w:pPr>
            <w:r>
              <w:rPr>
                <w:rFonts w:hint="eastAsia" w:ascii="宋体" w:hAnsi="宋体" w:cs="宋体"/>
                <w:color w:val="000000"/>
                <w:kern w:val="0"/>
                <w:sz w:val="22"/>
                <w:lang w:bidi="ar"/>
              </w:rPr>
              <w:t>3</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大屏幕与通信系统接口</w:t>
            </w:r>
          </w:p>
        </w:tc>
        <w:tc>
          <w:tcPr>
            <w:tcW w:w="2466" w:type="dxa"/>
            <w:tcBorders>
              <w:top w:val="nil"/>
              <w:left w:val="nil"/>
              <w:bottom w:val="single" w:color="000000" w:sz="8" w:space="0"/>
              <w:right w:val="single" w:color="000000" w:sz="8" w:space="0"/>
            </w:tcBorders>
            <w:shd w:val="clear" w:color="auto" w:fill="auto"/>
            <w:vAlign w:val="center"/>
          </w:tcPr>
          <w:p>
            <w:pPr>
              <w:widowControl/>
              <w:jc w:val="center"/>
              <w:textAlignment w:val="center"/>
              <w:rPr>
                <w:rFonts w:ascii="宋体" w:hAnsi="宋体" w:cs="宋体"/>
                <w:color w:val="000000"/>
                <w:sz w:val="24"/>
                <w:szCs w:val="24"/>
              </w:rPr>
            </w:pPr>
            <w:r>
              <w:rPr>
                <w:rFonts w:hint="eastAsia" w:ascii="宋体" w:hAnsi="宋体" w:cs="宋体"/>
                <w:color w:val="000000"/>
                <w:kern w:val="0"/>
                <w:sz w:val="24"/>
                <w:szCs w:val="24"/>
                <w:lang w:bidi="ar"/>
              </w:rPr>
              <w:t>标段内接口</w:t>
            </w:r>
          </w:p>
        </w:tc>
        <w:tc>
          <w:tcPr>
            <w:tcW w:w="892" w:type="dxa"/>
            <w:tcBorders>
              <w:top w:val="nil"/>
              <w:left w:val="nil"/>
              <w:bottom w:val="single" w:color="000000" w:sz="8" w:space="0"/>
              <w:right w:val="single" w:color="000000" w:sz="8" w:space="0"/>
            </w:tcBorders>
            <w:shd w:val="clear" w:color="auto" w:fill="auto"/>
            <w:vAlign w:val="center"/>
          </w:tcPr>
          <w:p>
            <w:pPr>
              <w:jc w:val="center"/>
              <w:rPr>
                <w:rFonts w:ascii="宋体" w:hAnsi="宋体" w:cs="宋体"/>
                <w:color w:val="000000"/>
                <w:sz w:val="24"/>
                <w:szCs w:val="24"/>
              </w:rPr>
            </w:pPr>
          </w:p>
        </w:tc>
      </w:tr>
      <w:tr>
        <w:trPr>
          <w:trHeight w:val="342" w:hRule="atLeast"/>
        </w:trPr>
        <w:tc>
          <w:tcPr>
            <w:tcW w:w="0" w:type="auto"/>
            <w:tcBorders>
              <w:top w:val="nil"/>
              <w:left w:val="single" w:color="000000" w:sz="8" w:space="0"/>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 w:val="22"/>
              </w:rPr>
            </w:pPr>
            <w:r>
              <w:rPr>
                <w:rFonts w:hint="eastAsia" w:ascii="宋体" w:hAnsi="宋体" w:cs="宋体"/>
                <w:color w:val="000000"/>
                <w:kern w:val="0"/>
                <w:sz w:val="22"/>
                <w:lang w:bidi="ar"/>
              </w:rPr>
              <w:t>4</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网络及安全配套与线网级业务应用系统接口</w:t>
            </w:r>
          </w:p>
        </w:tc>
        <w:tc>
          <w:tcPr>
            <w:tcW w:w="2466" w:type="dxa"/>
            <w:tcBorders>
              <w:top w:val="nil"/>
              <w:left w:val="nil"/>
              <w:bottom w:val="single" w:color="000000" w:sz="8" w:space="0"/>
              <w:right w:val="single" w:color="000000" w:sz="8" w:space="0"/>
            </w:tcBorders>
            <w:shd w:val="clear" w:color="auto" w:fill="auto"/>
            <w:vAlign w:val="center"/>
          </w:tcPr>
          <w:p>
            <w:pPr>
              <w:widowControl/>
              <w:jc w:val="center"/>
              <w:textAlignment w:val="center"/>
              <w:rPr>
                <w:rFonts w:ascii="宋体" w:hAnsi="宋体" w:cs="宋体"/>
                <w:color w:val="000000"/>
                <w:sz w:val="24"/>
                <w:szCs w:val="24"/>
              </w:rPr>
            </w:pPr>
            <w:r>
              <w:rPr>
                <w:rFonts w:hint="eastAsia" w:ascii="宋体" w:hAnsi="宋体" w:cs="宋体"/>
                <w:color w:val="000000"/>
                <w:kern w:val="0"/>
                <w:sz w:val="24"/>
                <w:szCs w:val="24"/>
                <w:lang w:bidi="ar"/>
              </w:rPr>
              <w:t>标段间接口</w:t>
            </w:r>
          </w:p>
        </w:tc>
        <w:tc>
          <w:tcPr>
            <w:tcW w:w="892" w:type="dxa"/>
            <w:tcBorders>
              <w:top w:val="nil"/>
              <w:left w:val="nil"/>
              <w:bottom w:val="single" w:color="000000" w:sz="8" w:space="0"/>
              <w:right w:val="single" w:color="000000" w:sz="8" w:space="0"/>
            </w:tcBorders>
            <w:shd w:val="clear" w:color="auto" w:fill="auto"/>
            <w:vAlign w:val="center"/>
          </w:tcPr>
          <w:p>
            <w:pPr>
              <w:jc w:val="center"/>
              <w:rPr>
                <w:rFonts w:ascii="宋体" w:hAnsi="宋体" w:cs="宋体"/>
                <w:color w:val="000000"/>
                <w:sz w:val="24"/>
                <w:szCs w:val="24"/>
              </w:rPr>
            </w:pPr>
          </w:p>
        </w:tc>
      </w:tr>
      <w:tr>
        <w:tblPrEx>
          <w:tblCellMar>
            <w:top w:w="0" w:type="dxa"/>
            <w:left w:w="108" w:type="dxa"/>
            <w:bottom w:w="0" w:type="dxa"/>
            <w:right w:w="108" w:type="dxa"/>
          </w:tblCellMar>
        </w:tblPrEx>
        <w:trPr>
          <w:trHeight w:val="342" w:hRule="atLeast"/>
        </w:trPr>
        <w:tc>
          <w:tcPr>
            <w:tcW w:w="0" w:type="auto"/>
            <w:tcBorders>
              <w:top w:val="nil"/>
              <w:left w:val="single" w:color="000000" w:sz="8" w:space="0"/>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 w:val="22"/>
              </w:rPr>
            </w:pPr>
            <w:r>
              <w:rPr>
                <w:rFonts w:hint="eastAsia" w:ascii="宋体" w:hAnsi="宋体" w:cs="宋体"/>
                <w:color w:val="000000"/>
                <w:kern w:val="0"/>
                <w:sz w:val="22"/>
                <w:lang w:bidi="ar"/>
              </w:rPr>
              <w:t>5</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网络及安全配套与综合业务生产云平台接口</w:t>
            </w:r>
          </w:p>
        </w:tc>
        <w:tc>
          <w:tcPr>
            <w:tcW w:w="2466" w:type="dxa"/>
            <w:tcBorders>
              <w:top w:val="nil"/>
              <w:left w:val="nil"/>
              <w:bottom w:val="single" w:color="000000" w:sz="8" w:space="0"/>
              <w:right w:val="single" w:color="000000" w:sz="8" w:space="0"/>
            </w:tcBorders>
            <w:shd w:val="clear" w:color="auto" w:fill="auto"/>
            <w:vAlign w:val="center"/>
          </w:tcPr>
          <w:p>
            <w:pPr>
              <w:widowControl/>
              <w:jc w:val="center"/>
              <w:textAlignment w:val="center"/>
              <w:rPr>
                <w:rFonts w:ascii="宋体" w:hAnsi="宋体" w:cs="宋体"/>
                <w:color w:val="000000"/>
                <w:sz w:val="24"/>
                <w:szCs w:val="24"/>
              </w:rPr>
            </w:pPr>
            <w:r>
              <w:rPr>
                <w:rFonts w:hint="eastAsia" w:ascii="宋体" w:hAnsi="宋体" w:cs="宋体"/>
                <w:color w:val="000000"/>
                <w:kern w:val="0"/>
                <w:sz w:val="24"/>
                <w:szCs w:val="24"/>
                <w:lang w:bidi="ar"/>
              </w:rPr>
              <w:t>标段间接口</w:t>
            </w:r>
          </w:p>
        </w:tc>
        <w:tc>
          <w:tcPr>
            <w:tcW w:w="892" w:type="dxa"/>
            <w:tcBorders>
              <w:top w:val="nil"/>
              <w:left w:val="nil"/>
              <w:bottom w:val="single" w:color="000000" w:sz="8" w:space="0"/>
              <w:right w:val="single" w:color="000000" w:sz="8" w:space="0"/>
            </w:tcBorders>
            <w:shd w:val="clear" w:color="auto" w:fill="auto"/>
            <w:vAlign w:val="center"/>
          </w:tcPr>
          <w:p>
            <w:pPr>
              <w:jc w:val="center"/>
              <w:rPr>
                <w:rFonts w:ascii="宋体" w:hAnsi="宋体" w:cs="宋体"/>
                <w:color w:val="000000"/>
                <w:sz w:val="24"/>
                <w:szCs w:val="24"/>
              </w:rPr>
            </w:pPr>
          </w:p>
        </w:tc>
      </w:tr>
      <w:tr>
        <w:tblPrEx>
          <w:tblCellMar>
            <w:top w:w="0" w:type="dxa"/>
            <w:left w:w="108" w:type="dxa"/>
            <w:bottom w:w="0" w:type="dxa"/>
            <w:right w:w="108" w:type="dxa"/>
          </w:tblCellMar>
        </w:tblPrEx>
        <w:trPr>
          <w:trHeight w:val="342" w:hRule="atLeast"/>
        </w:trPr>
        <w:tc>
          <w:tcPr>
            <w:tcW w:w="0" w:type="auto"/>
            <w:tcBorders>
              <w:top w:val="nil"/>
              <w:left w:val="single" w:color="000000" w:sz="8" w:space="0"/>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 w:val="22"/>
              </w:rPr>
            </w:pPr>
            <w:r>
              <w:rPr>
                <w:rFonts w:hint="eastAsia" w:ascii="宋体" w:hAnsi="宋体" w:cs="宋体"/>
                <w:color w:val="000000"/>
                <w:kern w:val="0"/>
                <w:sz w:val="22"/>
                <w:lang w:bidi="ar"/>
              </w:rPr>
              <w:t>6</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网络及安全配套与COCC一期网络接口</w:t>
            </w:r>
          </w:p>
        </w:tc>
        <w:tc>
          <w:tcPr>
            <w:tcW w:w="2466" w:type="dxa"/>
            <w:tcBorders>
              <w:top w:val="nil"/>
              <w:left w:val="nil"/>
              <w:bottom w:val="single" w:color="000000" w:sz="8" w:space="0"/>
              <w:right w:val="single" w:color="000000" w:sz="8" w:space="0"/>
            </w:tcBorders>
            <w:shd w:val="clear" w:color="auto" w:fill="auto"/>
            <w:vAlign w:val="center"/>
          </w:tcPr>
          <w:p>
            <w:pPr>
              <w:widowControl/>
              <w:jc w:val="center"/>
              <w:textAlignment w:val="center"/>
              <w:rPr>
                <w:rFonts w:ascii="宋体" w:hAnsi="宋体" w:cs="宋体"/>
                <w:color w:val="000000"/>
                <w:sz w:val="24"/>
                <w:szCs w:val="24"/>
              </w:rPr>
            </w:pPr>
            <w:r>
              <w:rPr>
                <w:rFonts w:hint="eastAsia" w:ascii="宋体" w:hAnsi="宋体" w:cs="宋体"/>
                <w:color w:val="000000"/>
                <w:kern w:val="0"/>
                <w:sz w:val="24"/>
                <w:szCs w:val="24"/>
                <w:lang w:bidi="ar"/>
              </w:rPr>
              <w:t>标段间接口</w:t>
            </w:r>
          </w:p>
        </w:tc>
        <w:tc>
          <w:tcPr>
            <w:tcW w:w="892" w:type="dxa"/>
            <w:tcBorders>
              <w:top w:val="nil"/>
              <w:left w:val="nil"/>
              <w:bottom w:val="single" w:color="000000" w:sz="8" w:space="0"/>
              <w:right w:val="single" w:color="000000" w:sz="8" w:space="0"/>
            </w:tcBorders>
            <w:shd w:val="clear" w:color="auto" w:fill="auto"/>
            <w:vAlign w:val="center"/>
          </w:tcPr>
          <w:p>
            <w:pPr>
              <w:jc w:val="center"/>
              <w:rPr>
                <w:rFonts w:ascii="宋体" w:hAnsi="宋体" w:cs="宋体"/>
                <w:color w:val="000000"/>
                <w:sz w:val="24"/>
                <w:szCs w:val="24"/>
              </w:rPr>
            </w:pPr>
          </w:p>
        </w:tc>
      </w:tr>
      <w:tr>
        <w:tblPrEx>
          <w:tblCellMar>
            <w:top w:w="0" w:type="dxa"/>
            <w:left w:w="108" w:type="dxa"/>
            <w:bottom w:w="0" w:type="dxa"/>
            <w:right w:w="108" w:type="dxa"/>
          </w:tblCellMar>
        </w:tblPrEx>
        <w:trPr>
          <w:trHeight w:val="342" w:hRule="atLeast"/>
        </w:trPr>
        <w:tc>
          <w:tcPr>
            <w:tcW w:w="0" w:type="auto"/>
            <w:tcBorders>
              <w:top w:val="nil"/>
              <w:left w:val="single" w:color="000000" w:sz="8" w:space="0"/>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 w:val="22"/>
              </w:rPr>
            </w:pPr>
            <w:r>
              <w:rPr>
                <w:rFonts w:hint="eastAsia" w:ascii="宋体" w:hAnsi="宋体" w:cs="宋体"/>
                <w:color w:val="000000"/>
                <w:kern w:val="0"/>
                <w:sz w:val="22"/>
                <w:lang w:bidi="ar"/>
              </w:rPr>
              <w:t>7</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网络及安全配套与线路综合监控接口</w:t>
            </w:r>
          </w:p>
        </w:tc>
        <w:tc>
          <w:tcPr>
            <w:tcW w:w="2466" w:type="dxa"/>
            <w:tcBorders>
              <w:top w:val="nil"/>
              <w:left w:val="nil"/>
              <w:bottom w:val="single" w:color="000000" w:sz="8" w:space="0"/>
              <w:right w:val="single" w:color="000000" w:sz="8" w:space="0"/>
            </w:tcBorders>
            <w:shd w:val="clear" w:color="auto" w:fill="auto"/>
            <w:vAlign w:val="center"/>
          </w:tcPr>
          <w:p>
            <w:pPr>
              <w:widowControl/>
              <w:jc w:val="center"/>
              <w:textAlignment w:val="center"/>
              <w:rPr>
                <w:rFonts w:ascii="宋体" w:hAnsi="宋体" w:cs="宋体"/>
                <w:color w:val="000000"/>
                <w:sz w:val="24"/>
                <w:szCs w:val="24"/>
              </w:rPr>
            </w:pPr>
            <w:r>
              <w:rPr>
                <w:rFonts w:hint="eastAsia" w:ascii="宋体" w:hAnsi="宋体" w:cs="宋体"/>
                <w:color w:val="000000"/>
                <w:kern w:val="0"/>
                <w:sz w:val="24"/>
                <w:szCs w:val="24"/>
                <w:lang w:bidi="ar"/>
              </w:rPr>
              <w:t>标段间接口</w:t>
            </w:r>
          </w:p>
        </w:tc>
        <w:tc>
          <w:tcPr>
            <w:tcW w:w="892" w:type="dxa"/>
            <w:tcBorders>
              <w:top w:val="nil"/>
              <w:left w:val="nil"/>
              <w:bottom w:val="single" w:color="000000" w:sz="8" w:space="0"/>
              <w:right w:val="single" w:color="000000" w:sz="8" w:space="0"/>
            </w:tcBorders>
            <w:shd w:val="clear" w:color="auto" w:fill="auto"/>
            <w:vAlign w:val="center"/>
          </w:tcPr>
          <w:p>
            <w:pPr>
              <w:jc w:val="center"/>
              <w:rPr>
                <w:rFonts w:ascii="宋体" w:hAnsi="宋体" w:cs="宋体"/>
                <w:color w:val="000000"/>
                <w:sz w:val="24"/>
                <w:szCs w:val="24"/>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8</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网络及安全配套与线路信号接口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9</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网络及安全配套与管理云平台接口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 xml:space="preserve"> 线网级业务应用系统与线网通信系统接口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11</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线网通信系统与线网传输系统接口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12</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线网广播系统与线路广播系统接口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13</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线网时钟系统与线路时钟系统接口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14</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线网广播系统与COCC一期线网调度电话系统接口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15</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线网广播系统与COCC一期线网广播系统接口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16</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线网视频监视系统与视频综合应用中心接口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17</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线网视频监视系统与工地视频接口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18</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线网视频监视系统与城际视频接口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19</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线网视频监视系统与有轨电车视频接口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20</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线网调度电话系统与COCC一期线网调度电话系统接口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21</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线网调度电话系统与城际接口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22</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线网调度电话系统与有轨电车接口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42"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23</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大屏幕与线网级业务应用系统接口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65" w:hRule="atLeast"/>
        </w:trPr>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24</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与低压配电接口</w:t>
            </w:r>
          </w:p>
        </w:tc>
        <w:tc>
          <w:tcPr>
            <w:tcW w:w="0" w:type="auto"/>
            <w:tcBorders>
              <w:top w:val="nil"/>
              <w:left w:val="nil"/>
              <w:bottom w:val="single" w:color="000000" w:sz="8" w:space="0"/>
              <w:right w:val="single" w:color="000000" w:sz="8" w:space="0"/>
            </w:tcBorders>
            <w:shd w:val="clear" w:color="auto" w:fill="auto"/>
            <w:noWrap/>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标段间接口</w:t>
            </w:r>
          </w:p>
        </w:tc>
        <w:tc>
          <w:tcPr>
            <w:tcW w:w="0" w:type="auto"/>
            <w:tcBorders>
              <w:top w:val="nil"/>
              <w:left w:val="nil"/>
              <w:bottom w:val="single" w:color="000000" w:sz="8" w:space="0"/>
              <w:right w:val="single" w:color="000000" w:sz="8" w:space="0"/>
            </w:tcBorders>
            <w:shd w:val="clear" w:color="auto" w:fill="auto"/>
            <w:noWrap/>
            <w:vAlign w:val="center"/>
          </w:tcPr>
          <w:p>
            <w:pPr>
              <w:jc w:val="center"/>
              <w:rPr>
                <w:rFonts w:ascii="宋体" w:hAnsi="宋体" w:cs="宋体"/>
                <w:color w:val="000000"/>
                <w:szCs w:val="21"/>
              </w:rPr>
            </w:pPr>
          </w:p>
        </w:tc>
      </w:tr>
    </w:tbl>
    <w:p>
      <w:pPr>
        <w:pStyle w:val="49"/>
        <w:tabs>
          <w:tab w:val="left" w:pos="1632"/>
        </w:tabs>
        <w:spacing w:line="360" w:lineRule="auto"/>
        <w:ind w:firstLineChars="0"/>
        <w:rPr>
          <w:rFonts w:ascii="宋体" w:hAnsi="宋体"/>
          <w:szCs w:val="21"/>
        </w:rPr>
      </w:pPr>
    </w:p>
    <w:p>
      <w:pPr>
        <w:pStyle w:val="2"/>
        <w:spacing w:line="480" w:lineRule="exact"/>
        <w:ind w:firstLine="480"/>
      </w:pPr>
      <w:bookmarkStart w:id="18" w:name="_Toc7088"/>
      <w:r>
        <w:rPr>
          <w:rFonts w:hint="eastAsia"/>
          <w:kern w:val="2"/>
          <w:sz w:val="21"/>
        </w:rPr>
        <w:t>本标段内系统间相关接口</w:t>
      </w:r>
      <w:bookmarkEnd w:id="18"/>
    </w:p>
    <w:p>
      <w:pPr>
        <w:pStyle w:val="3"/>
        <w:spacing w:line="480" w:lineRule="exact"/>
        <w:ind w:firstLine="560"/>
        <w:rPr>
          <w:rFonts w:ascii="Times New Roman" w:hAnsi="Times New Roman"/>
          <w:szCs w:val="22"/>
        </w:rPr>
      </w:pPr>
      <w:bookmarkStart w:id="19" w:name="_Toc4834"/>
      <w:bookmarkStart w:id="20" w:name="_Toc4318"/>
      <w:r>
        <w:rPr>
          <w:rFonts w:hint="eastAsia" w:ascii="Times New Roman" w:hAnsi="Times New Roman" w:eastAsia="宋体"/>
          <w:szCs w:val="21"/>
        </w:rPr>
        <w:t>网络及安全配套设备与相关系统的接口</w:t>
      </w:r>
      <w:bookmarkEnd w:id="19"/>
      <w:bookmarkEnd w:id="20"/>
    </w:p>
    <w:p>
      <w:pPr>
        <w:pStyle w:val="49"/>
        <w:spacing w:line="360" w:lineRule="auto"/>
        <w:ind w:firstLineChars="0"/>
        <w:rPr>
          <w:rFonts w:ascii="宋体" w:hAnsi="宋体"/>
          <w:szCs w:val="21"/>
        </w:rPr>
      </w:pPr>
      <w:r>
        <w:rPr>
          <w:rFonts w:hint="eastAsia" w:ascii="宋体" w:hAnsi="宋体"/>
          <w:szCs w:val="21"/>
        </w:rPr>
        <w:t>本工程设置互联网区交换机，同时使用既有的数据中心出口交换机、外联区交换机、终端接入交换机等为各业务提供物理网络端口。各交换机整体标段内端口设置情况如下表：</w:t>
      </w:r>
    </w:p>
    <w:tbl>
      <w:tblPr>
        <w:tblStyle w:val="32"/>
        <w:tblW w:w="8785" w:type="dxa"/>
        <w:tblInd w:w="96" w:type="dxa"/>
        <w:tblLayout w:type="autofit"/>
        <w:tblCellMar>
          <w:top w:w="0" w:type="dxa"/>
          <w:left w:w="108" w:type="dxa"/>
          <w:bottom w:w="0" w:type="dxa"/>
          <w:right w:w="108" w:type="dxa"/>
        </w:tblCellMar>
      </w:tblPr>
      <w:tblGrid>
        <w:gridCol w:w="1452"/>
        <w:gridCol w:w="2904"/>
        <w:gridCol w:w="1884"/>
        <w:gridCol w:w="768"/>
        <w:gridCol w:w="1777"/>
      </w:tblGrid>
      <w:tr>
        <w:tblPrEx>
          <w:tblCellMar>
            <w:top w:w="0" w:type="dxa"/>
            <w:left w:w="108" w:type="dxa"/>
            <w:bottom w:w="0" w:type="dxa"/>
            <w:right w:w="108" w:type="dxa"/>
          </w:tblCellMar>
        </w:tblPrEx>
        <w:trPr>
          <w:trHeight w:val="624" w:hRule="atLeast"/>
        </w:trPr>
        <w:tc>
          <w:tcPr>
            <w:tcW w:w="14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交换机</w:t>
            </w: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端口用途</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端口类型</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端口数量</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备注</w:t>
            </w:r>
          </w:p>
        </w:tc>
      </w:tr>
      <w:tr>
        <w:tblPrEx>
          <w:tblCellMar>
            <w:top w:w="0" w:type="dxa"/>
            <w:left w:w="108" w:type="dxa"/>
            <w:bottom w:w="0" w:type="dxa"/>
            <w:right w:w="108" w:type="dxa"/>
          </w:tblCellMar>
        </w:tblPrEx>
        <w:trPr>
          <w:trHeight w:val="624" w:hRule="atLeast"/>
        </w:trPr>
        <w:tc>
          <w:tcPr>
            <w:tcW w:w="14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数据中心出口交换机</w:t>
            </w: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线网视频监控系统接入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线网广播系统接入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时钟系统对接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312" w:hRule="atLeast"/>
        </w:trPr>
        <w:tc>
          <w:tcPr>
            <w:tcW w:w="14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互联网区交换机</w:t>
            </w: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运营商专网1对接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r>
      <w:tr>
        <w:tblPrEx>
          <w:tblCellMar>
            <w:top w:w="0" w:type="dxa"/>
            <w:left w:w="108" w:type="dxa"/>
            <w:bottom w:w="0" w:type="dxa"/>
            <w:right w:w="108" w:type="dxa"/>
          </w:tblCellMar>
        </w:tblPrEx>
        <w:trPr>
          <w:trHeight w:val="312"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运营商专网2对接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r>
    </w:tbl>
    <w:p>
      <w:pPr>
        <w:pStyle w:val="4"/>
        <w:spacing w:before="156"/>
        <w:ind w:left="670" w:hanging="702"/>
        <w:rPr>
          <w:rFonts w:ascii="Times New Roman" w:hAnsi="Times New Roman" w:eastAsia="宋体"/>
          <w:bCs w:val="0"/>
          <w:szCs w:val="22"/>
        </w:rPr>
      </w:pPr>
      <w:bookmarkStart w:id="21" w:name="_Toc19856"/>
      <w:bookmarkStart w:id="22" w:name="_Toc3007"/>
      <w:r>
        <w:rPr>
          <w:rFonts w:hint="eastAsia" w:ascii="Times New Roman" w:hAnsi="Times New Roman" w:eastAsia="宋体"/>
        </w:rPr>
        <w:t>与线网视频、线网广播等系统的接口</w:t>
      </w:r>
      <w:bookmarkEnd w:id="21"/>
      <w:bookmarkEnd w:id="22"/>
    </w:p>
    <w:p>
      <w:pPr>
        <w:widowControl/>
        <w:spacing w:line="360" w:lineRule="auto"/>
        <w:ind w:left="420" w:leftChars="200"/>
        <w:jc w:val="left"/>
        <w:rPr>
          <w:szCs w:val="21"/>
        </w:rPr>
      </w:pPr>
      <w:r>
        <w:rPr>
          <w:rFonts w:hint="eastAsia"/>
          <w:szCs w:val="21"/>
        </w:rPr>
        <w:t>1）接口界面</w:t>
      </w:r>
    </w:p>
    <w:p>
      <w:pPr>
        <w:widowControl/>
        <w:spacing w:line="360" w:lineRule="auto"/>
        <w:ind w:firstLine="420" w:firstLineChars="200"/>
        <w:jc w:val="left"/>
        <w:rPr>
          <w:szCs w:val="21"/>
        </w:rPr>
      </w:pPr>
      <w:r>
        <w:rPr>
          <w:rFonts w:hint="eastAsia"/>
          <w:szCs w:val="21"/>
        </w:rPr>
        <w:t>本工程与线网视频、线网广播系统的接口界面划分示意图如下</w:t>
      </w:r>
    </w:p>
    <w:p>
      <w:pPr>
        <w:spacing w:line="360" w:lineRule="auto"/>
        <w:ind w:firstLine="420" w:firstLineChars="200"/>
        <w:jc w:val="center"/>
        <w:rPr>
          <w:rFonts w:ascii="Arial" w:hAnsi="Arial" w:cs="Arial"/>
          <w:kern w:val="0"/>
          <w:szCs w:val="21"/>
        </w:rPr>
      </w:pPr>
      <w:r>
        <w:rPr>
          <w:rFonts w:ascii="Arial" w:hAnsi="Arial" w:cs="Arial"/>
          <w:kern w:val="0"/>
          <w:szCs w:val="21"/>
        </w:rPr>
        <w:object>
          <v:shape id="_x0000_i1025" o:spt="75" type="#_x0000_t75" style="height:174.75pt;width:292.5pt;" o:ole="t" filled="f" o:preferrelative="t" stroked="f" coordsize="21600,21600">
            <v:path/>
            <v:fill on="f" focussize="0,0"/>
            <v:stroke on="f" joinstyle="miter"/>
            <v:imagedata r:id="rId12" croptop="4884f" cropright="3209f" cropbottom="3950f" o:title=""/>
            <o:lock v:ext="edit" aspectratio="t"/>
            <w10:wrap type="none"/>
            <w10:anchorlock/>
          </v:shape>
          <o:OLEObject Type="Embed" ProgID="Visio.Drawing.11" ShapeID="_x0000_i1025" DrawAspect="Content" ObjectID="_1468075725" r:id="rId11">
            <o:LockedField>false</o:LockedField>
          </o:OLEObject>
        </w:object>
      </w:r>
    </w:p>
    <w:p>
      <w:pPr>
        <w:spacing w:line="360" w:lineRule="auto"/>
        <w:ind w:firstLine="420" w:firstLineChars="200"/>
        <w:jc w:val="center"/>
        <w:rPr>
          <w:rFonts w:ascii="Arial" w:hAnsi="Arial" w:cs="Arial"/>
          <w:kern w:val="0"/>
          <w:szCs w:val="21"/>
        </w:rPr>
      </w:pPr>
      <w:r>
        <w:rPr>
          <w:rFonts w:hint="eastAsia"/>
          <w:szCs w:val="21"/>
        </w:rPr>
        <w:t>图3.1.1-1与线网视频、线网广播接口</w:t>
      </w:r>
    </w:p>
    <w:p>
      <w:pPr>
        <w:spacing w:line="360" w:lineRule="auto"/>
        <w:ind w:firstLine="420" w:firstLineChars="200"/>
        <w:jc w:val="center"/>
        <w:rPr>
          <w:rFonts w:ascii="Arial" w:hAnsi="Arial" w:cs="Arial"/>
          <w:kern w:val="0"/>
          <w:szCs w:val="21"/>
        </w:rPr>
      </w:pPr>
    </w:p>
    <w:p>
      <w:pPr>
        <w:widowControl/>
        <w:spacing w:line="360" w:lineRule="auto"/>
        <w:ind w:left="420" w:leftChars="200"/>
        <w:jc w:val="left"/>
        <w:rPr>
          <w:rFonts w:ascii="宋体" w:hAnsi="宋体"/>
          <w:szCs w:val="21"/>
        </w:rPr>
      </w:pPr>
      <w:r>
        <w:rPr>
          <w:rFonts w:hint="eastAsia" w:ascii="宋体" w:hAnsi="宋体"/>
          <w:szCs w:val="21"/>
        </w:rPr>
        <w:t>2）物理接口</w:t>
      </w:r>
    </w:p>
    <w:tbl>
      <w:tblPr>
        <w:tblStyle w:val="32"/>
        <w:tblW w:w="4998"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268"/>
        <w:gridCol w:w="1269"/>
        <w:gridCol w:w="1337"/>
        <w:gridCol w:w="2728"/>
        <w:gridCol w:w="1274"/>
        <w:gridCol w:w="64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42" w:hRule="atLeast"/>
        </w:trPr>
        <w:tc>
          <w:tcPr>
            <w:tcW w:w="744"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编号</w:t>
            </w:r>
          </w:p>
        </w:tc>
        <w:tc>
          <w:tcPr>
            <w:tcW w:w="745"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位置</w:t>
            </w:r>
          </w:p>
        </w:tc>
        <w:tc>
          <w:tcPr>
            <w:tcW w:w="785"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YPT</w:t>
            </w:r>
          </w:p>
        </w:tc>
        <w:tc>
          <w:tcPr>
            <w:tcW w:w="1601"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TX</w:t>
            </w:r>
          </w:p>
        </w:tc>
        <w:tc>
          <w:tcPr>
            <w:tcW w:w="748"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接口类型</w:t>
            </w:r>
          </w:p>
        </w:tc>
        <w:tc>
          <w:tcPr>
            <w:tcW w:w="377"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744" w:type="pct"/>
            <w:vAlign w:val="center"/>
          </w:tcPr>
          <w:p>
            <w:pPr>
              <w:spacing w:line="360" w:lineRule="auto"/>
              <w:jc w:val="center"/>
              <w:rPr>
                <w:rFonts w:ascii="宋体"/>
                <w:szCs w:val="21"/>
              </w:rPr>
            </w:pPr>
            <w:r>
              <w:rPr>
                <w:rFonts w:hint="eastAsia" w:ascii="宋体"/>
                <w:szCs w:val="21"/>
              </w:rPr>
              <w:t>YPT.TX.1</w:t>
            </w:r>
          </w:p>
        </w:tc>
        <w:tc>
          <w:tcPr>
            <w:tcW w:w="745" w:type="pct"/>
            <w:vAlign w:val="center"/>
          </w:tcPr>
          <w:p>
            <w:pPr>
              <w:spacing w:line="360" w:lineRule="auto"/>
              <w:jc w:val="center"/>
              <w:rPr>
                <w:rFonts w:ascii="宋体"/>
                <w:szCs w:val="21"/>
              </w:rPr>
            </w:pPr>
            <w:r>
              <w:rPr>
                <w:rFonts w:hint="eastAsia" w:ascii="宋体"/>
                <w:szCs w:val="21"/>
              </w:rPr>
              <w:t>云平台</w:t>
            </w:r>
            <w:r>
              <w:rPr>
                <w:rFonts w:hint="eastAsia" w:ascii="宋体" w:hAnsi="宋体" w:cs="宋体"/>
                <w:kern w:val="0"/>
                <w:szCs w:val="21"/>
              </w:rPr>
              <w:t>出口交换机接线端口处</w:t>
            </w:r>
          </w:p>
        </w:tc>
        <w:tc>
          <w:tcPr>
            <w:tcW w:w="785" w:type="pct"/>
            <w:vAlign w:val="center"/>
          </w:tcPr>
          <w:p>
            <w:pPr>
              <w:spacing w:line="360" w:lineRule="auto"/>
              <w:jc w:val="center"/>
              <w:rPr>
                <w:rFonts w:ascii="宋体"/>
                <w:szCs w:val="21"/>
              </w:rPr>
            </w:pPr>
            <w:r>
              <w:rPr>
                <w:rFonts w:hint="eastAsia" w:ascii="宋体"/>
                <w:szCs w:val="21"/>
              </w:rPr>
              <w:t>利用既有的交换机提供交换机端口；无偿配合调试；</w:t>
            </w:r>
          </w:p>
        </w:tc>
        <w:tc>
          <w:tcPr>
            <w:tcW w:w="1601" w:type="pct"/>
            <w:vAlign w:val="center"/>
          </w:tcPr>
          <w:p>
            <w:pPr>
              <w:spacing w:line="360" w:lineRule="auto"/>
              <w:jc w:val="center"/>
              <w:rPr>
                <w:rFonts w:ascii="宋体"/>
                <w:szCs w:val="21"/>
              </w:rPr>
            </w:pPr>
            <w:r>
              <w:rPr>
                <w:rFonts w:hint="eastAsia" w:ascii="宋体"/>
                <w:szCs w:val="21"/>
              </w:rPr>
              <w:t>提供网络电缆（带编号）连接至</w:t>
            </w:r>
            <w:r>
              <w:rPr>
                <w:rFonts w:hint="eastAsia" w:ascii="宋体" w:hAnsi="宋体" w:cs="宋体"/>
                <w:kern w:val="0"/>
                <w:szCs w:val="21"/>
              </w:rPr>
              <w:t>云平台系统交换机上</w:t>
            </w:r>
            <w:r>
              <w:rPr>
                <w:rFonts w:hint="eastAsia" w:ascii="宋体"/>
                <w:szCs w:val="21"/>
              </w:rPr>
              <w:t>；负责调试</w:t>
            </w:r>
          </w:p>
        </w:tc>
        <w:tc>
          <w:tcPr>
            <w:tcW w:w="748" w:type="pct"/>
            <w:vAlign w:val="center"/>
          </w:tcPr>
          <w:p>
            <w:pPr>
              <w:spacing w:line="360" w:lineRule="auto"/>
              <w:jc w:val="center"/>
              <w:rPr>
                <w:rFonts w:ascii="宋体"/>
                <w:szCs w:val="21"/>
              </w:rPr>
            </w:pPr>
            <w:r>
              <w:rPr>
                <w:rFonts w:hint="eastAsia" w:ascii="宋体"/>
                <w:szCs w:val="21"/>
              </w:rPr>
              <w:t>各子系统2个千兆单模光口</w:t>
            </w:r>
          </w:p>
        </w:tc>
        <w:tc>
          <w:tcPr>
            <w:tcW w:w="377" w:type="pct"/>
            <w:vAlign w:val="center"/>
          </w:tcPr>
          <w:p>
            <w:pPr>
              <w:spacing w:line="360" w:lineRule="auto"/>
              <w:jc w:val="center"/>
              <w:rPr>
                <w:rFonts w:asci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744" w:type="pct"/>
            <w:vAlign w:val="center"/>
          </w:tcPr>
          <w:p>
            <w:pPr>
              <w:spacing w:line="360" w:lineRule="auto"/>
              <w:jc w:val="center"/>
              <w:rPr>
                <w:rFonts w:ascii="宋体"/>
                <w:szCs w:val="21"/>
              </w:rPr>
            </w:pPr>
            <w:r>
              <w:rPr>
                <w:rFonts w:ascii="宋体"/>
                <w:szCs w:val="21"/>
              </w:rPr>
              <w:t>DP</w:t>
            </w:r>
            <w:r>
              <w:rPr>
                <w:rFonts w:hint="eastAsia" w:ascii="宋体"/>
                <w:szCs w:val="21"/>
              </w:rPr>
              <w:t>.TX.1</w:t>
            </w:r>
          </w:p>
        </w:tc>
        <w:tc>
          <w:tcPr>
            <w:tcW w:w="745" w:type="pct"/>
            <w:vAlign w:val="center"/>
          </w:tcPr>
          <w:p>
            <w:pPr>
              <w:spacing w:line="360" w:lineRule="auto"/>
              <w:jc w:val="center"/>
              <w:rPr>
                <w:rFonts w:ascii="宋体"/>
                <w:szCs w:val="21"/>
              </w:rPr>
            </w:pPr>
            <w:r>
              <w:rPr>
                <w:rFonts w:hint="eastAsia" w:ascii="宋体" w:cs="宋体"/>
                <w:szCs w:val="21"/>
              </w:rPr>
              <w:t>大屏</w:t>
            </w:r>
            <w:r>
              <w:rPr>
                <w:rFonts w:hint="eastAsia" w:ascii="宋体" w:hAnsi="宋体" w:cs="宋体"/>
                <w:kern w:val="0"/>
                <w:szCs w:val="21"/>
              </w:rPr>
              <w:t>交换机接线端口处</w:t>
            </w:r>
          </w:p>
        </w:tc>
        <w:tc>
          <w:tcPr>
            <w:tcW w:w="785" w:type="pct"/>
            <w:vAlign w:val="center"/>
          </w:tcPr>
          <w:p>
            <w:pPr>
              <w:spacing w:line="360" w:lineRule="auto"/>
              <w:jc w:val="center"/>
              <w:rPr>
                <w:rFonts w:ascii="宋体"/>
                <w:szCs w:val="21"/>
              </w:rPr>
            </w:pPr>
            <w:r>
              <w:rPr>
                <w:rFonts w:hint="eastAsia" w:ascii="宋体"/>
                <w:szCs w:val="21"/>
              </w:rPr>
              <w:t>大屏幕系统提供交换机端口；无偿配合调试；</w:t>
            </w:r>
          </w:p>
        </w:tc>
        <w:tc>
          <w:tcPr>
            <w:tcW w:w="1601" w:type="pct"/>
            <w:vAlign w:val="center"/>
          </w:tcPr>
          <w:p>
            <w:pPr>
              <w:spacing w:line="360" w:lineRule="auto"/>
              <w:jc w:val="center"/>
              <w:rPr>
                <w:rFonts w:ascii="宋体"/>
                <w:szCs w:val="21"/>
              </w:rPr>
            </w:pPr>
            <w:r>
              <w:rPr>
                <w:rFonts w:hint="eastAsia" w:ascii="宋体"/>
                <w:szCs w:val="21"/>
              </w:rPr>
              <w:t>提供网络电缆（带编号）连接至</w:t>
            </w:r>
            <w:r>
              <w:rPr>
                <w:rFonts w:hint="eastAsia" w:ascii="宋体" w:hAnsi="宋体" w:cs="宋体"/>
                <w:kern w:val="0"/>
                <w:szCs w:val="21"/>
              </w:rPr>
              <w:t>云平台系统交换机上</w:t>
            </w:r>
            <w:r>
              <w:rPr>
                <w:rFonts w:hint="eastAsia" w:ascii="宋体"/>
                <w:szCs w:val="21"/>
              </w:rPr>
              <w:t>；负责调试</w:t>
            </w:r>
          </w:p>
        </w:tc>
        <w:tc>
          <w:tcPr>
            <w:tcW w:w="748" w:type="pct"/>
            <w:vAlign w:val="center"/>
          </w:tcPr>
          <w:p>
            <w:pPr>
              <w:spacing w:line="360" w:lineRule="auto"/>
              <w:jc w:val="center"/>
              <w:rPr>
                <w:rFonts w:ascii="宋体"/>
                <w:szCs w:val="21"/>
              </w:rPr>
            </w:pPr>
            <w:r>
              <w:rPr>
                <w:rFonts w:hint="eastAsia" w:ascii="宋体"/>
                <w:szCs w:val="21"/>
              </w:rPr>
              <w:t>2个千兆单模光口</w:t>
            </w:r>
          </w:p>
        </w:tc>
        <w:tc>
          <w:tcPr>
            <w:tcW w:w="377" w:type="pct"/>
            <w:vAlign w:val="center"/>
          </w:tcPr>
          <w:p>
            <w:pPr>
              <w:spacing w:line="360" w:lineRule="auto"/>
              <w:jc w:val="center"/>
              <w:rPr>
                <w:rFonts w:ascii="宋体"/>
                <w:szCs w:val="21"/>
              </w:rPr>
            </w:pPr>
          </w:p>
        </w:tc>
      </w:tr>
    </w:tbl>
    <w:p>
      <w:pPr>
        <w:widowControl/>
        <w:spacing w:line="360" w:lineRule="auto"/>
        <w:ind w:left="420" w:leftChars="200"/>
        <w:jc w:val="left"/>
        <w:rPr>
          <w:szCs w:val="21"/>
        </w:rPr>
      </w:pPr>
      <w:r>
        <w:rPr>
          <w:rFonts w:hint="eastAsia"/>
          <w:szCs w:val="21"/>
        </w:rPr>
        <w:t>3）功能接口</w:t>
      </w:r>
    </w:p>
    <w:tbl>
      <w:tblPr>
        <w:tblStyle w:val="32"/>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73"/>
        <w:gridCol w:w="1311"/>
        <w:gridCol w:w="2303"/>
        <w:gridCol w:w="3448"/>
        <w:gridCol w:w="68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10" w:hRule="atLeast"/>
          <w:tblHeader/>
        </w:trPr>
        <w:tc>
          <w:tcPr>
            <w:tcW w:w="454" w:type="pct"/>
            <w:tcBorders>
              <w:top w:val="single" w:color="auto" w:sz="12" w:space="0"/>
              <w:left w:val="single" w:color="auto" w:sz="12" w:space="0"/>
              <w:bottom w:val="single" w:color="auto" w:sz="6" w:space="0"/>
              <w:right w:val="single" w:color="auto" w:sz="6" w:space="0"/>
            </w:tcBorders>
            <w:shd w:val="clear" w:color="auto" w:fill="8DB3E2" w:themeFill="text2" w:themeFillTint="66"/>
          </w:tcPr>
          <w:p>
            <w:pPr>
              <w:widowControl/>
              <w:spacing w:line="360" w:lineRule="auto"/>
              <w:jc w:val="center"/>
              <w:rPr>
                <w:rFonts w:ascii="宋体" w:hAnsi="宋体" w:cs="宋体"/>
                <w:kern w:val="0"/>
                <w:szCs w:val="21"/>
              </w:rPr>
            </w:pPr>
            <w:r>
              <w:rPr>
                <w:rFonts w:hint="eastAsia" w:ascii="宋体" w:hAnsi="宋体" w:cs="宋体"/>
                <w:kern w:val="0"/>
                <w:szCs w:val="21"/>
              </w:rPr>
              <w:t>序号</w:t>
            </w:r>
          </w:p>
        </w:tc>
        <w:tc>
          <w:tcPr>
            <w:tcW w:w="769" w:type="pct"/>
            <w:tcBorders>
              <w:top w:val="single" w:color="auto" w:sz="12" w:space="0"/>
              <w:left w:val="single" w:color="auto" w:sz="6" w:space="0"/>
              <w:bottom w:val="single" w:color="auto" w:sz="6" w:space="0"/>
              <w:right w:val="single" w:color="auto" w:sz="6" w:space="0"/>
            </w:tcBorders>
            <w:shd w:val="clear" w:color="auto" w:fill="8DB3E2" w:themeFill="text2" w:themeFillTint="66"/>
          </w:tcPr>
          <w:p>
            <w:pPr>
              <w:widowControl/>
              <w:spacing w:line="360" w:lineRule="auto"/>
              <w:jc w:val="center"/>
              <w:rPr>
                <w:rFonts w:ascii="宋体" w:hAnsi="宋体" w:cs="宋体"/>
                <w:kern w:val="0"/>
                <w:szCs w:val="21"/>
              </w:rPr>
            </w:pPr>
            <w:r>
              <w:rPr>
                <w:rFonts w:hint="eastAsia" w:ascii="宋体" w:hAnsi="宋体" w:cs="宋体"/>
                <w:kern w:val="0"/>
                <w:szCs w:val="21"/>
              </w:rPr>
              <w:t>功能要求</w:t>
            </w:r>
          </w:p>
        </w:tc>
        <w:tc>
          <w:tcPr>
            <w:tcW w:w="1351" w:type="pct"/>
            <w:tcBorders>
              <w:top w:val="single" w:color="auto" w:sz="12" w:space="0"/>
              <w:left w:val="single" w:color="auto" w:sz="6" w:space="0"/>
              <w:bottom w:val="single" w:color="auto" w:sz="6" w:space="0"/>
              <w:right w:val="single" w:color="auto" w:sz="6" w:space="0"/>
            </w:tcBorders>
            <w:shd w:val="clear" w:color="auto" w:fill="8DB3E2" w:themeFill="text2" w:themeFillTint="66"/>
          </w:tcPr>
          <w:p>
            <w:pPr>
              <w:widowControl/>
              <w:spacing w:line="360" w:lineRule="auto"/>
              <w:jc w:val="center"/>
              <w:rPr>
                <w:rFonts w:ascii="宋体" w:hAnsi="宋体" w:cs="宋体"/>
                <w:kern w:val="0"/>
                <w:szCs w:val="21"/>
              </w:rPr>
            </w:pPr>
            <w:r>
              <w:rPr>
                <w:rFonts w:hint="eastAsia" w:ascii="宋体" w:hAnsi="宋体" w:cs="宋体"/>
                <w:kern w:val="0"/>
                <w:szCs w:val="21"/>
              </w:rPr>
              <w:t>线网通信系统</w:t>
            </w:r>
          </w:p>
        </w:tc>
        <w:tc>
          <w:tcPr>
            <w:tcW w:w="2023" w:type="pct"/>
            <w:tcBorders>
              <w:top w:val="single" w:color="auto" w:sz="12" w:space="0"/>
              <w:left w:val="single" w:color="auto" w:sz="6" w:space="0"/>
              <w:bottom w:val="single" w:color="auto" w:sz="6" w:space="0"/>
              <w:right w:val="single" w:color="auto" w:sz="6" w:space="0"/>
            </w:tcBorders>
            <w:shd w:val="clear" w:color="auto" w:fill="8DB3E2" w:themeFill="text2" w:themeFillTint="66"/>
          </w:tcPr>
          <w:p>
            <w:pPr>
              <w:widowControl/>
              <w:spacing w:line="360" w:lineRule="auto"/>
              <w:jc w:val="center"/>
              <w:rPr>
                <w:rFonts w:ascii="宋体" w:hAnsi="宋体" w:cs="宋体"/>
                <w:kern w:val="0"/>
                <w:szCs w:val="21"/>
              </w:rPr>
            </w:pPr>
            <w:r>
              <w:rPr>
                <w:rFonts w:hint="eastAsia" w:ascii="宋体" w:hAnsi="宋体" w:cs="宋体"/>
                <w:kern w:val="0"/>
                <w:szCs w:val="21"/>
              </w:rPr>
              <w:t>YPT</w:t>
            </w:r>
          </w:p>
        </w:tc>
        <w:tc>
          <w:tcPr>
            <w:tcW w:w="403" w:type="pct"/>
            <w:tcBorders>
              <w:top w:val="single" w:color="auto" w:sz="12" w:space="0"/>
              <w:left w:val="single" w:color="auto" w:sz="6" w:space="0"/>
              <w:bottom w:val="single" w:color="auto" w:sz="6" w:space="0"/>
              <w:right w:val="single" w:color="auto" w:sz="12" w:space="0"/>
            </w:tcBorders>
            <w:shd w:val="clear" w:color="auto" w:fill="8DB3E2" w:themeFill="text2" w:themeFillTint="66"/>
          </w:tcPr>
          <w:p>
            <w:pPr>
              <w:widowControl/>
              <w:spacing w:line="360" w:lineRule="auto"/>
              <w:jc w:val="center"/>
              <w:rPr>
                <w:rFonts w:ascii="宋体" w:hAnsi="宋体" w:cs="宋体"/>
                <w:kern w:val="0"/>
                <w:szCs w:val="21"/>
              </w:rPr>
            </w:pPr>
            <w:r>
              <w:rPr>
                <w:rFonts w:hint="eastAsia" w:ascii="宋体" w:hAnsi="宋体" w:cs="宋体"/>
                <w:kern w:val="0"/>
                <w:szCs w:val="21"/>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934" w:hRule="atLeast"/>
        </w:trPr>
        <w:tc>
          <w:tcPr>
            <w:tcW w:w="454" w:type="pct"/>
            <w:tcBorders>
              <w:top w:val="single" w:color="auto" w:sz="6" w:space="0"/>
              <w:left w:val="single" w:color="auto" w:sz="12" w:space="0"/>
              <w:bottom w:val="single" w:color="auto" w:sz="6" w:space="0"/>
              <w:right w:val="single" w:color="auto" w:sz="6"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1</w:t>
            </w:r>
          </w:p>
        </w:tc>
        <w:tc>
          <w:tcPr>
            <w:tcW w:w="769" w:type="pct"/>
            <w:tcBorders>
              <w:top w:val="single" w:color="auto" w:sz="6" w:space="0"/>
              <w:left w:val="single" w:color="auto" w:sz="6" w:space="0"/>
              <w:bottom w:val="single" w:color="auto" w:sz="6" w:space="0"/>
              <w:right w:val="single" w:color="auto" w:sz="6" w:space="0"/>
            </w:tcBorders>
            <w:vAlign w:val="center"/>
          </w:tcPr>
          <w:p>
            <w:pPr>
              <w:widowControl/>
              <w:spacing w:line="360" w:lineRule="auto"/>
              <w:rPr>
                <w:rFonts w:ascii="宋体" w:hAnsi="宋体" w:cs="宋体"/>
                <w:kern w:val="0"/>
                <w:szCs w:val="21"/>
              </w:rPr>
            </w:pPr>
            <w:r>
              <w:rPr>
                <w:rFonts w:hint="eastAsia" w:ascii="宋体" w:hAnsi="宋体"/>
                <w:kern w:val="0"/>
                <w:szCs w:val="21"/>
              </w:rPr>
              <w:t>为线网通信系统建立与云平台的通信通道。</w:t>
            </w:r>
          </w:p>
        </w:tc>
        <w:tc>
          <w:tcPr>
            <w:tcW w:w="1351" w:type="pct"/>
            <w:tcBorders>
              <w:top w:val="single" w:color="auto" w:sz="6" w:space="0"/>
              <w:left w:val="single" w:color="auto" w:sz="6" w:space="0"/>
              <w:bottom w:val="single" w:color="auto" w:sz="6" w:space="0"/>
              <w:right w:val="single" w:color="auto" w:sz="6" w:space="0"/>
            </w:tcBorders>
          </w:tcPr>
          <w:p>
            <w:pPr>
              <w:widowControl/>
              <w:numPr>
                <w:ilvl w:val="0"/>
                <w:numId w:val="5"/>
              </w:numPr>
              <w:spacing w:line="360" w:lineRule="auto"/>
              <w:jc w:val="left"/>
              <w:rPr>
                <w:rFonts w:ascii="宋体" w:hAnsi="宋体" w:cs="宋体"/>
                <w:kern w:val="0"/>
                <w:szCs w:val="21"/>
              </w:rPr>
            </w:pPr>
            <w:r>
              <w:rPr>
                <w:rFonts w:hint="eastAsia" w:ascii="宋体" w:hAnsi="宋体" w:cs="宋体"/>
                <w:kern w:val="0"/>
                <w:szCs w:val="21"/>
              </w:rPr>
              <w:t>按约定形式访问及使用既有云平台提供的计算资源、存储资源及网络资源等。</w:t>
            </w:r>
          </w:p>
          <w:p>
            <w:pPr>
              <w:widowControl/>
              <w:numPr>
                <w:ilvl w:val="0"/>
                <w:numId w:val="5"/>
              </w:numPr>
              <w:spacing w:line="360" w:lineRule="auto"/>
              <w:jc w:val="left"/>
              <w:rPr>
                <w:rFonts w:ascii="宋体" w:hAnsi="宋体" w:cs="宋体"/>
                <w:kern w:val="0"/>
                <w:szCs w:val="21"/>
              </w:rPr>
            </w:pPr>
            <w:r>
              <w:rPr>
                <w:rFonts w:hint="eastAsia" w:ascii="宋体" w:hAnsi="宋体" w:cs="宋体"/>
                <w:kern w:val="0"/>
                <w:szCs w:val="21"/>
              </w:rPr>
              <w:t>提供能够适用于云环境的业务软件。</w:t>
            </w:r>
          </w:p>
          <w:p>
            <w:pPr>
              <w:widowControl/>
              <w:numPr>
                <w:ilvl w:val="0"/>
                <w:numId w:val="5"/>
              </w:numPr>
              <w:spacing w:line="360" w:lineRule="auto"/>
              <w:jc w:val="left"/>
              <w:rPr>
                <w:rFonts w:ascii="宋体" w:hAnsi="宋体" w:cs="宋体"/>
                <w:kern w:val="0"/>
                <w:szCs w:val="21"/>
              </w:rPr>
            </w:pPr>
            <w:r>
              <w:rPr>
                <w:rFonts w:hint="eastAsia" w:ascii="宋体" w:hAnsi="宋体" w:cs="宋体"/>
                <w:kern w:val="0"/>
                <w:szCs w:val="21"/>
              </w:rPr>
              <w:t>提供能够适用于云环境的业务软件。</w:t>
            </w:r>
          </w:p>
          <w:p>
            <w:pPr>
              <w:widowControl/>
              <w:numPr>
                <w:ilvl w:val="0"/>
                <w:numId w:val="5"/>
              </w:numPr>
              <w:spacing w:line="360" w:lineRule="auto"/>
              <w:jc w:val="left"/>
              <w:rPr>
                <w:rFonts w:ascii="宋体" w:hAnsi="宋体" w:cs="宋体"/>
                <w:kern w:val="0"/>
                <w:szCs w:val="21"/>
              </w:rPr>
            </w:pPr>
            <w:r>
              <w:rPr>
                <w:rFonts w:hint="eastAsia" w:ascii="宋体" w:hAnsi="宋体" w:cs="宋体"/>
                <w:kern w:val="0"/>
                <w:szCs w:val="21"/>
              </w:rPr>
              <w:t>可通过云内虚拟通道接口与其他承载于云平台内的系统通信。</w:t>
            </w:r>
          </w:p>
          <w:p>
            <w:pPr>
              <w:widowControl/>
              <w:numPr>
                <w:ilvl w:val="0"/>
                <w:numId w:val="5"/>
              </w:numPr>
              <w:spacing w:line="360" w:lineRule="auto"/>
              <w:jc w:val="left"/>
              <w:rPr>
                <w:rFonts w:ascii="宋体" w:hAnsi="宋体" w:cs="宋体"/>
                <w:kern w:val="0"/>
                <w:szCs w:val="21"/>
              </w:rPr>
            </w:pPr>
            <w:r>
              <w:rPr>
                <w:rFonts w:hint="eastAsia" w:ascii="宋体" w:hAnsi="宋体" w:cs="宋体"/>
                <w:kern w:val="0"/>
                <w:szCs w:val="21"/>
              </w:rPr>
              <w:t>负责调试</w:t>
            </w:r>
          </w:p>
        </w:tc>
        <w:tc>
          <w:tcPr>
            <w:tcW w:w="2023" w:type="pct"/>
            <w:tcBorders>
              <w:top w:val="single" w:color="auto" w:sz="6" w:space="0"/>
              <w:left w:val="single" w:color="auto" w:sz="6" w:space="0"/>
              <w:bottom w:val="single" w:color="auto" w:sz="6" w:space="0"/>
              <w:right w:val="single" w:color="auto" w:sz="6" w:space="0"/>
            </w:tcBorders>
          </w:tcPr>
          <w:p>
            <w:pPr>
              <w:widowControl/>
              <w:numPr>
                <w:ilvl w:val="0"/>
                <w:numId w:val="6"/>
              </w:numPr>
              <w:spacing w:line="360" w:lineRule="auto"/>
              <w:jc w:val="left"/>
              <w:rPr>
                <w:rFonts w:ascii="宋体" w:hAnsi="宋体" w:cs="宋体"/>
                <w:kern w:val="0"/>
                <w:szCs w:val="21"/>
              </w:rPr>
            </w:pPr>
            <w:r>
              <w:rPr>
                <w:rFonts w:hint="eastAsia" w:ascii="宋体" w:hAnsi="宋体" w:cs="宋体"/>
                <w:kern w:val="0"/>
                <w:szCs w:val="21"/>
              </w:rPr>
              <w:t>既有云平台提供承载线网通信系统所需的计算资源、存储资源、网络带宽、网络安全、云内虚拟通道接口等需求；</w:t>
            </w:r>
          </w:p>
          <w:p>
            <w:pPr>
              <w:widowControl/>
              <w:numPr>
                <w:ilvl w:val="0"/>
                <w:numId w:val="6"/>
              </w:numPr>
              <w:spacing w:line="360" w:lineRule="auto"/>
              <w:jc w:val="left"/>
              <w:rPr>
                <w:rFonts w:ascii="宋体" w:hAnsi="宋体" w:cs="宋体"/>
                <w:kern w:val="0"/>
                <w:szCs w:val="21"/>
              </w:rPr>
            </w:pPr>
            <w:r>
              <w:rPr>
                <w:rFonts w:hint="eastAsia" w:ascii="宋体" w:hAnsi="宋体" w:cs="宋体"/>
                <w:kern w:val="0"/>
                <w:szCs w:val="21"/>
              </w:rPr>
              <w:t>配合满足线网通信系统软件在云环境下的运行；</w:t>
            </w:r>
          </w:p>
          <w:p>
            <w:pPr>
              <w:widowControl/>
              <w:numPr>
                <w:ilvl w:val="0"/>
                <w:numId w:val="6"/>
              </w:numPr>
              <w:spacing w:line="360" w:lineRule="auto"/>
              <w:jc w:val="left"/>
              <w:rPr>
                <w:rFonts w:ascii="宋体" w:hAnsi="宋体" w:cs="宋体"/>
                <w:kern w:val="0"/>
                <w:szCs w:val="21"/>
              </w:rPr>
            </w:pPr>
            <w:r>
              <w:rPr>
                <w:rFonts w:hint="eastAsia" w:ascii="宋体" w:hAnsi="宋体" w:cs="宋体"/>
                <w:kern w:val="0"/>
                <w:szCs w:val="21"/>
              </w:rPr>
              <w:t>提供网络带宽、网络安全、云内虚拟通道接口等需求；</w:t>
            </w:r>
          </w:p>
          <w:p>
            <w:pPr>
              <w:widowControl/>
              <w:numPr>
                <w:ilvl w:val="0"/>
                <w:numId w:val="6"/>
              </w:numPr>
              <w:spacing w:line="360" w:lineRule="auto"/>
              <w:jc w:val="left"/>
              <w:rPr>
                <w:rFonts w:ascii="宋体" w:hAnsi="宋体" w:cs="宋体"/>
                <w:kern w:val="0"/>
                <w:szCs w:val="21"/>
              </w:rPr>
            </w:pPr>
            <w:r>
              <w:rPr>
                <w:rFonts w:hint="eastAsia" w:ascii="宋体" w:hAnsi="宋体" w:cs="宋体"/>
                <w:kern w:val="0"/>
                <w:szCs w:val="21"/>
              </w:rPr>
              <w:t>提供线网通信系统与其他承载于云平台上的系统的虚拟通道接口</w:t>
            </w:r>
            <w:r>
              <w:rPr>
                <w:rFonts w:ascii="宋体" w:hAnsi="宋体" w:cs="宋体"/>
                <w:kern w:val="0"/>
                <w:szCs w:val="21"/>
              </w:rPr>
              <w:t>；</w:t>
            </w:r>
          </w:p>
          <w:p>
            <w:pPr>
              <w:widowControl/>
              <w:numPr>
                <w:ilvl w:val="0"/>
                <w:numId w:val="6"/>
              </w:numPr>
              <w:spacing w:line="360" w:lineRule="auto"/>
              <w:jc w:val="left"/>
              <w:rPr>
                <w:rFonts w:ascii="宋体" w:hAnsi="宋体" w:cs="宋体"/>
                <w:kern w:val="0"/>
                <w:szCs w:val="21"/>
              </w:rPr>
            </w:pPr>
            <w:r>
              <w:rPr>
                <w:rFonts w:hint="eastAsia" w:ascii="宋体" w:hAnsi="宋体" w:cs="宋体"/>
                <w:kern w:val="0"/>
                <w:szCs w:val="21"/>
              </w:rPr>
              <w:t>配合线网通信系统实现相应网络安全等保测评工作。</w:t>
            </w:r>
          </w:p>
          <w:p>
            <w:pPr>
              <w:widowControl/>
              <w:numPr>
                <w:ilvl w:val="0"/>
                <w:numId w:val="6"/>
              </w:numPr>
              <w:spacing w:line="360" w:lineRule="auto"/>
              <w:jc w:val="left"/>
              <w:rPr>
                <w:rFonts w:ascii="宋体" w:hAnsi="宋体" w:cs="宋体"/>
                <w:kern w:val="0"/>
                <w:szCs w:val="21"/>
              </w:rPr>
            </w:pPr>
            <w:r>
              <w:rPr>
                <w:rFonts w:hint="eastAsia" w:ascii="宋体" w:hAnsi="宋体" w:cs="宋体"/>
                <w:kern w:val="0"/>
                <w:szCs w:val="21"/>
              </w:rPr>
              <w:t>无偿配合调试。</w:t>
            </w:r>
          </w:p>
        </w:tc>
        <w:tc>
          <w:tcPr>
            <w:tcW w:w="403" w:type="pct"/>
            <w:tcBorders>
              <w:top w:val="single" w:color="auto" w:sz="6" w:space="0"/>
              <w:left w:val="single" w:color="auto" w:sz="6" w:space="0"/>
              <w:bottom w:val="single" w:color="auto" w:sz="6" w:space="0"/>
              <w:right w:val="single" w:color="auto" w:sz="12" w:space="0"/>
            </w:tcBorders>
          </w:tcPr>
          <w:p>
            <w:pPr>
              <w:widowControl/>
              <w:spacing w:line="360" w:lineRule="auto"/>
              <w:jc w:val="left"/>
              <w:rPr>
                <w:rFonts w:ascii="宋体" w:hAnsi="宋体" w:cs="宋体"/>
                <w:kern w:val="0"/>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934" w:hRule="atLeast"/>
        </w:trPr>
        <w:tc>
          <w:tcPr>
            <w:tcW w:w="454" w:type="pct"/>
            <w:tcBorders>
              <w:top w:val="single" w:color="auto" w:sz="6" w:space="0"/>
              <w:left w:val="single" w:color="auto" w:sz="12" w:space="0"/>
              <w:bottom w:val="single" w:color="auto" w:sz="6" w:space="0"/>
              <w:right w:val="single" w:color="auto" w:sz="6"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2</w:t>
            </w:r>
          </w:p>
        </w:tc>
        <w:tc>
          <w:tcPr>
            <w:tcW w:w="769" w:type="pct"/>
            <w:tcBorders>
              <w:top w:val="single" w:color="auto" w:sz="6" w:space="0"/>
              <w:left w:val="single" w:color="auto" w:sz="6" w:space="0"/>
              <w:bottom w:val="single" w:color="auto" w:sz="6" w:space="0"/>
              <w:right w:val="single" w:color="auto" w:sz="6" w:space="0"/>
            </w:tcBorders>
            <w:vAlign w:val="center"/>
          </w:tcPr>
          <w:p>
            <w:pPr>
              <w:widowControl/>
              <w:spacing w:line="360" w:lineRule="auto"/>
              <w:rPr>
                <w:rFonts w:ascii="宋体" w:hAnsi="宋体"/>
                <w:kern w:val="0"/>
                <w:szCs w:val="21"/>
              </w:rPr>
            </w:pPr>
            <w:r>
              <w:rPr>
                <w:rFonts w:hint="eastAsia"/>
                <w:kern w:val="0"/>
                <w:szCs w:val="21"/>
              </w:rPr>
              <w:t>CCTV画面显示、切换</w:t>
            </w:r>
          </w:p>
        </w:tc>
        <w:tc>
          <w:tcPr>
            <w:tcW w:w="1351" w:type="pct"/>
            <w:tcBorders>
              <w:top w:val="single" w:color="auto" w:sz="6" w:space="0"/>
              <w:left w:val="single" w:color="auto" w:sz="6" w:space="0"/>
              <w:bottom w:val="single" w:color="auto" w:sz="6" w:space="0"/>
              <w:right w:val="single" w:color="auto" w:sz="6" w:space="0"/>
            </w:tcBorders>
          </w:tcPr>
          <w:p>
            <w:pPr>
              <w:widowControl/>
              <w:numPr>
                <w:ilvl w:val="0"/>
                <w:numId w:val="7"/>
              </w:numPr>
              <w:spacing w:line="360" w:lineRule="auto"/>
              <w:jc w:val="left"/>
              <w:rPr>
                <w:rFonts w:ascii="宋体" w:hAnsi="宋体" w:cs="宋体"/>
                <w:kern w:val="0"/>
                <w:szCs w:val="21"/>
              </w:rPr>
            </w:pPr>
            <w:r>
              <w:rPr>
                <w:rFonts w:hint="eastAsia" w:ascii="宋体" w:hAnsi="宋体" w:cs="宋体"/>
                <w:kern w:val="0"/>
                <w:szCs w:val="21"/>
              </w:rPr>
              <w:t xml:space="preserve">提供广州地铁各线路CCTV监控画面 </w:t>
            </w:r>
          </w:p>
        </w:tc>
        <w:tc>
          <w:tcPr>
            <w:tcW w:w="2023" w:type="pct"/>
            <w:tcBorders>
              <w:top w:val="single" w:color="auto" w:sz="6" w:space="0"/>
              <w:left w:val="single" w:color="auto" w:sz="6" w:space="0"/>
              <w:bottom w:val="single" w:color="auto" w:sz="6" w:space="0"/>
              <w:right w:val="single" w:color="auto" w:sz="6" w:space="0"/>
            </w:tcBorders>
          </w:tcPr>
          <w:p>
            <w:pPr>
              <w:widowControl/>
              <w:numPr>
                <w:ilvl w:val="0"/>
                <w:numId w:val="8"/>
              </w:numPr>
              <w:spacing w:line="360" w:lineRule="auto"/>
              <w:jc w:val="left"/>
              <w:rPr>
                <w:rFonts w:ascii="宋体" w:hAnsi="宋体" w:cs="宋体"/>
                <w:kern w:val="0"/>
                <w:szCs w:val="21"/>
              </w:rPr>
            </w:pPr>
            <w:r>
              <w:rPr>
                <w:rFonts w:hint="eastAsia" w:ascii="宋体" w:hAnsi="宋体" w:cs="宋体"/>
                <w:kern w:val="0"/>
                <w:szCs w:val="21"/>
              </w:rPr>
              <w:t xml:space="preserve">显示广州地铁各线路CCTV监控画面 </w:t>
            </w:r>
          </w:p>
        </w:tc>
        <w:tc>
          <w:tcPr>
            <w:tcW w:w="403" w:type="pct"/>
            <w:tcBorders>
              <w:top w:val="single" w:color="auto" w:sz="6" w:space="0"/>
              <w:left w:val="single" w:color="auto" w:sz="6" w:space="0"/>
              <w:bottom w:val="single" w:color="auto" w:sz="6" w:space="0"/>
              <w:right w:val="single" w:color="auto" w:sz="12" w:space="0"/>
            </w:tcBorders>
          </w:tcPr>
          <w:p>
            <w:pPr>
              <w:widowControl/>
              <w:spacing w:line="360" w:lineRule="auto"/>
              <w:jc w:val="left"/>
              <w:rPr>
                <w:rFonts w:ascii="宋体" w:hAnsi="宋体" w:cs="宋体"/>
                <w:kern w:val="0"/>
                <w:szCs w:val="21"/>
              </w:rPr>
            </w:pPr>
          </w:p>
        </w:tc>
      </w:tr>
    </w:tbl>
    <w:p>
      <w:pPr>
        <w:widowControl/>
        <w:spacing w:line="360" w:lineRule="auto"/>
        <w:ind w:left="420" w:leftChars="200"/>
        <w:jc w:val="left"/>
        <w:rPr>
          <w:rFonts w:ascii="宋体" w:hAnsi="宋体"/>
          <w:szCs w:val="21"/>
        </w:rPr>
      </w:pPr>
      <w:r>
        <w:rPr>
          <w:rFonts w:hint="eastAsia"/>
          <w:szCs w:val="21"/>
        </w:rPr>
        <w:t>4）接</w:t>
      </w:r>
      <w:r>
        <w:rPr>
          <w:rFonts w:hint="eastAsia" w:ascii="宋体" w:hAnsi="宋体"/>
          <w:szCs w:val="21"/>
        </w:rPr>
        <w:t>口工作相互配合要求</w:t>
      </w:r>
    </w:p>
    <w:p>
      <w:pPr>
        <w:widowControl/>
        <w:spacing w:line="360" w:lineRule="auto"/>
        <w:ind w:firstLine="420" w:firstLineChars="200"/>
        <w:jc w:val="left"/>
        <w:rPr>
          <w:rFonts w:ascii="宋体" w:hAnsi="宋体" w:cs="宋体"/>
          <w:kern w:val="0"/>
          <w:szCs w:val="21"/>
        </w:rPr>
      </w:pPr>
      <w:r>
        <w:rPr>
          <w:rFonts w:hint="eastAsia" w:ascii="宋体" w:hAnsi="宋体" w:cs="宋体"/>
          <w:kern w:val="0"/>
          <w:szCs w:val="21"/>
        </w:rPr>
        <w:t>（1）按线网视频、线网广播等系统的要求，提供云平台内虚拟通道接口等需求；</w:t>
      </w:r>
    </w:p>
    <w:p>
      <w:pPr>
        <w:widowControl/>
        <w:spacing w:line="360" w:lineRule="auto"/>
        <w:ind w:firstLine="420" w:firstLineChars="200"/>
        <w:jc w:val="left"/>
        <w:rPr>
          <w:rFonts w:ascii="宋体" w:hAnsi="宋体" w:cs="宋体"/>
          <w:kern w:val="0"/>
          <w:szCs w:val="21"/>
        </w:rPr>
      </w:pPr>
      <w:r>
        <w:rPr>
          <w:rFonts w:hint="eastAsia" w:ascii="宋体" w:hAnsi="宋体" w:cs="宋体"/>
          <w:kern w:val="0"/>
          <w:szCs w:val="21"/>
        </w:rPr>
        <w:t>（2）配合线网通信系统与其他系统的调试工作；</w:t>
      </w:r>
    </w:p>
    <w:p>
      <w:pPr>
        <w:widowControl/>
        <w:spacing w:line="360" w:lineRule="auto"/>
        <w:ind w:left="420" w:leftChars="200"/>
        <w:jc w:val="left"/>
        <w:rPr>
          <w:szCs w:val="21"/>
        </w:rPr>
      </w:pPr>
      <w:r>
        <w:rPr>
          <w:rFonts w:hint="eastAsia"/>
          <w:szCs w:val="21"/>
        </w:rPr>
        <w:t>5）云平台所提供的资源</w:t>
      </w:r>
    </w:p>
    <w:p>
      <w:pPr>
        <w:widowControl/>
        <w:numPr>
          <w:ilvl w:val="255"/>
          <w:numId w:val="0"/>
        </w:numPr>
        <w:spacing w:line="360" w:lineRule="auto"/>
        <w:ind w:left="420"/>
        <w:jc w:val="left"/>
        <w:rPr>
          <w:rFonts w:ascii="宋体" w:hAnsi="宋体"/>
          <w:szCs w:val="21"/>
        </w:rPr>
      </w:pPr>
      <w:r>
        <w:rPr>
          <w:rFonts w:hint="eastAsia" w:ascii="宋体" w:hAnsi="宋体" w:cs="宋体"/>
          <w:kern w:val="0"/>
          <w:szCs w:val="21"/>
        </w:rPr>
        <w:t>(1)既有云平台为线网通信系统</w:t>
      </w:r>
      <w:r>
        <w:rPr>
          <w:rFonts w:hint="eastAsia" w:ascii="宋体" w:hAnsi="宋体"/>
          <w:szCs w:val="21"/>
        </w:rPr>
        <w:t>提供如下云资源，投标在该资源范围内构建线网通信系统，并应按照云平台统一管理要求做好云资源优化工作，提高资源使用效率减少资源使用量。投标人应提供详细的资源使用量报告。</w:t>
      </w:r>
    </w:p>
    <w:tbl>
      <w:tblPr>
        <w:tblStyle w:val="32"/>
        <w:tblpPr w:leftFromText="180" w:rightFromText="180" w:vertAnchor="text" w:horzAnchor="margin" w:tblpY="45"/>
        <w:tblW w:w="5000" w:type="pct"/>
        <w:tblInd w:w="0" w:type="dxa"/>
        <w:tblLayout w:type="autofit"/>
        <w:tblCellMar>
          <w:top w:w="15" w:type="dxa"/>
          <w:left w:w="15" w:type="dxa"/>
          <w:bottom w:w="15" w:type="dxa"/>
          <w:right w:w="15" w:type="dxa"/>
        </w:tblCellMar>
      </w:tblPr>
      <w:tblGrid>
        <w:gridCol w:w="1850"/>
        <w:gridCol w:w="997"/>
        <w:gridCol w:w="712"/>
        <w:gridCol w:w="854"/>
        <w:gridCol w:w="854"/>
        <w:gridCol w:w="3069"/>
      </w:tblGrid>
      <w:tr>
        <w:tblPrEx>
          <w:tblCellMar>
            <w:top w:w="15" w:type="dxa"/>
            <w:left w:w="15" w:type="dxa"/>
            <w:bottom w:w="15" w:type="dxa"/>
            <w:right w:w="15" w:type="dxa"/>
          </w:tblCellMar>
        </w:tblPrEx>
        <w:trPr>
          <w:trHeight w:val="555" w:hRule="atLeast"/>
        </w:trPr>
        <w:tc>
          <w:tcPr>
            <w:tcW w:w="1109" w:type="pct"/>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Cs w:val="21"/>
              </w:rPr>
            </w:pPr>
            <w:r>
              <w:rPr>
                <w:rFonts w:hint="eastAsia" w:ascii="宋体" w:hAnsi="宋体" w:cs="宋体"/>
                <w:kern w:val="0"/>
                <w:szCs w:val="21"/>
              </w:rPr>
              <w:t>项目</w:t>
            </w:r>
          </w:p>
        </w:tc>
        <w:tc>
          <w:tcPr>
            <w:tcW w:w="59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ascii="宋体" w:hAnsi="宋体" w:cs="宋体"/>
                <w:color w:val="000000"/>
                <w:kern w:val="0"/>
                <w:szCs w:val="21"/>
              </w:rPr>
              <w:t>vCPU核</w:t>
            </w:r>
          </w:p>
        </w:tc>
        <w:tc>
          <w:tcPr>
            <w:tcW w:w="42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ascii="宋体" w:hAnsi="宋体" w:cs="宋体"/>
                <w:color w:val="000000"/>
                <w:kern w:val="0"/>
                <w:szCs w:val="21"/>
              </w:rPr>
              <w:t>内存</w:t>
            </w:r>
            <w:r>
              <w:rPr>
                <w:rFonts w:hint="eastAsia" w:ascii="宋体" w:hAnsi="宋体" w:cs="宋体"/>
                <w:color w:val="000000"/>
                <w:kern w:val="0"/>
                <w:szCs w:val="21"/>
              </w:rPr>
              <w:t>（G）</w:t>
            </w:r>
          </w:p>
        </w:tc>
        <w:tc>
          <w:tcPr>
            <w:tcW w:w="51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ascii="宋体" w:hAnsi="宋体" w:cs="宋体"/>
                <w:color w:val="000000"/>
                <w:kern w:val="0"/>
                <w:szCs w:val="21"/>
              </w:rPr>
              <w:t>系统盘</w:t>
            </w:r>
            <w:r>
              <w:rPr>
                <w:rFonts w:hint="eastAsia" w:ascii="宋体" w:hAnsi="宋体" w:cs="宋体"/>
                <w:color w:val="000000"/>
                <w:kern w:val="0"/>
                <w:szCs w:val="21"/>
              </w:rPr>
              <w:t>（G）</w:t>
            </w:r>
          </w:p>
        </w:tc>
        <w:tc>
          <w:tcPr>
            <w:tcW w:w="51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ascii="宋体" w:hAnsi="宋体" w:cs="宋体"/>
                <w:color w:val="000000"/>
                <w:kern w:val="0"/>
                <w:szCs w:val="21"/>
              </w:rPr>
              <w:t>数据盘(G)</w:t>
            </w:r>
          </w:p>
        </w:tc>
        <w:tc>
          <w:tcPr>
            <w:tcW w:w="184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备注</w:t>
            </w:r>
          </w:p>
        </w:tc>
      </w:tr>
      <w:tr>
        <w:tblPrEx>
          <w:tblCellMar>
            <w:top w:w="15" w:type="dxa"/>
            <w:left w:w="15" w:type="dxa"/>
            <w:bottom w:w="15" w:type="dxa"/>
            <w:right w:w="15" w:type="dxa"/>
          </w:tblCellMar>
        </w:tblPrEx>
        <w:trPr>
          <w:trHeight w:val="360" w:hRule="atLeast"/>
        </w:trPr>
        <w:tc>
          <w:tcPr>
            <w:tcW w:w="1109" w:type="pct"/>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color w:val="000000"/>
                <w:kern w:val="0"/>
                <w:szCs w:val="21"/>
              </w:rPr>
            </w:pPr>
            <w:r>
              <w:rPr>
                <w:rFonts w:ascii="宋体" w:hAnsi="宋体" w:cs="宋体"/>
                <w:color w:val="000000"/>
                <w:kern w:val="0"/>
                <w:sz w:val="20"/>
                <w:szCs w:val="20"/>
              </w:rPr>
              <w:t>线网通信系统——</w:t>
            </w:r>
            <w:r>
              <w:rPr>
                <w:rFonts w:hint="eastAsia" w:ascii="宋体" w:hAnsi="宋体" w:cs="宋体"/>
                <w:color w:val="000000"/>
                <w:kern w:val="0"/>
                <w:sz w:val="20"/>
                <w:szCs w:val="20"/>
              </w:rPr>
              <w:t>视频监控系统</w:t>
            </w:r>
          </w:p>
        </w:tc>
        <w:tc>
          <w:tcPr>
            <w:tcW w:w="59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 w:val="20"/>
                <w:szCs w:val="20"/>
              </w:rPr>
              <w:t>512</w:t>
            </w:r>
          </w:p>
        </w:tc>
        <w:tc>
          <w:tcPr>
            <w:tcW w:w="42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 w:val="20"/>
                <w:szCs w:val="20"/>
              </w:rPr>
              <w:t>2944</w:t>
            </w:r>
          </w:p>
        </w:tc>
        <w:tc>
          <w:tcPr>
            <w:tcW w:w="51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 w:val="20"/>
                <w:szCs w:val="20"/>
              </w:rPr>
            </w:pPr>
            <w:r>
              <w:rPr>
                <w:rFonts w:hint="eastAsia" w:ascii="宋体" w:hAnsi="宋体" w:cs="宋体"/>
                <w:color w:val="000000"/>
                <w:kern w:val="0"/>
                <w:sz w:val="20"/>
                <w:szCs w:val="20"/>
              </w:rPr>
              <w:t>38400</w:t>
            </w:r>
          </w:p>
        </w:tc>
        <w:tc>
          <w:tcPr>
            <w:tcW w:w="51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 w:val="20"/>
                <w:szCs w:val="20"/>
              </w:rPr>
              <w:t>3600</w:t>
            </w:r>
          </w:p>
        </w:tc>
        <w:tc>
          <w:tcPr>
            <w:tcW w:w="184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p>
        </w:tc>
      </w:tr>
      <w:tr>
        <w:tblPrEx>
          <w:tblCellMar>
            <w:top w:w="15" w:type="dxa"/>
            <w:left w:w="15" w:type="dxa"/>
            <w:bottom w:w="15" w:type="dxa"/>
            <w:right w:w="15" w:type="dxa"/>
          </w:tblCellMar>
        </w:tblPrEx>
        <w:trPr>
          <w:trHeight w:val="360" w:hRule="atLeast"/>
        </w:trPr>
        <w:tc>
          <w:tcPr>
            <w:tcW w:w="1109" w:type="pct"/>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color w:val="000000"/>
                <w:kern w:val="0"/>
                <w:szCs w:val="21"/>
              </w:rPr>
            </w:pPr>
            <w:r>
              <w:rPr>
                <w:rFonts w:ascii="宋体" w:hAnsi="宋体" w:cs="宋体"/>
                <w:color w:val="000000"/>
                <w:kern w:val="0"/>
                <w:sz w:val="20"/>
                <w:szCs w:val="20"/>
              </w:rPr>
              <w:t>线网通信系统——线网广播系统</w:t>
            </w:r>
          </w:p>
        </w:tc>
        <w:tc>
          <w:tcPr>
            <w:tcW w:w="59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 w:val="20"/>
                <w:szCs w:val="20"/>
              </w:rPr>
              <w:t>232</w:t>
            </w:r>
          </w:p>
        </w:tc>
        <w:tc>
          <w:tcPr>
            <w:tcW w:w="42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 w:val="20"/>
                <w:szCs w:val="20"/>
              </w:rPr>
              <w:t>464</w:t>
            </w:r>
          </w:p>
        </w:tc>
        <w:tc>
          <w:tcPr>
            <w:tcW w:w="51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 w:val="20"/>
                <w:szCs w:val="20"/>
              </w:rPr>
              <w:t>1300</w:t>
            </w:r>
          </w:p>
        </w:tc>
        <w:tc>
          <w:tcPr>
            <w:tcW w:w="51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 w:val="20"/>
                <w:szCs w:val="20"/>
              </w:rPr>
              <w:t>34000</w:t>
            </w:r>
          </w:p>
        </w:tc>
        <w:tc>
          <w:tcPr>
            <w:tcW w:w="184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cs="宋体"/>
                <w:color w:val="000000"/>
                <w:kern w:val="0"/>
                <w:szCs w:val="21"/>
              </w:rPr>
            </w:pPr>
          </w:p>
        </w:tc>
      </w:tr>
    </w:tbl>
    <w:p>
      <w:pPr>
        <w:pStyle w:val="3"/>
        <w:spacing w:line="480" w:lineRule="exact"/>
        <w:ind w:firstLine="560"/>
        <w:rPr>
          <w:rFonts w:ascii="Times New Roman" w:hAnsi="Times New Roman"/>
          <w:szCs w:val="22"/>
        </w:rPr>
      </w:pPr>
      <w:bookmarkStart w:id="23" w:name="_Toc21306"/>
      <w:r>
        <w:rPr>
          <w:rFonts w:hint="eastAsia" w:ascii="Times New Roman" w:hAnsi="Times New Roman" w:eastAsia="宋体"/>
          <w:szCs w:val="21"/>
        </w:rPr>
        <w:t>大屏幕与通信系统的接口</w:t>
      </w:r>
      <w:bookmarkEnd w:id="23"/>
    </w:p>
    <w:p>
      <w:pPr>
        <w:widowControl/>
        <w:spacing w:line="360" w:lineRule="auto"/>
        <w:ind w:left="420" w:leftChars="200"/>
        <w:jc w:val="left"/>
        <w:rPr>
          <w:szCs w:val="21"/>
        </w:rPr>
      </w:pPr>
      <w:r>
        <w:rPr>
          <w:rFonts w:hint="eastAsia"/>
          <w:szCs w:val="21"/>
        </w:rPr>
        <w:t>1）接口界面</w:t>
      </w:r>
    </w:p>
    <w:p>
      <w:pPr>
        <w:widowControl/>
        <w:spacing w:line="360" w:lineRule="auto"/>
        <w:ind w:firstLine="420" w:firstLineChars="200"/>
        <w:jc w:val="left"/>
        <w:rPr>
          <w:szCs w:val="21"/>
        </w:rPr>
      </w:pPr>
      <w:r>
        <w:rPr>
          <w:rFonts w:hint="eastAsia"/>
          <w:szCs w:val="21"/>
        </w:rPr>
        <w:t>本工程与线网视频系统的接口界面划分示意图如下</w:t>
      </w:r>
    </w:p>
    <w:p>
      <w:pPr>
        <w:spacing w:line="520" w:lineRule="exact"/>
        <w:ind w:firstLine="420" w:firstLineChars="200"/>
        <w:jc w:val="center"/>
        <w:rPr>
          <w:szCs w:val="21"/>
        </w:rPr>
      </w:pPr>
    </w:p>
    <w:p>
      <w:pPr>
        <w:spacing w:line="520" w:lineRule="exact"/>
        <w:ind w:firstLine="420" w:firstLineChars="200"/>
        <w:jc w:val="center"/>
        <w:rPr>
          <w:szCs w:val="21"/>
        </w:rPr>
      </w:pPr>
    </w:p>
    <w:p>
      <w:pPr>
        <w:spacing w:line="520" w:lineRule="exact"/>
        <w:ind w:firstLine="420" w:firstLineChars="200"/>
        <w:jc w:val="center"/>
        <w:rPr>
          <w:szCs w:val="21"/>
        </w:rPr>
      </w:pPr>
      <w:r>
        <w:rPr>
          <w:rFonts w:ascii="Arial" w:hAnsi="Arial" w:cs="Arial"/>
          <w:kern w:val="0"/>
          <w:szCs w:val="21"/>
        </w:rPr>
        <w:pict>
          <v:shape id="_x0000_s1031" o:spid="_x0000_s1031" o:spt="75" type="#_x0000_t75" style="position:absolute;left:0pt;margin-left:41.8pt;margin-top:13.6pt;height:216.5pt;width:331.65pt;mso-wrap-distance-bottom:0pt;mso-wrap-distance-left:9pt;mso-wrap-distance-right:9pt;mso-wrap-distance-top:0pt;z-index:251662336;mso-width-relative:page;mso-height-relative:page;" o:ole="t" filled="f" o:preferrelative="t" stroked="f" coordsize="21600,21600" o:allowoverlap="f">
            <v:path/>
            <v:fill on="f" focussize="0,0"/>
            <v:stroke on="f" joinstyle="miter"/>
            <v:imagedata r:id="rId14" croptop="4906f" cropright="3206f" cropbottom="3957f" o:title=""/>
            <o:lock v:ext="edit" aspectratio="t"/>
            <w10:wrap type="square"/>
          </v:shape>
          <o:OLEObject Type="Embed" ProgID="Visio.Drawing.11" ShapeID="_x0000_s1031" DrawAspect="Content" ObjectID="_1468075726" r:id="rId13">
            <o:LockedField>false</o:LockedField>
          </o:OLEObject>
        </w:pict>
      </w:r>
    </w:p>
    <w:p>
      <w:pPr>
        <w:spacing w:line="520" w:lineRule="exact"/>
        <w:ind w:firstLine="420" w:firstLineChars="200"/>
        <w:jc w:val="center"/>
        <w:rPr>
          <w:szCs w:val="21"/>
        </w:rPr>
      </w:pPr>
    </w:p>
    <w:p>
      <w:pPr>
        <w:spacing w:line="520" w:lineRule="exact"/>
        <w:ind w:firstLine="420" w:firstLineChars="200"/>
        <w:jc w:val="center"/>
        <w:rPr>
          <w:szCs w:val="21"/>
        </w:rPr>
      </w:pPr>
    </w:p>
    <w:p>
      <w:pPr>
        <w:spacing w:line="520" w:lineRule="exact"/>
        <w:ind w:firstLine="420" w:firstLineChars="200"/>
        <w:jc w:val="center"/>
        <w:rPr>
          <w:szCs w:val="21"/>
        </w:rPr>
      </w:pPr>
    </w:p>
    <w:p>
      <w:pPr>
        <w:spacing w:line="520" w:lineRule="exact"/>
        <w:ind w:firstLine="420" w:firstLineChars="200"/>
        <w:jc w:val="center"/>
        <w:rPr>
          <w:szCs w:val="21"/>
        </w:rPr>
      </w:pPr>
    </w:p>
    <w:p>
      <w:pPr>
        <w:spacing w:line="520" w:lineRule="exact"/>
        <w:ind w:firstLine="420" w:firstLineChars="200"/>
        <w:jc w:val="center"/>
        <w:rPr>
          <w:szCs w:val="21"/>
        </w:rPr>
      </w:pPr>
    </w:p>
    <w:p>
      <w:pPr>
        <w:spacing w:line="520" w:lineRule="exact"/>
        <w:ind w:firstLine="420" w:firstLineChars="200"/>
        <w:jc w:val="center"/>
        <w:rPr>
          <w:szCs w:val="21"/>
        </w:rPr>
      </w:pPr>
    </w:p>
    <w:p>
      <w:pPr>
        <w:spacing w:line="360" w:lineRule="auto"/>
        <w:ind w:firstLine="420" w:firstLineChars="200"/>
        <w:jc w:val="center"/>
        <w:rPr>
          <w:szCs w:val="21"/>
        </w:rPr>
      </w:pPr>
    </w:p>
    <w:p>
      <w:pPr>
        <w:spacing w:line="360" w:lineRule="auto"/>
        <w:rPr>
          <w:szCs w:val="21"/>
        </w:rPr>
      </w:pPr>
    </w:p>
    <w:p>
      <w:pPr>
        <w:spacing w:line="360" w:lineRule="auto"/>
        <w:ind w:firstLine="0" w:firstLineChars="0"/>
        <w:jc w:val="both"/>
        <w:rPr>
          <w:szCs w:val="21"/>
        </w:rPr>
      </w:pPr>
    </w:p>
    <w:p>
      <w:pPr>
        <w:spacing w:line="360" w:lineRule="auto"/>
        <w:ind w:firstLine="420" w:firstLineChars="200"/>
        <w:jc w:val="center"/>
        <w:rPr>
          <w:rFonts w:ascii="Arial" w:hAnsi="Arial" w:cs="Arial"/>
          <w:kern w:val="0"/>
          <w:szCs w:val="21"/>
        </w:rPr>
      </w:pPr>
      <w:r>
        <w:rPr>
          <w:rFonts w:hint="eastAsia"/>
          <w:szCs w:val="21"/>
        </w:rPr>
        <w:t>图3.3-1与线网视频接口</w:t>
      </w:r>
    </w:p>
    <w:p>
      <w:pPr>
        <w:widowControl/>
        <w:spacing w:line="360" w:lineRule="auto"/>
        <w:ind w:left="420" w:leftChars="200"/>
        <w:jc w:val="left"/>
        <w:rPr>
          <w:rFonts w:ascii="宋体" w:hAnsi="宋体"/>
          <w:szCs w:val="21"/>
        </w:rPr>
      </w:pPr>
      <w:r>
        <w:rPr>
          <w:rFonts w:hint="eastAsia" w:ascii="宋体" w:hAnsi="宋体"/>
          <w:szCs w:val="21"/>
        </w:rPr>
        <w:t>2）物理接口</w:t>
      </w:r>
    </w:p>
    <w:tbl>
      <w:tblPr>
        <w:tblStyle w:val="32"/>
        <w:tblW w:w="4998"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268"/>
        <w:gridCol w:w="1268"/>
        <w:gridCol w:w="1337"/>
        <w:gridCol w:w="2729"/>
        <w:gridCol w:w="1273"/>
        <w:gridCol w:w="64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42" w:hRule="atLeast"/>
        </w:trPr>
        <w:tc>
          <w:tcPr>
            <w:tcW w:w="744"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编号</w:t>
            </w:r>
          </w:p>
        </w:tc>
        <w:tc>
          <w:tcPr>
            <w:tcW w:w="744"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位置</w:t>
            </w:r>
          </w:p>
        </w:tc>
        <w:tc>
          <w:tcPr>
            <w:tcW w:w="784" w:type="pct"/>
            <w:shd w:val="clear" w:color="auto" w:fill="8DB3E2" w:themeFill="text2" w:themeFillTint="66"/>
            <w:vAlign w:val="center"/>
          </w:tcPr>
          <w:p>
            <w:pPr>
              <w:spacing w:line="360" w:lineRule="auto"/>
              <w:jc w:val="center"/>
              <w:rPr>
                <w:rFonts w:ascii="黑体" w:eastAsia="黑体"/>
                <w:szCs w:val="21"/>
              </w:rPr>
            </w:pPr>
            <w:r>
              <w:rPr>
                <w:rFonts w:ascii="黑体" w:eastAsia="黑体"/>
                <w:szCs w:val="21"/>
              </w:rPr>
              <w:t>DP</w:t>
            </w:r>
          </w:p>
        </w:tc>
        <w:tc>
          <w:tcPr>
            <w:tcW w:w="1601"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TX</w:t>
            </w:r>
          </w:p>
        </w:tc>
        <w:tc>
          <w:tcPr>
            <w:tcW w:w="747"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接口类型</w:t>
            </w:r>
          </w:p>
        </w:tc>
        <w:tc>
          <w:tcPr>
            <w:tcW w:w="377" w:type="pct"/>
            <w:shd w:val="clear" w:color="auto" w:fill="8DB3E2" w:themeFill="text2" w:themeFillTint="66"/>
            <w:vAlign w:val="center"/>
          </w:tcPr>
          <w:p>
            <w:pPr>
              <w:spacing w:line="360" w:lineRule="auto"/>
              <w:jc w:val="center"/>
              <w:rPr>
                <w:rFonts w:ascii="黑体" w:eastAsia="黑体"/>
                <w:szCs w:val="21"/>
              </w:rPr>
            </w:pPr>
            <w:r>
              <w:rPr>
                <w:rFonts w:hint="eastAsia" w:ascii="黑体" w:eastAsia="黑体"/>
                <w:szCs w:val="21"/>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744" w:type="pct"/>
            <w:vAlign w:val="center"/>
          </w:tcPr>
          <w:p>
            <w:pPr>
              <w:spacing w:line="360" w:lineRule="auto"/>
              <w:jc w:val="center"/>
              <w:rPr>
                <w:rFonts w:ascii="宋体"/>
                <w:szCs w:val="21"/>
              </w:rPr>
            </w:pPr>
            <w:r>
              <w:rPr>
                <w:rFonts w:ascii="宋体"/>
                <w:szCs w:val="21"/>
              </w:rPr>
              <w:t>DP</w:t>
            </w:r>
            <w:r>
              <w:rPr>
                <w:rFonts w:hint="eastAsia" w:ascii="宋体"/>
                <w:szCs w:val="21"/>
              </w:rPr>
              <w:t>.TX.1</w:t>
            </w:r>
          </w:p>
        </w:tc>
        <w:tc>
          <w:tcPr>
            <w:tcW w:w="744" w:type="pct"/>
            <w:vAlign w:val="center"/>
          </w:tcPr>
          <w:p>
            <w:pPr>
              <w:spacing w:line="360" w:lineRule="auto"/>
              <w:jc w:val="center"/>
              <w:rPr>
                <w:rFonts w:ascii="宋体"/>
                <w:szCs w:val="21"/>
              </w:rPr>
            </w:pPr>
            <w:r>
              <w:rPr>
                <w:rFonts w:hint="eastAsia" w:ascii="宋体" w:cs="宋体"/>
                <w:szCs w:val="21"/>
              </w:rPr>
              <w:t>大屏</w:t>
            </w:r>
            <w:r>
              <w:rPr>
                <w:rFonts w:hint="eastAsia" w:ascii="宋体" w:hAnsi="宋体" w:cs="宋体"/>
                <w:kern w:val="0"/>
                <w:szCs w:val="21"/>
              </w:rPr>
              <w:t>交换机接线端口处</w:t>
            </w:r>
          </w:p>
        </w:tc>
        <w:tc>
          <w:tcPr>
            <w:tcW w:w="784" w:type="pct"/>
            <w:vAlign w:val="center"/>
          </w:tcPr>
          <w:p>
            <w:pPr>
              <w:spacing w:line="360" w:lineRule="auto"/>
              <w:jc w:val="center"/>
              <w:rPr>
                <w:rFonts w:ascii="宋体"/>
                <w:szCs w:val="21"/>
              </w:rPr>
            </w:pPr>
            <w:r>
              <w:rPr>
                <w:rFonts w:hint="eastAsia" w:ascii="宋体"/>
                <w:szCs w:val="21"/>
              </w:rPr>
              <w:t>大屏幕系统提供交换机端口；无偿配合调试；</w:t>
            </w:r>
          </w:p>
        </w:tc>
        <w:tc>
          <w:tcPr>
            <w:tcW w:w="1601" w:type="pct"/>
            <w:vAlign w:val="center"/>
          </w:tcPr>
          <w:p>
            <w:pPr>
              <w:spacing w:line="360" w:lineRule="auto"/>
              <w:jc w:val="center"/>
              <w:rPr>
                <w:rFonts w:ascii="宋体"/>
                <w:szCs w:val="21"/>
              </w:rPr>
            </w:pPr>
            <w:r>
              <w:rPr>
                <w:rFonts w:hint="eastAsia" w:ascii="宋体"/>
                <w:szCs w:val="21"/>
              </w:rPr>
              <w:t>提供网络电缆（带编号）连接至</w:t>
            </w:r>
            <w:r>
              <w:rPr>
                <w:rFonts w:hint="eastAsia" w:ascii="宋体" w:hAnsi="宋体" w:cs="宋体"/>
                <w:kern w:val="0"/>
                <w:szCs w:val="21"/>
              </w:rPr>
              <w:t>云平台系统交换机上</w:t>
            </w:r>
            <w:r>
              <w:rPr>
                <w:rFonts w:hint="eastAsia" w:ascii="宋体"/>
                <w:szCs w:val="21"/>
              </w:rPr>
              <w:t>；负责调试</w:t>
            </w:r>
          </w:p>
        </w:tc>
        <w:tc>
          <w:tcPr>
            <w:tcW w:w="747" w:type="pct"/>
            <w:vAlign w:val="center"/>
          </w:tcPr>
          <w:p>
            <w:pPr>
              <w:spacing w:line="360" w:lineRule="auto"/>
              <w:jc w:val="center"/>
              <w:rPr>
                <w:rFonts w:ascii="宋体"/>
                <w:szCs w:val="21"/>
              </w:rPr>
            </w:pPr>
            <w:r>
              <w:rPr>
                <w:rFonts w:hint="eastAsia" w:ascii="宋体"/>
                <w:szCs w:val="21"/>
              </w:rPr>
              <w:t>2个千兆单模光口</w:t>
            </w:r>
          </w:p>
        </w:tc>
        <w:tc>
          <w:tcPr>
            <w:tcW w:w="377" w:type="pct"/>
            <w:vAlign w:val="center"/>
          </w:tcPr>
          <w:p>
            <w:pPr>
              <w:spacing w:line="360" w:lineRule="auto"/>
              <w:jc w:val="center"/>
              <w:rPr>
                <w:rFonts w:ascii="宋体"/>
                <w:szCs w:val="21"/>
              </w:rPr>
            </w:pPr>
          </w:p>
        </w:tc>
      </w:tr>
    </w:tbl>
    <w:p>
      <w:pPr>
        <w:widowControl/>
        <w:spacing w:line="360" w:lineRule="auto"/>
        <w:ind w:left="420" w:leftChars="200"/>
        <w:jc w:val="left"/>
        <w:rPr>
          <w:szCs w:val="21"/>
        </w:rPr>
      </w:pPr>
      <w:r>
        <w:rPr>
          <w:rFonts w:hint="eastAsia"/>
          <w:szCs w:val="21"/>
        </w:rPr>
        <w:t>3）功能接口</w:t>
      </w:r>
    </w:p>
    <w:tbl>
      <w:tblPr>
        <w:tblStyle w:val="32"/>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72"/>
        <w:gridCol w:w="1311"/>
        <w:gridCol w:w="2303"/>
        <w:gridCol w:w="3448"/>
        <w:gridCol w:w="68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10" w:hRule="atLeast"/>
          <w:tblHeader/>
        </w:trPr>
        <w:tc>
          <w:tcPr>
            <w:tcW w:w="453" w:type="pct"/>
            <w:tcBorders>
              <w:top w:val="single" w:color="auto" w:sz="12" w:space="0"/>
              <w:left w:val="single" w:color="auto" w:sz="12" w:space="0"/>
              <w:bottom w:val="single" w:color="auto" w:sz="6" w:space="0"/>
              <w:right w:val="single" w:color="auto" w:sz="6" w:space="0"/>
            </w:tcBorders>
            <w:shd w:val="clear" w:color="auto" w:fill="8DB3E2" w:themeFill="text2" w:themeFillTint="66"/>
          </w:tcPr>
          <w:p>
            <w:pPr>
              <w:widowControl/>
              <w:spacing w:line="360" w:lineRule="auto"/>
              <w:jc w:val="center"/>
              <w:rPr>
                <w:rFonts w:ascii="宋体" w:hAnsi="宋体" w:cs="宋体"/>
                <w:kern w:val="0"/>
                <w:szCs w:val="21"/>
              </w:rPr>
            </w:pPr>
            <w:r>
              <w:rPr>
                <w:rFonts w:hint="eastAsia" w:ascii="宋体" w:hAnsi="宋体" w:cs="宋体"/>
                <w:kern w:val="0"/>
                <w:szCs w:val="21"/>
              </w:rPr>
              <w:t>序号</w:t>
            </w:r>
          </w:p>
        </w:tc>
        <w:tc>
          <w:tcPr>
            <w:tcW w:w="769" w:type="pct"/>
            <w:tcBorders>
              <w:top w:val="single" w:color="auto" w:sz="12" w:space="0"/>
              <w:left w:val="single" w:color="auto" w:sz="6" w:space="0"/>
              <w:bottom w:val="single" w:color="auto" w:sz="6" w:space="0"/>
              <w:right w:val="single" w:color="auto" w:sz="6" w:space="0"/>
            </w:tcBorders>
            <w:shd w:val="clear" w:color="auto" w:fill="8DB3E2" w:themeFill="text2" w:themeFillTint="66"/>
          </w:tcPr>
          <w:p>
            <w:pPr>
              <w:widowControl/>
              <w:spacing w:line="360" w:lineRule="auto"/>
              <w:jc w:val="center"/>
              <w:rPr>
                <w:rFonts w:ascii="宋体" w:hAnsi="宋体" w:cs="宋体"/>
                <w:kern w:val="0"/>
                <w:szCs w:val="21"/>
              </w:rPr>
            </w:pPr>
            <w:r>
              <w:rPr>
                <w:rFonts w:hint="eastAsia" w:ascii="宋体" w:hAnsi="宋体" w:cs="宋体"/>
                <w:kern w:val="0"/>
                <w:szCs w:val="21"/>
              </w:rPr>
              <w:t>功能要求</w:t>
            </w:r>
          </w:p>
        </w:tc>
        <w:tc>
          <w:tcPr>
            <w:tcW w:w="1351" w:type="pct"/>
            <w:tcBorders>
              <w:top w:val="single" w:color="auto" w:sz="12" w:space="0"/>
              <w:left w:val="single" w:color="auto" w:sz="6" w:space="0"/>
              <w:bottom w:val="single" w:color="auto" w:sz="6" w:space="0"/>
              <w:right w:val="single" w:color="auto" w:sz="6" w:space="0"/>
            </w:tcBorders>
            <w:shd w:val="clear" w:color="auto" w:fill="8DB3E2" w:themeFill="text2" w:themeFillTint="66"/>
          </w:tcPr>
          <w:p>
            <w:pPr>
              <w:widowControl/>
              <w:spacing w:line="360" w:lineRule="auto"/>
              <w:jc w:val="center"/>
              <w:rPr>
                <w:rFonts w:ascii="宋体" w:hAnsi="宋体" w:cs="宋体"/>
                <w:kern w:val="0"/>
                <w:szCs w:val="21"/>
              </w:rPr>
            </w:pPr>
            <w:r>
              <w:rPr>
                <w:rFonts w:hint="eastAsia" w:ascii="宋体" w:hAnsi="宋体" w:cs="宋体"/>
                <w:kern w:val="0"/>
                <w:szCs w:val="21"/>
              </w:rPr>
              <w:t>线网通信系统</w:t>
            </w:r>
          </w:p>
        </w:tc>
        <w:tc>
          <w:tcPr>
            <w:tcW w:w="2022" w:type="pct"/>
            <w:tcBorders>
              <w:top w:val="single" w:color="auto" w:sz="12" w:space="0"/>
              <w:left w:val="single" w:color="auto" w:sz="6" w:space="0"/>
              <w:bottom w:val="single" w:color="auto" w:sz="6" w:space="0"/>
              <w:right w:val="single" w:color="auto" w:sz="6" w:space="0"/>
            </w:tcBorders>
            <w:shd w:val="clear" w:color="auto" w:fill="8DB3E2" w:themeFill="text2" w:themeFillTint="66"/>
          </w:tcPr>
          <w:p>
            <w:pPr>
              <w:widowControl/>
              <w:spacing w:line="360" w:lineRule="auto"/>
              <w:jc w:val="center"/>
              <w:rPr>
                <w:rFonts w:ascii="宋体" w:hAnsi="宋体" w:cs="宋体"/>
                <w:kern w:val="0"/>
                <w:szCs w:val="21"/>
              </w:rPr>
            </w:pPr>
            <w:r>
              <w:rPr>
                <w:rFonts w:ascii="宋体" w:hAnsi="宋体" w:cs="宋体"/>
                <w:kern w:val="0"/>
                <w:szCs w:val="21"/>
              </w:rPr>
              <w:t>DP</w:t>
            </w:r>
          </w:p>
        </w:tc>
        <w:tc>
          <w:tcPr>
            <w:tcW w:w="403" w:type="pct"/>
            <w:tcBorders>
              <w:top w:val="single" w:color="auto" w:sz="12" w:space="0"/>
              <w:left w:val="single" w:color="auto" w:sz="6" w:space="0"/>
              <w:bottom w:val="single" w:color="auto" w:sz="6" w:space="0"/>
              <w:right w:val="single" w:color="auto" w:sz="12" w:space="0"/>
            </w:tcBorders>
            <w:shd w:val="clear" w:color="auto" w:fill="8DB3E2" w:themeFill="text2" w:themeFillTint="66"/>
          </w:tcPr>
          <w:p>
            <w:pPr>
              <w:widowControl/>
              <w:spacing w:line="360" w:lineRule="auto"/>
              <w:jc w:val="center"/>
              <w:rPr>
                <w:rFonts w:ascii="宋体" w:hAnsi="宋体" w:cs="宋体"/>
                <w:kern w:val="0"/>
                <w:szCs w:val="21"/>
              </w:rPr>
            </w:pPr>
            <w:r>
              <w:rPr>
                <w:rFonts w:hint="eastAsia" w:ascii="宋体" w:hAnsi="宋体" w:cs="宋体"/>
                <w:kern w:val="0"/>
                <w:szCs w:val="21"/>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934" w:hRule="atLeast"/>
        </w:trPr>
        <w:tc>
          <w:tcPr>
            <w:tcW w:w="453" w:type="pct"/>
            <w:tcBorders>
              <w:top w:val="single" w:color="auto" w:sz="6" w:space="0"/>
              <w:left w:val="single" w:color="auto" w:sz="12" w:space="0"/>
              <w:bottom w:val="single" w:color="auto" w:sz="6" w:space="0"/>
              <w:right w:val="single" w:color="auto" w:sz="6"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1</w:t>
            </w:r>
          </w:p>
        </w:tc>
        <w:tc>
          <w:tcPr>
            <w:tcW w:w="769" w:type="pct"/>
            <w:tcBorders>
              <w:top w:val="single" w:color="auto" w:sz="6" w:space="0"/>
              <w:left w:val="single" w:color="auto" w:sz="6" w:space="0"/>
              <w:bottom w:val="single" w:color="auto" w:sz="6" w:space="0"/>
              <w:right w:val="single" w:color="auto" w:sz="6" w:space="0"/>
            </w:tcBorders>
            <w:vAlign w:val="center"/>
          </w:tcPr>
          <w:p>
            <w:pPr>
              <w:widowControl/>
              <w:spacing w:line="360" w:lineRule="auto"/>
              <w:rPr>
                <w:rFonts w:ascii="宋体" w:hAnsi="宋体"/>
                <w:kern w:val="0"/>
                <w:szCs w:val="21"/>
              </w:rPr>
            </w:pPr>
            <w:r>
              <w:rPr>
                <w:rFonts w:hint="eastAsia"/>
                <w:kern w:val="0"/>
                <w:szCs w:val="21"/>
              </w:rPr>
              <w:t>CCTV画面显示、切换</w:t>
            </w:r>
          </w:p>
        </w:tc>
        <w:tc>
          <w:tcPr>
            <w:tcW w:w="1351" w:type="pct"/>
            <w:tcBorders>
              <w:top w:val="single" w:color="auto" w:sz="6" w:space="0"/>
              <w:left w:val="single" w:color="auto" w:sz="6" w:space="0"/>
              <w:bottom w:val="single" w:color="auto" w:sz="6" w:space="0"/>
              <w:right w:val="single" w:color="auto" w:sz="6" w:space="0"/>
            </w:tcBorders>
            <w:vAlign w:val="center"/>
          </w:tcPr>
          <w:p>
            <w:pPr>
              <w:widowControl/>
              <w:numPr>
                <w:ilvl w:val="0"/>
                <w:numId w:val="9"/>
              </w:numPr>
              <w:spacing w:line="360" w:lineRule="auto"/>
              <w:jc w:val="center"/>
              <w:rPr>
                <w:rFonts w:ascii="宋体" w:hAnsi="宋体" w:cs="宋体"/>
                <w:kern w:val="0"/>
                <w:szCs w:val="21"/>
              </w:rPr>
            </w:pPr>
            <w:r>
              <w:rPr>
                <w:rFonts w:hint="eastAsia" w:ascii="宋体" w:hAnsi="宋体" w:cs="宋体"/>
                <w:kern w:val="0"/>
                <w:szCs w:val="21"/>
              </w:rPr>
              <w:t>提供不少于</w:t>
            </w:r>
            <w:r>
              <w:rPr>
                <w:rFonts w:hint="eastAsia" w:ascii="宋体" w:hAnsi="宋体" w:cs="宋体"/>
                <w:kern w:val="0"/>
                <w:szCs w:val="21"/>
                <w:lang w:val="en-US" w:eastAsia="zh-CN"/>
              </w:rPr>
              <w:t>108</w:t>
            </w:r>
            <w:r>
              <w:rPr>
                <w:rFonts w:hint="eastAsia" w:ascii="宋体" w:hAnsi="宋体" w:cs="宋体"/>
                <w:kern w:val="0"/>
                <w:szCs w:val="21"/>
              </w:rPr>
              <w:t>路的广州地铁各线路CCTV监控画面</w:t>
            </w:r>
          </w:p>
        </w:tc>
        <w:tc>
          <w:tcPr>
            <w:tcW w:w="2022" w:type="pct"/>
            <w:tcBorders>
              <w:top w:val="single" w:color="auto" w:sz="6" w:space="0"/>
              <w:left w:val="single" w:color="auto" w:sz="6" w:space="0"/>
              <w:bottom w:val="single" w:color="auto" w:sz="6" w:space="0"/>
              <w:right w:val="single" w:color="auto" w:sz="6" w:space="0"/>
            </w:tcBorders>
            <w:vAlign w:val="center"/>
          </w:tcPr>
          <w:p>
            <w:pPr>
              <w:widowControl/>
              <w:numPr>
                <w:ilvl w:val="0"/>
                <w:numId w:val="10"/>
              </w:numPr>
              <w:spacing w:line="360" w:lineRule="auto"/>
              <w:jc w:val="center"/>
              <w:rPr>
                <w:rFonts w:ascii="宋体" w:hAnsi="宋体" w:cs="宋体"/>
                <w:kern w:val="0"/>
                <w:szCs w:val="21"/>
              </w:rPr>
            </w:pPr>
            <w:r>
              <w:rPr>
                <w:rFonts w:hint="eastAsia" w:ascii="宋体" w:hAnsi="宋体" w:cs="宋体"/>
                <w:kern w:val="0"/>
                <w:szCs w:val="21"/>
              </w:rPr>
              <w:t>显示广州地铁各线路CCTV监控画面</w:t>
            </w:r>
          </w:p>
        </w:tc>
        <w:tc>
          <w:tcPr>
            <w:tcW w:w="403" w:type="pct"/>
            <w:tcBorders>
              <w:top w:val="single" w:color="auto" w:sz="6" w:space="0"/>
              <w:left w:val="single" w:color="auto" w:sz="6" w:space="0"/>
              <w:bottom w:val="single" w:color="auto" w:sz="6" w:space="0"/>
              <w:right w:val="single" w:color="auto" w:sz="12" w:space="0"/>
            </w:tcBorders>
          </w:tcPr>
          <w:p>
            <w:pPr>
              <w:widowControl/>
              <w:spacing w:line="360" w:lineRule="auto"/>
              <w:jc w:val="left"/>
              <w:rPr>
                <w:rFonts w:ascii="宋体" w:hAnsi="宋体" w:cs="宋体"/>
                <w:kern w:val="0"/>
                <w:szCs w:val="21"/>
              </w:rPr>
            </w:pPr>
          </w:p>
        </w:tc>
      </w:tr>
    </w:tbl>
    <w:p>
      <w:pPr>
        <w:spacing w:line="520" w:lineRule="exact"/>
        <w:rPr>
          <w:szCs w:val="21"/>
        </w:rPr>
      </w:pPr>
    </w:p>
    <w:p>
      <w:pPr>
        <w:pStyle w:val="2"/>
        <w:spacing w:line="480" w:lineRule="exact"/>
        <w:ind w:firstLine="480"/>
      </w:pPr>
      <w:bookmarkStart w:id="24" w:name="_Toc15939"/>
      <w:r>
        <w:rPr>
          <w:rFonts w:hint="eastAsia"/>
          <w:kern w:val="2"/>
          <w:sz w:val="21"/>
        </w:rPr>
        <w:t>与本标段相关接口</w:t>
      </w:r>
      <w:bookmarkEnd w:id="24"/>
    </w:p>
    <w:p>
      <w:pPr>
        <w:pStyle w:val="3"/>
        <w:spacing w:line="480" w:lineRule="exact"/>
        <w:ind w:firstLine="560"/>
        <w:rPr>
          <w:rFonts w:ascii="Times New Roman" w:hAnsi="Times New Roman"/>
          <w:szCs w:val="22"/>
        </w:rPr>
      </w:pPr>
      <w:bookmarkStart w:id="25" w:name="_Toc29099"/>
      <w:r>
        <w:rPr>
          <w:rFonts w:hint="eastAsia" w:ascii="Times New Roman" w:hAnsi="Times New Roman" w:eastAsia="宋体"/>
          <w:szCs w:val="21"/>
        </w:rPr>
        <w:t>网络及安全配套设备与相关系统的接口</w:t>
      </w:r>
      <w:bookmarkEnd w:id="25"/>
    </w:p>
    <w:p>
      <w:pPr>
        <w:pStyle w:val="49"/>
        <w:spacing w:line="360" w:lineRule="auto"/>
        <w:ind w:firstLineChars="0"/>
        <w:rPr>
          <w:rFonts w:ascii="宋体" w:hAnsi="宋体"/>
          <w:szCs w:val="21"/>
        </w:rPr>
      </w:pPr>
      <w:r>
        <w:rPr>
          <w:rFonts w:hint="eastAsia" w:ascii="宋体" w:hAnsi="宋体"/>
          <w:szCs w:val="21"/>
        </w:rPr>
        <w:t>本工程设置互联网区交换机，同时使用既有的数据中心出口交换机、外联区交换机、终端接入交换机等为各业务提供物理网络端口条件。各交换机整体标段外端口设置情况如下表：</w:t>
      </w:r>
    </w:p>
    <w:tbl>
      <w:tblPr>
        <w:tblStyle w:val="32"/>
        <w:tblW w:w="8785" w:type="dxa"/>
        <w:tblInd w:w="96" w:type="dxa"/>
        <w:tblLayout w:type="autofit"/>
        <w:tblCellMar>
          <w:top w:w="0" w:type="dxa"/>
          <w:left w:w="108" w:type="dxa"/>
          <w:bottom w:w="0" w:type="dxa"/>
          <w:right w:w="108" w:type="dxa"/>
        </w:tblCellMar>
      </w:tblPr>
      <w:tblGrid>
        <w:gridCol w:w="1452"/>
        <w:gridCol w:w="2904"/>
        <w:gridCol w:w="1884"/>
        <w:gridCol w:w="768"/>
        <w:gridCol w:w="1777"/>
      </w:tblGrid>
      <w:tr>
        <w:tblPrEx>
          <w:tblCellMar>
            <w:top w:w="0" w:type="dxa"/>
            <w:left w:w="108" w:type="dxa"/>
            <w:bottom w:w="0" w:type="dxa"/>
            <w:right w:w="108" w:type="dxa"/>
          </w:tblCellMar>
        </w:tblPrEx>
        <w:trPr>
          <w:trHeight w:val="624" w:hRule="atLeast"/>
        </w:trPr>
        <w:tc>
          <w:tcPr>
            <w:tcW w:w="14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交换机</w:t>
            </w: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端口用途</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端口类型</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端口数量</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备注</w:t>
            </w:r>
          </w:p>
        </w:tc>
      </w:tr>
      <w:tr>
        <w:tblPrEx>
          <w:tblCellMar>
            <w:top w:w="0" w:type="dxa"/>
            <w:left w:w="108" w:type="dxa"/>
            <w:bottom w:w="0" w:type="dxa"/>
            <w:right w:w="108" w:type="dxa"/>
          </w:tblCellMar>
        </w:tblPrEx>
        <w:trPr>
          <w:trHeight w:val="624" w:hRule="atLeast"/>
        </w:trPr>
        <w:tc>
          <w:tcPr>
            <w:tcW w:w="14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数据中心出口交换机</w:t>
            </w: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对接COCC一期网络</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工程建设管理综合监控平台接入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有轨电车系统(海珠试验段)接入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城际铁路(视频监控系统)</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城际铁路(旅服系统)</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城际铁路(CTC查询终端)</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终端接入交换机</w:t>
            </w: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kern w:val="0"/>
                <w:szCs w:val="21"/>
                <w:lang w:bidi="ar"/>
              </w:rPr>
            </w:pPr>
            <w:r>
              <w:rPr>
                <w:rFonts w:hint="eastAsia" w:ascii="宋体" w:hAnsi="宋体" w:cs="宋体"/>
                <w:color w:val="000000"/>
                <w:kern w:val="0"/>
                <w:szCs w:val="21"/>
                <w:lang w:bidi="ar"/>
              </w:rPr>
              <w:t>大屏幕交换机接入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kern w:val="0"/>
                <w:szCs w:val="21"/>
                <w:lang w:bidi="ar"/>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kern w:val="0"/>
                <w:szCs w:val="21"/>
                <w:lang w:bidi="ar"/>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kern w:val="0"/>
                <w:szCs w:val="21"/>
                <w:lang w:bidi="ar"/>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kern w:val="0"/>
                <w:szCs w:val="21"/>
                <w:lang w:bidi="ar"/>
              </w:rPr>
            </w:pPr>
            <w:r>
              <w:rPr>
                <w:rFonts w:hint="eastAsia" w:ascii="宋体" w:hAnsi="宋体" w:cs="宋体"/>
                <w:color w:val="000000"/>
                <w:kern w:val="0"/>
                <w:szCs w:val="21"/>
                <w:lang w:bidi="ar"/>
              </w:rPr>
              <w:t>工作站接入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kern w:val="0"/>
                <w:szCs w:val="21"/>
                <w:lang w:bidi="ar"/>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kern w:val="0"/>
                <w:szCs w:val="21"/>
                <w:lang w:bidi="ar"/>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kern w:val="0"/>
                <w:szCs w:val="21"/>
                <w:lang w:bidi="ar"/>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外联区交换机</w:t>
            </w: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管理云</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10G光口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公安对接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交委对接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市政务数据管理局对接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省应急办对接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供电局对接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高速铁路对接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长途客运对接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气象局对接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地震局对接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 单模光口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控制中心接入交换机</w:t>
            </w: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3号线东延段信号系统接口设备接入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3号线东延段信号系统复视工作站KVM设备接入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5号线东延段信号系统接口设备接入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5号线东延段信号系统复视工作站KVM设备接入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七号线二期信号系统接口设备接入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七号线二期信号系统复视工作站KVM设备接入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十四号线二期信号系统接口设备接入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十四号线二期信号系统复视工作站KVM设备接入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十三号线二期信号系统接口设备接入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十三号线二期信号系统复视工作站KVM设备接入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十号线信号系统接口设备接入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十号线信号系统复视工作站KVM设备接入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十一号线信号系统接口设备接入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十一号线信号系统复视工作站KVM设备接入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十二号线信号系统接口设备接入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十二号线信号系统复视工作站KVM设备接入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十八号线信号系统接口设备接入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十八号线信号系统复视工作站KVM设备接入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二十二号线信号系统接口设备接入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二十二线信号系统复视工作站KVM设备接入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三号线东延段综合监控系统接口设备接入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三号线东延段综合监控系统复视工作站KVM设备接入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五号线东延段综合监控系统接口设备接入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五号线东延段综合监控系统复视工作站KVM设备接入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十号线综合监控系统复视工作站KVM设备接入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十一号线综合监控系统复视工作站KVM设备接入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十二号线综合监控系统复视工作站KVM设备接入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十八号线综合监控系统复视工作站KVM设备接入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r>
        <w:tblPrEx>
          <w:tblCellMar>
            <w:top w:w="0" w:type="dxa"/>
            <w:left w:w="108" w:type="dxa"/>
            <w:bottom w:w="0" w:type="dxa"/>
            <w:right w:w="108" w:type="dxa"/>
          </w:tblCellMar>
        </w:tblPrEx>
        <w:trPr>
          <w:trHeight w:val="624" w:hRule="atLeast"/>
        </w:trPr>
        <w:tc>
          <w:tcPr>
            <w:tcW w:w="14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Cs w:val="21"/>
              </w:rPr>
            </w:pPr>
          </w:p>
        </w:tc>
        <w:tc>
          <w:tcPr>
            <w:tcW w:w="29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二十二号线综合监控系统复视工作站KVM设备接入</w:t>
            </w:r>
          </w:p>
        </w:tc>
        <w:tc>
          <w:tcPr>
            <w:tcW w:w="188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1000M电口</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2</w:t>
            </w:r>
          </w:p>
        </w:tc>
        <w:tc>
          <w:tcPr>
            <w:tcW w:w="177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Cs w:val="21"/>
              </w:rPr>
            </w:pPr>
            <w:r>
              <w:rPr>
                <w:rFonts w:hint="eastAsia" w:ascii="宋体" w:hAnsi="宋体" w:cs="宋体"/>
                <w:color w:val="000000"/>
                <w:kern w:val="0"/>
                <w:szCs w:val="21"/>
                <w:lang w:bidi="ar"/>
              </w:rPr>
              <w:t>端口在2台交换机上各设置一个</w:t>
            </w:r>
          </w:p>
        </w:tc>
      </w:tr>
    </w:tbl>
    <w:p>
      <w:pPr>
        <w:pStyle w:val="4"/>
        <w:spacing w:line="480" w:lineRule="exact"/>
        <w:ind w:firstLine="560"/>
      </w:pPr>
      <w:bookmarkStart w:id="26" w:name="_Toc3865"/>
      <w:r>
        <w:rPr>
          <w:rFonts w:hint="eastAsia"/>
        </w:rPr>
        <w:t>与线网级业务应用系统的接口</w:t>
      </w:r>
      <w:bookmarkEnd w:id="26"/>
    </w:p>
    <w:p>
      <w:pPr>
        <w:spacing w:line="360" w:lineRule="auto"/>
        <w:ind w:firstLine="420" w:firstLineChars="200"/>
        <w:jc w:val="left"/>
        <w:rPr>
          <w:szCs w:val="21"/>
        </w:rPr>
      </w:pPr>
      <w:r>
        <w:rPr>
          <w:rFonts w:hint="eastAsia"/>
          <w:szCs w:val="21"/>
        </w:rPr>
        <w:t xml:space="preserve">  线网指挥系统二期工程线网级业务应用系统承载在云平台上，其所需的服务器、存储设备等资源由既有云平台资源设备提供；</w:t>
      </w:r>
    </w:p>
    <w:p>
      <w:pPr>
        <w:spacing w:line="360" w:lineRule="auto"/>
        <w:ind w:firstLine="420" w:firstLineChars="200"/>
        <w:jc w:val="left"/>
        <w:rPr>
          <w:szCs w:val="21"/>
        </w:rPr>
      </w:pPr>
      <w:r>
        <w:rPr>
          <w:rFonts w:hint="eastAsia"/>
          <w:szCs w:val="21"/>
        </w:rPr>
        <w:t>本工程需配合线网指挥系统开展网络策略配置、系统调试工作。</w:t>
      </w:r>
    </w:p>
    <w:p>
      <w:pPr>
        <w:pStyle w:val="4"/>
        <w:spacing w:line="480" w:lineRule="exact"/>
        <w:ind w:firstLine="560"/>
        <w:rPr>
          <w:rFonts w:ascii="黑体" w:hAnsi="黑体" w:cs="黑体"/>
          <w:szCs w:val="22"/>
        </w:rPr>
      </w:pPr>
      <w:bookmarkStart w:id="27" w:name="_Toc4173"/>
      <w:r>
        <w:rPr>
          <w:rFonts w:hint="eastAsia" w:ascii="黑体" w:hAnsi="黑体" w:cs="黑体"/>
        </w:rPr>
        <w:t>与</w:t>
      </w:r>
      <w:r>
        <w:rPr>
          <w:rFonts w:hint="eastAsia"/>
        </w:rPr>
        <w:t>已支撑业务运行的综合业务生产云平台</w:t>
      </w:r>
      <w:r>
        <w:rPr>
          <w:rFonts w:hint="eastAsia" w:ascii="黑体" w:hAnsi="黑体" w:cs="黑体"/>
        </w:rPr>
        <w:t>的接口</w:t>
      </w:r>
      <w:bookmarkEnd w:id="27"/>
    </w:p>
    <w:p>
      <w:pPr>
        <w:numPr>
          <w:ilvl w:val="255"/>
          <w:numId w:val="0"/>
        </w:numPr>
        <w:spacing w:line="480" w:lineRule="exact"/>
        <w:ind w:firstLine="420" w:firstLineChars="200"/>
        <w:rPr>
          <w:rFonts w:ascii="黑体" w:hAnsi="黑体" w:cs="黑体"/>
        </w:rPr>
      </w:pPr>
      <w:r>
        <w:rPr>
          <w:rFonts w:hint="eastAsia" w:ascii="黑体" w:hAnsi="黑体" w:cs="黑体"/>
        </w:rPr>
        <w:t>1）物理接口</w:t>
      </w:r>
    </w:p>
    <w:p>
      <w:pPr>
        <w:numPr>
          <w:ilvl w:val="255"/>
          <w:numId w:val="0"/>
        </w:numPr>
        <w:spacing w:line="480" w:lineRule="exact"/>
        <w:ind w:firstLine="420" w:firstLineChars="200"/>
        <w:rPr>
          <w:rFonts w:ascii="黑体" w:hAnsi="黑体" w:cs="黑体"/>
        </w:rPr>
      </w:pPr>
      <w:r>
        <w:rPr>
          <w:rFonts w:hint="eastAsia" w:ascii="黑体" w:hAnsi="黑体" w:cs="黑体"/>
        </w:rPr>
        <w:t>本次新设置互联网区并与既有云平台的核心交换机进行对接。</w:t>
      </w:r>
    </w:p>
    <w:p>
      <w:pPr>
        <w:numPr>
          <w:ilvl w:val="255"/>
          <w:numId w:val="0"/>
        </w:numPr>
        <w:spacing w:line="480" w:lineRule="exact"/>
        <w:ind w:firstLine="420" w:firstLineChars="200"/>
        <w:jc w:val="center"/>
        <w:rPr>
          <w:rFonts w:eastAsia="黑体"/>
          <w:szCs w:val="21"/>
        </w:rPr>
      </w:pPr>
      <w:r>
        <w:rPr>
          <w:szCs w:val="21"/>
        </w:rPr>
        <w:pict>
          <v:shape id="_x0000_s1029" o:spid="_x0000_s1029" o:spt="75" type="#_x0000_t75" style="position:absolute;left:0pt;margin-left:53.15pt;margin-top:8.4pt;height:231.25pt;width:319.2pt;mso-wrap-distance-bottom:0pt;mso-wrap-distance-top:0pt;z-index:251660288;mso-width-relative:page;mso-height-relative:page;" o:ole="t" filled="f" o:preferrelative="t" stroked="f" coordsize="21600,21600">
            <v:path/>
            <v:fill on="f" focussize="0,0"/>
            <v:stroke on="f" joinstyle="miter"/>
            <v:imagedata r:id="rId16" o:title=""/>
            <o:lock v:ext="edit" aspectratio="t"/>
            <w10:wrap type="topAndBottom"/>
          </v:shape>
          <o:OLEObject Type="Embed" ProgID="Visio.Drawing.11" ShapeID="_x0000_s1029" DrawAspect="Content" ObjectID="_1468075727" r:id="rId15">
            <o:LockedField>false</o:LockedField>
          </o:OLEObject>
        </w:pict>
      </w:r>
      <w:r>
        <w:rPr>
          <w:rFonts w:hint="eastAsia"/>
          <w:szCs w:val="21"/>
        </w:rPr>
        <w:t>图4.1.2-1与综合业务生产云平台接口示意图</w:t>
      </w:r>
    </w:p>
    <w:p>
      <w:pPr>
        <w:pStyle w:val="14"/>
        <w:snapToGrid w:val="0"/>
        <w:ind w:left="105" w:hanging="105" w:hangingChars="50"/>
        <w:jc w:val="center"/>
        <w:rPr>
          <w:rFonts w:eastAsia="黑体"/>
          <w:sz w:val="21"/>
          <w:szCs w:val="21"/>
          <w:lang w:val="en-US"/>
        </w:rPr>
      </w:pPr>
    </w:p>
    <w:p>
      <w:pPr>
        <w:pStyle w:val="14"/>
        <w:snapToGrid w:val="0"/>
        <w:ind w:left="105" w:hanging="105" w:hangingChars="50"/>
        <w:jc w:val="center"/>
        <w:rPr>
          <w:rFonts w:eastAsia="黑体"/>
          <w:sz w:val="21"/>
          <w:szCs w:val="21"/>
          <w:lang w:val="en-US"/>
        </w:rPr>
      </w:pPr>
    </w:p>
    <w:p>
      <w:pPr>
        <w:pStyle w:val="14"/>
        <w:snapToGrid w:val="0"/>
        <w:ind w:left="105" w:hanging="105" w:hangingChars="50"/>
        <w:jc w:val="right"/>
        <w:rPr>
          <w:rFonts w:ascii="黑体" w:hAnsi="黑体" w:eastAsia="黑体"/>
          <w:sz w:val="21"/>
          <w:szCs w:val="21"/>
          <w:lang w:val="en-US"/>
        </w:rPr>
      </w:pPr>
      <w:r>
        <w:rPr>
          <w:rFonts w:hint="eastAsia" w:eastAsia="黑体"/>
          <w:sz w:val="21"/>
          <w:szCs w:val="21"/>
          <w:lang w:val="en-US"/>
        </w:rPr>
        <w:t>YPT</w:t>
      </w:r>
      <w:r>
        <w:rPr>
          <w:rFonts w:ascii="黑体" w:hAnsi="黑体" w:eastAsia="黑体"/>
          <w:sz w:val="21"/>
          <w:szCs w:val="21"/>
        </w:rPr>
        <w:t>与</w:t>
      </w:r>
      <w:r>
        <w:rPr>
          <w:rFonts w:ascii="黑体" w:hAnsi="黑体" w:eastAsia="黑体"/>
          <w:sz w:val="21"/>
          <w:szCs w:val="21"/>
          <w:lang w:val="en-US"/>
        </w:rPr>
        <w:t>ISCP</w:t>
      </w:r>
      <w:r>
        <w:rPr>
          <w:rFonts w:ascii="黑体" w:hAnsi="黑体" w:eastAsia="黑体"/>
          <w:sz w:val="21"/>
          <w:szCs w:val="21"/>
        </w:rPr>
        <w:t>物理接口表</w:t>
      </w:r>
      <w:r>
        <w:rPr>
          <w:rFonts w:hint="eastAsia" w:ascii="黑体" w:hAnsi="黑体" w:eastAsia="黑体"/>
          <w:sz w:val="21"/>
          <w:szCs w:val="21"/>
          <w:lang w:val="en-US"/>
        </w:rPr>
        <w:t xml:space="preserve">                      表4.1.2-1</w:t>
      </w:r>
    </w:p>
    <w:tbl>
      <w:tblPr>
        <w:tblStyle w:val="32"/>
        <w:tblW w:w="4997"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428"/>
        <w:gridCol w:w="1467"/>
        <w:gridCol w:w="1831"/>
        <w:gridCol w:w="1141"/>
        <w:gridCol w:w="1325"/>
        <w:gridCol w:w="132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6" w:hRule="atLeast"/>
          <w:tblHeader/>
          <w:jc w:val="center"/>
        </w:trPr>
        <w:tc>
          <w:tcPr>
            <w:tcW w:w="838" w:type="pct"/>
            <w:vAlign w:val="center"/>
          </w:tcPr>
          <w:p>
            <w:pPr>
              <w:adjustRightInd w:val="0"/>
              <w:snapToGrid w:val="0"/>
              <w:spacing w:line="360" w:lineRule="auto"/>
              <w:jc w:val="center"/>
              <w:rPr>
                <w:rFonts w:ascii="宋体" w:hAnsi="宋体"/>
                <w:b/>
                <w:szCs w:val="21"/>
              </w:rPr>
            </w:pPr>
            <w:r>
              <w:rPr>
                <w:rFonts w:ascii="宋体" w:hAnsi="宋体"/>
                <w:b/>
                <w:szCs w:val="21"/>
              </w:rPr>
              <w:t>编号</w:t>
            </w:r>
          </w:p>
        </w:tc>
        <w:tc>
          <w:tcPr>
            <w:tcW w:w="861" w:type="pct"/>
            <w:vAlign w:val="center"/>
          </w:tcPr>
          <w:p>
            <w:pPr>
              <w:adjustRightInd w:val="0"/>
              <w:snapToGrid w:val="0"/>
              <w:spacing w:line="360" w:lineRule="auto"/>
              <w:jc w:val="center"/>
              <w:rPr>
                <w:rFonts w:ascii="宋体" w:hAnsi="宋体"/>
                <w:b/>
                <w:szCs w:val="21"/>
              </w:rPr>
            </w:pPr>
            <w:r>
              <w:rPr>
                <w:rFonts w:ascii="宋体" w:hAnsi="宋体"/>
                <w:b/>
                <w:szCs w:val="21"/>
              </w:rPr>
              <w:t>位置</w:t>
            </w:r>
          </w:p>
        </w:tc>
        <w:tc>
          <w:tcPr>
            <w:tcW w:w="1074" w:type="pct"/>
            <w:vAlign w:val="center"/>
          </w:tcPr>
          <w:p>
            <w:pPr>
              <w:adjustRightInd w:val="0"/>
              <w:snapToGrid w:val="0"/>
              <w:spacing w:line="360" w:lineRule="auto"/>
              <w:jc w:val="center"/>
              <w:rPr>
                <w:rFonts w:ascii="宋体" w:hAnsi="宋体"/>
                <w:b/>
                <w:szCs w:val="21"/>
              </w:rPr>
            </w:pPr>
            <w:r>
              <w:rPr>
                <w:rFonts w:hint="eastAsia" w:ascii="宋体" w:hAnsi="宋体"/>
                <w:b/>
                <w:szCs w:val="21"/>
              </w:rPr>
              <w:t>YPT</w:t>
            </w:r>
          </w:p>
        </w:tc>
        <w:tc>
          <w:tcPr>
            <w:tcW w:w="669" w:type="pct"/>
            <w:vAlign w:val="center"/>
          </w:tcPr>
          <w:p>
            <w:pPr>
              <w:adjustRightInd w:val="0"/>
              <w:snapToGrid w:val="0"/>
              <w:spacing w:line="360" w:lineRule="auto"/>
              <w:jc w:val="center"/>
              <w:rPr>
                <w:rFonts w:ascii="宋体" w:hAnsi="宋体"/>
                <w:b/>
                <w:szCs w:val="21"/>
              </w:rPr>
            </w:pPr>
            <w:r>
              <w:rPr>
                <w:rFonts w:hint="eastAsia" w:ascii="宋体" w:hAnsi="宋体"/>
                <w:b/>
                <w:szCs w:val="21"/>
              </w:rPr>
              <w:t>ISCP(既有部分)</w:t>
            </w:r>
          </w:p>
        </w:tc>
        <w:tc>
          <w:tcPr>
            <w:tcW w:w="777" w:type="pct"/>
            <w:vAlign w:val="center"/>
          </w:tcPr>
          <w:p>
            <w:pPr>
              <w:adjustRightInd w:val="0"/>
              <w:snapToGrid w:val="0"/>
              <w:spacing w:line="360" w:lineRule="auto"/>
              <w:jc w:val="center"/>
              <w:rPr>
                <w:rFonts w:ascii="宋体" w:hAnsi="宋体"/>
                <w:b/>
                <w:szCs w:val="21"/>
              </w:rPr>
            </w:pPr>
            <w:r>
              <w:rPr>
                <w:rFonts w:ascii="宋体" w:hAnsi="宋体"/>
                <w:b/>
                <w:szCs w:val="21"/>
              </w:rPr>
              <w:t>接口类型</w:t>
            </w:r>
          </w:p>
        </w:tc>
        <w:tc>
          <w:tcPr>
            <w:tcW w:w="777" w:type="pct"/>
          </w:tcPr>
          <w:p>
            <w:pPr>
              <w:adjustRightInd w:val="0"/>
              <w:snapToGrid w:val="0"/>
              <w:spacing w:line="360" w:lineRule="auto"/>
              <w:jc w:val="center"/>
              <w:rPr>
                <w:rFonts w:ascii="宋体" w:hAnsi="宋体"/>
                <w:b/>
                <w:szCs w:val="21"/>
              </w:rPr>
            </w:pPr>
            <w:r>
              <w:rPr>
                <w:rFonts w:hint="eastAsia" w:ascii="宋体" w:hAnsi="宋体"/>
                <w:b/>
                <w:szCs w:val="21"/>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972" w:hRule="atLeast"/>
          <w:jc w:val="center"/>
        </w:trPr>
        <w:tc>
          <w:tcPr>
            <w:tcW w:w="838" w:type="pct"/>
            <w:vAlign w:val="center"/>
          </w:tcPr>
          <w:p>
            <w:pPr>
              <w:adjustRightInd w:val="0"/>
              <w:snapToGrid w:val="0"/>
              <w:spacing w:line="360" w:lineRule="auto"/>
              <w:rPr>
                <w:rFonts w:ascii="宋体" w:hAnsi="宋体"/>
                <w:szCs w:val="21"/>
              </w:rPr>
            </w:pPr>
            <w:r>
              <w:rPr>
                <w:rFonts w:hint="eastAsia" w:ascii="宋体" w:hAnsi="宋体"/>
                <w:szCs w:val="21"/>
              </w:rPr>
              <w:t>YPT</w:t>
            </w:r>
            <w:r>
              <w:rPr>
                <w:rFonts w:ascii="宋体" w:hAnsi="宋体"/>
                <w:szCs w:val="21"/>
              </w:rPr>
              <w:t>.</w:t>
            </w:r>
            <w:r>
              <w:rPr>
                <w:rFonts w:hint="eastAsia" w:ascii="宋体" w:hAnsi="宋体"/>
                <w:szCs w:val="21"/>
              </w:rPr>
              <w:t>ISCP</w:t>
            </w:r>
            <w:r>
              <w:rPr>
                <w:rFonts w:ascii="宋体" w:hAnsi="宋体"/>
                <w:szCs w:val="21"/>
              </w:rPr>
              <w:t>.</w:t>
            </w:r>
            <w:r>
              <w:rPr>
                <w:rFonts w:hint="eastAsia" w:ascii="宋体" w:hAnsi="宋体"/>
                <w:szCs w:val="21"/>
              </w:rPr>
              <w:t>1</w:t>
            </w:r>
          </w:p>
        </w:tc>
        <w:tc>
          <w:tcPr>
            <w:tcW w:w="861" w:type="pct"/>
            <w:vAlign w:val="center"/>
          </w:tcPr>
          <w:p>
            <w:pPr>
              <w:adjustRightInd w:val="0"/>
              <w:snapToGrid w:val="0"/>
              <w:spacing w:line="360" w:lineRule="auto"/>
              <w:rPr>
                <w:rFonts w:ascii="宋体" w:hAnsi="宋体"/>
                <w:szCs w:val="21"/>
              </w:rPr>
            </w:pPr>
            <w:r>
              <w:rPr>
                <w:rFonts w:hint="eastAsia" w:ascii="宋体" w:hAnsi="宋体"/>
                <w:szCs w:val="21"/>
              </w:rPr>
              <w:t>万胜围云平台设备室</w:t>
            </w:r>
          </w:p>
        </w:tc>
        <w:tc>
          <w:tcPr>
            <w:tcW w:w="1074" w:type="pct"/>
            <w:vAlign w:val="center"/>
          </w:tcPr>
          <w:p>
            <w:pPr>
              <w:adjustRightInd w:val="0"/>
              <w:snapToGrid w:val="0"/>
              <w:spacing w:line="360" w:lineRule="auto"/>
              <w:rPr>
                <w:rFonts w:ascii="宋体" w:hAnsi="宋体"/>
                <w:szCs w:val="21"/>
              </w:rPr>
            </w:pPr>
            <w:r>
              <w:rPr>
                <w:rFonts w:ascii="宋体" w:hAnsi="宋体"/>
                <w:szCs w:val="21"/>
              </w:rPr>
              <w:t>负责网络电缆接至</w:t>
            </w:r>
            <w:r>
              <w:rPr>
                <w:rFonts w:hint="eastAsia" w:ascii="宋体" w:hAnsi="宋体"/>
                <w:szCs w:val="21"/>
              </w:rPr>
              <w:t>十一号线及十三五新线生产云平台核心交换机</w:t>
            </w:r>
            <w:r>
              <w:rPr>
                <w:rFonts w:ascii="宋体" w:hAnsi="宋体"/>
                <w:szCs w:val="21"/>
              </w:rPr>
              <w:t>外侧</w:t>
            </w:r>
            <w:r>
              <w:rPr>
                <w:rFonts w:hint="eastAsia" w:ascii="宋体" w:hAnsi="宋体"/>
                <w:szCs w:val="21"/>
              </w:rPr>
              <w:t>；无偿配合调试</w:t>
            </w:r>
          </w:p>
        </w:tc>
        <w:tc>
          <w:tcPr>
            <w:tcW w:w="669" w:type="pct"/>
            <w:vAlign w:val="center"/>
          </w:tcPr>
          <w:p>
            <w:pPr>
              <w:adjustRightInd w:val="0"/>
              <w:snapToGrid w:val="0"/>
              <w:spacing w:line="360" w:lineRule="auto"/>
              <w:rPr>
                <w:rFonts w:ascii="宋体" w:hAnsi="宋体"/>
                <w:szCs w:val="21"/>
              </w:rPr>
            </w:pPr>
            <w:r>
              <w:rPr>
                <w:rFonts w:hint="eastAsia" w:ascii="宋体" w:hAnsi="宋体"/>
                <w:szCs w:val="21"/>
              </w:rPr>
              <w:t>提供交换机端口；负责调试</w:t>
            </w:r>
          </w:p>
        </w:tc>
        <w:tc>
          <w:tcPr>
            <w:tcW w:w="777" w:type="pct"/>
            <w:vAlign w:val="center"/>
          </w:tcPr>
          <w:p>
            <w:pPr>
              <w:adjustRightInd w:val="0"/>
              <w:snapToGrid w:val="0"/>
              <w:spacing w:line="360" w:lineRule="auto"/>
              <w:rPr>
                <w:rFonts w:ascii="宋体" w:hAnsi="宋体"/>
                <w:szCs w:val="21"/>
              </w:rPr>
            </w:pPr>
            <w:r>
              <w:rPr>
                <w:rFonts w:hint="eastAsia" w:ascii="宋体" w:hAnsi="宋体"/>
                <w:szCs w:val="21"/>
              </w:rPr>
              <w:t>10</w:t>
            </w:r>
            <w:r>
              <w:rPr>
                <w:rFonts w:ascii="宋体" w:hAnsi="宋体"/>
                <w:szCs w:val="21"/>
              </w:rPr>
              <w:t>GE</w:t>
            </w:r>
            <w:r>
              <w:rPr>
                <w:rFonts w:hint="eastAsia" w:ascii="宋体" w:hAnsi="宋体"/>
                <w:szCs w:val="21"/>
              </w:rPr>
              <w:t>光纤接口2个</w:t>
            </w:r>
          </w:p>
        </w:tc>
        <w:tc>
          <w:tcPr>
            <w:tcW w:w="777" w:type="pct"/>
          </w:tcPr>
          <w:p>
            <w:pPr>
              <w:adjustRightInd w:val="0"/>
              <w:snapToGrid w:val="0"/>
              <w:spacing w:line="360" w:lineRule="auto"/>
              <w:rPr>
                <w:rFonts w:ascii="宋体" w:hAnsi="宋体"/>
                <w:szCs w:val="21"/>
              </w:rPr>
            </w:pPr>
          </w:p>
        </w:tc>
      </w:tr>
    </w:tbl>
    <w:p>
      <w:pPr>
        <w:pStyle w:val="49"/>
        <w:spacing w:line="360" w:lineRule="auto"/>
        <w:ind w:firstLine="0" w:firstLineChars="0"/>
        <w:rPr>
          <w:rFonts w:ascii="宋体" w:hAnsi="宋体"/>
          <w:szCs w:val="21"/>
        </w:rPr>
      </w:pPr>
      <w:r>
        <w:rPr>
          <w:rFonts w:hint="eastAsia" w:ascii="宋体" w:hAnsi="宋体"/>
          <w:szCs w:val="21"/>
        </w:rPr>
        <w:t>2</w:t>
      </w:r>
      <w:r>
        <w:rPr>
          <w:rFonts w:ascii="宋体" w:hAnsi="宋体"/>
          <w:szCs w:val="21"/>
        </w:rPr>
        <w:t>）功能接口</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1、为本工程与综合业务生产云平台内外部业务系统之间建立数据传输通道。包括但不限于与如下系统的数据传输通道：</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乘客“画像”信息数据库；</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线网安检；</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线网客服；</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扶梯预警系统；</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车辆运维系统；</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信号运维；</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轨道监测系统；</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供电在线监测；</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线网视频监控；</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门禁系统；</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AFC清分系统（ICCS）;</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综合监控系统；</w:t>
      </w:r>
    </w:p>
    <w:p>
      <w:pPr>
        <w:numPr>
          <w:ilvl w:val="255"/>
          <w:numId w:val="0"/>
        </w:numPr>
        <w:adjustRightInd w:val="0"/>
        <w:snapToGrid w:val="0"/>
        <w:spacing w:line="360" w:lineRule="auto"/>
        <w:ind w:firstLine="420" w:firstLineChars="200"/>
        <w:rPr>
          <w:rFonts w:ascii="宋体" w:hAnsi="宋体"/>
          <w:szCs w:val="21"/>
        </w:rPr>
      </w:pPr>
      <w:r>
        <w:rPr>
          <w:rFonts w:hint="eastAsia" w:ascii="宋体" w:hAnsi="宋体"/>
          <w:szCs w:val="21"/>
        </w:rPr>
        <w:t>乘客信息系统(PIDS)；</w:t>
      </w:r>
    </w:p>
    <w:p>
      <w:pPr>
        <w:numPr>
          <w:ilvl w:val="255"/>
          <w:numId w:val="0"/>
        </w:numPr>
        <w:spacing w:line="360" w:lineRule="auto"/>
        <w:ind w:firstLine="560"/>
        <w:rPr>
          <w:rFonts w:ascii="黑体" w:hAnsi="黑体" w:cs="黑体"/>
        </w:rPr>
      </w:pPr>
      <w:r>
        <w:rPr>
          <w:rFonts w:hint="eastAsia" w:ascii="宋体" w:hAnsi="宋体"/>
          <w:szCs w:val="21"/>
        </w:rPr>
        <w:t>2、本工程设置</w:t>
      </w:r>
      <w:r>
        <w:rPr>
          <w:rFonts w:hint="eastAsia" w:ascii="黑体" w:hAnsi="黑体" w:cs="黑体"/>
        </w:rPr>
        <w:t>的软硬件设备应接受已支撑业务运行的综合业务生产云平台的统一管理。为接受统一管理，本工程云平台至少需提供以下功能接口：</w:t>
      </w:r>
    </w:p>
    <w:p>
      <w:pPr>
        <w:numPr>
          <w:ilvl w:val="255"/>
          <w:numId w:val="0"/>
        </w:numPr>
        <w:spacing w:line="360" w:lineRule="auto"/>
        <w:ind w:firstLine="560"/>
        <w:rPr>
          <w:rFonts w:ascii="黑体" w:hAnsi="黑体" w:cs="黑体"/>
        </w:rPr>
      </w:pPr>
      <w:r>
        <w:rPr>
          <w:rFonts w:hint="eastAsia" w:ascii="黑体" w:hAnsi="黑体" w:cs="黑体"/>
        </w:rPr>
        <w:t>)监控告警</w:t>
      </w:r>
    </w:p>
    <w:p>
      <w:pPr>
        <w:numPr>
          <w:ilvl w:val="255"/>
          <w:numId w:val="0"/>
        </w:numPr>
        <w:spacing w:line="360" w:lineRule="auto"/>
        <w:ind w:firstLine="560"/>
        <w:rPr>
          <w:rFonts w:ascii="黑体" w:hAnsi="黑体" w:cs="黑体"/>
        </w:rPr>
      </w:pPr>
      <w:r>
        <w:rPr>
          <w:rFonts w:hint="eastAsia" w:ascii="黑体" w:hAnsi="黑体" w:cs="黑体"/>
        </w:rPr>
        <w:t>已支撑业务运行的综合业务生产云平台能对本工程增加的设备进行统一的监控，以及告警事件的收集。</w:t>
      </w:r>
    </w:p>
    <w:p>
      <w:pPr>
        <w:pStyle w:val="4"/>
        <w:spacing w:line="480" w:lineRule="exact"/>
        <w:ind w:firstLine="560"/>
        <w:rPr>
          <w:rFonts w:ascii="黑体" w:hAnsi="黑体" w:cs="黑体"/>
          <w:szCs w:val="22"/>
        </w:rPr>
      </w:pPr>
      <w:bookmarkStart w:id="28" w:name="_Toc16098"/>
      <w:r>
        <w:rPr>
          <w:rFonts w:hint="eastAsia" w:ascii="黑体" w:hAnsi="黑体" w:cs="黑体"/>
        </w:rPr>
        <w:t>与COCC一期网络的接口</w:t>
      </w:r>
      <w:bookmarkEnd w:id="28"/>
    </w:p>
    <w:p>
      <w:pPr>
        <w:spacing w:line="360" w:lineRule="auto"/>
        <w:ind w:firstLine="560"/>
        <w:rPr>
          <w:rFonts w:ascii="黑体" w:hAnsi="黑体" w:cs="黑体"/>
        </w:rPr>
      </w:pPr>
      <w:r>
        <w:rPr>
          <w:rFonts w:hint="eastAsia" w:ascii="黑体" w:hAnsi="黑体" w:cs="黑体"/>
        </w:rPr>
        <w:t>COCC一期工程网络需与本工程对接，云平台与COCC一期网络的接口在万胜围线网指挥系统设备室COCC一期交换机配线架外侧。接口暂按2个1000M光口考虑。接口信息属于应用系统之间的数据交互，不包含在本次招标范围内。</w:t>
      </w:r>
    </w:p>
    <w:p>
      <w:pPr>
        <w:pStyle w:val="4"/>
        <w:spacing w:line="480" w:lineRule="exact"/>
        <w:ind w:firstLine="560"/>
        <w:rPr>
          <w:rFonts w:ascii="黑体" w:hAnsi="黑体" w:cs="黑体"/>
          <w:bCs w:val="0"/>
        </w:rPr>
      </w:pPr>
      <w:bookmarkStart w:id="29" w:name="_Toc8324"/>
      <w:r>
        <w:rPr>
          <w:rFonts w:hint="eastAsia" w:ascii="黑体" w:hAnsi="黑体" w:cs="黑体"/>
        </w:rPr>
        <w:t>与线路综合监控的接口</w:t>
      </w:r>
      <w:bookmarkEnd w:id="29"/>
    </w:p>
    <w:p>
      <w:pPr>
        <w:pStyle w:val="5"/>
        <w:tabs>
          <w:tab w:val="left" w:pos="1287"/>
          <w:tab w:val="clear" w:pos="1817"/>
        </w:tabs>
        <w:spacing w:line="480" w:lineRule="exact"/>
        <w:ind w:firstLine="560"/>
        <w:rPr>
          <w:rFonts w:hAnsi="黑体" w:cs="黑体"/>
          <w:bCs w:val="0"/>
        </w:rPr>
      </w:pPr>
      <w:r>
        <w:rPr>
          <w:rFonts w:hAnsi="黑体" w:cs="黑体"/>
        </w:rPr>
        <w:t>与3</w:t>
      </w:r>
      <w:r>
        <w:rPr>
          <w:rFonts w:hint="eastAsia" w:hAnsi="黑体" w:cs="黑体"/>
        </w:rPr>
        <w:t>号线</w:t>
      </w:r>
      <w:r>
        <w:rPr>
          <w:rFonts w:hAnsi="黑体" w:cs="黑体"/>
        </w:rPr>
        <w:t>东</w:t>
      </w:r>
      <w:r>
        <w:rPr>
          <w:rFonts w:hint="eastAsia" w:hAnsi="黑体" w:cs="黑体"/>
        </w:rPr>
        <w:t>延段</w:t>
      </w:r>
      <w:r>
        <w:rPr>
          <w:rFonts w:hAnsi="黑体" w:cs="黑体"/>
        </w:rPr>
        <w:t>、5</w:t>
      </w:r>
      <w:r>
        <w:rPr>
          <w:rFonts w:hint="eastAsia" w:hAnsi="黑体" w:cs="黑体"/>
        </w:rPr>
        <w:t>号线</w:t>
      </w:r>
      <w:r>
        <w:rPr>
          <w:rFonts w:hAnsi="黑体" w:cs="黑体"/>
        </w:rPr>
        <w:t>东</w:t>
      </w:r>
      <w:r>
        <w:rPr>
          <w:rFonts w:hint="eastAsia" w:hAnsi="黑体" w:cs="黑体"/>
        </w:rPr>
        <w:t>延段</w:t>
      </w:r>
      <w:r>
        <w:rPr>
          <w:rFonts w:hAnsi="黑体" w:cs="黑体"/>
        </w:rPr>
        <w:t>、7</w:t>
      </w:r>
      <w:r>
        <w:rPr>
          <w:rFonts w:hint="eastAsia" w:hAnsi="黑体" w:cs="黑体"/>
        </w:rPr>
        <w:t>号线</w:t>
      </w:r>
      <w:r>
        <w:rPr>
          <w:rFonts w:hAnsi="黑体" w:cs="黑体"/>
        </w:rPr>
        <w:t>二</w:t>
      </w:r>
      <w:r>
        <w:rPr>
          <w:rFonts w:hint="eastAsia" w:hAnsi="黑体" w:cs="黑体"/>
        </w:rPr>
        <w:t>期</w:t>
      </w:r>
      <w:r>
        <w:rPr>
          <w:rFonts w:hAnsi="黑体" w:cs="黑体"/>
        </w:rPr>
        <w:t>、7</w:t>
      </w:r>
      <w:r>
        <w:rPr>
          <w:rFonts w:hint="eastAsia" w:hAnsi="黑体" w:cs="黑体"/>
        </w:rPr>
        <w:t>号线</w:t>
      </w:r>
      <w:r>
        <w:rPr>
          <w:rFonts w:hAnsi="黑体" w:cs="黑体"/>
        </w:rPr>
        <w:t>西</w:t>
      </w:r>
      <w:r>
        <w:rPr>
          <w:rFonts w:hint="eastAsia" w:hAnsi="黑体" w:cs="黑体"/>
        </w:rPr>
        <w:t>延段</w:t>
      </w:r>
      <w:r>
        <w:rPr>
          <w:rFonts w:hAnsi="黑体" w:cs="黑体"/>
        </w:rPr>
        <w:t>、13</w:t>
      </w:r>
      <w:r>
        <w:rPr>
          <w:rFonts w:hint="eastAsia" w:hAnsi="黑体" w:cs="黑体"/>
        </w:rPr>
        <w:t>号线</w:t>
      </w:r>
      <w:r>
        <w:rPr>
          <w:rFonts w:hAnsi="黑体" w:cs="黑体"/>
        </w:rPr>
        <w:t>二</w:t>
      </w:r>
      <w:r>
        <w:rPr>
          <w:rFonts w:hint="eastAsia" w:hAnsi="黑体" w:cs="黑体"/>
        </w:rPr>
        <w:t>期</w:t>
      </w:r>
      <w:r>
        <w:rPr>
          <w:rFonts w:hAnsi="黑体" w:cs="黑体"/>
        </w:rPr>
        <w:t>、14</w:t>
      </w:r>
      <w:r>
        <w:rPr>
          <w:rFonts w:hint="eastAsia" w:hAnsi="黑体" w:cs="黑体"/>
        </w:rPr>
        <w:t>号线</w:t>
      </w:r>
      <w:r>
        <w:rPr>
          <w:rFonts w:hAnsi="黑体" w:cs="黑体"/>
        </w:rPr>
        <w:t>二</w:t>
      </w:r>
      <w:r>
        <w:rPr>
          <w:rFonts w:hint="eastAsia" w:hAnsi="黑体" w:cs="黑体"/>
        </w:rPr>
        <w:t>期</w:t>
      </w:r>
      <w:r>
        <w:rPr>
          <w:rFonts w:hAnsi="黑体" w:cs="黑体"/>
        </w:rPr>
        <w:t>ISCS系统接口要求</w:t>
      </w:r>
    </w:p>
    <w:p>
      <w:pPr>
        <w:spacing w:line="360" w:lineRule="auto"/>
        <w:ind w:firstLine="420" w:firstLineChars="200"/>
        <w:rPr>
          <w:szCs w:val="21"/>
        </w:rPr>
      </w:pPr>
      <w:r>
        <w:rPr>
          <w:rFonts w:hint="eastAsia"/>
          <w:szCs w:val="21"/>
        </w:rPr>
        <w:t>3号线东延段、7号线二期、7号线西延段和14号线二期采用原一期物理接口，与本工程无接口。本工程云平台为5号线东延段和13号线二期适配镇龙、赤沙区域控制中心设备室线路ISCS控制中心核心设备及工作站的以太网数据接口设置接入交换机，综合监控专业负责将接口设备接入本工程接入交换机，</w:t>
      </w:r>
      <w:r>
        <w:rPr>
          <w:rFonts w:hint="eastAsia" w:hAnsi="黑体" w:cs="黑体"/>
        </w:rPr>
        <w:t>KVM采集和KVM交换机由本工程负责(具体要求见第四册)，</w:t>
      </w:r>
      <w:r>
        <w:rPr>
          <w:rFonts w:hint="eastAsia"/>
          <w:szCs w:val="21"/>
        </w:rPr>
        <w:t>设置的接入交换机后接入已支撑业务运行的综合业务生产云平台在镇龙、赤沙区域控制中心云节点交换机上。</w:t>
      </w:r>
    </w:p>
    <w:p>
      <w:pPr>
        <w:spacing w:line="520" w:lineRule="exact"/>
        <w:ind w:firstLine="420" w:firstLineChars="200"/>
        <w:jc w:val="center"/>
        <w:rPr>
          <w:rFonts w:eastAsia="黑体"/>
          <w:szCs w:val="21"/>
        </w:rPr>
      </w:pPr>
      <w:r>
        <w:pict>
          <v:shape id="_x0000_s1030" o:spid="_x0000_s1030" o:spt="75" type="#_x0000_t75" style="position:absolute;left:0pt;margin-left:-40.6pt;margin-top:8.55pt;height:211.2pt;width:551.55pt;mso-wrap-distance-bottom:0pt;mso-wrap-distance-top:0pt;z-index:251661312;mso-width-relative:page;mso-height-relative:page;" o:ole="t" filled="f" o:preferrelative="t" stroked="f" coordsize="21600,21600">
            <v:path/>
            <v:fill on="f" focussize="0,0"/>
            <v:stroke on="f" joinstyle="miter"/>
            <v:imagedata r:id="rId18" o:title=""/>
            <o:lock v:ext="edit" aspectratio="t"/>
            <w10:wrap type="topAndBottom"/>
          </v:shape>
          <o:OLEObject Type="Embed" ProgID="Visio.Drawing.11" ShapeID="_x0000_s1030" DrawAspect="Content" ObjectID="_1468075728" r:id="rId17">
            <o:LockedField>false</o:LockedField>
          </o:OLEObject>
        </w:pict>
      </w:r>
      <w:r>
        <w:rPr>
          <w:rFonts w:hint="eastAsia"/>
        </w:rPr>
        <w:t xml:space="preserve">   </w:t>
      </w:r>
      <w:r>
        <w:rPr>
          <w:rFonts w:hint="eastAsia"/>
          <w:szCs w:val="21"/>
        </w:rPr>
        <w:t>图4.1.4-1与综合监控接口示意图1</w:t>
      </w:r>
    </w:p>
    <w:p>
      <w:pPr>
        <w:spacing w:line="360" w:lineRule="auto"/>
        <w:ind w:firstLine="420" w:firstLineChars="200"/>
        <w:rPr>
          <w:szCs w:val="21"/>
        </w:rPr>
      </w:pPr>
      <w:r>
        <w:rPr>
          <w:rFonts w:hint="eastAsia"/>
        </w:rPr>
        <w:t>为</w:t>
      </w:r>
      <w:r>
        <w:rPr>
          <w:rFonts w:hint="eastAsia"/>
          <w:szCs w:val="21"/>
        </w:rPr>
        <w:t>5号线东延段和13号线二期综合监控系统的接口设备分别设置2个100M电口，接口位置在本工程云平台控制中心接入交换机配线架外侧。同时为5号线东延段和13号线二期综合监控系统对应的KVM交换机分别设置2个1000M电口，接口位置在本工程控制中心接入交换机配线架外侧。</w:t>
      </w:r>
    </w:p>
    <w:p>
      <w:pPr>
        <w:pStyle w:val="5"/>
        <w:tabs>
          <w:tab w:val="left" w:pos="1287"/>
          <w:tab w:val="clear" w:pos="1817"/>
        </w:tabs>
        <w:spacing w:line="240" w:lineRule="auto"/>
        <w:ind w:firstLine="420"/>
        <w:rPr>
          <w:rFonts w:hAnsi="黑体" w:cs="黑体"/>
          <w:bCs w:val="0"/>
        </w:rPr>
      </w:pPr>
      <w:r>
        <w:rPr>
          <w:rFonts w:hAnsi="黑体" w:cs="黑体"/>
        </w:rPr>
        <w:t xml:space="preserve">与10、11、12、18、22 </w:t>
      </w:r>
      <w:r>
        <w:rPr>
          <w:rFonts w:hint="eastAsia" w:hAnsi="黑体" w:cs="黑体"/>
        </w:rPr>
        <w:t>号线</w:t>
      </w:r>
      <w:r>
        <w:rPr>
          <w:rFonts w:hAnsi="黑体" w:cs="黑体"/>
        </w:rPr>
        <w:t>ISCS系统接口要求</w:t>
      </w:r>
    </w:p>
    <w:p>
      <w:pPr>
        <w:numPr>
          <w:ilvl w:val="255"/>
          <w:numId w:val="0"/>
        </w:numPr>
        <w:spacing w:line="360" w:lineRule="auto"/>
        <w:ind w:firstLine="420"/>
        <w:rPr>
          <w:rFonts w:ascii="黑体" w:hAnsi="黑体" w:eastAsia="黑体" w:cs="黑体"/>
          <w:bCs/>
          <w:szCs w:val="21"/>
        </w:rPr>
      </w:pPr>
      <w:r>
        <w:rPr>
          <w:rFonts w:hint="eastAsia" w:hAnsi="黑体" w:cs="黑体"/>
        </w:rPr>
        <w:t>由于10、11、12、18、22号线中央级ISCS承载在综合业务生产云平台上，因此本工程与10、11、12、18、22号线ISCS的接口利用其与综合业务生产云平台的接口实现。</w:t>
      </w:r>
    </w:p>
    <w:p>
      <w:pPr>
        <w:numPr>
          <w:ilvl w:val="255"/>
          <w:numId w:val="0"/>
        </w:numPr>
        <w:spacing w:line="360" w:lineRule="auto"/>
        <w:ind w:firstLine="420"/>
        <w:rPr>
          <w:szCs w:val="21"/>
        </w:rPr>
      </w:pPr>
      <w:r>
        <w:rPr>
          <w:rFonts w:hint="eastAsia" w:hAnsi="黑体" w:cs="黑体"/>
        </w:rPr>
        <w:t>考虑10、11、12、18、22号线ISCS设置远程调用工作站，KVM采集和KVM交换机由本工程负责(具体要求见第四册)，可通过本工程设置的控制中心接入交换机与</w:t>
      </w:r>
      <w:r>
        <w:rPr>
          <w:rFonts w:hint="eastAsia"/>
          <w:szCs w:val="21"/>
        </w:rPr>
        <w:t>业务综合生产云平台区域控制中心交换机对接，接口在接入交换机配线架外侧。</w:t>
      </w:r>
    </w:p>
    <w:p>
      <w:pPr>
        <w:numPr>
          <w:ilvl w:val="255"/>
          <w:numId w:val="0"/>
        </w:numPr>
        <w:spacing w:line="360" w:lineRule="auto"/>
        <w:ind w:firstLine="420"/>
        <w:jc w:val="center"/>
      </w:pPr>
      <w:r>
        <w:object>
          <v:shape id="_x0000_i1026" o:spt="75" type="#_x0000_t75" style="height:211.5pt;width:551.25pt;" o:ole="t" filled="f" o:preferrelative="t" stroked="f" coordsize="21600,21600">
            <v:path/>
            <v:fill on="f" focussize="0,0"/>
            <v:stroke on="f" joinstyle="miter"/>
            <v:imagedata r:id="rId20" o:title=""/>
            <o:lock v:ext="edit" aspectratio="t"/>
            <w10:wrap type="none"/>
            <w10:anchorlock/>
          </v:shape>
          <o:OLEObject Type="Embed" ProgID="Visio.Drawing.11" ShapeID="_x0000_i1026" DrawAspect="Content" ObjectID="_1468075729" r:id="rId19">
            <o:LockedField>false</o:LockedField>
          </o:OLEObject>
        </w:object>
      </w:r>
      <w:r>
        <w:rPr>
          <w:rFonts w:hint="eastAsia"/>
        </w:rPr>
        <w:t xml:space="preserve">    </w:t>
      </w:r>
      <w:r>
        <w:rPr>
          <w:rFonts w:hint="eastAsia"/>
          <w:szCs w:val="21"/>
        </w:rPr>
        <w:t>图4.1.4-2与综合监控接口示意图2</w:t>
      </w:r>
    </w:p>
    <w:p>
      <w:pPr>
        <w:numPr>
          <w:ilvl w:val="255"/>
          <w:numId w:val="0"/>
        </w:numPr>
        <w:spacing w:line="360" w:lineRule="auto"/>
        <w:ind w:firstLine="420"/>
        <w:rPr>
          <w:szCs w:val="21"/>
        </w:rPr>
      </w:pPr>
      <w:r>
        <w:rPr>
          <w:rFonts w:hint="eastAsia"/>
          <w:szCs w:val="21"/>
        </w:rPr>
        <w:t>本工程云平台为</w:t>
      </w:r>
      <w:r>
        <w:rPr>
          <w:rFonts w:hint="eastAsia" w:hAnsi="黑体" w:cs="黑体"/>
        </w:rPr>
        <w:t>10、11、12、18、22号线</w:t>
      </w:r>
      <w:r>
        <w:rPr>
          <w:rFonts w:hint="eastAsia"/>
          <w:szCs w:val="21"/>
        </w:rPr>
        <w:t>综合监控系统对应的KVM交换机分别设置2个1000M电口，接口位置在本工程控制中心接入交换机配线架外侧。</w:t>
      </w:r>
    </w:p>
    <w:p>
      <w:pPr>
        <w:pStyle w:val="4"/>
        <w:spacing w:line="480" w:lineRule="exact"/>
        <w:ind w:firstLine="560"/>
        <w:rPr>
          <w:rFonts w:ascii="黑体" w:hAnsi="黑体" w:cs="黑体"/>
          <w:szCs w:val="22"/>
        </w:rPr>
      </w:pPr>
      <w:bookmarkStart w:id="30" w:name="_Toc26543"/>
      <w:r>
        <w:rPr>
          <w:rFonts w:hint="eastAsia" w:ascii="黑体" w:hAnsi="黑体" w:cs="黑体"/>
        </w:rPr>
        <w:t>与线路信号的接口</w:t>
      </w:r>
      <w:bookmarkEnd w:id="30"/>
    </w:p>
    <w:p>
      <w:pPr>
        <w:numPr>
          <w:ilvl w:val="255"/>
          <w:numId w:val="0"/>
        </w:numPr>
        <w:spacing w:line="360" w:lineRule="auto"/>
        <w:ind w:firstLine="420" w:firstLineChars="200"/>
        <w:rPr>
          <w:rFonts w:hAnsi="黑体" w:cs="黑体"/>
        </w:rPr>
      </w:pPr>
      <w:r>
        <w:rPr>
          <w:rFonts w:hint="eastAsia" w:hAnsi="黑体" w:cs="黑体"/>
        </w:rPr>
        <w:t>本工程在控制中心设置接入交换机为SIG控制中心核心设备及工作站的以太网数据接口提供接口条件，KVM采集和KVM交换机由本工程负责(具体要求见第四册)，可通过本工程设置的控制中心接入交换机与</w:t>
      </w:r>
      <w:r>
        <w:rPr>
          <w:rFonts w:hAnsi="黑体" w:cs="黑体"/>
        </w:rPr>
        <w:t>业务综合</w:t>
      </w:r>
      <w:r>
        <w:rPr>
          <w:rFonts w:hint="eastAsia" w:hAnsi="黑体" w:cs="黑体"/>
        </w:rPr>
        <w:t>生产云平台区域控制中心交换机对接，接口在控制中心接入交换机配线架外侧。</w:t>
      </w:r>
    </w:p>
    <w:p>
      <w:pPr>
        <w:numPr>
          <w:ilvl w:val="255"/>
          <w:numId w:val="0"/>
        </w:numPr>
        <w:spacing w:line="360" w:lineRule="auto"/>
        <w:ind w:firstLine="420" w:firstLineChars="200"/>
        <w:jc w:val="center"/>
      </w:pPr>
      <w:r>
        <w:object>
          <v:shape id="_x0000_i1027" o:spt="75" type="#_x0000_t75" style="height:211.5pt;width:551.25pt;" o:ole="t" filled="f" o:preferrelative="t" stroked="f" coordsize="21600,21600">
            <v:path/>
            <v:fill on="f" focussize="0,0"/>
            <v:stroke on="f" joinstyle="miter"/>
            <v:imagedata r:id="rId22" o:title=""/>
            <o:lock v:ext="edit" aspectratio="t"/>
            <w10:wrap type="none"/>
            <w10:anchorlock/>
          </v:shape>
          <o:OLEObject Type="Embed" ProgID="Visio.Drawing.11" ShapeID="_x0000_i1027" DrawAspect="Content" ObjectID="_1468075730" r:id="rId21">
            <o:LockedField>false</o:LockedField>
          </o:OLEObject>
        </w:object>
      </w:r>
      <w:r>
        <w:rPr>
          <w:rFonts w:hint="eastAsia"/>
        </w:rPr>
        <w:t xml:space="preserve">    </w:t>
      </w:r>
      <w:r>
        <w:rPr>
          <w:rFonts w:hint="eastAsia"/>
          <w:szCs w:val="21"/>
        </w:rPr>
        <w:t>图4.1.5-1与信号接口示意图</w:t>
      </w:r>
    </w:p>
    <w:p>
      <w:pPr>
        <w:numPr>
          <w:ilvl w:val="255"/>
          <w:numId w:val="0"/>
        </w:numPr>
        <w:spacing w:line="360" w:lineRule="auto"/>
        <w:ind w:firstLine="420" w:firstLineChars="200"/>
        <w:rPr>
          <w:rFonts w:hAnsi="黑体" w:cs="黑体"/>
        </w:rPr>
      </w:pPr>
      <w:r>
        <w:rPr>
          <w:rFonts w:hint="eastAsia"/>
        </w:rPr>
        <w:t>本工程为</w:t>
      </w:r>
      <w:r>
        <w:rPr>
          <w:rFonts w:hint="eastAsia"/>
          <w:szCs w:val="21"/>
        </w:rPr>
        <w:t>信号系统的接口设备分别设置2个100M电口，接口位置在本工程控制中心接入交换机配线架外侧。同时为信号系统对应的KVM交换机分别设置2个1000M电口，接口位置在本工程云平台控制中心接入交换机配线架外侧。</w:t>
      </w:r>
    </w:p>
    <w:p>
      <w:pPr>
        <w:pStyle w:val="4"/>
        <w:spacing w:line="240" w:lineRule="auto"/>
        <w:ind w:firstLine="0"/>
        <w:rPr>
          <w:rFonts w:ascii="黑体" w:hAnsi="黑体" w:cs="黑体"/>
          <w:bCs w:val="0"/>
          <w:szCs w:val="22"/>
        </w:rPr>
      </w:pPr>
      <w:bookmarkStart w:id="31" w:name="_Toc29031"/>
      <w:r>
        <w:rPr>
          <w:rFonts w:hint="eastAsia" w:ascii="黑体" w:hAnsi="黑体" w:cs="黑体"/>
        </w:rPr>
        <w:t>与管理云平台的接口</w:t>
      </w:r>
      <w:bookmarkEnd w:id="31"/>
    </w:p>
    <w:p>
      <w:pPr>
        <w:spacing w:line="360" w:lineRule="auto"/>
        <w:ind w:firstLine="420" w:firstLineChars="200"/>
        <w:rPr>
          <w:szCs w:val="21"/>
        </w:rPr>
      </w:pPr>
      <w:r>
        <w:rPr>
          <w:rFonts w:hint="eastAsia"/>
          <w:szCs w:val="21"/>
        </w:rPr>
        <w:t>本工程与</w:t>
      </w:r>
      <w:r>
        <w:rPr>
          <w:rFonts w:hint="eastAsia" w:ascii="黑体" w:hAnsi="黑体" w:cs="黑体"/>
        </w:rPr>
        <w:t>管理云平台</w:t>
      </w:r>
      <w:r>
        <w:rPr>
          <w:rFonts w:hint="eastAsia"/>
          <w:szCs w:val="21"/>
        </w:rPr>
        <w:t>的接口在管理云接口交换机配线架外侧。暂按2个10GM光口考虑，接口类型及数量具体设计联络阶段确定。</w:t>
      </w:r>
    </w:p>
    <w:p>
      <w:pPr>
        <w:ind w:firstLine="420" w:firstLineChars="200"/>
        <w:jc w:val="center"/>
        <w:rPr>
          <w:rFonts w:ascii="Arial" w:hAnsi="Arial" w:cs="Arial"/>
          <w:kern w:val="0"/>
          <w:szCs w:val="21"/>
        </w:rPr>
      </w:pPr>
      <w:r>
        <w:rPr>
          <w:rFonts w:ascii="Arial" w:hAnsi="Arial" w:cs="Arial"/>
          <w:kern w:val="0"/>
          <w:szCs w:val="21"/>
        </w:rPr>
        <w:object>
          <v:shape id="_x0000_i1028" o:spt="75" type="#_x0000_t75" style="height:174.75pt;width:292.5pt;" o:ole="t" filled="f" o:preferrelative="t" stroked="f" coordsize="21600,21600">
            <v:path/>
            <v:fill on="f" focussize="0,0"/>
            <v:stroke on="f" joinstyle="miter"/>
            <v:imagedata r:id="rId24" croptop="4884f" cropright="3209f" cropbottom="3950f" o:title=""/>
            <o:lock v:ext="edit" aspectratio="t"/>
            <w10:wrap type="none"/>
            <w10:anchorlock/>
          </v:shape>
          <o:OLEObject Type="Embed" ProgID="Visio.Drawing.11" ShapeID="_x0000_i1028" DrawAspect="Content" ObjectID="_1468075731" r:id="rId23">
            <o:LockedField>false</o:LockedField>
          </o:OLEObject>
        </w:object>
      </w:r>
    </w:p>
    <w:p>
      <w:pPr>
        <w:ind w:firstLine="420" w:firstLineChars="200"/>
        <w:jc w:val="center"/>
        <w:rPr>
          <w:rFonts w:ascii="Arial" w:hAnsi="Arial" w:cs="Arial"/>
          <w:kern w:val="0"/>
          <w:szCs w:val="21"/>
        </w:rPr>
      </w:pPr>
      <w:r>
        <w:rPr>
          <w:rFonts w:hint="eastAsia"/>
          <w:szCs w:val="21"/>
        </w:rPr>
        <w:t>图4.1.6-1与管理云平台接口示意图</w:t>
      </w:r>
    </w:p>
    <w:p>
      <w:pPr>
        <w:pStyle w:val="4"/>
        <w:spacing w:line="480" w:lineRule="exact"/>
        <w:ind w:firstLine="420"/>
      </w:pPr>
      <w:bookmarkStart w:id="32" w:name="_Toc3139"/>
      <w:r>
        <w:rPr>
          <w:rFonts w:hint="eastAsia"/>
        </w:rPr>
        <w:t>与大屏幕系统的接口</w:t>
      </w:r>
      <w:bookmarkEnd w:id="32"/>
    </w:p>
    <w:p>
      <w:pPr>
        <w:spacing w:line="360" w:lineRule="auto"/>
        <w:ind w:firstLine="420" w:firstLineChars="200"/>
        <w:rPr>
          <w:szCs w:val="21"/>
        </w:rPr>
      </w:pPr>
      <w:r>
        <w:rPr>
          <w:rFonts w:hint="eastAsia"/>
          <w:szCs w:val="21"/>
        </w:rPr>
        <w:t>线网大屏系统在COCC与线网级业务应用系统互连，由于线网级业务应用系统通过云平台承载，因此该接口的物理连接通过云平台终端接入交换机实现。该接口需两个系统相互配合进行相关接口软件的开发及实施。通过该接口可实现线网大屏系统与线网级业务应用系统之间的对接，通过接口调用的方式，线网级业务应用系统可以实现自定义大屏布局及布局切换管理等功能。</w:t>
      </w:r>
    </w:p>
    <w:p>
      <w:pPr>
        <w:spacing w:line="360" w:lineRule="auto"/>
        <w:ind w:firstLine="420" w:firstLineChars="200"/>
        <w:jc w:val="center"/>
      </w:pPr>
      <w:r>
        <w:rPr>
          <w:rFonts w:ascii="Arial" w:hAnsi="Arial" w:cs="Arial"/>
          <w:kern w:val="0"/>
          <w:szCs w:val="21"/>
        </w:rPr>
        <w:object>
          <v:shape id="_x0000_i1029" o:spt="75" type="#_x0000_t75" style="height:174.75pt;width:292.5pt;" o:ole="t" filled="f" o:preferrelative="t" stroked="f" coordsize="21600,21600">
            <v:path/>
            <v:fill on="f" focussize="0,0"/>
            <v:stroke on="f" joinstyle="miter"/>
            <v:imagedata r:id="rId26" croptop="4884f" cropright="3209f" cropbottom="3950f" o:title=""/>
            <o:lock v:ext="edit" aspectratio="t"/>
            <w10:wrap type="none"/>
            <w10:anchorlock/>
          </v:shape>
          <o:OLEObject Type="Embed" ProgID="Visio.Drawing.11" ShapeID="_x0000_i1029" DrawAspect="Content" ObjectID="_1468075732" r:id="rId25">
            <o:LockedField>false</o:LockedField>
          </o:OLEObject>
        </w:object>
      </w:r>
    </w:p>
    <w:p>
      <w:pPr>
        <w:spacing w:line="520" w:lineRule="exact"/>
        <w:ind w:firstLine="420" w:firstLineChars="200"/>
        <w:jc w:val="center"/>
      </w:pPr>
      <w:r>
        <w:rPr>
          <w:rFonts w:hint="eastAsia"/>
          <w:szCs w:val="21"/>
        </w:rPr>
        <w:t>图8.2-6与大屏幕系统接口</w:t>
      </w:r>
    </w:p>
    <w:p>
      <w:pPr>
        <w:spacing w:line="360" w:lineRule="auto"/>
        <w:ind w:firstLine="420" w:firstLineChars="200"/>
        <w:rPr>
          <w:szCs w:val="21"/>
        </w:rPr>
      </w:pPr>
      <w:r>
        <w:rPr>
          <w:rFonts w:hint="eastAsia"/>
          <w:szCs w:val="21"/>
        </w:rPr>
        <w:t>本工程云平台设置</w:t>
      </w:r>
      <w:r>
        <w:rPr>
          <w:rFonts w:hint="eastAsia"/>
        </w:rPr>
        <w:t>大屏幕</w:t>
      </w:r>
      <w:r>
        <w:rPr>
          <w:rFonts w:hint="eastAsia"/>
          <w:szCs w:val="21"/>
        </w:rPr>
        <w:t>系统接入的网络条件，接口在终端接入交换机配线架外侧，云平台负责提供网络端口及接口调试配合，大屏幕系统负责接线、敷设线缆及接口调试。接口按2个千兆电口考虑。</w:t>
      </w:r>
    </w:p>
    <w:p>
      <w:pPr>
        <w:pStyle w:val="4"/>
        <w:spacing w:line="480" w:lineRule="exact"/>
        <w:ind w:firstLine="420"/>
      </w:pPr>
      <w:bookmarkStart w:id="33" w:name="_Toc21143"/>
      <w:r>
        <w:rPr>
          <w:rFonts w:hint="eastAsia"/>
        </w:rPr>
        <w:t>与工作站的接口</w:t>
      </w:r>
      <w:bookmarkEnd w:id="33"/>
    </w:p>
    <w:p>
      <w:pPr>
        <w:spacing w:line="360" w:lineRule="auto"/>
        <w:ind w:firstLine="420" w:firstLineChars="200"/>
        <w:rPr>
          <w:szCs w:val="21"/>
        </w:rPr>
      </w:pPr>
      <w:r>
        <w:rPr>
          <w:rFonts w:hint="eastAsia"/>
          <w:szCs w:val="21"/>
        </w:rPr>
        <w:t>本工程设置工作站(包括操作员工作站、触摸工作站等)接入的网络条件，接口在终端接入交换机配线架外侧，本工程负责提供网络端口及接口调试配合，工作站终端侧负责接线、敷设线缆及接口调试配合，工作站业务系统方负责接口调试。接口按每个工作站2个千兆电口考虑。</w:t>
      </w:r>
    </w:p>
    <w:p>
      <w:pPr>
        <w:spacing w:line="360" w:lineRule="auto"/>
        <w:ind w:firstLine="420" w:firstLineChars="200"/>
        <w:jc w:val="center"/>
        <w:rPr>
          <w:rFonts w:ascii="Arial" w:hAnsi="Arial" w:cs="Arial"/>
          <w:kern w:val="0"/>
          <w:szCs w:val="21"/>
        </w:rPr>
      </w:pPr>
      <w:r>
        <w:rPr>
          <w:rFonts w:ascii="Arial" w:hAnsi="Arial" w:cs="Arial"/>
          <w:kern w:val="0"/>
          <w:szCs w:val="21"/>
        </w:rPr>
        <w:object>
          <v:shape id="_x0000_i1030" o:spt="75" type="#_x0000_t75" style="height:174.75pt;width:292.5pt;" o:ole="t" filled="f" o:preferrelative="t" stroked="f" coordsize="21600,21600">
            <v:path/>
            <v:fill on="f" focussize="0,0"/>
            <v:stroke on="f" joinstyle="miter"/>
            <v:imagedata r:id="rId28" croptop="4884f" cropright="3209f" cropbottom="3950f" o:title=""/>
            <o:lock v:ext="edit" aspectratio="t"/>
            <w10:wrap type="none"/>
            <w10:anchorlock/>
          </v:shape>
          <o:OLEObject Type="Embed" ProgID="Visio.Drawing.11" ShapeID="_x0000_i1030" DrawAspect="Content" ObjectID="_1468075733" r:id="rId27">
            <o:LockedField>false</o:LockedField>
          </o:OLEObject>
        </w:object>
      </w:r>
    </w:p>
    <w:p>
      <w:pPr>
        <w:spacing w:line="520" w:lineRule="exact"/>
        <w:ind w:firstLine="420" w:firstLineChars="200"/>
        <w:jc w:val="center"/>
      </w:pPr>
      <w:r>
        <w:rPr>
          <w:rFonts w:hint="eastAsia"/>
          <w:szCs w:val="21"/>
        </w:rPr>
        <w:t>图8.2-7 与工作站接口</w:t>
      </w:r>
    </w:p>
    <w:p>
      <w:pPr>
        <w:pStyle w:val="4"/>
        <w:spacing w:line="480" w:lineRule="exact"/>
        <w:ind w:firstLine="420"/>
      </w:pPr>
      <w:bookmarkStart w:id="34" w:name="_Toc15893"/>
      <w:r>
        <w:rPr>
          <w:rFonts w:hint="eastAsia"/>
        </w:rPr>
        <w:t>与楼宇低压配电的接口</w:t>
      </w:r>
      <w:bookmarkEnd w:id="34"/>
    </w:p>
    <w:p>
      <w:pPr>
        <w:spacing w:line="360" w:lineRule="auto"/>
        <w:ind w:firstLine="840" w:firstLineChars="400"/>
      </w:pPr>
      <w:r>
        <w:rPr>
          <w:rFonts w:hint="eastAsia"/>
        </w:rPr>
        <w:t>与低压配电系统的接口在变电所低压配电柜输出端（配电柜由低压配电系统提供）。</w:t>
      </w:r>
    </w:p>
    <w:p>
      <w:pPr>
        <w:spacing w:line="360" w:lineRule="auto"/>
        <w:ind w:firstLine="420" w:firstLineChars="200"/>
      </w:pPr>
      <w:r>
        <w:rPr>
          <w:rFonts w:hint="eastAsia"/>
        </w:rPr>
        <w:t>与接地系统的接口在云平台设备房的接地箱接地母排（接地箱由低压配电专业提供）。</w:t>
      </w:r>
    </w:p>
    <w:p>
      <w:pPr>
        <w:spacing w:line="360" w:lineRule="auto"/>
        <w:ind w:firstLine="735" w:firstLineChars="350"/>
      </w:pPr>
      <w:r>
        <w:rPr>
          <w:rFonts w:hint="eastAsia"/>
        </w:rPr>
        <w:t>本工程在万胜围需要两路50KVA的UPS电源，接口在低压配电配电柜中进行取电。</w:t>
      </w:r>
    </w:p>
    <w:p>
      <w:pPr>
        <w:pStyle w:val="3"/>
        <w:spacing w:line="480" w:lineRule="exact"/>
        <w:ind w:firstLine="560"/>
        <w:rPr>
          <w:rFonts w:ascii="Times New Roman" w:hAnsi="Times New Roman" w:eastAsia="宋体"/>
          <w:szCs w:val="21"/>
        </w:rPr>
      </w:pPr>
      <w:bookmarkStart w:id="35" w:name="_Toc30362"/>
      <w:r>
        <w:rPr>
          <w:rFonts w:hint="eastAsia" w:ascii="Times New Roman" w:hAnsi="Times New Roman" w:eastAsia="宋体"/>
          <w:szCs w:val="21"/>
        </w:rPr>
        <w:t>线网通信与相关系统的接口</w:t>
      </w:r>
      <w:bookmarkEnd w:id="35"/>
    </w:p>
    <w:p>
      <w:pPr>
        <w:pStyle w:val="4"/>
        <w:spacing w:line="480" w:lineRule="exact"/>
        <w:ind w:firstLine="560"/>
      </w:pPr>
      <w:r>
        <w:rPr>
          <w:rFonts w:hint="eastAsia"/>
        </w:rPr>
        <w:t xml:space="preserve"> </w:t>
      </w:r>
      <w:bookmarkStart w:id="36" w:name="_Toc30908"/>
      <w:r>
        <w:rPr>
          <w:rFonts w:hint="eastAsia"/>
        </w:rPr>
        <w:t>线网级业务应用系统与线网通信系统的接口</w:t>
      </w:r>
      <w:bookmarkEnd w:id="36"/>
    </w:p>
    <w:p>
      <w:pPr>
        <w:widowControl/>
        <w:spacing w:line="360" w:lineRule="auto"/>
        <w:ind w:firstLine="420" w:firstLineChars="200"/>
        <w:jc w:val="left"/>
        <w:rPr>
          <w:rFonts w:ascii="宋体" w:hAnsi="宋体" w:cs="宋体"/>
          <w:kern w:val="0"/>
          <w:szCs w:val="21"/>
        </w:rPr>
      </w:pPr>
      <w:r>
        <w:rPr>
          <w:rFonts w:hint="eastAsia" w:ascii="宋体" w:hAnsi="宋体" w:cs="宋体"/>
          <w:kern w:val="0"/>
          <w:szCs w:val="21"/>
        </w:rPr>
        <w:t>包括线网级业务应用系统与线网视频监视系统、线网广播系统的接口。</w:t>
      </w:r>
    </w:p>
    <w:p>
      <w:pPr>
        <w:pStyle w:val="5"/>
        <w:tabs>
          <w:tab w:val="left" w:pos="1287"/>
          <w:tab w:val="clear" w:pos="1817"/>
        </w:tabs>
        <w:spacing w:line="480" w:lineRule="exact"/>
        <w:ind w:firstLine="560"/>
        <w:rPr>
          <w:rFonts w:hAnsi="黑体" w:cs="黑体"/>
        </w:rPr>
      </w:pPr>
      <w:r>
        <w:rPr>
          <w:rFonts w:hint="eastAsia" w:hAnsi="黑体" w:cs="黑体"/>
        </w:rPr>
        <w:t>线网级业务应用系统与线网</w:t>
      </w:r>
      <w:r>
        <w:rPr>
          <w:rFonts w:hint="eastAsia" w:hAnsi="黑体" w:cs="黑体"/>
          <w:lang w:val="zh-CN"/>
        </w:rPr>
        <w:t>广播</w:t>
      </w:r>
      <w:r>
        <w:rPr>
          <w:rFonts w:hint="eastAsia" w:hAnsi="黑体" w:cs="黑体"/>
        </w:rPr>
        <w:t>系统的接口</w:t>
      </w:r>
    </w:p>
    <w:p>
      <w:pPr>
        <w:widowControl/>
        <w:spacing w:line="360" w:lineRule="auto"/>
        <w:ind w:firstLine="420" w:firstLineChars="200"/>
        <w:jc w:val="left"/>
        <w:rPr>
          <w:rFonts w:ascii="宋体" w:hAnsi="宋体" w:cs="宋体"/>
          <w:kern w:val="0"/>
          <w:szCs w:val="21"/>
        </w:rPr>
      </w:pPr>
      <w:r>
        <w:rPr>
          <w:rFonts w:hint="eastAsia" w:ascii="宋体" w:hAnsi="宋体" w:cs="宋体"/>
          <w:kern w:val="0"/>
          <w:szCs w:val="21"/>
        </w:rPr>
        <w:t>线网广播系统在COCC与线网级业务应用系统互连，实现线网级业务应用系统线网统一语音发布功能。由于线网级业务应用系统及线网广播系统均通过云平台承载，因此该接口无物理接口，该接口需两个系统相互配合进行相关接口软件的开发及实施。</w:t>
      </w:r>
    </w:p>
    <w:p>
      <w:pPr>
        <w:pStyle w:val="5"/>
        <w:tabs>
          <w:tab w:val="left" w:pos="1287"/>
          <w:tab w:val="clear" w:pos="1817"/>
        </w:tabs>
        <w:spacing w:line="480" w:lineRule="exact"/>
        <w:ind w:firstLine="560"/>
        <w:rPr>
          <w:rFonts w:hAnsi="黑体" w:cs="黑体"/>
        </w:rPr>
      </w:pPr>
      <w:r>
        <w:rPr>
          <w:rFonts w:hint="eastAsia" w:hAnsi="黑体" w:cs="黑体"/>
        </w:rPr>
        <w:t>线网级业务应用系统与线网视频监控系统的接口</w:t>
      </w:r>
    </w:p>
    <w:p>
      <w:pPr>
        <w:widowControl/>
        <w:spacing w:line="360" w:lineRule="auto"/>
        <w:ind w:firstLine="420" w:firstLineChars="200"/>
        <w:jc w:val="left"/>
        <w:rPr>
          <w:rFonts w:hint="eastAsia" w:ascii="宋体" w:hAnsi="宋体" w:cs="宋体"/>
          <w:kern w:val="0"/>
          <w:szCs w:val="21"/>
        </w:rPr>
      </w:pPr>
      <w:r>
        <w:rPr>
          <w:rFonts w:hint="eastAsia" w:ascii="宋体" w:hAnsi="宋体" w:cs="宋体"/>
          <w:kern w:val="0"/>
          <w:szCs w:val="21"/>
        </w:rPr>
        <w:t>线网视频监视系统在COCC与线网级业务应用系统互连，实现线网级业务应用系统使用操作台、大屏幕等设备完成视频监控的相关功能应用，并将</w:t>
      </w:r>
      <w:r>
        <w:rPr>
          <w:rFonts w:hint="eastAsia" w:ascii="宋体" w:hAnsi="宋体" w:cs="宋体"/>
          <w:kern w:val="0"/>
          <w:szCs w:val="21"/>
          <w:lang w:val="en-US" w:eastAsia="zh-CN"/>
        </w:rPr>
        <w:t>线路视频和</w:t>
      </w:r>
      <w:r>
        <w:rPr>
          <w:rFonts w:hint="eastAsia" w:ascii="宋体" w:hAnsi="宋体" w:cs="宋体"/>
          <w:kern w:val="0"/>
          <w:szCs w:val="21"/>
        </w:rPr>
        <w:t>视频分析数据发送至线网级业务应用系统，以作进一步分析和处理。由于线网级业务应用系统及线网视频监视系统均通过云平台承载，因此该接口无物理接口，该接口需两个系统相互配合进行相关接口软件的开发及实施。</w:t>
      </w:r>
    </w:p>
    <w:p>
      <w:pPr>
        <w:pStyle w:val="4"/>
        <w:spacing w:line="480" w:lineRule="exact"/>
        <w:ind w:firstLine="560"/>
      </w:pPr>
      <w:bookmarkStart w:id="37" w:name="_Toc22834"/>
      <w:r>
        <w:rPr>
          <w:rFonts w:hint="eastAsia"/>
          <w:lang w:val="en-US" w:eastAsia="zh-CN"/>
        </w:rPr>
        <w:t>轨道交通智能运行平台</w:t>
      </w:r>
      <w:r>
        <w:rPr>
          <w:rFonts w:hint="eastAsia"/>
        </w:rPr>
        <w:t>与线网通信系统的接口</w:t>
      </w:r>
      <w:bookmarkEnd w:id="37"/>
    </w:p>
    <w:p>
      <w:pPr>
        <w:widowControl/>
        <w:spacing w:line="360" w:lineRule="auto"/>
        <w:ind w:firstLine="420" w:firstLineChars="200"/>
        <w:jc w:val="left"/>
        <w:rPr>
          <w:rFonts w:hint="eastAsia" w:ascii="宋体" w:hAnsi="宋体" w:eastAsia="宋体" w:cs="宋体"/>
          <w:kern w:val="0"/>
          <w:szCs w:val="21"/>
          <w:lang w:val="en-US" w:eastAsia="zh-CN"/>
        </w:rPr>
      </w:pPr>
      <w:r>
        <w:rPr>
          <w:rFonts w:hint="eastAsia" w:ascii="宋体" w:hAnsi="宋体" w:cs="宋体"/>
          <w:kern w:val="0"/>
          <w:szCs w:val="21"/>
          <w:lang w:val="en-US" w:eastAsia="zh-CN"/>
        </w:rPr>
        <w:t>线网视频监视系统和</w:t>
      </w:r>
      <w:r>
        <w:rPr>
          <w:rFonts w:hint="eastAsia" w:ascii="宋体" w:hAnsi="宋体" w:cs="宋体"/>
          <w:kern w:val="0"/>
          <w:szCs w:val="21"/>
        </w:rPr>
        <w:t>线网广播系统</w:t>
      </w:r>
      <w:r>
        <w:rPr>
          <w:rFonts w:hint="eastAsia" w:ascii="宋体" w:hAnsi="宋体" w:cs="宋体"/>
          <w:kern w:val="0"/>
          <w:szCs w:val="21"/>
          <w:lang w:val="en-US" w:eastAsia="zh-CN"/>
        </w:rPr>
        <w:t>在COCC与轨道交通智能运行平台对接，实现将线网视频监视系统和</w:t>
      </w:r>
      <w:r>
        <w:rPr>
          <w:rFonts w:hint="eastAsia" w:ascii="宋体" w:hAnsi="宋体" w:cs="宋体"/>
          <w:kern w:val="0"/>
          <w:szCs w:val="21"/>
        </w:rPr>
        <w:t>线网广播系统</w:t>
      </w:r>
      <w:r>
        <w:rPr>
          <w:rFonts w:hint="eastAsia" w:ascii="宋体" w:hAnsi="宋体" w:cs="宋体"/>
          <w:kern w:val="0"/>
          <w:szCs w:val="21"/>
          <w:lang w:val="en-US" w:eastAsia="zh-CN"/>
        </w:rPr>
        <w:t>相关数据推送至</w:t>
      </w:r>
      <w:r>
        <w:rPr>
          <w:rFonts w:hint="eastAsia"/>
          <w:lang w:val="en-US" w:eastAsia="zh-CN"/>
        </w:rPr>
        <w:t>轨道交通智能运行平台，</w:t>
      </w:r>
      <w:r>
        <w:rPr>
          <w:rFonts w:hint="eastAsia" w:ascii="宋体" w:hAnsi="宋体" w:cs="宋体"/>
          <w:kern w:val="0"/>
          <w:szCs w:val="21"/>
        </w:rPr>
        <w:t>由于轨道交通智能运行平台通过云平台承载</w:t>
      </w:r>
      <w:r>
        <w:rPr>
          <w:rFonts w:hint="eastAsia" w:ascii="宋体" w:hAnsi="宋体" w:cs="宋体"/>
          <w:kern w:val="0"/>
          <w:szCs w:val="21"/>
          <w:lang w:eastAsia="zh-CN"/>
        </w:rPr>
        <w:t>，</w:t>
      </w:r>
      <w:r>
        <w:rPr>
          <w:rFonts w:hint="eastAsia" w:ascii="宋体" w:hAnsi="宋体" w:cs="宋体"/>
          <w:kern w:val="0"/>
          <w:szCs w:val="21"/>
        </w:rPr>
        <w:t>因此该接口无物理接口，该接口需两个系统相互配合进行相关接口软件的开发及实施。</w:t>
      </w:r>
    </w:p>
    <w:p>
      <w:pPr>
        <w:pStyle w:val="4"/>
        <w:spacing w:line="480" w:lineRule="exact"/>
        <w:ind w:firstLine="560"/>
      </w:pPr>
      <w:bookmarkStart w:id="38" w:name="_Toc1391"/>
      <w:r>
        <w:rPr>
          <w:rFonts w:hint="eastAsia"/>
        </w:rPr>
        <w:t>线网通信系统与线网传输系统的接口</w:t>
      </w:r>
      <w:bookmarkEnd w:id="38"/>
    </w:p>
    <w:p>
      <w:pPr>
        <w:spacing w:line="360" w:lineRule="auto"/>
        <w:ind w:firstLine="480" w:firstLineChars="200"/>
        <w:rPr>
          <w:sz w:val="24"/>
        </w:rPr>
      </w:pPr>
      <w:r>
        <w:rPr>
          <w:rFonts w:hint="eastAsia"/>
          <w:sz w:val="24"/>
        </w:rPr>
        <w:t>1）接口示意图</w:t>
      </w:r>
    </w:p>
    <w:p>
      <w:pPr>
        <w:jc w:val="center"/>
        <w:rPr>
          <w:rFonts w:asciiTheme="minorEastAsia" w:hAnsiTheme="minorEastAsia" w:eastAsiaTheme="minorEastAsia" w:cstheme="minorBidi"/>
        </w:rPr>
      </w:pPr>
      <w:r>
        <w:rPr>
          <w:rFonts w:hint="eastAsia" w:asciiTheme="minorEastAsia" w:hAnsiTheme="minorEastAsia" w:eastAsiaTheme="minorEastAsia" w:cstheme="minorBidi"/>
        </w:rPr>
        <w:object>
          <v:shape id="_x0000_i1031" o:spt="75" type="#_x0000_t75" style="height:237.75pt;width:391.5pt;" o:ole="t" filled="f" o:preferrelative="t" stroked="f" coordsize="21600,21600">
            <v:path/>
            <v:fill on="f" focussize="0,0"/>
            <v:stroke on="f" joinstyle="miter"/>
            <v:imagedata r:id="rId30" o:title=""/>
            <o:lock v:ext="edit" aspectratio="t"/>
            <w10:wrap type="none"/>
            <w10:anchorlock/>
          </v:shape>
          <o:OLEObject Type="Embed" ProgID="Visio.Drawing.11" ShapeID="_x0000_i1031" DrawAspect="Content" ObjectID="_1468075734" r:id="rId29">
            <o:LockedField>false</o:LockedField>
          </o:OLEObject>
        </w:object>
      </w:r>
    </w:p>
    <w:p>
      <w:pPr>
        <w:pStyle w:val="14"/>
        <w:ind w:firstLine="480"/>
        <w:rPr>
          <w:sz w:val="24"/>
        </w:rPr>
      </w:pPr>
      <w:r>
        <w:rPr>
          <w:rFonts w:hint="eastAsia"/>
          <w:sz w:val="24"/>
        </w:rPr>
        <w:t>2）接口内容</w:t>
      </w:r>
    </w:p>
    <w:tbl>
      <w:tblPr>
        <w:tblStyle w:val="32"/>
        <w:tblW w:w="4998" w:type="pct"/>
        <w:jc w:val="center"/>
        <w:tblLayout w:type="autofit"/>
        <w:tblCellMar>
          <w:top w:w="0" w:type="dxa"/>
          <w:left w:w="108" w:type="dxa"/>
          <w:bottom w:w="0" w:type="dxa"/>
          <w:right w:w="108" w:type="dxa"/>
        </w:tblCellMar>
      </w:tblPr>
      <w:tblGrid>
        <w:gridCol w:w="1353"/>
        <w:gridCol w:w="3710"/>
        <w:gridCol w:w="3456"/>
      </w:tblGrid>
      <w:tr>
        <w:tblPrEx>
          <w:tblCellMar>
            <w:top w:w="0" w:type="dxa"/>
            <w:left w:w="108" w:type="dxa"/>
            <w:bottom w:w="0" w:type="dxa"/>
            <w:right w:w="108" w:type="dxa"/>
          </w:tblCellMar>
        </w:tblPrEx>
        <w:trPr>
          <w:trHeight w:val="397" w:hRule="atLeast"/>
          <w:tblHeader/>
          <w:jc w:val="center"/>
        </w:trPr>
        <w:tc>
          <w:tcPr>
            <w:tcW w:w="794"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内容</w:t>
            </w:r>
          </w:p>
        </w:tc>
        <w:tc>
          <w:tcPr>
            <w:tcW w:w="4205" w:type="pct"/>
            <w:gridSpan w:val="2"/>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说明</w:t>
            </w:r>
          </w:p>
        </w:tc>
      </w:tr>
      <w:tr>
        <w:tblPrEx>
          <w:tblCellMar>
            <w:top w:w="0" w:type="dxa"/>
            <w:left w:w="108" w:type="dxa"/>
            <w:bottom w:w="0" w:type="dxa"/>
            <w:right w:w="108" w:type="dxa"/>
          </w:tblCellMar>
        </w:tblPrEx>
        <w:trPr>
          <w:trHeight w:val="397" w:hRule="atLeast"/>
          <w:jc w:val="center"/>
        </w:trPr>
        <w:tc>
          <w:tcPr>
            <w:tcW w:w="79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接口编号</w:t>
            </w:r>
          </w:p>
        </w:tc>
        <w:tc>
          <w:tcPr>
            <w:tcW w:w="420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TX5.GGW.01、TX5.GGW.02</w:t>
            </w:r>
          </w:p>
        </w:tc>
      </w:tr>
      <w:tr>
        <w:tblPrEx>
          <w:tblCellMar>
            <w:top w:w="0" w:type="dxa"/>
            <w:left w:w="108" w:type="dxa"/>
            <w:bottom w:w="0" w:type="dxa"/>
            <w:right w:w="108" w:type="dxa"/>
          </w:tblCellMar>
        </w:tblPrEx>
        <w:trPr>
          <w:trHeight w:val="397" w:hRule="atLeast"/>
          <w:jc w:val="center"/>
        </w:trPr>
        <w:tc>
          <w:tcPr>
            <w:tcW w:w="79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接口分界点</w:t>
            </w:r>
          </w:p>
        </w:tc>
        <w:tc>
          <w:tcPr>
            <w:tcW w:w="420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rPr>
              <w:t>OCC</w:t>
            </w:r>
            <w:r>
              <w:rPr>
                <w:rFonts w:hint="eastAsia" w:ascii="宋体" w:hAnsi="宋体" w:cs="宋体"/>
                <w:szCs w:val="21"/>
              </w:rPr>
              <w:t>通信骨干传输网ODF接线端子处，线网指挥中心通信骨干传输网ODF接线端子处</w:t>
            </w:r>
          </w:p>
        </w:tc>
      </w:tr>
      <w:tr>
        <w:tblPrEx>
          <w:tblCellMar>
            <w:top w:w="0" w:type="dxa"/>
            <w:left w:w="108" w:type="dxa"/>
            <w:bottom w:w="0" w:type="dxa"/>
            <w:right w:w="108" w:type="dxa"/>
          </w:tblCellMar>
        </w:tblPrEx>
        <w:trPr>
          <w:trHeight w:val="397" w:hRule="atLeast"/>
          <w:jc w:val="center"/>
        </w:trPr>
        <w:tc>
          <w:tcPr>
            <w:tcW w:w="79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接口数量</w:t>
            </w:r>
          </w:p>
        </w:tc>
        <w:tc>
          <w:tcPr>
            <w:tcW w:w="420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lang w:val="en-US" w:eastAsia="zh-CN"/>
              </w:rPr>
              <w:t>各</w:t>
            </w:r>
            <w:r>
              <w:rPr>
                <w:rFonts w:hint="eastAsia"/>
                <w:szCs w:val="21"/>
              </w:rPr>
              <w:t>OCC1</w:t>
            </w:r>
            <w:r>
              <w:rPr>
                <w:rFonts w:hint="eastAsia" w:ascii="宋体" w:hAnsi="宋体" w:cs="宋体"/>
                <w:szCs w:val="21"/>
              </w:rPr>
              <w:t>个，线网指挥中心1个</w:t>
            </w:r>
          </w:p>
        </w:tc>
      </w:tr>
      <w:tr>
        <w:tblPrEx>
          <w:tblCellMar>
            <w:top w:w="0" w:type="dxa"/>
            <w:left w:w="108" w:type="dxa"/>
            <w:bottom w:w="0" w:type="dxa"/>
            <w:right w:w="108" w:type="dxa"/>
          </w:tblCellMar>
        </w:tblPrEx>
        <w:trPr>
          <w:trHeight w:val="397" w:hRule="atLeast"/>
          <w:jc w:val="center"/>
        </w:trPr>
        <w:tc>
          <w:tcPr>
            <w:tcW w:w="79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接口类型</w:t>
            </w:r>
          </w:p>
        </w:tc>
        <w:tc>
          <w:tcPr>
            <w:tcW w:w="420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GE电口或单模光口，点对点</w:t>
            </w:r>
          </w:p>
        </w:tc>
      </w:tr>
      <w:tr>
        <w:tblPrEx>
          <w:tblCellMar>
            <w:top w:w="0" w:type="dxa"/>
            <w:left w:w="108" w:type="dxa"/>
            <w:bottom w:w="0" w:type="dxa"/>
            <w:right w:w="108" w:type="dxa"/>
          </w:tblCellMar>
        </w:tblPrEx>
        <w:trPr>
          <w:trHeight w:val="90" w:hRule="atLeast"/>
          <w:jc w:val="center"/>
        </w:trPr>
        <w:tc>
          <w:tcPr>
            <w:tcW w:w="79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物理接口</w:t>
            </w:r>
          </w:p>
        </w:tc>
        <w:tc>
          <w:tcPr>
            <w:tcW w:w="420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RJ45或单模光口</w:t>
            </w:r>
          </w:p>
        </w:tc>
      </w:tr>
      <w:tr>
        <w:tblPrEx>
          <w:tblCellMar>
            <w:top w:w="0" w:type="dxa"/>
            <w:left w:w="108" w:type="dxa"/>
            <w:bottom w:w="0" w:type="dxa"/>
            <w:right w:w="108" w:type="dxa"/>
          </w:tblCellMar>
        </w:tblPrEx>
        <w:trPr>
          <w:trHeight w:val="397" w:hRule="atLeast"/>
          <w:jc w:val="center"/>
        </w:trPr>
        <w:tc>
          <w:tcPr>
            <w:tcW w:w="79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线缆规格</w:t>
            </w:r>
          </w:p>
        </w:tc>
        <w:tc>
          <w:tcPr>
            <w:tcW w:w="420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六类非屏蔽双绞线或单模光纤</w:t>
            </w:r>
          </w:p>
        </w:tc>
      </w:tr>
      <w:tr>
        <w:tblPrEx>
          <w:tblCellMar>
            <w:top w:w="0" w:type="dxa"/>
            <w:left w:w="108" w:type="dxa"/>
            <w:bottom w:w="0" w:type="dxa"/>
            <w:right w:w="108" w:type="dxa"/>
          </w:tblCellMar>
        </w:tblPrEx>
        <w:trPr>
          <w:trHeight w:val="397" w:hRule="atLeast"/>
          <w:jc w:val="center"/>
        </w:trPr>
        <w:tc>
          <w:tcPr>
            <w:tcW w:w="79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接口用途</w:t>
            </w:r>
          </w:p>
        </w:tc>
        <w:tc>
          <w:tcPr>
            <w:tcW w:w="420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rPr>
              <w:t>大厅调度电话业务与线网调度电话业务通过线以太网交换机汇聚后接入骨干网传输，实现COCC线网通信各系统与OCC各相应系统之间的对接。</w:t>
            </w:r>
          </w:p>
        </w:tc>
      </w:tr>
      <w:tr>
        <w:tblPrEx>
          <w:tblCellMar>
            <w:top w:w="0" w:type="dxa"/>
            <w:left w:w="108" w:type="dxa"/>
            <w:bottom w:w="0" w:type="dxa"/>
            <w:right w:w="108" w:type="dxa"/>
          </w:tblCellMar>
        </w:tblPrEx>
        <w:trPr>
          <w:trHeight w:val="397" w:hRule="atLeast"/>
          <w:jc w:val="center"/>
        </w:trPr>
        <w:tc>
          <w:tcPr>
            <w:tcW w:w="794" w:type="pct"/>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相关方责任</w:t>
            </w:r>
          </w:p>
        </w:tc>
        <w:tc>
          <w:tcPr>
            <w:tcW w:w="2177"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TX1</w:t>
            </w:r>
          </w:p>
        </w:tc>
        <w:tc>
          <w:tcPr>
            <w:tcW w:w="2028"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GGW</w:t>
            </w:r>
          </w:p>
        </w:tc>
      </w:tr>
      <w:tr>
        <w:tblPrEx>
          <w:tblCellMar>
            <w:top w:w="0" w:type="dxa"/>
            <w:left w:w="108" w:type="dxa"/>
            <w:bottom w:w="0" w:type="dxa"/>
            <w:right w:w="108" w:type="dxa"/>
          </w:tblCellMar>
        </w:tblPrEx>
        <w:trPr>
          <w:trHeight w:val="397" w:hRule="atLeast"/>
          <w:jc w:val="center"/>
        </w:trPr>
        <w:tc>
          <w:tcPr>
            <w:tcW w:w="794"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szCs w:val="21"/>
              </w:rPr>
            </w:pPr>
          </w:p>
        </w:tc>
        <w:tc>
          <w:tcPr>
            <w:tcW w:w="2177"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提出要求，负责接线、敷设电缆，配合接口调试。</w:t>
            </w:r>
          </w:p>
        </w:tc>
        <w:tc>
          <w:tcPr>
            <w:tcW w:w="2028" w:type="pct"/>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提供满足线网通信系统要求的传输通道至接口单元，负责接口调试</w:t>
            </w:r>
          </w:p>
        </w:tc>
      </w:tr>
      <w:tr>
        <w:tblPrEx>
          <w:tblCellMar>
            <w:top w:w="0" w:type="dxa"/>
            <w:left w:w="108" w:type="dxa"/>
            <w:bottom w:w="0" w:type="dxa"/>
            <w:right w:w="108" w:type="dxa"/>
          </w:tblCellMar>
        </w:tblPrEx>
        <w:trPr>
          <w:trHeight w:val="397" w:hRule="atLeast"/>
          <w:jc w:val="center"/>
        </w:trPr>
        <w:tc>
          <w:tcPr>
            <w:tcW w:w="79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接口测试</w:t>
            </w:r>
          </w:p>
        </w:tc>
        <w:tc>
          <w:tcPr>
            <w:tcW w:w="4205" w:type="pct"/>
            <w:gridSpan w:val="2"/>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测试各接口双方的通电连续性及数据连接状态。测试在线缆物理连接后在现场进行。</w:t>
            </w:r>
          </w:p>
        </w:tc>
      </w:tr>
    </w:tbl>
    <w:p>
      <w:pPr>
        <w:pStyle w:val="14"/>
        <w:ind w:firstLine="480"/>
        <w:rPr>
          <w:sz w:val="24"/>
          <w:lang w:val="en-US"/>
        </w:rPr>
      </w:pPr>
    </w:p>
    <w:p>
      <w:pPr>
        <w:pStyle w:val="4"/>
        <w:spacing w:line="480" w:lineRule="exact"/>
        <w:ind w:firstLine="560"/>
      </w:pPr>
      <w:bookmarkStart w:id="39" w:name="_Toc20810"/>
      <w:r>
        <w:rPr>
          <w:rFonts w:hint="eastAsia"/>
        </w:rPr>
        <w:t>线网广播系统与线路广播系统的接口</w:t>
      </w:r>
      <w:bookmarkEnd w:id="39"/>
    </w:p>
    <w:p>
      <w:pPr>
        <w:numPr>
          <w:ilvl w:val="3"/>
          <w:numId w:val="0"/>
        </w:numPr>
        <w:tabs>
          <w:tab w:val="left" w:pos="840"/>
          <w:tab w:val="left" w:pos="900"/>
        </w:tabs>
        <w:spacing w:line="360" w:lineRule="auto"/>
        <w:ind w:firstLine="420" w:firstLineChars="200"/>
        <w:rPr>
          <w:rFonts w:ascii="宋体" w:hAnsi="宋体"/>
          <w:szCs w:val="21"/>
        </w:rPr>
      </w:pPr>
      <w:r>
        <w:rPr>
          <w:rFonts w:hint="eastAsia" w:ascii="宋体" w:hAnsi="宋体"/>
          <w:szCs w:val="21"/>
        </w:rPr>
        <w:t>本工程将十号线、十二号线、十八号线、二十二号线、十四号线二期、三号线东延、五号线东延、七号线二期</w:t>
      </w:r>
      <w:r>
        <w:rPr>
          <w:rFonts w:hint="eastAsia"/>
          <w:szCs w:val="21"/>
        </w:rPr>
        <w:t>（含七号线西延）</w:t>
      </w:r>
      <w:r>
        <w:rPr>
          <w:rFonts w:hint="eastAsia" w:ascii="宋体" w:hAnsi="宋体"/>
          <w:szCs w:val="21"/>
        </w:rPr>
        <w:t>、十三号线二期广播系统接入线网广播系统，以构成线网广播的COCC-OCC-车站三级架构，实现COCC相关调度人员通过线网广播系统对线路控制中心及车站进行语音广播，播放通告、指挥疏导信息等的功能。</w:t>
      </w:r>
    </w:p>
    <w:p>
      <w:pPr>
        <w:numPr>
          <w:ilvl w:val="3"/>
          <w:numId w:val="0"/>
        </w:numPr>
        <w:tabs>
          <w:tab w:val="left" w:pos="840"/>
          <w:tab w:val="left" w:pos="900"/>
        </w:tabs>
        <w:spacing w:line="360" w:lineRule="auto"/>
        <w:ind w:firstLine="420" w:firstLineChars="200"/>
        <w:rPr>
          <w:rFonts w:ascii="宋体" w:hAnsi="宋体"/>
          <w:szCs w:val="21"/>
        </w:rPr>
      </w:pPr>
      <w:r>
        <w:rPr>
          <w:rFonts w:hint="eastAsia" w:ascii="宋体" w:hAnsi="宋体"/>
          <w:szCs w:val="21"/>
        </w:rPr>
        <w:t>1）接口示意图</w:t>
      </w:r>
    </w:p>
    <w:p>
      <w:pPr>
        <w:jc w:val="center"/>
        <w:rPr>
          <w:rFonts w:asciiTheme="minorEastAsia" w:hAnsiTheme="minorEastAsia" w:eastAsiaTheme="minorEastAsia" w:cstheme="minorBidi"/>
        </w:rPr>
      </w:pPr>
      <w:r>
        <w:rPr>
          <w:rFonts w:hint="eastAsia" w:asciiTheme="minorEastAsia" w:hAnsiTheme="minorEastAsia" w:eastAsiaTheme="minorEastAsia" w:cstheme="minorBidi"/>
        </w:rPr>
        <w:object>
          <v:shape id="_x0000_i1032" o:spt="75" type="#_x0000_t75" style="height:231pt;width:378pt;" o:ole="t" filled="f" o:preferrelative="t" stroked="f" coordsize="21600,21600">
            <v:path/>
            <v:fill on="f" focussize="0,0"/>
            <v:stroke on="f" joinstyle="miter"/>
            <v:imagedata r:id="rId32" o:title=""/>
            <o:lock v:ext="edit" aspectratio="t"/>
            <w10:wrap type="none"/>
            <w10:anchorlock/>
          </v:shape>
          <o:OLEObject Type="Embed" ProgID="Visio.Drawing.11" ShapeID="_x0000_i1032" DrawAspect="Content" ObjectID="_1468075735" r:id="rId31">
            <o:LockedField>false</o:LockedField>
          </o:OLEObject>
        </w:object>
      </w:r>
    </w:p>
    <w:p>
      <w:pPr>
        <w:pStyle w:val="14"/>
        <w:ind w:firstLine="480"/>
        <w:rPr>
          <w:sz w:val="24"/>
        </w:rPr>
      </w:pPr>
      <w:r>
        <w:rPr>
          <w:rFonts w:hint="eastAsia"/>
          <w:sz w:val="24"/>
        </w:rPr>
        <w:t>2）接口内容</w:t>
      </w:r>
    </w:p>
    <w:tbl>
      <w:tblPr>
        <w:tblStyle w:val="32"/>
        <w:tblW w:w="4999" w:type="pct"/>
        <w:jc w:val="center"/>
        <w:tblLayout w:type="autofit"/>
        <w:tblCellMar>
          <w:top w:w="0" w:type="dxa"/>
          <w:left w:w="108" w:type="dxa"/>
          <w:bottom w:w="0" w:type="dxa"/>
          <w:right w:w="108" w:type="dxa"/>
        </w:tblCellMar>
      </w:tblPr>
      <w:tblGrid>
        <w:gridCol w:w="1605"/>
        <w:gridCol w:w="3458"/>
        <w:gridCol w:w="3457"/>
      </w:tblGrid>
      <w:tr>
        <w:tblPrEx>
          <w:tblCellMar>
            <w:top w:w="0" w:type="dxa"/>
            <w:left w:w="108" w:type="dxa"/>
            <w:bottom w:w="0" w:type="dxa"/>
            <w:right w:w="108" w:type="dxa"/>
          </w:tblCellMar>
        </w:tblPrEx>
        <w:trPr>
          <w:trHeight w:val="397" w:hRule="atLeast"/>
          <w:tblHeader/>
          <w:jc w:val="center"/>
        </w:trPr>
        <w:tc>
          <w:tcPr>
            <w:tcW w:w="942"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内容</w:t>
            </w:r>
          </w:p>
        </w:tc>
        <w:tc>
          <w:tcPr>
            <w:tcW w:w="4057" w:type="pct"/>
            <w:gridSpan w:val="2"/>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说明</w:t>
            </w:r>
          </w:p>
        </w:tc>
      </w:tr>
      <w:tr>
        <w:tblPrEx>
          <w:tblCellMar>
            <w:top w:w="0" w:type="dxa"/>
            <w:left w:w="108" w:type="dxa"/>
            <w:bottom w:w="0" w:type="dxa"/>
            <w:right w:w="108" w:type="dxa"/>
          </w:tblCellMar>
        </w:tblPrEx>
        <w:trPr>
          <w:trHeight w:val="397" w:hRule="atLeast"/>
          <w:jc w:val="center"/>
        </w:trPr>
        <w:tc>
          <w:tcPr>
            <w:tcW w:w="942"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接口编号</w:t>
            </w:r>
          </w:p>
        </w:tc>
        <w:tc>
          <w:tcPr>
            <w:tcW w:w="4057"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COCC.XLGB.01</w:t>
            </w:r>
          </w:p>
        </w:tc>
      </w:tr>
      <w:tr>
        <w:tblPrEx>
          <w:tblCellMar>
            <w:top w:w="0" w:type="dxa"/>
            <w:left w:w="108" w:type="dxa"/>
            <w:bottom w:w="0" w:type="dxa"/>
            <w:right w:w="108" w:type="dxa"/>
          </w:tblCellMar>
        </w:tblPrEx>
        <w:trPr>
          <w:trHeight w:val="397" w:hRule="atLeast"/>
          <w:jc w:val="center"/>
        </w:trPr>
        <w:tc>
          <w:tcPr>
            <w:tcW w:w="942"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接口分界点</w:t>
            </w:r>
          </w:p>
        </w:tc>
        <w:tc>
          <w:tcPr>
            <w:tcW w:w="4057"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u w:val="dotted"/>
              </w:rPr>
              <w:t>C</w:t>
            </w:r>
            <w:r>
              <w:rPr>
                <w:rFonts w:hint="eastAsia"/>
                <w:szCs w:val="21"/>
              </w:rPr>
              <w:t>OCC</w:t>
            </w:r>
            <w:r>
              <w:rPr>
                <w:rFonts w:hint="eastAsia" w:ascii="宋体" w:hAnsi="宋体" w:cs="宋体"/>
                <w:szCs w:val="21"/>
              </w:rPr>
              <w:t>线网通信汇聚交换机处</w:t>
            </w:r>
          </w:p>
        </w:tc>
      </w:tr>
      <w:tr>
        <w:tblPrEx>
          <w:tblCellMar>
            <w:top w:w="0" w:type="dxa"/>
            <w:left w:w="108" w:type="dxa"/>
            <w:bottom w:w="0" w:type="dxa"/>
            <w:right w:w="108" w:type="dxa"/>
          </w:tblCellMar>
        </w:tblPrEx>
        <w:trPr>
          <w:trHeight w:val="397" w:hRule="atLeast"/>
          <w:jc w:val="center"/>
        </w:trPr>
        <w:tc>
          <w:tcPr>
            <w:tcW w:w="942"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接口数量</w:t>
            </w:r>
          </w:p>
        </w:tc>
        <w:tc>
          <w:tcPr>
            <w:tcW w:w="4057"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rPr>
              <w:t>线网通信汇聚交换机分配给赤沙OCC 4个，陇枕OCC 1个，大石OCC 2个，镇龙OCC 2个</w:t>
            </w:r>
          </w:p>
        </w:tc>
      </w:tr>
      <w:tr>
        <w:tblPrEx>
          <w:tblCellMar>
            <w:top w:w="0" w:type="dxa"/>
            <w:left w:w="108" w:type="dxa"/>
            <w:bottom w:w="0" w:type="dxa"/>
            <w:right w:w="108" w:type="dxa"/>
          </w:tblCellMar>
        </w:tblPrEx>
        <w:trPr>
          <w:trHeight w:val="397" w:hRule="atLeast"/>
          <w:jc w:val="center"/>
        </w:trPr>
        <w:tc>
          <w:tcPr>
            <w:tcW w:w="942"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接口类型</w:t>
            </w:r>
          </w:p>
        </w:tc>
        <w:tc>
          <w:tcPr>
            <w:tcW w:w="4057"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GE电口或光口</w:t>
            </w:r>
          </w:p>
        </w:tc>
      </w:tr>
      <w:tr>
        <w:tblPrEx>
          <w:tblCellMar>
            <w:top w:w="0" w:type="dxa"/>
            <w:left w:w="108" w:type="dxa"/>
            <w:bottom w:w="0" w:type="dxa"/>
            <w:right w:w="108" w:type="dxa"/>
          </w:tblCellMar>
        </w:tblPrEx>
        <w:trPr>
          <w:trHeight w:val="397" w:hRule="atLeast"/>
          <w:jc w:val="center"/>
        </w:trPr>
        <w:tc>
          <w:tcPr>
            <w:tcW w:w="942"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物理接口</w:t>
            </w:r>
          </w:p>
        </w:tc>
        <w:tc>
          <w:tcPr>
            <w:tcW w:w="4057"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RJ45或单模光口</w:t>
            </w:r>
          </w:p>
        </w:tc>
      </w:tr>
      <w:tr>
        <w:tblPrEx>
          <w:tblCellMar>
            <w:top w:w="0" w:type="dxa"/>
            <w:left w:w="108" w:type="dxa"/>
            <w:bottom w:w="0" w:type="dxa"/>
            <w:right w:w="108" w:type="dxa"/>
          </w:tblCellMar>
        </w:tblPrEx>
        <w:trPr>
          <w:trHeight w:val="397" w:hRule="atLeast"/>
          <w:jc w:val="center"/>
        </w:trPr>
        <w:tc>
          <w:tcPr>
            <w:tcW w:w="942"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线缆规格</w:t>
            </w:r>
          </w:p>
        </w:tc>
        <w:tc>
          <w:tcPr>
            <w:tcW w:w="4057"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六类非屏蔽双绞线或单模光纤</w:t>
            </w:r>
          </w:p>
        </w:tc>
      </w:tr>
      <w:tr>
        <w:tblPrEx>
          <w:tblCellMar>
            <w:top w:w="0" w:type="dxa"/>
            <w:left w:w="108" w:type="dxa"/>
            <w:bottom w:w="0" w:type="dxa"/>
            <w:right w:w="108" w:type="dxa"/>
          </w:tblCellMar>
        </w:tblPrEx>
        <w:trPr>
          <w:trHeight w:val="397" w:hRule="atLeast"/>
          <w:jc w:val="center"/>
        </w:trPr>
        <w:tc>
          <w:tcPr>
            <w:tcW w:w="942"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接口用途</w:t>
            </w:r>
          </w:p>
        </w:tc>
        <w:tc>
          <w:tcPr>
            <w:tcW w:w="4057"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rPr>
              <w:t>各线路广播系统通过线路交换机接入骨干网传输，实现COCC线网广播系统与OCC线路广播系统之间的对接，实现COCC相关调度人员通过线网广播系统对线路控制中心及车站进行语音广播，播放通告、指挥疏导信息等的功能。</w:t>
            </w:r>
          </w:p>
        </w:tc>
      </w:tr>
      <w:tr>
        <w:tblPrEx>
          <w:tblCellMar>
            <w:top w:w="0" w:type="dxa"/>
            <w:left w:w="108" w:type="dxa"/>
            <w:bottom w:w="0" w:type="dxa"/>
            <w:right w:w="108" w:type="dxa"/>
          </w:tblCellMar>
        </w:tblPrEx>
        <w:trPr>
          <w:trHeight w:val="397" w:hRule="atLeast"/>
          <w:jc w:val="center"/>
        </w:trPr>
        <w:tc>
          <w:tcPr>
            <w:tcW w:w="942" w:type="pct"/>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相关方责任</w:t>
            </w:r>
          </w:p>
        </w:tc>
        <w:tc>
          <w:tcPr>
            <w:tcW w:w="2029"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XLGB</w:t>
            </w:r>
          </w:p>
        </w:tc>
        <w:tc>
          <w:tcPr>
            <w:tcW w:w="2027"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COCC</w:t>
            </w:r>
          </w:p>
        </w:tc>
      </w:tr>
      <w:tr>
        <w:tblPrEx>
          <w:tblCellMar>
            <w:top w:w="0" w:type="dxa"/>
            <w:left w:w="108" w:type="dxa"/>
            <w:bottom w:w="0" w:type="dxa"/>
            <w:right w:w="108" w:type="dxa"/>
          </w:tblCellMar>
        </w:tblPrEx>
        <w:trPr>
          <w:trHeight w:val="397" w:hRule="atLeast"/>
          <w:jc w:val="center"/>
        </w:trPr>
        <w:tc>
          <w:tcPr>
            <w:tcW w:w="942"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szCs w:val="21"/>
              </w:rPr>
            </w:pPr>
          </w:p>
        </w:tc>
        <w:tc>
          <w:tcPr>
            <w:tcW w:w="2029"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负责接线、敷设电缆，开放接口协议及SDK包等相关接口文件，负责将各线路广播接入COCC，负责接口调试。</w:t>
            </w:r>
          </w:p>
        </w:tc>
        <w:tc>
          <w:tcPr>
            <w:tcW w:w="2027" w:type="pct"/>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提供满足要求的对接端口，负责COCC内的接线、敷设电缆，，配合进行接口开发及实施，配合接口调试。</w:t>
            </w:r>
          </w:p>
        </w:tc>
      </w:tr>
      <w:tr>
        <w:tblPrEx>
          <w:tblCellMar>
            <w:top w:w="0" w:type="dxa"/>
            <w:left w:w="108" w:type="dxa"/>
            <w:bottom w:w="0" w:type="dxa"/>
            <w:right w:w="108" w:type="dxa"/>
          </w:tblCellMar>
        </w:tblPrEx>
        <w:trPr>
          <w:trHeight w:val="397" w:hRule="atLeast"/>
          <w:jc w:val="center"/>
        </w:trPr>
        <w:tc>
          <w:tcPr>
            <w:tcW w:w="942"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接口测试</w:t>
            </w:r>
          </w:p>
        </w:tc>
        <w:tc>
          <w:tcPr>
            <w:tcW w:w="4057" w:type="pct"/>
            <w:gridSpan w:val="2"/>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测试各接口双方的通电连续性及数据连接状态。测试在线缆物理连接后在现场进行。</w:t>
            </w:r>
          </w:p>
        </w:tc>
      </w:tr>
    </w:tbl>
    <w:p/>
    <w:p>
      <w:pPr>
        <w:pStyle w:val="4"/>
        <w:spacing w:line="480" w:lineRule="exact"/>
        <w:ind w:firstLine="560"/>
      </w:pPr>
      <w:bookmarkStart w:id="40" w:name="_Toc4021"/>
      <w:r>
        <w:rPr>
          <w:rFonts w:hint="eastAsia"/>
        </w:rPr>
        <w:t>线网时钟系统与线路时钟系统的接口</w:t>
      </w:r>
      <w:bookmarkEnd w:id="40"/>
    </w:p>
    <w:p>
      <w:pPr>
        <w:numPr>
          <w:ilvl w:val="3"/>
          <w:numId w:val="0"/>
        </w:numPr>
        <w:tabs>
          <w:tab w:val="left" w:pos="840"/>
          <w:tab w:val="left" w:pos="900"/>
        </w:tabs>
        <w:spacing w:line="360" w:lineRule="auto"/>
        <w:ind w:firstLine="420" w:firstLineChars="200"/>
        <w:rPr>
          <w:rFonts w:ascii="宋体" w:hAnsi="宋体"/>
          <w:szCs w:val="21"/>
        </w:rPr>
      </w:pPr>
      <w:r>
        <w:rPr>
          <w:rFonts w:hint="eastAsia" w:ascii="宋体" w:hAnsi="宋体"/>
          <w:szCs w:val="21"/>
        </w:rPr>
        <w:t>1）接口示意图</w:t>
      </w:r>
    </w:p>
    <w:p>
      <w:pPr>
        <w:jc w:val="center"/>
        <w:rPr>
          <w:rFonts w:asciiTheme="minorEastAsia" w:hAnsiTheme="minorEastAsia" w:eastAsiaTheme="minorEastAsia" w:cstheme="minorBidi"/>
        </w:rPr>
      </w:pPr>
      <w:r>
        <w:rPr>
          <w:rFonts w:hint="eastAsia" w:asciiTheme="minorEastAsia" w:hAnsiTheme="minorEastAsia" w:eastAsiaTheme="minorEastAsia" w:cstheme="minorBidi"/>
        </w:rPr>
        <w:object>
          <v:shape id="_x0000_i1033" o:spt="75" type="#_x0000_t75" style="height:232.5pt;width:381pt;" o:ole="t" filled="f" o:preferrelative="t" stroked="f" coordsize="21600,21600">
            <v:path/>
            <v:fill on="f" focussize="0,0"/>
            <v:stroke on="f"/>
            <v:imagedata r:id="rId34" o:title=""/>
            <o:lock v:ext="edit" aspectratio="t"/>
            <w10:wrap type="none"/>
            <w10:anchorlock/>
          </v:shape>
          <o:OLEObject Type="Embed" ProgID="Visio.Drawing.11" ShapeID="_x0000_i1033" DrawAspect="Content" ObjectID="_1468075736" r:id="rId33">
            <o:LockedField>false</o:LockedField>
          </o:OLEObject>
        </w:object>
      </w:r>
    </w:p>
    <w:p>
      <w:pPr>
        <w:numPr>
          <w:ilvl w:val="3"/>
          <w:numId w:val="0"/>
        </w:numPr>
        <w:tabs>
          <w:tab w:val="left" w:pos="840"/>
          <w:tab w:val="left" w:pos="900"/>
        </w:tabs>
        <w:spacing w:line="360" w:lineRule="auto"/>
        <w:ind w:firstLine="420" w:firstLineChars="200"/>
        <w:rPr>
          <w:rFonts w:ascii="宋体" w:hAnsi="宋体"/>
          <w:szCs w:val="21"/>
        </w:rPr>
      </w:pPr>
      <w:r>
        <w:rPr>
          <w:rFonts w:hint="eastAsia" w:ascii="宋体" w:hAnsi="宋体"/>
          <w:szCs w:val="21"/>
        </w:rPr>
        <w:t>2）接口内容</w:t>
      </w:r>
    </w:p>
    <w:tbl>
      <w:tblPr>
        <w:tblStyle w:val="32"/>
        <w:tblW w:w="4998" w:type="pct"/>
        <w:jc w:val="center"/>
        <w:tblLayout w:type="autofit"/>
        <w:tblCellMar>
          <w:top w:w="0" w:type="dxa"/>
          <w:left w:w="108" w:type="dxa"/>
          <w:bottom w:w="0" w:type="dxa"/>
          <w:right w:w="108" w:type="dxa"/>
        </w:tblCellMar>
      </w:tblPr>
      <w:tblGrid>
        <w:gridCol w:w="1409"/>
        <w:gridCol w:w="3253"/>
        <w:gridCol w:w="3857"/>
      </w:tblGrid>
      <w:tr>
        <w:tblPrEx>
          <w:tblCellMar>
            <w:top w:w="0" w:type="dxa"/>
            <w:left w:w="108" w:type="dxa"/>
            <w:bottom w:w="0" w:type="dxa"/>
            <w:right w:w="108" w:type="dxa"/>
          </w:tblCellMar>
        </w:tblPrEx>
        <w:trPr>
          <w:trHeight w:val="397" w:hRule="atLeast"/>
          <w:tblHeader/>
          <w:jc w:val="center"/>
        </w:trPr>
        <w:tc>
          <w:tcPr>
            <w:tcW w:w="827"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内容</w:t>
            </w:r>
          </w:p>
        </w:tc>
        <w:tc>
          <w:tcPr>
            <w:tcW w:w="4172" w:type="pct"/>
            <w:gridSpan w:val="2"/>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说明</w:t>
            </w:r>
          </w:p>
        </w:tc>
      </w:tr>
      <w:tr>
        <w:tblPrEx>
          <w:tblCellMar>
            <w:top w:w="0" w:type="dxa"/>
            <w:left w:w="108" w:type="dxa"/>
            <w:bottom w:w="0" w:type="dxa"/>
            <w:right w:w="108" w:type="dxa"/>
          </w:tblCellMar>
        </w:tblPrEx>
        <w:trPr>
          <w:trHeight w:val="397" w:hRule="atLeast"/>
          <w:jc w:val="center"/>
        </w:trPr>
        <w:tc>
          <w:tcPr>
            <w:tcW w:w="827"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接口编号</w:t>
            </w:r>
          </w:p>
        </w:tc>
        <w:tc>
          <w:tcPr>
            <w:tcW w:w="4172"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COCC.XLSZ.01</w:t>
            </w:r>
          </w:p>
        </w:tc>
      </w:tr>
      <w:tr>
        <w:tblPrEx>
          <w:tblCellMar>
            <w:top w:w="0" w:type="dxa"/>
            <w:left w:w="108" w:type="dxa"/>
            <w:bottom w:w="0" w:type="dxa"/>
            <w:right w:w="108" w:type="dxa"/>
          </w:tblCellMar>
        </w:tblPrEx>
        <w:trPr>
          <w:trHeight w:val="397" w:hRule="atLeast"/>
          <w:jc w:val="center"/>
        </w:trPr>
        <w:tc>
          <w:tcPr>
            <w:tcW w:w="827"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接口分界点</w:t>
            </w:r>
          </w:p>
        </w:tc>
        <w:tc>
          <w:tcPr>
            <w:tcW w:w="4172"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rPr>
              <w:t>COC</w:t>
            </w:r>
            <w:r>
              <w:rPr>
                <w:rFonts w:hint="eastAsia"/>
                <w:szCs w:val="21"/>
                <w:u w:val="dotted"/>
              </w:rPr>
              <w:t xml:space="preserve">C </w:t>
            </w:r>
            <w:r>
              <w:rPr>
                <w:rFonts w:hint="eastAsia"/>
                <w:szCs w:val="21"/>
              </w:rPr>
              <w:t>NTP授时</w:t>
            </w:r>
            <w:r>
              <w:rPr>
                <w:rFonts w:hint="eastAsia" w:ascii="宋体" w:hAnsi="宋体" w:cs="宋体"/>
                <w:szCs w:val="21"/>
              </w:rPr>
              <w:t>端子处。</w:t>
            </w:r>
          </w:p>
        </w:tc>
      </w:tr>
      <w:tr>
        <w:tblPrEx>
          <w:tblCellMar>
            <w:top w:w="0" w:type="dxa"/>
            <w:left w:w="108" w:type="dxa"/>
            <w:bottom w:w="0" w:type="dxa"/>
            <w:right w:w="108" w:type="dxa"/>
          </w:tblCellMar>
        </w:tblPrEx>
        <w:trPr>
          <w:trHeight w:val="397" w:hRule="atLeast"/>
          <w:jc w:val="center"/>
        </w:trPr>
        <w:tc>
          <w:tcPr>
            <w:tcW w:w="827"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接口数量</w:t>
            </w:r>
          </w:p>
        </w:tc>
        <w:tc>
          <w:tcPr>
            <w:tcW w:w="4172"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rPr>
              <w:t>NTP接口单元</w:t>
            </w:r>
            <w:r>
              <w:rPr>
                <w:rFonts w:hint="eastAsia"/>
                <w:szCs w:val="21"/>
                <w:lang w:val="en-US" w:eastAsia="zh-CN"/>
              </w:rPr>
              <w:t>暂定</w:t>
            </w:r>
            <w:r>
              <w:rPr>
                <w:rFonts w:hint="eastAsia"/>
                <w:szCs w:val="21"/>
              </w:rPr>
              <w:t>分配给赤沙OCC 4个，陇枕OCC 1个，大石OCC 2个，镇龙OCC 2个</w:t>
            </w:r>
          </w:p>
        </w:tc>
      </w:tr>
      <w:tr>
        <w:tblPrEx>
          <w:tblCellMar>
            <w:top w:w="0" w:type="dxa"/>
            <w:left w:w="108" w:type="dxa"/>
            <w:bottom w:w="0" w:type="dxa"/>
            <w:right w:w="108" w:type="dxa"/>
          </w:tblCellMar>
        </w:tblPrEx>
        <w:trPr>
          <w:trHeight w:val="397" w:hRule="atLeast"/>
          <w:jc w:val="center"/>
        </w:trPr>
        <w:tc>
          <w:tcPr>
            <w:tcW w:w="827"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接口类型</w:t>
            </w:r>
          </w:p>
        </w:tc>
        <w:tc>
          <w:tcPr>
            <w:tcW w:w="4172"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NTP</w:t>
            </w:r>
          </w:p>
        </w:tc>
      </w:tr>
      <w:tr>
        <w:tblPrEx>
          <w:tblCellMar>
            <w:top w:w="0" w:type="dxa"/>
            <w:left w:w="108" w:type="dxa"/>
            <w:bottom w:w="0" w:type="dxa"/>
            <w:right w:w="108" w:type="dxa"/>
          </w:tblCellMar>
        </w:tblPrEx>
        <w:trPr>
          <w:trHeight w:val="397" w:hRule="atLeast"/>
          <w:jc w:val="center"/>
        </w:trPr>
        <w:tc>
          <w:tcPr>
            <w:tcW w:w="827"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物理接口</w:t>
            </w:r>
          </w:p>
        </w:tc>
        <w:tc>
          <w:tcPr>
            <w:tcW w:w="4172"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rPr>
              <w:t>基于</w:t>
            </w:r>
            <w:r>
              <w:rPr>
                <w:szCs w:val="21"/>
              </w:rPr>
              <w:t>NTP</w:t>
            </w:r>
            <w:r>
              <w:rPr>
                <w:rFonts w:hint="eastAsia"/>
                <w:szCs w:val="21"/>
              </w:rPr>
              <w:t>的以太网接口</w:t>
            </w:r>
          </w:p>
        </w:tc>
      </w:tr>
      <w:tr>
        <w:tblPrEx>
          <w:tblCellMar>
            <w:top w:w="0" w:type="dxa"/>
            <w:left w:w="108" w:type="dxa"/>
            <w:bottom w:w="0" w:type="dxa"/>
            <w:right w:w="108" w:type="dxa"/>
          </w:tblCellMar>
        </w:tblPrEx>
        <w:trPr>
          <w:trHeight w:val="397" w:hRule="atLeast"/>
          <w:jc w:val="center"/>
        </w:trPr>
        <w:tc>
          <w:tcPr>
            <w:tcW w:w="827"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线缆规格</w:t>
            </w:r>
          </w:p>
        </w:tc>
        <w:tc>
          <w:tcPr>
            <w:tcW w:w="4172"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六类屏蔽双绞线</w:t>
            </w:r>
          </w:p>
        </w:tc>
      </w:tr>
      <w:tr>
        <w:tblPrEx>
          <w:tblCellMar>
            <w:top w:w="0" w:type="dxa"/>
            <w:left w:w="108" w:type="dxa"/>
            <w:bottom w:w="0" w:type="dxa"/>
            <w:right w:w="108" w:type="dxa"/>
          </w:tblCellMar>
        </w:tblPrEx>
        <w:trPr>
          <w:trHeight w:val="397" w:hRule="atLeast"/>
          <w:jc w:val="center"/>
        </w:trPr>
        <w:tc>
          <w:tcPr>
            <w:tcW w:w="827"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接口用途</w:t>
            </w:r>
          </w:p>
        </w:tc>
        <w:tc>
          <w:tcPr>
            <w:tcW w:w="4172"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十三五新线各线路时钟系统</w:t>
            </w:r>
            <w:r>
              <w:rPr>
                <w:rFonts w:hint="eastAsia"/>
                <w:szCs w:val="21"/>
              </w:rPr>
              <w:t>通过线网骨干网传输，</w:t>
            </w:r>
            <w:r>
              <w:rPr>
                <w:rFonts w:hint="eastAsia" w:ascii="宋体" w:hAnsi="宋体" w:cs="宋体"/>
                <w:szCs w:val="21"/>
              </w:rPr>
              <w:t>从线网时钟系统获取标准时钟信号，以实现全网时钟同步；</w:t>
            </w:r>
          </w:p>
        </w:tc>
      </w:tr>
      <w:tr>
        <w:tblPrEx>
          <w:tblCellMar>
            <w:top w:w="0" w:type="dxa"/>
            <w:left w:w="108" w:type="dxa"/>
            <w:bottom w:w="0" w:type="dxa"/>
            <w:right w:w="108" w:type="dxa"/>
          </w:tblCellMar>
        </w:tblPrEx>
        <w:trPr>
          <w:trHeight w:val="397" w:hRule="atLeast"/>
          <w:jc w:val="center"/>
        </w:trPr>
        <w:tc>
          <w:tcPr>
            <w:tcW w:w="827" w:type="pct"/>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相关方责任</w:t>
            </w:r>
          </w:p>
        </w:tc>
        <w:tc>
          <w:tcPr>
            <w:tcW w:w="1909"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线路时钟</w:t>
            </w:r>
          </w:p>
        </w:tc>
        <w:tc>
          <w:tcPr>
            <w:tcW w:w="2262"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线网时钟</w:t>
            </w:r>
          </w:p>
        </w:tc>
      </w:tr>
      <w:tr>
        <w:tblPrEx>
          <w:tblCellMar>
            <w:top w:w="0" w:type="dxa"/>
            <w:left w:w="108" w:type="dxa"/>
            <w:bottom w:w="0" w:type="dxa"/>
            <w:right w:w="108" w:type="dxa"/>
          </w:tblCellMar>
        </w:tblPrEx>
        <w:trPr>
          <w:trHeight w:val="397" w:hRule="atLeast"/>
          <w:jc w:val="center"/>
        </w:trPr>
        <w:tc>
          <w:tcPr>
            <w:tcW w:w="827"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szCs w:val="21"/>
              </w:rPr>
            </w:pPr>
          </w:p>
        </w:tc>
        <w:tc>
          <w:tcPr>
            <w:tcW w:w="1909"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提出要求，负责接线、敷设电缆，负责传输通道的实现，负责接口调试。</w:t>
            </w:r>
          </w:p>
        </w:tc>
        <w:tc>
          <w:tcPr>
            <w:tcW w:w="2262" w:type="pct"/>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提供满足各系统要求的标准时钟信号及接线端口，配合接口调试</w:t>
            </w:r>
          </w:p>
        </w:tc>
      </w:tr>
      <w:tr>
        <w:tblPrEx>
          <w:tblCellMar>
            <w:top w:w="0" w:type="dxa"/>
            <w:left w:w="108" w:type="dxa"/>
            <w:bottom w:w="0" w:type="dxa"/>
            <w:right w:w="108" w:type="dxa"/>
          </w:tblCellMar>
        </w:tblPrEx>
        <w:trPr>
          <w:trHeight w:val="397" w:hRule="atLeast"/>
          <w:jc w:val="center"/>
        </w:trPr>
        <w:tc>
          <w:tcPr>
            <w:tcW w:w="827"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接口测试</w:t>
            </w:r>
          </w:p>
        </w:tc>
        <w:tc>
          <w:tcPr>
            <w:tcW w:w="4172" w:type="pct"/>
            <w:gridSpan w:val="2"/>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测试各接口双方的通电连续性及数据连接状态。测试在线缆物理连接后在现场进行。</w:t>
            </w:r>
          </w:p>
        </w:tc>
      </w:tr>
    </w:tbl>
    <w:p/>
    <w:p>
      <w:pPr>
        <w:pStyle w:val="4"/>
        <w:spacing w:line="480" w:lineRule="exact"/>
        <w:ind w:firstLine="560"/>
      </w:pPr>
      <w:bookmarkStart w:id="41" w:name="_Toc29549"/>
      <w:r>
        <w:rPr>
          <w:rFonts w:hint="eastAsia"/>
        </w:rPr>
        <w:t>线网广播系统与COCC一期线网调度电话系统的接口</w:t>
      </w:r>
      <w:bookmarkEnd w:id="41"/>
    </w:p>
    <w:p>
      <w:pPr>
        <w:pStyle w:val="14"/>
        <w:ind w:firstLine="420"/>
        <w:rPr>
          <w:sz w:val="21"/>
          <w:szCs w:val="21"/>
        </w:rPr>
      </w:pPr>
      <w:r>
        <w:rPr>
          <w:rFonts w:hint="eastAsia"/>
          <w:sz w:val="21"/>
          <w:szCs w:val="21"/>
        </w:rPr>
        <w:t>1）接口示意图</w:t>
      </w:r>
    </w:p>
    <w:p>
      <w:pPr>
        <w:jc w:val="center"/>
        <w:rPr>
          <w:rFonts w:asciiTheme="minorEastAsia" w:hAnsiTheme="minorEastAsia" w:eastAsiaTheme="minorEastAsia" w:cstheme="minorBidi"/>
          <w:szCs w:val="21"/>
        </w:rPr>
      </w:pPr>
      <w:r>
        <w:rPr>
          <w:rFonts w:hint="eastAsia" w:asciiTheme="minorEastAsia" w:hAnsiTheme="minorEastAsia" w:eastAsiaTheme="minorEastAsia" w:cstheme="minorBidi"/>
        </w:rPr>
        <w:object>
          <v:shape id="_x0000_i1034" o:spt="75" type="#_x0000_t75" style="height:222pt;width:366pt;" o:ole="t" filled="f" o:preferrelative="t" stroked="f" coordsize="21600,21600">
            <v:path/>
            <v:fill on="f" focussize="0,0"/>
            <v:stroke on="f" joinstyle="miter"/>
            <v:imagedata r:id="rId36" o:title=""/>
            <o:lock v:ext="edit" aspectratio="t"/>
            <w10:wrap type="none"/>
            <w10:anchorlock/>
          </v:shape>
          <o:OLEObject Type="Embed" ProgID="Visio.Drawing.11" ShapeID="_x0000_i1034" DrawAspect="Content" ObjectID="_1468075737" r:id="rId35">
            <o:LockedField>false</o:LockedField>
          </o:OLEObject>
        </w:object>
      </w:r>
    </w:p>
    <w:p>
      <w:pPr>
        <w:pStyle w:val="14"/>
        <w:ind w:firstLine="420"/>
        <w:rPr>
          <w:sz w:val="21"/>
          <w:szCs w:val="21"/>
        </w:rPr>
      </w:pPr>
      <w:r>
        <w:rPr>
          <w:rFonts w:hint="eastAsia"/>
          <w:sz w:val="21"/>
          <w:szCs w:val="21"/>
        </w:rPr>
        <w:t>2）接口内容</w:t>
      </w:r>
    </w:p>
    <w:tbl>
      <w:tblPr>
        <w:tblStyle w:val="32"/>
        <w:tblW w:w="4999" w:type="pct"/>
        <w:jc w:val="center"/>
        <w:tblLayout w:type="autofit"/>
        <w:tblCellMar>
          <w:top w:w="0" w:type="dxa"/>
          <w:left w:w="108" w:type="dxa"/>
          <w:bottom w:w="0" w:type="dxa"/>
          <w:right w:w="108" w:type="dxa"/>
        </w:tblCellMar>
      </w:tblPr>
      <w:tblGrid>
        <w:gridCol w:w="1609"/>
        <w:gridCol w:w="3453"/>
        <w:gridCol w:w="3458"/>
      </w:tblGrid>
      <w:tr>
        <w:tblPrEx>
          <w:tblCellMar>
            <w:top w:w="0" w:type="dxa"/>
            <w:left w:w="108" w:type="dxa"/>
            <w:bottom w:w="0" w:type="dxa"/>
            <w:right w:w="108" w:type="dxa"/>
          </w:tblCellMar>
        </w:tblPrEx>
        <w:trPr>
          <w:trHeight w:val="397" w:hRule="atLeast"/>
          <w:tblHeader/>
          <w:jc w:val="center"/>
        </w:trPr>
        <w:tc>
          <w:tcPr>
            <w:tcW w:w="944"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内容</w:t>
            </w:r>
          </w:p>
        </w:tc>
        <w:tc>
          <w:tcPr>
            <w:tcW w:w="4055" w:type="pct"/>
            <w:gridSpan w:val="2"/>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说明</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接口编号</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TX3.XW1.01</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接口分界点</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COCC一期线网</w:t>
            </w:r>
            <w:r>
              <w:rPr>
                <w:rFonts w:hint="eastAsia" w:cs="宋体"/>
                <w:szCs w:val="21"/>
              </w:rPr>
              <w:t>调度电话</w:t>
            </w:r>
            <w:r>
              <w:rPr>
                <w:rFonts w:hint="eastAsia" w:ascii="宋体" w:hAnsi="宋体" w:cs="宋体"/>
                <w:szCs w:val="21"/>
              </w:rPr>
              <w:t>系统设备接线端子</w:t>
            </w:r>
            <w:r>
              <w:rPr>
                <w:rFonts w:ascii="宋体" w:hAnsi="宋体" w:cs="宋体"/>
                <w:szCs w:val="21"/>
              </w:rPr>
              <w:t>处</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接口数量</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线网指挥中心1个</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接口类型</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cs="宋体"/>
                <w:szCs w:val="21"/>
              </w:rPr>
              <w:t>G</w:t>
            </w:r>
            <w:r>
              <w:rPr>
                <w:rFonts w:hint="eastAsia" w:ascii="宋体" w:hAnsi="宋体" w:cs="宋体"/>
                <w:szCs w:val="21"/>
              </w:rPr>
              <w:t>E</w:t>
            </w:r>
          </w:p>
        </w:tc>
      </w:tr>
      <w:tr>
        <w:tblPrEx>
          <w:tblCellMar>
            <w:top w:w="0" w:type="dxa"/>
            <w:left w:w="108" w:type="dxa"/>
            <w:bottom w:w="0" w:type="dxa"/>
            <w:right w:w="108" w:type="dxa"/>
          </w:tblCellMar>
        </w:tblPrEx>
        <w:trPr>
          <w:trHeight w:val="465"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物理接口</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RJ45</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线缆规格</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六类非屏蔽双绞线</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接口用途</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szCs w:val="21"/>
              </w:rPr>
              <w:t>通过COCC一期线网调度电话系统既有录音设备，实现对本工程线网广播系统话筒播报、实时TTS播报的录音。</w:t>
            </w:r>
          </w:p>
        </w:tc>
      </w:tr>
      <w:tr>
        <w:tblPrEx>
          <w:tblCellMar>
            <w:top w:w="0" w:type="dxa"/>
            <w:left w:w="108" w:type="dxa"/>
            <w:bottom w:w="0" w:type="dxa"/>
            <w:right w:w="108" w:type="dxa"/>
          </w:tblCellMar>
        </w:tblPrEx>
        <w:trPr>
          <w:trHeight w:val="397" w:hRule="atLeast"/>
          <w:jc w:val="center"/>
        </w:trPr>
        <w:tc>
          <w:tcPr>
            <w:tcW w:w="944" w:type="pct"/>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相关方责任</w:t>
            </w:r>
          </w:p>
        </w:tc>
        <w:tc>
          <w:tcPr>
            <w:tcW w:w="2026"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TX3</w:t>
            </w:r>
          </w:p>
        </w:tc>
        <w:tc>
          <w:tcPr>
            <w:tcW w:w="2028"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XW1</w:t>
            </w:r>
          </w:p>
        </w:tc>
      </w:tr>
      <w:tr>
        <w:tblPrEx>
          <w:tblCellMar>
            <w:top w:w="0" w:type="dxa"/>
            <w:left w:w="108" w:type="dxa"/>
            <w:bottom w:w="0" w:type="dxa"/>
            <w:right w:w="108" w:type="dxa"/>
          </w:tblCellMar>
        </w:tblPrEx>
        <w:trPr>
          <w:trHeight w:val="397" w:hRule="atLeast"/>
          <w:jc w:val="center"/>
        </w:trPr>
        <w:tc>
          <w:tcPr>
            <w:tcW w:w="944"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szCs w:val="21"/>
              </w:rPr>
            </w:pPr>
          </w:p>
        </w:tc>
        <w:tc>
          <w:tcPr>
            <w:tcW w:w="2026"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负责接线、敷设电缆，负责接口实施及调试。</w:t>
            </w:r>
          </w:p>
        </w:tc>
        <w:tc>
          <w:tcPr>
            <w:tcW w:w="2028" w:type="pct"/>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配合接口调试。</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接口测试</w:t>
            </w:r>
          </w:p>
        </w:tc>
        <w:tc>
          <w:tcPr>
            <w:tcW w:w="4055" w:type="pct"/>
            <w:gridSpan w:val="2"/>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测试各接口双方的通电连续性及数据连接状态。测试在线缆物理连接后在现场进行。</w:t>
            </w:r>
          </w:p>
        </w:tc>
      </w:tr>
    </w:tbl>
    <w:p>
      <w:pPr>
        <w:pStyle w:val="4"/>
        <w:spacing w:line="480" w:lineRule="exact"/>
        <w:ind w:firstLine="560"/>
      </w:pPr>
      <w:bookmarkStart w:id="42" w:name="_Toc7302"/>
      <w:r>
        <w:rPr>
          <w:rFonts w:hint="eastAsia"/>
        </w:rPr>
        <w:t>线网广播系统与COCC一期线网广播系统的接口</w:t>
      </w:r>
      <w:bookmarkEnd w:id="42"/>
    </w:p>
    <w:p>
      <w:pPr>
        <w:pStyle w:val="14"/>
        <w:numPr>
          <w:ilvl w:val="0"/>
          <w:numId w:val="11"/>
        </w:numPr>
        <w:ind w:firstLine="420"/>
        <w:rPr>
          <w:sz w:val="21"/>
          <w:szCs w:val="21"/>
        </w:rPr>
      </w:pPr>
      <w:r>
        <w:rPr>
          <w:rFonts w:hint="eastAsia"/>
          <w:sz w:val="21"/>
          <w:szCs w:val="21"/>
        </w:rPr>
        <w:t>接口示意图</w:t>
      </w:r>
    </w:p>
    <w:p>
      <w:pPr>
        <w:pStyle w:val="14"/>
        <w:ind w:firstLine="0" w:firstLineChars="0"/>
        <w:jc w:val="center"/>
        <w:rPr>
          <w:rFonts w:asciiTheme="minorEastAsia" w:hAnsiTheme="minorEastAsia" w:eastAsiaTheme="minorEastAsia" w:cstheme="minorBidi"/>
          <w:szCs w:val="21"/>
        </w:rPr>
      </w:pPr>
      <w:r>
        <w:rPr>
          <w:rFonts w:hint="eastAsia" w:asciiTheme="minorEastAsia" w:hAnsiTheme="minorEastAsia" w:eastAsiaTheme="minorEastAsia" w:cstheme="minorBidi"/>
        </w:rPr>
        <w:object>
          <v:shape id="_x0000_i1035" o:spt="75" type="#_x0000_t75" style="height:221.65pt;width:365.65pt;" o:ole="t" filled="f" o:preferrelative="t" stroked="f" coordsize="21600,21600">
            <v:path/>
            <v:fill on="f" focussize="0,0"/>
            <v:stroke on="f"/>
            <v:imagedata r:id="rId38" o:title=""/>
            <o:lock v:ext="edit" aspectratio="t"/>
            <w10:wrap type="none"/>
            <w10:anchorlock/>
          </v:shape>
          <o:OLEObject Type="Embed" ProgID="Visio.Drawing.11" ShapeID="_x0000_i1035" DrawAspect="Content" ObjectID="_1468075738" r:id="rId37">
            <o:LockedField>false</o:LockedField>
          </o:OLEObject>
        </w:object>
      </w:r>
    </w:p>
    <w:p>
      <w:pPr>
        <w:pStyle w:val="14"/>
        <w:ind w:firstLine="420"/>
        <w:rPr>
          <w:sz w:val="21"/>
          <w:szCs w:val="21"/>
        </w:rPr>
      </w:pPr>
      <w:r>
        <w:rPr>
          <w:rFonts w:hint="eastAsia"/>
          <w:sz w:val="21"/>
          <w:szCs w:val="21"/>
        </w:rPr>
        <w:t>2）接口内容</w:t>
      </w:r>
    </w:p>
    <w:tbl>
      <w:tblPr>
        <w:tblStyle w:val="32"/>
        <w:tblW w:w="4999" w:type="pct"/>
        <w:jc w:val="center"/>
        <w:tblLayout w:type="autofit"/>
        <w:tblCellMar>
          <w:top w:w="0" w:type="dxa"/>
          <w:left w:w="108" w:type="dxa"/>
          <w:bottom w:w="0" w:type="dxa"/>
          <w:right w:w="108" w:type="dxa"/>
        </w:tblCellMar>
      </w:tblPr>
      <w:tblGrid>
        <w:gridCol w:w="1609"/>
        <w:gridCol w:w="3453"/>
        <w:gridCol w:w="3458"/>
      </w:tblGrid>
      <w:tr>
        <w:tblPrEx>
          <w:tblCellMar>
            <w:top w:w="0" w:type="dxa"/>
            <w:left w:w="108" w:type="dxa"/>
            <w:bottom w:w="0" w:type="dxa"/>
            <w:right w:w="108" w:type="dxa"/>
          </w:tblCellMar>
        </w:tblPrEx>
        <w:trPr>
          <w:trHeight w:val="397" w:hRule="atLeast"/>
          <w:tblHeader/>
          <w:jc w:val="center"/>
        </w:trPr>
        <w:tc>
          <w:tcPr>
            <w:tcW w:w="944"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内容</w:t>
            </w:r>
          </w:p>
        </w:tc>
        <w:tc>
          <w:tcPr>
            <w:tcW w:w="4055" w:type="pct"/>
            <w:gridSpan w:val="2"/>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说明</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接口编号</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hint="eastAsia" w:ascii="宋体" w:hAnsi="宋体" w:eastAsia="宋体" w:cs="宋体"/>
                <w:szCs w:val="21"/>
                <w:lang w:eastAsia="zh-CN"/>
              </w:rPr>
            </w:pPr>
            <w:r>
              <w:rPr>
                <w:rFonts w:hint="eastAsia" w:ascii="宋体" w:hAnsi="宋体" w:cs="宋体"/>
                <w:szCs w:val="21"/>
              </w:rPr>
              <w:t>TX3.XW1.0</w:t>
            </w:r>
            <w:r>
              <w:rPr>
                <w:rFonts w:hint="eastAsia" w:ascii="宋体" w:hAnsi="宋体" w:cs="宋体"/>
                <w:szCs w:val="21"/>
                <w:lang w:val="en-US" w:eastAsia="zh-CN"/>
              </w:rPr>
              <w:t>2</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接口分界点</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COCC一期线网系统设备接线端子</w:t>
            </w:r>
            <w:r>
              <w:rPr>
                <w:rFonts w:ascii="宋体" w:hAnsi="宋体" w:cs="宋体"/>
                <w:szCs w:val="21"/>
              </w:rPr>
              <w:t>处</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接口数量</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线网指挥中心1个</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接口类型</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cs="宋体"/>
                <w:szCs w:val="21"/>
              </w:rPr>
              <w:t>G</w:t>
            </w:r>
            <w:r>
              <w:rPr>
                <w:rFonts w:hint="eastAsia" w:ascii="宋体" w:hAnsi="宋体" w:cs="宋体"/>
                <w:szCs w:val="21"/>
              </w:rPr>
              <w:t>E</w:t>
            </w:r>
          </w:p>
        </w:tc>
      </w:tr>
      <w:tr>
        <w:tblPrEx>
          <w:tblCellMar>
            <w:top w:w="0" w:type="dxa"/>
            <w:left w:w="108" w:type="dxa"/>
            <w:bottom w:w="0" w:type="dxa"/>
            <w:right w:w="108" w:type="dxa"/>
          </w:tblCellMar>
        </w:tblPrEx>
        <w:trPr>
          <w:trHeight w:val="465"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物理接口</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RJ45</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线缆规格</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六类非屏蔽双绞线</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接口用途</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本工程线网广播系统需实现与一期既有线网广播系统的对接，实现本工程线网广播系统对COCC一期既有线OCC调度大厅的广播功能。</w:t>
            </w:r>
          </w:p>
        </w:tc>
      </w:tr>
      <w:tr>
        <w:tblPrEx>
          <w:tblCellMar>
            <w:top w:w="0" w:type="dxa"/>
            <w:left w:w="108" w:type="dxa"/>
            <w:bottom w:w="0" w:type="dxa"/>
            <w:right w:w="108" w:type="dxa"/>
          </w:tblCellMar>
        </w:tblPrEx>
        <w:trPr>
          <w:trHeight w:val="397" w:hRule="atLeast"/>
          <w:jc w:val="center"/>
        </w:trPr>
        <w:tc>
          <w:tcPr>
            <w:tcW w:w="944" w:type="pct"/>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相关方责任</w:t>
            </w:r>
          </w:p>
        </w:tc>
        <w:tc>
          <w:tcPr>
            <w:tcW w:w="2026"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TX3</w:t>
            </w:r>
          </w:p>
        </w:tc>
        <w:tc>
          <w:tcPr>
            <w:tcW w:w="2028"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XW1</w:t>
            </w:r>
          </w:p>
        </w:tc>
      </w:tr>
      <w:tr>
        <w:tblPrEx>
          <w:tblCellMar>
            <w:top w:w="0" w:type="dxa"/>
            <w:left w:w="108" w:type="dxa"/>
            <w:bottom w:w="0" w:type="dxa"/>
            <w:right w:w="108" w:type="dxa"/>
          </w:tblCellMar>
        </w:tblPrEx>
        <w:trPr>
          <w:trHeight w:val="397" w:hRule="atLeast"/>
          <w:jc w:val="center"/>
        </w:trPr>
        <w:tc>
          <w:tcPr>
            <w:tcW w:w="944"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szCs w:val="21"/>
              </w:rPr>
            </w:pPr>
          </w:p>
        </w:tc>
        <w:tc>
          <w:tcPr>
            <w:tcW w:w="2026"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负责接线、敷设电缆，负责接口实施及调试。</w:t>
            </w:r>
          </w:p>
        </w:tc>
        <w:tc>
          <w:tcPr>
            <w:tcW w:w="2028" w:type="pct"/>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配合接口调试。</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接口测试</w:t>
            </w:r>
          </w:p>
        </w:tc>
        <w:tc>
          <w:tcPr>
            <w:tcW w:w="4055" w:type="pct"/>
            <w:gridSpan w:val="2"/>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测试各接口双方的通电连续性及数据连接状态。测试在线缆物理连接后在现场进行。</w:t>
            </w:r>
          </w:p>
        </w:tc>
      </w:tr>
    </w:tbl>
    <w:p>
      <w:pPr>
        <w:pStyle w:val="4"/>
        <w:spacing w:line="480" w:lineRule="exact"/>
        <w:ind w:firstLine="560"/>
      </w:pPr>
      <w:bookmarkStart w:id="43" w:name="_Toc20716"/>
      <w:r>
        <w:rPr>
          <w:rFonts w:hint="eastAsia"/>
        </w:rPr>
        <w:t>线网视频监视系统与视频综合应用中心的接口</w:t>
      </w:r>
      <w:bookmarkEnd w:id="43"/>
    </w:p>
    <w:p>
      <w:pPr>
        <w:numPr>
          <w:ilvl w:val="3"/>
          <w:numId w:val="0"/>
        </w:numPr>
        <w:tabs>
          <w:tab w:val="left" w:pos="840"/>
          <w:tab w:val="left" w:pos="900"/>
        </w:tabs>
        <w:spacing w:line="360" w:lineRule="auto"/>
        <w:ind w:firstLine="420" w:firstLineChars="200"/>
        <w:rPr>
          <w:rFonts w:hint="eastAsia" w:ascii="宋体" w:hAnsi="宋体"/>
          <w:szCs w:val="21"/>
        </w:rPr>
      </w:pPr>
      <w:r>
        <w:rPr>
          <w:rFonts w:hint="eastAsia" w:ascii="宋体" w:hAnsi="宋体"/>
          <w:szCs w:val="21"/>
        </w:rPr>
        <w:t xml:space="preserve">线网视频监视系统需与十三五线网视频平台互联，以实现对十三五线路视频监控信息的调看及视频分析数据的获取。由于线网视频监视系统通过云平台承载，十三五线网视频通过综合生产云平台承载，因此该接口的硬件接口部分通过云平台接口实现，本工程线网视频监视系统实现软件对接即可。 </w:t>
      </w:r>
    </w:p>
    <w:p>
      <w:pPr>
        <w:pStyle w:val="4"/>
        <w:spacing w:line="480" w:lineRule="exact"/>
        <w:ind w:firstLine="560"/>
      </w:pPr>
      <w:bookmarkStart w:id="44" w:name="_Toc24414"/>
      <w:r>
        <w:rPr>
          <w:rFonts w:hint="eastAsia"/>
        </w:rPr>
        <w:t>线网视频监视系统与</w:t>
      </w:r>
      <w:r>
        <w:rPr>
          <w:rFonts w:hint="eastAsia" w:ascii="宋体" w:hAnsi="宋体"/>
          <w:szCs w:val="21"/>
        </w:rPr>
        <w:t>地铁既有线高清改造先期项目</w:t>
      </w:r>
      <w:r>
        <w:rPr>
          <w:rFonts w:hint="eastAsia"/>
        </w:rPr>
        <w:t>的接口</w:t>
      </w:r>
      <w:bookmarkEnd w:id="44"/>
    </w:p>
    <w:p>
      <w:pPr>
        <w:numPr>
          <w:ilvl w:val="3"/>
          <w:numId w:val="0"/>
        </w:numPr>
        <w:tabs>
          <w:tab w:val="left" w:pos="840"/>
          <w:tab w:val="left" w:pos="900"/>
        </w:tabs>
        <w:spacing w:line="360" w:lineRule="auto"/>
        <w:ind w:firstLine="420" w:firstLineChars="200"/>
        <w:rPr>
          <w:rFonts w:hint="eastAsia" w:ascii="宋体" w:hAnsi="宋体"/>
          <w:szCs w:val="21"/>
          <w:lang w:eastAsia="zh-CN"/>
        </w:rPr>
      </w:pPr>
      <w:r>
        <w:rPr>
          <w:rFonts w:hint="eastAsia" w:ascii="宋体" w:hAnsi="宋体"/>
          <w:szCs w:val="21"/>
        </w:rPr>
        <w:t>线网二期需与地铁既有线高清改造先期项目对接，以实现对地铁既有线高清改造先期项目</w:t>
      </w:r>
      <w:r>
        <w:rPr>
          <w:rFonts w:hint="eastAsia" w:ascii="宋体" w:hAnsi="宋体"/>
          <w:szCs w:val="21"/>
          <w:lang w:val="en-US" w:eastAsia="zh-CN"/>
        </w:rPr>
        <w:t>视频图像</w:t>
      </w:r>
      <w:r>
        <w:rPr>
          <w:rFonts w:hint="eastAsia" w:ascii="宋体" w:hAnsi="宋体"/>
          <w:szCs w:val="21"/>
        </w:rPr>
        <w:t>的调看。地铁既有线高清改造平台设置在COCC通信设备房，接口在高清改造视频平台交换机侧</w:t>
      </w:r>
      <w:r>
        <w:rPr>
          <w:rFonts w:hint="eastAsia" w:ascii="宋体" w:hAnsi="宋体"/>
          <w:szCs w:val="21"/>
          <w:lang w:eastAsia="zh-CN"/>
        </w:rPr>
        <w:t>。</w:t>
      </w:r>
    </w:p>
    <w:p>
      <w:pPr>
        <w:pStyle w:val="4"/>
        <w:spacing w:line="480" w:lineRule="exact"/>
        <w:ind w:firstLine="560"/>
      </w:pPr>
      <w:bookmarkStart w:id="45" w:name="_Toc16654"/>
      <w:r>
        <w:rPr>
          <w:rFonts w:hint="eastAsia"/>
        </w:rPr>
        <w:t>线网视频监视系统与</w:t>
      </w:r>
      <w:r>
        <w:rPr>
          <w:rFonts w:hint="eastAsia"/>
          <w:szCs w:val="21"/>
          <w:lang w:val="en-US" w:eastAsia="zh-CN"/>
        </w:rPr>
        <w:t>安检视频</w:t>
      </w:r>
      <w:r>
        <w:rPr>
          <w:rFonts w:hint="eastAsia"/>
        </w:rPr>
        <w:t>的接口</w:t>
      </w:r>
      <w:bookmarkEnd w:id="45"/>
    </w:p>
    <w:p>
      <w:pPr>
        <w:numPr>
          <w:ilvl w:val="3"/>
          <w:numId w:val="0"/>
        </w:numPr>
        <w:tabs>
          <w:tab w:val="left" w:pos="840"/>
          <w:tab w:val="left" w:pos="900"/>
        </w:tabs>
        <w:spacing w:line="360" w:lineRule="auto"/>
        <w:ind w:firstLine="420" w:firstLineChars="200"/>
        <w:rPr>
          <w:rFonts w:hint="eastAsia" w:ascii="宋体" w:hAnsi="宋体"/>
          <w:szCs w:val="21"/>
          <w:lang w:val="en-US" w:eastAsia="zh-CN"/>
        </w:rPr>
      </w:pPr>
      <w:r>
        <w:rPr>
          <w:rFonts w:hint="eastAsia" w:ascii="宋体" w:hAnsi="宋体"/>
          <w:szCs w:val="21"/>
          <w:lang w:val="en-US" w:eastAsia="zh-CN"/>
        </w:rPr>
        <w:t>安检视频从轨道交通智能运行平台改接至线网二期视频监视系统，</w:t>
      </w:r>
      <w:r>
        <w:rPr>
          <w:rFonts w:hint="eastAsia" w:ascii="宋体" w:hAnsi="宋体"/>
          <w:szCs w:val="21"/>
        </w:rPr>
        <w:t>以实现对地铁</w:t>
      </w:r>
      <w:r>
        <w:rPr>
          <w:rFonts w:hint="eastAsia"/>
          <w:szCs w:val="21"/>
          <w:lang w:val="en-US" w:eastAsia="zh-CN"/>
        </w:rPr>
        <w:t>安检视频</w:t>
      </w:r>
      <w:r>
        <w:rPr>
          <w:rFonts w:hint="eastAsia" w:ascii="宋体" w:hAnsi="宋体"/>
          <w:szCs w:val="21"/>
          <w:lang w:val="en-US" w:eastAsia="zh-CN"/>
        </w:rPr>
        <w:t>视频图像</w:t>
      </w:r>
      <w:r>
        <w:rPr>
          <w:rFonts w:hint="eastAsia" w:ascii="宋体" w:hAnsi="宋体"/>
          <w:szCs w:val="21"/>
        </w:rPr>
        <w:t>的调看。</w:t>
      </w:r>
      <w:r>
        <w:rPr>
          <w:rFonts w:hint="eastAsia" w:ascii="宋体" w:hAnsi="宋体"/>
          <w:szCs w:val="21"/>
          <w:lang w:val="en-US" w:eastAsia="zh-CN"/>
        </w:rPr>
        <w:t>线网二期视频监视系统与安检视频的接口在线网通信系统汇聚区交换机端口侧。</w:t>
      </w:r>
    </w:p>
    <w:p>
      <w:pPr>
        <w:pStyle w:val="4"/>
        <w:spacing w:line="480" w:lineRule="exact"/>
        <w:ind w:firstLine="560"/>
        <w:rPr>
          <w:rFonts w:hint="eastAsia" w:ascii="宋体" w:hAnsi="宋体"/>
          <w:szCs w:val="21"/>
          <w:lang w:val="en-US" w:eastAsia="zh-CN"/>
        </w:rPr>
      </w:pPr>
      <w:bookmarkStart w:id="46" w:name="_Toc1307"/>
      <w:r>
        <w:rPr>
          <w:rFonts w:hint="eastAsia"/>
        </w:rPr>
        <w:t>线网视频监视系统与</w:t>
      </w:r>
      <w:r>
        <w:rPr>
          <w:rFonts w:hint="eastAsia"/>
          <w:szCs w:val="21"/>
          <w:lang w:val="en-US" w:eastAsia="zh-CN"/>
        </w:rPr>
        <w:t>地保视频</w:t>
      </w:r>
      <w:r>
        <w:rPr>
          <w:rFonts w:hint="eastAsia"/>
        </w:rPr>
        <w:t>的接口</w:t>
      </w:r>
      <w:bookmarkEnd w:id="46"/>
    </w:p>
    <w:p>
      <w:pPr>
        <w:numPr>
          <w:ilvl w:val="3"/>
          <w:numId w:val="0"/>
        </w:numPr>
        <w:tabs>
          <w:tab w:val="left" w:pos="840"/>
          <w:tab w:val="left" w:pos="900"/>
        </w:tabs>
        <w:spacing w:line="360" w:lineRule="auto"/>
        <w:ind w:firstLine="420" w:firstLineChars="200"/>
        <w:rPr>
          <w:rFonts w:hint="eastAsia" w:ascii="宋体" w:hAnsi="宋体"/>
          <w:szCs w:val="21"/>
          <w:lang w:val="en-US" w:eastAsia="zh-CN"/>
        </w:rPr>
      </w:pPr>
      <w:r>
        <w:rPr>
          <w:rFonts w:hint="eastAsia" w:ascii="宋体" w:hAnsi="宋体"/>
          <w:szCs w:val="21"/>
          <w:lang w:val="en-US" w:eastAsia="zh-CN"/>
        </w:rPr>
        <w:t>地保视频平台从轨道交通智能运行平台改接至线网二期视频监视系统，</w:t>
      </w:r>
      <w:r>
        <w:rPr>
          <w:rFonts w:hint="eastAsia" w:ascii="宋体" w:hAnsi="宋体"/>
          <w:szCs w:val="21"/>
        </w:rPr>
        <w:t>以实现对</w:t>
      </w:r>
      <w:r>
        <w:rPr>
          <w:rFonts w:hint="eastAsia" w:ascii="宋体" w:hAnsi="宋体"/>
          <w:szCs w:val="21"/>
          <w:lang w:val="en-US" w:eastAsia="zh-CN"/>
        </w:rPr>
        <w:t>地保</w:t>
      </w:r>
      <w:r>
        <w:rPr>
          <w:rFonts w:hint="eastAsia" w:ascii="宋体" w:hAnsi="宋体"/>
          <w:szCs w:val="21"/>
        </w:rPr>
        <w:t>视频监控信息的调看及视频分析数据的获取</w:t>
      </w:r>
      <w:r>
        <w:rPr>
          <w:rFonts w:hint="eastAsia" w:ascii="宋体" w:hAnsi="宋体"/>
          <w:szCs w:val="21"/>
          <w:lang w:val="en-US" w:eastAsia="zh-CN"/>
        </w:rPr>
        <w:t>。线网二期视频监视系统与地保视频平台的接口在云平台互联网区交换机端口侧。</w:t>
      </w:r>
    </w:p>
    <w:p>
      <w:pPr>
        <w:pStyle w:val="4"/>
        <w:spacing w:line="480" w:lineRule="exact"/>
        <w:ind w:firstLine="560"/>
      </w:pPr>
      <w:bookmarkStart w:id="47" w:name="_Toc3340"/>
      <w:r>
        <w:rPr>
          <w:rFonts w:hint="eastAsia"/>
        </w:rPr>
        <w:t>线网视频监视系统与工地视频的接口</w:t>
      </w:r>
      <w:bookmarkEnd w:id="47"/>
    </w:p>
    <w:p>
      <w:pPr>
        <w:numPr>
          <w:ilvl w:val="3"/>
          <w:numId w:val="0"/>
        </w:numPr>
        <w:tabs>
          <w:tab w:val="left" w:pos="840"/>
          <w:tab w:val="left" w:pos="900"/>
        </w:tabs>
        <w:spacing w:line="360" w:lineRule="auto"/>
        <w:ind w:firstLine="420" w:firstLineChars="200"/>
        <w:rPr>
          <w:rFonts w:ascii="宋体" w:hAnsi="宋体"/>
          <w:szCs w:val="21"/>
        </w:rPr>
      </w:pPr>
      <w:r>
        <w:rPr>
          <w:rFonts w:hint="eastAsia" w:ascii="宋体" w:hAnsi="宋体"/>
          <w:szCs w:val="21"/>
        </w:rPr>
        <w:t>线网视频监视系统需与建设工地和铁投视频平台互联，以实现对广州地铁集团管辖范围内的建设工地视频监控信息的调看及视频分析数据的获取。</w:t>
      </w:r>
    </w:p>
    <w:p>
      <w:pPr>
        <w:numPr>
          <w:ilvl w:val="3"/>
          <w:numId w:val="0"/>
        </w:numPr>
        <w:tabs>
          <w:tab w:val="left" w:pos="840"/>
          <w:tab w:val="left" w:pos="900"/>
        </w:tabs>
        <w:spacing w:line="360" w:lineRule="auto"/>
        <w:ind w:firstLine="420" w:firstLineChars="200"/>
        <w:rPr>
          <w:rFonts w:ascii="宋体" w:hAnsi="宋体"/>
          <w:szCs w:val="21"/>
        </w:rPr>
      </w:pPr>
      <w:r>
        <w:rPr>
          <w:rFonts w:hint="eastAsia" w:ascii="宋体" w:hAnsi="宋体"/>
          <w:szCs w:val="21"/>
        </w:rPr>
        <w:t>由于建设公司智慧工地视频平台网络设备设置在万胜围20楼，因此智慧工地视频平台需从A塔20楼提供网络设备连接至视频监控系统接入设备，实现物理上的网络连通；建设公司智慧工地视频平台软件部署在公有云上，线网视频监视系统还需与工地视频平台需实现软件对接。</w:t>
      </w:r>
    </w:p>
    <w:p>
      <w:pPr>
        <w:numPr>
          <w:ilvl w:val="3"/>
          <w:numId w:val="0"/>
        </w:numPr>
        <w:tabs>
          <w:tab w:val="left" w:pos="840"/>
          <w:tab w:val="left" w:pos="900"/>
        </w:tabs>
        <w:spacing w:line="360" w:lineRule="auto"/>
        <w:ind w:firstLine="420" w:firstLineChars="200"/>
        <w:rPr>
          <w:rFonts w:ascii="宋体" w:hAnsi="宋体"/>
          <w:szCs w:val="21"/>
        </w:rPr>
      </w:pPr>
      <w:r>
        <w:rPr>
          <w:rFonts w:hint="eastAsia" w:ascii="宋体" w:hAnsi="宋体"/>
          <w:szCs w:val="21"/>
        </w:rPr>
        <w:t>铁投工地视频平台部署在公有云上，目前在云胜广场调看。因此铁投工地视频平台需将网络服务延伸至万胜围，与视频监控系统接入设备对接。</w:t>
      </w:r>
    </w:p>
    <w:p>
      <w:pPr>
        <w:numPr>
          <w:ilvl w:val="3"/>
          <w:numId w:val="0"/>
        </w:numPr>
        <w:tabs>
          <w:tab w:val="left" w:pos="840"/>
          <w:tab w:val="left" w:pos="900"/>
        </w:tabs>
        <w:spacing w:line="360" w:lineRule="auto"/>
        <w:ind w:firstLine="420" w:firstLineChars="200"/>
        <w:rPr>
          <w:rFonts w:ascii="宋体" w:hAnsi="宋体"/>
          <w:szCs w:val="21"/>
        </w:rPr>
      </w:pPr>
      <w:r>
        <w:rPr>
          <w:rFonts w:hint="eastAsia" w:ascii="宋体" w:hAnsi="宋体"/>
          <w:szCs w:val="21"/>
        </w:rPr>
        <w:t>线网视频监视系统与工地视频的接口均在云平台互联网区交换机端口侧，详见“4.1 网络及安全配套设备与相关系统的接口”。</w:t>
      </w:r>
    </w:p>
    <w:p>
      <w:pPr>
        <w:pStyle w:val="4"/>
        <w:spacing w:line="480" w:lineRule="exact"/>
        <w:ind w:firstLine="560"/>
      </w:pPr>
      <w:bookmarkStart w:id="48" w:name="_Toc2717"/>
      <w:r>
        <w:rPr>
          <w:rFonts w:hint="eastAsia"/>
        </w:rPr>
        <w:t>线网视频监视系统与城际视频的接口</w:t>
      </w:r>
      <w:bookmarkEnd w:id="48"/>
    </w:p>
    <w:p>
      <w:pPr>
        <w:numPr>
          <w:ilvl w:val="3"/>
          <w:numId w:val="0"/>
        </w:numPr>
        <w:tabs>
          <w:tab w:val="left" w:pos="840"/>
          <w:tab w:val="left" w:pos="900"/>
        </w:tabs>
        <w:spacing w:line="360" w:lineRule="auto"/>
        <w:ind w:firstLine="420" w:firstLineChars="200"/>
        <w:rPr>
          <w:rFonts w:ascii="宋体" w:hAnsi="宋体"/>
          <w:szCs w:val="21"/>
        </w:rPr>
      </w:pPr>
      <w:r>
        <w:rPr>
          <w:rFonts w:hint="eastAsia" w:ascii="宋体" w:hAnsi="宋体"/>
          <w:szCs w:val="21"/>
        </w:rPr>
        <w:t xml:space="preserve">线网视频监视系统需与车陂南城际控制中心视频平台互联，以实现对广州地铁集团管辖范围内的城际线路视频监控信息的调看及视频分析数据的获取。由于车陂南城际控制中心已敷设联络光缆至万胜围，因此线网视频监视系统与城际视频可复用该光缆实现物理上的网络连通，线网视频监视系统负责实现与城际视频平台实现软件对接。本工程需占用至少2芯联络光缆。接口界面位于云平台互联网区交换机端口侧，详见“4.1 网络及安全配套设备与相关系统的接口”。 </w:t>
      </w:r>
    </w:p>
    <w:p>
      <w:pPr>
        <w:pStyle w:val="4"/>
        <w:spacing w:line="480" w:lineRule="exact"/>
        <w:ind w:firstLine="560"/>
      </w:pPr>
      <w:bookmarkStart w:id="49" w:name="_Toc23721"/>
      <w:r>
        <w:rPr>
          <w:rFonts w:hint="eastAsia"/>
        </w:rPr>
        <w:t>线网视频监视系统与有轨电车视频的接口</w:t>
      </w:r>
      <w:bookmarkEnd w:id="49"/>
    </w:p>
    <w:p>
      <w:pPr>
        <w:numPr>
          <w:ilvl w:val="3"/>
          <w:numId w:val="0"/>
        </w:numPr>
        <w:tabs>
          <w:tab w:val="left" w:pos="840"/>
          <w:tab w:val="left" w:pos="900"/>
        </w:tabs>
        <w:spacing w:line="360" w:lineRule="auto"/>
        <w:ind w:firstLine="420" w:firstLineChars="200"/>
        <w:rPr>
          <w:rFonts w:hint="eastAsia" w:ascii="宋体" w:hAnsi="宋体"/>
          <w:szCs w:val="21"/>
        </w:rPr>
      </w:pPr>
      <w:r>
        <w:rPr>
          <w:rFonts w:hint="eastAsia" w:ascii="宋体" w:hAnsi="宋体"/>
          <w:szCs w:val="21"/>
        </w:rPr>
        <w:t>线网视频监视系统需与有轨电车（海珠环线）控制中心视频平台互联，以实现对有轨电车线路视频监控信息的调看及视频分析数据的获取。</w:t>
      </w:r>
      <w:r>
        <w:rPr>
          <w:rFonts w:hint="eastAsia"/>
          <w:szCs w:val="21"/>
        </w:rPr>
        <w:t>本工程</w:t>
      </w:r>
      <w:r>
        <w:rPr>
          <w:rFonts w:hint="eastAsia" w:ascii="宋体" w:hAnsi="宋体"/>
          <w:szCs w:val="21"/>
        </w:rPr>
        <w:t xml:space="preserve">需借助各有轨电车控制中心与COCC之间既有的光纤通路实现设备的连接，按占用2芯单模光纤考虑。接口界面位于云平台数据中心出口交换机端口侧，详见“4.1 网络及安全配套设备与相关系统的接口”。 </w:t>
      </w:r>
    </w:p>
    <w:p>
      <w:pPr>
        <w:pStyle w:val="4"/>
        <w:spacing w:line="480" w:lineRule="exact"/>
        <w:ind w:firstLine="560"/>
        <w:rPr>
          <w:rFonts w:hint="eastAsia"/>
          <w:lang w:val="en-US" w:eastAsia="zh-CN"/>
        </w:rPr>
      </w:pPr>
      <w:bookmarkStart w:id="50" w:name="_Toc9595"/>
      <w:r>
        <w:rPr>
          <w:rFonts w:hint="eastAsia"/>
        </w:rPr>
        <w:t>线网视频监视系统与</w:t>
      </w:r>
      <w:r>
        <w:rPr>
          <w:rFonts w:hint="eastAsia"/>
          <w:lang w:val="en-US" w:eastAsia="zh-CN"/>
        </w:rPr>
        <w:t>车载视频系统的接口</w:t>
      </w:r>
      <w:bookmarkEnd w:id="50"/>
    </w:p>
    <w:p>
      <w:pPr>
        <w:numPr>
          <w:ilvl w:val="3"/>
          <w:numId w:val="0"/>
        </w:numPr>
        <w:tabs>
          <w:tab w:val="left" w:pos="840"/>
          <w:tab w:val="left" w:pos="900"/>
        </w:tabs>
        <w:spacing w:line="360" w:lineRule="auto"/>
        <w:ind w:firstLine="420" w:firstLineChars="200"/>
        <w:rPr>
          <w:rFonts w:hint="eastAsia" w:ascii="宋体" w:hAnsi="宋体"/>
          <w:szCs w:val="21"/>
          <w:lang w:val="en-US" w:eastAsia="zh-CN"/>
        </w:rPr>
      </w:pPr>
      <w:r>
        <w:rPr>
          <w:rFonts w:hint="eastAsia" w:ascii="宋体" w:hAnsi="宋体"/>
          <w:szCs w:val="21"/>
        </w:rPr>
        <w:t>线网视频监视系统需</w:t>
      </w:r>
      <w:r>
        <w:rPr>
          <w:rFonts w:hint="eastAsia" w:ascii="宋体" w:hAnsi="宋体"/>
          <w:szCs w:val="21"/>
          <w:lang w:val="en-US" w:eastAsia="zh-CN"/>
        </w:rPr>
        <w:t>完成</w:t>
      </w:r>
      <w:r>
        <w:rPr>
          <w:rFonts w:hint="eastAsia" w:ascii="宋体" w:hAnsi="宋体"/>
          <w:szCs w:val="21"/>
        </w:rPr>
        <w:t>与</w:t>
      </w:r>
      <w:r>
        <w:rPr>
          <w:rFonts w:hint="eastAsia" w:ascii="宋体" w:hAnsi="宋体"/>
          <w:szCs w:val="21"/>
          <w:lang w:val="en-US" w:eastAsia="zh-CN"/>
        </w:rPr>
        <w:t>七号线、九号线、十三号线、十四号线、知识城线、二十一号线车载视频的对接。</w:t>
      </w:r>
    </w:p>
    <w:p>
      <w:pPr>
        <w:numPr>
          <w:ilvl w:val="0"/>
          <w:numId w:val="12"/>
        </w:numPr>
        <w:tabs>
          <w:tab w:val="left" w:pos="840"/>
          <w:tab w:val="left" w:pos="900"/>
        </w:tabs>
        <w:spacing w:line="360" w:lineRule="auto"/>
        <w:ind w:firstLine="420" w:firstLineChars="200"/>
        <w:rPr>
          <w:rFonts w:hint="eastAsia" w:ascii="宋体" w:hAnsi="宋体"/>
          <w:szCs w:val="21"/>
          <w:lang w:val="en-US" w:eastAsia="zh-CN"/>
        </w:rPr>
      </w:pPr>
      <w:r>
        <w:rPr>
          <w:rFonts w:hint="eastAsia" w:ascii="宋体" w:hAnsi="宋体"/>
          <w:szCs w:val="21"/>
          <w:lang w:val="en-US" w:eastAsia="zh-CN"/>
        </w:rPr>
        <w:t>接口示意图</w:t>
      </w:r>
    </w:p>
    <w:p>
      <w:pPr>
        <w:numPr>
          <w:ilvl w:val="0"/>
          <w:numId w:val="0"/>
        </w:numPr>
        <w:tabs>
          <w:tab w:val="left" w:pos="840"/>
          <w:tab w:val="left" w:pos="900"/>
        </w:tabs>
        <w:spacing w:line="360" w:lineRule="auto"/>
        <w:rPr>
          <w:rFonts w:hint="eastAsia" w:ascii="宋体" w:hAnsi="宋体"/>
          <w:szCs w:val="21"/>
          <w:lang w:val="en-US" w:eastAsia="zh-CN"/>
        </w:rPr>
      </w:pPr>
      <w:r>
        <w:rPr>
          <w:rFonts w:hint="eastAsia" w:asciiTheme="minorEastAsia" w:hAnsiTheme="minorEastAsia" w:eastAsiaTheme="minorEastAsia" w:cstheme="minorBidi"/>
        </w:rPr>
        <w:object>
          <v:shape id="_x0000_i1036" o:spt="75" type="#_x0000_t75" style="height:232.5pt;width:381pt;" o:ole="t" filled="f" o:preferrelative="t" stroked="f" coordsize="21600,21600">
            <v:path/>
            <v:fill on="f" focussize="0,0"/>
            <v:stroke on="f"/>
            <v:imagedata r:id="rId40" o:title=""/>
            <o:lock v:ext="edit" aspectratio="t"/>
            <w10:wrap type="none"/>
            <w10:anchorlock/>
          </v:shape>
          <o:OLEObject Type="Embed" ProgID="Visio.Drawing.11" ShapeID="_x0000_i1036" DrawAspect="Content" ObjectID="_1468075739" r:id="rId39">
            <o:LockedField>false</o:LockedField>
          </o:OLEObject>
        </w:object>
      </w:r>
    </w:p>
    <w:p>
      <w:pPr>
        <w:numPr>
          <w:ilvl w:val="0"/>
          <w:numId w:val="12"/>
        </w:numPr>
        <w:tabs>
          <w:tab w:val="left" w:pos="840"/>
          <w:tab w:val="left" w:pos="900"/>
        </w:tabs>
        <w:spacing w:line="360" w:lineRule="auto"/>
        <w:ind w:firstLine="420" w:firstLineChars="200"/>
        <w:rPr>
          <w:rFonts w:hint="default" w:ascii="宋体" w:hAnsi="宋体"/>
          <w:szCs w:val="21"/>
          <w:lang w:val="en-US" w:eastAsia="zh-CN"/>
        </w:rPr>
      </w:pPr>
      <w:r>
        <w:rPr>
          <w:rFonts w:hint="eastAsia"/>
          <w:sz w:val="21"/>
          <w:szCs w:val="21"/>
        </w:rPr>
        <w:t>接口内容</w:t>
      </w:r>
    </w:p>
    <w:tbl>
      <w:tblPr>
        <w:tblStyle w:val="32"/>
        <w:tblW w:w="4999" w:type="pct"/>
        <w:jc w:val="center"/>
        <w:tblLayout w:type="autofit"/>
        <w:tblCellMar>
          <w:top w:w="0" w:type="dxa"/>
          <w:left w:w="108" w:type="dxa"/>
          <w:bottom w:w="0" w:type="dxa"/>
          <w:right w:w="108" w:type="dxa"/>
        </w:tblCellMar>
      </w:tblPr>
      <w:tblGrid>
        <w:gridCol w:w="1609"/>
        <w:gridCol w:w="3453"/>
        <w:gridCol w:w="3458"/>
      </w:tblGrid>
      <w:tr>
        <w:tblPrEx>
          <w:tblCellMar>
            <w:top w:w="0" w:type="dxa"/>
            <w:left w:w="108" w:type="dxa"/>
            <w:bottom w:w="0" w:type="dxa"/>
            <w:right w:w="108" w:type="dxa"/>
          </w:tblCellMar>
        </w:tblPrEx>
        <w:trPr>
          <w:trHeight w:val="397" w:hRule="atLeast"/>
          <w:tblHeader/>
          <w:jc w:val="center"/>
        </w:trPr>
        <w:tc>
          <w:tcPr>
            <w:tcW w:w="944"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内容</w:t>
            </w:r>
          </w:p>
        </w:tc>
        <w:tc>
          <w:tcPr>
            <w:tcW w:w="4055" w:type="pct"/>
            <w:gridSpan w:val="2"/>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说明</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接口编号</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hint="eastAsia" w:ascii="宋体" w:hAnsi="宋体" w:eastAsia="宋体" w:cs="宋体"/>
                <w:szCs w:val="21"/>
                <w:lang w:eastAsia="zh-CN"/>
              </w:rPr>
            </w:pPr>
            <w:r>
              <w:rPr>
                <w:rFonts w:hint="eastAsia" w:ascii="宋体" w:hAnsi="宋体" w:cs="宋体"/>
                <w:szCs w:val="21"/>
                <w:lang w:val="en-US" w:eastAsia="zh-CN"/>
              </w:rPr>
              <w:t>COCC</w:t>
            </w:r>
            <w:r>
              <w:rPr>
                <w:rFonts w:hint="eastAsia" w:ascii="宋体" w:hAnsi="宋体" w:cs="宋体"/>
                <w:szCs w:val="21"/>
              </w:rPr>
              <w:t>.</w:t>
            </w:r>
            <w:r>
              <w:rPr>
                <w:rFonts w:hint="eastAsia" w:ascii="宋体" w:hAnsi="宋体" w:cs="宋体"/>
                <w:szCs w:val="21"/>
                <w:lang w:val="en-US" w:eastAsia="zh-CN"/>
              </w:rPr>
              <w:t>PIDS</w:t>
            </w:r>
            <w:r>
              <w:rPr>
                <w:rFonts w:hint="eastAsia" w:ascii="宋体" w:hAnsi="宋体" w:cs="宋体"/>
                <w:szCs w:val="21"/>
              </w:rPr>
              <w:t>.0</w:t>
            </w:r>
            <w:r>
              <w:rPr>
                <w:rFonts w:hint="eastAsia" w:ascii="宋体" w:hAnsi="宋体" w:cs="宋体"/>
                <w:szCs w:val="21"/>
                <w:lang w:val="en-US" w:eastAsia="zh-CN"/>
              </w:rPr>
              <w:t>1</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接口分界点</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hint="default" w:ascii="宋体" w:hAnsi="宋体" w:eastAsia="宋体" w:cs="宋体"/>
                <w:szCs w:val="21"/>
                <w:lang w:val="en-US" w:eastAsia="zh-CN"/>
              </w:rPr>
            </w:pPr>
            <w:r>
              <w:rPr>
                <w:rFonts w:hint="eastAsia" w:ascii="宋体" w:hAnsi="宋体" w:cs="宋体"/>
                <w:szCs w:val="21"/>
                <w:lang w:val="en-US" w:eastAsia="zh-CN"/>
              </w:rPr>
              <w:t>线路车载视频监视系统交换机端口侧</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接口数量</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lang w:val="en-US" w:eastAsia="zh-CN"/>
              </w:rPr>
              <w:t>每线车载视频监视系统1个，</w:t>
            </w:r>
            <w:r>
              <w:rPr>
                <w:rFonts w:hint="eastAsia" w:ascii="宋体" w:hAnsi="宋体" w:cs="宋体"/>
                <w:szCs w:val="21"/>
              </w:rPr>
              <w:t>线网指挥中心</w:t>
            </w:r>
            <w:r>
              <w:rPr>
                <w:rFonts w:hint="eastAsia" w:ascii="宋体" w:hAnsi="宋体" w:cs="宋体"/>
                <w:szCs w:val="21"/>
                <w:lang w:val="en-US" w:eastAsia="zh-CN"/>
              </w:rPr>
              <w:t>6</w:t>
            </w:r>
            <w:r>
              <w:rPr>
                <w:rFonts w:hint="eastAsia" w:ascii="宋体" w:hAnsi="宋体" w:cs="宋体"/>
                <w:szCs w:val="21"/>
              </w:rPr>
              <w:t>个</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接口类型</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cs="宋体"/>
                <w:szCs w:val="21"/>
              </w:rPr>
              <w:t>G</w:t>
            </w:r>
            <w:r>
              <w:rPr>
                <w:rFonts w:hint="eastAsia" w:ascii="宋体" w:hAnsi="宋体" w:cs="宋体"/>
                <w:szCs w:val="21"/>
              </w:rPr>
              <w:t>E</w:t>
            </w:r>
          </w:p>
        </w:tc>
      </w:tr>
      <w:tr>
        <w:tblPrEx>
          <w:tblCellMar>
            <w:top w:w="0" w:type="dxa"/>
            <w:left w:w="108" w:type="dxa"/>
            <w:bottom w:w="0" w:type="dxa"/>
            <w:right w:w="108" w:type="dxa"/>
          </w:tblCellMar>
        </w:tblPrEx>
        <w:trPr>
          <w:trHeight w:val="465"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物理接口</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RJ45</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线缆规格</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hint="default" w:ascii="宋体" w:hAnsi="宋体" w:eastAsia="宋体" w:cs="宋体"/>
                <w:szCs w:val="21"/>
                <w:lang w:val="en-US" w:eastAsia="zh-CN"/>
              </w:rPr>
            </w:pPr>
            <w:r>
              <w:rPr>
                <w:rFonts w:hint="eastAsia" w:ascii="宋体" w:hAnsi="宋体" w:cs="宋体"/>
                <w:szCs w:val="21"/>
              </w:rPr>
              <w:t>六类非屏蔽双绞线</w:t>
            </w:r>
            <w:r>
              <w:rPr>
                <w:rFonts w:hint="eastAsia" w:ascii="宋体" w:hAnsi="宋体" w:cs="宋体"/>
                <w:szCs w:val="21"/>
                <w:lang w:val="en-US" w:eastAsia="zh-CN"/>
              </w:rPr>
              <w:t>/单模光缆</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接口用途</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本工程线网</w:t>
            </w:r>
            <w:r>
              <w:rPr>
                <w:rFonts w:hint="eastAsia" w:ascii="宋体" w:hAnsi="宋体" w:cs="宋体"/>
                <w:szCs w:val="21"/>
                <w:lang w:val="en-US" w:eastAsia="zh-CN"/>
              </w:rPr>
              <w:t>视频监视</w:t>
            </w:r>
            <w:r>
              <w:rPr>
                <w:rFonts w:hint="eastAsia" w:ascii="宋体" w:hAnsi="宋体" w:cs="宋体"/>
                <w:szCs w:val="21"/>
              </w:rPr>
              <w:t>系统需实现与</w:t>
            </w:r>
            <w:r>
              <w:rPr>
                <w:rFonts w:hint="eastAsia" w:ascii="宋体" w:hAnsi="宋体" w:cs="宋体"/>
                <w:szCs w:val="21"/>
                <w:lang w:val="en-US" w:eastAsia="zh-CN"/>
              </w:rPr>
              <w:t>车载视频监视系统</w:t>
            </w:r>
            <w:r>
              <w:rPr>
                <w:rFonts w:hint="eastAsia" w:ascii="宋体" w:hAnsi="宋体" w:cs="宋体"/>
                <w:szCs w:val="21"/>
              </w:rPr>
              <w:t>的对接，实现本工程线网</w:t>
            </w:r>
            <w:r>
              <w:rPr>
                <w:rFonts w:hint="eastAsia" w:ascii="宋体" w:hAnsi="宋体" w:cs="宋体"/>
                <w:szCs w:val="21"/>
                <w:lang w:val="en-US" w:eastAsia="zh-CN"/>
              </w:rPr>
              <w:t>视频监视</w:t>
            </w:r>
            <w:r>
              <w:rPr>
                <w:rFonts w:hint="eastAsia" w:ascii="宋体" w:hAnsi="宋体" w:cs="宋体"/>
                <w:szCs w:val="21"/>
              </w:rPr>
              <w:t>系统对</w:t>
            </w:r>
            <w:r>
              <w:rPr>
                <w:rFonts w:hint="eastAsia" w:ascii="宋体" w:hAnsi="宋体" w:cs="宋体"/>
                <w:szCs w:val="21"/>
                <w:lang w:val="en-US" w:eastAsia="zh-CN"/>
              </w:rPr>
              <w:t>车载视频监视系统</w:t>
            </w:r>
            <w:r>
              <w:rPr>
                <w:rFonts w:hint="eastAsia" w:ascii="宋体" w:hAnsi="宋体" w:cs="宋体"/>
                <w:szCs w:val="21"/>
              </w:rPr>
              <w:t>的</w:t>
            </w:r>
            <w:r>
              <w:rPr>
                <w:rFonts w:hint="eastAsia" w:ascii="宋体" w:hAnsi="宋体" w:cs="宋体"/>
                <w:szCs w:val="21"/>
                <w:lang w:val="en-US" w:eastAsia="zh-CN"/>
              </w:rPr>
              <w:t>调看</w:t>
            </w:r>
            <w:r>
              <w:rPr>
                <w:rFonts w:hint="eastAsia" w:ascii="宋体" w:hAnsi="宋体" w:cs="宋体"/>
                <w:szCs w:val="21"/>
              </w:rPr>
              <w:t>功能。</w:t>
            </w:r>
          </w:p>
        </w:tc>
      </w:tr>
      <w:tr>
        <w:tblPrEx>
          <w:tblCellMar>
            <w:top w:w="0" w:type="dxa"/>
            <w:left w:w="108" w:type="dxa"/>
            <w:bottom w:w="0" w:type="dxa"/>
            <w:right w:w="108" w:type="dxa"/>
          </w:tblCellMar>
        </w:tblPrEx>
        <w:trPr>
          <w:trHeight w:val="397" w:hRule="atLeast"/>
          <w:jc w:val="center"/>
        </w:trPr>
        <w:tc>
          <w:tcPr>
            <w:tcW w:w="944" w:type="pct"/>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相关方责任</w:t>
            </w:r>
          </w:p>
        </w:tc>
        <w:tc>
          <w:tcPr>
            <w:tcW w:w="2026"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hint="eastAsia" w:ascii="宋体" w:hAnsi="宋体" w:eastAsia="宋体" w:cs="宋体"/>
                <w:szCs w:val="21"/>
                <w:lang w:eastAsia="zh-CN"/>
              </w:rPr>
            </w:pPr>
            <w:r>
              <w:rPr>
                <w:rFonts w:hint="eastAsia" w:ascii="宋体" w:hAnsi="宋体" w:cs="宋体"/>
                <w:szCs w:val="21"/>
                <w:lang w:val="en-US" w:eastAsia="zh-CN"/>
              </w:rPr>
              <w:t>COCC</w:t>
            </w:r>
          </w:p>
        </w:tc>
        <w:tc>
          <w:tcPr>
            <w:tcW w:w="2028"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hint="eastAsia" w:ascii="宋体" w:hAnsi="宋体" w:eastAsia="宋体" w:cs="宋体"/>
                <w:szCs w:val="21"/>
                <w:lang w:eastAsia="zh-CN"/>
              </w:rPr>
            </w:pPr>
            <w:r>
              <w:rPr>
                <w:rFonts w:hint="eastAsia" w:ascii="宋体" w:hAnsi="宋体" w:cs="宋体"/>
                <w:szCs w:val="21"/>
                <w:lang w:val="en-US" w:eastAsia="zh-CN"/>
              </w:rPr>
              <w:t>PIDS</w:t>
            </w:r>
          </w:p>
        </w:tc>
      </w:tr>
      <w:tr>
        <w:tblPrEx>
          <w:tblCellMar>
            <w:top w:w="0" w:type="dxa"/>
            <w:left w:w="108" w:type="dxa"/>
            <w:bottom w:w="0" w:type="dxa"/>
            <w:right w:w="108" w:type="dxa"/>
          </w:tblCellMar>
        </w:tblPrEx>
        <w:trPr>
          <w:trHeight w:val="397" w:hRule="atLeast"/>
          <w:jc w:val="center"/>
        </w:trPr>
        <w:tc>
          <w:tcPr>
            <w:tcW w:w="944"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szCs w:val="21"/>
              </w:rPr>
            </w:pPr>
          </w:p>
        </w:tc>
        <w:tc>
          <w:tcPr>
            <w:tcW w:w="2026"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负责</w:t>
            </w:r>
            <w:r>
              <w:rPr>
                <w:rFonts w:hint="eastAsia" w:ascii="宋体" w:hAnsi="宋体" w:cs="宋体"/>
                <w:szCs w:val="21"/>
                <w:lang w:val="en-US" w:eastAsia="zh-CN"/>
              </w:rPr>
              <w:t>提供平台对接设备、</w:t>
            </w:r>
            <w:r>
              <w:rPr>
                <w:rFonts w:hint="eastAsia" w:ascii="宋体" w:hAnsi="宋体" w:cs="宋体"/>
                <w:szCs w:val="21"/>
              </w:rPr>
              <w:t>接线、敷设电缆，负责接口实施及调试。</w:t>
            </w:r>
          </w:p>
        </w:tc>
        <w:tc>
          <w:tcPr>
            <w:tcW w:w="2028" w:type="pct"/>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配合接口调试。</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接口测试</w:t>
            </w:r>
          </w:p>
        </w:tc>
        <w:tc>
          <w:tcPr>
            <w:tcW w:w="4055" w:type="pct"/>
            <w:gridSpan w:val="2"/>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测试各接口双方的通电连续性及数据连接状态。测试在线缆物理连接后在现场进行</w:t>
            </w:r>
            <w:bookmarkStart w:id="58" w:name="_GoBack"/>
            <w:bookmarkEnd w:id="58"/>
            <w:r>
              <w:rPr>
                <w:rFonts w:hint="eastAsia" w:ascii="宋体" w:hAnsi="宋体" w:cs="宋体"/>
                <w:szCs w:val="21"/>
              </w:rPr>
              <w:t>。</w:t>
            </w:r>
          </w:p>
        </w:tc>
      </w:tr>
    </w:tbl>
    <w:p>
      <w:pPr>
        <w:pStyle w:val="4"/>
        <w:spacing w:line="480" w:lineRule="exact"/>
        <w:ind w:firstLine="560"/>
      </w:pPr>
      <w:bookmarkStart w:id="51" w:name="_Toc28821"/>
      <w:r>
        <w:rPr>
          <w:rFonts w:hint="eastAsia"/>
        </w:rPr>
        <w:t>线网调度电话系统与COCC一期线网调度电话系统接口</w:t>
      </w:r>
      <w:bookmarkEnd w:id="51"/>
    </w:p>
    <w:p>
      <w:pPr>
        <w:pStyle w:val="14"/>
        <w:ind w:firstLine="420"/>
        <w:rPr>
          <w:sz w:val="21"/>
          <w:szCs w:val="21"/>
        </w:rPr>
      </w:pPr>
      <w:r>
        <w:rPr>
          <w:rFonts w:hint="eastAsia"/>
          <w:sz w:val="21"/>
          <w:szCs w:val="21"/>
        </w:rPr>
        <w:t>1）接口示意图</w:t>
      </w:r>
    </w:p>
    <w:p>
      <w:pPr>
        <w:jc w:val="center"/>
        <w:rPr>
          <w:rFonts w:asciiTheme="minorEastAsia" w:hAnsiTheme="minorEastAsia" w:eastAsiaTheme="minorEastAsia" w:cstheme="minorBidi"/>
          <w:szCs w:val="21"/>
        </w:rPr>
      </w:pPr>
      <w:r>
        <w:rPr>
          <w:rFonts w:hint="eastAsia" w:asciiTheme="minorEastAsia" w:hAnsiTheme="minorEastAsia" w:eastAsiaTheme="minorEastAsia" w:cstheme="minorBidi"/>
          <w:szCs w:val="21"/>
        </w:rPr>
        <w:object>
          <v:shape id="_x0000_i1037" o:spt="75" type="#_x0000_t75" style="height:296.25pt;width:324pt;" o:ole="t" filled="f" o:preferrelative="t" stroked="f" coordsize="21600,21600">
            <v:path/>
            <v:fill on="f" focussize="0,0"/>
            <v:stroke on="f" joinstyle="miter"/>
            <v:imagedata r:id="rId42" o:title=""/>
            <o:lock v:ext="edit" aspectratio="t"/>
            <w10:wrap type="none"/>
            <w10:anchorlock/>
          </v:shape>
          <o:OLEObject Type="Embed" ProgID="Visio.Drawing.11" ShapeID="_x0000_i1037" DrawAspect="Content" ObjectID="_1468075740" r:id="rId41">
            <o:LockedField>false</o:LockedField>
          </o:OLEObject>
        </w:object>
      </w:r>
    </w:p>
    <w:p>
      <w:pPr>
        <w:pStyle w:val="14"/>
        <w:ind w:firstLine="420"/>
        <w:rPr>
          <w:sz w:val="21"/>
          <w:szCs w:val="21"/>
        </w:rPr>
      </w:pPr>
      <w:r>
        <w:rPr>
          <w:rFonts w:hint="eastAsia"/>
          <w:sz w:val="21"/>
          <w:szCs w:val="21"/>
        </w:rPr>
        <w:t>2）接口内容</w:t>
      </w:r>
    </w:p>
    <w:tbl>
      <w:tblPr>
        <w:tblStyle w:val="32"/>
        <w:tblW w:w="4999" w:type="pct"/>
        <w:jc w:val="center"/>
        <w:tblLayout w:type="autofit"/>
        <w:tblCellMar>
          <w:top w:w="0" w:type="dxa"/>
          <w:left w:w="108" w:type="dxa"/>
          <w:bottom w:w="0" w:type="dxa"/>
          <w:right w:w="108" w:type="dxa"/>
        </w:tblCellMar>
      </w:tblPr>
      <w:tblGrid>
        <w:gridCol w:w="1609"/>
        <w:gridCol w:w="3453"/>
        <w:gridCol w:w="3458"/>
      </w:tblGrid>
      <w:tr>
        <w:tblPrEx>
          <w:tblCellMar>
            <w:top w:w="0" w:type="dxa"/>
            <w:left w:w="108" w:type="dxa"/>
            <w:bottom w:w="0" w:type="dxa"/>
            <w:right w:w="108" w:type="dxa"/>
          </w:tblCellMar>
        </w:tblPrEx>
        <w:trPr>
          <w:trHeight w:val="397" w:hRule="atLeast"/>
          <w:tblHeader/>
          <w:jc w:val="center"/>
        </w:trPr>
        <w:tc>
          <w:tcPr>
            <w:tcW w:w="944"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内容</w:t>
            </w:r>
          </w:p>
        </w:tc>
        <w:tc>
          <w:tcPr>
            <w:tcW w:w="4055" w:type="pct"/>
            <w:gridSpan w:val="2"/>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说明</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接口编号</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TX3.XW1.01</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接口分界点</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COCC一期线网调度电话系统设备接线端子</w:t>
            </w:r>
            <w:r>
              <w:rPr>
                <w:rFonts w:ascii="宋体" w:hAnsi="宋体" w:cs="宋体"/>
                <w:szCs w:val="21"/>
              </w:rPr>
              <w:t>处</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接口数量</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线网指挥中心1个</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接口类型</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cs="宋体"/>
                <w:szCs w:val="21"/>
              </w:rPr>
              <w:t>G</w:t>
            </w:r>
            <w:r>
              <w:rPr>
                <w:rFonts w:hint="eastAsia" w:ascii="宋体" w:hAnsi="宋体" w:cs="宋体"/>
                <w:szCs w:val="21"/>
              </w:rPr>
              <w:t>E</w:t>
            </w:r>
          </w:p>
        </w:tc>
      </w:tr>
      <w:tr>
        <w:tblPrEx>
          <w:tblCellMar>
            <w:top w:w="0" w:type="dxa"/>
            <w:left w:w="108" w:type="dxa"/>
            <w:bottom w:w="0" w:type="dxa"/>
            <w:right w:w="108" w:type="dxa"/>
          </w:tblCellMar>
        </w:tblPrEx>
        <w:trPr>
          <w:trHeight w:val="465"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物理接口</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RJ45</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线缆规格</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六类非屏蔽双绞线</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接口用途</w:t>
            </w:r>
          </w:p>
        </w:tc>
        <w:tc>
          <w:tcPr>
            <w:tcW w:w="4055" w:type="pct"/>
            <w:gridSpan w:val="2"/>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szCs w:val="21"/>
              </w:rPr>
            </w:pPr>
            <w:r>
              <w:rPr>
                <w:rFonts w:hint="eastAsia" w:ascii="宋体" w:hAnsi="宋体" w:cs="宋体"/>
                <w:szCs w:val="21"/>
              </w:rPr>
              <w:t>赤沙OCC、陇枕OCC、大石OCC、镇龙OCC</w:t>
            </w:r>
            <w:r>
              <w:rPr>
                <w:rFonts w:hint="eastAsia" w:cs="宋体"/>
                <w:szCs w:val="21"/>
              </w:rPr>
              <w:t>、城际控制中心、有轨电车控制中心</w:t>
            </w:r>
            <w:r>
              <w:rPr>
                <w:rFonts w:hint="eastAsia" w:ascii="宋体" w:hAnsi="宋体" w:cs="宋体"/>
                <w:szCs w:val="21"/>
              </w:rPr>
              <w:t>新增录音设备、可视调度分机</w:t>
            </w:r>
            <w:r>
              <w:rPr>
                <w:rFonts w:hint="eastAsia"/>
                <w:szCs w:val="21"/>
              </w:rPr>
              <w:t>通过本工程采购以太网交换机实现COCC一期线网调度电话系统（既有）与新增录音设备、视频调度分机之间的对接，将本工程新增录音设备纳入COCC线网调度电话系统（录音平台）进行统一管理，并将视频调度分机接入COCC一期线网调度电话系统。</w:t>
            </w:r>
          </w:p>
        </w:tc>
      </w:tr>
      <w:tr>
        <w:tblPrEx>
          <w:tblCellMar>
            <w:top w:w="0" w:type="dxa"/>
            <w:left w:w="108" w:type="dxa"/>
            <w:bottom w:w="0" w:type="dxa"/>
            <w:right w:w="108" w:type="dxa"/>
          </w:tblCellMar>
        </w:tblPrEx>
        <w:trPr>
          <w:trHeight w:val="397" w:hRule="atLeast"/>
          <w:jc w:val="center"/>
        </w:trPr>
        <w:tc>
          <w:tcPr>
            <w:tcW w:w="944" w:type="pct"/>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相关方责任</w:t>
            </w:r>
          </w:p>
        </w:tc>
        <w:tc>
          <w:tcPr>
            <w:tcW w:w="2026"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线网调度电话</w:t>
            </w:r>
          </w:p>
        </w:tc>
        <w:tc>
          <w:tcPr>
            <w:tcW w:w="2028" w:type="pct"/>
            <w:tcBorders>
              <w:top w:val="single" w:color="auto" w:sz="4" w:space="0"/>
              <w:left w:val="single" w:color="auto" w:sz="4" w:space="0"/>
              <w:bottom w:val="single" w:color="auto" w:sz="4" w:space="0"/>
              <w:right w:val="single" w:color="auto" w:sz="4" w:space="0"/>
            </w:tcBorders>
            <w:shd w:val="clear" w:color="auto" w:fill="99CCFF"/>
            <w:vAlign w:val="center"/>
          </w:tcPr>
          <w:p>
            <w:pPr>
              <w:jc w:val="center"/>
              <w:rPr>
                <w:rFonts w:ascii="宋体" w:hAnsi="宋体" w:cs="宋体"/>
                <w:szCs w:val="21"/>
              </w:rPr>
            </w:pPr>
            <w:r>
              <w:rPr>
                <w:rFonts w:hint="eastAsia" w:ascii="宋体" w:hAnsi="宋体" w:cs="宋体"/>
                <w:szCs w:val="21"/>
              </w:rPr>
              <w:t>COCC一期调度电话</w:t>
            </w:r>
          </w:p>
        </w:tc>
      </w:tr>
      <w:tr>
        <w:tblPrEx>
          <w:tblCellMar>
            <w:top w:w="0" w:type="dxa"/>
            <w:left w:w="108" w:type="dxa"/>
            <w:bottom w:w="0" w:type="dxa"/>
            <w:right w:w="108" w:type="dxa"/>
          </w:tblCellMar>
        </w:tblPrEx>
        <w:trPr>
          <w:trHeight w:val="397" w:hRule="atLeast"/>
          <w:jc w:val="center"/>
        </w:trPr>
        <w:tc>
          <w:tcPr>
            <w:tcW w:w="944"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szCs w:val="21"/>
              </w:rPr>
            </w:pPr>
          </w:p>
        </w:tc>
        <w:tc>
          <w:tcPr>
            <w:tcW w:w="2026"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负责接线、敷设电缆，负责接口实施及调试。</w:t>
            </w:r>
          </w:p>
        </w:tc>
        <w:tc>
          <w:tcPr>
            <w:tcW w:w="2028" w:type="pct"/>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配合接口调试。</w:t>
            </w:r>
          </w:p>
        </w:tc>
      </w:tr>
      <w:tr>
        <w:tblPrEx>
          <w:tblCellMar>
            <w:top w:w="0" w:type="dxa"/>
            <w:left w:w="108" w:type="dxa"/>
            <w:bottom w:w="0" w:type="dxa"/>
            <w:right w:w="108" w:type="dxa"/>
          </w:tblCellMar>
        </w:tblPrEx>
        <w:trPr>
          <w:trHeight w:val="397" w:hRule="atLeast"/>
          <w:jc w:val="center"/>
        </w:trPr>
        <w:tc>
          <w:tcPr>
            <w:tcW w:w="944" w:type="pct"/>
            <w:tcBorders>
              <w:top w:val="single" w:color="auto" w:sz="4" w:space="0"/>
              <w:left w:val="single" w:color="auto" w:sz="4" w:space="0"/>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接口测试</w:t>
            </w:r>
          </w:p>
        </w:tc>
        <w:tc>
          <w:tcPr>
            <w:tcW w:w="4055" w:type="pct"/>
            <w:gridSpan w:val="2"/>
            <w:tcBorders>
              <w:top w:val="single" w:color="auto" w:sz="4" w:space="0"/>
              <w:left w:val="single" w:color="auto" w:sz="4" w:space="0"/>
              <w:bottom w:val="single" w:color="auto" w:sz="4" w:space="0"/>
              <w:right w:val="single" w:color="auto" w:sz="4" w:space="0"/>
            </w:tcBorders>
          </w:tcPr>
          <w:p>
            <w:pPr>
              <w:rPr>
                <w:rFonts w:ascii="宋体" w:hAnsi="宋体" w:cs="宋体"/>
                <w:szCs w:val="21"/>
              </w:rPr>
            </w:pPr>
            <w:r>
              <w:rPr>
                <w:rFonts w:hint="eastAsia" w:ascii="宋体" w:hAnsi="宋体" w:cs="宋体"/>
                <w:szCs w:val="21"/>
              </w:rPr>
              <w:t>测试各接口双方的通电连续性及数据连接状态。测试在线缆物理连接后在现场进行。</w:t>
            </w:r>
          </w:p>
        </w:tc>
      </w:tr>
    </w:tbl>
    <w:p>
      <w:pPr>
        <w:pStyle w:val="4"/>
        <w:spacing w:line="480" w:lineRule="exact"/>
        <w:ind w:firstLine="560"/>
      </w:pPr>
      <w:bookmarkStart w:id="52" w:name="_Toc14155"/>
      <w:r>
        <w:rPr>
          <w:rFonts w:hint="eastAsia"/>
        </w:rPr>
        <w:t>线网调度电话系统与城际的接口</w:t>
      </w:r>
      <w:bookmarkEnd w:id="52"/>
    </w:p>
    <w:p>
      <w:pPr>
        <w:numPr>
          <w:ilvl w:val="3"/>
          <w:numId w:val="0"/>
        </w:numPr>
        <w:tabs>
          <w:tab w:val="left" w:pos="840"/>
          <w:tab w:val="left" w:pos="900"/>
        </w:tabs>
        <w:spacing w:line="360" w:lineRule="auto"/>
        <w:ind w:firstLine="420" w:firstLineChars="200"/>
        <w:jc w:val="left"/>
        <w:rPr>
          <w:rFonts w:ascii="宋体" w:hAnsi="宋体"/>
          <w:szCs w:val="21"/>
        </w:rPr>
      </w:pPr>
      <w:r>
        <w:rPr>
          <w:rFonts w:hint="eastAsia" w:ascii="宋体" w:hAnsi="宋体"/>
          <w:szCs w:val="21"/>
        </w:rPr>
        <w:t>本工程需在车陂南城际指挥中心安装线网调度电话系统相关设备，包括录音设备、拾音器、调度电话分机等。需车陂南城际指挥中心提供如下条件</w:t>
      </w:r>
      <w:r>
        <w:rPr>
          <w:rFonts w:hint="eastAsia" w:ascii="宋体" w:hAnsi="宋体"/>
          <w:szCs w:val="21"/>
          <w:lang w:eastAsia="zh-CN"/>
        </w:rPr>
        <w:t>（</w:t>
      </w:r>
      <w:r>
        <w:rPr>
          <w:rFonts w:hint="eastAsia" w:ascii="宋体" w:hAnsi="宋体"/>
          <w:szCs w:val="21"/>
          <w:lang w:val="en-US" w:eastAsia="zh-CN"/>
        </w:rPr>
        <w:t>具体设计联络阶段确定</w:t>
      </w:r>
      <w:r>
        <w:rPr>
          <w:rFonts w:hint="eastAsia" w:ascii="宋体" w:hAnsi="宋体"/>
          <w:szCs w:val="21"/>
          <w:lang w:eastAsia="zh-CN"/>
        </w:rPr>
        <w:t>）</w:t>
      </w:r>
      <w:r>
        <w:rPr>
          <w:rFonts w:hint="eastAsia" w:ascii="宋体" w:hAnsi="宋体"/>
          <w:szCs w:val="21"/>
        </w:rPr>
        <w:t>：</w:t>
      </w:r>
    </w:p>
    <w:p>
      <w:pPr>
        <w:numPr>
          <w:ilvl w:val="3"/>
          <w:numId w:val="0"/>
        </w:numPr>
        <w:tabs>
          <w:tab w:val="left" w:pos="840"/>
          <w:tab w:val="left" w:pos="900"/>
        </w:tabs>
        <w:spacing w:line="360" w:lineRule="auto"/>
        <w:ind w:firstLine="420" w:firstLineChars="200"/>
        <w:jc w:val="left"/>
        <w:rPr>
          <w:rFonts w:ascii="宋体" w:hAnsi="宋体"/>
          <w:szCs w:val="21"/>
        </w:rPr>
      </w:pPr>
      <w:r>
        <w:rPr>
          <w:rFonts w:hint="eastAsia" w:ascii="宋体" w:hAnsi="宋体"/>
          <w:szCs w:val="21"/>
        </w:rPr>
        <w:t>1）安装空间</w:t>
      </w:r>
    </w:p>
    <w:p>
      <w:pPr>
        <w:numPr>
          <w:ilvl w:val="3"/>
          <w:numId w:val="0"/>
        </w:numPr>
        <w:tabs>
          <w:tab w:val="left" w:pos="840"/>
          <w:tab w:val="left" w:pos="900"/>
        </w:tabs>
        <w:wordWrap w:val="0"/>
        <w:spacing w:line="360" w:lineRule="auto"/>
        <w:ind w:firstLine="420" w:firstLineChars="200"/>
        <w:jc w:val="left"/>
        <w:rPr>
          <w:szCs w:val="21"/>
        </w:rPr>
      </w:pPr>
      <w:r>
        <w:rPr>
          <w:rFonts w:hint="eastAsia" w:ascii="宋体" w:hAnsi="宋体"/>
          <w:szCs w:val="21"/>
        </w:rPr>
        <w:t>车陂南城际指挥中心通信相关设备机房需为线网调度电话系统提供1个机柜（600*600*2200mm）的安装空间。需在车陂南城际指挥中心调度大厅为线网调度电话系统设备（拾音器、调度电话分机）提供安装空间。</w:t>
      </w:r>
    </w:p>
    <w:p>
      <w:pPr>
        <w:numPr>
          <w:ilvl w:val="3"/>
          <w:numId w:val="0"/>
        </w:numPr>
        <w:tabs>
          <w:tab w:val="left" w:pos="840"/>
          <w:tab w:val="left" w:pos="900"/>
        </w:tabs>
        <w:spacing w:line="360" w:lineRule="auto"/>
        <w:ind w:firstLine="420" w:firstLineChars="200"/>
        <w:jc w:val="left"/>
        <w:rPr>
          <w:szCs w:val="21"/>
        </w:rPr>
      </w:pPr>
      <w:r>
        <w:rPr>
          <w:rFonts w:hint="eastAsia"/>
          <w:szCs w:val="21"/>
        </w:rPr>
        <w:t>2）取电及接地</w:t>
      </w:r>
    </w:p>
    <w:p>
      <w:pPr>
        <w:numPr>
          <w:ilvl w:val="3"/>
          <w:numId w:val="0"/>
        </w:numPr>
        <w:tabs>
          <w:tab w:val="left" w:pos="840"/>
          <w:tab w:val="left" w:pos="900"/>
        </w:tabs>
        <w:spacing w:line="360" w:lineRule="auto"/>
        <w:ind w:firstLine="420" w:firstLineChars="200"/>
        <w:jc w:val="left"/>
        <w:rPr>
          <w:rFonts w:ascii="宋体" w:hAnsi="宋体"/>
          <w:szCs w:val="21"/>
        </w:rPr>
      </w:pPr>
      <w:r>
        <w:rPr>
          <w:rFonts w:hint="eastAsia" w:ascii="宋体" w:hAnsi="宋体"/>
          <w:szCs w:val="21"/>
        </w:rPr>
        <w:t>车陂南城际指挥中心通信相关设备机房需为线网调度电话系统设备提供不间断电源供应，用电容量按2000W考虑，并配置2路不低于16A单相空开。接口界面位于车陂南城际指挥中心配电箱空开端子处，线网调度电话系统设备至配电箱的线缆由本工程负责敷设。</w:t>
      </w:r>
    </w:p>
    <w:p>
      <w:pPr>
        <w:numPr>
          <w:ilvl w:val="3"/>
          <w:numId w:val="0"/>
        </w:numPr>
        <w:tabs>
          <w:tab w:val="left" w:pos="840"/>
          <w:tab w:val="left" w:pos="900"/>
        </w:tabs>
        <w:spacing w:line="360" w:lineRule="auto"/>
        <w:ind w:firstLine="420" w:firstLineChars="200"/>
        <w:jc w:val="left"/>
        <w:rPr>
          <w:rFonts w:ascii="宋体" w:hAnsi="宋体"/>
          <w:szCs w:val="21"/>
        </w:rPr>
      </w:pPr>
      <w:r>
        <w:rPr>
          <w:rFonts w:hint="eastAsia" w:ascii="宋体" w:hAnsi="宋体"/>
          <w:szCs w:val="21"/>
        </w:rPr>
        <w:t>车陂南城际指挥中心通信相关设备机房需为线网调度电话系统设备提供1个接地端子，接地电阻不大于1Ω。</w:t>
      </w:r>
    </w:p>
    <w:p>
      <w:pPr>
        <w:numPr>
          <w:ilvl w:val="0"/>
          <w:numId w:val="13"/>
        </w:numPr>
        <w:tabs>
          <w:tab w:val="left" w:pos="840"/>
          <w:tab w:val="left" w:pos="900"/>
        </w:tabs>
        <w:spacing w:line="360" w:lineRule="auto"/>
        <w:ind w:firstLine="420" w:firstLineChars="200"/>
        <w:jc w:val="left"/>
        <w:rPr>
          <w:szCs w:val="21"/>
        </w:rPr>
      </w:pPr>
      <w:r>
        <w:rPr>
          <w:rFonts w:hint="eastAsia"/>
          <w:szCs w:val="21"/>
        </w:rPr>
        <w:t>光纤</w:t>
      </w:r>
    </w:p>
    <w:p>
      <w:pPr>
        <w:numPr>
          <w:ilvl w:val="255"/>
          <w:numId w:val="0"/>
        </w:numPr>
        <w:tabs>
          <w:tab w:val="left" w:pos="840"/>
          <w:tab w:val="left" w:pos="900"/>
        </w:tabs>
        <w:spacing w:line="360" w:lineRule="auto"/>
        <w:ind w:firstLine="420"/>
        <w:jc w:val="left"/>
        <w:rPr>
          <w:rFonts w:ascii="宋体" w:hAnsi="宋体"/>
          <w:szCs w:val="21"/>
        </w:rPr>
      </w:pPr>
      <w:r>
        <w:rPr>
          <w:rFonts w:hint="eastAsia"/>
          <w:szCs w:val="21"/>
        </w:rPr>
        <w:t>本工程在</w:t>
      </w:r>
      <w:r>
        <w:rPr>
          <w:rFonts w:hint="eastAsia" w:ascii="宋体" w:hAnsi="宋体"/>
          <w:szCs w:val="21"/>
        </w:rPr>
        <w:t>车陂南城际指挥中心安装的调度电话系统设备，需借助车陂南城际指挥中心与COCC之间既有的光纤通路实现设备的连接，按占用2芯单模光纤考虑。接口界面位于车陂南城际指挥中心ODF及城际在COCC安装的ODF处，线网调度电话系统设备至各处ODF的线缆由本工程负责敷设。</w:t>
      </w:r>
    </w:p>
    <w:p>
      <w:pPr>
        <w:pStyle w:val="4"/>
        <w:spacing w:line="480" w:lineRule="exact"/>
        <w:ind w:firstLine="560"/>
      </w:pPr>
      <w:bookmarkStart w:id="53" w:name="_Toc24844"/>
      <w:r>
        <w:rPr>
          <w:rFonts w:hint="eastAsia"/>
        </w:rPr>
        <w:t>线网调度电话系统与有轨电车的接口</w:t>
      </w:r>
      <w:bookmarkEnd w:id="53"/>
    </w:p>
    <w:p>
      <w:pPr>
        <w:numPr>
          <w:ilvl w:val="3"/>
          <w:numId w:val="0"/>
        </w:numPr>
        <w:tabs>
          <w:tab w:val="left" w:pos="840"/>
          <w:tab w:val="left" w:pos="900"/>
        </w:tabs>
        <w:spacing w:line="360" w:lineRule="auto"/>
        <w:ind w:firstLine="420" w:firstLineChars="200"/>
        <w:jc w:val="left"/>
        <w:rPr>
          <w:rFonts w:ascii="宋体" w:hAnsi="宋体"/>
          <w:szCs w:val="21"/>
        </w:rPr>
      </w:pPr>
      <w:r>
        <w:rPr>
          <w:rFonts w:hint="eastAsia" w:ascii="宋体" w:hAnsi="宋体"/>
          <w:szCs w:val="21"/>
        </w:rPr>
        <w:t>本工程需在有轨电车（海珠环线）控制中心安装线网调度电话系统相关设备，包括录音设备、拾音器、调度电话分机等。需有轨电车（海珠环线）控制中心提供如下条件</w:t>
      </w:r>
      <w:r>
        <w:rPr>
          <w:rFonts w:hint="eastAsia" w:ascii="宋体" w:hAnsi="宋体"/>
          <w:szCs w:val="21"/>
          <w:lang w:eastAsia="zh-CN"/>
        </w:rPr>
        <w:t>（</w:t>
      </w:r>
      <w:r>
        <w:rPr>
          <w:rFonts w:hint="eastAsia" w:ascii="宋体" w:hAnsi="宋体"/>
          <w:szCs w:val="21"/>
          <w:lang w:val="en-US" w:eastAsia="zh-CN"/>
        </w:rPr>
        <w:t>具体设计联络阶段确定</w:t>
      </w:r>
      <w:r>
        <w:rPr>
          <w:rFonts w:hint="eastAsia" w:ascii="宋体" w:hAnsi="宋体"/>
          <w:szCs w:val="21"/>
          <w:lang w:eastAsia="zh-CN"/>
        </w:rPr>
        <w:t>）</w:t>
      </w:r>
      <w:r>
        <w:rPr>
          <w:rFonts w:hint="eastAsia" w:ascii="宋体" w:hAnsi="宋体"/>
          <w:szCs w:val="21"/>
        </w:rPr>
        <w:t>：</w:t>
      </w:r>
    </w:p>
    <w:p>
      <w:pPr>
        <w:numPr>
          <w:ilvl w:val="3"/>
          <w:numId w:val="0"/>
        </w:numPr>
        <w:tabs>
          <w:tab w:val="left" w:pos="840"/>
          <w:tab w:val="left" w:pos="900"/>
        </w:tabs>
        <w:spacing w:line="360" w:lineRule="auto"/>
        <w:ind w:firstLine="420" w:firstLineChars="200"/>
        <w:jc w:val="left"/>
        <w:rPr>
          <w:rFonts w:ascii="宋体" w:hAnsi="宋体"/>
          <w:szCs w:val="21"/>
        </w:rPr>
      </w:pPr>
      <w:r>
        <w:rPr>
          <w:rFonts w:hint="eastAsia" w:ascii="宋体" w:hAnsi="宋体"/>
          <w:szCs w:val="21"/>
        </w:rPr>
        <w:t>1）安装空间</w:t>
      </w:r>
    </w:p>
    <w:p>
      <w:pPr>
        <w:numPr>
          <w:ilvl w:val="3"/>
          <w:numId w:val="0"/>
        </w:numPr>
        <w:tabs>
          <w:tab w:val="left" w:pos="840"/>
          <w:tab w:val="left" w:pos="900"/>
        </w:tabs>
        <w:spacing w:line="360" w:lineRule="auto"/>
        <w:ind w:firstLine="420" w:firstLineChars="200"/>
        <w:jc w:val="left"/>
        <w:rPr>
          <w:szCs w:val="21"/>
        </w:rPr>
      </w:pPr>
      <w:r>
        <w:rPr>
          <w:rFonts w:hint="eastAsia" w:ascii="宋体" w:hAnsi="宋体"/>
          <w:szCs w:val="21"/>
        </w:rPr>
        <w:t>有轨电车（海珠环线）控制中心通信相关设备机房需为线网调度电话系统提供1个机柜（600*600*2200mm）的安装空间。需在有轨电车（海珠环线）控制中心调度大厅为线网调度电话系统设备（拾音器、调度电话分机）提供安装空间。</w:t>
      </w:r>
    </w:p>
    <w:p>
      <w:pPr>
        <w:numPr>
          <w:ilvl w:val="3"/>
          <w:numId w:val="0"/>
        </w:numPr>
        <w:tabs>
          <w:tab w:val="left" w:pos="840"/>
          <w:tab w:val="left" w:pos="900"/>
        </w:tabs>
        <w:spacing w:line="360" w:lineRule="auto"/>
        <w:ind w:firstLine="420" w:firstLineChars="200"/>
        <w:jc w:val="left"/>
        <w:rPr>
          <w:szCs w:val="21"/>
        </w:rPr>
      </w:pPr>
      <w:r>
        <w:rPr>
          <w:rFonts w:hint="eastAsia"/>
          <w:szCs w:val="21"/>
        </w:rPr>
        <w:t>2）取电及接地</w:t>
      </w:r>
    </w:p>
    <w:p>
      <w:pPr>
        <w:numPr>
          <w:ilvl w:val="3"/>
          <w:numId w:val="0"/>
        </w:numPr>
        <w:tabs>
          <w:tab w:val="left" w:pos="840"/>
          <w:tab w:val="left" w:pos="900"/>
        </w:tabs>
        <w:spacing w:line="360" w:lineRule="auto"/>
        <w:ind w:firstLine="420" w:firstLineChars="200"/>
        <w:jc w:val="left"/>
        <w:rPr>
          <w:rFonts w:ascii="宋体" w:hAnsi="宋体"/>
          <w:szCs w:val="21"/>
        </w:rPr>
      </w:pPr>
      <w:r>
        <w:rPr>
          <w:rFonts w:hint="eastAsia" w:ascii="宋体" w:hAnsi="宋体"/>
          <w:szCs w:val="21"/>
        </w:rPr>
        <w:t>有轨电车（海珠环线）控制中心通信相关设备机房需为线网调度电话系统设备提供不间断电源供应，用电容量按2000W考虑，并配置2路不低于16A单相空开。接口界面位于有轨电车（海珠环线）控制中心配电箱空开端子处，线网调度电话系统设备至配电箱的线缆由本工程负责敷设。</w:t>
      </w:r>
    </w:p>
    <w:p>
      <w:pPr>
        <w:numPr>
          <w:ilvl w:val="3"/>
          <w:numId w:val="0"/>
        </w:numPr>
        <w:tabs>
          <w:tab w:val="left" w:pos="840"/>
          <w:tab w:val="left" w:pos="900"/>
        </w:tabs>
        <w:spacing w:line="360" w:lineRule="auto"/>
        <w:ind w:firstLine="420" w:firstLineChars="200"/>
        <w:jc w:val="left"/>
        <w:rPr>
          <w:rFonts w:ascii="宋体" w:hAnsi="宋体"/>
          <w:szCs w:val="21"/>
        </w:rPr>
      </w:pPr>
      <w:r>
        <w:rPr>
          <w:rFonts w:hint="eastAsia" w:ascii="宋体" w:hAnsi="宋体"/>
          <w:szCs w:val="21"/>
        </w:rPr>
        <w:t>有轨电车（海珠环线）控制中心通信相关设备机房需为线网调度电话系统设备提供1个接地端子，接地电阻不大于1Ω。</w:t>
      </w:r>
    </w:p>
    <w:p>
      <w:pPr>
        <w:numPr>
          <w:ilvl w:val="255"/>
          <w:numId w:val="0"/>
        </w:numPr>
        <w:tabs>
          <w:tab w:val="left" w:pos="840"/>
          <w:tab w:val="left" w:pos="900"/>
        </w:tabs>
        <w:spacing w:line="360" w:lineRule="auto"/>
        <w:ind w:firstLine="420" w:firstLineChars="200"/>
        <w:jc w:val="left"/>
        <w:rPr>
          <w:szCs w:val="21"/>
        </w:rPr>
      </w:pPr>
      <w:r>
        <w:rPr>
          <w:rFonts w:hint="eastAsia"/>
          <w:szCs w:val="21"/>
        </w:rPr>
        <w:t>3）光纤</w:t>
      </w:r>
    </w:p>
    <w:p>
      <w:pPr>
        <w:numPr>
          <w:ilvl w:val="255"/>
          <w:numId w:val="0"/>
        </w:numPr>
        <w:tabs>
          <w:tab w:val="left" w:pos="840"/>
          <w:tab w:val="left" w:pos="900"/>
        </w:tabs>
        <w:spacing w:line="360" w:lineRule="auto"/>
        <w:ind w:firstLine="420"/>
        <w:jc w:val="left"/>
        <w:rPr>
          <w:rFonts w:ascii="宋体" w:hAnsi="宋体"/>
          <w:szCs w:val="21"/>
        </w:rPr>
      </w:pPr>
      <w:r>
        <w:rPr>
          <w:rFonts w:hint="eastAsia"/>
          <w:szCs w:val="21"/>
        </w:rPr>
        <w:t>本工程在</w:t>
      </w:r>
      <w:r>
        <w:rPr>
          <w:rFonts w:hint="eastAsia" w:ascii="宋体" w:hAnsi="宋体"/>
          <w:szCs w:val="21"/>
        </w:rPr>
        <w:t>有轨电车（海珠环线）控制中心安装的调度电话系统设备，需借助各有轨电车控制中心与COCC之间的既有光纤通路实现设备的连接，按占用2芯单模光纤考虑。</w:t>
      </w:r>
    </w:p>
    <w:p>
      <w:pPr>
        <w:numPr>
          <w:ilvl w:val="255"/>
          <w:numId w:val="0"/>
        </w:numPr>
        <w:tabs>
          <w:tab w:val="left" w:pos="840"/>
          <w:tab w:val="left" w:pos="900"/>
        </w:tabs>
        <w:spacing w:line="360" w:lineRule="auto"/>
        <w:ind w:firstLine="420"/>
        <w:jc w:val="left"/>
        <w:rPr>
          <w:rFonts w:ascii="宋体" w:hAnsi="宋体"/>
          <w:szCs w:val="21"/>
        </w:rPr>
      </w:pPr>
      <w:r>
        <w:rPr>
          <w:rFonts w:hint="eastAsia" w:ascii="宋体" w:hAnsi="宋体"/>
          <w:szCs w:val="21"/>
        </w:rPr>
        <w:t>海珠环线控制中心至COCC通信设备室的光缆路由大致为：海珠环线控制中心—有轨电车万胜围站—地铁万胜围站—COCC通信设备室，如下图所示。接口界面位于海珠环线控制中心ODF及海珠环线在COCC安装的ODF处，线网调度电话系统设备至各处ODF的线缆由本工程负责敷设。</w:t>
      </w:r>
    </w:p>
    <w:p>
      <w:pPr>
        <w:widowControl/>
        <w:jc w:val="center"/>
      </w:pPr>
      <w:r>
        <w:rPr>
          <w:rFonts w:ascii="宋体" w:hAnsi="宋体" w:cs="宋体"/>
          <w:kern w:val="0"/>
          <w:sz w:val="24"/>
          <w:szCs w:val="24"/>
        </w:rPr>
        <w:drawing>
          <wp:inline distT="0" distB="0" distL="114300" distR="114300">
            <wp:extent cx="4991735" cy="656590"/>
            <wp:effectExtent l="0" t="0" r="18415" b="10160"/>
            <wp:docPr id="2" name="图片 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4" descr="IMG_256"/>
                    <pic:cNvPicPr>
                      <a:picLocks noChangeAspect="1"/>
                    </pic:cNvPicPr>
                  </pic:nvPicPr>
                  <pic:blipFill>
                    <a:blip r:embed="rId43"/>
                    <a:stretch>
                      <a:fillRect/>
                    </a:stretch>
                  </pic:blipFill>
                  <pic:spPr>
                    <a:xfrm>
                      <a:off x="0" y="0"/>
                      <a:ext cx="4991735" cy="656590"/>
                    </a:xfrm>
                    <a:prstGeom prst="rect">
                      <a:avLst/>
                    </a:prstGeom>
                    <a:noFill/>
                    <a:ln w="9525">
                      <a:noFill/>
                    </a:ln>
                  </pic:spPr>
                </pic:pic>
              </a:graphicData>
            </a:graphic>
          </wp:inline>
        </w:drawing>
      </w:r>
    </w:p>
    <w:p>
      <w:pPr>
        <w:numPr>
          <w:ilvl w:val="3"/>
          <w:numId w:val="0"/>
        </w:numPr>
        <w:tabs>
          <w:tab w:val="left" w:pos="840"/>
          <w:tab w:val="left" w:pos="900"/>
        </w:tabs>
        <w:spacing w:line="360" w:lineRule="auto"/>
        <w:ind w:firstLine="420" w:firstLineChars="200"/>
        <w:rPr>
          <w:rFonts w:ascii="宋体" w:hAnsi="宋体"/>
          <w:szCs w:val="21"/>
        </w:rPr>
      </w:pPr>
    </w:p>
    <w:p>
      <w:pPr>
        <w:widowControl/>
        <w:jc w:val="left"/>
      </w:pPr>
    </w:p>
    <w:p>
      <w:pPr>
        <w:numPr>
          <w:ilvl w:val="255"/>
          <w:numId w:val="0"/>
        </w:numPr>
        <w:tabs>
          <w:tab w:val="left" w:pos="840"/>
          <w:tab w:val="left" w:pos="900"/>
        </w:tabs>
        <w:spacing w:line="360" w:lineRule="auto"/>
        <w:jc w:val="left"/>
        <w:rPr>
          <w:rFonts w:ascii="宋体" w:hAnsi="宋体"/>
          <w:szCs w:val="21"/>
        </w:rPr>
      </w:pPr>
    </w:p>
    <w:p>
      <w:pPr>
        <w:pStyle w:val="3"/>
        <w:numPr>
          <w:ilvl w:val="1"/>
          <w:numId w:val="1"/>
        </w:numPr>
        <w:spacing w:line="480" w:lineRule="exact"/>
        <w:ind w:firstLine="560"/>
        <w:rPr>
          <w:rFonts w:ascii="Times New Roman" w:hAnsi="Times New Roman" w:eastAsia="宋体"/>
          <w:szCs w:val="21"/>
        </w:rPr>
      </w:pPr>
      <w:bookmarkStart w:id="54" w:name="_Toc18515"/>
      <w:r>
        <w:rPr>
          <w:rFonts w:hint="eastAsia" w:ascii="Times New Roman" w:hAnsi="Times New Roman" w:eastAsia="宋体"/>
          <w:szCs w:val="21"/>
        </w:rPr>
        <w:t>大屏幕与相关系统的接口</w:t>
      </w:r>
      <w:bookmarkEnd w:id="54"/>
    </w:p>
    <w:p>
      <w:pPr>
        <w:pStyle w:val="4"/>
        <w:spacing w:line="480" w:lineRule="exact"/>
        <w:ind w:firstLine="560"/>
        <w:rPr>
          <w:rFonts w:ascii="Times New Roman" w:hAnsi="Times New Roman" w:eastAsia="宋体"/>
        </w:rPr>
      </w:pPr>
      <w:bookmarkStart w:id="55" w:name="_Toc196140573"/>
      <w:bookmarkEnd w:id="55"/>
      <w:bookmarkStart w:id="56" w:name="_Toc2637"/>
      <w:r>
        <w:rPr>
          <w:rFonts w:hint="eastAsia" w:ascii="Times New Roman" w:hAnsi="Times New Roman" w:eastAsia="宋体"/>
        </w:rPr>
        <w:t>大</w:t>
      </w:r>
      <w:r>
        <w:rPr>
          <w:rFonts w:hint="eastAsia" w:ascii="Times New Roman" w:hAnsi="Times New Roman" w:eastAsia="宋体"/>
          <w:szCs w:val="21"/>
        </w:rPr>
        <w:t>屏幕</w:t>
      </w:r>
      <w:r>
        <w:rPr>
          <w:rFonts w:hint="eastAsia" w:ascii="Times New Roman" w:hAnsi="Times New Roman" w:eastAsia="宋体"/>
        </w:rPr>
        <w:t>与线网级业务应用系统的接口</w:t>
      </w:r>
      <w:bookmarkEnd w:id="56"/>
    </w:p>
    <w:p>
      <w:pPr>
        <w:spacing w:line="360" w:lineRule="auto"/>
        <w:ind w:firstLine="420" w:firstLineChars="200"/>
        <w:rPr>
          <w:szCs w:val="21"/>
        </w:rPr>
      </w:pPr>
      <w:r>
        <w:rPr>
          <w:rFonts w:hint="eastAsia"/>
          <w:szCs w:val="21"/>
        </w:rPr>
        <w:t>线网大屏系统在COCC与线网级业务应用系统互连，由于线网级业务应用系统通过云平台承载，因此该接口的物理连接通过云平台终端接入交换机实现，接口按2个千兆电口考虑。该接口需两个系统相互配合进行相关接口软件的开发及实施。通过该接口可实现线网大屏系统与线网级业务应用系统之间的对接，线网级业务应用系统提供给COCC二期工程大屏幕控制系统的高清输入图源数量共计18个，具体如下：</w:t>
      </w:r>
    </w:p>
    <w:p>
      <w:pPr>
        <w:spacing w:line="360" w:lineRule="auto"/>
        <w:ind w:firstLine="420" w:firstLineChars="200"/>
        <w:rPr>
          <w:szCs w:val="21"/>
        </w:rPr>
      </w:pPr>
      <w:r>
        <w:rPr>
          <w:rFonts w:hint="eastAsia"/>
          <w:szCs w:val="21"/>
        </w:rPr>
        <w:t>5列*3行布局：2个，单个图源分辨率7000x3150；</w:t>
      </w:r>
    </w:p>
    <w:p>
      <w:pPr>
        <w:spacing w:line="360" w:lineRule="auto"/>
        <w:ind w:firstLine="420" w:firstLineChars="200"/>
        <w:rPr>
          <w:szCs w:val="21"/>
        </w:rPr>
      </w:pPr>
      <w:r>
        <w:rPr>
          <w:rFonts w:hint="eastAsia"/>
          <w:szCs w:val="21"/>
        </w:rPr>
        <w:t>4列*3行布局：12个，单个图源分辨率5600x3150；</w:t>
      </w:r>
    </w:p>
    <w:p>
      <w:pPr>
        <w:spacing w:line="360" w:lineRule="auto"/>
        <w:ind w:firstLine="420" w:firstLineChars="200"/>
        <w:rPr>
          <w:szCs w:val="21"/>
        </w:rPr>
      </w:pPr>
      <w:r>
        <w:rPr>
          <w:rFonts w:hint="eastAsia"/>
          <w:szCs w:val="21"/>
        </w:rPr>
        <w:t>3列*3行布局：4个，单个图源分辨率4200x3150。</w:t>
      </w:r>
    </w:p>
    <w:p>
      <w:pPr>
        <w:spacing w:line="360" w:lineRule="auto"/>
        <w:ind w:firstLine="420" w:firstLineChars="200"/>
        <w:rPr>
          <w:szCs w:val="21"/>
        </w:rPr>
      </w:pPr>
      <w:r>
        <w:rPr>
          <w:rFonts w:hint="eastAsia"/>
          <w:szCs w:val="21"/>
        </w:rPr>
        <w:t>上述高清输入图源由线网级业务应用系统提供单个图源的URL，并支持大屏幕控制系统对同一个URL的多次调用。同一时间大屏幕控制系统最大可支持8个高清输入图源的显示。</w:t>
      </w:r>
    </w:p>
    <w:p>
      <w:pPr>
        <w:spacing w:line="360" w:lineRule="auto"/>
        <w:ind w:firstLine="420" w:firstLineChars="200"/>
        <w:rPr>
          <w:szCs w:val="21"/>
        </w:rPr>
      </w:pPr>
      <w:r>
        <w:rPr>
          <w:rFonts w:hint="eastAsia"/>
          <w:szCs w:val="21"/>
        </w:rPr>
        <w:t>大屏幕控制系统可根据线网综合应用的大屏管理模块开发需求提供相应的接口配合，相关费用包含在投标总价中。</w:t>
      </w:r>
    </w:p>
    <w:p>
      <w:pPr>
        <w:spacing w:line="360" w:lineRule="auto"/>
        <w:ind w:firstLine="420" w:firstLineChars="200"/>
        <w:jc w:val="center"/>
      </w:pPr>
      <w:r>
        <w:rPr>
          <w:rFonts w:ascii="Arial" w:hAnsi="Arial" w:cs="Arial"/>
          <w:kern w:val="0"/>
          <w:szCs w:val="21"/>
        </w:rPr>
        <w:object>
          <v:shape id="_x0000_i1038" o:spt="75" type="#_x0000_t75" style="height:234.75pt;width:359.25pt;" o:ole="t" filled="f" o:preferrelative="t" stroked="f" coordsize="21600,21600">
            <v:path/>
            <v:fill on="f" focussize="0,0"/>
            <v:stroke on="f" joinstyle="miter"/>
            <v:imagedata r:id="rId45" croptop="4884f" cropright="3209f" cropbottom="3950f" o:title=""/>
            <o:lock v:ext="edit" aspectratio="t"/>
            <w10:wrap type="none"/>
            <w10:anchorlock/>
          </v:shape>
          <o:OLEObject Type="Embed" ProgID="Visio.Drawing.11" ShapeID="_x0000_i1038" DrawAspect="Content" ObjectID="_1468075741" r:id="rId44">
            <o:LockedField>false</o:LockedField>
          </o:OLEObject>
        </w:object>
      </w:r>
    </w:p>
    <w:p>
      <w:pPr>
        <w:spacing w:line="520" w:lineRule="exact"/>
        <w:ind w:firstLine="420" w:firstLineChars="200"/>
        <w:jc w:val="center"/>
      </w:pPr>
      <w:r>
        <w:rPr>
          <w:rFonts w:hint="eastAsia"/>
          <w:szCs w:val="21"/>
        </w:rPr>
        <w:t>图</w:t>
      </w:r>
      <w:r>
        <w:rPr>
          <w:szCs w:val="21"/>
        </w:rPr>
        <w:t>4</w:t>
      </w:r>
      <w:r>
        <w:rPr>
          <w:rFonts w:hint="eastAsia"/>
          <w:szCs w:val="21"/>
        </w:rPr>
        <w:t>.</w:t>
      </w:r>
      <w:r>
        <w:rPr>
          <w:szCs w:val="21"/>
        </w:rPr>
        <w:t>3</w:t>
      </w:r>
      <w:r>
        <w:rPr>
          <w:rFonts w:hint="eastAsia"/>
          <w:szCs w:val="21"/>
        </w:rPr>
        <w:t>-1大屏幕与线网级业务应用系统的接口</w:t>
      </w:r>
    </w:p>
    <w:p>
      <w:pPr>
        <w:pStyle w:val="4"/>
        <w:spacing w:line="480" w:lineRule="exact"/>
        <w:ind w:firstLine="560"/>
      </w:pPr>
      <w:bookmarkStart w:id="57" w:name="_Toc11423"/>
      <w:r>
        <w:rPr>
          <w:rFonts w:hint="eastAsia"/>
        </w:rPr>
        <w:t>大屏幕与线路信号系统的接口</w:t>
      </w:r>
      <w:bookmarkEnd w:id="57"/>
    </w:p>
    <w:p>
      <w:pPr>
        <w:jc w:val="center"/>
        <w:rPr>
          <w:szCs w:val="21"/>
        </w:rPr>
      </w:pPr>
      <w:r>
        <w:rPr>
          <w:szCs w:val="21"/>
        </w:rPr>
        <w:object>
          <v:shape id="_x0000_i1039" o:spt="75" type="#_x0000_t75" style="height:169.5pt;width:399pt;" o:ole="t" filled="f" o:preferrelative="t" stroked="f" coordsize="21600,21600">
            <v:path/>
            <v:fill on="f" focussize="0,0"/>
            <v:stroke on="f" joinstyle="miter"/>
            <v:imagedata r:id="rId47" o:title=""/>
            <o:lock v:ext="edit" aspectratio="t"/>
            <w10:wrap type="none"/>
            <w10:anchorlock/>
          </v:shape>
          <o:OLEObject Type="Embed" ProgID="Visio.Drawing.11" ShapeID="_x0000_i1039" DrawAspect="Content" ObjectID="_1468075742" r:id="rId46">
            <o:LockedField>false</o:LockedField>
          </o:OLEObject>
        </w:object>
      </w:r>
    </w:p>
    <w:p>
      <w:pPr>
        <w:jc w:val="center"/>
        <w:rPr>
          <w:sz w:val="24"/>
        </w:rPr>
      </w:pPr>
      <w:r>
        <w:rPr>
          <w:rFonts w:hint="eastAsia"/>
          <w:szCs w:val="21"/>
        </w:rPr>
        <w:t>图4.</w:t>
      </w:r>
      <w:r>
        <w:rPr>
          <w:szCs w:val="21"/>
        </w:rPr>
        <w:t>3</w:t>
      </w:r>
      <w:r>
        <w:rPr>
          <w:rFonts w:hint="eastAsia"/>
          <w:szCs w:val="21"/>
        </w:rPr>
        <w:t>-</w:t>
      </w:r>
      <w:r>
        <w:rPr>
          <w:szCs w:val="21"/>
        </w:rPr>
        <w:t>2</w:t>
      </w:r>
      <w:r>
        <w:rPr>
          <w:rFonts w:hint="eastAsia"/>
          <w:szCs w:val="21"/>
        </w:rPr>
        <w:t>大屏幕与线路信号的接口</w:t>
      </w:r>
    </w:p>
    <w:p>
      <w:pPr>
        <w:jc w:val="center"/>
        <w:rPr>
          <w:szCs w:val="21"/>
        </w:rPr>
      </w:pPr>
      <w:r>
        <w:rPr>
          <w:rFonts w:hint="eastAsia"/>
          <w:szCs w:val="21"/>
        </w:rPr>
        <w:t>注：1）线网骨干网络由线网传输系统提供；2）信号提供接入设备，线路综合监控提供图形工作站；3）1</w:t>
      </w:r>
      <w:r>
        <w:rPr>
          <w:szCs w:val="21"/>
        </w:rPr>
        <w:t>4</w:t>
      </w:r>
      <w:r>
        <w:rPr>
          <w:rFonts w:hint="eastAsia"/>
          <w:szCs w:val="21"/>
        </w:rPr>
        <w:t>、7、5号线沿用原来一期的接口，其他线路按新建接口设备</w:t>
      </w:r>
    </w:p>
    <w:p>
      <w:pPr>
        <w:widowControl w:val="0"/>
        <w:spacing w:line="360" w:lineRule="auto"/>
        <w:ind w:firstLine="420" w:firstLineChars="200"/>
        <w:jc w:val="both"/>
        <w:rPr>
          <w:rFonts w:ascii="Calibri" w:hAnsi="Calibri"/>
          <w:kern w:val="2"/>
          <w:sz w:val="21"/>
          <w:szCs w:val="21"/>
        </w:rPr>
      </w:pPr>
      <w:r>
        <w:rPr>
          <w:rFonts w:hint="eastAsia" w:ascii="Calibri" w:hAnsi="Calibri"/>
          <w:kern w:val="2"/>
          <w:sz w:val="21"/>
          <w:szCs w:val="21"/>
        </w:rPr>
        <w:t>线路ATS的站场图通过线路ATS接入设备上传到线路ISCS的图形工作站，本工程为线路综合监控的图形工作站的接口设备分别设置2个10</w:t>
      </w:r>
      <w:r>
        <w:rPr>
          <w:rFonts w:ascii="Calibri" w:hAnsi="Calibri"/>
          <w:kern w:val="2"/>
          <w:sz w:val="21"/>
          <w:szCs w:val="21"/>
        </w:rPr>
        <w:t>0</w:t>
      </w:r>
      <w:r>
        <w:rPr>
          <w:rFonts w:hint="eastAsia" w:ascii="Calibri" w:hAnsi="Calibri"/>
          <w:kern w:val="2"/>
          <w:sz w:val="21"/>
          <w:szCs w:val="21"/>
        </w:rPr>
        <w:t>0M电口，接口位置在本工程控制中心接入交换机配线架外侧。单条线路ATS站场图暂定占COCC大屏幕1行、4列物理屏幕空间（单块物理屏长宽比4:3、分辨率1400*1050），通过该接口实现线路ATS站场图在线网指挥平台大屏幕的展示功能。</w:t>
      </w:r>
    </w:p>
    <w:p>
      <w:pPr>
        <w:widowControl/>
        <w:jc w:val="left"/>
        <w:rPr>
          <w:rFonts w:ascii="Times New Roman" w:hAnsi="Times New Roman"/>
          <w:kern w:val="0"/>
          <w:sz w:val="20"/>
          <w:szCs w:val="20"/>
        </w:rPr>
      </w:pPr>
    </w:p>
    <w:sectPr>
      <w:headerReference r:id="rId8" w:type="default"/>
      <w:footerReference r:id="rId9"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华文中宋">
    <w:panose1 w:val="02010600040101010101"/>
    <w:charset w:val="86"/>
    <w:family w:val="auto"/>
    <w:pitch w:val="default"/>
    <w:sig w:usb0="00000287" w:usb1="080F0000" w:usb2="00000000" w:usb3="00000000" w:csb0="0004009F" w:csb1="DFD70000"/>
  </w:font>
  <w:font w:name="Cambria">
    <w:panose1 w:val="02040503050406030204"/>
    <w:charset w:val="00"/>
    <w:family w:val="roman"/>
    <w:pitch w:val="default"/>
    <w:sig w:usb0="E00006FF" w:usb1="420024FF" w:usb2="02000000" w:usb3="00000000" w:csb0="2000019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jc w:val="right"/>
    </w:pPr>
  </w:p>
  <w:p>
    <w:pPr>
      <w:pStyle w:val="21"/>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25" w:lineRule="exact"/>
      <w:ind w:firstLine="4085"/>
      <w:rPr>
        <w:rFonts w:ascii="Times New Roman" w:hAnsi="Times New Roman" w:eastAsia="Times New Roman"/>
        <w:sz w:val="18"/>
        <w:szCs w:val="18"/>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21"/>
                          </w:pPr>
                          <w:r>
                            <w:fldChar w:fldCharType="begin"/>
                          </w:r>
                          <w:r>
                            <w:instrText xml:space="preserve"> PAGE  \* MERGEFORMAT </w:instrText>
                          </w:r>
                          <w:r>
                            <w:fldChar w:fldCharType="separate"/>
                          </w:r>
                          <w:r>
                            <w:t>9</w:t>
                          </w:r>
                          <w:r>
                            <w:fldChar w:fldCharType="end"/>
                          </w:r>
                        </w:p>
                      </w:txbxContent>
                    </wps:txbx>
                    <wps:bodyPr wrap="none" lIns="0" tIns="0" rIns="0" bIns="0" upright="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rvvpskBAACZAwAADgAAAGRycy9lMm9Eb2MueG1srVPNjtMwEL4j8Q6W&#10;79RpV0JV1HQFqhYhIUBaeADXsRtL/pPHbdIXgDfgxIU7z9XnYOwk3WW57IGLM54Zf/N9M5PN7WAN&#10;OckI2ruGLhcVJdIJ32p3aOjXL3ev1pRA4q7lxjvZ0LMEert9+WLTh1qufOdNKyNBEAd1HxrapRRq&#10;xkB00nJY+CAdBpWPlie8xgNrI+8R3Rq2qqrXrPexDdELCYDe3RikE2J8DqBXSgu58+JopUsjapSG&#10;J5QEnQ5At4WtUlKkT0qBTMQ0FJWmcmIRtPf5ZNsNrw+Rh06LiQJ/DoUnmizXDoteoXY8cXKM+h8o&#10;q0X04FVaCG/ZKKR0BFUsqye9ue94kEULthrCtenw/2DFx9PnSHTb0BtKHLc48MuP75efvy+/vpGb&#10;3J4+QI1Z9wHz0vDWD7g0sx/QmVUPKtr8RT0E49jc87W5ckhE5Efr1XpdYUhgbL4gPnt4HiKkd9Jb&#10;ko2GRpxeaSo/fYA0ps4puZrzd9qYMkHj/nIgZvawzH3kmK007IdJ0N63Z9TT4+Ab6nDPKTHvHfY1&#10;78hsxNnYz8YxRH3okNqy8ILw5piQROGWK4ywU2GcWFE3bVdeicf3kvXwR23/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D6u++myQEAAJkDAAAOAAAAAAAAAAEAIAAAAB4BAABkcnMvZTJvRG9j&#10;LnhtbFBLBQYAAAAABgAGAFkBAABZBQAAAAA=&#10;">
              <v:fill on="f" focussize="0,0"/>
              <v:stroke on="f"/>
              <v:imagedata o:title=""/>
              <o:lock v:ext="edit" aspectratio="f"/>
              <v:textbox inset="0mm,0mm,0mm,0mm" style="mso-fit-shape-to-text:t;">
                <w:txbxContent>
                  <w:p>
                    <w:pPr>
                      <w:pStyle w:val="21"/>
                    </w:pPr>
                    <w:r>
                      <w:fldChar w:fldCharType="begin"/>
                    </w:r>
                    <w:r>
                      <w:instrText xml:space="preserve"> PAGE  \* MERGEFORMAT </w:instrText>
                    </w:r>
                    <w:r>
                      <w:fldChar w:fldCharType="separate"/>
                    </w:r>
                    <w:r>
                      <w:t>9</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等线"/>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2CA0C7"/>
    <w:multiLevelType w:val="multilevel"/>
    <w:tmpl w:val="8C2CA0C7"/>
    <w:lvl w:ilvl="0" w:tentative="0">
      <w:start w:val="1"/>
      <w:numFmt w:val="decimal"/>
      <w:suff w:val="space"/>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9674E3DC"/>
    <w:multiLevelType w:val="multilevel"/>
    <w:tmpl w:val="9674E3DC"/>
    <w:lvl w:ilvl="0" w:tentative="0">
      <w:start w:val="1"/>
      <w:numFmt w:val="decimal"/>
      <w:suff w:val="space"/>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
    <w:nsid w:val="BEB85B26"/>
    <w:multiLevelType w:val="multilevel"/>
    <w:tmpl w:val="BEB85B26"/>
    <w:lvl w:ilvl="0" w:tentative="0">
      <w:start w:val="1"/>
      <w:numFmt w:val="decimal"/>
      <w:suff w:val="space"/>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
    <w:nsid w:val="C035D4E3"/>
    <w:multiLevelType w:val="multilevel"/>
    <w:tmpl w:val="C035D4E3"/>
    <w:lvl w:ilvl="0" w:tentative="0">
      <w:start w:val="1"/>
      <w:numFmt w:val="decimal"/>
      <w:suff w:val="space"/>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4">
    <w:nsid w:val="F4A46A6A"/>
    <w:multiLevelType w:val="singleLevel"/>
    <w:tmpl w:val="F4A46A6A"/>
    <w:lvl w:ilvl="0" w:tentative="0">
      <w:start w:val="1"/>
      <w:numFmt w:val="decimal"/>
      <w:suff w:val="nothing"/>
      <w:lvlText w:val="%1）"/>
      <w:lvlJc w:val="left"/>
    </w:lvl>
  </w:abstractNum>
  <w:abstractNum w:abstractNumId="5">
    <w:nsid w:val="0000000B"/>
    <w:multiLevelType w:val="multilevel"/>
    <w:tmpl w:val="0000000B"/>
    <w:lvl w:ilvl="0" w:tentative="0">
      <w:start w:val="1"/>
      <w:numFmt w:val="decimal"/>
      <w:pStyle w:val="65"/>
      <w:lvlText w:val="%1."/>
      <w:lvlJc w:val="left"/>
      <w:pPr>
        <w:tabs>
          <w:tab w:val="left" w:pos="0"/>
        </w:tabs>
        <w:ind w:left="0" w:firstLine="480"/>
      </w:pPr>
      <w:rPr>
        <w:rFonts w:hint="default" w:ascii="Calibri" w:hAnsi="Calibri" w:eastAsia="宋体"/>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FEB6CF4"/>
    <w:multiLevelType w:val="multilevel"/>
    <w:tmpl w:val="0FEB6CF4"/>
    <w:lvl w:ilvl="0" w:tentative="0">
      <w:start w:val="1"/>
      <w:numFmt w:val="decimal"/>
      <w:pStyle w:val="2"/>
      <w:lvlText w:val="%1"/>
      <w:lvlJc w:val="left"/>
      <w:pPr>
        <w:tabs>
          <w:tab w:val="left" w:pos="360"/>
        </w:tabs>
        <w:ind w:left="0" w:firstLine="0"/>
      </w:pPr>
      <w:rPr>
        <w:rFonts w:hint="eastAsia" w:ascii="黑体" w:eastAsia="黑体"/>
        <w:b/>
        <w:i w:val="0"/>
        <w:sz w:val="24"/>
      </w:rPr>
    </w:lvl>
    <w:lvl w:ilvl="1" w:tentative="0">
      <w:start w:val="1"/>
      <w:numFmt w:val="decimal"/>
      <w:pStyle w:val="3"/>
      <w:lvlText w:val="%1.%2"/>
      <w:lvlJc w:val="left"/>
      <w:pPr>
        <w:tabs>
          <w:tab w:val="left" w:pos="700"/>
        </w:tabs>
        <w:ind w:left="0" w:firstLine="340"/>
      </w:pPr>
      <w:rPr>
        <w:rFonts w:hint="eastAsia" w:ascii="黑体" w:eastAsia="黑体"/>
        <w:b w:val="0"/>
        <w:i w:val="0"/>
        <w:sz w:val="21"/>
        <w:lang w:eastAsia="zh-CN"/>
      </w:rPr>
    </w:lvl>
    <w:lvl w:ilvl="2" w:tentative="0">
      <w:start w:val="1"/>
      <w:numFmt w:val="decimal"/>
      <w:pStyle w:val="4"/>
      <w:lvlText w:val="%1.%2.%3"/>
      <w:lvlJc w:val="left"/>
      <w:pPr>
        <w:tabs>
          <w:tab w:val="left" w:pos="1287"/>
        </w:tabs>
        <w:ind w:left="0" w:firstLine="567"/>
      </w:pPr>
      <w:rPr>
        <w:rFonts w:hint="eastAsia" w:ascii="黑体" w:eastAsia="黑体"/>
        <w:b w:val="0"/>
        <w:i w:val="0"/>
        <w:color w:val="auto"/>
        <w:sz w:val="21"/>
        <w:lang w:eastAsia="zh-CN"/>
      </w:rPr>
    </w:lvl>
    <w:lvl w:ilvl="3" w:tentative="0">
      <w:start w:val="1"/>
      <w:numFmt w:val="decimal"/>
      <w:pStyle w:val="5"/>
      <w:lvlText w:val="%1.%2.%3.%4"/>
      <w:lvlJc w:val="left"/>
      <w:pPr>
        <w:tabs>
          <w:tab w:val="left" w:pos="1817"/>
        </w:tabs>
        <w:ind w:left="0" w:firstLine="737"/>
      </w:pPr>
      <w:rPr>
        <w:rFonts w:hint="eastAsia" w:ascii="黑体" w:eastAsia="黑体"/>
        <w:b w:val="0"/>
        <w:i w:val="0"/>
        <w:sz w:val="21"/>
        <w:lang w:eastAsia="zh-CN"/>
      </w:rPr>
    </w:lvl>
    <w:lvl w:ilvl="4" w:tentative="0">
      <w:start w:val="1"/>
      <w:numFmt w:val="decimal"/>
      <w:pStyle w:val="6"/>
      <w:lvlText w:val="%1.%2.%3.%4.%5"/>
      <w:lvlJc w:val="left"/>
      <w:pPr>
        <w:tabs>
          <w:tab w:val="left" w:pos="1987"/>
        </w:tabs>
        <w:ind w:left="0" w:firstLine="907"/>
      </w:pPr>
      <w:rPr>
        <w:rFonts w:hint="eastAsia" w:ascii="黑体" w:eastAsia="黑体"/>
        <w:b w:val="0"/>
        <w:i w:val="0"/>
        <w:sz w:val="21"/>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991"/>
        </w:tabs>
        <w:ind w:left="3827" w:hanging="1276"/>
      </w:pPr>
      <w:rPr>
        <w:rFonts w:hint="eastAsia"/>
      </w:rPr>
    </w:lvl>
    <w:lvl w:ilvl="7" w:tentative="0">
      <w:start w:val="1"/>
      <w:numFmt w:val="decimal"/>
      <w:lvlText w:val="%1.%2.%3.%4.%5.%6.%7.%8"/>
      <w:lvlJc w:val="left"/>
      <w:pPr>
        <w:tabs>
          <w:tab w:val="left" w:pos="4776"/>
        </w:tabs>
        <w:ind w:left="4394" w:hanging="1418"/>
      </w:pPr>
      <w:rPr>
        <w:rFonts w:hint="eastAsia"/>
      </w:rPr>
    </w:lvl>
    <w:lvl w:ilvl="8" w:tentative="0">
      <w:start w:val="1"/>
      <w:numFmt w:val="decimal"/>
      <w:lvlText w:val="%1.%2.%3.%4.%5.%6.%7.%8.%9"/>
      <w:lvlJc w:val="left"/>
      <w:pPr>
        <w:tabs>
          <w:tab w:val="left" w:pos="5562"/>
        </w:tabs>
        <w:ind w:left="5102" w:hanging="1700"/>
      </w:pPr>
      <w:rPr>
        <w:rFonts w:hint="eastAsia"/>
      </w:rPr>
    </w:lvl>
  </w:abstractNum>
  <w:abstractNum w:abstractNumId="7">
    <w:nsid w:val="24894467"/>
    <w:multiLevelType w:val="multilevel"/>
    <w:tmpl w:val="24894467"/>
    <w:lvl w:ilvl="0" w:tentative="0">
      <w:start w:val="1"/>
      <w:numFmt w:val="bullet"/>
      <w:pStyle w:val="77"/>
      <w:lvlText w:val=""/>
      <w:lvlJc w:val="left"/>
      <w:pPr>
        <w:ind w:left="840" w:hanging="420"/>
      </w:pPr>
      <w:rPr>
        <w:rFonts w:hint="default" w:ascii="Wingdings" w:hAnsi="Wingdings"/>
      </w:rPr>
    </w:lvl>
    <w:lvl w:ilvl="1" w:tentative="0">
      <w:start w:val="1"/>
      <w:numFmt w:val="bullet"/>
      <w:pStyle w:val="78"/>
      <w:lvlText w:val=""/>
      <w:lvlJc w:val="left"/>
      <w:pPr>
        <w:ind w:left="1260" w:hanging="420"/>
      </w:pPr>
      <w:rPr>
        <w:rFonts w:hint="default" w:ascii="Wingdings" w:hAnsi="Wingdings"/>
      </w:rPr>
    </w:lvl>
    <w:lvl w:ilvl="2" w:tentative="0">
      <w:start w:val="1"/>
      <w:numFmt w:val="bullet"/>
      <w:pStyle w:val="79"/>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8">
    <w:nsid w:val="2F4215EB"/>
    <w:multiLevelType w:val="singleLevel"/>
    <w:tmpl w:val="2F4215EB"/>
    <w:lvl w:ilvl="0" w:tentative="0">
      <w:start w:val="2"/>
      <w:numFmt w:val="decimal"/>
      <w:suff w:val="nothing"/>
      <w:lvlText w:val="%1）"/>
      <w:lvlJc w:val="left"/>
    </w:lvl>
  </w:abstractNum>
  <w:abstractNum w:abstractNumId="9">
    <w:nsid w:val="3996623B"/>
    <w:multiLevelType w:val="multilevel"/>
    <w:tmpl w:val="3996623B"/>
    <w:lvl w:ilvl="0" w:tentative="0">
      <w:start w:val="1"/>
      <w:numFmt w:val="decimal"/>
      <w:suff w:val="space"/>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0">
    <w:nsid w:val="4519034E"/>
    <w:multiLevelType w:val="multilevel"/>
    <w:tmpl w:val="4519034E"/>
    <w:lvl w:ilvl="0" w:tentative="0">
      <w:start w:val="1"/>
      <w:numFmt w:val="decimal"/>
      <w:suff w:val="space"/>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1">
    <w:nsid w:val="527B0C5C"/>
    <w:multiLevelType w:val="multilevel"/>
    <w:tmpl w:val="527B0C5C"/>
    <w:lvl w:ilvl="0" w:tentative="0">
      <w:start w:val="1"/>
      <w:numFmt w:val="bullet"/>
      <w:pStyle w:val="61"/>
      <w:lvlText w:val=""/>
      <w:lvlJc w:val="left"/>
      <w:pPr>
        <w:tabs>
          <w:tab w:val="left" w:pos="1680"/>
        </w:tabs>
        <w:ind w:left="1680" w:hanging="420"/>
      </w:pPr>
      <w:rPr>
        <w:rFonts w:hint="default" w:ascii="Wingdings" w:hAnsi="Wingdings"/>
        <w:color w:val="auto"/>
      </w:rPr>
    </w:lvl>
    <w:lvl w:ilvl="1" w:tentative="0">
      <w:start w:val="1"/>
      <w:numFmt w:val="bullet"/>
      <w:lvlText w:val=""/>
      <w:lvlJc w:val="left"/>
      <w:pPr>
        <w:tabs>
          <w:tab w:val="left" w:pos="1680"/>
        </w:tabs>
        <w:ind w:left="1680" w:hanging="420"/>
      </w:pPr>
      <w:rPr>
        <w:rFonts w:hint="default" w:ascii="Wingdings" w:hAnsi="Wingdings"/>
      </w:rPr>
    </w:lvl>
    <w:lvl w:ilvl="2" w:tentative="0">
      <w:start w:val="1"/>
      <w:numFmt w:val="bullet"/>
      <w:lvlText w:val=""/>
      <w:lvlJc w:val="left"/>
      <w:pPr>
        <w:tabs>
          <w:tab w:val="left" w:pos="2100"/>
        </w:tabs>
        <w:ind w:left="2100" w:hanging="420"/>
      </w:pPr>
      <w:rPr>
        <w:rFonts w:hint="default" w:ascii="Wingdings" w:hAnsi="Wingdings"/>
      </w:rPr>
    </w:lvl>
    <w:lvl w:ilvl="3" w:tentative="0">
      <w:start w:val="1"/>
      <w:numFmt w:val="bullet"/>
      <w:lvlText w:val=""/>
      <w:lvlJc w:val="left"/>
      <w:pPr>
        <w:tabs>
          <w:tab w:val="left" w:pos="2520"/>
        </w:tabs>
        <w:ind w:left="2520" w:hanging="420"/>
      </w:pPr>
      <w:rPr>
        <w:rFonts w:hint="default" w:ascii="Wingdings" w:hAnsi="Wingdings"/>
      </w:rPr>
    </w:lvl>
    <w:lvl w:ilvl="4" w:tentative="0">
      <w:start w:val="1"/>
      <w:numFmt w:val="bullet"/>
      <w:lvlText w:val=""/>
      <w:lvlJc w:val="left"/>
      <w:pPr>
        <w:tabs>
          <w:tab w:val="left" w:pos="2940"/>
        </w:tabs>
        <w:ind w:left="2940" w:hanging="420"/>
      </w:pPr>
      <w:rPr>
        <w:rFonts w:hint="default" w:ascii="Wingdings" w:hAnsi="Wingdings"/>
      </w:rPr>
    </w:lvl>
    <w:lvl w:ilvl="5" w:tentative="0">
      <w:start w:val="1"/>
      <w:numFmt w:val="bullet"/>
      <w:lvlText w:val=""/>
      <w:lvlJc w:val="left"/>
      <w:pPr>
        <w:tabs>
          <w:tab w:val="left" w:pos="3360"/>
        </w:tabs>
        <w:ind w:left="3360" w:hanging="420"/>
      </w:pPr>
      <w:rPr>
        <w:rFonts w:hint="default" w:ascii="Wingdings" w:hAnsi="Wingdings"/>
      </w:rPr>
    </w:lvl>
    <w:lvl w:ilvl="6" w:tentative="0">
      <w:start w:val="1"/>
      <w:numFmt w:val="bullet"/>
      <w:lvlText w:val=""/>
      <w:lvlJc w:val="left"/>
      <w:pPr>
        <w:tabs>
          <w:tab w:val="left" w:pos="3780"/>
        </w:tabs>
        <w:ind w:left="3780" w:hanging="420"/>
      </w:pPr>
      <w:rPr>
        <w:rFonts w:hint="default" w:ascii="Wingdings" w:hAnsi="Wingdings"/>
      </w:rPr>
    </w:lvl>
    <w:lvl w:ilvl="7" w:tentative="0">
      <w:start w:val="1"/>
      <w:numFmt w:val="bullet"/>
      <w:lvlText w:val=""/>
      <w:lvlJc w:val="left"/>
      <w:pPr>
        <w:tabs>
          <w:tab w:val="left" w:pos="4200"/>
        </w:tabs>
        <w:ind w:left="4200" w:hanging="420"/>
      </w:pPr>
      <w:rPr>
        <w:rFonts w:hint="default" w:ascii="Wingdings" w:hAnsi="Wingdings"/>
      </w:rPr>
    </w:lvl>
    <w:lvl w:ilvl="8" w:tentative="0">
      <w:start w:val="1"/>
      <w:numFmt w:val="bullet"/>
      <w:lvlText w:val=""/>
      <w:lvlJc w:val="left"/>
      <w:pPr>
        <w:tabs>
          <w:tab w:val="left" w:pos="4620"/>
        </w:tabs>
        <w:ind w:left="4620" w:hanging="420"/>
      </w:pPr>
      <w:rPr>
        <w:rFonts w:hint="default" w:ascii="Wingdings" w:hAnsi="Wingdings"/>
      </w:rPr>
    </w:lvl>
  </w:abstractNum>
  <w:abstractNum w:abstractNumId="12">
    <w:nsid w:val="568ADB59"/>
    <w:multiLevelType w:val="singleLevel"/>
    <w:tmpl w:val="568ADB59"/>
    <w:lvl w:ilvl="0" w:tentative="0">
      <w:start w:val="1"/>
      <w:numFmt w:val="decimal"/>
      <w:suff w:val="nothing"/>
      <w:lvlText w:val="%1）"/>
      <w:lvlJc w:val="left"/>
    </w:lvl>
  </w:abstractNum>
  <w:num w:numId="1">
    <w:abstractNumId w:val="6"/>
  </w:num>
  <w:num w:numId="2">
    <w:abstractNumId w:val="11"/>
  </w:num>
  <w:num w:numId="3">
    <w:abstractNumId w:val="5"/>
  </w:num>
  <w:num w:numId="4">
    <w:abstractNumId w:val="7"/>
  </w:num>
  <w:num w:numId="5">
    <w:abstractNumId w:val="1"/>
  </w:num>
  <w:num w:numId="6">
    <w:abstractNumId w:val="2"/>
  </w:num>
  <w:num w:numId="7">
    <w:abstractNumId w:val="9"/>
  </w:num>
  <w:num w:numId="8">
    <w:abstractNumId w:val="10"/>
  </w:num>
  <w:num w:numId="9">
    <w:abstractNumId w:val="3"/>
  </w:num>
  <w:num w:numId="10">
    <w:abstractNumId w:val="0"/>
  </w:num>
  <w:num w:numId="11">
    <w:abstractNumId w:val="4"/>
  </w:num>
  <w:num w:numId="12">
    <w:abstractNumId w:val="12"/>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doNotDisplayPageBoundaries w:val="1"/>
  <w:bordersDoNotSurroundHeader w:val="1"/>
  <w:bordersDoNotSurroundFooter w:val="1"/>
  <w:hideSpellingErrors/>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RlNzZjM2JkMzA4OTU0MjMyYjJhMTEwNWM3MjE1NjYifQ=="/>
  </w:docVars>
  <w:rsids>
    <w:rsidRoot w:val="00C00618"/>
    <w:rsid w:val="00000253"/>
    <w:rsid w:val="000018F5"/>
    <w:rsid w:val="000038C1"/>
    <w:rsid w:val="000039BE"/>
    <w:rsid w:val="00003DD0"/>
    <w:rsid w:val="00004EC3"/>
    <w:rsid w:val="00005148"/>
    <w:rsid w:val="00005F24"/>
    <w:rsid w:val="00007247"/>
    <w:rsid w:val="00007BBF"/>
    <w:rsid w:val="00011D89"/>
    <w:rsid w:val="00013107"/>
    <w:rsid w:val="00013505"/>
    <w:rsid w:val="0001434A"/>
    <w:rsid w:val="00015C3C"/>
    <w:rsid w:val="00016F76"/>
    <w:rsid w:val="00023240"/>
    <w:rsid w:val="00023A5D"/>
    <w:rsid w:val="0002455D"/>
    <w:rsid w:val="0002658C"/>
    <w:rsid w:val="000273B7"/>
    <w:rsid w:val="00030316"/>
    <w:rsid w:val="000313A2"/>
    <w:rsid w:val="000321DE"/>
    <w:rsid w:val="00033331"/>
    <w:rsid w:val="0003372E"/>
    <w:rsid w:val="00033B57"/>
    <w:rsid w:val="00034DF6"/>
    <w:rsid w:val="00036145"/>
    <w:rsid w:val="00036618"/>
    <w:rsid w:val="000379BB"/>
    <w:rsid w:val="00042270"/>
    <w:rsid w:val="000424D2"/>
    <w:rsid w:val="00043AFC"/>
    <w:rsid w:val="00043C97"/>
    <w:rsid w:val="00043D72"/>
    <w:rsid w:val="00045F44"/>
    <w:rsid w:val="00046277"/>
    <w:rsid w:val="00046AC4"/>
    <w:rsid w:val="00054654"/>
    <w:rsid w:val="0005593C"/>
    <w:rsid w:val="00055A6B"/>
    <w:rsid w:val="00055AFF"/>
    <w:rsid w:val="00055F97"/>
    <w:rsid w:val="0005761F"/>
    <w:rsid w:val="000614EC"/>
    <w:rsid w:val="000615CB"/>
    <w:rsid w:val="00061788"/>
    <w:rsid w:val="00064242"/>
    <w:rsid w:val="00064814"/>
    <w:rsid w:val="000654D6"/>
    <w:rsid w:val="0006713F"/>
    <w:rsid w:val="00067B00"/>
    <w:rsid w:val="00070182"/>
    <w:rsid w:val="000704B1"/>
    <w:rsid w:val="00071CE5"/>
    <w:rsid w:val="00076CB6"/>
    <w:rsid w:val="00077582"/>
    <w:rsid w:val="00080355"/>
    <w:rsid w:val="0008044C"/>
    <w:rsid w:val="000811AE"/>
    <w:rsid w:val="00081884"/>
    <w:rsid w:val="000823E0"/>
    <w:rsid w:val="00082AA1"/>
    <w:rsid w:val="000841EC"/>
    <w:rsid w:val="00085108"/>
    <w:rsid w:val="000854C7"/>
    <w:rsid w:val="00086CD8"/>
    <w:rsid w:val="0008724C"/>
    <w:rsid w:val="000879B5"/>
    <w:rsid w:val="00090BDF"/>
    <w:rsid w:val="000918C8"/>
    <w:rsid w:val="00092191"/>
    <w:rsid w:val="00092A94"/>
    <w:rsid w:val="00094111"/>
    <w:rsid w:val="00094816"/>
    <w:rsid w:val="000954C9"/>
    <w:rsid w:val="0009686A"/>
    <w:rsid w:val="000A0280"/>
    <w:rsid w:val="000A4B3D"/>
    <w:rsid w:val="000A6AFD"/>
    <w:rsid w:val="000A6C19"/>
    <w:rsid w:val="000A790F"/>
    <w:rsid w:val="000A798C"/>
    <w:rsid w:val="000B19C5"/>
    <w:rsid w:val="000B1D8E"/>
    <w:rsid w:val="000B2AD5"/>
    <w:rsid w:val="000B2CAA"/>
    <w:rsid w:val="000B55C0"/>
    <w:rsid w:val="000C3CB2"/>
    <w:rsid w:val="000C3CD0"/>
    <w:rsid w:val="000C6296"/>
    <w:rsid w:val="000C74B4"/>
    <w:rsid w:val="000D1597"/>
    <w:rsid w:val="000D18B2"/>
    <w:rsid w:val="000D239F"/>
    <w:rsid w:val="000D2C4B"/>
    <w:rsid w:val="000D2FFC"/>
    <w:rsid w:val="000D3574"/>
    <w:rsid w:val="000D3A7D"/>
    <w:rsid w:val="000D3C94"/>
    <w:rsid w:val="000D5B7D"/>
    <w:rsid w:val="000D5F20"/>
    <w:rsid w:val="000D655A"/>
    <w:rsid w:val="000D65AD"/>
    <w:rsid w:val="000D7A3C"/>
    <w:rsid w:val="000E0F95"/>
    <w:rsid w:val="000E2B13"/>
    <w:rsid w:val="000E3283"/>
    <w:rsid w:val="000E3BD1"/>
    <w:rsid w:val="000E44A6"/>
    <w:rsid w:val="000E5C2C"/>
    <w:rsid w:val="000E5FCA"/>
    <w:rsid w:val="000F00BA"/>
    <w:rsid w:val="000F247A"/>
    <w:rsid w:val="000F319D"/>
    <w:rsid w:val="000F31C3"/>
    <w:rsid w:val="000F33A1"/>
    <w:rsid w:val="000F36A2"/>
    <w:rsid w:val="000F39BA"/>
    <w:rsid w:val="000F56B1"/>
    <w:rsid w:val="000F61F2"/>
    <w:rsid w:val="000F6850"/>
    <w:rsid w:val="00100306"/>
    <w:rsid w:val="001034BF"/>
    <w:rsid w:val="0010397B"/>
    <w:rsid w:val="00103AF7"/>
    <w:rsid w:val="00103BBB"/>
    <w:rsid w:val="00110A71"/>
    <w:rsid w:val="00110AAE"/>
    <w:rsid w:val="00110ADD"/>
    <w:rsid w:val="00113D44"/>
    <w:rsid w:val="001140F2"/>
    <w:rsid w:val="001154AB"/>
    <w:rsid w:val="00120334"/>
    <w:rsid w:val="001209A5"/>
    <w:rsid w:val="001213DB"/>
    <w:rsid w:val="00121C40"/>
    <w:rsid w:val="00122CE2"/>
    <w:rsid w:val="001250C4"/>
    <w:rsid w:val="0012720E"/>
    <w:rsid w:val="00127C5F"/>
    <w:rsid w:val="00131DD5"/>
    <w:rsid w:val="0013220C"/>
    <w:rsid w:val="00132A11"/>
    <w:rsid w:val="00133863"/>
    <w:rsid w:val="00135731"/>
    <w:rsid w:val="001360BE"/>
    <w:rsid w:val="00140920"/>
    <w:rsid w:val="00142293"/>
    <w:rsid w:val="00142541"/>
    <w:rsid w:val="00143833"/>
    <w:rsid w:val="00144151"/>
    <w:rsid w:val="00144433"/>
    <w:rsid w:val="00145E71"/>
    <w:rsid w:val="0014648D"/>
    <w:rsid w:val="00150278"/>
    <w:rsid w:val="0015043C"/>
    <w:rsid w:val="00150BA9"/>
    <w:rsid w:val="00151578"/>
    <w:rsid w:val="001528F7"/>
    <w:rsid w:val="001538E0"/>
    <w:rsid w:val="001541C9"/>
    <w:rsid w:val="00155FA9"/>
    <w:rsid w:val="001567CD"/>
    <w:rsid w:val="001569CE"/>
    <w:rsid w:val="001601A9"/>
    <w:rsid w:val="0016056A"/>
    <w:rsid w:val="0016062D"/>
    <w:rsid w:val="00162839"/>
    <w:rsid w:val="00163E93"/>
    <w:rsid w:val="00164BF1"/>
    <w:rsid w:val="001660D7"/>
    <w:rsid w:val="00167D43"/>
    <w:rsid w:val="001703EF"/>
    <w:rsid w:val="0017087B"/>
    <w:rsid w:val="001725E3"/>
    <w:rsid w:val="00172A40"/>
    <w:rsid w:val="0017328A"/>
    <w:rsid w:val="001744A9"/>
    <w:rsid w:val="00174BFF"/>
    <w:rsid w:val="00176650"/>
    <w:rsid w:val="00176B7A"/>
    <w:rsid w:val="00176FDC"/>
    <w:rsid w:val="001800FF"/>
    <w:rsid w:val="00182294"/>
    <w:rsid w:val="00182B3F"/>
    <w:rsid w:val="00183B3C"/>
    <w:rsid w:val="00184E03"/>
    <w:rsid w:val="001852AC"/>
    <w:rsid w:val="00187661"/>
    <w:rsid w:val="001902C6"/>
    <w:rsid w:val="00190EE6"/>
    <w:rsid w:val="00192191"/>
    <w:rsid w:val="001930BC"/>
    <w:rsid w:val="001939D7"/>
    <w:rsid w:val="001942C2"/>
    <w:rsid w:val="00195012"/>
    <w:rsid w:val="00195217"/>
    <w:rsid w:val="001957F8"/>
    <w:rsid w:val="001977C6"/>
    <w:rsid w:val="001A0FE4"/>
    <w:rsid w:val="001A1B19"/>
    <w:rsid w:val="001A2674"/>
    <w:rsid w:val="001A2AAD"/>
    <w:rsid w:val="001A3276"/>
    <w:rsid w:val="001A56BF"/>
    <w:rsid w:val="001A7BA4"/>
    <w:rsid w:val="001A7E04"/>
    <w:rsid w:val="001A7EFE"/>
    <w:rsid w:val="001B1D78"/>
    <w:rsid w:val="001B2CC6"/>
    <w:rsid w:val="001B3B83"/>
    <w:rsid w:val="001B3BB6"/>
    <w:rsid w:val="001B4AEE"/>
    <w:rsid w:val="001B5656"/>
    <w:rsid w:val="001B701B"/>
    <w:rsid w:val="001B743A"/>
    <w:rsid w:val="001B7C5E"/>
    <w:rsid w:val="001C017E"/>
    <w:rsid w:val="001C0783"/>
    <w:rsid w:val="001C2343"/>
    <w:rsid w:val="001C4CD8"/>
    <w:rsid w:val="001C5556"/>
    <w:rsid w:val="001C5776"/>
    <w:rsid w:val="001C6935"/>
    <w:rsid w:val="001C741F"/>
    <w:rsid w:val="001D01DE"/>
    <w:rsid w:val="001D0294"/>
    <w:rsid w:val="001D0979"/>
    <w:rsid w:val="001D10EA"/>
    <w:rsid w:val="001D305F"/>
    <w:rsid w:val="001D4F96"/>
    <w:rsid w:val="001D5069"/>
    <w:rsid w:val="001D6826"/>
    <w:rsid w:val="001D695F"/>
    <w:rsid w:val="001D760C"/>
    <w:rsid w:val="001D766C"/>
    <w:rsid w:val="001D793C"/>
    <w:rsid w:val="001E064A"/>
    <w:rsid w:val="001E13BE"/>
    <w:rsid w:val="001E2BAC"/>
    <w:rsid w:val="001E34EC"/>
    <w:rsid w:val="001E3F6A"/>
    <w:rsid w:val="001E4C2E"/>
    <w:rsid w:val="001E4D56"/>
    <w:rsid w:val="001E4E27"/>
    <w:rsid w:val="001E5F6B"/>
    <w:rsid w:val="001E7345"/>
    <w:rsid w:val="001F1062"/>
    <w:rsid w:val="001F2948"/>
    <w:rsid w:val="001F2B27"/>
    <w:rsid w:val="001F2E68"/>
    <w:rsid w:val="001F31F7"/>
    <w:rsid w:val="001F370B"/>
    <w:rsid w:val="001F4369"/>
    <w:rsid w:val="001F6B06"/>
    <w:rsid w:val="001F6B61"/>
    <w:rsid w:val="001F6D92"/>
    <w:rsid w:val="0020075E"/>
    <w:rsid w:val="00201172"/>
    <w:rsid w:val="00201390"/>
    <w:rsid w:val="00201653"/>
    <w:rsid w:val="002027A2"/>
    <w:rsid w:val="00202EE5"/>
    <w:rsid w:val="00204692"/>
    <w:rsid w:val="00205FE9"/>
    <w:rsid w:val="002078CA"/>
    <w:rsid w:val="002079E9"/>
    <w:rsid w:val="00211417"/>
    <w:rsid w:val="00212839"/>
    <w:rsid w:val="00216D0C"/>
    <w:rsid w:val="0022023A"/>
    <w:rsid w:val="002211B3"/>
    <w:rsid w:val="0022355C"/>
    <w:rsid w:val="0022408C"/>
    <w:rsid w:val="0022478C"/>
    <w:rsid w:val="0022558C"/>
    <w:rsid w:val="00225F09"/>
    <w:rsid w:val="00226BF9"/>
    <w:rsid w:val="00226F2C"/>
    <w:rsid w:val="00227C72"/>
    <w:rsid w:val="00227CA5"/>
    <w:rsid w:val="002319A8"/>
    <w:rsid w:val="002324CC"/>
    <w:rsid w:val="00232CE2"/>
    <w:rsid w:val="00233C09"/>
    <w:rsid w:val="002342E9"/>
    <w:rsid w:val="00234C74"/>
    <w:rsid w:val="00234D44"/>
    <w:rsid w:val="00234FCB"/>
    <w:rsid w:val="002353C8"/>
    <w:rsid w:val="002356FE"/>
    <w:rsid w:val="00235F0A"/>
    <w:rsid w:val="00236BDD"/>
    <w:rsid w:val="00236D72"/>
    <w:rsid w:val="00237BBE"/>
    <w:rsid w:val="0024016F"/>
    <w:rsid w:val="00241546"/>
    <w:rsid w:val="0024462E"/>
    <w:rsid w:val="002455A5"/>
    <w:rsid w:val="002456F0"/>
    <w:rsid w:val="002460D9"/>
    <w:rsid w:val="00246377"/>
    <w:rsid w:val="00246F13"/>
    <w:rsid w:val="002470FE"/>
    <w:rsid w:val="00247146"/>
    <w:rsid w:val="002472EB"/>
    <w:rsid w:val="002501A4"/>
    <w:rsid w:val="00250423"/>
    <w:rsid w:val="00251B1D"/>
    <w:rsid w:val="00251C1C"/>
    <w:rsid w:val="0025252E"/>
    <w:rsid w:val="00252836"/>
    <w:rsid w:val="00252AA0"/>
    <w:rsid w:val="002532E0"/>
    <w:rsid w:val="002550B4"/>
    <w:rsid w:val="00255ED2"/>
    <w:rsid w:val="00256860"/>
    <w:rsid w:val="00256D4B"/>
    <w:rsid w:val="00257C8D"/>
    <w:rsid w:val="00260234"/>
    <w:rsid w:val="0026028A"/>
    <w:rsid w:val="002618CC"/>
    <w:rsid w:val="00261F38"/>
    <w:rsid w:val="00264BAF"/>
    <w:rsid w:val="002656A7"/>
    <w:rsid w:val="0026605F"/>
    <w:rsid w:val="002668F4"/>
    <w:rsid w:val="0026705B"/>
    <w:rsid w:val="00270DDA"/>
    <w:rsid w:val="002710BD"/>
    <w:rsid w:val="0027150E"/>
    <w:rsid w:val="002717CC"/>
    <w:rsid w:val="002719E6"/>
    <w:rsid w:val="00272FE0"/>
    <w:rsid w:val="00273C27"/>
    <w:rsid w:val="00274368"/>
    <w:rsid w:val="0027468A"/>
    <w:rsid w:val="00274B1D"/>
    <w:rsid w:val="002756A1"/>
    <w:rsid w:val="00275B1C"/>
    <w:rsid w:val="002762A9"/>
    <w:rsid w:val="00277683"/>
    <w:rsid w:val="002801F6"/>
    <w:rsid w:val="00281ECA"/>
    <w:rsid w:val="00282F24"/>
    <w:rsid w:val="002831A4"/>
    <w:rsid w:val="00284059"/>
    <w:rsid w:val="00284C8D"/>
    <w:rsid w:val="0028591E"/>
    <w:rsid w:val="00286087"/>
    <w:rsid w:val="002868EF"/>
    <w:rsid w:val="00286D69"/>
    <w:rsid w:val="00286E64"/>
    <w:rsid w:val="00287002"/>
    <w:rsid w:val="00290E8F"/>
    <w:rsid w:val="002919B5"/>
    <w:rsid w:val="00291DCA"/>
    <w:rsid w:val="0029304D"/>
    <w:rsid w:val="00293841"/>
    <w:rsid w:val="00293B0D"/>
    <w:rsid w:val="00294771"/>
    <w:rsid w:val="00296004"/>
    <w:rsid w:val="002A02F5"/>
    <w:rsid w:val="002A2015"/>
    <w:rsid w:val="002A3367"/>
    <w:rsid w:val="002A58D3"/>
    <w:rsid w:val="002A6E0D"/>
    <w:rsid w:val="002B092E"/>
    <w:rsid w:val="002B2703"/>
    <w:rsid w:val="002B3E75"/>
    <w:rsid w:val="002B4B9E"/>
    <w:rsid w:val="002B4CE3"/>
    <w:rsid w:val="002B6EC3"/>
    <w:rsid w:val="002B7E59"/>
    <w:rsid w:val="002C09E7"/>
    <w:rsid w:val="002C2C5F"/>
    <w:rsid w:val="002C370D"/>
    <w:rsid w:val="002C43A8"/>
    <w:rsid w:val="002C43E4"/>
    <w:rsid w:val="002C7200"/>
    <w:rsid w:val="002C7306"/>
    <w:rsid w:val="002C768E"/>
    <w:rsid w:val="002D1BE8"/>
    <w:rsid w:val="002D3258"/>
    <w:rsid w:val="002D3C13"/>
    <w:rsid w:val="002D5231"/>
    <w:rsid w:val="002D656F"/>
    <w:rsid w:val="002D767F"/>
    <w:rsid w:val="002E0A78"/>
    <w:rsid w:val="002E19EB"/>
    <w:rsid w:val="002E2220"/>
    <w:rsid w:val="002E28F7"/>
    <w:rsid w:val="002E2EB3"/>
    <w:rsid w:val="002E3882"/>
    <w:rsid w:val="002E3C66"/>
    <w:rsid w:val="002E48C7"/>
    <w:rsid w:val="002E4E98"/>
    <w:rsid w:val="002E53DD"/>
    <w:rsid w:val="002E5E6A"/>
    <w:rsid w:val="002E755C"/>
    <w:rsid w:val="002E7735"/>
    <w:rsid w:val="002E7F6D"/>
    <w:rsid w:val="002F117B"/>
    <w:rsid w:val="002F3837"/>
    <w:rsid w:val="002F4A97"/>
    <w:rsid w:val="002F53BC"/>
    <w:rsid w:val="002F5DD1"/>
    <w:rsid w:val="002F602E"/>
    <w:rsid w:val="002F60DE"/>
    <w:rsid w:val="002F7158"/>
    <w:rsid w:val="002F72C2"/>
    <w:rsid w:val="00300133"/>
    <w:rsid w:val="0030331A"/>
    <w:rsid w:val="00304F62"/>
    <w:rsid w:val="003056C4"/>
    <w:rsid w:val="00305FFA"/>
    <w:rsid w:val="00307203"/>
    <w:rsid w:val="003079D7"/>
    <w:rsid w:val="00310765"/>
    <w:rsid w:val="003120C8"/>
    <w:rsid w:val="00315786"/>
    <w:rsid w:val="00317F73"/>
    <w:rsid w:val="0032020F"/>
    <w:rsid w:val="00320DFA"/>
    <w:rsid w:val="00322436"/>
    <w:rsid w:val="0032319E"/>
    <w:rsid w:val="00324201"/>
    <w:rsid w:val="00324E27"/>
    <w:rsid w:val="00324F5A"/>
    <w:rsid w:val="00325C8D"/>
    <w:rsid w:val="00326AB4"/>
    <w:rsid w:val="00327671"/>
    <w:rsid w:val="00327A79"/>
    <w:rsid w:val="003323AF"/>
    <w:rsid w:val="00333B9E"/>
    <w:rsid w:val="0033518F"/>
    <w:rsid w:val="00335CC5"/>
    <w:rsid w:val="0033621C"/>
    <w:rsid w:val="003365E1"/>
    <w:rsid w:val="00336744"/>
    <w:rsid w:val="0033783F"/>
    <w:rsid w:val="00340156"/>
    <w:rsid w:val="00342061"/>
    <w:rsid w:val="0034256B"/>
    <w:rsid w:val="00342CF6"/>
    <w:rsid w:val="00342D0A"/>
    <w:rsid w:val="003432A2"/>
    <w:rsid w:val="003434DE"/>
    <w:rsid w:val="00343DD6"/>
    <w:rsid w:val="0034431B"/>
    <w:rsid w:val="0034563A"/>
    <w:rsid w:val="00347506"/>
    <w:rsid w:val="003476D0"/>
    <w:rsid w:val="00351FF5"/>
    <w:rsid w:val="00352DA9"/>
    <w:rsid w:val="003535AB"/>
    <w:rsid w:val="003547BF"/>
    <w:rsid w:val="0035540F"/>
    <w:rsid w:val="00355B62"/>
    <w:rsid w:val="00356C39"/>
    <w:rsid w:val="0036066A"/>
    <w:rsid w:val="00361FE1"/>
    <w:rsid w:val="00362152"/>
    <w:rsid w:val="0036341B"/>
    <w:rsid w:val="00366F92"/>
    <w:rsid w:val="003672E4"/>
    <w:rsid w:val="00370AC0"/>
    <w:rsid w:val="00370AD3"/>
    <w:rsid w:val="00370D2B"/>
    <w:rsid w:val="0037111B"/>
    <w:rsid w:val="00371DE0"/>
    <w:rsid w:val="00372504"/>
    <w:rsid w:val="00372A77"/>
    <w:rsid w:val="00372A96"/>
    <w:rsid w:val="00372D21"/>
    <w:rsid w:val="003731AB"/>
    <w:rsid w:val="00373779"/>
    <w:rsid w:val="00373895"/>
    <w:rsid w:val="00374233"/>
    <w:rsid w:val="00375F33"/>
    <w:rsid w:val="00376AE8"/>
    <w:rsid w:val="00376B4D"/>
    <w:rsid w:val="00377F09"/>
    <w:rsid w:val="003820F4"/>
    <w:rsid w:val="00383A9A"/>
    <w:rsid w:val="0038404D"/>
    <w:rsid w:val="00386DB2"/>
    <w:rsid w:val="00390BEE"/>
    <w:rsid w:val="00390C9E"/>
    <w:rsid w:val="003913D0"/>
    <w:rsid w:val="003920CC"/>
    <w:rsid w:val="0039440E"/>
    <w:rsid w:val="00395D89"/>
    <w:rsid w:val="003A20A2"/>
    <w:rsid w:val="003A49AC"/>
    <w:rsid w:val="003A501D"/>
    <w:rsid w:val="003A58E8"/>
    <w:rsid w:val="003A5F1B"/>
    <w:rsid w:val="003A744F"/>
    <w:rsid w:val="003B1117"/>
    <w:rsid w:val="003B113B"/>
    <w:rsid w:val="003B1CE9"/>
    <w:rsid w:val="003B1F5B"/>
    <w:rsid w:val="003B371C"/>
    <w:rsid w:val="003B4082"/>
    <w:rsid w:val="003B5497"/>
    <w:rsid w:val="003B6A1A"/>
    <w:rsid w:val="003B78AB"/>
    <w:rsid w:val="003B7F91"/>
    <w:rsid w:val="003C10FA"/>
    <w:rsid w:val="003C1FF9"/>
    <w:rsid w:val="003C45B1"/>
    <w:rsid w:val="003D0421"/>
    <w:rsid w:val="003D0560"/>
    <w:rsid w:val="003D17FB"/>
    <w:rsid w:val="003D2C3B"/>
    <w:rsid w:val="003D2E0F"/>
    <w:rsid w:val="003D2FE8"/>
    <w:rsid w:val="003D4CA7"/>
    <w:rsid w:val="003D5E25"/>
    <w:rsid w:val="003D6695"/>
    <w:rsid w:val="003D6702"/>
    <w:rsid w:val="003D78B6"/>
    <w:rsid w:val="003D7BFD"/>
    <w:rsid w:val="003D7DAB"/>
    <w:rsid w:val="003E0E03"/>
    <w:rsid w:val="003E118A"/>
    <w:rsid w:val="003E4718"/>
    <w:rsid w:val="003E4A14"/>
    <w:rsid w:val="003E532D"/>
    <w:rsid w:val="003E6FE7"/>
    <w:rsid w:val="003F00E2"/>
    <w:rsid w:val="003F0B06"/>
    <w:rsid w:val="003F12CD"/>
    <w:rsid w:val="003F320F"/>
    <w:rsid w:val="003F6A0E"/>
    <w:rsid w:val="003F7C71"/>
    <w:rsid w:val="0040021A"/>
    <w:rsid w:val="00400C95"/>
    <w:rsid w:val="004037F8"/>
    <w:rsid w:val="004050E5"/>
    <w:rsid w:val="004072B5"/>
    <w:rsid w:val="004076A9"/>
    <w:rsid w:val="00407FF6"/>
    <w:rsid w:val="004121D4"/>
    <w:rsid w:val="0041282B"/>
    <w:rsid w:val="00412879"/>
    <w:rsid w:val="00412ADE"/>
    <w:rsid w:val="00413DF2"/>
    <w:rsid w:val="00415AAF"/>
    <w:rsid w:val="00415E2E"/>
    <w:rsid w:val="00416E25"/>
    <w:rsid w:val="00417439"/>
    <w:rsid w:val="0042063A"/>
    <w:rsid w:val="00420940"/>
    <w:rsid w:val="00421094"/>
    <w:rsid w:val="00421C6F"/>
    <w:rsid w:val="00423BAD"/>
    <w:rsid w:val="00426773"/>
    <w:rsid w:val="004268D5"/>
    <w:rsid w:val="00427A0B"/>
    <w:rsid w:val="00430CB1"/>
    <w:rsid w:val="004335E2"/>
    <w:rsid w:val="00433A87"/>
    <w:rsid w:val="00434ECF"/>
    <w:rsid w:val="00435177"/>
    <w:rsid w:val="004352B4"/>
    <w:rsid w:val="004355EF"/>
    <w:rsid w:val="00436052"/>
    <w:rsid w:val="004374BE"/>
    <w:rsid w:val="00437F61"/>
    <w:rsid w:val="00440168"/>
    <w:rsid w:val="0044080F"/>
    <w:rsid w:val="00440C38"/>
    <w:rsid w:val="004430AF"/>
    <w:rsid w:val="00443A00"/>
    <w:rsid w:val="00445324"/>
    <w:rsid w:val="00445B4C"/>
    <w:rsid w:val="00446063"/>
    <w:rsid w:val="00446902"/>
    <w:rsid w:val="00446DF4"/>
    <w:rsid w:val="00450971"/>
    <w:rsid w:val="00450A1A"/>
    <w:rsid w:val="00452669"/>
    <w:rsid w:val="00452CA7"/>
    <w:rsid w:val="00453FCF"/>
    <w:rsid w:val="00455FD8"/>
    <w:rsid w:val="00456057"/>
    <w:rsid w:val="004575AA"/>
    <w:rsid w:val="00460431"/>
    <w:rsid w:val="00460A27"/>
    <w:rsid w:val="004610D7"/>
    <w:rsid w:val="004623F0"/>
    <w:rsid w:val="00462FF6"/>
    <w:rsid w:val="004630D4"/>
    <w:rsid w:val="00463C6D"/>
    <w:rsid w:val="00463E35"/>
    <w:rsid w:val="00464F71"/>
    <w:rsid w:val="00466390"/>
    <w:rsid w:val="00466F42"/>
    <w:rsid w:val="004718B1"/>
    <w:rsid w:val="00471A82"/>
    <w:rsid w:val="00472AC4"/>
    <w:rsid w:val="004732AA"/>
    <w:rsid w:val="00475147"/>
    <w:rsid w:val="00476C55"/>
    <w:rsid w:val="00477170"/>
    <w:rsid w:val="00477D63"/>
    <w:rsid w:val="00481BC6"/>
    <w:rsid w:val="00483486"/>
    <w:rsid w:val="00484C77"/>
    <w:rsid w:val="00485AD9"/>
    <w:rsid w:val="00485FC6"/>
    <w:rsid w:val="00486107"/>
    <w:rsid w:val="00486C91"/>
    <w:rsid w:val="004872BC"/>
    <w:rsid w:val="00487B71"/>
    <w:rsid w:val="00490126"/>
    <w:rsid w:val="0049079B"/>
    <w:rsid w:val="00490C12"/>
    <w:rsid w:val="00490E86"/>
    <w:rsid w:val="00491A69"/>
    <w:rsid w:val="004925E9"/>
    <w:rsid w:val="00492A32"/>
    <w:rsid w:val="00492E98"/>
    <w:rsid w:val="00493A6E"/>
    <w:rsid w:val="00494E69"/>
    <w:rsid w:val="004950D5"/>
    <w:rsid w:val="0049561A"/>
    <w:rsid w:val="00495D0B"/>
    <w:rsid w:val="00496214"/>
    <w:rsid w:val="00496754"/>
    <w:rsid w:val="004968C5"/>
    <w:rsid w:val="00496CB4"/>
    <w:rsid w:val="004A0FFC"/>
    <w:rsid w:val="004A2AF9"/>
    <w:rsid w:val="004A2AFF"/>
    <w:rsid w:val="004A388B"/>
    <w:rsid w:val="004A4122"/>
    <w:rsid w:val="004A747F"/>
    <w:rsid w:val="004A7E97"/>
    <w:rsid w:val="004B1025"/>
    <w:rsid w:val="004B1965"/>
    <w:rsid w:val="004B30DF"/>
    <w:rsid w:val="004B3193"/>
    <w:rsid w:val="004B3866"/>
    <w:rsid w:val="004B3D30"/>
    <w:rsid w:val="004B4066"/>
    <w:rsid w:val="004B5489"/>
    <w:rsid w:val="004B54A1"/>
    <w:rsid w:val="004B6F00"/>
    <w:rsid w:val="004B7C41"/>
    <w:rsid w:val="004C055A"/>
    <w:rsid w:val="004C131C"/>
    <w:rsid w:val="004C1C3E"/>
    <w:rsid w:val="004C2C92"/>
    <w:rsid w:val="004C56F9"/>
    <w:rsid w:val="004C621F"/>
    <w:rsid w:val="004C6C8C"/>
    <w:rsid w:val="004C6F9B"/>
    <w:rsid w:val="004C7E09"/>
    <w:rsid w:val="004D011D"/>
    <w:rsid w:val="004D02D9"/>
    <w:rsid w:val="004D1856"/>
    <w:rsid w:val="004D2575"/>
    <w:rsid w:val="004D31B9"/>
    <w:rsid w:val="004D5EFD"/>
    <w:rsid w:val="004D5F5A"/>
    <w:rsid w:val="004D5FB2"/>
    <w:rsid w:val="004D680E"/>
    <w:rsid w:val="004D7A20"/>
    <w:rsid w:val="004D7A24"/>
    <w:rsid w:val="004E029E"/>
    <w:rsid w:val="004E0646"/>
    <w:rsid w:val="004E1EC7"/>
    <w:rsid w:val="004E274A"/>
    <w:rsid w:val="004E560A"/>
    <w:rsid w:val="004E59C9"/>
    <w:rsid w:val="004E7DEF"/>
    <w:rsid w:val="004F2DC8"/>
    <w:rsid w:val="004F453B"/>
    <w:rsid w:val="004F4C41"/>
    <w:rsid w:val="004F5CBC"/>
    <w:rsid w:val="004F679B"/>
    <w:rsid w:val="004F696B"/>
    <w:rsid w:val="004F7B01"/>
    <w:rsid w:val="005011B6"/>
    <w:rsid w:val="00501E59"/>
    <w:rsid w:val="005029A4"/>
    <w:rsid w:val="00502C82"/>
    <w:rsid w:val="00503E65"/>
    <w:rsid w:val="00504593"/>
    <w:rsid w:val="005045F2"/>
    <w:rsid w:val="00505D4A"/>
    <w:rsid w:val="00507C5C"/>
    <w:rsid w:val="0051036F"/>
    <w:rsid w:val="00511B82"/>
    <w:rsid w:val="00512A2F"/>
    <w:rsid w:val="00513431"/>
    <w:rsid w:val="00515125"/>
    <w:rsid w:val="00515CF5"/>
    <w:rsid w:val="005163D8"/>
    <w:rsid w:val="005171ED"/>
    <w:rsid w:val="00520B2A"/>
    <w:rsid w:val="00520EB9"/>
    <w:rsid w:val="00526208"/>
    <w:rsid w:val="00526593"/>
    <w:rsid w:val="00527916"/>
    <w:rsid w:val="00527BD3"/>
    <w:rsid w:val="00530426"/>
    <w:rsid w:val="00530576"/>
    <w:rsid w:val="00530D85"/>
    <w:rsid w:val="00530F9B"/>
    <w:rsid w:val="00532171"/>
    <w:rsid w:val="0053218F"/>
    <w:rsid w:val="0053266D"/>
    <w:rsid w:val="0053275F"/>
    <w:rsid w:val="00532D02"/>
    <w:rsid w:val="00532F31"/>
    <w:rsid w:val="00533886"/>
    <w:rsid w:val="00535989"/>
    <w:rsid w:val="00535B25"/>
    <w:rsid w:val="00537551"/>
    <w:rsid w:val="005453DE"/>
    <w:rsid w:val="0054759F"/>
    <w:rsid w:val="00550AB9"/>
    <w:rsid w:val="00550D23"/>
    <w:rsid w:val="005520F9"/>
    <w:rsid w:val="00552366"/>
    <w:rsid w:val="00552EF8"/>
    <w:rsid w:val="005536EE"/>
    <w:rsid w:val="00553A20"/>
    <w:rsid w:val="005553BC"/>
    <w:rsid w:val="0055607D"/>
    <w:rsid w:val="00557E87"/>
    <w:rsid w:val="005611CB"/>
    <w:rsid w:val="005615BB"/>
    <w:rsid w:val="005619E0"/>
    <w:rsid w:val="00565695"/>
    <w:rsid w:val="00566A57"/>
    <w:rsid w:val="0056732D"/>
    <w:rsid w:val="00567F76"/>
    <w:rsid w:val="00571304"/>
    <w:rsid w:val="00571805"/>
    <w:rsid w:val="00571A62"/>
    <w:rsid w:val="00571ED1"/>
    <w:rsid w:val="005721D3"/>
    <w:rsid w:val="005728FC"/>
    <w:rsid w:val="00573174"/>
    <w:rsid w:val="0057370A"/>
    <w:rsid w:val="005757B1"/>
    <w:rsid w:val="0057584D"/>
    <w:rsid w:val="00575CC2"/>
    <w:rsid w:val="00576911"/>
    <w:rsid w:val="00576C1C"/>
    <w:rsid w:val="00576D30"/>
    <w:rsid w:val="00580E15"/>
    <w:rsid w:val="00581B2C"/>
    <w:rsid w:val="00581F42"/>
    <w:rsid w:val="00583070"/>
    <w:rsid w:val="00583366"/>
    <w:rsid w:val="005850C3"/>
    <w:rsid w:val="00586757"/>
    <w:rsid w:val="00587593"/>
    <w:rsid w:val="005879AB"/>
    <w:rsid w:val="00590283"/>
    <w:rsid w:val="005926E1"/>
    <w:rsid w:val="00592C0B"/>
    <w:rsid w:val="00592D5A"/>
    <w:rsid w:val="00593781"/>
    <w:rsid w:val="00593808"/>
    <w:rsid w:val="00594149"/>
    <w:rsid w:val="0059493C"/>
    <w:rsid w:val="00594B2A"/>
    <w:rsid w:val="00594CC1"/>
    <w:rsid w:val="00594FE3"/>
    <w:rsid w:val="0059547F"/>
    <w:rsid w:val="005969DF"/>
    <w:rsid w:val="005A04AD"/>
    <w:rsid w:val="005A2EC2"/>
    <w:rsid w:val="005A375F"/>
    <w:rsid w:val="005A5BC1"/>
    <w:rsid w:val="005A635D"/>
    <w:rsid w:val="005A6CD3"/>
    <w:rsid w:val="005B0D6C"/>
    <w:rsid w:val="005B12AB"/>
    <w:rsid w:val="005B28BC"/>
    <w:rsid w:val="005B4F81"/>
    <w:rsid w:val="005B5073"/>
    <w:rsid w:val="005B5CD1"/>
    <w:rsid w:val="005B6A8D"/>
    <w:rsid w:val="005C0C2A"/>
    <w:rsid w:val="005C1043"/>
    <w:rsid w:val="005C2D22"/>
    <w:rsid w:val="005C52BA"/>
    <w:rsid w:val="005C7899"/>
    <w:rsid w:val="005C7978"/>
    <w:rsid w:val="005D102B"/>
    <w:rsid w:val="005D17CA"/>
    <w:rsid w:val="005D1ED4"/>
    <w:rsid w:val="005D2C9E"/>
    <w:rsid w:val="005D2FDE"/>
    <w:rsid w:val="005D3FE9"/>
    <w:rsid w:val="005D4B99"/>
    <w:rsid w:val="005D53AA"/>
    <w:rsid w:val="005D6CD0"/>
    <w:rsid w:val="005D72D6"/>
    <w:rsid w:val="005E03E7"/>
    <w:rsid w:val="005E1AA8"/>
    <w:rsid w:val="005E33C0"/>
    <w:rsid w:val="005E4007"/>
    <w:rsid w:val="005E5142"/>
    <w:rsid w:val="005E52D2"/>
    <w:rsid w:val="005F2972"/>
    <w:rsid w:val="005F29C6"/>
    <w:rsid w:val="005F441D"/>
    <w:rsid w:val="005F4B38"/>
    <w:rsid w:val="005F50A1"/>
    <w:rsid w:val="005F5F53"/>
    <w:rsid w:val="005F6B34"/>
    <w:rsid w:val="005F703D"/>
    <w:rsid w:val="00600178"/>
    <w:rsid w:val="00600301"/>
    <w:rsid w:val="0060263D"/>
    <w:rsid w:val="006028C4"/>
    <w:rsid w:val="00603FCB"/>
    <w:rsid w:val="00604EBA"/>
    <w:rsid w:val="0060519F"/>
    <w:rsid w:val="00605552"/>
    <w:rsid w:val="00607563"/>
    <w:rsid w:val="00607AE3"/>
    <w:rsid w:val="006112F4"/>
    <w:rsid w:val="006114A7"/>
    <w:rsid w:val="00611D9F"/>
    <w:rsid w:val="00613516"/>
    <w:rsid w:val="0061395C"/>
    <w:rsid w:val="00613CF6"/>
    <w:rsid w:val="00615964"/>
    <w:rsid w:val="00616457"/>
    <w:rsid w:val="00617F2A"/>
    <w:rsid w:val="00620241"/>
    <w:rsid w:val="006205C7"/>
    <w:rsid w:val="00620F02"/>
    <w:rsid w:val="00620F2A"/>
    <w:rsid w:val="00621058"/>
    <w:rsid w:val="00622D58"/>
    <w:rsid w:val="006243BD"/>
    <w:rsid w:val="00626A9D"/>
    <w:rsid w:val="00626C2F"/>
    <w:rsid w:val="00626F1B"/>
    <w:rsid w:val="006270B6"/>
    <w:rsid w:val="006303CD"/>
    <w:rsid w:val="00630880"/>
    <w:rsid w:val="0063233A"/>
    <w:rsid w:val="0063277D"/>
    <w:rsid w:val="00635216"/>
    <w:rsid w:val="00636275"/>
    <w:rsid w:val="00636A46"/>
    <w:rsid w:val="00636A61"/>
    <w:rsid w:val="00637B24"/>
    <w:rsid w:val="00637D64"/>
    <w:rsid w:val="00643719"/>
    <w:rsid w:val="00645648"/>
    <w:rsid w:val="00646B72"/>
    <w:rsid w:val="00647771"/>
    <w:rsid w:val="00647DC5"/>
    <w:rsid w:val="0065037E"/>
    <w:rsid w:val="00650682"/>
    <w:rsid w:val="006515D6"/>
    <w:rsid w:val="0065230A"/>
    <w:rsid w:val="00652731"/>
    <w:rsid w:val="00652DAF"/>
    <w:rsid w:val="00654534"/>
    <w:rsid w:val="00655995"/>
    <w:rsid w:val="006561CE"/>
    <w:rsid w:val="006572E3"/>
    <w:rsid w:val="0065788D"/>
    <w:rsid w:val="00657D15"/>
    <w:rsid w:val="006602EE"/>
    <w:rsid w:val="00660724"/>
    <w:rsid w:val="00660871"/>
    <w:rsid w:val="00660B7E"/>
    <w:rsid w:val="00662D69"/>
    <w:rsid w:val="00662DF6"/>
    <w:rsid w:val="006634D0"/>
    <w:rsid w:val="00663D3F"/>
    <w:rsid w:val="00663F46"/>
    <w:rsid w:val="006657FD"/>
    <w:rsid w:val="00665E36"/>
    <w:rsid w:val="0066653A"/>
    <w:rsid w:val="00666C36"/>
    <w:rsid w:val="00671669"/>
    <w:rsid w:val="00671C7C"/>
    <w:rsid w:val="00672A38"/>
    <w:rsid w:val="006744CF"/>
    <w:rsid w:val="00674504"/>
    <w:rsid w:val="00674D50"/>
    <w:rsid w:val="00675113"/>
    <w:rsid w:val="00675322"/>
    <w:rsid w:val="006765B7"/>
    <w:rsid w:val="006767DA"/>
    <w:rsid w:val="006802B7"/>
    <w:rsid w:val="00681866"/>
    <w:rsid w:val="00682F22"/>
    <w:rsid w:val="00682F6E"/>
    <w:rsid w:val="006834A6"/>
    <w:rsid w:val="00683DBF"/>
    <w:rsid w:val="00685E07"/>
    <w:rsid w:val="00687B0E"/>
    <w:rsid w:val="0069316C"/>
    <w:rsid w:val="00697374"/>
    <w:rsid w:val="006A09E8"/>
    <w:rsid w:val="006A39D8"/>
    <w:rsid w:val="006A4F1D"/>
    <w:rsid w:val="006A6FB6"/>
    <w:rsid w:val="006A7838"/>
    <w:rsid w:val="006A7A35"/>
    <w:rsid w:val="006A7DF5"/>
    <w:rsid w:val="006B00A2"/>
    <w:rsid w:val="006B08DF"/>
    <w:rsid w:val="006B0F67"/>
    <w:rsid w:val="006B12DD"/>
    <w:rsid w:val="006B28B5"/>
    <w:rsid w:val="006B30B4"/>
    <w:rsid w:val="006B3843"/>
    <w:rsid w:val="006B5F5F"/>
    <w:rsid w:val="006B67FE"/>
    <w:rsid w:val="006B713A"/>
    <w:rsid w:val="006B76DC"/>
    <w:rsid w:val="006B7D40"/>
    <w:rsid w:val="006C017A"/>
    <w:rsid w:val="006C19D6"/>
    <w:rsid w:val="006C274B"/>
    <w:rsid w:val="006C2D94"/>
    <w:rsid w:val="006C321D"/>
    <w:rsid w:val="006C44F8"/>
    <w:rsid w:val="006C543D"/>
    <w:rsid w:val="006C5C60"/>
    <w:rsid w:val="006C6141"/>
    <w:rsid w:val="006C673C"/>
    <w:rsid w:val="006C71DD"/>
    <w:rsid w:val="006C7D5C"/>
    <w:rsid w:val="006D06AA"/>
    <w:rsid w:val="006D14A5"/>
    <w:rsid w:val="006D26EC"/>
    <w:rsid w:val="006D3D98"/>
    <w:rsid w:val="006D3F28"/>
    <w:rsid w:val="006D6D4D"/>
    <w:rsid w:val="006D6F57"/>
    <w:rsid w:val="006D78A0"/>
    <w:rsid w:val="006E095C"/>
    <w:rsid w:val="006E1CE8"/>
    <w:rsid w:val="006E2B80"/>
    <w:rsid w:val="006E2D90"/>
    <w:rsid w:val="006E3370"/>
    <w:rsid w:val="006E399D"/>
    <w:rsid w:val="006E4FF8"/>
    <w:rsid w:val="006E5976"/>
    <w:rsid w:val="006E5D64"/>
    <w:rsid w:val="006E5F0C"/>
    <w:rsid w:val="006F137A"/>
    <w:rsid w:val="006F28BC"/>
    <w:rsid w:val="006F3C42"/>
    <w:rsid w:val="006F5498"/>
    <w:rsid w:val="006F5F69"/>
    <w:rsid w:val="006F6AC2"/>
    <w:rsid w:val="006F709E"/>
    <w:rsid w:val="007029B8"/>
    <w:rsid w:val="00704A51"/>
    <w:rsid w:val="00705BD6"/>
    <w:rsid w:val="00706119"/>
    <w:rsid w:val="0070633B"/>
    <w:rsid w:val="00710850"/>
    <w:rsid w:val="007126E2"/>
    <w:rsid w:val="007129B3"/>
    <w:rsid w:val="00714030"/>
    <w:rsid w:val="00714288"/>
    <w:rsid w:val="00714620"/>
    <w:rsid w:val="00715069"/>
    <w:rsid w:val="00715F87"/>
    <w:rsid w:val="0072025C"/>
    <w:rsid w:val="00722257"/>
    <w:rsid w:val="00725A83"/>
    <w:rsid w:val="00725F46"/>
    <w:rsid w:val="00726C99"/>
    <w:rsid w:val="00727B3A"/>
    <w:rsid w:val="0073090E"/>
    <w:rsid w:val="00731465"/>
    <w:rsid w:val="007316C9"/>
    <w:rsid w:val="007317D1"/>
    <w:rsid w:val="00733A86"/>
    <w:rsid w:val="0073740C"/>
    <w:rsid w:val="007410F3"/>
    <w:rsid w:val="007413B6"/>
    <w:rsid w:val="0074302B"/>
    <w:rsid w:val="00743193"/>
    <w:rsid w:val="00743DDE"/>
    <w:rsid w:val="007449D6"/>
    <w:rsid w:val="00744F19"/>
    <w:rsid w:val="007450F5"/>
    <w:rsid w:val="0074576F"/>
    <w:rsid w:val="00745B65"/>
    <w:rsid w:val="007478E6"/>
    <w:rsid w:val="00751CE8"/>
    <w:rsid w:val="00752819"/>
    <w:rsid w:val="007530E2"/>
    <w:rsid w:val="00753103"/>
    <w:rsid w:val="007531C0"/>
    <w:rsid w:val="0075410C"/>
    <w:rsid w:val="00754386"/>
    <w:rsid w:val="0075464F"/>
    <w:rsid w:val="007546FA"/>
    <w:rsid w:val="0075527E"/>
    <w:rsid w:val="00755355"/>
    <w:rsid w:val="00756502"/>
    <w:rsid w:val="00756B97"/>
    <w:rsid w:val="00757261"/>
    <w:rsid w:val="00757C90"/>
    <w:rsid w:val="007604A6"/>
    <w:rsid w:val="00762AF8"/>
    <w:rsid w:val="00762F9D"/>
    <w:rsid w:val="0076376A"/>
    <w:rsid w:val="007665A4"/>
    <w:rsid w:val="00771AC5"/>
    <w:rsid w:val="00771C0A"/>
    <w:rsid w:val="0077248B"/>
    <w:rsid w:val="007734E6"/>
    <w:rsid w:val="00773FC3"/>
    <w:rsid w:val="00774964"/>
    <w:rsid w:val="00774F56"/>
    <w:rsid w:val="00775628"/>
    <w:rsid w:val="007759B8"/>
    <w:rsid w:val="00776E8E"/>
    <w:rsid w:val="00776F5B"/>
    <w:rsid w:val="00776FA0"/>
    <w:rsid w:val="00783122"/>
    <w:rsid w:val="00783BD8"/>
    <w:rsid w:val="00783E91"/>
    <w:rsid w:val="00783F4D"/>
    <w:rsid w:val="007849B0"/>
    <w:rsid w:val="00784F00"/>
    <w:rsid w:val="007904B1"/>
    <w:rsid w:val="00791AB8"/>
    <w:rsid w:val="00792A50"/>
    <w:rsid w:val="00793B82"/>
    <w:rsid w:val="007941B5"/>
    <w:rsid w:val="007944D3"/>
    <w:rsid w:val="00794A05"/>
    <w:rsid w:val="00794F68"/>
    <w:rsid w:val="00795AC6"/>
    <w:rsid w:val="00795FE6"/>
    <w:rsid w:val="00796120"/>
    <w:rsid w:val="007A0657"/>
    <w:rsid w:val="007A0F61"/>
    <w:rsid w:val="007A1DB6"/>
    <w:rsid w:val="007A2C46"/>
    <w:rsid w:val="007A2FBC"/>
    <w:rsid w:val="007A3B45"/>
    <w:rsid w:val="007A5389"/>
    <w:rsid w:val="007A5C90"/>
    <w:rsid w:val="007A6720"/>
    <w:rsid w:val="007A6BF9"/>
    <w:rsid w:val="007B0263"/>
    <w:rsid w:val="007B1282"/>
    <w:rsid w:val="007B1B04"/>
    <w:rsid w:val="007B5E65"/>
    <w:rsid w:val="007B6074"/>
    <w:rsid w:val="007B700B"/>
    <w:rsid w:val="007C00C6"/>
    <w:rsid w:val="007C0F25"/>
    <w:rsid w:val="007C1E44"/>
    <w:rsid w:val="007C235B"/>
    <w:rsid w:val="007C3692"/>
    <w:rsid w:val="007C4363"/>
    <w:rsid w:val="007C4C0B"/>
    <w:rsid w:val="007C5518"/>
    <w:rsid w:val="007C5F19"/>
    <w:rsid w:val="007C6223"/>
    <w:rsid w:val="007C6CD4"/>
    <w:rsid w:val="007D068E"/>
    <w:rsid w:val="007D0789"/>
    <w:rsid w:val="007D0FB9"/>
    <w:rsid w:val="007D2192"/>
    <w:rsid w:val="007D4A11"/>
    <w:rsid w:val="007D5BC0"/>
    <w:rsid w:val="007D5E60"/>
    <w:rsid w:val="007E21EA"/>
    <w:rsid w:val="007E4EEA"/>
    <w:rsid w:val="007E52E2"/>
    <w:rsid w:val="007F07FD"/>
    <w:rsid w:val="007F1008"/>
    <w:rsid w:val="007F211E"/>
    <w:rsid w:val="007F2691"/>
    <w:rsid w:val="007F2EA5"/>
    <w:rsid w:val="007F33B5"/>
    <w:rsid w:val="007F3A7E"/>
    <w:rsid w:val="008013FC"/>
    <w:rsid w:val="00801CDA"/>
    <w:rsid w:val="00802261"/>
    <w:rsid w:val="00802ECC"/>
    <w:rsid w:val="00803305"/>
    <w:rsid w:val="0080381C"/>
    <w:rsid w:val="00804980"/>
    <w:rsid w:val="00804BDB"/>
    <w:rsid w:val="00804E89"/>
    <w:rsid w:val="00806594"/>
    <w:rsid w:val="00806D60"/>
    <w:rsid w:val="00812AC7"/>
    <w:rsid w:val="00812C8D"/>
    <w:rsid w:val="008139E0"/>
    <w:rsid w:val="00813F68"/>
    <w:rsid w:val="00815B1E"/>
    <w:rsid w:val="00817B74"/>
    <w:rsid w:val="00817D75"/>
    <w:rsid w:val="0082114B"/>
    <w:rsid w:val="00821631"/>
    <w:rsid w:val="008233E2"/>
    <w:rsid w:val="00823517"/>
    <w:rsid w:val="00824479"/>
    <w:rsid w:val="00825C6B"/>
    <w:rsid w:val="008263A2"/>
    <w:rsid w:val="008276F0"/>
    <w:rsid w:val="00827809"/>
    <w:rsid w:val="00830743"/>
    <w:rsid w:val="008308D3"/>
    <w:rsid w:val="00831391"/>
    <w:rsid w:val="00832A34"/>
    <w:rsid w:val="00832F7B"/>
    <w:rsid w:val="00833C84"/>
    <w:rsid w:val="00835A8F"/>
    <w:rsid w:val="0083682E"/>
    <w:rsid w:val="008376C9"/>
    <w:rsid w:val="0083784C"/>
    <w:rsid w:val="00837996"/>
    <w:rsid w:val="00837B97"/>
    <w:rsid w:val="00837BF0"/>
    <w:rsid w:val="00841289"/>
    <w:rsid w:val="0084145E"/>
    <w:rsid w:val="008420EC"/>
    <w:rsid w:val="00844938"/>
    <w:rsid w:val="008449F3"/>
    <w:rsid w:val="008457A0"/>
    <w:rsid w:val="00845FA1"/>
    <w:rsid w:val="008461D1"/>
    <w:rsid w:val="0084654E"/>
    <w:rsid w:val="00846BE1"/>
    <w:rsid w:val="00846E22"/>
    <w:rsid w:val="00851910"/>
    <w:rsid w:val="00852D96"/>
    <w:rsid w:val="00852EDC"/>
    <w:rsid w:val="008547F1"/>
    <w:rsid w:val="00854B9A"/>
    <w:rsid w:val="008557B2"/>
    <w:rsid w:val="0085768A"/>
    <w:rsid w:val="008607B1"/>
    <w:rsid w:val="008608CC"/>
    <w:rsid w:val="008610A7"/>
    <w:rsid w:val="0086142A"/>
    <w:rsid w:val="00862D8C"/>
    <w:rsid w:val="00862DF0"/>
    <w:rsid w:val="0086317E"/>
    <w:rsid w:val="0086444C"/>
    <w:rsid w:val="00865786"/>
    <w:rsid w:val="0086589A"/>
    <w:rsid w:val="00865E38"/>
    <w:rsid w:val="00867DD8"/>
    <w:rsid w:val="008710CF"/>
    <w:rsid w:val="00871774"/>
    <w:rsid w:val="00871A1F"/>
    <w:rsid w:val="0087285E"/>
    <w:rsid w:val="008728A5"/>
    <w:rsid w:val="00873C67"/>
    <w:rsid w:val="008804F8"/>
    <w:rsid w:val="008807AE"/>
    <w:rsid w:val="008814BA"/>
    <w:rsid w:val="008814C4"/>
    <w:rsid w:val="00883364"/>
    <w:rsid w:val="00885D06"/>
    <w:rsid w:val="008873E8"/>
    <w:rsid w:val="0088767B"/>
    <w:rsid w:val="00887E73"/>
    <w:rsid w:val="00890412"/>
    <w:rsid w:val="008906CD"/>
    <w:rsid w:val="008915AC"/>
    <w:rsid w:val="008920C3"/>
    <w:rsid w:val="008923B4"/>
    <w:rsid w:val="008927E1"/>
    <w:rsid w:val="00892D4E"/>
    <w:rsid w:val="008935C0"/>
    <w:rsid w:val="00893A14"/>
    <w:rsid w:val="008949EF"/>
    <w:rsid w:val="00896160"/>
    <w:rsid w:val="00897920"/>
    <w:rsid w:val="008A0A54"/>
    <w:rsid w:val="008A0AE1"/>
    <w:rsid w:val="008A3F39"/>
    <w:rsid w:val="008A4803"/>
    <w:rsid w:val="008A4FBA"/>
    <w:rsid w:val="008A60E3"/>
    <w:rsid w:val="008A6DC5"/>
    <w:rsid w:val="008A7A9D"/>
    <w:rsid w:val="008B0173"/>
    <w:rsid w:val="008B053D"/>
    <w:rsid w:val="008B0598"/>
    <w:rsid w:val="008B08E2"/>
    <w:rsid w:val="008B216F"/>
    <w:rsid w:val="008B238F"/>
    <w:rsid w:val="008B2860"/>
    <w:rsid w:val="008B2A51"/>
    <w:rsid w:val="008B4EC2"/>
    <w:rsid w:val="008B5B18"/>
    <w:rsid w:val="008B5DF1"/>
    <w:rsid w:val="008B783B"/>
    <w:rsid w:val="008C0475"/>
    <w:rsid w:val="008C0B70"/>
    <w:rsid w:val="008C2C23"/>
    <w:rsid w:val="008C3E1B"/>
    <w:rsid w:val="008C42B5"/>
    <w:rsid w:val="008C483F"/>
    <w:rsid w:val="008C4C2D"/>
    <w:rsid w:val="008C6D3F"/>
    <w:rsid w:val="008C7275"/>
    <w:rsid w:val="008C7F04"/>
    <w:rsid w:val="008D01D6"/>
    <w:rsid w:val="008D12C6"/>
    <w:rsid w:val="008D171A"/>
    <w:rsid w:val="008D1E77"/>
    <w:rsid w:val="008D2262"/>
    <w:rsid w:val="008D3E57"/>
    <w:rsid w:val="008D4B07"/>
    <w:rsid w:val="008D6C34"/>
    <w:rsid w:val="008D7591"/>
    <w:rsid w:val="008E0228"/>
    <w:rsid w:val="008E0EC5"/>
    <w:rsid w:val="008E1A01"/>
    <w:rsid w:val="008E324C"/>
    <w:rsid w:val="008E57E2"/>
    <w:rsid w:val="008E65F9"/>
    <w:rsid w:val="008F07F9"/>
    <w:rsid w:val="008F1179"/>
    <w:rsid w:val="008F2C75"/>
    <w:rsid w:val="008F348F"/>
    <w:rsid w:val="008F7DB8"/>
    <w:rsid w:val="009003F3"/>
    <w:rsid w:val="00901269"/>
    <w:rsid w:val="00901711"/>
    <w:rsid w:val="00902D4D"/>
    <w:rsid w:val="00903C15"/>
    <w:rsid w:val="00903CC3"/>
    <w:rsid w:val="00903E26"/>
    <w:rsid w:val="00904FB4"/>
    <w:rsid w:val="00905900"/>
    <w:rsid w:val="00910868"/>
    <w:rsid w:val="009122B7"/>
    <w:rsid w:val="00913692"/>
    <w:rsid w:val="009165DF"/>
    <w:rsid w:val="00917F11"/>
    <w:rsid w:val="00921032"/>
    <w:rsid w:val="00923E39"/>
    <w:rsid w:val="009243C3"/>
    <w:rsid w:val="0092535F"/>
    <w:rsid w:val="00925877"/>
    <w:rsid w:val="009259A5"/>
    <w:rsid w:val="009262C1"/>
    <w:rsid w:val="00927A40"/>
    <w:rsid w:val="00927C24"/>
    <w:rsid w:val="009302A2"/>
    <w:rsid w:val="00930AB6"/>
    <w:rsid w:val="00932846"/>
    <w:rsid w:val="00932C15"/>
    <w:rsid w:val="00934316"/>
    <w:rsid w:val="009351D1"/>
    <w:rsid w:val="009371C7"/>
    <w:rsid w:val="00937340"/>
    <w:rsid w:val="00937C2D"/>
    <w:rsid w:val="00941A8E"/>
    <w:rsid w:val="00941B01"/>
    <w:rsid w:val="00942C05"/>
    <w:rsid w:val="0094473E"/>
    <w:rsid w:val="00946167"/>
    <w:rsid w:val="00946A97"/>
    <w:rsid w:val="0095090F"/>
    <w:rsid w:val="0095094F"/>
    <w:rsid w:val="009514BE"/>
    <w:rsid w:val="0095157F"/>
    <w:rsid w:val="00952A4F"/>
    <w:rsid w:val="00952D2C"/>
    <w:rsid w:val="00954135"/>
    <w:rsid w:val="00954ED6"/>
    <w:rsid w:val="0095624F"/>
    <w:rsid w:val="00956541"/>
    <w:rsid w:val="0096141C"/>
    <w:rsid w:val="00962F02"/>
    <w:rsid w:val="009638A2"/>
    <w:rsid w:val="00963C02"/>
    <w:rsid w:val="0096516C"/>
    <w:rsid w:val="009652F2"/>
    <w:rsid w:val="00966B38"/>
    <w:rsid w:val="00967449"/>
    <w:rsid w:val="009713B4"/>
    <w:rsid w:val="009719F4"/>
    <w:rsid w:val="009750EF"/>
    <w:rsid w:val="009751A6"/>
    <w:rsid w:val="00976347"/>
    <w:rsid w:val="0097753C"/>
    <w:rsid w:val="00977605"/>
    <w:rsid w:val="00983387"/>
    <w:rsid w:val="009839F9"/>
    <w:rsid w:val="00984D2D"/>
    <w:rsid w:val="009853D2"/>
    <w:rsid w:val="00987228"/>
    <w:rsid w:val="009873AA"/>
    <w:rsid w:val="00990670"/>
    <w:rsid w:val="009923C6"/>
    <w:rsid w:val="00992AC5"/>
    <w:rsid w:val="00993DD4"/>
    <w:rsid w:val="00996F72"/>
    <w:rsid w:val="009A1D45"/>
    <w:rsid w:val="009A3243"/>
    <w:rsid w:val="009A39DF"/>
    <w:rsid w:val="009A3B9E"/>
    <w:rsid w:val="009A4831"/>
    <w:rsid w:val="009A4E82"/>
    <w:rsid w:val="009A4F2B"/>
    <w:rsid w:val="009A6A83"/>
    <w:rsid w:val="009B10BC"/>
    <w:rsid w:val="009B12A8"/>
    <w:rsid w:val="009B17DF"/>
    <w:rsid w:val="009B18EC"/>
    <w:rsid w:val="009B1988"/>
    <w:rsid w:val="009B19CD"/>
    <w:rsid w:val="009B38C9"/>
    <w:rsid w:val="009B401B"/>
    <w:rsid w:val="009B4D25"/>
    <w:rsid w:val="009B5107"/>
    <w:rsid w:val="009B6407"/>
    <w:rsid w:val="009B6E8C"/>
    <w:rsid w:val="009B77AB"/>
    <w:rsid w:val="009C0281"/>
    <w:rsid w:val="009C096F"/>
    <w:rsid w:val="009C0F15"/>
    <w:rsid w:val="009C1326"/>
    <w:rsid w:val="009C1D25"/>
    <w:rsid w:val="009C250B"/>
    <w:rsid w:val="009C35B9"/>
    <w:rsid w:val="009C41EC"/>
    <w:rsid w:val="009C5F9C"/>
    <w:rsid w:val="009C675C"/>
    <w:rsid w:val="009C6CC2"/>
    <w:rsid w:val="009D05F1"/>
    <w:rsid w:val="009D0BEB"/>
    <w:rsid w:val="009D121B"/>
    <w:rsid w:val="009D1376"/>
    <w:rsid w:val="009D29CF"/>
    <w:rsid w:val="009D3723"/>
    <w:rsid w:val="009D4A56"/>
    <w:rsid w:val="009D4BF3"/>
    <w:rsid w:val="009D5BD5"/>
    <w:rsid w:val="009D5E6C"/>
    <w:rsid w:val="009E3393"/>
    <w:rsid w:val="009E354B"/>
    <w:rsid w:val="009E42E9"/>
    <w:rsid w:val="009E4E6A"/>
    <w:rsid w:val="009E5177"/>
    <w:rsid w:val="009E64D7"/>
    <w:rsid w:val="009E6DD7"/>
    <w:rsid w:val="009F25EA"/>
    <w:rsid w:val="009F268E"/>
    <w:rsid w:val="009F277B"/>
    <w:rsid w:val="009F3212"/>
    <w:rsid w:val="009F3978"/>
    <w:rsid w:val="009F3D26"/>
    <w:rsid w:val="009F506B"/>
    <w:rsid w:val="009F5AF5"/>
    <w:rsid w:val="009F627A"/>
    <w:rsid w:val="00A0108F"/>
    <w:rsid w:val="00A01147"/>
    <w:rsid w:val="00A04E0C"/>
    <w:rsid w:val="00A0560F"/>
    <w:rsid w:val="00A057F3"/>
    <w:rsid w:val="00A05E0A"/>
    <w:rsid w:val="00A06158"/>
    <w:rsid w:val="00A070E0"/>
    <w:rsid w:val="00A07708"/>
    <w:rsid w:val="00A078AE"/>
    <w:rsid w:val="00A107C7"/>
    <w:rsid w:val="00A116BC"/>
    <w:rsid w:val="00A12980"/>
    <w:rsid w:val="00A130B4"/>
    <w:rsid w:val="00A143A2"/>
    <w:rsid w:val="00A14477"/>
    <w:rsid w:val="00A17012"/>
    <w:rsid w:val="00A175C3"/>
    <w:rsid w:val="00A20909"/>
    <w:rsid w:val="00A21F4A"/>
    <w:rsid w:val="00A21F7E"/>
    <w:rsid w:val="00A2354E"/>
    <w:rsid w:val="00A24368"/>
    <w:rsid w:val="00A246F1"/>
    <w:rsid w:val="00A248D4"/>
    <w:rsid w:val="00A24FF4"/>
    <w:rsid w:val="00A26087"/>
    <w:rsid w:val="00A26208"/>
    <w:rsid w:val="00A266A0"/>
    <w:rsid w:val="00A27056"/>
    <w:rsid w:val="00A31231"/>
    <w:rsid w:val="00A3301A"/>
    <w:rsid w:val="00A33672"/>
    <w:rsid w:val="00A407C5"/>
    <w:rsid w:val="00A42244"/>
    <w:rsid w:val="00A42AFD"/>
    <w:rsid w:val="00A42BAE"/>
    <w:rsid w:val="00A42CAC"/>
    <w:rsid w:val="00A463E4"/>
    <w:rsid w:val="00A46B8B"/>
    <w:rsid w:val="00A47531"/>
    <w:rsid w:val="00A479EA"/>
    <w:rsid w:val="00A5000F"/>
    <w:rsid w:val="00A50651"/>
    <w:rsid w:val="00A51D16"/>
    <w:rsid w:val="00A522B4"/>
    <w:rsid w:val="00A53749"/>
    <w:rsid w:val="00A538D2"/>
    <w:rsid w:val="00A54621"/>
    <w:rsid w:val="00A54D2F"/>
    <w:rsid w:val="00A55A6C"/>
    <w:rsid w:val="00A56C7E"/>
    <w:rsid w:val="00A56D47"/>
    <w:rsid w:val="00A56EFB"/>
    <w:rsid w:val="00A609BF"/>
    <w:rsid w:val="00A60E9C"/>
    <w:rsid w:val="00A614DB"/>
    <w:rsid w:val="00A61CCE"/>
    <w:rsid w:val="00A62321"/>
    <w:rsid w:val="00A62E11"/>
    <w:rsid w:val="00A62F69"/>
    <w:rsid w:val="00A63359"/>
    <w:rsid w:val="00A63655"/>
    <w:rsid w:val="00A64018"/>
    <w:rsid w:val="00A649F7"/>
    <w:rsid w:val="00A650E7"/>
    <w:rsid w:val="00A657B0"/>
    <w:rsid w:val="00A65B03"/>
    <w:rsid w:val="00A673CC"/>
    <w:rsid w:val="00A679BF"/>
    <w:rsid w:val="00A70D3B"/>
    <w:rsid w:val="00A718CA"/>
    <w:rsid w:val="00A72086"/>
    <w:rsid w:val="00A72470"/>
    <w:rsid w:val="00A7381E"/>
    <w:rsid w:val="00A73B34"/>
    <w:rsid w:val="00A769BC"/>
    <w:rsid w:val="00A77A39"/>
    <w:rsid w:val="00A813A8"/>
    <w:rsid w:val="00A835CB"/>
    <w:rsid w:val="00A8410C"/>
    <w:rsid w:val="00A85005"/>
    <w:rsid w:val="00A85276"/>
    <w:rsid w:val="00A87834"/>
    <w:rsid w:val="00A879A3"/>
    <w:rsid w:val="00A900CC"/>
    <w:rsid w:val="00A90C76"/>
    <w:rsid w:val="00A92188"/>
    <w:rsid w:val="00A946B7"/>
    <w:rsid w:val="00A94BAD"/>
    <w:rsid w:val="00A94C77"/>
    <w:rsid w:val="00A97F3B"/>
    <w:rsid w:val="00AA0303"/>
    <w:rsid w:val="00AA067E"/>
    <w:rsid w:val="00AA1BE4"/>
    <w:rsid w:val="00AA1C73"/>
    <w:rsid w:val="00AA22CA"/>
    <w:rsid w:val="00AA2F1C"/>
    <w:rsid w:val="00AA4156"/>
    <w:rsid w:val="00AB0246"/>
    <w:rsid w:val="00AB2A88"/>
    <w:rsid w:val="00AB2E63"/>
    <w:rsid w:val="00AB3A97"/>
    <w:rsid w:val="00AB5CAA"/>
    <w:rsid w:val="00AB645F"/>
    <w:rsid w:val="00AC101E"/>
    <w:rsid w:val="00AC1639"/>
    <w:rsid w:val="00AC2215"/>
    <w:rsid w:val="00AC401E"/>
    <w:rsid w:val="00AC5603"/>
    <w:rsid w:val="00AC567E"/>
    <w:rsid w:val="00AC5892"/>
    <w:rsid w:val="00AC6781"/>
    <w:rsid w:val="00AC6A4A"/>
    <w:rsid w:val="00AC6E52"/>
    <w:rsid w:val="00AC7096"/>
    <w:rsid w:val="00AC729C"/>
    <w:rsid w:val="00AC7838"/>
    <w:rsid w:val="00AD3AF5"/>
    <w:rsid w:val="00AD4576"/>
    <w:rsid w:val="00AD634E"/>
    <w:rsid w:val="00AD71D6"/>
    <w:rsid w:val="00AD7B7F"/>
    <w:rsid w:val="00AE018E"/>
    <w:rsid w:val="00AE1E37"/>
    <w:rsid w:val="00AE215A"/>
    <w:rsid w:val="00AE2CA6"/>
    <w:rsid w:val="00AE4632"/>
    <w:rsid w:val="00AE4A9E"/>
    <w:rsid w:val="00AF0DF8"/>
    <w:rsid w:val="00AF0F1D"/>
    <w:rsid w:val="00AF1F55"/>
    <w:rsid w:val="00AF5325"/>
    <w:rsid w:val="00AF5E1F"/>
    <w:rsid w:val="00AF6156"/>
    <w:rsid w:val="00AF79F1"/>
    <w:rsid w:val="00B0142D"/>
    <w:rsid w:val="00B014C8"/>
    <w:rsid w:val="00B01BC1"/>
    <w:rsid w:val="00B02A3C"/>
    <w:rsid w:val="00B02D86"/>
    <w:rsid w:val="00B070CC"/>
    <w:rsid w:val="00B0776B"/>
    <w:rsid w:val="00B11193"/>
    <w:rsid w:val="00B119C7"/>
    <w:rsid w:val="00B11A09"/>
    <w:rsid w:val="00B13906"/>
    <w:rsid w:val="00B13D02"/>
    <w:rsid w:val="00B13E88"/>
    <w:rsid w:val="00B14346"/>
    <w:rsid w:val="00B14694"/>
    <w:rsid w:val="00B14770"/>
    <w:rsid w:val="00B14946"/>
    <w:rsid w:val="00B16052"/>
    <w:rsid w:val="00B162A5"/>
    <w:rsid w:val="00B166C5"/>
    <w:rsid w:val="00B174B8"/>
    <w:rsid w:val="00B17DED"/>
    <w:rsid w:val="00B2219C"/>
    <w:rsid w:val="00B22759"/>
    <w:rsid w:val="00B25081"/>
    <w:rsid w:val="00B25695"/>
    <w:rsid w:val="00B269BE"/>
    <w:rsid w:val="00B26F63"/>
    <w:rsid w:val="00B277E6"/>
    <w:rsid w:val="00B3007D"/>
    <w:rsid w:val="00B3091C"/>
    <w:rsid w:val="00B30F6D"/>
    <w:rsid w:val="00B317BC"/>
    <w:rsid w:val="00B31925"/>
    <w:rsid w:val="00B31A79"/>
    <w:rsid w:val="00B31E1C"/>
    <w:rsid w:val="00B33B46"/>
    <w:rsid w:val="00B35BB3"/>
    <w:rsid w:val="00B410FC"/>
    <w:rsid w:val="00B43080"/>
    <w:rsid w:val="00B430D5"/>
    <w:rsid w:val="00B43DDE"/>
    <w:rsid w:val="00B4466C"/>
    <w:rsid w:val="00B446FA"/>
    <w:rsid w:val="00B44C1B"/>
    <w:rsid w:val="00B44EFE"/>
    <w:rsid w:val="00B450D0"/>
    <w:rsid w:val="00B45292"/>
    <w:rsid w:val="00B459F7"/>
    <w:rsid w:val="00B47D1B"/>
    <w:rsid w:val="00B50A9D"/>
    <w:rsid w:val="00B50F29"/>
    <w:rsid w:val="00B51040"/>
    <w:rsid w:val="00B510CF"/>
    <w:rsid w:val="00B54005"/>
    <w:rsid w:val="00B5409B"/>
    <w:rsid w:val="00B54511"/>
    <w:rsid w:val="00B57E1F"/>
    <w:rsid w:val="00B60004"/>
    <w:rsid w:val="00B613CB"/>
    <w:rsid w:val="00B620A2"/>
    <w:rsid w:val="00B6574A"/>
    <w:rsid w:val="00B66C06"/>
    <w:rsid w:val="00B66E20"/>
    <w:rsid w:val="00B67703"/>
    <w:rsid w:val="00B701A6"/>
    <w:rsid w:val="00B7027D"/>
    <w:rsid w:val="00B70C9A"/>
    <w:rsid w:val="00B71BB1"/>
    <w:rsid w:val="00B721FA"/>
    <w:rsid w:val="00B72D77"/>
    <w:rsid w:val="00B734AF"/>
    <w:rsid w:val="00B739A8"/>
    <w:rsid w:val="00B759C4"/>
    <w:rsid w:val="00B75E8E"/>
    <w:rsid w:val="00B77B8F"/>
    <w:rsid w:val="00B80102"/>
    <w:rsid w:val="00B81BE7"/>
    <w:rsid w:val="00B8248A"/>
    <w:rsid w:val="00B82696"/>
    <w:rsid w:val="00B84DEA"/>
    <w:rsid w:val="00B85BD8"/>
    <w:rsid w:val="00B8694A"/>
    <w:rsid w:val="00B900C9"/>
    <w:rsid w:val="00B91280"/>
    <w:rsid w:val="00B9581F"/>
    <w:rsid w:val="00B958CE"/>
    <w:rsid w:val="00B967F4"/>
    <w:rsid w:val="00B96AE5"/>
    <w:rsid w:val="00B975B9"/>
    <w:rsid w:val="00BA20A2"/>
    <w:rsid w:val="00BA20A3"/>
    <w:rsid w:val="00BA2626"/>
    <w:rsid w:val="00BA2E0F"/>
    <w:rsid w:val="00BA33D2"/>
    <w:rsid w:val="00BA35B7"/>
    <w:rsid w:val="00BA6A71"/>
    <w:rsid w:val="00BA7BCF"/>
    <w:rsid w:val="00BB0D90"/>
    <w:rsid w:val="00BB10AD"/>
    <w:rsid w:val="00BB1268"/>
    <w:rsid w:val="00BB191B"/>
    <w:rsid w:val="00BB2318"/>
    <w:rsid w:val="00BB2DFF"/>
    <w:rsid w:val="00BB35AD"/>
    <w:rsid w:val="00BB3A50"/>
    <w:rsid w:val="00BB3BDA"/>
    <w:rsid w:val="00BB3D5F"/>
    <w:rsid w:val="00BB3FD0"/>
    <w:rsid w:val="00BB68EE"/>
    <w:rsid w:val="00BB6AAE"/>
    <w:rsid w:val="00BB6F33"/>
    <w:rsid w:val="00BB7AEF"/>
    <w:rsid w:val="00BC4649"/>
    <w:rsid w:val="00BC490C"/>
    <w:rsid w:val="00BC6F81"/>
    <w:rsid w:val="00BC777F"/>
    <w:rsid w:val="00BC7E2F"/>
    <w:rsid w:val="00BD051B"/>
    <w:rsid w:val="00BD2654"/>
    <w:rsid w:val="00BD2F7F"/>
    <w:rsid w:val="00BD3109"/>
    <w:rsid w:val="00BD3477"/>
    <w:rsid w:val="00BD3BF2"/>
    <w:rsid w:val="00BD5C77"/>
    <w:rsid w:val="00BE04C5"/>
    <w:rsid w:val="00BE0628"/>
    <w:rsid w:val="00BE1407"/>
    <w:rsid w:val="00BE16B0"/>
    <w:rsid w:val="00BE2DBC"/>
    <w:rsid w:val="00BE37FB"/>
    <w:rsid w:val="00BE402C"/>
    <w:rsid w:val="00BE57A7"/>
    <w:rsid w:val="00BE61D8"/>
    <w:rsid w:val="00BE6F70"/>
    <w:rsid w:val="00BF074E"/>
    <w:rsid w:val="00BF0989"/>
    <w:rsid w:val="00BF191B"/>
    <w:rsid w:val="00BF1CBC"/>
    <w:rsid w:val="00BF40FC"/>
    <w:rsid w:val="00BF51BC"/>
    <w:rsid w:val="00BF59E0"/>
    <w:rsid w:val="00BF5FF3"/>
    <w:rsid w:val="00BF78FC"/>
    <w:rsid w:val="00C0020C"/>
    <w:rsid w:val="00C00618"/>
    <w:rsid w:val="00C00E7D"/>
    <w:rsid w:val="00C00EA2"/>
    <w:rsid w:val="00C015D8"/>
    <w:rsid w:val="00C01F29"/>
    <w:rsid w:val="00C039D7"/>
    <w:rsid w:val="00C04B51"/>
    <w:rsid w:val="00C05329"/>
    <w:rsid w:val="00C0555F"/>
    <w:rsid w:val="00C07176"/>
    <w:rsid w:val="00C07C5B"/>
    <w:rsid w:val="00C107EA"/>
    <w:rsid w:val="00C10B2B"/>
    <w:rsid w:val="00C117ED"/>
    <w:rsid w:val="00C13557"/>
    <w:rsid w:val="00C13E06"/>
    <w:rsid w:val="00C13E47"/>
    <w:rsid w:val="00C16542"/>
    <w:rsid w:val="00C17782"/>
    <w:rsid w:val="00C2038D"/>
    <w:rsid w:val="00C20F35"/>
    <w:rsid w:val="00C221DE"/>
    <w:rsid w:val="00C227E8"/>
    <w:rsid w:val="00C22C33"/>
    <w:rsid w:val="00C23A11"/>
    <w:rsid w:val="00C23B89"/>
    <w:rsid w:val="00C243CC"/>
    <w:rsid w:val="00C2576F"/>
    <w:rsid w:val="00C26832"/>
    <w:rsid w:val="00C276E8"/>
    <w:rsid w:val="00C27D34"/>
    <w:rsid w:val="00C307A1"/>
    <w:rsid w:val="00C30FC0"/>
    <w:rsid w:val="00C31369"/>
    <w:rsid w:val="00C3144E"/>
    <w:rsid w:val="00C31E51"/>
    <w:rsid w:val="00C31FB8"/>
    <w:rsid w:val="00C36EE1"/>
    <w:rsid w:val="00C37BD4"/>
    <w:rsid w:val="00C37D0C"/>
    <w:rsid w:val="00C412B8"/>
    <w:rsid w:val="00C4203F"/>
    <w:rsid w:val="00C4257B"/>
    <w:rsid w:val="00C428BA"/>
    <w:rsid w:val="00C45943"/>
    <w:rsid w:val="00C467B4"/>
    <w:rsid w:val="00C46CE1"/>
    <w:rsid w:val="00C47A96"/>
    <w:rsid w:val="00C47ACF"/>
    <w:rsid w:val="00C47DA5"/>
    <w:rsid w:val="00C505E2"/>
    <w:rsid w:val="00C52325"/>
    <w:rsid w:val="00C5298B"/>
    <w:rsid w:val="00C5377E"/>
    <w:rsid w:val="00C54F42"/>
    <w:rsid w:val="00C55498"/>
    <w:rsid w:val="00C5583B"/>
    <w:rsid w:val="00C6164E"/>
    <w:rsid w:val="00C61C1A"/>
    <w:rsid w:val="00C624BB"/>
    <w:rsid w:val="00C629D1"/>
    <w:rsid w:val="00C64FEC"/>
    <w:rsid w:val="00C6643D"/>
    <w:rsid w:val="00C6714D"/>
    <w:rsid w:val="00C70ACC"/>
    <w:rsid w:val="00C7406F"/>
    <w:rsid w:val="00C74849"/>
    <w:rsid w:val="00C74EAD"/>
    <w:rsid w:val="00C7683B"/>
    <w:rsid w:val="00C76D29"/>
    <w:rsid w:val="00C76E8D"/>
    <w:rsid w:val="00C77BEF"/>
    <w:rsid w:val="00C83818"/>
    <w:rsid w:val="00C865BE"/>
    <w:rsid w:val="00C87DDE"/>
    <w:rsid w:val="00C926BC"/>
    <w:rsid w:val="00C92B15"/>
    <w:rsid w:val="00C93632"/>
    <w:rsid w:val="00C93D62"/>
    <w:rsid w:val="00C93E89"/>
    <w:rsid w:val="00C941A1"/>
    <w:rsid w:val="00C94D0F"/>
    <w:rsid w:val="00C9631A"/>
    <w:rsid w:val="00C97E58"/>
    <w:rsid w:val="00CA2973"/>
    <w:rsid w:val="00CA2BEB"/>
    <w:rsid w:val="00CA47B9"/>
    <w:rsid w:val="00CA49B1"/>
    <w:rsid w:val="00CA5E0B"/>
    <w:rsid w:val="00CA6536"/>
    <w:rsid w:val="00CA719C"/>
    <w:rsid w:val="00CA71ED"/>
    <w:rsid w:val="00CB17AF"/>
    <w:rsid w:val="00CB20C3"/>
    <w:rsid w:val="00CB44CA"/>
    <w:rsid w:val="00CB4962"/>
    <w:rsid w:val="00CB4BC9"/>
    <w:rsid w:val="00CB4D99"/>
    <w:rsid w:val="00CB5948"/>
    <w:rsid w:val="00CB6B0C"/>
    <w:rsid w:val="00CC094A"/>
    <w:rsid w:val="00CC11F2"/>
    <w:rsid w:val="00CC2B53"/>
    <w:rsid w:val="00CC2FD2"/>
    <w:rsid w:val="00CC34C0"/>
    <w:rsid w:val="00CC368C"/>
    <w:rsid w:val="00CC377A"/>
    <w:rsid w:val="00CC44B7"/>
    <w:rsid w:val="00CC451D"/>
    <w:rsid w:val="00CC4701"/>
    <w:rsid w:val="00CC47D1"/>
    <w:rsid w:val="00CC4D0C"/>
    <w:rsid w:val="00CC4E16"/>
    <w:rsid w:val="00CC5C46"/>
    <w:rsid w:val="00CC76CC"/>
    <w:rsid w:val="00CC7A85"/>
    <w:rsid w:val="00CD1E51"/>
    <w:rsid w:val="00CD3409"/>
    <w:rsid w:val="00CD4C7C"/>
    <w:rsid w:val="00CD4E0C"/>
    <w:rsid w:val="00CD5220"/>
    <w:rsid w:val="00CD5723"/>
    <w:rsid w:val="00CD7222"/>
    <w:rsid w:val="00CD78CA"/>
    <w:rsid w:val="00CD7D57"/>
    <w:rsid w:val="00CE2501"/>
    <w:rsid w:val="00CE3AB1"/>
    <w:rsid w:val="00CE3B33"/>
    <w:rsid w:val="00CE4744"/>
    <w:rsid w:val="00CE495B"/>
    <w:rsid w:val="00CE4C93"/>
    <w:rsid w:val="00CE4ED6"/>
    <w:rsid w:val="00CE64B7"/>
    <w:rsid w:val="00CE6FDE"/>
    <w:rsid w:val="00CF170B"/>
    <w:rsid w:val="00CF1E1F"/>
    <w:rsid w:val="00CF2DD2"/>
    <w:rsid w:val="00CF3142"/>
    <w:rsid w:val="00CF3E20"/>
    <w:rsid w:val="00CF6A37"/>
    <w:rsid w:val="00CF6F24"/>
    <w:rsid w:val="00D00EE8"/>
    <w:rsid w:val="00D01BEA"/>
    <w:rsid w:val="00D034ED"/>
    <w:rsid w:val="00D03D18"/>
    <w:rsid w:val="00D04206"/>
    <w:rsid w:val="00D046E2"/>
    <w:rsid w:val="00D04902"/>
    <w:rsid w:val="00D05124"/>
    <w:rsid w:val="00D07E05"/>
    <w:rsid w:val="00D105F6"/>
    <w:rsid w:val="00D10E8E"/>
    <w:rsid w:val="00D11B10"/>
    <w:rsid w:val="00D12E56"/>
    <w:rsid w:val="00D13217"/>
    <w:rsid w:val="00D1336B"/>
    <w:rsid w:val="00D13B29"/>
    <w:rsid w:val="00D14D08"/>
    <w:rsid w:val="00D1594E"/>
    <w:rsid w:val="00D15EAE"/>
    <w:rsid w:val="00D169F2"/>
    <w:rsid w:val="00D17499"/>
    <w:rsid w:val="00D17B77"/>
    <w:rsid w:val="00D2043F"/>
    <w:rsid w:val="00D20B61"/>
    <w:rsid w:val="00D23AEF"/>
    <w:rsid w:val="00D27803"/>
    <w:rsid w:val="00D307F6"/>
    <w:rsid w:val="00D31A5B"/>
    <w:rsid w:val="00D37362"/>
    <w:rsid w:val="00D412F5"/>
    <w:rsid w:val="00D4224B"/>
    <w:rsid w:val="00D44072"/>
    <w:rsid w:val="00D445C3"/>
    <w:rsid w:val="00D45BCC"/>
    <w:rsid w:val="00D51122"/>
    <w:rsid w:val="00D5354C"/>
    <w:rsid w:val="00D538DF"/>
    <w:rsid w:val="00D56677"/>
    <w:rsid w:val="00D566F9"/>
    <w:rsid w:val="00D56995"/>
    <w:rsid w:val="00D56A91"/>
    <w:rsid w:val="00D60D1A"/>
    <w:rsid w:val="00D629FE"/>
    <w:rsid w:val="00D62DC3"/>
    <w:rsid w:val="00D640E9"/>
    <w:rsid w:val="00D640EA"/>
    <w:rsid w:val="00D6416F"/>
    <w:rsid w:val="00D65DDD"/>
    <w:rsid w:val="00D6669F"/>
    <w:rsid w:val="00D66767"/>
    <w:rsid w:val="00D66DF4"/>
    <w:rsid w:val="00D673E4"/>
    <w:rsid w:val="00D72DAD"/>
    <w:rsid w:val="00D73CBA"/>
    <w:rsid w:val="00D753CD"/>
    <w:rsid w:val="00D769E7"/>
    <w:rsid w:val="00D8094E"/>
    <w:rsid w:val="00D812E0"/>
    <w:rsid w:val="00D83CED"/>
    <w:rsid w:val="00D842B9"/>
    <w:rsid w:val="00D85DAF"/>
    <w:rsid w:val="00D8631C"/>
    <w:rsid w:val="00D9026E"/>
    <w:rsid w:val="00D924DE"/>
    <w:rsid w:val="00D93879"/>
    <w:rsid w:val="00D941FF"/>
    <w:rsid w:val="00D948CA"/>
    <w:rsid w:val="00D9496A"/>
    <w:rsid w:val="00D94FD7"/>
    <w:rsid w:val="00D95531"/>
    <w:rsid w:val="00D95919"/>
    <w:rsid w:val="00D962DB"/>
    <w:rsid w:val="00D96841"/>
    <w:rsid w:val="00D97469"/>
    <w:rsid w:val="00DA2A55"/>
    <w:rsid w:val="00DA305E"/>
    <w:rsid w:val="00DA36FC"/>
    <w:rsid w:val="00DA3A94"/>
    <w:rsid w:val="00DA3A9C"/>
    <w:rsid w:val="00DA3F72"/>
    <w:rsid w:val="00DA5226"/>
    <w:rsid w:val="00DA5577"/>
    <w:rsid w:val="00DA6764"/>
    <w:rsid w:val="00DA6B79"/>
    <w:rsid w:val="00DA72DD"/>
    <w:rsid w:val="00DA7C5D"/>
    <w:rsid w:val="00DB170B"/>
    <w:rsid w:val="00DB1733"/>
    <w:rsid w:val="00DB3531"/>
    <w:rsid w:val="00DC002F"/>
    <w:rsid w:val="00DC2687"/>
    <w:rsid w:val="00DC30C5"/>
    <w:rsid w:val="00DC36A2"/>
    <w:rsid w:val="00DC4BEC"/>
    <w:rsid w:val="00DC4E4F"/>
    <w:rsid w:val="00DC6F46"/>
    <w:rsid w:val="00DC7FA1"/>
    <w:rsid w:val="00DD02C8"/>
    <w:rsid w:val="00DD0E0F"/>
    <w:rsid w:val="00DD2FF2"/>
    <w:rsid w:val="00DD440C"/>
    <w:rsid w:val="00DD4925"/>
    <w:rsid w:val="00DD4DA8"/>
    <w:rsid w:val="00DD52B9"/>
    <w:rsid w:val="00DD73AF"/>
    <w:rsid w:val="00DD769A"/>
    <w:rsid w:val="00DE1197"/>
    <w:rsid w:val="00DE3462"/>
    <w:rsid w:val="00DE6746"/>
    <w:rsid w:val="00DE68F1"/>
    <w:rsid w:val="00DE6927"/>
    <w:rsid w:val="00DE6CBB"/>
    <w:rsid w:val="00DE72CF"/>
    <w:rsid w:val="00DE7599"/>
    <w:rsid w:val="00DE788C"/>
    <w:rsid w:val="00DE7AB9"/>
    <w:rsid w:val="00DE7E8C"/>
    <w:rsid w:val="00DF0C6F"/>
    <w:rsid w:val="00DF2C42"/>
    <w:rsid w:val="00DF318E"/>
    <w:rsid w:val="00DF3465"/>
    <w:rsid w:val="00DF3B3F"/>
    <w:rsid w:val="00DF439D"/>
    <w:rsid w:val="00DF4416"/>
    <w:rsid w:val="00DF5F3D"/>
    <w:rsid w:val="00DF628A"/>
    <w:rsid w:val="00DF72B6"/>
    <w:rsid w:val="00DF7D46"/>
    <w:rsid w:val="00E036BC"/>
    <w:rsid w:val="00E046D6"/>
    <w:rsid w:val="00E04705"/>
    <w:rsid w:val="00E0525D"/>
    <w:rsid w:val="00E05E03"/>
    <w:rsid w:val="00E06D58"/>
    <w:rsid w:val="00E070F5"/>
    <w:rsid w:val="00E07251"/>
    <w:rsid w:val="00E072FD"/>
    <w:rsid w:val="00E10211"/>
    <w:rsid w:val="00E10F23"/>
    <w:rsid w:val="00E115E6"/>
    <w:rsid w:val="00E11607"/>
    <w:rsid w:val="00E121C1"/>
    <w:rsid w:val="00E12F67"/>
    <w:rsid w:val="00E1308A"/>
    <w:rsid w:val="00E15711"/>
    <w:rsid w:val="00E15B6D"/>
    <w:rsid w:val="00E15CE6"/>
    <w:rsid w:val="00E15F71"/>
    <w:rsid w:val="00E16F78"/>
    <w:rsid w:val="00E172A7"/>
    <w:rsid w:val="00E200EC"/>
    <w:rsid w:val="00E20CE3"/>
    <w:rsid w:val="00E2205D"/>
    <w:rsid w:val="00E223CD"/>
    <w:rsid w:val="00E23049"/>
    <w:rsid w:val="00E24961"/>
    <w:rsid w:val="00E24A8B"/>
    <w:rsid w:val="00E25DBE"/>
    <w:rsid w:val="00E26574"/>
    <w:rsid w:val="00E270CA"/>
    <w:rsid w:val="00E272D7"/>
    <w:rsid w:val="00E27B67"/>
    <w:rsid w:val="00E301C5"/>
    <w:rsid w:val="00E3108E"/>
    <w:rsid w:val="00E319A2"/>
    <w:rsid w:val="00E31F05"/>
    <w:rsid w:val="00E31FA6"/>
    <w:rsid w:val="00E34747"/>
    <w:rsid w:val="00E34783"/>
    <w:rsid w:val="00E352E0"/>
    <w:rsid w:val="00E3588E"/>
    <w:rsid w:val="00E369D1"/>
    <w:rsid w:val="00E37CFF"/>
    <w:rsid w:val="00E40EC2"/>
    <w:rsid w:val="00E424E9"/>
    <w:rsid w:val="00E4312C"/>
    <w:rsid w:val="00E43A2B"/>
    <w:rsid w:val="00E46196"/>
    <w:rsid w:val="00E4674D"/>
    <w:rsid w:val="00E46E8C"/>
    <w:rsid w:val="00E478A3"/>
    <w:rsid w:val="00E504F1"/>
    <w:rsid w:val="00E50AEA"/>
    <w:rsid w:val="00E51BFD"/>
    <w:rsid w:val="00E52C9D"/>
    <w:rsid w:val="00E533F0"/>
    <w:rsid w:val="00E5393A"/>
    <w:rsid w:val="00E53C6A"/>
    <w:rsid w:val="00E53DE7"/>
    <w:rsid w:val="00E5617F"/>
    <w:rsid w:val="00E56F03"/>
    <w:rsid w:val="00E6068C"/>
    <w:rsid w:val="00E62523"/>
    <w:rsid w:val="00E63437"/>
    <w:rsid w:val="00E64285"/>
    <w:rsid w:val="00E658D8"/>
    <w:rsid w:val="00E660A0"/>
    <w:rsid w:val="00E66A8D"/>
    <w:rsid w:val="00E66EA7"/>
    <w:rsid w:val="00E66FF4"/>
    <w:rsid w:val="00E713F2"/>
    <w:rsid w:val="00E71F21"/>
    <w:rsid w:val="00E72726"/>
    <w:rsid w:val="00E7671A"/>
    <w:rsid w:val="00E77422"/>
    <w:rsid w:val="00E80E9B"/>
    <w:rsid w:val="00E81B7C"/>
    <w:rsid w:val="00E868F5"/>
    <w:rsid w:val="00E86FA3"/>
    <w:rsid w:val="00E87042"/>
    <w:rsid w:val="00E91791"/>
    <w:rsid w:val="00E923D8"/>
    <w:rsid w:val="00E95069"/>
    <w:rsid w:val="00E97E23"/>
    <w:rsid w:val="00EA063A"/>
    <w:rsid w:val="00EA08A6"/>
    <w:rsid w:val="00EA0CD7"/>
    <w:rsid w:val="00EA15E1"/>
    <w:rsid w:val="00EA24E8"/>
    <w:rsid w:val="00EA33BD"/>
    <w:rsid w:val="00EA42E2"/>
    <w:rsid w:val="00EA441D"/>
    <w:rsid w:val="00EB1CB0"/>
    <w:rsid w:val="00EB26E9"/>
    <w:rsid w:val="00EB2C5C"/>
    <w:rsid w:val="00EB33CB"/>
    <w:rsid w:val="00EB355A"/>
    <w:rsid w:val="00EB44BC"/>
    <w:rsid w:val="00EB49B1"/>
    <w:rsid w:val="00EB5B24"/>
    <w:rsid w:val="00EB7B85"/>
    <w:rsid w:val="00EB7DC4"/>
    <w:rsid w:val="00EB7FB9"/>
    <w:rsid w:val="00EC0902"/>
    <w:rsid w:val="00EC12D7"/>
    <w:rsid w:val="00EC2927"/>
    <w:rsid w:val="00EC44CA"/>
    <w:rsid w:val="00EC565E"/>
    <w:rsid w:val="00EC5A62"/>
    <w:rsid w:val="00EC60B0"/>
    <w:rsid w:val="00EC7406"/>
    <w:rsid w:val="00ED035B"/>
    <w:rsid w:val="00ED15CF"/>
    <w:rsid w:val="00ED4AA5"/>
    <w:rsid w:val="00ED54C5"/>
    <w:rsid w:val="00ED6A1A"/>
    <w:rsid w:val="00ED74A5"/>
    <w:rsid w:val="00EE3AD6"/>
    <w:rsid w:val="00EE4A61"/>
    <w:rsid w:val="00EE4AD3"/>
    <w:rsid w:val="00EF06EE"/>
    <w:rsid w:val="00EF34AA"/>
    <w:rsid w:val="00EF4AB2"/>
    <w:rsid w:val="00EF4BAC"/>
    <w:rsid w:val="00EF58FC"/>
    <w:rsid w:val="00EF5C68"/>
    <w:rsid w:val="00EF6283"/>
    <w:rsid w:val="00EF6396"/>
    <w:rsid w:val="00EF6DA8"/>
    <w:rsid w:val="00EF6FA7"/>
    <w:rsid w:val="00EF73A9"/>
    <w:rsid w:val="00EF7425"/>
    <w:rsid w:val="00F00185"/>
    <w:rsid w:val="00F0192F"/>
    <w:rsid w:val="00F0534E"/>
    <w:rsid w:val="00F072DF"/>
    <w:rsid w:val="00F0748D"/>
    <w:rsid w:val="00F10E62"/>
    <w:rsid w:val="00F132A8"/>
    <w:rsid w:val="00F14B77"/>
    <w:rsid w:val="00F1570F"/>
    <w:rsid w:val="00F16338"/>
    <w:rsid w:val="00F164EB"/>
    <w:rsid w:val="00F21323"/>
    <w:rsid w:val="00F22B0C"/>
    <w:rsid w:val="00F2375F"/>
    <w:rsid w:val="00F25360"/>
    <w:rsid w:val="00F256DE"/>
    <w:rsid w:val="00F25F2C"/>
    <w:rsid w:val="00F27F20"/>
    <w:rsid w:val="00F305FC"/>
    <w:rsid w:val="00F311A8"/>
    <w:rsid w:val="00F31314"/>
    <w:rsid w:val="00F33E27"/>
    <w:rsid w:val="00F3402A"/>
    <w:rsid w:val="00F34AE2"/>
    <w:rsid w:val="00F35530"/>
    <w:rsid w:val="00F35F41"/>
    <w:rsid w:val="00F37673"/>
    <w:rsid w:val="00F42B95"/>
    <w:rsid w:val="00F43413"/>
    <w:rsid w:val="00F434EA"/>
    <w:rsid w:val="00F44D35"/>
    <w:rsid w:val="00F45B4B"/>
    <w:rsid w:val="00F46916"/>
    <w:rsid w:val="00F46D88"/>
    <w:rsid w:val="00F50193"/>
    <w:rsid w:val="00F507F7"/>
    <w:rsid w:val="00F5097D"/>
    <w:rsid w:val="00F50A9A"/>
    <w:rsid w:val="00F524D2"/>
    <w:rsid w:val="00F5256D"/>
    <w:rsid w:val="00F5273B"/>
    <w:rsid w:val="00F52C59"/>
    <w:rsid w:val="00F5302D"/>
    <w:rsid w:val="00F53F9A"/>
    <w:rsid w:val="00F54096"/>
    <w:rsid w:val="00F5528C"/>
    <w:rsid w:val="00F5580E"/>
    <w:rsid w:val="00F57D7B"/>
    <w:rsid w:val="00F611B5"/>
    <w:rsid w:val="00F6159B"/>
    <w:rsid w:val="00F61829"/>
    <w:rsid w:val="00F621DA"/>
    <w:rsid w:val="00F627E3"/>
    <w:rsid w:val="00F63D5E"/>
    <w:rsid w:val="00F65E35"/>
    <w:rsid w:val="00F67D36"/>
    <w:rsid w:val="00F70139"/>
    <w:rsid w:val="00F70590"/>
    <w:rsid w:val="00F71237"/>
    <w:rsid w:val="00F717E2"/>
    <w:rsid w:val="00F719F5"/>
    <w:rsid w:val="00F71D1F"/>
    <w:rsid w:val="00F72791"/>
    <w:rsid w:val="00F7286D"/>
    <w:rsid w:val="00F735BA"/>
    <w:rsid w:val="00F73A58"/>
    <w:rsid w:val="00F73A73"/>
    <w:rsid w:val="00F76047"/>
    <w:rsid w:val="00F77454"/>
    <w:rsid w:val="00F77BB0"/>
    <w:rsid w:val="00F801A1"/>
    <w:rsid w:val="00F81E45"/>
    <w:rsid w:val="00F83114"/>
    <w:rsid w:val="00F840DB"/>
    <w:rsid w:val="00F84319"/>
    <w:rsid w:val="00F86281"/>
    <w:rsid w:val="00F8701F"/>
    <w:rsid w:val="00F872E0"/>
    <w:rsid w:val="00F878D3"/>
    <w:rsid w:val="00F87DB8"/>
    <w:rsid w:val="00F9126C"/>
    <w:rsid w:val="00F91C87"/>
    <w:rsid w:val="00F924B5"/>
    <w:rsid w:val="00F928E2"/>
    <w:rsid w:val="00F93F98"/>
    <w:rsid w:val="00F95584"/>
    <w:rsid w:val="00F9567C"/>
    <w:rsid w:val="00F956C3"/>
    <w:rsid w:val="00F96FD3"/>
    <w:rsid w:val="00F97C64"/>
    <w:rsid w:val="00FA145C"/>
    <w:rsid w:val="00FA2C0C"/>
    <w:rsid w:val="00FA3293"/>
    <w:rsid w:val="00FA3BF0"/>
    <w:rsid w:val="00FA4657"/>
    <w:rsid w:val="00FA46E1"/>
    <w:rsid w:val="00FA58C2"/>
    <w:rsid w:val="00FA6B23"/>
    <w:rsid w:val="00FA75E4"/>
    <w:rsid w:val="00FB0627"/>
    <w:rsid w:val="00FB0D55"/>
    <w:rsid w:val="00FB15CD"/>
    <w:rsid w:val="00FB16C1"/>
    <w:rsid w:val="00FB2BBA"/>
    <w:rsid w:val="00FB2BE5"/>
    <w:rsid w:val="00FB2D27"/>
    <w:rsid w:val="00FB2E41"/>
    <w:rsid w:val="00FB39AE"/>
    <w:rsid w:val="00FB5AC7"/>
    <w:rsid w:val="00FB5DA9"/>
    <w:rsid w:val="00FB6814"/>
    <w:rsid w:val="00FB6843"/>
    <w:rsid w:val="00FC0D3B"/>
    <w:rsid w:val="00FC1DAD"/>
    <w:rsid w:val="00FC2371"/>
    <w:rsid w:val="00FC2549"/>
    <w:rsid w:val="00FC2BCE"/>
    <w:rsid w:val="00FC2C61"/>
    <w:rsid w:val="00FC39DF"/>
    <w:rsid w:val="00FC3A48"/>
    <w:rsid w:val="00FC3FBF"/>
    <w:rsid w:val="00FC49B5"/>
    <w:rsid w:val="00FC5BDB"/>
    <w:rsid w:val="00FC7883"/>
    <w:rsid w:val="00FC7BE9"/>
    <w:rsid w:val="00FD0520"/>
    <w:rsid w:val="00FD0F0B"/>
    <w:rsid w:val="00FD289A"/>
    <w:rsid w:val="00FD4E02"/>
    <w:rsid w:val="00FD5055"/>
    <w:rsid w:val="00FE1F18"/>
    <w:rsid w:val="00FE3544"/>
    <w:rsid w:val="00FE535F"/>
    <w:rsid w:val="00FE6155"/>
    <w:rsid w:val="00FF01D8"/>
    <w:rsid w:val="00FF02F6"/>
    <w:rsid w:val="00FF0632"/>
    <w:rsid w:val="00FF1048"/>
    <w:rsid w:val="00FF2304"/>
    <w:rsid w:val="00FF23DD"/>
    <w:rsid w:val="00FF2E5C"/>
    <w:rsid w:val="00FF42D6"/>
    <w:rsid w:val="00FF4E55"/>
    <w:rsid w:val="00FF6A5E"/>
    <w:rsid w:val="00FF704E"/>
    <w:rsid w:val="012D25A3"/>
    <w:rsid w:val="016A020F"/>
    <w:rsid w:val="017E6B90"/>
    <w:rsid w:val="018A11E8"/>
    <w:rsid w:val="01A823C9"/>
    <w:rsid w:val="01B11439"/>
    <w:rsid w:val="01D61587"/>
    <w:rsid w:val="01EF5FAC"/>
    <w:rsid w:val="020147CB"/>
    <w:rsid w:val="0216528A"/>
    <w:rsid w:val="0233587E"/>
    <w:rsid w:val="02497299"/>
    <w:rsid w:val="025739FF"/>
    <w:rsid w:val="02585075"/>
    <w:rsid w:val="029C36C5"/>
    <w:rsid w:val="032C77F2"/>
    <w:rsid w:val="032D145F"/>
    <w:rsid w:val="033B783D"/>
    <w:rsid w:val="0361780C"/>
    <w:rsid w:val="038414B8"/>
    <w:rsid w:val="03867FCE"/>
    <w:rsid w:val="03CB6D30"/>
    <w:rsid w:val="03D32396"/>
    <w:rsid w:val="040A519D"/>
    <w:rsid w:val="041F42CA"/>
    <w:rsid w:val="04322A88"/>
    <w:rsid w:val="046C0CDA"/>
    <w:rsid w:val="0494048A"/>
    <w:rsid w:val="049726F2"/>
    <w:rsid w:val="04CD69B0"/>
    <w:rsid w:val="04DC3DEF"/>
    <w:rsid w:val="04E41B48"/>
    <w:rsid w:val="05066D46"/>
    <w:rsid w:val="052C6BC1"/>
    <w:rsid w:val="053C5461"/>
    <w:rsid w:val="054B2562"/>
    <w:rsid w:val="05A32D14"/>
    <w:rsid w:val="05BA6EF5"/>
    <w:rsid w:val="05D054BE"/>
    <w:rsid w:val="05DB4947"/>
    <w:rsid w:val="05ED5FD6"/>
    <w:rsid w:val="05FE73D1"/>
    <w:rsid w:val="061C7C3F"/>
    <w:rsid w:val="061D4AE9"/>
    <w:rsid w:val="062C51A3"/>
    <w:rsid w:val="06563FCE"/>
    <w:rsid w:val="06C60141"/>
    <w:rsid w:val="06E90964"/>
    <w:rsid w:val="070B227A"/>
    <w:rsid w:val="073B729A"/>
    <w:rsid w:val="0752096A"/>
    <w:rsid w:val="076261B9"/>
    <w:rsid w:val="077C7A64"/>
    <w:rsid w:val="0791360C"/>
    <w:rsid w:val="07FC7F5A"/>
    <w:rsid w:val="08396E4C"/>
    <w:rsid w:val="0847749B"/>
    <w:rsid w:val="08496E52"/>
    <w:rsid w:val="08512C9F"/>
    <w:rsid w:val="086228E4"/>
    <w:rsid w:val="088F1B60"/>
    <w:rsid w:val="08AF4C34"/>
    <w:rsid w:val="08B90298"/>
    <w:rsid w:val="08E8658C"/>
    <w:rsid w:val="09390FDF"/>
    <w:rsid w:val="095F1505"/>
    <w:rsid w:val="097878FC"/>
    <w:rsid w:val="09AF0221"/>
    <w:rsid w:val="09FE6025"/>
    <w:rsid w:val="0A4D0BBB"/>
    <w:rsid w:val="0A6F7642"/>
    <w:rsid w:val="0AA54417"/>
    <w:rsid w:val="0AC230A3"/>
    <w:rsid w:val="0B2C62BB"/>
    <w:rsid w:val="0B3941F2"/>
    <w:rsid w:val="0B7A69B0"/>
    <w:rsid w:val="0C0127AB"/>
    <w:rsid w:val="0C0606D2"/>
    <w:rsid w:val="0C0B13B7"/>
    <w:rsid w:val="0C1E3943"/>
    <w:rsid w:val="0C213257"/>
    <w:rsid w:val="0C807FF6"/>
    <w:rsid w:val="0CAE4FB2"/>
    <w:rsid w:val="0CBF363E"/>
    <w:rsid w:val="0CD91C42"/>
    <w:rsid w:val="0D1F3B5A"/>
    <w:rsid w:val="0D497F8F"/>
    <w:rsid w:val="0D642221"/>
    <w:rsid w:val="0D8E6743"/>
    <w:rsid w:val="0DCD49A0"/>
    <w:rsid w:val="0DD95C10"/>
    <w:rsid w:val="0DE42AAE"/>
    <w:rsid w:val="0E021C8E"/>
    <w:rsid w:val="0E2549F2"/>
    <w:rsid w:val="0E3113F9"/>
    <w:rsid w:val="0E3E1313"/>
    <w:rsid w:val="0E416CD7"/>
    <w:rsid w:val="0E7F3138"/>
    <w:rsid w:val="0F292D96"/>
    <w:rsid w:val="0F7F3DA4"/>
    <w:rsid w:val="0FA71D21"/>
    <w:rsid w:val="0FB31475"/>
    <w:rsid w:val="0FD17DEA"/>
    <w:rsid w:val="0FE82021"/>
    <w:rsid w:val="0FEA7E35"/>
    <w:rsid w:val="0FF30ADF"/>
    <w:rsid w:val="100607AE"/>
    <w:rsid w:val="10222360"/>
    <w:rsid w:val="104A13F2"/>
    <w:rsid w:val="1055631D"/>
    <w:rsid w:val="10600186"/>
    <w:rsid w:val="10644022"/>
    <w:rsid w:val="106A38DA"/>
    <w:rsid w:val="107846A3"/>
    <w:rsid w:val="1082110C"/>
    <w:rsid w:val="10877C4B"/>
    <w:rsid w:val="10C407E6"/>
    <w:rsid w:val="10E8509C"/>
    <w:rsid w:val="10F45798"/>
    <w:rsid w:val="10FD0B54"/>
    <w:rsid w:val="112909E1"/>
    <w:rsid w:val="112B22C9"/>
    <w:rsid w:val="115D2C74"/>
    <w:rsid w:val="116129AE"/>
    <w:rsid w:val="11753C00"/>
    <w:rsid w:val="117E6BE0"/>
    <w:rsid w:val="11875983"/>
    <w:rsid w:val="11B20AFD"/>
    <w:rsid w:val="11FB1280"/>
    <w:rsid w:val="120C0CA8"/>
    <w:rsid w:val="12846283"/>
    <w:rsid w:val="129B6893"/>
    <w:rsid w:val="12E47287"/>
    <w:rsid w:val="13001B29"/>
    <w:rsid w:val="131F0BDA"/>
    <w:rsid w:val="132535FE"/>
    <w:rsid w:val="13350870"/>
    <w:rsid w:val="134506D8"/>
    <w:rsid w:val="135B0E75"/>
    <w:rsid w:val="13823D1C"/>
    <w:rsid w:val="13A6407E"/>
    <w:rsid w:val="13A9544F"/>
    <w:rsid w:val="13BF5C2E"/>
    <w:rsid w:val="13C20EF5"/>
    <w:rsid w:val="13DE21BF"/>
    <w:rsid w:val="13E175A8"/>
    <w:rsid w:val="13EF413A"/>
    <w:rsid w:val="140A3598"/>
    <w:rsid w:val="141E334D"/>
    <w:rsid w:val="14266027"/>
    <w:rsid w:val="143F6C0E"/>
    <w:rsid w:val="144C2409"/>
    <w:rsid w:val="145B66AA"/>
    <w:rsid w:val="145E3302"/>
    <w:rsid w:val="148B696C"/>
    <w:rsid w:val="149D65CA"/>
    <w:rsid w:val="14A60E12"/>
    <w:rsid w:val="14F2063F"/>
    <w:rsid w:val="1530331E"/>
    <w:rsid w:val="155D0CD6"/>
    <w:rsid w:val="15647D7F"/>
    <w:rsid w:val="159F4497"/>
    <w:rsid w:val="15A736AB"/>
    <w:rsid w:val="15FA4321"/>
    <w:rsid w:val="15FA6724"/>
    <w:rsid w:val="161C0BC9"/>
    <w:rsid w:val="163877E7"/>
    <w:rsid w:val="166F5085"/>
    <w:rsid w:val="16750E7C"/>
    <w:rsid w:val="1676739A"/>
    <w:rsid w:val="16AE2088"/>
    <w:rsid w:val="16B34E73"/>
    <w:rsid w:val="16C97C84"/>
    <w:rsid w:val="1709062A"/>
    <w:rsid w:val="17360BDA"/>
    <w:rsid w:val="173B0F3E"/>
    <w:rsid w:val="174A4171"/>
    <w:rsid w:val="1753607B"/>
    <w:rsid w:val="17804D68"/>
    <w:rsid w:val="1793206D"/>
    <w:rsid w:val="17957995"/>
    <w:rsid w:val="1796247C"/>
    <w:rsid w:val="17AF5876"/>
    <w:rsid w:val="17FE514D"/>
    <w:rsid w:val="18033728"/>
    <w:rsid w:val="182E2AD4"/>
    <w:rsid w:val="1876405C"/>
    <w:rsid w:val="18842556"/>
    <w:rsid w:val="18CB45AA"/>
    <w:rsid w:val="192424BB"/>
    <w:rsid w:val="1987566D"/>
    <w:rsid w:val="198B05A7"/>
    <w:rsid w:val="19DB4ABE"/>
    <w:rsid w:val="19E41BC5"/>
    <w:rsid w:val="19EE60A9"/>
    <w:rsid w:val="1A0F12F5"/>
    <w:rsid w:val="1A307936"/>
    <w:rsid w:val="1A924835"/>
    <w:rsid w:val="1AAB36EC"/>
    <w:rsid w:val="1AC61EAE"/>
    <w:rsid w:val="1AC82C7D"/>
    <w:rsid w:val="1AF22AF2"/>
    <w:rsid w:val="1B706358"/>
    <w:rsid w:val="1B776774"/>
    <w:rsid w:val="1B987A5E"/>
    <w:rsid w:val="1BEB02BE"/>
    <w:rsid w:val="1BF71096"/>
    <w:rsid w:val="1C06397C"/>
    <w:rsid w:val="1C0A13C5"/>
    <w:rsid w:val="1C3B1F24"/>
    <w:rsid w:val="1C491C90"/>
    <w:rsid w:val="1C5B3C94"/>
    <w:rsid w:val="1CA94C67"/>
    <w:rsid w:val="1CF8135B"/>
    <w:rsid w:val="1D2A60DE"/>
    <w:rsid w:val="1D2B7B0B"/>
    <w:rsid w:val="1D2C0B05"/>
    <w:rsid w:val="1D6F6A38"/>
    <w:rsid w:val="1D993022"/>
    <w:rsid w:val="1DA358F3"/>
    <w:rsid w:val="1E0B5CF7"/>
    <w:rsid w:val="1E437CF6"/>
    <w:rsid w:val="1E9C2BCE"/>
    <w:rsid w:val="1EA618CF"/>
    <w:rsid w:val="1EF168FB"/>
    <w:rsid w:val="1F007BF1"/>
    <w:rsid w:val="1F0C04BF"/>
    <w:rsid w:val="1F110D4B"/>
    <w:rsid w:val="1F5B2374"/>
    <w:rsid w:val="1F900B96"/>
    <w:rsid w:val="200D3549"/>
    <w:rsid w:val="20167C07"/>
    <w:rsid w:val="202F07DB"/>
    <w:rsid w:val="203733BA"/>
    <w:rsid w:val="20597839"/>
    <w:rsid w:val="205B4E3E"/>
    <w:rsid w:val="2073513D"/>
    <w:rsid w:val="20DC5983"/>
    <w:rsid w:val="20F02C46"/>
    <w:rsid w:val="20F442CC"/>
    <w:rsid w:val="20FC641B"/>
    <w:rsid w:val="21231166"/>
    <w:rsid w:val="22264726"/>
    <w:rsid w:val="22DB7C75"/>
    <w:rsid w:val="22F06D1E"/>
    <w:rsid w:val="235B70B7"/>
    <w:rsid w:val="236E69A3"/>
    <w:rsid w:val="239E7A77"/>
    <w:rsid w:val="23B9503A"/>
    <w:rsid w:val="24487EC4"/>
    <w:rsid w:val="248879DF"/>
    <w:rsid w:val="24A064AF"/>
    <w:rsid w:val="24A878B5"/>
    <w:rsid w:val="24B27719"/>
    <w:rsid w:val="24B403E6"/>
    <w:rsid w:val="24F05E5A"/>
    <w:rsid w:val="24FA70AE"/>
    <w:rsid w:val="24FB3B14"/>
    <w:rsid w:val="250F43AC"/>
    <w:rsid w:val="2514050A"/>
    <w:rsid w:val="2516566D"/>
    <w:rsid w:val="25902E56"/>
    <w:rsid w:val="25987AAC"/>
    <w:rsid w:val="25AE1012"/>
    <w:rsid w:val="25FA451E"/>
    <w:rsid w:val="26212E3C"/>
    <w:rsid w:val="26316CED"/>
    <w:rsid w:val="26466A00"/>
    <w:rsid w:val="26810DCE"/>
    <w:rsid w:val="26966F02"/>
    <w:rsid w:val="26B43EDE"/>
    <w:rsid w:val="26C3207B"/>
    <w:rsid w:val="26C63F75"/>
    <w:rsid w:val="26FA3D09"/>
    <w:rsid w:val="273D3759"/>
    <w:rsid w:val="276A7481"/>
    <w:rsid w:val="27B614DB"/>
    <w:rsid w:val="27C8658C"/>
    <w:rsid w:val="27DE7716"/>
    <w:rsid w:val="27EC7E96"/>
    <w:rsid w:val="282E04AF"/>
    <w:rsid w:val="284005DC"/>
    <w:rsid w:val="28853B49"/>
    <w:rsid w:val="28D66BCD"/>
    <w:rsid w:val="28E007C5"/>
    <w:rsid w:val="290D4568"/>
    <w:rsid w:val="29314D5B"/>
    <w:rsid w:val="294969DF"/>
    <w:rsid w:val="29657F00"/>
    <w:rsid w:val="29904630"/>
    <w:rsid w:val="29AC1FD3"/>
    <w:rsid w:val="29B4113F"/>
    <w:rsid w:val="29DB39DD"/>
    <w:rsid w:val="29DE00B4"/>
    <w:rsid w:val="29DF2D39"/>
    <w:rsid w:val="2A19105E"/>
    <w:rsid w:val="2A1C2B11"/>
    <w:rsid w:val="2A1D2AC0"/>
    <w:rsid w:val="2A3A48CB"/>
    <w:rsid w:val="2A512846"/>
    <w:rsid w:val="2A5500E1"/>
    <w:rsid w:val="2A67146E"/>
    <w:rsid w:val="2A6D6C82"/>
    <w:rsid w:val="2AE42C12"/>
    <w:rsid w:val="2B071DB2"/>
    <w:rsid w:val="2B117D89"/>
    <w:rsid w:val="2B665D19"/>
    <w:rsid w:val="2BDC02A3"/>
    <w:rsid w:val="2BEF13AB"/>
    <w:rsid w:val="2C3E00B8"/>
    <w:rsid w:val="2C571ECB"/>
    <w:rsid w:val="2C6923AB"/>
    <w:rsid w:val="2C8E5571"/>
    <w:rsid w:val="2CFF6D61"/>
    <w:rsid w:val="2D2602F1"/>
    <w:rsid w:val="2D2C210C"/>
    <w:rsid w:val="2D4D4B27"/>
    <w:rsid w:val="2D9C2156"/>
    <w:rsid w:val="2DA86264"/>
    <w:rsid w:val="2DAE0DE1"/>
    <w:rsid w:val="2DBC6D71"/>
    <w:rsid w:val="2DDC7A91"/>
    <w:rsid w:val="2E5A73F4"/>
    <w:rsid w:val="2E802EAD"/>
    <w:rsid w:val="2EEF310E"/>
    <w:rsid w:val="2EF2444D"/>
    <w:rsid w:val="2EFE4330"/>
    <w:rsid w:val="2EFF54CE"/>
    <w:rsid w:val="2F422EDC"/>
    <w:rsid w:val="2F6445BE"/>
    <w:rsid w:val="2F966F61"/>
    <w:rsid w:val="2FAA27A4"/>
    <w:rsid w:val="2FB22C56"/>
    <w:rsid w:val="2FE01CA1"/>
    <w:rsid w:val="315D41A7"/>
    <w:rsid w:val="31AA1E4A"/>
    <w:rsid w:val="31B238EB"/>
    <w:rsid w:val="324B0FD8"/>
    <w:rsid w:val="32520856"/>
    <w:rsid w:val="32744FAD"/>
    <w:rsid w:val="328C7764"/>
    <w:rsid w:val="32AD13F0"/>
    <w:rsid w:val="32B45746"/>
    <w:rsid w:val="32E23BD8"/>
    <w:rsid w:val="33151108"/>
    <w:rsid w:val="3342620F"/>
    <w:rsid w:val="336D5834"/>
    <w:rsid w:val="3374321B"/>
    <w:rsid w:val="337633C3"/>
    <w:rsid w:val="33863895"/>
    <w:rsid w:val="33DC0308"/>
    <w:rsid w:val="34256591"/>
    <w:rsid w:val="3428494C"/>
    <w:rsid w:val="3447724E"/>
    <w:rsid w:val="3458797F"/>
    <w:rsid w:val="34626426"/>
    <w:rsid w:val="346F32D7"/>
    <w:rsid w:val="352D0407"/>
    <w:rsid w:val="356E45E1"/>
    <w:rsid w:val="35AB09B6"/>
    <w:rsid w:val="35E854F0"/>
    <w:rsid w:val="35E87747"/>
    <w:rsid w:val="3613083F"/>
    <w:rsid w:val="36C36FBB"/>
    <w:rsid w:val="36FD663C"/>
    <w:rsid w:val="37210D77"/>
    <w:rsid w:val="375D0B2C"/>
    <w:rsid w:val="37B52F96"/>
    <w:rsid w:val="37BB3EA1"/>
    <w:rsid w:val="3813438B"/>
    <w:rsid w:val="383A0A43"/>
    <w:rsid w:val="383B0801"/>
    <w:rsid w:val="38EA6DC3"/>
    <w:rsid w:val="38F1355F"/>
    <w:rsid w:val="3932206D"/>
    <w:rsid w:val="39340B24"/>
    <w:rsid w:val="397076CC"/>
    <w:rsid w:val="397C7762"/>
    <w:rsid w:val="39EF5690"/>
    <w:rsid w:val="39EF7005"/>
    <w:rsid w:val="39FA4695"/>
    <w:rsid w:val="3A266928"/>
    <w:rsid w:val="3A2F05F2"/>
    <w:rsid w:val="3A4A71D8"/>
    <w:rsid w:val="3A6E0B65"/>
    <w:rsid w:val="3A7C10EC"/>
    <w:rsid w:val="3A874E61"/>
    <w:rsid w:val="3A932B06"/>
    <w:rsid w:val="3A9C1118"/>
    <w:rsid w:val="3ADE24C5"/>
    <w:rsid w:val="3AE775D7"/>
    <w:rsid w:val="3AE86FE8"/>
    <w:rsid w:val="3AE90696"/>
    <w:rsid w:val="3B0F132E"/>
    <w:rsid w:val="3B176FF3"/>
    <w:rsid w:val="3B4C0D37"/>
    <w:rsid w:val="3B752516"/>
    <w:rsid w:val="3B75529D"/>
    <w:rsid w:val="3B755984"/>
    <w:rsid w:val="3B755A7B"/>
    <w:rsid w:val="3B763700"/>
    <w:rsid w:val="3BA829ED"/>
    <w:rsid w:val="3BE0667C"/>
    <w:rsid w:val="3BF35840"/>
    <w:rsid w:val="3C2D5D6F"/>
    <w:rsid w:val="3C4036D7"/>
    <w:rsid w:val="3CAD3FAE"/>
    <w:rsid w:val="3CC12CA4"/>
    <w:rsid w:val="3CC23184"/>
    <w:rsid w:val="3D0A79C7"/>
    <w:rsid w:val="3D2B4387"/>
    <w:rsid w:val="3D671E4F"/>
    <w:rsid w:val="3D9A71D9"/>
    <w:rsid w:val="3DAE4E12"/>
    <w:rsid w:val="3DB14A2F"/>
    <w:rsid w:val="3DDC1999"/>
    <w:rsid w:val="3E011997"/>
    <w:rsid w:val="3E122A1B"/>
    <w:rsid w:val="3E4A7DDA"/>
    <w:rsid w:val="3E584C29"/>
    <w:rsid w:val="3E594D65"/>
    <w:rsid w:val="3EB34B50"/>
    <w:rsid w:val="3ED55393"/>
    <w:rsid w:val="3EE01ABF"/>
    <w:rsid w:val="3F7029F6"/>
    <w:rsid w:val="3F812CA8"/>
    <w:rsid w:val="3FD01DA3"/>
    <w:rsid w:val="3FE7337D"/>
    <w:rsid w:val="40115974"/>
    <w:rsid w:val="40154449"/>
    <w:rsid w:val="4016776A"/>
    <w:rsid w:val="40364C61"/>
    <w:rsid w:val="40636B96"/>
    <w:rsid w:val="406E1ADD"/>
    <w:rsid w:val="40885F51"/>
    <w:rsid w:val="40E130AB"/>
    <w:rsid w:val="411031CD"/>
    <w:rsid w:val="41864FF3"/>
    <w:rsid w:val="41A24B1A"/>
    <w:rsid w:val="41AF098C"/>
    <w:rsid w:val="41E2613A"/>
    <w:rsid w:val="41E3347D"/>
    <w:rsid w:val="41E5258D"/>
    <w:rsid w:val="420C2BCC"/>
    <w:rsid w:val="42173723"/>
    <w:rsid w:val="423258A2"/>
    <w:rsid w:val="425B1C74"/>
    <w:rsid w:val="42827DB7"/>
    <w:rsid w:val="42CA61BF"/>
    <w:rsid w:val="43196618"/>
    <w:rsid w:val="431D1023"/>
    <w:rsid w:val="433429C6"/>
    <w:rsid w:val="43BA6579"/>
    <w:rsid w:val="43EA5CDB"/>
    <w:rsid w:val="43FC7DD2"/>
    <w:rsid w:val="44275FD8"/>
    <w:rsid w:val="44295D2B"/>
    <w:rsid w:val="4435582D"/>
    <w:rsid w:val="44693343"/>
    <w:rsid w:val="44952C3C"/>
    <w:rsid w:val="44E8157B"/>
    <w:rsid w:val="45046C3F"/>
    <w:rsid w:val="450D4ABB"/>
    <w:rsid w:val="452D0A98"/>
    <w:rsid w:val="452E13B7"/>
    <w:rsid w:val="45327DE5"/>
    <w:rsid w:val="45554830"/>
    <w:rsid w:val="45613E28"/>
    <w:rsid w:val="458A46DB"/>
    <w:rsid w:val="458D464E"/>
    <w:rsid w:val="45933C44"/>
    <w:rsid w:val="46072613"/>
    <w:rsid w:val="462C5C2A"/>
    <w:rsid w:val="464767BB"/>
    <w:rsid w:val="468F312C"/>
    <w:rsid w:val="46DD105A"/>
    <w:rsid w:val="47A34522"/>
    <w:rsid w:val="47C20F9C"/>
    <w:rsid w:val="47DC1D5E"/>
    <w:rsid w:val="47EB2510"/>
    <w:rsid w:val="480D1A37"/>
    <w:rsid w:val="48C233D6"/>
    <w:rsid w:val="49296D55"/>
    <w:rsid w:val="4941408E"/>
    <w:rsid w:val="49F64E79"/>
    <w:rsid w:val="49FD10D3"/>
    <w:rsid w:val="4A3C3AEA"/>
    <w:rsid w:val="4A726344"/>
    <w:rsid w:val="4A845D77"/>
    <w:rsid w:val="4AFF7A55"/>
    <w:rsid w:val="4B134C4B"/>
    <w:rsid w:val="4B180924"/>
    <w:rsid w:val="4B20587A"/>
    <w:rsid w:val="4BA32BF6"/>
    <w:rsid w:val="4BD703BB"/>
    <w:rsid w:val="4BD96CE2"/>
    <w:rsid w:val="4BF45941"/>
    <w:rsid w:val="4BF9482E"/>
    <w:rsid w:val="4C4D334B"/>
    <w:rsid w:val="4C562D26"/>
    <w:rsid w:val="4C797D88"/>
    <w:rsid w:val="4CA31F0F"/>
    <w:rsid w:val="4CC45DC3"/>
    <w:rsid w:val="4CCD4B19"/>
    <w:rsid w:val="4CCE4818"/>
    <w:rsid w:val="4D242447"/>
    <w:rsid w:val="4D432AB3"/>
    <w:rsid w:val="4D950505"/>
    <w:rsid w:val="4DA66A25"/>
    <w:rsid w:val="4DBE30E2"/>
    <w:rsid w:val="4E191136"/>
    <w:rsid w:val="4E3B6A4A"/>
    <w:rsid w:val="4E5053B2"/>
    <w:rsid w:val="4E7C3E0F"/>
    <w:rsid w:val="4EA13CB4"/>
    <w:rsid w:val="4EAE7848"/>
    <w:rsid w:val="4EBC5CD6"/>
    <w:rsid w:val="4EDE6657"/>
    <w:rsid w:val="4F0247D2"/>
    <w:rsid w:val="4F091204"/>
    <w:rsid w:val="4F0A24F9"/>
    <w:rsid w:val="4F0E056F"/>
    <w:rsid w:val="4F5D18E9"/>
    <w:rsid w:val="4F6C1739"/>
    <w:rsid w:val="4F8F78B4"/>
    <w:rsid w:val="4F9A37AA"/>
    <w:rsid w:val="4FD11467"/>
    <w:rsid w:val="4FFC3E9F"/>
    <w:rsid w:val="503C50D3"/>
    <w:rsid w:val="508364EB"/>
    <w:rsid w:val="509530D6"/>
    <w:rsid w:val="50E7658D"/>
    <w:rsid w:val="50FD23B2"/>
    <w:rsid w:val="51316796"/>
    <w:rsid w:val="515C4E67"/>
    <w:rsid w:val="51AB50F9"/>
    <w:rsid w:val="51CD143A"/>
    <w:rsid w:val="51F56438"/>
    <w:rsid w:val="520D406F"/>
    <w:rsid w:val="524B2379"/>
    <w:rsid w:val="526127EA"/>
    <w:rsid w:val="529C51CC"/>
    <w:rsid w:val="52A43044"/>
    <w:rsid w:val="52BE2BDA"/>
    <w:rsid w:val="52FF2013"/>
    <w:rsid w:val="533320F0"/>
    <w:rsid w:val="53637179"/>
    <w:rsid w:val="536D0AB0"/>
    <w:rsid w:val="537C1A5E"/>
    <w:rsid w:val="53A4072A"/>
    <w:rsid w:val="53B71A3A"/>
    <w:rsid w:val="53BE72C7"/>
    <w:rsid w:val="53D445F1"/>
    <w:rsid w:val="53EB5428"/>
    <w:rsid w:val="54190675"/>
    <w:rsid w:val="54205D7B"/>
    <w:rsid w:val="54231683"/>
    <w:rsid w:val="54265B09"/>
    <w:rsid w:val="542D13A5"/>
    <w:rsid w:val="54607180"/>
    <w:rsid w:val="547675E5"/>
    <w:rsid w:val="54A63492"/>
    <w:rsid w:val="54E020BD"/>
    <w:rsid w:val="54FA264E"/>
    <w:rsid w:val="54FE72D7"/>
    <w:rsid w:val="550560B2"/>
    <w:rsid w:val="55143B5D"/>
    <w:rsid w:val="554155D2"/>
    <w:rsid w:val="55581882"/>
    <w:rsid w:val="557610F2"/>
    <w:rsid w:val="558B324D"/>
    <w:rsid w:val="55E252A6"/>
    <w:rsid w:val="55F65776"/>
    <w:rsid w:val="56226FF5"/>
    <w:rsid w:val="5652760E"/>
    <w:rsid w:val="567A3133"/>
    <w:rsid w:val="569C24C8"/>
    <w:rsid w:val="56A74AB6"/>
    <w:rsid w:val="56AB55B0"/>
    <w:rsid w:val="56B525EA"/>
    <w:rsid w:val="56E53F4F"/>
    <w:rsid w:val="56F95FA8"/>
    <w:rsid w:val="57325EBA"/>
    <w:rsid w:val="5762750B"/>
    <w:rsid w:val="577C2E20"/>
    <w:rsid w:val="58164938"/>
    <w:rsid w:val="58232A2B"/>
    <w:rsid w:val="58382B17"/>
    <w:rsid w:val="58474BE4"/>
    <w:rsid w:val="58687BDB"/>
    <w:rsid w:val="58BE7925"/>
    <w:rsid w:val="58C61C2B"/>
    <w:rsid w:val="58F13FE6"/>
    <w:rsid w:val="59150CD4"/>
    <w:rsid w:val="591B3BC8"/>
    <w:rsid w:val="591E75D8"/>
    <w:rsid w:val="594159E5"/>
    <w:rsid w:val="59507D05"/>
    <w:rsid w:val="595329DD"/>
    <w:rsid w:val="59555CAB"/>
    <w:rsid w:val="596A75F9"/>
    <w:rsid w:val="596E65C7"/>
    <w:rsid w:val="5980676F"/>
    <w:rsid w:val="598F641B"/>
    <w:rsid w:val="59AC4F57"/>
    <w:rsid w:val="59D00826"/>
    <w:rsid w:val="5A185B19"/>
    <w:rsid w:val="5A291F2C"/>
    <w:rsid w:val="5A4C7B18"/>
    <w:rsid w:val="5AB26FFC"/>
    <w:rsid w:val="5ACB3149"/>
    <w:rsid w:val="5ADB6FD6"/>
    <w:rsid w:val="5B67265A"/>
    <w:rsid w:val="5B796EBA"/>
    <w:rsid w:val="5B7B4EE0"/>
    <w:rsid w:val="5B7C13D1"/>
    <w:rsid w:val="5BAF4E87"/>
    <w:rsid w:val="5BC70E5C"/>
    <w:rsid w:val="5BED7E61"/>
    <w:rsid w:val="5BF528CE"/>
    <w:rsid w:val="5C454FB1"/>
    <w:rsid w:val="5C5A07FE"/>
    <w:rsid w:val="5C7C0070"/>
    <w:rsid w:val="5C9016DC"/>
    <w:rsid w:val="5CB470CD"/>
    <w:rsid w:val="5CEB6393"/>
    <w:rsid w:val="5D4D01F1"/>
    <w:rsid w:val="5DDF46BC"/>
    <w:rsid w:val="5DE0761F"/>
    <w:rsid w:val="5E0D1DDB"/>
    <w:rsid w:val="5E115AD7"/>
    <w:rsid w:val="5E486D68"/>
    <w:rsid w:val="5E907A22"/>
    <w:rsid w:val="5EFC53E4"/>
    <w:rsid w:val="5F0C439F"/>
    <w:rsid w:val="5F1708DB"/>
    <w:rsid w:val="5F524A8A"/>
    <w:rsid w:val="5F997B14"/>
    <w:rsid w:val="60074447"/>
    <w:rsid w:val="601C6E82"/>
    <w:rsid w:val="601D4D19"/>
    <w:rsid w:val="60377012"/>
    <w:rsid w:val="60C90799"/>
    <w:rsid w:val="60D95F0A"/>
    <w:rsid w:val="60DD1625"/>
    <w:rsid w:val="60F35816"/>
    <w:rsid w:val="61493930"/>
    <w:rsid w:val="61801BA5"/>
    <w:rsid w:val="61A91493"/>
    <w:rsid w:val="61AD365B"/>
    <w:rsid w:val="61F45CEA"/>
    <w:rsid w:val="61F919F3"/>
    <w:rsid w:val="6202525B"/>
    <w:rsid w:val="621E22DD"/>
    <w:rsid w:val="626070FD"/>
    <w:rsid w:val="626521FF"/>
    <w:rsid w:val="626D637B"/>
    <w:rsid w:val="62B55AE7"/>
    <w:rsid w:val="63336F33"/>
    <w:rsid w:val="63343EC4"/>
    <w:rsid w:val="633F2D16"/>
    <w:rsid w:val="63660076"/>
    <w:rsid w:val="638F19CE"/>
    <w:rsid w:val="63A12567"/>
    <w:rsid w:val="63C611B2"/>
    <w:rsid w:val="63FE3271"/>
    <w:rsid w:val="642A28C1"/>
    <w:rsid w:val="64390E93"/>
    <w:rsid w:val="64816A3D"/>
    <w:rsid w:val="64877B87"/>
    <w:rsid w:val="64C94824"/>
    <w:rsid w:val="64D6623F"/>
    <w:rsid w:val="654608F8"/>
    <w:rsid w:val="65512024"/>
    <w:rsid w:val="656F596B"/>
    <w:rsid w:val="65AB3932"/>
    <w:rsid w:val="65B26262"/>
    <w:rsid w:val="65C40DB8"/>
    <w:rsid w:val="6610356E"/>
    <w:rsid w:val="664134EF"/>
    <w:rsid w:val="667A25A2"/>
    <w:rsid w:val="66974E96"/>
    <w:rsid w:val="66B51BD7"/>
    <w:rsid w:val="66CB514F"/>
    <w:rsid w:val="66D34512"/>
    <w:rsid w:val="66D94689"/>
    <w:rsid w:val="66EB246B"/>
    <w:rsid w:val="671D4CF9"/>
    <w:rsid w:val="67221500"/>
    <w:rsid w:val="67927E4C"/>
    <w:rsid w:val="67A5676C"/>
    <w:rsid w:val="68393AB7"/>
    <w:rsid w:val="68472134"/>
    <w:rsid w:val="68741AB5"/>
    <w:rsid w:val="68887572"/>
    <w:rsid w:val="68955D94"/>
    <w:rsid w:val="68A233A4"/>
    <w:rsid w:val="68D34A65"/>
    <w:rsid w:val="695F613F"/>
    <w:rsid w:val="69724889"/>
    <w:rsid w:val="697563D5"/>
    <w:rsid w:val="69D87D54"/>
    <w:rsid w:val="6A2E1B8E"/>
    <w:rsid w:val="6A4C2330"/>
    <w:rsid w:val="6A6E07EC"/>
    <w:rsid w:val="6A732459"/>
    <w:rsid w:val="6A7B1782"/>
    <w:rsid w:val="6AB45082"/>
    <w:rsid w:val="6ABB3C10"/>
    <w:rsid w:val="6AC206AD"/>
    <w:rsid w:val="6AF456EB"/>
    <w:rsid w:val="6B364D46"/>
    <w:rsid w:val="6B590005"/>
    <w:rsid w:val="6B7E5D7A"/>
    <w:rsid w:val="6BC56001"/>
    <w:rsid w:val="6BF95CAB"/>
    <w:rsid w:val="6C343C0A"/>
    <w:rsid w:val="6C576D2B"/>
    <w:rsid w:val="6C680572"/>
    <w:rsid w:val="6C9330A9"/>
    <w:rsid w:val="6CA67DBF"/>
    <w:rsid w:val="6CDF6AF7"/>
    <w:rsid w:val="6D1E345A"/>
    <w:rsid w:val="6D4931E9"/>
    <w:rsid w:val="6D4D24C9"/>
    <w:rsid w:val="6D614CE1"/>
    <w:rsid w:val="6D6C0FC5"/>
    <w:rsid w:val="6D7174F6"/>
    <w:rsid w:val="6DDC6503"/>
    <w:rsid w:val="6DDD5884"/>
    <w:rsid w:val="6DEF7365"/>
    <w:rsid w:val="6E456354"/>
    <w:rsid w:val="6E49012B"/>
    <w:rsid w:val="6E585E31"/>
    <w:rsid w:val="6E5D1DE1"/>
    <w:rsid w:val="6E5F6FAC"/>
    <w:rsid w:val="6EAE6F13"/>
    <w:rsid w:val="6ED722D3"/>
    <w:rsid w:val="6F54601A"/>
    <w:rsid w:val="6F6B4187"/>
    <w:rsid w:val="6F9F1942"/>
    <w:rsid w:val="6FA6391A"/>
    <w:rsid w:val="6FC14DAD"/>
    <w:rsid w:val="6FD74F60"/>
    <w:rsid w:val="70451F28"/>
    <w:rsid w:val="704D6C4A"/>
    <w:rsid w:val="70631FC5"/>
    <w:rsid w:val="70781894"/>
    <w:rsid w:val="70843BCC"/>
    <w:rsid w:val="70C45953"/>
    <w:rsid w:val="70C745CA"/>
    <w:rsid w:val="70D66368"/>
    <w:rsid w:val="70F01A34"/>
    <w:rsid w:val="71115527"/>
    <w:rsid w:val="713649C0"/>
    <w:rsid w:val="716A2A80"/>
    <w:rsid w:val="71956476"/>
    <w:rsid w:val="71AC4A97"/>
    <w:rsid w:val="71BA418B"/>
    <w:rsid w:val="71EC37F2"/>
    <w:rsid w:val="71FC69FA"/>
    <w:rsid w:val="721832BA"/>
    <w:rsid w:val="72251B14"/>
    <w:rsid w:val="72404633"/>
    <w:rsid w:val="72A33ED2"/>
    <w:rsid w:val="72B908D5"/>
    <w:rsid w:val="72C77568"/>
    <w:rsid w:val="7353420E"/>
    <w:rsid w:val="739248B4"/>
    <w:rsid w:val="73A329DD"/>
    <w:rsid w:val="73E50B6C"/>
    <w:rsid w:val="74341D6B"/>
    <w:rsid w:val="743764D9"/>
    <w:rsid w:val="746A57A6"/>
    <w:rsid w:val="74757046"/>
    <w:rsid w:val="747C0BD5"/>
    <w:rsid w:val="749A746A"/>
    <w:rsid w:val="74AF784E"/>
    <w:rsid w:val="74B05832"/>
    <w:rsid w:val="74CB28DA"/>
    <w:rsid w:val="74CC4445"/>
    <w:rsid w:val="74EB6AD9"/>
    <w:rsid w:val="74ED504B"/>
    <w:rsid w:val="75040067"/>
    <w:rsid w:val="75197507"/>
    <w:rsid w:val="755B564C"/>
    <w:rsid w:val="75991A54"/>
    <w:rsid w:val="759B02AA"/>
    <w:rsid w:val="75AC72C1"/>
    <w:rsid w:val="75C42B81"/>
    <w:rsid w:val="75D0446E"/>
    <w:rsid w:val="76404C02"/>
    <w:rsid w:val="764741E2"/>
    <w:rsid w:val="764B2A6C"/>
    <w:rsid w:val="76544B51"/>
    <w:rsid w:val="767A3A4D"/>
    <w:rsid w:val="76B37ACA"/>
    <w:rsid w:val="76E75D74"/>
    <w:rsid w:val="76ED16A8"/>
    <w:rsid w:val="7765265B"/>
    <w:rsid w:val="779213EB"/>
    <w:rsid w:val="77935B8F"/>
    <w:rsid w:val="77A22B5A"/>
    <w:rsid w:val="77F86D6D"/>
    <w:rsid w:val="780954C8"/>
    <w:rsid w:val="780A77C8"/>
    <w:rsid w:val="781F31B0"/>
    <w:rsid w:val="784F55D0"/>
    <w:rsid w:val="78585988"/>
    <w:rsid w:val="787B3FC5"/>
    <w:rsid w:val="78842257"/>
    <w:rsid w:val="78857244"/>
    <w:rsid w:val="78AF465C"/>
    <w:rsid w:val="78B75614"/>
    <w:rsid w:val="78D3090A"/>
    <w:rsid w:val="78F3075C"/>
    <w:rsid w:val="79657FEA"/>
    <w:rsid w:val="79903D13"/>
    <w:rsid w:val="79A445EF"/>
    <w:rsid w:val="79DA5743"/>
    <w:rsid w:val="7A247612"/>
    <w:rsid w:val="7A815987"/>
    <w:rsid w:val="7AD56041"/>
    <w:rsid w:val="7AFC18AA"/>
    <w:rsid w:val="7B957FA1"/>
    <w:rsid w:val="7BFE5308"/>
    <w:rsid w:val="7C0B0E09"/>
    <w:rsid w:val="7C81078E"/>
    <w:rsid w:val="7C946C2A"/>
    <w:rsid w:val="7CAD70A3"/>
    <w:rsid w:val="7CB539D3"/>
    <w:rsid w:val="7CEC4587"/>
    <w:rsid w:val="7D0050EB"/>
    <w:rsid w:val="7D07486E"/>
    <w:rsid w:val="7D3923AB"/>
    <w:rsid w:val="7D781125"/>
    <w:rsid w:val="7D9C4FEE"/>
    <w:rsid w:val="7E120D6C"/>
    <w:rsid w:val="7E355268"/>
    <w:rsid w:val="7E5807FB"/>
    <w:rsid w:val="7E7C194A"/>
    <w:rsid w:val="7E9552CF"/>
    <w:rsid w:val="7EDD19DF"/>
    <w:rsid w:val="7EE82B3B"/>
    <w:rsid w:val="7EF72864"/>
    <w:rsid w:val="7F0A2377"/>
    <w:rsid w:val="7F113E70"/>
    <w:rsid w:val="7F4D391A"/>
    <w:rsid w:val="7F834C56"/>
    <w:rsid w:val="7FAA2B38"/>
    <w:rsid w:val="7FFD1DB6"/>
    <w:rsid w:val="FFFE8F21"/>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f">
      <v:fill on="t" focussize="0,0"/>
      <v:stroke on="f"/>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qFormat="1" w:uiPriority="99" w:name="Body Text Indent 2"/>
    <w:lsdException w:qFormat="1"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39"/>
    <w:qFormat/>
    <w:uiPriority w:val="0"/>
    <w:pPr>
      <w:keepNext/>
      <w:keepLines/>
      <w:numPr>
        <w:ilvl w:val="0"/>
        <w:numId w:val="1"/>
      </w:numPr>
      <w:spacing w:line="360" w:lineRule="auto"/>
      <w:outlineLvl w:val="0"/>
    </w:pPr>
    <w:rPr>
      <w:rFonts w:ascii="黑体" w:hAnsi="Times New Roman" w:eastAsia="黑体"/>
      <w:b/>
      <w:bCs/>
      <w:kern w:val="44"/>
      <w:sz w:val="24"/>
      <w:szCs w:val="44"/>
    </w:rPr>
  </w:style>
  <w:style w:type="paragraph" w:styleId="3">
    <w:name w:val="heading 2"/>
    <w:basedOn w:val="1"/>
    <w:next w:val="1"/>
    <w:link w:val="40"/>
    <w:qFormat/>
    <w:uiPriority w:val="0"/>
    <w:pPr>
      <w:keepNext/>
      <w:keepLines/>
      <w:numPr>
        <w:ilvl w:val="1"/>
        <w:numId w:val="1"/>
      </w:numPr>
      <w:tabs>
        <w:tab w:val="left" w:pos="360"/>
      </w:tabs>
      <w:spacing w:line="360" w:lineRule="auto"/>
      <w:outlineLvl w:val="1"/>
    </w:pPr>
    <w:rPr>
      <w:rFonts w:ascii="黑体" w:hAnsi="Arial" w:eastAsia="黑体"/>
      <w:bCs/>
      <w:szCs w:val="32"/>
    </w:rPr>
  </w:style>
  <w:style w:type="paragraph" w:styleId="4">
    <w:name w:val="heading 3"/>
    <w:basedOn w:val="1"/>
    <w:next w:val="1"/>
    <w:link w:val="41"/>
    <w:qFormat/>
    <w:uiPriority w:val="0"/>
    <w:pPr>
      <w:keepNext/>
      <w:keepLines/>
      <w:numPr>
        <w:ilvl w:val="2"/>
        <w:numId w:val="1"/>
      </w:numPr>
      <w:tabs>
        <w:tab w:val="left" w:pos="360"/>
      </w:tabs>
      <w:spacing w:line="360" w:lineRule="auto"/>
      <w:outlineLvl w:val="2"/>
    </w:pPr>
    <w:rPr>
      <w:rFonts w:ascii="宋体" w:hAnsi="宋体" w:eastAsia="黑体"/>
      <w:bCs/>
      <w:szCs w:val="21"/>
    </w:rPr>
  </w:style>
  <w:style w:type="paragraph" w:styleId="5">
    <w:name w:val="heading 4"/>
    <w:basedOn w:val="1"/>
    <w:next w:val="1"/>
    <w:link w:val="42"/>
    <w:qFormat/>
    <w:uiPriority w:val="0"/>
    <w:pPr>
      <w:keepNext/>
      <w:keepLines/>
      <w:numPr>
        <w:ilvl w:val="3"/>
        <w:numId w:val="1"/>
      </w:numPr>
      <w:tabs>
        <w:tab w:val="left" w:pos="360"/>
      </w:tabs>
      <w:spacing w:line="360" w:lineRule="auto"/>
      <w:outlineLvl w:val="3"/>
    </w:pPr>
    <w:rPr>
      <w:rFonts w:ascii="黑体" w:hAnsi="宋体" w:eastAsia="黑体"/>
      <w:bCs/>
      <w:szCs w:val="21"/>
    </w:rPr>
  </w:style>
  <w:style w:type="paragraph" w:styleId="6">
    <w:name w:val="heading 5"/>
    <w:basedOn w:val="1"/>
    <w:next w:val="1"/>
    <w:link w:val="43"/>
    <w:qFormat/>
    <w:uiPriority w:val="0"/>
    <w:pPr>
      <w:keepNext/>
      <w:keepLines/>
      <w:numPr>
        <w:ilvl w:val="4"/>
        <w:numId w:val="1"/>
      </w:numPr>
      <w:tabs>
        <w:tab w:val="left" w:pos="360"/>
      </w:tabs>
      <w:spacing w:line="360" w:lineRule="auto"/>
      <w:outlineLvl w:val="4"/>
    </w:pPr>
    <w:rPr>
      <w:rFonts w:ascii="黑体" w:hAnsi="Times New Roman" w:eastAsia="黑体"/>
      <w:bCs/>
      <w:szCs w:val="28"/>
    </w:rPr>
  </w:style>
  <w:style w:type="paragraph" w:styleId="7">
    <w:name w:val="heading 6"/>
    <w:basedOn w:val="1"/>
    <w:next w:val="1"/>
    <w:link w:val="75"/>
    <w:qFormat/>
    <w:uiPriority w:val="0"/>
    <w:pPr>
      <w:spacing w:line="300" w:lineRule="auto"/>
      <w:ind w:left="851"/>
      <w:jc w:val="left"/>
      <w:outlineLvl w:val="5"/>
    </w:pPr>
    <w:rPr>
      <w:rFonts w:ascii="宋体" w:hAnsi="宋体"/>
      <w:bCs/>
      <w:sz w:val="24"/>
      <w:szCs w:val="20"/>
    </w:rPr>
  </w:style>
  <w:style w:type="paragraph" w:styleId="8">
    <w:name w:val="heading 7"/>
    <w:basedOn w:val="1"/>
    <w:next w:val="1"/>
    <w:link w:val="44"/>
    <w:qFormat/>
    <w:uiPriority w:val="9"/>
    <w:pPr>
      <w:keepNext/>
      <w:keepLines/>
      <w:spacing w:before="240" w:after="64" w:line="320" w:lineRule="auto"/>
      <w:outlineLvl w:val="6"/>
    </w:pPr>
    <w:rPr>
      <w:b/>
      <w:bCs/>
      <w:sz w:val="24"/>
      <w:szCs w:val="24"/>
    </w:rPr>
  </w:style>
  <w:style w:type="character" w:default="1" w:styleId="34">
    <w:name w:val="Default Paragraph Font"/>
    <w:semiHidden/>
    <w:unhideWhenUsed/>
    <w:qFormat/>
    <w:uiPriority w:val="1"/>
  </w:style>
  <w:style w:type="table" w:default="1" w:styleId="32">
    <w:name w:val="Normal Table"/>
    <w:semiHidden/>
    <w:unhideWhenUsed/>
    <w:qFormat/>
    <w:uiPriority w:val="99"/>
    <w:tblPr>
      <w:tblCellMar>
        <w:top w:w="0" w:type="dxa"/>
        <w:left w:w="108" w:type="dxa"/>
        <w:bottom w:w="0" w:type="dxa"/>
        <w:right w:w="108" w:type="dxa"/>
      </w:tblCellMar>
    </w:tblPr>
  </w:style>
  <w:style w:type="paragraph" w:styleId="9">
    <w:name w:val="toc 7"/>
    <w:basedOn w:val="1"/>
    <w:next w:val="1"/>
    <w:unhideWhenUsed/>
    <w:qFormat/>
    <w:uiPriority w:val="39"/>
    <w:pPr>
      <w:ind w:left="2520" w:leftChars="1200"/>
    </w:pPr>
  </w:style>
  <w:style w:type="paragraph" w:styleId="10">
    <w:name w:val="Normal Indent"/>
    <w:basedOn w:val="1"/>
    <w:link w:val="46"/>
    <w:qFormat/>
    <w:uiPriority w:val="0"/>
    <w:pPr>
      <w:adjustRightInd w:val="0"/>
      <w:snapToGrid w:val="0"/>
      <w:spacing w:line="360" w:lineRule="auto"/>
      <w:ind w:left="3402" w:right="567" w:firstLine="567"/>
    </w:pPr>
    <w:rPr>
      <w:rFonts w:ascii="Times New Roman" w:hAnsi="Times New Roman"/>
      <w:sz w:val="24"/>
      <w:szCs w:val="20"/>
    </w:rPr>
  </w:style>
  <w:style w:type="paragraph" w:styleId="11">
    <w:name w:val="Document Map"/>
    <w:basedOn w:val="1"/>
    <w:link w:val="53"/>
    <w:semiHidden/>
    <w:unhideWhenUsed/>
    <w:qFormat/>
    <w:uiPriority w:val="99"/>
    <w:rPr>
      <w:rFonts w:ascii="宋体"/>
      <w:sz w:val="18"/>
      <w:szCs w:val="18"/>
    </w:rPr>
  </w:style>
  <w:style w:type="paragraph" w:styleId="12">
    <w:name w:val="annotation text"/>
    <w:basedOn w:val="1"/>
    <w:link w:val="63"/>
    <w:unhideWhenUsed/>
    <w:qFormat/>
    <w:uiPriority w:val="99"/>
    <w:pPr>
      <w:jc w:val="left"/>
    </w:pPr>
  </w:style>
  <w:style w:type="paragraph" w:styleId="13">
    <w:name w:val="Body Text"/>
    <w:basedOn w:val="1"/>
    <w:link w:val="69"/>
    <w:semiHidden/>
    <w:unhideWhenUsed/>
    <w:qFormat/>
    <w:uiPriority w:val="99"/>
    <w:pPr>
      <w:spacing w:after="120"/>
    </w:pPr>
  </w:style>
  <w:style w:type="paragraph" w:styleId="14">
    <w:name w:val="Body Text Indent"/>
    <w:basedOn w:val="1"/>
    <w:link w:val="45"/>
    <w:qFormat/>
    <w:uiPriority w:val="0"/>
    <w:pPr>
      <w:autoSpaceDE w:val="0"/>
      <w:autoSpaceDN w:val="0"/>
      <w:adjustRightInd w:val="0"/>
      <w:spacing w:line="360" w:lineRule="auto"/>
      <w:ind w:firstLine="560" w:firstLineChars="200"/>
      <w:jc w:val="left"/>
    </w:pPr>
    <w:rPr>
      <w:rFonts w:ascii="宋体" w:hAnsi="宋体"/>
      <w:color w:val="000000"/>
      <w:kern w:val="0"/>
      <w:sz w:val="28"/>
      <w:szCs w:val="18"/>
      <w:lang w:val="zh-CN"/>
    </w:rPr>
  </w:style>
  <w:style w:type="paragraph" w:styleId="15">
    <w:name w:val="toc 5"/>
    <w:basedOn w:val="1"/>
    <w:next w:val="1"/>
    <w:unhideWhenUsed/>
    <w:qFormat/>
    <w:uiPriority w:val="39"/>
    <w:pPr>
      <w:ind w:left="1680" w:leftChars="800"/>
    </w:pPr>
  </w:style>
  <w:style w:type="paragraph" w:styleId="16">
    <w:name w:val="toc 3"/>
    <w:basedOn w:val="1"/>
    <w:next w:val="1"/>
    <w:unhideWhenUsed/>
    <w:qFormat/>
    <w:uiPriority w:val="39"/>
    <w:pPr>
      <w:ind w:left="840" w:leftChars="400"/>
    </w:pPr>
  </w:style>
  <w:style w:type="paragraph" w:styleId="17">
    <w:name w:val="Plain Text"/>
    <w:basedOn w:val="1"/>
    <w:link w:val="51"/>
    <w:qFormat/>
    <w:uiPriority w:val="0"/>
    <w:pPr>
      <w:spacing w:line="360" w:lineRule="auto"/>
      <w:ind w:firstLine="200" w:firstLineChars="200"/>
    </w:pPr>
    <w:rPr>
      <w:rFonts w:ascii="宋体" w:hAnsi="Courier New" w:cs="Courier New"/>
      <w:szCs w:val="21"/>
    </w:rPr>
  </w:style>
  <w:style w:type="paragraph" w:styleId="18">
    <w:name w:val="toc 8"/>
    <w:basedOn w:val="1"/>
    <w:next w:val="1"/>
    <w:unhideWhenUsed/>
    <w:qFormat/>
    <w:uiPriority w:val="39"/>
    <w:pPr>
      <w:ind w:left="2940" w:leftChars="1400"/>
    </w:pPr>
  </w:style>
  <w:style w:type="paragraph" w:styleId="19">
    <w:name w:val="Body Text Indent 2"/>
    <w:basedOn w:val="1"/>
    <w:link w:val="58"/>
    <w:semiHidden/>
    <w:unhideWhenUsed/>
    <w:qFormat/>
    <w:uiPriority w:val="99"/>
    <w:pPr>
      <w:spacing w:after="120" w:line="480" w:lineRule="auto"/>
      <w:ind w:left="420" w:leftChars="200"/>
    </w:pPr>
  </w:style>
  <w:style w:type="paragraph" w:styleId="20">
    <w:name w:val="Balloon Text"/>
    <w:basedOn w:val="1"/>
    <w:link w:val="47"/>
    <w:semiHidden/>
    <w:unhideWhenUsed/>
    <w:qFormat/>
    <w:uiPriority w:val="99"/>
    <w:rPr>
      <w:sz w:val="18"/>
      <w:szCs w:val="18"/>
    </w:rPr>
  </w:style>
  <w:style w:type="paragraph" w:styleId="21">
    <w:name w:val="footer"/>
    <w:basedOn w:val="1"/>
    <w:link w:val="55"/>
    <w:unhideWhenUsed/>
    <w:qFormat/>
    <w:uiPriority w:val="99"/>
    <w:pPr>
      <w:tabs>
        <w:tab w:val="center" w:pos="4153"/>
        <w:tab w:val="right" w:pos="8306"/>
      </w:tabs>
      <w:snapToGrid w:val="0"/>
      <w:jc w:val="left"/>
    </w:pPr>
    <w:rPr>
      <w:sz w:val="18"/>
      <w:szCs w:val="18"/>
    </w:rPr>
  </w:style>
  <w:style w:type="paragraph" w:styleId="22">
    <w:name w:val="header"/>
    <w:basedOn w:val="1"/>
    <w:link w:val="54"/>
    <w:unhideWhenUsed/>
    <w:qFormat/>
    <w:uiPriority w:val="99"/>
    <w:pPr>
      <w:pBdr>
        <w:bottom w:val="single" w:color="auto" w:sz="6" w:space="1"/>
      </w:pBdr>
      <w:tabs>
        <w:tab w:val="center" w:pos="4153"/>
        <w:tab w:val="right" w:pos="8306"/>
      </w:tabs>
      <w:snapToGrid w:val="0"/>
      <w:jc w:val="center"/>
    </w:pPr>
    <w:rPr>
      <w:sz w:val="18"/>
      <w:szCs w:val="18"/>
    </w:rPr>
  </w:style>
  <w:style w:type="paragraph" w:styleId="23">
    <w:name w:val="toc 1"/>
    <w:basedOn w:val="1"/>
    <w:next w:val="1"/>
    <w:unhideWhenUsed/>
    <w:qFormat/>
    <w:uiPriority w:val="39"/>
    <w:pPr>
      <w:tabs>
        <w:tab w:val="left" w:pos="420"/>
        <w:tab w:val="right" w:leader="dot" w:pos="8296"/>
      </w:tabs>
      <w:jc w:val="center"/>
    </w:pPr>
  </w:style>
  <w:style w:type="paragraph" w:styleId="24">
    <w:name w:val="toc 4"/>
    <w:basedOn w:val="1"/>
    <w:next w:val="1"/>
    <w:unhideWhenUsed/>
    <w:qFormat/>
    <w:uiPriority w:val="39"/>
    <w:pPr>
      <w:ind w:left="1260" w:leftChars="600"/>
    </w:pPr>
  </w:style>
  <w:style w:type="paragraph" w:styleId="25">
    <w:name w:val="toc 6"/>
    <w:basedOn w:val="1"/>
    <w:next w:val="1"/>
    <w:unhideWhenUsed/>
    <w:qFormat/>
    <w:uiPriority w:val="39"/>
    <w:pPr>
      <w:ind w:left="2100" w:leftChars="1000"/>
    </w:pPr>
  </w:style>
  <w:style w:type="paragraph" w:styleId="26">
    <w:name w:val="Body Text Indent 3"/>
    <w:basedOn w:val="1"/>
    <w:link w:val="60"/>
    <w:semiHidden/>
    <w:unhideWhenUsed/>
    <w:qFormat/>
    <w:uiPriority w:val="99"/>
    <w:pPr>
      <w:spacing w:after="120"/>
      <w:ind w:left="420" w:leftChars="200"/>
    </w:pPr>
    <w:rPr>
      <w:sz w:val="16"/>
      <w:szCs w:val="16"/>
    </w:rPr>
  </w:style>
  <w:style w:type="paragraph" w:styleId="27">
    <w:name w:val="toc 2"/>
    <w:basedOn w:val="1"/>
    <w:next w:val="1"/>
    <w:unhideWhenUsed/>
    <w:qFormat/>
    <w:uiPriority w:val="39"/>
    <w:pPr>
      <w:tabs>
        <w:tab w:val="left" w:pos="993"/>
        <w:tab w:val="right" w:leader="dot" w:pos="8296"/>
      </w:tabs>
      <w:ind w:left="420" w:leftChars="200"/>
    </w:pPr>
  </w:style>
  <w:style w:type="paragraph" w:styleId="28">
    <w:name w:val="toc 9"/>
    <w:basedOn w:val="1"/>
    <w:next w:val="1"/>
    <w:unhideWhenUsed/>
    <w:qFormat/>
    <w:uiPriority w:val="39"/>
    <w:pPr>
      <w:ind w:left="3360" w:leftChars="1600"/>
    </w:pPr>
  </w:style>
  <w:style w:type="paragraph" w:styleId="29">
    <w:name w:val="Normal (Web)"/>
    <w:basedOn w:val="1"/>
    <w:qFormat/>
    <w:uiPriority w:val="0"/>
    <w:pPr>
      <w:widowControl/>
      <w:spacing w:before="100" w:after="100"/>
      <w:jc w:val="left"/>
    </w:pPr>
    <w:rPr>
      <w:rFonts w:ascii="宋体" w:hAnsi="宋体"/>
      <w:sz w:val="24"/>
      <w:szCs w:val="21"/>
    </w:rPr>
  </w:style>
  <w:style w:type="paragraph" w:styleId="30">
    <w:name w:val="annotation subject"/>
    <w:basedOn w:val="12"/>
    <w:next w:val="12"/>
    <w:link w:val="64"/>
    <w:semiHidden/>
    <w:unhideWhenUsed/>
    <w:qFormat/>
    <w:uiPriority w:val="99"/>
    <w:rPr>
      <w:b/>
      <w:bCs/>
    </w:rPr>
  </w:style>
  <w:style w:type="paragraph" w:styleId="31">
    <w:name w:val="Body Text First Indent"/>
    <w:basedOn w:val="13"/>
    <w:link w:val="70"/>
    <w:qFormat/>
    <w:uiPriority w:val="0"/>
    <w:pPr>
      <w:ind w:firstLine="420" w:firstLineChars="100"/>
    </w:pPr>
    <w:rPr>
      <w:rFonts w:ascii="Times New Roman" w:hAnsi="Times New Roman"/>
      <w:szCs w:val="24"/>
    </w:rPr>
  </w:style>
  <w:style w:type="table" w:styleId="33">
    <w:name w:val="Table Grid"/>
    <w:basedOn w:val="32"/>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35">
    <w:name w:val="Strong"/>
    <w:basedOn w:val="34"/>
    <w:qFormat/>
    <w:uiPriority w:val="22"/>
    <w:rPr>
      <w:b/>
    </w:rPr>
  </w:style>
  <w:style w:type="character" w:styleId="36">
    <w:name w:val="line number"/>
    <w:basedOn w:val="34"/>
    <w:qFormat/>
    <w:uiPriority w:val="0"/>
  </w:style>
  <w:style w:type="character" w:styleId="37">
    <w:name w:val="Hyperlink"/>
    <w:unhideWhenUsed/>
    <w:qFormat/>
    <w:uiPriority w:val="99"/>
    <w:rPr>
      <w:color w:val="0000FF"/>
      <w:u w:val="single"/>
    </w:rPr>
  </w:style>
  <w:style w:type="character" w:styleId="38">
    <w:name w:val="annotation reference"/>
    <w:semiHidden/>
    <w:unhideWhenUsed/>
    <w:qFormat/>
    <w:uiPriority w:val="99"/>
    <w:rPr>
      <w:sz w:val="21"/>
      <w:szCs w:val="21"/>
    </w:rPr>
  </w:style>
  <w:style w:type="character" w:customStyle="1" w:styleId="39">
    <w:name w:val="标题 1 字符"/>
    <w:link w:val="2"/>
    <w:qFormat/>
    <w:uiPriority w:val="0"/>
    <w:rPr>
      <w:rFonts w:ascii="黑体" w:eastAsia="黑体"/>
      <w:b/>
      <w:bCs/>
      <w:kern w:val="44"/>
      <w:sz w:val="24"/>
      <w:szCs w:val="44"/>
    </w:rPr>
  </w:style>
  <w:style w:type="character" w:customStyle="1" w:styleId="40">
    <w:name w:val="标题 2 字符"/>
    <w:link w:val="3"/>
    <w:qFormat/>
    <w:uiPriority w:val="0"/>
    <w:rPr>
      <w:rFonts w:ascii="黑体" w:hAnsi="Arial" w:eastAsia="黑体"/>
      <w:bCs/>
      <w:kern w:val="2"/>
      <w:sz w:val="21"/>
      <w:szCs w:val="32"/>
    </w:rPr>
  </w:style>
  <w:style w:type="character" w:customStyle="1" w:styleId="41">
    <w:name w:val="标题 3 字符"/>
    <w:link w:val="4"/>
    <w:qFormat/>
    <w:uiPriority w:val="0"/>
    <w:rPr>
      <w:rFonts w:ascii="宋体" w:hAnsi="宋体" w:eastAsia="黑体"/>
      <w:bCs/>
      <w:kern w:val="2"/>
      <w:sz w:val="21"/>
      <w:szCs w:val="21"/>
    </w:rPr>
  </w:style>
  <w:style w:type="character" w:customStyle="1" w:styleId="42">
    <w:name w:val="标题 4 字符"/>
    <w:link w:val="5"/>
    <w:qFormat/>
    <w:uiPriority w:val="0"/>
    <w:rPr>
      <w:rFonts w:ascii="黑体" w:hAnsi="宋体" w:eastAsia="黑体"/>
      <w:bCs/>
      <w:kern w:val="2"/>
      <w:sz w:val="21"/>
      <w:szCs w:val="21"/>
    </w:rPr>
  </w:style>
  <w:style w:type="character" w:customStyle="1" w:styleId="43">
    <w:name w:val="标题 5 字符"/>
    <w:link w:val="6"/>
    <w:qFormat/>
    <w:uiPriority w:val="0"/>
    <w:rPr>
      <w:rFonts w:ascii="黑体" w:eastAsia="黑体"/>
      <w:bCs/>
      <w:kern w:val="2"/>
      <w:sz w:val="21"/>
      <w:szCs w:val="28"/>
    </w:rPr>
  </w:style>
  <w:style w:type="character" w:customStyle="1" w:styleId="44">
    <w:name w:val="标题 7 字符"/>
    <w:link w:val="8"/>
    <w:semiHidden/>
    <w:qFormat/>
    <w:uiPriority w:val="9"/>
    <w:rPr>
      <w:b/>
      <w:bCs/>
      <w:sz w:val="24"/>
      <w:szCs w:val="24"/>
    </w:rPr>
  </w:style>
  <w:style w:type="character" w:customStyle="1" w:styleId="45">
    <w:name w:val="正文文本缩进 字符"/>
    <w:link w:val="14"/>
    <w:qFormat/>
    <w:uiPriority w:val="0"/>
    <w:rPr>
      <w:rFonts w:ascii="宋体" w:hAnsi="宋体" w:eastAsia="宋体" w:cs="Times New Roman"/>
      <w:color w:val="000000"/>
      <w:kern w:val="0"/>
      <w:sz w:val="28"/>
      <w:szCs w:val="18"/>
      <w:lang w:val="zh-CN"/>
    </w:rPr>
  </w:style>
  <w:style w:type="character" w:customStyle="1" w:styleId="46">
    <w:name w:val="正文缩进 字符"/>
    <w:link w:val="10"/>
    <w:qFormat/>
    <w:uiPriority w:val="0"/>
    <w:rPr>
      <w:rFonts w:ascii="Times New Roman" w:hAnsi="Times New Roman" w:eastAsia="宋体" w:cs="Times New Roman"/>
      <w:sz w:val="24"/>
      <w:szCs w:val="20"/>
    </w:rPr>
  </w:style>
  <w:style w:type="character" w:customStyle="1" w:styleId="47">
    <w:name w:val="批注框文本 字符"/>
    <w:link w:val="20"/>
    <w:semiHidden/>
    <w:qFormat/>
    <w:uiPriority w:val="99"/>
    <w:rPr>
      <w:sz w:val="18"/>
      <w:szCs w:val="18"/>
    </w:rPr>
  </w:style>
  <w:style w:type="paragraph" w:customStyle="1" w:styleId="48">
    <w:name w:val="Titre 2 lignes module"/>
    <w:basedOn w:val="1"/>
    <w:qFormat/>
    <w:uiPriority w:val="0"/>
    <w:pPr>
      <w:widowControl/>
      <w:spacing w:before="120"/>
      <w:jc w:val="center"/>
    </w:pPr>
    <w:rPr>
      <w:rFonts w:ascii="Arial" w:hAnsi="Arial"/>
      <w:b/>
      <w:kern w:val="0"/>
      <w:sz w:val="24"/>
      <w:szCs w:val="20"/>
      <w:lang w:eastAsia="fr-FR"/>
    </w:rPr>
  </w:style>
  <w:style w:type="paragraph" w:styleId="49">
    <w:name w:val="List Paragraph"/>
    <w:basedOn w:val="1"/>
    <w:link w:val="76"/>
    <w:qFormat/>
    <w:uiPriority w:val="34"/>
    <w:pPr>
      <w:ind w:firstLine="420" w:firstLineChars="200"/>
    </w:pPr>
    <w:rPr>
      <w:rFonts w:ascii="Times New Roman" w:hAnsi="Times New Roman"/>
      <w:szCs w:val="24"/>
    </w:rPr>
  </w:style>
  <w:style w:type="paragraph" w:customStyle="1" w:styleId="50">
    <w:name w:val="段"/>
    <w:link w:val="83"/>
    <w:qFormat/>
    <w:uiPriority w:val="99"/>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51">
    <w:name w:val="纯文本 字符"/>
    <w:link w:val="17"/>
    <w:qFormat/>
    <w:uiPriority w:val="0"/>
    <w:rPr>
      <w:rFonts w:ascii="宋体" w:hAnsi="Courier New" w:eastAsia="宋体" w:cs="Courier New"/>
      <w:szCs w:val="21"/>
    </w:rPr>
  </w:style>
  <w:style w:type="character" w:customStyle="1" w:styleId="52">
    <w:name w:val="top11"/>
    <w:basedOn w:val="34"/>
    <w:qFormat/>
    <w:uiPriority w:val="0"/>
  </w:style>
  <w:style w:type="character" w:customStyle="1" w:styleId="53">
    <w:name w:val="文档结构图 字符"/>
    <w:link w:val="11"/>
    <w:semiHidden/>
    <w:qFormat/>
    <w:uiPriority w:val="99"/>
    <w:rPr>
      <w:rFonts w:ascii="宋体" w:eastAsia="宋体"/>
      <w:sz w:val="18"/>
      <w:szCs w:val="18"/>
    </w:rPr>
  </w:style>
  <w:style w:type="character" w:customStyle="1" w:styleId="54">
    <w:name w:val="页眉 字符"/>
    <w:link w:val="22"/>
    <w:qFormat/>
    <w:uiPriority w:val="99"/>
    <w:rPr>
      <w:sz w:val="18"/>
      <w:szCs w:val="18"/>
    </w:rPr>
  </w:style>
  <w:style w:type="character" w:customStyle="1" w:styleId="55">
    <w:name w:val="页脚 字符"/>
    <w:link w:val="21"/>
    <w:qFormat/>
    <w:uiPriority w:val="99"/>
    <w:rPr>
      <w:sz w:val="18"/>
      <w:szCs w:val="18"/>
    </w:rPr>
  </w:style>
  <w:style w:type="character" w:customStyle="1" w:styleId="56">
    <w:name w:val="标题 3 Char Char Char Char Char Char Char Char Char Char Char Char Char Char Char Char Char Char Char Char Char Char Char Char Char Char Char Char Char Char Char Char Char Char Char Char Char Char Char Char Char Char Char Char Char Char Char Char Char Cha"/>
    <w:qFormat/>
    <w:uiPriority w:val="0"/>
    <w:rPr>
      <w:rFonts w:hAnsi="宋体" w:eastAsia="黑体"/>
      <w:kern w:val="2"/>
      <w:sz w:val="21"/>
      <w:lang w:val="en-US" w:eastAsia="zh-CN" w:bidi="ar-SA"/>
    </w:rPr>
  </w:style>
  <w:style w:type="paragraph" w:customStyle="1" w:styleId="57">
    <w:name w:val="Xie图文中"/>
    <w:qFormat/>
    <w:uiPriority w:val="0"/>
    <w:pPr>
      <w:widowControl w:val="0"/>
      <w:adjustRightInd w:val="0"/>
      <w:snapToGrid w:val="0"/>
      <w:jc w:val="center"/>
    </w:pPr>
    <w:rPr>
      <w:rFonts w:ascii="Times New Roman" w:hAnsi="Times New Roman" w:eastAsia="仿宋_GB2312" w:cs="Times New Roman"/>
      <w:sz w:val="24"/>
      <w:lang w:val="en-US" w:eastAsia="zh-CN" w:bidi="ar-SA"/>
    </w:rPr>
  </w:style>
  <w:style w:type="character" w:customStyle="1" w:styleId="58">
    <w:name w:val="正文文本缩进 2 字符"/>
    <w:basedOn w:val="34"/>
    <w:link w:val="19"/>
    <w:semiHidden/>
    <w:qFormat/>
    <w:uiPriority w:val="99"/>
  </w:style>
  <w:style w:type="character" w:customStyle="1" w:styleId="59">
    <w:name w:val="编号标题2 Char Char Char Char Char Char Char Char Char Char Ch"/>
    <w:qFormat/>
    <w:uiPriority w:val="0"/>
    <w:rPr>
      <w:rFonts w:ascii="Arial" w:hAnsi="Arial" w:eastAsia="黑体"/>
      <w:bCs/>
      <w:kern w:val="2"/>
      <w:sz w:val="21"/>
      <w:szCs w:val="32"/>
      <w:lang w:val="en-US" w:eastAsia="zh-CN" w:bidi="ar-SA"/>
    </w:rPr>
  </w:style>
  <w:style w:type="character" w:customStyle="1" w:styleId="60">
    <w:name w:val="正文文本缩进 3 字符"/>
    <w:link w:val="26"/>
    <w:semiHidden/>
    <w:qFormat/>
    <w:uiPriority w:val="99"/>
    <w:rPr>
      <w:sz w:val="16"/>
      <w:szCs w:val="16"/>
    </w:rPr>
  </w:style>
  <w:style w:type="paragraph" w:customStyle="1" w:styleId="61">
    <w:name w:val="样式 Times New Roman 左  4.27 字符"/>
    <w:basedOn w:val="1"/>
    <w:qFormat/>
    <w:uiPriority w:val="0"/>
    <w:pPr>
      <w:numPr>
        <w:ilvl w:val="0"/>
        <w:numId w:val="2"/>
      </w:numPr>
      <w:tabs>
        <w:tab w:val="left" w:pos="1260"/>
        <w:tab w:val="clear" w:pos="1680"/>
      </w:tabs>
      <w:spacing w:line="360" w:lineRule="auto"/>
      <w:ind w:left="1260" w:hanging="836"/>
    </w:pPr>
    <w:rPr>
      <w:rFonts w:ascii="Times New Roman" w:hAnsi="Times New Roman" w:cs="宋体"/>
      <w:szCs w:val="20"/>
    </w:rPr>
  </w:style>
  <w:style w:type="paragraph" w:customStyle="1" w:styleId="62">
    <w:name w:val="版本号"/>
    <w:qFormat/>
    <w:uiPriority w:val="0"/>
    <w:pPr>
      <w:jc w:val="center"/>
    </w:pPr>
    <w:rPr>
      <w:rFonts w:ascii="Times New Roman" w:hAnsi="Times New Roman" w:eastAsia="华文中宋" w:cs="Times New Roman"/>
      <w:b/>
      <w:sz w:val="44"/>
      <w:lang w:val="en-US" w:eastAsia="zh-CN" w:bidi="ar-SA"/>
    </w:rPr>
  </w:style>
  <w:style w:type="character" w:customStyle="1" w:styleId="63">
    <w:name w:val="批注文字 字符"/>
    <w:basedOn w:val="34"/>
    <w:link w:val="12"/>
    <w:qFormat/>
    <w:uiPriority w:val="99"/>
  </w:style>
  <w:style w:type="character" w:customStyle="1" w:styleId="64">
    <w:name w:val="批注主题 字符"/>
    <w:link w:val="30"/>
    <w:semiHidden/>
    <w:qFormat/>
    <w:uiPriority w:val="99"/>
    <w:rPr>
      <w:b/>
      <w:bCs/>
    </w:rPr>
  </w:style>
  <w:style w:type="paragraph" w:customStyle="1" w:styleId="65">
    <w:name w:val="编号1"/>
    <w:basedOn w:val="1"/>
    <w:qFormat/>
    <w:uiPriority w:val="0"/>
    <w:pPr>
      <w:numPr>
        <w:ilvl w:val="0"/>
        <w:numId w:val="3"/>
      </w:numPr>
      <w:spacing w:line="360" w:lineRule="auto"/>
    </w:pPr>
    <w:rPr>
      <w:sz w:val="24"/>
    </w:rPr>
  </w:style>
  <w:style w:type="paragraph" w:customStyle="1" w:styleId="66">
    <w:name w:val="样式 首行缩进:  2 字符"/>
    <w:basedOn w:val="1"/>
    <w:link w:val="67"/>
    <w:qFormat/>
    <w:uiPriority w:val="0"/>
    <w:pPr>
      <w:spacing w:line="480" w:lineRule="exact"/>
      <w:ind w:firstLine="480" w:firstLineChars="200"/>
    </w:pPr>
    <w:rPr>
      <w:rFonts w:ascii="宋体" w:hAnsi="宋体" w:cs="宋体"/>
      <w:sz w:val="24"/>
      <w:szCs w:val="20"/>
    </w:rPr>
  </w:style>
  <w:style w:type="character" w:customStyle="1" w:styleId="67">
    <w:name w:val="样式 首行缩进:  2 字符 Char1"/>
    <w:link w:val="66"/>
    <w:qFormat/>
    <w:uiPriority w:val="0"/>
    <w:rPr>
      <w:rFonts w:ascii="宋体" w:hAnsi="宋体" w:cs="宋体"/>
      <w:kern w:val="2"/>
      <w:sz w:val="24"/>
    </w:rPr>
  </w:style>
  <w:style w:type="paragraph" w:customStyle="1" w:styleId="68">
    <w:name w:val="修订1"/>
    <w:hidden/>
    <w:semiHidden/>
    <w:qFormat/>
    <w:uiPriority w:val="99"/>
    <w:rPr>
      <w:rFonts w:ascii="Calibri" w:hAnsi="Calibri" w:eastAsia="宋体" w:cs="Times New Roman"/>
      <w:kern w:val="2"/>
      <w:sz w:val="21"/>
      <w:szCs w:val="22"/>
      <w:lang w:val="en-US" w:eastAsia="zh-CN" w:bidi="ar-SA"/>
    </w:rPr>
  </w:style>
  <w:style w:type="character" w:customStyle="1" w:styleId="69">
    <w:name w:val="正文文本 字符"/>
    <w:link w:val="13"/>
    <w:semiHidden/>
    <w:qFormat/>
    <w:uiPriority w:val="99"/>
    <w:rPr>
      <w:kern w:val="2"/>
      <w:sz w:val="21"/>
      <w:szCs w:val="22"/>
    </w:rPr>
  </w:style>
  <w:style w:type="character" w:customStyle="1" w:styleId="70">
    <w:name w:val="正文文本首行缩进 字符"/>
    <w:link w:val="31"/>
    <w:qFormat/>
    <w:uiPriority w:val="0"/>
    <w:rPr>
      <w:rFonts w:ascii="Times New Roman" w:hAnsi="Times New Roman"/>
      <w:kern w:val="2"/>
      <w:sz w:val="21"/>
      <w:szCs w:val="24"/>
    </w:rPr>
  </w:style>
  <w:style w:type="paragraph" w:customStyle="1" w:styleId="71">
    <w:name w:val="样式 样式 样式 样式 样式 罗慧（正文） + 右侧:  0.37 厘米 + 首行缩进:  2 字符 + 首行缩进:  2 字符..."/>
    <w:basedOn w:val="1"/>
    <w:qFormat/>
    <w:uiPriority w:val="0"/>
    <w:pPr>
      <w:widowControl/>
      <w:spacing w:line="360" w:lineRule="auto"/>
      <w:ind w:left="200" w:firstLine="200" w:firstLineChars="200"/>
    </w:pPr>
    <w:rPr>
      <w:rFonts w:ascii="Times New Roman" w:hAnsi="Times New Roman" w:cs="宋体"/>
      <w:sz w:val="28"/>
      <w:szCs w:val="20"/>
    </w:rPr>
  </w:style>
  <w:style w:type="paragraph" w:customStyle="1" w:styleId="72">
    <w:name w:val="表格左对齐"/>
    <w:basedOn w:val="73"/>
    <w:qFormat/>
    <w:uiPriority w:val="0"/>
    <w:pPr>
      <w:jc w:val="left"/>
    </w:pPr>
  </w:style>
  <w:style w:type="paragraph" w:customStyle="1" w:styleId="73">
    <w:name w:val="表格中对齐"/>
    <w:basedOn w:val="1"/>
    <w:qFormat/>
    <w:uiPriority w:val="0"/>
    <w:pPr>
      <w:adjustRightInd w:val="0"/>
      <w:spacing w:line="300" w:lineRule="auto"/>
      <w:jc w:val="center"/>
    </w:pPr>
    <w:rPr>
      <w:rFonts w:ascii="宋体" w:hAnsi="Times New Roman"/>
      <w:kern w:val="0"/>
      <w:sz w:val="24"/>
      <w:szCs w:val="24"/>
    </w:rPr>
  </w:style>
  <w:style w:type="paragraph" w:customStyle="1" w:styleId="74">
    <w:name w:val="首行缩进: 2字符"/>
    <w:basedOn w:val="1"/>
    <w:qFormat/>
    <w:uiPriority w:val="0"/>
    <w:pPr>
      <w:spacing w:line="300" w:lineRule="auto"/>
      <w:ind w:firstLine="200" w:firstLineChars="200"/>
    </w:pPr>
    <w:rPr>
      <w:rFonts w:ascii="Times New Roman" w:hAnsi="Times New Roman" w:cs="宋体"/>
      <w:szCs w:val="20"/>
    </w:rPr>
  </w:style>
  <w:style w:type="character" w:customStyle="1" w:styleId="75">
    <w:name w:val="标题 6 字符"/>
    <w:link w:val="7"/>
    <w:qFormat/>
    <w:uiPriority w:val="0"/>
    <w:rPr>
      <w:rFonts w:ascii="宋体" w:hAnsi="宋体"/>
      <w:bCs/>
      <w:kern w:val="2"/>
      <w:sz w:val="24"/>
    </w:rPr>
  </w:style>
  <w:style w:type="character" w:customStyle="1" w:styleId="76">
    <w:name w:val="列表段落 字符"/>
    <w:link w:val="49"/>
    <w:qFormat/>
    <w:uiPriority w:val="34"/>
    <w:rPr>
      <w:rFonts w:ascii="Times New Roman" w:hAnsi="Times New Roman"/>
      <w:kern w:val="2"/>
      <w:sz w:val="21"/>
      <w:szCs w:val="24"/>
    </w:rPr>
  </w:style>
  <w:style w:type="paragraph" w:customStyle="1" w:styleId="77">
    <w:name w:val="BD1"/>
    <w:basedOn w:val="2"/>
    <w:qFormat/>
    <w:uiPriority w:val="0"/>
    <w:pPr>
      <w:numPr>
        <w:numId w:val="4"/>
      </w:numPr>
      <w:spacing w:before="340" w:after="330" w:line="578" w:lineRule="auto"/>
      <w:jc w:val="left"/>
    </w:pPr>
    <w:rPr>
      <w:rFonts w:ascii="Times New Roman" w:eastAsia="宋体"/>
      <w:sz w:val="28"/>
    </w:rPr>
  </w:style>
  <w:style w:type="paragraph" w:customStyle="1" w:styleId="78">
    <w:name w:val="BD2"/>
    <w:basedOn w:val="3"/>
    <w:link w:val="80"/>
    <w:qFormat/>
    <w:uiPriority w:val="0"/>
    <w:pPr>
      <w:numPr>
        <w:numId w:val="4"/>
      </w:numPr>
      <w:spacing w:before="260" w:after="260" w:line="416" w:lineRule="auto"/>
      <w:jc w:val="left"/>
    </w:pPr>
    <w:rPr>
      <w:rFonts w:ascii="Cambria" w:hAnsi="Cambria" w:eastAsiaTheme="majorEastAsia" w:cstheme="majorBidi"/>
      <w:b/>
      <w:kern w:val="44"/>
      <w:sz w:val="32"/>
    </w:rPr>
  </w:style>
  <w:style w:type="paragraph" w:customStyle="1" w:styleId="79">
    <w:name w:val="BD3"/>
    <w:basedOn w:val="4"/>
    <w:qFormat/>
    <w:uiPriority w:val="0"/>
    <w:pPr>
      <w:numPr>
        <w:numId w:val="4"/>
      </w:numPr>
      <w:spacing w:before="260" w:after="260" w:line="416" w:lineRule="auto"/>
      <w:jc w:val="left"/>
    </w:pPr>
    <w:rPr>
      <w:rFonts w:ascii="Times New Roman" w:hAnsi="Times New Roman" w:eastAsia="宋体"/>
      <w:b/>
      <w:kern w:val="44"/>
      <w:szCs w:val="32"/>
    </w:rPr>
  </w:style>
  <w:style w:type="character" w:customStyle="1" w:styleId="80">
    <w:name w:val="BD2 Char"/>
    <w:basedOn w:val="40"/>
    <w:link w:val="78"/>
    <w:qFormat/>
    <w:uiPriority w:val="0"/>
    <w:rPr>
      <w:rFonts w:ascii="Cambria" w:hAnsi="Cambria" w:eastAsiaTheme="majorEastAsia" w:cstheme="majorBidi"/>
      <w:b/>
      <w:kern w:val="44"/>
      <w:sz w:val="32"/>
      <w:szCs w:val="32"/>
    </w:rPr>
  </w:style>
  <w:style w:type="character" w:customStyle="1" w:styleId="81">
    <w:name w:val="**正文 Char"/>
    <w:link w:val="82"/>
    <w:qFormat/>
    <w:locked/>
    <w:uiPriority w:val="0"/>
    <w:rPr>
      <w:rFonts w:asciiTheme="minorHAnsi" w:hAnsiTheme="minorHAnsi" w:eastAsiaTheme="minorEastAsia" w:cstheme="minorBidi"/>
      <w:kern w:val="2"/>
      <w:sz w:val="24"/>
      <w:szCs w:val="24"/>
    </w:rPr>
  </w:style>
  <w:style w:type="paragraph" w:customStyle="1" w:styleId="82">
    <w:name w:val="**正文"/>
    <w:basedOn w:val="1"/>
    <w:link w:val="81"/>
    <w:qFormat/>
    <w:uiPriority w:val="0"/>
    <w:pPr>
      <w:spacing w:line="360" w:lineRule="auto"/>
      <w:ind w:firstLine="200" w:firstLineChars="200"/>
    </w:pPr>
    <w:rPr>
      <w:rFonts w:asciiTheme="minorHAnsi" w:hAnsiTheme="minorHAnsi" w:eastAsiaTheme="minorEastAsia" w:cstheme="minorBidi"/>
      <w:sz w:val="24"/>
      <w:szCs w:val="24"/>
    </w:rPr>
  </w:style>
  <w:style w:type="character" w:customStyle="1" w:styleId="83">
    <w:name w:val="段 Char"/>
    <w:link w:val="50"/>
    <w:qFormat/>
    <w:uiPriority w:val="99"/>
    <w:rPr>
      <w:rFonts w:ascii="宋体" w:hAnsi="Times New Roman"/>
      <w:sz w:val="21"/>
    </w:rPr>
  </w:style>
  <w:style w:type="paragraph" w:customStyle="1" w:styleId="84">
    <w:name w:val="正文_0_0"/>
    <w:qFormat/>
    <w:uiPriority w:val="0"/>
    <w:pPr>
      <w:widowControl w:val="0"/>
      <w:jc w:val="both"/>
    </w:pPr>
    <w:rPr>
      <w:rFonts w:ascii="Calibri" w:hAnsi="Calibri" w:eastAsia="宋体" w:cs="Times New Roman"/>
      <w:kern w:val="2"/>
      <w:sz w:val="21"/>
      <w:szCs w:val="22"/>
      <w:lang w:val="en-US" w:eastAsia="zh-CN" w:bidi="ar-SA"/>
    </w:rPr>
  </w:style>
  <w:style w:type="character" w:customStyle="1" w:styleId="85">
    <w:name w:val="正文格式 Char"/>
    <w:link w:val="86"/>
    <w:qFormat/>
    <w:uiPriority w:val="99"/>
    <w:rPr>
      <w:rFonts w:ascii="宋体"/>
    </w:rPr>
  </w:style>
  <w:style w:type="paragraph" w:customStyle="1" w:styleId="86">
    <w:name w:val="正文格式"/>
    <w:basedOn w:val="1"/>
    <w:link w:val="85"/>
    <w:qFormat/>
    <w:uiPriority w:val="99"/>
    <w:pPr>
      <w:spacing w:beforeLines="50" w:line="440" w:lineRule="atLeast"/>
      <w:jc w:val="left"/>
    </w:pPr>
    <w:rPr>
      <w:rFonts w:ascii="宋体"/>
      <w:kern w:val="0"/>
      <w:sz w:val="20"/>
      <w:szCs w:val="20"/>
    </w:rPr>
  </w:style>
  <w:style w:type="paragraph" w:customStyle="1" w:styleId="87">
    <w:name w:val="小四 首行缩进 1.5倍行距"/>
    <w:basedOn w:val="1"/>
    <w:qFormat/>
    <w:uiPriority w:val="0"/>
    <w:pPr>
      <w:spacing w:line="360" w:lineRule="auto"/>
      <w:ind w:firstLine="200" w:firstLineChars="200"/>
      <w:jc w:val="left"/>
    </w:pPr>
    <w:rPr>
      <w:rFonts w:ascii="宋体"/>
      <w:szCs w:val="28"/>
    </w:rPr>
  </w:style>
  <w:style w:type="paragraph" w:customStyle="1" w:styleId="88">
    <w:name w:val="文档正文"/>
    <w:basedOn w:val="1"/>
    <w:qFormat/>
    <w:uiPriority w:val="0"/>
    <w:pPr>
      <w:spacing w:after="160" w:line="300" w:lineRule="auto"/>
      <w:ind w:firstLine="420"/>
    </w:pPr>
    <w:rPr>
      <w:rFonts w:ascii="Times New Roman" w:hAnsi="Times New Roman"/>
      <w:sz w:val="24"/>
    </w:rPr>
  </w:style>
  <w:style w:type="paragraph" w:customStyle="1" w:styleId="89">
    <w:name w:val="正文--2字符首行缩进"/>
    <w:basedOn w:val="1"/>
    <w:qFormat/>
    <w:uiPriority w:val="99"/>
    <w:pPr>
      <w:snapToGrid w:val="0"/>
      <w:spacing w:after="200" w:line="312" w:lineRule="auto"/>
      <w:ind w:firstLine="560" w:firstLineChars="200"/>
    </w:pPr>
    <w:rPr>
      <w:rFonts w:ascii="仿宋_GB2312" w:eastAsia="Times New Roman" w:cs="仿宋_GB2312"/>
      <w:sz w:val="24"/>
    </w:rPr>
  </w:style>
  <w:style w:type="paragraph" w:customStyle="1" w:styleId="90">
    <w:name w:val="正式正文样式"/>
    <w:basedOn w:val="1"/>
    <w:qFormat/>
    <w:uiPriority w:val="0"/>
    <w:pPr>
      <w:widowControl/>
      <w:spacing w:line="360" w:lineRule="auto"/>
      <w:ind w:firstLine="480" w:firstLineChars="200"/>
      <w:jc w:val="left"/>
    </w:pPr>
    <w:rPr>
      <w:rFonts w:hint="eastAsia" w:ascii="宋体" w:hAnsi="宋体"/>
      <w:sz w:val="24"/>
      <w:lang w:eastAsia="en-US"/>
    </w:rPr>
  </w:style>
  <w:style w:type="paragraph" w:customStyle="1" w:styleId="91">
    <w:name w:val="列出段落3"/>
    <w:basedOn w:val="1"/>
    <w:qFormat/>
    <w:uiPriority w:val="0"/>
    <w:pPr>
      <w:ind w:firstLine="420" w:firstLineChars="200"/>
    </w:pPr>
  </w:style>
  <w:style w:type="paragraph" w:customStyle="1" w:styleId="92">
    <w:name w:val="修订2"/>
    <w:hidden/>
    <w:unhideWhenUsed/>
    <w:qFormat/>
    <w:uiPriority w:val="99"/>
    <w:rPr>
      <w:rFonts w:ascii="Calibri" w:hAnsi="Calibri" w:eastAsia="宋体" w:cs="Times New Roman"/>
      <w:kern w:val="2"/>
      <w:sz w:val="21"/>
      <w:szCs w:val="22"/>
      <w:lang w:val="en-US" w:eastAsia="zh-CN" w:bidi="ar-SA"/>
    </w:rPr>
  </w:style>
  <w:style w:type="paragraph" w:customStyle="1" w:styleId="93">
    <w:name w:val="列表段落1"/>
    <w:basedOn w:val="1"/>
    <w:qFormat/>
    <w:uiPriority w:val="34"/>
    <w:pPr>
      <w:ind w:firstLine="420" w:firstLineChars="200"/>
    </w:pPr>
  </w:style>
  <w:style w:type="paragraph" w:customStyle="1" w:styleId="94">
    <w:name w:val="列表段落11"/>
    <w:basedOn w:val="1"/>
    <w:qFormat/>
    <w:uiPriority w:val="34"/>
    <w:pPr>
      <w:ind w:firstLine="420" w:firstLineChars="200"/>
    </w:pPr>
  </w:style>
  <w:style w:type="paragraph" w:customStyle="1" w:styleId="95">
    <w:name w:val="图表标题"/>
    <w:basedOn w:val="1"/>
    <w:next w:val="1"/>
    <w:qFormat/>
    <w:uiPriority w:val="0"/>
    <w:pPr>
      <w:jc w:val="center"/>
    </w:pPr>
    <w:rPr>
      <w:rFonts w:ascii="黑体" w:eastAsia="黑体"/>
      <w:sz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1" Type="http://schemas.openxmlformats.org/officeDocument/2006/relationships/fontTable" Target="fontTable.xml"/><Relationship Id="rId50" Type="http://schemas.openxmlformats.org/officeDocument/2006/relationships/customXml" Target="../customXml/item2.xml"/><Relationship Id="rId5" Type="http://schemas.openxmlformats.org/officeDocument/2006/relationships/footer" Target="footer1.xml"/><Relationship Id="rId49" Type="http://schemas.openxmlformats.org/officeDocument/2006/relationships/numbering" Target="numbering.xml"/><Relationship Id="rId48" Type="http://schemas.openxmlformats.org/officeDocument/2006/relationships/customXml" Target="../customXml/item1.xml"/><Relationship Id="rId47" Type="http://schemas.openxmlformats.org/officeDocument/2006/relationships/image" Target="media/image19.emf"/><Relationship Id="rId46" Type="http://schemas.openxmlformats.org/officeDocument/2006/relationships/oleObject" Target="embeddings/Microsoft_Visio_2003-2010___15.vsd"/><Relationship Id="rId45" Type="http://schemas.openxmlformats.org/officeDocument/2006/relationships/image" Target="media/image18.emf"/><Relationship Id="rId44" Type="http://schemas.openxmlformats.org/officeDocument/2006/relationships/oleObject" Target="embeddings/Microsoft_Visio_2003-2010___14.vsd"/><Relationship Id="rId43" Type="http://schemas.openxmlformats.org/officeDocument/2006/relationships/image" Target="media/image17.png"/><Relationship Id="rId42" Type="http://schemas.openxmlformats.org/officeDocument/2006/relationships/image" Target="media/image16.emf"/><Relationship Id="rId41" Type="http://schemas.openxmlformats.org/officeDocument/2006/relationships/oleObject" Target="embeddings/Microsoft_Visio_2003-2010___13.vsd"/><Relationship Id="rId40" Type="http://schemas.openxmlformats.org/officeDocument/2006/relationships/image" Target="media/image15.emf"/><Relationship Id="rId4" Type="http://schemas.openxmlformats.org/officeDocument/2006/relationships/header" Target="header2.xml"/><Relationship Id="rId39" Type="http://schemas.openxmlformats.org/officeDocument/2006/relationships/oleObject" Target="embeddings/oleObject3.bin"/><Relationship Id="rId38" Type="http://schemas.openxmlformats.org/officeDocument/2006/relationships/image" Target="media/image14.emf"/><Relationship Id="rId37" Type="http://schemas.openxmlformats.org/officeDocument/2006/relationships/oleObject" Target="embeddings/oleObject2.bin"/><Relationship Id="rId36" Type="http://schemas.openxmlformats.org/officeDocument/2006/relationships/image" Target="media/image13.emf"/><Relationship Id="rId35" Type="http://schemas.openxmlformats.org/officeDocument/2006/relationships/oleObject" Target="embeddings/Microsoft_Visio_2003-2010___12.vsd"/><Relationship Id="rId34" Type="http://schemas.openxmlformats.org/officeDocument/2006/relationships/image" Target="media/image12.emf"/><Relationship Id="rId33" Type="http://schemas.openxmlformats.org/officeDocument/2006/relationships/oleObject" Target="embeddings/oleObject1.bin"/><Relationship Id="rId32" Type="http://schemas.openxmlformats.org/officeDocument/2006/relationships/image" Target="media/image11.emf"/><Relationship Id="rId31" Type="http://schemas.openxmlformats.org/officeDocument/2006/relationships/oleObject" Target="embeddings/Microsoft_Visio_2003-2010___11.vsd"/><Relationship Id="rId30" Type="http://schemas.openxmlformats.org/officeDocument/2006/relationships/image" Target="media/image10.emf"/><Relationship Id="rId3" Type="http://schemas.openxmlformats.org/officeDocument/2006/relationships/header" Target="header1.xml"/><Relationship Id="rId29" Type="http://schemas.openxmlformats.org/officeDocument/2006/relationships/oleObject" Target="embeddings/Microsoft_Visio_2003-2010___10.vsd"/><Relationship Id="rId28" Type="http://schemas.openxmlformats.org/officeDocument/2006/relationships/image" Target="media/image9.emf"/><Relationship Id="rId27" Type="http://schemas.openxmlformats.org/officeDocument/2006/relationships/oleObject" Target="embeddings/Microsoft_Visio_2003-2010___9.vsd"/><Relationship Id="rId26" Type="http://schemas.openxmlformats.org/officeDocument/2006/relationships/image" Target="media/image8.emf"/><Relationship Id="rId25" Type="http://schemas.openxmlformats.org/officeDocument/2006/relationships/oleObject" Target="embeddings/Microsoft_Visio_2003-2010___8.vsd"/><Relationship Id="rId24" Type="http://schemas.openxmlformats.org/officeDocument/2006/relationships/image" Target="media/image7.emf"/><Relationship Id="rId23" Type="http://schemas.openxmlformats.org/officeDocument/2006/relationships/oleObject" Target="embeddings/Microsoft_Visio_2003-2010___7.vsd"/><Relationship Id="rId22" Type="http://schemas.openxmlformats.org/officeDocument/2006/relationships/image" Target="media/image6.emf"/><Relationship Id="rId21" Type="http://schemas.openxmlformats.org/officeDocument/2006/relationships/oleObject" Target="embeddings/Microsoft_Visio_2003-2010___6.vsd"/><Relationship Id="rId20" Type="http://schemas.openxmlformats.org/officeDocument/2006/relationships/image" Target="media/image5.emf"/><Relationship Id="rId2" Type="http://schemas.openxmlformats.org/officeDocument/2006/relationships/settings" Target="settings.xml"/><Relationship Id="rId19" Type="http://schemas.openxmlformats.org/officeDocument/2006/relationships/oleObject" Target="embeddings/Microsoft_Visio_2003-2010___5.vsd"/><Relationship Id="rId18" Type="http://schemas.openxmlformats.org/officeDocument/2006/relationships/image" Target="media/image4.emf"/><Relationship Id="rId17" Type="http://schemas.openxmlformats.org/officeDocument/2006/relationships/oleObject" Target="embeddings/Microsoft_Visio_2003-2010___4.vsd"/><Relationship Id="rId16" Type="http://schemas.openxmlformats.org/officeDocument/2006/relationships/image" Target="media/image3.emf"/><Relationship Id="rId15" Type="http://schemas.openxmlformats.org/officeDocument/2006/relationships/oleObject" Target="embeddings/Microsoft_Visio_2003-2010___3.vsd"/><Relationship Id="rId14" Type="http://schemas.openxmlformats.org/officeDocument/2006/relationships/image" Target="media/image2.emf"/><Relationship Id="rId13" Type="http://schemas.openxmlformats.org/officeDocument/2006/relationships/oleObject" Target="embeddings/Microsoft_Visio_2003-2010___2.vsd"/><Relationship Id="rId12" Type="http://schemas.openxmlformats.org/officeDocument/2006/relationships/image" Target="media/image1.emf"/><Relationship Id="rId11" Type="http://schemas.openxmlformats.org/officeDocument/2006/relationships/oleObject" Target="embeddings/Microsoft_Visio_2003-2010___1.vsd"/><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Info spid="_x0000_s1031"/>
    <customShpInfo spid="_x0000_s1029"/>
    <customShpInfo spid="_x0000_s1030"/>
  </customShpExts>
</s:customData>
</file>

<file path=customXml/item2.xml><?xml version="1.0" encoding="utf-8"?>
<b:Sources xmlns:b="http://schemas.openxmlformats.org/officeDocument/2006/bibliography" StyleName="APA Fifth Edition" SelectedStyle="\APA.XSL"/>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534D02E-9029-44DC-A708-3DA149BFA6E2}">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27</Pages>
  <Words>1491</Words>
  <Characters>1687</Characters>
  <Lines>1610</Lines>
  <Paragraphs>1707</Paragraphs>
  <TotalTime>0</TotalTime>
  <ScaleCrop>false</ScaleCrop>
  <LinksUpToDate>false</LinksUpToDate>
  <CharactersWithSpaces>1779</CharactersWithSpaces>
  <Application>WPS Office_11.8.2.11542_F1E327BC-269C-435d-A152-05C5408002CA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2019-07-02T16:35:00Z</dcterms:created>
  <dc:creator>微软用户</dc:creator>
  <cp:lastModifiedBy>惠慧</cp:lastModifiedBy>
  <cp:lastPrinted>2022-05-11T11:51:00Z</cp:lastPrinted>
  <dcterms:modified xsi:type="dcterms:W3CDTF">2025-04-24T09:45:58Z</dcterms:modified>
  <cp:revision>79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2052-11.8.2.11542</vt:lpwstr>
  </property>
  <property fmtid="{D5CDD505-2E9C-101B-9397-08002B2CF9AE}" pid="3" name="ICV">
    <vt:lpwstr>096F679BD2334A54A6717017F021CAFB</vt:lpwstr>
  </property>
  <property fmtid="{D5CDD505-2E9C-101B-9397-08002B2CF9AE}" pid="4" name="commondata">
    <vt:lpwstr>eyJoZGlkIjoiYjRlNzZjM2JkMzA4OTU0MjMyYjJhMTEwNWM3MjE1NjYifQ==</vt:lpwstr>
  </property>
  <property fmtid="{D5CDD505-2E9C-101B-9397-08002B2CF9AE}" pid="5" name="KSOTemplateDocerSaveRecord">
    <vt:lpwstr>eyJoZGlkIjoiYjRlNzZjM2JkMzA4OTU0MjMyYjJhMTEwNWM3MjE1NjYiLCJ1c2VySWQiOiI0MTUzMzk5ODMifQ==</vt:lpwstr>
  </property>
</Properties>
</file>