
<file path=[Content_Types].xml><?xml version="1.0" encoding="utf-8"?>
<Types xmlns="http://schemas.openxmlformats.org/package/2006/content-types">
  <Default Extension="xml" ContentType="application/xml"/>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3"/>
        <w:ind w:firstLine="0" w:firstLineChars="0"/>
        <w:jc w:val="center"/>
        <w:rPr>
          <w:b/>
          <w:bCs/>
          <w:sz w:val="32"/>
          <w:szCs w:val="32"/>
        </w:rPr>
      </w:pPr>
      <w:bookmarkStart w:id="0" w:name="_Toc39060601"/>
      <w:bookmarkStart w:id="1" w:name="_Toc480365642"/>
      <w:bookmarkStart w:id="2" w:name="_Toc481561128"/>
      <w:bookmarkStart w:id="3" w:name="_Toc24450513"/>
      <w:bookmarkStart w:id="4" w:name="_Toc24450269"/>
      <w:bookmarkStart w:id="5" w:name="_Toc480011469"/>
      <w:bookmarkStart w:id="6" w:name="_Toc37756414"/>
      <w:bookmarkStart w:id="7" w:name="_Toc481561127"/>
      <w:bookmarkStart w:id="8" w:name="_Toc484149137"/>
      <w:bookmarkStart w:id="9" w:name="_Toc480555248"/>
      <w:bookmarkStart w:id="10" w:name="_Toc480011468"/>
      <w:bookmarkStart w:id="11" w:name="_Toc39060679"/>
      <w:bookmarkStart w:id="12" w:name="_Toc480085202"/>
      <w:bookmarkStart w:id="13" w:name="_Toc479989359"/>
      <w:bookmarkStart w:id="14" w:name="_Toc36028806"/>
      <w:bookmarkStart w:id="15" w:name="_Toc36028805"/>
      <w:bookmarkStart w:id="16" w:name="_Toc480944903"/>
      <w:bookmarkStart w:id="17" w:name="_Toc37756413"/>
      <w:bookmarkStart w:id="18" w:name="_Toc24449921"/>
      <w:bookmarkStart w:id="19" w:name="_Toc480085203"/>
      <w:bookmarkStart w:id="20" w:name="_Toc480086135"/>
      <w:bookmarkStart w:id="21" w:name="_Toc480086136"/>
      <w:bookmarkStart w:id="22" w:name="_Toc480365641"/>
      <w:bookmarkStart w:id="23" w:name="_Toc480944902"/>
      <w:bookmarkStart w:id="24" w:name="_Toc24450170"/>
      <w:bookmarkStart w:id="25" w:name="_Toc480555249"/>
      <w:bookmarkStart w:id="26" w:name="_Toc39060674"/>
    </w:p>
    <w:p>
      <w:pPr>
        <w:pStyle w:val="13"/>
        <w:ind w:firstLine="0" w:firstLineChars="0"/>
        <w:jc w:val="center"/>
        <w:rPr>
          <w:b/>
          <w:bCs/>
          <w:sz w:val="32"/>
          <w:szCs w:val="32"/>
        </w:rPr>
      </w:pPr>
    </w:p>
    <w:p>
      <w:pPr>
        <w:pStyle w:val="13"/>
        <w:ind w:firstLine="0" w:firstLineChars="0"/>
        <w:jc w:val="center"/>
        <w:rPr>
          <w:b/>
          <w:bCs/>
          <w:sz w:val="32"/>
          <w:szCs w:val="32"/>
        </w:rPr>
      </w:pPr>
    </w:p>
    <w:p>
      <w:pPr>
        <w:pStyle w:val="13"/>
        <w:ind w:firstLine="0" w:firstLineChars="0"/>
        <w:jc w:val="center"/>
        <w:rPr>
          <w:b/>
          <w:bCs/>
          <w:sz w:val="32"/>
          <w:szCs w:val="32"/>
        </w:rPr>
      </w:pPr>
      <w:r>
        <w:rPr>
          <w:rFonts w:hint="eastAsia" w:ascii="黑体" w:eastAsia="黑体"/>
          <w:b/>
          <w:bCs/>
          <w:sz w:val="52"/>
          <w:szCs w:val="52"/>
        </w:rPr>
        <w:t>广州市轨道交通线网指挥平台二期通信系统及大屏幕等终端设备采购项目</w:t>
      </w:r>
    </w:p>
    <w:p>
      <w:pPr>
        <w:pStyle w:val="13"/>
        <w:ind w:firstLine="0" w:firstLineChars="0"/>
        <w:rPr>
          <w:sz w:val="44"/>
          <w:szCs w:val="44"/>
        </w:rPr>
      </w:pPr>
    </w:p>
    <w:p>
      <w:pPr>
        <w:pStyle w:val="13"/>
        <w:ind w:firstLine="0" w:firstLineChars="0"/>
        <w:rPr>
          <w:sz w:val="44"/>
          <w:szCs w:val="44"/>
        </w:rPr>
      </w:pPr>
    </w:p>
    <w:p>
      <w:pPr>
        <w:pStyle w:val="13"/>
        <w:ind w:firstLine="0" w:firstLineChars="0"/>
        <w:rPr>
          <w:sz w:val="44"/>
          <w:szCs w:val="44"/>
        </w:rPr>
      </w:pPr>
    </w:p>
    <w:p>
      <w:pPr>
        <w:pStyle w:val="13"/>
        <w:ind w:firstLine="0" w:firstLineChars="0"/>
        <w:jc w:val="center"/>
      </w:pPr>
    </w:p>
    <w:p>
      <w:pPr>
        <w:pStyle w:val="13"/>
        <w:ind w:firstLine="0" w:firstLineChars="0"/>
        <w:jc w:val="center"/>
        <w:rPr>
          <w:rFonts w:ascii="黑体" w:eastAsia="黑体"/>
          <w:b/>
          <w:bCs/>
          <w:sz w:val="52"/>
          <w:szCs w:val="52"/>
        </w:rPr>
      </w:pPr>
      <w:r>
        <w:rPr>
          <w:rFonts w:hint="eastAsia" w:ascii="黑体" w:eastAsia="黑体"/>
          <w:b/>
          <w:bCs/>
          <w:sz w:val="52"/>
          <w:szCs w:val="52"/>
        </w:rPr>
        <w:t>用户需求书</w:t>
      </w:r>
    </w:p>
    <w:p>
      <w:pPr>
        <w:pStyle w:val="13"/>
        <w:ind w:firstLine="0" w:firstLineChars="0"/>
      </w:pPr>
    </w:p>
    <w:p>
      <w:pPr>
        <w:jc w:val="center"/>
      </w:pPr>
      <w:r>
        <w:rPr>
          <w:rFonts w:hint="eastAsia"/>
          <w:b/>
          <w:sz w:val="30"/>
          <w:szCs w:val="30"/>
        </w:rPr>
        <w:t>第二册工程概况及供货范围</w:t>
      </w:r>
    </w:p>
    <w:p>
      <w:pPr>
        <w:pStyle w:val="13"/>
        <w:ind w:firstLine="0" w:firstLineChars="0"/>
        <w:jc w:val="center"/>
      </w:pPr>
    </w:p>
    <w:p>
      <w:pPr>
        <w:pStyle w:val="13"/>
        <w:ind w:firstLine="0" w:firstLineChars="0"/>
      </w:pPr>
    </w:p>
    <w:p>
      <w:pPr>
        <w:pStyle w:val="13"/>
        <w:ind w:firstLine="0" w:firstLineChars="0"/>
      </w:pPr>
    </w:p>
    <w:p>
      <w:pPr>
        <w:pStyle w:val="13"/>
        <w:ind w:firstLine="0" w:firstLineChars="0"/>
      </w:pPr>
    </w:p>
    <w:p>
      <w:pPr>
        <w:pStyle w:val="13"/>
        <w:ind w:firstLine="0" w:firstLineChars="0"/>
      </w:pPr>
    </w:p>
    <w:p>
      <w:pPr>
        <w:pStyle w:val="13"/>
        <w:ind w:firstLine="0" w:firstLineChars="0"/>
      </w:pPr>
    </w:p>
    <w:p>
      <w:pPr>
        <w:pStyle w:val="13"/>
        <w:ind w:firstLine="0" w:firstLineChars="0"/>
      </w:pPr>
    </w:p>
    <w:p>
      <w:pPr>
        <w:pStyle w:val="13"/>
        <w:ind w:firstLine="0" w:firstLineChars="0"/>
      </w:pPr>
    </w:p>
    <w:p>
      <w:pPr>
        <w:jc w:val="center"/>
        <w:rPr>
          <w:rFonts w:ascii="宋体"/>
          <w:b/>
          <w:sz w:val="30"/>
        </w:rPr>
      </w:pPr>
      <w:r>
        <w:rPr>
          <w:rFonts w:hint="eastAsia"/>
        </w:rPr>
        <w:t>2025年4月</w:t>
      </w:r>
      <w:r>
        <w:rPr>
          <w:rFonts w:ascii="黑体" w:eastAsia="黑体"/>
          <w:b/>
          <w:sz w:val="32"/>
          <w:szCs w:val="32"/>
        </w:rPr>
        <w:br w:type="page"/>
      </w:r>
      <w:r>
        <w:rPr>
          <w:rFonts w:hint="eastAsia" w:ascii="宋体"/>
          <w:b/>
          <w:sz w:val="30"/>
        </w:rPr>
        <w:t>目录</w:t>
      </w:r>
    </w:p>
    <w:p>
      <w:pPr>
        <w:pStyle w:val="20"/>
        <w:tabs>
          <w:tab w:val="right" w:leader="dot" w:pos="8980"/>
          <w:tab w:val="clear" w:pos="840"/>
          <w:tab w:val="clear" w:pos="8820"/>
        </w:tabs>
      </w:pPr>
      <w:r>
        <w:rPr>
          <w:b/>
          <w:sz w:val="30"/>
        </w:rPr>
        <w:fldChar w:fldCharType="begin"/>
      </w:r>
      <w:r>
        <w:rPr>
          <w:b/>
          <w:sz w:val="30"/>
        </w:rPr>
        <w:instrText xml:space="preserve"> TOC \o "1-3" \h \z \u </w:instrText>
      </w:r>
      <w:r>
        <w:rPr>
          <w:b/>
          <w:sz w:val="30"/>
        </w:rPr>
        <w:fldChar w:fldCharType="separate"/>
      </w:r>
      <w:r>
        <w:fldChar w:fldCharType="begin"/>
      </w:r>
      <w:r>
        <w:instrText xml:space="preserve"> HYPERLINK \l "_Toc16235" </w:instrText>
      </w:r>
      <w:r>
        <w:fldChar w:fldCharType="separate"/>
      </w:r>
      <w:r>
        <w:rPr>
          <w:rFonts w:hint="eastAsia"/>
        </w:rPr>
        <w:t>1 分册说明</w:t>
      </w:r>
      <w:r>
        <w:tab/>
      </w:r>
      <w:r>
        <w:fldChar w:fldCharType="begin"/>
      </w:r>
      <w:r>
        <w:instrText xml:space="preserve"> PAGEREF _Toc16235 \h </w:instrText>
      </w:r>
      <w:r>
        <w:fldChar w:fldCharType="separate"/>
      </w:r>
      <w:r>
        <w:t>3</w:t>
      </w:r>
      <w:r>
        <w:fldChar w:fldCharType="end"/>
      </w:r>
      <w:r>
        <w:fldChar w:fldCharType="end"/>
      </w:r>
    </w:p>
    <w:p>
      <w:pPr>
        <w:pStyle w:val="20"/>
        <w:tabs>
          <w:tab w:val="right" w:leader="dot" w:pos="8980"/>
          <w:tab w:val="clear" w:pos="840"/>
          <w:tab w:val="clear" w:pos="8820"/>
        </w:tabs>
      </w:pPr>
      <w:r>
        <w:fldChar w:fldCharType="begin"/>
      </w:r>
      <w:r>
        <w:instrText xml:space="preserve"> HYPERLINK \l "_Toc17022" </w:instrText>
      </w:r>
      <w:r>
        <w:fldChar w:fldCharType="separate"/>
      </w:r>
      <w:r>
        <w:rPr>
          <w:rFonts w:hint="eastAsia"/>
        </w:rPr>
        <w:t>2 线网规划概述</w:t>
      </w:r>
      <w:bookmarkStart w:id="87" w:name="_GoBack"/>
      <w:bookmarkEnd w:id="87"/>
      <w:r>
        <w:tab/>
      </w:r>
      <w:r>
        <w:fldChar w:fldCharType="begin"/>
      </w:r>
      <w:r>
        <w:instrText xml:space="preserve"> PAGEREF _Toc17022 \h </w:instrText>
      </w:r>
      <w:r>
        <w:fldChar w:fldCharType="separate"/>
      </w:r>
      <w:r>
        <w:t>3</w:t>
      </w:r>
      <w:r>
        <w:fldChar w:fldCharType="end"/>
      </w:r>
      <w:r>
        <w:fldChar w:fldCharType="end"/>
      </w:r>
    </w:p>
    <w:p>
      <w:pPr>
        <w:pStyle w:val="20"/>
        <w:tabs>
          <w:tab w:val="right" w:leader="dot" w:pos="8980"/>
          <w:tab w:val="clear" w:pos="840"/>
          <w:tab w:val="clear" w:pos="8820"/>
        </w:tabs>
      </w:pPr>
      <w:r>
        <w:fldChar w:fldCharType="begin"/>
      </w:r>
      <w:r>
        <w:instrText xml:space="preserve"> HYPERLINK \l "_Toc22372" </w:instrText>
      </w:r>
      <w:r>
        <w:fldChar w:fldCharType="separate"/>
      </w:r>
      <w:r>
        <w:rPr>
          <w:rFonts w:hint="eastAsia"/>
        </w:rPr>
        <w:t>3 控制中心规划及现状概述</w:t>
      </w:r>
      <w:r>
        <w:tab/>
      </w:r>
      <w:r>
        <w:fldChar w:fldCharType="begin"/>
      </w:r>
      <w:r>
        <w:instrText xml:space="preserve"> PAGEREF _Toc22372 \h </w:instrText>
      </w:r>
      <w:r>
        <w:fldChar w:fldCharType="separate"/>
      </w:r>
      <w:r>
        <w:t>4</w:t>
      </w:r>
      <w:r>
        <w:fldChar w:fldCharType="end"/>
      </w:r>
      <w:r>
        <w:fldChar w:fldCharType="end"/>
      </w:r>
    </w:p>
    <w:p>
      <w:pPr>
        <w:pStyle w:val="20"/>
        <w:tabs>
          <w:tab w:val="right" w:leader="dot" w:pos="8980"/>
          <w:tab w:val="clear" w:pos="840"/>
          <w:tab w:val="clear" w:pos="8820"/>
        </w:tabs>
      </w:pPr>
      <w:r>
        <w:fldChar w:fldCharType="begin"/>
      </w:r>
      <w:r>
        <w:instrText xml:space="preserve"> HYPERLINK \l "_Toc24642" </w:instrText>
      </w:r>
      <w:r>
        <w:fldChar w:fldCharType="separate"/>
      </w:r>
      <w:r>
        <w:rPr>
          <w:rFonts w:hint="eastAsia"/>
        </w:rPr>
        <w:t>4 线网指挥系统工程概况</w:t>
      </w:r>
      <w:r>
        <w:tab/>
      </w:r>
      <w:r>
        <w:fldChar w:fldCharType="begin"/>
      </w:r>
      <w:r>
        <w:instrText xml:space="preserve"> PAGEREF _Toc24642 \h </w:instrText>
      </w:r>
      <w:r>
        <w:fldChar w:fldCharType="separate"/>
      </w:r>
      <w:r>
        <w:t>6</w:t>
      </w:r>
      <w:r>
        <w:fldChar w:fldCharType="end"/>
      </w:r>
      <w:r>
        <w:fldChar w:fldCharType="end"/>
      </w:r>
    </w:p>
    <w:p>
      <w:pPr>
        <w:pStyle w:val="20"/>
        <w:tabs>
          <w:tab w:val="right" w:leader="dot" w:pos="8980"/>
          <w:tab w:val="clear" w:pos="840"/>
          <w:tab w:val="clear" w:pos="8820"/>
        </w:tabs>
      </w:pPr>
      <w:r>
        <w:fldChar w:fldCharType="begin"/>
      </w:r>
      <w:r>
        <w:instrText xml:space="preserve"> HYPERLINK \l "_Toc18725" </w:instrText>
      </w:r>
      <w:r>
        <w:fldChar w:fldCharType="separate"/>
      </w:r>
      <w:r>
        <w:rPr>
          <w:rFonts w:hint="eastAsia"/>
        </w:rPr>
        <w:t>5 工程条件</w:t>
      </w:r>
      <w:r>
        <w:tab/>
      </w:r>
      <w:r>
        <w:fldChar w:fldCharType="begin"/>
      </w:r>
      <w:r>
        <w:instrText xml:space="preserve"> PAGEREF _Toc18725 \h </w:instrText>
      </w:r>
      <w:r>
        <w:fldChar w:fldCharType="separate"/>
      </w:r>
      <w:r>
        <w:t>7</w:t>
      </w:r>
      <w:r>
        <w:fldChar w:fldCharType="end"/>
      </w:r>
      <w:r>
        <w:fldChar w:fldCharType="end"/>
      </w:r>
    </w:p>
    <w:p>
      <w:pPr>
        <w:pStyle w:val="20"/>
        <w:tabs>
          <w:tab w:val="right" w:leader="dot" w:pos="8980"/>
          <w:tab w:val="clear" w:pos="840"/>
          <w:tab w:val="clear" w:pos="8820"/>
        </w:tabs>
      </w:pPr>
      <w:r>
        <w:fldChar w:fldCharType="begin"/>
      </w:r>
      <w:r>
        <w:instrText xml:space="preserve"> HYPERLINK \l "_Toc13683" </w:instrText>
      </w:r>
      <w:r>
        <w:fldChar w:fldCharType="separate"/>
      </w:r>
      <w:r>
        <w:rPr>
          <w:rFonts w:hint="eastAsia"/>
        </w:rPr>
        <w:t>6 标准与规范</w:t>
      </w:r>
      <w:r>
        <w:tab/>
      </w:r>
      <w:r>
        <w:fldChar w:fldCharType="begin"/>
      </w:r>
      <w:r>
        <w:instrText xml:space="preserve"> PAGEREF _Toc13683 \h </w:instrText>
      </w:r>
      <w:r>
        <w:fldChar w:fldCharType="separate"/>
      </w:r>
      <w:r>
        <w:t>7</w:t>
      </w:r>
      <w:r>
        <w:fldChar w:fldCharType="end"/>
      </w:r>
      <w:r>
        <w:fldChar w:fldCharType="end"/>
      </w:r>
    </w:p>
    <w:p>
      <w:pPr>
        <w:pStyle w:val="20"/>
        <w:tabs>
          <w:tab w:val="right" w:leader="dot" w:pos="8980"/>
          <w:tab w:val="clear" w:pos="840"/>
          <w:tab w:val="clear" w:pos="8820"/>
        </w:tabs>
      </w:pPr>
      <w:r>
        <w:fldChar w:fldCharType="begin"/>
      </w:r>
      <w:r>
        <w:instrText xml:space="preserve"> HYPERLINK \l "_Toc10068" </w:instrText>
      </w:r>
      <w:r>
        <w:fldChar w:fldCharType="separate"/>
      </w:r>
      <w:r>
        <w:rPr>
          <w:rFonts w:hint="eastAsia"/>
        </w:rPr>
        <w:t>7 基本要求</w:t>
      </w:r>
      <w:r>
        <w:tab/>
      </w:r>
      <w:r>
        <w:fldChar w:fldCharType="begin"/>
      </w:r>
      <w:r>
        <w:instrText xml:space="preserve"> PAGEREF _Toc10068 \h </w:instrText>
      </w:r>
      <w:r>
        <w:fldChar w:fldCharType="separate"/>
      </w:r>
      <w:r>
        <w:t>8</w:t>
      </w:r>
      <w:r>
        <w:fldChar w:fldCharType="end"/>
      </w:r>
      <w:r>
        <w:fldChar w:fldCharType="end"/>
      </w:r>
    </w:p>
    <w:p>
      <w:pPr>
        <w:pStyle w:val="20"/>
        <w:tabs>
          <w:tab w:val="right" w:leader="dot" w:pos="8980"/>
          <w:tab w:val="clear" w:pos="840"/>
          <w:tab w:val="clear" w:pos="8820"/>
        </w:tabs>
      </w:pPr>
      <w:r>
        <w:fldChar w:fldCharType="begin"/>
      </w:r>
      <w:r>
        <w:instrText xml:space="preserve"> HYPERLINK \l "_Toc27202" </w:instrText>
      </w:r>
      <w:r>
        <w:fldChar w:fldCharType="separate"/>
      </w:r>
      <w:r>
        <w:rPr>
          <w:rFonts w:hint="eastAsia"/>
        </w:rPr>
        <w:t>8 基本性能</w:t>
      </w:r>
      <w:r>
        <w:tab/>
      </w:r>
      <w:r>
        <w:fldChar w:fldCharType="begin"/>
      </w:r>
      <w:r>
        <w:instrText xml:space="preserve"> PAGEREF _Toc27202 \h </w:instrText>
      </w:r>
      <w:r>
        <w:fldChar w:fldCharType="separate"/>
      </w:r>
      <w:r>
        <w:t>9</w:t>
      </w:r>
      <w:r>
        <w:fldChar w:fldCharType="end"/>
      </w:r>
      <w:r>
        <w:fldChar w:fldCharType="end"/>
      </w:r>
    </w:p>
    <w:p>
      <w:pPr>
        <w:pStyle w:val="20"/>
        <w:tabs>
          <w:tab w:val="right" w:leader="dot" w:pos="8980"/>
          <w:tab w:val="clear" w:pos="840"/>
          <w:tab w:val="clear" w:pos="8820"/>
        </w:tabs>
      </w:pPr>
      <w:r>
        <w:fldChar w:fldCharType="begin"/>
      </w:r>
      <w:r>
        <w:instrText xml:space="preserve"> HYPERLINK \l "_Toc24823" </w:instrText>
      </w:r>
      <w:r>
        <w:fldChar w:fldCharType="separate"/>
      </w:r>
      <w:r>
        <w:rPr>
          <w:rFonts w:hint="eastAsia"/>
        </w:rPr>
        <w:t>9 产品要求</w:t>
      </w:r>
      <w:r>
        <w:tab/>
      </w:r>
      <w:r>
        <w:fldChar w:fldCharType="begin"/>
      </w:r>
      <w:r>
        <w:instrText xml:space="preserve"> PAGEREF _Toc24823 \h </w:instrText>
      </w:r>
      <w:r>
        <w:fldChar w:fldCharType="separate"/>
      </w:r>
      <w:r>
        <w:t>9</w:t>
      </w:r>
      <w:r>
        <w:fldChar w:fldCharType="end"/>
      </w:r>
      <w:r>
        <w:fldChar w:fldCharType="end"/>
      </w:r>
    </w:p>
    <w:p>
      <w:pPr>
        <w:pStyle w:val="20"/>
        <w:tabs>
          <w:tab w:val="right" w:leader="dot" w:pos="8980"/>
          <w:tab w:val="clear" w:pos="840"/>
          <w:tab w:val="clear" w:pos="8820"/>
        </w:tabs>
      </w:pPr>
      <w:r>
        <w:fldChar w:fldCharType="begin"/>
      </w:r>
      <w:r>
        <w:instrText xml:space="preserve"> HYPERLINK \l "_Toc25292" </w:instrText>
      </w:r>
      <w:r>
        <w:fldChar w:fldCharType="separate"/>
      </w:r>
      <w:r>
        <w:rPr>
          <w:rFonts w:hint="eastAsia"/>
        </w:rPr>
        <w:t>10 配件和标识</w:t>
      </w:r>
      <w:r>
        <w:tab/>
      </w:r>
      <w:r>
        <w:fldChar w:fldCharType="begin"/>
      </w:r>
      <w:r>
        <w:instrText xml:space="preserve"> PAGEREF _Toc25292 \h </w:instrText>
      </w:r>
      <w:r>
        <w:fldChar w:fldCharType="separate"/>
      </w:r>
      <w:r>
        <w:t>11</w:t>
      </w:r>
      <w:r>
        <w:fldChar w:fldCharType="end"/>
      </w:r>
      <w:r>
        <w:fldChar w:fldCharType="end"/>
      </w:r>
    </w:p>
    <w:p>
      <w:pPr>
        <w:pStyle w:val="20"/>
        <w:tabs>
          <w:tab w:val="right" w:leader="dot" w:pos="8980"/>
          <w:tab w:val="clear" w:pos="840"/>
          <w:tab w:val="clear" w:pos="8820"/>
        </w:tabs>
      </w:pPr>
      <w:r>
        <w:fldChar w:fldCharType="begin"/>
      </w:r>
      <w:r>
        <w:instrText xml:space="preserve"> HYPERLINK \l "_Toc32286" </w:instrText>
      </w:r>
      <w:r>
        <w:fldChar w:fldCharType="separate"/>
      </w:r>
      <w:r>
        <w:rPr>
          <w:rFonts w:hint="eastAsia"/>
        </w:rPr>
        <w:t>11 物理外形及结构设计</w:t>
      </w:r>
      <w:r>
        <w:tab/>
      </w:r>
      <w:r>
        <w:fldChar w:fldCharType="begin"/>
      </w:r>
      <w:r>
        <w:instrText xml:space="preserve"> PAGEREF _Toc32286 \h </w:instrText>
      </w:r>
      <w:r>
        <w:fldChar w:fldCharType="separate"/>
      </w:r>
      <w:r>
        <w:t>12</w:t>
      </w:r>
      <w:r>
        <w:fldChar w:fldCharType="end"/>
      </w:r>
      <w:r>
        <w:fldChar w:fldCharType="end"/>
      </w:r>
    </w:p>
    <w:p>
      <w:pPr>
        <w:pStyle w:val="20"/>
        <w:tabs>
          <w:tab w:val="right" w:leader="dot" w:pos="8980"/>
          <w:tab w:val="clear" w:pos="840"/>
          <w:tab w:val="clear" w:pos="8820"/>
        </w:tabs>
      </w:pPr>
      <w:r>
        <w:fldChar w:fldCharType="begin"/>
      </w:r>
      <w:r>
        <w:instrText xml:space="preserve"> HYPERLINK \l "_Toc4517" </w:instrText>
      </w:r>
      <w:r>
        <w:fldChar w:fldCharType="separate"/>
      </w:r>
      <w:r>
        <w:rPr>
          <w:rFonts w:hint="eastAsia"/>
        </w:rPr>
        <w:t>12 缩写说明</w:t>
      </w:r>
      <w:r>
        <w:tab/>
      </w:r>
      <w:r>
        <w:fldChar w:fldCharType="begin"/>
      </w:r>
      <w:r>
        <w:instrText xml:space="preserve"> PAGEREF _Toc4517 \h </w:instrText>
      </w:r>
      <w:r>
        <w:fldChar w:fldCharType="separate"/>
      </w:r>
      <w:r>
        <w:t>12</w:t>
      </w:r>
      <w:r>
        <w:fldChar w:fldCharType="end"/>
      </w:r>
      <w:r>
        <w:fldChar w:fldCharType="end"/>
      </w:r>
    </w:p>
    <w:p>
      <w:pPr>
        <w:pStyle w:val="20"/>
        <w:tabs>
          <w:tab w:val="right" w:leader="dot" w:pos="8980"/>
          <w:tab w:val="clear" w:pos="840"/>
          <w:tab w:val="clear" w:pos="8820"/>
        </w:tabs>
      </w:pPr>
      <w:r>
        <w:fldChar w:fldCharType="begin"/>
      </w:r>
      <w:r>
        <w:instrText xml:space="preserve"> HYPERLINK \l "_Toc3787" </w:instrText>
      </w:r>
      <w:r>
        <w:fldChar w:fldCharType="separate"/>
      </w:r>
      <w:r>
        <w:rPr>
          <w:rFonts w:hint="eastAsia"/>
        </w:rPr>
        <w:t>13 供货范围</w:t>
      </w:r>
      <w:r>
        <w:tab/>
      </w:r>
      <w:r>
        <w:fldChar w:fldCharType="begin"/>
      </w:r>
      <w:r>
        <w:instrText xml:space="preserve"> PAGEREF _Toc3787 \h </w:instrText>
      </w:r>
      <w:r>
        <w:fldChar w:fldCharType="separate"/>
      </w:r>
      <w:r>
        <w:t>13</w:t>
      </w:r>
      <w:r>
        <w:fldChar w:fldCharType="end"/>
      </w:r>
      <w:r>
        <w:fldChar w:fldCharType="end"/>
      </w:r>
    </w:p>
    <w:p>
      <w:pPr>
        <w:pStyle w:val="25"/>
        <w:tabs>
          <w:tab w:val="right" w:leader="dot" w:pos="8980"/>
          <w:tab w:val="clear" w:pos="1260"/>
          <w:tab w:val="clear" w:pos="8820"/>
        </w:tabs>
      </w:pPr>
      <w:r>
        <w:fldChar w:fldCharType="begin"/>
      </w:r>
      <w:r>
        <w:instrText xml:space="preserve"> HYPERLINK \l "_Toc30616" </w:instrText>
      </w:r>
      <w:r>
        <w:fldChar w:fldCharType="separate"/>
      </w:r>
      <w:r>
        <w:rPr>
          <w:rFonts w:hint="eastAsia" w:ascii="黑体"/>
          <w:bCs/>
          <w:szCs w:val="32"/>
        </w:rPr>
        <w:t>13.</w:t>
      </w:r>
      <w:r>
        <w:rPr>
          <w:rFonts w:ascii="黑体"/>
          <w:bCs/>
          <w:szCs w:val="32"/>
        </w:rPr>
        <w:t>1</w:t>
      </w:r>
      <w:r>
        <w:rPr>
          <w:rFonts w:hint="eastAsia" w:ascii="黑体"/>
          <w:bCs/>
          <w:szCs w:val="32"/>
        </w:rPr>
        <w:t>供货范围</w:t>
      </w:r>
      <w:r>
        <w:tab/>
      </w:r>
      <w:r>
        <w:fldChar w:fldCharType="begin"/>
      </w:r>
      <w:r>
        <w:instrText xml:space="preserve"> PAGEREF _Toc30616 \h </w:instrText>
      </w:r>
      <w:r>
        <w:fldChar w:fldCharType="separate"/>
      </w:r>
      <w:r>
        <w:t>13</w:t>
      </w:r>
      <w:r>
        <w:fldChar w:fldCharType="end"/>
      </w:r>
      <w:r>
        <w:fldChar w:fldCharType="end"/>
      </w:r>
    </w:p>
    <w:p>
      <w:pPr>
        <w:pStyle w:val="25"/>
        <w:tabs>
          <w:tab w:val="right" w:leader="dot" w:pos="8980"/>
          <w:tab w:val="clear" w:pos="1260"/>
          <w:tab w:val="clear" w:pos="8820"/>
        </w:tabs>
      </w:pPr>
      <w:r>
        <w:fldChar w:fldCharType="begin"/>
      </w:r>
      <w:r>
        <w:instrText xml:space="preserve"> HYPERLINK \l "_Toc17956" </w:instrText>
      </w:r>
      <w:r>
        <w:fldChar w:fldCharType="separate"/>
      </w:r>
      <w:r>
        <w:rPr>
          <w:rFonts w:hint="eastAsia" w:ascii="黑体"/>
          <w:bCs/>
          <w:szCs w:val="32"/>
        </w:rPr>
        <w:t>13.2随机附件</w:t>
      </w:r>
      <w:r>
        <w:tab/>
      </w:r>
      <w:r>
        <w:fldChar w:fldCharType="begin"/>
      </w:r>
      <w:r>
        <w:instrText xml:space="preserve"> PAGEREF _Toc17956 \h </w:instrText>
      </w:r>
      <w:r>
        <w:fldChar w:fldCharType="separate"/>
      </w:r>
      <w:r>
        <w:t>15</w:t>
      </w:r>
      <w:r>
        <w:fldChar w:fldCharType="end"/>
      </w:r>
      <w:r>
        <w:fldChar w:fldCharType="end"/>
      </w:r>
    </w:p>
    <w:p>
      <w:pPr>
        <w:pStyle w:val="25"/>
        <w:tabs>
          <w:tab w:val="right" w:leader="dot" w:pos="8980"/>
          <w:tab w:val="clear" w:pos="1260"/>
          <w:tab w:val="clear" w:pos="8820"/>
        </w:tabs>
      </w:pPr>
      <w:r>
        <w:fldChar w:fldCharType="begin"/>
      </w:r>
      <w:r>
        <w:instrText xml:space="preserve"> HYPERLINK \l "_Toc660" </w:instrText>
      </w:r>
      <w:r>
        <w:fldChar w:fldCharType="separate"/>
      </w:r>
      <w:r>
        <w:rPr>
          <w:rFonts w:hint="eastAsia" w:ascii="黑体"/>
          <w:bCs/>
          <w:szCs w:val="32"/>
        </w:rPr>
        <w:t>13.3专用工具及仪器仪表</w:t>
      </w:r>
      <w:r>
        <w:tab/>
      </w:r>
      <w:r>
        <w:fldChar w:fldCharType="begin"/>
      </w:r>
      <w:r>
        <w:instrText xml:space="preserve"> PAGEREF _Toc660 \h </w:instrText>
      </w:r>
      <w:r>
        <w:fldChar w:fldCharType="separate"/>
      </w:r>
      <w:r>
        <w:t>15</w:t>
      </w:r>
      <w:r>
        <w:fldChar w:fldCharType="end"/>
      </w:r>
      <w:r>
        <w:fldChar w:fldCharType="end"/>
      </w:r>
    </w:p>
    <w:p>
      <w:pPr>
        <w:pStyle w:val="20"/>
        <w:tabs>
          <w:tab w:val="right" w:leader="dot" w:pos="8980"/>
          <w:tab w:val="clear" w:pos="840"/>
          <w:tab w:val="clear" w:pos="8820"/>
        </w:tabs>
      </w:pPr>
      <w:r>
        <w:fldChar w:fldCharType="begin"/>
      </w:r>
      <w:r>
        <w:instrText xml:space="preserve"> HYPERLINK \l "_Toc19512" </w:instrText>
      </w:r>
      <w:r>
        <w:fldChar w:fldCharType="separate"/>
      </w:r>
      <w:r>
        <w:rPr>
          <w:rFonts w:hint="eastAsia"/>
        </w:rPr>
        <w:t>1</w:t>
      </w:r>
      <w:r>
        <w:t>4</w:t>
      </w:r>
      <w:r>
        <w:rPr>
          <w:rFonts w:hint="eastAsia"/>
        </w:rPr>
        <w:t xml:space="preserve"> 与施工单位的界面</w:t>
      </w:r>
      <w:r>
        <w:tab/>
      </w:r>
      <w:r>
        <w:fldChar w:fldCharType="begin"/>
      </w:r>
      <w:r>
        <w:instrText xml:space="preserve"> PAGEREF _Toc19512 \h </w:instrText>
      </w:r>
      <w:r>
        <w:fldChar w:fldCharType="separate"/>
      </w:r>
      <w:r>
        <w:t>16</w:t>
      </w:r>
      <w:r>
        <w:fldChar w:fldCharType="end"/>
      </w:r>
      <w:r>
        <w:fldChar w:fldCharType="end"/>
      </w:r>
    </w:p>
    <w:p>
      <w:pPr>
        <w:pStyle w:val="25"/>
        <w:tabs>
          <w:tab w:val="right" w:leader="dot" w:pos="8980"/>
          <w:tab w:val="clear" w:pos="1260"/>
          <w:tab w:val="clear" w:pos="8820"/>
        </w:tabs>
      </w:pPr>
      <w:r>
        <w:fldChar w:fldCharType="begin"/>
      </w:r>
      <w:r>
        <w:instrText xml:space="preserve"> HYPERLINK \l "_Toc19681" </w:instrText>
      </w:r>
      <w:r>
        <w:fldChar w:fldCharType="separate"/>
      </w:r>
      <w:r>
        <w:rPr>
          <w:rFonts w:ascii="黑体" w:hAnsi="宋体"/>
          <w:bCs/>
          <w:szCs w:val="32"/>
          <w:shd w:val="clear" w:color="auto" w:fill="FFFFFF"/>
        </w:rPr>
        <w:t>1</w:t>
      </w:r>
      <w:r>
        <w:rPr>
          <w:rFonts w:ascii="黑体"/>
          <w:bCs/>
          <w:szCs w:val="32"/>
        </w:rPr>
        <w:t>4</w:t>
      </w:r>
      <w:r>
        <w:rPr>
          <w:rFonts w:ascii="黑体" w:hAnsi="宋体"/>
          <w:bCs/>
          <w:szCs w:val="32"/>
          <w:shd w:val="clear" w:color="auto" w:fill="FFFFFF"/>
        </w:rPr>
        <w:t>.1</w:t>
      </w:r>
      <w:r>
        <w:rPr>
          <w:rFonts w:hint="eastAsia" w:ascii="黑体" w:hAnsi="宋体"/>
          <w:bCs/>
          <w:szCs w:val="32"/>
          <w:shd w:val="clear" w:color="auto" w:fill="FFFFFF"/>
        </w:rPr>
        <w:t>供货及施工范围</w:t>
      </w:r>
      <w:r>
        <w:tab/>
      </w:r>
      <w:r>
        <w:fldChar w:fldCharType="begin"/>
      </w:r>
      <w:r>
        <w:instrText xml:space="preserve"> PAGEREF _Toc19681 \h </w:instrText>
      </w:r>
      <w:r>
        <w:fldChar w:fldCharType="separate"/>
      </w:r>
      <w:r>
        <w:t>16</w:t>
      </w:r>
      <w:r>
        <w:fldChar w:fldCharType="end"/>
      </w:r>
      <w:r>
        <w:fldChar w:fldCharType="end"/>
      </w:r>
    </w:p>
    <w:p>
      <w:pPr>
        <w:pStyle w:val="25"/>
        <w:tabs>
          <w:tab w:val="right" w:leader="dot" w:pos="8980"/>
          <w:tab w:val="clear" w:pos="1260"/>
          <w:tab w:val="clear" w:pos="8820"/>
        </w:tabs>
      </w:pPr>
      <w:r>
        <w:fldChar w:fldCharType="begin"/>
      </w:r>
      <w:r>
        <w:instrText xml:space="preserve"> HYPERLINK \l "_Toc25304" </w:instrText>
      </w:r>
      <w:r>
        <w:fldChar w:fldCharType="separate"/>
      </w:r>
      <w:r>
        <w:rPr>
          <w:rFonts w:hint="eastAsia" w:ascii="黑体"/>
          <w:bCs/>
          <w:szCs w:val="32"/>
        </w:rPr>
        <w:t>1</w:t>
      </w:r>
      <w:r>
        <w:rPr>
          <w:rFonts w:ascii="黑体"/>
          <w:bCs/>
          <w:szCs w:val="32"/>
        </w:rPr>
        <w:t>4.2</w:t>
      </w:r>
      <w:r>
        <w:rPr>
          <w:rFonts w:hint="eastAsia" w:ascii="黑体"/>
          <w:bCs/>
          <w:szCs w:val="32"/>
        </w:rPr>
        <w:t>UPS的安装界面划分</w:t>
      </w:r>
      <w:r>
        <w:tab/>
      </w:r>
      <w:r>
        <w:fldChar w:fldCharType="begin"/>
      </w:r>
      <w:r>
        <w:instrText xml:space="preserve"> PAGEREF _Toc25304 \h </w:instrText>
      </w:r>
      <w:r>
        <w:fldChar w:fldCharType="separate"/>
      </w:r>
      <w:r>
        <w:t>16</w:t>
      </w:r>
      <w:r>
        <w:fldChar w:fldCharType="end"/>
      </w:r>
      <w:r>
        <w:fldChar w:fldCharType="end"/>
      </w:r>
    </w:p>
    <w:p>
      <w:pPr>
        <w:spacing w:line="360" w:lineRule="auto"/>
        <w:ind w:left="794" w:hanging="794"/>
        <w:rPr>
          <w:rFonts w:ascii="宋体"/>
          <w:b/>
          <w:sz w:val="30"/>
        </w:rPr>
      </w:pPr>
      <w:r>
        <w:rPr>
          <w:rFonts w:ascii="宋体" w:hAnsi="宋体" w:cs="宋体"/>
          <w:szCs w:val="21"/>
        </w:rPr>
        <w:fldChar w:fldCharType="end"/>
      </w:r>
    </w:p>
    <w:p>
      <w:pPr>
        <w:pStyle w:val="2"/>
        <w:spacing w:before="0" w:after="0" w:line="360" w:lineRule="auto"/>
        <w:ind w:left="794" w:hanging="794"/>
        <w:rPr>
          <w:rFonts w:ascii="宋体"/>
          <w:b w:val="0"/>
          <w:sz w:val="30"/>
        </w:rPr>
      </w:pPr>
      <w:r>
        <w:rPr>
          <w:rFonts w:ascii="宋体"/>
          <w:b w:val="0"/>
          <w:sz w:val="30"/>
        </w:rPr>
        <w:br w:type="page"/>
      </w:r>
      <w:bookmarkEnd w:id="0"/>
      <w:bookmarkStart w:id="27" w:name="_Toc16235"/>
      <w:bookmarkStart w:id="28" w:name="_Toc302465728"/>
      <w:r>
        <w:rPr>
          <w:rFonts w:hint="eastAsia" w:ascii="宋体"/>
          <w:sz w:val="24"/>
        </w:rPr>
        <w:t>1 分册说明</w:t>
      </w:r>
      <w:bookmarkEnd w:id="27"/>
    </w:p>
    <w:p>
      <w:pPr>
        <w:pStyle w:val="9"/>
        <w:spacing w:line="480" w:lineRule="exact"/>
        <w:ind w:left="0" w:firstLine="420" w:firstLineChars="200"/>
        <w:rPr>
          <w:rFonts w:hAnsi="宋体"/>
          <w:szCs w:val="18"/>
          <w:lang w:val="zh-CN"/>
        </w:rPr>
      </w:pPr>
      <w:r>
        <w:rPr>
          <w:rFonts w:hint="eastAsia" w:hAnsi="宋体"/>
          <w:szCs w:val="18"/>
          <w:lang w:val="zh-CN"/>
        </w:rPr>
        <w:t xml:space="preserve">本用户需求书分为以下分册： </w:t>
      </w:r>
    </w:p>
    <w:p>
      <w:pPr>
        <w:pStyle w:val="9"/>
        <w:spacing w:line="480" w:lineRule="exact"/>
        <w:ind w:left="0" w:firstLine="420" w:firstLineChars="200"/>
        <w:rPr>
          <w:rFonts w:hAnsi="宋体"/>
          <w:szCs w:val="18"/>
          <w:lang w:val="zh-CN"/>
        </w:rPr>
      </w:pPr>
      <w:r>
        <w:rPr>
          <w:rFonts w:hint="eastAsia" w:hAnsi="宋体"/>
          <w:szCs w:val="18"/>
          <w:lang w:val="zh-CN"/>
        </w:rPr>
        <w:t>《第一册 通用要求》</w:t>
      </w:r>
    </w:p>
    <w:p>
      <w:pPr>
        <w:pStyle w:val="9"/>
        <w:spacing w:line="480" w:lineRule="exact"/>
        <w:ind w:left="0" w:firstLine="420" w:firstLineChars="200"/>
        <w:rPr>
          <w:rFonts w:hAnsi="宋体"/>
          <w:szCs w:val="18"/>
          <w:lang w:val="zh-CN"/>
        </w:rPr>
      </w:pPr>
      <w:r>
        <w:rPr>
          <w:rFonts w:hint="eastAsia" w:hAnsi="宋体"/>
          <w:szCs w:val="18"/>
          <w:lang w:val="zh-CN"/>
        </w:rPr>
        <w:t>《第二册 工程概况及供货范围》</w:t>
      </w:r>
    </w:p>
    <w:p>
      <w:pPr>
        <w:pStyle w:val="9"/>
        <w:spacing w:line="480" w:lineRule="exact"/>
        <w:ind w:left="0" w:firstLine="420" w:firstLineChars="200"/>
        <w:rPr>
          <w:rFonts w:hAnsi="宋体"/>
          <w:szCs w:val="18"/>
          <w:lang w:val="zh-CN"/>
        </w:rPr>
      </w:pPr>
      <w:r>
        <w:rPr>
          <w:rFonts w:hint="eastAsia" w:hAnsi="宋体"/>
          <w:szCs w:val="18"/>
          <w:lang w:val="zh-CN"/>
        </w:rPr>
        <w:t>《第三册 线网通信系统》</w:t>
      </w:r>
    </w:p>
    <w:p>
      <w:pPr>
        <w:pStyle w:val="9"/>
        <w:spacing w:line="480" w:lineRule="exact"/>
        <w:ind w:left="0" w:firstLine="420" w:firstLineChars="200"/>
        <w:rPr>
          <w:rFonts w:hAnsi="宋体"/>
          <w:szCs w:val="18"/>
          <w:lang w:val="zh-CN"/>
        </w:rPr>
      </w:pPr>
      <w:r>
        <w:rPr>
          <w:rFonts w:hint="eastAsia" w:hAnsi="宋体"/>
          <w:szCs w:val="18"/>
          <w:lang w:val="zh-CN"/>
        </w:rPr>
        <w:t>《第四册 终端、网络及安全等配套设备》</w:t>
      </w:r>
    </w:p>
    <w:p>
      <w:pPr>
        <w:pStyle w:val="9"/>
        <w:spacing w:line="480" w:lineRule="exact"/>
        <w:ind w:left="0" w:firstLine="420" w:firstLineChars="200"/>
        <w:rPr>
          <w:rFonts w:hAnsi="宋体"/>
          <w:szCs w:val="18"/>
          <w:lang w:val="zh-CN"/>
        </w:rPr>
      </w:pPr>
      <w:r>
        <w:rPr>
          <w:rFonts w:hint="eastAsia" w:hAnsi="宋体"/>
          <w:szCs w:val="18"/>
          <w:lang w:val="zh-CN"/>
        </w:rPr>
        <w:t>《第五册 接口附录》</w:t>
      </w:r>
    </w:p>
    <w:p>
      <w:pPr>
        <w:pStyle w:val="9"/>
        <w:spacing w:line="480" w:lineRule="exact"/>
        <w:ind w:left="0" w:firstLine="420" w:firstLineChars="200"/>
      </w:pPr>
      <w:r>
        <w:rPr>
          <w:rFonts w:hint="eastAsia"/>
        </w:rPr>
        <w:t>本册为《第二册 工程概况及供货范围》。</w:t>
      </w:r>
    </w:p>
    <w:p>
      <w:pPr>
        <w:pStyle w:val="9"/>
        <w:spacing w:line="480" w:lineRule="exact"/>
        <w:ind w:left="0" w:firstLine="420" w:firstLineChars="200"/>
      </w:pPr>
    </w:p>
    <w:p>
      <w:pPr>
        <w:pStyle w:val="2"/>
        <w:spacing w:before="0" w:after="0" w:line="360" w:lineRule="auto"/>
        <w:ind w:left="794" w:hanging="794"/>
        <w:rPr>
          <w:rFonts w:ascii="宋体"/>
          <w:sz w:val="24"/>
        </w:rPr>
      </w:pPr>
      <w:bookmarkStart w:id="29" w:name="_Toc17022"/>
      <w:r>
        <w:rPr>
          <w:rFonts w:hint="eastAsia" w:ascii="宋体"/>
          <w:sz w:val="24"/>
        </w:rPr>
        <w:t>2 线网规划概述</w:t>
      </w:r>
      <w:bookmarkEnd w:id="29"/>
    </w:p>
    <w:p>
      <w:pPr>
        <w:pStyle w:val="9"/>
        <w:spacing w:line="480" w:lineRule="exact"/>
        <w:ind w:left="0" w:firstLine="420" w:firstLineChars="200"/>
      </w:pPr>
      <w:r>
        <w:rPr>
          <w:rFonts w:hint="eastAsia"/>
        </w:rPr>
        <w:t>根据广州市城市轨道交通第三期建设规划（2017-2023），广州地铁集团有限公司启动了新一轮的城市轨道交通的建设。各条（段）轨道交通的线路基本情况如下：</w:t>
      </w:r>
    </w:p>
    <w:p>
      <w:pPr>
        <w:pStyle w:val="9"/>
        <w:spacing w:line="480" w:lineRule="exact"/>
        <w:ind w:left="0" w:firstLine="420" w:firstLineChars="200"/>
      </w:pPr>
      <w:r>
        <w:rPr>
          <w:rFonts w:hint="eastAsia"/>
        </w:rPr>
        <w:t>（1）十八号线沿线经过南沙区、番禺区、海珠区和天河区，起始于南沙区的万顷沙，终止于天河区的广州东站，线路全长62.7km，设站9座，其中换乘站8座，平均站间距7.8km。全线设一座车辆段一座停车场，分别为万顷沙车辆段、陇枕停车场。设置主变电站3座，分别位于万顷沙车辆段、陇枕停车场、十一号线赤沙车辆段。</w:t>
      </w:r>
    </w:p>
    <w:p>
      <w:pPr>
        <w:pStyle w:val="9"/>
        <w:spacing w:line="480" w:lineRule="exact"/>
        <w:ind w:left="0" w:firstLine="420" w:firstLineChars="200"/>
      </w:pPr>
      <w:r>
        <w:rPr>
          <w:rFonts w:hint="eastAsia"/>
        </w:rPr>
        <w:t>（2）二十二号线沿线经过南沙区、番禺区和荔湾区，自南向北起始于番禺广场，终止于荔湾区的白鹅潭，线路全长31km，设站6座,其中换乘站4座，预留西三和东沙工业园站。全线设陈头岗停车场一座，全线设置主变1座。</w:t>
      </w:r>
    </w:p>
    <w:p>
      <w:pPr>
        <w:pStyle w:val="9"/>
        <w:spacing w:line="480" w:lineRule="exact"/>
        <w:ind w:left="0" w:firstLine="420" w:firstLineChars="200"/>
      </w:pPr>
      <w:r>
        <w:rPr>
          <w:rFonts w:hint="eastAsia"/>
        </w:rPr>
        <w:t>（3）十三号线二期工程（朝阳～鱼珠），线路呈东西走向，线路长为33.8km，均为地下线敷设方式；共设置23座车站；在庆丰站东北侧设置凰岗停车场，在鱼珠站西北侧设鱼珠停车场；在彩虹桥、天河公园站附近各设置一座主变电站。</w:t>
      </w:r>
    </w:p>
    <w:p>
      <w:pPr>
        <w:pStyle w:val="9"/>
        <w:spacing w:line="480" w:lineRule="exact"/>
        <w:ind w:left="0" w:firstLine="420" w:firstLineChars="200"/>
      </w:pPr>
      <w:r>
        <w:rPr>
          <w:rFonts w:hint="eastAsia"/>
        </w:rPr>
        <w:t>（4）三号线东延段（番禺广场～海傍）工程线路全长约9.58km，共设4座车站，其中换乘站1座，全部为地下线，本线设停车场一处。</w:t>
      </w:r>
    </w:p>
    <w:p>
      <w:pPr>
        <w:pStyle w:val="9"/>
        <w:spacing w:line="480" w:lineRule="exact"/>
        <w:ind w:left="0" w:firstLine="420" w:firstLineChars="200"/>
      </w:pPr>
      <w:r>
        <w:rPr>
          <w:rFonts w:hint="eastAsia"/>
        </w:rPr>
        <w:t>（5）五号线东延段起于既有五号线文冲站，南至黄埔客运港站，线路全长约9.76km。共设车站6座（不含文冲），其中换乘站2座。设置停车场一处，设置主变电站1座（墩美主变电所由十三号线新建）。</w:t>
      </w:r>
    </w:p>
    <w:p>
      <w:pPr>
        <w:pStyle w:val="9"/>
        <w:spacing w:line="480" w:lineRule="exact"/>
        <w:ind w:left="0" w:firstLine="420" w:firstLineChars="200"/>
      </w:pPr>
      <w:r>
        <w:rPr>
          <w:rFonts w:hint="eastAsia"/>
        </w:rPr>
        <w:t>（6）七号线二期工程线路长约22.0km，共设11座车站，其中换乘站7座。设上堂停车场一处。二期工程通过对五号线鱼珠主变电站扩容改造、由兴业主变和鱼珠主变共同供电。</w:t>
      </w:r>
    </w:p>
    <w:p>
      <w:pPr>
        <w:pStyle w:val="9"/>
        <w:spacing w:line="480" w:lineRule="exact"/>
        <w:ind w:left="0" w:firstLine="420" w:firstLineChars="200"/>
      </w:pPr>
      <w:r>
        <w:rPr>
          <w:rFonts w:hint="eastAsia"/>
        </w:rPr>
        <w:t>（7）十号线呈东北-西南走向，既有段（三号线支线天河客运站-石牌桥）线路长约为6.047km，设置5个车站，现已开通运营。十号线新建段工程起始于石牌桥站，终止于西朗站，线路长约19.5km，共设置14座车站，均为地下站；在东沙大道－南环立交西北侧设车辆段1座，改造坑口主变电站与一号线资源共享。</w:t>
      </w:r>
    </w:p>
    <w:p>
      <w:pPr>
        <w:pStyle w:val="9"/>
        <w:spacing w:line="480" w:lineRule="exact"/>
        <w:ind w:left="0" w:firstLine="420" w:firstLineChars="200"/>
      </w:pPr>
      <w:r>
        <w:rPr>
          <w:rFonts w:hint="eastAsia"/>
        </w:rPr>
        <w:t>（8）十二号线为“X”形对角线中西北-东南的结构骨干线，起始于白云区浔峰岗站，终止于大学城南站，全长约37.6km，均为地下敷设，共设置25座车站。全线设置一段一场，分别为槎头车辆段和科学中心停车场。设置白云文化广场主变电站。</w:t>
      </w:r>
    </w:p>
    <w:p>
      <w:pPr>
        <w:pStyle w:val="9"/>
        <w:spacing w:line="480" w:lineRule="exact"/>
        <w:ind w:left="0" w:firstLine="420" w:firstLineChars="200"/>
      </w:pPr>
      <w:r>
        <w:rPr>
          <w:rFonts w:hint="eastAsia"/>
        </w:rPr>
        <w:t>（9）十四号线二期工程，从广州火车站至嘉禾望岗，呈南北走向，线路长约11.74km，均为地下线，设8座车站（不含嘉禾望岗）。本工程仍使用邓村车辆段、石湖停车场作停车和列检之用；与十二号线共享设置于白云文化广场站的主变电站。</w:t>
      </w:r>
    </w:p>
    <w:p>
      <w:pPr>
        <w:pStyle w:val="9"/>
        <w:spacing w:line="480" w:lineRule="exact"/>
        <w:ind w:left="0" w:firstLine="420" w:firstLineChars="200"/>
      </w:pPr>
      <w:r>
        <w:rPr>
          <w:rFonts w:hint="eastAsia"/>
        </w:rPr>
        <w:t>(10)七号线一期工程西延顺德段长约13.447km，其中佛山段长约11.802km，广州段长约1.645km,全线采用地下线路敷设方式。共设8座车站，在益丰路东北侧绿地内设益丰停车场，一座主变设置在益丰停车场内。</w:t>
      </w:r>
    </w:p>
    <w:p>
      <w:pPr>
        <w:rPr>
          <w:b/>
        </w:rPr>
      </w:pPr>
    </w:p>
    <w:p>
      <w:pPr>
        <w:pStyle w:val="2"/>
        <w:spacing w:before="0" w:after="0" w:line="360" w:lineRule="auto"/>
        <w:ind w:left="794" w:hanging="794"/>
        <w:rPr>
          <w:rFonts w:ascii="宋体"/>
          <w:sz w:val="24"/>
        </w:rPr>
      </w:pPr>
      <w:bookmarkStart w:id="30" w:name="_Toc22372"/>
      <w:r>
        <w:rPr>
          <w:rFonts w:hint="eastAsia" w:ascii="宋体"/>
          <w:sz w:val="24"/>
        </w:rPr>
        <w:t>3 控制中心规划及现状概述</w:t>
      </w:r>
      <w:bookmarkEnd w:id="30"/>
    </w:p>
    <w:p>
      <w:pPr>
        <w:pStyle w:val="9"/>
        <w:spacing w:line="480" w:lineRule="exact"/>
        <w:ind w:left="0" w:firstLine="420" w:firstLineChars="200"/>
      </w:pPr>
      <w:r>
        <w:rPr>
          <w:rFonts w:hint="eastAsia"/>
        </w:rPr>
        <w:t>广州市城市轨道交通控制中心选址规划为1个线网运营管理指挥中心、5个不同线路区域控制中心及1个线网后备控制中心（即大石指挥中心）。根据线网规划，广州市轨道交通近期线路规划控制中心分布位置如下图所示。</w:t>
      </w:r>
    </w:p>
    <w:p>
      <w:pPr>
        <w:spacing w:line="360" w:lineRule="auto"/>
        <w:jc w:val="center"/>
      </w:pPr>
      <w:r>
        <w:drawing>
          <wp:inline distT="0" distB="0" distL="0" distR="0">
            <wp:extent cx="5574665" cy="4831080"/>
            <wp:effectExtent l="19050" t="19050" r="26035" b="26670"/>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575040" cy="4831701"/>
                    </a:xfrm>
                    <a:prstGeom prst="rect">
                      <a:avLst/>
                    </a:prstGeom>
                    <a:noFill/>
                    <a:ln w="9525" cmpd="sng">
                      <a:solidFill>
                        <a:srgbClr val="000000"/>
                      </a:solidFill>
                      <a:miter lim="800000"/>
                      <a:headEnd/>
                      <a:tailEnd/>
                    </a:ln>
                    <a:effectLst/>
                  </pic:spPr>
                </pic:pic>
              </a:graphicData>
            </a:graphic>
          </wp:inline>
        </w:drawing>
      </w:r>
    </w:p>
    <w:p>
      <w:pPr>
        <w:pStyle w:val="9"/>
        <w:spacing w:line="480" w:lineRule="exact"/>
        <w:ind w:left="0" w:firstLine="420" w:firstLineChars="200"/>
        <w:rPr>
          <w:rFonts w:ascii="黑体" w:hAnsi="宋体" w:eastAsia="黑体"/>
          <w:szCs w:val="24"/>
        </w:rPr>
      </w:pPr>
      <w:r>
        <w:rPr>
          <w:rFonts w:hint="eastAsia"/>
        </w:rPr>
        <w:t>线路区域控制中心与线网运营管理指挥中心关系:建立线网运营管理指挥中心，旨在提升广州地铁线网的安全性、可靠性及服务水平，可实现多线路之间的互相配合。线网运营管理指挥中心作为广州地铁各线路的协调、应急指挥中心，负责协调不同线路的控制中心，与控制中心系统互联、互通，实现对各线路的综合监视和协调，为乘客提供更优质的服务。在正常情况下，线网运营管理指挥中心对各线路系统设备是以监视为主，对跨线资源进行集中调度和控制。</w:t>
      </w:r>
    </w:p>
    <w:p>
      <w:pPr>
        <w:pStyle w:val="9"/>
        <w:spacing w:line="480" w:lineRule="exact"/>
        <w:ind w:left="0" w:firstLine="420" w:firstLineChars="200"/>
      </w:pPr>
      <w:r>
        <w:rPr>
          <w:rFonts w:hint="eastAsia"/>
        </w:rPr>
        <w:t>投标人提供的相关设备符合广州市轨道交通线网规划、控制中心规划及线路区域控制中心与线网运营管理指挥中心关系的先进的系统。除满足COCC二期工程线路接入规划需求外，还应具备一定的扩展预留，如预留接入广州地铁集团接管的已建和在建珠三角城际铁路和枢纽项目的条件，以适应线网规划和控制中心规划的调整和集团业务的调整。</w:t>
      </w:r>
    </w:p>
    <w:p>
      <w:pPr>
        <w:pStyle w:val="9"/>
        <w:spacing w:line="480" w:lineRule="exact"/>
        <w:ind w:left="0" w:firstLine="420" w:firstLineChars="200"/>
      </w:pPr>
      <w:r>
        <w:rPr>
          <w:rFonts w:hint="eastAsia"/>
        </w:rPr>
        <w:t>根据目前建设情况，本次招标接入线网指挥系统的各线路控制中心位置如下表所示：</w:t>
      </w:r>
    </w:p>
    <w:tbl>
      <w:tblPr>
        <w:tblStyle w:val="29"/>
        <w:tblW w:w="85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52"/>
        <w:gridCol w:w="3969"/>
        <w:gridCol w:w="1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jc w:val="center"/>
        </w:trPr>
        <w:tc>
          <w:tcPr>
            <w:tcW w:w="3052" w:type="dxa"/>
            <w:shd w:val="clear" w:color="auto" w:fill="auto"/>
            <w:vAlign w:val="center"/>
          </w:tcPr>
          <w:p>
            <w:pPr>
              <w:widowControl/>
              <w:jc w:val="center"/>
              <w:rPr>
                <w:rFonts w:ascii="黑体" w:hAnsi="宋体" w:eastAsia="黑体" w:cs="宋体"/>
                <w:kern w:val="0"/>
                <w:szCs w:val="21"/>
              </w:rPr>
            </w:pPr>
            <w:r>
              <w:rPr>
                <w:rFonts w:hint="eastAsia" w:ascii="黑体" w:hAnsi="宋体" w:eastAsia="黑体" w:cs="宋体"/>
                <w:kern w:val="0"/>
                <w:szCs w:val="21"/>
              </w:rPr>
              <w:t>线路</w:t>
            </w:r>
          </w:p>
        </w:tc>
        <w:tc>
          <w:tcPr>
            <w:tcW w:w="3969" w:type="dxa"/>
            <w:shd w:val="clear" w:color="auto" w:fill="auto"/>
            <w:vAlign w:val="center"/>
          </w:tcPr>
          <w:p>
            <w:pPr>
              <w:widowControl/>
              <w:jc w:val="center"/>
              <w:rPr>
                <w:rFonts w:ascii="黑体" w:hAnsi="宋体" w:eastAsia="黑体" w:cs="宋体"/>
                <w:kern w:val="0"/>
                <w:szCs w:val="21"/>
              </w:rPr>
            </w:pPr>
            <w:r>
              <w:rPr>
                <w:rFonts w:hint="eastAsia" w:ascii="黑体" w:hAnsi="宋体" w:eastAsia="黑体" w:cs="宋体"/>
                <w:kern w:val="0"/>
                <w:szCs w:val="21"/>
              </w:rPr>
              <w:t>控制中心位置</w:t>
            </w:r>
          </w:p>
        </w:tc>
        <w:tc>
          <w:tcPr>
            <w:tcW w:w="1540" w:type="dxa"/>
            <w:shd w:val="clear" w:color="auto" w:fill="auto"/>
            <w:vAlign w:val="center"/>
          </w:tcPr>
          <w:p>
            <w:pPr>
              <w:widowControl/>
              <w:jc w:val="center"/>
              <w:rPr>
                <w:rFonts w:ascii="黑体" w:hAnsi="宋体" w:eastAsia="黑体" w:cs="宋体"/>
                <w:kern w:val="0"/>
                <w:szCs w:val="21"/>
              </w:rPr>
            </w:pPr>
            <w:r>
              <w:rPr>
                <w:rFonts w:hint="eastAsia" w:ascii="黑体" w:hAnsi="宋体" w:eastAsia="黑体" w:cs="宋体"/>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3号线东延</w:t>
            </w:r>
          </w:p>
        </w:tc>
        <w:tc>
          <w:tcPr>
            <w:tcW w:w="3969" w:type="dxa"/>
            <w:shd w:val="clear" w:color="auto" w:fill="auto"/>
            <w:noWrap/>
            <w:vAlign w:val="center"/>
          </w:tcPr>
          <w:p>
            <w:pPr>
              <w:jc w:val="center"/>
            </w:pPr>
            <w:r>
              <w:rPr>
                <w:rFonts w:hint="eastAsia" w:ascii="宋体" w:hAnsi="宋体" w:cs="宋体"/>
                <w:kern w:val="0"/>
                <w:szCs w:val="21"/>
              </w:rPr>
              <w:t>大石控制中心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7号线二期</w:t>
            </w:r>
          </w:p>
        </w:tc>
        <w:tc>
          <w:tcPr>
            <w:tcW w:w="3969" w:type="dxa"/>
            <w:shd w:val="clear" w:color="auto" w:fill="auto"/>
            <w:noWrap/>
            <w:vAlign w:val="center"/>
          </w:tcPr>
          <w:p>
            <w:pPr>
              <w:jc w:val="center"/>
            </w:pPr>
            <w:r>
              <w:rPr>
                <w:rFonts w:hint="eastAsia" w:ascii="宋体" w:hAnsi="宋体" w:cs="宋体"/>
                <w:kern w:val="0"/>
                <w:szCs w:val="21"/>
              </w:rPr>
              <w:t>大石控制中心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10号线</w:t>
            </w:r>
          </w:p>
        </w:tc>
        <w:tc>
          <w:tcPr>
            <w:tcW w:w="3969" w:type="dxa"/>
            <w:shd w:val="clear" w:color="auto" w:fill="auto"/>
            <w:noWrap/>
            <w:vAlign w:val="center"/>
          </w:tcPr>
          <w:p>
            <w:pPr>
              <w:jc w:val="center"/>
            </w:pPr>
            <w:r>
              <w:rPr>
                <w:rFonts w:hint="eastAsia" w:ascii="宋体" w:hAnsi="宋体" w:cs="宋体"/>
                <w:kern w:val="0"/>
                <w:szCs w:val="21"/>
              </w:rPr>
              <w:t>大石控制中心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5号线东延</w:t>
            </w:r>
          </w:p>
        </w:tc>
        <w:tc>
          <w:tcPr>
            <w:tcW w:w="3969" w:type="dxa"/>
            <w:shd w:val="clear" w:color="auto" w:fill="auto"/>
            <w:noWrap/>
            <w:vAlign w:val="center"/>
          </w:tcPr>
          <w:p>
            <w:pPr>
              <w:widowControl/>
              <w:jc w:val="center"/>
              <w:rPr>
                <w:rFonts w:ascii="宋体" w:hAnsi="宋体" w:cs="宋体"/>
                <w:kern w:val="0"/>
                <w:szCs w:val="21"/>
              </w:rPr>
            </w:pPr>
            <w:r>
              <w:rPr>
                <w:rFonts w:hint="eastAsia" w:ascii="宋体" w:hAnsi="宋体" w:cs="宋体"/>
                <w:kern w:val="0"/>
                <w:szCs w:val="21"/>
              </w:rPr>
              <w:t>鱼珠控制中心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14号线二期</w:t>
            </w:r>
          </w:p>
        </w:tc>
        <w:tc>
          <w:tcPr>
            <w:tcW w:w="3969" w:type="dxa"/>
            <w:shd w:val="clear" w:color="auto" w:fill="auto"/>
            <w:noWrap/>
            <w:vAlign w:val="center"/>
          </w:tcPr>
          <w:p>
            <w:pPr>
              <w:widowControl/>
              <w:jc w:val="center"/>
              <w:rPr>
                <w:rFonts w:ascii="宋体" w:hAnsi="宋体" w:cs="宋体"/>
                <w:kern w:val="0"/>
                <w:szCs w:val="21"/>
              </w:rPr>
            </w:pPr>
            <w:r>
              <w:rPr>
                <w:rFonts w:hint="eastAsia" w:ascii="宋体" w:hAnsi="宋体" w:cs="宋体"/>
                <w:kern w:val="0"/>
                <w:szCs w:val="21"/>
              </w:rPr>
              <w:t>镇龙控制中心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12号线</w:t>
            </w:r>
          </w:p>
        </w:tc>
        <w:tc>
          <w:tcPr>
            <w:tcW w:w="3969" w:type="dxa"/>
            <w:shd w:val="clear" w:color="auto" w:fill="auto"/>
            <w:noWrap/>
            <w:vAlign w:val="center"/>
          </w:tcPr>
          <w:p>
            <w:pPr>
              <w:widowControl/>
              <w:jc w:val="center"/>
              <w:rPr>
                <w:rFonts w:ascii="宋体" w:hAnsi="宋体" w:cs="宋体"/>
                <w:kern w:val="0"/>
                <w:szCs w:val="21"/>
              </w:rPr>
            </w:pPr>
            <w:r>
              <w:rPr>
                <w:rFonts w:hint="eastAsia" w:ascii="宋体" w:hAnsi="宋体" w:cs="宋体"/>
                <w:kern w:val="0"/>
                <w:szCs w:val="21"/>
              </w:rPr>
              <w:t>赤沙控制中心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13号线二期</w:t>
            </w:r>
          </w:p>
        </w:tc>
        <w:tc>
          <w:tcPr>
            <w:tcW w:w="3969" w:type="dxa"/>
            <w:shd w:val="clear" w:color="auto" w:fill="auto"/>
            <w:noWrap/>
            <w:vAlign w:val="center"/>
          </w:tcPr>
          <w:p>
            <w:pPr>
              <w:widowControl/>
              <w:jc w:val="center"/>
              <w:rPr>
                <w:rFonts w:ascii="宋体" w:hAnsi="宋体" w:cs="宋体"/>
                <w:kern w:val="0"/>
                <w:szCs w:val="21"/>
              </w:rPr>
            </w:pPr>
            <w:r>
              <w:rPr>
                <w:rFonts w:hint="eastAsia" w:ascii="宋体" w:hAnsi="宋体" w:cs="宋体"/>
                <w:kern w:val="0"/>
                <w:szCs w:val="21"/>
              </w:rPr>
              <w:t>赤沙控制中心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18号线</w:t>
            </w:r>
          </w:p>
        </w:tc>
        <w:tc>
          <w:tcPr>
            <w:tcW w:w="3969" w:type="dxa"/>
            <w:shd w:val="clear" w:color="auto" w:fill="auto"/>
            <w:noWrap/>
            <w:vAlign w:val="center"/>
          </w:tcPr>
          <w:p>
            <w:pPr>
              <w:widowControl/>
              <w:jc w:val="center"/>
              <w:rPr>
                <w:rFonts w:ascii="宋体" w:hAnsi="宋体" w:cs="宋体"/>
                <w:kern w:val="0"/>
                <w:szCs w:val="21"/>
              </w:rPr>
            </w:pPr>
            <w:r>
              <w:rPr>
                <w:rFonts w:hint="eastAsia" w:ascii="宋体" w:hAnsi="宋体" w:cs="宋体"/>
                <w:kern w:val="0"/>
                <w:szCs w:val="21"/>
              </w:rPr>
              <w:t>陇枕控制中心</w:t>
            </w:r>
          </w:p>
        </w:tc>
        <w:tc>
          <w:tcPr>
            <w:tcW w:w="1540" w:type="dxa"/>
            <w:shd w:val="clear" w:color="auto" w:fill="auto"/>
            <w:noWrap/>
            <w:vAlign w:val="center"/>
          </w:tcPr>
          <w:p>
            <w:pPr>
              <w:widowControl/>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52" w:type="dxa"/>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22号线</w:t>
            </w:r>
          </w:p>
        </w:tc>
        <w:tc>
          <w:tcPr>
            <w:tcW w:w="3969" w:type="dxa"/>
            <w:shd w:val="clear" w:color="auto" w:fill="auto"/>
            <w:noWrap/>
            <w:vAlign w:val="center"/>
          </w:tcPr>
          <w:p>
            <w:pPr>
              <w:widowControl/>
              <w:jc w:val="center"/>
              <w:rPr>
                <w:rFonts w:ascii="宋体" w:hAnsi="宋体" w:cs="宋体"/>
                <w:kern w:val="0"/>
                <w:szCs w:val="21"/>
              </w:rPr>
            </w:pPr>
            <w:r>
              <w:rPr>
                <w:rFonts w:hint="eastAsia" w:ascii="宋体" w:hAnsi="宋体" w:cs="宋体"/>
                <w:kern w:val="0"/>
                <w:szCs w:val="21"/>
              </w:rPr>
              <w:t>陇枕控制中心</w:t>
            </w:r>
          </w:p>
        </w:tc>
        <w:tc>
          <w:tcPr>
            <w:tcW w:w="1540" w:type="dxa"/>
            <w:shd w:val="clear" w:color="auto" w:fill="auto"/>
            <w:noWrap/>
            <w:vAlign w:val="center"/>
          </w:tcPr>
          <w:p>
            <w:pPr>
              <w:widowControl/>
              <w:jc w:val="center"/>
              <w:rPr>
                <w:rFonts w:ascii="宋体" w:hAnsi="宋体" w:cs="宋体"/>
                <w:kern w:val="0"/>
                <w:szCs w:val="21"/>
              </w:rPr>
            </w:pPr>
          </w:p>
        </w:tc>
      </w:tr>
    </w:tbl>
    <w:p>
      <w:pPr>
        <w:spacing w:line="360" w:lineRule="auto"/>
        <w:ind w:firstLine="422" w:firstLineChars="200"/>
        <w:rPr>
          <w:b/>
        </w:rPr>
      </w:pPr>
      <w:r>
        <w:rPr>
          <w:rFonts w:hint="eastAsia"/>
          <w:b/>
        </w:rPr>
        <w:t>在项目执行过程中控制中心设置位置可能出现调整，相应调整导致费用的变化已包含在本次合同总价中。</w:t>
      </w:r>
    </w:p>
    <w:p>
      <w:pPr>
        <w:spacing w:line="360" w:lineRule="auto"/>
        <w:ind w:firstLine="422" w:firstLineChars="200"/>
        <w:rPr>
          <w:b/>
        </w:rPr>
      </w:pPr>
    </w:p>
    <w:p>
      <w:pPr>
        <w:pStyle w:val="2"/>
        <w:spacing w:before="0" w:after="0" w:line="360" w:lineRule="auto"/>
        <w:ind w:left="794" w:hanging="794"/>
        <w:rPr>
          <w:rFonts w:ascii="宋体"/>
          <w:sz w:val="24"/>
        </w:rPr>
      </w:pPr>
      <w:bookmarkStart w:id="31" w:name="_Toc302465739"/>
      <w:bookmarkStart w:id="32" w:name="_Toc24642"/>
      <w:r>
        <w:rPr>
          <w:rFonts w:hint="eastAsia" w:ascii="宋体"/>
          <w:sz w:val="24"/>
        </w:rPr>
        <w:t>4 线网指挥</w:t>
      </w:r>
      <w:bookmarkEnd w:id="31"/>
      <w:r>
        <w:rPr>
          <w:rFonts w:hint="eastAsia" w:ascii="宋体"/>
          <w:sz w:val="24"/>
        </w:rPr>
        <w:t>系统工程概况</w:t>
      </w:r>
      <w:bookmarkEnd w:id="32"/>
    </w:p>
    <w:p>
      <w:pPr>
        <w:pStyle w:val="9"/>
        <w:spacing w:line="480" w:lineRule="exact"/>
        <w:ind w:left="0" w:firstLine="420" w:firstLineChars="200"/>
      </w:pPr>
      <w:r>
        <w:rPr>
          <w:rFonts w:hint="eastAsia"/>
        </w:rPr>
        <w:t>线网指挥系统(以下简称“COCC”)已完成一期工程的建设，包括线网综合监控及应用系统和通信系统两部分，接入线路范围为：一号线、二号线、三号线、四号线、五号线、六号线、七号线、八号线、九号线、十一号线、十三号线、十四号线、十四号线支线、二十一号线、APM、广佛线。线网指挥系统一期工程已于2016年9月底试运营。</w:t>
      </w:r>
    </w:p>
    <w:p>
      <w:pPr>
        <w:pStyle w:val="9"/>
        <w:spacing w:line="480" w:lineRule="exact"/>
        <w:ind w:left="0" w:firstLine="420" w:firstLineChars="200"/>
      </w:pPr>
      <w:r>
        <w:rPr>
          <w:rFonts w:hint="eastAsia"/>
        </w:rPr>
        <w:t>其中，综合监控及应用系统按功能模块可划分为系统接入功能、网络传输功能、数据处理功能和应用功能四大部分。综合监控及应用系统通过广州地铁骨干传输网络和特定的接口设备与各控制中心的接入系统设备连接，从各线的线路中央级系统（SCADA、EMCS\BAS、FAS、SIG、ISCS、CCTV）和线网系统（计算机综合信息系统、清分系统、线网PIDS）中采集信息，并按照设定的采样周期自动接收各线路上传的运营数据，用以监视各线服务水平，并为各种统计分析、决策、规划积累基础数据，实现对接入信息的数据处理功能和各类应用功能。</w:t>
      </w:r>
    </w:p>
    <w:p>
      <w:pPr>
        <w:pStyle w:val="9"/>
        <w:spacing w:line="480" w:lineRule="exact"/>
        <w:ind w:left="0" w:firstLine="420" w:firstLineChars="200"/>
      </w:pPr>
      <w:r>
        <w:rPr>
          <w:rFonts w:hint="eastAsia"/>
        </w:rPr>
        <w:t>通信系统包括线网视频监视系统、线网广播系统、线网调度电话系统、时钟系统等，主要实现线网指挥平台与各控制中心的数据、语言、视频等传输功能。</w:t>
      </w:r>
    </w:p>
    <w:p>
      <w:pPr>
        <w:pStyle w:val="9"/>
        <w:spacing w:line="480" w:lineRule="exact"/>
        <w:ind w:left="0" w:firstLine="420" w:firstLineChars="200"/>
      </w:pPr>
      <w:r>
        <w:rPr>
          <w:rFonts w:hint="eastAsia"/>
        </w:rPr>
        <w:t>广州地铁线网指挥系统二期工程规划结合一期工程情况，对线网指挥系统结构进行优化，实现功能的进一步提升和完善，线网指挥系统二期工程包括线网综合监控及应用系统和线网通信系统两部分，接入线路范围为：十八号线、二十二号线、十三号线二期、十号线、十二号线、三号线东延、七号线二期、七号线西延、五号线东延、十四号线二期。其中线网综合监控及应用系统具备监控管理、大数据分析、应急指挥、信息报送及发布、对外协同等功能；线网通信系统通信系统由线网广播系统、线网调度电话系统、时钟系统和线网视频监视系统构成。</w:t>
      </w:r>
    </w:p>
    <w:p>
      <w:pPr>
        <w:pStyle w:val="9"/>
        <w:spacing w:line="480" w:lineRule="exact"/>
        <w:ind w:left="0" w:firstLine="420" w:firstLineChars="200"/>
        <w:rPr>
          <w:rFonts w:eastAsia="等线"/>
        </w:rPr>
      </w:pPr>
      <w:r>
        <w:rPr>
          <w:rFonts w:hint="eastAsia"/>
        </w:rPr>
        <w:t>线网指挥系统二期工程中的综合监控及应用系统部分不在本次工程范围，本工程主要实施线网通信系统部分，并对大屏幕进行改造以及配置相应的终端设备，与综合监控及应用系统配合，实现线网指挥系统的相关功能。</w:t>
      </w:r>
    </w:p>
    <w:p>
      <w:pPr>
        <w:pStyle w:val="9"/>
        <w:spacing w:line="480" w:lineRule="exact"/>
        <w:ind w:left="0" w:firstLine="420" w:firstLineChars="200"/>
      </w:pPr>
      <w:r>
        <w:rPr>
          <w:rFonts w:hint="eastAsia"/>
        </w:rPr>
        <w:t>本次招标范围包括网络及安全配套设备、大屏幕改造（含大屏幕改造相关软硬件）、工作站及配套设备、线网通信系统（含线网通信相关软硬件及相关的接口改造）等内容。</w:t>
      </w:r>
    </w:p>
    <w:p>
      <w:pPr>
        <w:pStyle w:val="9"/>
        <w:spacing w:line="480" w:lineRule="exact"/>
        <w:ind w:left="0" w:firstLine="420" w:firstLineChars="200"/>
      </w:pPr>
    </w:p>
    <w:p>
      <w:pPr>
        <w:pStyle w:val="2"/>
        <w:spacing w:before="0" w:after="0" w:line="360" w:lineRule="auto"/>
        <w:rPr>
          <w:rFonts w:ascii="宋体"/>
          <w:sz w:val="24"/>
        </w:rPr>
      </w:pPr>
      <w:bookmarkStart w:id="33" w:name="_Toc18725"/>
      <w:r>
        <w:rPr>
          <w:rFonts w:hint="eastAsia" w:ascii="宋体"/>
          <w:sz w:val="24"/>
        </w:rPr>
        <w:t>5 工程条件</w:t>
      </w:r>
      <w:bookmarkEnd w:id="28"/>
      <w:bookmarkEnd w:id="33"/>
    </w:p>
    <w:p>
      <w:pPr>
        <w:pStyle w:val="9"/>
        <w:numPr>
          <w:ilvl w:val="0"/>
          <w:numId w:val="1"/>
        </w:numPr>
        <w:autoSpaceDE w:val="0"/>
        <w:autoSpaceDN w:val="0"/>
        <w:adjustRightInd w:val="0"/>
        <w:snapToGrid/>
        <w:spacing w:line="480" w:lineRule="exact"/>
        <w:jc w:val="left"/>
      </w:pPr>
      <w:bookmarkStart w:id="34" w:name="_Toc223773559"/>
      <w:r>
        <w:rPr>
          <w:rFonts w:hint="eastAsia"/>
        </w:rPr>
        <w:t>系统电源</w:t>
      </w:r>
      <w:bookmarkEnd w:id="34"/>
    </w:p>
    <w:p>
      <w:pPr>
        <w:pStyle w:val="9"/>
        <w:spacing w:line="480" w:lineRule="exact"/>
        <w:ind w:firstLine="57"/>
      </w:pPr>
      <w:r>
        <w:rPr>
          <w:rFonts w:hint="eastAsia"/>
        </w:rPr>
        <w:t>本项目设备要求为一级负荷供电，电源为三相五线制380/220V AC，波动范围为+10%— -15%, </w:t>
      </w:r>
      <w:r>
        <w:t>频率</w:t>
      </w:r>
      <w:r>
        <w:rPr>
          <w:rFonts w:hint="eastAsia"/>
        </w:rPr>
        <w:t>为50Hz±5Hz。</w:t>
      </w:r>
    </w:p>
    <w:p>
      <w:pPr>
        <w:pStyle w:val="9"/>
        <w:numPr>
          <w:ilvl w:val="0"/>
          <w:numId w:val="1"/>
        </w:numPr>
        <w:autoSpaceDE w:val="0"/>
        <w:autoSpaceDN w:val="0"/>
        <w:adjustRightInd w:val="0"/>
        <w:snapToGrid/>
        <w:spacing w:line="480" w:lineRule="exact"/>
        <w:jc w:val="left"/>
      </w:pPr>
      <w:bookmarkStart w:id="35" w:name="_Toc223773560"/>
      <w:r>
        <w:rPr>
          <w:rFonts w:hint="eastAsia"/>
        </w:rPr>
        <w:t>接地</w:t>
      </w:r>
      <w:bookmarkEnd w:id="35"/>
    </w:p>
    <w:p>
      <w:pPr>
        <w:pStyle w:val="9"/>
        <w:spacing w:line="480" w:lineRule="exact"/>
        <w:ind w:firstLine="57"/>
      </w:pPr>
      <w:r>
        <w:rPr>
          <w:rFonts w:hint="eastAsia"/>
        </w:rPr>
        <w:t>由低压配电专业为线网指挥平台提供综合接地系统，接地电阻不大于1欧姆。</w:t>
      </w:r>
    </w:p>
    <w:p>
      <w:pPr>
        <w:pStyle w:val="9"/>
        <w:numPr>
          <w:ilvl w:val="0"/>
          <w:numId w:val="1"/>
        </w:numPr>
        <w:autoSpaceDE w:val="0"/>
        <w:autoSpaceDN w:val="0"/>
        <w:adjustRightInd w:val="0"/>
        <w:snapToGrid/>
        <w:spacing w:line="480" w:lineRule="exact"/>
        <w:jc w:val="left"/>
      </w:pPr>
      <w:bookmarkStart w:id="36" w:name="_Toc223773561"/>
      <w:r>
        <w:rPr>
          <w:rFonts w:hint="eastAsia"/>
        </w:rPr>
        <w:t>设备限高</w:t>
      </w:r>
      <w:bookmarkEnd w:id="36"/>
    </w:p>
    <w:p>
      <w:pPr>
        <w:pStyle w:val="9"/>
        <w:spacing w:line="480" w:lineRule="exact"/>
        <w:ind w:firstLine="57"/>
      </w:pPr>
      <w:r>
        <w:rPr>
          <w:rFonts w:hint="eastAsia"/>
        </w:rPr>
        <w:t>设备室内设备限高：小于2200mm。</w:t>
      </w:r>
    </w:p>
    <w:p>
      <w:pPr>
        <w:pStyle w:val="9"/>
        <w:spacing w:line="480" w:lineRule="exact"/>
        <w:ind w:firstLine="57"/>
      </w:pPr>
      <w:r>
        <w:rPr>
          <w:rFonts w:hint="eastAsia"/>
        </w:rPr>
        <w:t>中央控制室设备限高：小于6000mm</w:t>
      </w:r>
    </w:p>
    <w:p>
      <w:pPr>
        <w:pStyle w:val="9"/>
        <w:spacing w:line="480" w:lineRule="exact"/>
        <w:ind w:firstLine="57"/>
      </w:pPr>
      <w:r>
        <w:rPr>
          <w:rFonts w:hint="eastAsia"/>
        </w:rPr>
        <w:t>地面均布荷载：≤600 Kg/m2。</w:t>
      </w:r>
    </w:p>
    <w:p>
      <w:pPr>
        <w:pStyle w:val="9"/>
        <w:numPr>
          <w:ilvl w:val="0"/>
          <w:numId w:val="1"/>
        </w:numPr>
        <w:autoSpaceDE w:val="0"/>
        <w:autoSpaceDN w:val="0"/>
        <w:adjustRightInd w:val="0"/>
        <w:snapToGrid/>
        <w:spacing w:line="480" w:lineRule="exact"/>
        <w:jc w:val="left"/>
      </w:pPr>
      <w:bookmarkStart w:id="37" w:name="_Toc223773562"/>
      <w:r>
        <w:rPr>
          <w:rFonts w:hint="eastAsia"/>
        </w:rPr>
        <w:t>本项目设备的使用环境</w:t>
      </w:r>
      <w:bookmarkEnd w:id="37"/>
    </w:p>
    <w:p>
      <w:pPr>
        <w:numPr>
          <w:ilvl w:val="0"/>
          <w:numId w:val="2"/>
        </w:numPr>
        <w:spacing w:line="360" w:lineRule="auto"/>
        <w:rPr>
          <w:rFonts w:ascii="宋体" w:hAnsi="宋体"/>
          <w:kern w:val="0"/>
          <w:szCs w:val="21"/>
          <w:lang w:val="zh-CN"/>
        </w:rPr>
      </w:pPr>
      <w:r>
        <w:rPr>
          <w:rFonts w:hint="eastAsia" w:ascii="宋体" w:hAnsi="宋体"/>
          <w:kern w:val="0"/>
          <w:szCs w:val="21"/>
          <w:lang w:val="zh-CN"/>
        </w:rPr>
        <w:t>温度（工作）：0</w:t>
      </w:r>
      <w:r>
        <w:rPr>
          <w:rFonts w:ascii="宋体" w:hAnsi="宋体"/>
          <w:kern w:val="0"/>
          <w:szCs w:val="21"/>
          <w:lang w:val="zh-CN"/>
        </w:rPr>
        <w:t>℃</w:t>
      </w:r>
      <w:r>
        <w:rPr>
          <w:rFonts w:hint="eastAsia" w:ascii="宋体" w:hAnsi="宋体"/>
          <w:kern w:val="0"/>
          <w:szCs w:val="21"/>
          <w:lang w:val="zh-CN"/>
        </w:rPr>
        <w:t>—+40</w:t>
      </w:r>
      <w:r>
        <w:rPr>
          <w:rFonts w:ascii="宋体" w:hAnsi="宋体"/>
          <w:kern w:val="0"/>
          <w:szCs w:val="21"/>
          <w:lang w:val="zh-CN"/>
        </w:rPr>
        <w:t>℃</w:t>
      </w:r>
    </w:p>
    <w:p>
      <w:pPr>
        <w:numPr>
          <w:ilvl w:val="0"/>
          <w:numId w:val="2"/>
        </w:numPr>
        <w:spacing w:line="360" w:lineRule="auto"/>
        <w:rPr>
          <w:rFonts w:ascii="宋体" w:hAnsi="宋体"/>
          <w:kern w:val="0"/>
          <w:szCs w:val="21"/>
          <w:lang w:val="zh-CN"/>
        </w:rPr>
      </w:pPr>
      <w:r>
        <w:rPr>
          <w:rFonts w:hint="eastAsia" w:ascii="宋体" w:hAnsi="宋体"/>
          <w:kern w:val="0"/>
          <w:szCs w:val="21"/>
          <w:lang w:val="zh-CN"/>
        </w:rPr>
        <w:t>温度（存贮）：-20</w:t>
      </w:r>
      <w:r>
        <w:rPr>
          <w:rFonts w:ascii="宋体" w:hAnsi="宋体"/>
          <w:kern w:val="0"/>
          <w:szCs w:val="21"/>
          <w:lang w:val="zh-CN"/>
        </w:rPr>
        <w:t>℃</w:t>
      </w:r>
      <w:r>
        <w:rPr>
          <w:rFonts w:hint="eastAsia" w:ascii="宋体" w:hAnsi="宋体"/>
          <w:kern w:val="0"/>
          <w:szCs w:val="21"/>
          <w:lang w:val="zh-CN"/>
        </w:rPr>
        <w:t>—+70</w:t>
      </w:r>
      <w:r>
        <w:rPr>
          <w:rFonts w:ascii="宋体" w:hAnsi="宋体"/>
          <w:kern w:val="0"/>
          <w:szCs w:val="21"/>
          <w:lang w:val="zh-CN"/>
        </w:rPr>
        <w:t>℃</w:t>
      </w:r>
    </w:p>
    <w:p>
      <w:pPr>
        <w:numPr>
          <w:ilvl w:val="0"/>
          <w:numId w:val="2"/>
        </w:numPr>
        <w:spacing w:line="360" w:lineRule="auto"/>
        <w:rPr>
          <w:rFonts w:ascii="宋体" w:hAnsi="宋体"/>
          <w:kern w:val="0"/>
          <w:szCs w:val="21"/>
          <w:lang w:val="zh-CN"/>
        </w:rPr>
      </w:pPr>
      <w:r>
        <w:rPr>
          <w:rFonts w:hint="eastAsia" w:ascii="宋体" w:hAnsi="宋体"/>
          <w:kern w:val="0"/>
          <w:szCs w:val="21"/>
          <w:lang w:val="zh-CN"/>
        </w:rPr>
        <w:t>湿度（工作）：20%—95%</w:t>
      </w:r>
    </w:p>
    <w:p>
      <w:pPr>
        <w:numPr>
          <w:ilvl w:val="0"/>
          <w:numId w:val="2"/>
        </w:numPr>
        <w:spacing w:line="360" w:lineRule="auto"/>
        <w:rPr>
          <w:rFonts w:ascii="宋体" w:hAnsi="宋体"/>
          <w:kern w:val="0"/>
          <w:szCs w:val="21"/>
          <w:lang w:val="zh-CN"/>
        </w:rPr>
      </w:pPr>
      <w:r>
        <w:rPr>
          <w:rFonts w:hint="eastAsia" w:ascii="宋体" w:hAnsi="宋体"/>
          <w:kern w:val="0"/>
          <w:szCs w:val="21"/>
          <w:lang w:val="zh-CN"/>
        </w:rPr>
        <w:t>湿度（存贮）：20%—95%</w:t>
      </w:r>
    </w:p>
    <w:p>
      <w:pPr>
        <w:numPr>
          <w:ilvl w:val="0"/>
          <w:numId w:val="2"/>
        </w:numPr>
        <w:spacing w:line="360" w:lineRule="auto"/>
        <w:rPr>
          <w:rFonts w:ascii="宋体" w:hAnsi="宋体"/>
          <w:kern w:val="0"/>
          <w:szCs w:val="21"/>
          <w:lang w:val="zh-CN"/>
        </w:rPr>
      </w:pPr>
      <w:r>
        <w:rPr>
          <w:rFonts w:hint="eastAsia" w:ascii="宋体" w:hAnsi="宋体"/>
          <w:kern w:val="0"/>
          <w:szCs w:val="21"/>
          <w:lang w:val="zh-CN"/>
        </w:rPr>
        <w:t>机械冲压：10g</w:t>
      </w:r>
    </w:p>
    <w:p>
      <w:pPr>
        <w:numPr>
          <w:ilvl w:val="0"/>
          <w:numId w:val="2"/>
        </w:numPr>
        <w:spacing w:line="360" w:lineRule="auto"/>
        <w:rPr>
          <w:rFonts w:ascii="宋体" w:hAnsi="宋体"/>
          <w:kern w:val="0"/>
          <w:szCs w:val="21"/>
          <w:lang w:val="zh-CN"/>
        </w:rPr>
      </w:pPr>
      <w:r>
        <w:rPr>
          <w:rFonts w:hint="eastAsia" w:ascii="宋体" w:hAnsi="宋体"/>
          <w:kern w:val="0"/>
          <w:szCs w:val="21"/>
          <w:lang w:val="zh-CN"/>
        </w:rPr>
        <w:t>机械振动：5—12Hz，5mm（振幅）；20—100Hz，1.4g</w:t>
      </w:r>
    </w:p>
    <w:p>
      <w:pPr>
        <w:spacing w:line="360" w:lineRule="auto"/>
        <w:ind w:left="840"/>
        <w:rPr>
          <w:rFonts w:ascii="宋体" w:hAnsi="宋体"/>
          <w:kern w:val="0"/>
          <w:szCs w:val="21"/>
          <w:lang w:val="zh-CN"/>
        </w:rPr>
      </w:pPr>
    </w:p>
    <w:p>
      <w:pPr>
        <w:pStyle w:val="2"/>
        <w:spacing w:before="0" w:after="0" w:line="360" w:lineRule="auto"/>
        <w:ind w:left="794" w:hanging="794"/>
        <w:rPr>
          <w:rFonts w:ascii="宋体"/>
          <w:sz w:val="24"/>
        </w:rPr>
      </w:pPr>
      <w:bookmarkStart w:id="38" w:name="_Toc302465731"/>
      <w:bookmarkStart w:id="39" w:name="_Toc13683"/>
      <w:r>
        <w:rPr>
          <w:rFonts w:hint="eastAsia" w:ascii="宋体"/>
          <w:sz w:val="24"/>
        </w:rPr>
        <w:t>6 标准与规范</w:t>
      </w:r>
      <w:bookmarkEnd w:id="38"/>
      <w:bookmarkEnd w:id="39"/>
    </w:p>
    <w:p>
      <w:pPr>
        <w:spacing w:line="360" w:lineRule="auto"/>
        <w:ind w:firstLine="455" w:firstLineChars="217"/>
        <w:rPr>
          <w:rFonts w:ascii="宋体" w:hAnsi="宋体"/>
          <w:szCs w:val="28"/>
        </w:rPr>
      </w:pPr>
      <w:r>
        <w:rPr>
          <w:rFonts w:hint="eastAsia" w:ascii="宋体" w:hAnsi="宋体"/>
          <w:szCs w:val="28"/>
        </w:rPr>
        <w:t>投标人应在投标文件中详述本项目各硬件、软件设计采用的技术规范。应符合以下规范要求规定。</w:t>
      </w:r>
    </w:p>
    <w:p>
      <w:pPr>
        <w:pStyle w:val="9"/>
        <w:numPr>
          <w:ilvl w:val="0"/>
          <w:numId w:val="3"/>
        </w:numPr>
        <w:autoSpaceDE w:val="0"/>
        <w:autoSpaceDN w:val="0"/>
        <w:adjustRightInd w:val="0"/>
        <w:snapToGrid/>
        <w:spacing w:line="480" w:lineRule="exact"/>
        <w:jc w:val="left"/>
      </w:pPr>
      <w:r>
        <w:t>《地铁设计规范》GB50157-2013</w:t>
      </w:r>
    </w:p>
    <w:p>
      <w:pPr>
        <w:pStyle w:val="9"/>
        <w:numPr>
          <w:ilvl w:val="0"/>
          <w:numId w:val="3"/>
        </w:numPr>
        <w:autoSpaceDE w:val="0"/>
        <w:autoSpaceDN w:val="0"/>
        <w:adjustRightInd w:val="0"/>
        <w:snapToGrid/>
        <w:spacing w:line="480" w:lineRule="exact"/>
        <w:jc w:val="left"/>
      </w:pPr>
      <w:r>
        <w:rPr>
          <w:rFonts w:hint="eastAsia"/>
        </w:rPr>
        <w:t>《城市轨道交通工程项目规范》GB 55033-2022</w:t>
      </w:r>
    </w:p>
    <w:p>
      <w:pPr>
        <w:pStyle w:val="9"/>
        <w:numPr>
          <w:ilvl w:val="0"/>
          <w:numId w:val="3"/>
        </w:numPr>
        <w:autoSpaceDE w:val="0"/>
        <w:autoSpaceDN w:val="0"/>
        <w:adjustRightInd w:val="0"/>
        <w:snapToGrid/>
        <w:spacing w:line="480" w:lineRule="exact"/>
        <w:jc w:val="left"/>
      </w:pPr>
      <w:r>
        <w:rPr>
          <w:rFonts w:hint="eastAsia"/>
        </w:rPr>
        <w:t>《城市快速轨道交通工程项目建设标准(附条文说明)》建标104-2008</w:t>
      </w:r>
    </w:p>
    <w:p>
      <w:pPr>
        <w:pStyle w:val="9"/>
        <w:numPr>
          <w:ilvl w:val="0"/>
          <w:numId w:val="3"/>
        </w:numPr>
        <w:autoSpaceDE w:val="0"/>
        <w:autoSpaceDN w:val="0"/>
        <w:adjustRightInd w:val="0"/>
        <w:snapToGrid/>
        <w:spacing w:line="480" w:lineRule="exact"/>
        <w:jc w:val="left"/>
      </w:pPr>
      <w:r>
        <w:rPr>
          <w:rFonts w:hint="eastAsia"/>
        </w:rPr>
        <w:t>《智能建筑设计标准》</w:t>
      </w:r>
      <w:r>
        <w:fldChar w:fldCharType="begin"/>
      </w:r>
      <w:r>
        <w:instrText xml:space="preserve"> HYPERLINK "http://www.csres.com/detail/267099.html" \t "_blank" </w:instrText>
      </w:r>
      <w:r>
        <w:fldChar w:fldCharType="separate"/>
      </w:r>
      <w:r>
        <w:rPr>
          <w:rStyle w:val="35"/>
          <w:rFonts w:hint="eastAsia" w:ascii="瀹嬩綋" w:eastAsia="瀹嬩綋"/>
          <w:color w:val="000000"/>
          <w:szCs w:val="21"/>
          <w:u w:val="none"/>
          <w:shd w:val="clear" w:color="auto" w:fill="FFFFFF"/>
        </w:rPr>
        <w:t>GB 50314-2015</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rPr>
          <w:rFonts w:hint="eastAsia"/>
        </w:rPr>
        <w:t>《综合布线系统工程设计规范》</w:t>
      </w:r>
      <w:r>
        <w:rPr>
          <w:rFonts w:hint="eastAsia" w:ascii="瀹嬩綋" w:eastAsia="瀹嬩綋"/>
          <w:color w:val="000000"/>
          <w:szCs w:val="21"/>
          <w:shd w:val="clear" w:color="auto" w:fill="FFFFFF"/>
        </w:rPr>
        <w:t> </w:t>
      </w:r>
      <w:r>
        <w:fldChar w:fldCharType="begin"/>
      </w:r>
      <w:r>
        <w:instrText xml:space="preserve"> HYPERLINK "http://www.csres.com/detail/289124.html" \t "_blank" </w:instrText>
      </w:r>
      <w:r>
        <w:fldChar w:fldCharType="separate"/>
      </w:r>
      <w:r>
        <w:rPr>
          <w:rStyle w:val="35"/>
          <w:rFonts w:hint="eastAsia" w:ascii="瀹嬩綋" w:eastAsia="瀹嬩綋"/>
          <w:color w:val="000000"/>
          <w:szCs w:val="21"/>
          <w:u w:val="none"/>
          <w:shd w:val="clear" w:color="auto" w:fill="FFFFFF"/>
        </w:rPr>
        <w:t>GB 50311-2016</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rPr>
          <w:rFonts w:hint="eastAsia"/>
        </w:rPr>
        <w:t xml:space="preserve">《火灾自动报警系统设计规范》 </w:t>
      </w:r>
      <w:r>
        <w:fldChar w:fldCharType="begin"/>
      </w:r>
      <w:r>
        <w:instrText xml:space="preserve"> HYPERLINK "http://www.csres.com/detail/235491.html" \t "_blank" </w:instrText>
      </w:r>
      <w:r>
        <w:fldChar w:fldCharType="separate"/>
      </w:r>
      <w:r>
        <w:rPr>
          <w:rStyle w:val="35"/>
          <w:rFonts w:hint="eastAsia" w:ascii="瀹嬩綋" w:eastAsia="瀹嬩綋"/>
          <w:color w:val="000000"/>
          <w:szCs w:val="21"/>
          <w:u w:val="none"/>
          <w:shd w:val="clear" w:color="auto" w:fill="FFFFFF"/>
        </w:rPr>
        <w:t>GB 50116-2013</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t>《民用建筑设计</w:t>
      </w:r>
      <w:r>
        <w:rPr>
          <w:rFonts w:hint="eastAsia"/>
        </w:rPr>
        <w:t>标准</w:t>
      </w:r>
      <w:r>
        <w:t>》GB 51348-2019</w:t>
      </w:r>
    </w:p>
    <w:p>
      <w:pPr>
        <w:pStyle w:val="9"/>
        <w:numPr>
          <w:ilvl w:val="0"/>
          <w:numId w:val="3"/>
        </w:numPr>
        <w:autoSpaceDE w:val="0"/>
        <w:autoSpaceDN w:val="0"/>
        <w:adjustRightInd w:val="0"/>
        <w:snapToGrid/>
        <w:spacing w:line="480" w:lineRule="exact"/>
        <w:jc w:val="left"/>
      </w:pPr>
      <w:r>
        <w:rPr>
          <w:rFonts w:hint="eastAsia"/>
        </w:rPr>
        <w:t xml:space="preserve">《建筑设计防火规范(2018年版)》 </w:t>
      </w:r>
      <w:r>
        <w:fldChar w:fldCharType="begin"/>
      </w:r>
      <w:r>
        <w:instrText xml:space="preserve"> HYPERLINK "http://www.csres.com/detail/248465.html" \t "_blank" </w:instrText>
      </w:r>
      <w:r>
        <w:fldChar w:fldCharType="separate"/>
      </w:r>
      <w:r>
        <w:rPr>
          <w:rStyle w:val="35"/>
          <w:rFonts w:hint="eastAsia" w:ascii="瀹嬩綋" w:eastAsia="瀹嬩綋"/>
          <w:color w:val="000000"/>
          <w:szCs w:val="21"/>
          <w:u w:val="none"/>
          <w:shd w:val="clear" w:color="auto" w:fill="FFFFFF"/>
        </w:rPr>
        <w:t>GB 50016-2014</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rPr>
          <w:rFonts w:hint="eastAsia"/>
        </w:rPr>
        <w:t>《人-系统交互工效学 支持以人为中心设计的可用性方法》GB/T 21051-2007</w:t>
      </w:r>
    </w:p>
    <w:p>
      <w:pPr>
        <w:pStyle w:val="9"/>
        <w:numPr>
          <w:ilvl w:val="0"/>
          <w:numId w:val="3"/>
        </w:numPr>
        <w:autoSpaceDE w:val="0"/>
        <w:autoSpaceDN w:val="0"/>
        <w:adjustRightInd w:val="0"/>
        <w:snapToGrid/>
        <w:spacing w:line="480" w:lineRule="exact"/>
        <w:jc w:val="left"/>
      </w:pPr>
      <w:r>
        <w:rPr>
          <w:rFonts w:hint="eastAsia"/>
        </w:rPr>
        <w:t>《智能建筑工程质量验收规范》</w:t>
      </w:r>
      <w:r>
        <w:fldChar w:fldCharType="begin"/>
      </w:r>
      <w:r>
        <w:instrText xml:space="preserve"> HYPERLINK "http://www.csres.com/detail/234165.html" \t "_blank" </w:instrText>
      </w:r>
      <w:r>
        <w:fldChar w:fldCharType="separate"/>
      </w:r>
      <w:r>
        <w:rPr>
          <w:rStyle w:val="35"/>
          <w:rFonts w:hint="eastAsia" w:ascii="瀹嬩綋" w:eastAsia="瀹嬩綋"/>
          <w:color w:val="000000"/>
          <w:szCs w:val="21"/>
          <w:u w:val="none"/>
          <w:shd w:val="clear" w:color="auto" w:fill="FFFFFF"/>
        </w:rPr>
        <w:t>GB 50339-2013</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rPr>
          <w:rFonts w:hint="eastAsia"/>
        </w:rPr>
        <w:t>《电气装置安装工程接地装置施工及验收规范》</w:t>
      </w:r>
      <w:r>
        <w:fldChar w:fldCharType="begin"/>
      </w:r>
      <w:r>
        <w:instrText xml:space="preserve"> HYPERLINK "http://www.csres.com/detail/288616.html" \t "_blank" </w:instrText>
      </w:r>
      <w:r>
        <w:fldChar w:fldCharType="separate"/>
      </w:r>
      <w:r>
        <w:rPr>
          <w:rStyle w:val="35"/>
          <w:rFonts w:hint="eastAsia" w:ascii="瀹嬩綋" w:eastAsia="瀹嬩綋"/>
          <w:color w:val="000000"/>
          <w:szCs w:val="21"/>
          <w:u w:val="none"/>
          <w:shd w:val="clear" w:color="auto" w:fill="FFFFFF"/>
        </w:rPr>
        <w:t>GB 50169-2016</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rPr>
          <w:rFonts w:hint="eastAsia"/>
        </w:rPr>
        <w:t>《综合布线系统电气特性通用测试方法》</w:t>
      </w:r>
      <w:r>
        <w:fldChar w:fldCharType="begin"/>
      </w:r>
      <w:r>
        <w:instrText xml:space="preserve"> HYPERLINK "http://www.csres.com/detail/232672.html" \t "_blank" </w:instrText>
      </w:r>
      <w:r>
        <w:fldChar w:fldCharType="separate"/>
      </w:r>
      <w:r>
        <w:rPr>
          <w:rStyle w:val="35"/>
          <w:rFonts w:hint="eastAsia" w:ascii="瀹嬩綋" w:eastAsia="瀹嬩綋"/>
          <w:color w:val="000000"/>
          <w:szCs w:val="21"/>
          <w:u w:val="none"/>
          <w:shd w:val="clear" w:color="auto" w:fill="FFFFFF"/>
        </w:rPr>
        <w:t>YD/T 1013-2013</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rPr>
          <w:rFonts w:hint="eastAsia"/>
        </w:rPr>
        <w:t>《电磁兼容 试验和测量技术 静电放电抗扰度试验 》GB/T 17626.2-2018</w:t>
      </w:r>
    </w:p>
    <w:p>
      <w:pPr>
        <w:pStyle w:val="9"/>
        <w:numPr>
          <w:ilvl w:val="0"/>
          <w:numId w:val="3"/>
        </w:numPr>
        <w:autoSpaceDE w:val="0"/>
        <w:autoSpaceDN w:val="0"/>
        <w:adjustRightInd w:val="0"/>
        <w:snapToGrid/>
        <w:spacing w:line="480" w:lineRule="exact"/>
        <w:jc w:val="left"/>
      </w:pPr>
      <w:r>
        <w:rPr>
          <w:rFonts w:hint="eastAsia"/>
        </w:rPr>
        <w:t>《防火墙设备技术要求》YD/T 1132-2001</w:t>
      </w:r>
    </w:p>
    <w:p>
      <w:pPr>
        <w:pStyle w:val="9"/>
        <w:numPr>
          <w:ilvl w:val="0"/>
          <w:numId w:val="3"/>
        </w:numPr>
        <w:autoSpaceDE w:val="0"/>
        <w:autoSpaceDN w:val="0"/>
        <w:adjustRightInd w:val="0"/>
        <w:snapToGrid/>
        <w:spacing w:line="480" w:lineRule="exact"/>
        <w:jc w:val="left"/>
      </w:pPr>
      <w:r>
        <w:t>《视频安防监控系统工程设计规范》GB50395-2007</w:t>
      </w:r>
    </w:p>
    <w:p>
      <w:pPr>
        <w:pStyle w:val="9"/>
        <w:numPr>
          <w:ilvl w:val="0"/>
          <w:numId w:val="3"/>
        </w:numPr>
        <w:autoSpaceDE w:val="0"/>
        <w:autoSpaceDN w:val="0"/>
        <w:adjustRightInd w:val="0"/>
        <w:snapToGrid/>
        <w:spacing w:line="480" w:lineRule="exact"/>
        <w:jc w:val="left"/>
      </w:pPr>
      <w:r>
        <w:rPr>
          <w:rFonts w:hint="eastAsia" w:ascii="瀹嬩綋" w:eastAsia="瀹嬩綋"/>
          <w:color w:val="000000"/>
          <w:szCs w:val="21"/>
          <w:shd w:val="clear" w:color="auto" w:fill="FFFFFF"/>
        </w:rPr>
        <w:t>《电力系统数字同步网工程设计规范》</w:t>
      </w:r>
      <w:r>
        <w:rPr>
          <w:rFonts w:ascii="瀹嬩綋" w:eastAsia="瀹嬩綋"/>
          <w:color w:val="000000"/>
          <w:szCs w:val="21"/>
          <w:shd w:val="clear" w:color="auto" w:fill="FFFFFF"/>
        </w:rPr>
        <w:t>DL/T 5392-2007</w:t>
      </w:r>
    </w:p>
    <w:p>
      <w:pPr>
        <w:pStyle w:val="9"/>
        <w:numPr>
          <w:ilvl w:val="0"/>
          <w:numId w:val="3"/>
        </w:numPr>
        <w:autoSpaceDE w:val="0"/>
        <w:autoSpaceDN w:val="0"/>
        <w:adjustRightInd w:val="0"/>
        <w:snapToGrid/>
        <w:spacing w:line="480" w:lineRule="exact"/>
        <w:jc w:val="left"/>
      </w:pPr>
      <w:r>
        <w:t>《综合布线系统工程设计规范》</w:t>
      </w:r>
      <w:r>
        <w:fldChar w:fldCharType="begin"/>
      </w:r>
      <w:r>
        <w:instrText xml:space="preserve"> HYPERLINK "http://www.csres.com/detail/289124.html" \t "_blank" </w:instrText>
      </w:r>
      <w:r>
        <w:fldChar w:fldCharType="separate"/>
      </w:r>
      <w:r>
        <w:rPr>
          <w:rStyle w:val="35"/>
          <w:rFonts w:hint="eastAsia" w:ascii="瀹嬩綋" w:eastAsia="瀹嬩綋"/>
          <w:color w:val="000000"/>
          <w:szCs w:val="21"/>
          <w:u w:val="none"/>
          <w:shd w:val="clear" w:color="auto" w:fill="FFFFFF"/>
        </w:rPr>
        <w:t>GB 50311-2016</w:t>
      </w:r>
      <w:r>
        <w:rPr>
          <w:rStyle w:val="35"/>
          <w:rFonts w:hint="eastAsia" w:ascii="瀹嬩綋" w:eastAsia="瀹嬩綋"/>
          <w:color w:val="000000"/>
          <w:szCs w:val="21"/>
          <w:u w:val="none"/>
          <w:shd w:val="clear" w:color="auto" w:fill="FFFFFF"/>
        </w:rPr>
        <w:fldChar w:fldCharType="end"/>
      </w:r>
    </w:p>
    <w:p>
      <w:pPr>
        <w:pStyle w:val="9"/>
        <w:numPr>
          <w:ilvl w:val="0"/>
          <w:numId w:val="3"/>
        </w:numPr>
        <w:autoSpaceDE w:val="0"/>
        <w:autoSpaceDN w:val="0"/>
        <w:adjustRightInd w:val="0"/>
        <w:snapToGrid/>
        <w:spacing w:line="480" w:lineRule="exact"/>
        <w:jc w:val="left"/>
      </w:pPr>
      <w:r>
        <w:t>《通信局（站）防雷与接地工程设计规范》YD 5098-2005</w:t>
      </w:r>
    </w:p>
    <w:p>
      <w:pPr>
        <w:pStyle w:val="9"/>
        <w:numPr>
          <w:ilvl w:val="0"/>
          <w:numId w:val="3"/>
        </w:numPr>
        <w:autoSpaceDE w:val="0"/>
        <w:autoSpaceDN w:val="0"/>
        <w:adjustRightInd w:val="0"/>
        <w:snapToGrid/>
        <w:spacing w:line="480" w:lineRule="exact"/>
        <w:jc w:val="left"/>
      </w:pPr>
      <w:r>
        <w:t>《通信用阀控式密封胶体蓄电池 》YD/T 1360-2005</w:t>
      </w:r>
    </w:p>
    <w:p>
      <w:pPr>
        <w:pStyle w:val="9"/>
        <w:numPr>
          <w:ilvl w:val="0"/>
          <w:numId w:val="3"/>
        </w:numPr>
        <w:autoSpaceDE w:val="0"/>
        <w:autoSpaceDN w:val="0"/>
        <w:adjustRightInd w:val="0"/>
        <w:snapToGrid/>
        <w:spacing w:line="480" w:lineRule="exact"/>
        <w:jc w:val="left"/>
      </w:pPr>
      <w:r>
        <w:rPr>
          <w:rFonts w:hint="eastAsia"/>
        </w:rPr>
        <w:t>国际电工学会标准（IEC）</w:t>
      </w:r>
    </w:p>
    <w:p>
      <w:pPr>
        <w:pStyle w:val="9"/>
        <w:numPr>
          <w:ilvl w:val="0"/>
          <w:numId w:val="3"/>
        </w:numPr>
        <w:autoSpaceDE w:val="0"/>
        <w:autoSpaceDN w:val="0"/>
        <w:adjustRightInd w:val="0"/>
        <w:snapToGrid/>
        <w:spacing w:line="480" w:lineRule="exact"/>
        <w:jc w:val="left"/>
      </w:pPr>
      <w:r>
        <w:rPr>
          <w:rFonts w:hint="eastAsia"/>
        </w:rPr>
        <w:t>国际电信联盟（ITU）的有关建议</w:t>
      </w:r>
    </w:p>
    <w:p>
      <w:pPr>
        <w:pStyle w:val="9"/>
        <w:numPr>
          <w:ilvl w:val="0"/>
          <w:numId w:val="3"/>
        </w:numPr>
        <w:autoSpaceDE w:val="0"/>
        <w:autoSpaceDN w:val="0"/>
        <w:adjustRightInd w:val="0"/>
        <w:snapToGrid/>
        <w:spacing w:line="480" w:lineRule="exact"/>
        <w:jc w:val="left"/>
      </w:pPr>
      <w:r>
        <w:rPr>
          <w:rFonts w:hint="eastAsia"/>
        </w:rPr>
        <w:t>国际电气与电子工程师协会（IEEE）的标准</w:t>
      </w:r>
    </w:p>
    <w:p>
      <w:pPr>
        <w:pStyle w:val="9"/>
        <w:numPr>
          <w:ilvl w:val="0"/>
          <w:numId w:val="3"/>
        </w:numPr>
        <w:autoSpaceDE w:val="0"/>
        <w:autoSpaceDN w:val="0"/>
        <w:adjustRightInd w:val="0"/>
        <w:snapToGrid/>
        <w:spacing w:line="480" w:lineRule="exact"/>
        <w:jc w:val="left"/>
      </w:pPr>
      <w:r>
        <w:rPr>
          <w:rFonts w:hint="eastAsia"/>
        </w:rPr>
        <w:t>公安部、工业和信息化部等部委的有关标准和规定。</w:t>
      </w:r>
    </w:p>
    <w:p>
      <w:pPr>
        <w:pStyle w:val="9"/>
        <w:spacing w:line="480" w:lineRule="exact"/>
        <w:ind w:left="0" w:firstLine="420" w:firstLineChars="200"/>
      </w:pPr>
      <w:r>
        <w:rPr>
          <w:rFonts w:hint="eastAsia"/>
        </w:rPr>
        <w:t>在设计联络过程中提交设计所采用的技术规范的详细依据，不得采用过期、作废及低于我国国家标准的技术规范。</w:t>
      </w:r>
    </w:p>
    <w:p>
      <w:pPr>
        <w:pStyle w:val="9"/>
        <w:spacing w:line="480" w:lineRule="exact"/>
        <w:ind w:left="0" w:firstLine="420" w:firstLineChars="200"/>
      </w:pPr>
    </w:p>
    <w:p>
      <w:pPr>
        <w:pStyle w:val="2"/>
        <w:spacing w:before="0" w:after="0" w:line="360" w:lineRule="auto"/>
        <w:ind w:left="794" w:hanging="794"/>
        <w:rPr>
          <w:rFonts w:ascii="宋体"/>
          <w:sz w:val="24"/>
        </w:rPr>
      </w:pPr>
      <w:bookmarkStart w:id="40" w:name="_Toc10068"/>
      <w:bookmarkStart w:id="41" w:name="_Toc302465733"/>
      <w:r>
        <w:rPr>
          <w:rFonts w:hint="eastAsia" w:ascii="宋体"/>
          <w:sz w:val="24"/>
        </w:rPr>
        <w:t>7 基本要求</w:t>
      </w:r>
      <w:bookmarkEnd w:id="40"/>
      <w:bookmarkEnd w:id="41"/>
    </w:p>
    <w:p>
      <w:pPr>
        <w:pStyle w:val="9"/>
        <w:spacing w:line="480" w:lineRule="exact"/>
        <w:ind w:left="0" w:firstLine="420" w:firstLineChars="200"/>
      </w:pPr>
      <w:r>
        <w:rPr>
          <w:rFonts w:hint="eastAsia"/>
        </w:rPr>
        <w:t>投标人提供的本项目设备在设计时必须充分考虑设备主要为非专业技术人员操作及使用。系统设备必须具有高度的可用性及可扩展性。硬件设计应采用开放式及模块化设计，以方便系统维修及扩展，在需要时应可选用其他模块替代。</w:t>
      </w:r>
    </w:p>
    <w:p>
      <w:pPr>
        <w:pStyle w:val="9"/>
        <w:spacing w:line="480" w:lineRule="exact"/>
        <w:ind w:left="0" w:firstLine="420" w:firstLineChars="200"/>
      </w:pPr>
      <w:r>
        <w:rPr>
          <w:rFonts w:hint="eastAsia"/>
        </w:rPr>
        <w:t>系统设备应是便于安装、操作和维护的。</w:t>
      </w:r>
    </w:p>
    <w:p>
      <w:pPr>
        <w:pStyle w:val="9"/>
        <w:spacing w:line="480" w:lineRule="exact"/>
        <w:ind w:left="0" w:firstLine="420" w:firstLineChars="200"/>
      </w:pPr>
      <w:r>
        <w:rPr>
          <w:rFonts w:hint="eastAsia"/>
        </w:rPr>
        <w:t>系统设备能保证</w:t>
      </w:r>
      <w:r>
        <w:t>7</w:t>
      </w:r>
      <w:r>
        <w:rPr>
          <w:rFonts w:hint="eastAsia"/>
        </w:rPr>
        <w:t>x24小时连续不间断运营。</w:t>
      </w:r>
    </w:p>
    <w:p>
      <w:pPr>
        <w:pStyle w:val="9"/>
        <w:spacing w:line="480" w:lineRule="exact"/>
        <w:ind w:left="0" w:firstLine="420" w:firstLineChars="200"/>
      </w:pPr>
      <w:r>
        <w:rPr>
          <w:rFonts w:hint="eastAsia"/>
        </w:rPr>
        <w:t>不允许非授权的特殊用户访问操作系统的其他资源。</w:t>
      </w:r>
    </w:p>
    <w:p>
      <w:pPr>
        <w:pStyle w:val="9"/>
        <w:spacing w:line="480" w:lineRule="exact"/>
        <w:ind w:left="0" w:firstLine="420" w:firstLineChars="200"/>
      </w:pPr>
      <w:r>
        <w:rPr>
          <w:rFonts w:hint="eastAsia"/>
        </w:rPr>
        <w:t>投标人应提出适当的设计工具来实现设计的自动化和可修改性。</w:t>
      </w:r>
    </w:p>
    <w:p>
      <w:pPr>
        <w:pStyle w:val="9"/>
        <w:spacing w:line="480" w:lineRule="exact"/>
        <w:ind w:left="0" w:firstLine="420" w:firstLineChars="200"/>
      </w:pPr>
      <w:r>
        <w:rPr>
          <w:rFonts w:hint="eastAsia"/>
        </w:rPr>
        <w:t>所提供的设备必须为主流产品，投标人必须保证在自最终验收结束后</w:t>
      </w:r>
      <w:r>
        <w:t>10</w:t>
      </w:r>
      <w:r>
        <w:rPr>
          <w:rFonts w:hint="eastAsia"/>
        </w:rPr>
        <w:t>年内，能提供设备的备品备件。</w:t>
      </w:r>
    </w:p>
    <w:p>
      <w:pPr>
        <w:pStyle w:val="9"/>
        <w:spacing w:line="480" w:lineRule="exact"/>
        <w:ind w:left="0" w:firstLine="420" w:firstLineChars="200"/>
      </w:pPr>
      <w:r>
        <w:rPr>
          <w:rFonts w:hint="eastAsia"/>
        </w:rPr>
        <w:t>投标人所配置硬件产品，供货时所用设备为当前主流产品，如遇停产或不满足相关需求，投标人应承诺免费更换，且技术参数不得低于原设备。</w:t>
      </w:r>
    </w:p>
    <w:p>
      <w:pPr>
        <w:pStyle w:val="9"/>
        <w:spacing w:line="480" w:lineRule="exact"/>
        <w:ind w:left="0" w:firstLine="420" w:firstLineChars="200"/>
      </w:pPr>
      <w:r>
        <w:rPr>
          <w:rFonts w:hint="eastAsia"/>
        </w:rPr>
        <w:t>设备国产化率不低于85%。</w:t>
      </w:r>
    </w:p>
    <w:p>
      <w:pPr>
        <w:pStyle w:val="9"/>
        <w:spacing w:line="480" w:lineRule="exact"/>
        <w:ind w:left="0" w:firstLine="420" w:firstLineChars="200"/>
      </w:pPr>
    </w:p>
    <w:p>
      <w:pPr>
        <w:pStyle w:val="2"/>
        <w:spacing w:before="0" w:after="0" w:line="360" w:lineRule="auto"/>
        <w:ind w:left="794" w:hanging="794"/>
        <w:rPr>
          <w:rFonts w:ascii="宋体"/>
          <w:sz w:val="24"/>
        </w:rPr>
      </w:pPr>
      <w:bookmarkStart w:id="42" w:name="_Toc302465734"/>
      <w:bookmarkStart w:id="43" w:name="_Toc27202"/>
      <w:r>
        <w:rPr>
          <w:rFonts w:hint="eastAsia" w:ascii="宋体"/>
          <w:sz w:val="24"/>
        </w:rPr>
        <w:t>8 基本性能</w:t>
      </w:r>
      <w:bookmarkEnd w:id="42"/>
      <w:bookmarkEnd w:id="43"/>
    </w:p>
    <w:p>
      <w:pPr>
        <w:pStyle w:val="9"/>
        <w:spacing w:line="480" w:lineRule="exact"/>
        <w:ind w:left="0" w:firstLine="420" w:firstLineChars="200"/>
      </w:pPr>
      <w:bookmarkStart w:id="44" w:name="_Toc117924916"/>
      <w:bookmarkStart w:id="45" w:name="_Toc117924713"/>
      <w:r>
        <w:rPr>
          <w:rFonts w:hint="eastAsia"/>
        </w:rPr>
        <w:t>1）可靠性</w:t>
      </w:r>
    </w:p>
    <w:p>
      <w:pPr>
        <w:pStyle w:val="9"/>
        <w:spacing w:line="480" w:lineRule="exact"/>
        <w:ind w:left="0" w:firstLine="420" w:firstLineChars="200"/>
      </w:pPr>
      <w:r>
        <w:rPr>
          <w:rFonts w:hint="eastAsia"/>
        </w:rPr>
        <w:t>投标人应对产品的可靠性设计做出详细说明和建议，提供系统各设备的MTBF、MCBF、MTTR及MTBSF的测试方法和计算过程，并提交可靠性设计报告及评测结果，供招标人确认。</w:t>
      </w:r>
    </w:p>
    <w:p>
      <w:pPr>
        <w:pStyle w:val="9"/>
        <w:spacing w:line="480" w:lineRule="exact"/>
        <w:ind w:left="0" w:firstLine="420" w:firstLineChars="200"/>
      </w:pPr>
      <w:r>
        <w:rPr>
          <w:rFonts w:hint="eastAsia"/>
        </w:rPr>
        <w:t>系统可保证7X24小时的连续运行；</w:t>
      </w:r>
    </w:p>
    <w:p>
      <w:pPr>
        <w:pStyle w:val="9"/>
        <w:spacing w:line="480" w:lineRule="exact"/>
        <w:ind w:left="0" w:firstLine="420" w:firstLineChars="200"/>
        <w:rPr>
          <w:rFonts w:hAnsi="宋体"/>
          <w:szCs w:val="21"/>
        </w:rPr>
      </w:pPr>
      <w:r>
        <w:rPr>
          <w:rFonts w:hint="eastAsia" w:hAnsi="宋体"/>
          <w:szCs w:val="21"/>
        </w:rPr>
        <w:t>系统的平均无故障时间不应小于8000h；</w:t>
      </w:r>
    </w:p>
    <w:p>
      <w:pPr>
        <w:pStyle w:val="9"/>
        <w:spacing w:line="480" w:lineRule="exact"/>
        <w:ind w:left="0" w:firstLine="420" w:firstLineChars="200"/>
        <w:rPr>
          <w:rFonts w:hAnsi="宋体"/>
          <w:szCs w:val="21"/>
        </w:rPr>
      </w:pPr>
      <w:r>
        <w:rPr>
          <w:rFonts w:hint="eastAsia" w:hAnsi="宋体"/>
          <w:szCs w:val="21"/>
        </w:rPr>
        <w:t>系统可用性指标应大于99.98％。</w:t>
      </w:r>
    </w:p>
    <w:p>
      <w:pPr>
        <w:pStyle w:val="9"/>
        <w:spacing w:line="480" w:lineRule="exact"/>
        <w:ind w:left="0" w:firstLine="420" w:firstLineChars="200"/>
      </w:pPr>
      <w:r>
        <w:rPr>
          <w:rFonts w:hint="eastAsia"/>
        </w:rPr>
        <w:t>2）可维护性</w:t>
      </w:r>
    </w:p>
    <w:p>
      <w:pPr>
        <w:pStyle w:val="9"/>
        <w:spacing w:line="480" w:lineRule="exact"/>
        <w:ind w:left="0" w:firstLine="420" w:firstLineChars="200"/>
      </w:pPr>
      <w:r>
        <w:rPr>
          <w:rFonts w:hint="eastAsia"/>
        </w:rPr>
        <w:t>系统各设备应设计成只需最少的调整、预防性维护和运行维护。</w:t>
      </w:r>
    </w:p>
    <w:p>
      <w:pPr>
        <w:pStyle w:val="9"/>
        <w:spacing w:line="480" w:lineRule="exact"/>
        <w:ind w:left="0" w:firstLine="420" w:firstLineChars="200"/>
      </w:pPr>
      <w:r>
        <w:rPr>
          <w:rFonts w:hint="eastAsia"/>
        </w:rPr>
        <w:t>产品设计应包括有适当的测试点、故障隔离及诊断措施，以减少设备修复时间、维护材料和人工成本。应可以通过制定合理的维修/更换策略、在线维修措施及维修支持产品的最佳运用来减少停机时间。</w:t>
      </w:r>
    </w:p>
    <w:p>
      <w:pPr>
        <w:pStyle w:val="9"/>
        <w:spacing w:line="480" w:lineRule="exact"/>
        <w:ind w:left="0" w:firstLine="420" w:firstLineChars="200"/>
      </w:pPr>
      <w:r>
        <w:rPr>
          <w:rFonts w:hint="eastAsia"/>
        </w:rPr>
        <w:t>投标人需提供系统各设备的故障列表，包括：故障现象、故障原因、故障后果、维修指导。</w:t>
      </w:r>
    </w:p>
    <w:p>
      <w:pPr>
        <w:pStyle w:val="9"/>
        <w:spacing w:line="480" w:lineRule="exact"/>
        <w:ind w:left="0" w:firstLine="420" w:firstLineChars="200"/>
      </w:pPr>
      <w:r>
        <w:rPr>
          <w:rFonts w:hint="eastAsia"/>
        </w:rPr>
        <w:t>当线路信息有修改时，维修人员可自行完成修改工作。</w:t>
      </w:r>
    </w:p>
    <w:bookmarkEnd w:id="44"/>
    <w:bookmarkEnd w:id="45"/>
    <w:p>
      <w:pPr>
        <w:pStyle w:val="9"/>
        <w:spacing w:line="480" w:lineRule="exact"/>
        <w:ind w:left="0" w:firstLine="420" w:firstLineChars="200"/>
      </w:pPr>
      <w:r>
        <w:rPr>
          <w:rFonts w:hint="eastAsia"/>
        </w:rPr>
        <w:t>3）可扩展性</w:t>
      </w:r>
    </w:p>
    <w:p>
      <w:pPr>
        <w:pStyle w:val="9"/>
        <w:spacing w:line="480" w:lineRule="exact"/>
        <w:ind w:left="0" w:firstLine="420" w:firstLineChars="200"/>
      </w:pPr>
      <w:r>
        <w:rPr>
          <w:rFonts w:hint="eastAsia"/>
        </w:rPr>
        <w:t>系统设备应设计成只需简单的操作和配置，就能够接入、显示新的线路信息，并能适应线网建设时的调整。</w:t>
      </w:r>
    </w:p>
    <w:p>
      <w:pPr>
        <w:pStyle w:val="9"/>
        <w:spacing w:line="480" w:lineRule="exact"/>
        <w:ind w:left="0" w:firstLine="420" w:firstLineChars="200"/>
        <w:rPr>
          <w:rFonts w:ascii="Calibri" w:hAnsi="宋体"/>
          <w:szCs w:val="21"/>
        </w:rPr>
      </w:pPr>
    </w:p>
    <w:p>
      <w:pPr>
        <w:pStyle w:val="2"/>
        <w:spacing w:before="0" w:after="0" w:line="360" w:lineRule="auto"/>
        <w:ind w:left="794" w:hanging="794"/>
        <w:rPr>
          <w:rFonts w:ascii="宋体"/>
          <w:sz w:val="24"/>
        </w:rPr>
      </w:pPr>
      <w:bookmarkStart w:id="46" w:name="_Toc24823"/>
      <w:bookmarkStart w:id="47" w:name="_Toc302465735"/>
      <w:r>
        <w:rPr>
          <w:rFonts w:hint="eastAsia" w:ascii="宋体"/>
          <w:sz w:val="24"/>
        </w:rPr>
        <w:t>9 产品要求</w:t>
      </w:r>
      <w:bookmarkEnd w:id="46"/>
      <w:bookmarkEnd w:id="47"/>
    </w:p>
    <w:p>
      <w:pPr>
        <w:pStyle w:val="9"/>
        <w:spacing w:line="480" w:lineRule="exact"/>
        <w:ind w:left="0" w:firstLine="420" w:firstLineChars="200"/>
      </w:pPr>
      <w:r>
        <w:t>1</w:t>
      </w:r>
      <w:r>
        <w:rPr>
          <w:rFonts w:hint="eastAsia"/>
        </w:rPr>
        <w:t>）材料和工艺</w:t>
      </w:r>
    </w:p>
    <w:p>
      <w:pPr>
        <w:pStyle w:val="9"/>
        <w:spacing w:line="480" w:lineRule="exact"/>
        <w:ind w:left="0" w:firstLine="420" w:firstLineChars="200"/>
      </w:pPr>
      <w:r>
        <w:rPr>
          <w:rFonts w:hint="eastAsia"/>
        </w:rPr>
        <w:t>设备采用的材料、加工和零部件应满足用户需求书中关于性能和功能的要求，以及关于可靠性和可维护性的要求。</w:t>
      </w:r>
    </w:p>
    <w:p>
      <w:pPr>
        <w:pStyle w:val="9"/>
        <w:spacing w:line="480" w:lineRule="exact"/>
        <w:ind w:left="0" w:firstLine="420" w:firstLineChars="200"/>
      </w:pPr>
      <w:r>
        <w:rPr>
          <w:rFonts w:hint="eastAsia"/>
        </w:rPr>
        <w:t>设备的零部件和元器件应以良好的商业惯例制造加工。应特别注意下述工艺过程：锡焊、配线、零部件铭牌、电镀、喷涂、铆接、机械化装配、电焊气焊，以及零部件的倒角和去毛刺。</w:t>
      </w:r>
    </w:p>
    <w:p>
      <w:pPr>
        <w:pStyle w:val="9"/>
        <w:spacing w:line="480" w:lineRule="exact"/>
        <w:ind w:left="0" w:firstLine="420" w:firstLineChars="200"/>
      </w:pPr>
      <w:r>
        <w:rPr>
          <w:rFonts w:hint="eastAsia"/>
        </w:rPr>
        <w:t>设备所有紧固螺钉都不能突出，防止运营人员受伤和损坏衣物。端子排、配线架应采用易拆装、坚固可靠的产品。</w:t>
      </w:r>
    </w:p>
    <w:p>
      <w:pPr>
        <w:pStyle w:val="9"/>
        <w:spacing w:line="480" w:lineRule="exact"/>
        <w:ind w:left="0" w:firstLine="420" w:firstLineChars="200"/>
      </w:pPr>
      <w:r>
        <w:rPr>
          <w:rFonts w:hint="eastAsia"/>
        </w:rPr>
        <w:t>本项目所用的所有电源线</w:t>
      </w:r>
      <w:r>
        <w:t>/</w:t>
      </w:r>
      <w:r>
        <w:rPr>
          <w:rFonts w:hint="eastAsia"/>
        </w:rPr>
        <w:t>通信线</w:t>
      </w:r>
      <w:r>
        <w:t>/</w:t>
      </w:r>
      <w:r>
        <w:rPr>
          <w:rFonts w:hint="eastAsia"/>
        </w:rPr>
        <w:t>电缆等应符合所有国家相关规范要求</w:t>
      </w:r>
      <w:r>
        <w:t xml:space="preserve">, </w:t>
      </w:r>
      <w:r>
        <w:rPr>
          <w:rFonts w:hint="eastAsia"/>
        </w:rPr>
        <w:t>包括但不限于以下需求</w:t>
      </w:r>
      <w:r>
        <w:t>:</w:t>
      </w:r>
    </w:p>
    <w:p>
      <w:pPr>
        <w:pStyle w:val="9"/>
        <w:spacing w:line="480" w:lineRule="exact"/>
        <w:ind w:left="0" w:firstLine="420" w:firstLineChars="200"/>
      </w:pPr>
      <w:r>
        <w:rPr>
          <w:rFonts w:hint="eastAsia"/>
        </w:rPr>
        <w:t>光</w:t>
      </w:r>
      <w:r>
        <w:t>/</w:t>
      </w:r>
      <w:r>
        <w:rPr>
          <w:rFonts w:hint="eastAsia"/>
        </w:rPr>
        <w:t>电缆使用寿命不少于20年。</w:t>
      </w:r>
      <w:r>
        <w:tab/>
      </w:r>
    </w:p>
    <w:p>
      <w:pPr>
        <w:pStyle w:val="9"/>
        <w:spacing w:line="480" w:lineRule="exact"/>
        <w:ind w:left="0" w:firstLine="420" w:firstLineChars="200"/>
      </w:pPr>
      <w:r>
        <w:rPr>
          <w:rFonts w:hint="eastAsia"/>
        </w:rPr>
        <w:t>除了满足线缆特定的技术要求外，所有线缆应符合以下规范或要求</w:t>
      </w:r>
      <w:r>
        <w:t>(</w:t>
      </w:r>
      <w:r>
        <w:rPr>
          <w:rFonts w:hint="eastAsia"/>
        </w:rPr>
        <w:t>如图纸与以下不符</w:t>
      </w:r>
      <w:r>
        <w:t xml:space="preserve">, </w:t>
      </w:r>
      <w:r>
        <w:rPr>
          <w:rFonts w:hint="eastAsia"/>
        </w:rPr>
        <w:t>以要求较高为准</w:t>
      </w:r>
      <w:r>
        <w:t>)</w:t>
      </w:r>
      <w:r>
        <w:rPr>
          <w:rFonts w:hint="eastAsia"/>
        </w:rPr>
        <w:t>：</w:t>
      </w:r>
    </w:p>
    <w:p>
      <w:pPr>
        <w:pStyle w:val="9"/>
        <w:spacing w:line="480" w:lineRule="exact"/>
        <w:ind w:left="0" w:firstLine="420" w:firstLineChars="200"/>
      </w:pPr>
      <w:r>
        <w:rPr>
          <w:rFonts w:hint="eastAsia"/>
        </w:rPr>
        <w:t>a.电源线、网络电缆、光缆燃烧性能满足GB 31247-2014中B1级要求；</w:t>
      </w:r>
    </w:p>
    <w:p>
      <w:pPr>
        <w:pStyle w:val="9"/>
        <w:spacing w:line="480" w:lineRule="exact"/>
        <w:ind w:left="0" w:firstLine="420" w:firstLineChars="200"/>
      </w:pPr>
      <w:r>
        <w:rPr>
          <w:rFonts w:hint="eastAsia"/>
        </w:rPr>
        <w:t>b.电源线、网络电缆、光缆电缆燃烧时的低烟性能满足IEC61034的规定的试验条件下，燃烧时产生的烟浓度其最小透光率须满足IEC61034的要求，不小于60%；</w:t>
      </w:r>
    </w:p>
    <w:p>
      <w:pPr>
        <w:pStyle w:val="9"/>
        <w:spacing w:line="480" w:lineRule="exact"/>
        <w:ind w:left="0" w:firstLine="420" w:firstLineChars="200"/>
      </w:pPr>
      <w:r>
        <w:rPr>
          <w:rFonts w:hint="eastAsia"/>
        </w:rPr>
        <w:t>c.电源线、网络电缆、光缆燃烧时的无卤性能满足IEC60754-1（电缆燃烧时气体逸出试验）的规定的试验条件下，燃烧时产生的卤酸气体逸出量不大于2.0mg/g；</w:t>
      </w:r>
    </w:p>
    <w:p>
      <w:pPr>
        <w:pStyle w:val="9"/>
        <w:spacing w:line="480" w:lineRule="exact"/>
        <w:ind w:left="0" w:firstLine="420" w:firstLineChars="200"/>
      </w:pPr>
      <w:r>
        <w:rPr>
          <w:rFonts w:hint="eastAsia"/>
        </w:rPr>
        <w:t>d.光/电缆燃烧时的逸出气体的PH值和导电率测试按IEC60754-2的规定，PH值不小于4.3，导电率加权值不大于10μs/mm；</w:t>
      </w:r>
    </w:p>
    <w:p>
      <w:pPr>
        <w:pStyle w:val="9"/>
        <w:spacing w:line="480" w:lineRule="exact"/>
        <w:ind w:left="0" w:firstLine="420" w:firstLineChars="200"/>
      </w:pPr>
      <w:r>
        <w:rPr>
          <w:rFonts w:hint="eastAsia"/>
        </w:rPr>
        <w:t>e.所有光/电缆配件必须低烟无卤阻燃防潮，符合有关标准。</w:t>
      </w:r>
    </w:p>
    <w:p>
      <w:pPr>
        <w:pStyle w:val="9"/>
        <w:spacing w:line="480" w:lineRule="exact"/>
        <w:ind w:left="0" w:firstLine="420" w:firstLineChars="200"/>
      </w:pPr>
      <w:r>
        <w:rPr>
          <w:rFonts w:hint="eastAsia"/>
        </w:rPr>
        <w:t>f.所有光/电缆须通过相关的浸水检查，以证明絶缘层不会因受潮而令絶缘下降。</w:t>
      </w:r>
    </w:p>
    <w:p>
      <w:pPr>
        <w:pStyle w:val="9"/>
        <w:spacing w:line="480" w:lineRule="exact"/>
        <w:ind w:left="0" w:firstLine="420" w:firstLineChars="200"/>
      </w:pPr>
      <w:r>
        <w:rPr>
          <w:rFonts w:hint="eastAsia"/>
        </w:rPr>
        <w:t>投标人需提供相关证明文件证明所提供电源线/通信线/电缆符合以上要求。</w:t>
      </w:r>
    </w:p>
    <w:p>
      <w:pPr>
        <w:pStyle w:val="9"/>
        <w:spacing w:line="480" w:lineRule="exact"/>
        <w:ind w:left="0" w:firstLine="420" w:firstLineChars="200"/>
      </w:pPr>
      <w:r>
        <w:rPr>
          <w:rFonts w:hint="eastAsia"/>
        </w:rPr>
        <w:t xml:space="preserve">投标人须考虑通信线布置的电磁环境，选取超5类屏蔽线，以防止信号被相连或相邻设备或附近电源线/通信线产生的电磁干扰，或对相连/相邻设备产生电磁干扰。 </w:t>
      </w:r>
    </w:p>
    <w:p>
      <w:pPr>
        <w:pStyle w:val="9"/>
        <w:spacing w:line="480" w:lineRule="exact"/>
        <w:ind w:left="0" w:firstLine="420" w:firstLineChars="200"/>
      </w:pPr>
      <w:r>
        <w:rPr>
          <w:rFonts w:hint="eastAsia"/>
        </w:rPr>
        <w:t>当通信线敷设长度超过90m时，应采用单模光缆。采用光缆时应考虑光电转换器、熔接盒以及相应的保护箱体及配件。</w:t>
      </w:r>
    </w:p>
    <w:p>
      <w:pPr>
        <w:pStyle w:val="9"/>
        <w:spacing w:line="480" w:lineRule="exact"/>
        <w:ind w:left="0" w:firstLine="420" w:firstLineChars="200"/>
      </w:pPr>
      <w:r>
        <w:rPr>
          <w:rFonts w:hint="eastAsia"/>
        </w:rPr>
        <w:t>2）部件的可互换性和标准化</w:t>
      </w:r>
    </w:p>
    <w:p>
      <w:pPr>
        <w:pStyle w:val="9"/>
        <w:spacing w:line="480" w:lineRule="exact"/>
        <w:ind w:left="0" w:firstLine="420" w:firstLineChars="200"/>
      </w:pPr>
      <w:r>
        <w:rPr>
          <w:rFonts w:hint="eastAsia"/>
        </w:rPr>
        <w:t>所有相似零部件应具有充分的可互换性。</w:t>
      </w:r>
    </w:p>
    <w:p>
      <w:pPr>
        <w:pStyle w:val="9"/>
        <w:spacing w:line="480" w:lineRule="exact"/>
        <w:ind w:left="0" w:firstLine="420" w:firstLineChars="200"/>
      </w:pPr>
      <w:r>
        <w:rPr>
          <w:rFonts w:hint="eastAsia"/>
        </w:rPr>
        <w:t>投标人应对本工程中所有零部件、材料和器件的标准化负责。所有批量生产的设备、零部件和元器件均应是标准产品。</w:t>
      </w:r>
    </w:p>
    <w:p>
      <w:pPr>
        <w:pStyle w:val="9"/>
        <w:spacing w:line="480" w:lineRule="exact"/>
        <w:ind w:left="0" w:firstLine="420" w:firstLineChars="200"/>
      </w:pPr>
      <w:r>
        <w:rPr>
          <w:rFonts w:hint="eastAsia"/>
        </w:rPr>
        <w:t>3）设备设计</w:t>
      </w:r>
    </w:p>
    <w:p>
      <w:pPr>
        <w:pStyle w:val="9"/>
        <w:spacing w:line="480" w:lineRule="exact"/>
        <w:ind w:left="0" w:firstLine="420" w:firstLineChars="200"/>
      </w:pPr>
      <w:r>
        <w:rPr>
          <w:rFonts w:hint="eastAsia"/>
        </w:rPr>
        <w:t>设备应可不损坏地拆除和更换模块。</w:t>
      </w:r>
    </w:p>
    <w:p>
      <w:pPr>
        <w:pStyle w:val="9"/>
        <w:spacing w:line="480" w:lineRule="exact"/>
        <w:ind w:left="0" w:firstLine="420" w:firstLineChars="200"/>
      </w:pPr>
      <w:r>
        <w:rPr>
          <w:rFonts w:hint="eastAsia"/>
        </w:rPr>
        <w:t>设备应具有短路保护，包括电源内部的保护。</w:t>
      </w:r>
    </w:p>
    <w:p>
      <w:pPr>
        <w:pStyle w:val="9"/>
        <w:spacing w:line="480" w:lineRule="exact"/>
        <w:ind w:left="0" w:firstLine="420" w:firstLineChars="200"/>
      </w:pPr>
      <w:r>
        <w:rPr>
          <w:rFonts w:hint="eastAsia"/>
        </w:rPr>
        <w:t>设备承包商应负责与相关系统的接口设备的设计。</w:t>
      </w:r>
    </w:p>
    <w:p>
      <w:pPr>
        <w:pStyle w:val="9"/>
        <w:spacing w:line="480" w:lineRule="exact"/>
        <w:ind w:left="0" w:firstLine="420" w:firstLineChars="200"/>
      </w:pPr>
      <w:r>
        <w:rPr>
          <w:rFonts w:hint="eastAsia"/>
        </w:rPr>
        <w:t>4）设备电气安全</w:t>
      </w:r>
    </w:p>
    <w:p>
      <w:pPr>
        <w:pStyle w:val="9"/>
        <w:spacing w:line="480" w:lineRule="exact"/>
        <w:ind w:left="0" w:firstLine="420" w:firstLineChars="200"/>
      </w:pPr>
      <w:r>
        <w:rPr>
          <w:rFonts w:hint="eastAsia"/>
        </w:rPr>
        <w:t>设备的金属外壳及运营人员身体接触的金属部件需考虑安全保护措施，以保证运营人员的人身安全。</w:t>
      </w:r>
    </w:p>
    <w:p>
      <w:pPr>
        <w:pStyle w:val="9"/>
        <w:spacing w:line="480" w:lineRule="exact"/>
        <w:ind w:left="0" w:firstLine="420" w:firstLineChars="200"/>
      </w:pPr>
      <w:r>
        <w:rPr>
          <w:rFonts w:hint="eastAsia"/>
        </w:rPr>
        <w:t>设备应具备相应的安全保护，设备内各电子模块和电气接头固定良好。</w:t>
      </w:r>
    </w:p>
    <w:p>
      <w:pPr>
        <w:pStyle w:val="9"/>
        <w:spacing w:line="480" w:lineRule="exact"/>
        <w:ind w:left="0" w:firstLine="420" w:firstLineChars="200"/>
      </w:pPr>
      <w:r>
        <w:rPr>
          <w:rFonts w:hint="eastAsia"/>
        </w:rPr>
        <w:t>设备应具备相应的电源保护措施，如防雷、防浪涌等。</w:t>
      </w:r>
    </w:p>
    <w:p>
      <w:pPr>
        <w:pStyle w:val="9"/>
        <w:spacing w:line="480" w:lineRule="exact"/>
        <w:ind w:left="0" w:firstLine="420" w:firstLineChars="200"/>
      </w:pPr>
      <w:r>
        <w:rPr>
          <w:rFonts w:hint="eastAsia"/>
        </w:rPr>
        <w:t>5）抗电强度</w:t>
      </w:r>
    </w:p>
    <w:p>
      <w:pPr>
        <w:pStyle w:val="9"/>
        <w:spacing w:line="480" w:lineRule="exact"/>
        <w:ind w:left="0" w:firstLine="420" w:firstLineChars="200"/>
      </w:pPr>
      <w:r>
        <w:rPr>
          <w:rFonts w:hint="eastAsia"/>
        </w:rPr>
        <w:t>电源供电线任一级与机外金属外露部分之间（试验时电源开关置“通”），应能承受有效值1500V、50Hz的交流电压，时间为1秒的抗电强度试验，试验电流判定为10mA，试验中应无击穿飞弧现象，无机器受损，投标人须提供抗电强度测试报告。</w:t>
      </w:r>
    </w:p>
    <w:p>
      <w:pPr>
        <w:pStyle w:val="9"/>
        <w:spacing w:line="480" w:lineRule="exact"/>
        <w:ind w:left="0" w:firstLine="420" w:firstLineChars="200"/>
      </w:pPr>
      <w:r>
        <w:rPr>
          <w:rFonts w:hint="eastAsia"/>
        </w:rPr>
        <w:t>6）绝缘电阻</w:t>
      </w:r>
    </w:p>
    <w:p>
      <w:pPr>
        <w:pStyle w:val="9"/>
        <w:spacing w:line="480" w:lineRule="exact"/>
        <w:ind w:left="0" w:firstLine="420" w:firstLineChars="200"/>
      </w:pPr>
      <w:r>
        <w:rPr>
          <w:rFonts w:hint="eastAsia"/>
        </w:rPr>
        <w:t>电源供电线任一级与机外金属外露部分之间的绝缘电阻，用500V绝缘电阻测试仪测量，绝缘电阻值应不小于20MΩ。（试验时电源开关置“通”）</w:t>
      </w:r>
    </w:p>
    <w:p>
      <w:pPr>
        <w:pStyle w:val="9"/>
        <w:spacing w:line="480" w:lineRule="exact"/>
        <w:ind w:left="0" w:firstLine="420" w:firstLineChars="200"/>
      </w:pPr>
      <w:r>
        <w:rPr>
          <w:rFonts w:hint="eastAsia"/>
        </w:rPr>
        <w:t>投标人应提供所供系统设备的电磁兼容能力及遵循的标准。并提供所供设备对环境、电源、接地、抗干扰、屏蔽和其它方面的要求。</w:t>
      </w:r>
    </w:p>
    <w:p>
      <w:pPr>
        <w:pStyle w:val="9"/>
        <w:spacing w:line="480" w:lineRule="exact"/>
        <w:ind w:left="0" w:firstLine="420" w:firstLineChars="200"/>
      </w:pPr>
      <w:r>
        <w:rPr>
          <w:rFonts w:hint="eastAsia"/>
        </w:rPr>
        <w:t>7）节能设计</w:t>
      </w:r>
    </w:p>
    <w:p>
      <w:pPr>
        <w:pStyle w:val="9"/>
        <w:spacing w:line="480" w:lineRule="exact"/>
        <w:ind w:left="0" w:firstLine="420" w:firstLineChars="200"/>
      </w:pPr>
      <w:r>
        <w:rPr>
          <w:rFonts w:hint="eastAsia"/>
        </w:rPr>
        <w:t>设备应能运行在预先设定的、可设置的节能模式下，投标人需就如何实现设备的节能运行提出详细的设计方案供招标人确认，确认后的方案需在系统中实现。</w:t>
      </w:r>
    </w:p>
    <w:p>
      <w:pPr>
        <w:pStyle w:val="9"/>
        <w:spacing w:line="480" w:lineRule="exact"/>
        <w:ind w:left="0" w:firstLine="420" w:firstLineChars="200"/>
      </w:pPr>
      <w:r>
        <w:rPr>
          <w:rFonts w:hint="eastAsia"/>
        </w:rPr>
        <w:t>8）网络安全要求</w:t>
      </w:r>
    </w:p>
    <w:p>
      <w:pPr>
        <w:pStyle w:val="9"/>
        <w:spacing w:line="480" w:lineRule="exact"/>
        <w:ind w:left="0" w:firstLine="420" w:firstLineChars="200"/>
      </w:pPr>
      <w:r>
        <w:rPr>
          <w:rFonts w:hint="eastAsia"/>
        </w:rPr>
        <w:t>依据《网络安全法》、《网络安全审查办法》，投标人禁止使用未通过国家网络安全审查的网络产品和服务。</w:t>
      </w:r>
    </w:p>
    <w:p>
      <w:pPr>
        <w:pStyle w:val="9"/>
        <w:spacing w:line="480" w:lineRule="exact"/>
        <w:ind w:left="0" w:firstLine="420" w:firstLineChars="200"/>
      </w:pPr>
    </w:p>
    <w:p>
      <w:pPr>
        <w:pStyle w:val="2"/>
        <w:spacing w:before="0" w:after="0" w:line="360" w:lineRule="auto"/>
        <w:ind w:left="794" w:hanging="794"/>
        <w:rPr>
          <w:rFonts w:ascii="宋体"/>
          <w:sz w:val="24"/>
        </w:rPr>
      </w:pPr>
      <w:bookmarkStart w:id="48" w:name="_Toc127676899"/>
      <w:bookmarkStart w:id="49" w:name="_Toc127872151"/>
      <w:bookmarkStart w:id="50" w:name="_Toc182218061"/>
      <w:bookmarkStart w:id="51" w:name="_Toc302465736"/>
      <w:bookmarkStart w:id="52" w:name="_Toc125261469"/>
      <w:bookmarkStart w:id="53" w:name="_Toc124134081"/>
      <w:bookmarkStart w:id="54" w:name="_Toc25292"/>
      <w:bookmarkStart w:id="55" w:name="_Toc222882576"/>
      <w:bookmarkStart w:id="56" w:name="_Toc131673052"/>
      <w:bookmarkStart w:id="57" w:name="_Toc128465163"/>
      <w:r>
        <w:rPr>
          <w:rFonts w:hint="eastAsia" w:ascii="宋体"/>
          <w:sz w:val="24"/>
        </w:rPr>
        <w:t>10 配件和标识</w:t>
      </w:r>
      <w:bookmarkEnd w:id="48"/>
      <w:bookmarkEnd w:id="49"/>
      <w:bookmarkEnd w:id="50"/>
      <w:bookmarkEnd w:id="51"/>
      <w:bookmarkEnd w:id="52"/>
      <w:bookmarkEnd w:id="53"/>
      <w:bookmarkEnd w:id="54"/>
      <w:bookmarkEnd w:id="55"/>
      <w:bookmarkEnd w:id="56"/>
      <w:bookmarkEnd w:id="57"/>
    </w:p>
    <w:p>
      <w:pPr>
        <w:pStyle w:val="9"/>
        <w:spacing w:line="480" w:lineRule="exact"/>
        <w:ind w:left="0" w:firstLine="420" w:firstLineChars="200"/>
      </w:pPr>
      <w:r>
        <w:rPr>
          <w:rFonts w:hint="eastAsia"/>
        </w:rPr>
        <w:t>1）标识牌</w:t>
      </w:r>
    </w:p>
    <w:p>
      <w:pPr>
        <w:pStyle w:val="9"/>
        <w:spacing w:line="480" w:lineRule="exact"/>
        <w:ind w:left="0" w:firstLine="420" w:firstLineChars="200"/>
      </w:pPr>
      <w:r>
        <w:rPr>
          <w:rFonts w:hint="eastAsia"/>
        </w:rPr>
        <w:t>每台系统设备表面具有永久性的不锈钢标识牌。</w:t>
      </w:r>
    </w:p>
    <w:p>
      <w:pPr>
        <w:pStyle w:val="9"/>
        <w:spacing w:line="480" w:lineRule="exact"/>
        <w:ind w:left="0" w:firstLine="420" w:firstLineChars="200"/>
      </w:pPr>
      <w:r>
        <w:rPr>
          <w:rFonts w:hint="eastAsia"/>
        </w:rPr>
        <w:t>每台设备机箱内部具有金属标识牌，内容至少应包括投标人名、型号或部件号、序列号、生产日期、供电电源额定电压或电压适用范围等信息。</w:t>
      </w:r>
    </w:p>
    <w:p>
      <w:pPr>
        <w:pStyle w:val="9"/>
        <w:spacing w:line="480" w:lineRule="exact"/>
        <w:ind w:left="0" w:firstLine="420" w:firstLineChars="200"/>
      </w:pPr>
      <w:r>
        <w:rPr>
          <w:rFonts w:hint="eastAsia"/>
        </w:rPr>
        <w:t>标识牌的内容和安装位置由投标人根据设备的外形设计提出方案，在设计联络阶段确定。</w:t>
      </w:r>
    </w:p>
    <w:p>
      <w:pPr>
        <w:pStyle w:val="9"/>
        <w:spacing w:line="480" w:lineRule="exact"/>
        <w:ind w:left="0" w:firstLine="420" w:firstLineChars="200"/>
      </w:pPr>
      <w:r>
        <w:rPr>
          <w:rFonts w:hint="eastAsia"/>
        </w:rPr>
        <w:t>2）电缆</w:t>
      </w:r>
    </w:p>
    <w:p>
      <w:pPr>
        <w:pStyle w:val="9"/>
        <w:spacing w:line="480" w:lineRule="exact"/>
        <w:ind w:left="0" w:firstLine="420" w:firstLineChars="200"/>
      </w:pPr>
      <w:r>
        <w:rPr>
          <w:rFonts w:hint="eastAsia"/>
        </w:rPr>
        <w:t>每台设备内部的电缆必须带有识别标签，其内容包括电缆连接编号、两端连接头编号等。所有的电缆应按规则排列，方便维修人员辨识。</w:t>
      </w:r>
    </w:p>
    <w:p>
      <w:pPr>
        <w:pStyle w:val="9"/>
        <w:spacing w:line="480" w:lineRule="exact"/>
        <w:ind w:left="0" w:firstLine="420" w:firstLineChars="200"/>
      </w:pPr>
    </w:p>
    <w:p>
      <w:pPr>
        <w:pStyle w:val="2"/>
        <w:spacing w:before="0" w:after="0" w:line="360" w:lineRule="auto"/>
        <w:ind w:left="794" w:hanging="794"/>
        <w:rPr>
          <w:rFonts w:ascii="宋体"/>
          <w:sz w:val="24"/>
        </w:rPr>
      </w:pPr>
      <w:bookmarkStart w:id="58" w:name="_Toc131673053"/>
      <w:bookmarkStart w:id="59" w:name="_Toc128465164"/>
      <w:bookmarkStart w:id="60" w:name="_Toc127676900"/>
      <w:bookmarkStart w:id="61" w:name="_Toc182218062"/>
      <w:bookmarkStart w:id="62" w:name="_Toc124134082"/>
      <w:bookmarkStart w:id="63" w:name="_Toc125261470"/>
      <w:bookmarkStart w:id="64" w:name="_Toc127872152"/>
      <w:bookmarkStart w:id="65" w:name="_Toc222882577"/>
      <w:bookmarkStart w:id="66" w:name="_Toc302465737"/>
      <w:bookmarkStart w:id="67" w:name="_Toc32286"/>
      <w:r>
        <w:rPr>
          <w:rFonts w:hint="eastAsia" w:ascii="宋体"/>
          <w:sz w:val="24"/>
        </w:rPr>
        <w:t>11 物理</w:t>
      </w:r>
      <w:bookmarkEnd w:id="58"/>
      <w:bookmarkEnd w:id="59"/>
      <w:bookmarkEnd w:id="60"/>
      <w:bookmarkEnd w:id="61"/>
      <w:bookmarkEnd w:id="62"/>
      <w:bookmarkEnd w:id="63"/>
      <w:bookmarkEnd w:id="64"/>
      <w:bookmarkEnd w:id="65"/>
      <w:bookmarkStart w:id="68" w:name="_Toc476130809"/>
      <w:r>
        <w:rPr>
          <w:rFonts w:hint="eastAsia" w:ascii="宋体"/>
          <w:sz w:val="24"/>
        </w:rPr>
        <w:t>外形及结构设计</w:t>
      </w:r>
      <w:bookmarkEnd w:id="66"/>
      <w:bookmarkEnd w:id="67"/>
      <w:bookmarkEnd w:id="68"/>
    </w:p>
    <w:p>
      <w:pPr>
        <w:pStyle w:val="9"/>
        <w:spacing w:line="480" w:lineRule="exact"/>
        <w:ind w:left="0" w:firstLine="420" w:firstLineChars="200"/>
      </w:pPr>
      <w:r>
        <w:rPr>
          <w:rFonts w:hint="eastAsia"/>
        </w:rPr>
        <w:t>设备表面及内部模块表面需平滑，边角圆滑，不会对使用者造成伤害。设备机壳表面没有外露的螺栓头、螺帽、毛边或裂纹。所有设备外壳需防水、防尘以及防止外部物品侵扰。</w:t>
      </w:r>
    </w:p>
    <w:p>
      <w:pPr>
        <w:pStyle w:val="9"/>
        <w:spacing w:line="480" w:lineRule="exact"/>
        <w:ind w:left="0" w:firstLine="420" w:firstLineChars="200"/>
      </w:pPr>
      <w:r>
        <w:rPr>
          <w:rFonts w:hint="eastAsia"/>
        </w:rPr>
        <w:t>设备外型结构应根据人体工程学设计，便于员工操作。</w:t>
      </w:r>
    </w:p>
    <w:p>
      <w:pPr>
        <w:pStyle w:val="9"/>
        <w:spacing w:line="480" w:lineRule="exact"/>
        <w:ind w:left="0" w:firstLine="420" w:firstLineChars="200"/>
      </w:pPr>
      <w:r>
        <w:rPr>
          <w:rFonts w:hint="eastAsia"/>
        </w:rPr>
        <w:t>在设备设计中，应充分考虑防止液体、细小的金属和硬物进入而损坏电气和机械部件。</w:t>
      </w:r>
    </w:p>
    <w:p>
      <w:pPr>
        <w:pStyle w:val="9"/>
        <w:spacing w:line="480" w:lineRule="exact"/>
        <w:ind w:left="0" w:firstLine="420" w:firstLineChars="200"/>
      </w:pPr>
      <w:r>
        <w:rPr>
          <w:rFonts w:hint="eastAsia"/>
        </w:rPr>
        <w:t>设备内部结构设计应保证主要部件的快速装拆和更换，保证维修人员能方便地更换。</w:t>
      </w:r>
    </w:p>
    <w:p>
      <w:pPr>
        <w:pStyle w:val="9"/>
        <w:spacing w:line="480" w:lineRule="exact"/>
        <w:ind w:left="0" w:firstLine="420" w:firstLineChars="200"/>
      </w:pPr>
      <w:r>
        <w:rPr>
          <w:rFonts w:hint="eastAsia"/>
        </w:rPr>
        <w:t>结构设计需考虑内部电气部件和模块的散热设计，保证设备在轨道交通环境下的运行。</w:t>
      </w:r>
    </w:p>
    <w:p>
      <w:pPr>
        <w:pStyle w:val="9"/>
        <w:spacing w:line="480" w:lineRule="exact"/>
        <w:ind w:left="0" w:firstLine="420" w:firstLineChars="200"/>
      </w:pPr>
      <w:r>
        <w:rPr>
          <w:rFonts w:hint="eastAsia"/>
        </w:rPr>
        <w:t>投标人应就其提供的设备的外形设计提交相关人体工程学设计的详细说明。</w:t>
      </w:r>
    </w:p>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Pr>
        <w:pStyle w:val="9"/>
        <w:spacing w:line="480" w:lineRule="exact"/>
        <w:ind w:left="0" w:firstLine="420" w:firstLineChars="200"/>
      </w:pPr>
    </w:p>
    <w:p>
      <w:pPr>
        <w:pStyle w:val="2"/>
        <w:spacing w:before="0" w:after="0" w:line="360" w:lineRule="auto"/>
        <w:ind w:left="794" w:hanging="794"/>
        <w:rPr>
          <w:rFonts w:ascii="宋体"/>
          <w:sz w:val="24"/>
        </w:rPr>
      </w:pPr>
      <w:bookmarkStart w:id="69" w:name="_Toc4517"/>
      <w:bookmarkStart w:id="70" w:name="_Toc302465730"/>
      <w:r>
        <w:rPr>
          <w:rFonts w:hint="eastAsia" w:ascii="宋体"/>
          <w:sz w:val="24"/>
        </w:rPr>
        <w:t>12 缩写说明</w:t>
      </w:r>
      <w:bookmarkEnd w:id="69"/>
      <w:bookmarkEnd w:id="70"/>
    </w:p>
    <w:tbl>
      <w:tblPr>
        <w:tblStyle w:val="29"/>
        <w:tblW w:w="830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648"/>
        <w:gridCol w:w="3992"/>
        <w:gridCol w:w="266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tblHeader/>
          <w:jc w:val="center"/>
        </w:trPr>
        <w:tc>
          <w:tcPr>
            <w:tcW w:w="1648" w:type="dxa"/>
            <w:vAlign w:val="center"/>
          </w:tcPr>
          <w:p>
            <w:pPr>
              <w:pStyle w:val="41"/>
              <w:spacing w:before="0" w:line="360" w:lineRule="auto"/>
              <w:ind w:firstLine="61" w:firstLineChars="34"/>
              <w:rPr>
                <w:rFonts w:ascii="黑体" w:eastAsia="黑体" w:cs="Arial"/>
                <w:b w:val="0"/>
                <w:sz w:val="18"/>
                <w:szCs w:val="18"/>
                <w:lang w:val="fr-FR" w:eastAsia="zh-CN"/>
              </w:rPr>
            </w:pPr>
            <w:r>
              <w:rPr>
                <w:rFonts w:hint="eastAsia" w:ascii="黑体" w:eastAsia="黑体" w:cs="Arial"/>
                <w:b w:val="0"/>
                <w:sz w:val="18"/>
                <w:szCs w:val="18"/>
                <w:lang w:eastAsia="zh-CN"/>
              </w:rPr>
              <w:t>缩写词</w:t>
            </w:r>
          </w:p>
        </w:tc>
        <w:tc>
          <w:tcPr>
            <w:tcW w:w="3992" w:type="dxa"/>
            <w:vAlign w:val="center"/>
          </w:tcPr>
          <w:p>
            <w:pPr>
              <w:spacing w:line="360" w:lineRule="auto"/>
              <w:jc w:val="center"/>
              <w:rPr>
                <w:rFonts w:ascii="黑体" w:hAnsi="Arial" w:eastAsia="黑体" w:cs="Arial"/>
                <w:sz w:val="18"/>
                <w:szCs w:val="18"/>
                <w:lang w:val="fr-FR"/>
              </w:rPr>
            </w:pPr>
            <w:r>
              <w:rPr>
                <w:rFonts w:hint="eastAsia" w:ascii="黑体" w:hAnsi="Arial" w:eastAsia="黑体" w:cs="Arial"/>
                <w:sz w:val="18"/>
                <w:szCs w:val="18"/>
              </w:rPr>
              <w:t>英文说明</w:t>
            </w:r>
          </w:p>
        </w:tc>
        <w:tc>
          <w:tcPr>
            <w:tcW w:w="2668" w:type="dxa"/>
            <w:vAlign w:val="center"/>
          </w:tcPr>
          <w:p>
            <w:pPr>
              <w:spacing w:line="360" w:lineRule="auto"/>
              <w:ind w:firstLine="84" w:firstLineChars="47"/>
              <w:jc w:val="center"/>
              <w:rPr>
                <w:rFonts w:ascii="黑体" w:hAnsi="Arial" w:eastAsia="黑体" w:cs="Arial"/>
                <w:sz w:val="18"/>
                <w:szCs w:val="18"/>
                <w:lang w:val="fr-FR"/>
              </w:rPr>
            </w:pPr>
            <w:r>
              <w:rPr>
                <w:rFonts w:hint="eastAsia" w:ascii="黑体" w:hAnsi="Arial" w:eastAsia="黑体" w:cs="Arial"/>
                <w:sz w:val="18"/>
                <w:szCs w:val="18"/>
              </w:rPr>
              <w:t>中文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lang w:val="fr-FR"/>
              </w:rPr>
            </w:pPr>
            <w:r>
              <w:rPr>
                <w:rFonts w:ascii="Arial" w:hAnsi="Arial" w:cs="Arial"/>
                <w:sz w:val="18"/>
                <w:szCs w:val="18"/>
                <w:lang w:val="fr-FR"/>
              </w:rPr>
              <w:t>ACS</w:t>
            </w:r>
          </w:p>
        </w:tc>
        <w:tc>
          <w:tcPr>
            <w:tcW w:w="3992" w:type="dxa"/>
            <w:vAlign w:val="center"/>
          </w:tcPr>
          <w:p>
            <w:pPr>
              <w:spacing w:line="360" w:lineRule="auto"/>
              <w:ind w:firstLine="180" w:firstLineChars="100"/>
              <w:rPr>
                <w:rFonts w:ascii="Arial" w:hAnsi="Arial" w:cs="Arial"/>
                <w:sz w:val="18"/>
                <w:szCs w:val="18"/>
                <w:lang w:val="fr-FR"/>
              </w:rPr>
            </w:pPr>
            <w:r>
              <w:rPr>
                <w:rFonts w:ascii="Arial" w:hAnsi="Arial" w:cs="Arial"/>
                <w:sz w:val="18"/>
                <w:szCs w:val="18"/>
                <w:lang w:val="fr-FR"/>
              </w:rPr>
              <w:t xml:space="preserve">Access Control System </w:t>
            </w:r>
          </w:p>
        </w:tc>
        <w:tc>
          <w:tcPr>
            <w:tcW w:w="2668" w:type="dxa"/>
            <w:vAlign w:val="center"/>
          </w:tcPr>
          <w:p>
            <w:pPr>
              <w:spacing w:line="360" w:lineRule="auto"/>
              <w:ind w:firstLine="84" w:firstLineChars="47"/>
              <w:rPr>
                <w:rFonts w:ascii="Arial" w:hAnsi="Arial" w:cs="Arial"/>
                <w:sz w:val="18"/>
                <w:szCs w:val="18"/>
                <w:lang w:val="fr-FR"/>
              </w:rPr>
            </w:pPr>
            <w:r>
              <w:rPr>
                <w:rFonts w:ascii="Arial" w:hAnsi="Arial" w:cs="Arial"/>
                <w:sz w:val="18"/>
                <w:szCs w:val="18"/>
              </w:rPr>
              <w:t>门禁系统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lang w:val="fr-FR"/>
              </w:rPr>
            </w:pPr>
            <w:r>
              <w:rPr>
                <w:rFonts w:ascii="Arial" w:hAnsi="Arial" w:cs="Arial"/>
                <w:sz w:val="18"/>
                <w:szCs w:val="18"/>
                <w:lang w:val="fr-FR"/>
              </w:rPr>
              <w:t>AFC</w:t>
            </w:r>
          </w:p>
        </w:tc>
        <w:tc>
          <w:tcPr>
            <w:tcW w:w="3992" w:type="dxa"/>
            <w:vAlign w:val="center"/>
          </w:tcPr>
          <w:p>
            <w:pPr>
              <w:spacing w:line="360" w:lineRule="auto"/>
              <w:rPr>
                <w:rFonts w:ascii="Arial" w:hAnsi="Arial" w:cs="Arial"/>
                <w:sz w:val="18"/>
                <w:szCs w:val="18"/>
                <w:lang w:val="fr-FR"/>
              </w:rPr>
            </w:pPr>
            <w:r>
              <w:rPr>
                <w:rFonts w:ascii="Arial" w:hAnsi="Arial" w:cs="Arial"/>
                <w:sz w:val="18"/>
                <w:szCs w:val="18"/>
                <w:lang w:val="fr-FR"/>
              </w:rPr>
              <w:t xml:space="preserve">  Automatic Fare Collection             </w:t>
            </w:r>
          </w:p>
        </w:tc>
        <w:tc>
          <w:tcPr>
            <w:tcW w:w="2668" w:type="dxa"/>
            <w:vAlign w:val="center"/>
          </w:tcPr>
          <w:p>
            <w:pPr>
              <w:spacing w:line="360" w:lineRule="auto"/>
              <w:ind w:firstLine="84" w:firstLineChars="47"/>
              <w:rPr>
                <w:rFonts w:ascii="Arial" w:hAnsi="Arial" w:cs="Arial"/>
                <w:sz w:val="18"/>
                <w:szCs w:val="18"/>
                <w:lang w:val="fr-FR"/>
              </w:rPr>
            </w:pPr>
            <w:r>
              <w:rPr>
                <w:rFonts w:ascii="Arial" w:hAnsi="Arial" w:cs="Arial"/>
                <w:sz w:val="18"/>
                <w:szCs w:val="18"/>
              </w:rPr>
              <w:t>自动售检票系统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hint="eastAsia" w:ascii="Arial" w:hAnsi="Arial" w:cs="Arial"/>
                <w:sz w:val="18"/>
                <w:szCs w:val="18"/>
              </w:rPr>
              <w:t>BAS</w:t>
            </w:r>
          </w:p>
        </w:tc>
        <w:tc>
          <w:tcPr>
            <w:tcW w:w="3992" w:type="dxa"/>
            <w:vAlign w:val="center"/>
          </w:tcPr>
          <w:p>
            <w:pPr>
              <w:spacing w:line="360" w:lineRule="auto"/>
              <w:rPr>
                <w:rFonts w:ascii="Arial" w:hAnsi="Arial" w:cs="Arial"/>
                <w:sz w:val="18"/>
                <w:szCs w:val="18"/>
              </w:rPr>
            </w:pPr>
            <w:r>
              <w:rPr>
                <w:rFonts w:hint="eastAsia" w:ascii="Arial" w:hAnsi="Arial" w:cs="Arial"/>
                <w:sz w:val="18"/>
                <w:szCs w:val="18"/>
              </w:rPr>
              <w:t xml:space="preserve">  Building Automatic System</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环境与设备监控系统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CCTV</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Closed Circuit Television</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闭路电视系统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CLK</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Clock                                     </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时钟系统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76" w:hRule="exact"/>
          <w:jc w:val="center"/>
        </w:trPr>
        <w:tc>
          <w:tcPr>
            <w:tcW w:w="1648" w:type="dxa"/>
            <w:vAlign w:val="center"/>
          </w:tcPr>
          <w:p>
            <w:pPr>
              <w:spacing w:line="360" w:lineRule="auto"/>
              <w:ind w:firstLine="61" w:firstLineChars="34"/>
              <w:rPr>
                <w:rFonts w:ascii="Arial" w:hAnsi="Arial" w:cs="Arial"/>
                <w:sz w:val="18"/>
                <w:szCs w:val="18"/>
              </w:rPr>
            </w:pPr>
            <w:r>
              <w:rPr>
                <w:rFonts w:hint="eastAsia" w:ascii="Arial" w:hAnsi="Arial" w:cs="Arial"/>
                <w:sz w:val="18"/>
                <w:szCs w:val="18"/>
              </w:rPr>
              <w:t>IS</w:t>
            </w:r>
            <w:r>
              <w:rPr>
                <w:rFonts w:ascii="Arial" w:hAnsi="Arial" w:cs="Arial"/>
                <w:sz w:val="18"/>
                <w:szCs w:val="18"/>
              </w:rPr>
              <w:t>CS</w:t>
            </w:r>
          </w:p>
        </w:tc>
        <w:tc>
          <w:tcPr>
            <w:tcW w:w="3992" w:type="dxa"/>
            <w:vAlign w:val="center"/>
          </w:tcPr>
          <w:p>
            <w:pPr>
              <w:spacing w:line="360" w:lineRule="auto"/>
              <w:ind w:left="2" w:leftChars="1" w:firstLine="180" w:firstLineChars="100"/>
              <w:rPr>
                <w:rFonts w:ascii="Arial" w:hAnsi="Arial" w:cs="Arial"/>
                <w:sz w:val="18"/>
                <w:szCs w:val="18"/>
              </w:rPr>
            </w:pPr>
            <w:r>
              <w:rPr>
                <w:rFonts w:ascii="Arial" w:hAnsi="Arial" w:cs="Arial"/>
                <w:sz w:val="18"/>
                <w:szCs w:val="18"/>
              </w:rPr>
              <w:t>Intergrated Supervision &amp; Control System</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综合监控</w:t>
            </w:r>
            <w:r>
              <w:rPr>
                <w:rFonts w:ascii="Arial" w:hAnsi="Arial" w:cs="Arial"/>
                <w:sz w:val="18"/>
                <w:szCs w:val="18"/>
              </w:rPr>
              <w:t>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FAS</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Fire Alarm System </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火灾报警系统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FG</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Flood Gate </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防淹门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NMS</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Network Management System</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网络管理系统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OA</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Office Automation</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办公自动化系统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OCC</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Operating Control Centre </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控制中心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OPS</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Overview Projection System</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大屏幕系统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ascii="Arial" w:hAnsi="Arial" w:cs="Arial"/>
                <w:sz w:val="18"/>
                <w:szCs w:val="18"/>
              </w:rPr>
              <w:t>PA</w:t>
            </w:r>
          </w:p>
        </w:tc>
        <w:tc>
          <w:tcPr>
            <w:tcW w:w="3992" w:type="dxa"/>
            <w:vAlign w:val="center"/>
          </w:tcPr>
          <w:p>
            <w:pPr>
              <w:spacing w:line="360" w:lineRule="auto"/>
              <w:rPr>
                <w:rFonts w:ascii="Arial" w:hAnsi="Arial" w:cs="Arial"/>
                <w:sz w:val="18"/>
                <w:szCs w:val="18"/>
              </w:rPr>
            </w:pPr>
            <w:r>
              <w:rPr>
                <w:rFonts w:ascii="Arial" w:hAnsi="Arial" w:cs="Arial"/>
                <w:sz w:val="18"/>
                <w:szCs w:val="18"/>
              </w:rPr>
              <w:t xml:space="preserve">  Public Address</w:t>
            </w:r>
          </w:p>
        </w:tc>
        <w:tc>
          <w:tcPr>
            <w:tcW w:w="2668" w:type="dxa"/>
            <w:vAlign w:val="center"/>
          </w:tcPr>
          <w:p>
            <w:pPr>
              <w:spacing w:line="360" w:lineRule="auto"/>
              <w:ind w:firstLine="84" w:firstLineChars="47"/>
              <w:rPr>
                <w:rFonts w:ascii="Arial" w:hAnsi="Arial" w:cs="Arial"/>
                <w:sz w:val="18"/>
                <w:szCs w:val="18"/>
              </w:rPr>
            </w:pPr>
            <w:r>
              <w:rPr>
                <w:rFonts w:ascii="Arial" w:hAnsi="Arial" w:cs="Arial"/>
                <w:sz w:val="18"/>
                <w:szCs w:val="18"/>
              </w:rPr>
              <w:t>广播系统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exact"/>
          <w:jc w:val="center"/>
        </w:trPr>
        <w:tc>
          <w:tcPr>
            <w:tcW w:w="1648" w:type="dxa"/>
            <w:vAlign w:val="center"/>
          </w:tcPr>
          <w:p>
            <w:pPr>
              <w:spacing w:line="360" w:lineRule="auto"/>
              <w:ind w:firstLine="61" w:firstLineChars="34"/>
              <w:rPr>
                <w:rFonts w:ascii="Arial" w:hAnsi="Arial" w:cs="Arial"/>
                <w:sz w:val="18"/>
                <w:szCs w:val="18"/>
              </w:rPr>
            </w:pPr>
            <w:r>
              <w:rPr>
                <w:rFonts w:hint="eastAsia" w:ascii="Arial" w:hAnsi="Arial" w:cs="Arial"/>
                <w:sz w:val="18"/>
                <w:szCs w:val="18"/>
              </w:rPr>
              <w:t>PIDS</w:t>
            </w:r>
          </w:p>
        </w:tc>
        <w:tc>
          <w:tcPr>
            <w:tcW w:w="3992" w:type="dxa"/>
            <w:vAlign w:val="center"/>
          </w:tcPr>
          <w:p>
            <w:pPr>
              <w:spacing w:line="360" w:lineRule="auto"/>
              <w:rPr>
                <w:rFonts w:ascii="Arial" w:hAnsi="Arial" w:cs="Arial"/>
                <w:sz w:val="18"/>
                <w:szCs w:val="18"/>
              </w:rPr>
            </w:pPr>
            <w:r>
              <w:rPr>
                <w:rFonts w:hint="eastAsia" w:ascii="Arial" w:hAnsi="Arial" w:cs="Arial"/>
                <w:sz w:val="18"/>
                <w:szCs w:val="18"/>
              </w:rPr>
              <w:t xml:space="preserve">  Passenger Information Display System</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乘客信息显示系统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rPr>
                <w:rFonts w:ascii="Arial" w:hAnsi="Arial" w:cs="Arial"/>
                <w:sz w:val="18"/>
                <w:szCs w:val="18"/>
              </w:rPr>
            </w:pPr>
            <w:r>
              <w:rPr>
                <w:rFonts w:hint="eastAsia" w:ascii="Arial" w:hAnsi="Arial" w:cs="Arial"/>
                <w:sz w:val="18"/>
                <w:szCs w:val="18"/>
              </w:rPr>
              <w:t>RCS</w:t>
            </w:r>
          </w:p>
        </w:tc>
        <w:tc>
          <w:tcPr>
            <w:tcW w:w="3992" w:type="dxa"/>
            <w:vAlign w:val="center"/>
          </w:tcPr>
          <w:p>
            <w:pPr>
              <w:tabs>
                <w:tab w:val="left" w:pos="720"/>
              </w:tabs>
              <w:autoSpaceDE w:val="0"/>
              <w:autoSpaceDN w:val="0"/>
              <w:adjustRightInd w:val="0"/>
              <w:spacing w:line="360" w:lineRule="auto"/>
              <w:ind w:left="272" w:right="18" w:hanging="150"/>
              <w:jc w:val="left"/>
              <w:rPr>
                <w:rFonts w:ascii="Arial" w:hAnsi="Arial" w:cs="Arial"/>
                <w:color w:val="000000"/>
                <w:kern w:val="0"/>
                <w:sz w:val="18"/>
                <w:szCs w:val="18"/>
              </w:rPr>
            </w:pPr>
            <w:r>
              <w:rPr>
                <w:rFonts w:hint="eastAsia" w:ascii="Arial" w:hAnsi="Arial" w:cs="Arial"/>
                <w:color w:val="000000"/>
                <w:kern w:val="0"/>
                <w:sz w:val="18"/>
                <w:szCs w:val="18"/>
              </w:rPr>
              <w:t>R</w:t>
            </w:r>
            <w:r>
              <w:rPr>
                <w:rFonts w:ascii="Arial" w:hAnsi="Arial" w:cs="Arial"/>
                <w:color w:val="000000"/>
                <w:kern w:val="0"/>
                <w:sz w:val="18"/>
                <w:szCs w:val="18"/>
              </w:rPr>
              <w:t>adio</w:t>
            </w:r>
            <w:r>
              <w:rPr>
                <w:rFonts w:hint="eastAsia" w:ascii="Arial" w:hAnsi="Arial" w:cs="Arial"/>
                <w:color w:val="000000"/>
                <w:kern w:val="0"/>
                <w:sz w:val="18"/>
                <w:szCs w:val="18"/>
              </w:rPr>
              <w:t>C</w:t>
            </w:r>
            <w:r>
              <w:rPr>
                <w:rFonts w:ascii="Arial" w:hAnsi="Arial" w:cs="Arial"/>
                <w:color w:val="000000"/>
                <w:kern w:val="0"/>
                <w:sz w:val="18"/>
                <w:szCs w:val="18"/>
              </w:rPr>
              <w:t>omminication</w:t>
            </w:r>
            <w:r>
              <w:rPr>
                <w:rFonts w:hint="eastAsia" w:ascii="Arial" w:hAnsi="Arial" w:cs="Arial"/>
                <w:color w:val="000000"/>
                <w:kern w:val="0"/>
                <w:sz w:val="18"/>
                <w:szCs w:val="18"/>
              </w:rPr>
              <w:t>S</w:t>
            </w:r>
            <w:r>
              <w:rPr>
                <w:rFonts w:ascii="Arial" w:hAnsi="Arial" w:cs="Arial"/>
                <w:color w:val="000000"/>
                <w:kern w:val="0"/>
                <w:sz w:val="18"/>
                <w:szCs w:val="18"/>
              </w:rPr>
              <w:t>ystem</w:t>
            </w:r>
          </w:p>
          <w:p>
            <w:pPr>
              <w:spacing w:line="360" w:lineRule="auto"/>
              <w:ind w:firstLine="90" w:firstLineChars="50"/>
              <w:rPr>
                <w:rFonts w:ascii="Arial" w:hAnsi="Arial" w:cs="Arial"/>
                <w:sz w:val="18"/>
                <w:szCs w:val="18"/>
              </w:rPr>
            </w:pPr>
          </w:p>
        </w:tc>
        <w:tc>
          <w:tcPr>
            <w:tcW w:w="2668" w:type="dxa"/>
            <w:vAlign w:val="center"/>
          </w:tcPr>
          <w:p>
            <w:pPr>
              <w:spacing w:line="360" w:lineRule="auto"/>
              <w:rPr>
                <w:rFonts w:ascii="Arial" w:hAnsi="Arial" w:cs="Arial"/>
                <w:sz w:val="18"/>
                <w:szCs w:val="18"/>
              </w:rPr>
            </w:pPr>
            <w:r>
              <w:rPr>
                <w:rFonts w:hint="eastAsia" w:ascii="Arial" w:hAnsi="Arial" w:cs="Arial"/>
                <w:sz w:val="18"/>
                <w:szCs w:val="18"/>
              </w:rPr>
              <w:t>无线通信系统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rPr>
                <w:rFonts w:ascii="Arial" w:hAnsi="Arial" w:cs="Arial"/>
                <w:sz w:val="18"/>
                <w:szCs w:val="18"/>
              </w:rPr>
            </w:pPr>
            <w:r>
              <w:rPr>
                <w:rFonts w:ascii="Arial" w:hAnsi="Arial" w:cs="Arial"/>
                <w:sz w:val="18"/>
                <w:szCs w:val="18"/>
              </w:rPr>
              <w:t>TMS</w:t>
            </w:r>
          </w:p>
        </w:tc>
        <w:tc>
          <w:tcPr>
            <w:tcW w:w="3992" w:type="dxa"/>
            <w:vAlign w:val="center"/>
          </w:tcPr>
          <w:p>
            <w:pPr>
              <w:spacing w:line="360" w:lineRule="auto"/>
              <w:ind w:firstLine="90" w:firstLineChars="50"/>
              <w:rPr>
                <w:rFonts w:ascii="Arial" w:hAnsi="Arial" w:cs="Arial"/>
                <w:sz w:val="18"/>
                <w:szCs w:val="18"/>
              </w:rPr>
            </w:pPr>
            <w:r>
              <w:rPr>
                <w:rFonts w:ascii="Arial" w:hAnsi="Arial" w:cs="Arial"/>
                <w:sz w:val="18"/>
                <w:szCs w:val="18"/>
              </w:rPr>
              <w:t>Training Management System</w:t>
            </w:r>
          </w:p>
        </w:tc>
        <w:tc>
          <w:tcPr>
            <w:tcW w:w="2668" w:type="dxa"/>
            <w:vAlign w:val="center"/>
          </w:tcPr>
          <w:p>
            <w:pPr>
              <w:spacing w:line="360" w:lineRule="auto"/>
              <w:rPr>
                <w:rFonts w:ascii="Arial" w:hAnsi="Arial" w:cs="Arial"/>
                <w:sz w:val="18"/>
                <w:szCs w:val="18"/>
              </w:rPr>
            </w:pPr>
            <w:r>
              <w:rPr>
                <w:rFonts w:ascii="Arial" w:hAnsi="Arial" w:cs="Arial"/>
                <w:sz w:val="18"/>
                <w:szCs w:val="18"/>
              </w:rPr>
              <w:t>培训管理系统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rPr>
                <w:rFonts w:ascii="Arial" w:hAnsi="Arial" w:cs="Arial"/>
                <w:sz w:val="18"/>
                <w:szCs w:val="18"/>
              </w:rPr>
            </w:pPr>
            <w:r>
              <w:rPr>
                <w:rFonts w:ascii="Arial" w:hAnsi="Arial" w:cs="Arial"/>
                <w:sz w:val="18"/>
                <w:szCs w:val="18"/>
              </w:rPr>
              <w:t>UPS</w:t>
            </w:r>
          </w:p>
        </w:tc>
        <w:tc>
          <w:tcPr>
            <w:tcW w:w="3992" w:type="dxa"/>
            <w:vAlign w:val="center"/>
          </w:tcPr>
          <w:p>
            <w:pPr>
              <w:spacing w:line="360" w:lineRule="auto"/>
              <w:ind w:firstLine="90" w:firstLineChars="50"/>
              <w:rPr>
                <w:rFonts w:ascii="Arial" w:hAnsi="Arial" w:cs="Arial"/>
                <w:sz w:val="18"/>
                <w:szCs w:val="18"/>
              </w:rPr>
            </w:pPr>
            <w:r>
              <w:rPr>
                <w:rFonts w:ascii="Arial" w:hAnsi="Arial" w:cs="Arial"/>
                <w:sz w:val="18"/>
                <w:szCs w:val="18"/>
              </w:rPr>
              <w:t>Uninterrupted Power System</w:t>
            </w:r>
          </w:p>
        </w:tc>
        <w:tc>
          <w:tcPr>
            <w:tcW w:w="2668" w:type="dxa"/>
            <w:vAlign w:val="center"/>
          </w:tcPr>
          <w:p>
            <w:pPr>
              <w:spacing w:line="360" w:lineRule="auto"/>
              <w:rPr>
                <w:rFonts w:ascii="Arial" w:hAnsi="Arial" w:cs="Arial"/>
                <w:sz w:val="18"/>
                <w:szCs w:val="18"/>
              </w:rPr>
            </w:pPr>
            <w:r>
              <w:rPr>
                <w:rFonts w:ascii="Arial" w:hAnsi="Arial" w:cs="Arial"/>
                <w:sz w:val="18"/>
                <w:szCs w:val="18"/>
              </w:rPr>
              <w:t>不间断电源系统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rPr>
                <w:rFonts w:ascii="Arial" w:hAnsi="Arial" w:cs="Arial"/>
                <w:sz w:val="18"/>
                <w:szCs w:val="18"/>
              </w:rPr>
            </w:pPr>
            <w:r>
              <w:rPr>
                <w:rFonts w:hint="eastAsia" w:ascii="Arial" w:hAnsi="Arial" w:cs="Arial"/>
                <w:sz w:val="18"/>
                <w:szCs w:val="18"/>
              </w:rPr>
              <w:t>KVM</w:t>
            </w:r>
          </w:p>
        </w:tc>
        <w:tc>
          <w:tcPr>
            <w:tcW w:w="3992" w:type="dxa"/>
            <w:vAlign w:val="center"/>
          </w:tcPr>
          <w:p>
            <w:pPr>
              <w:spacing w:line="360" w:lineRule="auto"/>
              <w:ind w:firstLine="90" w:firstLineChars="50"/>
              <w:rPr>
                <w:rFonts w:ascii="Arial" w:hAnsi="Arial" w:cs="Arial"/>
                <w:sz w:val="18"/>
                <w:szCs w:val="18"/>
              </w:rPr>
            </w:pPr>
            <w:r>
              <w:rPr>
                <w:rFonts w:hint="eastAsia" w:ascii="Arial" w:hAnsi="Arial" w:cs="Arial"/>
                <w:sz w:val="18"/>
                <w:szCs w:val="18"/>
              </w:rPr>
              <w:t>KVM S</w:t>
            </w:r>
            <w:r>
              <w:rPr>
                <w:rFonts w:ascii="Arial" w:hAnsi="Arial" w:cs="Arial"/>
                <w:sz w:val="18"/>
                <w:szCs w:val="18"/>
              </w:rPr>
              <w:t>witch</w:t>
            </w:r>
          </w:p>
        </w:tc>
        <w:tc>
          <w:tcPr>
            <w:tcW w:w="2668" w:type="dxa"/>
            <w:vAlign w:val="center"/>
          </w:tcPr>
          <w:p>
            <w:pPr>
              <w:spacing w:line="360" w:lineRule="auto"/>
              <w:rPr>
                <w:rFonts w:ascii="Arial" w:hAnsi="Arial" w:cs="Arial"/>
                <w:sz w:val="18"/>
                <w:szCs w:val="18"/>
              </w:rPr>
            </w:pPr>
            <w:r>
              <w:rPr>
                <w:rFonts w:hint="eastAsia" w:ascii="Arial" w:hAnsi="Arial" w:cs="Arial"/>
                <w:sz w:val="18"/>
                <w:szCs w:val="18"/>
              </w:rPr>
              <w:t>KVM交换机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RAID</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Redundant Array of Independent Disks</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冗余磁盘阵列</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IP</w:t>
            </w:r>
          </w:p>
        </w:tc>
        <w:tc>
          <w:tcPr>
            <w:tcW w:w="3992" w:type="dxa"/>
            <w:vAlign w:val="center"/>
          </w:tcPr>
          <w:p>
            <w:pPr>
              <w:spacing w:line="360" w:lineRule="auto"/>
              <w:ind w:firstLine="98" w:firstLineChars="47"/>
              <w:rPr>
                <w:rFonts w:ascii="Arial" w:hAnsi="Arial" w:cs="Arial"/>
                <w:sz w:val="18"/>
                <w:szCs w:val="18"/>
              </w:rPr>
            </w:pPr>
            <w:r>
              <w:fldChar w:fldCharType="begin"/>
            </w:r>
            <w:r>
              <w:instrText xml:space="preserve"> HYPERLINK "http://baike.baidu.com/view/696501.htm" \t "F:项目01广州云平台&amp;amp;大数据A包：6号线一期、二期综合监控系统及MCC系统用户需求书_blank" </w:instrText>
            </w:r>
            <w:r>
              <w:fldChar w:fldCharType="separate"/>
            </w:r>
            <w:r>
              <w:rPr>
                <w:rFonts w:hint="eastAsia" w:ascii="Arial" w:hAnsi="Arial" w:cs="Arial"/>
                <w:sz w:val="18"/>
                <w:szCs w:val="18"/>
              </w:rPr>
              <w:t>Internet Protocol</w:t>
            </w:r>
            <w:r>
              <w:rPr>
                <w:rFonts w:hint="eastAsia" w:ascii="Arial" w:hAnsi="Arial" w:cs="Arial"/>
                <w:sz w:val="18"/>
                <w:szCs w:val="18"/>
              </w:rPr>
              <w:fldChar w:fldCharType="end"/>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网络互联协议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SaaS</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Software as a Service</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软件即服务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PaaS</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Platform as a Service</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平台即服务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IaaS</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Infrastructure as a Service</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基础设施即服务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HA</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High Available</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高可用性集群</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GPU</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Graphics Processing Unit</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图形处理器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CPU</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Central Processing Unit</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中央处理单元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iSCSI</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Internet Small Computer System Interface</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小型计算机系统接口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SAN</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Storage Area Network and SAN Protocols</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存储区域网络及其协议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SDN</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Software Defined Network</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软件定义网络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SIL</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Safety Integrity Level</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安全完整性等级</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FC SAN</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Fibre Channel Storage Area Network</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光纤通道存储区域网络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TCP/IP</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Transmission Control Protocol/Internet Protocol</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传输控制协议/网络互联协议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VM</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Virtual Machine</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虚拟主机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VMM</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Virtual Machine Monitor</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虚拟机监视器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VxLAN</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Virtual Extensible LAN</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虚拟可扩展局域网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exact"/>
          <w:jc w:val="center"/>
        </w:trPr>
        <w:tc>
          <w:tcPr>
            <w:tcW w:w="164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WAN</w:t>
            </w:r>
          </w:p>
        </w:tc>
        <w:tc>
          <w:tcPr>
            <w:tcW w:w="3992"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Wide Area Network</w:t>
            </w:r>
          </w:p>
        </w:tc>
        <w:tc>
          <w:tcPr>
            <w:tcW w:w="2668" w:type="dxa"/>
            <w:vAlign w:val="center"/>
          </w:tcPr>
          <w:p>
            <w:pPr>
              <w:spacing w:line="360" w:lineRule="auto"/>
              <w:ind w:firstLine="84" w:firstLineChars="47"/>
              <w:rPr>
                <w:rFonts w:ascii="Arial" w:hAnsi="Arial" w:cs="Arial"/>
                <w:sz w:val="18"/>
                <w:szCs w:val="18"/>
              </w:rPr>
            </w:pPr>
            <w:r>
              <w:rPr>
                <w:rFonts w:hint="eastAsia" w:ascii="Arial" w:hAnsi="Arial" w:cs="Arial"/>
                <w:sz w:val="18"/>
                <w:szCs w:val="18"/>
              </w:rPr>
              <w:t>广域网</w:t>
            </w:r>
          </w:p>
        </w:tc>
      </w:tr>
    </w:tbl>
    <w:p>
      <w:pPr>
        <w:ind w:firstLine="422" w:firstLineChars="200"/>
        <w:rPr>
          <w:b/>
        </w:rPr>
      </w:pPr>
    </w:p>
    <w:p>
      <w:pPr>
        <w:pStyle w:val="2"/>
        <w:spacing w:before="0" w:after="0" w:line="360" w:lineRule="auto"/>
        <w:ind w:left="794" w:hanging="794"/>
        <w:rPr>
          <w:rFonts w:ascii="宋体"/>
          <w:sz w:val="24"/>
        </w:rPr>
      </w:pPr>
      <w:bookmarkStart w:id="71" w:name="_Toc3787"/>
      <w:r>
        <w:rPr>
          <w:rFonts w:hint="eastAsia" w:ascii="宋体"/>
          <w:sz w:val="24"/>
        </w:rPr>
        <w:t>13 供货范围</w:t>
      </w:r>
      <w:bookmarkEnd w:id="71"/>
    </w:p>
    <w:p>
      <w:pPr>
        <w:pStyle w:val="9"/>
        <w:spacing w:line="480" w:lineRule="exact"/>
        <w:ind w:left="0" w:firstLine="420" w:firstLineChars="200"/>
      </w:pPr>
      <w:r>
        <w:rPr>
          <w:rFonts w:hint="eastAsia"/>
        </w:rPr>
        <w:t>由投标人提供的主要设备、材料参见下表，投标人应根据投标方案，细化设备及材料清单。在报价书中各项设备及材料都应有单价和总价，不允许有赠送项目。相同型号、规格的部件单价必须一致。各设备、材料必须注明原产地及制造商。在设备及材料分项报价表中，各设备单价必须细化到板卡。若软件功能有合并情况，请在报价时注明。</w:t>
      </w:r>
    </w:p>
    <w:p>
      <w:pPr>
        <w:pStyle w:val="9"/>
        <w:spacing w:line="480" w:lineRule="exact"/>
        <w:ind w:left="0" w:firstLine="420" w:firstLineChars="200"/>
      </w:pPr>
      <w:r>
        <w:rPr>
          <w:rFonts w:hint="eastAsia"/>
        </w:rPr>
        <w:t>请投标人将系统供货范围表内具体种类和数量细化到模块，硬件细化到可拆卸更换的单个模块或组件，软件细化到服务器端、工作站端等。投标人计算的各型设备数量如小于附表数量，则须按照附表数量报价。</w:t>
      </w:r>
    </w:p>
    <w:p>
      <w:pPr>
        <w:pStyle w:val="3"/>
        <w:tabs>
          <w:tab w:val="left" w:pos="700"/>
        </w:tabs>
        <w:ind w:firstLine="340"/>
        <w:rPr>
          <w:rFonts w:ascii="黑体"/>
          <w:b w:val="0"/>
          <w:bCs/>
          <w:szCs w:val="32"/>
        </w:rPr>
      </w:pPr>
      <w:bookmarkStart w:id="72" w:name="_Toc30616"/>
      <w:r>
        <w:rPr>
          <w:rFonts w:hint="eastAsia" w:ascii="黑体"/>
          <w:b w:val="0"/>
          <w:bCs/>
          <w:szCs w:val="32"/>
        </w:rPr>
        <w:t>13.</w:t>
      </w:r>
      <w:r>
        <w:rPr>
          <w:rFonts w:ascii="黑体"/>
          <w:b w:val="0"/>
          <w:bCs/>
          <w:szCs w:val="32"/>
        </w:rPr>
        <w:t>1</w:t>
      </w:r>
      <w:r>
        <w:rPr>
          <w:rFonts w:hint="eastAsia" w:ascii="黑体"/>
          <w:b w:val="0"/>
          <w:bCs/>
          <w:szCs w:val="32"/>
        </w:rPr>
        <w:t>供货范围</w:t>
      </w:r>
      <w:bookmarkEnd w:id="72"/>
    </w:p>
    <w:tbl>
      <w:tblPr>
        <w:tblStyle w:val="29"/>
        <w:tblW w:w="9040"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483"/>
        <w:gridCol w:w="3305"/>
        <w:gridCol w:w="629"/>
        <w:gridCol w:w="736"/>
        <w:gridCol w:w="2887"/>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tblHeader/>
          <w:jc w:val="center"/>
        </w:trPr>
        <w:tc>
          <w:tcPr>
            <w:tcW w:w="1483" w:type="dxa"/>
            <w:shd w:val="clear" w:color="auto" w:fill="auto"/>
            <w:vAlign w:val="center"/>
          </w:tcPr>
          <w:p>
            <w:pPr>
              <w:widowControl/>
              <w:jc w:val="center"/>
              <w:rPr>
                <w:rFonts w:ascii="黑体" w:hAnsi="黑体" w:eastAsia="黑体" w:cs="宋体"/>
                <w:color w:val="000000"/>
                <w:kern w:val="0"/>
                <w:sz w:val="18"/>
                <w:szCs w:val="18"/>
              </w:rPr>
            </w:pPr>
            <w:r>
              <w:rPr>
                <w:rFonts w:hint="eastAsia" w:ascii="黑体" w:hAnsi="黑体" w:eastAsia="黑体" w:cs="宋体"/>
                <w:color w:val="000000"/>
                <w:kern w:val="0"/>
                <w:sz w:val="18"/>
                <w:szCs w:val="18"/>
              </w:rPr>
              <w:t>序号</w:t>
            </w:r>
          </w:p>
        </w:tc>
        <w:tc>
          <w:tcPr>
            <w:tcW w:w="3305" w:type="dxa"/>
            <w:shd w:val="clear" w:color="auto" w:fill="auto"/>
            <w:vAlign w:val="center"/>
          </w:tcPr>
          <w:p>
            <w:pPr>
              <w:widowControl/>
              <w:jc w:val="center"/>
              <w:rPr>
                <w:rFonts w:ascii="黑体" w:hAnsi="黑体" w:eastAsia="黑体" w:cs="宋体"/>
                <w:color w:val="000000"/>
                <w:kern w:val="0"/>
                <w:sz w:val="18"/>
                <w:szCs w:val="18"/>
              </w:rPr>
            </w:pPr>
            <w:r>
              <w:rPr>
                <w:rFonts w:hint="eastAsia" w:ascii="黑体" w:hAnsi="黑体" w:eastAsia="黑体" w:cs="宋体"/>
                <w:color w:val="000000"/>
                <w:kern w:val="0"/>
                <w:sz w:val="18"/>
                <w:szCs w:val="18"/>
              </w:rPr>
              <w:t>设备名称</w:t>
            </w:r>
          </w:p>
        </w:tc>
        <w:tc>
          <w:tcPr>
            <w:tcW w:w="629" w:type="dxa"/>
            <w:shd w:val="clear" w:color="auto" w:fill="auto"/>
            <w:vAlign w:val="center"/>
          </w:tcPr>
          <w:p>
            <w:pPr>
              <w:widowControl/>
              <w:jc w:val="center"/>
              <w:rPr>
                <w:rFonts w:ascii="黑体" w:hAnsi="黑体" w:eastAsia="黑体" w:cs="宋体"/>
                <w:color w:val="000000"/>
                <w:kern w:val="0"/>
                <w:sz w:val="18"/>
                <w:szCs w:val="18"/>
              </w:rPr>
            </w:pPr>
            <w:r>
              <w:rPr>
                <w:rFonts w:hint="eastAsia" w:ascii="黑体" w:hAnsi="黑体" w:eastAsia="黑体" w:cs="宋体"/>
                <w:color w:val="000000"/>
                <w:kern w:val="0"/>
                <w:sz w:val="18"/>
                <w:szCs w:val="18"/>
              </w:rPr>
              <w:t>单位</w:t>
            </w:r>
          </w:p>
        </w:tc>
        <w:tc>
          <w:tcPr>
            <w:tcW w:w="736" w:type="dxa"/>
            <w:shd w:val="clear" w:color="auto" w:fill="auto"/>
            <w:vAlign w:val="center"/>
          </w:tcPr>
          <w:p>
            <w:pPr>
              <w:widowControl/>
              <w:jc w:val="center"/>
              <w:rPr>
                <w:rFonts w:ascii="黑体" w:hAnsi="黑体" w:eastAsia="黑体" w:cs="宋体"/>
                <w:color w:val="000000"/>
                <w:kern w:val="0"/>
                <w:sz w:val="18"/>
                <w:szCs w:val="18"/>
              </w:rPr>
            </w:pPr>
            <w:r>
              <w:rPr>
                <w:rFonts w:hint="eastAsia" w:ascii="黑体" w:hAnsi="黑体" w:eastAsia="黑体" w:cs="宋体"/>
                <w:color w:val="000000"/>
                <w:kern w:val="0"/>
                <w:sz w:val="18"/>
                <w:szCs w:val="18"/>
              </w:rPr>
              <w:t>数量</w:t>
            </w:r>
          </w:p>
        </w:tc>
        <w:tc>
          <w:tcPr>
            <w:tcW w:w="2887" w:type="dxa"/>
            <w:shd w:val="clear" w:color="auto" w:fill="auto"/>
            <w:vAlign w:val="center"/>
          </w:tcPr>
          <w:p>
            <w:pPr>
              <w:widowControl/>
              <w:jc w:val="center"/>
              <w:rPr>
                <w:rFonts w:ascii="黑体" w:hAnsi="黑体" w:eastAsia="黑体" w:cs="宋体"/>
                <w:color w:val="000000"/>
                <w:kern w:val="0"/>
                <w:sz w:val="18"/>
                <w:szCs w:val="18"/>
              </w:rPr>
            </w:pPr>
            <w:r>
              <w:rPr>
                <w:rFonts w:hint="eastAsia" w:ascii="黑体" w:hAnsi="黑体" w:eastAsia="黑体" w:cs="宋体"/>
                <w:color w:val="000000"/>
                <w:kern w:val="0"/>
                <w:sz w:val="18"/>
                <w:szCs w:val="18"/>
              </w:rPr>
              <w:t>备注</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b/>
                <w:bCs/>
                <w:kern w:val="0"/>
                <w:sz w:val="18"/>
                <w:szCs w:val="18"/>
              </w:rPr>
            </w:pPr>
            <w:r>
              <w:rPr>
                <w:rFonts w:hint="eastAsia" w:ascii="宋体" w:hAnsi="宋体" w:cs="宋体"/>
                <w:b/>
                <w:bCs/>
                <w:kern w:val="0"/>
                <w:sz w:val="18"/>
                <w:szCs w:val="18"/>
              </w:rPr>
              <w:t>一</w:t>
            </w:r>
          </w:p>
        </w:tc>
        <w:tc>
          <w:tcPr>
            <w:tcW w:w="3305" w:type="dxa"/>
            <w:shd w:val="clear" w:color="auto" w:fill="auto"/>
            <w:vAlign w:val="center"/>
          </w:tcPr>
          <w:p>
            <w:pPr>
              <w:widowControl/>
              <w:jc w:val="left"/>
              <w:rPr>
                <w:rFonts w:ascii="宋体" w:hAnsi="宋体" w:cs="宋体"/>
                <w:b/>
                <w:bCs/>
                <w:kern w:val="0"/>
                <w:sz w:val="18"/>
                <w:szCs w:val="18"/>
              </w:rPr>
            </w:pPr>
            <w:r>
              <w:rPr>
                <w:rFonts w:hint="eastAsia" w:ascii="宋体" w:hAnsi="宋体" w:cs="宋体"/>
                <w:b/>
                <w:bCs/>
                <w:kern w:val="0"/>
                <w:sz w:val="18"/>
                <w:szCs w:val="18"/>
              </w:rPr>
              <w:t>线网通信系统</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2887"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1</w:t>
            </w:r>
          </w:p>
        </w:tc>
        <w:tc>
          <w:tcPr>
            <w:tcW w:w="3305"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线网通信汇聚交换机</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b/>
                <w:bCs/>
                <w:kern w:val="0"/>
                <w:sz w:val="18"/>
                <w:szCs w:val="18"/>
              </w:rPr>
            </w:pPr>
            <w:r>
              <w:rPr>
                <w:rFonts w:hint="eastAsia" w:ascii="宋体" w:hAnsi="宋体" w:cs="宋体"/>
                <w:kern w:val="0"/>
                <w:sz w:val="18"/>
                <w:szCs w:val="18"/>
              </w:rPr>
              <w:t>2</w:t>
            </w:r>
          </w:p>
        </w:tc>
        <w:tc>
          <w:tcPr>
            <w:tcW w:w="3305" w:type="dxa"/>
            <w:shd w:val="clear" w:color="auto" w:fill="auto"/>
            <w:vAlign w:val="center"/>
          </w:tcPr>
          <w:p>
            <w:pPr>
              <w:widowControl/>
              <w:jc w:val="left"/>
              <w:rPr>
                <w:rFonts w:ascii="宋体" w:hAnsi="宋体" w:cs="宋体"/>
                <w:b/>
                <w:bCs/>
                <w:kern w:val="0"/>
                <w:sz w:val="18"/>
                <w:szCs w:val="18"/>
              </w:rPr>
            </w:pPr>
            <w:r>
              <w:rPr>
                <w:rFonts w:hint="eastAsia" w:ascii="宋体" w:hAnsi="宋体" w:cs="宋体"/>
                <w:kern w:val="0"/>
                <w:sz w:val="18"/>
                <w:szCs w:val="18"/>
              </w:rPr>
              <w:t>通信维保笔记本</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3</w:t>
            </w:r>
          </w:p>
        </w:tc>
        <w:tc>
          <w:tcPr>
            <w:tcW w:w="3305"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工作站</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pPr>
            <w:r>
              <w:rPr>
                <w:rFonts w:hint="eastAsia" w:ascii="宋体" w:hAnsi="宋体" w:cs="宋体"/>
                <w:kern w:val="0"/>
                <w:sz w:val="18"/>
                <w:szCs w:val="18"/>
              </w:rPr>
              <w:t>8</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（一）</w:t>
            </w:r>
          </w:p>
        </w:tc>
        <w:tc>
          <w:tcPr>
            <w:tcW w:w="3305" w:type="dxa"/>
            <w:shd w:val="clear" w:color="auto" w:fill="auto"/>
            <w:vAlign w:val="center"/>
          </w:tcPr>
          <w:p>
            <w:pPr>
              <w:widowControl/>
              <w:jc w:val="left"/>
              <w:rPr>
                <w:rFonts w:ascii="宋体" w:hAnsi="宋体" w:cs="宋体"/>
                <w:kern w:val="0"/>
                <w:sz w:val="18"/>
                <w:szCs w:val="18"/>
              </w:rPr>
            </w:pPr>
            <w:r>
              <w:rPr>
                <w:rFonts w:hint="eastAsia" w:ascii="宋体" w:hAnsi="宋体" w:cs="宋体"/>
                <w:b/>
                <w:bCs/>
                <w:kern w:val="0"/>
                <w:sz w:val="18"/>
                <w:szCs w:val="18"/>
              </w:rPr>
              <w:t>线网视频监视系统</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2887"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1</w:t>
            </w:r>
          </w:p>
        </w:tc>
        <w:tc>
          <w:tcPr>
            <w:tcW w:w="3305"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系统软件</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含管理软件、平台组件及应用软件、存储软件、接口软件等</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hint="eastAsia" w:ascii="宋体" w:hAnsi="宋体" w:cs="宋体"/>
                <w:kern w:val="0"/>
                <w:sz w:val="18"/>
                <w:szCs w:val="18"/>
              </w:rPr>
            </w:pPr>
            <w:r>
              <w:rPr>
                <w:rFonts w:hint="eastAsia" w:ascii="宋体" w:hAnsi="宋体" w:cs="宋体"/>
                <w:kern w:val="0"/>
                <w:sz w:val="18"/>
                <w:szCs w:val="18"/>
              </w:rPr>
              <w:t>2</w:t>
            </w:r>
          </w:p>
        </w:tc>
        <w:tc>
          <w:tcPr>
            <w:tcW w:w="3305" w:type="dxa"/>
            <w:shd w:val="clear" w:color="auto" w:fill="auto"/>
            <w:vAlign w:val="center"/>
          </w:tcPr>
          <w:p>
            <w:pPr>
              <w:widowControl/>
              <w:jc w:val="left"/>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以太网交换机</w:t>
            </w:r>
          </w:p>
        </w:tc>
        <w:tc>
          <w:tcPr>
            <w:tcW w:w="629" w:type="dxa"/>
            <w:shd w:val="clear" w:color="auto" w:fill="auto"/>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套</w:t>
            </w:r>
          </w:p>
        </w:tc>
        <w:tc>
          <w:tcPr>
            <w:tcW w:w="736" w:type="dxa"/>
            <w:shd w:val="clear" w:color="auto" w:fill="auto"/>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2</w:t>
            </w:r>
          </w:p>
        </w:tc>
        <w:tc>
          <w:tcPr>
            <w:tcW w:w="2887" w:type="dxa"/>
            <w:shd w:val="clear" w:color="auto" w:fill="auto"/>
            <w:vAlign w:val="center"/>
          </w:tcPr>
          <w:p>
            <w:pPr>
              <w:widowControl/>
              <w:jc w:val="left"/>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大石OCC、镇龙OCC。如接口为光口，需提供ODF等配件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3</w:t>
            </w:r>
          </w:p>
        </w:tc>
        <w:tc>
          <w:tcPr>
            <w:tcW w:w="3305" w:type="dxa"/>
            <w:shd w:val="clear" w:color="auto" w:fill="auto"/>
            <w:vAlign w:val="center"/>
          </w:tcPr>
          <w:p>
            <w:pPr>
              <w:widowControl/>
              <w:jc w:val="left"/>
              <w:rPr>
                <w:rFonts w:hint="default" w:ascii="宋体" w:hAnsi="宋体" w:cs="宋体"/>
                <w:kern w:val="0"/>
                <w:sz w:val="18"/>
                <w:szCs w:val="18"/>
                <w:lang w:val="en-US" w:eastAsia="zh-CN"/>
              </w:rPr>
            </w:pPr>
            <w:r>
              <w:rPr>
                <w:rFonts w:hint="eastAsia" w:ascii="宋体" w:hAnsi="宋体" w:cs="宋体"/>
                <w:kern w:val="0"/>
                <w:sz w:val="18"/>
                <w:szCs w:val="18"/>
                <w:lang w:val="en-US" w:eastAsia="zh-CN"/>
              </w:rPr>
              <w:t>与车载视频监视系统对接</w:t>
            </w:r>
          </w:p>
        </w:tc>
        <w:tc>
          <w:tcPr>
            <w:tcW w:w="629" w:type="dxa"/>
            <w:shd w:val="clear" w:color="auto" w:fill="auto"/>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项</w:t>
            </w:r>
          </w:p>
        </w:tc>
        <w:tc>
          <w:tcPr>
            <w:tcW w:w="736" w:type="dxa"/>
            <w:shd w:val="clear" w:color="auto" w:fill="auto"/>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p>
        </w:tc>
        <w:tc>
          <w:tcPr>
            <w:tcW w:w="2887" w:type="dxa"/>
            <w:shd w:val="clear" w:color="auto" w:fill="auto"/>
            <w:vAlign w:val="center"/>
          </w:tcPr>
          <w:p>
            <w:pPr>
              <w:widowControl/>
              <w:jc w:val="left"/>
              <w:rPr>
                <w:rFonts w:hint="default" w:ascii="宋体" w:hAnsi="宋体" w:cs="宋体"/>
                <w:kern w:val="0"/>
                <w:sz w:val="18"/>
                <w:szCs w:val="18"/>
                <w:lang w:val="en-US" w:eastAsia="zh-CN"/>
              </w:rPr>
            </w:pPr>
            <w:r>
              <w:rPr>
                <w:rFonts w:hint="eastAsia" w:ascii="宋体" w:hAnsi="宋体" w:cs="宋体"/>
                <w:kern w:val="0"/>
                <w:sz w:val="18"/>
                <w:szCs w:val="18"/>
                <w:lang w:val="en-US" w:eastAsia="zh-CN"/>
              </w:rPr>
              <w:t>含平台对接所需的全部软硬件。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3305"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线缆及附件</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含跳线、光缆熔接盒等</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（二）</w:t>
            </w:r>
          </w:p>
        </w:tc>
        <w:tc>
          <w:tcPr>
            <w:tcW w:w="3305"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广播系统</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1</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线网广播系统软件</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含直播、编播、TTS、数据库、接口、网管、文件服务软件，接口改造等</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2</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广播控制盒</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含音频话筒</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b/>
                <w:bCs/>
                <w:kern w:val="0"/>
                <w:sz w:val="18"/>
                <w:szCs w:val="18"/>
              </w:rPr>
            </w:pPr>
            <w:r>
              <w:rPr>
                <w:rFonts w:hint="eastAsia" w:ascii="宋体" w:hAnsi="宋体" w:cs="宋体"/>
                <w:kern w:val="0"/>
                <w:sz w:val="18"/>
                <w:szCs w:val="18"/>
              </w:rPr>
              <w:t>3</w:t>
            </w:r>
          </w:p>
        </w:tc>
        <w:tc>
          <w:tcPr>
            <w:tcW w:w="3305" w:type="dxa"/>
            <w:shd w:val="clear" w:color="auto" w:fill="auto"/>
            <w:vAlign w:val="center"/>
          </w:tcPr>
          <w:p>
            <w:pPr>
              <w:jc w:val="left"/>
              <w:rPr>
                <w:rFonts w:ascii="宋体" w:hAnsi="宋体" w:cs="宋体"/>
                <w:b/>
                <w:bCs/>
                <w:kern w:val="0"/>
                <w:sz w:val="18"/>
                <w:szCs w:val="18"/>
              </w:rPr>
            </w:pPr>
            <w:r>
              <w:rPr>
                <w:rFonts w:hint="eastAsia" w:ascii="宋体" w:hAnsi="宋体" w:cs="宋体"/>
                <w:kern w:val="0"/>
                <w:sz w:val="18"/>
                <w:szCs w:val="18"/>
              </w:rPr>
              <w:t>线缆及附件</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（三）</w:t>
            </w:r>
          </w:p>
        </w:tc>
        <w:tc>
          <w:tcPr>
            <w:tcW w:w="3305"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线网调度电话系统</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1</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可视调度分机</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74</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2</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拾音器</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74</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3</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录音设备</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6</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4</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以太网交换机</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7</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jc w:val="left"/>
              <w:rPr>
                <w:rFonts w:ascii="宋体" w:hAnsi="宋体" w:cs="宋体"/>
                <w:b/>
                <w:bCs/>
                <w:kern w:val="0"/>
                <w:sz w:val="18"/>
                <w:szCs w:val="18"/>
              </w:rPr>
            </w:pPr>
            <w:r>
              <w:rPr>
                <w:rFonts w:hint="eastAsia" w:ascii="宋体" w:hAnsi="宋体" w:cs="宋体"/>
                <w:kern w:val="0"/>
                <w:sz w:val="18"/>
                <w:szCs w:val="18"/>
              </w:rPr>
              <w:t>5</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软交换服务器</w:t>
            </w:r>
          </w:p>
        </w:tc>
        <w:tc>
          <w:tcPr>
            <w:tcW w:w="629" w:type="dxa"/>
            <w:shd w:val="clear" w:color="auto" w:fill="auto"/>
            <w:vAlign w:val="center"/>
          </w:tcPr>
          <w:p>
            <w:pPr>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6</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会议资源服务器</w:t>
            </w:r>
          </w:p>
        </w:tc>
        <w:tc>
          <w:tcPr>
            <w:tcW w:w="629" w:type="dxa"/>
            <w:shd w:val="clear" w:color="auto" w:fill="auto"/>
            <w:vAlign w:val="center"/>
          </w:tcPr>
          <w:p>
            <w:pPr>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7</w:t>
            </w:r>
          </w:p>
        </w:tc>
        <w:tc>
          <w:tcPr>
            <w:tcW w:w="3305" w:type="dxa"/>
            <w:shd w:val="clear" w:color="auto" w:fill="auto"/>
            <w:vAlign w:val="center"/>
          </w:tcPr>
          <w:p>
            <w:pPr>
              <w:jc w:val="left"/>
              <w:rPr>
                <w:rFonts w:ascii="宋体" w:hAnsi="宋体" w:cs="宋体"/>
                <w:b/>
                <w:bCs/>
                <w:kern w:val="0"/>
                <w:sz w:val="18"/>
                <w:szCs w:val="18"/>
              </w:rPr>
            </w:pPr>
            <w:r>
              <w:rPr>
                <w:rFonts w:hint="eastAsia" w:ascii="宋体" w:hAnsi="宋体" w:cs="宋体"/>
                <w:kern w:val="0"/>
                <w:sz w:val="18"/>
                <w:szCs w:val="18"/>
              </w:rPr>
              <w:t>系统软件扩容升级</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项</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含网管、应用软件、接口软件等</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8</w:t>
            </w:r>
          </w:p>
        </w:tc>
        <w:tc>
          <w:tcPr>
            <w:tcW w:w="3305" w:type="dxa"/>
            <w:shd w:val="clear" w:color="auto" w:fill="auto"/>
            <w:vAlign w:val="center"/>
          </w:tcPr>
          <w:p>
            <w:pPr>
              <w:jc w:val="left"/>
              <w:rPr>
                <w:rFonts w:ascii="宋体" w:hAnsi="宋体" w:cs="宋体"/>
                <w:b/>
                <w:bCs/>
                <w:kern w:val="0"/>
                <w:sz w:val="18"/>
                <w:szCs w:val="18"/>
              </w:rPr>
            </w:pPr>
            <w:r>
              <w:rPr>
                <w:rFonts w:hint="eastAsia" w:ascii="宋体" w:hAnsi="宋体" w:cs="宋体"/>
                <w:kern w:val="0"/>
                <w:sz w:val="18"/>
                <w:szCs w:val="18"/>
              </w:rPr>
              <w:t>设备机柜</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项</w:t>
            </w:r>
          </w:p>
        </w:tc>
        <w:tc>
          <w:tcPr>
            <w:tcW w:w="736" w:type="dxa"/>
            <w:shd w:val="clear" w:color="auto" w:fill="auto"/>
            <w:vAlign w:val="center"/>
          </w:tcPr>
          <w:p>
            <w:pPr>
              <w:widowControl/>
              <w:jc w:val="center"/>
            </w:pPr>
            <w:r>
              <w:rPr>
                <w:rFonts w:hint="eastAsia" w:ascii="宋体" w:hAnsi="宋体" w:cs="宋体"/>
                <w:kern w:val="0"/>
                <w:sz w:val="18"/>
                <w:szCs w:val="18"/>
              </w:rPr>
              <w:t>1</w:t>
            </w:r>
          </w:p>
        </w:tc>
        <w:tc>
          <w:tcPr>
            <w:tcW w:w="2887"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分别在陇枕控制中心、赤沙控制中心、大石控制中心、镇龙控制中心、车陂南城际指挥中心、磨碟沙调度中心部署。颜色设计联络阶段确定。</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0</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线缆及附件</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jc w:val="center"/>
              <w:rPr>
                <w:rFonts w:ascii="宋体" w:hAnsi="宋体" w:cs="宋体"/>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（四）</w:t>
            </w:r>
          </w:p>
        </w:tc>
        <w:tc>
          <w:tcPr>
            <w:tcW w:w="3305" w:type="dxa"/>
            <w:shd w:val="clear" w:color="auto" w:fill="auto"/>
            <w:vAlign w:val="center"/>
          </w:tcPr>
          <w:p>
            <w:pPr>
              <w:widowControl/>
              <w:rPr>
                <w:rFonts w:ascii="宋体" w:hAnsi="宋体" w:cs="宋体"/>
                <w:kern w:val="0"/>
                <w:sz w:val="18"/>
                <w:szCs w:val="18"/>
              </w:rPr>
            </w:pPr>
            <w:r>
              <w:rPr>
                <w:rFonts w:hint="eastAsia" w:ascii="宋体" w:hAnsi="宋体" w:cs="宋体"/>
                <w:b/>
                <w:bCs/>
                <w:kern w:val="0"/>
                <w:sz w:val="18"/>
                <w:szCs w:val="18"/>
              </w:rPr>
              <w:t>时钟系统</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1</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一级母钟扩容</w:t>
            </w:r>
          </w:p>
        </w:tc>
        <w:tc>
          <w:tcPr>
            <w:tcW w:w="629"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项</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rPr>
                <w:rFonts w:ascii="宋体" w:hAnsi="宋体" w:cs="宋体"/>
                <w:kern w:val="0"/>
                <w:sz w:val="18"/>
                <w:szCs w:val="18"/>
              </w:rPr>
            </w:pPr>
            <w:r>
              <w:rPr>
                <w:rFonts w:hint="eastAsia" w:ascii="宋体" w:hAnsi="宋体" w:cs="宋体"/>
                <w:kern w:val="0"/>
                <w:sz w:val="18"/>
                <w:szCs w:val="18"/>
              </w:rPr>
              <w:t>新增24个NTP授时端口，新增授时设备的接入及调试等</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b/>
                <w:bCs/>
                <w:color w:val="000000"/>
                <w:kern w:val="0"/>
                <w:sz w:val="18"/>
                <w:szCs w:val="18"/>
              </w:rPr>
            </w:pPr>
            <w:r>
              <w:rPr>
                <w:rFonts w:hint="eastAsia" w:ascii="宋体" w:hAnsi="宋体" w:cs="宋体"/>
                <w:kern w:val="0"/>
                <w:sz w:val="18"/>
                <w:szCs w:val="18"/>
              </w:rPr>
              <w:t>2</w:t>
            </w:r>
          </w:p>
        </w:tc>
        <w:tc>
          <w:tcPr>
            <w:tcW w:w="3305" w:type="dxa"/>
            <w:shd w:val="clear" w:color="auto" w:fill="auto"/>
            <w:vAlign w:val="center"/>
          </w:tcPr>
          <w:p>
            <w:pPr>
              <w:jc w:val="left"/>
              <w:rPr>
                <w:rFonts w:ascii="宋体" w:hAnsi="宋体" w:cs="宋体"/>
                <w:b/>
                <w:bCs/>
                <w:color w:val="000000"/>
                <w:kern w:val="0"/>
                <w:sz w:val="18"/>
                <w:szCs w:val="18"/>
              </w:rPr>
            </w:pPr>
            <w:r>
              <w:rPr>
                <w:rFonts w:hint="eastAsia" w:ascii="宋体" w:hAnsi="宋体" w:cs="宋体"/>
                <w:kern w:val="0"/>
                <w:sz w:val="18"/>
                <w:szCs w:val="18"/>
              </w:rPr>
              <w:t>网管软件升级</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rPr>
                <w:rFonts w:ascii="宋体" w:hAnsi="宋体" w:cs="宋体"/>
                <w:color w:val="000000"/>
                <w:kern w:val="0"/>
                <w:sz w:val="18"/>
                <w:szCs w:val="18"/>
              </w:rPr>
            </w:pPr>
            <w:r>
              <w:rPr>
                <w:rFonts w:hint="eastAsia" w:ascii="宋体" w:hAnsi="宋体" w:cs="宋体"/>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rPr>
                <w:rFonts w:ascii="宋体" w:hAnsi="宋体" w:cs="宋体"/>
                <w:color w:val="000000"/>
                <w:kern w:val="0"/>
                <w:sz w:val="18"/>
                <w:szCs w:val="18"/>
              </w:rPr>
            </w:pPr>
            <w:r>
              <w:rPr>
                <w:rFonts w:hint="eastAsia" w:ascii="宋体" w:hAnsi="宋体" w:cs="宋体"/>
                <w:kern w:val="0"/>
                <w:sz w:val="18"/>
                <w:szCs w:val="18"/>
              </w:rPr>
              <w:t>3</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线缆及附件</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b/>
                <w:bCs/>
                <w:color w:val="000000"/>
                <w:kern w:val="0"/>
                <w:sz w:val="18"/>
                <w:szCs w:val="18"/>
              </w:rPr>
            </w:pPr>
            <w:r>
              <w:rPr>
                <w:rFonts w:hint="eastAsia" w:ascii="宋体" w:hAnsi="宋体" w:cs="宋体"/>
                <w:b/>
                <w:bCs/>
                <w:color w:val="000000"/>
                <w:kern w:val="0"/>
                <w:sz w:val="18"/>
                <w:szCs w:val="18"/>
              </w:rPr>
              <w:t>二</w:t>
            </w:r>
          </w:p>
        </w:tc>
        <w:tc>
          <w:tcPr>
            <w:tcW w:w="3305" w:type="dxa"/>
            <w:shd w:val="clear" w:color="auto" w:fill="auto"/>
            <w:vAlign w:val="center"/>
          </w:tcPr>
          <w:p>
            <w:pPr>
              <w:widowControl/>
              <w:jc w:val="left"/>
              <w:rPr>
                <w:rFonts w:ascii="宋体" w:hAnsi="宋体" w:cs="宋体"/>
                <w:b/>
                <w:bCs/>
                <w:color w:val="000000"/>
                <w:kern w:val="0"/>
                <w:sz w:val="18"/>
                <w:szCs w:val="18"/>
              </w:rPr>
            </w:pPr>
            <w:r>
              <w:rPr>
                <w:rFonts w:hint="eastAsia" w:ascii="宋体" w:hAnsi="宋体" w:cs="宋体"/>
                <w:b/>
                <w:bCs/>
                <w:color w:val="000000"/>
                <w:kern w:val="0"/>
                <w:sz w:val="18"/>
                <w:szCs w:val="18"/>
              </w:rPr>
              <w:t>终端、网络及安全等配套设备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（一）</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终端及电源</w:t>
            </w:r>
          </w:p>
        </w:tc>
        <w:tc>
          <w:tcPr>
            <w:tcW w:w="629" w:type="dxa"/>
            <w:shd w:val="clear" w:color="auto" w:fill="auto"/>
            <w:vAlign w:val="center"/>
          </w:tcPr>
          <w:p>
            <w:pPr>
              <w:widowControl/>
              <w:jc w:val="center"/>
              <w:rPr>
                <w:rFonts w:ascii="宋体" w:hAnsi="宋体" w:cs="宋体"/>
                <w:color w:val="000000"/>
                <w:kern w:val="0"/>
                <w:sz w:val="18"/>
                <w:szCs w:val="18"/>
              </w:rPr>
            </w:pPr>
          </w:p>
        </w:tc>
        <w:tc>
          <w:tcPr>
            <w:tcW w:w="736" w:type="dxa"/>
            <w:shd w:val="clear" w:color="auto" w:fill="auto"/>
            <w:vAlign w:val="center"/>
          </w:tcPr>
          <w:p>
            <w:pPr>
              <w:widowControl/>
              <w:jc w:val="center"/>
              <w:rPr>
                <w:rFonts w:ascii="宋体" w:hAnsi="宋体" w:cs="宋体"/>
                <w:color w:val="000000"/>
                <w:kern w:val="0"/>
                <w:sz w:val="18"/>
                <w:szCs w:val="18"/>
              </w:rPr>
            </w:pP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屏幕控制系统</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含输入\输出节点、控制器及软件、交换机、防火墙、机柜、专用线缆及软件等</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2</w:t>
            </w:r>
          </w:p>
        </w:tc>
        <w:tc>
          <w:tcPr>
            <w:tcW w:w="3305" w:type="dxa"/>
            <w:shd w:val="clear" w:color="auto" w:fill="auto"/>
            <w:vAlign w:val="center"/>
          </w:tcPr>
          <w:p>
            <w:pPr>
              <w:widowControl/>
              <w:jc w:val="left"/>
              <w:rPr>
                <w:rFonts w:ascii="宋体" w:hAnsi="宋体" w:cs="宋体"/>
                <w:kern w:val="0"/>
                <w:sz w:val="18"/>
                <w:szCs w:val="18"/>
              </w:rPr>
            </w:pPr>
            <w:r>
              <w:rPr>
                <w:rFonts w:hint="eastAsia" w:ascii="宋体" w:hAnsi="宋体" w:cs="宋体"/>
                <w:kern w:val="0"/>
                <w:sz w:val="18"/>
                <w:szCs w:val="18"/>
              </w:rPr>
              <w:t>应急信息综合显示屏</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ascii="宋体" w:hAnsi="宋体" w:cs="宋体"/>
                <w:color w:val="000000"/>
                <w:kern w:val="0"/>
                <w:sz w:val="18"/>
                <w:szCs w:val="18"/>
              </w:rPr>
              <w:t>2</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9</w:t>
            </w:r>
            <w:r>
              <w:rPr>
                <w:rFonts w:ascii="宋体" w:hAnsi="宋体" w:cs="宋体"/>
                <w:color w:val="000000"/>
                <w:kern w:val="0"/>
                <w:sz w:val="18"/>
                <w:szCs w:val="18"/>
              </w:rPr>
              <w:t>8</w:t>
            </w:r>
            <w:r>
              <w:rPr>
                <w:rFonts w:hint="eastAsia" w:ascii="宋体" w:hAnsi="宋体" w:cs="宋体"/>
                <w:color w:val="000000"/>
                <w:kern w:val="0"/>
                <w:sz w:val="18"/>
                <w:szCs w:val="18"/>
              </w:rPr>
              <w:t>寸，含控制软件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3</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操作员工作站</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27</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4</w:t>
            </w:r>
          </w:p>
        </w:tc>
        <w:tc>
          <w:tcPr>
            <w:tcW w:w="3305" w:type="dxa"/>
            <w:shd w:val="clear" w:color="auto" w:fill="auto"/>
            <w:vAlign w:val="center"/>
          </w:tcPr>
          <w:p>
            <w:pPr>
              <w:widowControl/>
              <w:jc w:val="left"/>
              <w:rPr>
                <w:rFonts w:ascii="宋体" w:hAnsi="宋体" w:cs="宋体"/>
                <w:color w:val="000000"/>
                <w:kern w:val="0"/>
                <w:sz w:val="18"/>
                <w:szCs w:val="18"/>
              </w:rPr>
            </w:pPr>
            <w:r>
              <w:rPr>
                <w:rFonts w:ascii="宋体" w:hAnsi="宋体" w:cs="宋体"/>
                <w:color w:val="000000"/>
                <w:kern w:val="0"/>
                <w:sz w:val="18"/>
                <w:szCs w:val="18"/>
              </w:rPr>
              <w:t>27寸显示</w:t>
            </w:r>
            <w:r>
              <w:rPr>
                <w:rFonts w:hint="eastAsia" w:ascii="宋体" w:hAnsi="宋体" w:cs="宋体"/>
                <w:color w:val="000000"/>
                <w:kern w:val="0"/>
                <w:sz w:val="18"/>
                <w:szCs w:val="18"/>
              </w:rPr>
              <w:t>器</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12</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5</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超宽液晶显示器</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1</w:t>
            </w:r>
            <w:r>
              <w:rPr>
                <w:rFonts w:ascii="宋体" w:hAnsi="宋体" w:cs="宋体"/>
                <w:kern w:val="0"/>
                <w:sz w:val="18"/>
                <w:szCs w:val="18"/>
              </w:rPr>
              <w:t>0</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6</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KVM远程调用设备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含所有采集器、交换机及相关附件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7</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移动操作终端</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ascii="宋体" w:hAnsi="宋体" w:cs="宋体"/>
                <w:color w:val="000000"/>
                <w:kern w:val="0"/>
                <w:sz w:val="18"/>
                <w:szCs w:val="18"/>
              </w:rPr>
              <w:t>4</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8</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便携笔记本</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ascii="宋体" w:hAnsi="宋体" w:cs="宋体"/>
                <w:color w:val="000000"/>
                <w:kern w:val="0"/>
                <w:sz w:val="18"/>
                <w:szCs w:val="18"/>
              </w:rPr>
              <w:t>4</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9</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坐席管理系统</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含核心管理设备、输入\输出节点、机柜、专用线缆等硬件及相关软件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w:t>
            </w:r>
            <w:r>
              <w:rPr>
                <w:rFonts w:ascii="宋体" w:hAnsi="宋体" w:cs="宋体"/>
                <w:color w:val="000000"/>
                <w:kern w:val="0"/>
                <w:sz w:val="18"/>
                <w:szCs w:val="18"/>
              </w:rPr>
              <w:t>0</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万胜围</w:t>
            </w:r>
            <w:r>
              <w:rPr>
                <w:rFonts w:ascii="宋体" w:hAnsi="宋体" w:cs="宋体"/>
                <w:color w:val="000000"/>
                <w:kern w:val="0"/>
                <w:sz w:val="18"/>
                <w:szCs w:val="18"/>
              </w:rPr>
              <w:t>UPS</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含</w:t>
            </w:r>
            <w:r>
              <w:rPr>
                <w:rFonts w:hint="eastAsia" w:ascii="宋体" w:hAnsi="宋体" w:cs="宋体"/>
                <w:color w:val="000000"/>
                <w:kern w:val="0"/>
                <w:sz w:val="18"/>
                <w:szCs w:val="18"/>
                <w:lang w:val="en-US" w:eastAsia="zh-CN"/>
              </w:rPr>
              <w:t>1套容量不小于50KVA的主机、</w:t>
            </w:r>
            <w:r>
              <w:rPr>
                <w:rFonts w:hint="eastAsia" w:ascii="宋体" w:hAnsi="宋体" w:cs="宋体"/>
                <w:color w:val="000000"/>
                <w:kern w:val="0"/>
                <w:sz w:val="18"/>
                <w:szCs w:val="18"/>
              </w:rPr>
              <w:t>在线监测装置及蓄电池（含电池架等）、UPS监控系统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w:t>
            </w:r>
            <w:r>
              <w:rPr>
                <w:rFonts w:ascii="宋体" w:hAnsi="宋体" w:cs="宋体"/>
                <w:color w:val="000000"/>
                <w:kern w:val="0"/>
                <w:sz w:val="18"/>
                <w:szCs w:val="18"/>
              </w:rPr>
              <w:t>1</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lang w:bidi="ar"/>
              </w:rPr>
              <w:t>输入配电柜(含双电源切换装置)</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w:t>
            </w:r>
            <w:r>
              <w:rPr>
                <w:rFonts w:ascii="宋体" w:hAnsi="宋体" w:cs="宋体"/>
                <w:color w:val="000000"/>
                <w:kern w:val="0"/>
                <w:sz w:val="18"/>
                <w:szCs w:val="18"/>
              </w:rPr>
              <w:t>2</w:t>
            </w:r>
          </w:p>
        </w:tc>
        <w:tc>
          <w:tcPr>
            <w:tcW w:w="3305" w:type="dxa"/>
            <w:shd w:val="clear" w:color="auto" w:fill="auto"/>
            <w:vAlign w:val="center"/>
          </w:tcPr>
          <w:p>
            <w:pPr>
              <w:widowControl/>
              <w:jc w:val="left"/>
              <w:rPr>
                <w:rFonts w:ascii="宋体" w:hAnsi="宋体" w:cs="宋体"/>
                <w:color w:val="000000"/>
                <w:kern w:val="0"/>
                <w:sz w:val="18"/>
                <w:szCs w:val="18"/>
                <w:lang w:bidi="ar"/>
              </w:rPr>
            </w:pPr>
            <w:r>
              <w:rPr>
                <w:rFonts w:hint="eastAsia" w:ascii="宋体" w:hAnsi="宋体" w:cs="宋体"/>
                <w:color w:val="000000"/>
                <w:kern w:val="0"/>
                <w:sz w:val="18"/>
                <w:szCs w:val="18"/>
                <w:lang w:bidi="ar"/>
              </w:rPr>
              <w:t>输出配电柜</w:t>
            </w:r>
          </w:p>
        </w:tc>
        <w:tc>
          <w:tcPr>
            <w:tcW w:w="629" w:type="dxa"/>
            <w:shd w:val="clear" w:color="auto" w:fill="auto"/>
            <w:vAlign w:val="center"/>
          </w:tcPr>
          <w:p>
            <w:pPr>
              <w:widowControl/>
              <w:jc w:val="center"/>
              <w:rPr>
                <w:rFonts w:ascii="宋体" w:hAnsi="宋体" w:cs="宋体"/>
                <w:color w:val="000000"/>
                <w:kern w:val="0"/>
                <w:sz w:val="18"/>
                <w:szCs w:val="18"/>
                <w:lang w:bidi="ar"/>
              </w:rPr>
            </w:pPr>
            <w:r>
              <w:rPr>
                <w:rFonts w:hint="eastAsia" w:ascii="宋体" w:hAnsi="宋体" w:cs="宋体"/>
                <w:color w:val="000000"/>
                <w:kern w:val="0"/>
                <w:sz w:val="18"/>
                <w:szCs w:val="18"/>
                <w:lang w:bidi="ar"/>
              </w:rPr>
              <w:t>套</w:t>
            </w:r>
          </w:p>
        </w:tc>
        <w:tc>
          <w:tcPr>
            <w:tcW w:w="736" w:type="dxa"/>
            <w:shd w:val="clear" w:color="auto" w:fill="auto"/>
            <w:vAlign w:val="center"/>
          </w:tcPr>
          <w:p>
            <w:pPr>
              <w:widowControl/>
              <w:jc w:val="center"/>
              <w:rPr>
                <w:rFonts w:ascii="宋体" w:hAnsi="宋体" w:cs="宋体"/>
                <w:color w:val="000000"/>
                <w:kern w:val="0"/>
                <w:sz w:val="18"/>
                <w:szCs w:val="18"/>
                <w:lang w:bidi="ar"/>
              </w:rPr>
            </w:pPr>
            <w:r>
              <w:rPr>
                <w:rFonts w:hint="eastAsia" w:ascii="宋体" w:hAnsi="宋体" w:cs="宋体"/>
                <w:color w:val="000000"/>
                <w:kern w:val="0"/>
                <w:sz w:val="18"/>
                <w:szCs w:val="18"/>
                <w:lang w:bidi="ar"/>
              </w:rPr>
              <w:t>1</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（二）</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网络及安全配套</w:t>
            </w:r>
          </w:p>
        </w:tc>
        <w:tc>
          <w:tcPr>
            <w:tcW w:w="629" w:type="dxa"/>
            <w:shd w:val="clear" w:color="auto" w:fill="auto"/>
            <w:vAlign w:val="center"/>
          </w:tcPr>
          <w:p>
            <w:pPr>
              <w:widowControl/>
              <w:jc w:val="center"/>
              <w:rPr>
                <w:rFonts w:ascii="宋体" w:hAnsi="宋体" w:cs="宋体"/>
                <w:color w:val="000000"/>
                <w:kern w:val="0"/>
                <w:sz w:val="18"/>
                <w:szCs w:val="18"/>
              </w:rPr>
            </w:pPr>
          </w:p>
        </w:tc>
        <w:tc>
          <w:tcPr>
            <w:tcW w:w="736" w:type="dxa"/>
            <w:shd w:val="clear" w:color="auto" w:fill="auto"/>
            <w:vAlign w:val="center"/>
          </w:tcPr>
          <w:p>
            <w:pPr>
              <w:widowControl/>
              <w:jc w:val="center"/>
              <w:rPr>
                <w:rFonts w:ascii="宋体" w:hAnsi="宋体" w:cs="宋体"/>
                <w:color w:val="000000"/>
                <w:kern w:val="0"/>
                <w:sz w:val="18"/>
                <w:szCs w:val="18"/>
              </w:rPr>
            </w:pP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Web应用防火墙</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台</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2</w:t>
            </w:r>
          </w:p>
        </w:tc>
        <w:tc>
          <w:tcPr>
            <w:tcW w:w="2887"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2</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互联网区交换机</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台</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2</w:t>
            </w:r>
          </w:p>
        </w:tc>
        <w:tc>
          <w:tcPr>
            <w:tcW w:w="2887"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3</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互联网区防火墙</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台</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2</w:t>
            </w:r>
          </w:p>
        </w:tc>
        <w:tc>
          <w:tcPr>
            <w:tcW w:w="2887"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4</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网闸设备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2</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5</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抗DDos设备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6</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数据安全交换设备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hint="eastAsia" w:ascii="宋体" w:hAnsi="宋体" w:eastAsia="宋体" w:cs="宋体"/>
                <w:color w:val="000000"/>
                <w:kern w:val="0"/>
                <w:sz w:val="18"/>
                <w:szCs w:val="18"/>
                <w:lang w:eastAsia="zh-CN"/>
              </w:rPr>
            </w:pPr>
            <w:r>
              <w:rPr>
                <w:rFonts w:hint="eastAsia" w:ascii="宋体" w:hAnsi="宋体" w:cs="宋体"/>
                <w:color w:val="000000"/>
                <w:kern w:val="0"/>
                <w:sz w:val="18"/>
                <w:szCs w:val="18"/>
                <w:lang w:val="en-US" w:eastAsia="zh-CN"/>
              </w:rPr>
              <w:t>2</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7</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单向光闸</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4</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8</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线缆及附件</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bottom"/>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9</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运营商互联网专线租赁服务</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项</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0" w:hRule="atLeast"/>
          <w:jc w:val="center"/>
        </w:trPr>
        <w:tc>
          <w:tcPr>
            <w:tcW w:w="1483" w:type="dxa"/>
            <w:shd w:val="clear" w:color="auto" w:fill="auto"/>
            <w:noWrap/>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10</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与既有云平台对接</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项</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11</w:t>
            </w:r>
          </w:p>
        </w:tc>
        <w:tc>
          <w:tcPr>
            <w:tcW w:w="3305"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控制中心接入交换机</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台</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9</w:t>
            </w:r>
          </w:p>
        </w:tc>
        <w:tc>
          <w:tcPr>
            <w:tcW w:w="2887" w:type="dxa"/>
            <w:shd w:val="clear" w:color="auto" w:fill="auto"/>
            <w:vAlign w:val="center"/>
          </w:tcPr>
          <w:p>
            <w:pPr>
              <w:widowControl/>
              <w:jc w:val="center"/>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12</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边界防火墙</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13</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入侵防御设备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b/>
                <w:bCs/>
                <w:color w:val="000000"/>
                <w:kern w:val="0"/>
                <w:sz w:val="18"/>
                <w:szCs w:val="18"/>
              </w:rPr>
            </w:pPr>
            <w:r>
              <w:rPr>
                <w:rFonts w:hint="eastAsia" w:ascii="宋体" w:hAnsi="宋体" w:cs="宋体"/>
                <w:color w:val="000000"/>
                <w:kern w:val="0"/>
                <w:sz w:val="18"/>
                <w:szCs w:val="18"/>
              </w:rPr>
              <w:t>14</w:t>
            </w:r>
          </w:p>
        </w:tc>
        <w:tc>
          <w:tcPr>
            <w:tcW w:w="3305" w:type="dxa"/>
            <w:shd w:val="clear" w:color="auto" w:fill="auto"/>
            <w:vAlign w:val="center"/>
          </w:tcPr>
          <w:p>
            <w:pPr>
              <w:jc w:val="left"/>
              <w:rPr>
                <w:rFonts w:ascii="宋体" w:hAnsi="宋体" w:cs="宋体"/>
                <w:b/>
                <w:bCs/>
                <w:kern w:val="0"/>
                <w:sz w:val="18"/>
                <w:szCs w:val="18"/>
              </w:rPr>
            </w:pPr>
            <w:r>
              <w:rPr>
                <w:rFonts w:hint="eastAsia" w:ascii="宋体" w:hAnsi="宋体" w:cs="宋体"/>
                <w:kern w:val="0"/>
                <w:sz w:val="18"/>
                <w:szCs w:val="18"/>
              </w:rPr>
              <w:t>日志审计设备</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15</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堡垒机</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16</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安全防护软硬件</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17</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线网通信等保评测服务</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项</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满足线网通信不低于二级等保要求</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jc w:val="left"/>
              <w:rPr>
                <w:rFonts w:ascii="宋体" w:hAnsi="宋体" w:cs="宋体"/>
                <w:color w:val="000000"/>
                <w:kern w:val="0"/>
                <w:sz w:val="18"/>
                <w:szCs w:val="18"/>
              </w:rPr>
            </w:pPr>
            <w:r>
              <w:rPr>
                <w:rFonts w:hint="eastAsia" w:ascii="宋体" w:hAnsi="宋体" w:cs="宋体"/>
                <w:color w:val="000000"/>
                <w:kern w:val="0"/>
                <w:sz w:val="18"/>
                <w:szCs w:val="18"/>
              </w:rPr>
              <w:t>18</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云平台对接等保测评服务</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项</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87" w:type="dxa"/>
            <w:shd w:val="clear" w:color="auto" w:fill="auto"/>
            <w:vAlign w:val="center"/>
          </w:tcPr>
          <w:p>
            <w:pPr>
              <w:widowControl/>
              <w:jc w:val="left"/>
              <w:rPr>
                <w:rFonts w:ascii="宋体" w:hAnsi="宋体" w:cs="宋体"/>
                <w:color w:val="000000"/>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 w:hRule="atLeast"/>
          <w:jc w:val="center"/>
        </w:trPr>
        <w:tc>
          <w:tcPr>
            <w:tcW w:w="1483" w:type="dxa"/>
            <w:shd w:val="clear" w:color="auto" w:fill="auto"/>
            <w:vAlign w:val="center"/>
          </w:tcPr>
          <w:p>
            <w:pPr>
              <w:widowControl/>
              <w:rPr>
                <w:rFonts w:ascii="宋体" w:hAnsi="宋体" w:cs="宋体"/>
                <w:color w:val="000000"/>
                <w:kern w:val="0"/>
                <w:sz w:val="18"/>
                <w:szCs w:val="18"/>
              </w:rPr>
            </w:pPr>
            <w:r>
              <w:rPr>
                <w:rFonts w:hint="eastAsia" w:ascii="宋体" w:hAnsi="宋体" w:cs="宋体"/>
                <w:kern w:val="0"/>
                <w:sz w:val="18"/>
                <w:szCs w:val="18"/>
              </w:rPr>
              <w:t>19</w:t>
            </w:r>
          </w:p>
        </w:tc>
        <w:tc>
          <w:tcPr>
            <w:tcW w:w="3305" w:type="dxa"/>
            <w:shd w:val="clear" w:color="auto" w:fill="auto"/>
            <w:vAlign w:val="center"/>
          </w:tcPr>
          <w:p>
            <w:pPr>
              <w:jc w:val="left"/>
              <w:rPr>
                <w:rFonts w:ascii="宋体" w:hAnsi="宋体" w:cs="宋体"/>
                <w:kern w:val="0"/>
                <w:sz w:val="18"/>
                <w:szCs w:val="18"/>
              </w:rPr>
            </w:pPr>
            <w:r>
              <w:rPr>
                <w:rFonts w:hint="eastAsia" w:ascii="宋体" w:hAnsi="宋体" w:cs="宋体"/>
                <w:kern w:val="0"/>
                <w:sz w:val="18"/>
                <w:szCs w:val="18"/>
              </w:rPr>
              <w:t>线缆及附件</w:t>
            </w:r>
          </w:p>
        </w:tc>
        <w:tc>
          <w:tcPr>
            <w:tcW w:w="629"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套</w:t>
            </w:r>
          </w:p>
        </w:tc>
        <w:tc>
          <w:tcPr>
            <w:tcW w:w="736" w:type="dxa"/>
            <w:shd w:val="clear" w:color="auto" w:fill="auto"/>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1</w:t>
            </w:r>
          </w:p>
        </w:tc>
        <w:tc>
          <w:tcPr>
            <w:tcW w:w="2887" w:type="dxa"/>
            <w:shd w:val="clear" w:color="auto" w:fill="auto"/>
            <w:vAlign w:val="center"/>
          </w:tcPr>
          <w:p>
            <w:pPr>
              <w:widowControl/>
              <w:rPr>
                <w:rFonts w:ascii="宋体" w:hAnsi="宋体" w:cs="宋体"/>
                <w:color w:val="000000"/>
                <w:kern w:val="0"/>
                <w:sz w:val="18"/>
                <w:szCs w:val="18"/>
              </w:rPr>
            </w:pPr>
          </w:p>
        </w:tc>
      </w:tr>
    </w:tbl>
    <w:p>
      <w:pPr>
        <w:pStyle w:val="9"/>
        <w:spacing w:line="480" w:lineRule="exact"/>
        <w:ind w:left="0" w:firstLine="420" w:firstLineChars="200"/>
      </w:pPr>
    </w:p>
    <w:p>
      <w:pPr>
        <w:pStyle w:val="3"/>
        <w:tabs>
          <w:tab w:val="left" w:pos="700"/>
        </w:tabs>
        <w:ind w:firstLine="340"/>
        <w:rPr>
          <w:rFonts w:ascii="黑体"/>
          <w:b w:val="0"/>
          <w:bCs/>
          <w:szCs w:val="32"/>
        </w:rPr>
      </w:pPr>
      <w:bookmarkStart w:id="73" w:name="_Toc529199859"/>
      <w:bookmarkStart w:id="74" w:name="_Toc294430178"/>
      <w:bookmarkStart w:id="75" w:name="_Toc17956"/>
      <w:bookmarkStart w:id="76" w:name="_Toc294430272"/>
      <w:r>
        <w:rPr>
          <w:rFonts w:hint="eastAsia" w:ascii="黑体"/>
          <w:b w:val="0"/>
          <w:bCs/>
          <w:szCs w:val="32"/>
        </w:rPr>
        <w:t>13.2随机附件</w:t>
      </w:r>
      <w:bookmarkEnd w:id="73"/>
      <w:bookmarkEnd w:id="74"/>
      <w:bookmarkEnd w:id="75"/>
      <w:bookmarkEnd w:id="76"/>
    </w:p>
    <w:p>
      <w:pPr>
        <w:pStyle w:val="9"/>
        <w:spacing w:line="480" w:lineRule="exact"/>
        <w:ind w:left="0" w:firstLine="420" w:firstLineChars="200"/>
        <w:rPr>
          <w:bCs/>
        </w:rPr>
      </w:pPr>
      <w:r>
        <w:rPr>
          <w:rFonts w:hint="eastAsia"/>
          <w:bCs/>
        </w:rPr>
        <w:t>投标人应在投标时向买方提供随机附件的规格型号、生产厂家、产地、单价等内容，建议随机附件费用按系统设备材料的3</w:t>
      </w:r>
      <w:r>
        <w:rPr>
          <w:bCs/>
        </w:rPr>
        <w:t>%</w:t>
      </w:r>
      <w:r>
        <w:rPr>
          <w:rFonts w:hint="eastAsia"/>
          <w:bCs/>
        </w:rPr>
        <w:t>计列。</w:t>
      </w:r>
    </w:p>
    <w:p>
      <w:pPr>
        <w:pStyle w:val="9"/>
        <w:spacing w:line="480" w:lineRule="exact"/>
        <w:ind w:left="0" w:firstLine="420" w:firstLineChars="200"/>
        <w:rPr>
          <w:bCs/>
        </w:rPr>
      </w:pPr>
      <w:r>
        <w:rPr>
          <w:rFonts w:hint="eastAsia"/>
          <w:bCs/>
        </w:rPr>
        <w:t>随机附件必须单独包装。在现场调试及质保期内，如实际运行所需要的随机附件种类或数量不足，卖方免费补足。</w:t>
      </w:r>
    </w:p>
    <w:p>
      <w:pPr>
        <w:pStyle w:val="9"/>
        <w:spacing w:line="480" w:lineRule="exact"/>
        <w:ind w:left="0" w:firstLine="420" w:firstLineChars="200"/>
        <w:rPr>
          <w:bCs/>
        </w:rPr>
      </w:pPr>
      <w:r>
        <w:rPr>
          <w:rFonts w:hint="eastAsia"/>
          <w:bCs/>
        </w:rPr>
        <w:t>投标人应对随机附件的种类和数量的合理性负责。</w:t>
      </w:r>
    </w:p>
    <w:p>
      <w:pPr>
        <w:pStyle w:val="9"/>
        <w:spacing w:line="480" w:lineRule="exact"/>
        <w:ind w:left="0" w:firstLine="420" w:firstLineChars="200"/>
        <w:rPr>
          <w:bCs/>
        </w:rPr>
      </w:pPr>
      <w:r>
        <w:rPr>
          <w:rFonts w:hint="eastAsia"/>
          <w:bCs/>
        </w:rPr>
        <w:t>招标人具有进一步调整的权利，随机附件具体内容和数量将在设计联络阶段最终确认。</w:t>
      </w:r>
    </w:p>
    <w:p/>
    <w:p>
      <w:pPr>
        <w:pStyle w:val="3"/>
        <w:tabs>
          <w:tab w:val="left" w:pos="700"/>
        </w:tabs>
        <w:ind w:firstLine="340"/>
        <w:rPr>
          <w:rFonts w:ascii="黑体"/>
          <w:b w:val="0"/>
          <w:bCs/>
          <w:szCs w:val="32"/>
        </w:rPr>
      </w:pPr>
      <w:bookmarkStart w:id="77" w:name="_Toc529199860"/>
      <w:bookmarkStart w:id="78" w:name="_Toc294430273"/>
      <w:bookmarkStart w:id="79" w:name="_Toc294430179"/>
      <w:bookmarkStart w:id="80" w:name="_Toc660"/>
      <w:r>
        <w:rPr>
          <w:rFonts w:hint="eastAsia" w:ascii="黑体"/>
          <w:b w:val="0"/>
          <w:bCs/>
          <w:szCs w:val="32"/>
        </w:rPr>
        <w:t>13.3专用工具及仪器仪表</w:t>
      </w:r>
      <w:bookmarkEnd w:id="77"/>
      <w:bookmarkEnd w:id="78"/>
      <w:bookmarkEnd w:id="79"/>
      <w:bookmarkEnd w:id="80"/>
    </w:p>
    <w:p>
      <w:pPr>
        <w:pStyle w:val="9"/>
        <w:spacing w:line="480" w:lineRule="exact"/>
        <w:ind w:left="0" w:firstLine="420" w:firstLineChars="200"/>
        <w:rPr>
          <w:bCs/>
        </w:rPr>
      </w:pPr>
      <w:r>
        <w:rPr>
          <w:rFonts w:hint="eastAsia"/>
          <w:bCs/>
        </w:rPr>
        <w:t>投标人应提供系统所需的专用安装维护工具及仪器仪表，并应说明专用工具和仪器仪表的单价、数量和性能。投标人须对仪器仪表的种类和数量的合理性负责。最终的供货数量和配置在施工设计时确定。</w:t>
      </w:r>
    </w:p>
    <w:p>
      <w:pPr>
        <w:pStyle w:val="9"/>
        <w:spacing w:line="480" w:lineRule="exact"/>
        <w:ind w:left="0" w:firstLine="420" w:firstLineChars="200"/>
        <w:rPr>
          <w:bCs/>
        </w:rPr>
      </w:pPr>
      <w:r>
        <w:rPr>
          <w:rFonts w:hint="eastAsia"/>
          <w:bCs/>
        </w:rPr>
        <w:t>投标人提供的专用工具的数量和类型应有效保证系统正常运行下的维护使用。</w:t>
      </w:r>
    </w:p>
    <w:p>
      <w:pPr>
        <w:pStyle w:val="9"/>
        <w:spacing w:line="480" w:lineRule="exact"/>
        <w:ind w:left="0" w:firstLine="420" w:firstLineChars="200"/>
        <w:rPr>
          <w:bCs/>
        </w:rPr>
      </w:pPr>
      <w:r>
        <w:rPr>
          <w:rFonts w:hint="eastAsia"/>
          <w:bCs/>
        </w:rPr>
        <w:t>便携式设备应满足保证系统所需的现场维护使用。</w:t>
      </w:r>
    </w:p>
    <w:p>
      <w:pPr>
        <w:pStyle w:val="9"/>
        <w:spacing w:line="480" w:lineRule="exact"/>
        <w:ind w:left="0" w:firstLine="420" w:firstLineChars="200"/>
        <w:rPr>
          <w:bCs/>
        </w:rPr>
      </w:pPr>
      <w:r>
        <w:rPr>
          <w:rFonts w:hint="eastAsia"/>
          <w:bCs/>
        </w:rPr>
        <w:t>投标人应提供这些专用工具及仪器仪表的技术规格书、操作手册、维护手册和其他相关资料。</w:t>
      </w:r>
    </w:p>
    <w:p>
      <w:pPr>
        <w:pStyle w:val="9"/>
        <w:spacing w:line="480" w:lineRule="exact"/>
        <w:ind w:left="0" w:firstLine="420" w:firstLineChars="200"/>
        <w:rPr>
          <w:bCs/>
        </w:rPr>
      </w:pPr>
      <w:r>
        <w:rPr>
          <w:rFonts w:hint="eastAsia"/>
          <w:bCs/>
        </w:rPr>
        <w:t>投标人无权在安装和调试期间使用本次采购的专用工具及仪器仪表。但在紧急情况下，招标人可将自己的专用工具提供给投标人使用。当这些专用工具损坏时，投标人应负责赔偿全新的同类专用工具。</w:t>
      </w:r>
    </w:p>
    <w:p>
      <w:pPr>
        <w:pStyle w:val="9"/>
        <w:spacing w:line="480" w:lineRule="exact"/>
        <w:ind w:left="0" w:firstLine="420" w:firstLineChars="200"/>
        <w:rPr>
          <w:bCs/>
        </w:rPr>
      </w:pPr>
      <w:r>
        <w:rPr>
          <w:rFonts w:hint="eastAsia"/>
          <w:bCs/>
        </w:rPr>
        <w:t xml:space="preserve">投标人提供的专用工具主要有： </w:t>
      </w:r>
    </w:p>
    <w:p>
      <w:pPr>
        <w:pStyle w:val="9"/>
        <w:spacing w:line="480" w:lineRule="exact"/>
        <w:ind w:left="0" w:firstLine="420" w:firstLineChars="200"/>
        <w:rPr>
          <w:bCs/>
        </w:rPr>
      </w:pPr>
      <w:r>
        <w:rPr>
          <w:rFonts w:hint="eastAsia"/>
          <w:bCs/>
        </w:rPr>
        <w:t>（1）120件6.3x10x12.5MM系列公英制综合组套。（不少于6套）</w:t>
      </w:r>
    </w:p>
    <w:p>
      <w:pPr>
        <w:pStyle w:val="9"/>
        <w:spacing w:line="480" w:lineRule="exact"/>
        <w:ind w:left="0" w:firstLine="420" w:firstLineChars="200"/>
        <w:rPr>
          <w:bCs/>
        </w:rPr>
      </w:pPr>
      <w:r>
        <w:rPr>
          <w:rFonts w:hint="eastAsia"/>
          <w:bCs/>
        </w:rPr>
        <w:t>（2）自动螺丝套件。（不少于6套）</w:t>
      </w:r>
    </w:p>
    <w:p>
      <w:pPr>
        <w:pStyle w:val="9"/>
        <w:spacing w:line="480" w:lineRule="exact"/>
        <w:ind w:left="0" w:firstLine="420" w:firstLineChars="200"/>
        <w:rPr>
          <w:bCs/>
        </w:rPr>
      </w:pPr>
      <w:r>
        <w:rPr>
          <w:rFonts w:hint="eastAsia"/>
          <w:bCs/>
        </w:rPr>
        <w:t>（3）光功率计。（不少于2套）</w:t>
      </w:r>
    </w:p>
    <w:p>
      <w:pPr>
        <w:pStyle w:val="9"/>
        <w:spacing w:line="480" w:lineRule="exact"/>
        <w:ind w:left="0" w:firstLine="420" w:firstLineChars="200"/>
        <w:rPr>
          <w:bCs/>
        </w:rPr>
      </w:pPr>
      <w:r>
        <w:rPr>
          <w:bCs/>
        </w:rPr>
        <w:t></w:t>
      </w:r>
      <w:r>
        <w:rPr>
          <w:bCs/>
        </w:rPr>
        <w:tab/>
      </w:r>
      <w:r>
        <w:rPr>
          <w:rFonts w:hint="eastAsia"/>
          <w:bCs/>
        </w:rPr>
        <w:t>校正波长：</w:t>
      </w:r>
      <w:r>
        <w:rPr>
          <w:bCs/>
        </w:rPr>
        <w:t>850nm,1300nm(</w:t>
      </w:r>
      <w:r>
        <w:rPr>
          <w:rFonts w:hint="eastAsia"/>
          <w:bCs/>
        </w:rPr>
        <w:t>可用于</w:t>
      </w:r>
      <w:r>
        <w:rPr>
          <w:bCs/>
        </w:rPr>
        <w:t>1310nm)</w:t>
      </w:r>
      <w:r>
        <w:rPr>
          <w:rFonts w:hint="eastAsia"/>
          <w:bCs/>
        </w:rPr>
        <w:t>和</w:t>
      </w:r>
      <w:r>
        <w:rPr>
          <w:bCs/>
        </w:rPr>
        <w:t>1550nm</w:t>
      </w:r>
    </w:p>
    <w:p>
      <w:pPr>
        <w:pStyle w:val="9"/>
        <w:spacing w:line="480" w:lineRule="exact"/>
        <w:ind w:left="0" w:firstLine="420" w:firstLineChars="200"/>
        <w:rPr>
          <w:bCs/>
        </w:rPr>
      </w:pPr>
      <w:r>
        <w:rPr>
          <w:bCs/>
        </w:rPr>
        <w:t></w:t>
      </w:r>
      <w:r>
        <w:rPr>
          <w:bCs/>
        </w:rPr>
        <w:tab/>
      </w:r>
      <w:r>
        <w:rPr>
          <w:rFonts w:hint="eastAsia"/>
          <w:bCs/>
        </w:rPr>
        <w:t>动态范围：</w:t>
      </w:r>
      <w:r>
        <w:rPr>
          <w:bCs/>
        </w:rPr>
        <w:t>+3</w:t>
      </w:r>
      <w:r>
        <w:rPr>
          <w:rFonts w:hint="eastAsia"/>
          <w:bCs/>
        </w:rPr>
        <w:t>至</w:t>
      </w:r>
      <w:r>
        <w:rPr>
          <w:bCs/>
        </w:rPr>
        <w:t>-50dBm</w:t>
      </w:r>
    </w:p>
    <w:p>
      <w:pPr>
        <w:pStyle w:val="9"/>
        <w:spacing w:line="480" w:lineRule="exact"/>
        <w:ind w:left="0" w:firstLine="420" w:firstLineChars="200"/>
        <w:rPr>
          <w:bCs/>
        </w:rPr>
      </w:pPr>
      <w:r>
        <w:rPr>
          <w:bCs/>
        </w:rPr>
        <w:t></w:t>
      </w:r>
      <w:r>
        <w:rPr>
          <w:bCs/>
        </w:rPr>
        <w:tab/>
      </w:r>
      <w:r>
        <w:rPr>
          <w:rFonts w:hint="eastAsia"/>
          <w:bCs/>
        </w:rPr>
        <w:t>测量精度：在</w:t>
      </w:r>
      <w:r>
        <w:rPr>
          <w:bCs/>
        </w:rPr>
        <w:t>-10dBm</w:t>
      </w:r>
      <w:r>
        <w:rPr>
          <w:rFonts w:hint="eastAsia"/>
          <w:bCs/>
        </w:rPr>
        <w:t>和</w:t>
      </w:r>
      <w:r>
        <w:rPr>
          <w:bCs/>
        </w:rPr>
        <w:t>25°C</w:t>
      </w:r>
      <w:r>
        <w:rPr>
          <w:rFonts w:hint="eastAsia"/>
          <w:bCs/>
        </w:rPr>
        <w:t>时为±</w:t>
      </w:r>
      <w:r>
        <w:rPr>
          <w:bCs/>
        </w:rPr>
        <w:t>0.25dB</w:t>
      </w:r>
    </w:p>
    <w:p>
      <w:pPr>
        <w:pStyle w:val="9"/>
        <w:spacing w:line="480" w:lineRule="exact"/>
        <w:ind w:left="0" w:firstLine="420" w:firstLineChars="200"/>
        <w:rPr>
          <w:bCs/>
        </w:rPr>
      </w:pPr>
      <w:r>
        <w:rPr>
          <w:bCs/>
        </w:rPr>
        <w:t></w:t>
      </w:r>
      <w:r>
        <w:rPr>
          <w:bCs/>
        </w:rPr>
        <w:tab/>
      </w:r>
      <w:r>
        <w:rPr>
          <w:rFonts w:hint="eastAsia"/>
          <w:bCs/>
        </w:rPr>
        <w:t>显示分辨率：</w:t>
      </w:r>
      <w:r>
        <w:rPr>
          <w:bCs/>
        </w:rPr>
        <w:t>0.01dB(0.001μW)</w:t>
      </w:r>
    </w:p>
    <w:p>
      <w:pPr>
        <w:pStyle w:val="9"/>
        <w:spacing w:line="480" w:lineRule="exact"/>
        <w:ind w:left="0" w:firstLine="420" w:firstLineChars="200"/>
        <w:rPr>
          <w:bCs/>
        </w:rPr>
      </w:pPr>
      <w:r>
        <w:rPr>
          <w:bCs/>
        </w:rPr>
        <w:t></w:t>
      </w:r>
      <w:r>
        <w:rPr>
          <w:bCs/>
        </w:rPr>
        <w:tab/>
      </w:r>
      <w:r>
        <w:rPr>
          <w:rFonts w:hint="eastAsia"/>
          <w:bCs/>
        </w:rPr>
        <w:t>探测器类型：锗（</w:t>
      </w:r>
      <w:r>
        <w:rPr>
          <w:bCs/>
        </w:rPr>
        <w:t>Ge</w:t>
      </w:r>
      <w:r>
        <w:rPr>
          <w:rFonts w:hint="eastAsia"/>
          <w:bCs/>
        </w:rPr>
        <w:t>）</w:t>
      </w:r>
    </w:p>
    <w:p>
      <w:pPr>
        <w:pStyle w:val="9"/>
        <w:spacing w:line="480" w:lineRule="exact"/>
        <w:ind w:left="0" w:firstLine="420" w:firstLineChars="200"/>
        <w:rPr>
          <w:bCs/>
        </w:rPr>
      </w:pPr>
      <w:r>
        <w:rPr>
          <w:bCs/>
        </w:rPr>
        <w:t></w:t>
      </w:r>
      <w:r>
        <w:rPr>
          <w:bCs/>
        </w:rPr>
        <w:tab/>
      </w:r>
      <w:r>
        <w:rPr>
          <w:rFonts w:hint="eastAsia"/>
          <w:bCs/>
        </w:rPr>
        <w:t>光纤接口：</w:t>
      </w:r>
      <w:r>
        <w:rPr>
          <w:bCs/>
        </w:rPr>
        <w:t>ST</w:t>
      </w:r>
    </w:p>
    <w:p>
      <w:pPr>
        <w:pStyle w:val="9"/>
        <w:spacing w:line="480" w:lineRule="exact"/>
        <w:ind w:left="0" w:firstLine="420" w:firstLineChars="200"/>
        <w:rPr>
          <w:bCs/>
        </w:rPr>
      </w:pPr>
      <w:r>
        <w:rPr>
          <w:bCs/>
        </w:rPr>
        <w:t></w:t>
      </w:r>
      <w:r>
        <w:rPr>
          <w:bCs/>
        </w:rPr>
        <w:tab/>
      </w:r>
      <w:r>
        <w:rPr>
          <w:rFonts w:hint="eastAsia"/>
          <w:bCs/>
        </w:rPr>
        <w:t>操作温度：</w:t>
      </w:r>
      <w:r>
        <w:rPr>
          <w:bCs/>
        </w:rPr>
        <w:t>0°C</w:t>
      </w:r>
      <w:r>
        <w:rPr>
          <w:rFonts w:hint="eastAsia"/>
          <w:bCs/>
        </w:rPr>
        <w:t>到</w:t>
      </w:r>
      <w:r>
        <w:rPr>
          <w:bCs/>
        </w:rPr>
        <w:t>+40°C</w:t>
      </w:r>
    </w:p>
    <w:p>
      <w:pPr>
        <w:pStyle w:val="9"/>
        <w:spacing w:line="480" w:lineRule="exact"/>
        <w:ind w:left="0" w:firstLine="420" w:firstLineChars="200"/>
        <w:rPr>
          <w:bCs/>
        </w:rPr>
      </w:pPr>
      <w:r>
        <w:rPr>
          <w:bCs/>
        </w:rPr>
        <w:t></w:t>
      </w:r>
      <w:r>
        <w:rPr>
          <w:bCs/>
        </w:rPr>
        <w:tab/>
      </w:r>
      <w:r>
        <w:rPr>
          <w:rFonts w:hint="eastAsia"/>
          <w:bCs/>
        </w:rPr>
        <w:t>存储温度：</w:t>
      </w:r>
      <w:r>
        <w:rPr>
          <w:bCs/>
        </w:rPr>
        <w:t>-20°C</w:t>
      </w:r>
      <w:r>
        <w:rPr>
          <w:rFonts w:hint="eastAsia"/>
          <w:bCs/>
        </w:rPr>
        <w:t>到</w:t>
      </w:r>
      <w:r>
        <w:rPr>
          <w:bCs/>
        </w:rPr>
        <w:t>+70°C</w:t>
      </w:r>
    </w:p>
    <w:p>
      <w:pPr>
        <w:pStyle w:val="9"/>
        <w:spacing w:line="480" w:lineRule="exact"/>
        <w:ind w:left="0" w:firstLine="420" w:firstLineChars="200"/>
        <w:rPr>
          <w:bCs/>
        </w:rPr>
      </w:pPr>
      <w:r>
        <w:rPr>
          <w:bCs/>
        </w:rPr>
        <w:t></w:t>
      </w:r>
      <w:r>
        <w:rPr>
          <w:bCs/>
        </w:rPr>
        <w:tab/>
      </w:r>
      <w:r>
        <w:rPr>
          <w:rFonts w:hint="eastAsia"/>
          <w:bCs/>
        </w:rPr>
        <w:t>供电时间：</w:t>
      </w:r>
      <w:r>
        <w:rPr>
          <w:bCs/>
        </w:rPr>
        <w:t>&gt;=90</w:t>
      </w:r>
      <w:r>
        <w:rPr>
          <w:rFonts w:hint="eastAsia"/>
          <w:bCs/>
        </w:rPr>
        <w:t>小时</w:t>
      </w:r>
    </w:p>
    <w:p>
      <w:pPr>
        <w:pStyle w:val="9"/>
        <w:spacing w:line="480" w:lineRule="exact"/>
        <w:ind w:left="0" w:firstLine="420" w:firstLineChars="200"/>
        <w:rPr>
          <w:bCs/>
        </w:rPr>
      </w:pPr>
      <w:r>
        <w:rPr>
          <w:rFonts w:hint="eastAsia"/>
          <w:bCs/>
        </w:rPr>
        <w:t xml:space="preserve"> 包括但不限于以下部件: FOS-850/1300，850nm和1300nm组合光源; DSP-FOM，光功率计; FOC-ST-ST，多模ST-ST光缆测试线; ST-ST适配器;仪器箱</w:t>
      </w:r>
    </w:p>
    <w:p>
      <w:pPr>
        <w:pStyle w:val="9"/>
        <w:spacing w:line="480" w:lineRule="exact"/>
        <w:ind w:left="0" w:firstLine="420" w:firstLineChars="200"/>
        <w:rPr>
          <w:bCs/>
        </w:rPr>
      </w:pPr>
      <w:r>
        <w:rPr>
          <w:rFonts w:hint="eastAsia"/>
          <w:bCs/>
        </w:rPr>
        <w:t>（4）红外线测温仪。（不少于3套）</w:t>
      </w:r>
    </w:p>
    <w:p>
      <w:pPr>
        <w:pStyle w:val="9"/>
        <w:spacing w:line="480" w:lineRule="exact"/>
        <w:ind w:left="0" w:firstLine="420" w:firstLineChars="200"/>
        <w:rPr>
          <w:bCs/>
        </w:rPr>
      </w:pPr>
      <w:r>
        <w:rPr>
          <w:rFonts w:hint="eastAsia"/>
          <w:bCs/>
        </w:rPr>
        <w:t>（5）蓄电池维护电源（不少于1套）</w:t>
      </w:r>
    </w:p>
    <w:p>
      <w:pPr>
        <w:pStyle w:val="9"/>
        <w:spacing w:line="480" w:lineRule="exact"/>
        <w:ind w:left="0" w:firstLine="420" w:firstLineChars="200"/>
        <w:rPr>
          <w:bCs/>
        </w:rPr>
      </w:pPr>
      <w:r>
        <w:rPr>
          <w:rFonts w:hint="eastAsia"/>
          <w:bCs/>
        </w:rPr>
        <w:t>投标人应根据上述供货范围报价。实际的供货数量和配置可能有所调整，最终的供货数量和配置在施工设计时确定。</w:t>
      </w:r>
    </w:p>
    <w:p>
      <w:pPr>
        <w:pStyle w:val="2"/>
        <w:spacing w:before="0" w:after="0" w:line="360" w:lineRule="auto"/>
        <w:ind w:left="794" w:hanging="794"/>
        <w:rPr>
          <w:rFonts w:ascii="宋体"/>
          <w:sz w:val="24"/>
        </w:rPr>
      </w:pPr>
      <w:bookmarkStart w:id="81" w:name="_Toc19512"/>
      <w:bookmarkStart w:id="82" w:name="_Toc110346787"/>
      <w:r>
        <w:rPr>
          <w:rFonts w:hint="eastAsia" w:ascii="宋体"/>
          <w:sz w:val="24"/>
        </w:rPr>
        <w:t>1</w:t>
      </w:r>
      <w:r>
        <w:rPr>
          <w:rFonts w:ascii="宋体"/>
          <w:sz w:val="24"/>
        </w:rPr>
        <w:t>4</w:t>
      </w:r>
      <w:r>
        <w:rPr>
          <w:rFonts w:hint="eastAsia" w:ascii="宋体"/>
          <w:sz w:val="24"/>
        </w:rPr>
        <w:t xml:space="preserve"> 与施工单位的界面</w:t>
      </w:r>
      <w:bookmarkEnd w:id="81"/>
      <w:bookmarkEnd w:id="82"/>
    </w:p>
    <w:p>
      <w:pPr>
        <w:pStyle w:val="3"/>
        <w:tabs>
          <w:tab w:val="left" w:pos="700"/>
        </w:tabs>
        <w:ind w:firstLine="212" w:firstLineChars="101"/>
        <w:rPr>
          <w:rFonts w:ascii="黑体" w:hAnsi="宋体"/>
          <w:b w:val="0"/>
          <w:bCs/>
          <w:color w:val="000000"/>
          <w:szCs w:val="32"/>
          <w:shd w:val="clear" w:color="auto" w:fill="FFFFFF"/>
        </w:rPr>
      </w:pPr>
      <w:bookmarkStart w:id="83" w:name="_Toc110346788"/>
      <w:bookmarkStart w:id="84" w:name="_Toc19681"/>
      <w:r>
        <w:rPr>
          <w:rFonts w:ascii="黑体" w:hAnsi="宋体"/>
          <w:b w:val="0"/>
          <w:bCs/>
          <w:color w:val="000000"/>
          <w:szCs w:val="32"/>
          <w:shd w:val="clear" w:color="auto" w:fill="FFFFFF"/>
        </w:rPr>
        <w:t>1</w:t>
      </w:r>
      <w:r>
        <w:rPr>
          <w:rFonts w:ascii="黑体"/>
          <w:b w:val="0"/>
          <w:bCs/>
          <w:szCs w:val="32"/>
        </w:rPr>
        <w:t>4</w:t>
      </w:r>
      <w:r>
        <w:rPr>
          <w:rFonts w:ascii="黑体" w:hAnsi="宋体"/>
          <w:b w:val="0"/>
          <w:bCs/>
          <w:color w:val="000000"/>
          <w:szCs w:val="32"/>
          <w:shd w:val="clear" w:color="auto" w:fill="FFFFFF"/>
        </w:rPr>
        <w:t>.1</w:t>
      </w:r>
      <w:r>
        <w:rPr>
          <w:rFonts w:hint="eastAsia" w:ascii="黑体" w:hAnsi="宋体"/>
          <w:b w:val="0"/>
          <w:bCs/>
          <w:color w:val="000000"/>
          <w:szCs w:val="32"/>
          <w:shd w:val="clear" w:color="auto" w:fill="FFFFFF"/>
        </w:rPr>
        <w:t>供货及施工范围</w:t>
      </w:r>
      <w:bookmarkEnd w:id="83"/>
      <w:bookmarkEnd w:id="84"/>
    </w:p>
    <w:p>
      <w:pPr>
        <w:tabs>
          <w:tab w:val="left" w:pos="0"/>
        </w:tabs>
        <w:spacing w:line="360" w:lineRule="auto"/>
        <w:ind w:firstLine="424" w:firstLineChars="202"/>
        <w:rPr>
          <w:rFonts w:ascii="宋体" w:hAnsi="宋体"/>
          <w:color w:val="000000"/>
          <w:szCs w:val="21"/>
          <w:shd w:val="clear" w:color="auto" w:fill="FFFFFF"/>
        </w:rPr>
      </w:pPr>
      <w:r>
        <w:rPr>
          <w:rFonts w:hint="eastAsia" w:ascii="宋体" w:hAnsi="宋体"/>
          <w:color w:val="000000"/>
          <w:szCs w:val="21"/>
          <w:shd w:val="clear" w:color="auto" w:fill="FFFFFF"/>
        </w:rPr>
        <w:t>投标人负责设备及线缆的供货，柜内设备的安装及柜内线缆的连接。</w:t>
      </w:r>
    </w:p>
    <w:p>
      <w:pPr>
        <w:tabs>
          <w:tab w:val="left" w:pos="0"/>
        </w:tabs>
        <w:spacing w:line="360" w:lineRule="auto"/>
        <w:ind w:firstLine="424" w:firstLineChars="202"/>
        <w:rPr>
          <w:rFonts w:ascii="宋体" w:hAnsi="宋体"/>
          <w:color w:val="000000"/>
          <w:szCs w:val="21"/>
          <w:shd w:val="clear" w:color="auto" w:fill="FFFFFF"/>
        </w:rPr>
      </w:pPr>
      <w:r>
        <w:rPr>
          <w:rFonts w:hint="eastAsia" w:ascii="宋体" w:hAnsi="宋体"/>
          <w:color w:val="000000"/>
          <w:szCs w:val="21"/>
          <w:shd w:val="clear" w:color="auto" w:fill="FFFFFF"/>
        </w:rPr>
        <w:t>施工单位负责上述供货范围内所涉及的设备机柜底座和管槽的供货、设备机柜及底座的安装、各类管线槽的敷设、防火封堵及线缆标识、装修恢复以及系统调试的配合工作。</w:t>
      </w:r>
    </w:p>
    <w:p>
      <w:pPr>
        <w:pStyle w:val="3"/>
        <w:tabs>
          <w:tab w:val="left" w:pos="700"/>
        </w:tabs>
        <w:ind w:firstLine="424" w:firstLineChars="202"/>
        <w:rPr>
          <w:rFonts w:ascii="黑体" w:hAnsi="宋体"/>
          <w:b w:val="0"/>
          <w:bCs/>
          <w:color w:val="000000"/>
          <w:szCs w:val="32"/>
          <w:shd w:val="clear" w:color="auto" w:fill="FFFFFF"/>
        </w:rPr>
      </w:pPr>
      <w:bookmarkStart w:id="85" w:name="_Toc25304"/>
      <w:bookmarkStart w:id="86" w:name="_Toc110346789"/>
      <w:r>
        <w:rPr>
          <w:rFonts w:hint="eastAsia" w:ascii="黑体"/>
          <w:b w:val="0"/>
          <w:bCs/>
          <w:szCs w:val="32"/>
        </w:rPr>
        <w:t>1</w:t>
      </w:r>
      <w:r>
        <w:rPr>
          <w:rFonts w:ascii="黑体"/>
          <w:b w:val="0"/>
          <w:bCs/>
          <w:szCs w:val="32"/>
        </w:rPr>
        <w:t>4.2</w:t>
      </w:r>
      <w:r>
        <w:rPr>
          <w:rFonts w:hint="eastAsia" w:ascii="黑体"/>
          <w:b w:val="0"/>
          <w:bCs/>
          <w:szCs w:val="32"/>
        </w:rPr>
        <w:t>UPS的安装界面划分</w:t>
      </w:r>
      <w:bookmarkEnd w:id="85"/>
      <w:bookmarkEnd w:id="86"/>
    </w:p>
    <w:p>
      <w:pPr>
        <w:tabs>
          <w:tab w:val="left" w:pos="0"/>
        </w:tabs>
        <w:spacing w:line="360" w:lineRule="auto"/>
        <w:ind w:firstLine="424" w:firstLineChars="202"/>
        <w:rPr>
          <w:rFonts w:ascii="宋体" w:hAnsi="宋体"/>
          <w:color w:val="000000"/>
          <w:szCs w:val="21"/>
          <w:shd w:val="clear" w:color="auto" w:fill="FFFFFF"/>
        </w:rPr>
      </w:pPr>
      <w:r>
        <w:rPr>
          <w:rFonts w:hint="eastAsia" w:ascii="宋体" w:hAnsi="宋体"/>
          <w:color w:val="000000"/>
          <w:szCs w:val="21"/>
          <w:shd w:val="clear" w:color="auto" w:fill="FFFFFF"/>
        </w:rPr>
        <w:t>投标人负责UPS取电对变电所开关柜的改造工作；</w:t>
      </w:r>
    </w:p>
    <w:p>
      <w:pPr>
        <w:tabs>
          <w:tab w:val="left" w:pos="0"/>
        </w:tabs>
        <w:spacing w:line="360" w:lineRule="auto"/>
        <w:ind w:firstLine="424" w:firstLineChars="202"/>
        <w:rPr>
          <w:rFonts w:ascii="宋体" w:hAnsi="宋体"/>
          <w:color w:val="000000"/>
          <w:szCs w:val="21"/>
          <w:shd w:val="clear" w:color="auto" w:fill="FFFFFF"/>
        </w:rPr>
      </w:pPr>
      <w:r>
        <w:rPr>
          <w:rFonts w:hint="eastAsia" w:ascii="宋体" w:hAnsi="宋体"/>
          <w:color w:val="000000"/>
          <w:szCs w:val="21"/>
          <w:shd w:val="clear" w:color="auto" w:fill="FFFFFF"/>
        </w:rPr>
        <w:t>施工单位负责供货范围内所涉及的设备机柜底座和管槽的供货、设备机柜及底座的安装、各类管线槽的敷设、防火封堵及线缆标识、装修恢复以及系统调试的配合工作。</w:t>
      </w:r>
    </w:p>
    <w:p>
      <w:pPr>
        <w:pStyle w:val="9"/>
        <w:spacing w:line="480" w:lineRule="exact"/>
        <w:ind w:left="0" w:firstLine="420" w:firstLineChars="200"/>
        <w:rPr>
          <w:bCs/>
        </w:rPr>
      </w:pPr>
    </w:p>
    <w:p>
      <w:pPr>
        <w:pStyle w:val="9"/>
        <w:spacing w:line="480" w:lineRule="exact"/>
        <w:ind w:left="0" w:firstLine="420" w:firstLineChars="200"/>
        <w:rPr>
          <w:bCs/>
        </w:rPr>
      </w:pPr>
    </w:p>
    <w:sectPr>
      <w:headerReference r:id="rId3" w:type="default"/>
      <w:footerReference r:id="rId4" w:type="default"/>
      <w:footerReference r:id="rId5" w:type="even"/>
      <w:pgSz w:w="11907" w:h="16840"/>
      <w:pgMar w:top="1418" w:right="1247" w:bottom="1418" w:left="1680" w:header="794" w:footer="794" w:gutter="0"/>
      <w:pgNumType w:start="1"/>
      <w:cols w:space="720" w:num="1"/>
      <w:titlePg/>
      <w:docGrid w:linePitch="33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瀹嬩綋">
    <w:altName w:val="宋体"/>
    <w:panose1 w:val="00000000000000000000"/>
    <w:charset w:val="86"/>
    <w:family w:val="roman"/>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framePr w:wrap="around" w:vAnchor="text" w:hAnchor="margin" w:xAlign="right" w:y="1"/>
      <w:rPr>
        <w:rStyle w:val="33"/>
      </w:rPr>
    </w:pPr>
    <w:r>
      <w:rPr>
        <w:rStyle w:val="33"/>
      </w:rPr>
      <w:fldChar w:fldCharType="begin"/>
    </w:r>
    <w:r>
      <w:rPr>
        <w:rStyle w:val="33"/>
      </w:rPr>
      <w:instrText xml:space="preserve">PAGE  </w:instrText>
    </w:r>
    <w:r>
      <w:rPr>
        <w:rStyle w:val="33"/>
      </w:rPr>
      <w:fldChar w:fldCharType="separate"/>
    </w:r>
    <w:r>
      <w:rPr>
        <w:rStyle w:val="33"/>
      </w:rPr>
      <w:t>16</w:t>
    </w:r>
    <w:r>
      <w:rPr>
        <w:rStyle w:val="33"/>
      </w:rPr>
      <w:fldChar w:fldCharType="end"/>
    </w:r>
  </w:p>
  <w:p>
    <w:pPr>
      <w:pStyle w:val="18"/>
      <w:ind w:right="36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framePr w:wrap="around" w:vAnchor="text" w:hAnchor="margin" w:xAlign="right" w:y="1"/>
      <w:rPr>
        <w:rStyle w:val="33"/>
      </w:rPr>
    </w:pPr>
    <w:r>
      <w:rPr>
        <w:rStyle w:val="33"/>
      </w:rPr>
      <w:fldChar w:fldCharType="begin"/>
    </w:r>
    <w:r>
      <w:rPr>
        <w:rStyle w:val="33"/>
      </w:rPr>
      <w:instrText xml:space="preserve">PAGE  </w:instrText>
    </w:r>
    <w:r>
      <w:rPr>
        <w:rStyle w:val="33"/>
      </w:rPr>
      <w:fldChar w:fldCharType="end"/>
    </w:r>
  </w:p>
  <w:p>
    <w:pPr>
      <w:pStyle w:val="18"/>
      <w:ind w:right="360"/>
      <w:jc w:val="center"/>
    </w:pPr>
    <w:r>
      <w:rPr>
        <w:sz w:val="20"/>
      </w:rPr>
      <mc:AlternateContent>
        <mc:Choice Requires="wps">
          <w:drawing>
            <wp:anchor distT="0" distB="0" distL="114300" distR="114300" simplePos="0" relativeHeight="251659264" behindDoc="0" locked="0" layoutInCell="1" allowOverlap="1">
              <wp:simplePos x="0" y="0"/>
              <wp:positionH relativeFrom="column">
                <wp:posOffset>1270</wp:posOffset>
              </wp:positionH>
              <wp:positionV relativeFrom="paragraph">
                <wp:posOffset>-112395</wp:posOffset>
              </wp:positionV>
              <wp:extent cx="5867400" cy="0"/>
              <wp:effectExtent l="0" t="0" r="19050" b="19050"/>
              <wp:wrapNone/>
              <wp:docPr id="1" name="Line 2"/>
              <wp:cNvGraphicFramePr/>
              <a:graphic xmlns:a="http://schemas.openxmlformats.org/drawingml/2006/main">
                <a:graphicData uri="http://schemas.microsoft.com/office/word/2010/wordprocessingShape">
                  <wps:wsp>
                    <wps:cNvCnPr>
                      <a:cxnSpLocks noChangeShapeType="1"/>
                    </wps:cNvCnPr>
                    <wps:spPr bwMode="auto">
                      <a:xfrm>
                        <a:off x="0" y="0"/>
                        <a:ext cx="5867400" cy="0"/>
                      </a:xfrm>
                      <a:prstGeom prst="line">
                        <a:avLst/>
                      </a:prstGeom>
                      <a:noFill/>
                      <a:ln w="9525">
                        <a:solidFill>
                          <a:srgbClr val="000000"/>
                        </a:solidFill>
                        <a:round/>
                      </a:ln>
                      <a:effectLst/>
                    </wps:spPr>
                    <wps:bodyPr/>
                  </wps:wsp>
                </a:graphicData>
              </a:graphic>
            </wp:anchor>
          </w:drawing>
        </mc:Choice>
        <mc:Fallback>
          <w:pict>
            <v:line id="Line 2" o:spid="_x0000_s1026" o:spt="20" style="position:absolute;left:0pt;margin-left:0.1pt;margin-top:-8.85pt;height:0pt;width:462pt;z-index:251659264;mso-width-relative:page;mso-height-relative:page;" filled="f" stroked="t" coordsize="21600,21600" o:gfxdata="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g1ouH1AAAAAgBAAAPAAAAAAAAAAEAIAAAACIAAABkcnMv&#10;ZG93bnJldi54bWxQSwECFAAUAAAACACHTuJAuvrGxc4BAACtAwAADgAAAAAAAAABACAAAAAjAQAA&#10;ZHJzL2Uyb0RvYy54bWxQSwUGAAAAAAYABgBZAQAAYwUAAAAA&#10;">
              <v:fill on="f" focussize="0,0"/>
              <v:stroke color="#000000" joinstyle="round"/>
              <v:imagedata o:title=""/>
              <o:lock v:ext="edit" aspectratio="f"/>
            </v:lin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jc w:val="right"/>
      <w:rPr>
        <w:rFonts w:ascii="微软雅黑" w:hAnsi="微软雅黑" w:eastAsia="微软雅黑"/>
      </w:rPr>
    </w:pPr>
    <w:r>
      <w:rPr>
        <w:rFonts w:hint="eastAsia"/>
      </w:rPr>
      <w:tab/>
    </w:r>
    <w:r>
      <w:rPr>
        <w:rFonts w:hint="eastAsia"/>
      </w:rPr>
      <w:t>工程概况及供货范围</w:t>
    </w:r>
  </w:p>
  <w:p>
    <w:pPr>
      <w:pStyle w:val="13"/>
      <w:ind w:firstLine="0" w:firstLineChars="0"/>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44C4DDF"/>
    <w:multiLevelType w:val="multilevel"/>
    <w:tmpl w:val="144C4DDF"/>
    <w:lvl w:ilvl="0" w:tentative="0">
      <w:start w:val="1"/>
      <w:numFmt w:val="bullet"/>
      <w:lvlText w:val=""/>
      <w:lvlJc w:val="left"/>
      <w:pPr>
        <w:ind w:left="1214" w:hanging="420"/>
      </w:pPr>
      <w:rPr>
        <w:rFonts w:hint="default" w:ascii="Wingdings" w:hAnsi="Wingdings"/>
      </w:rPr>
    </w:lvl>
    <w:lvl w:ilvl="1" w:tentative="0">
      <w:start w:val="1"/>
      <w:numFmt w:val="bullet"/>
      <w:lvlText w:val=""/>
      <w:lvlJc w:val="left"/>
      <w:pPr>
        <w:ind w:left="1634" w:hanging="420"/>
      </w:pPr>
      <w:rPr>
        <w:rFonts w:hint="default" w:ascii="Wingdings" w:hAnsi="Wingdings"/>
      </w:rPr>
    </w:lvl>
    <w:lvl w:ilvl="2" w:tentative="0">
      <w:start w:val="1"/>
      <w:numFmt w:val="bullet"/>
      <w:lvlText w:val=""/>
      <w:lvlJc w:val="left"/>
      <w:pPr>
        <w:ind w:left="2054" w:hanging="420"/>
      </w:pPr>
      <w:rPr>
        <w:rFonts w:hint="default" w:ascii="Wingdings" w:hAnsi="Wingdings"/>
      </w:rPr>
    </w:lvl>
    <w:lvl w:ilvl="3" w:tentative="0">
      <w:start w:val="1"/>
      <w:numFmt w:val="bullet"/>
      <w:lvlText w:val=""/>
      <w:lvlJc w:val="left"/>
      <w:pPr>
        <w:ind w:left="2474" w:hanging="420"/>
      </w:pPr>
      <w:rPr>
        <w:rFonts w:hint="default" w:ascii="Wingdings" w:hAnsi="Wingdings"/>
      </w:rPr>
    </w:lvl>
    <w:lvl w:ilvl="4" w:tentative="0">
      <w:start w:val="1"/>
      <w:numFmt w:val="bullet"/>
      <w:lvlText w:val=""/>
      <w:lvlJc w:val="left"/>
      <w:pPr>
        <w:ind w:left="2894" w:hanging="420"/>
      </w:pPr>
      <w:rPr>
        <w:rFonts w:hint="default" w:ascii="Wingdings" w:hAnsi="Wingdings"/>
      </w:rPr>
    </w:lvl>
    <w:lvl w:ilvl="5" w:tentative="0">
      <w:start w:val="1"/>
      <w:numFmt w:val="bullet"/>
      <w:lvlText w:val=""/>
      <w:lvlJc w:val="left"/>
      <w:pPr>
        <w:ind w:left="3314" w:hanging="420"/>
      </w:pPr>
      <w:rPr>
        <w:rFonts w:hint="default" w:ascii="Wingdings" w:hAnsi="Wingdings"/>
      </w:rPr>
    </w:lvl>
    <w:lvl w:ilvl="6" w:tentative="0">
      <w:start w:val="1"/>
      <w:numFmt w:val="bullet"/>
      <w:lvlText w:val=""/>
      <w:lvlJc w:val="left"/>
      <w:pPr>
        <w:ind w:left="3734" w:hanging="420"/>
      </w:pPr>
      <w:rPr>
        <w:rFonts w:hint="default" w:ascii="Wingdings" w:hAnsi="Wingdings"/>
      </w:rPr>
    </w:lvl>
    <w:lvl w:ilvl="7" w:tentative="0">
      <w:start w:val="1"/>
      <w:numFmt w:val="bullet"/>
      <w:lvlText w:val=""/>
      <w:lvlJc w:val="left"/>
      <w:pPr>
        <w:ind w:left="4154" w:hanging="420"/>
      </w:pPr>
      <w:rPr>
        <w:rFonts w:hint="default" w:ascii="Wingdings" w:hAnsi="Wingdings"/>
      </w:rPr>
    </w:lvl>
    <w:lvl w:ilvl="8" w:tentative="0">
      <w:start w:val="1"/>
      <w:numFmt w:val="bullet"/>
      <w:lvlText w:val=""/>
      <w:lvlJc w:val="left"/>
      <w:pPr>
        <w:ind w:left="4574" w:hanging="420"/>
      </w:pPr>
      <w:rPr>
        <w:rFonts w:hint="default" w:ascii="Wingdings" w:hAnsi="Wingdings"/>
      </w:rPr>
    </w:lvl>
  </w:abstractNum>
  <w:abstractNum w:abstractNumId="1">
    <w:nsid w:val="2C323427"/>
    <w:multiLevelType w:val="multilevel"/>
    <w:tmpl w:val="2C323427"/>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3DEE0817"/>
    <w:multiLevelType w:val="multilevel"/>
    <w:tmpl w:val="3DEE0817"/>
    <w:lvl w:ilvl="0" w:tentative="0">
      <w:start w:val="1"/>
      <w:numFmt w:val="bullet"/>
      <w:lvlText w:val=""/>
      <w:lvlJc w:val="left"/>
      <w:pPr>
        <w:ind w:left="1260" w:hanging="420"/>
      </w:pPr>
      <w:rPr>
        <w:rFonts w:hint="default" w:ascii="Wingdings" w:hAnsi="Wingdings"/>
      </w:rPr>
    </w:lvl>
    <w:lvl w:ilvl="1" w:tentative="0">
      <w:start w:val="1"/>
      <w:numFmt w:val="bullet"/>
      <w:lvlText w:val=""/>
      <w:lvlJc w:val="left"/>
      <w:pPr>
        <w:ind w:left="1680" w:hanging="420"/>
      </w:pPr>
      <w:rPr>
        <w:rFonts w:hint="default" w:ascii="Wingdings" w:hAnsi="Wingdings"/>
      </w:rPr>
    </w:lvl>
    <w:lvl w:ilvl="2" w:tentative="0">
      <w:start w:val="1"/>
      <w:numFmt w:val="bullet"/>
      <w:lvlText w:val=""/>
      <w:lvlJc w:val="left"/>
      <w:pPr>
        <w:ind w:left="2100" w:hanging="420"/>
      </w:pPr>
      <w:rPr>
        <w:rFonts w:hint="default" w:ascii="Wingdings" w:hAnsi="Wingdings"/>
      </w:rPr>
    </w:lvl>
    <w:lvl w:ilvl="3" w:tentative="0">
      <w:start w:val="1"/>
      <w:numFmt w:val="bullet"/>
      <w:lvlText w:val=""/>
      <w:lvlJc w:val="left"/>
      <w:pPr>
        <w:ind w:left="2520" w:hanging="420"/>
      </w:pPr>
      <w:rPr>
        <w:rFonts w:hint="default" w:ascii="Wingdings" w:hAnsi="Wingdings"/>
      </w:rPr>
    </w:lvl>
    <w:lvl w:ilvl="4" w:tentative="0">
      <w:start w:val="1"/>
      <w:numFmt w:val="bullet"/>
      <w:lvlText w:val=""/>
      <w:lvlJc w:val="left"/>
      <w:pPr>
        <w:ind w:left="2940" w:hanging="420"/>
      </w:pPr>
      <w:rPr>
        <w:rFonts w:hint="default" w:ascii="Wingdings" w:hAnsi="Wingdings"/>
      </w:rPr>
    </w:lvl>
    <w:lvl w:ilvl="5" w:tentative="0">
      <w:start w:val="1"/>
      <w:numFmt w:val="bullet"/>
      <w:lvlText w:val=""/>
      <w:lvlJc w:val="left"/>
      <w:pPr>
        <w:ind w:left="3360" w:hanging="420"/>
      </w:pPr>
      <w:rPr>
        <w:rFonts w:hint="default" w:ascii="Wingdings" w:hAnsi="Wingdings"/>
      </w:rPr>
    </w:lvl>
    <w:lvl w:ilvl="6" w:tentative="0">
      <w:start w:val="1"/>
      <w:numFmt w:val="bullet"/>
      <w:lvlText w:val=""/>
      <w:lvlJc w:val="left"/>
      <w:pPr>
        <w:ind w:left="3780" w:hanging="420"/>
      </w:pPr>
      <w:rPr>
        <w:rFonts w:hint="default" w:ascii="Wingdings" w:hAnsi="Wingdings"/>
      </w:rPr>
    </w:lvl>
    <w:lvl w:ilvl="7" w:tentative="0">
      <w:start w:val="1"/>
      <w:numFmt w:val="bullet"/>
      <w:lvlText w:val=""/>
      <w:lvlJc w:val="left"/>
      <w:pPr>
        <w:ind w:left="4200" w:hanging="420"/>
      </w:pPr>
      <w:rPr>
        <w:rFonts w:hint="default" w:ascii="Wingdings" w:hAnsi="Wingdings"/>
      </w:rPr>
    </w:lvl>
    <w:lvl w:ilvl="8" w:tentative="0">
      <w:start w:val="1"/>
      <w:numFmt w:val="bullet"/>
      <w:lvlText w:val=""/>
      <w:lvlJc w:val="left"/>
      <w:pPr>
        <w:ind w:left="4620" w:hanging="420"/>
      </w:pPr>
      <w:rPr>
        <w:rFonts w:hint="default" w:ascii="Wingdings" w:hAnsi="Wingdings"/>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NotDisplayPageBoundaries w:val="1"/>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RlNzZjM2JkMzA4OTU0MjMyYjJhMTEwNWM3MjE1NjYifQ=="/>
  </w:docVars>
  <w:rsids>
    <w:rsidRoot w:val="00527A3A"/>
    <w:rsid w:val="0000275D"/>
    <w:rsid w:val="000035E2"/>
    <w:rsid w:val="00005C05"/>
    <w:rsid w:val="000071AA"/>
    <w:rsid w:val="0001144C"/>
    <w:rsid w:val="00023387"/>
    <w:rsid w:val="00026D03"/>
    <w:rsid w:val="00026D1A"/>
    <w:rsid w:val="00031C45"/>
    <w:rsid w:val="00034681"/>
    <w:rsid w:val="00043F06"/>
    <w:rsid w:val="00044021"/>
    <w:rsid w:val="00045E36"/>
    <w:rsid w:val="000462CA"/>
    <w:rsid w:val="00051EA5"/>
    <w:rsid w:val="00057822"/>
    <w:rsid w:val="00064569"/>
    <w:rsid w:val="000648D1"/>
    <w:rsid w:val="000713FE"/>
    <w:rsid w:val="00073BC1"/>
    <w:rsid w:val="000746AF"/>
    <w:rsid w:val="0007478E"/>
    <w:rsid w:val="0007677A"/>
    <w:rsid w:val="00084CC7"/>
    <w:rsid w:val="00085ADA"/>
    <w:rsid w:val="00095B08"/>
    <w:rsid w:val="000A4AB3"/>
    <w:rsid w:val="000A7679"/>
    <w:rsid w:val="000C45AE"/>
    <w:rsid w:val="000D2445"/>
    <w:rsid w:val="000D5719"/>
    <w:rsid w:val="000D5852"/>
    <w:rsid w:val="000E32CC"/>
    <w:rsid w:val="000F00CE"/>
    <w:rsid w:val="000F1F18"/>
    <w:rsid w:val="000F28E8"/>
    <w:rsid w:val="000F5D54"/>
    <w:rsid w:val="000F63D1"/>
    <w:rsid w:val="00100B07"/>
    <w:rsid w:val="001026FA"/>
    <w:rsid w:val="00110746"/>
    <w:rsid w:val="00112A63"/>
    <w:rsid w:val="00114D77"/>
    <w:rsid w:val="00116F06"/>
    <w:rsid w:val="001215C0"/>
    <w:rsid w:val="00130C03"/>
    <w:rsid w:val="001346A3"/>
    <w:rsid w:val="00136B05"/>
    <w:rsid w:val="00142DC8"/>
    <w:rsid w:val="001512D1"/>
    <w:rsid w:val="00156A44"/>
    <w:rsid w:val="00172049"/>
    <w:rsid w:val="001730F2"/>
    <w:rsid w:val="00180FD3"/>
    <w:rsid w:val="0018117B"/>
    <w:rsid w:val="00182B34"/>
    <w:rsid w:val="00185F8A"/>
    <w:rsid w:val="001861B0"/>
    <w:rsid w:val="00193A78"/>
    <w:rsid w:val="001A00DF"/>
    <w:rsid w:val="001A66B7"/>
    <w:rsid w:val="001B74FE"/>
    <w:rsid w:val="001C04C9"/>
    <w:rsid w:val="001C3393"/>
    <w:rsid w:val="001C5399"/>
    <w:rsid w:val="001D1037"/>
    <w:rsid w:val="001D2F09"/>
    <w:rsid w:val="001D45F1"/>
    <w:rsid w:val="001E0B06"/>
    <w:rsid w:val="001E1D9C"/>
    <w:rsid w:val="001E4F8E"/>
    <w:rsid w:val="001E7FFA"/>
    <w:rsid w:val="001F19F9"/>
    <w:rsid w:val="001F73D8"/>
    <w:rsid w:val="0020738F"/>
    <w:rsid w:val="002077B2"/>
    <w:rsid w:val="00207ACD"/>
    <w:rsid w:val="00210E59"/>
    <w:rsid w:val="00220751"/>
    <w:rsid w:val="00221DAD"/>
    <w:rsid w:val="0022581F"/>
    <w:rsid w:val="00242A08"/>
    <w:rsid w:val="00250A92"/>
    <w:rsid w:val="00263A12"/>
    <w:rsid w:val="0026739B"/>
    <w:rsid w:val="0027107E"/>
    <w:rsid w:val="00272309"/>
    <w:rsid w:val="00273156"/>
    <w:rsid w:val="002736DA"/>
    <w:rsid w:val="00276714"/>
    <w:rsid w:val="0028055D"/>
    <w:rsid w:val="00284A12"/>
    <w:rsid w:val="00286103"/>
    <w:rsid w:val="00292298"/>
    <w:rsid w:val="00292E5B"/>
    <w:rsid w:val="0029390B"/>
    <w:rsid w:val="00293F4C"/>
    <w:rsid w:val="002A0052"/>
    <w:rsid w:val="002A5C64"/>
    <w:rsid w:val="002B47F4"/>
    <w:rsid w:val="002B5248"/>
    <w:rsid w:val="002B61A9"/>
    <w:rsid w:val="002C3468"/>
    <w:rsid w:val="002C53AC"/>
    <w:rsid w:val="002D01C7"/>
    <w:rsid w:val="002E0E51"/>
    <w:rsid w:val="002E0FBE"/>
    <w:rsid w:val="002E182D"/>
    <w:rsid w:val="002E4E91"/>
    <w:rsid w:val="002E53C4"/>
    <w:rsid w:val="002E7FD5"/>
    <w:rsid w:val="002F0D2F"/>
    <w:rsid w:val="002F3D22"/>
    <w:rsid w:val="002F65F1"/>
    <w:rsid w:val="00305CFE"/>
    <w:rsid w:val="00306C76"/>
    <w:rsid w:val="0031162E"/>
    <w:rsid w:val="00312FAB"/>
    <w:rsid w:val="003265E2"/>
    <w:rsid w:val="00326753"/>
    <w:rsid w:val="00342E62"/>
    <w:rsid w:val="003478B8"/>
    <w:rsid w:val="00347AD2"/>
    <w:rsid w:val="00351020"/>
    <w:rsid w:val="00365046"/>
    <w:rsid w:val="00366786"/>
    <w:rsid w:val="00367473"/>
    <w:rsid w:val="003674C5"/>
    <w:rsid w:val="00371AEC"/>
    <w:rsid w:val="003742E7"/>
    <w:rsid w:val="00374FD0"/>
    <w:rsid w:val="00377A3B"/>
    <w:rsid w:val="00381C8E"/>
    <w:rsid w:val="00384C68"/>
    <w:rsid w:val="0038507A"/>
    <w:rsid w:val="0038772F"/>
    <w:rsid w:val="00394D0E"/>
    <w:rsid w:val="00395DD7"/>
    <w:rsid w:val="00396AB0"/>
    <w:rsid w:val="003A4755"/>
    <w:rsid w:val="003C071B"/>
    <w:rsid w:val="003C569F"/>
    <w:rsid w:val="003D2014"/>
    <w:rsid w:val="003D5CB6"/>
    <w:rsid w:val="003D6014"/>
    <w:rsid w:val="003D66DF"/>
    <w:rsid w:val="003E1106"/>
    <w:rsid w:val="003E4FE1"/>
    <w:rsid w:val="003E6897"/>
    <w:rsid w:val="003E6967"/>
    <w:rsid w:val="003E6DDD"/>
    <w:rsid w:val="003E7805"/>
    <w:rsid w:val="003F005C"/>
    <w:rsid w:val="003F25A2"/>
    <w:rsid w:val="003F5AE0"/>
    <w:rsid w:val="003F7C19"/>
    <w:rsid w:val="00402FC5"/>
    <w:rsid w:val="00404087"/>
    <w:rsid w:val="00406C4A"/>
    <w:rsid w:val="004070B9"/>
    <w:rsid w:val="00412E4A"/>
    <w:rsid w:val="00413DCB"/>
    <w:rsid w:val="00420062"/>
    <w:rsid w:val="00427672"/>
    <w:rsid w:val="00432B26"/>
    <w:rsid w:val="0043411C"/>
    <w:rsid w:val="00441084"/>
    <w:rsid w:val="004447F7"/>
    <w:rsid w:val="00445E8A"/>
    <w:rsid w:val="00445EA4"/>
    <w:rsid w:val="00447C41"/>
    <w:rsid w:val="00450818"/>
    <w:rsid w:val="0046404F"/>
    <w:rsid w:val="00465F99"/>
    <w:rsid w:val="00466A23"/>
    <w:rsid w:val="004852BA"/>
    <w:rsid w:val="00485A72"/>
    <w:rsid w:val="0049194A"/>
    <w:rsid w:val="0049217A"/>
    <w:rsid w:val="004A4EF6"/>
    <w:rsid w:val="004A4FE7"/>
    <w:rsid w:val="004A5D8F"/>
    <w:rsid w:val="004B2D11"/>
    <w:rsid w:val="004B4732"/>
    <w:rsid w:val="004C66C1"/>
    <w:rsid w:val="004D633F"/>
    <w:rsid w:val="004D6440"/>
    <w:rsid w:val="004E21F8"/>
    <w:rsid w:val="004E293E"/>
    <w:rsid w:val="004E3B10"/>
    <w:rsid w:val="004E58B0"/>
    <w:rsid w:val="004E7321"/>
    <w:rsid w:val="004E76C0"/>
    <w:rsid w:val="004F67E6"/>
    <w:rsid w:val="004F6935"/>
    <w:rsid w:val="004F7FC7"/>
    <w:rsid w:val="005013FF"/>
    <w:rsid w:val="005040DB"/>
    <w:rsid w:val="005044F0"/>
    <w:rsid w:val="00505B20"/>
    <w:rsid w:val="00513A95"/>
    <w:rsid w:val="00522DE0"/>
    <w:rsid w:val="005275ED"/>
    <w:rsid w:val="00527A3A"/>
    <w:rsid w:val="005403D8"/>
    <w:rsid w:val="00542504"/>
    <w:rsid w:val="00543CA7"/>
    <w:rsid w:val="005466A7"/>
    <w:rsid w:val="00551383"/>
    <w:rsid w:val="00555E70"/>
    <w:rsid w:val="00561ACC"/>
    <w:rsid w:val="00565953"/>
    <w:rsid w:val="00574E53"/>
    <w:rsid w:val="00575354"/>
    <w:rsid w:val="005760B7"/>
    <w:rsid w:val="00583C69"/>
    <w:rsid w:val="005846A4"/>
    <w:rsid w:val="005930EF"/>
    <w:rsid w:val="00594F95"/>
    <w:rsid w:val="005A135E"/>
    <w:rsid w:val="005A2B66"/>
    <w:rsid w:val="005A2D8F"/>
    <w:rsid w:val="005A378D"/>
    <w:rsid w:val="005A4F1A"/>
    <w:rsid w:val="005A73F5"/>
    <w:rsid w:val="005B09F7"/>
    <w:rsid w:val="005B66C9"/>
    <w:rsid w:val="005C57D1"/>
    <w:rsid w:val="005C5F8A"/>
    <w:rsid w:val="005C6E0D"/>
    <w:rsid w:val="005D28D8"/>
    <w:rsid w:val="005D51E9"/>
    <w:rsid w:val="005D7F78"/>
    <w:rsid w:val="005E0A6F"/>
    <w:rsid w:val="005E50BA"/>
    <w:rsid w:val="005F3545"/>
    <w:rsid w:val="00600601"/>
    <w:rsid w:val="0060262D"/>
    <w:rsid w:val="00604E37"/>
    <w:rsid w:val="006060D5"/>
    <w:rsid w:val="00611B1F"/>
    <w:rsid w:val="00626869"/>
    <w:rsid w:val="00632614"/>
    <w:rsid w:val="00634095"/>
    <w:rsid w:val="0064641A"/>
    <w:rsid w:val="006512FF"/>
    <w:rsid w:val="006605E0"/>
    <w:rsid w:val="00660F58"/>
    <w:rsid w:val="00662252"/>
    <w:rsid w:val="00665EA5"/>
    <w:rsid w:val="00666266"/>
    <w:rsid w:val="0066722E"/>
    <w:rsid w:val="00677934"/>
    <w:rsid w:val="00681F26"/>
    <w:rsid w:val="00683646"/>
    <w:rsid w:val="006933B6"/>
    <w:rsid w:val="00696F99"/>
    <w:rsid w:val="006A598A"/>
    <w:rsid w:val="006A5B7C"/>
    <w:rsid w:val="006C03A4"/>
    <w:rsid w:val="006C1174"/>
    <w:rsid w:val="006C6660"/>
    <w:rsid w:val="006C7881"/>
    <w:rsid w:val="006D1FB3"/>
    <w:rsid w:val="006E3905"/>
    <w:rsid w:val="006F19DC"/>
    <w:rsid w:val="006F6282"/>
    <w:rsid w:val="0070135E"/>
    <w:rsid w:val="007030BA"/>
    <w:rsid w:val="0070502A"/>
    <w:rsid w:val="007052B8"/>
    <w:rsid w:val="00714818"/>
    <w:rsid w:val="0073084F"/>
    <w:rsid w:val="00733A26"/>
    <w:rsid w:val="0073720C"/>
    <w:rsid w:val="007373CB"/>
    <w:rsid w:val="00746C9F"/>
    <w:rsid w:val="007527AD"/>
    <w:rsid w:val="007550F1"/>
    <w:rsid w:val="007573E6"/>
    <w:rsid w:val="00757685"/>
    <w:rsid w:val="00763172"/>
    <w:rsid w:val="00766422"/>
    <w:rsid w:val="007666A1"/>
    <w:rsid w:val="00772F1A"/>
    <w:rsid w:val="007765F5"/>
    <w:rsid w:val="0078378D"/>
    <w:rsid w:val="00793FB2"/>
    <w:rsid w:val="00796A0C"/>
    <w:rsid w:val="007A0F7E"/>
    <w:rsid w:val="007B1795"/>
    <w:rsid w:val="007B3AF4"/>
    <w:rsid w:val="007B46DF"/>
    <w:rsid w:val="007B493C"/>
    <w:rsid w:val="007C44A9"/>
    <w:rsid w:val="007C6629"/>
    <w:rsid w:val="007C74DD"/>
    <w:rsid w:val="007F341A"/>
    <w:rsid w:val="007F42D0"/>
    <w:rsid w:val="007F4449"/>
    <w:rsid w:val="008057E7"/>
    <w:rsid w:val="00806FB9"/>
    <w:rsid w:val="00807F1E"/>
    <w:rsid w:val="00811CB8"/>
    <w:rsid w:val="008155F8"/>
    <w:rsid w:val="008210E9"/>
    <w:rsid w:val="0082182F"/>
    <w:rsid w:val="00830A9C"/>
    <w:rsid w:val="00833AF5"/>
    <w:rsid w:val="008369F8"/>
    <w:rsid w:val="00840F66"/>
    <w:rsid w:val="00843A86"/>
    <w:rsid w:val="00846DC5"/>
    <w:rsid w:val="00856064"/>
    <w:rsid w:val="0087447B"/>
    <w:rsid w:val="00874F3D"/>
    <w:rsid w:val="008755B3"/>
    <w:rsid w:val="00877BBC"/>
    <w:rsid w:val="0089006C"/>
    <w:rsid w:val="008917B8"/>
    <w:rsid w:val="0089283E"/>
    <w:rsid w:val="00893A4C"/>
    <w:rsid w:val="00894225"/>
    <w:rsid w:val="008A3EFC"/>
    <w:rsid w:val="008B08B8"/>
    <w:rsid w:val="008B3F76"/>
    <w:rsid w:val="008C3509"/>
    <w:rsid w:val="008C397A"/>
    <w:rsid w:val="008C5095"/>
    <w:rsid w:val="008C73A4"/>
    <w:rsid w:val="008C7F5C"/>
    <w:rsid w:val="008D0D87"/>
    <w:rsid w:val="008D234D"/>
    <w:rsid w:val="008D4093"/>
    <w:rsid w:val="008E2689"/>
    <w:rsid w:val="008E4556"/>
    <w:rsid w:val="008F1E3D"/>
    <w:rsid w:val="008F70F5"/>
    <w:rsid w:val="00911B05"/>
    <w:rsid w:val="00916434"/>
    <w:rsid w:val="00916494"/>
    <w:rsid w:val="00917A94"/>
    <w:rsid w:val="00920AEE"/>
    <w:rsid w:val="00924140"/>
    <w:rsid w:val="009274ED"/>
    <w:rsid w:val="00927929"/>
    <w:rsid w:val="00930B93"/>
    <w:rsid w:val="009317A0"/>
    <w:rsid w:val="00932496"/>
    <w:rsid w:val="009336D4"/>
    <w:rsid w:val="0094008D"/>
    <w:rsid w:val="00941165"/>
    <w:rsid w:val="00941E59"/>
    <w:rsid w:val="00944A7C"/>
    <w:rsid w:val="00947280"/>
    <w:rsid w:val="00947AE0"/>
    <w:rsid w:val="00950C20"/>
    <w:rsid w:val="00953C73"/>
    <w:rsid w:val="00954ED4"/>
    <w:rsid w:val="00955D23"/>
    <w:rsid w:val="00961FA2"/>
    <w:rsid w:val="0096609B"/>
    <w:rsid w:val="00973D64"/>
    <w:rsid w:val="009835E1"/>
    <w:rsid w:val="009849A3"/>
    <w:rsid w:val="00987A61"/>
    <w:rsid w:val="009A0232"/>
    <w:rsid w:val="009A3A30"/>
    <w:rsid w:val="009A571E"/>
    <w:rsid w:val="009A6B3E"/>
    <w:rsid w:val="009A6BF8"/>
    <w:rsid w:val="009A72DE"/>
    <w:rsid w:val="009A7736"/>
    <w:rsid w:val="009B266F"/>
    <w:rsid w:val="009B3EDF"/>
    <w:rsid w:val="009B76E7"/>
    <w:rsid w:val="009B7990"/>
    <w:rsid w:val="009C0E08"/>
    <w:rsid w:val="009C1CFB"/>
    <w:rsid w:val="009C3962"/>
    <w:rsid w:val="009C6D65"/>
    <w:rsid w:val="009D1985"/>
    <w:rsid w:val="009D3E31"/>
    <w:rsid w:val="009E095E"/>
    <w:rsid w:val="009E16CD"/>
    <w:rsid w:val="00A01E62"/>
    <w:rsid w:val="00A02D69"/>
    <w:rsid w:val="00A03B3A"/>
    <w:rsid w:val="00A047B4"/>
    <w:rsid w:val="00A079D2"/>
    <w:rsid w:val="00A117D1"/>
    <w:rsid w:val="00A121BF"/>
    <w:rsid w:val="00A12408"/>
    <w:rsid w:val="00A1372D"/>
    <w:rsid w:val="00A17335"/>
    <w:rsid w:val="00A2351D"/>
    <w:rsid w:val="00A247BC"/>
    <w:rsid w:val="00A24CA9"/>
    <w:rsid w:val="00A30C59"/>
    <w:rsid w:val="00A3237C"/>
    <w:rsid w:val="00A339E4"/>
    <w:rsid w:val="00A36245"/>
    <w:rsid w:val="00A37B76"/>
    <w:rsid w:val="00A567D2"/>
    <w:rsid w:val="00A5742F"/>
    <w:rsid w:val="00A66F51"/>
    <w:rsid w:val="00A70FF4"/>
    <w:rsid w:val="00A752F4"/>
    <w:rsid w:val="00A75AD2"/>
    <w:rsid w:val="00A76156"/>
    <w:rsid w:val="00A7676F"/>
    <w:rsid w:val="00A810E3"/>
    <w:rsid w:val="00A82B13"/>
    <w:rsid w:val="00A85830"/>
    <w:rsid w:val="00A90471"/>
    <w:rsid w:val="00A94286"/>
    <w:rsid w:val="00A94B3C"/>
    <w:rsid w:val="00A94F40"/>
    <w:rsid w:val="00A95B56"/>
    <w:rsid w:val="00AA2BD7"/>
    <w:rsid w:val="00AA52DC"/>
    <w:rsid w:val="00AA6111"/>
    <w:rsid w:val="00AC253D"/>
    <w:rsid w:val="00AC35C2"/>
    <w:rsid w:val="00AC3A2E"/>
    <w:rsid w:val="00AC6881"/>
    <w:rsid w:val="00AD4C05"/>
    <w:rsid w:val="00AD7BB3"/>
    <w:rsid w:val="00AE4CF8"/>
    <w:rsid w:val="00AE5890"/>
    <w:rsid w:val="00AF0B07"/>
    <w:rsid w:val="00AF4423"/>
    <w:rsid w:val="00AF4BE5"/>
    <w:rsid w:val="00AF7D37"/>
    <w:rsid w:val="00B0406B"/>
    <w:rsid w:val="00B04161"/>
    <w:rsid w:val="00B057F9"/>
    <w:rsid w:val="00B12B55"/>
    <w:rsid w:val="00B13893"/>
    <w:rsid w:val="00B166BB"/>
    <w:rsid w:val="00B16B7E"/>
    <w:rsid w:val="00B17B00"/>
    <w:rsid w:val="00B21ADC"/>
    <w:rsid w:val="00B2206F"/>
    <w:rsid w:val="00B241D6"/>
    <w:rsid w:val="00B26EBC"/>
    <w:rsid w:val="00B306E7"/>
    <w:rsid w:val="00B33A31"/>
    <w:rsid w:val="00B603A0"/>
    <w:rsid w:val="00B60D14"/>
    <w:rsid w:val="00B61166"/>
    <w:rsid w:val="00B64C84"/>
    <w:rsid w:val="00B653F9"/>
    <w:rsid w:val="00B66486"/>
    <w:rsid w:val="00B67B2E"/>
    <w:rsid w:val="00B7308C"/>
    <w:rsid w:val="00B73429"/>
    <w:rsid w:val="00B902FE"/>
    <w:rsid w:val="00B92C10"/>
    <w:rsid w:val="00B975B7"/>
    <w:rsid w:val="00B97AE9"/>
    <w:rsid w:val="00BA3483"/>
    <w:rsid w:val="00BA54EA"/>
    <w:rsid w:val="00BB3F4E"/>
    <w:rsid w:val="00BC2925"/>
    <w:rsid w:val="00BC4744"/>
    <w:rsid w:val="00BD228A"/>
    <w:rsid w:val="00BD6D1F"/>
    <w:rsid w:val="00BE3398"/>
    <w:rsid w:val="00BE7BCA"/>
    <w:rsid w:val="00BF29BB"/>
    <w:rsid w:val="00BF3ADE"/>
    <w:rsid w:val="00BF5A13"/>
    <w:rsid w:val="00BF5C1C"/>
    <w:rsid w:val="00C01B49"/>
    <w:rsid w:val="00C05B17"/>
    <w:rsid w:val="00C10677"/>
    <w:rsid w:val="00C155FC"/>
    <w:rsid w:val="00C161FA"/>
    <w:rsid w:val="00C33AF2"/>
    <w:rsid w:val="00C4661C"/>
    <w:rsid w:val="00C47A60"/>
    <w:rsid w:val="00C62B8D"/>
    <w:rsid w:val="00C6542B"/>
    <w:rsid w:val="00C71C29"/>
    <w:rsid w:val="00C76315"/>
    <w:rsid w:val="00C86D33"/>
    <w:rsid w:val="00C8777F"/>
    <w:rsid w:val="00C919BC"/>
    <w:rsid w:val="00CA0707"/>
    <w:rsid w:val="00CA7C5C"/>
    <w:rsid w:val="00CA7DCB"/>
    <w:rsid w:val="00CB1606"/>
    <w:rsid w:val="00CB3E34"/>
    <w:rsid w:val="00CB5F51"/>
    <w:rsid w:val="00CC12E2"/>
    <w:rsid w:val="00CC565F"/>
    <w:rsid w:val="00CC63C8"/>
    <w:rsid w:val="00CD0B74"/>
    <w:rsid w:val="00CD4EBC"/>
    <w:rsid w:val="00CE3B86"/>
    <w:rsid w:val="00CF4D01"/>
    <w:rsid w:val="00D01371"/>
    <w:rsid w:val="00D03968"/>
    <w:rsid w:val="00D0688F"/>
    <w:rsid w:val="00D12CA3"/>
    <w:rsid w:val="00D24449"/>
    <w:rsid w:val="00D259B3"/>
    <w:rsid w:val="00D46481"/>
    <w:rsid w:val="00D473C7"/>
    <w:rsid w:val="00D51D04"/>
    <w:rsid w:val="00D54D2C"/>
    <w:rsid w:val="00D61DA8"/>
    <w:rsid w:val="00D62BB1"/>
    <w:rsid w:val="00D71C3B"/>
    <w:rsid w:val="00D7511A"/>
    <w:rsid w:val="00D826F5"/>
    <w:rsid w:val="00D86148"/>
    <w:rsid w:val="00D965BE"/>
    <w:rsid w:val="00DA244E"/>
    <w:rsid w:val="00DA37CE"/>
    <w:rsid w:val="00DA4D2B"/>
    <w:rsid w:val="00DA6FCA"/>
    <w:rsid w:val="00DA7CEB"/>
    <w:rsid w:val="00DB045E"/>
    <w:rsid w:val="00DB145D"/>
    <w:rsid w:val="00DB1F54"/>
    <w:rsid w:val="00DB5692"/>
    <w:rsid w:val="00DB7368"/>
    <w:rsid w:val="00DC041C"/>
    <w:rsid w:val="00DC1EE1"/>
    <w:rsid w:val="00DD5BB8"/>
    <w:rsid w:val="00DE1230"/>
    <w:rsid w:val="00DE12EC"/>
    <w:rsid w:val="00DF4358"/>
    <w:rsid w:val="00DF7C01"/>
    <w:rsid w:val="00E0358C"/>
    <w:rsid w:val="00E055B5"/>
    <w:rsid w:val="00E10D76"/>
    <w:rsid w:val="00E20707"/>
    <w:rsid w:val="00E2257B"/>
    <w:rsid w:val="00E22F1C"/>
    <w:rsid w:val="00E23BFE"/>
    <w:rsid w:val="00E258AD"/>
    <w:rsid w:val="00E2680B"/>
    <w:rsid w:val="00E268A5"/>
    <w:rsid w:val="00E306C1"/>
    <w:rsid w:val="00E30EEF"/>
    <w:rsid w:val="00E368C8"/>
    <w:rsid w:val="00E37113"/>
    <w:rsid w:val="00E4136A"/>
    <w:rsid w:val="00E41F88"/>
    <w:rsid w:val="00E468DE"/>
    <w:rsid w:val="00E53D8F"/>
    <w:rsid w:val="00E567AA"/>
    <w:rsid w:val="00E5690E"/>
    <w:rsid w:val="00E56CEE"/>
    <w:rsid w:val="00E606D1"/>
    <w:rsid w:val="00E639BA"/>
    <w:rsid w:val="00E65FA0"/>
    <w:rsid w:val="00E6609C"/>
    <w:rsid w:val="00E67254"/>
    <w:rsid w:val="00E704F9"/>
    <w:rsid w:val="00E71264"/>
    <w:rsid w:val="00E72204"/>
    <w:rsid w:val="00E80C50"/>
    <w:rsid w:val="00E832E4"/>
    <w:rsid w:val="00E8388C"/>
    <w:rsid w:val="00E8624D"/>
    <w:rsid w:val="00E9028D"/>
    <w:rsid w:val="00E92A25"/>
    <w:rsid w:val="00E93178"/>
    <w:rsid w:val="00E962AA"/>
    <w:rsid w:val="00EA4C09"/>
    <w:rsid w:val="00EA6CA9"/>
    <w:rsid w:val="00EB2023"/>
    <w:rsid w:val="00EC5C6B"/>
    <w:rsid w:val="00ED0261"/>
    <w:rsid w:val="00ED2107"/>
    <w:rsid w:val="00ED4AA3"/>
    <w:rsid w:val="00ED5179"/>
    <w:rsid w:val="00ED710C"/>
    <w:rsid w:val="00EF2B04"/>
    <w:rsid w:val="00EF499C"/>
    <w:rsid w:val="00F14573"/>
    <w:rsid w:val="00F150BC"/>
    <w:rsid w:val="00F1580C"/>
    <w:rsid w:val="00F15F7C"/>
    <w:rsid w:val="00F166C7"/>
    <w:rsid w:val="00F171F0"/>
    <w:rsid w:val="00F41D52"/>
    <w:rsid w:val="00F4355F"/>
    <w:rsid w:val="00F50BAA"/>
    <w:rsid w:val="00F5674E"/>
    <w:rsid w:val="00F62717"/>
    <w:rsid w:val="00F70E71"/>
    <w:rsid w:val="00F72AFD"/>
    <w:rsid w:val="00F757C7"/>
    <w:rsid w:val="00F76888"/>
    <w:rsid w:val="00F77542"/>
    <w:rsid w:val="00F8120B"/>
    <w:rsid w:val="00F827B0"/>
    <w:rsid w:val="00F84694"/>
    <w:rsid w:val="00F84FE2"/>
    <w:rsid w:val="00F85BB9"/>
    <w:rsid w:val="00F87798"/>
    <w:rsid w:val="00F908DD"/>
    <w:rsid w:val="00F928BC"/>
    <w:rsid w:val="00F95929"/>
    <w:rsid w:val="00F96927"/>
    <w:rsid w:val="00FA12FC"/>
    <w:rsid w:val="00FA4F1B"/>
    <w:rsid w:val="00FB4B34"/>
    <w:rsid w:val="00FB7148"/>
    <w:rsid w:val="00FC3915"/>
    <w:rsid w:val="00FC496A"/>
    <w:rsid w:val="00FF5816"/>
    <w:rsid w:val="01087AEE"/>
    <w:rsid w:val="019E4D0F"/>
    <w:rsid w:val="01AF67B0"/>
    <w:rsid w:val="02447828"/>
    <w:rsid w:val="026D7F82"/>
    <w:rsid w:val="03783C18"/>
    <w:rsid w:val="03B23B2F"/>
    <w:rsid w:val="059C3B47"/>
    <w:rsid w:val="05BD0C21"/>
    <w:rsid w:val="06750BB8"/>
    <w:rsid w:val="067F1D7A"/>
    <w:rsid w:val="06CC2878"/>
    <w:rsid w:val="06D15CD4"/>
    <w:rsid w:val="079A39AB"/>
    <w:rsid w:val="07F12200"/>
    <w:rsid w:val="085C3F7F"/>
    <w:rsid w:val="08600E4C"/>
    <w:rsid w:val="089E6FF5"/>
    <w:rsid w:val="08A13C26"/>
    <w:rsid w:val="08EC7292"/>
    <w:rsid w:val="09077801"/>
    <w:rsid w:val="0A6C09DE"/>
    <w:rsid w:val="0A792D0F"/>
    <w:rsid w:val="0B8D5682"/>
    <w:rsid w:val="0B9D0478"/>
    <w:rsid w:val="0BB124BD"/>
    <w:rsid w:val="0CA43BEA"/>
    <w:rsid w:val="0CF462EF"/>
    <w:rsid w:val="0D924ACA"/>
    <w:rsid w:val="0DB22432"/>
    <w:rsid w:val="0EAD1375"/>
    <w:rsid w:val="0ED463D8"/>
    <w:rsid w:val="0F156190"/>
    <w:rsid w:val="10EE68F3"/>
    <w:rsid w:val="11857070"/>
    <w:rsid w:val="123E7130"/>
    <w:rsid w:val="12637676"/>
    <w:rsid w:val="12766598"/>
    <w:rsid w:val="13502BCD"/>
    <w:rsid w:val="138D36B4"/>
    <w:rsid w:val="139C3B0D"/>
    <w:rsid w:val="14094498"/>
    <w:rsid w:val="16081CBF"/>
    <w:rsid w:val="16600D3F"/>
    <w:rsid w:val="170C78CC"/>
    <w:rsid w:val="1710560B"/>
    <w:rsid w:val="177E7BBC"/>
    <w:rsid w:val="17C747C6"/>
    <w:rsid w:val="17E867DC"/>
    <w:rsid w:val="18560BF7"/>
    <w:rsid w:val="18F03DA2"/>
    <w:rsid w:val="18F12DF1"/>
    <w:rsid w:val="19BF4D8A"/>
    <w:rsid w:val="1AAD074E"/>
    <w:rsid w:val="1AD77C54"/>
    <w:rsid w:val="1BB74087"/>
    <w:rsid w:val="1CC83701"/>
    <w:rsid w:val="1CE0488E"/>
    <w:rsid w:val="1E693DBB"/>
    <w:rsid w:val="1FAB390C"/>
    <w:rsid w:val="207A0783"/>
    <w:rsid w:val="20E92292"/>
    <w:rsid w:val="22060D3A"/>
    <w:rsid w:val="22883251"/>
    <w:rsid w:val="22E91FFA"/>
    <w:rsid w:val="23721D67"/>
    <w:rsid w:val="23C1405A"/>
    <w:rsid w:val="251E163C"/>
    <w:rsid w:val="253A204E"/>
    <w:rsid w:val="259A23C8"/>
    <w:rsid w:val="25CE5A82"/>
    <w:rsid w:val="268A0559"/>
    <w:rsid w:val="2944750D"/>
    <w:rsid w:val="295C700A"/>
    <w:rsid w:val="297726E5"/>
    <w:rsid w:val="2A07249C"/>
    <w:rsid w:val="2A1A224A"/>
    <w:rsid w:val="2B720882"/>
    <w:rsid w:val="2B7D5E3F"/>
    <w:rsid w:val="2BC0772D"/>
    <w:rsid w:val="2BDD45AC"/>
    <w:rsid w:val="2C186396"/>
    <w:rsid w:val="2C6939B2"/>
    <w:rsid w:val="2CA67921"/>
    <w:rsid w:val="2CDF425A"/>
    <w:rsid w:val="2D1E5293"/>
    <w:rsid w:val="2EE074E8"/>
    <w:rsid w:val="2F171674"/>
    <w:rsid w:val="2FAE42E5"/>
    <w:rsid w:val="30B95354"/>
    <w:rsid w:val="30F3435C"/>
    <w:rsid w:val="310B75DF"/>
    <w:rsid w:val="310F6DE2"/>
    <w:rsid w:val="313F65CC"/>
    <w:rsid w:val="31407842"/>
    <w:rsid w:val="31556BA1"/>
    <w:rsid w:val="31CA2C24"/>
    <w:rsid w:val="32923E24"/>
    <w:rsid w:val="32B03A6C"/>
    <w:rsid w:val="32DC6F70"/>
    <w:rsid w:val="331C6B11"/>
    <w:rsid w:val="33623D88"/>
    <w:rsid w:val="33B0492C"/>
    <w:rsid w:val="348507B2"/>
    <w:rsid w:val="351D08BE"/>
    <w:rsid w:val="357C6FD0"/>
    <w:rsid w:val="35D85FE0"/>
    <w:rsid w:val="36941E25"/>
    <w:rsid w:val="36F3029A"/>
    <w:rsid w:val="3801798E"/>
    <w:rsid w:val="3A7C208B"/>
    <w:rsid w:val="3A8E5120"/>
    <w:rsid w:val="3BC50F18"/>
    <w:rsid w:val="3BDD5E8E"/>
    <w:rsid w:val="3C3148EE"/>
    <w:rsid w:val="3CCB1F11"/>
    <w:rsid w:val="3CD202E8"/>
    <w:rsid w:val="3D1E2C58"/>
    <w:rsid w:val="3D386AE9"/>
    <w:rsid w:val="3D5E1541"/>
    <w:rsid w:val="3DDD2303"/>
    <w:rsid w:val="3EB33199"/>
    <w:rsid w:val="3EFD2736"/>
    <w:rsid w:val="3F31058A"/>
    <w:rsid w:val="3FEA0C1C"/>
    <w:rsid w:val="3FF15085"/>
    <w:rsid w:val="414447B0"/>
    <w:rsid w:val="423E7498"/>
    <w:rsid w:val="42C03DE6"/>
    <w:rsid w:val="45B10D80"/>
    <w:rsid w:val="45E346FD"/>
    <w:rsid w:val="46522B63"/>
    <w:rsid w:val="471B3072"/>
    <w:rsid w:val="477352F4"/>
    <w:rsid w:val="47AF7670"/>
    <w:rsid w:val="48484C47"/>
    <w:rsid w:val="48E76CCE"/>
    <w:rsid w:val="49076D34"/>
    <w:rsid w:val="498B601B"/>
    <w:rsid w:val="49B0634A"/>
    <w:rsid w:val="4A1C2911"/>
    <w:rsid w:val="4AC46D25"/>
    <w:rsid w:val="4AC66CA8"/>
    <w:rsid w:val="4B1920C0"/>
    <w:rsid w:val="4B2B6413"/>
    <w:rsid w:val="4BB42DD8"/>
    <w:rsid w:val="4BF24AF5"/>
    <w:rsid w:val="4C2A6C2E"/>
    <w:rsid w:val="4C533289"/>
    <w:rsid w:val="4DAD1062"/>
    <w:rsid w:val="4E126DCA"/>
    <w:rsid w:val="4E266182"/>
    <w:rsid w:val="4E2A66B4"/>
    <w:rsid w:val="4E445544"/>
    <w:rsid w:val="4F5C545F"/>
    <w:rsid w:val="510C0A9C"/>
    <w:rsid w:val="514B603D"/>
    <w:rsid w:val="51526C68"/>
    <w:rsid w:val="51FC6317"/>
    <w:rsid w:val="52174AA4"/>
    <w:rsid w:val="53B23BF2"/>
    <w:rsid w:val="53BB6CED"/>
    <w:rsid w:val="5402139C"/>
    <w:rsid w:val="54267131"/>
    <w:rsid w:val="548A4B3B"/>
    <w:rsid w:val="55614B61"/>
    <w:rsid w:val="559F031C"/>
    <w:rsid w:val="55C637A7"/>
    <w:rsid w:val="55D74A9B"/>
    <w:rsid w:val="56091A90"/>
    <w:rsid w:val="562C7A4D"/>
    <w:rsid w:val="56B440F1"/>
    <w:rsid w:val="58D85863"/>
    <w:rsid w:val="59440C82"/>
    <w:rsid w:val="594B45A8"/>
    <w:rsid w:val="5A871B1D"/>
    <w:rsid w:val="5AC02E70"/>
    <w:rsid w:val="5ACE77FC"/>
    <w:rsid w:val="5C515F3F"/>
    <w:rsid w:val="5CD32E18"/>
    <w:rsid w:val="5CF64305"/>
    <w:rsid w:val="5CFF7589"/>
    <w:rsid w:val="5DD82D54"/>
    <w:rsid w:val="5DDC30B8"/>
    <w:rsid w:val="5E1D61D9"/>
    <w:rsid w:val="5E2E298E"/>
    <w:rsid w:val="5E782FD6"/>
    <w:rsid w:val="5F5A15AE"/>
    <w:rsid w:val="5F806C88"/>
    <w:rsid w:val="60724CBF"/>
    <w:rsid w:val="61E745EA"/>
    <w:rsid w:val="622A2E3D"/>
    <w:rsid w:val="62B13E00"/>
    <w:rsid w:val="62CC781C"/>
    <w:rsid w:val="63261F05"/>
    <w:rsid w:val="632A5B96"/>
    <w:rsid w:val="639B0F03"/>
    <w:rsid w:val="63C03A54"/>
    <w:rsid w:val="642E6B65"/>
    <w:rsid w:val="64CC7D8B"/>
    <w:rsid w:val="64FF2E2C"/>
    <w:rsid w:val="65716229"/>
    <w:rsid w:val="65D45837"/>
    <w:rsid w:val="6659405D"/>
    <w:rsid w:val="666E0046"/>
    <w:rsid w:val="67992987"/>
    <w:rsid w:val="68547FBF"/>
    <w:rsid w:val="6931525A"/>
    <w:rsid w:val="696D0B3C"/>
    <w:rsid w:val="6AB26428"/>
    <w:rsid w:val="6AD06BC8"/>
    <w:rsid w:val="6B0B1E30"/>
    <w:rsid w:val="6B0F5943"/>
    <w:rsid w:val="6CB73B9C"/>
    <w:rsid w:val="6CD2239B"/>
    <w:rsid w:val="6CD600CE"/>
    <w:rsid w:val="6D2154B9"/>
    <w:rsid w:val="6D933B64"/>
    <w:rsid w:val="6DD604D4"/>
    <w:rsid w:val="6E290240"/>
    <w:rsid w:val="6E7D38E2"/>
    <w:rsid w:val="6F082DD5"/>
    <w:rsid w:val="6FCB05CC"/>
    <w:rsid w:val="6FFF05D2"/>
    <w:rsid w:val="70556571"/>
    <w:rsid w:val="70757FF6"/>
    <w:rsid w:val="70DB5E22"/>
    <w:rsid w:val="713E64BA"/>
    <w:rsid w:val="72D80115"/>
    <w:rsid w:val="72FE6FAD"/>
    <w:rsid w:val="73473A39"/>
    <w:rsid w:val="7369469F"/>
    <w:rsid w:val="73BB11E4"/>
    <w:rsid w:val="73D21E3A"/>
    <w:rsid w:val="73D634A1"/>
    <w:rsid w:val="746E713D"/>
    <w:rsid w:val="74EC606A"/>
    <w:rsid w:val="7534570D"/>
    <w:rsid w:val="75727D09"/>
    <w:rsid w:val="763D0EF8"/>
    <w:rsid w:val="76606A22"/>
    <w:rsid w:val="76613D18"/>
    <w:rsid w:val="76BA1035"/>
    <w:rsid w:val="78775B5C"/>
    <w:rsid w:val="78A1729C"/>
    <w:rsid w:val="792866E3"/>
    <w:rsid w:val="798169E0"/>
    <w:rsid w:val="7A9A5729"/>
    <w:rsid w:val="7BA7095F"/>
    <w:rsid w:val="7BDA3A42"/>
    <w:rsid w:val="7BF5256F"/>
    <w:rsid w:val="7C0604FE"/>
    <w:rsid w:val="7F261A57"/>
    <w:rsid w:val="7F327BC1"/>
    <w:rsid w:val="7F94122B"/>
    <w:rsid w:val="7FA5056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nhideWhenUsed="0" w:uiPriority="0" w:semiHidden="0" w:name="footnote text"/>
    <w:lsdException w:qFormat="1" w:uiPriority="99"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99"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iPriority="99"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kern w:val="44"/>
      <w:sz w:val="44"/>
      <w:szCs w:val="20"/>
    </w:rPr>
  </w:style>
  <w:style w:type="paragraph" w:styleId="3">
    <w:name w:val="heading 2"/>
    <w:basedOn w:val="1"/>
    <w:next w:val="4"/>
    <w:link w:val="45"/>
    <w:qFormat/>
    <w:uiPriority w:val="0"/>
    <w:pPr>
      <w:keepNext/>
      <w:keepLines/>
      <w:spacing w:line="360" w:lineRule="auto"/>
      <w:outlineLvl w:val="1"/>
    </w:pPr>
    <w:rPr>
      <w:rFonts w:ascii="Arial" w:hAnsi="Arial" w:eastAsia="黑体"/>
      <w:b/>
      <w:szCs w:val="20"/>
    </w:rPr>
  </w:style>
  <w:style w:type="paragraph" w:styleId="5">
    <w:name w:val="heading 3"/>
    <w:basedOn w:val="1"/>
    <w:next w:val="1"/>
    <w:link w:val="47"/>
    <w:qFormat/>
    <w:uiPriority w:val="0"/>
    <w:pPr>
      <w:keepNext/>
      <w:keepLines/>
      <w:spacing w:line="360" w:lineRule="auto"/>
      <w:outlineLvl w:val="2"/>
    </w:pPr>
    <w:rPr>
      <w:rFonts w:hAnsi="宋体"/>
      <w:b/>
      <w:szCs w:val="20"/>
    </w:rPr>
  </w:style>
  <w:style w:type="character" w:default="1" w:styleId="32">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4">
    <w:name w:val="Normal Indent"/>
    <w:basedOn w:val="1"/>
    <w:link w:val="40"/>
    <w:qFormat/>
    <w:uiPriority w:val="0"/>
    <w:pPr>
      <w:spacing w:line="360" w:lineRule="auto"/>
      <w:ind w:firstLine="420"/>
    </w:pPr>
    <w:rPr>
      <w:sz w:val="24"/>
      <w:szCs w:val="20"/>
    </w:rPr>
  </w:style>
  <w:style w:type="paragraph" w:styleId="6">
    <w:name w:val="toc 7"/>
    <w:basedOn w:val="1"/>
    <w:next w:val="1"/>
    <w:qFormat/>
    <w:uiPriority w:val="39"/>
    <w:pPr>
      <w:ind w:left="1260"/>
      <w:jc w:val="left"/>
    </w:pPr>
    <w:rPr>
      <w:szCs w:val="21"/>
    </w:rPr>
  </w:style>
  <w:style w:type="paragraph" w:styleId="7">
    <w:name w:val="Document Map"/>
    <w:basedOn w:val="1"/>
    <w:semiHidden/>
    <w:qFormat/>
    <w:uiPriority w:val="0"/>
    <w:pPr>
      <w:shd w:val="clear" w:color="auto" w:fill="000080"/>
    </w:pPr>
  </w:style>
  <w:style w:type="paragraph" w:styleId="8">
    <w:name w:val="annotation text"/>
    <w:basedOn w:val="1"/>
    <w:link w:val="42"/>
    <w:unhideWhenUsed/>
    <w:qFormat/>
    <w:uiPriority w:val="99"/>
    <w:pPr>
      <w:jc w:val="left"/>
    </w:pPr>
  </w:style>
  <w:style w:type="paragraph" w:styleId="9">
    <w:name w:val="Body Text Indent"/>
    <w:basedOn w:val="1"/>
    <w:qFormat/>
    <w:uiPriority w:val="0"/>
    <w:pPr>
      <w:snapToGrid w:val="0"/>
      <w:spacing w:line="360" w:lineRule="auto"/>
      <w:ind w:left="794"/>
    </w:pPr>
    <w:rPr>
      <w:rFonts w:ascii="宋体"/>
      <w:szCs w:val="20"/>
    </w:rPr>
  </w:style>
  <w:style w:type="paragraph" w:styleId="10">
    <w:name w:val="List Bullet 2"/>
    <w:basedOn w:val="1"/>
    <w:qFormat/>
    <w:uiPriority w:val="0"/>
    <w:pPr>
      <w:tabs>
        <w:tab w:val="left" w:pos="780"/>
      </w:tabs>
      <w:adjustRightInd w:val="0"/>
      <w:spacing w:line="312" w:lineRule="atLeast"/>
      <w:textAlignment w:val="baseline"/>
    </w:pPr>
    <w:rPr>
      <w:kern w:val="0"/>
      <w:szCs w:val="20"/>
    </w:rPr>
  </w:style>
  <w:style w:type="paragraph" w:styleId="11">
    <w:name w:val="toc 5"/>
    <w:basedOn w:val="1"/>
    <w:next w:val="1"/>
    <w:qFormat/>
    <w:uiPriority w:val="39"/>
    <w:pPr>
      <w:ind w:left="840"/>
      <w:jc w:val="left"/>
    </w:pPr>
    <w:rPr>
      <w:szCs w:val="21"/>
    </w:rPr>
  </w:style>
  <w:style w:type="paragraph" w:styleId="12">
    <w:name w:val="toc 3"/>
    <w:basedOn w:val="1"/>
    <w:next w:val="1"/>
    <w:qFormat/>
    <w:uiPriority w:val="39"/>
    <w:pPr>
      <w:tabs>
        <w:tab w:val="left" w:pos="1680"/>
        <w:tab w:val="right" w:leader="dot" w:pos="8820"/>
      </w:tabs>
      <w:ind w:left="420"/>
      <w:jc w:val="left"/>
    </w:pPr>
    <w:rPr>
      <w:rFonts w:ascii="宋体" w:hAnsi="宋体" w:cs="宋体"/>
      <w:iCs/>
      <w:szCs w:val="21"/>
    </w:rPr>
  </w:style>
  <w:style w:type="paragraph" w:styleId="13">
    <w:name w:val="Plain Text"/>
    <w:basedOn w:val="1"/>
    <w:link w:val="43"/>
    <w:qFormat/>
    <w:uiPriority w:val="0"/>
    <w:pPr>
      <w:spacing w:line="360" w:lineRule="auto"/>
      <w:ind w:firstLine="200" w:firstLineChars="200"/>
    </w:pPr>
    <w:rPr>
      <w:rFonts w:ascii="宋体" w:hAnsi="Courier New" w:cs="Courier New"/>
      <w:szCs w:val="21"/>
    </w:rPr>
  </w:style>
  <w:style w:type="paragraph" w:styleId="14">
    <w:name w:val="List Bullet 5"/>
    <w:basedOn w:val="1"/>
    <w:qFormat/>
    <w:uiPriority w:val="0"/>
    <w:pPr>
      <w:tabs>
        <w:tab w:val="left" w:pos="2040"/>
      </w:tabs>
      <w:adjustRightInd w:val="0"/>
      <w:spacing w:line="312" w:lineRule="atLeast"/>
      <w:textAlignment w:val="baseline"/>
    </w:pPr>
    <w:rPr>
      <w:kern w:val="0"/>
      <w:szCs w:val="20"/>
    </w:rPr>
  </w:style>
  <w:style w:type="paragraph" w:styleId="15">
    <w:name w:val="toc 8"/>
    <w:basedOn w:val="1"/>
    <w:next w:val="1"/>
    <w:qFormat/>
    <w:uiPriority w:val="39"/>
    <w:pPr>
      <w:ind w:left="1470"/>
      <w:jc w:val="left"/>
    </w:pPr>
    <w:rPr>
      <w:szCs w:val="21"/>
    </w:rPr>
  </w:style>
  <w:style w:type="paragraph" w:styleId="16">
    <w:name w:val="Body Text Indent 2"/>
    <w:basedOn w:val="1"/>
    <w:qFormat/>
    <w:uiPriority w:val="0"/>
    <w:pPr>
      <w:spacing w:line="360" w:lineRule="auto"/>
      <w:ind w:firstLine="540"/>
    </w:pPr>
    <w:rPr>
      <w:rFonts w:ascii="宋体"/>
      <w:sz w:val="24"/>
      <w:szCs w:val="20"/>
    </w:rPr>
  </w:style>
  <w:style w:type="paragraph" w:styleId="17">
    <w:name w:val="Balloon Text"/>
    <w:basedOn w:val="1"/>
    <w:semiHidden/>
    <w:qFormat/>
    <w:uiPriority w:val="0"/>
    <w:rPr>
      <w:sz w:val="18"/>
      <w:szCs w:val="18"/>
    </w:rPr>
  </w:style>
  <w:style w:type="paragraph" w:styleId="18">
    <w:name w:val="footer"/>
    <w:basedOn w:val="1"/>
    <w:qFormat/>
    <w:uiPriority w:val="0"/>
    <w:pPr>
      <w:tabs>
        <w:tab w:val="center" w:pos="4153"/>
        <w:tab w:val="right" w:pos="8306"/>
      </w:tabs>
      <w:snapToGrid w:val="0"/>
      <w:jc w:val="left"/>
    </w:pPr>
    <w:rPr>
      <w:sz w:val="18"/>
      <w:szCs w:val="20"/>
    </w:rPr>
  </w:style>
  <w:style w:type="paragraph" w:styleId="19">
    <w:name w:val="header"/>
    <w:basedOn w:val="1"/>
    <w:link w:val="39"/>
    <w:qFormat/>
    <w:uiPriority w:val="99"/>
    <w:pPr>
      <w:pBdr>
        <w:bottom w:val="single" w:color="auto" w:sz="6" w:space="1"/>
      </w:pBdr>
      <w:tabs>
        <w:tab w:val="center" w:pos="4153"/>
        <w:tab w:val="right" w:pos="8306"/>
      </w:tabs>
      <w:snapToGrid w:val="0"/>
      <w:jc w:val="center"/>
    </w:pPr>
    <w:rPr>
      <w:sz w:val="18"/>
      <w:szCs w:val="20"/>
    </w:rPr>
  </w:style>
  <w:style w:type="paragraph" w:styleId="20">
    <w:name w:val="toc 1"/>
    <w:basedOn w:val="1"/>
    <w:next w:val="1"/>
    <w:qFormat/>
    <w:uiPriority w:val="39"/>
    <w:pPr>
      <w:tabs>
        <w:tab w:val="left" w:pos="840"/>
        <w:tab w:val="right" w:leader="dot" w:pos="8820"/>
      </w:tabs>
      <w:spacing w:before="120" w:after="120"/>
      <w:jc w:val="left"/>
    </w:pPr>
    <w:rPr>
      <w:rFonts w:ascii="宋体" w:hAnsi="宋体" w:cs="宋体"/>
      <w:szCs w:val="21"/>
    </w:rPr>
  </w:style>
  <w:style w:type="paragraph" w:styleId="21">
    <w:name w:val="toc 4"/>
    <w:basedOn w:val="1"/>
    <w:next w:val="1"/>
    <w:qFormat/>
    <w:uiPriority w:val="39"/>
    <w:pPr>
      <w:ind w:left="630"/>
      <w:jc w:val="left"/>
    </w:pPr>
    <w:rPr>
      <w:szCs w:val="21"/>
    </w:rPr>
  </w:style>
  <w:style w:type="paragraph" w:styleId="22">
    <w:name w:val="Subtitle"/>
    <w:basedOn w:val="1"/>
    <w:qFormat/>
    <w:uiPriority w:val="0"/>
    <w:pPr>
      <w:widowControl/>
      <w:spacing w:before="120" w:after="120"/>
      <w:jc w:val="center"/>
    </w:pPr>
    <w:rPr>
      <w:rFonts w:ascii="Arial" w:hAnsi="Arial"/>
      <w:b/>
      <w:caps/>
      <w:kern w:val="0"/>
      <w:sz w:val="40"/>
      <w:szCs w:val="20"/>
      <w:lang w:val="en-GB" w:eastAsia="en-US"/>
    </w:rPr>
  </w:style>
  <w:style w:type="paragraph" w:styleId="23">
    <w:name w:val="toc 6"/>
    <w:basedOn w:val="1"/>
    <w:next w:val="1"/>
    <w:qFormat/>
    <w:uiPriority w:val="39"/>
    <w:pPr>
      <w:ind w:left="1050"/>
      <w:jc w:val="left"/>
    </w:pPr>
    <w:rPr>
      <w:szCs w:val="21"/>
    </w:rPr>
  </w:style>
  <w:style w:type="paragraph" w:styleId="24">
    <w:name w:val="Body Text Indent 3"/>
    <w:basedOn w:val="1"/>
    <w:qFormat/>
    <w:uiPriority w:val="0"/>
    <w:pPr>
      <w:spacing w:line="360" w:lineRule="auto"/>
      <w:ind w:firstLine="480"/>
    </w:pPr>
    <w:rPr>
      <w:sz w:val="24"/>
      <w:szCs w:val="20"/>
    </w:rPr>
  </w:style>
  <w:style w:type="paragraph" w:styleId="25">
    <w:name w:val="toc 2"/>
    <w:basedOn w:val="1"/>
    <w:next w:val="1"/>
    <w:qFormat/>
    <w:uiPriority w:val="39"/>
    <w:pPr>
      <w:tabs>
        <w:tab w:val="left" w:pos="1260"/>
        <w:tab w:val="right" w:leader="dot" w:pos="8820"/>
      </w:tabs>
      <w:ind w:left="210"/>
      <w:jc w:val="left"/>
    </w:pPr>
    <w:rPr>
      <w:rFonts w:ascii="宋体"/>
      <w:smallCaps/>
      <w:szCs w:val="21"/>
    </w:rPr>
  </w:style>
  <w:style w:type="paragraph" w:styleId="26">
    <w:name w:val="toc 9"/>
    <w:basedOn w:val="1"/>
    <w:next w:val="1"/>
    <w:qFormat/>
    <w:uiPriority w:val="39"/>
    <w:pPr>
      <w:ind w:left="1680"/>
      <w:jc w:val="left"/>
    </w:pPr>
    <w:rPr>
      <w:szCs w:val="21"/>
    </w:rPr>
  </w:style>
  <w:style w:type="paragraph" w:styleId="27">
    <w:name w:val="Body Text 2"/>
    <w:basedOn w:val="1"/>
    <w:qFormat/>
    <w:uiPriority w:val="0"/>
    <w:pPr>
      <w:spacing w:line="360" w:lineRule="auto"/>
    </w:pPr>
    <w:rPr>
      <w:color w:val="0000FF"/>
      <w:sz w:val="24"/>
      <w:szCs w:val="20"/>
    </w:rPr>
  </w:style>
  <w:style w:type="paragraph" w:styleId="28">
    <w:name w:val="annotation subject"/>
    <w:basedOn w:val="8"/>
    <w:next w:val="8"/>
    <w:link w:val="44"/>
    <w:qFormat/>
    <w:uiPriority w:val="0"/>
    <w:rPr>
      <w:b/>
      <w:bCs/>
    </w:rPr>
  </w:style>
  <w:style w:type="table" w:styleId="30">
    <w:name w:val="Table Grid"/>
    <w:basedOn w:val="2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31">
    <w:name w:val="Table Theme"/>
    <w:basedOn w:val="2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page number"/>
    <w:basedOn w:val="32"/>
    <w:qFormat/>
    <w:uiPriority w:val="0"/>
  </w:style>
  <w:style w:type="character" w:styleId="34">
    <w:name w:val="FollowedHyperlink"/>
    <w:basedOn w:val="32"/>
    <w:unhideWhenUsed/>
    <w:qFormat/>
    <w:uiPriority w:val="99"/>
    <w:rPr>
      <w:color w:val="800080"/>
      <w:u w:val="single"/>
    </w:rPr>
  </w:style>
  <w:style w:type="character" w:styleId="35">
    <w:name w:val="Hyperlink"/>
    <w:qFormat/>
    <w:uiPriority w:val="99"/>
    <w:rPr>
      <w:color w:val="0000FF"/>
      <w:u w:val="single"/>
    </w:rPr>
  </w:style>
  <w:style w:type="character" w:styleId="36">
    <w:name w:val="annotation reference"/>
    <w:unhideWhenUsed/>
    <w:qFormat/>
    <w:uiPriority w:val="99"/>
    <w:rPr>
      <w:sz w:val="21"/>
      <w:szCs w:val="21"/>
    </w:rPr>
  </w:style>
  <w:style w:type="paragraph" w:customStyle="1" w:styleId="37">
    <w:name w:val="项目符号1"/>
    <w:basedOn w:val="1"/>
    <w:qFormat/>
    <w:uiPriority w:val="0"/>
    <w:pPr>
      <w:tabs>
        <w:tab w:val="left" w:pos="1758"/>
      </w:tabs>
      <w:ind w:left="1758" w:hanging="454"/>
    </w:pPr>
    <w:rPr>
      <w:szCs w:val="20"/>
    </w:rPr>
  </w:style>
  <w:style w:type="paragraph" w:customStyle="1" w:styleId="38">
    <w:name w:val="正文文本1"/>
    <w:qFormat/>
    <w:uiPriority w:val="0"/>
    <w:pPr>
      <w:widowControl w:val="0"/>
      <w:autoSpaceDE w:val="0"/>
      <w:autoSpaceDN w:val="0"/>
      <w:adjustRightInd w:val="0"/>
      <w:spacing w:before="170" w:line="300" w:lineRule="atLeast"/>
      <w:ind w:left="1134"/>
      <w:jc w:val="both"/>
    </w:pPr>
    <w:rPr>
      <w:rFonts w:ascii="Times New Roman" w:hAnsi="Times New Roman" w:eastAsia="宋体" w:cs="Times New Roman"/>
      <w:color w:val="000000"/>
      <w:sz w:val="24"/>
      <w:lang w:val="en-US" w:eastAsia="zh-CN" w:bidi="ar-SA"/>
    </w:rPr>
  </w:style>
  <w:style w:type="character" w:customStyle="1" w:styleId="39">
    <w:name w:val="页眉 字符"/>
    <w:link w:val="19"/>
    <w:qFormat/>
    <w:uiPriority w:val="99"/>
    <w:rPr>
      <w:kern w:val="2"/>
      <w:sz w:val="18"/>
    </w:rPr>
  </w:style>
  <w:style w:type="character" w:customStyle="1" w:styleId="40">
    <w:name w:val="正文缩进 字符"/>
    <w:link w:val="4"/>
    <w:qFormat/>
    <w:uiPriority w:val="0"/>
    <w:rPr>
      <w:kern w:val="2"/>
      <w:sz w:val="24"/>
    </w:rPr>
  </w:style>
  <w:style w:type="paragraph" w:customStyle="1" w:styleId="41">
    <w:name w:val="Titre 2 lignes module"/>
    <w:basedOn w:val="1"/>
    <w:qFormat/>
    <w:uiPriority w:val="0"/>
    <w:pPr>
      <w:widowControl/>
      <w:spacing w:before="120"/>
      <w:jc w:val="center"/>
    </w:pPr>
    <w:rPr>
      <w:rFonts w:ascii="Arial" w:hAnsi="Arial"/>
      <w:b/>
      <w:kern w:val="0"/>
      <w:sz w:val="24"/>
      <w:szCs w:val="20"/>
      <w:lang w:eastAsia="fr-FR"/>
    </w:rPr>
  </w:style>
  <w:style w:type="character" w:customStyle="1" w:styleId="42">
    <w:name w:val="批注文字 字符"/>
    <w:link w:val="8"/>
    <w:qFormat/>
    <w:uiPriority w:val="99"/>
    <w:rPr>
      <w:kern w:val="2"/>
      <w:sz w:val="21"/>
      <w:szCs w:val="24"/>
    </w:rPr>
  </w:style>
  <w:style w:type="character" w:customStyle="1" w:styleId="43">
    <w:name w:val="纯文本 字符"/>
    <w:link w:val="13"/>
    <w:qFormat/>
    <w:uiPriority w:val="0"/>
    <w:rPr>
      <w:rFonts w:ascii="宋体" w:hAnsi="Courier New" w:cs="Courier New"/>
      <w:kern w:val="2"/>
      <w:sz w:val="21"/>
      <w:szCs w:val="21"/>
    </w:rPr>
  </w:style>
  <w:style w:type="character" w:customStyle="1" w:styleId="44">
    <w:name w:val="批注主题 字符"/>
    <w:link w:val="28"/>
    <w:qFormat/>
    <w:uiPriority w:val="0"/>
    <w:rPr>
      <w:b/>
      <w:bCs/>
      <w:kern w:val="2"/>
      <w:sz w:val="21"/>
      <w:szCs w:val="24"/>
    </w:rPr>
  </w:style>
  <w:style w:type="character" w:customStyle="1" w:styleId="45">
    <w:name w:val="标题 2 字符"/>
    <w:link w:val="3"/>
    <w:qFormat/>
    <w:uiPriority w:val="0"/>
    <w:rPr>
      <w:rFonts w:ascii="Arial" w:hAnsi="Arial" w:eastAsia="黑体"/>
      <w:b/>
      <w:kern w:val="2"/>
      <w:sz w:val="21"/>
    </w:rPr>
  </w:style>
  <w:style w:type="character" w:customStyle="1" w:styleId="46">
    <w:name w:val="编号标题2 Char Char Char Char Char Char Char Char Char Char Ch"/>
    <w:qFormat/>
    <w:uiPriority w:val="0"/>
    <w:rPr>
      <w:rFonts w:ascii="Arial" w:hAnsi="Arial" w:eastAsia="黑体"/>
      <w:bCs/>
      <w:kern w:val="2"/>
      <w:sz w:val="21"/>
      <w:szCs w:val="32"/>
      <w:lang w:val="en-US" w:eastAsia="zh-CN" w:bidi="ar-SA"/>
    </w:rPr>
  </w:style>
  <w:style w:type="character" w:customStyle="1" w:styleId="47">
    <w:name w:val="标题 3 字符"/>
    <w:link w:val="5"/>
    <w:qFormat/>
    <w:uiPriority w:val="0"/>
    <w:rPr>
      <w:rFonts w:hAnsi="宋体"/>
      <w:b/>
      <w:kern w:val="2"/>
      <w:sz w:val="21"/>
    </w:rPr>
  </w:style>
  <w:style w:type="paragraph" w:customStyle="1" w:styleId="48">
    <w:name w:val="font5"/>
    <w:basedOn w:val="1"/>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49">
    <w:name w:val="font6"/>
    <w:basedOn w:val="1"/>
    <w:qFormat/>
    <w:uiPriority w:val="0"/>
    <w:pPr>
      <w:widowControl/>
      <w:spacing w:before="100" w:beforeAutospacing="1" w:after="100" w:afterAutospacing="1"/>
      <w:jc w:val="left"/>
    </w:pPr>
    <w:rPr>
      <w:rFonts w:ascii="宋体" w:hAnsi="宋体" w:cs="宋体"/>
      <w:color w:val="FF0000"/>
      <w:kern w:val="0"/>
      <w:sz w:val="18"/>
      <w:szCs w:val="18"/>
    </w:rPr>
  </w:style>
  <w:style w:type="paragraph" w:customStyle="1" w:styleId="50">
    <w:name w:val="font7"/>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51">
    <w:name w:val="font8"/>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52">
    <w:name w:val="xl65"/>
    <w:basedOn w:val="1"/>
    <w:qFormat/>
    <w:uiPriority w:val="0"/>
    <w:pPr>
      <w:widowControl/>
      <w:pBdr>
        <w:bottom w:val="single" w:color="auto" w:sz="8" w:space="0"/>
        <w:right w:val="single" w:color="auto" w:sz="8" w:space="0"/>
      </w:pBdr>
      <w:spacing w:before="100" w:beforeAutospacing="1" w:after="100" w:afterAutospacing="1"/>
      <w:jc w:val="center"/>
      <w:textAlignment w:val="center"/>
    </w:pPr>
    <w:rPr>
      <w:rFonts w:ascii="宋体" w:hAnsi="宋体" w:cs="宋体"/>
      <w:kern w:val="0"/>
      <w:sz w:val="18"/>
      <w:szCs w:val="18"/>
    </w:rPr>
  </w:style>
  <w:style w:type="paragraph" w:customStyle="1" w:styleId="53">
    <w:name w:val="xl66"/>
    <w:basedOn w:val="1"/>
    <w:qFormat/>
    <w:uiPriority w:val="0"/>
    <w:pPr>
      <w:widowControl/>
      <w:pBdr>
        <w:bottom w:val="single" w:color="auto" w:sz="8" w:space="0"/>
        <w:right w:val="single" w:color="auto" w:sz="8" w:space="0"/>
      </w:pBdr>
      <w:spacing w:before="100" w:beforeAutospacing="1" w:after="100" w:afterAutospacing="1"/>
      <w:jc w:val="center"/>
      <w:textAlignment w:val="center"/>
    </w:pPr>
    <w:rPr>
      <w:rFonts w:ascii="宋体" w:hAnsi="宋体" w:cs="宋体"/>
      <w:color w:val="FF0000"/>
      <w:kern w:val="0"/>
      <w:sz w:val="18"/>
      <w:szCs w:val="18"/>
    </w:rPr>
  </w:style>
  <w:style w:type="paragraph" w:customStyle="1" w:styleId="54">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55">
    <w:name w:val="xl68"/>
    <w:basedOn w:val="1"/>
    <w:qFormat/>
    <w:uiPriority w:val="0"/>
    <w:pPr>
      <w:widowControl/>
      <w:pBdr>
        <w:bottom w:val="single" w:color="auto" w:sz="8" w:space="0"/>
        <w:right w:val="single" w:color="auto" w:sz="8" w:space="0"/>
      </w:pBdr>
      <w:spacing w:before="100" w:beforeAutospacing="1" w:after="100" w:afterAutospacing="1"/>
      <w:jc w:val="left"/>
      <w:textAlignment w:val="center"/>
    </w:pPr>
    <w:rPr>
      <w:rFonts w:ascii="宋体" w:hAnsi="宋体" w:cs="宋体"/>
      <w:kern w:val="0"/>
      <w:sz w:val="18"/>
      <w:szCs w:val="18"/>
    </w:rPr>
  </w:style>
  <w:style w:type="paragraph" w:customStyle="1" w:styleId="56">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57">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58">
    <w:name w:val="xl71"/>
    <w:basedOn w:val="1"/>
    <w:qFormat/>
    <w:uiPriority w:val="0"/>
    <w:pPr>
      <w:widowControl/>
      <w:pBdr>
        <w:bottom w:val="single" w:color="auto" w:sz="8" w:space="0"/>
      </w:pBdr>
      <w:spacing w:before="100" w:beforeAutospacing="1" w:after="100" w:afterAutospacing="1"/>
      <w:jc w:val="left"/>
      <w:textAlignment w:val="center"/>
    </w:pPr>
    <w:rPr>
      <w:rFonts w:ascii="宋体" w:hAnsi="宋体" w:cs="宋体"/>
      <w:kern w:val="0"/>
      <w:sz w:val="18"/>
      <w:szCs w:val="18"/>
    </w:rPr>
  </w:style>
  <w:style w:type="paragraph" w:customStyle="1" w:styleId="59">
    <w:name w:val="xl7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60">
    <w:name w:val="xl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61">
    <w:name w:val="xl74"/>
    <w:basedOn w:val="1"/>
    <w:qFormat/>
    <w:uiPriority w:val="0"/>
    <w:pPr>
      <w:widowControl/>
      <w:pBdr>
        <w:top w:val="single" w:color="auto" w:sz="12" w:space="0"/>
        <w:bottom w:val="single" w:color="auto" w:sz="8" w:space="0"/>
        <w:right w:val="single" w:color="auto" w:sz="8" w:space="0"/>
      </w:pBdr>
      <w:spacing w:before="100" w:beforeAutospacing="1" w:after="100" w:afterAutospacing="1"/>
      <w:jc w:val="left"/>
      <w:textAlignment w:val="center"/>
    </w:pPr>
    <w:rPr>
      <w:rFonts w:ascii="黑体" w:hAnsi="黑体" w:eastAsia="黑体" w:cs="宋体"/>
      <w:kern w:val="0"/>
      <w:sz w:val="18"/>
      <w:szCs w:val="18"/>
    </w:rPr>
  </w:style>
  <w:style w:type="paragraph" w:customStyle="1" w:styleId="62">
    <w:name w:val="xl75"/>
    <w:basedOn w:val="1"/>
    <w:qFormat/>
    <w:uiPriority w:val="0"/>
    <w:pPr>
      <w:widowControl/>
      <w:pBdr>
        <w:top w:val="single" w:color="auto" w:sz="12" w:space="0"/>
        <w:bottom w:val="single" w:color="auto" w:sz="8" w:space="0"/>
        <w:right w:val="single" w:color="auto" w:sz="8" w:space="0"/>
      </w:pBdr>
      <w:spacing w:before="100" w:beforeAutospacing="1" w:after="100" w:afterAutospacing="1"/>
      <w:jc w:val="center"/>
      <w:textAlignment w:val="center"/>
    </w:pPr>
    <w:rPr>
      <w:rFonts w:ascii="黑体" w:hAnsi="黑体" w:eastAsia="黑体" w:cs="宋体"/>
      <w:kern w:val="0"/>
      <w:sz w:val="18"/>
      <w:szCs w:val="18"/>
    </w:rPr>
  </w:style>
  <w:style w:type="paragraph" w:customStyle="1" w:styleId="63">
    <w:name w:val="xl76"/>
    <w:basedOn w:val="1"/>
    <w:qFormat/>
    <w:uiPriority w:val="0"/>
    <w:pPr>
      <w:widowControl/>
      <w:pBdr>
        <w:top w:val="single" w:color="auto" w:sz="12" w:space="0"/>
        <w:bottom w:val="single" w:color="auto" w:sz="8" w:space="0"/>
      </w:pBdr>
      <w:spacing w:before="100" w:beforeAutospacing="1" w:after="100" w:afterAutospacing="1"/>
      <w:jc w:val="left"/>
      <w:textAlignment w:val="center"/>
    </w:pPr>
    <w:rPr>
      <w:rFonts w:ascii="黑体" w:hAnsi="黑体" w:eastAsia="黑体" w:cs="宋体"/>
      <w:kern w:val="0"/>
      <w:sz w:val="18"/>
      <w:szCs w:val="18"/>
    </w:rPr>
  </w:style>
  <w:style w:type="paragraph" w:customStyle="1" w:styleId="64">
    <w:name w:val="xl77"/>
    <w:basedOn w:val="1"/>
    <w:qFormat/>
    <w:uiPriority w:val="0"/>
    <w:pPr>
      <w:widowControl/>
      <w:pBdr>
        <w:left w:val="single" w:color="auto" w:sz="12" w:space="0"/>
        <w:bottom w:val="single" w:color="auto" w:sz="8" w:space="0"/>
        <w:right w:val="single" w:color="auto" w:sz="8" w:space="0"/>
      </w:pBdr>
      <w:spacing w:before="100" w:beforeAutospacing="1" w:after="100" w:afterAutospacing="1"/>
      <w:jc w:val="left"/>
      <w:textAlignment w:val="center"/>
    </w:pPr>
    <w:rPr>
      <w:rFonts w:ascii="宋体" w:hAnsi="宋体" w:cs="宋体"/>
      <w:b/>
      <w:bCs/>
      <w:kern w:val="0"/>
      <w:sz w:val="18"/>
      <w:szCs w:val="18"/>
    </w:rPr>
  </w:style>
  <w:style w:type="paragraph" w:customStyle="1" w:styleId="65">
    <w:name w:val="xl78"/>
    <w:basedOn w:val="1"/>
    <w:qFormat/>
    <w:uiPriority w:val="0"/>
    <w:pPr>
      <w:widowControl/>
      <w:pBdr>
        <w:bottom w:val="single" w:color="auto" w:sz="8" w:space="0"/>
        <w:right w:val="single" w:color="auto" w:sz="8" w:space="0"/>
      </w:pBdr>
      <w:spacing w:before="100" w:beforeAutospacing="1" w:after="100" w:afterAutospacing="1"/>
      <w:jc w:val="left"/>
      <w:textAlignment w:val="center"/>
    </w:pPr>
    <w:rPr>
      <w:rFonts w:ascii="宋体" w:hAnsi="宋体" w:cs="宋体"/>
      <w:b/>
      <w:bCs/>
      <w:kern w:val="0"/>
      <w:sz w:val="18"/>
      <w:szCs w:val="18"/>
    </w:rPr>
  </w:style>
  <w:style w:type="paragraph" w:customStyle="1" w:styleId="66">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18"/>
      <w:szCs w:val="18"/>
    </w:rPr>
  </w:style>
  <w:style w:type="paragraph" w:customStyle="1" w:styleId="67">
    <w:name w:val="xl80"/>
    <w:basedOn w:val="1"/>
    <w:qFormat/>
    <w:uiPriority w:val="0"/>
    <w:pPr>
      <w:widowControl/>
      <w:pBdr>
        <w:left w:val="single" w:color="auto" w:sz="12" w:space="0"/>
        <w:bottom w:val="single" w:color="auto" w:sz="8" w:space="0"/>
        <w:right w:val="single" w:color="auto" w:sz="8" w:space="0"/>
      </w:pBdr>
      <w:spacing w:before="100" w:beforeAutospacing="1" w:after="100" w:afterAutospacing="1"/>
      <w:jc w:val="left"/>
      <w:textAlignment w:val="center"/>
    </w:pPr>
    <w:rPr>
      <w:rFonts w:ascii="宋体" w:hAnsi="宋体" w:cs="宋体"/>
      <w:kern w:val="0"/>
      <w:sz w:val="18"/>
      <w:szCs w:val="18"/>
    </w:rPr>
  </w:style>
  <w:style w:type="paragraph" w:customStyle="1" w:styleId="68">
    <w:name w:val="xl81"/>
    <w:basedOn w:val="1"/>
    <w:qFormat/>
    <w:uiPriority w:val="0"/>
    <w:pPr>
      <w:widowControl/>
      <w:pBdr>
        <w:bottom w:val="single" w:color="auto" w:sz="8" w:space="0"/>
        <w:right w:val="single" w:color="auto" w:sz="8" w:space="0"/>
      </w:pBdr>
      <w:spacing w:before="100" w:beforeAutospacing="1" w:after="100" w:afterAutospacing="1"/>
      <w:jc w:val="left"/>
      <w:textAlignment w:val="center"/>
    </w:pPr>
    <w:rPr>
      <w:rFonts w:ascii="宋体" w:hAnsi="宋体" w:cs="宋体"/>
      <w:kern w:val="0"/>
      <w:sz w:val="18"/>
      <w:szCs w:val="18"/>
    </w:rPr>
  </w:style>
  <w:style w:type="paragraph" w:customStyle="1" w:styleId="69">
    <w:name w:val="xl82"/>
    <w:basedOn w:val="1"/>
    <w:qFormat/>
    <w:uiPriority w:val="0"/>
    <w:pPr>
      <w:widowControl/>
      <w:spacing w:before="100" w:beforeAutospacing="1" w:after="100" w:afterAutospacing="1"/>
      <w:jc w:val="left"/>
    </w:pPr>
    <w:rPr>
      <w:rFonts w:ascii="宋体" w:hAnsi="宋体" w:cs="宋体"/>
      <w:kern w:val="0"/>
      <w:sz w:val="24"/>
    </w:rPr>
  </w:style>
  <w:style w:type="paragraph" w:customStyle="1" w:styleId="70">
    <w:name w:val="xl8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18"/>
      <w:szCs w:val="18"/>
    </w:rPr>
  </w:style>
  <w:style w:type="paragraph" w:customStyle="1" w:styleId="71">
    <w:name w:val="xl84"/>
    <w:basedOn w:val="1"/>
    <w:qFormat/>
    <w:uiPriority w:val="0"/>
    <w:pPr>
      <w:widowControl/>
      <w:spacing w:before="100" w:beforeAutospacing="1" w:after="100" w:afterAutospacing="1"/>
      <w:jc w:val="center"/>
      <w:textAlignment w:val="center"/>
    </w:pPr>
    <w:rPr>
      <w:rFonts w:ascii="宋体" w:hAnsi="宋体" w:cs="宋体"/>
      <w:kern w:val="0"/>
      <w:sz w:val="24"/>
    </w:rPr>
  </w:style>
  <w:style w:type="paragraph" w:customStyle="1" w:styleId="72">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18"/>
      <w:szCs w:val="18"/>
    </w:rPr>
  </w:style>
  <w:style w:type="paragraph" w:customStyle="1" w:styleId="73">
    <w:name w:val="xl86"/>
    <w:basedOn w:val="1"/>
    <w:qFormat/>
    <w:uiPriority w:val="0"/>
    <w:pPr>
      <w:widowControl/>
      <w:pBdr>
        <w:top w:val="single" w:color="auto" w:sz="12" w:space="0"/>
        <w:left w:val="single" w:color="auto" w:sz="12" w:space="0"/>
        <w:bottom w:val="single" w:color="auto" w:sz="8" w:space="0"/>
        <w:right w:val="single" w:color="auto" w:sz="8" w:space="0"/>
      </w:pBdr>
      <w:spacing w:before="100" w:beforeAutospacing="1" w:after="100" w:afterAutospacing="1"/>
      <w:jc w:val="left"/>
      <w:textAlignment w:val="center"/>
    </w:pPr>
    <w:rPr>
      <w:rFonts w:ascii="黑体" w:hAnsi="黑体" w:eastAsia="黑体" w:cs="宋体"/>
      <w:kern w:val="0"/>
      <w:sz w:val="18"/>
      <w:szCs w:val="18"/>
    </w:rPr>
  </w:style>
  <w:style w:type="paragraph" w:customStyle="1" w:styleId="74">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75">
    <w:name w:val="xl88"/>
    <w:basedOn w:val="1"/>
    <w:qFormat/>
    <w:uiPriority w:val="0"/>
    <w:pPr>
      <w:widowControl/>
      <w:pBdr>
        <w:top w:val="single" w:color="auto" w:sz="8" w:space="0"/>
        <w:left w:val="single" w:color="auto" w:sz="4" w:space="0"/>
        <w:bottom w:val="single" w:color="auto" w:sz="4" w:space="0"/>
      </w:pBdr>
      <w:spacing w:before="100" w:beforeAutospacing="1" w:after="100" w:afterAutospacing="1"/>
      <w:jc w:val="left"/>
    </w:pPr>
    <w:rPr>
      <w:rFonts w:ascii="宋体" w:hAnsi="宋体" w:cs="宋体"/>
      <w:b/>
      <w:bCs/>
      <w:kern w:val="0"/>
      <w:sz w:val="18"/>
      <w:szCs w:val="18"/>
    </w:rPr>
  </w:style>
  <w:style w:type="paragraph" w:customStyle="1" w:styleId="76">
    <w:name w:val="xl89"/>
    <w:basedOn w:val="1"/>
    <w:qFormat/>
    <w:uiPriority w:val="0"/>
    <w:pPr>
      <w:widowControl/>
      <w:pBdr>
        <w:top w:val="single" w:color="auto" w:sz="8" w:space="0"/>
        <w:bottom w:val="single" w:color="auto" w:sz="4" w:space="0"/>
      </w:pBdr>
      <w:spacing w:before="100" w:beforeAutospacing="1" w:after="100" w:afterAutospacing="1"/>
      <w:jc w:val="left"/>
    </w:pPr>
    <w:rPr>
      <w:rFonts w:ascii="宋体" w:hAnsi="宋体" w:cs="宋体"/>
      <w:b/>
      <w:bCs/>
      <w:kern w:val="0"/>
      <w:sz w:val="18"/>
      <w:szCs w:val="18"/>
    </w:rPr>
  </w:style>
  <w:style w:type="paragraph" w:customStyle="1" w:styleId="77">
    <w:name w:val="xl90"/>
    <w:basedOn w:val="1"/>
    <w:qFormat/>
    <w:uiPriority w:val="0"/>
    <w:pPr>
      <w:widowControl/>
      <w:pBdr>
        <w:top w:val="single" w:color="auto" w:sz="8"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78">
    <w:name w:val="xl91"/>
    <w:basedOn w:val="1"/>
    <w:qFormat/>
    <w:uiPriority w:val="0"/>
    <w:pPr>
      <w:widowControl/>
      <w:pBdr>
        <w:top w:val="single" w:color="auto" w:sz="8"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79">
    <w:name w:val="xl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80">
    <w:name w:val="xl9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81">
    <w:name w:val="xl9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82">
    <w:name w:val="xl95"/>
    <w:basedOn w:val="1"/>
    <w:qFormat/>
    <w:uiPriority w:val="0"/>
    <w:pPr>
      <w:widowControl/>
      <w:pBdr>
        <w:left w:val="single" w:color="auto" w:sz="12" w:space="0"/>
        <w:bottom w:val="single" w:color="auto" w:sz="8" w:space="0"/>
        <w:right w:val="single" w:color="auto" w:sz="8" w:space="0"/>
      </w:pBdr>
      <w:spacing w:before="100" w:beforeAutospacing="1" w:after="100" w:afterAutospacing="1"/>
      <w:jc w:val="left"/>
      <w:textAlignment w:val="center"/>
    </w:pPr>
    <w:rPr>
      <w:rFonts w:ascii="宋体" w:hAnsi="宋体" w:cs="宋体"/>
      <w:b/>
      <w:bCs/>
      <w:kern w:val="0"/>
      <w:sz w:val="18"/>
      <w:szCs w:val="18"/>
    </w:rPr>
  </w:style>
  <w:style w:type="paragraph" w:customStyle="1" w:styleId="83">
    <w:name w:val="xl96"/>
    <w:basedOn w:val="1"/>
    <w:qFormat/>
    <w:uiPriority w:val="0"/>
    <w:pPr>
      <w:widowControl/>
      <w:pBdr>
        <w:bottom w:val="single" w:color="auto" w:sz="8" w:space="0"/>
        <w:right w:val="single" w:color="auto" w:sz="8" w:space="0"/>
      </w:pBdr>
      <w:spacing w:before="100" w:beforeAutospacing="1" w:after="100" w:afterAutospacing="1"/>
      <w:jc w:val="left"/>
      <w:textAlignment w:val="center"/>
    </w:pPr>
    <w:rPr>
      <w:rFonts w:ascii="宋体" w:hAnsi="宋体" w:cs="宋体"/>
      <w:b/>
      <w:bCs/>
      <w:kern w:val="0"/>
      <w:sz w:val="18"/>
      <w:szCs w:val="18"/>
    </w:rPr>
  </w:style>
  <w:style w:type="paragraph" w:customStyle="1" w:styleId="84">
    <w:name w:val="xl97"/>
    <w:basedOn w:val="1"/>
    <w:qFormat/>
    <w:uiPriority w:val="0"/>
    <w:pPr>
      <w:widowControl/>
      <w:pBdr>
        <w:bottom w:val="single" w:color="auto" w:sz="8" w:space="0"/>
      </w:pBdr>
      <w:spacing w:before="100" w:beforeAutospacing="1" w:after="100" w:afterAutospacing="1"/>
      <w:jc w:val="left"/>
      <w:textAlignment w:val="center"/>
    </w:pPr>
    <w:rPr>
      <w:rFonts w:ascii="宋体" w:hAnsi="宋体" w:cs="宋体"/>
      <w:kern w:val="0"/>
      <w:sz w:val="18"/>
      <w:szCs w:val="18"/>
    </w:rPr>
  </w:style>
  <w:style w:type="paragraph" w:customStyle="1" w:styleId="85">
    <w:name w:val="xl98"/>
    <w:basedOn w:val="1"/>
    <w:qFormat/>
    <w:uiPriority w:val="0"/>
    <w:pPr>
      <w:widowControl/>
      <w:pBdr>
        <w:left w:val="single" w:color="auto" w:sz="12" w:space="0"/>
        <w:bottom w:val="single" w:color="auto" w:sz="8" w:space="0"/>
        <w:right w:val="single" w:color="auto" w:sz="8" w:space="0"/>
      </w:pBdr>
      <w:spacing w:before="100" w:beforeAutospacing="1" w:after="100" w:afterAutospacing="1"/>
      <w:jc w:val="center"/>
      <w:textAlignment w:val="center"/>
    </w:pPr>
    <w:rPr>
      <w:rFonts w:ascii="宋体" w:hAnsi="宋体" w:cs="宋体"/>
      <w:b/>
      <w:bCs/>
      <w:kern w:val="0"/>
      <w:sz w:val="18"/>
      <w:szCs w:val="18"/>
    </w:rPr>
  </w:style>
  <w:style w:type="paragraph" w:customStyle="1" w:styleId="86">
    <w:name w:val="xl99"/>
    <w:basedOn w:val="1"/>
    <w:qFormat/>
    <w:uiPriority w:val="0"/>
    <w:pPr>
      <w:widowControl/>
      <w:pBdr>
        <w:bottom w:val="single" w:color="auto" w:sz="8" w:space="0"/>
        <w:right w:val="single" w:color="auto" w:sz="8" w:space="0"/>
      </w:pBdr>
      <w:spacing w:before="100" w:beforeAutospacing="1" w:after="100" w:afterAutospacing="1"/>
      <w:jc w:val="left"/>
      <w:textAlignment w:val="center"/>
    </w:pPr>
    <w:rPr>
      <w:rFonts w:ascii="宋体" w:hAnsi="宋体" w:cs="宋体"/>
      <w:b/>
      <w:bCs/>
      <w:kern w:val="0"/>
      <w:sz w:val="18"/>
      <w:szCs w:val="18"/>
    </w:rPr>
  </w:style>
  <w:style w:type="paragraph" w:customStyle="1" w:styleId="87">
    <w:name w:val="xl100"/>
    <w:basedOn w:val="1"/>
    <w:qFormat/>
    <w:uiPriority w:val="0"/>
    <w:pPr>
      <w:widowControl/>
      <w:pBdr>
        <w:bottom w:val="single" w:color="auto" w:sz="8" w:space="0"/>
        <w:right w:val="single" w:color="auto" w:sz="12" w:space="0"/>
      </w:pBdr>
      <w:spacing w:before="100" w:beforeAutospacing="1" w:after="100" w:afterAutospacing="1"/>
      <w:jc w:val="center"/>
      <w:textAlignment w:val="center"/>
    </w:pPr>
    <w:rPr>
      <w:rFonts w:ascii="宋体" w:hAnsi="宋体" w:cs="宋体"/>
      <w:kern w:val="0"/>
      <w:sz w:val="18"/>
      <w:szCs w:val="18"/>
    </w:rPr>
  </w:style>
  <w:style w:type="paragraph" w:customStyle="1" w:styleId="88">
    <w:name w:val="xl101"/>
    <w:basedOn w:val="1"/>
    <w:qFormat/>
    <w:uiPriority w:val="0"/>
    <w:pPr>
      <w:widowControl/>
      <w:pBdr>
        <w:left w:val="single" w:color="auto" w:sz="12" w:space="0"/>
        <w:bottom w:val="single" w:color="auto" w:sz="8" w:space="0"/>
        <w:right w:val="single" w:color="auto" w:sz="8" w:space="0"/>
      </w:pBdr>
      <w:spacing w:before="100" w:beforeAutospacing="1" w:after="100" w:afterAutospacing="1"/>
      <w:jc w:val="center"/>
      <w:textAlignment w:val="center"/>
    </w:pPr>
    <w:rPr>
      <w:rFonts w:ascii="宋体" w:hAnsi="宋体" w:cs="宋体"/>
      <w:kern w:val="0"/>
      <w:sz w:val="18"/>
      <w:szCs w:val="18"/>
    </w:rPr>
  </w:style>
  <w:style w:type="paragraph" w:customStyle="1" w:styleId="89">
    <w:name w:val="xl102"/>
    <w:basedOn w:val="1"/>
    <w:qFormat/>
    <w:uiPriority w:val="0"/>
    <w:pPr>
      <w:widowControl/>
      <w:pBdr>
        <w:bottom w:val="single" w:color="auto" w:sz="8" w:space="0"/>
        <w:right w:val="single" w:color="auto" w:sz="8" w:space="0"/>
      </w:pBdr>
      <w:spacing w:before="100" w:beforeAutospacing="1" w:after="100" w:afterAutospacing="1"/>
      <w:textAlignment w:val="center"/>
    </w:pPr>
    <w:rPr>
      <w:rFonts w:ascii="宋体" w:hAnsi="宋体" w:cs="宋体"/>
      <w:kern w:val="0"/>
      <w:sz w:val="18"/>
      <w:szCs w:val="18"/>
    </w:rPr>
  </w:style>
  <w:style w:type="paragraph" w:customStyle="1" w:styleId="90">
    <w:name w:val="xl103"/>
    <w:basedOn w:val="1"/>
    <w:qFormat/>
    <w:uiPriority w:val="0"/>
    <w:pPr>
      <w:widowControl/>
      <w:pBdr>
        <w:bottom w:val="single" w:color="auto" w:sz="8" w:space="0"/>
        <w:right w:val="single" w:color="auto" w:sz="12" w:space="0"/>
      </w:pBdr>
      <w:spacing w:before="100" w:beforeAutospacing="1" w:after="100" w:afterAutospacing="1"/>
      <w:textAlignment w:val="center"/>
    </w:pPr>
    <w:rPr>
      <w:rFonts w:ascii="宋体" w:hAnsi="宋体" w:cs="宋体"/>
      <w:kern w:val="0"/>
      <w:sz w:val="18"/>
      <w:szCs w:val="18"/>
    </w:rPr>
  </w:style>
  <w:style w:type="paragraph" w:customStyle="1" w:styleId="91">
    <w:name w:val="xl104"/>
    <w:basedOn w:val="1"/>
    <w:qFormat/>
    <w:uiPriority w:val="0"/>
    <w:pPr>
      <w:widowControl/>
      <w:pBdr>
        <w:bottom w:val="single" w:color="auto" w:sz="8" w:space="0"/>
        <w:right w:val="single" w:color="auto" w:sz="12" w:space="0"/>
      </w:pBdr>
      <w:spacing w:before="100" w:beforeAutospacing="1" w:after="100" w:afterAutospacing="1"/>
      <w:textAlignment w:val="center"/>
    </w:pPr>
    <w:rPr>
      <w:rFonts w:ascii="宋体" w:hAnsi="宋体" w:cs="宋体"/>
      <w:kern w:val="0"/>
      <w:sz w:val="18"/>
      <w:szCs w:val="18"/>
    </w:rPr>
  </w:style>
  <w:style w:type="paragraph" w:customStyle="1" w:styleId="92">
    <w:name w:val="xl105"/>
    <w:basedOn w:val="1"/>
    <w:qFormat/>
    <w:uiPriority w:val="0"/>
    <w:pPr>
      <w:widowControl/>
      <w:pBdr>
        <w:bottom w:val="single" w:color="auto" w:sz="8" w:space="0"/>
        <w:right w:val="single" w:color="auto" w:sz="8" w:space="0"/>
      </w:pBdr>
      <w:spacing w:before="100" w:beforeAutospacing="1" w:after="100" w:afterAutospacing="1"/>
      <w:textAlignment w:val="center"/>
    </w:pPr>
    <w:rPr>
      <w:rFonts w:ascii="宋体" w:hAnsi="宋体" w:cs="宋体"/>
      <w:b/>
      <w:bCs/>
      <w:kern w:val="0"/>
      <w:sz w:val="18"/>
      <w:szCs w:val="18"/>
    </w:rPr>
  </w:style>
  <w:style w:type="paragraph" w:customStyle="1" w:styleId="93">
    <w:name w:val="xl106"/>
    <w:basedOn w:val="1"/>
    <w:qFormat/>
    <w:uiPriority w:val="0"/>
    <w:pPr>
      <w:widowControl/>
      <w:pBdr>
        <w:bottom w:val="single" w:color="auto" w:sz="8" w:space="0"/>
        <w:right w:val="single" w:color="auto" w:sz="8" w:space="0"/>
      </w:pBdr>
      <w:spacing w:before="100" w:beforeAutospacing="1" w:after="100" w:afterAutospacing="1"/>
      <w:jc w:val="center"/>
      <w:textAlignment w:val="center"/>
    </w:pPr>
    <w:rPr>
      <w:rFonts w:ascii="宋体" w:hAnsi="宋体" w:cs="宋体"/>
      <w:b/>
      <w:bCs/>
      <w:kern w:val="0"/>
      <w:sz w:val="18"/>
      <w:szCs w:val="18"/>
    </w:rPr>
  </w:style>
  <w:style w:type="paragraph" w:customStyle="1" w:styleId="94">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emf"/><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tyleName="APA" SelectedStyle="\APA.XSL"/>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9F9C34F-DA14-4B55-933C-054F789AB0C4}">
  <ds:schemaRefs/>
</ds:datastoreItem>
</file>

<file path=docProps/app.xml><?xml version="1.0" encoding="utf-8"?>
<Properties xmlns="http://schemas.openxmlformats.org/officeDocument/2006/extended-properties" xmlns:vt="http://schemas.openxmlformats.org/officeDocument/2006/docPropsVTypes">
  <Template>Normal.dotm</Template>
  <Company>Gzmetro</Company>
  <Pages>16</Pages>
  <Words>7255</Words>
  <Characters>8591</Characters>
  <Lines>270</Lines>
  <Paragraphs>307</Paragraphs>
  <TotalTime>4</TotalTime>
  <ScaleCrop>false</ScaleCrop>
  <LinksUpToDate>false</LinksUpToDate>
  <CharactersWithSpaces>8853</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2025-03-19T11:52:00Z</dcterms:created>
  <dc:creator>wudianhua</dc:creator>
  <cp:lastModifiedBy>惠慧</cp:lastModifiedBy>
  <cp:lastPrinted>2019-06-23T09:46:00Z</cp:lastPrinted>
  <dcterms:modified xsi:type="dcterms:W3CDTF">2025-04-24T09:42:19Z</dcterms:modified>
  <dc:title>第四部分</dc:title>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D15083732CC841E690F8D8D67574C51C</vt:lpwstr>
  </property>
  <property fmtid="{D5CDD505-2E9C-101B-9397-08002B2CF9AE}" pid="4" name="KSOTemplateDocerSaveRecord">
    <vt:lpwstr>eyJoZGlkIjoiYjRlNzZjM2JkMzA4OTU0MjMyYjJhMTEwNWM3MjE1NjYiLCJ1c2VySWQiOiI0MTUzMzk5ODMifQ==</vt:lpwstr>
  </property>
</Properties>
</file>