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D5C518">
      <w:pPr>
        <w:spacing w:before="2" w:line="276" w:lineRule="auto"/>
        <w:jc w:val="center"/>
        <w:rPr>
          <w:rFonts w:hint="eastAsia" w:ascii="宋体" w:hAnsi="宋体" w:eastAsia="宋体"/>
          <w:b/>
          <w:kern w:val="2"/>
          <w:sz w:val="40"/>
          <w:szCs w:val="60"/>
          <w:highlight w:val="none"/>
          <w:lang w:eastAsia="zh-CN"/>
        </w:rPr>
      </w:pPr>
    </w:p>
    <w:p w14:paraId="508481E9">
      <w:pPr>
        <w:jc w:val="center"/>
        <w:rPr>
          <w:rFonts w:ascii="宋体" w:hAnsi="宋体" w:eastAsia="宋体" w:cs="宋体"/>
          <w:b/>
          <w:bCs/>
          <w:sz w:val="20"/>
          <w:szCs w:val="20"/>
          <w:highlight w:val="none"/>
          <w:lang w:eastAsia="zh-CN"/>
        </w:rPr>
      </w:pPr>
      <w:r>
        <w:rPr>
          <w:rFonts w:hint="eastAsia" w:ascii="宋体" w:hAnsi="宋体" w:eastAsia="宋体"/>
          <w:b/>
          <w:kern w:val="2"/>
          <w:sz w:val="52"/>
          <w:szCs w:val="52"/>
          <w:highlight w:val="none"/>
          <w:lang w:eastAsia="zh-CN"/>
        </w:rPr>
        <w:t>珠江·琶醍啤酒文化创意园区改造升级项目—酒店室内精装修设计</w:t>
      </w:r>
    </w:p>
    <w:p w14:paraId="2302065F">
      <w:pPr>
        <w:rPr>
          <w:rFonts w:ascii="宋体" w:hAnsi="宋体" w:eastAsia="宋体" w:cs="宋体"/>
          <w:b/>
          <w:bCs/>
          <w:sz w:val="20"/>
          <w:szCs w:val="20"/>
          <w:highlight w:val="none"/>
          <w:lang w:eastAsia="zh-CN"/>
        </w:rPr>
      </w:pPr>
    </w:p>
    <w:p w14:paraId="6D0B3D11">
      <w:pPr>
        <w:jc w:val="left"/>
        <w:rPr>
          <w:rFonts w:ascii="宋体" w:hAnsi="宋体" w:eastAsia="宋体" w:cs="宋体"/>
          <w:b/>
          <w:bCs/>
          <w:kern w:val="0"/>
          <w:sz w:val="20"/>
          <w:szCs w:val="20"/>
          <w:highlight w:val="none"/>
          <w:lang w:eastAsia="zh-CN"/>
        </w:rPr>
      </w:pPr>
    </w:p>
    <w:p w14:paraId="4BFA275C">
      <w:pPr>
        <w:pStyle w:val="5"/>
        <w:rPr>
          <w:highlight w:val="none"/>
          <w:lang w:eastAsia="zh-CN"/>
        </w:rPr>
      </w:pPr>
    </w:p>
    <w:p w14:paraId="3805776D">
      <w:pPr>
        <w:pStyle w:val="5"/>
        <w:rPr>
          <w:rFonts w:ascii="宋体" w:hAnsi="宋体" w:eastAsia="宋体" w:cs="Times New Roman"/>
          <w:highlight w:val="none"/>
          <w:lang w:eastAsia="zh-CN"/>
        </w:rPr>
      </w:pPr>
    </w:p>
    <w:p w14:paraId="42770ED5">
      <w:pPr>
        <w:pStyle w:val="5"/>
        <w:rPr>
          <w:rFonts w:ascii="宋体" w:hAnsi="宋体" w:eastAsia="宋体"/>
          <w:b/>
          <w:kern w:val="2"/>
          <w:sz w:val="96"/>
          <w:szCs w:val="84"/>
          <w:highlight w:val="none"/>
          <w:lang w:eastAsia="zh-CN"/>
        </w:rPr>
      </w:pPr>
    </w:p>
    <w:p w14:paraId="6B7EB3D9">
      <w:pPr>
        <w:rPr>
          <w:highlight w:val="none"/>
          <w:lang w:eastAsia="zh-CN"/>
        </w:rPr>
      </w:pPr>
    </w:p>
    <w:p w14:paraId="7958534D">
      <w:pPr>
        <w:jc w:val="center"/>
        <w:rPr>
          <w:rFonts w:ascii="宋体" w:hAnsi="宋体" w:eastAsia="宋体"/>
          <w:b/>
          <w:kern w:val="2"/>
          <w:sz w:val="96"/>
          <w:szCs w:val="84"/>
          <w:highlight w:val="none"/>
          <w:lang w:eastAsia="zh-CN"/>
        </w:rPr>
      </w:pPr>
      <w:r>
        <w:rPr>
          <w:rFonts w:ascii="宋体" w:hAnsi="宋体" w:eastAsia="宋体"/>
          <w:b/>
          <w:kern w:val="2"/>
          <w:sz w:val="96"/>
          <w:szCs w:val="84"/>
          <w:highlight w:val="none"/>
          <w:lang w:eastAsia="zh-CN"/>
        </w:rPr>
        <w:t>招标文件</w:t>
      </w:r>
    </w:p>
    <w:p w14:paraId="172B19F1">
      <w:pPr>
        <w:rPr>
          <w:rFonts w:ascii="宋体" w:hAnsi="宋体" w:eastAsia="宋体" w:cs="宋体"/>
          <w:sz w:val="44"/>
          <w:szCs w:val="44"/>
          <w:highlight w:val="none"/>
          <w:lang w:eastAsia="zh-CN"/>
        </w:rPr>
      </w:pPr>
    </w:p>
    <w:p w14:paraId="6AD0F609">
      <w:pPr>
        <w:rPr>
          <w:rFonts w:ascii="宋体" w:hAnsi="宋体" w:eastAsia="宋体" w:cs="宋体"/>
          <w:sz w:val="44"/>
          <w:szCs w:val="44"/>
          <w:highlight w:val="none"/>
          <w:lang w:eastAsia="zh-CN"/>
        </w:rPr>
      </w:pPr>
    </w:p>
    <w:p w14:paraId="72B8A952">
      <w:pPr>
        <w:rPr>
          <w:rFonts w:ascii="宋体" w:hAnsi="宋体" w:eastAsia="宋体" w:cs="宋体"/>
          <w:sz w:val="44"/>
          <w:szCs w:val="44"/>
          <w:highlight w:val="none"/>
          <w:lang w:eastAsia="zh-CN"/>
        </w:rPr>
      </w:pPr>
    </w:p>
    <w:p w14:paraId="756B70F9">
      <w:pPr>
        <w:rPr>
          <w:rFonts w:ascii="宋体" w:hAnsi="宋体" w:eastAsia="宋体" w:cs="宋体"/>
          <w:sz w:val="44"/>
          <w:szCs w:val="44"/>
          <w:highlight w:val="none"/>
          <w:lang w:eastAsia="zh-CN"/>
        </w:rPr>
      </w:pPr>
    </w:p>
    <w:p w14:paraId="050D426D">
      <w:pPr>
        <w:rPr>
          <w:rFonts w:ascii="宋体" w:hAnsi="宋体" w:eastAsia="宋体" w:cs="宋体"/>
          <w:sz w:val="44"/>
          <w:szCs w:val="44"/>
          <w:highlight w:val="none"/>
          <w:lang w:eastAsia="zh-CN"/>
        </w:rPr>
      </w:pPr>
    </w:p>
    <w:p w14:paraId="4482024C">
      <w:pPr>
        <w:rPr>
          <w:highlight w:val="none"/>
          <w:lang w:eastAsia="zh-CN"/>
        </w:rPr>
      </w:pPr>
    </w:p>
    <w:p w14:paraId="00703605">
      <w:pPr>
        <w:pStyle w:val="5"/>
        <w:rPr>
          <w:highlight w:val="none"/>
          <w:lang w:eastAsia="zh-CN"/>
        </w:rPr>
      </w:pPr>
    </w:p>
    <w:p w14:paraId="5B8970B7">
      <w:pPr>
        <w:spacing w:before="8"/>
        <w:rPr>
          <w:rFonts w:ascii="宋体" w:hAnsi="宋体" w:eastAsia="宋体" w:cs="宋体"/>
          <w:sz w:val="33"/>
          <w:szCs w:val="33"/>
          <w:highlight w:val="none"/>
          <w:lang w:eastAsia="zh-CN"/>
        </w:rPr>
      </w:pPr>
    </w:p>
    <w:p w14:paraId="5ED5EA7B">
      <w:pPr>
        <w:spacing w:before="8"/>
        <w:rPr>
          <w:rFonts w:ascii="宋体" w:hAnsi="宋体" w:eastAsia="宋体" w:cs="宋体"/>
          <w:sz w:val="33"/>
          <w:szCs w:val="33"/>
          <w:highlight w:val="none"/>
          <w:lang w:eastAsia="zh-CN"/>
        </w:rPr>
      </w:pPr>
    </w:p>
    <w:p w14:paraId="1442AD06">
      <w:pPr>
        <w:spacing w:line="360" w:lineRule="auto"/>
        <w:ind w:firstLine="964" w:firstLineChars="300"/>
        <w:rPr>
          <w:rFonts w:ascii="宋体" w:hAnsi="宋体" w:eastAsia="宋体"/>
          <w:b/>
          <w:sz w:val="32"/>
          <w:szCs w:val="32"/>
          <w:highlight w:val="none"/>
          <w:lang w:eastAsia="zh-CN"/>
        </w:rPr>
      </w:pPr>
      <w:r>
        <w:rPr>
          <w:rFonts w:hint="eastAsia" w:ascii="宋体" w:hAnsi="宋体" w:eastAsia="宋体"/>
          <w:b/>
          <w:sz w:val="32"/>
          <w:szCs w:val="32"/>
          <w:highlight w:val="none"/>
          <w:lang w:eastAsia="zh-CN"/>
        </w:rPr>
        <w:t>招   标   人：</w:t>
      </w:r>
      <w:r>
        <w:rPr>
          <w:rFonts w:hint="eastAsia" w:ascii="宋体" w:hAnsi="宋体" w:eastAsia="宋体" w:cs="宋体"/>
          <w:b/>
          <w:sz w:val="32"/>
          <w:szCs w:val="32"/>
          <w:highlight w:val="none"/>
          <w:lang w:eastAsia="zh-CN"/>
        </w:rPr>
        <w:t>广州珠江啤酒股份有限公司</w:t>
      </w:r>
    </w:p>
    <w:p w14:paraId="7BA16537">
      <w:pPr>
        <w:spacing w:line="360" w:lineRule="auto"/>
        <w:ind w:firstLine="964" w:firstLineChars="300"/>
        <w:rPr>
          <w:rFonts w:ascii="宋体" w:hAnsi="宋体" w:eastAsia="宋体"/>
          <w:b/>
          <w:sz w:val="32"/>
          <w:szCs w:val="32"/>
          <w:highlight w:val="none"/>
          <w:lang w:eastAsia="zh-CN"/>
        </w:rPr>
      </w:pPr>
      <w:r>
        <w:rPr>
          <w:rFonts w:hint="eastAsia" w:ascii="宋体" w:hAnsi="宋体" w:eastAsia="宋体"/>
          <w:b/>
          <w:sz w:val="32"/>
          <w:szCs w:val="32"/>
          <w:highlight w:val="none"/>
          <w:lang w:eastAsia="zh-CN"/>
        </w:rPr>
        <w:t>招标代理机构：</w:t>
      </w:r>
      <w:r>
        <w:rPr>
          <w:rFonts w:hint="eastAsia" w:ascii="宋体" w:hAnsi="宋体" w:eastAsia="宋体"/>
          <w:b/>
          <w:sz w:val="32"/>
          <w:highlight w:val="none"/>
          <w:lang w:eastAsia="zh-CN"/>
        </w:rPr>
        <w:t>广州市国际工程咨询有限公司</w:t>
      </w:r>
    </w:p>
    <w:p w14:paraId="59EFFDFF">
      <w:pPr>
        <w:tabs>
          <w:tab w:val="left" w:pos="561"/>
        </w:tabs>
        <w:spacing w:line="360" w:lineRule="auto"/>
        <w:ind w:firstLine="964" w:firstLineChars="300"/>
        <w:rPr>
          <w:rFonts w:ascii="宋体" w:hAnsi="宋体" w:eastAsia="宋体"/>
          <w:b/>
          <w:sz w:val="32"/>
          <w:szCs w:val="32"/>
          <w:highlight w:val="none"/>
          <w:lang w:eastAsia="zh-CN"/>
        </w:rPr>
      </w:pPr>
      <w:r>
        <w:rPr>
          <w:rFonts w:hint="eastAsia" w:ascii="宋体" w:hAnsi="宋体" w:eastAsia="宋体"/>
          <w:b/>
          <w:sz w:val="32"/>
          <w:szCs w:val="32"/>
          <w:highlight w:val="none"/>
          <w:lang w:eastAsia="zh-CN"/>
        </w:rPr>
        <w:t>日        期：202</w:t>
      </w:r>
      <w:r>
        <w:rPr>
          <w:rFonts w:hint="eastAsia" w:ascii="宋体" w:hAnsi="宋体" w:eastAsia="宋体"/>
          <w:b/>
          <w:sz w:val="32"/>
          <w:szCs w:val="32"/>
          <w:highlight w:val="none"/>
          <w:lang w:val="en-US" w:eastAsia="zh-CN"/>
        </w:rPr>
        <w:t>5</w:t>
      </w:r>
      <w:r>
        <w:rPr>
          <w:rFonts w:hint="eastAsia" w:ascii="宋体" w:hAnsi="宋体" w:eastAsia="宋体"/>
          <w:b/>
          <w:sz w:val="32"/>
          <w:szCs w:val="32"/>
          <w:highlight w:val="none"/>
          <w:lang w:eastAsia="zh-CN"/>
        </w:rPr>
        <w:t>年</w:t>
      </w:r>
      <w:r>
        <w:rPr>
          <w:rFonts w:hint="eastAsia" w:ascii="宋体" w:hAnsi="宋体" w:eastAsia="宋体"/>
          <w:b/>
          <w:sz w:val="32"/>
          <w:szCs w:val="32"/>
          <w:highlight w:val="none"/>
          <w:lang w:val="en-US" w:eastAsia="zh-CN"/>
        </w:rPr>
        <w:t>4</w:t>
      </w:r>
      <w:r>
        <w:rPr>
          <w:rFonts w:hint="eastAsia" w:ascii="宋体" w:hAnsi="宋体" w:eastAsia="宋体"/>
          <w:b/>
          <w:sz w:val="32"/>
          <w:szCs w:val="32"/>
          <w:highlight w:val="none"/>
          <w:lang w:eastAsia="zh-CN"/>
        </w:rPr>
        <w:t>月</w:t>
      </w:r>
    </w:p>
    <w:p w14:paraId="36757754">
      <w:pPr>
        <w:keepNext w:val="0"/>
        <w:keepLines w:val="0"/>
        <w:pageBreakBefore w:val="0"/>
        <w:widowControl w:val="0"/>
        <w:tabs>
          <w:tab w:val="left" w:pos="561"/>
          <w:tab w:val="center" w:pos="4513"/>
          <w:tab w:val="left" w:pos="5723"/>
        </w:tabs>
        <w:kinsoku/>
        <w:wordWrap/>
        <w:overflowPunct/>
        <w:topLinePunct w:val="0"/>
        <w:autoSpaceDE/>
        <w:autoSpaceDN/>
        <w:bidi w:val="0"/>
        <w:adjustRightInd/>
        <w:snapToGrid/>
        <w:spacing w:line="240" w:lineRule="auto"/>
        <w:jc w:val="both"/>
        <w:textAlignment w:val="auto"/>
        <w:rPr>
          <w:rFonts w:ascii="宋体" w:hAnsi="宋体" w:eastAsia="宋体"/>
          <w:b/>
          <w:sz w:val="24"/>
          <w:szCs w:val="24"/>
          <w:highlight w:val="none"/>
          <w:lang w:eastAsia="zh-CN"/>
        </w:rPr>
        <w:sectPr>
          <w:footerReference r:id="rId3" w:type="default"/>
          <w:pgSz w:w="11907" w:h="16839"/>
          <w:pgMar w:top="1440" w:right="1440" w:bottom="1440" w:left="1440" w:header="0" w:footer="918" w:gutter="0"/>
          <w:cols w:space="720" w:num="1"/>
          <w:rtlGutter w:val="0"/>
          <w:docGrid w:linePitch="0" w:charSpace="0"/>
        </w:sectPr>
      </w:pPr>
    </w:p>
    <w:p w14:paraId="39946630">
      <w:pPr>
        <w:pStyle w:val="5"/>
        <w:ind w:left="0"/>
        <w:rPr>
          <w:highlight w:val="none"/>
          <w:lang w:eastAsia="zh-CN"/>
        </w:rPr>
      </w:pPr>
    </w:p>
    <w:p w14:paraId="0A4881C9">
      <w:pPr>
        <w:tabs>
          <w:tab w:val="left" w:pos="561"/>
        </w:tabs>
        <w:spacing w:line="360" w:lineRule="auto"/>
        <w:jc w:val="center"/>
        <w:rPr>
          <w:rFonts w:ascii="宋体" w:hAnsi="宋体" w:eastAsia="宋体" w:cs="宋体"/>
          <w:b/>
          <w:bCs/>
          <w:sz w:val="28"/>
          <w:szCs w:val="28"/>
          <w:highlight w:val="none"/>
          <w:lang w:eastAsia="zh-CN"/>
        </w:rPr>
      </w:pPr>
      <w:r>
        <w:rPr>
          <w:rFonts w:ascii="宋体" w:hAnsi="宋体" w:eastAsia="宋体" w:cs="宋体"/>
          <w:b/>
          <w:bCs/>
          <w:sz w:val="28"/>
          <w:szCs w:val="28"/>
          <w:highlight w:val="none"/>
          <w:lang w:eastAsia="zh-CN"/>
        </w:rPr>
        <w:t>目</w:t>
      </w:r>
      <w:r>
        <w:rPr>
          <w:rFonts w:hint="eastAsia" w:ascii="宋体" w:hAnsi="宋体" w:eastAsia="宋体" w:cs="宋体"/>
          <w:b/>
          <w:bCs/>
          <w:sz w:val="28"/>
          <w:szCs w:val="28"/>
          <w:highlight w:val="none"/>
          <w:lang w:val="en-US" w:eastAsia="zh-CN"/>
        </w:rPr>
        <w:t xml:space="preserve">  </w:t>
      </w:r>
      <w:r>
        <w:rPr>
          <w:rFonts w:ascii="宋体" w:hAnsi="宋体" w:eastAsia="宋体" w:cs="宋体"/>
          <w:b/>
          <w:bCs/>
          <w:sz w:val="28"/>
          <w:szCs w:val="28"/>
          <w:highlight w:val="none"/>
          <w:lang w:eastAsia="zh-CN"/>
        </w:rPr>
        <w:t>录</w:t>
      </w:r>
    </w:p>
    <w:p w14:paraId="6BF27F74">
      <w:pPr>
        <w:tabs>
          <w:tab w:val="left" w:pos="561"/>
        </w:tabs>
        <w:spacing w:line="240" w:lineRule="auto"/>
        <w:jc w:val="center"/>
        <w:rPr>
          <w:rFonts w:ascii="宋体" w:hAnsi="宋体" w:eastAsia="宋体" w:cs="宋体"/>
          <w:sz w:val="24"/>
          <w:szCs w:val="24"/>
          <w:highlight w:val="none"/>
          <w:lang w:val="en-US" w:eastAsia="zh-CN" w:bidi="ar-SA"/>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TOC \o "1-3" \h \z \u </w:instrText>
      </w:r>
      <w:r>
        <w:rPr>
          <w:rFonts w:ascii="宋体" w:hAnsi="宋体" w:eastAsia="宋体" w:cs="宋体"/>
          <w:sz w:val="24"/>
          <w:szCs w:val="24"/>
          <w:highlight w:val="none"/>
          <w:lang w:eastAsia="zh-CN"/>
        </w:rPr>
        <w:fldChar w:fldCharType="separate"/>
      </w:r>
    </w:p>
    <w:p w14:paraId="62FE57B7">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_Toc18216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第一章  招标公告</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_Toc18216 \h </w:instrText>
      </w:r>
      <w:r>
        <w:rPr>
          <w:rFonts w:hint="eastAsia" w:cs="宋体"/>
          <w:sz w:val="24"/>
          <w:szCs w:val="24"/>
          <w:highlight w:val="none"/>
        </w:rPr>
        <w:fldChar w:fldCharType="separate"/>
      </w:r>
      <w:r>
        <w:rPr>
          <w:rFonts w:hint="eastAsia" w:cs="宋体"/>
          <w:sz w:val="24"/>
          <w:szCs w:val="24"/>
          <w:highlight w:val="none"/>
        </w:rPr>
        <w:t>2</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4C2DEEFB">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_Toc6797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第二章  投标人须知</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_Toc6797 \h </w:instrText>
      </w:r>
      <w:r>
        <w:rPr>
          <w:rFonts w:hint="eastAsia" w:cs="宋体"/>
          <w:sz w:val="24"/>
          <w:szCs w:val="24"/>
          <w:highlight w:val="none"/>
        </w:rPr>
        <w:fldChar w:fldCharType="separate"/>
      </w:r>
      <w:r>
        <w:rPr>
          <w:rFonts w:hint="eastAsia" w:cs="宋体"/>
          <w:sz w:val="24"/>
          <w:szCs w:val="24"/>
          <w:highlight w:val="none"/>
        </w:rPr>
        <w:t>3</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1D5F57FC">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_Toc12531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投标人须知前附表</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_Toc12531 \h </w:instrText>
      </w:r>
      <w:r>
        <w:rPr>
          <w:rFonts w:hint="eastAsia" w:cs="宋体"/>
          <w:sz w:val="24"/>
          <w:szCs w:val="24"/>
          <w:highlight w:val="none"/>
        </w:rPr>
        <w:fldChar w:fldCharType="separate"/>
      </w:r>
      <w:r>
        <w:rPr>
          <w:rFonts w:hint="eastAsia" w:cs="宋体"/>
          <w:sz w:val="24"/>
          <w:szCs w:val="24"/>
          <w:highlight w:val="none"/>
        </w:rPr>
        <w:t>3</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0AD2DD79">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_Toc24496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1. 总则</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_Toc24496 \h </w:instrText>
      </w:r>
      <w:r>
        <w:rPr>
          <w:rFonts w:hint="eastAsia" w:cs="宋体"/>
          <w:sz w:val="24"/>
          <w:szCs w:val="24"/>
          <w:highlight w:val="none"/>
        </w:rPr>
        <w:fldChar w:fldCharType="separate"/>
      </w:r>
      <w:r>
        <w:rPr>
          <w:rFonts w:hint="eastAsia" w:cs="宋体"/>
          <w:sz w:val="24"/>
          <w:szCs w:val="24"/>
          <w:highlight w:val="none"/>
        </w:rPr>
        <w:t>14</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4FA2D56B">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_Toc21143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2. 招标文件</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_Toc21143 \h </w:instrText>
      </w:r>
      <w:r>
        <w:rPr>
          <w:rFonts w:hint="eastAsia" w:cs="宋体"/>
          <w:sz w:val="24"/>
          <w:szCs w:val="24"/>
          <w:highlight w:val="none"/>
        </w:rPr>
        <w:fldChar w:fldCharType="separate"/>
      </w:r>
      <w:r>
        <w:rPr>
          <w:rFonts w:hint="eastAsia" w:cs="宋体"/>
          <w:sz w:val="24"/>
          <w:szCs w:val="24"/>
          <w:highlight w:val="none"/>
        </w:rPr>
        <w:t>17</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4985636C">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_Toc15799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3. 投标文件</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_Toc15799 \h </w:instrText>
      </w:r>
      <w:r>
        <w:rPr>
          <w:rFonts w:hint="eastAsia" w:cs="宋体"/>
          <w:sz w:val="24"/>
          <w:szCs w:val="24"/>
          <w:highlight w:val="none"/>
        </w:rPr>
        <w:fldChar w:fldCharType="separate"/>
      </w:r>
      <w:r>
        <w:rPr>
          <w:rFonts w:hint="eastAsia" w:cs="宋体"/>
          <w:sz w:val="24"/>
          <w:szCs w:val="24"/>
          <w:highlight w:val="none"/>
        </w:rPr>
        <w:t>18</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51F35CC3">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_Toc11594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4. 投标</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_Toc11594 \h </w:instrText>
      </w:r>
      <w:r>
        <w:rPr>
          <w:rFonts w:hint="eastAsia" w:cs="宋体"/>
          <w:sz w:val="24"/>
          <w:szCs w:val="24"/>
          <w:highlight w:val="none"/>
        </w:rPr>
        <w:fldChar w:fldCharType="separate"/>
      </w:r>
      <w:r>
        <w:rPr>
          <w:rFonts w:hint="eastAsia" w:cs="宋体"/>
          <w:sz w:val="24"/>
          <w:szCs w:val="24"/>
          <w:highlight w:val="none"/>
        </w:rPr>
        <w:t>22</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069A86B5">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_Toc5736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5. 开标</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_Toc5736 \h </w:instrText>
      </w:r>
      <w:r>
        <w:rPr>
          <w:rFonts w:hint="eastAsia" w:cs="宋体"/>
          <w:sz w:val="24"/>
          <w:szCs w:val="24"/>
          <w:highlight w:val="none"/>
        </w:rPr>
        <w:fldChar w:fldCharType="separate"/>
      </w:r>
      <w:r>
        <w:rPr>
          <w:rFonts w:hint="eastAsia" w:cs="宋体"/>
          <w:sz w:val="24"/>
          <w:szCs w:val="24"/>
          <w:highlight w:val="none"/>
        </w:rPr>
        <w:t>23</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34B1FB77">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_Toc4985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6. 评标</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_Toc4985 \h </w:instrText>
      </w:r>
      <w:r>
        <w:rPr>
          <w:rFonts w:hint="eastAsia" w:cs="宋体"/>
          <w:sz w:val="24"/>
          <w:szCs w:val="24"/>
          <w:highlight w:val="none"/>
        </w:rPr>
        <w:fldChar w:fldCharType="separate"/>
      </w:r>
      <w:r>
        <w:rPr>
          <w:rFonts w:hint="eastAsia" w:cs="宋体"/>
          <w:sz w:val="24"/>
          <w:szCs w:val="24"/>
          <w:highlight w:val="none"/>
        </w:rPr>
        <w:t>24</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3533F09E">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_Toc4918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7. 合同授予</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_Toc4918 \h </w:instrText>
      </w:r>
      <w:r>
        <w:rPr>
          <w:rFonts w:hint="eastAsia" w:cs="宋体"/>
          <w:sz w:val="24"/>
          <w:szCs w:val="24"/>
          <w:highlight w:val="none"/>
        </w:rPr>
        <w:fldChar w:fldCharType="separate"/>
      </w:r>
      <w:r>
        <w:rPr>
          <w:rFonts w:hint="eastAsia" w:cs="宋体"/>
          <w:sz w:val="24"/>
          <w:szCs w:val="24"/>
          <w:highlight w:val="none"/>
        </w:rPr>
        <w:t>25</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7C13DE93">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_Toc3741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8. 纪律和监督</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_Toc3741 \h </w:instrText>
      </w:r>
      <w:r>
        <w:rPr>
          <w:rFonts w:hint="eastAsia" w:cs="宋体"/>
          <w:sz w:val="24"/>
          <w:szCs w:val="24"/>
          <w:highlight w:val="none"/>
        </w:rPr>
        <w:fldChar w:fldCharType="separate"/>
      </w:r>
      <w:r>
        <w:rPr>
          <w:rFonts w:hint="eastAsia" w:cs="宋体"/>
          <w:sz w:val="24"/>
          <w:szCs w:val="24"/>
          <w:highlight w:val="none"/>
        </w:rPr>
        <w:t>27</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5D110E39">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_Toc20036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9. 是否采用电子招标投标</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_Toc20036 \h </w:instrText>
      </w:r>
      <w:r>
        <w:rPr>
          <w:rFonts w:hint="eastAsia" w:cs="宋体"/>
          <w:sz w:val="24"/>
          <w:szCs w:val="24"/>
          <w:highlight w:val="none"/>
        </w:rPr>
        <w:fldChar w:fldCharType="separate"/>
      </w:r>
      <w:r>
        <w:rPr>
          <w:rFonts w:hint="eastAsia" w:cs="宋体"/>
          <w:sz w:val="24"/>
          <w:szCs w:val="24"/>
          <w:highlight w:val="none"/>
        </w:rPr>
        <w:t>28</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1ECCE0C0">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_Toc21681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10. 需要补充的其他内容</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_Toc21681 \h </w:instrText>
      </w:r>
      <w:r>
        <w:rPr>
          <w:rFonts w:hint="eastAsia" w:cs="宋体"/>
          <w:sz w:val="24"/>
          <w:szCs w:val="24"/>
          <w:highlight w:val="none"/>
        </w:rPr>
        <w:fldChar w:fldCharType="separate"/>
      </w:r>
      <w:r>
        <w:rPr>
          <w:rFonts w:hint="eastAsia" w:cs="宋体"/>
          <w:sz w:val="24"/>
          <w:szCs w:val="24"/>
          <w:highlight w:val="none"/>
        </w:rPr>
        <w:t>28</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1E7C6B42">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_Toc8307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第三章  评标办法（“评定分离”定标办法）</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_Toc8307 \h </w:instrText>
      </w:r>
      <w:r>
        <w:rPr>
          <w:rFonts w:hint="eastAsia" w:cs="宋体"/>
          <w:sz w:val="24"/>
          <w:szCs w:val="24"/>
          <w:highlight w:val="none"/>
        </w:rPr>
        <w:fldChar w:fldCharType="separate"/>
      </w:r>
      <w:r>
        <w:rPr>
          <w:rFonts w:hint="eastAsia" w:cs="宋体"/>
          <w:sz w:val="24"/>
          <w:szCs w:val="24"/>
          <w:highlight w:val="none"/>
        </w:rPr>
        <w:t>35</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65683FDD">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_Toc21118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rPr>
        <w:t>评标办法前附表</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_Toc21118 \h </w:instrText>
      </w:r>
      <w:r>
        <w:rPr>
          <w:rFonts w:hint="eastAsia" w:cs="宋体"/>
          <w:sz w:val="24"/>
          <w:szCs w:val="24"/>
          <w:highlight w:val="none"/>
        </w:rPr>
        <w:fldChar w:fldCharType="separate"/>
      </w:r>
      <w:r>
        <w:rPr>
          <w:rFonts w:hint="eastAsia" w:cs="宋体"/>
          <w:sz w:val="24"/>
          <w:szCs w:val="24"/>
          <w:highlight w:val="none"/>
        </w:rPr>
        <w:t>35</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77803B9C">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_Toc9494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1. 评标方法</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_Toc9494 \h </w:instrText>
      </w:r>
      <w:r>
        <w:rPr>
          <w:rFonts w:hint="eastAsia" w:cs="宋体"/>
          <w:sz w:val="24"/>
          <w:szCs w:val="24"/>
          <w:highlight w:val="none"/>
        </w:rPr>
        <w:fldChar w:fldCharType="separate"/>
      </w:r>
      <w:r>
        <w:rPr>
          <w:rFonts w:hint="eastAsia" w:cs="宋体"/>
          <w:sz w:val="24"/>
          <w:szCs w:val="24"/>
          <w:highlight w:val="none"/>
        </w:rPr>
        <w:t>37</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71C429E4">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_Toc14612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2. 评审标准</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_Toc14612 \h </w:instrText>
      </w:r>
      <w:r>
        <w:rPr>
          <w:rFonts w:hint="eastAsia" w:cs="宋体"/>
          <w:sz w:val="24"/>
          <w:szCs w:val="24"/>
          <w:highlight w:val="none"/>
        </w:rPr>
        <w:fldChar w:fldCharType="separate"/>
      </w:r>
      <w:r>
        <w:rPr>
          <w:rFonts w:hint="eastAsia" w:cs="宋体"/>
          <w:sz w:val="24"/>
          <w:szCs w:val="24"/>
          <w:highlight w:val="none"/>
        </w:rPr>
        <w:t>37</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4CF91111">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_Toc18423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3. 评标程序</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_Toc18423 \h </w:instrText>
      </w:r>
      <w:r>
        <w:rPr>
          <w:rFonts w:hint="eastAsia" w:cs="宋体"/>
          <w:sz w:val="24"/>
          <w:szCs w:val="24"/>
          <w:highlight w:val="none"/>
        </w:rPr>
        <w:fldChar w:fldCharType="separate"/>
      </w:r>
      <w:r>
        <w:rPr>
          <w:rFonts w:hint="eastAsia" w:cs="宋体"/>
          <w:sz w:val="24"/>
          <w:szCs w:val="24"/>
          <w:highlight w:val="none"/>
        </w:rPr>
        <w:t>37</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31FBEF78">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_Toc12323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4. 定标程序</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_Toc12323 \h </w:instrText>
      </w:r>
      <w:r>
        <w:rPr>
          <w:rFonts w:hint="eastAsia" w:cs="宋体"/>
          <w:sz w:val="24"/>
          <w:szCs w:val="24"/>
          <w:highlight w:val="none"/>
        </w:rPr>
        <w:fldChar w:fldCharType="separate"/>
      </w:r>
      <w:r>
        <w:rPr>
          <w:rFonts w:hint="eastAsia" w:cs="宋体"/>
          <w:sz w:val="24"/>
          <w:szCs w:val="24"/>
          <w:highlight w:val="none"/>
        </w:rPr>
        <w:t>39</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30E049C5">
      <w:pPr>
        <w:pStyle w:val="15"/>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_Toc6356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5. 定标表格</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_Toc6356 \h </w:instrText>
      </w:r>
      <w:r>
        <w:rPr>
          <w:rFonts w:hint="eastAsia" w:cs="宋体"/>
          <w:sz w:val="24"/>
          <w:szCs w:val="24"/>
          <w:highlight w:val="none"/>
        </w:rPr>
        <w:fldChar w:fldCharType="separate"/>
      </w:r>
      <w:r>
        <w:rPr>
          <w:rFonts w:hint="eastAsia" w:cs="宋体"/>
          <w:sz w:val="24"/>
          <w:szCs w:val="24"/>
          <w:highlight w:val="none"/>
        </w:rPr>
        <w:t>40</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00EF2197">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_Toc7190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第四章  合同条款及格式</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_Toc7190 \h </w:instrText>
      </w:r>
      <w:r>
        <w:rPr>
          <w:rFonts w:hint="eastAsia" w:cs="宋体"/>
          <w:sz w:val="24"/>
          <w:szCs w:val="24"/>
          <w:highlight w:val="none"/>
        </w:rPr>
        <w:fldChar w:fldCharType="separate"/>
      </w:r>
      <w:r>
        <w:rPr>
          <w:rFonts w:hint="eastAsia" w:cs="宋体"/>
          <w:sz w:val="24"/>
          <w:szCs w:val="24"/>
          <w:highlight w:val="none"/>
        </w:rPr>
        <w:t>50</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10196406">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_Toc14209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第五章  设计任务书</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_Toc14209 \h </w:instrText>
      </w:r>
      <w:r>
        <w:rPr>
          <w:rFonts w:hint="eastAsia" w:cs="宋体"/>
          <w:sz w:val="24"/>
          <w:szCs w:val="24"/>
          <w:highlight w:val="none"/>
        </w:rPr>
        <w:fldChar w:fldCharType="separate"/>
      </w:r>
      <w:r>
        <w:rPr>
          <w:rFonts w:hint="eastAsia" w:cs="宋体"/>
          <w:sz w:val="24"/>
          <w:szCs w:val="24"/>
          <w:highlight w:val="none"/>
        </w:rPr>
        <w:t>51</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6BC04C81">
      <w:pPr>
        <w:pStyle w:val="23"/>
        <w:tabs>
          <w:tab w:val="right" w:leader="dot" w:pos="9027"/>
        </w:tabs>
        <w:spacing w:line="360" w:lineRule="auto"/>
        <w:rPr>
          <w:rFonts w:hint="eastAsia" w:cs="宋体"/>
          <w:sz w:val="24"/>
          <w:szCs w:val="24"/>
          <w:highlight w:val="none"/>
        </w:rPr>
      </w:pPr>
      <w:r>
        <w:rPr>
          <w:rFonts w:ascii="宋体" w:hAnsi="宋体" w:eastAsia="宋体" w:cs="宋体"/>
          <w:sz w:val="24"/>
          <w:szCs w:val="24"/>
          <w:highlight w:val="none"/>
          <w:lang w:eastAsia="zh-CN"/>
        </w:rPr>
        <w:fldChar w:fldCharType="begin"/>
      </w:r>
      <w:r>
        <w:rPr>
          <w:rFonts w:ascii="宋体" w:hAnsi="宋体" w:eastAsia="宋体" w:cs="宋体"/>
          <w:sz w:val="24"/>
          <w:szCs w:val="24"/>
          <w:highlight w:val="none"/>
          <w:lang w:eastAsia="zh-CN"/>
        </w:rPr>
        <w:instrText xml:space="preserve"> HYPERLINK \l _Toc7713 </w:instrText>
      </w:r>
      <w:r>
        <w:rPr>
          <w:rFonts w:ascii="宋体" w:hAnsi="宋体" w:eastAsia="宋体" w:cs="宋体"/>
          <w:sz w:val="24"/>
          <w:szCs w:val="24"/>
          <w:highlight w:val="none"/>
          <w:lang w:eastAsia="zh-CN"/>
        </w:rPr>
        <w:fldChar w:fldCharType="separate"/>
      </w:r>
      <w:r>
        <w:rPr>
          <w:rFonts w:hint="eastAsia" w:ascii="宋体" w:hAnsi="宋体" w:eastAsia="宋体" w:cs="宋体"/>
          <w:sz w:val="24"/>
          <w:szCs w:val="24"/>
          <w:highlight w:val="none"/>
          <w:lang w:eastAsia="zh-CN"/>
        </w:rPr>
        <w:t>第六章  投标文件格式</w:t>
      </w:r>
      <w:r>
        <w:rPr>
          <w:rFonts w:hint="eastAsia" w:cs="宋体"/>
          <w:sz w:val="24"/>
          <w:szCs w:val="24"/>
          <w:highlight w:val="none"/>
        </w:rPr>
        <w:tab/>
      </w:r>
      <w:r>
        <w:rPr>
          <w:rFonts w:hint="eastAsia" w:cs="宋体"/>
          <w:sz w:val="24"/>
          <w:szCs w:val="24"/>
          <w:highlight w:val="none"/>
        </w:rPr>
        <w:fldChar w:fldCharType="begin"/>
      </w:r>
      <w:r>
        <w:rPr>
          <w:rFonts w:hint="eastAsia" w:cs="宋体"/>
          <w:sz w:val="24"/>
          <w:szCs w:val="24"/>
          <w:highlight w:val="none"/>
        </w:rPr>
        <w:instrText xml:space="preserve"> PAGEREF _Toc7713 \h </w:instrText>
      </w:r>
      <w:r>
        <w:rPr>
          <w:rFonts w:hint="eastAsia" w:cs="宋体"/>
          <w:sz w:val="24"/>
          <w:szCs w:val="24"/>
          <w:highlight w:val="none"/>
        </w:rPr>
        <w:fldChar w:fldCharType="separate"/>
      </w:r>
      <w:r>
        <w:rPr>
          <w:rFonts w:hint="eastAsia" w:cs="宋体"/>
          <w:sz w:val="24"/>
          <w:szCs w:val="24"/>
          <w:highlight w:val="none"/>
        </w:rPr>
        <w:t>52</w:t>
      </w:r>
      <w:r>
        <w:rPr>
          <w:rFonts w:hint="eastAsia" w:cs="宋体"/>
          <w:sz w:val="24"/>
          <w:szCs w:val="24"/>
          <w:highlight w:val="none"/>
        </w:rPr>
        <w:fldChar w:fldCharType="end"/>
      </w:r>
      <w:r>
        <w:rPr>
          <w:rFonts w:ascii="宋体" w:hAnsi="宋体" w:eastAsia="宋体" w:cs="宋体"/>
          <w:sz w:val="24"/>
          <w:szCs w:val="24"/>
          <w:highlight w:val="none"/>
          <w:lang w:eastAsia="zh-CN"/>
        </w:rPr>
        <w:fldChar w:fldCharType="end"/>
      </w:r>
    </w:p>
    <w:p w14:paraId="34C38A87">
      <w:pPr>
        <w:tabs>
          <w:tab w:val="left" w:pos="561"/>
          <w:tab w:val="center" w:pos="4513"/>
          <w:tab w:val="left" w:pos="5723"/>
        </w:tabs>
        <w:spacing w:line="360" w:lineRule="auto"/>
        <w:jc w:val="both"/>
        <w:rPr>
          <w:rFonts w:ascii="宋体" w:hAnsi="宋体" w:eastAsia="宋体" w:cs="宋体"/>
          <w:sz w:val="24"/>
          <w:szCs w:val="24"/>
          <w:highlight w:val="none"/>
          <w:lang w:eastAsia="zh-CN"/>
        </w:rPr>
      </w:pPr>
      <w:r>
        <w:rPr>
          <w:rFonts w:ascii="宋体" w:hAnsi="宋体" w:eastAsia="宋体" w:cs="宋体"/>
          <w:sz w:val="24"/>
          <w:szCs w:val="24"/>
          <w:highlight w:val="none"/>
          <w:lang w:eastAsia="zh-CN"/>
        </w:rPr>
        <w:fldChar w:fldCharType="end"/>
      </w:r>
    </w:p>
    <w:p w14:paraId="1937EBB8">
      <w:pPr>
        <w:rPr>
          <w:rFonts w:hint="eastAsia" w:ascii="宋体" w:hAnsi="宋体" w:eastAsia="宋体" w:cs="宋体"/>
          <w:sz w:val="20"/>
          <w:szCs w:val="20"/>
          <w:highlight w:val="none"/>
          <w:lang w:eastAsia="zh-CN"/>
        </w:rPr>
      </w:pPr>
      <w:r>
        <w:rPr>
          <w:rFonts w:ascii="宋体" w:hAnsi="宋体" w:eastAsia="宋体" w:cs="宋体"/>
          <w:sz w:val="24"/>
          <w:szCs w:val="24"/>
          <w:highlight w:val="none"/>
          <w:lang w:eastAsia="zh-CN"/>
        </w:rPr>
        <w:br w:type="page"/>
      </w:r>
      <w:bookmarkStart w:id="0" w:name="_Toc25137978"/>
      <w:bookmarkStart w:id="1" w:name="_Toc25152728"/>
    </w:p>
    <w:p w14:paraId="27E3D04A">
      <w:pPr>
        <w:rPr>
          <w:rFonts w:hint="eastAsia" w:ascii="宋体" w:hAnsi="宋体" w:eastAsia="宋体" w:cs="宋体"/>
          <w:sz w:val="20"/>
          <w:szCs w:val="20"/>
          <w:highlight w:val="none"/>
          <w:lang w:eastAsia="zh-CN"/>
        </w:rPr>
      </w:pPr>
    </w:p>
    <w:p w14:paraId="2203E0F0">
      <w:pPr>
        <w:rPr>
          <w:rFonts w:hint="eastAsia" w:ascii="宋体" w:hAnsi="宋体" w:eastAsia="宋体" w:cs="宋体"/>
          <w:sz w:val="20"/>
          <w:szCs w:val="20"/>
          <w:highlight w:val="none"/>
          <w:lang w:eastAsia="zh-CN"/>
        </w:rPr>
      </w:pPr>
    </w:p>
    <w:p w14:paraId="0D7EF71D">
      <w:pPr>
        <w:rPr>
          <w:rFonts w:hint="eastAsia" w:ascii="宋体" w:hAnsi="宋体" w:eastAsia="宋体" w:cs="宋体"/>
          <w:sz w:val="20"/>
          <w:szCs w:val="20"/>
          <w:highlight w:val="none"/>
          <w:lang w:eastAsia="zh-CN"/>
        </w:rPr>
      </w:pPr>
    </w:p>
    <w:p w14:paraId="4A7B3402">
      <w:pPr>
        <w:rPr>
          <w:rFonts w:hint="eastAsia" w:ascii="宋体" w:hAnsi="宋体" w:eastAsia="宋体" w:cs="宋体"/>
          <w:sz w:val="20"/>
          <w:szCs w:val="20"/>
          <w:highlight w:val="none"/>
          <w:lang w:eastAsia="zh-CN"/>
        </w:rPr>
      </w:pPr>
    </w:p>
    <w:bookmarkEnd w:id="0"/>
    <w:bookmarkEnd w:id="1"/>
    <w:p w14:paraId="2413F737">
      <w:pPr>
        <w:pStyle w:val="3"/>
        <w:jc w:val="center"/>
        <w:rPr>
          <w:rFonts w:ascii="宋体" w:hAnsi="宋体" w:eastAsia="宋体"/>
          <w:highlight w:val="none"/>
          <w:lang w:eastAsia="zh-CN"/>
        </w:rPr>
      </w:pPr>
      <w:bookmarkStart w:id="2" w:name="_Toc25152729"/>
      <w:bookmarkStart w:id="3" w:name="_Toc25137979"/>
      <w:bookmarkStart w:id="4" w:name="_Toc18216"/>
      <w:r>
        <w:rPr>
          <w:rFonts w:ascii="宋体" w:hAnsi="宋体" w:eastAsia="宋体"/>
          <w:highlight w:val="none"/>
          <w:lang w:eastAsia="zh-CN"/>
        </w:rPr>
        <w:t>第一章</w:t>
      </w:r>
      <w:r>
        <w:rPr>
          <w:rFonts w:hint="eastAsia" w:ascii="宋体" w:hAnsi="宋体" w:eastAsia="宋体"/>
          <w:highlight w:val="none"/>
          <w:lang w:eastAsia="zh-CN"/>
        </w:rPr>
        <w:t xml:space="preserve">  </w:t>
      </w:r>
      <w:r>
        <w:rPr>
          <w:rFonts w:ascii="宋体" w:hAnsi="宋体" w:eastAsia="宋体"/>
          <w:highlight w:val="none"/>
          <w:lang w:eastAsia="zh-CN"/>
        </w:rPr>
        <w:t>招标公告</w:t>
      </w:r>
      <w:bookmarkEnd w:id="2"/>
      <w:bookmarkEnd w:id="3"/>
      <w:bookmarkEnd w:id="4"/>
    </w:p>
    <w:p w14:paraId="2BDEC0A4">
      <w:pPr>
        <w:pStyle w:val="30"/>
        <w:spacing w:after="0" w:line="360" w:lineRule="auto"/>
        <w:ind w:left="0" w:leftChars="0" w:firstLine="482"/>
        <w:jc w:val="center"/>
        <w:rPr>
          <w:rFonts w:hint="eastAsia" w:ascii="宋体" w:hAnsi="宋体" w:eastAsia="宋体" w:cs="Times New Roman"/>
          <w:b/>
          <w:bCs/>
          <w:kern w:val="0"/>
          <w:sz w:val="44"/>
          <w:szCs w:val="44"/>
          <w:highlight w:val="none"/>
          <w:lang w:val="en-US" w:eastAsia="zh-CN" w:bidi="ar-SA"/>
        </w:rPr>
      </w:pPr>
    </w:p>
    <w:p w14:paraId="7AF90D8B">
      <w:pPr>
        <w:pStyle w:val="30"/>
        <w:spacing w:after="0" w:line="360" w:lineRule="auto"/>
        <w:ind w:left="0" w:leftChars="0" w:firstLine="482"/>
        <w:jc w:val="center"/>
        <w:rPr>
          <w:rFonts w:hint="eastAsia" w:ascii="宋体" w:hAnsi="宋体" w:eastAsia="宋体" w:cs="Times New Roman"/>
          <w:b/>
          <w:bCs/>
          <w:kern w:val="0"/>
          <w:sz w:val="36"/>
          <w:szCs w:val="36"/>
          <w:highlight w:val="none"/>
          <w:lang w:val="en-US" w:eastAsia="zh-CN" w:bidi="ar-SA"/>
        </w:rPr>
      </w:pPr>
      <w:r>
        <w:rPr>
          <w:rFonts w:hint="eastAsia" w:ascii="宋体" w:hAnsi="宋体" w:eastAsia="宋体" w:cs="Times New Roman"/>
          <w:b/>
          <w:bCs/>
          <w:kern w:val="0"/>
          <w:sz w:val="36"/>
          <w:szCs w:val="36"/>
          <w:highlight w:val="none"/>
          <w:lang w:val="en-US" w:eastAsia="zh-CN" w:bidi="ar-SA"/>
        </w:rPr>
        <w:t>（另册）</w:t>
      </w:r>
    </w:p>
    <w:p w14:paraId="25262AAE">
      <w:pPr>
        <w:pStyle w:val="30"/>
        <w:spacing w:after="0" w:line="360" w:lineRule="auto"/>
        <w:ind w:left="0" w:leftChars="0" w:firstLine="482"/>
        <w:jc w:val="center"/>
        <w:rPr>
          <w:rFonts w:hint="eastAsia" w:ascii="宋体" w:hAnsi="宋体" w:eastAsia="宋体" w:cs="Times New Roman"/>
          <w:b/>
          <w:bCs/>
          <w:kern w:val="0"/>
          <w:sz w:val="44"/>
          <w:szCs w:val="44"/>
          <w:highlight w:val="none"/>
          <w:lang w:val="en-US" w:eastAsia="zh-CN" w:bidi="ar-SA"/>
        </w:rPr>
      </w:pPr>
    </w:p>
    <w:p w14:paraId="47587A99">
      <w:pPr>
        <w:rPr>
          <w:rFonts w:hint="eastAsia" w:ascii="宋体" w:hAnsi="宋体" w:eastAsia="宋体" w:cs="宋体"/>
          <w:sz w:val="20"/>
          <w:szCs w:val="20"/>
          <w:highlight w:val="none"/>
          <w:lang w:eastAsia="zh-CN"/>
        </w:rPr>
      </w:pPr>
      <w:r>
        <w:rPr>
          <w:highlight w:val="none"/>
          <w:lang w:eastAsia="zh-CN"/>
        </w:rPr>
        <w:br w:type="page"/>
      </w:r>
    </w:p>
    <w:p w14:paraId="5E8A9C34">
      <w:pPr>
        <w:pStyle w:val="3"/>
        <w:ind w:left="0" w:leftChars="0" w:firstLine="0" w:firstLineChars="0"/>
        <w:jc w:val="center"/>
        <w:rPr>
          <w:rFonts w:ascii="宋体" w:hAnsi="宋体" w:eastAsia="宋体"/>
          <w:highlight w:val="none"/>
          <w:lang w:eastAsia="zh-CN"/>
        </w:rPr>
      </w:pPr>
      <w:bookmarkStart w:id="5" w:name="_Toc6797"/>
      <w:r>
        <w:rPr>
          <w:rFonts w:ascii="宋体" w:hAnsi="宋体" w:eastAsia="宋体"/>
          <w:highlight w:val="none"/>
          <w:lang w:eastAsia="zh-CN"/>
        </w:rPr>
        <w:t>第二章</w:t>
      </w:r>
      <w:r>
        <w:rPr>
          <w:rFonts w:hint="eastAsia" w:ascii="宋体" w:hAnsi="宋体" w:eastAsia="宋体"/>
          <w:highlight w:val="none"/>
          <w:lang w:eastAsia="zh-CN"/>
        </w:rPr>
        <w:t xml:space="preserve">  </w:t>
      </w:r>
      <w:r>
        <w:rPr>
          <w:rFonts w:ascii="宋体" w:hAnsi="宋体" w:eastAsia="宋体"/>
          <w:highlight w:val="none"/>
          <w:lang w:eastAsia="zh-CN"/>
        </w:rPr>
        <w:t>投标人须知</w:t>
      </w:r>
      <w:bookmarkEnd w:id="5"/>
    </w:p>
    <w:p w14:paraId="512CD595">
      <w:pPr>
        <w:pStyle w:val="4"/>
        <w:ind w:left="0"/>
        <w:rPr>
          <w:rFonts w:ascii="宋体" w:hAnsi="宋体" w:eastAsia="宋体"/>
          <w:highlight w:val="none"/>
          <w:lang w:eastAsia="zh-CN"/>
        </w:rPr>
      </w:pPr>
    </w:p>
    <w:p w14:paraId="5A681991">
      <w:pPr>
        <w:pStyle w:val="4"/>
        <w:ind w:left="0"/>
        <w:jc w:val="center"/>
        <w:rPr>
          <w:rFonts w:ascii="宋体" w:hAnsi="宋体" w:eastAsia="宋体" w:cs="Microsoft JhengHei"/>
          <w:b w:val="0"/>
          <w:bCs w:val="0"/>
          <w:sz w:val="20"/>
          <w:szCs w:val="20"/>
          <w:highlight w:val="none"/>
          <w:lang w:eastAsia="zh-CN"/>
        </w:rPr>
      </w:pPr>
      <w:bookmarkStart w:id="6" w:name="_Toc12531"/>
      <w:bookmarkStart w:id="7" w:name="_Toc25152731"/>
      <w:bookmarkStart w:id="8" w:name="_Toc25137981"/>
      <w:r>
        <w:rPr>
          <w:rFonts w:ascii="宋体" w:hAnsi="宋体" w:eastAsia="宋体"/>
          <w:highlight w:val="none"/>
          <w:lang w:eastAsia="zh-CN"/>
        </w:rPr>
        <w:t>投标人须知前附表</w:t>
      </w:r>
      <w:bookmarkEnd w:id="6"/>
      <w:bookmarkEnd w:id="7"/>
      <w:bookmarkEnd w:id="8"/>
    </w:p>
    <w:p w14:paraId="342C66FC">
      <w:pPr>
        <w:spacing w:before="12"/>
        <w:rPr>
          <w:rFonts w:ascii="宋体" w:hAnsi="宋体" w:eastAsia="宋体" w:cs="Microsoft JhengHei"/>
          <w:b/>
          <w:bCs/>
          <w:sz w:val="12"/>
          <w:szCs w:val="12"/>
          <w:highlight w:val="none"/>
          <w:lang w:eastAsia="zh-CN"/>
        </w:rPr>
      </w:pPr>
    </w:p>
    <w:tbl>
      <w:tblPr>
        <w:tblStyle w:val="31"/>
        <w:tblW w:w="51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90"/>
        <w:gridCol w:w="1707"/>
        <w:gridCol w:w="6640"/>
      </w:tblGrid>
      <w:tr w14:paraId="6D96D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blHeader/>
        </w:trPr>
        <w:tc>
          <w:tcPr>
            <w:tcW w:w="530" w:type="pct"/>
            <w:noWrap w:val="0"/>
            <w:vAlign w:val="center"/>
          </w:tcPr>
          <w:p w14:paraId="6A9F643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Microsoft JhengHei"/>
                <w:sz w:val="21"/>
                <w:szCs w:val="21"/>
                <w:highlight w:val="none"/>
              </w:rPr>
            </w:pPr>
            <w:r>
              <w:rPr>
                <w:rFonts w:ascii="宋体" w:hAnsi="宋体" w:eastAsia="宋体" w:cs="Microsoft JhengHei"/>
                <w:b/>
                <w:bCs/>
                <w:sz w:val="21"/>
                <w:szCs w:val="21"/>
                <w:highlight w:val="none"/>
              </w:rPr>
              <w:t>条款号</w:t>
            </w:r>
          </w:p>
        </w:tc>
        <w:tc>
          <w:tcPr>
            <w:tcW w:w="914" w:type="pct"/>
            <w:noWrap w:val="0"/>
            <w:vAlign w:val="center"/>
          </w:tcPr>
          <w:p w14:paraId="5A53790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Microsoft JhengHei"/>
                <w:sz w:val="21"/>
                <w:szCs w:val="21"/>
                <w:highlight w:val="none"/>
              </w:rPr>
            </w:pPr>
            <w:r>
              <w:rPr>
                <w:rFonts w:ascii="宋体" w:hAnsi="宋体" w:eastAsia="宋体" w:cs="Microsoft JhengHei"/>
                <w:b/>
                <w:bCs/>
                <w:sz w:val="21"/>
                <w:szCs w:val="21"/>
                <w:highlight w:val="none"/>
              </w:rPr>
              <w:t>条款名称</w:t>
            </w:r>
          </w:p>
        </w:tc>
        <w:tc>
          <w:tcPr>
            <w:tcW w:w="3554" w:type="pct"/>
            <w:noWrap w:val="0"/>
            <w:vAlign w:val="center"/>
          </w:tcPr>
          <w:p w14:paraId="25B76800">
            <w:pPr>
              <w:pStyle w:val="60"/>
              <w:keepNext w:val="0"/>
              <w:keepLines w:val="0"/>
              <w:pageBreakBefore w:val="0"/>
              <w:widowControl w:val="0"/>
              <w:wordWrap/>
              <w:autoSpaceDE/>
              <w:autoSpaceDN/>
              <w:bidi w:val="0"/>
              <w:adjustRightInd/>
              <w:spacing w:line="360" w:lineRule="exact"/>
              <w:ind w:left="37" w:leftChars="17" w:right="37" w:rightChars="17"/>
              <w:jc w:val="center"/>
              <w:textAlignment w:val="auto"/>
              <w:rPr>
                <w:rFonts w:ascii="宋体" w:hAnsi="宋体" w:eastAsia="宋体" w:cs="Microsoft JhengHei"/>
                <w:sz w:val="21"/>
                <w:szCs w:val="21"/>
                <w:highlight w:val="none"/>
              </w:rPr>
            </w:pPr>
            <w:r>
              <w:rPr>
                <w:rFonts w:ascii="宋体" w:hAnsi="宋体" w:eastAsia="宋体" w:cs="Microsoft JhengHei"/>
                <w:b/>
                <w:bCs/>
                <w:sz w:val="21"/>
                <w:szCs w:val="21"/>
                <w:highlight w:val="none"/>
              </w:rPr>
              <w:t>编列内容</w:t>
            </w:r>
          </w:p>
        </w:tc>
      </w:tr>
      <w:tr w14:paraId="5C43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83A1E8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1.1.2</w:t>
            </w:r>
          </w:p>
        </w:tc>
        <w:tc>
          <w:tcPr>
            <w:tcW w:w="914" w:type="pct"/>
            <w:noWrap w:val="0"/>
            <w:vAlign w:val="center"/>
          </w:tcPr>
          <w:p w14:paraId="7F4F5760">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招标人</w:t>
            </w:r>
          </w:p>
        </w:tc>
        <w:tc>
          <w:tcPr>
            <w:tcW w:w="3554" w:type="pct"/>
            <w:noWrap w:val="0"/>
            <w:vAlign w:val="center"/>
          </w:tcPr>
          <w:p w14:paraId="798390AC">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名称：广州珠江啤酒股份有限公司</w:t>
            </w:r>
          </w:p>
          <w:p w14:paraId="372EA605">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地址：广州市海珠区磨碟沙大街118号</w:t>
            </w:r>
          </w:p>
          <w:p w14:paraId="7A74512D">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联系</w:t>
            </w:r>
            <w:r>
              <w:rPr>
                <w:rFonts w:hint="eastAsia" w:ascii="宋体" w:hAnsi="宋体" w:eastAsia="宋体" w:cs="Times New Roman"/>
                <w:color w:val="auto"/>
                <w:spacing w:val="0"/>
                <w:sz w:val="21"/>
                <w:szCs w:val="21"/>
                <w:highlight w:val="none"/>
                <w:lang w:eastAsia="zh-CN"/>
              </w:rPr>
              <w:t>人</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李工</w:t>
            </w:r>
          </w:p>
          <w:p w14:paraId="6F13D636">
            <w:pPr>
              <w:spacing w:line="360" w:lineRule="exact"/>
              <w:ind w:left="37" w:leftChars="17" w:right="37" w:rightChars="17"/>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电话：020-80927645</w:t>
            </w:r>
          </w:p>
        </w:tc>
      </w:tr>
      <w:tr w14:paraId="337FD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77B4D1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1.1.3</w:t>
            </w:r>
          </w:p>
        </w:tc>
        <w:tc>
          <w:tcPr>
            <w:tcW w:w="914" w:type="pct"/>
            <w:noWrap w:val="0"/>
            <w:vAlign w:val="center"/>
          </w:tcPr>
          <w:p w14:paraId="7BD155CB">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招标代理机构</w:t>
            </w:r>
          </w:p>
        </w:tc>
        <w:tc>
          <w:tcPr>
            <w:tcW w:w="3554" w:type="pct"/>
            <w:noWrap w:val="0"/>
            <w:vAlign w:val="center"/>
          </w:tcPr>
          <w:p w14:paraId="40E9613F">
            <w:pPr>
              <w:spacing w:line="360" w:lineRule="exact"/>
              <w:ind w:left="37" w:leftChars="17" w:right="37" w:rightChars="17"/>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名称：广州市国际工程咨询有限公司</w:t>
            </w:r>
          </w:p>
          <w:p w14:paraId="3E569D9E">
            <w:pPr>
              <w:spacing w:line="360" w:lineRule="exact"/>
              <w:ind w:left="37" w:leftChars="17" w:right="37" w:rightChars="17"/>
              <w:jc w:val="both"/>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地址：广州市寺右新马路111号五羊新城广场8楼821</w:t>
            </w:r>
          </w:p>
          <w:p w14:paraId="5DA8DDAD">
            <w:pPr>
              <w:spacing w:line="360" w:lineRule="exact"/>
              <w:ind w:left="37" w:leftChars="17" w:right="37" w:rightChars="17"/>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联系人：</w:t>
            </w:r>
            <w:r>
              <w:rPr>
                <w:rFonts w:hint="eastAsia" w:ascii="宋体" w:hAnsi="宋体" w:eastAsia="宋体" w:cs="Times New Roman"/>
                <w:color w:val="auto"/>
                <w:sz w:val="21"/>
                <w:szCs w:val="21"/>
                <w:highlight w:val="none"/>
                <w:lang w:val="en-US" w:eastAsia="zh-CN"/>
              </w:rPr>
              <w:t>张工</w:t>
            </w:r>
          </w:p>
          <w:p w14:paraId="0A2ED6AE">
            <w:pPr>
              <w:spacing w:line="360" w:lineRule="exact"/>
              <w:ind w:left="37" w:leftChars="17" w:right="37" w:rightChars="17"/>
              <w:jc w:val="both"/>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lang w:eastAsia="zh-CN"/>
              </w:rPr>
              <w:t>电话：020-87386919转508</w:t>
            </w:r>
          </w:p>
        </w:tc>
      </w:tr>
      <w:tr w14:paraId="3DF9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F1BACF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1.1.4</w:t>
            </w:r>
          </w:p>
        </w:tc>
        <w:tc>
          <w:tcPr>
            <w:tcW w:w="914" w:type="pct"/>
            <w:noWrap w:val="0"/>
            <w:vAlign w:val="center"/>
          </w:tcPr>
          <w:p w14:paraId="5AA03587">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招标项目名称</w:t>
            </w:r>
          </w:p>
        </w:tc>
        <w:tc>
          <w:tcPr>
            <w:tcW w:w="3554" w:type="pct"/>
            <w:noWrap w:val="0"/>
            <w:vAlign w:val="center"/>
          </w:tcPr>
          <w:p w14:paraId="15B1348A">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珠江·琶醍啤酒文化创意园区改造升级项目—酒店室内精装修设计</w:t>
            </w:r>
          </w:p>
        </w:tc>
      </w:tr>
      <w:tr w14:paraId="7C37D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0E0D78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1.1.5</w:t>
            </w:r>
          </w:p>
        </w:tc>
        <w:tc>
          <w:tcPr>
            <w:tcW w:w="914" w:type="pct"/>
            <w:noWrap w:val="0"/>
            <w:vAlign w:val="center"/>
          </w:tcPr>
          <w:p w14:paraId="7266E64C">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项目建设地点</w:t>
            </w:r>
          </w:p>
        </w:tc>
        <w:tc>
          <w:tcPr>
            <w:tcW w:w="3554" w:type="pct"/>
            <w:noWrap w:val="0"/>
            <w:vAlign w:val="center"/>
          </w:tcPr>
          <w:p w14:paraId="3748C6C3">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详见招标公告</w:t>
            </w:r>
          </w:p>
        </w:tc>
      </w:tr>
      <w:tr w14:paraId="71DC6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BD1337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1.1.6</w:t>
            </w:r>
          </w:p>
        </w:tc>
        <w:tc>
          <w:tcPr>
            <w:tcW w:w="914" w:type="pct"/>
            <w:noWrap w:val="0"/>
            <w:vAlign w:val="center"/>
          </w:tcPr>
          <w:p w14:paraId="5AB41D61">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项目建设规模</w:t>
            </w:r>
          </w:p>
        </w:tc>
        <w:tc>
          <w:tcPr>
            <w:tcW w:w="3554" w:type="pct"/>
            <w:noWrap w:val="0"/>
            <w:vAlign w:val="center"/>
          </w:tcPr>
          <w:p w14:paraId="1CA3AEB9">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rPr>
            </w:pPr>
            <w:r>
              <w:rPr>
                <w:rFonts w:hint="eastAsia" w:ascii="宋体" w:hAnsi="宋体" w:eastAsia="宋体"/>
                <w:sz w:val="21"/>
                <w:szCs w:val="21"/>
                <w:highlight w:val="none"/>
                <w:lang w:eastAsia="zh-CN"/>
              </w:rPr>
              <w:t>详见招标公告</w:t>
            </w:r>
          </w:p>
        </w:tc>
      </w:tr>
      <w:tr w14:paraId="1E5A6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D42C1A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1.1.7</w:t>
            </w:r>
          </w:p>
        </w:tc>
        <w:tc>
          <w:tcPr>
            <w:tcW w:w="914" w:type="pct"/>
            <w:noWrap w:val="0"/>
            <w:vAlign w:val="center"/>
          </w:tcPr>
          <w:p w14:paraId="70641202">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项目投资估算</w:t>
            </w:r>
          </w:p>
        </w:tc>
        <w:tc>
          <w:tcPr>
            <w:tcW w:w="3554" w:type="pct"/>
            <w:noWrap w:val="0"/>
            <w:vAlign w:val="center"/>
          </w:tcPr>
          <w:p w14:paraId="19F4C4D8">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rPr>
            </w:pPr>
            <w:r>
              <w:rPr>
                <w:rFonts w:hint="eastAsia" w:ascii="宋体" w:hAnsi="宋体" w:eastAsia="宋体"/>
                <w:sz w:val="21"/>
                <w:szCs w:val="21"/>
                <w:highlight w:val="none"/>
                <w:lang w:eastAsia="zh-CN"/>
              </w:rPr>
              <w:t>详见招标公告</w:t>
            </w:r>
          </w:p>
        </w:tc>
      </w:tr>
      <w:tr w14:paraId="02F3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193740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1.2.1</w:t>
            </w:r>
          </w:p>
        </w:tc>
        <w:tc>
          <w:tcPr>
            <w:tcW w:w="914" w:type="pct"/>
            <w:noWrap w:val="0"/>
            <w:vAlign w:val="center"/>
          </w:tcPr>
          <w:p w14:paraId="619F1A3C">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资金来源及比例</w:t>
            </w:r>
          </w:p>
        </w:tc>
        <w:tc>
          <w:tcPr>
            <w:tcW w:w="3554" w:type="pct"/>
            <w:noWrap w:val="0"/>
            <w:vAlign w:val="center"/>
          </w:tcPr>
          <w:p w14:paraId="13B637F2">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企业自筹资金，100%</w:t>
            </w:r>
          </w:p>
        </w:tc>
      </w:tr>
      <w:tr w14:paraId="1E0A6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0E8324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1.2.2</w:t>
            </w:r>
          </w:p>
        </w:tc>
        <w:tc>
          <w:tcPr>
            <w:tcW w:w="914" w:type="pct"/>
            <w:noWrap w:val="0"/>
            <w:vAlign w:val="center"/>
          </w:tcPr>
          <w:p w14:paraId="00E92198">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资金落实情况</w:t>
            </w:r>
          </w:p>
        </w:tc>
        <w:tc>
          <w:tcPr>
            <w:tcW w:w="3554" w:type="pct"/>
            <w:noWrap w:val="0"/>
            <w:vAlign w:val="center"/>
          </w:tcPr>
          <w:p w14:paraId="77A9655A">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已落实</w:t>
            </w:r>
          </w:p>
        </w:tc>
      </w:tr>
      <w:tr w14:paraId="37C2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3E3B09C">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1.3.1</w:t>
            </w:r>
          </w:p>
        </w:tc>
        <w:tc>
          <w:tcPr>
            <w:tcW w:w="914" w:type="pct"/>
            <w:noWrap w:val="0"/>
            <w:vAlign w:val="center"/>
          </w:tcPr>
          <w:p w14:paraId="550AED9E">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招标范围</w:t>
            </w:r>
          </w:p>
        </w:tc>
        <w:tc>
          <w:tcPr>
            <w:tcW w:w="3554" w:type="pct"/>
            <w:noWrap w:val="0"/>
            <w:vAlign w:val="center"/>
          </w:tcPr>
          <w:p w14:paraId="33DF1DD5">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rPr>
            </w:pPr>
            <w:r>
              <w:rPr>
                <w:rFonts w:hint="eastAsia" w:ascii="宋体" w:hAnsi="宋体" w:eastAsia="宋体"/>
                <w:sz w:val="21"/>
                <w:szCs w:val="21"/>
                <w:highlight w:val="none"/>
                <w:lang w:eastAsia="zh-CN"/>
              </w:rPr>
              <w:t>详见招标公告</w:t>
            </w:r>
          </w:p>
        </w:tc>
      </w:tr>
      <w:tr w14:paraId="4EBA5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113318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1.3.2</w:t>
            </w:r>
          </w:p>
        </w:tc>
        <w:tc>
          <w:tcPr>
            <w:tcW w:w="914" w:type="pct"/>
            <w:noWrap w:val="0"/>
            <w:vAlign w:val="center"/>
          </w:tcPr>
          <w:p w14:paraId="72D61A11">
            <w:pPr>
              <w:pStyle w:val="60"/>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设计服务期限</w:t>
            </w:r>
          </w:p>
        </w:tc>
        <w:tc>
          <w:tcPr>
            <w:tcW w:w="3554" w:type="pct"/>
            <w:noWrap w:val="0"/>
            <w:vAlign w:val="center"/>
          </w:tcPr>
          <w:p w14:paraId="34A91E00">
            <w:pPr>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both"/>
              <w:textAlignment w:val="auto"/>
              <w:rPr>
                <w:rFonts w:ascii="宋体" w:hAnsi="宋体" w:eastAsia="宋体"/>
                <w:sz w:val="21"/>
                <w:szCs w:val="21"/>
                <w:highlight w:val="none"/>
              </w:rPr>
            </w:pPr>
            <w:r>
              <w:rPr>
                <w:rFonts w:hint="eastAsia" w:ascii="宋体" w:hAnsi="宋体" w:eastAsia="宋体"/>
                <w:sz w:val="21"/>
                <w:szCs w:val="21"/>
                <w:highlight w:val="none"/>
                <w:lang w:eastAsia="zh-CN"/>
              </w:rPr>
              <w:t>详见招标公告</w:t>
            </w:r>
          </w:p>
        </w:tc>
      </w:tr>
      <w:tr w14:paraId="54042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89487F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1.3.3</w:t>
            </w:r>
          </w:p>
        </w:tc>
        <w:tc>
          <w:tcPr>
            <w:tcW w:w="914" w:type="pct"/>
            <w:noWrap w:val="0"/>
            <w:vAlign w:val="center"/>
          </w:tcPr>
          <w:p w14:paraId="707A022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质量标准</w:t>
            </w:r>
          </w:p>
        </w:tc>
        <w:tc>
          <w:tcPr>
            <w:tcW w:w="3554" w:type="pct"/>
            <w:noWrap w:val="0"/>
            <w:vAlign w:val="center"/>
          </w:tcPr>
          <w:p w14:paraId="3DDF8162">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color w:val="auto"/>
                <w:sz w:val="21"/>
                <w:szCs w:val="21"/>
                <w:highlight w:val="none"/>
                <w:lang w:eastAsia="zh-CN"/>
              </w:rPr>
              <w:t>符合国家及地方有关工程设计管理法规和规章，达到行业相关规范技术标准等要求</w:t>
            </w:r>
            <w:r>
              <w:rPr>
                <w:rFonts w:hint="eastAsia" w:ascii="宋体" w:hAnsi="宋体" w:eastAsia="宋体"/>
                <w:sz w:val="21"/>
                <w:szCs w:val="21"/>
                <w:highlight w:val="none"/>
                <w:lang w:eastAsia="zh-CN"/>
              </w:rPr>
              <w:t>。</w:t>
            </w:r>
          </w:p>
        </w:tc>
      </w:tr>
      <w:tr w14:paraId="76C2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E2F8ED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1.4.1</w:t>
            </w:r>
          </w:p>
        </w:tc>
        <w:tc>
          <w:tcPr>
            <w:tcW w:w="914" w:type="pct"/>
            <w:noWrap w:val="0"/>
            <w:vAlign w:val="center"/>
          </w:tcPr>
          <w:p w14:paraId="7D7E06C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投标人资质条件、能力、信誉</w:t>
            </w:r>
          </w:p>
        </w:tc>
        <w:tc>
          <w:tcPr>
            <w:tcW w:w="3554" w:type="pct"/>
            <w:noWrap w:val="0"/>
            <w:vAlign w:val="center"/>
          </w:tcPr>
          <w:p w14:paraId="24E35970">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1</w:t>
            </w:r>
            <w:r>
              <w:rPr>
                <w:rFonts w:hint="eastAsia" w:ascii="宋体" w:hAnsi="宋体" w:eastAsia="宋体" w:cs="宋体"/>
                <w:sz w:val="21"/>
                <w:szCs w:val="21"/>
                <w:highlight w:val="none"/>
                <w:lang w:eastAsia="zh-CN"/>
              </w:rPr>
              <w:t>、资质要求：详见招标公告第</w:t>
            </w:r>
            <w:r>
              <w:rPr>
                <w:rFonts w:ascii="宋体" w:hAnsi="宋体" w:eastAsia="宋体" w:cs="宋体"/>
                <w:sz w:val="21"/>
                <w:szCs w:val="21"/>
                <w:highlight w:val="none"/>
                <w:lang w:eastAsia="zh-CN"/>
              </w:rPr>
              <w:t>3.2</w:t>
            </w:r>
            <w:r>
              <w:rPr>
                <w:rFonts w:hint="eastAsia" w:ascii="宋体" w:hAnsi="宋体" w:eastAsia="宋体" w:cs="宋体"/>
                <w:sz w:val="21"/>
                <w:szCs w:val="21"/>
                <w:highlight w:val="none"/>
                <w:lang w:eastAsia="zh-CN"/>
              </w:rPr>
              <w:t>条要求</w:t>
            </w:r>
          </w:p>
          <w:p w14:paraId="5E49C52C">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2</w:t>
            </w:r>
            <w:r>
              <w:rPr>
                <w:rFonts w:hint="eastAsia" w:ascii="宋体" w:hAnsi="宋体" w:eastAsia="宋体" w:cs="宋体"/>
                <w:sz w:val="21"/>
                <w:szCs w:val="21"/>
                <w:highlight w:val="none"/>
                <w:lang w:eastAsia="zh-CN"/>
              </w:rPr>
              <w:t>、财务要求：</w:t>
            </w:r>
            <w:r>
              <w:rPr>
                <w:rFonts w:ascii="宋体" w:hAnsi="宋体" w:eastAsia="宋体" w:cs="宋体"/>
                <w:sz w:val="21"/>
                <w:szCs w:val="21"/>
                <w:highlight w:val="none"/>
                <w:lang w:eastAsia="zh-CN"/>
              </w:rPr>
              <w:t>/</w:t>
            </w:r>
          </w:p>
          <w:p w14:paraId="5C228CC7">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3</w:t>
            </w:r>
            <w:r>
              <w:rPr>
                <w:rFonts w:hint="eastAsia" w:ascii="宋体" w:hAnsi="宋体" w:eastAsia="宋体" w:cs="宋体"/>
                <w:sz w:val="21"/>
                <w:szCs w:val="21"/>
                <w:highlight w:val="none"/>
                <w:lang w:eastAsia="zh-CN"/>
              </w:rPr>
              <w:t>、业绩要求：详见招标公告第3条投标人资格要求</w:t>
            </w:r>
          </w:p>
          <w:p w14:paraId="5D628638">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4</w:t>
            </w:r>
            <w:r>
              <w:rPr>
                <w:rFonts w:hint="eastAsia" w:ascii="宋体" w:hAnsi="宋体" w:eastAsia="宋体" w:cs="宋体"/>
                <w:sz w:val="21"/>
                <w:szCs w:val="21"/>
                <w:highlight w:val="none"/>
                <w:lang w:eastAsia="zh-CN"/>
              </w:rPr>
              <w:t>、信誉要求：详见招标公告第</w:t>
            </w:r>
            <w:r>
              <w:rPr>
                <w:rFonts w:ascii="宋体" w:hAnsi="宋体" w:eastAsia="宋体" w:cs="宋体"/>
                <w:sz w:val="21"/>
                <w:szCs w:val="21"/>
                <w:highlight w:val="none"/>
                <w:lang w:eastAsia="zh-CN"/>
              </w:rPr>
              <w:t>3.</w:t>
            </w:r>
            <w:r>
              <w:rPr>
                <w:rFonts w:hint="eastAsia" w:ascii="宋体" w:hAnsi="宋体" w:eastAsia="宋体" w:cs="宋体"/>
                <w:sz w:val="21"/>
                <w:szCs w:val="21"/>
                <w:highlight w:val="none"/>
                <w:lang w:eastAsia="zh-CN"/>
              </w:rPr>
              <w:t>7条要求</w:t>
            </w:r>
          </w:p>
          <w:p w14:paraId="63B1A647">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5</w:t>
            </w:r>
            <w:r>
              <w:rPr>
                <w:rFonts w:hint="eastAsia" w:ascii="宋体" w:hAnsi="宋体" w:eastAsia="宋体" w:cs="宋体"/>
                <w:sz w:val="21"/>
                <w:szCs w:val="21"/>
                <w:highlight w:val="none"/>
                <w:lang w:eastAsia="zh-CN"/>
              </w:rPr>
              <w:t>、项目负责人的资格要求：详见招标公告第</w:t>
            </w:r>
            <w:r>
              <w:rPr>
                <w:rFonts w:ascii="宋体" w:hAnsi="宋体" w:eastAsia="宋体" w:cs="宋体"/>
                <w:sz w:val="21"/>
                <w:szCs w:val="21"/>
                <w:highlight w:val="none"/>
                <w:lang w:eastAsia="zh-CN"/>
              </w:rPr>
              <w:t>3.5</w:t>
            </w:r>
            <w:r>
              <w:rPr>
                <w:rFonts w:hint="eastAsia" w:ascii="宋体" w:hAnsi="宋体" w:eastAsia="宋体" w:cs="宋体"/>
                <w:sz w:val="21"/>
                <w:szCs w:val="21"/>
                <w:highlight w:val="none"/>
                <w:lang w:eastAsia="zh-CN"/>
              </w:rPr>
              <w:t>条要求</w:t>
            </w:r>
          </w:p>
          <w:p w14:paraId="3262234E">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6</w:t>
            </w:r>
            <w:r>
              <w:rPr>
                <w:rFonts w:hint="eastAsia" w:ascii="宋体" w:hAnsi="宋体" w:eastAsia="宋体" w:cs="宋体"/>
                <w:sz w:val="21"/>
                <w:szCs w:val="21"/>
                <w:highlight w:val="none"/>
                <w:lang w:eastAsia="zh-CN"/>
              </w:rPr>
              <w:t>、其他主要人员要求：</w:t>
            </w:r>
            <w:r>
              <w:rPr>
                <w:rFonts w:ascii="宋体" w:hAnsi="宋体" w:eastAsia="宋体" w:cs="宋体"/>
                <w:sz w:val="21"/>
                <w:szCs w:val="21"/>
                <w:highlight w:val="none"/>
                <w:lang w:eastAsia="zh-CN"/>
              </w:rPr>
              <w:t>/</w:t>
            </w:r>
          </w:p>
          <w:p w14:paraId="51B2F74A">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b/>
                <w:sz w:val="21"/>
                <w:szCs w:val="21"/>
                <w:highlight w:val="none"/>
                <w:lang w:eastAsia="zh-CN"/>
              </w:rPr>
            </w:pPr>
            <w:r>
              <w:rPr>
                <w:rFonts w:ascii="宋体" w:hAnsi="宋体" w:eastAsia="宋体" w:cs="宋体"/>
                <w:sz w:val="21"/>
                <w:szCs w:val="21"/>
                <w:highlight w:val="none"/>
                <w:lang w:eastAsia="zh-CN"/>
              </w:rPr>
              <w:t>7</w:t>
            </w:r>
            <w:r>
              <w:rPr>
                <w:rFonts w:hint="eastAsia" w:ascii="宋体" w:hAnsi="宋体" w:eastAsia="宋体" w:cs="宋体"/>
                <w:sz w:val="21"/>
                <w:szCs w:val="21"/>
                <w:highlight w:val="none"/>
                <w:lang w:eastAsia="zh-CN"/>
              </w:rPr>
              <w:t>、其他要求：详见招标公告第</w:t>
            </w:r>
            <w:r>
              <w:rPr>
                <w:rFonts w:ascii="宋体" w:hAnsi="宋体" w:eastAsia="宋体" w:cs="宋体"/>
                <w:sz w:val="21"/>
                <w:szCs w:val="21"/>
                <w:highlight w:val="none"/>
                <w:lang w:eastAsia="zh-CN"/>
              </w:rPr>
              <w:t>3</w:t>
            </w:r>
            <w:r>
              <w:rPr>
                <w:rFonts w:hint="eastAsia" w:ascii="宋体" w:hAnsi="宋体" w:eastAsia="宋体" w:cs="宋体"/>
                <w:sz w:val="21"/>
                <w:szCs w:val="21"/>
                <w:highlight w:val="none"/>
                <w:lang w:eastAsia="zh-CN"/>
              </w:rPr>
              <w:t>条投标人资格要求</w:t>
            </w:r>
          </w:p>
        </w:tc>
      </w:tr>
      <w:tr w14:paraId="632AC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97689B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1.4.2</w:t>
            </w:r>
          </w:p>
        </w:tc>
        <w:tc>
          <w:tcPr>
            <w:tcW w:w="914" w:type="pct"/>
            <w:noWrap w:val="0"/>
            <w:vAlign w:val="center"/>
          </w:tcPr>
          <w:p w14:paraId="4FBDF8C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是否接受</w:t>
            </w:r>
          </w:p>
          <w:p w14:paraId="34F2E92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联合体投标</w:t>
            </w:r>
          </w:p>
        </w:tc>
        <w:tc>
          <w:tcPr>
            <w:tcW w:w="3554" w:type="pct"/>
            <w:noWrap w:val="0"/>
            <w:vAlign w:val="center"/>
          </w:tcPr>
          <w:p w14:paraId="564754BA">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不接受</w:t>
            </w:r>
          </w:p>
          <w:p w14:paraId="0DF73FE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接受，应满足下列要求：</w:t>
            </w:r>
            <w:r>
              <w:rPr>
                <w:rFonts w:hint="eastAsia" w:ascii="宋体" w:hAnsi="宋体" w:eastAsia="宋体"/>
                <w:sz w:val="21"/>
                <w:szCs w:val="21"/>
                <w:highlight w:val="none"/>
                <w:lang w:eastAsia="zh-CN"/>
              </w:rPr>
              <w:t>详见招标公告</w:t>
            </w:r>
          </w:p>
        </w:tc>
      </w:tr>
      <w:tr w14:paraId="7E38D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2D3C52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1.4.3</w:t>
            </w:r>
          </w:p>
        </w:tc>
        <w:tc>
          <w:tcPr>
            <w:tcW w:w="914" w:type="pct"/>
            <w:noWrap w:val="0"/>
            <w:vAlign w:val="center"/>
          </w:tcPr>
          <w:p w14:paraId="36AD0DA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投标人不得存在</w:t>
            </w:r>
          </w:p>
          <w:p w14:paraId="6EE1E6F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的其他情形</w:t>
            </w:r>
          </w:p>
        </w:tc>
        <w:tc>
          <w:tcPr>
            <w:tcW w:w="3554" w:type="pct"/>
            <w:noWrap w:val="0"/>
            <w:vAlign w:val="center"/>
          </w:tcPr>
          <w:p w14:paraId="5D7BC8F6">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1</w:t>
            </w:r>
            <w:r>
              <w:rPr>
                <w:rFonts w:hint="eastAsia" w:ascii="宋体" w:hAnsi="宋体" w:eastAsia="宋体"/>
                <w:sz w:val="21"/>
                <w:szCs w:val="21"/>
                <w:highlight w:val="none"/>
                <w:u w:val="none"/>
                <w:lang w:eastAsia="zh-CN"/>
              </w:rPr>
              <w:t>）为招标人不具有独立法人资格的附属机构（单位）；</w:t>
            </w:r>
          </w:p>
          <w:p w14:paraId="2C3FAC77">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2</w:t>
            </w:r>
            <w:r>
              <w:rPr>
                <w:rFonts w:hint="eastAsia" w:ascii="宋体" w:hAnsi="宋体" w:eastAsia="宋体"/>
                <w:sz w:val="21"/>
                <w:szCs w:val="21"/>
                <w:highlight w:val="none"/>
                <w:u w:val="none"/>
                <w:lang w:eastAsia="zh-CN"/>
              </w:rPr>
              <w:t>）与招标人存在利害关系且可能影响招标公正性；</w:t>
            </w:r>
          </w:p>
          <w:p w14:paraId="4C84175D">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3</w:t>
            </w:r>
            <w:r>
              <w:rPr>
                <w:rFonts w:hint="eastAsia" w:ascii="宋体" w:hAnsi="宋体" w:eastAsia="宋体"/>
                <w:sz w:val="21"/>
                <w:szCs w:val="21"/>
                <w:highlight w:val="none"/>
                <w:u w:val="none"/>
                <w:lang w:eastAsia="zh-CN"/>
              </w:rPr>
              <w:t>）与本招标项目的其他投标人为同一个单位负责人；</w:t>
            </w:r>
          </w:p>
          <w:p w14:paraId="38D83AAF">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4</w:t>
            </w:r>
            <w:r>
              <w:rPr>
                <w:rFonts w:hint="eastAsia" w:ascii="宋体" w:hAnsi="宋体" w:eastAsia="宋体"/>
                <w:sz w:val="21"/>
                <w:szCs w:val="21"/>
                <w:highlight w:val="none"/>
                <w:u w:val="none"/>
                <w:lang w:eastAsia="zh-CN"/>
              </w:rPr>
              <w:t>）与本招标项目的其他投标人存在控股、管理关系；</w:t>
            </w:r>
          </w:p>
          <w:p w14:paraId="723A564F">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5</w:t>
            </w:r>
            <w:r>
              <w:rPr>
                <w:rFonts w:hint="eastAsia" w:ascii="宋体" w:hAnsi="宋体" w:eastAsia="宋体"/>
                <w:sz w:val="21"/>
                <w:szCs w:val="21"/>
                <w:highlight w:val="none"/>
                <w:u w:val="none"/>
                <w:lang w:eastAsia="zh-CN"/>
              </w:rPr>
              <w:t>）为本招标项目的代建人；</w:t>
            </w:r>
          </w:p>
          <w:p w14:paraId="2233B2FF">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6</w:t>
            </w:r>
            <w:r>
              <w:rPr>
                <w:rFonts w:hint="eastAsia" w:ascii="宋体" w:hAnsi="宋体" w:eastAsia="宋体"/>
                <w:sz w:val="21"/>
                <w:szCs w:val="21"/>
                <w:highlight w:val="none"/>
                <w:u w:val="none"/>
                <w:lang w:eastAsia="zh-CN"/>
              </w:rPr>
              <w:t>）为本招标项目的招标代理机构；</w:t>
            </w:r>
          </w:p>
          <w:p w14:paraId="691F722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7</w:t>
            </w:r>
            <w:r>
              <w:rPr>
                <w:rFonts w:hint="eastAsia" w:ascii="宋体" w:hAnsi="宋体" w:eastAsia="宋体"/>
                <w:sz w:val="21"/>
                <w:szCs w:val="21"/>
                <w:highlight w:val="none"/>
                <w:u w:val="none"/>
                <w:lang w:eastAsia="zh-CN"/>
              </w:rPr>
              <w:t>）与本招标项目的代建人或招标代理机构同为一个法定代表人；</w:t>
            </w:r>
          </w:p>
          <w:p w14:paraId="068231CA">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8</w:t>
            </w:r>
            <w:r>
              <w:rPr>
                <w:rFonts w:hint="eastAsia" w:ascii="宋体" w:hAnsi="宋体" w:eastAsia="宋体"/>
                <w:sz w:val="21"/>
                <w:szCs w:val="21"/>
                <w:highlight w:val="none"/>
                <w:u w:val="none"/>
                <w:lang w:eastAsia="zh-CN"/>
              </w:rPr>
              <w:t>）与本招标项目的代建人或招标代理机构存在控股或参股关系；</w:t>
            </w:r>
          </w:p>
          <w:p w14:paraId="335066DA">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9</w:t>
            </w:r>
            <w:r>
              <w:rPr>
                <w:rFonts w:hint="eastAsia" w:ascii="宋体" w:hAnsi="宋体" w:eastAsia="宋体"/>
                <w:sz w:val="21"/>
                <w:szCs w:val="21"/>
                <w:highlight w:val="none"/>
                <w:u w:val="none"/>
                <w:lang w:eastAsia="zh-CN"/>
              </w:rPr>
              <w:t>）被依法暂停或者取消投标资格；</w:t>
            </w:r>
          </w:p>
          <w:p w14:paraId="230177B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10</w:t>
            </w:r>
            <w:r>
              <w:rPr>
                <w:rFonts w:hint="eastAsia" w:ascii="宋体" w:hAnsi="宋体" w:eastAsia="宋体"/>
                <w:sz w:val="21"/>
                <w:szCs w:val="21"/>
                <w:highlight w:val="none"/>
                <w:u w:val="none"/>
                <w:lang w:eastAsia="zh-CN"/>
              </w:rPr>
              <w:t>）被责令停产停业、暂扣或者吊销许可证、暂扣或者吊销执照；</w:t>
            </w:r>
          </w:p>
          <w:p w14:paraId="123E5E31">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11</w:t>
            </w:r>
            <w:r>
              <w:rPr>
                <w:rFonts w:hint="eastAsia" w:ascii="宋体" w:hAnsi="宋体" w:eastAsia="宋体"/>
                <w:sz w:val="21"/>
                <w:szCs w:val="21"/>
                <w:highlight w:val="none"/>
                <w:u w:val="none"/>
                <w:lang w:eastAsia="zh-CN"/>
              </w:rPr>
              <w:t>）进入清算程序，或被宣告破产，或其他丧失履约能力的情形；</w:t>
            </w:r>
          </w:p>
          <w:p w14:paraId="3C9D8925">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ascii="宋体" w:hAnsi="宋体" w:eastAsia="宋体"/>
                <w:sz w:val="21"/>
                <w:szCs w:val="21"/>
                <w:highlight w:val="none"/>
                <w:u w:val="none"/>
                <w:lang w:eastAsia="zh-CN"/>
              </w:rPr>
              <w:t>12</w:t>
            </w:r>
            <w:r>
              <w:rPr>
                <w:rFonts w:hint="eastAsia" w:ascii="宋体" w:hAnsi="宋体" w:eastAsia="宋体"/>
                <w:sz w:val="21"/>
                <w:szCs w:val="21"/>
                <w:highlight w:val="none"/>
                <w:u w:val="none"/>
                <w:lang w:eastAsia="zh-CN"/>
              </w:rPr>
              <w:t>）在最近三年内发生重大设计质量问题（以相关行业主管部门的行政处罚决定或司法机关出具的有关法律文书为准）；</w:t>
            </w:r>
          </w:p>
          <w:p w14:paraId="5AB1299F">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u w:val="none"/>
                <w:lang w:eastAsia="zh-CN"/>
              </w:rPr>
              <w:t>（1</w:t>
            </w:r>
            <w:r>
              <w:rPr>
                <w:rFonts w:hint="eastAsia" w:ascii="宋体" w:hAnsi="宋体" w:eastAsia="宋体"/>
                <w:sz w:val="21"/>
                <w:szCs w:val="21"/>
                <w:highlight w:val="none"/>
                <w:u w:val="none"/>
                <w:lang w:val="en-US" w:eastAsia="zh-CN"/>
              </w:rPr>
              <w:t>3</w:t>
            </w:r>
            <w:r>
              <w:rPr>
                <w:rFonts w:hint="eastAsia" w:ascii="宋体" w:hAnsi="宋体" w:eastAsia="宋体"/>
                <w:sz w:val="21"/>
                <w:szCs w:val="21"/>
                <w:highlight w:val="none"/>
                <w:u w:val="none"/>
                <w:lang w:eastAsia="zh-CN"/>
              </w:rPr>
              <w:t>）法律法规规定的其他情形。</w:t>
            </w:r>
          </w:p>
        </w:tc>
      </w:tr>
      <w:tr w14:paraId="4A26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BEB04E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1.9.1</w:t>
            </w:r>
          </w:p>
        </w:tc>
        <w:tc>
          <w:tcPr>
            <w:tcW w:w="914" w:type="pct"/>
            <w:noWrap w:val="0"/>
            <w:vAlign w:val="center"/>
          </w:tcPr>
          <w:p w14:paraId="6811857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踏勘现场</w:t>
            </w:r>
          </w:p>
        </w:tc>
        <w:tc>
          <w:tcPr>
            <w:tcW w:w="3554" w:type="pct"/>
            <w:noWrap w:val="0"/>
            <w:vAlign w:val="center"/>
          </w:tcPr>
          <w:p w14:paraId="45BBF1F0">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不组织</w:t>
            </w:r>
          </w:p>
          <w:p w14:paraId="448CB85C">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补充说明如下：</w:t>
            </w:r>
          </w:p>
          <w:p w14:paraId="7674C742">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cs="宋体"/>
                <w:sz w:val="21"/>
                <w:szCs w:val="21"/>
                <w:highlight w:val="none"/>
                <w:lang w:eastAsia="zh-CN"/>
              </w:rPr>
              <w:t>（</w:t>
            </w:r>
            <w:r>
              <w:rPr>
                <w:rFonts w:ascii="宋体" w:hAnsi="宋体" w:eastAsia="宋体"/>
                <w:sz w:val="21"/>
                <w:szCs w:val="21"/>
                <w:highlight w:val="none"/>
                <w:lang w:eastAsia="zh-CN"/>
              </w:rPr>
              <w:t>1</w:t>
            </w:r>
            <w:r>
              <w:rPr>
                <w:rFonts w:hint="eastAsia" w:ascii="宋体" w:hAnsi="宋体" w:eastAsia="宋体" w:cs="宋体"/>
                <w:sz w:val="21"/>
                <w:szCs w:val="21"/>
                <w:highlight w:val="none"/>
                <w:lang w:eastAsia="zh-CN"/>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51D19A80">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cs="宋体"/>
                <w:sz w:val="21"/>
                <w:szCs w:val="21"/>
                <w:highlight w:val="none"/>
                <w:lang w:eastAsia="zh-CN"/>
              </w:rPr>
              <w:t>（</w:t>
            </w:r>
            <w:r>
              <w:rPr>
                <w:rFonts w:ascii="宋体" w:hAnsi="宋体" w:eastAsia="宋体"/>
                <w:sz w:val="21"/>
                <w:szCs w:val="21"/>
                <w:highlight w:val="none"/>
                <w:lang w:eastAsia="zh-CN"/>
              </w:rPr>
              <w:t>2</w:t>
            </w:r>
            <w:r>
              <w:rPr>
                <w:rFonts w:hint="eastAsia" w:ascii="宋体" w:hAnsi="宋体" w:eastAsia="宋体" w:cs="宋体"/>
                <w:sz w:val="21"/>
                <w:szCs w:val="21"/>
                <w:highlight w:val="non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2842CD9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ascii="宋体" w:hAnsi="宋体" w:eastAsia="宋体"/>
                <w:sz w:val="21"/>
                <w:szCs w:val="21"/>
                <w:highlight w:val="none"/>
                <w:lang w:eastAsia="zh-CN"/>
              </w:rPr>
              <w:t>3</w:t>
            </w:r>
            <w:r>
              <w:rPr>
                <w:rFonts w:hint="eastAsia" w:ascii="宋体" w:hAnsi="宋体" w:eastAsia="宋体" w:cs="宋体"/>
                <w:sz w:val="21"/>
                <w:szCs w:val="21"/>
                <w:highlight w:val="none"/>
                <w:lang w:eastAsia="zh-CN"/>
              </w:rPr>
              <w:t>）由招标人提供的资料和数据，只是为了使投标人能够利用招标人现有的资料。招标人对投标人由此而作出的推论、解释和结论概不负责。</w:t>
            </w:r>
          </w:p>
          <w:p w14:paraId="69B13E4F">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（4）不论投标结果如何，投标人应承担其投标文件编制与递交所涉及的一切费用，发包人对上述费用不负任何责任。</w:t>
            </w:r>
          </w:p>
          <w:p w14:paraId="4B06AEB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组织，踏勘时间：</w:t>
            </w:r>
          </w:p>
          <w:p w14:paraId="042C6641">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踏勘集中地点：</w:t>
            </w:r>
          </w:p>
        </w:tc>
      </w:tr>
      <w:tr w14:paraId="68B3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B62B56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1.10.1</w:t>
            </w:r>
          </w:p>
        </w:tc>
        <w:tc>
          <w:tcPr>
            <w:tcW w:w="914" w:type="pct"/>
            <w:noWrap w:val="0"/>
            <w:vAlign w:val="center"/>
          </w:tcPr>
          <w:p w14:paraId="79C5BC5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投标预备会</w:t>
            </w:r>
          </w:p>
        </w:tc>
        <w:tc>
          <w:tcPr>
            <w:tcW w:w="3554" w:type="pct"/>
            <w:noWrap w:val="0"/>
            <w:vAlign w:val="center"/>
          </w:tcPr>
          <w:p w14:paraId="24FD3BFF">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不召开</w:t>
            </w:r>
          </w:p>
          <w:p w14:paraId="18EEF49F">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sz w:val="21"/>
                <w:szCs w:val="21"/>
                <w:highlight w:val="none"/>
                <w:lang w:eastAsia="zh-CN"/>
              </w:rPr>
              <w:t>□</w:t>
            </w:r>
            <w:r>
              <w:rPr>
                <w:rFonts w:ascii="宋体" w:hAnsi="宋体" w:eastAsia="宋体" w:cs="宋体"/>
                <w:sz w:val="21"/>
                <w:szCs w:val="21"/>
                <w:highlight w:val="none"/>
                <w:lang w:eastAsia="zh-CN"/>
              </w:rPr>
              <w:t>召开，召开时间：</w:t>
            </w:r>
          </w:p>
          <w:p w14:paraId="1AE894F5">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rPr>
            </w:pPr>
            <w:r>
              <w:rPr>
                <w:rFonts w:ascii="宋体" w:hAnsi="宋体" w:eastAsia="宋体" w:cs="宋体"/>
                <w:sz w:val="21"/>
                <w:szCs w:val="21"/>
                <w:highlight w:val="none"/>
              </w:rPr>
              <w:t>召开地点：</w:t>
            </w:r>
          </w:p>
        </w:tc>
      </w:tr>
      <w:tr w14:paraId="785A4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vMerge w:val="restart"/>
            <w:noWrap w:val="0"/>
            <w:vAlign w:val="center"/>
          </w:tcPr>
          <w:p w14:paraId="3D23022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1.10.2</w:t>
            </w:r>
          </w:p>
        </w:tc>
        <w:tc>
          <w:tcPr>
            <w:tcW w:w="914" w:type="pct"/>
            <w:vMerge w:val="restart"/>
            <w:noWrap w:val="0"/>
            <w:vAlign w:val="center"/>
          </w:tcPr>
          <w:p w14:paraId="47B0A2B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投标人在投标预备会前提出问题</w:t>
            </w:r>
          </w:p>
        </w:tc>
        <w:tc>
          <w:tcPr>
            <w:tcW w:w="3554" w:type="pct"/>
            <w:noWrap w:val="0"/>
            <w:vAlign w:val="center"/>
          </w:tcPr>
          <w:p w14:paraId="2BFEEC12">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ascii="宋体" w:hAnsi="宋体" w:eastAsia="宋体" w:cs="宋体"/>
                <w:sz w:val="21"/>
                <w:szCs w:val="21"/>
                <w:highlight w:val="none"/>
              </w:rPr>
              <w:t>时间：</w:t>
            </w:r>
            <w:r>
              <w:rPr>
                <w:rFonts w:hint="eastAsia" w:ascii="宋体" w:hAnsi="宋体" w:eastAsia="宋体" w:cs="宋体"/>
                <w:sz w:val="21"/>
                <w:szCs w:val="21"/>
                <w:highlight w:val="none"/>
                <w:lang w:eastAsia="zh-CN"/>
              </w:rPr>
              <w:t>/。</w:t>
            </w:r>
          </w:p>
        </w:tc>
      </w:tr>
      <w:tr w14:paraId="6BF45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vMerge w:val="continue"/>
            <w:noWrap w:val="0"/>
            <w:vAlign w:val="center"/>
          </w:tcPr>
          <w:p w14:paraId="69910418">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p>
        </w:tc>
        <w:tc>
          <w:tcPr>
            <w:tcW w:w="914" w:type="pct"/>
            <w:vMerge w:val="continue"/>
            <w:noWrap w:val="0"/>
            <w:vAlign w:val="center"/>
          </w:tcPr>
          <w:p w14:paraId="2D48DEF8">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p>
        </w:tc>
        <w:tc>
          <w:tcPr>
            <w:tcW w:w="3554" w:type="pct"/>
            <w:noWrap w:val="0"/>
            <w:vAlign w:val="center"/>
          </w:tcPr>
          <w:p w14:paraId="0561913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ascii="宋体" w:hAnsi="宋体" w:eastAsia="宋体" w:cs="宋体"/>
                <w:sz w:val="21"/>
                <w:szCs w:val="21"/>
                <w:highlight w:val="none"/>
              </w:rPr>
              <w:t>形式：</w:t>
            </w:r>
            <w:r>
              <w:rPr>
                <w:rFonts w:hint="eastAsia" w:ascii="宋体" w:hAnsi="宋体" w:eastAsia="宋体" w:cs="宋体"/>
                <w:sz w:val="21"/>
                <w:szCs w:val="21"/>
                <w:highlight w:val="none"/>
                <w:lang w:eastAsia="zh-CN"/>
              </w:rPr>
              <w:t>/。</w:t>
            </w:r>
          </w:p>
        </w:tc>
      </w:tr>
      <w:tr w14:paraId="6E6AF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865D6D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1.10.3</w:t>
            </w:r>
          </w:p>
        </w:tc>
        <w:tc>
          <w:tcPr>
            <w:tcW w:w="914" w:type="pct"/>
            <w:noWrap w:val="0"/>
            <w:vAlign w:val="center"/>
          </w:tcPr>
          <w:p w14:paraId="7D6022A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招标文件澄清</w:t>
            </w:r>
          </w:p>
          <w:p w14:paraId="5C8B8B7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发出的形式</w:t>
            </w:r>
          </w:p>
        </w:tc>
        <w:tc>
          <w:tcPr>
            <w:tcW w:w="3554" w:type="pct"/>
            <w:noWrap w:val="0"/>
            <w:vAlign w:val="center"/>
          </w:tcPr>
          <w:p w14:paraId="16C9E92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p>
        </w:tc>
      </w:tr>
      <w:tr w14:paraId="05A71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085D45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1.11.1</w:t>
            </w:r>
          </w:p>
        </w:tc>
        <w:tc>
          <w:tcPr>
            <w:tcW w:w="914" w:type="pct"/>
            <w:noWrap w:val="0"/>
            <w:vAlign w:val="center"/>
          </w:tcPr>
          <w:p w14:paraId="302106A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分包</w:t>
            </w:r>
          </w:p>
        </w:tc>
        <w:tc>
          <w:tcPr>
            <w:tcW w:w="3554" w:type="pct"/>
            <w:noWrap w:val="0"/>
            <w:vAlign w:val="center"/>
          </w:tcPr>
          <w:p w14:paraId="7CEA5C84">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w:t>
            </w:r>
            <w:r>
              <w:rPr>
                <w:rFonts w:hint="eastAsia" w:ascii="宋体" w:hAnsi="宋体" w:eastAsia="宋体"/>
                <w:sz w:val="21"/>
                <w:szCs w:val="21"/>
                <w:highlight w:val="none"/>
                <w:lang w:eastAsia="zh-CN"/>
              </w:rPr>
              <w:t>不允许</w:t>
            </w:r>
          </w:p>
          <w:p w14:paraId="575D4C3D">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pacing w:val="-2"/>
                <w:sz w:val="21"/>
                <w:szCs w:val="21"/>
                <w:highlight w:val="none"/>
                <w:u w:val="single"/>
                <w:lang w:eastAsia="zh-CN"/>
              </w:rPr>
            </w:pPr>
            <w:r>
              <w:rPr>
                <w:rFonts w:hint="eastAsia" w:ascii="宋体" w:hAnsi="宋体" w:eastAsia="宋体" w:cs="Arial"/>
                <w:sz w:val="21"/>
                <w:szCs w:val="21"/>
                <w:highlight w:val="none"/>
                <w:lang w:eastAsia="zh-CN"/>
              </w:rPr>
              <w:t>■</w:t>
            </w:r>
            <w:r>
              <w:rPr>
                <w:rFonts w:hint="eastAsia" w:ascii="宋体" w:hAnsi="宋体" w:eastAsia="宋体"/>
                <w:sz w:val="21"/>
                <w:szCs w:val="21"/>
                <w:highlight w:val="none"/>
                <w:lang w:eastAsia="zh-CN"/>
              </w:rPr>
              <w:t>允许，</w:t>
            </w:r>
            <w:r>
              <w:rPr>
                <w:rFonts w:hint="eastAsia" w:ascii="宋体" w:hAnsi="宋体" w:eastAsia="宋体"/>
                <w:spacing w:val="-2"/>
                <w:sz w:val="21"/>
                <w:szCs w:val="21"/>
                <w:highlight w:val="none"/>
                <w:lang w:eastAsia="zh-CN"/>
              </w:rPr>
              <w:t>分</w:t>
            </w:r>
            <w:r>
              <w:rPr>
                <w:rFonts w:hint="eastAsia" w:ascii="宋体" w:hAnsi="宋体" w:eastAsia="宋体"/>
                <w:sz w:val="21"/>
                <w:szCs w:val="21"/>
                <w:highlight w:val="none"/>
                <w:lang w:eastAsia="zh-CN"/>
              </w:rPr>
              <w:t>包</w:t>
            </w:r>
            <w:r>
              <w:rPr>
                <w:rFonts w:hint="eastAsia" w:ascii="宋体" w:hAnsi="宋体" w:eastAsia="宋体"/>
                <w:spacing w:val="-2"/>
                <w:sz w:val="21"/>
                <w:szCs w:val="21"/>
                <w:highlight w:val="none"/>
                <w:lang w:eastAsia="zh-CN"/>
              </w:rPr>
              <w:t>内</w:t>
            </w:r>
            <w:r>
              <w:rPr>
                <w:rFonts w:hint="eastAsia" w:ascii="宋体" w:hAnsi="宋体" w:eastAsia="宋体"/>
                <w:sz w:val="21"/>
                <w:szCs w:val="21"/>
                <w:highlight w:val="none"/>
                <w:lang w:eastAsia="zh-CN"/>
              </w:rPr>
              <w:t>容</w:t>
            </w:r>
            <w:r>
              <w:rPr>
                <w:rFonts w:hint="eastAsia" w:ascii="宋体" w:hAnsi="宋体" w:eastAsia="宋体"/>
                <w:spacing w:val="-2"/>
                <w:sz w:val="21"/>
                <w:szCs w:val="21"/>
                <w:highlight w:val="none"/>
                <w:lang w:eastAsia="zh-CN"/>
              </w:rPr>
              <w:t>要</w:t>
            </w:r>
            <w:r>
              <w:rPr>
                <w:rFonts w:hint="eastAsia" w:ascii="宋体" w:hAnsi="宋体" w:eastAsia="宋体"/>
                <w:sz w:val="21"/>
                <w:szCs w:val="21"/>
                <w:highlight w:val="none"/>
                <w:lang w:eastAsia="zh-CN"/>
              </w:rPr>
              <w:t>求：效果类专业设计（包括不限于灯光、标识、艺术品、品牌、餐饮概念等顾问）或消防专项设计，经招标人及招标人委托的酒店管理公司同意后允许分包。</w:t>
            </w:r>
          </w:p>
          <w:p w14:paraId="742284E2">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分包</w:t>
            </w:r>
            <w:r>
              <w:rPr>
                <w:rFonts w:hint="eastAsia" w:ascii="宋体" w:hAnsi="宋体" w:eastAsia="宋体"/>
                <w:spacing w:val="-2"/>
                <w:sz w:val="21"/>
                <w:szCs w:val="21"/>
                <w:highlight w:val="none"/>
                <w:lang w:eastAsia="zh-CN"/>
              </w:rPr>
              <w:t>金</w:t>
            </w:r>
            <w:r>
              <w:rPr>
                <w:rFonts w:hint="eastAsia" w:ascii="宋体" w:hAnsi="宋体" w:eastAsia="宋体"/>
                <w:sz w:val="21"/>
                <w:szCs w:val="21"/>
                <w:highlight w:val="none"/>
                <w:lang w:eastAsia="zh-CN"/>
              </w:rPr>
              <w:t>额</w:t>
            </w:r>
            <w:r>
              <w:rPr>
                <w:rFonts w:hint="eastAsia" w:ascii="宋体" w:hAnsi="宋体" w:eastAsia="宋体"/>
                <w:spacing w:val="-2"/>
                <w:sz w:val="21"/>
                <w:szCs w:val="21"/>
                <w:highlight w:val="none"/>
                <w:lang w:eastAsia="zh-CN"/>
              </w:rPr>
              <w:t>要</w:t>
            </w:r>
            <w:r>
              <w:rPr>
                <w:rFonts w:hint="eastAsia" w:ascii="宋体" w:hAnsi="宋体" w:eastAsia="宋体"/>
                <w:sz w:val="21"/>
                <w:szCs w:val="21"/>
                <w:highlight w:val="none"/>
                <w:lang w:eastAsia="zh-CN"/>
              </w:rPr>
              <w:t>求：/</w:t>
            </w:r>
          </w:p>
          <w:p w14:paraId="16268055">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对分</w:t>
            </w:r>
            <w:r>
              <w:rPr>
                <w:rFonts w:hint="eastAsia" w:ascii="宋体" w:hAnsi="宋体" w:eastAsia="宋体"/>
                <w:spacing w:val="-2"/>
                <w:sz w:val="21"/>
                <w:szCs w:val="21"/>
                <w:highlight w:val="none"/>
                <w:lang w:eastAsia="zh-CN"/>
              </w:rPr>
              <w:t>包</w:t>
            </w:r>
            <w:r>
              <w:rPr>
                <w:rFonts w:hint="eastAsia" w:ascii="宋体" w:hAnsi="宋体" w:eastAsia="宋体"/>
                <w:sz w:val="21"/>
                <w:szCs w:val="21"/>
                <w:highlight w:val="none"/>
                <w:lang w:eastAsia="zh-CN"/>
              </w:rPr>
              <w:t>人</w:t>
            </w:r>
            <w:r>
              <w:rPr>
                <w:rFonts w:hint="eastAsia" w:ascii="宋体" w:hAnsi="宋体" w:eastAsia="宋体"/>
                <w:spacing w:val="-2"/>
                <w:sz w:val="21"/>
                <w:szCs w:val="21"/>
                <w:highlight w:val="none"/>
                <w:lang w:eastAsia="zh-CN"/>
              </w:rPr>
              <w:t>的</w:t>
            </w:r>
            <w:r>
              <w:rPr>
                <w:rFonts w:hint="eastAsia" w:ascii="宋体" w:hAnsi="宋体" w:eastAsia="宋体"/>
                <w:sz w:val="21"/>
                <w:szCs w:val="21"/>
                <w:highlight w:val="none"/>
                <w:lang w:eastAsia="zh-CN"/>
              </w:rPr>
              <w:t>资</w:t>
            </w:r>
            <w:r>
              <w:rPr>
                <w:rFonts w:hint="eastAsia" w:ascii="宋体" w:hAnsi="宋体" w:eastAsia="宋体"/>
                <w:spacing w:val="-2"/>
                <w:sz w:val="21"/>
                <w:szCs w:val="21"/>
                <w:highlight w:val="none"/>
                <w:lang w:eastAsia="zh-CN"/>
              </w:rPr>
              <w:t>质</w:t>
            </w:r>
            <w:r>
              <w:rPr>
                <w:rFonts w:hint="eastAsia" w:ascii="宋体" w:hAnsi="宋体" w:eastAsia="宋体"/>
                <w:sz w:val="21"/>
                <w:szCs w:val="21"/>
                <w:highlight w:val="none"/>
                <w:lang w:eastAsia="zh-CN"/>
              </w:rPr>
              <w:t>要</w:t>
            </w:r>
            <w:r>
              <w:rPr>
                <w:rFonts w:hint="eastAsia" w:ascii="宋体" w:hAnsi="宋体" w:eastAsia="宋体"/>
                <w:spacing w:val="-2"/>
                <w:sz w:val="21"/>
                <w:szCs w:val="21"/>
                <w:highlight w:val="none"/>
                <w:lang w:eastAsia="zh-CN"/>
              </w:rPr>
              <w:t>求</w:t>
            </w:r>
            <w:r>
              <w:rPr>
                <w:rFonts w:hint="eastAsia" w:ascii="宋体" w:hAnsi="宋体" w:eastAsia="宋体"/>
                <w:sz w:val="21"/>
                <w:szCs w:val="21"/>
                <w:highlight w:val="none"/>
                <w:lang w:eastAsia="zh-CN"/>
              </w:rPr>
              <w:t>：</w:t>
            </w:r>
            <w:r>
              <w:rPr>
                <w:rFonts w:hint="eastAsia" w:ascii="宋体" w:hAnsi="宋体" w:eastAsia="宋体" w:cs="宋体"/>
                <w:sz w:val="21"/>
                <w:szCs w:val="21"/>
                <w:highlight w:val="none"/>
                <w:lang w:eastAsia="zh-CN"/>
              </w:rPr>
              <w:t>/。</w:t>
            </w:r>
          </w:p>
        </w:tc>
      </w:tr>
      <w:tr w14:paraId="1403B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8D0884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1.12.1</w:t>
            </w:r>
          </w:p>
        </w:tc>
        <w:tc>
          <w:tcPr>
            <w:tcW w:w="914" w:type="pct"/>
            <w:noWrap w:val="0"/>
            <w:vAlign w:val="center"/>
          </w:tcPr>
          <w:p w14:paraId="7BD6895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实质性要求和条件</w:t>
            </w:r>
          </w:p>
        </w:tc>
        <w:tc>
          <w:tcPr>
            <w:tcW w:w="3554" w:type="pct"/>
            <w:noWrap w:val="0"/>
            <w:vAlign w:val="center"/>
          </w:tcPr>
          <w:p w14:paraId="1655CB7E">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rPr>
            </w:pPr>
            <w:r>
              <w:rPr>
                <w:rFonts w:hint="eastAsia" w:ascii="宋体" w:hAnsi="宋体" w:eastAsia="宋体"/>
                <w:sz w:val="21"/>
                <w:szCs w:val="21"/>
                <w:highlight w:val="none"/>
                <w:lang w:eastAsia="zh-CN"/>
              </w:rPr>
              <w:t>/。</w:t>
            </w:r>
          </w:p>
        </w:tc>
      </w:tr>
      <w:tr w14:paraId="4F650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14602FC">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1.12.3</w:t>
            </w:r>
          </w:p>
        </w:tc>
        <w:tc>
          <w:tcPr>
            <w:tcW w:w="914" w:type="pct"/>
            <w:noWrap w:val="0"/>
            <w:vAlign w:val="center"/>
          </w:tcPr>
          <w:p w14:paraId="55B5E28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偏差</w:t>
            </w:r>
          </w:p>
        </w:tc>
        <w:tc>
          <w:tcPr>
            <w:tcW w:w="3554" w:type="pct"/>
            <w:noWrap w:val="0"/>
            <w:vAlign w:val="center"/>
          </w:tcPr>
          <w:p w14:paraId="76977A79">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cs="Arial"/>
                <w:sz w:val="21"/>
                <w:szCs w:val="21"/>
                <w:highlight w:val="none"/>
                <w:lang w:eastAsia="zh-CN"/>
              </w:rPr>
              <w:t>■</w:t>
            </w:r>
            <w:r>
              <w:rPr>
                <w:rFonts w:hint="eastAsia" w:ascii="宋体" w:hAnsi="宋体" w:eastAsia="宋体"/>
                <w:sz w:val="21"/>
                <w:szCs w:val="21"/>
                <w:highlight w:val="none"/>
                <w:lang w:eastAsia="zh-CN"/>
              </w:rPr>
              <w:t>不允许</w:t>
            </w:r>
          </w:p>
          <w:p w14:paraId="0D6E2FD6">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w:t>
            </w:r>
            <w:r>
              <w:rPr>
                <w:rFonts w:hint="eastAsia" w:ascii="宋体" w:hAnsi="宋体" w:eastAsia="宋体"/>
                <w:sz w:val="21"/>
                <w:szCs w:val="21"/>
                <w:highlight w:val="none"/>
                <w:lang w:eastAsia="zh-CN"/>
              </w:rPr>
              <w:t>允许，偏差范围：</w:t>
            </w:r>
          </w:p>
          <w:p w14:paraId="1F03BE6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rPr>
              <w:t>偏差幅度：</w:t>
            </w:r>
          </w:p>
        </w:tc>
      </w:tr>
      <w:tr w14:paraId="56AF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98A741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2.1</w:t>
            </w:r>
          </w:p>
        </w:tc>
        <w:tc>
          <w:tcPr>
            <w:tcW w:w="914" w:type="pct"/>
            <w:noWrap w:val="0"/>
            <w:vAlign w:val="center"/>
          </w:tcPr>
          <w:p w14:paraId="48280B5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构成招标文件</w:t>
            </w:r>
          </w:p>
          <w:p w14:paraId="071F2AD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的其他资料</w:t>
            </w:r>
          </w:p>
        </w:tc>
        <w:tc>
          <w:tcPr>
            <w:tcW w:w="3554" w:type="pct"/>
            <w:noWrap w:val="0"/>
            <w:vAlign w:val="center"/>
          </w:tcPr>
          <w:p w14:paraId="43BBFDA7">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p>
        </w:tc>
      </w:tr>
      <w:tr w14:paraId="2D3A7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133291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2.2.1</w:t>
            </w:r>
          </w:p>
        </w:tc>
        <w:tc>
          <w:tcPr>
            <w:tcW w:w="914" w:type="pct"/>
            <w:noWrap w:val="0"/>
            <w:vAlign w:val="center"/>
          </w:tcPr>
          <w:p w14:paraId="1A0D86E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投标人要求</w:t>
            </w:r>
          </w:p>
          <w:p w14:paraId="068657B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澄清招标文件</w:t>
            </w:r>
          </w:p>
        </w:tc>
        <w:tc>
          <w:tcPr>
            <w:tcW w:w="3554" w:type="pct"/>
            <w:noWrap w:val="0"/>
            <w:vAlign w:val="center"/>
          </w:tcPr>
          <w:p w14:paraId="49E08B74">
            <w:pPr>
              <w:keepNext w:val="0"/>
              <w:keepLines w:val="0"/>
              <w:pageBreakBefore w:val="0"/>
              <w:widowControl w:val="0"/>
              <w:wordWrap/>
              <w:autoSpaceDE/>
              <w:autoSpaceDN/>
              <w:bidi w:val="0"/>
              <w:adjustRightInd/>
              <w:spacing w:line="360" w:lineRule="exact"/>
              <w:ind w:left="37" w:leftChars="17" w:right="37" w:rightChars="17"/>
              <w:jc w:val="both"/>
              <w:textAlignment w:val="auto"/>
              <w:rPr>
                <w:sz w:val="21"/>
                <w:szCs w:val="21"/>
                <w:highlight w:val="none"/>
                <w:u w:val="single"/>
                <w:lang w:eastAsia="zh-CN"/>
              </w:rPr>
            </w:pPr>
            <w:r>
              <w:rPr>
                <w:rFonts w:hint="eastAsia" w:ascii="宋体" w:hAnsi="宋体" w:eastAsia="宋体"/>
                <w:sz w:val="21"/>
                <w:szCs w:val="21"/>
                <w:highlight w:val="none"/>
                <w:u w:val="single"/>
                <w:lang w:eastAsia="zh-CN"/>
              </w:rPr>
              <w:t>时间：在提交投标文件截止时间</w:t>
            </w:r>
            <w:r>
              <w:rPr>
                <w:sz w:val="21"/>
                <w:szCs w:val="21"/>
                <w:highlight w:val="none"/>
                <w:u w:val="single"/>
                <w:lang w:eastAsia="zh-CN"/>
              </w:rPr>
              <w:t>18</w:t>
            </w:r>
            <w:r>
              <w:rPr>
                <w:rFonts w:hint="eastAsia" w:ascii="宋体" w:hAnsi="宋体" w:eastAsia="宋体"/>
                <w:sz w:val="21"/>
                <w:szCs w:val="21"/>
                <w:highlight w:val="none"/>
                <w:u w:val="single"/>
                <w:lang w:eastAsia="zh-CN"/>
              </w:rPr>
              <w:t>天前提出。</w:t>
            </w:r>
          </w:p>
          <w:p w14:paraId="59996753">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形式：投标人的疑问通过广州交易集团有限公司（广州公共资源交易中心）网站提交。</w:t>
            </w:r>
          </w:p>
          <w:p w14:paraId="1BBED070">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u w:val="single"/>
                <w:lang w:eastAsia="zh-CN"/>
              </w:rPr>
              <w:t>网上答疑的操作指南为：登陆广州交易集团有限公司（广州公共资源交易中心）网站（http://www.gzggzy.cn）→进入“建设工程”专区→进入“招标答疑提问”专区→通过项目编号或项目名称找到所需的项目→在上述的答疑时间内点击“答疑提问”→“新建问题”→提出问题(提问一律不得署名)以及查看所有的问题。</w:t>
            </w:r>
          </w:p>
        </w:tc>
      </w:tr>
      <w:tr w14:paraId="0235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D6E534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2.2.2</w:t>
            </w:r>
          </w:p>
        </w:tc>
        <w:tc>
          <w:tcPr>
            <w:tcW w:w="914" w:type="pct"/>
            <w:noWrap w:val="0"/>
            <w:vAlign w:val="center"/>
          </w:tcPr>
          <w:p w14:paraId="4A11C6F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招标文件澄清</w:t>
            </w:r>
          </w:p>
          <w:p w14:paraId="587DA17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发出的形式</w:t>
            </w:r>
          </w:p>
        </w:tc>
        <w:tc>
          <w:tcPr>
            <w:tcW w:w="3554" w:type="pct"/>
            <w:noWrap w:val="0"/>
            <w:vAlign w:val="center"/>
          </w:tcPr>
          <w:p w14:paraId="263581F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single"/>
                <w:lang w:eastAsia="zh-CN"/>
              </w:rPr>
            </w:pPr>
            <w:r>
              <w:rPr>
                <w:rFonts w:hint="eastAsia" w:ascii="宋体" w:hAnsi="宋体" w:eastAsia="宋体"/>
                <w:sz w:val="21"/>
                <w:szCs w:val="21"/>
                <w:highlight w:val="none"/>
                <w:lang w:eastAsia="zh-CN"/>
              </w:rPr>
              <w:t>招标人应在递交投标文件截止时间15日前将招标文件澄清文件在广州交易集团有限公司（广州公共资源交易中心）网站“招标答疑”专区发布。不足15日的，招标人应当顺延投标文件的截止时间。</w:t>
            </w:r>
          </w:p>
        </w:tc>
      </w:tr>
      <w:tr w14:paraId="513B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4108A2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2.2.3</w:t>
            </w:r>
          </w:p>
        </w:tc>
        <w:tc>
          <w:tcPr>
            <w:tcW w:w="914" w:type="pct"/>
            <w:noWrap w:val="0"/>
            <w:vAlign w:val="center"/>
          </w:tcPr>
          <w:p w14:paraId="1EE1A6F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投标人确认收到</w:t>
            </w:r>
          </w:p>
          <w:p w14:paraId="6669B26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招标文件澄清</w:t>
            </w:r>
          </w:p>
        </w:tc>
        <w:tc>
          <w:tcPr>
            <w:tcW w:w="3554" w:type="pct"/>
            <w:noWrap w:val="0"/>
            <w:vAlign w:val="center"/>
          </w:tcPr>
          <w:p w14:paraId="1386C8E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u w:val="single"/>
                <w:lang w:eastAsia="zh-CN"/>
              </w:rPr>
              <w:t>招标文件澄清文件一经在广州交易集团有限公司（广州公共资源交易中心）网站发布，视作已发放给所有投标人。招标答疑纪要为招标文件的一部分。投标人可在广州交易集团有限公司（广州公共资源交易中心）网站浏览、下载招标答疑纪要。若招标答疑纪要与招标文件有矛盾时，以广州交易集团有限公司（广州公共资源交易中心）网站最后发布的答疑纪要为准。</w:t>
            </w:r>
          </w:p>
        </w:tc>
      </w:tr>
      <w:tr w14:paraId="234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2DE7CF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2.3.1</w:t>
            </w:r>
          </w:p>
        </w:tc>
        <w:tc>
          <w:tcPr>
            <w:tcW w:w="914" w:type="pct"/>
            <w:noWrap w:val="0"/>
            <w:vAlign w:val="center"/>
          </w:tcPr>
          <w:p w14:paraId="2826D0B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招标文件修改</w:t>
            </w:r>
          </w:p>
          <w:p w14:paraId="769A8FE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发出的形式</w:t>
            </w:r>
          </w:p>
        </w:tc>
        <w:tc>
          <w:tcPr>
            <w:tcW w:w="3554" w:type="pct"/>
            <w:noWrap w:val="0"/>
            <w:vAlign w:val="center"/>
          </w:tcPr>
          <w:p w14:paraId="64005DE0">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以补充公告或项目答疑澄清的方式在广州交易集团有限公司（广州公共资源交易中心）网站发布。</w:t>
            </w:r>
          </w:p>
        </w:tc>
      </w:tr>
      <w:tr w14:paraId="44166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C0CB7F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2.3.2</w:t>
            </w:r>
          </w:p>
        </w:tc>
        <w:tc>
          <w:tcPr>
            <w:tcW w:w="914" w:type="pct"/>
            <w:noWrap w:val="0"/>
            <w:vAlign w:val="center"/>
          </w:tcPr>
          <w:p w14:paraId="07121C0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投标人确认收到</w:t>
            </w:r>
          </w:p>
          <w:p w14:paraId="4861EEE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招标文件修改</w:t>
            </w:r>
          </w:p>
        </w:tc>
        <w:tc>
          <w:tcPr>
            <w:tcW w:w="3554" w:type="pct"/>
            <w:noWrap w:val="0"/>
            <w:vAlign w:val="center"/>
          </w:tcPr>
          <w:p w14:paraId="09AFEFB6">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招标文件的澄清或修改在广州交易集团有限公司（广州公共资源交易中心）网站答疑专区网上公开发布，发出即视作收到，以广州交易集团有限公司（广州公共资源交易中心）数字交易平台网站发布时间作为送达时间。无需投标人确认。投标人应自行关注，招标人不再一一通知。招标文件的澄清或修改内容作为招标文件的组成部分，具有约束作用。</w:t>
            </w:r>
          </w:p>
        </w:tc>
      </w:tr>
      <w:tr w14:paraId="7A1E3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EE99684">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3.1.1</w:t>
            </w:r>
          </w:p>
        </w:tc>
        <w:tc>
          <w:tcPr>
            <w:tcW w:w="914" w:type="pct"/>
            <w:noWrap w:val="0"/>
            <w:vAlign w:val="center"/>
          </w:tcPr>
          <w:p w14:paraId="0C3208A5">
            <w:pPr>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构成投标文件</w:t>
            </w:r>
          </w:p>
          <w:p w14:paraId="2B270A32">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ascii="宋体" w:hAnsi="宋体" w:eastAsia="宋体" w:cs="宋体"/>
                <w:sz w:val="21"/>
                <w:szCs w:val="21"/>
                <w:highlight w:val="none"/>
                <w:lang w:eastAsia="zh-CN"/>
              </w:rPr>
              <w:t>的其他资料</w:t>
            </w:r>
          </w:p>
        </w:tc>
        <w:tc>
          <w:tcPr>
            <w:tcW w:w="3554" w:type="pct"/>
            <w:noWrap w:val="0"/>
            <w:vAlign w:val="center"/>
          </w:tcPr>
          <w:p w14:paraId="4150ABB5">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1</w:t>
            </w:r>
            <w:r>
              <w:rPr>
                <w:rFonts w:hint="eastAsia" w:ascii="宋体" w:hAnsi="宋体" w:eastAsia="宋体"/>
                <w:sz w:val="21"/>
                <w:szCs w:val="21"/>
                <w:highlight w:val="none"/>
                <w:lang w:eastAsia="zh-CN"/>
              </w:rPr>
              <w:t>）按本招标文件规定需提交的其它所有资料；</w:t>
            </w:r>
          </w:p>
          <w:p w14:paraId="55F0615C">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sz w:val="21"/>
                <w:szCs w:val="21"/>
                <w:highlight w:val="none"/>
                <w:lang w:eastAsia="zh-CN"/>
              </w:rPr>
              <w:t>2</w:t>
            </w:r>
            <w:r>
              <w:rPr>
                <w:rFonts w:hint="eastAsia" w:ascii="宋体" w:hAnsi="宋体" w:eastAsia="宋体"/>
                <w:sz w:val="21"/>
                <w:szCs w:val="21"/>
                <w:highlight w:val="none"/>
                <w:lang w:eastAsia="zh-CN"/>
              </w:rPr>
              <w:t>）投标人认为需要提交的其他资料。</w:t>
            </w:r>
          </w:p>
          <w:p w14:paraId="5A28D369">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注：①投标人提交的投标文件必须按照招标文件所提供的投标文件格式的要求如实填写（表格可以按同样格式扩展、缩小，内容项目不能变化）。</w:t>
            </w:r>
          </w:p>
          <w:p w14:paraId="052618ED">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②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14:paraId="6AA44DB9">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b/>
                <w:sz w:val="21"/>
                <w:szCs w:val="21"/>
                <w:highlight w:val="none"/>
                <w:lang w:eastAsia="zh-CN"/>
              </w:rPr>
            </w:pPr>
            <w:r>
              <w:rPr>
                <w:rFonts w:hint="eastAsia" w:ascii="宋体" w:hAnsi="宋体" w:eastAsia="宋体"/>
                <w:sz w:val="21"/>
                <w:szCs w:val="21"/>
                <w:highlight w:val="none"/>
                <w:lang w:eastAsia="zh-CN"/>
              </w:rPr>
              <w:t>③每个投标人报送一个投标方案，投标文件应达到招标文件规定的深度，满足评审需要。不响应招标文件要求的投标文件可能被拒绝，责任由投标人自负。</w:t>
            </w:r>
          </w:p>
        </w:tc>
      </w:tr>
      <w:tr w14:paraId="54B7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327735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3.2.1</w:t>
            </w:r>
          </w:p>
        </w:tc>
        <w:tc>
          <w:tcPr>
            <w:tcW w:w="914" w:type="pct"/>
            <w:noWrap w:val="0"/>
            <w:vAlign w:val="center"/>
          </w:tcPr>
          <w:p w14:paraId="4FB5D14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增值税税金</w:t>
            </w:r>
          </w:p>
          <w:p w14:paraId="46B847D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的计算方法</w:t>
            </w:r>
          </w:p>
        </w:tc>
        <w:tc>
          <w:tcPr>
            <w:tcW w:w="3554" w:type="pct"/>
            <w:noWrap w:val="0"/>
            <w:vAlign w:val="center"/>
          </w:tcPr>
          <w:p w14:paraId="0255D643">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p>
        </w:tc>
      </w:tr>
      <w:tr w14:paraId="7F170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0E5B2D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3.2.3</w:t>
            </w:r>
          </w:p>
        </w:tc>
        <w:tc>
          <w:tcPr>
            <w:tcW w:w="914" w:type="pct"/>
            <w:noWrap w:val="0"/>
            <w:vAlign w:val="center"/>
          </w:tcPr>
          <w:p w14:paraId="6DE3090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报价方式</w:t>
            </w:r>
          </w:p>
        </w:tc>
        <w:tc>
          <w:tcPr>
            <w:tcW w:w="3554" w:type="pct"/>
            <w:noWrap w:val="0"/>
            <w:vAlign w:val="center"/>
          </w:tcPr>
          <w:p w14:paraId="60DCB108">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按招标文件第六章投标文件格式进行报价</w:t>
            </w:r>
            <w:r>
              <w:rPr>
                <w:rFonts w:hint="eastAsia" w:ascii="宋体" w:hAnsi="宋体" w:eastAsia="宋体"/>
                <w:sz w:val="21"/>
                <w:szCs w:val="21"/>
                <w:highlight w:val="none"/>
                <w:u w:val="none"/>
                <w:lang w:eastAsia="zh-CN"/>
              </w:rPr>
              <w:t>，</w:t>
            </w:r>
            <w:r>
              <w:rPr>
                <w:rFonts w:hint="eastAsia" w:ascii="宋体" w:hAnsi="宋体" w:eastAsia="宋体"/>
                <w:sz w:val="21"/>
                <w:szCs w:val="21"/>
                <w:highlight w:val="none"/>
                <w:u w:val="single"/>
                <w:lang w:eastAsia="zh-CN"/>
              </w:rPr>
              <w:t>并按招标文件有关要求进行盖章上传</w:t>
            </w:r>
            <w:r>
              <w:rPr>
                <w:rFonts w:hint="eastAsia" w:ascii="宋体" w:hAnsi="宋体" w:eastAsia="宋体"/>
                <w:sz w:val="21"/>
                <w:szCs w:val="21"/>
                <w:highlight w:val="none"/>
                <w:u w:val="none"/>
                <w:lang w:eastAsia="zh-CN"/>
              </w:rPr>
              <w:t>。</w:t>
            </w:r>
            <w:r>
              <w:rPr>
                <w:rFonts w:hint="eastAsia" w:ascii="宋体" w:hAnsi="宋体" w:eastAsia="宋体"/>
                <w:sz w:val="21"/>
                <w:szCs w:val="21"/>
                <w:highlight w:val="none"/>
                <w:lang w:eastAsia="zh-CN"/>
              </w:rPr>
              <w:t>投标人根据自身企业实力自行报价。设计费报价为投标人完成本标段工程所有工作及履行合同的成本、利润、税金及风险等。</w:t>
            </w:r>
          </w:p>
        </w:tc>
      </w:tr>
      <w:tr w14:paraId="1CF0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B71545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3.2.4</w:t>
            </w:r>
          </w:p>
        </w:tc>
        <w:tc>
          <w:tcPr>
            <w:tcW w:w="914" w:type="pct"/>
            <w:noWrap w:val="0"/>
            <w:vAlign w:val="center"/>
          </w:tcPr>
          <w:p w14:paraId="191D627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最高投标限价</w:t>
            </w:r>
          </w:p>
        </w:tc>
        <w:tc>
          <w:tcPr>
            <w:tcW w:w="3554" w:type="pct"/>
            <w:noWrap w:val="0"/>
            <w:vAlign w:val="center"/>
          </w:tcPr>
          <w:p w14:paraId="1C6449A9">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sz w:val="21"/>
                <w:szCs w:val="21"/>
                <w:highlight w:val="none"/>
                <w:lang w:eastAsia="zh-CN"/>
              </w:rPr>
              <w:sym w:font="Wingdings 2" w:char="00A3"/>
            </w:r>
            <w:r>
              <w:rPr>
                <w:rFonts w:ascii="宋体" w:hAnsi="宋体" w:eastAsia="宋体" w:cs="宋体"/>
                <w:sz w:val="21"/>
                <w:szCs w:val="21"/>
                <w:highlight w:val="none"/>
                <w:lang w:eastAsia="zh-CN"/>
              </w:rPr>
              <w:t>无</w:t>
            </w:r>
          </w:p>
          <w:p w14:paraId="2559168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default" w:ascii="宋体" w:hAnsi="宋体" w:eastAsia="宋体" w:cs="宋体"/>
                <w:sz w:val="21"/>
                <w:szCs w:val="21"/>
                <w:highlight w:val="none"/>
                <w:lang w:val="en-US"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有，最高投标限价：</w:t>
            </w:r>
            <w:r>
              <w:rPr>
                <w:rFonts w:hint="eastAsia" w:ascii="宋体" w:hAnsi="宋体" w:eastAsia="宋体" w:cs="宋体"/>
                <w:sz w:val="21"/>
                <w:szCs w:val="21"/>
                <w:highlight w:val="none"/>
                <w:lang w:val="en-US" w:eastAsia="zh-CN"/>
              </w:rPr>
              <w:t>人民币1300万元</w:t>
            </w:r>
          </w:p>
          <w:p w14:paraId="44DADAA9">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cs="宋体"/>
                <w:b/>
                <w:sz w:val="21"/>
                <w:szCs w:val="21"/>
                <w:highlight w:val="none"/>
                <w:u w:val="single"/>
                <w:lang w:eastAsia="zh-CN"/>
              </w:rPr>
              <w:t>投标报价不得高于最高投标限价，否则由评标委员作废标处理。</w:t>
            </w:r>
          </w:p>
        </w:tc>
      </w:tr>
      <w:tr w14:paraId="36659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8A26BE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3.2.5</w:t>
            </w:r>
          </w:p>
        </w:tc>
        <w:tc>
          <w:tcPr>
            <w:tcW w:w="914" w:type="pct"/>
            <w:noWrap w:val="0"/>
            <w:vAlign w:val="center"/>
          </w:tcPr>
          <w:p w14:paraId="3452CED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投标报价</w:t>
            </w:r>
          </w:p>
          <w:p w14:paraId="367EC0E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的其他要求</w:t>
            </w:r>
          </w:p>
        </w:tc>
        <w:tc>
          <w:tcPr>
            <w:tcW w:w="3554" w:type="pct"/>
            <w:noWrap w:val="0"/>
            <w:vAlign w:val="center"/>
          </w:tcPr>
          <w:p w14:paraId="3BC31199">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u w:val="single"/>
                <w:lang w:eastAsia="zh-CN"/>
              </w:rPr>
              <w:t>投标人必须详细审阅全部招标文件及设计任务书等,充分考虑职责和义务,全面地理解招标文件对投标报价的要求,并按招标人提出的条件及内容进行报价。</w:t>
            </w:r>
          </w:p>
        </w:tc>
      </w:tr>
      <w:tr w14:paraId="3A74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CD66C4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3.3.1</w:t>
            </w:r>
          </w:p>
        </w:tc>
        <w:tc>
          <w:tcPr>
            <w:tcW w:w="914" w:type="pct"/>
            <w:noWrap w:val="0"/>
            <w:vAlign w:val="center"/>
          </w:tcPr>
          <w:p w14:paraId="02CAFA2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投标有效期</w:t>
            </w:r>
          </w:p>
        </w:tc>
        <w:tc>
          <w:tcPr>
            <w:tcW w:w="3554" w:type="pct"/>
            <w:noWrap w:val="0"/>
            <w:vAlign w:val="center"/>
          </w:tcPr>
          <w:p w14:paraId="5BA68201">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val="en-US" w:eastAsia="zh-CN"/>
              </w:rPr>
              <w:t>90</w:t>
            </w:r>
            <w:r>
              <w:rPr>
                <w:rFonts w:hint="eastAsia" w:ascii="宋体" w:hAnsi="宋体" w:eastAsia="宋体"/>
                <w:sz w:val="21"/>
                <w:szCs w:val="21"/>
                <w:highlight w:val="none"/>
                <w:lang w:eastAsia="zh-CN"/>
              </w:rPr>
              <w:t>日历天（从投标截止之日算起）</w:t>
            </w:r>
          </w:p>
        </w:tc>
      </w:tr>
      <w:tr w14:paraId="32487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C45B8D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3.4.1</w:t>
            </w:r>
          </w:p>
        </w:tc>
        <w:tc>
          <w:tcPr>
            <w:tcW w:w="914" w:type="pct"/>
            <w:noWrap w:val="0"/>
            <w:vAlign w:val="center"/>
          </w:tcPr>
          <w:p w14:paraId="60090FD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投标保证金</w:t>
            </w:r>
          </w:p>
        </w:tc>
        <w:tc>
          <w:tcPr>
            <w:tcW w:w="3554" w:type="pct"/>
            <w:noWrap w:val="0"/>
            <w:vAlign w:val="center"/>
          </w:tcPr>
          <w:p w14:paraId="11BA2D24">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是否</w:t>
            </w:r>
            <w:r>
              <w:rPr>
                <w:rFonts w:hint="eastAsia" w:ascii="宋体" w:hAnsi="宋体" w:eastAsia="宋体"/>
                <w:spacing w:val="-2"/>
                <w:sz w:val="21"/>
                <w:szCs w:val="21"/>
                <w:highlight w:val="none"/>
                <w:lang w:eastAsia="zh-CN"/>
              </w:rPr>
              <w:t>要</w:t>
            </w:r>
            <w:r>
              <w:rPr>
                <w:rFonts w:hint="eastAsia" w:ascii="宋体" w:hAnsi="宋体" w:eastAsia="宋体"/>
                <w:sz w:val="21"/>
                <w:szCs w:val="21"/>
                <w:highlight w:val="none"/>
                <w:lang w:eastAsia="zh-CN"/>
              </w:rPr>
              <w:t>求</w:t>
            </w:r>
            <w:r>
              <w:rPr>
                <w:rFonts w:hint="eastAsia" w:ascii="宋体" w:hAnsi="宋体" w:eastAsia="宋体"/>
                <w:spacing w:val="-2"/>
                <w:sz w:val="21"/>
                <w:szCs w:val="21"/>
                <w:highlight w:val="none"/>
                <w:lang w:eastAsia="zh-CN"/>
              </w:rPr>
              <w:t>投</w:t>
            </w:r>
            <w:r>
              <w:rPr>
                <w:rFonts w:hint="eastAsia" w:ascii="宋体" w:hAnsi="宋体" w:eastAsia="宋体"/>
                <w:sz w:val="21"/>
                <w:szCs w:val="21"/>
                <w:highlight w:val="none"/>
                <w:lang w:eastAsia="zh-CN"/>
              </w:rPr>
              <w:t>标</w:t>
            </w:r>
            <w:r>
              <w:rPr>
                <w:rFonts w:hint="eastAsia" w:ascii="宋体" w:hAnsi="宋体" w:eastAsia="宋体"/>
                <w:spacing w:val="-2"/>
                <w:sz w:val="21"/>
                <w:szCs w:val="21"/>
                <w:highlight w:val="none"/>
                <w:lang w:eastAsia="zh-CN"/>
              </w:rPr>
              <w:t>人</w:t>
            </w:r>
            <w:r>
              <w:rPr>
                <w:rFonts w:hint="eastAsia" w:ascii="宋体" w:hAnsi="宋体" w:eastAsia="宋体"/>
                <w:sz w:val="21"/>
                <w:szCs w:val="21"/>
                <w:highlight w:val="none"/>
                <w:lang w:eastAsia="zh-CN"/>
              </w:rPr>
              <w:t>递</w:t>
            </w:r>
            <w:r>
              <w:rPr>
                <w:rFonts w:hint="eastAsia" w:ascii="宋体" w:hAnsi="宋体" w:eastAsia="宋体"/>
                <w:spacing w:val="-2"/>
                <w:sz w:val="21"/>
                <w:szCs w:val="21"/>
                <w:highlight w:val="none"/>
                <w:lang w:eastAsia="zh-CN"/>
              </w:rPr>
              <w:t>交</w:t>
            </w:r>
            <w:r>
              <w:rPr>
                <w:rFonts w:hint="eastAsia" w:ascii="宋体" w:hAnsi="宋体" w:eastAsia="宋体"/>
                <w:sz w:val="21"/>
                <w:szCs w:val="21"/>
                <w:highlight w:val="none"/>
                <w:lang w:eastAsia="zh-CN"/>
              </w:rPr>
              <w:t>投</w:t>
            </w:r>
            <w:r>
              <w:rPr>
                <w:rFonts w:hint="eastAsia" w:ascii="宋体" w:hAnsi="宋体" w:eastAsia="宋体"/>
                <w:spacing w:val="-2"/>
                <w:sz w:val="21"/>
                <w:szCs w:val="21"/>
                <w:highlight w:val="none"/>
                <w:lang w:eastAsia="zh-CN"/>
              </w:rPr>
              <w:t>标</w:t>
            </w:r>
            <w:r>
              <w:rPr>
                <w:rFonts w:hint="eastAsia" w:ascii="宋体" w:hAnsi="宋体" w:eastAsia="宋体"/>
                <w:sz w:val="21"/>
                <w:szCs w:val="21"/>
                <w:highlight w:val="none"/>
                <w:lang w:eastAsia="zh-CN"/>
              </w:rPr>
              <w:t>保证</w:t>
            </w:r>
            <w:r>
              <w:rPr>
                <w:rFonts w:hint="eastAsia" w:ascii="宋体" w:hAnsi="宋体" w:eastAsia="宋体"/>
                <w:spacing w:val="-2"/>
                <w:sz w:val="21"/>
                <w:szCs w:val="21"/>
                <w:highlight w:val="none"/>
                <w:lang w:eastAsia="zh-CN"/>
              </w:rPr>
              <w:t>金</w:t>
            </w:r>
            <w:r>
              <w:rPr>
                <w:rFonts w:hint="eastAsia" w:ascii="宋体" w:hAnsi="宋体" w:eastAsia="宋体"/>
                <w:sz w:val="21"/>
                <w:szCs w:val="21"/>
                <w:highlight w:val="none"/>
                <w:lang w:eastAsia="zh-CN"/>
              </w:rPr>
              <w:t>：</w:t>
            </w:r>
          </w:p>
          <w:p w14:paraId="70D52867">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default" w:ascii="宋体" w:hAnsi="宋体" w:eastAsia="宋体"/>
                <w:sz w:val="21"/>
                <w:szCs w:val="21"/>
                <w:highlight w:val="none"/>
                <w:lang w:val="en-US" w:eastAsia="zh-CN"/>
              </w:rPr>
            </w:pPr>
            <w:r>
              <w:rPr>
                <w:rFonts w:hint="eastAsia" w:ascii="宋体" w:hAnsi="宋体" w:eastAsia="宋体"/>
                <w:spacing w:val="-1"/>
                <w:sz w:val="21"/>
                <w:szCs w:val="21"/>
                <w:highlight w:val="none"/>
                <w:lang w:eastAsia="zh-CN"/>
              </w:rPr>
              <w:t>□</w:t>
            </w:r>
            <w:r>
              <w:rPr>
                <w:rFonts w:hint="eastAsia" w:ascii="宋体" w:hAnsi="宋体" w:eastAsia="宋体"/>
                <w:sz w:val="21"/>
                <w:szCs w:val="21"/>
                <w:highlight w:val="none"/>
                <w:lang w:eastAsia="zh-CN"/>
              </w:rPr>
              <w:t>要求，</w:t>
            </w:r>
            <w:r>
              <w:rPr>
                <w:rFonts w:hint="eastAsia" w:ascii="宋体" w:hAnsi="宋体" w:eastAsia="宋体"/>
                <w:color w:val="auto"/>
                <w:sz w:val="21"/>
                <w:szCs w:val="21"/>
                <w:highlight w:val="none"/>
                <w:lang w:eastAsia="zh-CN"/>
              </w:rPr>
              <w:t>投标</w:t>
            </w:r>
            <w:r>
              <w:rPr>
                <w:rFonts w:hint="eastAsia" w:ascii="宋体" w:hAnsi="宋体" w:eastAsia="宋体"/>
                <w:color w:val="auto"/>
                <w:spacing w:val="-2"/>
                <w:sz w:val="21"/>
                <w:szCs w:val="21"/>
                <w:highlight w:val="none"/>
                <w:lang w:eastAsia="zh-CN"/>
              </w:rPr>
              <w:t>保</w:t>
            </w:r>
            <w:r>
              <w:rPr>
                <w:rFonts w:hint="eastAsia" w:ascii="宋体" w:hAnsi="宋体" w:eastAsia="宋体"/>
                <w:color w:val="auto"/>
                <w:sz w:val="21"/>
                <w:szCs w:val="21"/>
                <w:highlight w:val="none"/>
                <w:lang w:eastAsia="zh-CN"/>
              </w:rPr>
              <w:t>证</w:t>
            </w:r>
            <w:r>
              <w:rPr>
                <w:rFonts w:hint="eastAsia" w:ascii="宋体" w:hAnsi="宋体" w:eastAsia="宋体"/>
                <w:color w:val="auto"/>
                <w:spacing w:val="-2"/>
                <w:sz w:val="21"/>
                <w:szCs w:val="21"/>
                <w:highlight w:val="none"/>
                <w:lang w:eastAsia="zh-CN"/>
              </w:rPr>
              <w:t>金</w:t>
            </w:r>
            <w:r>
              <w:rPr>
                <w:rFonts w:hint="eastAsia" w:ascii="宋体" w:hAnsi="宋体" w:eastAsia="宋体"/>
                <w:color w:val="auto"/>
                <w:sz w:val="21"/>
                <w:szCs w:val="21"/>
                <w:highlight w:val="none"/>
                <w:lang w:eastAsia="zh-CN"/>
              </w:rPr>
              <w:t>的</w:t>
            </w:r>
            <w:r>
              <w:rPr>
                <w:rFonts w:hint="eastAsia" w:ascii="宋体" w:hAnsi="宋体" w:eastAsia="宋体"/>
                <w:color w:val="auto"/>
                <w:spacing w:val="-2"/>
                <w:sz w:val="21"/>
                <w:szCs w:val="21"/>
                <w:highlight w:val="none"/>
                <w:lang w:eastAsia="zh-CN"/>
              </w:rPr>
              <w:t>金</w:t>
            </w:r>
            <w:r>
              <w:rPr>
                <w:rFonts w:hint="eastAsia" w:ascii="宋体" w:hAnsi="宋体" w:eastAsia="宋体"/>
                <w:color w:val="auto"/>
                <w:sz w:val="21"/>
                <w:szCs w:val="21"/>
                <w:highlight w:val="none"/>
                <w:lang w:eastAsia="zh-CN"/>
              </w:rPr>
              <w:t>额：</w:t>
            </w:r>
            <w:r>
              <w:rPr>
                <w:rFonts w:hint="eastAsia" w:ascii="宋体" w:hAnsi="宋体" w:eastAsia="宋体"/>
                <w:b/>
                <w:color w:val="auto"/>
                <w:sz w:val="21"/>
                <w:szCs w:val="21"/>
                <w:highlight w:val="none"/>
                <w:u w:val="single"/>
                <w:lang w:val="en-US" w:eastAsia="zh-CN"/>
              </w:rPr>
              <w:t xml:space="preserve">          </w:t>
            </w:r>
          </w:p>
          <w:p w14:paraId="23157553">
            <w:pPr>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pacing w:val="-2"/>
                <w:sz w:val="21"/>
                <w:szCs w:val="21"/>
                <w:highlight w:val="none"/>
                <w:lang w:eastAsia="zh-CN"/>
              </w:rPr>
            </w:pPr>
            <w:r>
              <w:rPr>
                <w:rFonts w:hint="eastAsia" w:ascii="宋体" w:hAnsi="宋体" w:eastAsia="宋体"/>
                <w:spacing w:val="-2"/>
                <w:sz w:val="21"/>
                <w:szCs w:val="21"/>
                <w:highlight w:val="none"/>
                <w:lang w:eastAsia="zh-CN"/>
              </w:rPr>
              <w:t>投标保证金有效期：大于或等于投标有效期。</w:t>
            </w:r>
          </w:p>
          <w:p w14:paraId="79C78D0C">
            <w:pPr>
              <w:keepNext w:val="0"/>
              <w:keepLines w:val="0"/>
              <w:pageBreakBefore w:val="0"/>
              <w:widowControl w:val="0"/>
              <w:wordWrap/>
              <w:topLinePunct/>
              <w:autoSpaceDE/>
              <w:autoSpaceDN/>
              <w:bidi w:val="0"/>
              <w:adjustRightInd/>
              <w:spacing w:line="360" w:lineRule="exact"/>
              <w:ind w:left="37" w:leftChars="17" w:right="37" w:rightChars="17"/>
              <w:jc w:val="both"/>
              <w:textAlignment w:val="auto"/>
              <w:rPr>
                <w:rFonts w:ascii="宋体" w:hAnsi="宋体" w:eastAsia="宋体"/>
                <w:sz w:val="21"/>
                <w:szCs w:val="21"/>
                <w:highlight w:val="none"/>
                <w:lang w:eastAsia="zh-CN"/>
              </w:rPr>
            </w:pPr>
            <w:r>
              <w:rPr>
                <w:rFonts w:hint="eastAsia" w:ascii="宋体" w:hAnsi="宋体" w:eastAsia="宋体" w:cs="Arial"/>
                <w:sz w:val="21"/>
                <w:szCs w:val="21"/>
                <w:highlight w:val="none"/>
                <w:lang w:eastAsia="zh-CN"/>
              </w:rPr>
              <w:t>■</w:t>
            </w:r>
            <w:r>
              <w:rPr>
                <w:rFonts w:hint="eastAsia" w:ascii="宋体" w:hAnsi="宋体" w:eastAsia="宋体"/>
                <w:sz w:val="21"/>
                <w:szCs w:val="21"/>
                <w:highlight w:val="none"/>
                <w:lang w:eastAsia="zh-CN"/>
              </w:rPr>
              <w:t>不要求</w:t>
            </w:r>
          </w:p>
        </w:tc>
      </w:tr>
      <w:tr w14:paraId="4E873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F8B543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3.4.4</w:t>
            </w:r>
          </w:p>
        </w:tc>
        <w:tc>
          <w:tcPr>
            <w:tcW w:w="914" w:type="pct"/>
            <w:noWrap w:val="0"/>
            <w:vAlign w:val="center"/>
          </w:tcPr>
          <w:p w14:paraId="281E2B9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其他可以不予退还投标保证金的情形</w:t>
            </w:r>
          </w:p>
        </w:tc>
        <w:tc>
          <w:tcPr>
            <w:tcW w:w="3554" w:type="pct"/>
            <w:noWrap w:val="0"/>
            <w:vAlign w:val="center"/>
          </w:tcPr>
          <w:p w14:paraId="4179F216">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rPr>
              <w:t>投标人采用不正当的手段骗取中标经查实的，不予退还投标保证金</w:t>
            </w:r>
            <w:r>
              <w:rPr>
                <w:rFonts w:ascii="宋体" w:hAnsi="宋体" w:eastAsia="宋体"/>
                <w:sz w:val="21"/>
                <w:szCs w:val="21"/>
                <w:highlight w:val="none"/>
              </w:rPr>
              <w:t>。</w:t>
            </w:r>
          </w:p>
        </w:tc>
      </w:tr>
      <w:tr w14:paraId="2E01F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173B17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3.5</w:t>
            </w:r>
          </w:p>
        </w:tc>
        <w:tc>
          <w:tcPr>
            <w:tcW w:w="914" w:type="pct"/>
            <w:noWrap w:val="0"/>
            <w:vAlign w:val="center"/>
          </w:tcPr>
          <w:p w14:paraId="5B31EC8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资格审查资料</w:t>
            </w:r>
          </w:p>
          <w:p w14:paraId="4CFB4C9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的特殊要求</w:t>
            </w:r>
          </w:p>
        </w:tc>
        <w:tc>
          <w:tcPr>
            <w:tcW w:w="3554" w:type="pct"/>
            <w:noWrap w:val="0"/>
            <w:vAlign w:val="center"/>
          </w:tcPr>
          <w:p w14:paraId="2380FD84">
            <w:pPr>
              <w:keepNext w:val="0"/>
              <w:keepLines w:val="0"/>
              <w:pageBreakBefore w:val="0"/>
              <w:widowControl w:val="0"/>
              <w:wordWrap/>
              <w:topLinePunct/>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■无</w:t>
            </w:r>
          </w:p>
          <w:p w14:paraId="37D38290">
            <w:pPr>
              <w:keepNext w:val="0"/>
              <w:keepLines w:val="0"/>
              <w:pageBreakBefore w:val="0"/>
              <w:widowControl w:val="0"/>
              <w:wordWrap/>
              <w:topLinePunct/>
              <w:autoSpaceDE/>
              <w:autoSpaceDN/>
              <w:bidi w:val="0"/>
              <w:adjustRightInd/>
              <w:spacing w:line="360" w:lineRule="exact"/>
              <w:ind w:left="37" w:leftChars="17" w:right="37" w:rightChars="17"/>
              <w:textAlignment w:val="auto"/>
              <w:rPr>
                <w:rFonts w:hint="default" w:ascii="宋体" w:hAnsi="宋体" w:eastAsia="宋体"/>
                <w:sz w:val="21"/>
                <w:szCs w:val="21"/>
                <w:highlight w:val="none"/>
                <w:lang w:val="en-US" w:eastAsia="zh-CN"/>
              </w:rPr>
            </w:pPr>
            <w:r>
              <w:rPr>
                <w:rFonts w:ascii="宋体" w:hAnsi="宋体" w:eastAsia="宋体"/>
                <w:sz w:val="21"/>
                <w:szCs w:val="21"/>
                <w:highlight w:val="none"/>
                <w:lang w:eastAsia="zh-CN"/>
              </w:rPr>
              <w:sym w:font="Wingdings 2" w:char="00A3"/>
            </w:r>
            <w:r>
              <w:rPr>
                <w:rFonts w:hint="eastAsia" w:ascii="宋体" w:hAnsi="宋体" w:eastAsia="宋体"/>
                <w:sz w:val="21"/>
                <w:szCs w:val="21"/>
                <w:highlight w:val="none"/>
                <w:lang w:eastAsia="zh-CN"/>
              </w:rPr>
              <w:t>有，具体要求：</w:t>
            </w:r>
            <w:r>
              <w:rPr>
                <w:rFonts w:hint="eastAsia" w:ascii="宋体" w:hAnsi="宋体" w:eastAsia="宋体"/>
                <w:sz w:val="21"/>
                <w:szCs w:val="21"/>
                <w:highlight w:val="none"/>
                <w:lang w:val="en-US" w:eastAsia="zh-CN"/>
              </w:rPr>
              <w:t>/</w:t>
            </w:r>
          </w:p>
          <w:p w14:paraId="238FEF89">
            <w:pPr>
              <w:keepNext w:val="0"/>
              <w:keepLines w:val="0"/>
              <w:pageBreakBefore w:val="0"/>
              <w:widowControl w:val="0"/>
              <w:wordWrap/>
              <w:topLinePunct/>
              <w:autoSpaceDE/>
              <w:autoSpaceDN/>
              <w:bidi w:val="0"/>
              <w:adjustRightInd/>
              <w:spacing w:line="360" w:lineRule="exact"/>
              <w:ind w:left="37" w:leftChars="17" w:right="37" w:rightChars="17"/>
              <w:textAlignment w:val="auto"/>
              <w:rPr>
                <w:rFonts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本招标项目不要求提供“投标人基本情况表”、“近年财务状况表”、“近年发生的诉讼及仲裁情况”、“近年完成的类似设计项目情况表”、“正在设计和新承接的项目情况表”、“拟委任的主要人员汇总表”，以上内容不作为资格审查内容；如本招标项目要求提供以上资料，则不作为资格审查内容，仅作为评标资料（如有）。</w:t>
            </w:r>
          </w:p>
        </w:tc>
      </w:tr>
      <w:tr w14:paraId="748F1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9CAD06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3.5.2</w:t>
            </w:r>
          </w:p>
        </w:tc>
        <w:tc>
          <w:tcPr>
            <w:tcW w:w="914" w:type="pct"/>
            <w:noWrap w:val="0"/>
            <w:vAlign w:val="center"/>
          </w:tcPr>
          <w:p w14:paraId="153E9FB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近年财务状况</w:t>
            </w:r>
          </w:p>
          <w:p w14:paraId="78F6668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的年份要求</w:t>
            </w:r>
          </w:p>
        </w:tc>
        <w:tc>
          <w:tcPr>
            <w:tcW w:w="3554" w:type="pct"/>
            <w:noWrap w:val="0"/>
            <w:vAlign w:val="center"/>
          </w:tcPr>
          <w:p w14:paraId="2C28B251">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rPr>
            </w:pPr>
            <w:r>
              <w:rPr>
                <w:rFonts w:ascii="宋体" w:hAnsi="宋体" w:eastAsia="宋体"/>
                <w:sz w:val="21"/>
                <w:szCs w:val="21"/>
                <w:highlight w:val="none"/>
              </w:rPr>
              <w:t>/。</w:t>
            </w:r>
          </w:p>
        </w:tc>
      </w:tr>
      <w:tr w14:paraId="2DA2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065D9D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3.5.3</w:t>
            </w:r>
          </w:p>
        </w:tc>
        <w:tc>
          <w:tcPr>
            <w:tcW w:w="914" w:type="pct"/>
            <w:noWrap w:val="0"/>
            <w:vAlign w:val="center"/>
          </w:tcPr>
          <w:p w14:paraId="16F98DA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近年完成的类似项目情况的时间要求</w:t>
            </w:r>
          </w:p>
        </w:tc>
        <w:tc>
          <w:tcPr>
            <w:tcW w:w="3554" w:type="pct"/>
            <w:noWrap w:val="0"/>
            <w:vAlign w:val="center"/>
          </w:tcPr>
          <w:p w14:paraId="0D06D6B2">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rPr>
            </w:pPr>
            <w:r>
              <w:rPr>
                <w:rFonts w:hint="eastAsia" w:ascii="宋体" w:hAnsi="宋体" w:eastAsia="宋体"/>
                <w:sz w:val="21"/>
                <w:szCs w:val="21"/>
                <w:highlight w:val="none"/>
                <w:lang w:val="en-US" w:eastAsia="zh-CN"/>
              </w:rPr>
              <w:t>详见招标公告。</w:t>
            </w:r>
          </w:p>
        </w:tc>
      </w:tr>
      <w:tr w14:paraId="5A88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741DD0C">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3.5.5</w:t>
            </w:r>
          </w:p>
        </w:tc>
        <w:tc>
          <w:tcPr>
            <w:tcW w:w="914" w:type="pct"/>
            <w:noWrap w:val="0"/>
            <w:vAlign w:val="center"/>
          </w:tcPr>
          <w:p w14:paraId="65B5090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近年发生的诉讼及仲裁情况的时间要求</w:t>
            </w:r>
          </w:p>
        </w:tc>
        <w:tc>
          <w:tcPr>
            <w:tcW w:w="3554" w:type="pct"/>
            <w:noWrap w:val="0"/>
            <w:vAlign w:val="center"/>
          </w:tcPr>
          <w:p w14:paraId="1EC7065B">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rPr>
            </w:pPr>
            <w:r>
              <w:rPr>
                <w:rFonts w:ascii="宋体" w:hAnsi="宋体" w:eastAsia="宋体"/>
                <w:sz w:val="21"/>
                <w:szCs w:val="21"/>
                <w:highlight w:val="none"/>
              </w:rPr>
              <w:t>/。</w:t>
            </w:r>
          </w:p>
        </w:tc>
      </w:tr>
      <w:tr w14:paraId="1A983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315A01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3.6.1</w:t>
            </w:r>
          </w:p>
        </w:tc>
        <w:tc>
          <w:tcPr>
            <w:tcW w:w="914" w:type="pct"/>
            <w:noWrap w:val="0"/>
            <w:vAlign w:val="center"/>
          </w:tcPr>
          <w:p w14:paraId="02BF514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是否允许递交</w:t>
            </w:r>
          </w:p>
          <w:p w14:paraId="1ACEEDC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备选投标方案</w:t>
            </w:r>
          </w:p>
        </w:tc>
        <w:tc>
          <w:tcPr>
            <w:tcW w:w="3554" w:type="pct"/>
            <w:noWrap w:val="0"/>
            <w:vAlign w:val="center"/>
          </w:tcPr>
          <w:p w14:paraId="7E6704E7">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rPr>
            </w:pPr>
            <w:r>
              <w:rPr>
                <w:rFonts w:hint="eastAsia" w:ascii="宋体" w:hAnsi="宋体" w:eastAsia="宋体"/>
                <w:sz w:val="21"/>
                <w:szCs w:val="21"/>
                <w:highlight w:val="none"/>
              </w:rPr>
              <w:t>■</w:t>
            </w:r>
            <w:r>
              <w:rPr>
                <w:rFonts w:ascii="宋体" w:hAnsi="宋体" w:eastAsia="宋体" w:cs="宋体"/>
                <w:sz w:val="21"/>
                <w:szCs w:val="21"/>
                <w:highlight w:val="none"/>
              </w:rPr>
              <w:t>不允许</w:t>
            </w:r>
          </w:p>
          <w:p w14:paraId="1AB6755D">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rPr>
            </w:pPr>
            <w:r>
              <w:rPr>
                <w:rFonts w:ascii="宋体" w:hAnsi="宋体" w:eastAsia="宋体"/>
                <w:sz w:val="21"/>
                <w:szCs w:val="21"/>
                <w:highlight w:val="none"/>
              </w:rPr>
              <w:t>□</w:t>
            </w:r>
            <w:r>
              <w:rPr>
                <w:rFonts w:ascii="宋体" w:hAnsi="宋体" w:eastAsia="宋体" w:cs="宋体"/>
                <w:sz w:val="21"/>
                <w:szCs w:val="21"/>
                <w:highlight w:val="none"/>
              </w:rPr>
              <w:t>允许</w:t>
            </w:r>
          </w:p>
        </w:tc>
      </w:tr>
      <w:tr w14:paraId="76CCE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E7A3A5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3.7.3</w:t>
            </w:r>
            <w:r>
              <w:rPr>
                <w:rFonts w:hint="eastAsia" w:ascii="宋体" w:hAnsi="宋体" w:eastAsia="宋体"/>
                <w:sz w:val="21"/>
                <w:szCs w:val="21"/>
                <w:highlight w:val="none"/>
              </w:rPr>
              <w:t>（</w:t>
            </w:r>
            <w:r>
              <w:rPr>
                <w:rFonts w:ascii="宋体" w:hAnsi="宋体" w:eastAsia="宋体"/>
                <w:sz w:val="21"/>
                <w:szCs w:val="21"/>
                <w:highlight w:val="none"/>
              </w:rPr>
              <w:t>A</w:t>
            </w:r>
            <w:r>
              <w:rPr>
                <w:rFonts w:hint="eastAsia" w:ascii="宋体" w:hAnsi="宋体" w:eastAsia="宋体"/>
                <w:sz w:val="21"/>
                <w:szCs w:val="21"/>
                <w:highlight w:val="none"/>
              </w:rPr>
              <w:t>）</w:t>
            </w:r>
          </w:p>
        </w:tc>
        <w:tc>
          <w:tcPr>
            <w:tcW w:w="914" w:type="pct"/>
            <w:noWrap w:val="0"/>
            <w:vAlign w:val="center"/>
          </w:tcPr>
          <w:p w14:paraId="75AD41C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w:t>
            </w:r>
          </w:p>
        </w:tc>
        <w:tc>
          <w:tcPr>
            <w:tcW w:w="3554" w:type="pct"/>
            <w:noWrap w:val="0"/>
            <w:vAlign w:val="center"/>
          </w:tcPr>
          <w:p w14:paraId="49198D02">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rPr>
            </w:pPr>
            <w:r>
              <w:rPr>
                <w:rFonts w:hint="eastAsia" w:ascii="宋体" w:hAnsi="宋体" w:eastAsia="宋体"/>
                <w:sz w:val="21"/>
                <w:szCs w:val="21"/>
                <w:highlight w:val="none"/>
                <w:lang w:eastAsia="zh-CN"/>
              </w:rPr>
              <w:t>删除。</w:t>
            </w:r>
          </w:p>
        </w:tc>
      </w:tr>
      <w:tr w14:paraId="0D887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CFE6A4E">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3.7.3（B）</w:t>
            </w:r>
          </w:p>
        </w:tc>
        <w:tc>
          <w:tcPr>
            <w:tcW w:w="914" w:type="pct"/>
            <w:noWrap w:val="0"/>
            <w:vAlign w:val="center"/>
          </w:tcPr>
          <w:p w14:paraId="30D08279">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投标文件所附</w:t>
            </w:r>
          </w:p>
          <w:p w14:paraId="736EF741">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证书证件要求</w:t>
            </w:r>
          </w:p>
        </w:tc>
        <w:tc>
          <w:tcPr>
            <w:tcW w:w="3554" w:type="pct"/>
            <w:noWrap w:val="0"/>
            <w:vAlign w:val="center"/>
          </w:tcPr>
          <w:p w14:paraId="4044EBB2">
            <w:pPr>
              <w:pStyle w:val="10"/>
              <w:keepNext w:val="0"/>
              <w:keepLines w:val="0"/>
              <w:pageBreakBefore w:val="0"/>
              <w:widowControl w:val="0"/>
              <w:wordWrap/>
              <w:topLinePunct/>
              <w:autoSpaceDE/>
              <w:autoSpaceDN/>
              <w:bidi w:val="0"/>
              <w:adjustRightInd/>
              <w:spacing w:line="360" w:lineRule="exact"/>
              <w:ind w:left="37" w:leftChars="17" w:right="37" w:rightChars="17"/>
              <w:textAlignment w:val="auto"/>
              <w:rPr>
                <w:rFonts w:hAnsi="宋体"/>
                <w:sz w:val="21"/>
                <w:szCs w:val="21"/>
                <w:highlight w:val="none"/>
                <w:lang w:val="en-US" w:eastAsia="zh-CN"/>
              </w:rPr>
            </w:pPr>
            <w:r>
              <w:rPr>
                <w:rFonts w:hint="eastAsia" w:hAnsi="宋体"/>
                <w:sz w:val="21"/>
                <w:szCs w:val="21"/>
                <w:highlight w:val="none"/>
                <w:lang w:val="en-US" w:eastAsia="zh-CN"/>
              </w:rPr>
              <w:t>证书证件需为清晰彩色扫描件，并采用单位数字证书，按照招标文件要求在相应位置加盖电子印章。</w:t>
            </w:r>
          </w:p>
        </w:tc>
      </w:tr>
      <w:tr w14:paraId="5BA4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E190024">
            <w:pPr>
              <w:keepNext w:val="0"/>
              <w:keepLines w:val="0"/>
              <w:pageBreakBefore w:val="0"/>
              <w:widowControl w:val="0"/>
              <w:wordWrap/>
              <w:autoSpaceDE/>
              <w:autoSpaceDN/>
              <w:bidi w:val="0"/>
              <w:adjustRightInd/>
              <w:snapToGrid w:val="0"/>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3.7.3（B）</w:t>
            </w:r>
          </w:p>
        </w:tc>
        <w:tc>
          <w:tcPr>
            <w:tcW w:w="914" w:type="pct"/>
            <w:noWrap w:val="0"/>
            <w:vAlign w:val="center"/>
          </w:tcPr>
          <w:p w14:paraId="249D6368">
            <w:pPr>
              <w:keepNext w:val="0"/>
              <w:keepLines w:val="0"/>
              <w:pageBreakBefore w:val="0"/>
              <w:widowControl w:val="0"/>
              <w:wordWrap/>
              <w:autoSpaceDE/>
              <w:autoSpaceDN/>
              <w:bidi w:val="0"/>
              <w:adjustRightInd/>
              <w:snapToGrid w:val="0"/>
              <w:spacing w:line="360" w:lineRule="exact"/>
              <w:jc w:val="center"/>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投标文件签字</w:t>
            </w:r>
          </w:p>
          <w:p w14:paraId="06065B18">
            <w:pPr>
              <w:keepNext w:val="0"/>
              <w:keepLines w:val="0"/>
              <w:pageBreakBefore w:val="0"/>
              <w:widowControl w:val="0"/>
              <w:wordWrap/>
              <w:autoSpaceDE/>
              <w:autoSpaceDN/>
              <w:bidi w:val="0"/>
              <w:adjustRightInd/>
              <w:snapToGrid w:val="0"/>
              <w:spacing w:line="360" w:lineRule="exact"/>
              <w:jc w:val="center"/>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或盖章要求</w:t>
            </w:r>
          </w:p>
        </w:tc>
        <w:tc>
          <w:tcPr>
            <w:tcW w:w="3554" w:type="pct"/>
            <w:noWrap w:val="0"/>
            <w:vAlign w:val="center"/>
          </w:tcPr>
          <w:p w14:paraId="2351CEED">
            <w:pPr>
              <w:pStyle w:val="10"/>
              <w:topLinePunct/>
              <w:snapToGrid w:val="0"/>
              <w:spacing w:line="360" w:lineRule="exact"/>
              <w:ind w:left="37" w:leftChars="17" w:right="37" w:rightChars="17"/>
              <w:rPr>
                <w:rFonts w:hint="eastAsia" w:ascii="宋体" w:hAnsi="宋体" w:eastAsia="宋体" w:cs="Times New Roman"/>
                <w:color w:val="auto"/>
                <w:sz w:val="21"/>
                <w:szCs w:val="21"/>
                <w:highlight w:val="none"/>
                <w:u w:val="single"/>
                <w:lang w:eastAsia="zh-CN"/>
              </w:rPr>
            </w:pPr>
            <w:r>
              <w:rPr>
                <w:rFonts w:hint="eastAsia" w:hAnsi="宋体"/>
                <w:color w:val="auto"/>
                <w:sz w:val="21"/>
                <w:szCs w:val="21"/>
                <w:highlight w:val="none"/>
                <w:u w:val="single"/>
                <w:lang w:eastAsia="zh-CN"/>
              </w:rPr>
              <w:t>投标文件中需法定代表人、代理人签字或盖章的，应加盖个人电子印章或在线下完成后扫描上传。投标人应采用单位数字证书，投标文件按招标文件要求在相应位置加盖电子印章。</w:t>
            </w:r>
            <w:r>
              <w:rPr>
                <w:rFonts w:hint="eastAsia" w:ascii="宋体" w:hAnsi="宋体" w:eastAsia="宋体" w:cs="Times New Roman"/>
                <w:color w:val="auto"/>
                <w:sz w:val="21"/>
                <w:szCs w:val="21"/>
                <w:highlight w:val="none"/>
                <w:u w:val="single"/>
                <w:lang w:eastAsia="zh-CN"/>
              </w:rPr>
              <w:t>联合体投标时，除《联合体共同投标协议》必须联合体各方分别按要求进行签字、盖章外，其他内容及落款中的“投标人”应填写联合体各方的单位全称【格式为：(主)XXXX公司(成)XXXX公司】，可仅由联合体主办方盖章或签字，视作符合要求。</w:t>
            </w:r>
          </w:p>
          <w:p w14:paraId="7F2240B8">
            <w:pPr>
              <w:pStyle w:val="10"/>
              <w:keepNext w:val="0"/>
              <w:keepLines w:val="0"/>
              <w:pageBreakBefore w:val="0"/>
              <w:widowControl w:val="0"/>
              <w:wordWrap/>
              <w:topLinePunct/>
              <w:autoSpaceDE/>
              <w:autoSpaceDN/>
              <w:bidi w:val="0"/>
              <w:adjustRightInd/>
              <w:snapToGrid w:val="0"/>
              <w:spacing w:line="360" w:lineRule="exact"/>
              <w:ind w:left="37" w:leftChars="17" w:right="37" w:rightChars="17"/>
              <w:textAlignment w:val="auto"/>
              <w:rPr>
                <w:rFonts w:hAnsi="宋体"/>
                <w:sz w:val="21"/>
                <w:szCs w:val="21"/>
                <w:highlight w:val="none"/>
                <w:u w:val="single"/>
                <w:lang w:val="en-US" w:eastAsia="zh-CN"/>
              </w:rPr>
            </w:pPr>
            <w:r>
              <w:rPr>
                <w:rFonts w:hint="eastAsia" w:hAnsi="宋体"/>
                <w:sz w:val="21"/>
                <w:szCs w:val="21"/>
                <w:highlight w:val="none"/>
                <w:u w:val="single"/>
                <w:lang w:val="en-US" w:eastAsia="zh-CN"/>
              </w:rPr>
              <w:t>相关操作详见广州交易集团有限公司（广州公共资源交易中心）网站最新发布的《建设工程全流程电子化项目操作指南》。</w:t>
            </w:r>
          </w:p>
        </w:tc>
      </w:tr>
      <w:tr w14:paraId="2572B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DF3B9CB">
            <w:pPr>
              <w:keepNext w:val="0"/>
              <w:keepLines w:val="0"/>
              <w:pageBreakBefore w:val="0"/>
              <w:widowControl w:val="0"/>
              <w:wordWrap/>
              <w:autoSpaceDE/>
              <w:autoSpaceDN/>
              <w:bidi w:val="0"/>
              <w:adjustRightInd/>
              <w:snapToGrid w:val="0"/>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4.1.1</w:t>
            </w:r>
            <w:r>
              <w:rPr>
                <w:rFonts w:hint="eastAsia" w:ascii="宋体" w:hAnsi="宋体" w:eastAsia="宋体"/>
                <w:sz w:val="21"/>
                <w:szCs w:val="21"/>
                <w:highlight w:val="none"/>
              </w:rPr>
              <w:t>（</w:t>
            </w:r>
            <w:r>
              <w:rPr>
                <w:rFonts w:ascii="宋体" w:hAnsi="宋体" w:eastAsia="宋体"/>
                <w:sz w:val="21"/>
                <w:szCs w:val="21"/>
                <w:highlight w:val="none"/>
              </w:rPr>
              <w:t>A</w:t>
            </w:r>
            <w:r>
              <w:rPr>
                <w:rFonts w:hint="eastAsia" w:ascii="宋体" w:hAnsi="宋体" w:eastAsia="宋体"/>
                <w:sz w:val="21"/>
                <w:szCs w:val="21"/>
                <w:highlight w:val="none"/>
              </w:rPr>
              <w:t>）</w:t>
            </w:r>
          </w:p>
        </w:tc>
        <w:tc>
          <w:tcPr>
            <w:tcW w:w="914" w:type="pct"/>
            <w:noWrap w:val="0"/>
            <w:vAlign w:val="center"/>
          </w:tcPr>
          <w:p w14:paraId="01F0B949">
            <w:pPr>
              <w:keepNext w:val="0"/>
              <w:keepLines w:val="0"/>
              <w:pageBreakBefore w:val="0"/>
              <w:widowControl w:val="0"/>
              <w:wordWrap/>
              <w:autoSpaceDE/>
              <w:autoSpaceDN/>
              <w:bidi w:val="0"/>
              <w:adjustRightInd/>
              <w:snapToGrid w:val="0"/>
              <w:spacing w:line="360" w:lineRule="exact"/>
              <w:jc w:val="center"/>
              <w:textAlignment w:val="auto"/>
              <w:rPr>
                <w:rFonts w:ascii="宋体" w:hAnsi="宋体" w:eastAsia="宋体"/>
                <w:sz w:val="21"/>
                <w:szCs w:val="21"/>
                <w:highlight w:val="none"/>
                <w:lang w:eastAsia="zh-CN"/>
              </w:rPr>
            </w:pPr>
            <w:r>
              <w:rPr>
                <w:rFonts w:ascii="宋体" w:hAnsi="宋体" w:eastAsia="宋体"/>
                <w:sz w:val="21"/>
                <w:szCs w:val="21"/>
                <w:highlight w:val="none"/>
                <w:lang w:eastAsia="zh-CN"/>
              </w:rPr>
              <w:t>/</w:t>
            </w:r>
          </w:p>
        </w:tc>
        <w:tc>
          <w:tcPr>
            <w:tcW w:w="3554" w:type="pct"/>
            <w:noWrap w:val="0"/>
            <w:vAlign w:val="center"/>
          </w:tcPr>
          <w:p w14:paraId="758A2430">
            <w:pPr>
              <w:pStyle w:val="10"/>
              <w:keepNext w:val="0"/>
              <w:keepLines w:val="0"/>
              <w:pageBreakBefore w:val="0"/>
              <w:widowControl w:val="0"/>
              <w:wordWrap/>
              <w:topLinePunct/>
              <w:autoSpaceDE/>
              <w:autoSpaceDN/>
              <w:bidi w:val="0"/>
              <w:adjustRightInd/>
              <w:snapToGrid w:val="0"/>
              <w:spacing w:line="360" w:lineRule="exact"/>
              <w:ind w:left="37" w:leftChars="17" w:right="37" w:rightChars="17"/>
              <w:textAlignment w:val="auto"/>
              <w:rPr>
                <w:rFonts w:hint="eastAsia" w:hAnsi="宋体"/>
                <w:sz w:val="21"/>
                <w:szCs w:val="21"/>
                <w:highlight w:val="none"/>
                <w:u w:val="single"/>
                <w:lang w:val="en-US" w:eastAsia="zh-CN"/>
              </w:rPr>
            </w:pPr>
            <w:r>
              <w:rPr>
                <w:rFonts w:hint="eastAsia" w:hAnsi="宋体"/>
                <w:sz w:val="21"/>
                <w:szCs w:val="21"/>
                <w:highlight w:val="none"/>
                <w:u w:val="single"/>
                <w:lang w:val="en-US" w:eastAsia="zh-CN"/>
              </w:rPr>
              <w:t>删除。</w:t>
            </w:r>
          </w:p>
        </w:tc>
      </w:tr>
      <w:tr w14:paraId="0727D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85A6FD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4.1.1（B）</w:t>
            </w:r>
          </w:p>
        </w:tc>
        <w:tc>
          <w:tcPr>
            <w:tcW w:w="914" w:type="pct"/>
            <w:noWrap w:val="0"/>
            <w:vAlign w:val="center"/>
          </w:tcPr>
          <w:p w14:paraId="29C3297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投标文件加密要求</w:t>
            </w:r>
          </w:p>
        </w:tc>
        <w:tc>
          <w:tcPr>
            <w:tcW w:w="3554" w:type="pct"/>
            <w:noWrap w:val="0"/>
            <w:vAlign w:val="center"/>
          </w:tcPr>
          <w:p w14:paraId="7F078861">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网上递交的电子投标文件须进行加密。未按要求加密的投标文件，交易平台将予以拒收。</w:t>
            </w:r>
          </w:p>
          <w:p w14:paraId="42671038">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具体操作详见广州交易集团有限公司（广州公共资源交易中心）网站最新发布的《建设工程全流程电子化项目操作指南》。</w:t>
            </w:r>
          </w:p>
        </w:tc>
      </w:tr>
      <w:tr w14:paraId="72D9D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7989D2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b w:val="0"/>
                <w:bCs/>
                <w:sz w:val="21"/>
                <w:szCs w:val="21"/>
                <w:highlight w:val="none"/>
              </w:rPr>
            </w:pPr>
            <w:r>
              <w:rPr>
                <w:rFonts w:ascii="宋体" w:hAnsi="宋体" w:eastAsia="宋体"/>
                <w:b w:val="0"/>
                <w:bCs/>
                <w:sz w:val="21"/>
                <w:szCs w:val="21"/>
                <w:highlight w:val="none"/>
              </w:rPr>
              <w:t>4.1.2</w:t>
            </w:r>
          </w:p>
        </w:tc>
        <w:tc>
          <w:tcPr>
            <w:tcW w:w="914" w:type="pct"/>
            <w:noWrap w:val="0"/>
            <w:vAlign w:val="center"/>
          </w:tcPr>
          <w:p w14:paraId="5851C99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b w:val="0"/>
                <w:bCs/>
                <w:sz w:val="21"/>
                <w:szCs w:val="21"/>
                <w:highlight w:val="none"/>
              </w:rPr>
            </w:pPr>
            <w:r>
              <w:rPr>
                <w:rFonts w:ascii="宋体" w:hAnsi="宋体" w:eastAsia="宋体" w:cs="宋体"/>
                <w:b w:val="0"/>
                <w:bCs/>
                <w:sz w:val="21"/>
                <w:szCs w:val="21"/>
                <w:highlight w:val="none"/>
              </w:rPr>
              <w:t>封套上应</w:t>
            </w:r>
          </w:p>
          <w:p w14:paraId="6D687BC3">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b w:val="0"/>
                <w:bCs/>
                <w:sz w:val="21"/>
                <w:szCs w:val="21"/>
                <w:highlight w:val="none"/>
              </w:rPr>
            </w:pPr>
            <w:r>
              <w:rPr>
                <w:rFonts w:ascii="宋体" w:hAnsi="宋体" w:eastAsia="宋体" w:cs="宋体"/>
                <w:b w:val="0"/>
                <w:bCs/>
                <w:sz w:val="21"/>
                <w:szCs w:val="21"/>
                <w:highlight w:val="none"/>
              </w:rPr>
              <w:t>载明的信息</w:t>
            </w:r>
          </w:p>
        </w:tc>
        <w:tc>
          <w:tcPr>
            <w:tcW w:w="3554" w:type="pct"/>
            <w:noWrap w:val="0"/>
            <w:vAlign w:val="center"/>
          </w:tcPr>
          <w:p w14:paraId="5E48FA5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对递交的备用投标文件电子光盘要求封装。</w:t>
            </w:r>
          </w:p>
          <w:p w14:paraId="137584F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文件封套上应载明：</w:t>
            </w:r>
          </w:p>
          <w:p w14:paraId="6E903B04">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b w:val="0"/>
                <w:bCs/>
                <w:sz w:val="21"/>
                <w:szCs w:val="21"/>
                <w:highlight w:val="none"/>
                <w:lang w:eastAsia="zh-CN"/>
              </w:rPr>
            </w:pPr>
            <w:r>
              <w:rPr>
                <w:rFonts w:hint="eastAsia" w:ascii="宋体" w:hAnsi="宋体" w:eastAsia="宋体" w:cs="宋体"/>
                <w:b w:val="0"/>
                <w:bCs/>
                <w:sz w:val="21"/>
                <w:szCs w:val="21"/>
                <w:highlight w:val="none"/>
                <w:lang w:eastAsia="zh-CN"/>
              </w:rPr>
              <w:t>招标人名称：</w:t>
            </w:r>
            <w:r>
              <w:rPr>
                <w:rFonts w:hint="eastAsia" w:ascii="宋体" w:hAnsi="宋体" w:eastAsia="宋体" w:cs="宋体"/>
                <w:b w:val="0"/>
                <w:bCs/>
                <w:sz w:val="21"/>
                <w:szCs w:val="21"/>
                <w:highlight w:val="none"/>
                <w:u w:val="single"/>
                <w:lang w:eastAsia="zh-CN"/>
              </w:rPr>
              <w:t xml:space="preserve">                   </w:t>
            </w:r>
          </w:p>
          <w:p w14:paraId="58056681">
            <w:pPr>
              <w:pStyle w:val="60"/>
              <w:keepNext w:val="0"/>
              <w:keepLines w:val="0"/>
              <w:pageBreakBefore w:val="0"/>
              <w:widowControl w:val="0"/>
              <w:tabs>
                <w:tab w:val="left" w:pos="1157"/>
              </w:tabs>
              <w:wordWrap/>
              <w:autoSpaceDE/>
              <w:autoSpaceDN/>
              <w:bidi w:val="0"/>
              <w:adjustRightInd/>
              <w:spacing w:line="360" w:lineRule="exact"/>
              <w:ind w:left="37" w:leftChars="17" w:right="37" w:rightChars="17"/>
              <w:jc w:val="both"/>
              <w:textAlignment w:val="auto"/>
              <w:rPr>
                <w:rFonts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u w:val="single"/>
                <w:lang w:eastAsia="zh-CN"/>
              </w:rPr>
              <w:t xml:space="preserve">     （项目名称）        </w:t>
            </w:r>
            <w:r>
              <w:rPr>
                <w:rFonts w:hint="eastAsia" w:ascii="宋体" w:hAnsi="宋体" w:eastAsia="宋体" w:cs="宋体"/>
                <w:b w:val="0"/>
                <w:bCs/>
                <w:sz w:val="21"/>
                <w:szCs w:val="21"/>
                <w:highlight w:val="none"/>
                <w:lang w:val="en-US" w:eastAsia="zh-CN"/>
              </w:rPr>
              <w:t>投标</w:t>
            </w:r>
            <w:r>
              <w:rPr>
                <w:rFonts w:ascii="宋体" w:hAnsi="宋体" w:eastAsia="宋体" w:cs="宋体"/>
                <w:b w:val="0"/>
                <w:bCs/>
                <w:sz w:val="21"/>
                <w:szCs w:val="21"/>
                <w:highlight w:val="none"/>
                <w:lang w:eastAsia="zh-CN"/>
              </w:rPr>
              <w:t>文件</w:t>
            </w:r>
          </w:p>
          <w:p w14:paraId="24FA1629">
            <w:pPr>
              <w:pStyle w:val="60"/>
              <w:keepNext w:val="0"/>
              <w:keepLines w:val="0"/>
              <w:pageBreakBefore w:val="0"/>
              <w:widowControl w:val="0"/>
              <w:tabs>
                <w:tab w:val="left" w:pos="1157"/>
              </w:tabs>
              <w:wordWrap/>
              <w:autoSpaceDE/>
              <w:autoSpaceDN/>
              <w:bidi w:val="0"/>
              <w:adjustRightInd/>
              <w:spacing w:line="360" w:lineRule="exact"/>
              <w:ind w:left="37" w:leftChars="17" w:right="37" w:rightChars="17"/>
              <w:jc w:val="both"/>
              <w:textAlignment w:val="auto"/>
              <w:rPr>
                <w:rFonts w:hint="eastAsia" w:ascii="宋体" w:hAnsi="宋体" w:eastAsia="宋体"/>
                <w:b w:val="0"/>
                <w:bCs/>
                <w:sz w:val="21"/>
                <w:szCs w:val="21"/>
                <w:highlight w:val="none"/>
                <w:lang w:eastAsia="zh-CN"/>
              </w:rPr>
            </w:pPr>
            <w:r>
              <w:rPr>
                <w:rFonts w:hint="eastAsia" w:ascii="宋体" w:hAnsi="宋体" w:eastAsia="宋体" w:cs="宋体"/>
                <w:b w:val="0"/>
                <w:bCs/>
                <w:sz w:val="21"/>
                <w:szCs w:val="21"/>
                <w:highlight w:val="none"/>
                <w:lang w:eastAsia="zh-CN"/>
              </w:rPr>
              <w:t>投标人名称：</w:t>
            </w:r>
            <w:r>
              <w:rPr>
                <w:rFonts w:hint="eastAsia" w:ascii="宋体" w:hAnsi="宋体" w:eastAsia="宋体" w:cs="宋体"/>
                <w:b w:val="0"/>
                <w:bCs/>
                <w:sz w:val="21"/>
                <w:szCs w:val="21"/>
                <w:highlight w:val="none"/>
                <w:u w:val="single"/>
                <w:lang w:eastAsia="zh-CN"/>
              </w:rPr>
              <w:t xml:space="preserve">                   </w:t>
            </w:r>
          </w:p>
          <w:p w14:paraId="64BF9B3D">
            <w:pPr>
              <w:pStyle w:val="60"/>
              <w:keepNext w:val="0"/>
              <w:keepLines w:val="0"/>
              <w:pageBreakBefore w:val="0"/>
              <w:widowControl w:val="0"/>
              <w:tabs>
                <w:tab w:val="left" w:pos="734"/>
                <w:tab w:val="left" w:pos="1365"/>
                <w:tab w:val="left" w:pos="1994"/>
                <w:tab w:val="left" w:pos="2623"/>
              </w:tabs>
              <w:wordWrap/>
              <w:autoSpaceDE/>
              <w:autoSpaceDN/>
              <w:bidi w:val="0"/>
              <w:adjustRightInd/>
              <w:spacing w:line="360" w:lineRule="exact"/>
              <w:ind w:left="37" w:leftChars="17" w:right="37" w:rightChars="17"/>
              <w:jc w:val="both"/>
              <w:textAlignment w:val="auto"/>
              <w:rPr>
                <w:rFonts w:ascii="宋体" w:hAnsi="宋体" w:eastAsia="宋体" w:cs="宋体"/>
                <w:b/>
                <w:sz w:val="21"/>
                <w:szCs w:val="21"/>
                <w:highlight w:val="none"/>
                <w:lang w:eastAsia="zh-CN"/>
              </w:rPr>
            </w:pPr>
            <w:r>
              <w:rPr>
                <w:rFonts w:hint="eastAsia" w:ascii="宋体" w:hAnsi="宋体" w:eastAsia="宋体" w:cs="宋体"/>
                <w:b w:val="0"/>
                <w:bCs/>
                <w:sz w:val="21"/>
                <w:szCs w:val="21"/>
                <w:highlight w:val="none"/>
                <w:lang w:eastAsia="zh-CN"/>
              </w:rPr>
              <w:t>在</w:t>
            </w:r>
            <w:r>
              <w:rPr>
                <w:rFonts w:hint="eastAsia" w:ascii="宋体" w:hAnsi="宋体" w:eastAsia="宋体" w:cs="宋体"/>
                <w:b w:val="0"/>
                <w:bCs/>
                <w:sz w:val="21"/>
                <w:szCs w:val="21"/>
                <w:highlight w:val="none"/>
                <w:u w:val="single"/>
                <w:lang w:eastAsia="zh-CN"/>
              </w:rPr>
              <w:t xml:space="preserve">     </w:t>
            </w:r>
            <w:r>
              <w:rPr>
                <w:rFonts w:hint="eastAsia" w:ascii="宋体" w:hAnsi="宋体" w:eastAsia="宋体" w:cs="宋体"/>
                <w:b w:val="0"/>
                <w:bCs/>
                <w:sz w:val="21"/>
                <w:szCs w:val="21"/>
                <w:highlight w:val="none"/>
                <w:lang w:eastAsia="zh-CN"/>
              </w:rPr>
              <w:t>年</w:t>
            </w:r>
            <w:r>
              <w:rPr>
                <w:rFonts w:hint="eastAsia" w:ascii="宋体" w:hAnsi="宋体" w:eastAsia="宋体" w:cs="宋体"/>
                <w:b w:val="0"/>
                <w:bCs/>
                <w:sz w:val="21"/>
                <w:szCs w:val="21"/>
                <w:highlight w:val="none"/>
                <w:u w:val="single"/>
                <w:lang w:eastAsia="zh-CN"/>
              </w:rPr>
              <w:t xml:space="preserve">   </w:t>
            </w:r>
            <w:r>
              <w:rPr>
                <w:rFonts w:hint="eastAsia" w:ascii="宋体" w:hAnsi="宋体" w:eastAsia="宋体" w:cs="宋体"/>
                <w:b w:val="0"/>
                <w:bCs/>
                <w:sz w:val="21"/>
                <w:szCs w:val="21"/>
                <w:highlight w:val="none"/>
                <w:lang w:eastAsia="zh-CN"/>
              </w:rPr>
              <w:t>月</w:t>
            </w:r>
            <w:r>
              <w:rPr>
                <w:rFonts w:hint="eastAsia" w:ascii="宋体" w:hAnsi="宋体" w:eastAsia="宋体" w:cs="宋体"/>
                <w:b w:val="0"/>
                <w:bCs/>
                <w:sz w:val="21"/>
                <w:szCs w:val="21"/>
                <w:highlight w:val="none"/>
                <w:u w:val="single"/>
                <w:lang w:eastAsia="zh-CN"/>
              </w:rPr>
              <w:t xml:space="preserve">   </w:t>
            </w:r>
            <w:r>
              <w:rPr>
                <w:rFonts w:hint="eastAsia" w:ascii="宋体" w:hAnsi="宋体" w:eastAsia="宋体" w:cs="宋体"/>
                <w:b w:val="0"/>
                <w:bCs/>
                <w:sz w:val="21"/>
                <w:szCs w:val="21"/>
                <w:highlight w:val="none"/>
                <w:lang w:eastAsia="zh-CN"/>
              </w:rPr>
              <w:t>日</w:t>
            </w:r>
            <w:r>
              <w:rPr>
                <w:rFonts w:hint="eastAsia" w:ascii="宋体" w:hAnsi="宋体" w:eastAsia="宋体" w:cs="宋体"/>
                <w:b w:val="0"/>
                <w:bCs/>
                <w:sz w:val="21"/>
                <w:szCs w:val="21"/>
                <w:highlight w:val="none"/>
                <w:u w:val="single"/>
                <w:lang w:eastAsia="zh-CN"/>
              </w:rPr>
              <w:t xml:space="preserve">   </w:t>
            </w:r>
            <w:r>
              <w:rPr>
                <w:rFonts w:hint="eastAsia" w:ascii="宋体" w:hAnsi="宋体" w:eastAsia="宋体" w:cs="宋体"/>
                <w:b w:val="0"/>
                <w:bCs/>
                <w:sz w:val="21"/>
                <w:szCs w:val="21"/>
                <w:highlight w:val="none"/>
                <w:lang w:eastAsia="zh-CN"/>
              </w:rPr>
              <w:t>时</w:t>
            </w:r>
            <w:r>
              <w:rPr>
                <w:rFonts w:hint="eastAsia" w:ascii="宋体" w:hAnsi="宋体" w:eastAsia="宋体" w:cs="宋体"/>
                <w:b w:val="0"/>
                <w:bCs/>
                <w:sz w:val="21"/>
                <w:szCs w:val="21"/>
                <w:highlight w:val="none"/>
                <w:u w:val="single"/>
                <w:lang w:eastAsia="zh-CN"/>
              </w:rPr>
              <w:t xml:space="preserve">   </w:t>
            </w:r>
            <w:r>
              <w:rPr>
                <w:rFonts w:hint="eastAsia" w:ascii="宋体" w:hAnsi="宋体" w:eastAsia="宋体" w:cs="宋体"/>
                <w:b w:val="0"/>
                <w:bCs/>
                <w:sz w:val="21"/>
                <w:szCs w:val="21"/>
                <w:highlight w:val="none"/>
                <w:lang w:eastAsia="zh-CN"/>
              </w:rPr>
              <w:t>分前不得开启（按投标截止时间）。</w:t>
            </w:r>
          </w:p>
        </w:tc>
      </w:tr>
      <w:tr w14:paraId="449F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1046B3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4.2.1</w:t>
            </w:r>
          </w:p>
        </w:tc>
        <w:tc>
          <w:tcPr>
            <w:tcW w:w="914" w:type="pct"/>
            <w:noWrap w:val="0"/>
            <w:vAlign w:val="center"/>
          </w:tcPr>
          <w:p w14:paraId="3C0A052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投标截止时间</w:t>
            </w:r>
          </w:p>
        </w:tc>
        <w:tc>
          <w:tcPr>
            <w:tcW w:w="3554" w:type="pct"/>
            <w:noWrap w:val="0"/>
            <w:vAlign w:val="center"/>
          </w:tcPr>
          <w:p w14:paraId="22411E14">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cs="宋体"/>
                <w:sz w:val="21"/>
                <w:szCs w:val="21"/>
                <w:highlight w:val="none"/>
                <w:lang w:eastAsia="zh-CN"/>
              </w:rPr>
              <w:t>详见招标公告。具体时间可以到广州交易集团有限公司（广州公共资源交易中心）交易平台“建设工程→项目查询（日程安排、答疑纪要）”输入本项目编号或项目名称进行查询。</w:t>
            </w:r>
          </w:p>
        </w:tc>
      </w:tr>
      <w:tr w14:paraId="57BA3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13C61F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4.2.2（A）</w:t>
            </w:r>
          </w:p>
        </w:tc>
        <w:tc>
          <w:tcPr>
            <w:tcW w:w="914" w:type="pct"/>
            <w:noWrap w:val="0"/>
            <w:vAlign w:val="center"/>
          </w:tcPr>
          <w:p w14:paraId="6ECFE775">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递交投标文件地点</w:t>
            </w:r>
          </w:p>
        </w:tc>
        <w:tc>
          <w:tcPr>
            <w:tcW w:w="3554" w:type="pct"/>
            <w:noWrap w:val="0"/>
            <w:vAlign w:val="center"/>
          </w:tcPr>
          <w:p w14:paraId="6A29F7C2">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删除</w:t>
            </w:r>
          </w:p>
        </w:tc>
      </w:tr>
      <w:tr w14:paraId="1424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0BDE7E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4.2.2（</w:t>
            </w:r>
            <w:r>
              <w:rPr>
                <w:rFonts w:hint="eastAsia" w:ascii="宋体" w:hAnsi="宋体" w:eastAsia="宋体"/>
                <w:sz w:val="21"/>
                <w:szCs w:val="21"/>
                <w:highlight w:val="none"/>
                <w:lang w:eastAsia="zh-CN"/>
              </w:rPr>
              <w:t>B</w:t>
            </w:r>
            <w:r>
              <w:rPr>
                <w:rFonts w:ascii="宋体" w:hAnsi="宋体" w:eastAsia="宋体"/>
                <w:sz w:val="21"/>
                <w:szCs w:val="21"/>
                <w:highlight w:val="none"/>
              </w:rPr>
              <w:t>）</w:t>
            </w:r>
          </w:p>
        </w:tc>
        <w:tc>
          <w:tcPr>
            <w:tcW w:w="914" w:type="pct"/>
            <w:noWrap w:val="0"/>
            <w:vAlign w:val="center"/>
          </w:tcPr>
          <w:p w14:paraId="0851FE49">
            <w:pPr>
              <w:pStyle w:val="60"/>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ascii="宋体" w:hAnsi="宋体" w:eastAsia="宋体"/>
                <w:sz w:val="21"/>
                <w:szCs w:val="21"/>
                <w:highlight w:val="none"/>
              </w:rPr>
              <w:t>递交投标文件</w:t>
            </w:r>
          </w:p>
        </w:tc>
        <w:tc>
          <w:tcPr>
            <w:tcW w:w="3554" w:type="pct"/>
            <w:noWrap w:val="0"/>
            <w:vAlign w:val="center"/>
          </w:tcPr>
          <w:p w14:paraId="483EA2EA">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1、投标人登录广州交易集团有限公司（广州公共资源交易中心）交易平台递交电子投标文件。</w:t>
            </w:r>
          </w:p>
          <w:p w14:paraId="399A25B4">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w:t>
            </w:r>
            <w:r>
              <w:rPr>
                <w:rFonts w:hint="eastAsia" w:ascii="宋体" w:hAnsi="宋体" w:eastAsia="宋体"/>
                <w:color w:val="auto"/>
                <w:sz w:val="21"/>
                <w:szCs w:val="21"/>
                <w:highlight w:val="none"/>
                <w:lang w:eastAsia="zh-CN"/>
              </w:rPr>
              <w:t>递交投标文件的起始时间：详见广州交易集团有限公司（广州公共资源交易中心）网站信息。逾期送达的投标文件，交易平台将予以拒收</w:t>
            </w:r>
            <w:r>
              <w:rPr>
                <w:rFonts w:hint="eastAsia" w:ascii="宋体" w:hAnsi="宋体" w:eastAsia="宋体"/>
                <w:sz w:val="21"/>
                <w:szCs w:val="21"/>
                <w:highlight w:val="none"/>
                <w:lang w:eastAsia="zh-CN"/>
              </w:rPr>
              <w:t>。</w:t>
            </w:r>
          </w:p>
          <w:p w14:paraId="33252DFE">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3、如按招标公告要求需要提交投标文件光盘（备用），备用光盘不得加密。如使用投标文件光盘（备用）时无法读取或导入的，则视为未提交投标文件。</w:t>
            </w:r>
          </w:p>
          <w:p w14:paraId="637F96C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4</w:t>
            </w:r>
            <w:r>
              <w:rPr>
                <w:rFonts w:hint="eastAsia" w:ascii="宋体" w:hAnsi="宋体" w:eastAsia="宋体"/>
                <w:sz w:val="21"/>
                <w:szCs w:val="21"/>
                <w:highlight w:val="none"/>
                <w:lang w:eastAsia="zh-CN"/>
              </w:rPr>
              <w:t>、</w:t>
            </w:r>
            <w:r>
              <w:rPr>
                <w:rFonts w:hint="eastAsia" w:ascii="宋体" w:hAnsi="宋体" w:eastAsia="宋体"/>
                <w:color w:val="auto"/>
                <w:sz w:val="21"/>
                <w:szCs w:val="21"/>
                <w:highlight w:val="none"/>
                <w:lang w:eastAsia="zh-CN"/>
              </w:rPr>
              <w:t>上述时间及地点是否有改变，请密切留意招标答疑纪要或补充公告（如有）的相关信息，具体时间及场地安排请各投标人密切留意广州交易集团有限公司（广州公共资源交易中心）网站公布本项目的日程安排，投标人可以到广州交易集团有限公司（广州公共资源交易中心）网站首页，点击“建设工程→项目查询（日程安排、答疑纪要）”输入本“项目编号”或“项目名称”查询最新信息</w:t>
            </w:r>
            <w:r>
              <w:rPr>
                <w:rFonts w:hint="eastAsia" w:ascii="宋体" w:hAnsi="宋体" w:eastAsia="宋体"/>
                <w:sz w:val="21"/>
                <w:szCs w:val="21"/>
                <w:highlight w:val="none"/>
                <w:lang w:eastAsia="zh-CN"/>
              </w:rPr>
              <w:t>。</w:t>
            </w:r>
          </w:p>
        </w:tc>
      </w:tr>
      <w:tr w14:paraId="03E5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28C4A0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4.2.3</w:t>
            </w:r>
          </w:p>
        </w:tc>
        <w:tc>
          <w:tcPr>
            <w:tcW w:w="914" w:type="pct"/>
            <w:noWrap w:val="0"/>
            <w:vAlign w:val="center"/>
          </w:tcPr>
          <w:p w14:paraId="18C6D04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投标文件是否退还</w:t>
            </w:r>
          </w:p>
        </w:tc>
        <w:tc>
          <w:tcPr>
            <w:tcW w:w="3554" w:type="pct"/>
            <w:noWrap w:val="0"/>
            <w:vAlign w:val="center"/>
          </w:tcPr>
          <w:p w14:paraId="650C44B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否</w:t>
            </w:r>
          </w:p>
          <w:p w14:paraId="3FDC6AB5">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sz w:val="21"/>
                <w:szCs w:val="21"/>
                <w:highlight w:val="none"/>
                <w:lang w:eastAsia="zh-CN"/>
              </w:rPr>
              <w:t>□</w:t>
            </w:r>
            <w:r>
              <w:rPr>
                <w:rFonts w:ascii="宋体" w:hAnsi="宋体" w:eastAsia="宋体" w:cs="宋体"/>
                <w:sz w:val="21"/>
                <w:szCs w:val="21"/>
                <w:highlight w:val="none"/>
                <w:lang w:eastAsia="zh-CN"/>
              </w:rPr>
              <w:t>是，退还时间：</w:t>
            </w:r>
          </w:p>
        </w:tc>
      </w:tr>
      <w:tr w14:paraId="03A4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E26987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4.2.4</w:t>
            </w:r>
            <w:r>
              <w:rPr>
                <w:rFonts w:hint="eastAsia" w:ascii="宋体" w:hAnsi="宋体" w:eastAsia="宋体"/>
                <w:sz w:val="21"/>
                <w:szCs w:val="21"/>
                <w:highlight w:val="none"/>
              </w:rPr>
              <w:t>（</w:t>
            </w:r>
            <w:r>
              <w:rPr>
                <w:rFonts w:ascii="宋体" w:hAnsi="宋体" w:eastAsia="宋体"/>
                <w:sz w:val="21"/>
                <w:szCs w:val="21"/>
                <w:highlight w:val="none"/>
              </w:rPr>
              <w:t>A</w:t>
            </w:r>
            <w:r>
              <w:rPr>
                <w:rFonts w:hint="eastAsia" w:ascii="宋体" w:hAnsi="宋体" w:eastAsia="宋体"/>
                <w:sz w:val="21"/>
                <w:szCs w:val="21"/>
                <w:highlight w:val="none"/>
              </w:rPr>
              <w:t>）</w:t>
            </w:r>
          </w:p>
        </w:tc>
        <w:tc>
          <w:tcPr>
            <w:tcW w:w="914" w:type="pct"/>
            <w:noWrap w:val="0"/>
            <w:vAlign w:val="center"/>
          </w:tcPr>
          <w:p w14:paraId="5D432BE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w:t>
            </w:r>
          </w:p>
        </w:tc>
        <w:tc>
          <w:tcPr>
            <w:tcW w:w="3554" w:type="pct"/>
            <w:noWrap w:val="0"/>
            <w:vAlign w:val="center"/>
          </w:tcPr>
          <w:p w14:paraId="3C2EB603">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删除。</w:t>
            </w:r>
          </w:p>
        </w:tc>
      </w:tr>
      <w:tr w14:paraId="2585D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4C445E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4.2.5</w:t>
            </w:r>
            <w:r>
              <w:rPr>
                <w:rFonts w:hint="eastAsia" w:ascii="宋体" w:hAnsi="宋体" w:eastAsia="宋体"/>
                <w:sz w:val="21"/>
                <w:szCs w:val="21"/>
                <w:highlight w:val="none"/>
              </w:rPr>
              <w:t>（</w:t>
            </w:r>
            <w:r>
              <w:rPr>
                <w:rFonts w:ascii="宋体" w:hAnsi="宋体" w:eastAsia="宋体"/>
                <w:sz w:val="21"/>
                <w:szCs w:val="21"/>
                <w:highlight w:val="none"/>
              </w:rPr>
              <w:t>A</w:t>
            </w:r>
            <w:r>
              <w:rPr>
                <w:rFonts w:hint="eastAsia" w:ascii="宋体" w:hAnsi="宋体" w:eastAsia="宋体"/>
                <w:sz w:val="21"/>
                <w:szCs w:val="21"/>
                <w:highlight w:val="none"/>
              </w:rPr>
              <w:t>）</w:t>
            </w:r>
          </w:p>
        </w:tc>
        <w:tc>
          <w:tcPr>
            <w:tcW w:w="914" w:type="pct"/>
            <w:noWrap w:val="0"/>
            <w:vAlign w:val="center"/>
          </w:tcPr>
          <w:p w14:paraId="383B56B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w:t>
            </w:r>
          </w:p>
        </w:tc>
        <w:tc>
          <w:tcPr>
            <w:tcW w:w="3554" w:type="pct"/>
            <w:noWrap w:val="0"/>
            <w:vAlign w:val="center"/>
          </w:tcPr>
          <w:p w14:paraId="7F02A644">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删除。</w:t>
            </w:r>
          </w:p>
        </w:tc>
      </w:tr>
      <w:tr w14:paraId="15FC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E2ECDA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4.2.6（</w:t>
            </w:r>
            <w:r>
              <w:rPr>
                <w:rFonts w:hint="eastAsia" w:ascii="宋体" w:hAnsi="宋体" w:eastAsia="宋体"/>
                <w:sz w:val="21"/>
                <w:szCs w:val="21"/>
                <w:highlight w:val="none"/>
                <w:lang w:eastAsia="zh-CN"/>
              </w:rPr>
              <w:t>增加</w:t>
            </w:r>
            <w:r>
              <w:rPr>
                <w:rFonts w:ascii="宋体" w:hAnsi="宋体" w:eastAsia="宋体"/>
                <w:sz w:val="21"/>
                <w:szCs w:val="21"/>
                <w:highlight w:val="none"/>
              </w:rPr>
              <w:t>）</w:t>
            </w:r>
          </w:p>
        </w:tc>
        <w:tc>
          <w:tcPr>
            <w:tcW w:w="914" w:type="pct"/>
            <w:noWrap w:val="0"/>
            <w:vAlign w:val="center"/>
          </w:tcPr>
          <w:p w14:paraId="02FAD0A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hint="eastAsia" w:ascii="宋体" w:hAnsi="宋体" w:eastAsia="宋体" w:cs="宋体"/>
                <w:sz w:val="21"/>
                <w:szCs w:val="21"/>
                <w:highlight w:val="none"/>
              </w:rPr>
              <w:t>投标时间</w:t>
            </w:r>
          </w:p>
        </w:tc>
        <w:tc>
          <w:tcPr>
            <w:tcW w:w="3554" w:type="pct"/>
            <w:noWrap w:val="0"/>
            <w:vAlign w:val="center"/>
          </w:tcPr>
          <w:p w14:paraId="1E35FFE5">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1、投标截止时间自本工程招标公告发布之日起计。</w:t>
            </w:r>
          </w:p>
          <w:p w14:paraId="59DC0A7D">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2、具体投标截止时间以招标人（招标代理机构）的最新通知为准，请各投标人留意交易平台网站发布的本工程相关信息。</w:t>
            </w:r>
          </w:p>
          <w:p w14:paraId="2CE6927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3、到投标截止时间止，招标人收到的投标文件少于</w:t>
            </w:r>
            <w:r>
              <w:rPr>
                <w:rFonts w:ascii="宋体" w:hAnsi="宋体" w:eastAsia="宋体"/>
                <w:sz w:val="21"/>
                <w:szCs w:val="21"/>
                <w:highlight w:val="none"/>
                <w:lang w:eastAsia="zh-CN"/>
              </w:rPr>
              <w:t>3</w:t>
            </w:r>
            <w:r>
              <w:rPr>
                <w:rFonts w:hint="eastAsia" w:ascii="宋体" w:hAnsi="宋体" w:eastAsia="宋体"/>
                <w:sz w:val="21"/>
                <w:szCs w:val="21"/>
                <w:highlight w:val="none"/>
                <w:lang w:eastAsia="zh-CN"/>
              </w:rPr>
              <w:t>家的，招标人将重新组织招标。</w:t>
            </w:r>
          </w:p>
        </w:tc>
      </w:tr>
      <w:tr w14:paraId="2600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15AB98FE">
            <w:pPr>
              <w:pStyle w:val="60"/>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ascii="宋体" w:hAnsi="宋体" w:eastAsia="宋体"/>
                <w:sz w:val="21"/>
                <w:szCs w:val="21"/>
                <w:highlight w:val="none"/>
              </w:rPr>
              <w:t>4.3</w:t>
            </w:r>
          </w:p>
        </w:tc>
        <w:tc>
          <w:tcPr>
            <w:tcW w:w="914" w:type="pct"/>
            <w:noWrap w:val="0"/>
            <w:vAlign w:val="center"/>
          </w:tcPr>
          <w:p w14:paraId="610AF256">
            <w:pPr>
              <w:pStyle w:val="60"/>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投标文件的</w:t>
            </w:r>
          </w:p>
          <w:p w14:paraId="77C1878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修改与撤回</w:t>
            </w:r>
          </w:p>
        </w:tc>
        <w:tc>
          <w:tcPr>
            <w:tcW w:w="3554" w:type="pct"/>
            <w:noWrap w:val="0"/>
            <w:vAlign w:val="center"/>
          </w:tcPr>
          <w:p w14:paraId="29F307DA">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ascii="宋体" w:hAnsi="宋体" w:eastAsia="宋体"/>
                <w:sz w:val="21"/>
                <w:szCs w:val="21"/>
                <w:highlight w:val="none"/>
                <w:lang w:eastAsia="zh-CN"/>
              </w:rPr>
              <w:t>在规定的投标截止时间前，投标人可以修改或撤回已递交的投标文件。</w:t>
            </w:r>
          </w:p>
          <w:p w14:paraId="16CEEF5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2、投标人修改或撤回已递交的投标文件，需在交易平台发出撤回通知，并按要求加盖电子印章。电子招标投标交易平台收到通知后，即时向投标人发布确认回执通知。</w:t>
            </w:r>
          </w:p>
          <w:p w14:paraId="0F4EEA85">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3、修改后再次递交的，按</w:t>
            </w:r>
            <w:r>
              <w:rPr>
                <w:rFonts w:ascii="宋体" w:hAnsi="宋体" w:eastAsia="宋体"/>
                <w:sz w:val="21"/>
                <w:szCs w:val="21"/>
                <w:highlight w:val="none"/>
                <w:lang w:eastAsia="zh-CN"/>
              </w:rPr>
              <w:t>4.2.2（</w:t>
            </w:r>
            <w:r>
              <w:rPr>
                <w:rFonts w:hint="eastAsia" w:ascii="宋体" w:hAnsi="宋体" w:eastAsia="宋体"/>
                <w:sz w:val="21"/>
                <w:szCs w:val="21"/>
                <w:highlight w:val="none"/>
                <w:lang w:eastAsia="zh-CN"/>
              </w:rPr>
              <w:t>B</w:t>
            </w:r>
            <w:r>
              <w:rPr>
                <w:rFonts w:ascii="宋体" w:hAnsi="宋体" w:eastAsia="宋体"/>
                <w:sz w:val="21"/>
                <w:szCs w:val="21"/>
                <w:highlight w:val="none"/>
                <w:lang w:eastAsia="zh-CN"/>
              </w:rPr>
              <w:t>）</w:t>
            </w:r>
            <w:r>
              <w:rPr>
                <w:rFonts w:hint="eastAsia" w:ascii="宋体" w:hAnsi="宋体" w:eastAsia="宋体"/>
                <w:sz w:val="21"/>
                <w:szCs w:val="21"/>
                <w:highlight w:val="none"/>
                <w:lang w:eastAsia="zh-CN"/>
              </w:rPr>
              <w:t>的规定执行。</w:t>
            </w:r>
          </w:p>
          <w:p w14:paraId="1B45F586">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4、在投标截止时间后，投标人不得补充、修改或更换投标文件。</w:t>
            </w:r>
          </w:p>
        </w:tc>
      </w:tr>
      <w:tr w14:paraId="0373C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2831B1B">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sz w:val="21"/>
                <w:szCs w:val="21"/>
                <w:highlight w:val="none"/>
              </w:rPr>
              <w:t>5.1</w:t>
            </w:r>
            <w:r>
              <w:rPr>
                <w:rFonts w:ascii="宋体" w:hAnsi="宋体" w:eastAsia="宋体" w:cs="宋体"/>
                <w:sz w:val="21"/>
                <w:szCs w:val="21"/>
                <w:highlight w:val="none"/>
              </w:rPr>
              <w:t>（</w:t>
            </w:r>
            <w:r>
              <w:rPr>
                <w:rFonts w:ascii="宋体" w:hAnsi="宋体" w:eastAsia="宋体"/>
                <w:sz w:val="21"/>
                <w:szCs w:val="21"/>
                <w:highlight w:val="none"/>
              </w:rPr>
              <w:t>A</w:t>
            </w:r>
            <w:r>
              <w:rPr>
                <w:rFonts w:ascii="宋体" w:hAnsi="宋体" w:eastAsia="宋体" w:cs="宋体"/>
                <w:sz w:val="21"/>
                <w:szCs w:val="21"/>
                <w:highlight w:val="none"/>
              </w:rPr>
              <w:t>）</w:t>
            </w:r>
          </w:p>
        </w:tc>
        <w:tc>
          <w:tcPr>
            <w:tcW w:w="914" w:type="pct"/>
            <w:noWrap w:val="0"/>
            <w:vAlign w:val="center"/>
          </w:tcPr>
          <w:p w14:paraId="7C530D4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开标时间和地点</w:t>
            </w:r>
          </w:p>
        </w:tc>
        <w:tc>
          <w:tcPr>
            <w:tcW w:w="3554" w:type="pct"/>
            <w:noWrap w:val="0"/>
            <w:vAlign w:val="center"/>
          </w:tcPr>
          <w:p w14:paraId="3AB90A7B">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删除。</w:t>
            </w:r>
          </w:p>
        </w:tc>
      </w:tr>
      <w:tr w14:paraId="29CA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096BBF4">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5.1</w:t>
            </w:r>
            <w:r>
              <w:rPr>
                <w:rFonts w:hint="eastAsia" w:ascii="宋体" w:hAnsi="宋体" w:eastAsia="宋体"/>
                <w:sz w:val="21"/>
                <w:szCs w:val="21"/>
                <w:highlight w:val="none"/>
              </w:rPr>
              <w:t>（B）</w:t>
            </w:r>
          </w:p>
        </w:tc>
        <w:tc>
          <w:tcPr>
            <w:tcW w:w="914" w:type="pct"/>
            <w:noWrap w:val="0"/>
            <w:vAlign w:val="center"/>
          </w:tcPr>
          <w:p w14:paraId="1DF5F2C1">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开标时间和地点</w:t>
            </w:r>
          </w:p>
        </w:tc>
        <w:tc>
          <w:tcPr>
            <w:tcW w:w="3554" w:type="pct"/>
            <w:noWrap w:val="0"/>
            <w:vAlign w:val="center"/>
          </w:tcPr>
          <w:p w14:paraId="5498AAA8">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开标时间：同投标截止时间</w:t>
            </w:r>
          </w:p>
          <w:p w14:paraId="3D431D55">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开标地点：具体时间和地点可以到广州交易集团有限公司（广州公共资源交易中心）交易平台“建设工程→项目查询（日程安排、答疑纪要）”输入本“项目编号”或“项目名称”进行查询。</w:t>
            </w:r>
          </w:p>
        </w:tc>
      </w:tr>
      <w:tr w14:paraId="33834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65B0E6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5.2（</w:t>
            </w:r>
            <w:r>
              <w:rPr>
                <w:rFonts w:hint="eastAsia" w:ascii="宋体" w:hAnsi="宋体" w:eastAsia="宋体"/>
                <w:sz w:val="21"/>
                <w:szCs w:val="21"/>
                <w:highlight w:val="none"/>
                <w:lang w:eastAsia="zh-CN"/>
              </w:rPr>
              <w:t>B</w:t>
            </w:r>
            <w:r>
              <w:rPr>
                <w:rFonts w:ascii="宋体" w:hAnsi="宋体" w:eastAsia="宋体"/>
                <w:sz w:val="21"/>
                <w:szCs w:val="21"/>
                <w:highlight w:val="none"/>
              </w:rPr>
              <w:t>）</w:t>
            </w:r>
          </w:p>
        </w:tc>
        <w:tc>
          <w:tcPr>
            <w:tcW w:w="914" w:type="pct"/>
            <w:noWrap w:val="0"/>
            <w:vAlign w:val="center"/>
          </w:tcPr>
          <w:p w14:paraId="4ACE33A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开标程序</w:t>
            </w:r>
          </w:p>
        </w:tc>
        <w:tc>
          <w:tcPr>
            <w:tcW w:w="3554" w:type="pct"/>
            <w:noWrap w:val="0"/>
            <w:vAlign w:val="center"/>
          </w:tcPr>
          <w:p w14:paraId="1BE5147F">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1、在投标截止时间后</w:t>
            </w:r>
            <w:r>
              <w:rPr>
                <w:rFonts w:hint="eastAsia" w:ascii="宋体" w:hAnsi="宋体" w:eastAsia="宋体"/>
                <w:sz w:val="21"/>
                <w:szCs w:val="21"/>
                <w:highlight w:val="none"/>
                <w:lang w:val="en-US" w:eastAsia="zh-CN"/>
              </w:rPr>
              <w:t>一个</w:t>
            </w:r>
            <w:r>
              <w:rPr>
                <w:rFonts w:hint="eastAsia" w:ascii="宋体" w:hAnsi="宋体" w:eastAsia="宋体"/>
                <w:b/>
                <w:bCs/>
                <w:sz w:val="21"/>
                <w:szCs w:val="21"/>
                <w:highlight w:val="none"/>
                <w:lang w:eastAsia="zh-CN"/>
              </w:rPr>
              <w:t>小时内</w:t>
            </w:r>
            <w:r>
              <w:rPr>
                <w:rFonts w:hint="eastAsia" w:ascii="宋体" w:hAnsi="宋体" w:eastAsia="宋体"/>
                <w:sz w:val="21"/>
                <w:szCs w:val="21"/>
                <w:highlight w:val="none"/>
                <w:lang w:eastAsia="zh-CN"/>
              </w:rPr>
              <w:t>，投标人通过递交投标文件的交易平台对已递交的电子投标文件进行解密。投标人完成解密后，再由招标人进行解密。解密完成后，公布招标项目名称、投标人名称等相关信息。未在规定时间内解密的投标文件不参与开标、评标。</w:t>
            </w:r>
          </w:p>
          <w:p w14:paraId="560F2AFB">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2、截标后，开标开始时间因故推迟的，相关评标信息仍以原定的开标开始时间的信息为准。</w:t>
            </w:r>
          </w:p>
          <w:p w14:paraId="26E1FDDE">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3、备用光盘的读取按</w:t>
            </w:r>
            <w:r>
              <w:rPr>
                <w:rFonts w:ascii="宋体" w:hAnsi="宋体" w:eastAsia="宋体"/>
                <w:sz w:val="21"/>
                <w:szCs w:val="21"/>
                <w:highlight w:val="none"/>
                <w:lang w:eastAsia="zh-CN"/>
              </w:rPr>
              <w:t>10.7</w:t>
            </w:r>
            <w:r>
              <w:rPr>
                <w:rFonts w:hint="eastAsia" w:ascii="宋体" w:hAnsi="宋体" w:eastAsia="宋体"/>
                <w:sz w:val="21"/>
                <w:szCs w:val="21"/>
                <w:highlight w:val="none"/>
                <w:lang w:eastAsia="zh-CN"/>
              </w:rPr>
              <w:t>的规定执行。</w:t>
            </w:r>
          </w:p>
          <w:p w14:paraId="006DC7D3">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4、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74F25059">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5、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14:paraId="2567D19A">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6、参加现场开标的投标人对开标结果有异议的，应当在开标现场提出，招标人应当当场作出答复，并制作记录。</w:t>
            </w:r>
          </w:p>
          <w:p w14:paraId="41F87CF7">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7、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4FF24610">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8、投标人未参加开标或在规定的时间内未提出异议的，视为对开标无异议。</w:t>
            </w:r>
          </w:p>
          <w:p w14:paraId="55F436AF">
            <w:pPr>
              <w:pStyle w:val="60"/>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9、开标时，两个（含两个）以上的投标人加密打包投标文件电脑机器特征码一致的，不参与下一程序，并由评标委员会否决其投标。</w:t>
            </w:r>
          </w:p>
        </w:tc>
      </w:tr>
      <w:tr w14:paraId="601C6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5F10F6B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6.1.1</w:t>
            </w:r>
          </w:p>
        </w:tc>
        <w:tc>
          <w:tcPr>
            <w:tcW w:w="914" w:type="pct"/>
            <w:noWrap w:val="0"/>
            <w:vAlign w:val="center"/>
          </w:tcPr>
          <w:p w14:paraId="26643D8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评标委员会的组建</w:t>
            </w:r>
          </w:p>
        </w:tc>
        <w:tc>
          <w:tcPr>
            <w:tcW w:w="3554" w:type="pct"/>
            <w:noWrap w:val="0"/>
            <w:vAlign w:val="center"/>
          </w:tcPr>
          <w:p w14:paraId="5869BBD6">
            <w:pPr>
              <w:pStyle w:val="60"/>
              <w:keepNext w:val="0"/>
              <w:keepLines w:val="0"/>
              <w:pageBreakBefore w:val="0"/>
              <w:widowControl w:val="0"/>
              <w:tabs>
                <w:tab w:val="left" w:pos="2309"/>
                <w:tab w:val="left" w:pos="2729"/>
                <w:tab w:val="left" w:pos="3826"/>
              </w:tabs>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由招标人依法组建。</w:t>
            </w:r>
          </w:p>
        </w:tc>
      </w:tr>
      <w:tr w14:paraId="0369B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16FEE5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6.3.2</w:t>
            </w:r>
          </w:p>
        </w:tc>
        <w:tc>
          <w:tcPr>
            <w:tcW w:w="914" w:type="pct"/>
            <w:noWrap w:val="0"/>
            <w:vAlign w:val="center"/>
          </w:tcPr>
          <w:p w14:paraId="0AEFE178">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评标委员会推荐中标候选人的人数</w:t>
            </w:r>
          </w:p>
        </w:tc>
        <w:tc>
          <w:tcPr>
            <w:tcW w:w="3554" w:type="pct"/>
            <w:noWrap w:val="0"/>
            <w:vAlign w:val="center"/>
          </w:tcPr>
          <w:p w14:paraId="7BE7A483">
            <w:pPr>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sz w:val="21"/>
                <w:szCs w:val="21"/>
                <w:highlight w:val="none"/>
                <w:u w:val="single"/>
                <w:lang w:eastAsia="zh-CN"/>
              </w:rPr>
            </w:pPr>
            <w:r>
              <w:rPr>
                <w:rFonts w:hint="eastAsia" w:ascii="宋体" w:hAnsi="宋体" w:eastAsia="宋体" w:cs="宋体"/>
                <w:color w:val="auto"/>
                <w:sz w:val="21"/>
                <w:szCs w:val="21"/>
                <w:highlight w:val="none"/>
                <w:u w:val="single"/>
                <w:lang w:eastAsia="zh-CN"/>
              </w:rPr>
              <w:t>若通过初步评审的合格投标人大于等于3名的，则通过评审的全部合格投标人推荐为合格的中标候选人</w:t>
            </w:r>
            <w:r>
              <w:rPr>
                <w:rFonts w:hint="eastAsia" w:ascii="宋体" w:hAnsi="宋体" w:eastAsia="宋体" w:cs="宋体"/>
                <w:sz w:val="21"/>
                <w:szCs w:val="21"/>
                <w:highlight w:val="none"/>
                <w:u w:val="single"/>
                <w:lang w:eastAsia="zh-CN"/>
              </w:rPr>
              <w:t>。</w:t>
            </w:r>
          </w:p>
        </w:tc>
      </w:tr>
      <w:tr w14:paraId="19AC8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0EC565C">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7.1</w:t>
            </w:r>
          </w:p>
        </w:tc>
        <w:tc>
          <w:tcPr>
            <w:tcW w:w="914" w:type="pct"/>
            <w:noWrap w:val="0"/>
            <w:vAlign w:val="center"/>
          </w:tcPr>
          <w:p w14:paraId="2EE62E6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中标候选人公示</w:t>
            </w:r>
          </w:p>
          <w:p w14:paraId="0FC41807">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媒介及期限</w:t>
            </w:r>
          </w:p>
        </w:tc>
        <w:tc>
          <w:tcPr>
            <w:tcW w:w="3554" w:type="pct"/>
            <w:noWrap w:val="0"/>
            <w:vAlign w:val="center"/>
          </w:tcPr>
          <w:p w14:paraId="7A9369E3">
            <w:pPr>
              <w:pStyle w:val="60"/>
              <w:keepNext w:val="0"/>
              <w:keepLines w:val="0"/>
              <w:pageBreakBefore w:val="0"/>
              <w:widowControl w:val="0"/>
              <w:tabs>
                <w:tab w:val="left" w:pos="2100"/>
              </w:tabs>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ascii="宋体" w:hAnsi="宋体" w:eastAsia="宋体" w:cs="宋体"/>
                <w:sz w:val="21"/>
                <w:szCs w:val="21"/>
                <w:highlight w:val="none"/>
                <w:lang w:eastAsia="zh-CN"/>
              </w:rPr>
              <w:t>公示媒介：</w:t>
            </w:r>
            <w:r>
              <w:rPr>
                <w:rFonts w:hint="eastAsia" w:ascii="宋体" w:hAnsi="宋体" w:eastAsia="宋体" w:cs="宋体"/>
                <w:sz w:val="21"/>
                <w:szCs w:val="21"/>
                <w:highlight w:val="none"/>
                <w:lang w:eastAsia="zh-CN"/>
              </w:rPr>
              <w:t>中国招标投标公共服务平台、广东省招标投标监管网、广州公共资源交易网、广州国企阳光采购信息发布平台</w:t>
            </w:r>
          </w:p>
          <w:p w14:paraId="1030DA25">
            <w:pPr>
              <w:pStyle w:val="60"/>
              <w:keepNext w:val="0"/>
              <w:keepLines w:val="0"/>
              <w:pageBreakBefore w:val="0"/>
              <w:widowControl w:val="0"/>
              <w:tabs>
                <w:tab w:val="left" w:pos="2100"/>
              </w:tabs>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rPr>
            </w:pPr>
            <w:r>
              <w:rPr>
                <w:rFonts w:ascii="宋体" w:hAnsi="宋体" w:eastAsia="宋体" w:cs="宋体"/>
                <w:spacing w:val="-2"/>
                <w:sz w:val="21"/>
                <w:szCs w:val="21"/>
                <w:highlight w:val="none"/>
              </w:rPr>
              <w:t>公示期限：</w:t>
            </w:r>
            <w:r>
              <w:rPr>
                <w:rFonts w:hint="eastAsia" w:ascii="宋体" w:hAnsi="宋体" w:eastAsia="宋体"/>
                <w:spacing w:val="-2"/>
                <w:sz w:val="21"/>
                <w:szCs w:val="21"/>
                <w:highlight w:val="none"/>
                <w:u w:val="single" w:color="000000"/>
                <w:lang w:eastAsia="zh-CN"/>
              </w:rPr>
              <w:t>3</w:t>
            </w:r>
            <w:r>
              <w:rPr>
                <w:rFonts w:ascii="宋体" w:hAnsi="宋体" w:eastAsia="宋体" w:cs="宋体"/>
                <w:sz w:val="21"/>
                <w:szCs w:val="21"/>
                <w:highlight w:val="none"/>
              </w:rPr>
              <w:t>日</w:t>
            </w:r>
          </w:p>
          <w:p w14:paraId="6F31AD0A">
            <w:pPr>
              <w:pStyle w:val="60"/>
              <w:keepNext w:val="0"/>
              <w:keepLines w:val="0"/>
              <w:pageBreakBefore w:val="0"/>
              <w:widowControl w:val="0"/>
              <w:tabs>
                <w:tab w:val="left" w:pos="2100"/>
              </w:tabs>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rPr>
            </w:pPr>
            <w:r>
              <w:rPr>
                <w:rFonts w:hint="eastAsia" w:ascii="宋体" w:hAnsi="宋体" w:eastAsia="宋体" w:cs="宋体"/>
                <w:b/>
                <w:sz w:val="21"/>
                <w:szCs w:val="21"/>
                <w:highlight w:val="none"/>
                <w:lang w:eastAsia="zh-CN"/>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60C48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2AD4F86">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7.4</w:t>
            </w:r>
          </w:p>
        </w:tc>
        <w:tc>
          <w:tcPr>
            <w:tcW w:w="914" w:type="pct"/>
            <w:noWrap w:val="0"/>
            <w:vAlign w:val="center"/>
          </w:tcPr>
          <w:p w14:paraId="0347BC1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hint="eastAsia" w:ascii="宋体" w:hAnsi="宋体"/>
                <w:szCs w:val="21"/>
                <w:highlight w:val="none"/>
              </w:rPr>
              <w:t>定标</w:t>
            </w:r>
          </w:p>
        </w:tc>
        <w:tc>
          <w:tcPr>
            <w:tcW w:w="3554" w:type="pct"/>
            <w:noWrap w:val="0"/>
            <w:vAlign w:val="center"/>
          </w:tcPr>
          <w:p w14:paraId="60A6927B">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Cs w:val="21"/>
                <w:highlight w:val="none"/>
              </w:rPr>
            </w:pPr>
            <w:r>
              <w:rPr>
                <w:rFonts w:hint="eastAsia" w:ascii="宋体" w:hAnsi="宋体"/>
                <w:szCs w:val="21"/>
                <w:highlight w:val="none"/>
              </w:rPr>
              <w:t>（</w:t>
            </w:r>
            <w:r>
              <w:rPr>
                <w:rFonts w:ascii="宋体" w:hAnsi="宋体"/>
                <w:szCs w:val="21"/>
                <w:highlight w:val="none"/>
              </w:rPr>
              <w:t>1</w:t>
            </w:r>
            <w:r>
              <w:rPr>
                <w:rFonts w:hint="eastAsia" w:ascii="宋体" w:hAnsi="宋体"/>
                <w:szCs w:val="21"/>
                <w:highlight w:val="none"/>
              </w:rPr>
              <w:t>）定标由招标人依法组建的定标委员会负责。</w:t>
            </w:r>
          </w:p>
          <w:p w14:paraId="5151A817">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Cs w:val="21"/>
                <w:highlight w:val="none"/>
              </w:rPr>
            </w:pPr>
            <w:r>
              <w:rPr>
                <w:rFonts w:hint="eastAsia" w:ascii="宋体" w:hAnsi="宋体"/>
                <w:szCs w:val="21"/>
                <w:highlight w:val="none"/>
              </w:rPr>
              <w:t>（</w:t>
            </w:r>
            <w:r>
              <w:rPr>
                <w:rFonts w:ascii="宋体" w:hAnsi="宋体"/>
                <w:szCs w:val="21"/>
                <w:highlight w:val="none"/>
              </w:rPr>
              <w:t>2</w:t>
            </w:r>
            <w:r>
              <w:rPr>
                <w:rFonts w:hint="eastAsia" w:ascii="宋体" w:hAnsi="宋体"/>
                <w:szCs w:val="21"/>
                <w:highlight w:val="none"/>
              </w:rPr>
              <w:t>）定标委员会按照第三章</w:t>
            </w:r>
            <w:r>
              <w:rPr>
                <w:rFonts w:hint="eastAsia" w:ascii="宋体" w:hAnsi="宋体" w:eastAsia="宋体" w:cs="宋体"/>
                <w:szCs w:val="21"/>
                <w:highlight w:val="none"/>
              </w:rPr>
              <w:t>“评标办法（</w:t>
            </w:r>
            <w:r>
              <w:rPr>
                <w:rFonts w:hint="eastAsia" w:ascii="宋体" w:hAnsi="宋体" w:eastAsia="宋体" w:cs="宋体"/>
                <w:szCs w:val="21"/>
                <w:highlight w:val="none"/>
                <w:lang w:eastAsia="zh-CN"/>
              </w:rPr>
              <w:t>‘</w:t>
            </w:r>
            <w:r>
              <w:rPr>
                <w:rFonts w:hint="eastAsia" w:ascii="宋体" w:hAnsi="宋体" w:eastAsia="宋体" w:cs="宋体"/>
                <w:szCs w:val="21"/>
                <w:highlight w:val="none"/>
              </w:rPr>
              <w:t>评定分离’定标办法）”规</w:t>
            </w:r>
            <w:r>
              <w:rPr>
                <w:rFonts w:hint="eastAsia" w:ascii="宋体" w:hAnsi="宋体"/>
                <w:szCs w:val="21"/>
                <w:highlight w:val="none"/>
              </w:rPr>
              <w:t>定的定标方法、标准和程序，在评标委员会向招标人推荐的</w:t>
            </w:r>
            <w:r>
              <w:rPr>
                <w:rFonts w:hint="eastAsia" w:ascii="宋体" w:hAnsi="宋体"/>
                <w:szCs w:val="21"/>
                <w:highlight w:val="none"/>
                <w:lang w:val="en-US" w:eastAsia="zh-CN"/>
              </w:rPr>
              <w:t>合格的</w:t>
            </w:r>
            <w:r>
              <w:rPr>
                <w:rFonts w:hint="eastAsia" w:ascii="宋体" w:hAnsi="宋体"/>
                <w:szCs w:val="21"/>
                <w:highlight w:val="none"/>
              </w:rPr>
              <w:t>中标候选人中票决确定中标人。</w:t>
            </w:r>
          </w:p>
          <w:p w14:paraId="6BFF843F">
            <w:pPr>
              <w:keepNext w:val="0"/>
              <w:keepLines w:val="0"/>
              <w:pageBreakBefore w:val="0"/>
              <w:widowControl w:val="0"/>
              <w:kinsoku/>
              <w:wordWrap/>
              <w:overflowPunct/>
              <w:topLinePunct w:val="0"/>
              <w:autoSpaceDE/>
              <w:autoSpaceDN/>
              <w:bidi w:val="0"/>
              <w:adjustRightInd/>
              <w:spacing w:line="400" w:lineRule="exact"/>
              <w:textAlignment w:val="auto"/>
              <w:rPr>
                <w:rFonts w:ascii="宋体" w:hAnsi="宋体"/>
                <w:szCs w:val="21"/>
                <w:highlight w:val="none"/>
              </w:rPr>
            </w:pPr>
            <w:r>
              <w:rPr>
                <w:rFonts w:hint="eastAsia" w:ascii="宋体" w:hAnsi="宋体"/>
                <w:szCs w:val="21"/>
                <w:highlight w:val="none"/>
              </w:rPr>
              <w:t>（</w:t>
            </w:r>
            <w:r>
              <w:rPr>
                <w:rFonts w:ascii="宋体" w:hAnsi="宋体"/>
                <w:szCs w:val="21"/>
                <w:highlight w:val="none"/>
              </w:rPr>
              <w:t>3</w:t>
            </w:r>
            <w:r>
              <w:rPr>
                <w:rFonts w:hint="eastAsia" w:ascii="宋体" w:hAnsi="宋体"/>
                <w:szCs w:val="21"/>
                <w:highlight w:val="none"/>
              </w:rPr>
              <w:t>）招标人应当在定标工作完成后的</w:t>
            </w:r>
            <w:r>
              <w:rPr>
                <w:rFonts w:ascii="宋体" w:hAnsi="宋体"/>
                <w:szCs w:val="21"/>
                <w:highlight w:val="none"/>
              </w:rPr>
              <w:t>3</w:t>
            </w:r>
            <w:r>
              <w:rPr>
                <w:rFonts w:hint="eastAsia" w:ascii="宋体" w:hAnsi="宋体"/>
                <w:szCs w:val="21"/>
                <w:highlight w:val="none"/>
              </w:rPr>
              <w:t>日内公示中标结果。公示内容包括：定标时间、所有合格的中标候选人的票数及理由、中标人等内容。</w:t>
            </w:r>
          </w:p>
          <w:p w14:paraId="492D0E41">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szCs w:val="21"/>
                <w:highlight w:val="none"/>
              </w:rPr>
              <w:t>（</w:t>
            </w:r>
            <w:r>
              <w:rPr>
                <w:rFonts w:ascii="宋体" w:hAnsi="宋体"/>
                <w:szCs w:val="21"/>
                <w:highlight w:val="none"/>
              </w:rPr>
              <w:t>4</w:t>
            </w:r>
            <w:r>
              <w:rPr>
                <w:rFonts w:hint="eastAsia" w:ascii="宋体" w:hAnsi="宋体"/>
                <w:szCs w:val="21"/>
                <w:highlight w:val="none"/>
              </w:rPr>
              <w:t>）中标人放弃中标、因不可抗力不能履行合同、不按照招标文件要求提交履约保证金，或者被查实存在影响中标结果的违法行为等情形，不符合中标条件的，招标人可以从其他合格的中标候选人中采用原定标办法，由原定标委员会确定中标人，也可以重新招标。</w:t>
            </w:r>
          </w:p>
        </w:tc>
      </w:tr>
      <w:tr w14:paraId="792B3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32ADCACE">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7.6</w:t>
            </w:r>
          </w:p>
        </w:tc>
        <w:tc>
          <w:tcPr>
            <w:tcW w:w="914" w:type="pct"/>
            <w:noWrap w:val="0"/>
            <w:vAlign w:val="center"/>
          </w:tcPr>
          <w:p w14:paraId="15B45EDF">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技术成果经济补偿</w:t>
            </w:r>
          </w:p>
        </w:tc>
        <w:tc>
          <w:tcPr>
            <w:tcW w:w="3554" w:type="pct"/>
            <w:noWrap w:val="0"/>
            <w:vAlign w:val="center"/>
          </w:tcPr>
          <w:p w14:paraId="4B18B5C1">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不补偿</w:t>
            </w:r>
          </w:p>
          <w:p w14:paraId="0C03C4AE">
            <w:pPr>
              <w:pStyle w:val="60"/>
              <w:keepNext w:val="0"/>
              <w:keepLines w:val="0"/>
              <w:pageBreakBefore w:val="0"/>
              <w:widowControl w:val="0"/>
              <w:wordWrap/>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sz w:val="21"/>
                <w:szCs w:val="21"/>
                <w:highlight w:val="none"/>
                <w:lang w:eastAsia="zh-CN"/>
              </w:rPr>
              <w:t>□</w:t>
            </w:r>
            <w:r>
              <w:rPr>
                <w:rFonts w:ascii="宋体" w:hAnsi="宋体" w:eastAsia="宋体" w:cs="宋体"/>
                <w:sz w:val="21"/>
                <w:szCs w:val="21"/>
                <w:highlight w:val="none"/>
                <w:lang w:eastAsia="zh-CN"/>
              </w:rPr>
              <w:t>补偿，补偿标准：</w:t>
            </w:r>
          </w:p>
        </w:tc>
      </w:tr>
      <w:tr w14:paraId="4C1E5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60A30BD">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7.7.1</w:t>
            </w:r>
          </w:p>
        </w:tc>
        <w:tc>
          <w:tcPr>
            <w:tcW w:w="914" w:type="pct"/>
            <w:noWrap w:val="0"/>
            <w:vAlign w:val="center"/>
          </w:tcPr>
          <w:p w14:paraId="3BB21CF9">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rPr>
            </w:pPr>
            <w:r>
              <w:rPr>
                <w:rFonts w:ascii="宋体" w:hAnsi="宋体" w:eastAsia="宋体" w:cs="宋体"/>
                <w:sz w:val="21"/>
                <w:szCs w:val="21"/>
                <w:highlight w:val="none"/>
              </w:rPr>
              <w:t>履约保证金</w:t>
            </w:r>
          </w:p>
        </w:tc>
        <w:tc>
          <w:tcPr>
            <w:tcW w:w="3554" w:type="pct"/>
            <w:noWrap w:val="0"/>
            <w:vAlign w:val="center"/>
          </w:tcPr>
          <w:p w14:paraId="777CA2EC">
            <w:pPr>
              <w:pStyle w:val="60"/>
              <w:keepNext w:val="0"/>
              <w:keepLines w:val="0"/>
              <w:pageBreakBefore w:val="0"/>
              <w:widowControl w:val="0"/>
              <w:kinsoku w:val="0"/>
              <w:wordWrap/>
              <w:overflowPunct w:val="0"/>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是否要求中标人提交履约保证金：</w:t>
            </w:r>
          </w:p>
          <w:p w14:paraId="758D8D8C">
            <w:pPr>
              <w:pStyle w:val="60"/>
              <w:keepNext w:val="0"/>
              <w:keepLines w:val="0"/>
              <w:pageBreakBefore w:val="0"/>
              <w:widowControl w:val="0"/>
              <w:kinsoku w:val="0"/>
              <w:wordWrap/>
              <w:overflowPunct w:val="0"/>
              <w:autoSpaceDE/>
              <w:autoSpaceDN/>
              <w:bidi w:val="0"/>
              <w:adjustRightInd/>
              <w:spacing w:line="360" w:lineRule="exact"/>
              <w:ind w:left="37" w:leftChars="17" w:right="37" w:rightChars="17"/>
              <w:jc w:val="both"/>
              <w:textAlignment w:val="auto"/>
              <w:rPr>
                <w:rFonts w:hint="default" w:ascii="宋体" w:hAnsi="宋体" w:eastAsia="宋体" w:cs="宋体"/>
                <w:sz w:val="21"/>
                <w:szCs w:val="21"/>
                <w:highlight w:val="none"/>
                <w:lang w:val="en-US" w:eastAsia="zh-CN"/>
              </w:rPr>
            </w:pPr>
            <w:r>
              <w:rPr>
                <w:rFonts w:hint="eastAsia" w:ascii="宋体" w:hAnsi="宋体" w:eastAsia="宋体"/>
                <w:sz w:val="21"/>
                <w:szCs w:val="21"/>
                <w:highlight w:val="none"/>
                <w:lang w:eastAsia="zh-CN"/>
              </w:rPr>
              <w:t>■</w:t>
            </w:r>
            <w:r>
              <w:rPr>
                <w:rFonts w:hint="eastAsia" w:ascii="宋体" w:hAnsi="宋体" w:eastAsia="宋体" w:cs="宋体"/>
                <w:sz w:val="21"/>
                <w:szCs w:val="21"/>
                <w:highlight w:val="none"/>
                <w:lang w:eastAsia="zh-CN"/>
              </w:rPr>
              <w:t>要求，</w:t>
            </w:r>
            <w:r>
              <w:rPr>
                <w:rFonts w:hint="eastAsia" w:ascii="宋体" w:hAnsi="宋体" w:eastAsia="宋体" w:cs="宋体"/>
                <w:spacing w:val="-2"/>
                <w:sz w:val="21"/>
                <w:szCs w:val="21"/>
                <w:highlight w:val="none"/>
                <w:lang w:eastAsia="zh-CN"/>
              </w:rPr>
              <w:t>履</w:t>
            </w:r>
            <w:r>
              <w:rPr>
                <w:rFonts w:hint="eastAsia" w:ascii="宋体" w:hAnsi="宋体" w:eastAsia="宋体" w:cs="宋体"/>
                <w:sz w:val="21"/>
                <w:szCs w:val="21"/>
                <w:highlight w:val="none"/>
                <w:lang w:eastAsia="zh-CN"/>
              </w:rPr>
              <w:t>约</w:t>
            </w:r>
            <w:r>
              <w:rPr>
                <w:rFonts w:hint="eastAsia" w:ascii="宋体" w:hAnsi="宋体" w:eastAsia="宋体" w:cs="宋体"/>
                <w:spacing w:val="-2"/>
                <w:sz w:val="21"/>
                <w:szCs w:val="21"/>
                <w:highlight w:val="none"/>
                <w:lang w:eastAsia="zh-CN"/>
              </w:rPr>
              <w:t>保</w:t>
            </w:r>
            <w:r>
              <w:rPr>
                <w:rFonts w:hint="eastAsia" w:ascii="宋体" w:hAnsi="宋体" w:eastAsia="宋体" w:cs="宋体"/>
                <w:sz w:val="21"/>
                <w:szCs w:val="21"/>
                <w:highlight w:val="none"/>
                <w:lang w:eastAsia="zh-CN"/>
              </w:rPr>
              <w:t>证</w:t>
            </w:r>
            <w:r>
              <w:rPr>
                <w:rFonts w:hint="eastAsia" w:ascii="宋体" w:hAnsi="宋体" w:eastAsia="宋体" w:cs="宋体"/>
                <w:spacing w:val="-2"/>
                <w:sz w:val="21"/>
                <w:szCs w:val="21"/>
                <w:highlight w:val="none"/>
                <w:lang w:eastAsia="zh-CN"/>
              </w:rPr>
              <w:t>金</w:t>
            </w:r>
            <w:r>
              <w:rPr>
                <w:rFonts w:hint="eastAsia" w:ascii="宋体" w:hAnsi="宋体" w:eastAsia="宋体" w:cs="宋体"/>
                <w:sz w:val="21"/>
                <w:szCs w:val="21"/>
                <w:highlight w:val="none"/>
                <w:lang w:eastAsia="zh-CN"/>
              </w:rPr>
              <w:t>的</w:t>
            </w:r>
            <w:r>
              <w:rPr>
                <w:rFonts w:hint="eastAsia" w:ascii="宋体" w:hAnsi="宋体" w:eastAsia="宋体" w:cs="宋体"/>
                <w:spacing w:val="-2"/>
                <w:sz w:val="21"/>
                <w:szCs w:val="21"/>
                <w:highlight w:val="none"/>
                <w:lang w:eastAsia="zh-CN"/>
              </w:rPr>
              <w:t>形</w:t>
            </w:r>
            <w:r>
              <w:rPr>
                <w:rFonts w:hint="eastAsia" w:ascii="宋体" w:hAnsi="宋体" w:eastAsia="宋体" w:cs="宋体"/>
                <w:sz w:val="21"/>
                <w:szCs w:val="21"/>
                <w:highlight w:val="none"/>
                <w:lang w:eastAsia="zh-CN"/>
              </w:rPr>
              <w:t>式：</w:t>
            </w:r>
            <w:r>
              <w:rPr>
                <w:rFonts w:hint="eastAsia" w:ascii="宋体" w:hAnsi="宋体" w:eastAsia="宋体" w:cs="宋体"/>
                <w:sz w:val="21"/>
                <w:szCs w:val="21"/>
                <w:highlight w:val="none"/>
                <w:lang w:val="en-US" w:eastAsia="zh-CN"/>
              </w:rPr>
              <w:t>详见合同条款要求</w:t>
            </w:r>
          </w:p>
          <w:p w14:paraId="70FEFF1E">
            <w:pPr>
              <w:pStyle w:val="60"/>
              <w:keepNext w:val="0"/>
              <w:keepLines w:val="0"/>
              <w:pageBreakBefore w:val="0"/>
              <w:widowControl w:val="0"/>
              <w:kinsoku w:val="0"/>
              <w:wordWrap/>
              <w:overflowPunct w:val="0"/>
              <w:autoSpaceDE/>
              <w:autoSpaceDN/>
              <w:bidi w:val="0"/>
              <w:adjustRightInd/>
              <w:spacing w:line="360" w:lineRule="exact"/>
              <w:ind w:left="37" w:leftChars="17" w:right="37" w:rightChars="17" w:firstLine="840" w:firstLineChars="400"/>
              <w:jc w:val="both"/>
              <w:textAlignment w:val="auto"/>
              <w:rPr>
                <w:rFonts w:ascii="宋体" w:hAnsi="宋体" w:eastAsia="宋体"/>
                <w:sz w:val="21"/>
                <w:szCs w:val="21"/>
                <w:highlight w:val="none"/>
                <w:lang w:eastAsia="zh-CN"/>
              </w:rPr>
            </w:pPr>
            <w:r>
              <w:rPr>
                <w:rFonts w:hint="eastAsia" w:ascii="宋体" w:hAnsi="宋体" w:eastAsia="宋体" w:cs="宋体"/>
                <w:sz w:val="21"/>
                <w:szCs w:val="21"/>
                <w:highlight w:val="none"/>
                <w:lang w:eastAsia="zh-CN"/>
              </w:rPr>
              <w:t>履约</w:t>
            </w:r>
            <w:r>
              <w:rPr>
                <w:rFonts w:hint="eastAsia" w:ascii="宋体" w:hAnsi="宋体" w:eastAsia="宋体" w:cs="宋体"/>
                <w:spacing w:val="-2"/>
                <w:sz w:val="21"/>
                <w:szCs w:val="21"/>
                <w:highlight w:val="none"/>
                <w:lang w:eastAsia="zh-CN"/>
              </w:rPr>
              <w:t>保</w:t>
            </w:r>
            <w:r>
              <w:rPr>
                <w:rFonts w:hint="eastAsia" w:ascii="宋体" w:hAnsi="宋体" w:eastAsia="宋体" w:cs="宋体"/>
                <w:sz w:val="21"/>
                <w:szCs w:val="21"/>
                <w:highlight w:val="none"/>
                <w:lang w:eastAsia="zh-CN"/>
              </w:rPr>
              <w:t>证</w:t>
            </w:r>
            <w:r>
              <w:rPr>
                <w:rFonts w:hint="eastAsia" w:ascii="宋体" w:hAnsi="宋体" w:eastAsia="宋体" w:cs="宋体"/>
                <w:spacing w:val="-2"/>
                <w:sz w:val="21"/>
                <w:szCs w:val="21"/>
                <w:highlight w:val="none"/>
                <w:lang w:eastAsia="zh-CN"/>
              </w:rPr>
              <w:t>金</w:t>
            </w:r>
            <w:r>
              <w:rPr>
                <w:rFonts w:hint="eastAsia" w:ascii="宋体" w:hAnsi="宋体" w:eastAsia="宋体" w:cs="宋体"/>
                <w:sz w:val="21"/>
                <w:szCs w:val="21"/>
                <w:highlight w:val="none"/>
                <w:lang w:eastAsia="zh-CN"/>
              </w:rPr>
              <w:t>的</w:t>
            </w:r>
            <w:r>
              <w:rPr>
                <w:rFonts w:hint="eastAsia" w:ascii="宋体" w:hAnsi="宋体" w:eastAsia="宋体" w:cs="宋体"/>
                <w:spacing w:val="-2"/>
                <w:sz w:val="21"/>
                <w:szCs w:val="21"/>
                <w:highlight w:val="none"/>
                <w:lang w:eastAsia="zh-CN"/>
              </w:rPr>
              <w:t>金</w:t>
            </w:r>
            <w:r>
              <w:rPr>
                <w:rFonts w:hint="eastAsia" w:ascii="宋体" w:hAnsi="宋体" w:eastAsia="宋体" w:cs="宋体"/>
                <w:sz w:val="21"/>
                <w:szCs w:val="21"/>
                <w:highlight w:val="none"/>
                <w:lang w:eastAsia="zh-CN"/>
              </w:rPr>
              <w:t>额：合同价</w:t>
            </w:r>
            <w:r>
              <w:rPr>
                <w:rFonts w:ascii="宋体" w:hAnsi="宋体" w:eastAsia="宋体" w:cs="宋体"/>
                <w:sz w:val="21"/>
                <w:szCs w:val="21"/>
                <w:highlight w:val="none"/>
                <w:lang w:eastAsia="zh-CN"/>
              </w:rPr>
              <w:t>10%</w:t>
            </w:r>
          </w:p>
          <w:p w14:paraId="2EB1DB88">
            <w:pPr>
              <w:pStyle w:val="60"/>
              <w:keepNext w:val="0"/>
              <w:keepLines w:val="0"/>
              <w:pageBreakBefore w:val="0"/>
              <w:widowControl w:val="0"/>
              <w:kinsoku w:val="0"/>
              <w:wordWrap/>
              <w:overflowPunct w:val="0"/>
              <w:autoSpaceDE/>
              <w:autoSpaceDN/>
              <w:bidi w:val="0"/>
              <w:adjustRightInd/>
              <w:spacing w:line="360" w:lineRule="exact"/>
              <w:ind w:left="37" w:leftChars="17" w:right="37" w:rightChars="17"/>
              <w:jc w:val="both"/>
              <w:textAlignment w:val="auto"/>
              <w:rPr>
                <w:rFonts w:ascii="宋体" w:hAnsi="宋体" w:eastAsia="宋体" w:cs="宋体"/>
                <w:sz w:val="21"/>
                <w:szCs w:val="21"/>
                <w:highlight w:val="none"/>
                <w:lang w:eastAsia="zh-CN"/>
              </w:rPr>
            </w:pPr>
            <w:r>
              <w:rPr>
                <w:rFonts w:ascii="宋体" w:hAnsi="宋体" w:eastAsia="宋体"/>
                <w:sz w:val="21"/>
                <w:szCs w:val="21"/>
                <w:highlight w:val="none"/>
                <w:lang w:eastAsia="zh-CN"/>
              </w:rPr>
              <w:t>□</w:t>
            </w:r>
            <w:r>
              <w:rPr>
                <w:rFonts w:ascii="宋体" w:hAnsi="宋体" w:eastAsia="宋体" w:cs="宋体"/>
                <w:sz w:val="21"/>
                <w:szCs w:val="21"/>
                <w:highlight w:val="none"/>
                <w:lang w:eastAsia="zh-CN"/>
              </w:rPr>
              <w:t>不要求</w:t>
            </w:r>
          </w:p>
        </w:tc>
      </w:tr>
      <w:tr w14:paraId="42BD8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86B073A">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9</w:t>
            </w:r>
          </w:p>
        </w:tc>
        <w:tc>
          <w:tcPr>
            <w:tcW w:w="914" w:type="pct"/>
            <w:noWrap w:val="0"/>
            <w:vAlign w:val="center"/>
          </w:tcPr>
          <w:p w14:paraId="46B516C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是否采用电子</w:t>
            </w:r>
          </w:p>
          <w:p w14:paraId="42B2AF70">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cs="宋体"/>
                <w:sz w:val="21"/>
                <w:szCs w:val="21"/>
                <w:highlight w:val="none"/>
                <w:lang w:eastAsia="zh-CN"/>
              </w:rPr>
            </w:pPr>
            <w:r>
              <w:rPr>
                <w:rFonts w:ascii="宋体" w:hAnsi="宋体" w:eastAsia="宋体" w:cs="宋体"/>
                <w:sz w:val="21"/>
                <w:szCs w:val="21"/>
                <w:highlight w:val="none"/>
                <w:lang w:eastAsia="zh-CN"/>
              </w:rPr>
              <w:t>招标投标</w:t>
            </w:r>
          </w:p>
        </w:tc>
        <w:tc>
          <w:tcPr>
            <w:tcW w:w="3554" w:type="pct"/>
            <w:noWrap w:val="0"/>
            <w:vAlign w:val="center"/>
          </w:tcPr>
          <w:p w14:paraId="706EB82F">
            <w:pPr>
              <w:rPr>
                <w:rFonts w:ascii="宋体" w:hAnsi="宋体" w:eastAsia="宋体" w:cs="宋体"/>
                <w:sz w:val="21"/>
                <w:szCs w:val="21"/>
                <w:highlight w:val="none"/>
                <w:lang w:eastAsia="zh-CN"/>
              </w:rPr>
            </w:pPr>
            <w:r>
              <w:rPr>
                <w:rFonts w:ascii="宋体" w:hAnsi="宋体" w:eastAsia="宋体"/>
                <w:sz w:val="21"/>
                <w:szCs w:val="21"/>
                <w:highlight w:val="none"/>
                <w:lang w:eastAsia="zh-CN"/>
              </w:rPr>
              <w:t>□</w:t>
            </w:r>
            <w:r>
              <w:rPr>
                <w:rFonts w:ascii="宋体" w:hAnsi="宋体" w:eastAsia="宋体" w:cs="宋体"/>
                <w:sz w:val="21"/>
                <w:szCs w:val="21"/>
                <w:highlight w:val="none"/>
                <w:lang w:eastAsia="zh-CN"/>
              </w:rPr>
              <w:t>否</w:t>
            </w:r>
          </w:p>
          <w:p w14:paraId="63CFAE30">
            <w:pPr>
              <w:rPr>
                <w:rFonts w:hint="eastAsia" w:ascii="宋体" w:hAnsi="宋体" w:eastAsia="宋体" w:cs="宋体"/>
                <w:sz w:val="21"/>
                <w:szCs w:val="21"/>
                <w:highlight w:val="none"/>
                <w:lang w:eastAsia="zh-CN"/>
              </w:rPr>
            </w:pPr>
            <w:r>
              <w:rPr>
                <w:rFonts w:hint="eastAsia" w:ascii="宋体" w:hAnsi="宋体" w:eastAsia="宋体"/>
                <w:sz w:val="21"/>
                <w:szCs w:val="21"/>
                <w:highlight w:val="none"/>
                <w:lang w:eastAsia="zh-CN"/>
              </w:rPr>
              <w:t>■</w:t>
            </w:r>
            <w:r>
              <w:rPr>
                <w:rFonts w:ascii="宋体" w:hAnsi="宋体" w:eastAsia="宋体" w:cs="宋体"/>
                <w:sz w:val="21"/>
                <w:szCs w:val="21"/>
                <w:highlight w:val="none"/>
                <w:lang w:eastAsia="zh-CN"/>
              </w:rPr>
              <w:t>是，具体要求：</w:t>
            </w:r>
          </w:p>
          <w:p w14:paraId="07F0832A">
            <w:pPr>
              <w:rPr>
                <w:rFonts w:hint="eastAsia" w:ascii="宋体" w:hAnsi="宋体" w:eastAsia="宋体" w:cs="宋体"/>
                <w:sz w:val="21"/>
                <w:szCs w:val="21"/>
                <w:highlight w:val="none"/>
                <w:lang w:eastAsia="zh-CN"/>
              </w:rPr>
            </w:pPr>
            <w:r>
              <w:rPr>
                <w:rFonts w:hint="eastAsia" w:ascii="宋体" w:hAnsi="宋体" w:eastAsia="宋体"/>
                <w:sz w:val="21"/>
                <w:szCs w:val="21"/>
                <w:highlight w:val="none"/>
                <w:u w:val="single"/>
                <w:lang w:eastAsia="zh-CN"/>
              </w:rPr>
              <w:t>具体操作详见广州交易集团有限公司（广州公共资源交易中心）网站最新发布的《建设工程全流程电子化项目操作指南》。</w:t>
            </w:r>
          </w:p>
        </w:tc>
      </w:tr>
      <w:tr w14:paraId="09D32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874CD12">
            <w:pPr>
              <w:pStyle w:val="60"/>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ascii="宋体" w:hAnsi="宋体" w:eastAsia="宋体"/>
                <w:sz w:val="21"/>
                <w:szCs w:val="21"/>
                <w:highlight w:val="none"/>
              </w:rPr>
              <w:t>10</w:t>
            </w:r>
          </w:p>
        </w:tc>
        <w:tc>
          <w:tcPr>
            <w:tcW w:w="4469" w:type="pct"/>
            <w:gridSpan w:val="2"/>
            <w:noWrap w:val="0"/>
            <w:vAlign w:val="center"/>
          </w:tcPr>
          <w:p w14:paraId="2E3D2FBF">
            <w:pPr>
              <w:keepNext w:val="0"/>
              <w:keepLines w:val="0"/>
              <w:pageBreakBefore w:val="0"/>
              <w:widowControl w:val="0"/>
              <w:wordWrap/>
              <w:autoSpaceDE/>
              <w:autoSpaceDN/>
              <w:bidi w:val="0"/>
              <w:adjustRightInd/>
              <w:spacing w:line="360" w:lineRule="exact"/>
              <w:ind w:left="37" w:leftChars="17" w:right="37" w:rightChars="17"/>
              <w:jc w:val="center"/>
              <w:textAlignment w:val="auto"/>
              <w:rPr>
                <w:rFonts w:hint="eastAsia" w:ascii="宋体" w:hAnsi="宋体" w:eastAsia="宋体"/>
                <w:b/>
                <w:bCs/>
                <w:sz w:val="21"/>
                <w:szCs w:val="21"/>
                <w:highlight w:val="none"/>
                <w:lang w:eastAsia="zh-CN"/>
              </w:rPr>
            </w:pPr>
            <w:r>
              <w:rPr>
                <w:rFonts w:ascii="宋体" w:hAnsi="宋体" w:eastAsia="宋体" w:cs="宋体"/>
                <w:b/>
                <w:bCs/>
                <w:sz w:val="21"/>
                <w:szCs w:val="21"/>
                <w:highlight w:val="none"/>
              </w:rPr>
              <w:t>需要补充的其他内容</w:t>
            </w:r>
          </w:p>
        </w:tc>
      </w:tr>
      <w:tr w14:paraId="17E87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4E67F274">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10.1</w:t>
            </w:r>
          </w:p>
        </w:tc>
        <w:tc>
          <w:tcPr>
            <w:tcW w:w="914" w:type="pct"/>
            <w:noWrap w:val="0"/>
            <w:vAlign w:val="center"/>
          </w:tcPr>
          <w:p w14:paraId="3A417B1C">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特别提示</w:t>
            </w:r>
          </w:p>
        </w:tc>
        <w:tc>
          <w:tcPr>
            <w:tcW w:w="3554" w:type="pct"/>
            <w:noWrap w:val="0"/>
            <w:vAlign w:val="center"/>
          </w:tcPr>
          <w:p w14:paraId="01D7A691">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投标人在本项目招标人的工程项目中存在下列行为的，将被拒绝一年内参与我单位后续工程投标。（注：拒绝投标时限自招标人发出通知之日起计）：</w:t>
            </w:r>
          </w:p>
          <w:p w14:paraId="14D33710">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（1）将中标工程转包或者违法分包的；</w:t>
            </w:r>
          </w:p>
          <w:p w14:paraId="7DA6B75A">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hint="eastAsia" w:ascii="宋体" w:hAnsi="宋体" w:eastAsia="宋体"/>
                <w:sz w:val="21"/>
                <w:szCs w:val="21"/>
                <w:highlight w:val="none"/>
                <w:u w:val="none"/>
                <w:lang w:val="en-US" w:eastAsia="zh-CN"/>
              </w:rPr>
              <w:t>2</w:t>
            </w:r>
            <w:r>
              <w:rPr>
                <w:rFonts w:hint="eastAsia" w:ascii="宋体" w:hAnsi="宋体" w:eastAsia="宋体"/>
                <w:sz w:val="21"/>
                <w:szCs w:val="21"/>
                <w:highlight w:val="none"/>
                <w:u w:val="none"/>
                <w:lang w:eastAsia="zh-CN"/>
              </w:rPr>
              <w:t>）存在围标或串标情形的；</w:t>
            </w:r>
          </w:p>
          <w:p w14:paraId="74FB1F1A">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none"/>
                <w:lang w:eastAsia="zh-CN"/>
              </w:rPr>
            </w:pPr>
            <w:r>
              <w:rPr>
                <w:rFonts w:hint="eastAsia" w:ascii="宋体" w:hAnsi="宋体" w:eastAsia="宋体"/>
                <w:sz w:val="21"/>
                <w:szCs w:val="21"/>
                <w:highlight w:val="none"/>
                <w:u w:val="none"/>
                <w:lang w:eastAsia="zh-CN"/>
              </w:rPr>
              <w:t>（</w:t>
            </w:r>
            <w:r>
              <w:rPr>
                <w:rFonts w:hint="eastAsia" w:ascii="宋体" w:hAnsi="宋体" w:eastAsia="宋体"/>
                <w:sz w:val="21"/>
                <w:szCs w:val="21"/>
                <w:highlight w:val="none"/>
                <w:u w:val="none"/>
                <w:lang w:val="en-US" w:eastAsia="zh-CN"/>
              </w:rPr>
              <w:t>3</w:t>
            </w:r>
            <w:r>
              <w:rPr>
                <w:rFonts w:hint="eastAsia" w:ascii="宋体" w:hAnsi="宋体" w:eastAsia="宋体"/>
                <w:sz w:val="21"/>
                <w:szCs w:val="21"/>
                <w:highlight w:val="none"/>
                <w:u w:val="none"/>
                <w:lang w:eastAsia="zh-CN"/>
              </w:rPr>
              <w:t>）存在弄虚作假骗取中标情形的；</w:t>
            </w:r>
          </w:p>
          <w:p w14:paraId="2B0AA39F">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u w:val="none"/>
                <w:lang w:eastAsia="zh-CN"/>
              </w:rPr>
              <w:t>（</w:t>
            </w:r>
            <w:r>
              <w:rPr>
                <w:rFonts w:hint="eastAsia" w:ascii="宋体" w:hAnsi="宋体" w:eastAsia="宋体"/>
                <w:sz w:val="21"/>
                <w:szCs w:val="21"/>
                <w:highlight w:val="none"/>
                <w:u w:val="none"/>
                <w:lang w:val="en-US" w:eastAsia="zh-CN"/>
              </w:rPr>
              <w:t>4</w:t>
            </w:r>
            <w:r>
              <w:rPr>
                <w:rFonts w:hint="eastAsia" w:ascii="宋体" w:hAnsi="宋体" w:eastAsia="宋体"/>
                <w:sz w:val="21"/>
                <w:szCs w:val="21"/>
                <w:highlight w:val="none"/>
                <w:u w:val="none"/>
                <w:lang w:eastAsia="zh-CN"/>
              </w:rPr>
              <w:t>）存在因过错行为被生效法律文书认定承担违约或侵权责任的。</w:t>
            </w:r>
          </w:p>
        </w:tc>
      </w:tr>
      <w:tr w14:paraId="6C36C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68E3A80">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10.2</w:t>
            </w:r>
          </w:p>
        </w:tc>
        <w:tc>
          <w:tcPr>
            <w:tcW w:w="914" w:type="pct"/>
            <w:noWrap w:val="0"/>
            <w:vAlign w:val="center"/>
          </w:tcPr>
          <w:p w14:paraId="51ACAB98">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送达</w:t>
            </w:r>
          </w:p>
        </w:tc>
        <w:tc>
          <w:tcPr>
            <w:tcW w:w="3554" w:type="pct"/>
            <w:noWrap w:val="0"/>
            <w:vAlign w:val="center"/>
          </w:tcPr>
          <w:p w14:paraId="043CCEFA">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《投诉处理决定书》和《行政处理决定书》在广州市住房和城乡建设局网站上公布的，视为送达其他与决定书有关的当事人。</w:t>
            </w:r>
          </w:p>
        </w:tc>
      </w:tr>
      <w:tr w14:paraId="7FAD7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6F55C857">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10.3</w:t>
            </w:r>
          </w:p>
        </w:tc>
        <w:tc>
          <w:tcPr>
            <w:tcW w:w="914" w:type="pct"/>
            <w:noWrap w:val="0"/>
            <w:vAlign w:val="center"/>
          </w:tcPr>
          <w:p w14:paraId="56084DAF">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招标失败的情形</w:t>
            </w:r>
          </w:p>
        </w:tc>
        <w:tc>
          <w:tcPr>
            <w:tcW w:w="3554" w:type="pct"/>
            <w:noWrap w:val="0"/>
            <w:vAlign w:val="center"/>
          </w:tcPr>
          <w:p w14:paraId="7B759EC1">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本项目采用资格后审方式，满足资格审查合格条件或通过初步评审的投标申请人不足</w:t>
            </w:r>
            <w:r>
              <w:rPr>
                <w:rFonts w:ascii="宋体" w:hAnsi="宋体" w:eastAsia="宋体"/>
                <w:sz w:val="21"/>
                <w:szCs w:val="21"/>
                <w:highlight w:val="none"/>
                <w:lang w:eastAsia="zh-CN"/>
              </w:rPr>
              <w:t>3</w:t>
            </w:r>
            <w:r>
              <w:rPr>
                <w:rFonts w:hint="eastAsia" w:ascii="宋体" w:hAnsi="宋体" w:eastAsia="宋体"/>
                <w:sz w:val="21"/>
                <w:szCs w:val="21"/>
                <w:highlight w:val="none"/>
                <w:lang w:eastAsia="zh-CN"/>
              </w:rPr>
              <w:t>名时为招标失败。招标人分析招标失败原因，修正招标方案，报有关管理部门核准后，重新组织招标。</w:t>
            </w:r>
          </w:p>
        </w:tc>
      </w:tr>
      <w:tr w14:paraId="55A0D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7C3A4E09">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10.4</w:t>
            </w:r>
          </w:p>
        </w:tc>
        <w:tc>
          <w:tcPr>
            <w:tcW w:w="914" w:type="pct"/>
            <w:noWrap w:val="0"/>
            <w:vAlign w:val="center"/>
          </w:tcPr>
          <w:p w14:paraId="78B92615">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招标人拒绝接收</w:t>
            </w:r>
          </w:p>
          <w:p w14:paraId="65FC0CFC">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其投标文件情况</w:t>
            </w:r>
          </w:p>
        </w:tc>
        <w:tc>
          <w:tcPr>
            <w:tcW w:w="3554" w:type="pct"/>
            <w:noWrap w:val="0"/>
            <w:vAlign w:val="center"/>
          </w:tcPr>
          <w:p w14:paraId="780B9C69">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在投标截止期后逾期上传递交</w:t>
            </w:r>
            <w:r>
              <w:rPr>
                <w:rFonts w:ascii="宋体" w:hAnsi="宋体" w:eastAsia="宋体"/>
                <w:sz w:val="21"/>
                <w:szCs w:val="21"/>
                <w:highlight w:val="none"/>
                <w:lang w:eastAsia="zh-CN"/>
              </w:rPr>
              <w:t>电子</w:t>
            </w:r>
            <w:r>
              <w:rPr>
                <w:rFonts w:hint="eastAsia" w:ascii="宋体" w:hAnsi="宋体" w:eastAsia="宋体"/>
                <w:sz w:val="21"/>
                <w:szCs w:val="21"/>
                <w:highlight w:val="none"/>
                <w:lang w:eastAsia="zh-CN"/>
              </w:rPr>
              <w:t>投标文件的；</w:t>
            </w:r>
          </w:p>
        </w:tc>
      </w:tr>
      <w:tr w14:paraId="50458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2D4B2B6">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10.5</w:t>
            </w:r>
          </w:p>
        </w:tc>
        <w:tc>
          <w:tcPr>
            <w:tcW w:w="914" w:type="pct"/>
            <w:noWrap w:val="0"/>
            <w:vAlign w:val="center"/>
          </w:tcPr>
          <w:p w14:paraId="4D020E29">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投标文件公开</w:t>
            </w:r>
          </w:p>
        </w:tc>
        <w:tc>
          <w:tcPr>
            <w:tcW w:w="3554" w:type="pct"/>
            <w:noWrap w:val="0"/>
            <w:vAlign w:val="center"/>
          </w:tcPr>
          <w:p w14:paraId="4383C4E5">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cs="宋体"/>
                <w:spacing w:val="-2"/>
                <w:sz w:val="21"/>
                <w:szCs w:val="21"/>
                <w:highlight w:val="none"/>
                <w:u w:val="single"/>
                <w:lang w:eastAsia="zh-CN"/>
              </w:rPr>
              <w:t>在产生中标候选人后，招标人将中标候选人的投标文件商务部分的电子版（报价清单、方案等涉及商业秘密的内容除外）在广州交易集团有限公司（广州公共资源交易中心）网站等法定媒介公开。</w:t>
            </w:r>
          </w:p>
        </w:tc>
      </w:tr>
      <w:tr w14:paraId="13D1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89227B7">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10.6</w:t>
            </w:r>
          </w:p>
        </w:tc>
        <w:tc>
          <w:tcPr>
            <w:tcW w:w="914" w:type="pct"/>
            <w:noWrap w:val="0"/>
            <w:vAlign w:val="center"/>
          </w:tcPr>
          <w:p w14:paraId="5E596AFF">
            <w:pPr>
              <w:keepNext w:val="0"/>
              <w:keepLines w:val="0"/>
              <w:pageBreakBefore w:val="0"/>
              <w:widowControl w:val="0"/>
              <w:wordWrap/>
              <w:autoSpaceDE/>
              <w:autoSpaceDN/>
              <w:bidi w:val="0"/>
              <w:adjustRightInd/>
              <w:spacing w:line="360" w:lineRule="exact"/>
              <w:jc w:val="center"/>
              <w:textAlignment w:val="auto"/>
              <w:rPr>
                <w:rFonts w:ascii="宋体" w:hAnsi="宋体" w:eastAsia="宋体"/>
                <w:sz w:val="21"/>
                <w:szCs w:val="21"/>
                <w:highlight w:val="none"/>
              </w:rPr>
            </w:pPr>
            <w:r>
              <w:rPr>
                <w:rFonts w:hint="eastAsia" w:ascii="宋体" w:hAnsi="宋体" w:eastAsia="宋体"/>
                <w:sz w:val="21"/>
                <w:szCs w:val="21"/>
                <w:highlight w:val="none"/>
              </w:rPr>
              <w:t>其他</w:t>
            </w:r>
          </w:p>
        </w:tc>
        <w:tc>
          <w:tcPr>
            <w:tcW w:w="3554" w:type="pct"/>
            <w:noWrap w:val="0"/>
            <w:vAlign w:val="center"/>
          </w:tcPr>
          <w:p w14:paraId="0A5035E1">
            <w:pPr>
              <w:keepNext w:val="0"/>
              <w:keepLines w:val="0"/>
              <w:pageBreakBefore w:val="0"/>
              <w:widowControl w:val="0"/>
              <w:wordWrap/>
              <w:autoSpaceDE/>
              <w:autoSpaceDN/>
              <w:bidi w:val="0"/>
              <w:adjustRightInd/>
              <w:spacing w:line="360" w:lineRule="exact"/>
              <w:ind w:left="37" w:leftChars="17" w:right="255" w:rightChars="116"/>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1、招标公告、招标文件、答疑纪要等招标资料全部发布在广州交易集团有限公司（广州公共资源交易中心）网站，由投标人自行下载查阅。</w:t>
            </w:r>
          </w:p>
          <w:p w14:paraId="086481A3">
            <w:pPr>
              <w:keepNext w:val="0"/>
              <w:keepLines w:val="0"/>
              <w:pageBreakBefore w:val="0"/>
              <w:widowControl w:val="0"/>
              <w:wordWrap/>
              <w:autoSpaceDE/>
              <w:autoSpaceDN/>
              <w:bidi w:val="0"/>
              <w:adjustRightInd/>
              <w:spacing w:line="360" w:lineRule="exact"/>
              <w:ind w:left="37" w:leftChars="17" w:right="255" w:rightChars="116"/>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2、中标后，中标单位须提交与网上上传电子投标文件完全一致的纸质投标文件（</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正</w:t>
            </w:r>
            <w:r>
              <w:rPr>
                <w:rFonts w:hint="eastAsia" w:ascii="宋体" w:hAnsi="宋体" w:eastAsia="宋体"/>
                <w:sz w:val="21"/>
                <w:szCs w:val="21"/>
                <w:highlight w:val="none"/>
                <w:lang w:val="en-US" w:eastAsia="zh-CN"/>
              </w:rPr>
              <w:t>1</w:t>
            </w:r>
            <w:r>
              <w:rPr>
                <w:rFonts w:hint="eastAsia" w:ascii="宋体" w:hAnsi="宋体" w:eastAsia="宋体"/>
                <w:sz w:val="21"/>
                <w:szCs w:val="21"/>
                <w:highlight w:val="none"/>
                <w:lang w:eastAsia="zh-CN"/>
              </w:rPr>
              <w:t>副，加盖公章）给招标单位。</w:t>
            </w:r>
          </w:p>
          <w:p w14:paraId="144DE05C">
            <w:pPr>
              <w:keepNext w:val="0"/>
              <w:keepLines w:val="0"/>
              <w:pageBreakBefore w:val="0"/>
              <w:widowControl w:val="0"/>
              <w:wordWrap/>
              <w:autoSpaceDE/>
              <w:autoSpaceDN/>
              <w:bidi w:val="0"/>
              <w:adjustRightInd/>
              <w:spacing w:line="360" w:lineRule="exact"/>
              <w:ind w:left="37" w:leftChars="17" w:right="255" w:rightChars="116"/>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3</w:t>
            </w:r>
            <w:r>
              <w:rPr>
                <w:rFonts w:hint="eastAsia" w:ascii="宋体" w:hAnsi="宋体" w:eastAsia="宋体"/>
                <w:sz w:val="21"/>
                <w:szCs w:val="21"/>
                <w:highlight w:val="none"/>
                <w:lang w:eastAsia="zh-CN"/>
              </w:rPr>
              <w:t>、交易服务费：中标人向广州公共资源交易中心缴纳，具体标准详见交易中心相关指引。本费用包含在中标人的投标报价中，招标人不再另行支付。</w:t>
            </w:r>
          </w:p>
          <w:p w14:paraId="239E2524">
            <w:pPr>
              <w:pStyle w:val="5"/>
              <w:spacing w:line="360" w:lineRule="exact"/>
              <w:ind w:left="37" w:leftChars="17" w:right="255" w:rightChars="116"/>
              <w:rPr>
                <w:rFonts w:hint="eastAsia" w:ascii="宋体" w:hAnsi="宋体" w:eastAsia="宋体" w:cs="Times New Roman"/>
                <w:sz w:val="21"/>
                <w:szCs w:val="21"/>
                <w:highlight w:val="none"/>
                <w:lang w:eastAsia="zh-CN"/>
              </w:rPr>
            </w:pPr>
            <w:r>
              <w:rPr>
                <w:rFonts w:hint="eastAsia" w:ascii="宋体" w:hAnsi="宋体" w:eastAsia="宋体"/>
                <w:sz w:val="21"/>
                <w:szCs w:val="21"/>
                <w:highlight w:val="none"/>
                <w:lang w:val="en-US" w:eastAsia="zh-CN"/>
              </w:rPr>
              <w:t>4、</w:t>
            </w:r>
            <w:r>
              <w:rPr>
                <w:rFonts w:hint="eastAsia" w:ascii="宋体" w:hAnsi="宋体" w:eastAsia="宋体" w:cs="Times New Roman"/>
                <w:sz w:val="21"/>
                <w:szCs w:val="21"/>
                <w:highlight w:val="none"/>
                <w:lang w:eastAsia="zh-CN"/>
              </w:rPr>
              <w:t>招标代理费由中标人在领取中标通知书之前一次性支付给招标代理机构。招标代理费参考《国家计委关于印发&lt;招标代理服务收费管理暂行办法&gt;的通知》(计价格〔2002〕1980号)收费标准（服务类），按中标价作为结算基价下浮（75%）计算本项目招标代理费。招标代理费已包含在中标人的投标报价中，招标人不另行支付。</w:t>
            </w:r>
          </w:p>
          <w:p w14:paraId="142D391A">
            <w:pPr>
              <w:keepNext w:val="0"/>
              <w:keepLines w:val="0"/>
              <w:pageBreakBefore w:val="0"/>
              <w:widowControl w:val="0"/>
              <w:wordWrap/>
              <w:autoSpaceDE/>
              <w:autoSpaceDN/>
              <w:bidi w:val="0"/>
              <w:adjustRightInd/>
              <w:spacing w:line="360" w:lineRule="exact"/>
              <w:ind w:left="37" w:leftChars="17" w:right="255" w:rightChars="116"/>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val="en-US" w:eastAsia="zh-CN"/>
              </w:rPr>
              <w:t>5、</w:t>
            </w:r>
            <w:r>
              <w:rPr>
                <w:rFonts w:hint="eastAsia" w:ascii="宋体" w:hAnsi="宋体" w:eastAsia="宋体"/>
                <w:sz w:val="21"/>
                <w:szCs w:val="21"/>
                <w:highlight w:val="none"/>
                <w:lang w:eastAsia="zh-CN"/>
              </w:rPr>
              <w:t>本工程采用全电子化资格后审方式，具体要求详见广州交易集团有限公司（广州公共资源交易中心）网站最新发布的《</w:t>
            </w:r>
            <w:r>
              <w:rPr>
                <w:rFonts w:hint="eastAsia" w:ascii="宋体" w:hAnsi="宋体" w:eastAsia="宋体"/>
                <w:sz w:val="21"/>
                <w:szCs w:val="21"/>
                <w:highlight w:val="none"/>
                <w:u w:val="single"/>
                <w:lang w:eastAsia="zh-CN"/>
              </w:rPr>
              <w:t>建设工程全流程电子化项目操作指南</w:t>
            </w:r>
            <w:r>
              <w:rPr>
                <w:rFonts w:hint="eastAsia" w:ascii="宋体" w:hAnsi="宋体" w:eastAsia="宋体"/>
                <w:sz w:val="21"/>
                <w:szCs w:val="21"/>
                <w:highlight w:val="none"/>
                <w:lang w:eastAsia="zh-CN"/>
              </w:rPr>
              <w:t>》。</w:t>
            </w:r>
          </w:p>
        </w:tc>
      </w:tr>
      <w:tr w14:paraId="156C7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0D7DE3FF">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rPr>
            </w:pPr>
            <w:r>
              <w:rPr>
                <w:rFonts w:hint="eastAsia" w:ascii="宋体" w:hAnsi="宋体" w:eastAsia="宋体"/>
                <w:sz w:val="21"/>
                <w:szCs w:val="21"/>
                <w:highlight w:val="none"/>
              </w:rPr>
              <w:t>10.7</w:t>
            </w:r>
          </w:p>
        </w:tc>
        <w:tc>
          <w:tcPr>
            <w:tcW w:w="914" w:type="pct"/>
            <w:noWrap w:val="0"/>
            <w:vAlign w:val="center"/>
          </w:tcPr>
          <w:p w14:paraId="1769CFD2">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电子招标投标</w:t>
            </w:r>
          </w:p>
          <w:p w14:paraId="461A6885">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解密失败及突发</w:t>
            </w:r>
          </w:p>
          <w:p w14:paraId="7473EEA3">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状况的补救</w:t>
            </w:r>
          </w:p>
        </w:tc>
        <w:tc>
          <w:tcPr>
            <w:tcW w:w="3554" w:type="pct"/>
            <w:noWrap w:val="0"/>
            <w:vAlign w:val="center"/>
          </w:tcPr>
          <w:p w14:paraId="3FB3B691">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1、提交投标文件光盘备用：</w:t>
            </w:r>
            <w:r>
              <w:rPr>
                <w:rFonts w:hint="eastAsia" w:ascii="宋体" w:hAnsi="宋体" w:eastAsia="宋体"/>
                <w:sz w:val="21"/>
                <w:szCs w:val="21"/>
                <w:highlight w:val="none"/>
                <w:u w:val="single"/>
                <w:lang w:eastAsia="zh-CN"/>
              </w:rPr>
              <w:t>投标人可制作非加密的</w:t>
            </w:r>
            <w:r>
              <w:rPr>
                <w:rFonts w:hint="eastAsia" w:ascii="宋体" w:hAnsi="宋体" w:cs="宋体"/>
                <w:highlight w:val="none"/>
              </w:rPr>
              <w:t>备用电子投标文件</w:t>
            </w:r>
            <w:r>
              <w:rPr>
                <w:rFonts w:hint="eastAsia" w:ascii="宋体" w:hAnsi="宋体" w:eastAsia="宋体"/>
                <w:sz w:val="21"/>
                <w:szCs w:val="21"/>
                <w:highlight w:val="none"/>
                <w:u w:val="single"/>
                <w:lang w:eastAsia="zh-CN"/>
              </w:rPr>
              <w:t>，在招标公告规定的时间、地点提交备用。刻录好的投标文件光盘密封在密封袋中。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14:paraId="224FD865">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2、补救方案</w:t>
            </w:r>
          </w:p>
          <w:p w14:paraId="7CC9C7E7">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（1）投标文件解密失败的补救方案：</w:t>
            </w:r>
          </w:p>
          <w:p w14:paraId="7D1715C8">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在规定时间内，因投标人之外原因（指</w:t>
            </w:r>
            <w:r>
              <w:rPr>
                <w:rFonts w:ascii="宋体" w:hAnsi="宋体" w:eastAsia="宋体"/>
                <w:sz w:val="21"/>
                <w:szCs w:val="21"/>
                <w:highlight w:val="none"/>
                <w:u w:val="single"/>
                <w:lang w:eastAsia="zh-CN"/>
              </w:rPr>
              <w:t>网络瘫痪</w:t>
            </w:r>
            <w:r>
              <w:rPr>
                <w:rFonts w:hint="eastAsia" w:ascii="宋体" w:hAnsi="宋体" w:eastAsia="宋体"/>
                <w:sz w:val="21"/>
                <w:szCs w:val="21"/>
                <w:highlight w:val="none"/>
                <w:u w:val="single"/>
                <w:lang w:eastAsia="zh-CN"/>
              </w:rPr>
              <w:t>、服务器损坏、交易系统故障短期无法恢复等因素）导致的电子投标文件解密失败，在开标现场读取光盘内容，继续开标程序。评标委员会对其投标文件的评审以光盘内容为准。因</w:t>
            </w:r>
            <w:r>
              <w:rPr>
                <w:rFonts w:ascii="宋体" w:hAnsi="宋体" w:eastAsia="宋体"/>
                <w:sz w:val="21"/>
                <w:szCs w:val="21"/>
                <w:highlight w:val="none"/>
                <w:u w:val="single"/>
                <w:lang w:eastAsia="zh-CN"/>
              </w:rPr>
              <w:t>投标人原因</w:t>
            </w:r>
            <w:r>
              <w:rPr>
                <w:rFonts w:hint="eastAsia" w:ascii="宋体" w:hAnsi="宋体" w:eastAsia="宋体"/>
                <w:sz w:val="21"/>
                <w:szCs w:val="21"/>
                <w:highlight w:val="none"/>
                <w:u w:val="single"/>
                <w:lang w:eastAsia="zh-CN"/>
              </w:rPr>
              <w:t>解密失败</w:t>
            </w:r>
            <w:r>
              <w:rPr>
                <w:rFonts w:ascii="宋体" w:hAnsi="宋体" w:eastAsia="宋体"/>
                <w:sz w:val="21"/>
                <w:szCs w:val="21"/>
                <w:highlight w:val="none"/>
                <w:u w:val="single"/>
                <w:lang w:eastAsia="zh-CN"/>
              </w:rPr>
              <w:t>且</w:t>
            </w:r>
            <w:r>
              <w:rPr>
                <w:rFonts w:hint="eastAsia" w:ascii="宋体" w:hAnsi="宋体" w:eastAsia="宋体"/>
                <w:sz w:val="21"/>
                <w:szCs w:val="21"/>
                <w:highlight w:val="none"/>
                <w:u w:val="single"/>
                <w:lang w:eastAsia="zh-CN"/>
              </w:rPr>
              <w:t>未</w:t>
            </w:r>
            <w:r>
              <w:rPr>
                <w:rFonts w:ascii="宋体" w:hAnsi="宋体" w:eastAsia="宋体"/>
                <w:sz w:val="21"/>
                <w:szCs w:val="21"/>
                <w:highlight w:val="none"/>
                <w:u w:val="single"/>
                <w:lang w:eastAsia="zh-CN"/>
              </w:rPr>
              <w:t>递交电子光盘</w:t>
            </w:r>
            <w:r>
              <w:rPr>
                <w:rFonts w:hint="eastAsia" w:ascii="宋体" w:hAnsi="宋体" w:eastAsia="宋体"/>
                <w:sz w:val="21"/>
                <w:szCs w:val="21"/>
                <w:highlight w:val="none"/>
                <w:u w:val="single"/>
                <w:lang w:eastAsia="zh-CN"/>
              </w:rPr>
              <w:t>或递交</w:t>
            </w:r>
            <w:r>
              <w:rPr>
                <w:rFonts w:ascii="宋体" w:hAnsi="宋体" w:eastAsia="宋体"/>
                <w:sz w:val="21"/>
                <w:szCs w:val="21"/>
                <w:highlight w:val="none"/>
                <w:u w:val="single"/>
                <w:lang w:eastAsia="zh-CN"/>
              </w:rPr>
              <w:t>的电子光盘</w:t>
            </w:r>
            <w:r>
              <w:rPr>
                <w:rFonts w:hint="eastAsia" w:ascii="宋体" w:hAnsi="宋体" w:eastAsia="宋体"/>
                <w:sz w:val="21"/>
                <w:szCs w:val="21"/>
                <w:highlight w:val="none"/>
                <w:u w:val="single"/>
                <w:lang w:eastAsia="zh-CN"/>
              </w:rPr>
              <w:t>不能</w:t>
            </w:r>
            <w:r>
              <w:rPr>
                <w:rFonts w:ascii="宋体" w:hAnsi="宋体" w:eastAsia="宋体"/>
                <w:sz w:val="21"/>
                <w:szCs w:val="21"/>
                <w:highlight w:val="none"/>
                <w:u w:val="single"/>
                <w:lang w:eastAsia="zh-CN"/>
              </w:rPr>
              <w:t>读取的，视为撤回投标文件。</w:t>
            </w:r>
          </w:p>
          <w:p w14:paraId="6EDF3254">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（2）评标时突发情况的补救方案</w:t>
            </w:r>
          </w:p>
          <w:p w14:paraId="339116C4">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u w:val="single"/>
                <w:lang w:eastAsia="zh-CN"/>
              </w:rPr>
            </w:pPr>
            <w:r>
              <w:rPr>
                <w:rFonts w:hint="eastAsia" w:ascii="宋体" w:hAnsi="宋体" w:eastAsia="宋体"/>
                <w:sz w:val="21"/>
                <w:szCs w:val="21"/>
                <w:highlight w:val="none"/>
                <w:u w:val="single"/>
                <w:lang w:eastAsia="zh-CN"/>
              </w:rPr>
              <w:t>若遇不可抗力发生（如：网络瘫痪、服务器损坏、交易系统故障短期无法恢复等因素），由评标委员会开启递交的全部投标文件光盘，并按光盘内容进行评审。</w:t>
            </w:r>
          </w:p>
          <w:p w14:paraId="0AE0DEB1">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u w:val="single"/>
                <w:lang w:eastAsia="zh-CN"/>
              </w:rPr>
              <w:t>（3）除发生上述情况外，开标评标均以投标人通过交易平台网上递交的电子投标文件为准</w:t>
            </w:r>
            <w:r>
              <w:rPr>
                <w:rFonts w:hint="eastAsia" w:ascii="宋体" w:hAnsi="宋体" w:eastAsia="宋体"/>
                <w:sz w:val="21"/>
                <w:szCs w:val="21"/>
                <w:highlight w:val="none"/>
                <w:lang w:eastAsia="zh-CN"/>
              </w:rPr>
              <w:t>。</w:t>
            </w:r>
          </w:p>
        </w:tc>
      </w:tr>
      <w:tr w14:paraId="41959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3" w:hRule="atLeast"/>
        </w:trPr>
        <w:tc>
          <w:tcPr>
            <w:tcW w:w="530" w:type="pct"/>
            <w:noWrap w:val="0"/>
            <w:vAlign w:val="center"/>
          </w:tcPr>
          <w:p w14:paraId="2A022EA7">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10.8</w:t>
            </w:r>
          </w:p>
        </w:tc>
        <w:tc>
          <w:tcPr>
            <w:tcW w:w="914" w:type="pct"/>
            <w:noWrap w:val="0"/>
            <w:vAlign w:val="center"/>
          </w:tcPr>
          <w:p w14:paraId="1A07D9E4">
            <w:pPr>
              <w:keepNext w:val="0"/>
              <w:keepLines w:val="0"/>
              <w:pageBreakBefore w:val="0"/>
              <w:widowControl w:val="0"/>
              <w:wordWrap/>
              <w:autoSpaceDE/>
              <w:autoSpaceDN/>
              <w:bidi w:val="0"/>
              <w:adjustRightInd/>
              <w:spacing w:line="360" w:lineRule="exact"/>
              <w:jc w:val="center"/>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否决投标</w:t>
            </w:r>
          </w:p>
        </w:tc>
        <w:tc>
          <w:tcPr>
            <w:tcW w:w="3554" w:type="pct"/>
            <w:noWrap w:val="0"/>
            <w:vAlign w:val="center"/>
          </w:tcPr>
          <w:p w14:paraId="0C9B5208">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10.8.1</w:t>
            </w:r>
            <w:r>
              <w:rPr>
                <w:rFonts w:hint="eastAsia" w:ascii="宋体" w:hAnsi="宋体" w:eastAsia="宋体" w:cs="宋体"/>
                <w:sz w:val="21"/>
                <w:szCs w:val="21"/>
                <w:highlight w:val="none"/>
                <w:lang w:eastAsia="zh-CN"/>
              </w:rPr>
              <w:t>投标人有下列情况之一的，评标委员会应当否决其投标：</w:t>
            </w:r>
          </w:p>
          <w:p w14:paraId="5B0BE0C1">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cs="宋体"/>
                <w:sz w:val="21"/>
                <w:szCs w:val="21"/>
                <w:highlight w:val="none"/>
                <w:lang w:eastAsia="zh-CN"/>
              </w:rPr>
              <w:t>投标人与招标人、评标委员会成员或者其他投标人串通投标；</w:t>
            </w:r>
          </w:p>
          <w:p w14:paraId="42FD6F8C">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r>
              <w:rPr>
                <w:rFonts w:hint="eastAsia" w:ascii="宋体" w:hAnsi="宋体" w:eastAsia="宋体" w:cs="宋体"/>
                <w:sz w:val="21"/>
                <w:szCs w:val="21"/>
                <w:highlight w:val="none"/>
                <w:lang w:eastAsia="zh-CN"/>
              </w:rPr>
              <w:t>投标人之间存在《广东省实施</w:t>
            </w:r>
            <w:r>
              <w:rPr>
                <w:rFonts w:ascii="宋体" w:hAnsi="宋体" w:eastAsia="宋体"/>
                <w:sz w:val="21"/>
                <w:szCs w:val="21"/>
                <w:highlight w:val="none"/>
                <w:lang w:eastAsia="zh-CN"/>
              </w:rPr>
              <w:t>&lt;</w:t>
            </w:r>
            <w:r>
              <w:rPr>
                <w:rFonts w:hint="eastAsia" w:ascii="宋体" w:hAnsi="宋体" w:eastAsia="宋体" w:cs="宋体"/>
                <w:sz w:val="21"/>
                <w:szCs w:val="21"/>
                <w:highlight w:val="none"/>
                <w:lang w:eastAsia="zh-CN"/>
              </w:rPr>
              <w:t>中华人民共和国招标投标法</w:t>
            </w:r>
            <w:r>
              <w:rPr>
                <w:rFonts w:ascii="宋体" w:hAnsi="宋体" w:eastAsia="宋体"/>
                <w:sz w:val="21"/>
                <w:szCs w:val="21"/>
                <w:highlight w:val="none"/>
                <w:lang w:eastAsia="zh-CN"/>
              </w:rPr>
              <w:t>&gt;</w:t>
            </w:r>
            <w:r>
              <w:rPr>
                <w:rFonts w:hint="eastAsia" w:ascii="宋体" w:hAnsi="宋体" w:eastAsia="宋体" w:cs="宋体"/>
                <w:sz w:val="21"/>
                <w:szCs w:val="21"/>
                <w:highlight w:val="none"/>
                <w:lang w:eastAsia="zh-CN"/>
              </w:rPr>
              <w:t>》第十六条所禁止的情形的；</w:t>
            </w:r>
          </w:p>
          <w:p w14:paraId="3F7C005F">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10.8.2</w:t>
            </w:r>
            <w:r>
              <w:rPr>
                <w:rFonts w:hint="eastAsia" w:ascii="宋体" w:hAnsi="宋体" w:eastAsia="宋体" w:cs="宋体"/>
                <w:sz w:val="21"/>
                <w:szCs w:val="21"/>
                <w:highlight w:val="none"/>
                <w:lang w:eastAsia="zh-CN"/>
              </w:rPr>
              <w:t>有下列情况之一的，评标委员会应当否决其投标：</w:t>
            </w:r>
          </w:p>
          <w:p w14:paraId="2057C17E">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cs="宋体"/>
                <w:sz w:val="21"/>
                <w:szCs w:val="21"/>
                <w:highlight w:val="none"/>
                <w:lang w:eastAsia="zh-CN"/>
              </w:rPr>
              <w:t>《投标书》未加盖投标人公章，也未经法定代表人或者其授权代表签字；</w:t>
            </w:r>
          </w:p>
          <w:p w14:paraId="7513A775">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r>
              <w:rPr>
                <w:rFonts w:hint="eastAsia" w:ascii="宋体" w:hAnsi="宋体" w:eastAsia="宋体" w:cs="宋体"/>
                <w:sz w:val="21"/>
                <w:szCs w:val="21"/>
                <w:highlight w:val="none"/>
                <w:lang w:eastAsia="zh-CN"/>
              </w:rPr>
              <w:t>《投标书》包含有招标人不能接受的偏差，并且投标人拒绝书面撤回偏差；</w:t>
            </w:r>
          </w:p>
          <w:p w14:paraId="1579FD39">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（3）</w:t>
            </w:r>
            <w:r>
              <w:rPr>
                <w:rFonts w:hint="eastAsia" w:ascii="宋体" w:hAnsi="宋体" w:eastAsia="宋体" w:cs="宋体"/>
                <w:sz w:val="21"/>
                <w:szCs w:val="21"/>
                <w:highlight w:val="none"/>
                <w:lang w:eastAsia="zh-CN"/>
              </w:rPr>
              <w:t>《投标人声明》未按规定格式填写或未加盖投标人公章；</w:t>
            </w:r>
          </w:p>
          <w:p w14:paraId="01F79343">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10.8.3</w:t>
            </w:r>
            <w:r>
              <w:rPr>
                <w:rFonts w:hint="eastAsia" w:ascii="宋体" w:hAnsi="宋体" w:eastAsia="宋体" w:cs="宋体"/>
                <w:sz w:val="21"/>
                <w:szCs w:val="21"/>
                <w:highlight w:val="none"/>
                <w:lang w:eastAsia="zh-CN"/>
              </w:rPr>
              <w:t>投标文件有下列情况之一的，评标委员会应当否决其投标：</w:t>
            </w:r>
          </w:p>
          <w:p w14:paraId="3579FA59">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cs="宋体"/>
                <w:sz w:val="21"/>
                <w:szCs w:val="21"/>
                <w:highlight w:val="none"/>
                <w:lang w:eastAsia="zh-CN"/>
              </w:rPr>
              <w:t>投标人与其他投标人加密打包投标文件电脑机器特征码一致的；</w:t>
            </w:r>
          </w:p>
          <w:p w14:paraId="71539A38">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w:t>
            </w:r>
            <w:r>
              <w:rPr>
                <w:rFonts w:hint="eastAsia" w:ascii="宋体" w:hAnsi="宋体" w:eastAsia="宋体"/>
                <w:sz w:val="21"/>
                <w:szCs w:val="21"/>
                <w:highlight w:val="none"/>
                <w:lang w:val="en-US" w:eastAsia="zh-CN"/>
              </w:rPr>
              <w:t>2</w:t>
            </w:r>
            <w:r>
              <w:rPr>
                <w:rFonts w:hint="eastAsia" w:ascii="宋体" w:hAnsi="宋体" w:eastAsia="宋体"/>
                <w:sz w:val="21"/>
                <w:szCs w:val="21"/>
                <w:highlight w:val="none"/>
                <w:lang w:eastAsia="zh-CN"/>
              </w:rPr>
              <w:t>）</w:t>
            </w:r>
            <w:r>
              <w:rPr>
                <w:rFonts w:hint="eastAsia" w:ascii="宋体" w:hAnsi="宋体" w:eastAsia="宋体" w:cs="宋体"/>
                <w:sz w:val="21"/>
                <w:szCs w:val="21"/>
                <w:highlight w:val="none"/>
                <w:lang w:eastAsia="zh-CN"/>
              </w:rPr>
              <w:t>投标人之间存在《广东省实施</w:t>
            </w:r>
            <w:r>
              <w:rPr>
                <w:rFonts w:ascii="宋体" w:hAnsi="宋体" w:eastAsia="宋体"/>
                <w:sz w:val="21"/>
                <w:szCs w:val="21"/>
                <w:highlight w:val="none"/>
                <w:lang w:eastAsia="zh-CN"/>
              </w:rPr>
              <w:t>&lt;</w:t>
            </w:r>
            <w:r>
              <w:rPr>
                <w:rFonts w:hint="eastAsia" w:ascii="宋体" w:hAnsi="宋体" w:eastAsia="宋体" w:cs="宋体"/>
                <w:sz w:val="21"/>
                <w:szCs w:val="21"/>
                <w:highlight w:val="none"/>
                <w:lang w:eastAsia="zh-CN"/>
              </w:rPr>
              <w:t>中华人民共和国招标投标法</w:t>
            </w:r>
            <w:r>
              <w:rPr>
                <w:rFonts w:ascii="宋体" w:hAnsi="宋体" w:eastAsia="宋体"/>
                <w:sz w:val="21"/>
                <w:szCs w:val="21"/>
                <w:highlight w:val="none"/>
                <w:lang w:eastAsia="zh-CN"/>
              </w:rPr>
              <w:t>&gt;</w:t>
            </w:r>
            <w:r>
              <w:rPr>
                <w:rFonts w:hint="eastAsia" w:ascii="宋体" w:hAnsi="宋体" w:eastAsia="宋体" w:cs="宋体"/>
                <w:sz w:val="21"/>
                <w:szCs w:val="21"/>
                <w:highlight w:val="none"/>
                <w:lang w:eastAsia="zh-CN"/>
              </w:rPr>
              <w:t>》第十六条所禁止的情形的；</w:t>
            </w:r>
          </w:p>
          <w:p w14:paraId="188227DF">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）投标报价高于最高投标限价的。</w:t>
            </w:r>
          </w:p>
          <w:p w14:paraId="2B51172E">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10.8.4</w:t>
            </w:r>
            <w:r>
              <w:rPr>
                <w:rFonts w:hint="eastAsia" w:ascii="宋体" w:hAnsi="宋体" w:eastAsia="宋体" w:cs="宋体"/>
                <w:sz w:val="21"/>
                <w:szCs w:val="21"/>
                <w:highlight w:val="none"/>
                <w:lang w:eastAsia="zh-CN"/>
              </w:rPr>
              <w:t>投标人有下列情况之一的，视为串通投标：</w:t>
            </w:r>
          </w:p>
          <w:p w14:paraId="27C26C4F">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cs="宋体"/>
                <w:sz w:val="21"/>
                <w:szCs w:val="21"/>
                <w:highlight w:val="none"/>
                <w:lang w:eastAsia="zh-CN"/>
              </w:rPr>
              <w:t>递交投标文件前，投标人私下向招标人或其雇员出示或告知投标文件内容；</w:t>
            </w:r>
          </w:p>
          <w:p w14:paraId="58FF8638">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r>
              <w:rPr>
                <w:rFonts w:hint="eastAsia" w:ascii="宋体" w:hAnsi="宋体" w:eastAsia="宋体" w:cs="宋体"/>
                <w:sz w:val="21"/>
                <w:szCs w:val="21"/>
                <w:highlight w:val="none"/>
                <w:lang w:eastAsia="zh-CN"/>
              </w:rPr>
              <w:t>评标表决结束前，投标人私下向评标委员会成员出示或告知投标文件内容；</w:t>
            </w:r>
          </w:p>
          <w:p w14:paraId="62DE0F77">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（3）</w:t>
            </w:r>
            <w:r>
              <w:rPr>
                <w:rFonts w:hint="eastAsia" w:ascii="宋体" w:hAnsi="宋体" w:eastAsia="宋体" w:cs="宋体"/>
                <w:sz w:val="21"/>
                <w:szCs w:val="21"/>
                <w:highlight w:val="none"/>
                <w:lang w:eastAsia="zh-CN"/>
              </w:rPr>
              <w:t>评标结果揭晓前，投标人与招标人就投标价格、投标方案等实质性内容进行谈判。</w:t>
            </w:r>
          </w:p>
          <w:p w14:paraId="1A54E609">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10.8.5</w:t>
            </w:r>
            <w:r>
              <w:rPr>
                <w:rFonts w:hint="eastAsia" w:ascii="宋体" w:hAnsi="宋体" w:eastAsia="宋体" w:cs="宋体"/>
                <w:sz w:val="21"/>
                <w:szCs w:val="21"/>
                <w:highlight w:val="none"/>
                <w:lang w:eastAsia="zh-CN"/>
              </w:rPr>
              <w:t>发生下列情形之一的，招标人应当重新组织招标：</w:t>
            </w:r>
          </w:p>
          <w:p w14:paraId="7B4F2A9F">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w:t>
            </w:r>
            <w:r>
              <w:rPr>
                <w:rFonts w:hint="eastAsia" w:ascii="宋体" w:hAnsi="宋体" w:eastAsia="宋体" w:cs="宋体"/>
                <w:sz w:val="21"/>
                <w:szCs w:val="21"/>
                <w:highlight w:val="none"/>
                <w:lang w:eastAsia="zh-CN"/>
              </w:rPr>
              <w:t>递交投标文件或通过资格审查的投标人不足三人；</w:t>
            </w:r>
          </w:p>
          <w:p w14:paraId="7BE4F902">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（2）</w:t>
            </w:r>
            <w:r>
              <w:rPr>
                <w:rFonts w:hint="eastAsia" w:ascii="宋体" w:hAnsi="宋体" w:eastAsia="宋体" w:cs="宋体"/>
                <w:sz w:val="21"/>
                <w:szCs w:val="21"/>
                <w:highlight w:val="none"/>
                <w:lang w:eastAsia="zh-CN"/>
              </w:rPr>
              <w:t>所有投标被否决，或者经评议有效投标的投标人少于三人；</w:t>
            </w:r>
          </w:p>
          <w:p w14:paraId="628BFE4D">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（3）</w:t>
            </w:r>
            <w:r>
              <w:rPr>
                <w:rFonts w:hint="eastAsia" w:ascii="宋体" w:hAnsi="宋体" w:eastAsia="宋体" w:cs="宋体"/>
                <w:sz w:val="21"/>
                <w:szCs w:val="21"/>
                <w:highlight w:val="none"/>
                <w:lang w:eastAsia="zh-CN"/>
              </w:rPr>
              <w:t>经项目审批部门会同行业主管部门裁定招标投标结果无效；</w:t>
            </w:r>
          </w:p>
          <w:p w14:paraId="1F323E36">
            <w:pPr>
              <w:keepNext w:val="0"/>
              <w:keepLines w:val="0"/>
              <w:pageBreakBefore w:val="0"/>
              <w:widowControl w:val="0"/>
              <w:wordWrap/>
              <w:autoSpaceDE/>
              <w:autoSpaceDN/>
              <w:bidi w:val="0"/>
              <w:adjustRightInd/>
              <w:spacing w:line="360" w:lineRule="exact"/>
              <w:ind w:left="37" w:leftChars="17" w:right="37" w:rightChars="17"/>
              <w:textAlignment w:val="auto"/>
              <w:rPr>
                <w:rFonts w:ascii="宋体" w:hAnsi="宋体" w:eastAsia="宋体"/>
                <w:sz w:val="21"/>
                <w:szCs w:val="21"/>
                <w:highlight w:val="none"/>
                <w:lang w:eastAsia="zh-CN"/>
              </w:rPr>
            </w:pPr>
            <w:r>
              <w:rPr>
                <w:rFonts w:hint="eastAsia" w:ascii="宋体" w:hAnsi="宋体" w:eastAsia="宋体"/>
                <w:sz w:val="21"/>
                <w:szCs w:val="21"/>
                <w:highlight w:val="none"/>
                <w:lang w:eastAsia="zh-CN"/>
              </w:rPr>
              <w:t>10.8.6</w:t>
            </w:r>
            <w:r>
              <w:rPr>
                <w:rFonts w:hint="eastAsia" w:ascii="宋体" w:hAnsi="宋体" w:eastAsia="宋体" w:cs="宋体"/>
                <w:sz w:val="21"/>
                <w:szCs w:val="21"/>
                <w:highlight w:val="none"/>
                <w:lang w:eastAsia="zh-CN"/>
              </w:rPr>
              <w:t>否决投标的决定由评标委员会作出，其他投标人无权干涉。</w:t>
            </w:r>
          </w:p>
          <w:p w14:paraId="4385A3F0">
            <w:pPr>
              <w:keepNext w:val="0"/>
              <w:keepLines w:val="0"/>
              <w:pageBreakBefore w:val="0"/>
              <w:widowControl w:val="0"/>
              <w:wordWrap/>
              <w:autoSpaceDE/>
              <w:autoSpaceDN/>
              <w:bidi w:val="0"/>
              <w:adjustRightInd/>
              <w:spacing w:line="360" w:lineRule="exact"/>
              <w:ind w:left="37" w:leftChars="17" w:right="37" w:rightChars="17"/>
              <w:textAlignment w:val="auto"/>
              <w:rPr>
                <w:rFonts w:hint="eastAsia" w:ascii="宋体" w:hAnsi="宋体" w:eastAsia="宋体"/>
                <w:sz w:val="21"/>
                <w:szCs w:val="21"/>
                <w:highlight w:val="none"/>
                <w:lang w:eastAsia="zh-CN"/>
              </w:rPr>
            </w:pPr>
            <w:r>
              <w:rPr>
                <w:rFonts w:hint="eastAsia" w:ascii="宋体" w:hAnsi="宋体" w:eastAsia="宋体"/>
                <w:sz w:val="21"/>
                <w:szCs w:val="21"/>
                <w:highlight w:val="none"/>
                <w:lang w:eastAsia="zh-CN"/>
              </w:rPr>
              <w:t>10.8.7</w:t>
            </w:r>
            <w:r>
              <w:rPr>
                <w:rFonts w:hint="eastAsia" w:ascii="宋体" w:hAnsi="宋体" w:eastAsia="宋体" w:cs="宋体"/>
                <w:sz w:val="21"/>
                <w:szCs w:val="21"/>
                <w:highlight w:val="none"/>
                <w:lang w:eastAsia="zh-CN"/>
              </w:rPr>
              <w:t>投标文件如果隐瞒不符合评审标准的事实，一切法律责任由投标人承担。</w:t>
            </w:r>
          </w:p>
        </w:tc>
      </w:tr>
    </w:tbl>
    <w:p w14:paraId="0E85573A">
      <w:pPr>
        <w:pStyle w:val="4"/>
        <w:keepNext w:val="0"/>
        <w:keepLines w:val="0"/>
        <w:pageBreakBefore w:val="0"/>
        <w:widowControl w:val="0"/>
        <w:wordWrap/>
        <w:bidi w:val="0"/>
        <w:spacing w:line="240" w:lineRule="exact"/>
        <w:ind w:left="102" w:right="45"/>
        <w:textAlignment w:val="auto"/>
        <w:rPr>
          <w:rFonts w:ascii="宋体" w:hAnsi="宋体" w:eastAsia="宋体"/>
          <w:highlight w:val="none"/>
          <w:lang w:eastAsia="zh-CN"/>
        </w:rPr>
      </w:pPr>
    </w:p>
    <w:p w14:paraId="34245A3A">
      <w:pPr>
        <w:spacing w:line="360" w:lineRule="auto"/>
        <w:rPr>
          <w:rFonts w:ascii="宋体" w:hAnsi="宋体" w:eastAsia="宋体"/>
          <w:sz w:val="24"/>
          <w:szCs w:val="24"/>
          <w:highlight w:val="none"/>
          <w:lang w:eastAsia="zh-CN"/>
        </w:rPr>
      </w:pPr>
      <w:r>
        <w:rPr>
          <w:rFonts w:ascii="宋体" w:hAnsi="宋体" w:eastAsia="宋体"/>
          <w:highlight w:val="none"/>
          <w:lang w:eastAsia="zh-CN"/>
        </w:rPr>
        <w:br w:type="page"/>
      </w:r>
    </w:p>
    <w:p w14:paraId="4E947FC3">
      <w:pPr>
        <w:pStyle w:val="4"/>
        <w:spacing w:line="360" w:lineRule="auto"/>
        <w:ind w:right="44"/>
        <w:rPr>
          <w:rFonts w:ascii="宋体" w:hAnsi="宋体" w:eastAsia="宋体"/>
          <w:b w:val="0"/>
          <w:bCs w:val="0"/>
          <w:highlight w:val="none"/>
          <w:lang w:eastAsia="zh-CN"/>
        </w:rPr>
      </w:pPr>
      <w:bookmarkStart w:id="9" w:name="_Toc24496"/>
      <w:bookmarkStart w:id="10" w:name="_Toc25152732"/>
      <w:bookmarkStart w:id="11" w:name="_Toc25137982"/>
      <w:r>
        <w:rPr>
          <w:rFonts w:ascii="宋体" w:hAnsi="宋体" w:eastAsia="宋体"/>
          <w:highlight w:val="none"/>
          <w:lang w:eastAsia="zh-CN"/>
        </w:rPr>
        <w:t>1. 总则</w:t>
      </w:r>
      <w:bookmarkEnd w:id="9"/>
      <w:bookmarkEnd w:id="10"/>
      <w:bookmarkEnd w:id="11"/>
    </w:p>
    <w:p w14:paraId="5E1D1360">
      <w:pPr>
        <w:pStyle w:val="5"/>
        <w:spacing w:line="360" w:lineRule="auto"/>
        <w:ind w:right="44"/>
        <w:rPr>
          <w:b/>
          <w:bCs/>
          <w:highlight w:val="none"/>
          <w:lang w:eastAsia="zh-CN"/>
        </w:rPr>
      </w:pPr>
      <w:r>
        <w:rPr>
          <w:b/>
          <w:bCs/>
          <w:highlight w:val="none"/>
          <w:lang w:eastAsia="zh-CN"/>
        </w:rPr>
        <w:t>1.1招标项目概况</w:t>
      </w:r>
    </w:p>
    <w:p w14:paraId="562A4894">
      <w:pPr>
        <w:pStyle w:val="11"/>
        <w:spacing w:line="360" w:lineRule="auto"/>
        <w:ind w:left="0" w:firstLine="480" w:firstLineChars="200"/>
        <w:rPr>
          <w:sz w:val="24"/>
          <w:szCs w:val="24"/>
          <w:highlight w:val="none"/>
          <w:lang w:eastAsia="zh-CN"/>
        </w:rPr>
      </w:pPr>
      <w:r>
        <w:rPr>
          <w:sz w:val="24"/>
          <w:szCs w:val="24"/>
          <w:highlight w:val="none"/>
          <w:lang w:eastAsia="zh-CN"/>
        </w:rPr>
        <w:t>1.1.1</w:t>
      </w:r>
      <w:r>
        <w:rPr>
          <w:spacing w:val="-8"/>
          <w:sz w:val="24"/>
          <w:szCs w:val="24"/>
          <w:highlight w:val="none"/>
          <w:lang w:eastAsia="zh-CN"/>
        </w:rPr>
        <w:t>根据《中华人民共和国招标投标法》、《中华人民共和国招标投标法实施条例》等有关</w:t>
      </w:r>
      <w:r>
        <w:rPr>
          <w:sz w:val="24"/>
          <w:szCs w:val="24"/>
          <w:highlight w:val="none"/>
          <w:lang w:eastAsia="zh-CN"/>
        </w:rPr>
        <w:t>法律、法规和规章的规定，本招标项目已具备招标条件，现对</w:t>
      </w:r>
      <w:r>
        <w:rPr>
          <w:rFonts w:hint="eastAsia"/>
          <w:sz w:val="24"/>
          <w:szCs w:val="24"/>
          <w:highlight w:val="none"/>
          <w:lang w:val="en-US" w:eastAsia="zh-CN"/>
        </w:rPr>
        <w:t>本项目</w:t>
      </w:r>
      <w:r>
        <w:rPr>
          <w:sz w:val="24"/>
          <w:szCs w:val="24"/>
          <w:highlight w:val="none"/>
          <w:lang w:eastAsia="zh-CN"/>
        </w:rPr>
        <w:t>设计进行招标。</w:t>
      </w:r>
    </w:p>
    <w:p w14:paraId="11D08ED0">
      <w:pPr>
        <w:pStyle w:val="11"/>
        <w:spacing w:line="360" w:lineRule="auto"/>
        <w:ind w:left="0" w:firstLine="480" w:firstLineChars="200"/>
        <w:rPr>
          <w:sz w:val="24"/>
          <w:szCs w:val="24"/>
          <w:highlight w:val="none"/>
          <w:lang w:eastAsia="zh-CN"/>
        </w:rPr>
      </w:pPr>
      <w:r>
        <w:rPr>
          <w:sz w:val="24"/>
          <w:szCs w:val="24"/>
          <w:highlight w:val="none"/>
          <w:lang w:eastAsia="zh-CN"/>
        </w:rPr>
        <w:t>1.1.2招标人：见投标人须知前附表。</w:t>
      </w:r>
    </w:p>
    <w:p w14:paraId="31F7ACA5">
      <w:pPr>
        <w:pStyle w:val="11"/>
        <w:spacing w:line="360" w:lineRule="auto"/>
        <w:ind w:left="0" w:firstLine="480" w:firstLineChars="200"/>
        <w:rPr>
          <w:sz w:val="24"/>
          <w:szCs w:val="24"/>
          <w:highlight w:val="none"/>
          <w:lang w:eastAsia="zh-CN"/>
        </w:rPr>
      </w:pPr>
      <w:r>
        <w:rPr>
          <w:sz w:val="24"/>
          <w:szCs w:val="24"/>
          <w:highlight w:val="none"/>
          <w:lang w:eastAsia="zh-CN"/>
        </w:rPr>
        <w:t>1.1.3招标代理机构：见投标人须知前附表。</w:t>
      </w:r>
    </w:p>
    <w:p w14:paraId="6798237F">
      <w:pPr>
        <w:pStyle w:val="11"/>
        <w:spacing w:line="360" w:lineRule="auto"/>
        <w:ind w:left="0" w:firstLine="480" w:firstLineChars="200"/>
        <w:rPr>
          <w:sz w:val="24"/>
          <w:szCs w:val="24"/>
          <w:highlight w:val="none"/>
          <w:lang w:eastAsia="zh-CN"/>
        </w:rPr>
      </w:pPr>
      <w:r>
        <w:rPr>
          <w:sz w:val="24"/>
          <w:szCs w:val="24"/>
          <w:highlight w:val="none"/>
          <w:lang w:eastAsia="zh-CN"/>
        </w:rPr>
        <w:t>1.1.4招标项目名称：见投标人须知前附表。</w:t>
      </w:r>
    </w:p>
    <w:p w14:paraId="6D7CABD1">
      <w:pPr>
        <w:pStyle w:val="11"/>
        <w:spacing w:line="360" w:lineRule="auto"/>
        <w:ind w:left="0" w:firstLine="480" w:firstLineChars="200"/>
        <w:rPr>
          <w:sz w:val="24"/>
          <w:szCs w:val="24"/>
          <w:highlight w:val="none"/>
          <w:lang w:eastAsia="zh-CN"/>
        </w:rPr>
      </w:pPr>
      <w:r>
        <w:rPr>
          <w:sz w:val="24"/>
          <w:szCs w:val="24"/>
          <w:highlight w:val="none"/>
          <w:lang w:eastAsia="zh-CN"/>
        </w:rPr>
        <w:t>1.1.5项目建设地点：见投标人须知前附表。</w:t>
      </w:r>
    </w:p>
    <w:p w14:paraId="04D67CE2">
      <w:pPr>
        <w:pStyle w:val="11"/>
        <w:spacing w:line="360" w:lineRule="auto"/>
        <w:ind w:left="0" w:firstLine="480" w:firstLineChars="200"/>
        <w:rPr>
          <w:sz w:val="24"/>
          <w:szCs w:val="24"/>
          <w:highlight w:val="none"/>
          <w:lang w:eastAsia="zh-CN"/>
        </w:rPr>
      </w:pPr>
      <w:r>
        <w:rPr>
          <w:sz w:val="24"/>
          <w:szCs w:val="24"/>
          <w:highlight w:val="none"/>
          <w:lang w:eastAsia="zh-CN"/>
        </w:rPr>
        <w:t>1.1.6项目建设规模：见投标人须知前附表。</w:t>
      </w:r>
    </w:p>
    <w:p w14:paraId="31126297">
      <w:pPr>
        <w:pStyle w:val="11"/>
        <w:spacing w:line="360" w:lineRule="auto"/>
        <w:ind w:left="0" w:firstLine="480" w:firstLineChars="200"/>
        <w:rPr>
          <w:sz w:val="24"/>
          <w:szCs w:val="24"/>
          <w:highlight w:val="none"/>
          <w:lang w:eastAsia="zh-CN"/>
        </w:rPr>
      </w:pPr>
      <w:r>
        <w:rPr>
          <w:sz w:val="24"/>
          <w:szCs w:val="24"/>
          <w:highlight w:val="none"/>
          <w:lang w:eastAsia="zh-CN"/>
        </w:rPr>
        <w:t>1.1.7项目投资估算：见投标人须知前附表。</w:t>
      </w:r>
    </w:p>
    <w:p w14:paraId="6ED38091">
      <w:pPr>
        <w:spacing w:line="360" w:lineRule="auto"/>
        <w:rPr>
          <w:rFonts w:ascii="宋体" w:hAnsi="宋体" w:eastAsia="宋体"/>
          <w:sz w:val="24"/>
          <w:szCs w:val="24"/>
          <w:highlight w:val="none"/>
          <w:lang w:eastAsia="zh-CN"/>
        </w:rPr>
      </w:pPr>
    </w:p>
    <w:p w14:paraId="2F8D9B5D">
      <w:pPr>
        <w:pStyle w:val="5"/>
        <w:spacing w:line="360" w:lineRule="auto"/>
        <w:ind w:left="238" w:right="45"/>
        <w:rPr>
          <w:b/>
          <w:bCs/>
          <w:highlight w:val="none"/>
          <w:lang w:eastAsia="zh-CN"/>
        </w:rPr>
      </w:pPr>
      <w:r>
        <w:rPr>
          <w:b/>
          <w:bCs/>
          <w:highlight w:val="none"/>
          <w:lang w:eastAsia="zh-CN"/>
        </w:rPr>
        <w:t>1.2招标项目的资金来源和落实情况</w:t>
      </w:r>
    </w:p>
    <w:p w14:paraId="272ED76A">
      <w:pPr>
        <w:pStyle w:val="11"/>
        <w:spacing w:line="360" w:lineRule="auto"/>
        <w:ind w:left="0" w:firstLine="480" w:firstLineChars="200"/>
        <w:rPr>
          <w:sz w:val="24"/>
          <w:szCs w:val="24"/>
          <w:highlight w:val="none"/>
          <w:lang w:eastAsia="zh-CN"/>
        </w:rPr>
      </w:pPr>
      <w:r>
        <w:rPr>
          <w:sz w:val="24"/>
          <w:szCs w:val="24"/>
          <w:highlight w:val="none"/>
          <w:lang w:eastAsia="zh-CN"/>
        </w:rPr>
        <w:t>1.2.1资金来源及比例：见投标人须知前附表。</w:t>
      </w:r>
    </w:p>
    <w:p w14:paraId="6EEF5148">
      <w:pPr>
        <w:pStyle w:val="11"/>
        <w:spacing w:line="360" w:lineRule="auto"/>
        <w:ind w:left="0" w:firstLine="480" w:firstLineChars="200"/>
        <w:rPr>
          <w:sz w:val="24"/>
          <w:szCs w:val="24"/>
          <w:highlight w:val="none"/>
          <w:lang w:eastAsia="zh-CN"/>
        </w:rPr>
      </w:pPr>
      <w:r>
        <w:rPr>
          <w:sz w:val="24"/>
          <w:szCs w:val="24"/>
          <w:highlight w:val="none"/>
          <w:lang w:eastAsia="zh-CN"/>
        </w:rPr>
        <w:t>1.2.2资金落实情况：见投标人须知前附表。</w:t>
      </w:r>
    </w:p>
    <w:p w14:paraId="1296D283">
      <w:pPr>
        <w:spacing w:line="360" w:lineRule="auto"/>
        <w:rPr>
          <w:rFonts w:ascii="宋体" w:hAnsi="宋体" w:eastAsia="宋体"/>
          <w:sz w:val="24"/>
          <w:szCs w:val="24"/>
          <w:highlight w:val="none"/>
          <w:lang w:eastAsia="zh-CN"/>
        </w:rPr>
      </w:pPr>
    </w:p>
    <w:p w14:paraId="433341FF">
      <w:pPr>
        <w:pStyle w:val="5"/>
        <w:spacing w:line="360" w:lineRule="auto"/>
        <w:ind w:left="238" w:right="45"/>
        <w:rPr>
          <w:b/>
          <w:bCs/>
          <w:highlight w:val="none"/>
          <w:lang w:eastAsia="zh-CN"/>
        </w:rPr>
      </w:pPr>
      <w:r>
        <w:rPr>
          <w:b/>
          <w:bCs/>
          <w:highlight w:val="none"/>
          <w:lang w:eastAsia="zh-CN"/>
        </w:rPr>
        <w:t>1.3招标范围、设计服务期限和质量标准</w:t>
      </w:r>
    </w:p>
    <w:p w14:paraId="52FC533F">
      <w:pPr>
        <w:pStyle w:val="11"/>
        <w:spacing w:line="360" w:lineRule="auto"/>
        <w:ind w:left="0" w:firstLine="480" w:firstLineChars="200"/>
        <w:rPr>
          <w:sz w:val="24"/>
          <w:szCs w:val="24"/>
          <w:highlight w:val="none"/>
          <w:lang w:eastAsia="zh-CN"/>
        </w:rPr>
      </w:pPr>
      <w:r>
        <w:rPr>
          <w:sz w:val="24"/>
          <w:szCs w:val="24"/>
          <w:highlight w:val="none"/>
          <w:lang w:eastAsia="zh-CN"/>
        </w:rPr>
        <w:t>1.3.1招标范围：见投标人须知前附表。</w:t>
      </w:r>
    </w:p>
    <w:p w14:paraId="3D0D13B1">
      <w:pPr>
        <w:pStyle w:val="11"/>
        <w:spacing w:line="360" w:lineRule="auto"/>
        <w:ind w:left="0" w:firstLine="480" w:firstLineChars="200"/>
        <w:rPr>
          <w:sz w:val="24"/>
          <w:szCs w:val="24"/>
          <w:highlight w:val="none"/>
          <w:lang w:eastAsia="zh-CN"/>
        </w:rPr>
      </w:pPr>
      <w:r>
        <w:rPr>
          <w:sz w:val="24"/>
          <w:szCs w:val="24"/>
          <w:highlight w:val="none"/>
          <w:lang w:eastAsia="zh-CN"/>
        </w:rPr>
        <w:t>1.3.2设计服务期限：见投标人须知前附表。</w:t>
      </w:r>
    </w:p>
    <w:p w14:paraId="47D042AF">
      <w:pPr>
        <w:pStyle w:val="11"/>
        <w:spacing w:line="360" w:lineRule="auto"/>
        <w:ind w:left="0" w:firstLine="480" w:firstLineChars="200"/>
        <w:rPr>
          <w:sz w:val="24"/>
          <w:szCs w:val="24"/>
          <w:highlight w:val="none"/>
          <w:lang w:eastAsia="zh-CN"/>
        </w:rPr>
      </w:pPr>
      <w:r>
        <w:rPr>
          <w:sz w:val="24"/>
          <w:szCs w:val="24"/>
          <w:highlight w:val="none"/>
          <w:lang w:eastAsia="zh-CN"/>
        </w:rPr>
        <w:t>1.3.3质量标准：见投标人须知前附表。</w:t>
      </w:r>
    </w:p>
    <w:p w14:paraId="0CDF8BE4">
      <w:pPr>
        <w:spacing w:line="360" w:lineRule="auto"/>
        <w:rPr>
          <w:rFonts w:ascii="宋体" w:hAnsi="宋体" w:eastAsia="宋体"/>
          <w:sz w:val="24"/>
          <w:szCs w:val="24"/>
          <w:highlight w:val="none"/>
          <w:lang w:eastAsia="zh-CN"/>
        </w:rPr>
      </w:pPr>
    </w:p>
    <w:p w14:paraId="17B115BF">
      <w:pPr>
        <w:pStyle w:val="5"/>
        <w:spacing w:line="360" w:lineRule="auto"/>
        <w:ind w:left="238" w:right="45"/>
        <w:rPr>
          <w:b/>
          <w:bCs/>
          <w:highlight w:val="none"/>
          <w:lang w:eastAsia="zh-CN"/>
        </w:rPr>
      </w:pPr>
      <w:r>
        <w:rPr>
          <w:b/>
          <w:bCs/>
          <w:highlight w:val="none"/>
          <w:lang w:eastAsia="zh-CN"/>
        </w:rPr>
        <w:t>1.4投标人资格要求</w:t>
      </w:r>
    </w:p>
    <w:p w14:paraId="6EAA43A7">
      <w:pPr>
        <w:pStyle w:val="11"/>
        <w:spacing w:line="360" w:lineRule="auto"/>
        <w:ind w:left="0" w:firstLine="480" w:firstLineChars="200"/>
        <w:rPr>
          <w:sz w:val="24"/>
          <w:szCs w:val="24"/>
          <w:highlight w:val="none"/>
          <w:lang w:eastAsia="zh-CN"/>
        </w:rPr>
      </w:pPr>
      <w:r>
        <w:rPr>
          <w:sz w:val="24"/>
          <w:szCs w:val="24"/>
          <w:highlight w:val="none"/>
          <w:lang w:eastAsia="zh-CN"/>
        </w:rPr>
        <w:t>1.4.1投标人应具备承担本招标项目资质条件、能力和信誉：</w:t>
      </w:r>
    </w:p>
    <w:p w14:paraId="3967CBB0">
      <w:pPr>
        <w:pStyle w:val="11"/>
        <w:spacing w:line="360" w:lineRule="auto"/>
        <w:ind w:left="0" w:firstLine="480" w:firstLineChars="200"/>
        <w:rPr>
          <w:sz w:val="24"/>
          <w:szCs w:val="24"/>
          <w:highlight w:val="none"/>
          <w:lang w:eastAsia="zh-CN"/>
        </w:rPr>
      </w:pPr>
      <w:r>
        <w:rPr>
          <w:sz w:val="24"/>
          <w:szCs w:val="24"/>
          <w:highlight w:val="none"/>
          <w:lang w:eastAsia="zh-CN"/>
        </w:rPr>
        <w:t>（1）资质要求：见投标人须知前附表；</w:t>
      </w:r>
    </w:p>
    <w:p w14:paraId="1332E205">
      <w:pPr>
        <w:pStyle w:val="11"/>
        <w:spacing w:line="360" w:lineRule="auto"/>
        <w:ind w:left="0" w:firstLine="480" w:firstLineChars="200"/>
        <w:rPr>
          <w:strike/>
          <w:sz w:val="24"/>
          <w:szCs w:val="24"/>
          <w:highlight w:val="none"/>
          <w:lang w:eastAsia="zh-CN"/>
        </w:rPr>
      </w:pPr>
      <w:r>
        <w:rPr>
          <w:strike/>
          <w:sz w:val="24"/>
          <w:szCs w:val="24"/>
          <w:highlight w:val="none"/>
          <w:lang w:eastAsia="zh-CN"/>
        </w:rPr>
        <w:t>（2）财务要求：见投标人须知前附表；</w:t>
      </w:r>
    </w:p>
    <w:p w14:paraId="0F1A381F">
      <w:pPr>
        <w:pStyle w:val="11"/>
        <w:spacing w:line="360" w:lineRule="auto"/>
        <w:ind w:left="0" w:firstLine="480" w:firstLineChars="200"/>
        <w:rPr>
          <w:strike/>
          <w:sz w:val="24"/>
          <w:szCs w:val="24"/>
          <w:highlight w:val="none"/>
          <w:lang w:eastAsia="zh-CN"/>
        </w:rPr>
      </w:pPr>
      <w:r>
        <w:rPr>
          <w:strike w:val="0"/>
          <w:sz w:val="24"/>
          <w:szCs w:val="24"/>
          <w:highlight w:val="none"/>
          <w:lang w:eastAsia="zh-CN"/>
        </w:rPr>
        <w:t>（3）业绩要求：见投标人须知前附表；</w:t>
      </w:r>
    </w:p>
    <w:p w14:paraId="4AFA6C14">
      <w:pPr>
        <w:pStyle w:val="11"/>
        <w:spacing w:line="360" w:lineRule="auto"/>
        <w:ind w:left="0" w:firstLine="480" w:firstLineChars="200"/>
        <w:rPr>
          <w:strike/>
          <w:sz w:val="24"/>
          <w:szCs w:val="24"/>
          <w:highlight w:val="none"/>
          <w:lang w:eastAsia="zh-CN"/>
        </w:rPr>
      </w:pPr>
      <w:r>
        <w:rPr>
          <w:strike/>
          <w:sz w:val="24"/>
          <w:szCs w:val="24"/>
          <w:highlight w:val="none"/>
          <w:lang w:eastAsia="zh-CN"/>
        </w:rPr>
        <w:t>（4）信誉要求：见投标人须知前附表；</w:t>
      </w:r>
    </w:p>
    <w:p w14:paraId="4F113556">
      <w:pPr>
        <w:pStyle w:val="11"/>
        <w:spacing w:line="360" w:lineRule="auto"/>
        <w:ind w:left="0" w:firstLine="480" w:firstLineChars="200"/>
        <w:rPr>
          <w:sz w:val="24"/>
          <w:szCs w:val="24"/>
          <w:highlight w:val="none"/>
          <w:lang w:eastAsia="zh-CN"/>
        </w:rPr>
      </w:pPr>
      <w:r>
        <w:rPr>
          <w:sz w:val="24"/>
          <w:szCs w:val="24"/>
          <w:highlight w:val="none"/>
          <w:lang w:eastAsia="zh-CN"/>
        </w:rPr>
        <w:t>（5）项目负责人的资格要求：</w:t>
      </w:r>
      <w:r>
        <w:rPr>
          <w:strike/>
          <w:sz w:val="24"/>
          <w:szCs w:val="24"/>
          <w:highlight w:val="none"/>
          <w:lang w:eastAsia="zh-CN"/>
        </w:rPr>
        <w:t>应当具备工程设计类注册执业资格（如有），</w:t>
      </w:r>
      <w:r>
        <w:rPr>
          <w:sz w:val="24"/>
          <w:szCs w:val="24"/>
          <w:highlight w:val="none"/>
          <w:lang w:eastAsia="zh-CN"/>
        </w:rPr>
        <w:t>具体要求见投标人须知前附表；</w:t>
      </w:r>
    </w:p>
    <w:p w14:paraId="73FF6E13">
      <w:pPr>
        <w:pStyle w:val="11"/>
        <w:spacing w:line="360" w:lineRule="auto"/>
        <w:ind w:left="0" w:firstLine="480" w:firstLineChars="200"/>
        <w:rPr>
          <w:strike/>
          <w:sz w:val="24"/>
          <w:szCs w:val="24"/>
          <w:highlight w:val="none"/>
          <w:lang w:eastAsia="zh-CN"/>
        </w:rPr>
      </w:pPr>
      <w:r>
        <w:rPr>
          <w:strike/>
          <w:sz w:val="24"/>
          <w:szCs w:val="24"/>
          <w:highlight w:val="none"/>
          <w:lang w:eastAsia="zh-CN"/>
        </w:rPr>
        <w:t>（6）其他主要人员要求：见投标人须知前附表。</w:t>
      </w:r>
    </w:p>
    <w:p w14:paraId="706CE7C5">
      <w:pPr>
        <w:pStyle w:val="11"/>
        <w:spacing w:line="360" w:lineRule="auto"/>
        <w:ind w:left="0" w:firstLine="480" w:firstLineChars="200"/>
        <w:rPr>
          <w:sz w:val="24"/>
          <w:szCs w:val="24"/>
          <w:highlight w:val="none"/>
          <w:lang w:eastAsia="zh-CN"/>
        </w:rPr>
      </w:pPr>
      <w:r>
        <w:rPr>
          <w:rFonts w:hint="eastAsia"/>
          <w:sz w:val="24"/>
          <w:szCs w:val="24"/>
          <w:highlight w:val="none"/>
          <w:lang w:eastAsia="zh-CN"/>
        </w:rPr>
        <w:t>（7）</w:t>
      </w:r>
      <w:r>
        <w:rPr>
          <w:sz w:val="24"/>
          <w:szCs w:val="24"/>
          <w:highlight w:val="none"/>
          <w:lang w:eastAsia="zh-CN"/>
        </w:rPr>
        <w:t>其他要求：见投标人须知前附表。</w:t>
      </w:r>
    </w:p>
    <w:p w14:paraId="6CE05600">
      <w:pPr>
        <w:pStyle w:val="11"/>
        <w:spacing w:line="360" w:lineRule="auto"/>
        <w:ind w:left="0" w:firstLine="480" w:firstLineChars="200"/>
        <w:rPr>
          <w:sz w:val="24"/>
          <w:szCs w:val="24"/>
          <w:highlight w:val="none"/>
          <w:lang w:eastAsia="zh-CN"/>
        </w:rPr>
      </w:pPr>
      <w:r>
        <w:rPr>
          <w:sz w:val="24"/>
          <w:szCs w:val="24"/>
          <w:highlight w:val="none"/>
          <w:lang w:eastAsia="zh-CN"/>
        </w:rPr>
        <w:t>需要提交的相关证明材料见本章第3.5款的规定。</w:t>
      </w:r>
    </w:p>
    <w:p w14:paraId="7A446287">
      <w:pPr>
        <w:pStyle w:val="11"/>
        <w:spacing w:line="360" w:lineRule="auto"/>
        <w:ind w:left="0" w:firstLine="480" w:firstLineChars="200"/>
        <w:rPr>
          <w:strike w:val="0"/>
          <w:sz w:val="24"/>
          <w:szCs w:val="24"/>
          <w:highlight w:val="none"/>
          <w:lang w:eastAsia="zh-CN"/>
        </w:rPr>
      </w:pPr>
      <w:r>
        <w:rPr>
          <w:strike w:val="0"/>
          <w:sz w:val="24"/>
          <w:szCs w:val="24"/>
          <w:highlight w:val="none"/>
          <w:lang w:eastAsia="zh-CN"/>
        </w:rPr>
        <w:t xml:space="preserve">1.4.2 </w:t>
      </w:r>
      <w:r>
        <w:rPr>
          <w:rFonts w:hint="eastAsia"/>
          <w:strike w:val="0"/>
          <w:color w:val="auto"/>
          <w:sz w:val="24"/>
          <w:szCs w:val="24"/>
          <w:highlight w:val="none"/>
          <w:u w:val="none"/>
          <w:lang w:eastAsia="zh-CN"/>
        </w:rPr>
        <w:t>本次招标</w:t>
      </w:r>
      <w:r>
        <w:rPr>
          <w:strike w:val="0"/>
          <w:color w:val="auto"/>
          <w:sz w:val="24"/>
          <w:szCs w:val="24"/>
          <w:highlight w:val="none"/>
          <w:u w:val="none"/>
          <w:lang w:eastAsia="zh-CN"/>
        </w:rPr>
        <w:t>接受联合体投标</w:t>
      </w:r>
      <w:r>
        <w:rPr>
          <w:rFonts w:hint="eastAsia"/>
          <w:strike w:val="0"/>
          <w:sz w:val="24"/>
          <w:szCs w:val="24"/>
          <w:highlight w:val="none"/>
          <w:lang w:eastAsia="zh-CN"/>
        </w:rPr>
        <w:t>。</w:t>
      </w:r>
      <w:r>
        <w:rPr>
          <w:strike w:val="0"/>
          <w:sz w:val="24"/>
          <w:szCs w:val="24"/>
          <w:highlight w:val="none"/>
          <w:lang w:eastAsia="zh-CN"/>
        </w:rPr>
        <w:t>联合体除应符合本章第1.4.1项和投标人须知前附表的要求外，还应遵守以下规定：</w:t>
      </w:r>
    </w:p>
    <w:p w14:paraId="546CA997">
      <w:pPr>
        <w:pStyle w:val="11"/>
        <w:spacing w:line="360" w:lineRule="auto"/>
        <w:ind w:left="0" w:firstLine="480" w:firstLineChars="200"/>
        <w:rPr>
          <w:strike w:val="0"/>
          <w:sz w:val="24"/>
          <w:szCs w:val="24"/>
          <w:highlight w:val="none"/>
          <w:lang w:eastAsia="zh-CN"/>
        </w:rPr>
      </w:pPr>
      <w:r>
        <w:rPr>
          <w:strike w:val="0"/>
          <w:sz w:val="24"/>
          <w:szCs w:val="24"/>
          <w:highlight w:val="none"/>
          <w:lang w:eastAsia="zh-CN"/>
        </w:rPr>
        <w:t>（1）联合体各方应按招标文件提供的格式签订联合体协议书，明确联合体牵头人和各方权利义务，并承诺就中标项目向招标人承担连带责任；</w:t>
      </w:r>
    </w:p>
    <w:p w14:paraId="18D58490">
      <w:pPr>
        <w:pStyle w:val="11"/>
        <w:spacing w:line="360" w:lineRule="auto"/>
        <w:ind w:left="0" w:firstLine="480" w:firstLineChars="200"/>
        <w:rPr>
          <w:strike w:val="0"/>
          <w:sz w:val="24"/>
          <w:szCs w:val="24"/>
          <w:highlight w:val="none"/>
          <w:lang w:eastAsia="zh-CN"/>
        </w:rPr>
      </w:pPr>
      <w:r>
        <w:rPr>
          <w:strike w:val="0"/>
          <w:sz w:val="24"/>
          <w:szCs w:val="24"/>
          <w:highlight w:val="none"/>
          <w:lang w:eastAsia="zh-CN"/>
        </w:rPr>
        <w:t>（2）由同一专业的单位组成的联合体，按照资质等级较低的单位确定资质等级；</w:t>
      </w:r>
    </w:p>
    <w:p w14:paraId="66C7A473">
      <w:pPr>
        <w:pStyle w:val="11"/>
        <w:spacing w:line="360" w:lineRule="auto"/>
        <w:ind w:left="0" w:firstLine="480" w:firstLineChars="200"/>
        <w:rPr>
          <w:strike w:val="0"/>
          <w:sz w:val="24"/>
          <w:szCs w:val="24"/>
          <w:highlight w:val="none"/>
          <w:lang w:eastAsia="zh-CN"/>
        </w:rPr>
      </w:pPr>
      <w:r>
        <w:rPr>
          <w:strike w:val="0"/>
          <w:sz w:val="24"/>
          <w:szCs w:val="24"/>
          <w:highlight w:val="none"/>
          <w:lang w:eastAsia="zh-CN"/>
        </w:rPr>
        <w:t>（3）联合体各方不得再以自己名义单独或参加其他联合体在本招标项目中投标，否则各相关投标均无效。</w:t>
      </w:r>
    </w:p>
    <w:p w14:paraId="108808AB">
      <w:pPr>
        <w:pStyle w:val="11"/>
        <w:spacing w:line="360" w:lineRule="auto"/>
        <w:ind w:left="0" w:firstLine="480" w:firstLineChars="200"/>
        <w:rPr>
          <w:sz w:val="24"/>
          <w:szCs w:val="24"/>
          <w:highlight w:val="none"/>
          <w:lang w:eastAsia="zh-CN"/>
        </w:rPr>
      </w:pPr>
      <w:r>
        <w:rPr>
          <w:sz w:val="24"/>
          <w:szCs w:val="24"/>
          <w:highlight w:val="none"/>
          <w:lang w:eastAsia="zh-CN"/>
        </w:rPr>
        <w:t>1.4.3投标人不得存在下列情形之一：</w:t>
      </w:r>
    </w:p>
    <w:p w14:paraId="4DB432F8">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（1）为招标人不具有独立法人资格的附属机构（单位）；</w:t>
      </w:r>
    </w:p>
    <w:p w14:paraId="645A8325">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（2）与招标人存在利害关系且可能影响招标公正性；</w:t>
      </w:r>
    </w:p>
    <w:p w14:paraId="09C5696D">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（3）与本招标项目的其他投标人为同一个单位负责人；</w:t>
      </w:r>
    </w:p>
    <w:p w14:paraId="2C0A202A">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（4）与本招标项目的其他投标人存在控股、管理关系；</w:t>
      </w:r>
    </w:p>
    <w:p w14:paraId="27CBD094">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（5）为本招标项目的代建人；</w:t>
      </w:r>
    </w:p>
    <w:p w14:paraId="499F290E">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（6）为本招标项目的招标代理机构；</w:t>
      </w:r>
    </w:p>
    <w:p w14:paraId="0705E6EE">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（7）与本招标项目的代建人或招标代理机构同为一个法定代表人；</w:t>
      </w:r>
    </w:p>
    <w:p w14:paraId="4EBEDF4B">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（8）与本招标项目的代建人或招标代理机构存在控股或参股关系；</w:t>
      </w:r>
    </w:p>
    <w:p w14:paraId="08AFD127">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（9）被依法暂停或者取消投标资格；</w:t>
      </w:r>
    </w:p>
    <w:p w14:paraId="5C0A5071">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（10）被责令停产停业、暂扣或者吊销许可证、暂扣或者吊销执照；</w:t>
      </w:r>
    </w:p>
    <w:p w14:paraId="4C5F583D">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（11）进入清算程序，或被宣告破产，或其他丧失履约能力的情形；</w:t>
      </w:r>
    </w:p>
    <w:p w14:paraId="2ACD0A47">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（12）在最近三年内发生重大设计质量问题（以相关行业主管部门的行政处罚决定或司法机关出具的有关法律文书为准）；</w:t>
      </w:r>
    </w:p>
    <w:p w14:paraId="65E44418">
      <w:pPr>
        <w:pStyle w:val="11"/>
        <w:spacing w:line="360" w:lineRule="auto"/>
        <w:ind w:left="0" w:firstLine="480" w:firstLineChars="200"/>
        <w:rPr>
          <w:rFonts w:hint="eastAsia" w:ascii="宋体" w:hAnsi="宋体" w:eastAsia="宋体" w:cs="Times New Roman"/>
          <w:sz w:val="24"/>
          <w:szCs w:val="24"/>
          <w:highlight w:val="none"/>
          <w:u w:val="single"/>
          <w:lang w:eastAsia="zh-CN"/>
        </w:rPr>
      </w:pPr>
      <w:r>
        <w:rPr>
          <w:rFonts w:hint="eastAsia" w:ascii="宋体" w:hAnsi="宋体" w:eastAsia="宋体" w:cs="Times New Roman"/>
          <w:sz w:val="24"/>
          <w:szCs w:val="24"/>
          <w:highlight w:val="none"/>
          <w:u w:val="single"/>
          <w:lang w:eastAsia="zh-CN"/>
        </w:rPr>
        <w:t>（1</w:t>
      </w:r>
      <w:r>
        <w:rPr>
          <w:rFonts w:hint="eastAsia" w:ascii="宋体" w:hAnsi="宋体" w:eastAsia="宋体" w:cs="Times New Roman"/>
          <w:sz w:val="24"/>
          <w:szCs w:val="24"/>
          <w:highlight w:val="none"/>
          <w:u w:val="single"/>
          <w:lang w:val="en-US" w:eastAsia="zh-CN"/>
        </w:rPr>
        <w:t>3</w:t>
      </w:r>
      <w:r>
        <w:rPr>
          <w:rFonts w:hint="eastAsia" w:ascii="宋体" w:hAnsi="宋体" w:eastAsia="宋体" w:cs="Times New Roman"/>
          <w:sz w:val="24"/>
          <w:szCs w:val="24"/>
          <w:highlight w:val="none"/>
          <w:u w:val="single"/>
          <w:lang w:eastAsia="zh-CN"/>
        </w:rPr>
        <w:t>）法律法规规定的其他情形。</w:t>
      </w:r>
    </w:p>
    <w:p w14:paraId="79AEDD44">
      <w:pPr>
        <w:spacing w:line="360" w:lineRule="auto"/>
        <w:jc w:val="both"/>
        <w:rPr>
          <w:highlight w:val="none"/>
          <w:lang w:eastAsia="zh-CN"/>
        </w:rPr>
      </w:pPr>
    </w:p>
    <w:p w14:paraId="09BBDFBA">
      <w:pPr>
        <w:pStyle w:val="5"/>
        <w:spacing w:line="360" w:lineRule="auto"/>
        <w:ind w:left="238" w:right="45"/>
        <w:rPr>
          <w:b/>
          <w:bCs/>
          <w:highlight w:val="none"/>
          <w:lang w:eastAsia="zh-CN"/>
        </w:rPr>
      </w:pPr>
      <w:r>
        <w:rPr>
          <w:b/>
          <w:bCs/>
          <w:highlight w:val="none"/>
          <w:lang w:eastAsia="zh-CN"/>
        </w:rPr>
        <w:t>1.5费用承担</w:t>
      </w:r>
    </w:p>
    <w:p w14:paraId="121B74C5">
      <w:pPr>
        <w:pStyle w:val="11"/>
        <w:spacing w:line="360" w:lineRule="auto"/>
        <w:ind w:left="0" w:firstLine="480" w:firstLineChars="200"/>
        <w:rPr>
          <w:rFonts w:hint="eastAsia"/>
          <w:sz w:val="24"/>
          <w:szCs w:val="24"/>
          <w:highlight w:val="none"/>
          <w:lang w:eastAsia="zh-CN"/>
        </w:rPr>
      </w:pPr>
      <w:r>
        <w:rPr>
          <w:sz w:val="24"/>
          <w:szCs w:val="24"/>
          <w:highlight w:val="none"/>
          <w:lang w:eastAsia="zh-CN"/>
        </w:rPr>
        <w:t>投标人准备和参加投标活动发生的费用自理。</w:t>
      </w:r>
    </w:p>
    <w:p w14:paraId="074D5032">
      <w:pPr>
        <w:spacing w:line="360" w:lineRule="auto"/>
        <w:rPr>
          <w:rFonts w:ascii="宋体" w:hAnsi="宋体" w:eastAsia="宋体"/>
          <w:sz w:val="24"/>
          <w:szCs w:val="24"/>
          <w:highlight w:val="none"/>
          <w:lang w:eastAsia="zh-CN"/>
        </w:rPr>
      </w:pPr>
    </w:p>
    <w:p w14:paraId="1817D1A3">
      <w:pPr>
        <w:pStyle w:val="5"/>
        <w:spacing w:line="360" w:lineRule="auto"/>
        <w:ind w:right="44"/>
        <w:jc w:val="both"/>
        <w:rPr>
          <w:b/>
          <w:bCs/>
          <w:highlight w:val="none"/>
          <w:lang w:eastAsia="zh-CN"/>
        </w:rPr>
      </w:pPr>
      <w:r>
        <w:rPr>
          <w:b/>
          <w:bCs/>
          <w:highlight w:val="none"/>
          <w:lang w:eastAsia="zh-CN"/>
        </w:rPr>
        <w:t>1.6保密</w:t>
      </w:r>
    </w:p>
    <w:p w14:paraId="55E95781">
      <w:pPr>
        <w:pStyle w:val="11"/>
        <w:spacing w:line="360" w:lineRule="auto"/>
        <w:ind w:left="0" w:firstLine="480" w:firstLineChars="200"/>
        <w:jc w:val="both"/>
        <w:rPr>
          <w:sz w:val="24"/>
          <w:szCs w:val="24"/>
          <w:highlight w:val="none"/>
          <w:lang w:eastAsia="zh-CN"/>
        </w:rPr>
      </w:pPr>
      <w:r>
        <w:rPr>
          <w:sz w:val="24"/>
          <w:szCs w:val="24"/>
          <w:highlight w:val="none"/>
          <w:lang w:eastAsia="zh-CN"/>
        </w:rPr>
        <w:t>参与招标投标活动的各方应对招标文件和投标文件中的商业和技术等秘密保密，否则应承担相应的法律责任。</w:t>
      </w:r>
    </w:p>
    <w:p w14:paraId="32867F66">
      <w:pPr>
        <w:spacing w:line="360" w:lineRule="auto"/>
        <w:jc w:val="both"/>
        <w:rPr>
          <w:rFonts w:ascii="宋体" w:hAnsi="宋体" w:eastAsia="宋体"/>
          <w:sz w:val="24"/>
          <w:szCs w:val="24"/>
          <w:highlight w:val="none"/>
          <w:lang w:eastAsia="zh-CN"/>
        </w:rPr>
      </w:pPr>
    </w:p>
    <w:p w14:paraId="685F5F65">
      <w:pPr>
        <w:pStyle w:val="5"/>
        <w:spacing w:line="360" w:lineRule="auto"/>
        <w:ind w:right="44"/>
        <w:jc w:val="both"/>
        <w:rPr>
          <w:b/>
          <w:bCs/>
          <w:highlight w:val="none"/>
          <w:lang w:eastAsia="zh-CN"/>
        </w:rPr>
      </w:pPr>
      <w:r>
        <w:rPr>
          <w:b/>
          <w:bCs/>
          <w:highlight w:val="none"/>
          <w:lang w:eastAsia="zh-CN"/>
        </w:rPr>
        <w:t>1.7语言文字</w:t>
      </w:r>
    </w:p>
    <w:p w14:paraId="7BAE4E34">
      <w:pPr>
        <w:pStyle w:val="11"/>
        <w:spacing w:line="360" w:lineRule="auto"/>
        <w:ind w:left="0" w:firstLine="480" w:firstLineChars="200"/>
        <w:jc w:val="both"/>
        <w:rPr>
          <w:sz w:val="24"/>
          <w:szCs w:val="24"/>
          <w:highlight w:val="none"/>
          <w:lang w:eastAsia="zh-CN"/>
        </w:rPr>
      </w:pPr>
      <w:r>
        <w:rPr>
          <w:sz w:val="24"/>
          <w:szCs w:val="24"/>
          <w:highlight w:val="none"/>
          <w:lang w:eastAsia="zh-CN"/>
        </w:rPr>
        <w:t>招标投标文件使用的语言文字为中文。专用术语使用外文的，应附有中文注释。</w:t>
      </w:r>
    </w:p>
    <w:p w14:paraId="03CA858E">
      <w:pPr>
        <w:pStyle w:val="11"/>
        <w:spacing w:line="360" w:lineRule="auto"/>
        <w:ind w:left="0" w:firstLine="0" w:firstLineChars="0"/>
        <w:jc w:val="both"/>
        <w:rPr>
          <w:sz w:val="24"/>
          <w:szCs w:val="24"/>
          <w:highlight w:val="none"/>
          <w:lang w:eastAsia="zh-CN"/>
        </w:rPr>
      </w:pPr>
    </w:p>
    <w:p w14:paraId="01453B43">
      <w:pPr>
        <w:pStyle w:val="5"/>
        <w:spacing w:line="360" w:lineRule="auto"/>
        <w:ind w:right="44"/>
        <w:jc w:val="both"/>
        <w:rPr>
          <w:b/>
          <w:bCs/>
          <w:highlight w:val="none"/>
          <w:lang w:eastAsia="zh-CN"/>
        </w:rPr>
      </w:pPr>
      <w:r>
        <w:rPr>
          <w:b/>
          <w:bCs/>
          <w:highlight w:val="none"/>
          <w:lang w:eastAsia="zh-CN"/>
        </w:rPr>
        <w:t>1.8计量单位</w:t>
      </w:r>
    </w:p>
    <w:p w14:paraId="0642EBD5">
      <w:pPr>
        <w:pStyle w:val="11"/>
        <w:spacing w:line="360" w:lineRule="auto"/>
        <w:ind w:left="0" w:firstLine="480" w:firstLineChars="200"/>
        <w:jc w:val="both"/>
        <w:rPr>
          <w:sz w:val="24"/>
          <w:szCs w:val="24"/>
          <w:highlight w:val="none"/>
          <w:lang w:eastAsia="zh-CN"/>
        </w:rPr>
      </w:pPr>
      <w:r>
        <w:rPr>
          <w:sz w:val="24"/>
          <w:szCs w:val="24"/>
          <w:highlight w:val="none"/>
          <w:lang w:eastAsia="zh-CN"/>
        </w:rPr>
        <w:t>所有计量均采用中华人民共和国法定计量单位。</w:t>
      </w:r>
    </w:p>
    <w:p w14:paraId="63606945">
      <w:pPr>
        <w:spacing w:line="360" w:lineRule="auto"/>
        <w:jc w:val="both"/>
        <w:rPr>
          <w:rFonts w:ascii="宋体" w:hAnsi="宋体" w:eastAsia="宋体"/>
          <w:sz w:val="24"/>
          <w:szCs w:val="24"/>
          <w:highlight w:val="none"/>
          <w:lang w:eastAsia="zh-CN"/>
        </w:rPr>
      </w:pPr>
    </w:p>
    <w:p w14:paraId="6BCF2D75">
      <w:pPr>
        <w:pStyle w:val="5"/>
        <w:spacing w:line="360" w:lineRule="auto"/>
        <w:ind w:right="44"/>
        <w:jc w:val="both"/>
        <w:rPr>
          <w:b/>
          <w:bCs/>
          <w:highlight w:val="none"/>
          <w:lang w:eastAsia="zh-CN"/>
        </w:rPr>
      </w:pPr>
      <w:r>
        <w:rPr>
          <w:b/>
          <w:bCs/>
          <w:highlight w:val="none"/>
          <w:lang w:eastAsia="zh-CN"/>
        </w:rPr>
        <w:t>1.9踏勘现场</w:t>
      </w:r>
    </w:p>
    <w:p w14:paraId="6C3939C5">
      <w:pPr>
        <w:pStyle w:val="11"/>
        <w:spacing w:line="360" w:lineRule="auto"/>
        <w:ind w:left="0" w:firstLine="480" w:firstLineChars="200"/>
        <w:jc w:val="both"/>
        <w:rPr>
          <w:sz w:val="24"/>
          <w:szCs w:val="24"/>
          <w:highlight w:val="none"/>
          <w:u w:val="single"/>
          <w:lang w:eastAsia="zh-CN"/>
        </w:rPr>
      </w:pPr>
      <w:r>
        <w:rPr>
          <w:rFonts w:hint="eastAsia"/>
          <w:sz w:val="24"/>
          <w:szCs w:val="24"/>
          <w:highlight w:val="none"/>
          <w:u w:val="single"/>
          <w:lang w:eastAsia="zh-CN"/>
        </w:rPr>
        <w:t>不组织</w:t>
      </w:r>
      <w:r>
        <w:rPr>
          <w:rFonts w:cs="宋体"/>
          <w:sz w:val="24"/>
          <w:szCs w:val="24"/>
          <w:highlight w:val="none"/>
          <w:u w:val="single"/>
          <w:lang w:eastAsia="zh-CN"/>
        </w:rPr>
        <w:t>踏勘现场。</w:t>
      </w:r>
      <w:r>
        <w:rPr>
          <w:rFonts w:hint="eastAsia" w:cs="宋体"/>
          <w:sz w:val="24"/>
          <w:szCs w:val="24"/>
          <w:highlight w:val="none"/>
          <w:u w:val="single"/>
          <w:lang w:eastAsia="zh-CN"/>
        </w:rPr>
        <w:t>补充说明如下：</w:t>
      </w:r>
    </w:p>
    <w:p w14:paraId="7666F03D">
      <w:pPr>
        <w:pStyle w:val="11"/>
        <w:spacing w:line="360" w:lineRule="auto"/>
        <w:ind w:left="0" w:firstLine="480" w:firstLineChars="200"/>
        <w:jc w:val="both"/>
        <w:rPr>
          <w:sz w:val="24"/>
          <w:szCs w:val="24"/>
          <w:highlight w:val="none"/>
          <w:u w:val="single"/>
          <w:lang w:eastAsia="zh-CN"/>
        </w:rPr>
      </w:pPr>
      <w:r>
        <w:rPr>
          <w:rFonts w:hint="eastAsia" w:cs="宋体"/>
          <w:sz w:val="24"/>
          <w:szCs w:val="24"/>
          <w:highlight w:val="none"/>
          <w:u w:val="single"/>
          <w:lang w:eastAsia="zh-CN"/>
        </w:rPr>
        <w:t>（</w:t>
      </w:r>
      <w:r>
        <w:rPr>
          <w:sz w:val="24"/>
          <w:szCs w:val="24"/>
          <w:highlight w:val="none"/>
          <w:u w:val="single"/>
          <w:lang w:eastAsia="zh-CN"/>
        </w:rPr>
        <w:t>1</w:t>
      </w:r>
      <w:r>
        <w:rPr>
          <w:rFonts w:hint="eastAsia" w:cs="宋体"/>
          <w:sz w:val="24"/>
          <w:szCs w:val="24"/>
          <w:highlight w:val="none"/>
          <w:u w:val="single"/>
          <w:lang w:eastAsia="zh-CN"/>
        </w:rPr>
        <w:t>）投标人自行对工程现场和周围环境进行现场考察，投标人应充分重视和仔细地进行这种考察，以获取那些须投标人自己负责的有关编制投标和签署合同所需的所有资料。一旦中标，这种考察即被认为其结果已在中标文件中得到充分反映。考察现场的费用由投标人自己承担。投标人若认为必要时，也可以独自增加现场考察活动。</w:t>
      </w:r>
    </w:p>
    <w:p w14:paraId="7E37BD6D">
      <w:pPr>
        <w:pStyle w:val="11"/>
        <w:spacing w:line="360" w:lineRule="auto"/>
        <w:ind w:left="0" w:firstLine="480" w:firstLineChars="200"/>
        <w:jc w:val="both"/>
        <w:rPr>
          <w:sz w:val="24"/>
          <w:szCs w:val="24"/>
          <w:highlight w:val="none"/>
          <w:u w:val="single"/>
          <w:lang w:eastAsia="zh-CN"/>
        </w:rPr>
      </w:pPr>
      <w:r>
        <w:rPr>
          <w:rFonts w:hint="eastAsia" w:cs="宋体"/>
          <w:sz w:val="24"/>
          <w:szCs w:val="24"/>
          <w:highlight w:val="none"/>
          <w:u w:val="single"/>
          <w:lang w:eastAsia="zh-CN"/>
        </w:rPr>
        <w:t>（</w:t>
      </w:r>
      <w:r>
        <w:rPr>
          <w:sz w:val="24"/>
          <w:szCs w:val="24"/>
          <w:highlight w:val="none"/>
          <w:u w:val="single"/>
          <w:lang w:eastAsia="zh-CN"/>
        </w:rPr>
        <w:t>2</w:t>
      </w:r>
      <w:r>
        <w:rPr>
          <w:rFonts w:hint="eastAsia" w:cs="宋体"/>
          <w:sz w:val="24"/>
          <w:szCs w:val="24"/>
          <w:highlight w:val="none"/>
          <w:u w:val="single"/>
          <w:lang w:eastAsia="zh-CN"/>
        </w:rPr>
        <w:t>）投标人及其代表进入考察的现场。投标人及其代表必须承担那些进入现场后，由于他们的行为所造成的人身伤害（不管是否致命）、财产损失或损坏，以及其他任何原因造成的损失、损坏或费用。招标人在投标人及其代表考察过程中不负任何责任。</w:t>
      </w:r>
    </w:p>
    <w:p w14:paraId="61F08825">
      <w:pPr>
        <w:pStyle w:val="11"/>
        <w:spacing w:line="360" w:lineRule="auto"/>
        <w:ind w:left="0" w:firstLine="480" w:firstLineChars="200"/>
        <w:jc w:val="both"/>
        <w:rPr>
          <w:sz w:val="24"/>
          <w:szCs w:val="24"/>
          <w:highlight w:val="none"/>
          <w:u w:val="single"/>
          <w:lang w:eastAsia="zh-CN"/>
        </w:rPr>
      </w:pPr>
      <w:r>
        <w:rPr>
          <w:rFonts w:hint="eastAsia" w:cs="宋体"/>
          <w:sz w:val="24"/>
          <w:szCs w:val="24"/>
          <w:highlight w:val="none"/>
          <w:u w:val="single"/>
          <w:lang w:eastAsia="zh-CN"/>
        </w:rPr>
        <w:t>（</w:t>
      </w:r>
      <w:r>
        <w:rPr>
          <w:sz w:val="24"/>
          <w:szCs w:val="24"/>
          <w:highlight w:val="none"/>
          <w:u w:val="single"/>
          <w:lang w:eastAsia="zh-CN"/>
        </w:rPr>
        <w:t>3</w:t>
      </w:r>
      <w:r>
        <w:rPr>
          <w:rFonts w:hint="eastAsia" w:cs="宋体"/>
          <w:sz w:val="24"/>
          <w:szCs w:val="24"/>
          <w:highlight w:val="none"/>
          <w:u w:val="single"/>
          <w:lang w:eastAsia="zh-CN"/>
        </w:rPr>
        <w:t>）由招标人提供的资料和数据，只是为了使投标人能够利用招标人现有的资料。招标人对投标人由此而作出的推论、解释和结论概不负责。</w:t>
      </w:r>
    </w:p>
    <w:p w14:paraId="3E9920A7">
      <w:pPr>
        <w:pStyle w:val="11"/>
        <w:spacing w:line="360" w:lineRule="auto"/>
        <w:ind w:left="0" w:firstLine="480" w:firstLineChars="200"/>
        <w:jc w:val="both"/>
        <w:rPr>
          <w:rFonts w:hint="eastAsia" w:cs="宋体"/>
          <w:sz w:val="24"/>
          <w:szCs w:val="24"/>
          <w:highlight w:val="none"/>
          <w:u w:val="single"/>
          <w:lang w:eastAsia="zh-CN"/>
        </w:rPr>
      </w:pPr>
      <w:r>
        <w:rPr>
          <w:rFonts w:hint="eastAsia" w:cs="宋体"/>
          <w:sz w:val="24"/>
          <w:szCs w:val="24"/>
          <w:highlight w:val="none"/>
          <w:u w:val="single"/>
          <w:lang w:eastAsia="zh-CN"/>
        </w:rPr>
        <w:t>（</w:t>
      </w:r>
      <w:r>
        <w:rPr>
          <w:sz w:val="24"/>
          <w:szCs w:val="24"/>
          <w:highlight w:val="none"/>
          <w:u w:val="single"/>
          <w:lang w:eastAsia="zh-CN"/>
        </w:rPr>
        <w:t>4</w:t>
      </w:r>
      <w:r>
        <w:rPr>
          <w:rFonts w:hint="eastAsia" w:cs="宋体"/>
          <w:sz w:val="24"/>
          <w:szCs w:val="24"/>
          <w:highlight w:val="none"/>
          <w:u w:val="single"/>
          <w:lang w:eastAsia="zh-CN"/>
        </w:rPr>
        <w:t>）不论投标结果如何，投标人应承担其投标文件编制与递交所涉及的一切费用，发包人对上述费用不负任何责任。</w:t>
      </w:r>
    </w:p>
    <w:p w14:paraId="2E247E28">
      <w:pPr>
        <w:spacing w:line="360" w:lineRule="auto"/>
        <w:jc w:val="both"/>
        <w:rPr>
          <w:rFonts w:ascii="宋体" w:hAnsi="宋体" w:eastAsia="宋体"/>
          <w:sz w:val="24"/>
          <w:szCs w:val="24"/>
          <w:highlight w:val="none"/>
          <w:lang w:eastAsia="zh-CN"/>
        </w:rPr>
      </w:pPr>
    </w:p>
    <w:p w14:paraId="09037BEB">
      <w:pPr>
        <w:pStyle w:val="5"/>
        <w:spacing w:line="360" w:lineRule="auto"/>
        <w:ind w:right="44"/>
        <w:jc w:val="both"/>
        <w:rPr>
          <w:b/>
          <w:bCs/>
          <w:highlight w:val="none"/>
          <w:lang w:eastAsia="zh-CN"/>
        </w:rPr>
      </w:pPr>
      <w:r>
        <w:rPr>
          <w:b/>
          <w:bCs/>
          <w:highlight w:val="none"/>
          <w:lang w:eastAsia="zh-CN"/>
        </w:rPr>
        <w:t>1.10投标预备会</w:t>
      </w:r>
    </w:p>
    <w:p w14:paraId="6B5DE220">
      <w:pPr>
        <w:pStyle w:val="11"/>
        <w:spacing w:line="360" w:lineRule="auto"/>
        <w:ind w:left="0" w:firstLine="480" w:firstLineChars="200"/>
        <w:jc w:val="both"/>
        <w:rPr>
          <w:sz w:val="24"/>
          <w:szCs w:val="24"/>
          <w:highlight w:val="none"/>
          <w:lang w:eastAsia="zh-CN"/>
        </w:rPr>
      </w:pPr>
      <w:r>
        <w:rPr>
          <w:sz w:val="24"/>
          <w:szCs w:val="24"/>
          <w:highlight w:val="none"/>
          <w:lang w:eastAsia="zh-CN"/>
        </w:rPr>
        <w:t>不召开。</w:t>
      </w:r>
    </w:p>
    <w:p w14:paraId="170B01B9">
      <w:pPr>
        <w:spacing w:line="360" w:lineRule="auto"/>
        <w:jc w:val="both"/>
        <w:rPr>
          <w:rFonts w:ascii="宋体" w:hAnsi="宋体" w:eastAsia="宋体"/>
          <w:sz w:val="24"/>
          <w:szCs w:val="24"/>
          <w:highlight w:val="none"/>
          <w:lang w:eastAsia="zh-CN"/>
        </w:rPr>
      </w:pPr>
    </w:p>
    <w:p w14:paraId="0492C0AB">
      <w:pPr>
        <w:pStyle w:val="5"/>
        <w:spacing w:line="360" w:lineRule="auto"/>
        <w:ind w:right="44"/>
        <w:jc w:val="both"/>
        <w:rPr>
          <w:b/>
          <w:bCs/>
          <w:highlight w:val="none"/>
          <w:lang w:eastAsia="zh-CN"/>
        </w:rPr>
      </w:pPr>
      <w:r>
        <w:rPr>
          <w:b/>
          <w:bCs/>
          <w:highlight w:val="none"/>
          <w:lang w:eastAsia="zh-CN"/>
        </w:rPr>
        <w:t>1.11分包</w:t>
      </w:r>
    </w:p>
    <w:p w14:paraId="5C141CE2">
      <w:pPr>
        <w:spacing w:line="360" w:lineRule="auto"/>
        <w:ind w:firstLine="480" w:firstLineChars="200"/>
        <w:jc w:val="both"/>
        <w:rPr>
          <w:rFonts w:ascii="宋体" w:hAnsi="宋体" w:eastAsia="宋体"/>
          <w:sz w:val="24"/>
          <w:szCs w:val="24"/>
          <w:highlight w:val="none"/>
          <w:lang w:eastAsia="zh-CN"/>
        </w:rPr>
      </w:pPr>
      <w:bookmarkStart w:id="12" w:name="OLE_LINK6"/>
      <w:r>
        <w:rPr>
          <w:rFonts w:hint="eastAsia" w:ascii="宋体" w:hAnsi="宋体" w:eastAsia="宋体"/>
          <w:sz w:val="24"/>
          <w:szCs w:val="24"/>
          <w:highlight w:val="none"/>
          <w:lang w:eastAsia="zh-CN"/>
        </w:rPr>
        <w:t>效果类专业</w:t>
      </w:r>
      <w:r>
        <w:rPr>
          <w:rFonts w:hint="eastAsia" w:ascii="宋体" w:hAnsi="宋体" w:eastAsia="宋体"/>
          <w:sz w:val="24"/>
          <w:szCs w:val="24"/>
          <w:highlight w:val="none"/>
          <w:lang w:val="en-US" w:eastAsia="zh-CN"/>
        </w:rPr>
        <w:t>设计</w:t>
      </w:r>
      <w:r>
        <w:rPr>
          <w:rFonts w:hint="eastAsia" w:ascii="宋体" w:hAnsi="宋体" w:eastAsia="宋体"/>
          <w:sz w:val="24"/>
          <w:szCs w:val="24"/>
          <w:highlight w:val="none"/>
          <w:lang w:eastAsia="zh-CN"/>
        </w:rPr>
        <w:t>（包括不限于灯光、标识、艺术品、品牌、餐饮概念等顾问）</w:t>
      </w:r>
      <w:r>
        <w:rPr>
          <w:rFonts w:hint="eastAsia" w:ascii="宋体" w:hAnsi="宋体" w:eastAsia="宋体"/>
          <w:sz w:val="24"/>
          <w:szCs w:val="24"/>
          <w:highlight w:val="none"/>
          <w:lang w:val="en-US" w:eastAsia="zh-CN"/>
        </w:rPr>
        <w:t>或消防专项设计</w:t>
      </w:r>
      <w:r>
        <w:rPr>
          <w:rFonts w:hint="eastAsia" w:ascii="宋体" w:hAnsi="宋体" w:eastAsia="宋体"/>
          <w:sz w:val="24"/>
          <w:szCs w:val="24"/>
          <w:highlight w:val="none"/>
          <w:lang w:eastAsia="zh-CN"/>
        </w:rPr>
        <w:t>，经招标人</w:t>
      </w:r>
      <w:r>
        <w:rPr>
          <w:rFonts w:hint="eastAsia" w:ascii="宋体" w:hAnsi="宋体" w:eastAsia="宋体" w:cs="宋体"/>
          <w:sz w:val="24"/>
          <w:szCs w:val="24"/>
          <w:highlight w:val="none"/>
          <w:u w:val="single"/>
          <w:lang w:val="en-US" w:eastAsia="zh-CN"/>
        </w:rPr>
        <w:t>及招标人委托的酒店管理公司</w:t>
      </w:r>
      <w:r>
        <w:rPr>
          <w:rFonts w:hint="eastAsia" w:ascii="宋体" w:hAnsi="宋体" w:eastAsia="宋体"/>
          <w:sz w:val="24"/>
          <w:szCs w:val="24"/>
          <w:highlight w:val="none"/>
          <w:lang w:eastAsia="zh-CN"/>
        </w:rPr>
        <w:t>同意后允许分包。</w:t>
      </w:r>
    </w:p>
    <w:bookmarkEnd w:id="12"/>
    <w:p w14:paraId="5B5E0161">
      <w:pPr>
        <w:pStyle w:val="5"/>
        <w:spacing w:line="360" w:lineRule="auto"/>
        <w:ind w:right="44"/>
        <w:jc w:val="both"/>
        <w:rPr>
          <w:b/>
          <w:bCs/>
          <w:highlight w:val="none"/>
          <w:lang w:eastAsia="zh-CN"/>
        </w:rPr>
      </w:pPr>
      <w:r>
        <w:rPr>
          <w:b/>
          <w:bCs/>
          <w:highlight w:val="none"/>
          <w:lang w:eastAsia="zh-CN"/>
        </w:rPr>
        <w:t>1.12响应和偏差</w:t>
      </w:r>
    </w:p>
    <w:p w14:paraId="65961BC3">
      <w:pPr>
        <w:pStyle w:val="11"/>
        <w:spacing w:line="360" w:lineRule="auto"/>
        <w:ind w:left="0" w:firstLine="480" w:firstLineChars="200"/>
        <w:jc w:val="both"/>
        <w:rPr>
          <w:sz w:val="24"/>
          <w:szCs w:val="24"/>
          <w:highlight w:val="none"/>
          <w:lang w:eastAsia="zh-CN"/>
        </w:rPr>
      </w:pPr>
      <w:r>
        <w:rPr>
          <w:sz w:val="24"/>
          <w:szCs w:val="24"/>
          <w:highlight w:val="none"/>
          <w:lang w:eastAsia="zh-CN"/>
        </w:rPr>
        <w:t>1.12.1投标文件应当对招标文件的实质性要求和条件作出满足性或更有利于招标人的响应，否则，投标人的投标将被否决。实质性要求和条件见投标人须知前附表。</w:t>
      </w:r>
    </w:p>
    <w:p w14:paraId="251A523C">
      <w:pPr>
        <w:pStyle w:val="11"/>
        <w:spacing w:line="360" w:lineRule="auto"/>
        <w:ind w:left="0" w:firstLine="480" w:firstLineChars="200"/>
        <w:jc w:val="both"/>
        <w:rPr>
          <w:sz w:val="24"/>
          <w:szCs w:val="24"/>
          <w:highlight w:val="none"/>
          <w:lang w:eastAsia="zh-CN"/>
        </w:rPr>
      </w:pPr>
      <w:r>
        <w:rPr>
          <w:sz w:val="24"/>
          <w:szCs w:val="24"/>
          <w:highlight w:val="none"/>
          <w:lang w:eastAsia="zh-CN"/>
        </w:rPr>
        <w:t>1.12.2投标人应根据招标文件的要求提供投标设计方案等内容以对招标文件作出响应。</w:t>
      </w:r>
    </w:p>
    <w:p w14:paraId="151C4A8E">
      <w:pPr>
        <w:pStyle w:val="11"/>
        <w:spacing w:line="360" w:lineRule="auto"/>
        <w:ind w:left="0" w:firstLine="480" w:firstLineChars="200"/>
        <w:jc w:val="both"/>
        <w:rPr>
          <w:sz w:val="24"/>
          <w:szCs w:val="24"/>
          <w:highlight w:val="none"/>
          <w:lang w:eastAsia="zh-CN"/>
        </w:rPr>
      </w:pPr>
      <w:r>
        <w:rPr>
          <w:sz w:val="24"/>
          <w:szCs w:val="24"/>
          <w:highlight w:val="none"/>
          <w:lang w:eastAsia="zh-CN"/>
        </w:rPr>
        <w:t>1.12.3投标人须知前附表允许投标文件偏离招标文件某些要求的，偏差应当符合招标文件规定的偏差范围和幅度。</w:t>
      </w:r>
    </w:p>
    <w:p w14:paraId="202EA1CE">
      <w:pPr>
        <w:spacing w:line="360" w:lineRule="auto"/>
        <w:jc w:val="both"/>
        <w:rPr>
          <w:rFonts w:ascii="宋体" w:hAnsi="宋体" w:eastAsia="宋体"/>
          <w:sz w:val="24"/>
          <w:szCs w:val="24"/>
          <w:highlight w:val="none"/>
          <w:lang w:eastAsia="zh-CN"/>
        </w:rPr>
      </w:pPr>
      <w:bookmarkStart w:id="13" w:name="_Toc25137983"/>
    </w:p>
    <w:p w14:paraId="2C5174CA">
      <w:pPr>
        <w:pStyle w:val="4"/>
        <w:spacing w:line="360" w:lineRule="auto"/>
        <w:ind w:right="44"/>
        <w:jc w:val="both"/>
        <w:rPr>
          <w:rFonts w:ascii="宋体" w:hAnsi="宋体" w:eastAsia="宋体"/>
          <w:highlight w:val="none"/>
          <w:lang w:eastAsia="zh-CN"/>
        </w:rPr>
      </w:pPr>
      <w:bookmarkStart w:id="14" w:name="_Toc25152733"/>
      <w:bookmarkStart w:id="15" w:name="_Toc21143"/>
      <w:r>
        <w:rPr>
          <w:rFonts w:ascii="宋体" w:hAnsi="宋体" w:eastAsia="宋体"/>
          <w:highlight w:val="none"/>
          <w:lang w:eastAsia="zh-CN"/>
        </w:rPr>
        <w:t>2. 招标文件</w:t>
      </w:r>
      <w:bookmarkEnd w:id="13"/>
      <w:bookmarkEnd w:id="14"/>
      <w:bookmarkEnd w:id="15"/>
    </w:p>
    <w:p w14:paraId="7D9C906E">
      <w:pPr>
        <w:pStyle w:val="5"/>
        <w:spacing w:line="360" w:lineRule="auto"/>
        <w:ind w:right="44"/>
        <w:jc w:val="both"/>
        <w:rPr>
          <w:b/>
          <w:bCs/>
          <w:highlight w:val="none"/>
          <w:lang w:eastAsia="zh-CN"/>
        </w:rPr>
      </w:pPr>
      <w:r>
        <w:rPr>
          <w:b/>
          <w:bCs/>
          <w:highlight w:val="none"/>
          <w:lang w:eastAsia="zh-CN"/>
        </w:rPr>
        <w:t>2.1招标文件的组成</w:t>
      </w:r>
    </w:p>
    <w:p w14:paraId="26C24BA0">
      <w:pPr>
        <w:pStyle w:val="11"/>
        <w:spacing w:line="360" w:lineRule="auto"/>
        <w:ind w:left="0" w:firstLine="480" w:firstLineChars="200"/>
        <w:jc w:val="both"/>
        <w:rPr>
          <w:sz w:val="24"/>
          <w:szCs w:val="24"/>
          <w:highlight w:val="none"/>
          <w:lang w:eastAsia="zh-CN"/>
        </w:rPr>
      </w:pPr>
      <w:r>
        <w:rPr>
          <w:sz w:val="24"/>
          <w:szCs w:val="24"/>
          <w:highlight w:val="none"/>
          <w:lang w:eastAsia="zh-CN"/>
        </w:rPr>
        <w:t>本招标文件包括：</w:t>
      </w:r>
    </w:p>
    <w:p w14:paraId="2CD25412">
      <w:pPr>
        <w:pStyle w:val="11"/>
        <w:spacing w:line="360" w:lineRule="auto"/>
        <w:ind w:left="0" w:firstLine="480" w:firstLineChars="200"/>
        <w:jc w:val="both"/>
        <w:rPr>
          <w:sz w:val="24"/>
          <w:szCs w:val="24"/>
          <w:highlight w:val="none"/>
          <w:lang w:eastAsia="zh-CN"/>
        </w:rPr>
      </w:pPr>
      <w:r>
        <w:rPr>
          <w:sz w:val="24"/>
          <w:szCs w:val="24"/>
          <w:highlight w:val="none"/>
          <w:lang w:eastAsia="zh-CN"/>
        </w:rPr>
        <w:t>（1）招标公告；</w:t>
      </w:r>
    </w:p>
    <w:p w14:paraId="7F3FF3D1">
      <w:pPr>
        <w:pStyle w:val="11"/>
        <w:spacing w:line="360" w:lineRule="auto"/>
        <w:ind w:left="0" w:firstLine="480" w:firstLineChars="200"/>
        <w:jc w:val="both"/>
        <w:rPr>
          <w:sz w:val="24"/>
          <w:szCs w:val="24"/>
          <w:highlight w:val="none"/>
          <w:lang w:eastAsia="zh-CN"/>
        </w:rPr>
      </w:pPr>
      <w:r>
        <w:rPr>
          <w:sz w:val="24"/>
          <w:szCs w:val="24"/>
          <w:highlight w:val="none"/>
          <w:lang w:eastAsia="zh-CN"/>
        </w:rPr>
        <w:t>（2）投标人须知；</w:t>
      </w:r>
    </w:p>
    <w:p w14:paraId="7DD31704">
      <w:pPr>
        <w:pStyle w:val="11"/>
        <w:spacing w:line="360" w:lineRule="auto"/>
        <w:ind w:left="0" w:firstLine="480" w:firstLineChars="200"/>
        <w:jc w:val="both"/>
        <w:rPr>
          <w:sz w:val="24"/>
          <w:szCs w:val="24"/>
          <w:highlight w:val="none"/>
          <w:lang w:eastAsia="zh-CN"/>
        </w:rPr>
      </w:pPr>
      <w:r>
        <w:rPr>
          <w:sz w:val="24"/>
          <w:szCs w:val="24"/>
          <w:highlight w:val="none"/>
          <w:lang w:eastAsia="zh-CN"/>
        </w:rPr>
        <w:t>（3）评标办法；</w:t>
      </w:r>
    </w:p>
    <w:p w14:paraId="33B3543F">
      <w:pPr>
        <w:pStyle w:val="11"/>
        <w:spacing w:line="360" w:lineRule="auto"/>
        <w:ind w:left="0" w:firstLine="480" w:firstLineChars="200"/>
        <w:jc w:val="both"/>
        <w:rPr>
          <w:sz w:val="24"/>
          <w:szCs w:val="24"/>
          <w:highlight w:val="none"/>
          <w:lang w:eastAsia="zh-CN"/>
        </w:rPr>
      </w:pPr>
      <w:r>
        <w:rPr>
          <w:sz w:val="24"/>
          <w:szCs w:val="24"/>
          <w:highlight w:val="none"/>
          <w:lang w:eastAsia="zh-CN"/>
        </w:rPr>
        <w:t>（4）合同条款及格式；</w:t>
      </w:r>
    </w:p>
    <w:p w14:paraId="17442F2F">
      <w:pPr>
        <w:pStyle w:val="11"/>
        <w:spacing w:line="360" w:lineRule="auto"/>
        <w:ind w:left="0" w:firstLine="480" w:firstLineChars="200"/>
        <w:jc w:val="both"/>
        <w:rPr>
          <w:sz w:val="24"/>
          <w:szCs w:val="24"/>
          <w:highlight w:val="none"/>
          <w:lang w:eastAsia="zh-CN"/>
        </w:rPr>
      </w:pPr>
      <w:r>
        <w:rPr>
          <w:sz w:val="24"/>
          <w:szCs w:val="24"/>
          <w:highlight w:val="none"/>
          <w:lang w:eastAsia="zh-CN"/>
        </w:rPr>
        <w:t>（5）发包人要求；</w:t>
      </w:r>
    </w:p>
    <w:p w14:paraId="1857B633">
      <w:pPr>
        <w:pStyle w:val="11"/>
        <w:spacing w:line="360" w:lineRule="auto"/>
        <w:ind w:left="0" w:firstLine="480" w:firstLineChars="200"/>
        <w:jc w:val="both"/>
        <w:rPr>
          <w:sz w:val="24"/>
          <w:szCs w:val="24"/>
          <w:highlight w:val="none"/>
          <w:lang w:eastAsia="zh-CN"/>
        </w:rPr>
      </w:pPr>
      <w:r>
        <w:rPr>
          <w:sz w:val="24"/>
          <w:szCs w:val="24"/>
          <w:highlight w:val="none"/>
          <w:lang w:eastAsia="zh-CN"/>
        </w:rPr>
        <w:t>（6）投标文件格式；</w:t>
      </w:r>
    </w:p>
    <w:p w14:paraId="358E5D9A">
      <w:pPr>
        <w:pStyle w:val="11"/>
        <w:spacing w:line="360" w:lineRule="auto"/>
        <w:ind w:left="0" w:firstLine="480" w:firstLineChars="200"/>
        <w:jc w:val="both"/>
        <w:rPr>
          <w:sz w:val="24"/>
          <w:szCs w:val="24"/>
          <w:highlight w:val="none"/>
          <w:lang w:eastAsia="zh-CN"/>
        </w:rPr>
      </w:pPr>
      <w:r>
        <w:rPr>
          <w:sz w:val="24"/>
          <w:szCs w:val="24"/>
          <w:highlight w:val="none"/>
          <w:lang w:eastAsia="zh-CN"/>
        </w:rPr>
        <w:t>（7）投标人须知前附表规定的其他资料。</w:t>
      </w:r>
    </w:p>
    <w:p w14:paraId="10F99EF2">
      <w:pPr>
        <w:pStyle w:val="11"/>
        <w:spacing w:line="360" w:lineRule="auto"/>
        <w:ind w:left="0" w:firstLine="480" w:firstLineChars="200"/>
        <w:jc w:val="both"/>
        <w:rPr>
          <w:sz w:val="24"/>
          <w:szCs w:val="24"/>
          <w:highlight w:val="none"/>
          <w:lang w:eastAsia="zh-CN"/>
        </w:rPr>
      </w:pPr>
      <w:r>
        <w:rPr>
          <w:sz w:val="24"/>
          <w:szCs w:val="24"/>
          <w:highlight w:val="none"/>
          <w:lang w:eastAsia="zh-CN"/>
        </w:rPr>
        <w:t>根据本章第1.10款、第2.2款和第2.3款对招标文件所作的澄清、修改，构成招标文件的组成部分。</w:t>
      </w:r>
    </w:p>
    <w:p w14:paraId="4A8C2EEE">
      <w:pPr>
        <w:spacing w:line="360" w:lineRule="auto"/>
        <w:jc w:val="both"/>
        <w:rPr>
          <w:rFonts w:ascii="宋体" w:hAnsi="宋体" w:eastAsia="宋体"/>
          <w:sz w:val="24"/>
          <w:szCs w:val="24"/>
          <w:highlight w:val="none"/>
          <w:lang w:eastAsia="zh-CN"/>
        </w:rPr>
      </w:pPr>
    </w:p>
    <w:p w14:paraId="50C26B9C">
      <w:pPr>
        <w:pStyle w:val="5"/>
        <w:spacing w:line="360" w:lineRule="auto"/>
        <w:ind w:right="44"/>
        <w:jc w:val="both"/>
        <w:rPr>
          <w:b/>
          <w:bCs/>
          <w:highlight w:val="none"/>
          <w:lang w:eastAsia="zh-CN"/>
        </w:rPr>
      </w:pPr>
      <w:r>
        <w:rPr>
          <w:b/>
          <w:bCs/>
          <w:highlight w:val="none"/>
          <w:lang w:eastAsia="zh-CN"/>
        </w:rPr>
        <w:t>2.2招标文件的澄清</w:t>
      </w:r>
    </w:p>
    <w:p w14:paraId="7B86696C">
      <w:pPr>
        <w:pStyle w:val="11"/>
        <w:spacing w:line="360" w:lineRule="auto"/>
        <w:ind w:left="0" w:firstLine="480" w:firstLineChars="200"/>
        <w:jc w:val="both"/>
        <w:rPr>
          <w:sz w:val="24"/>
          <w:szCs w:val="24"/>
          <w:highlight w:val="none"/>
          <w:lang w:eastAsia="zh-CN"/>
        </w:rPr>
      </w:pPr>
      <w:r>
        <w:rPr>
          <w:sz w:val="24"/>
          <w:szCs w:val="24"/>
          <w:highlight w:val="none"/>
          <w:lang w:eastAsia="zh-CN"/>
        </w:rPr>
        <w:t>2.2.1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2ECEA93">
      <w:pPr>
        <w:pStyle w:val="11"/>
        <w:spacing w:line="360" w:lineRule="auto"/>
        <w:ind w:left="0" w:firstLine="480" w:firstLineChars="200"/>
        <w:jc w:val="both"/>
        <w:rPr>
          <w:sz w:val="24"/>
          <w:szCs w:val="24"/>
          <w:highlight w:val="none"/>
          <w:lang w:eastAsia="zh-CN"/>
        </w:rPr>
      </w:pPr>
      <w:r>
        <w:rPr>
          <w:sz w:val="24"/>
          <w:szCs w:val="24"/>
          <w:highlight w:val="none"/>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14:paraId="7CD4A743">
      <w:pPr>
        <w:pStyle w:val="11"/>
        <w:spacing w:line="360" w:lineRule="auto"/>
        <w:ind w:left="0" w:firstLine="480" w:firstLineChars="200"/>
        <w:jc w:val="both"/>
        <w:rPr>
          <w:sz w:val="24"/>
          <w:szCs w:val="24"/>
          <w:highlight w:val="none"/>
          <w:lang w:eastAsia="zh-CN"/>
        </w:rPr>
      </w:pPr>
      <w:r>
        <w:rPr>
          <w:sz w:val="24"/>
          <w:szCs w:val="24"/>
          <w:highlight w:val="none"/>
          <w:lang w:eastAsia="zh-CN"/>
        </w:rPr>
        <w:t>2.2.3投标人在收到澄清后，应按投标人须知前附表规定的时间和形式通知招标人，确认已收到该澄清。</w:t>
      </w:r>
    </w:p>
    <w:p w14:paraId="3600458F">
      <w:pPr>
        <w:pStyle w:val="11"/>
        <w:spacing w:line="360" w:lineRule="auto"/>
        <w:ind w:left="0" w:firstLine="480" w:firstLineChars="200"/>
        <w:jc w:val="both"/>
        <w:rPr>
          <w:sz w:val="24"/>
          <w:szCs w:val="24"/>
          <w:highlight w:val="none"/>
          <w:lang w:eastAsia="zh-CN"/>
        </w:rPr>
      </w:pPr>
      <w:r>
        <w:rPr>
          <w:sz w:val="24"/>
          <w:szCs w:val="24"/>
          <w:highlight w:val="none"/>
          <w:lang w:eastAsia="zh-CN"/>
        </w:rPr>
        <w:t>2.2.4 除非招标人认为确有必要答复，否则，招标人有权拒绝回复投标人在本章第 2.2.1项规定的时间后的任何澄清要求。</w:t>
      </w:r>
    </w:p>
    <w:p w14:paraId="066B6BCC">
      <w:pPr>
        <w:spacing w:line="360" w:lineRule="auto"/>
        <w:jc w:val="both"/>
        <w:rPr>
          <w:rFonts w:ascii="宋体" w:hAnsi="宋体" w:eastAsia="宋体"/>
          <w:sz w:val="24"/>
          <w:szCs w:val="24"/>
          <w:highlight w:val="none"/>
          <w:lang w:eastAsia="zh-CN"/>
        </w:rPr>
      </w:pPr>
    </w:p>
    <w:p w14:paraId="179C3659">
      <w:pPr>
        <w:pStyle w:val="5"/>
        <w:spacing w:line="360" w:lineRule="auto"/>
        <w:ind w:right="44"/>
        <w:jc w:val="both"/>
        <w:rPr>
          <w:b/>
          <w:bCs/>
          <w:highlight w:val="none"/>
          <w:lang w:eastAsia="zh-CN"/>
        </w:rPr>
      </w:pPr>
      <w:r>
        <w:rPr>
          <w:b/>
          <w:bCs/>
          <w:highlight w:val="none"/>
          <w:lang w:eastAsia="zh-CN"/>
        </w:rPr>
        <w:t>2.3招标文件的修改</w:t>
      </w:r>
    </w:p>
    <w:p w14:paraId="1E80C29D">
      <w:pPr>
        <w:pStyle w:val="11"/>
        <w:spacing w:line="360" w:lineRule="auto"/>
        <w:ind w:left="0" w:firstLine="480" w:firstLineChars="200"/>
        <w:jc w:val="both"/>
        <w:rPr>
          <w:sz w:val="24"/>
          <w:szCs w:val="24"/>
          <w:highlight w:val="none"/>
          <w:lang w:eastAsia="zh-CN"/>
        </w:rPr>
      </w:pPr>
      <w:r>
        <w:rPr>
          <w:sz w:val="24"/>
          <w:szCs w:val="24"/>
          <w:highlight w:val="none"/>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14:paraId="0924C31C">
      <w:pPr>
        <w:pStyle w:val="11"/>
        <w:spacing w:line="360" w:lineRule="auto"/>
        <w:ind w:left="0" w:firstLine="480" w:firstLineChars="200"/>
        <w:jc w:val="both"/>
        <w:rPr>
          <w:sz w:val="24"/>
          <w:szCs w:val="24"/>
          <w:highlight w:val="none"/>
          <w:lang w:eastAsia="zh-CN"/>
        </w:rPr>
      </w:pPr>
      <w:r>
        <w:rPr>
          <w:sz w:val="24"/>
          <w:szCs w:val="24"/>
          <w:highlight w:val="none"/>
          <w:lang w:eastAsia="zh-CN"/>
        </w:rPr>
        <w:t>2.3.2投标人收到修改内容后，应按投标人须知前附表规定的时间和形式通知招标人，确认已收到该修改。</w:t>
      </w:r>
    </w:p>
    <w:p w14:paraId="5ABFC8FC">
      <w:pPr>
        <w:spacing w:line="360" w:lineRule="auto"/>
        <w:jc w:val="both"/>
        <w:rPr>
          <w:rFonts w:ascii="宋体" w:hAnsi="宋体" w:eastAsia="宋体"/>
          <w:sz w:val="24"/>
          <w:szCs w:val="24"/>
          <w:highlight w:val="none"/>
          <w:lang w:eastAsia="zh-CN"/>
        </w:rPr>
      </w:pPr>
    </w:p>
    <w:p w14:paraId="0ED42157">
      <w:pPr>
        <w:pStyle w:val="5"/>
        <w:spacing w:line="360" w:lineRule="auto"/>
        <w:ind w:right="44"/>
        <w:jc w:val="both"/>
        <w:rPr>
          <w:b/>
          <w:bCs/>
          <w:highlight w:val="none"/>
          <w:lang w:eastAsia="zh-CN"/>
        </w:rPr>
      </w:pPr>
      <w:r>
        <w:rPr>
          <w:b/>
          <w:bCs/>
          <w:highlight w:val="none"/>
          <w:lang w:eastAsia="zh-CN"/>
        </w:rPr>
        <w:t>2.4招标文件的异议</w:t>
      </w:r>
    </w:p>
    <w:p w14:paraId="642D274B">
      <w:pPr>
        <w:pStyle w:val="11"/>
        <w:spacing w:line="360" w:lineRule="auto"/>
        <w:ind w:left="0" w:firstLine="480" w:firstLineChars="200"/>
        <w:jc w:val="both"/>
        <w:rPr>
          <w:sz w:val="24"/>
          <w:szCs w:val="24"/>
          <w:highlight w:val="none"/>
          <w:lang w:eastAsia="zh-CN"/>
        </w:rPr>
      </w:pPr>
      <w:r>
        <w:rPr>
          <w:sz w:val="24"/>
          <w:szCs w:val="24"/>
          <w:highlight w:val="none"/>
          <w:lang w:eastAsia="zh-CN"/>
        </w:rPr>
        <w:t>投标人或者其他利害关系人对招标文件有异议的，应当在投标截止时间10日前以书面形式提出。招标人将在收到异议之日起3日内作出答复；作出答复前，将暂停招标投标活动。</w:t>
      </w:r>
    </w:p>
    <w:p w14:paraId="6E2A54A3">
      <w:pPr>
        <w:spacing w:line="360" w:lineRule="auto"/>
        <w:jc w:val="both"/>
        <w:rPr>
          <w:rFonts w:ascii="宋体" w:hAnsi="宋体" w:eastAsia="宋体"/>
          <w:sz w:val="24"/>
          <w:szCs w:val="24"/>
          <w:highlight w:val="none"/>
          <w:lang w:eastAsia="zh-CN"/>
        </w:rPr>
      </w:pPr>
      <w:bookmarkStart w:id="16" w:name="_Toc25137984"/>
    </w:p>
    <w:p w14:paraId="438F464C">
      <w:pPr>
        <w:pStyle w:val="4"/>
        <w:spacing w:line="360" w:lineRule="auto"/>
        <w:ind w:right="44"/>
        <w:jc w:val="both"/>
        <w:rPr>
          <w:rFonts w:ascii="宋体" w:hAnsi="宋体" w:eastAsia="宋体"/>
          <w:highlight w:val="none"/>
          <w:lang w:eastAsia="zh-CN"/>
        </w:rPr>
      </w:pPr>
      <w:bookmarkStart w:id="17" w:name="_Toc25152734"/>
      <w:bookmarkStart w:id="18" w:name="_Toc15799"/>
      <w:r>
        <w:rPr>
          <w:rFonts w:ascii="宋体" w:hAnsi="宋体" w:eastAsia="宋体"/>
          <w:highlight w:val="none"/>
          <w:lang w:eastAsia="zh-CN"/>
        </w:rPr>
        <w:t>3. 投标文件</w:t>
      </w:r>
      <w:bookmarkEnd w:id="16"/>
      <w:bookmarkEnd w:id="17"/>
      <w:bookmarkEnd w:id="18"/>
    </w:p>
    <w:p w14:paraId="06CB0489">
      <w:pPr>
        <w:pStyle w:val="5"/>
        <w:spacing w:line="360" w:lineRule="auto"/>
        <w:ind w:right="44"/>
        <w:jc w:val="both"/>
        <w:rPr>
          <w:b/>
          <w:bCs/>
          <w:highlight w:val="none"/>
          <w:lang w:eastAsia="zh-CN"/>
        </w:rPr>
      </w:pPr>
      <w:r>
        <w:rPr>
          <w:b/>
          <w:bCs/>
          <w:highlight w:val="none"/>
          <w:lang w:eastAsia="zh-CN"/>
        </w:rPr>
        <w:t>3.1投标文件的组成</w:t>
      </w:r>
    </w:p>
    <w:p w14:paraId="22B8E667">
      <w:pPr>
        <w:pStyle w:val="11"/>
        <w:spacing w:line="360" w:lineRule="auto"/>
        <w:ind w:left="0" w:firstLine="480" w:firstLineChars="200"/>
        <w:jc w:val="both"/>
        <w:rPr>
          <w:sz w:val="24"/>
          <w:szCs w:val="24"/>
          <w:highlight w:val="none"/>
          <w:lang w:eastAsia="zh-CN"/>
        </w:rPr>
      </w:pPr>
      <w:r>
        <w:rPr>
          <w:sz w:val="24"/>
          <w:szCs w:val="24"/>
          <w:highlight w:val="none"/>
          <w:lang w:eastAsia="zh-CN"/>
        </w:rPr>
        <w:t xml:space="preserve">3.1.1 </w:t>
      </w:r>
      <w:r>
        <w:rPr>
          <w:rFonts w:hint="eastAsia" w:cs="宋体"/>
          <w:sz w:val="24"/>
          <w:szCs w:val="24"/>
          <w:highlight w:val="none"/>
          <w:lang w:eastAsia="zh-CN"/>
        </w:rPr>
        <w:t>投标文件应包括下列内容：</w:t>
      </w:r>
    </w:p>
    <w:p w14:paraId="0803BEB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（1）投标函及投标函附录；</w:t>
      </w:r>
    </w:p>
    <w:p w14:paraId="402A764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（2）投标报价书；</w:t>
      </w:r>
    </w:p>
    <w:p w14:paraId="1D93BC24">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（3）法定代表人身份证明；</w:t>
      </w:r>
    </w:p>
    <w:p w14:paraId="450F813C">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（4）授权委托书（适用于有委托代理人的情况）；</w:t>
      </w:r>
    </w:p>
    <w:p w14:paraId="7D40A353">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（5）资格审查资料；</w:t>
      </w:r>
    </w:p>
    <w:p w14:paraId="62539B1D">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（6）定标文件（含设计概念、使用功能、主要节点展示图等）；</w:t>
      </w:r>
    </w:p>
    <w:p w14:paraId="106BD370">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t>（7）</w:t>
      </w:r>
      <w:r>
        <w:rPr>
          <w:rFonts w:hint="eastAsia" w:ascii="宋体" w:hAnsi="宋体" w:eastAsia="宋体" w:cs="宋体"/>
          <w:sz w:val="24"/>
          <w:szCs w:val="24"/>
          <w:highlight w:val="none"/>
          <w:u w:val="single"/>
          <w:lang w:val="en-US" w:eastAsia="zh-CN"/>
        </w:rPr>
        <w:t>联合体投标协议书（如有）</w:t>
      </w:r>
      <w:r>
        <w:rPr>
          <w:rFonts w:hint="eastAsia" w:ascii="宋体" w:hAnsi="宋体" w:eastAsia="宋体" w:cs="宋体"/>
          <w:sz w:val="24"/>
          <w:szCs w:val="24"/>
          <w:highlight w:val="none"/>
          <w:u w:val="single"/>
        </w:rPr>
        <w:t>。</w:t>
      </w:r>
    </w:p>
    <w:p w14:paraId="180B0369">
      <w:pPr>
        <w:spacing w:line="360" w:lineRule="auto"/>
        <w:ind w:left="0" w:firstLine="480" w:firstLineChars="200"/>
        <w:jc w:val="both"/>
        <w:rPr>
          <w:rFonts w:hint="eastAsia"/>
          <w:highlight w:val="none"/>
        </w:rPr>
      </w:pPr>
      <w:r>
        <w:rPr>
          <w:rFonts w:hint="eastAsia" w:ascii="宋体" w:hAnsi="宋体" w:eastAsia="宋体" w:cs="宋体"/>
          <w:sz w:val="24"/>
          <w:szCs w:val="24"/>
          <w:highlight w:val="none"/>
          <w:u w:val="single"/>
        </w:rPr>
        <w:t>（</w:t>
      </w:r>
      <w:r>
        <w:rPr>
          <w:rFonts w:hint="eastAsia" w:ascii="宋体" w:hAnsi="宋体" w:eastAsia="宋体" w:cs="宋体"/>
          <w:sz w:val="24"/>
          <w:szCs w:val="24"/>
          <w:highlight w:val="none"/>
          <w:u w:val="single"/>
          <w:lang w:val="en-US" w:eastAsia="zh-CN"/>
        </w:rPr>
        <w:t>8</w:t>
      </w:r>
      <w:r>
        <w:rPr>
          <w:rFonts w:hint="eastAsia" w:ascii="宋体" w:hAnsi="宋体" w:eastAsia="宋体" w:cs="宋体"/>
          <w:sz w:val="24"/>
          <w:szCs w:val="24"/>
          <w:highlight w:val="none"/>
          <w:u w:val="single"/>
        </w:rPr>
        <w:t>）投标人根据招标文件要求认为需要提供的其他资料。</w:t>
      </w:r>
    </w:p>
    <w:p w14:paraId="4BE472E0">
      <w:pPr>
        <w:pStyle w:val="11"/>
        <w:spacing w:line="360" w:lineRule="auto"/>
        <w:ind w:left="0" w:firstLine="480" w:firstLineChars="200"/>
        <w:jc w:val="both"/>
        <w:rPr>
          <w:rFonts w:cs="宋体"/>
          <w:sz w:val="24"/>
          <w:szCs w:val="24"/>
          <w:highlight w:val="none"/>
          <w:lang w:eastAsia="zh-CN"/>
        </w:rPr>
      </w:pPr>
      <w:r>
        <w:rPr>
          <w:rFonts w:cs="宋体"/>
          <w:sz w:val="24"/>
          <w:szCs w:val="24"/>
          <w:highlight w:val="none"/>
          <w:lang w:eastAsia="zh-CN"/>
        </w:rPr>
        <w:t>投标人在评标过程中作出的符合法律法规和招标文件规定的澄清确认，构成投标文件的组成部分。</w:t>
      </w:r>
    </w:p>
    <w:p w14:paraId="259EEA28">
      <w:pPr>
        <w:pStyle w:val="11"/>
        <w:spacing w:line="360" w:lineRule="auto"/>
        <w:ind w:left="0" w:firstLine="480" w:firstLineChars="200"/>
        <w:jc w:val="both"/>
        <w:rPr>
          <w:sz w:val="24"/>
          <w:szCs w:val="24"/>
          <w:highlight w:val="none"/>
          <w:lang w:eastAsia="zh-CN"/>
        </w:rPr>
      </w:pPr>
      <w:r>
        <w:rPr>
          <w:sz w:val="24"/>
          <w:szCs w:val="24"/>
          <w:highlight w:val="none"/>
          <w:lang w:eastAsia="zh-CN"/>
        </w:rPr>
        <w:t>3.1.</w:t>
      </w:r>
      <w:r>
        <w:rPr>
          <w:rFonts w:hint="eastAsia"/>
          <w:sz w:val="24"/>
          <w:szCs w:val="24"/>
          <w:highlight w:val="none"/>
          <w:lang w:val="en-US" w:eastAsia="zh-CN"/>
        </w:rPr>
        <w:t>2</w:t>
      </w:r>
      <w:r>
        <w:rPr>
          <w:sz w:val="24"/>
          <w:szCs w:val="24"/>
          <w:highlight w:val="none"/>
          <w:lang w:eastAsia="zh-CN"/>
        </w:rPr>
        <w:t xml:space="preserve"> 投标人须知前附表未要求提交投标保证金的，</w:t>
      </w:r>
      <w:r>
        <w:rPr>
          <w:sz w:val="24"/>
          <w:szCs w:val="24"/>
          <w:highlight w:val="none"/>
          <w:u w:val="single"/>
          <w:lang w:eastAsia="zh-CN"/>
        </w:rPr>
        <w:t>投标文件不包括投标保证金</w:t>
      </w:r>
      <w:r>
        <w:rPr>
          <w:sz w:val="24"/>
          <w:szCs w:val="24"/>
          <w:highlight w:val="none"/>
          <w:lang w:eastAsia="zh-CN"/>
        </w:rPr>
        <w:t>。</w:t>
      </w:r>
    </w:p>
    <w:p w14:paraId="6B7426DF">
      <w:pPr>
        <w:spacing w:line="360" w:lineRule="auto"/>
        <w:jc w:val="both"/>
        <w:rPr>
          <w:rFonts w:ascii="宋体" w:hAnsi="宋体" w:eastAsia="宋体"/>
          <w:sz w:val="24"/>
          <w:szCs w:val="24"/>
          <w:highlight w:val="none"/>
          <w:lang w:eastAsia="zh-CN"/>
        </w:rPr>
      </w:pPr>
    </w:p>
    <w:p w14:paraId="7A4692C5">
      <w:pPr>
        <w:pStyle w:val="5"/>
        <w:spacing w:line="360" w:lineRule="auto"/>
        <w:ind w:right="44"/>
        <w:jc w:val="both"/>
        <w:rPr>
          <w:b/>
          <w:bCs/>
          <w:highlight w:val="none"/>
          <w:lang w:eastAsia="zh-CN"/>
        </w:rPr>
      </w:pPr>
      <w:r>
        <w:rPr>
          <w:b/>
          <w:bCs/>
          <w:highlight w:val="none"/>
          <w:lang w:eastAsia="zh-CN"/>
        </w:rPr>
        <w:t>3.2投标报价</w:t>
      </w:r>
    </w:p>
    <w:p w14:paraId="28C86E1F">
      <w:pPr>
        <w:pStyle w:val="11"/>
        <w:spacing w:line="360" w:lineRule="auto"/>
        <w:ind w:left="0" w:firstLine="480" w:firstLineChars="200"/>
        <w:jc w:val="both"/>
        <w:rPr>
          <w:sz w:val="24"/>
          <w:szCs w:val="24"/>
          <w:highlight w:val="none"/>
          <w:lang w:eastAsia="zh-CN"/>
        </w:rPr>
      </w:pPr>
      <w:r>
        <w:rPr>
          <w:sz w:val="24"/>
          <w:szCs w:val="24"/>
          <w:highlight w:val="none"/>
          <w:lang w:eastAsia="zh-CN"/>
        </w:rPr>
        <w:t>3.2.1投标报价应包括国家规定的增值税税金，除投标人须知前附表另有规定外，增值税税金按一般计税方法计算。投标人应按第六章“投标文件格式”的要求在投标函中进行报价并填写设计费用清单。</w:t>
      </w:r>
    </w:p>
    <w:p w14:paraId="28C1DE9A">
      <w:pPr>
        <w:pStyle w:val="11"/>
        <w:spacing w:line="360" w:lineRule="auto"/>
        <w:ind w:left="0" w:firstLine="480" w:firstLineChars="200"/>
        <w:jc w:val="both"/>
        <w:rPr>
          <w:sz w:val="24"/>
          <w:szCs w:val="24"/>
          <w:highlight w:val="none"/>
          <w:lang w:eastAsia="zh-CN"/>
        </w:rPr>
      </w:pPr>
      <w:r>
        <w:rPr>
          <w:sz w:val="24"/>
          <w:szCs w:val="24"/>
          <w:highlight w:val="none"/>
          <w:lang w:eastAsia="zh-CN"/>
        </w:rPr>
        <w:t>3.2.2投标人应充分了解该项目的总体情况以及影响投标报价的其他要素。</w:t>
      </w:r>
    </w:p>
    <w:p w14:paraId="13A1C855">
      <w:pPr>
        <w:pStyle w:val="11"/>
        <w:spacing w:line="360" w:lineRule="auto"/>
        <w:ind w:left="0" w:firstLine="480" w:firstLineChars="200"/>
        <w:jc w:val="both"/>
        <w:rPr>
          <w:sz w:val="24"/>
          <w:szCs w:val="24"/>
          <w:highlight w:val="none"/>
          <w:lang w:eastAsia="zh-CN"/>
        </w:rPr>
      </w:pPr>
      <w:r>
        <w:rPr>
          <w:sz w:val="24"/>
          <w:szCs w:val="24"/>
          <w:highlight w:val="none"/>
          <w:lang w:eastAsia="zh-CN"/>
        </w:rPr>
        <w:t>3.2.3本项目的报价方式见投标人须知前附表。</w:t>
      </w:r>
      <w:r>
        <w:rPr>
          <w:strike/>
          <w:sz w:val="24"/>
          <w:szCs w:val="24"/>
          <w:highlight w:val="none"/>
          <w:lang w:eastAsia="zh-CN"/>
        </w:rPr>
        <w:t>投标人在投标截止时间前修改投标函中的投标报价总额，应同时修改投标文件“设计费用清单”中的相应报价。此修改须符合本章第 4.3 款的有关要求。</w:t>
      </w:r>
    </w:p>
    <w:p w14:paraId="38E3A347">
      <w:pPr>
        <w:pStyle w:val="11"/>
        <w:spacing w:line="360" w:lineRule="auto"/>
        <w:ind w:left="0" w:firstLine="480" w:firstLineChars="200"/>
        <w:jc w:val="both"/>
        <w:rPr>
          <w:sz w:val="24"/>
          <w:szCs w:val="24"/>
          <w:highlight w:val="none"/>
          <w:lang w:eastAsia="zh-CN"/>
        </w:rPr>
      </w:pPr>
      <w:r>
        <w:rPr>
          <w:sz w:val="24"/>
          <w:szCs w:val="24"/>
          <w:highlight w:val="none"/>
          <w:lang w:eastAsia="zh-CN"/>
        </w:rPr>
        <w:t>3.2.4招标人设有最高投标限价的，投标人的投标报价不得超过最高投标限价，最高投标限价在投标人须知前附表中载明。</w:t>
      </w:r>
    </w:p>
    <w:p w14:paraId="15B5AD15">
      <w:pPr>
        <w:pStyle w:val="11"/>
        <w:spacing w:line="360" w:lineRule="auto"/>
        <w:ind w:left="0" w:firstLine="480" w:firstLineChars="200"/>
        <w:jc w:val="both"/>
        <w:rPr>
          <w:sz w:val="24"/>
          <w:szCs w:val="24"/>
          <w:highlight w:val="none"/>
          <w:lang w:eastAsia="zh-CN"/>
        </w:rPr>
      </w:pPr>
      <w:r>
        <w:rPr>
          <w:sz w:val="24"/>
          <w:szCs w:val="24"/>
          <w:highlight w:val="none"/>
          <w:lang w:eastAsia="zh-CN"/>
        </w:rPr>
        <w:t>3.2.5投标报价的其他要求见投标人须知前附表。</w:t>
      </w:r>
    </w:p>
    <w:p w14:paraId="257471A6">
      <w:pPr>
        <w:spacing w:line="360" w:lineRule="auto"/>
        <w:jc w:val="both"/>
        <w:rPr>
          <w:rFonts w:ascii="宋体" w:hAnsi="宋体" w:eastAsia="宋体"/>
          <w:sz w:val="24"/>
          <w:szCs w:val="24"/>
          <w:highlight w:val="none"/>
          <w:lang w:eastAsia="zh-CN"/>
        </w:rPr>
      </w:pPr>
    </w:p>
    <w:p w14:paraId="2182CA3F">
      <w:pPr>
        <w:pStyle w:val="5"/>
        <w:spacing w:line="360" w:lineRule="auto"/>
        <w:ind w:right="44"/>
        <w:jc w:val="both"/>
        <w:rPr>
          <w:b/>
          <w:bCs/>
          <w:highlight w:val="none"/>
          <w:lang w:eastAsia="zh-CN"/>
        </w:rPr>
      </w:pPr>
      <w:r>
        <w:rPr>
          <w:b/>
          <w:bCs/>
          <w:highlight w:val="none"/>
          <w:lang w:eastAsia="zh-CN"/>
        </w:rPr>
        <w:t>3.3投标有效期</w:t>
      </w:r>
    </w:p>
    <w:p w14:paraId="5CE7B383">
      <w:pPr>
        <w:pStyle w:val="11"/>
        <w:spacing w:line="360" w:lineRule="auto"/>
        <w:ind w:left="0" w:firstLine="480" w:firstLineChars="200"/>
        <w:jc w:val="both"/>
        <w:rPr>
          <w:sz w:val="24"/>
          <w:szCs w:val="24"/>
          <w:highlight w:val="none"/>
          <w:lang w:eastAsia="zh-CN"/>
        </w:rPr>
      </w:pPr>
      <w:r>
        <w:rPr>
          <w:sz w:val="24"/>
          <w:szCs w:val="24"/>
          <w:highlight w:val="none"/>
          <w:lang w:eastAsia="zh-CN"/>
        </w:rPr>
        <w:t>3.3.1除投标人须知前附表另有规定外，投标有效期为</w:t>
      </w:r>
      <w:r>
        <w:rPr>
          <w:rFonts w:hint="eastAsia"/>
          <w:sz w:val="24"/>
          <w:szCs w:val="24"/>
          <w:highlight w:val="none"/>
          <w:lang w:val="en-US" w:eastAsia="zh-CN"/>
        </w:rPr>
        <w:t>90</w:t>
      </w:r>
      <w:r>
        <w:rPr>
          <w:sz w:val="24"/>
          <w:szCs w:val="24"/>
          <w:highlight w:val="none"/>
          <w:lang w:eastAsia="zh-CN"/>
        </w:rPr>
        <w:t>天。</w:t>
      </w:r>
    </w:p>
    <w:p w14:paraId="31BA6CD7">
      <w:pPr>
        <w:pStyle w:val="11"/>
        <w:spacing w:line="360" w:lineRule="auto"/>
        <w:ind w:left="0" w:firstLine="480" w:firstLineChars="200"/>
        <w:jc w:val="both"/>
        <w:rPr>
          <w:sz w:val="24"/>
          <w:szCs w:val="24"/>
          <w:highlight w:val="none"/>
          <w:lang w:eastAsia="zh-CN"/>
        </w:rPr>
      </w:pPr>
      <w:r>
        <w:rPr>
          <w:sz w:val="24"/>
          <w:szCs w:val="24"/>
          <w:highlight w:val="none"/>
          <w:lang w:eastAsia="zh-CN"/>
        </w:rPr>
        <w:t>3.3.2在投标有效期内，投标人撤销投标文件的，应承担招标文件和法律规定的责任。</w:t>
      </w:r>
    </w:p>
    <w:p w14:paraId="6B20A808">
      <w:pPr>
        <w:pStyle w:val="11"/>
        <w:spacing w:line="360" w:lineRule="auto"/>
        <w:ind w:left="0" w:firstLine="480" w:firstLineChars="200"/>
        <w:jc w:val="both"/>
        <w:rPr>
          <w:sz w:val="24"/>
          <w:szCs w:val="24"/>
          <w:highlight w:val="none"/>
          <w:lang w:eastAsia="zh-CN"/>
        </w:rPr>
      </w:pPr>
      <w:r>
        <w:rPr>
          <w:sz w:val="24"/>
          <w:szCs w:val="24"/>
          <w:highlight w:val="none"/>
          <w:lang w:eastAsia="zh-CN"/>
        </w:rPr>
        <w:t>3.3.3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者支票形式递交的投标保证金的银行同期存款利息。</w:t>
      </w:r>
    </w:p>
    <w:p w14:paraId="39A2408A">
      <w:pPr>
        <w:spacing w:line="360" w:lineRule="auto"/>
        <w:jc w:val="both"/>
        <w:rPr>
          <w:rFonts w:ascii="宋体" w:hAnsi="宋体" w:eastAsia="宋体"/>
          <w:sz w:val="24"/>
          <w:szCs w:val="24"/>
          <w:highlight w:val="none"/>
          <w:lang w:eastAsia="zh-CN"/>
        </w:rPr>
      </w:pPr>
    </w:p>
    <w:p w14:paraId="42104C39">
      <w:pPr>
        <w:pStyle w:val="5"/>
        <w:spacing w:line="360" w:lineRule="auto"/>
        <w:ind w:right="44"/>
        <w:jc w:val="both"/>
        <w:rPr>
          <w:rFonts w:hint="default"/>
          <w:b/>
          <w:bCs/>
          <w:highlight w:val="none"/>
          <w:lang w:val="en-US" w:eastAsia="zh-CN"/>
        </w:rPr>
      </w:pPr>
      <w:r>
        <w:rPr>
          <w:b/>
          <w:bCs/>
          <w:highlight w:val="none"/>
          <w:lang w:eastAsia="zh-CN"/>
        </w:rPr>
        <w:t>3.4投标保证金</w:t>
      </w:r>
      <w:r>
        <w:rPr>
          <w:rFonts w:hint="eastAsia"/>
          <w:b/>
          <w:bCs/>
          <w:highlight w:val="none"/>
          <w:lang w:eastAsia="zh-CN"/>
        </w:rPr>
        <w:t>（</w:t>
      </w:r>
      <w:r>
        <w:rPr>
          <w:rFonts w:hint="eastAsia"/>
          <w:b/>
          <w:bCs/>
          <w:highlight w:val="none"/>
          <w:lang w:val="en-US" w:eastAsia="zh-CN"/>
        </w:rPr>
        <w:t>本项目不需递交投标保证金）</w:t>
      </w:r>
    </w:p>
    <w:p w14:paraId="39269279">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3.4.1投标人在递交投标文件的同时，应按投标人须知前附表规定的金额、形式和第六章“投标文件格式”规定的投标保证金格式递交投标保证金，并作为其投标文件的组成部分。境内投标人以现金或者支票形式提交的投标保证金，应当从其基本账户转出并在投标文件中附上基本账户开户证明。联合体投标的，其投标保证金可以由牵头人递交，并应符合投标人须知前附表的规定。</w:t>
      </w:r>
    </w:p>
    <w:p w14:paraId="64627338">
      <w:pPr>
        <w:pStyle w:val="11"/>
        <w:spacing w:line="360" w:lineRule="auto"/>
        <w:ind w:left="0" w:firstLine="480" w:firstLineChars="200"/>
        <w:jc w:val="both"/>
        <w:rPr>
          <w:rFonts w:hint="eastAsia"/>
          <w:strike/>
          <w:sz w:val="24"/>
          <w:szCs w:val="24"/>
          <w:highlight w:val="none"/>
          <w:lang w:eastAsia="zh-CN"/>
        </w:rPr>
      </w:pPr>
      <w:r>
        <w:rPr>
          <w:strike/>
          <w:sz w:val="24"/>
          <w:szCs w:val="24"/>
          <w:highlight w:val="none"/>
          <w:lang w:eastAsia="zh-CN"/>
        </w:rPr>
        <w:t>3.4.2投标人不按本章第 3.4.1项要求提交投标保证金的，评标委员会将否决其投标。</w:t>
      </w:r>
    </w:p>
    <w:p w14:paraId="26C9DC2B">
      <w:pPr>
        <w:pStyle w:val="11"/>
        <w:spacing w:line="360" w:lineRule="auto"/>
        <w:ind w:left="0" w:firstLine="480" w:firstLineChars="200"/>
        <w:jc w:val="both"/>
        <w:rPr>
          <w:strike/>
          <w:sz w:val="24"/>
          <w:szCs w:val="24"/>
          <w:highlight w:val="none"/>
          <w:u w:val="single"/>
          <w:lang w:eastAsia="zh-CN"/>
        </w:rPr>
      </w:pPr>
      <w:r>
        <w:rPr>
          <w:strike/>
          <w:sz w:val="24"/>
          <w:szCs w:val="24"/>
          <w:highlight w:val="none"/>
          <w:lang w:eastAsia="zh-CN"/>
        </w:rPr>
        <w:t>3.4.3 招标人最迟将在与中标人签订合同后 5日内，向未中标的投标人和中标人退还投标保证金。投标保证金以现金或者支票形式递交的，还应退还银行同期存款利息。</w:t>
      </w:r>
      <w:r>
        <w:rPr>
          <w:rFonts w:hint="eastAsia"/>
          <w:strike/>
          <w:sz w:val="24"/>
          <w:szCs w:val="24"/>
          <w:highlight w:val="none"/>
          <w:u w:val="single"/>
          <w:lang w:eastAsia="zh-CN"/>
        </w:rPr>
        <w:t>如出现异议或投诉，则投标有效期自动延长至异议或投诉处理结束。在提交投标文件截止时间后到招标文件规定的投标有效期终止之前，投标人不得补充、修改或者撤回其投标文件，否则其保证金将不予退还。招标人因特殊情况需要延长提交投标文件截止时间，投标人可以拒绝投标，招标人对退出的投标人不作任何经济补偿。同意延长投标有效期的投标人，在延长期内本招标文件的规定仍然适用。</w:t>
      </w:r>
    </w:p>
    <w:p w14:paraId="6E1D8AE6">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3.4.4有下列情形之一的，投标保证金将不予退还：</w:t>
      </w:r>
    </w:p>
    <w:p w14:paraId="51800746">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（1）投标人在投标有效期内撤销投标文件；</w:t>
      </w:r>
    </w:p>
    <w:p w14:paraId="790FECA1">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（2）中标人在收到中标通知书后，无正当理由不与招标人订立合同，在签订合同时向招标人提出附加条件，或者不按照招标文件要求提交履约保证金；</w:t>
      </w:r>
    </w:p>
    <w:p w14:paraId="50A7478A">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（3）发生投标人须知前附表规定的其他可以不予退还投标保证金的情形。</w:t>
      </w:r>
    </w:p>
    <w:p w14:paraId="51497707">
      <w:pPr>
        <w:spacing w:line="360" w:lineRule="auto"/>
        <w:jc w:val="both"/>
        <w:rPr>
          <w:rFonts w:ascii="宋体" w:hAnsi="宋体" w:eastAsia="宋体"/>
          <w:sz w:val="24"/>
          <w:szCs w:val="24"/>
          <w:highlight w:val="none"/>
          <w:lang w:eastAsia="zh-CN"/>
        </w:rPr>
      </w:pPr>
    </w:p>
    <w:p w14:paraId="3DD220CC">
      <w:pPr>
        <w:pStyle w:val="5"/>
        <w:spacing w:line="360" w:lineRule="auto"/>
        <w:ind w:right="44"/>
        <w:jc w:val="both"/>
        <w:rPr>
          <w:b/>
          <w:bCs/>
          <w:highlight w:val="none"/>
          <w:lang w:eastAsia="zh-CN"/>
        </w:rPr>
      </w:pPr>
      <w:r>
        <w:rPr>
          <w:b/>
          <w:bCs/>
          <w:highlight w:val="none"/>
          <w:lang w:eastAsia="zh-CN"/>
        </w:rPr>
        <w:t>3.5资格审查资料（适用于未进行资格预审的）</w:t>
      </w:r>
    </w:p>
    <w:p w14:paraId="510DA992">
      <w:pPr>
        <w:pStyle w:val="11"/>
        <w:spacing w:line="360" w:lineRule="auto"/>
        <w:ind w:left="0" w:firstLine="480" w:firstLineChars="200"/>
        <w:jc w:val="both"/>
        <w:rPr>
          <w:sz w:val="24"/>
          <w:szCs w:val="24"/>
          <w:highlight w:val="none"/>
          <w:lang w:eastAsia="zh-CN"/>
        </w:rPr>
      </w:pPr>
      <w:r>
        <w:rPr>
          <w:sz w:val="24"/>
          <w:szCs w:val="24"/>
          <w:highlight w:val="none"/>
          <w:lang w:eastAsia="zh-CN"/>
        </w:rPr>
        <w:t>除投标人须知前附表另有规定外，投标人应按规定提供资格审查资料，以证明其满足本章第1.4款规定的资质、</w:t>
      </w:r>
      <w:r>
        <w:rPr>
          <w:strike/>
          <w:sz w:val="24"/>
          <w:szCs w:val="24"/>
          <w:highlight w:val="none"/>
          <w:lang w:eastAsia="zh-CN"/>
        </w:rPr>
        <w:t>财务、</w:t>
      </w:r>
      <w:r>
        <w:rPr>
          <w:strike w:val="0"/>
          <w:sz w:val="24"/>
          <w:szCs w:val="24"/>
          <w:highlight w:val="none"/>
          <w:lang w:eastAsia="zh-CN"/>
        </w:rPr>
        <w:t>业绩、</w:t>
      </w:r>
      <w:r>
        <w:rPr>
          <w:strike/>
          <w:sz w:val="24"/>
          <w:szCs w:val="24"/>
          <w:highlight w:val="none"/>
          <w:lang w:eastAsia="zh-CN"/>
        </w:rPr>
        <w:t>信誉</w:t>
      </w:r>
      <w:r>
        <w:rPr>
          <w:sz w:val="24"/>
          <w:szCs w:val="24"/>
          <w:highlight w:val="none"/>
          <w:lang w:eastAsia="zh-CN"/>
        </w:rPr>
        <w:t>等要求。</w:t>
      </w:r>
    </w:p>
    <w:p w14:paraId="303DD700">
      <w:pPr>
        <w:pStyle w:val="11"/>
        <w:spacing w:line="360" w:lineRule="auto"/>
        <w:ind w:left="0" w:firstLine="480" w:firstLineChars="200"/>
        <w:jc w:val="both"/>
        <w:rPr>
          <w:sz w:val="24"/>
          <w:szCs w:val="24"/>
          <w:highlight w:val="none"/>
          <w:lang w:eastAsia="zh-CN"/>
        </w:rPr>
      </w:pPr>
      <w:r>
        <w:rPr>
          <w:sz w:val="24"/>
          <w:szCs w:val="24"/>
          <w:highlight w:val="none"/>
          <w:lang w:eastAsia="zh-CN"/>
        </w:rPr>
        <w:t>3.5.1“投标人基本情况表”应附投标人营业执照和组织机构代码证的</w:t>
      </w:r>
      <w:r>
        <w:rPr>
          <w:rFonts w:hint="eastAsia"/>
          <w:sz w:val="24"/>
          <w:szCs w:val="24"/>
          <w:highlight w:val="none"/>
          <w:lang w:eastAsia="zh-CN"/>
        </w:rPr>
        <w:t>扫描</w:t>
      </w:r>
      <w:r>
        <w:rPr>
          <w:sz w:val="24"/>
          <w:szCs w:val="24"/>
          <w:highlight w:val="none"/>
          <w:lang w:eastAsia="zh-CN"/>
        </w:rPr>
        <w:t>件（按照“三证合一”或“五证合一”登记制度进行登记的，可仅提供营业执照</w:t>
      </w:r>
      <w:r>
        <w:rPr>
          <w:rFonts w:hint="eastAsia"/>
          <w:sz w:val="24"/>
          <w:szCs w:val="24"/>
          <w:highlight w:val="none"/>
          <w:lang w:eastAsia="zh-CN"/>
        </w:rPr>
        <w:t>扫描</w:t>
      </w:r>
      <w:r>
        <w:rPr>
          <w:sz w:val="24"/>
          <w:szCs w:val="24"/>
          <w:highlight w:val="none"/>
          <w:lang w:eastAsia="zh-CN"/>
        </w:rPr>
        <w:t>件）、投标人设计资质证书副本等材料的</w:t>
      </w:r>
      <w:r>
        <w:rPr>
          <w:rFonts w:hint="eastAsia"/>
          <w:sz w:val="24"/>
          <w:szCs w:val="24"/>
          <w:highlight w:val="none"/>
          <w:lang w:eastAsia="zh-CN"/>
        </w:rPr>
        <w:t>扫描</w:t>
      </w:r>
      <w:r>
        <w:rPr>
          <w:sz w:val="24"/>
          <w:szCs w:val="24"/>
          <w:highlight w:val="none"/>
          <w:lang w:eastAsia="zh-CN"/>
        </w:rPr>
        <w:t>件。</w:t>
      </w:r>
    </w:p>
    <w:p w14:paraId="4C9EAFBD">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3.5.2“近年财务状况表”应附经会计师事务所或审计机构审计的财务会计报表，包括资产负债表、现金流量表、利润表和财务情况说明书的</w:t>
      </w:r>
      <w:r>
        <w:rPr>
          <w:rFonts w:hint="eastAsia"/>
          <w:strike/>
          <w:sz w:val="24"/>
          <w:szCs w:val="24"/>
          <w:highlight w:val="none"/>
          <w:lang w:eastAsia="zh-CN"/>
        </w:rPr>
        <w:t>扫描</w:t>
      </w:r>
      <w:r>
        <w:rPr>
          <w:strike/>
          <w:sz w:val="24"/>
          <w:szCs w:val="24"/>
          <w:highlight w:val="none"/>
          <w:lang w:eastAsia="zh-CN"/>
        </w:rPr>
        <w:t>件，具体年份要求见投标人须知前附表。投标人的成立时间少于投标人须知前附表规定年份的，应提供成立以来的财务状况表。</w:t>
      </w:r>
    </w:p>
    <w:p w14:paraId="0BF72082">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3.5.3“近年完成的类似设计项目情况表”应附中标通知书和（或）合同协议书、发包人出具的证明文件；具体时间要求见投标人须知前附表，每张表格只填写一个项目，并标明序号。</w:t>
      </w:r>
    </w:p>
    <w:p w14:paraId="55CD2CD7">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3.5.4“正在设计和新承接的项目情况表”应附中标通知书和（或）合同协议书</w:t>
      </w:r>
      <w:r>
        <w:rPr>
          <w:rFonts w:hint="eastAsia"/>
          <w:strike/>
          <w:sz w:val="24"/>
          <w:szCs w:val="24"/>
          <w:highlight w:val="none"/>
          <w:lang w:eastAsia="zh-CN"/>
        </w:rPr>
        <w:t>扫描</w:t>
      </w:r>
      <w:r>
        <w:rPr>
          <w:strike/>
          <w:sz w:val="24"/>
          <w:szCs w:val="24"/>
          <w:highlight w:val="none"/>
          <w:lang w:eastAsia="zh-CN"/>
        </w:rPr>
        <w:t>件。每张表格只填写一个项目，并标明序号。</w:t>
      </w:r>
    </w:p>
    <w:p w14:paraId="50214766">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3.5.5“近年发生的诉讼及仲裁情况”应说明投标人败诉的设计合同的相关情况，并附法院或仲裁机构作出的判决、裁决等有关法律文书</w:t>
      </w:r>
      <w:r>
        <w:rPr>
          <w:rFonts w:hint="eastAsia"/>
          <w:strike/>
          <w:sz w:val="24"/>
          <w:szCs w:val="24"/>
          <w:highlight w:val="none"/>
          <w:lang w:eastAsia="zh-CN"/>
        </w:rPr>
        <w:t>扫描</w:t>
      </w:r>
      <w:r>
        <w:rPr>
          <w:strike/>
          <w:sz w:val="24"/>
          <w:szCs w:val="24"/>
          <w:highlight w:val="none"/>
          <w:lang w:eastAsia="zh-CN"/>
        </w:rPr>
        <w:t>件，具体时间要求见投标人须知前附表。</w:t>
      </w:r>
    </w:p>
    <w:p w14:paraId="042F60CC">
      <w:pPr>
        <w:pStyle w:val="11"/>
        <w:spacing w:line="360" w:lineRule="auto"/>
        <w:ind w:left="0" w:firstLine="480" w:firstLineChars="200"/>
        <w:jc w:val="both"/>
        <w:rPr>
          <w:sz w:val="24"/>
          <w:szCs w:val="24"/>
          <w:highlight w:val="none"/>
          <w:lang w:eastAsia="zh-CN"/>
        </w:rPr>
      </w:pPr>
      <w:r>
        <w:rPr>
          <w:strike/>
          <w:sz w:val="24"/>
          <w:szCs w:val="24"/>
          <w:highlight w:val="none"/>
          <w:lang w:eastAsia="zh-CN"/>
        </w:rPr>
        <w:t>3.5.6“拟委任的主要人员汇总表”应填报满足本章第 1.4.1项规定的项目负责人和其他主要人员的相关信息。“主要人员简历表”中项目负责人应附身份证、学历证、职称证、执业资格证书和社保缴费证明</w:t>
      </w:r>
      <w:r>
        <w:rPr>
          <w:rFonts w:hint="eastAsia"/>
          <w:strike/>
          <w:sz w:val="24"/>
          <w:szCs w:val="24"/>
          <w:highlight w:val="none"/>
          <w:lang w:eastAsia="zh-CN"/>
        </w:rPr>
        <w:t>扫描</w:t>
      </w:r>
      <w:r>
        <w:rPr>
          <w:strike/>
          <w:sz w:val="24"/>
          <w:szCs w:val="24"/>
          <w:highlight w:val="none"/>
          <w:lang w:eastAsia="zh-CN"/>
        </w:rPr>
        <w:t>件，管理过的项目业绩须附合同协议书</w:t>
      </w:r>
      <w:r>
        <w:rPr>
          <w:rFonts w:hint="eastAsia"/>
          <w:strike/>
          <w:sz w:val="24"/>
          <w:szCs w:val="24"/>
          <w:highlight w:val="none"/>
          <w:lang w:eastAsia="zh-CN"/>
        </w:rPr>
        <w:t>扫描</w:t>
      </w:r>
      <w:r>
        <w:rPr>
          <w:strike/>
          <w:sz w:val="24"/>
          <w:szCs w:val="24"/>
          <w:highlight w:val="none"/>
          <w:lang w:eastAsia="zh-CN"/>
        </w:rPr>
        <w:t>件；其他主要人员应附身份证、学历证、职称证、有关证书和社保缴费证明</w:t>
      </w:r>
      <w:r>
        <w:rPr>
          <w:rFonts w:hint="eastAsia"/>
          <w:strike/>
          <w:sz w:val="24"/>
          <w:szCs w:val="24"/>
          <w:highlight w:val="none"/>
          <w:lang w:eastAsia="zh-CN"/>
        </w:rPr>
        <w:t>扫描</w:t>
      </w:r>
      <w:r>
        <w:rPr>
          <w:strike/>
          <w:sz w:val="24"/>
          <w:szCs w:val="24"/>
          <w:highlight w:val="none"/>
          <w:lang w:eastAsia="zh-CN"/>
        </w:rPr>
        <w:t>件。</w:t>
      </w:r>
    </w:p>
    <w:p w14:paraId="6B8B817F">
      <w:pPr>
        <w:pStyle w:val="11"/>
        <w:spacing w:line="360" w:lineRule="auto"/>
        <w:ind w:left="0" w:firstLine="480" w:firstLineChars="200"/>
        <w:jc w:val="both"/>
        <w:rPr>
          <w:strike/>
          <w:sz w:val="24"/>
          <w:szCs w:val="24"/>
          <w:highlight w:val="none"/>
          <w:lang w:eastAsia="zh-CN"/>
        </w:rPr>
      </w:pPr>
      <w:r>
        <w:rPr>
          <w:strike/>
          <w:sz w:val="24"/>
          <w:szCs w:val="24"/>
          <w:highlight w:val="none"/>
          <w:lang w:eastAsia="zh-CN"/>
        </w:rPr>
        <w:t>3.5.7投标人须知前附表规定接受联合体投标的，本章第3.5.1项至第3.5.6项规定的表格和资料应包括联合体各方相关情况。</w:t>
      </w:r>
    </w:p>
    <w:p w14:paraId="34CAE22A">
      <w:pPr>
        <w:spacing w:line="360" w:lineRule="auto"/>
        <w:jc w:val="both"/>
        <w:rPr>
          <w:rFonts w:ascii="宋体" w:hAnsi="宋体" w:eastAsia="宋体"/>
          <w:sz w:val="24"/>
          <w:szCs w:val="24"/>
          <w:highlight w:val="none"/>
          <w:lang w:eastAsia="zh-CN"/>
        </w:rPr>
      </w:pPr>
    </w:p>
    <w:p w14:paraId="329D7B6A">
      <w:pPr>
        <w:pStyle w:val="5"/>
        <w:spacing w:line="360" w:lineRule="auto"/>
        <w:ind w:right="44"/>
        <w:jc w:val="both"/>
        <w:rPr>
          <w:b/>
          <w:bCs/>
          <w:highlight w:val="none"/>
          <w:lang w:eastAsia="zh-CN"/>
        </w:rPr>
      </w:pPr>
      <w:r>
        <w:rPr>
          <w:b/>
          <w:bCs/>
          <w:highlight w:val="none"/>
          <w:lang w:eastAsia="zh-CN"/>
        </w:rPr>
        <w:t>3.6备选投标方案</w:t>
      </w:r>
    </w:p>
    <w:p w14:paraId="43D7ABD7">
      <w:pPr>
        <w:pStyle w:val="11"/>
        <w:spacing w:line="360" w:lineRule="auto"/>
        <w:ind w:left="0" w:firstLine="480" w:firstLineChars="200"/>
        <w:jc w:val="both"/>
        <w:rPr>
          <w:rFonts w:hint="eastAsia"/>
          <w:sz w:val="24"/>
          <w:szCs w:val="24"/>
          <w:highlight w:val="none"/>
          <w:lang w:eastAsia="zh-CN"/>
        </w:rPr>
      </w:pPr>
      <w:r>
        <w:rPr>
          <w:rFonts w:hint="eastAsia"/>
          <w:sz w:val="24"/>
          <w:szCs w:val="24"/>
          <w:highlight w:val="none"/>
          <w:lang w:eastAsia="zh-CN"/>
        </w:rPr>
        <w:t>不允许递交备选投标方案。</w:t>
      </w:r>
    </w:p>
    <w:p w14:paraId="5910DFCF">
      <w:pPr>
        <w:spacing w:line="360" w:lineRule="auto"/>
        <w:jc w:val="both"/>
        <w:rPr>
          <w:rFonts w:ascii="宋体" w:hAnsi="宋体" w:eastAsia="宋体"/>
          <w:sz w:val="24"/>
          <w:szCs w:val="24"/>
          <w:highlight w:val="none"/>
          <w:lang w:eastAsia="zh-CN"/>
        </w:rPr>
      </w:pPr>
    </w:p>
    <w:p w14:paraId="56D83314">
      <w:pPr>
        <w:pStyle w:val="5"/>
        <w:spacing w:line="360" w:lineRule="auto"/>
        <w:ind w:right="44"/>
        <w:jc w:val="both"/>
        <w:rPr>
          <w:b/>
          <w:bCs/>
          <w:highlight w:val="none"/>
          <w:lang w:eastAsia="zh-CN"/>
        </w:rPr>
      </w:pPr>
      <w:r>
        <w:rPr>
          <w:b/>
          <w:bCs/>
          <w:highlight w:val="none"/>
          <w:lang w:eastAsia="zh-CN"/>
        </w:rPr>
        <w:t>3.7投标文件的编制</w:t>
      </w:r>
    </w:p>
    <w:p w14:paraId="6CF267B5">
      <w:pPr>
        <w:pStyle w:val="11"/>
        <w:spacing w:line="360" w:lineRule="auto"/>
        <w:ind w:left="0" w:firstLine="480" w:firstLineChars="200"/>
        <w:jc w:val="both"/>
        <w:rPr>
          <w:sz w:val="24"/>
          <w:szCs w:val="24"/>
          <w:highlight w:val="none"/>
          <w:lang w:eastAsia="zh-CN"/>
        </w:rPr>
      </w:pPr>
      <w:r>
        <w:rPr>
          <w:sz w:val="24"/>
          <w:szCs w:val="24"/>
          <w:highlight w:val="none"/>
          <w:lang w:eastAsia="zh-CN"/>
        </w:rPr>
        <w:t>3.7.1投标文件应按第六章“投标文件格式”进行编写，如有必要，可以增加附页，作为投标文件的组成部分。其中，投标函附录在满足招标文件实质性要求的基础上，可以提出比招标文件要求更有利于招标人的承诺。</w:t>
      </w:r>
    </w:p>
    <w:p w14:paraId="502FB134">
      <w:pPr>
        <w:pStyle w:val="11"/>
        <w:spacing w:line="360" w:lineRule="auto"/>
        <w:ind w:left="0" w:firstLine="480" w:firstLineChars="200"/>
        <w:jc w:val="both"/>
        <w:rPr>
          <w:sz w:val="24"/>
          <w:szCs w:val="24"/>
          <w:highlight w:val="none"/>
          <w:lang w:eastAsia="zh-CN"/>
        </w:rPr>
      </w:pPr>
      <w:r>
        <w:rPr>
          <w:sz w:val="24"/>
          <w:szCs w:val="24"/>
          <w:highlight w:val="none"/>
          <w:lang w:eastAsia="zh-CN"/>
        </w:rPr>
        <w:t>3.7.2投标文件应当对招标文件有关设计服务期限、投标有效期、发包人要求、招标范围等实质性内容作出响应。</w:t>
      </w:r>
    </w:p>
    <w:p w14:paraId="5B53B114">
      <w:pPr>
        <w:pStyle w:val="11"/>
        <w:spacing w:line="360" w:lineRule="auto"/>
        <w:ind w:left="0" w:firstLine="480" w:firstLineChars="200"/>
        <w:jc w:val="both"/>
        <w:rPr>
          <w:sz w:val="24"/>
          <w:szCs w:val="24"/>
          <w:highlight w:val="none"/>
          <w:lang w:eastAsia="zh-CN"/>
        </w:rPr>
      </w:pPr>
      <w:r>
        <w:rPr>
          <w:sz w:val="24"/>
          <w:szCs w:val="24"/>
          <w:highlight w:val="none"/>
          <w:lang w:eastAsia="zh-CN"/>
        </w:rPr>
        <w:t>3.7.3（B）投标文件全部采用电子文档，除投标人须知前附表另有规定外，投标文件所附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w:t>
      </w:r>
      <w:r>
        <w:rPr>
          <w:rFonts w:ascii="宋体" w:hAnsi="宋体" w:eastAsia="宋体" w:cs="Times New Roman"/>
          <w:sz w:val="24"/>
          <w:szCs w:val="24"/>
          <w:highlight w:val="none"/>
          <w:lang w:eastAsia="zh-CN"/>
        </w:rPr>
        <w:t>。签字或盖章的具体要求见投标人须知前附表。</w:t>
      </w:r>
      <w:r>
        <w:rPr>
          <w:rFonts w:hint="default" w:ascii="宋体" w:hAnsi="宋体" w:eastAsia="宋体" w:cs="Times New Roman"/>
          <w:b w:val="0"/>
          <w:bCs w:val="0"/>
          <w:color w:val="auto"/>
          <w:sz w:val="24"/>
          <w:szCs w:val="24"/>
          <w:highlight w:val="none"/>
          <w:u w:val="none"/>
          <w:lang w:eastAsia="zh-CN"/>
        </w:rPr>
        <w:t>联合体投标的，除《联合体投标协议书》必须联合体各方分别按要求进行签字、盖章外，投标文件封面及其他内容落款中的“投标人”应填写联合体各方的单位全称【格式为：(主)XXXX公司(成)XXXX公司(成)……】，由联合体牵头方签字、盖章即可。</w:t>
      </w:r>
    </w:p>
    <w:p w14:paraId="03A1E94E">
      <w:pPr>
        <w:spacing w:line="360" w:lineRule="auto"/>
        <w:jc w:val="both"/>
        <w:rPr>
          <w:rFonts w:ascii="宋体" w:hAnsi="宋体" w:eastAsia="宋体"/>
          <w:sz w:val="24"/>
          <w:szCs w:val="24"/>
          <w:highlight w:val="none"/>
          <w:lang w:eastAsia="zh-CN"/>
        </w:rPr>
      </w:pPr>
      <w:bookmarkStart w:id="19" w:name="_Toc25137985"/>
    </w:p>
    <w:p w14:paraId="1696A12B">
      <w:pPr>
        <w:pStyle w:val="4"/>
        <w:spacing w:line="360" w:lineRule="auto"/>
        <w:ind w:right="44"/>
        <w:jc w:val="both"/>
        <w:rPr>
          <w:rFonts w:ascii="宋体" w:hAnsi="宋体" w:eastAsia="宋体"/>
          <w:highlight w:val="none"/>
          <w:lang w:eastAsia="zh-CN"/>
        </w:rPr>
      </w:pPr>
      <w:bookmarkStart w:id="20" w:name="_Toc25152735"/>
      <w:bookmarkStart w:id="21" w:name="_Toc11594"/>
      <w:r>
        <w:rPr>
          <w:rFonts w:ascii="宋体" w:hAnsi="宋体" w:eastAsia="宋体"/>
          <w:highlight w:val="none"/>
          <w:lang w:eastAsia="zh-CN"/>
        </w:rPr>
        <w:t>4. 投标</w:t>
      </w:r>
      <w:bookmarkEnd w:id="19"/>
      <w:bookmarkEnd w:id="20"/>
      <w:bookmarkEnd w:id="21"/>
    </w:p>
    <w:p w14:paraId="1DEED716">
      <w:pPr>
        <w:pStyle w:val="5"/>
        <w:spacing w:line="360" w:lineRule="auto"/>
        <w:ind w:right="44"/>
        <w:jc w:val="both"/>
        <w:rPr>
          <w:b/>
          <w:bCs/>
          <w:highlight w:val="none"/>
          <w:lang w:eastAsia="zh-CN"/>
        </w:rPr>
      </w:pPr>
      <w:r>
        <w:rPr>
          <w:b/>
          <w:bCs/>
          <w:highlight w:val="none"/>
          <w:lang w:eastAsia="zh-CN"/>
        </w:rPr>
        <w:t>4.1投标文件的密封和标记</w:t>
      </w:r>
    </w:p>
    <w:p w14:paraId="67F71CF8">
      <w:pPr>
        <w:pStyle w:val="11"/>
        <w:spacing w:line="360" w:lineRule="auto"/>
        <w:ind w:left="0" w:firstLine="480" w:firstLineChars="200"/>
        <w:jc w:val="both"/>
        <w:rPr>
          <w:sz w:val="24"/>
          <w:szCs w:val="24"/>
          <w:highlight w:val="none"/>
          <w:lang w:eastAsia="zh-CN"/>
        </w:rPr>
      </w:pPr>
      <w:r>
        <w:rPr>
          <w:sz w:val="24"/>
          <w:szCs w:val="24"/>
          <w:highlight w:val="none"/>
          <w:lang w:eastAsia="zh-CN"/>
        </w:rPr>
        <w:t>4.1.1（B）投标人应当按照招标文件和电子招标投标交易平台的要求加密投标文件，具体要求见投标人须知前附表。</w:t>
      </w:r>
    </w:p>
    <w:p w14:paraId="55AC2E02">
      <w:pPr>
        <w:pStyle w:val="11"/>
        <w:spacing w:line="360" w:lineRule="auto"/>
        <w:ind w:left="0" w:firstLine="480" w:firstLineChars="200"/>
        <w:jc w:val="both"/>
        <w:rPr>
          <w:sz w:val="24"/>
          <w:szCs w:val="24"/>
          <w:highlight w:val="none"/>
          <w:lang w:eastAsia="zh-CN"/>
        </w:rPr>
      </w:pPr>
      <w:r>
        <w:rPr>
          <w:sz w:val="24"/>
          <w:szCs w:val="24"/>
          <w:highlight w:val="none"/>
          <w:lang w:eastAsia="zh-CN"/>
        </w:rPr>
        <w:t>4.1.2投标文件</w:t>
      </w:r>
      <w:r>
        <w:rPr>
          <w:rFonts w:hint="eastAsia"/>
          <w:b/>
          <w:sz w:val="24"/>
          <w:szCs w:val="24"/>
          <w:highlight w:val="none"/>
          <w:u w:val="single"/>
          <w:lang w:eastAsia="zh-CN"/>
        </w:rPr>
        <w:t>备用光盘</w:t>
      </w:r>
      <w:r>
        <w:rPr>
          <w:sz w:val="24"/>
          <w:szCs w:val="24"/>
          <w:highlight w:val="none"/>
          <w:lang w:eastAsia="zh-CN"/>
        </w:rPr>
        <w:t>封套上应写明的内容见投标人须知前附表。</w:t>
      </w:r>
    </w:p>
    <w:p w14:paraId="74BF6084">
      <w:pPr>
        <w:pStyle w:val="11"/>
        <w:spacing w:line="360" w:lineRule="auto"/>
        <w:ind w:left="0" w:firstLine="480" w:firstLineChars="200"/>
        <w:jc w:val="both"/>
        <w:rPr>
          <w:sz w:val="24"/>
          <w:szCs w:val="24"/>
          <w:highlight w:val="none"/>
          <w:lang w:eastAsia="zh-CN"/>
        </w:rPr>
      </w:pPr>
      <w:r>
        <w:rPr>
          <w:sz w:val="24"/>
          <w:szCs w:val="24"/>
          <w:highlight w:val="none"/>
          <w:lang w:eastAsia="zh-CN"/>
        </w:rPr>
        <w:t>4.1.3未按本章第 4.1.1项要求密封的投标文件，招标人将予以拒收。</w:t>
      </w:r>
    </w:p>
    <w:p w14:paraId="630D5AC8">
      <w:pPr>
        <w:spacing w:line="360" w:lineRule="auto"/>
        <w:jc w:val="both"/>
        <w:rPr>
          <w:rFonts w:ascii="宋体" w:hAnsi="宋体" w:eastAsia="宋体"/>
          <w:sz w:val="24"/>
          <w:szCs w:val="24"/>
          <w:highlight w:val="none"/>
          <w:lang w:eastAsia="zh-CN"/>
        </w:rPr>
      </w:pPr>
    </w:p>
    <w:p w14:paraId="1DB33BC0">
      <w:pPr>
        <w:pStyle w:val="5"/>
        <w:spacing w:line="360" w:lineRule="auto"/>
        <w:ind w:right="44"/>
        <w:jc w:val="both"/>
        <w:rPr>
          <w:b/>
          <w:bCs/>
          <w:highlight w:val="none"/>
          <w:lang w:eastAsia="zh-CN"/>
        </w:rPr>
      </w:pPr>
      <w:r>
        <w:rPr>
          <w:b/>
          <w:bCs/>
          <w:highlight w:val="none"/>
          <w:lang w:eastAsia="zh-CN"/>
        </w:rPr>
        <w:t>4.2投标文件的递交</w:t>
      </w:r>
    </w:p>
    <w:p w14:paraId="7A2C7861">
      <w:pPr>
        <w:pStyle w:val="11"/>
        <w:spacing w:line="360" w:lineRule="auto"/>
        <w:ind w:left="0" w:firstLine="480" w:firstLineChars="200"/>
        <w:jc w:val="both"/>
        <w:rPr>
          <w:sz w:val="24"/>
          <w:szCs w:val="24"/>
          <w:highlight w:val="none"/>
          <w:lang w:eastAsia="zh-CN"/>
        </w:rPr>
      </w:pPr>
      <w:r>
        <w:rPr>
          <w:sz w:val="24"/>
          <w:szCs w:val="24"/>
          <w:highlight w:val="none"/>
          <w:lang w:eastAsia="zh-CN"/>
        </w:rPr>
        <w:t>4.2.1投标人应在投标人须知前附表规定的投标截止时间前递交投标文件。</w:t>
      </w:r>
    </w:p>
    <w:p w14:paraId="7D3D197A">
      <w:pPr>
        <w:pStyle w:val="11"/>
        <w:spacing w:line="360" w:lineRule="auto"/>
        <w:ind w:left="0" w:firstLine="480" w:firstLineChars="200"/>
        <w:jc w:val="both"/>
        <w:rPr>
          <w:sz w:val="24"/>
          <w:szCs w:val="24"/>
          <w:highlight w:val="none"/>
          <w:lang w:eastAsia="zh-CN"/>
        </w:rPr>
      </w:pPr>
      <w:r>
        <w:rPr>
          <w:sz w:val="24"/>
          <w:szCs w:val="24"/>
          <w:highlight w:val="none"/>
          <w:lang w:eastAsia="zh-CN"/>
        </w:rPr>
        <w:t>4.2.2（B）投标人通过下载招标文件的电子招标投标交易平台递交电子投标文件。</w:t>
      </w:r>
    </w:p>
    <w:p w14:paraId="7210B0BF">
      <w:pPr>
        <w:pStyle w:val="11"/>
        <w:spacing w:line="360" w:lineRule="auto"/>
        <w:ind w:left="0" w:firstLine="480" w:firstLineChars="200"/>
        <w:jc w:val="both"/>
        <w:rPr>
          <w:sz w:val="24"/>
          <w:szCs w:val="24"/>
          <w:highlight w:val="none"/>
          <w:lang w:eastAsia="zh-CN"/>
        </w:rPr>
      </w:pPr>
      <w:r>
        <w:rPr>
          <w:sz w:val="24"/>
          <w:szCs w:val="24"/>
          <w:highlight w:val="none"/>
          <w:lang w:eastAsia="zh-CN"/>
        </w:rPr>
        <w:t>4.2.3除投标人须知前附表另有规定外，投标人所递交的投标文件不予退还。</w:t>
      </w:r>
    </w:p>
    <w:p w14:paraId="204AB888">
      <w:pPr>
        <w:pStyle w:val="11"/>
        <w:spacing w:line="360" w:lineRule="auto"/>
        <w:ind w:left="0" w:firstLine="480" w:firstLineChars="200"/>
        <w:jc w:val="both"/>
        <w:rPr>
          <w:sz w:val="24"/>
          <w:szCs w:val="24"/>
          <w:highlight w:val="none"/>
          <w:lang w:eastAsia="zh-CN"/>
        </w:rPr>
      </w:pPr>
      <w:r>
        <w:rPr>
          <w:sz w:val="24"/>
          <w:szCs w:val="24"/>
          <w:highlight w:val="none"/>
          <w:lang w:eastAsia="zh-CN"/>
        </w:rPr>
        <w:t>4.2.4（B）投标人完成电子投标文件上传后，电子招标投标交易平台即时向投标人发出递交回执通知。递交时间以递交回执通知载明的传输完成时间为准。</w:t>
      </w:r>
    </w:p>
    <w:p w14:paraId="5AE61E3B">
      <w:pPr>
        <w:pStyle w:val="11"/>
        <w:spacing w:line="360" w:lineRule="auto"/>
        <w:ind w:left="0" w:firstLine="480" w:firstLineChars="200"/>
        <w:jc w:val="both"/>
        <w:rPr>
          <w:sz w:val="24"/>
          <w:szCs w:val="24"/>
          <w:highlight w:val="none"/>
          <w:lang w:eastAsia="zh-CN"/>
        </w:rPr>
      </w:pPr>
      <w:r>
        <w:rPr>
          <w:sz w:val="24"/>
          <w:szCs w:val="24"/>
          <w:highlight w:val="none"/>
          <w:lang w:eastAsia="zh-CN"/>
        </w:rPr>
        <w:t>4.2.5（B）逾期送达的投标文件，电子招标投标交易平台将予以拒收。</w:t>
      </w:r>
    </w:p>
    <w:p w14:paraId="5DA3E38B">
      <w:pPr>
        <w:spacing w:line="360" w:lineRule="auto"/>
        <w:jc w:val="both"/>
        <w:rPr>
          <w:rFonts w:ascii="宋体" w:hAnsi="宋体" w:eastAsia="宋体"/>
          <w:sz w:val="24"/>
          <w:szCs w:val="24"/>
          <w:highlight w:val="none"/>
          <w:lang w:eastAsia="zh-CN"/>
        </w:rPr>
      </w:pPr>
    </w:p>
    <w:p w14:paraId="0994D6F7">
      <w:pPr>
        <w:pStyle w:val="5"/>
        <w:spacing w:line="360" w:lineRule="auto"/>
        <w:ind w:right="44"/>
        <w:jc w:val="both"/>
        <w:rPr>
          <w:b/>
          <w:bCs/>
          <w:highlight w:val="none"/>
          <w:lang w:eastAsia="zh-CN"/>
        </w:rPr>
      </w:pPr>
      <w:r>
        <w:rPr>
          <w:b/>
          <w:bCs/>
          <w:highlight w:val="none"/>
          <w:lang w:eastAsia="zh-CN"/>
        </w:rPr>
        <w:t>4.3投标文件的修改与撤回</w:t>
      </w:r>
    </w:p>
    <w:p w14:paraId="7696E403">
      <w:pPr>
        <w:spacing w:line="360" w:lineRule="auto"/>
        <w:jc w:val="both"/>
        <w:rPr>
          <w:rFonts w:ascii="宋体" w:hAnsi="宋体" w:eastAsia="宋体"/>
          <w:sz w:val="24"/>
          <w:szCs w:val="24"/>
          <w:highlight w:val="none"/>
          <w:lang w:eastAsia="zh-CN"/>
        </w:rPr>
      </w:pPr>
    </w:p>
    <w:p w14:paraId="615BDCD3">
      <w:pPr>
        <w:pStyle w:val="11"/>
        <w:spacing w:line="360" w:lineRule="auto"/>
        <w:ind w:left="0" w:firstLine="480" w:firstLineChars="200"/>
        <w:jc w:val="both"/>
        <w:rPr>
          <w:sz w:val="24"/>
          <w:szCs w:val="24"/>
          <w:highlight w:val="none"/>
          <w:lang w:eastAsia="zh-CN"/>
        </w:rPr>
      </w:pPr>
      <w:r>
        <w:rPr>
          <w:sz w:val="24"/>
          <w:szCs w:val="24"/>
          <w:highlight w:val="none"/>
          <w:lang w:eastAsia="zh-CN"/>
        </w:rPr>
        <w:t>4.3.1在本章第 4.2.1项规定的投标截止时间前，投标人可以修改或撤回已递交的投标文件，但应以书面形式通知招标人。</w:t>
      </w:r>
    </w:p>
    <w:p w14:paraId="13406930">
      <w:pPr>
        <w:pStyle w:val="11"/>
        <w:spacing w:line="360" w:lineRule="auto"/>
        <w:ind w:left="0" w:firstLine="480" w:firstLineChars="200"/>
        <w:jc w:val="both"/>
        <w:rPr>
          <w:sz w:val="24"/>
          <w:szCs w:val="24"/>
          <w:highlight w:val="none"/>
          <w:lang w:eastAsia="zh-CN"/>
        </w:rPr>
      </w:pPr>
      <w:r>
        <w:rPr>
          <w:sz w:val="24"/>
          <w:szCs w:val="24"/>
          <w:highlight w:val="none"/>
          <w:lang w:eastAsia="zh-CN"/>
        </w:rPr>
        <w:t>4.3.2（B）投标人修改或撤回已递交投标文件的通知，应按照本章第3.7.3（B）项的要求加盖电子印章。电子招标投标交易平台收到通知后，即时向投标人发出确认回执通知。</w:t>
      </w:r>
    </w:p>
    <w:p w14:paraId="03D4D873">
      <w:pPr>
        <w:pStyle w:val="11"/>
        <w:spacing w:line="360" w:lineRule="auto"/>
        <w:ind w:left="0" w:firstLine="480" w:firstLineChars="200"/>
        <w:jc w:val="both"/>
        <w:rPr>
          <w:sz w:val="24"/>
          <w:szCs w:val="24"/>
          <w:highlight w:val="none"/>
          <w:lang w:eastAsia="zh-CN"/>
        </w:rPr>
      </w:pPr>
      <w:r>
        <w:rPr>
          <w:sz w:val="24"/>
          <w:szCs w:val="24"/>
          <w:highlight w:val="none"/>
          <w:lang w:eastAsia="zh-CN"/>
        </w:rPr>
        <w:t>4.3.3投标人撤回投标文件的，招标人自收到投标人书面撤回通知之日起 5日内退还已收取的投标保证金。</w:t>
      </w:r>
    </w:p>
    <w:p w14:paraId="759F9803">
      <w:pPr>
        <w:pStyle w:val="11"/>
        <w:spacing w:line="360" w:lineRule="auto"/>
        <w:ind w:left="0" w:firstLine="480" w:firstLineChars="200"/>
        <w:jc w:val="both"/>
        <w:rPr>
          <w:sz w:val="24"/>
          <w:szCs w:val="24"/>
          <w:highlight w:val="none"/>
          <w:lang w:eastAsia="zh-CN"/>
        </w:rPr>
      </w:pPr>
      <w:r>
        <w:rPr>
          <w:sz w:val="24"/>
          <w:szCs w:val="24"/>
          <w:highlight w:val="none"/>
          <w:lang w:eastAsia="zh-CN"/>
        </w:rPr>
        <w:t>4.3.4修改的内容为投标文件的组成部分。修改的投标文件应按照本章第3条、第4条的规定进行编制、密封、标记和递交，并标明“修改”字样。</w:t>
      </w:r>
    </w:p>
    <w:p w14:paraId="616D0759">
      <w:pPr>
        <w:spacing w:line="360" w:lineRule="auto"/>
        <w:jc w:val="both"/>
        <w:rPr>
          <w:rFonts w:ascii="宋体" w:hAnsi="宋体" w:eastAsia="宋体"/>
          <w:sz w:val="24"/>
          <w:szCs w:val="24"/>
          <w:highlight w:val="none"/>
          <w:lang w:eastAsia="zh-CN"/>
        </w:rPr>
      </w:pPr>
      <w:bookmarkStart w:id="22" w:name="_Toc25137986"/>
    </w:p>
    <w:p w14:paraId="6C784875">
      <w:pPr>
        <w:pStyle w:val="4"/>
        <w:spacing w:line="360" w:lineRule="auto"/>
        <w:ind w:right="44"/>
        <w:jc w:val="both"/>
        <w:rPr>
          <w:rFonts w:ascii="宋体" w:hAnsi="宋体" w:eastAsia="宋体"/>
          <w:highlight w:val="none"/>
          <w:lang w:eastAsia="zh-CN"/>
        </w:rPr>
      </w:pPr>
      <w:bookmarkStart w:id="23" w:name="_Toc25152736"/>
      <w:bookmarkStart w:id="24" w:name="_Toc5736"/>
      <w:r>
        <w:rPr>
          <w:rFonts w:ascii="宋体" w:hAnsi="宋体" w:eastAsia="宋体"/>
          <w:highlight w:val="none"/>
          <w:lang w:eastAsia="zh-CN"/>
        </w:rPr>
        <w:t>5. 开标</w:t>
      </w:r>
      <w:bookmarkEnd w:id="22"/>
      <w:bookmarkEnd w:id="23"/>
      <w:bookmarkEnd w:id="24"/>
    </w:p>
    <w:p w14:paraId="55EEC10B">
      <w:pPr>
        <w:pStyle w:val="5"/>
        <w:spacing w:line="360" w:lineRule="auto"/>
        <w:ind w:right="44"/>
        <w:jc w:val="both"/>
        <w:rPr>
          <w:b/>
          <w:bCs/>
          <w:highlight w:val="none"/>
          <w:lang w:eastAsia="zh-CN"/>
        </w:rPr>
      </w:pPr>
      <w:r>
        <w:rPr>
          <w:b/>
          <w:bCs/>
          <w:highlight w:val="none"/>
          <w:lang w:eastAsia="zh-CN"/>
        </w:rPr>
        <w:t>5.1开标时间和地点（B）</w:t>
      </w:r>
    </w:p>
    <w:p w14:paraId="71B52AAB">
      <w:pPr>
        <w:pStyle w:val="11"/>
        <w:spacing w:line="360" w:lineRule="auto"/>
        <w:ind w:left="0" w:firstLine="480" w:firstLineChars="200"/>
        <w:jc w:val="both"/>
        <w:rPr>
          <w:sz w:val="24"/>
          <w:szCs w:val="24"/>
          <w:highlight w:val="none"/>
          <w:lang w:eastAsia="zh-CN"/>
        </w:rPr>
      </w:pPr>
      <w:r>
        <w:rPr>
          <w:sz w:val="24"/>
          <w:szCs w:val="24"/>
          <w:highlight w:val="none"/>
          <w:lang w:eastAsia="zh-CN"/>
        </w:rPr>
        <w:t>招标人在本章第 4.2.1项规定的投标截止时间（开标时间）,通过电子招标投标交易平台公开开标，所有投标人的法定代表人或其委托代理人应当准时参加</w:t>
      </w:r>
      <w:r>
        <w:rPr>
          <w:rFonts w:hint="eastAsia"/>
          <w:sz w:val="24"/>
          <w:szCs w:val="24"/>
          <w:highlight w:val="none"/>
          <w:u w:val="single"/>
          <w:lang w:eastAsia="zh-CN"/>
        </w:rPr>
        <w:t>，也可不参加</w:t>
      </w:r>
      <w:r>
        <w:rPr>
          <w:sz w:val="24"/>
          <w:szCs w:val="24"/>
          <w:highlight w:val="none"/>
          <w:lang w:eastAsia="zh-CN"/>
        </w:rPr>
        <w:t>。</w:t>
      </w:r>
    </w:p>
    <w:p w14:paraId="11CDEE35">
      <w:pPr>
        <w:spacing w:line="360" w:lineRule="auto"/>
        <w:jc w:val="both"/>
        <w:rPr>
          <w:rFonts w:ascii="宋体" w:hAnsi="宋体" w:eastAsia="宋体"/>
          <w:sz w:val="24"/>
          <w:szCs w:val="24"/>
          <w:highlight w:val="none"/>
          <w:lang w:eastAsia="zh-CN"/>
        </w:rPr>
      </w:pPr>
    </w:p>
    <w:p w14:paraId="728DD7E1">
      <w:pPr>
        <w:pStyle w:val="5"/>
        <w:spacing w:line="360" w:lineRule="auto"/>
        <w:ind w:right="44"/>
        <w:jc w:val="both"/>
        <w:rPr>
          <w:b/>
          <w:bCs/>
          <w:highlight w:val="none"/>
          <w:lang w:eastAsia="zh-CN"/>
        </w:rPr>
      </w:pPr>
      <w:r>
        <w:rPr>
          <w:b/>
          <w:bCs/>
          <w:highlight w:val="none"/>
          <w:lang w:eastAsia="zh-CN"/>
        </w:rPr>
        <w:t>5.2开标程序</w:t>
      </w:r>
    </w:p>
    <w:p w14:paraId="3919CD67">
      <w:pPr>
        <w:pStyle w:val="11"/>
        <w:spacing w:line="360" w:lineRule="auto"/>
        <w:ind w:left="0" w:firstLine="480" w:firstLineChars="200"/>
        <w:jc w:val="both"/>
        <w:rPr>
          <w:sz w:val="24"/>
          <w:szCs w:val="24"/>
          <w:highlight w:val="none"/>
          <w:u w:val="single"/>
          <w:lang w:eastAsia="zh-CN"/>
        </w:rPr>
      </w:pPr>
      <w:r>
        <w:rPr>
          <w:rFonts w:hint="eastAsia"/>
          <w:sz w:val="24"/>
          <w:szCs w:val="24"/>
          <w:highlight w:val="none"/>
          <w:u w:val="single"/>
          <w:lang w:val="en-US" w:eastAsia="zh-CN"/>
        </w:rPr>
        <w:t>5.2.1</w:t>
      </w:r>
      <w:r>
        <w:rPr>
          <w:sz w:val="24"/>
          <w:szCs w:val="24"/>
          <w:highlight w:val="none"/>
          <w:u w:val="single"/>
          <w:lang w:eastAsia="zh-CN"/>
        </w:rPr>
        <w:t>主持人按下列程序进行开标：</w:t>
      </w:r>
    </w:p>
    <w:p w14:paraId="1D39FAD9">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1</w:t>
      </w:r>
      <w:r>
        <w:rPr>
          <w:rFonts w:hint="eastAsia"/>
          <w:sz w:val="24"/>
          <w:szCs w:val="24"/>
          <w:highlight w:val="none"/>
          <w:u w:val="single"/>
          <w:lang w:eastAsia="zh-CN"/>
        </w:rPr>
        <w:t>）宣布开标纪律；</w:t>
      </w:r>
    </w:p>
    <w:p w14:paraId="0BB9744A">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2</w:t>
      </w:r>
      <w:r>
        <w:rPr>
          <w:rFonts w:hint="eastAsia"/>
          <w:sz w:val="24"/>
          <w:szCs w:val="24"/>
          <w:highlight w:val="none"/>
          <w:u w:val="single"/>
          <w:lang w:eastAsia="zh-CN"/>
        </w:rPr>
        <w:t>）招标代理（招标人）登录交易平台</w:t>
      </w:r>
      <w:r>
        <w:rPr>
          <w:sz w:val="24"/>
          <w:szCs w:val="24"/>
          <w:highlight w:val="none"/>
          <w:u w:val="single"/>
          <w:lang w:eastAsia="zh-CN"/>
        </w:rPr>
        <w:t>-</w:t>
      </w:r>
      <w:r>
        <w:rPr>
          <w:rFonts w:hint="eastAsia"/>
          <w:sz w:val="24"/>
          <w:szCs w:val="24"/>
          <w:highlight w:val="none"/>
          <w:u w:val="single"/>
          <w:lang w:eastAsia="zh-CN"/>
        </w:rPr>
        <w:t>数字开标系统，公布在投标截止时间前递交投标文件的投标人名称；</w:t>
      </w:r>
    </w:p>
    <w:p w14:paraId="6007A101">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3</w:t>
      </w:r>
      <w:r>
        <w:rPr>
          <w:rFonts w:hint="eastAsia"/>
          <w:sz w:val="24"/>
          <w:szCs w:val="24"/>
          <w:highlight w:val="none"/>
          <w:u w:val="single"/>
          <w:lang w:eastAsia="zh-CN"/>
        </w:rPr>
        <w:t>）宣布开标人、唱标人、记录人、监标人等有关人员姓名；</w:t>
      </w:r>
    </w:p>
    <w:p w14:paraId="6B0D6A99">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4</w:t>
      </w:r>
      <w:r>
        <w:rPr>
          <w:rFonts w:hint="eastAsia"/>
          <w:sz w:val="24"/>
          <w:szCs w:val="24"/>
          <w:highlight w:val="none"/>
          <w:u w:val="single"/>
          <w:lang w:eastAsia="zh-CN"/>
        </w:rPr>
        <w:t>）（</w:t>
      </w:r>
      <w:r>
        <w:rPr>
          <w:sz w:val="24"/>
          <w:szCs w:val="24"/>
          <w:highlight w:val="none"/>
          <w:u w:val="single"/>
          <w:lang w:eastAsia="zh-CN"/>
        </w:rPr>
        <w:t>B</w:t>
      </w:r>
      <w:r>
        <w:rPr>
          <w:rFonts w:hint="eastAsia"/>
          <w:sz w:val="24"/>
          <w:szCs w:val="24"/>
          <w:highlight w:val="none"/>
          <w:u w:val="single"/>
          <w:lang w:eastAsia="zh-CN"/>
        </w:rPr>
        <w:t>）投标人登录交易平台</w:t>
      </w:r>
      <w:r>
        <w:rPr>
          <w:sz w:val="24"/>
          <w:szCs w:val="24"/>
          <w:highlight w:val="none"/>
          <w:u w:val="single"/>
          <w:lang w:eastAsia="zh-CN"/>
        </w:rPr>
        <w:t>-</w:t>
      </w:r>
      <w:r>
        <w:rPr>
          <w:rFonts w:hint="eastAsia"/>
          <w:sz w:val="24"/>
          <w:szCs w:val="24"/>
          <w:highlight w:val="none"/>
          <w:u w:val="single"/>
          <w:lang w:eastAsia="zh-CN"/>
        </w:rPr>
        <w:t>数字开标系统，输入</w:t>
      </w:r>
      <w:r>
        <w:rPr>
          <w:sz w:val="24"/>
          <w:szCs w:val="24"/>
          <w:highlight w:val="none"/>
          <w:u w:val="single"/>
          <w:lang w:eastAsia="zh-CN"/>
        </w:rPr>
        <w:t>CA</w:t>
      </w:r>
      <w:r>
        <w:rPr>
          <w:rFonts w:hint="eastAsia"/>
          <w:sz w:val="24"/>
          <w:szCs w:val="24"/>
          <w:highlight w:val="none"/>
          <w:u w:val="single"/>
          <w:lang w:eastAsia="zh-CN"/>
        </w:rPr>
        <w:t>密码对已递交的电子投标文件进行解密，所有投标人需要</w:t>
      </w:r>
      <w:r>
        <w:rPr>
          <w:rFonts w:hint="eastAsia" w:ascii="宋体" w:hAnsi="宋体" w:eastAsia="宋体" w:cs="Times New Roman"/>
          <w:sz w:val="24"/>
          <w:szCs w:val="24"/>
          <w:highlight w:val="none"/>
          <w:u w:val="single"/>
          <w:lang w:eastAsia="zh-CN"/>
        </w:rPr>
        <w:t>在招标时设定的投标文件解密截止时间内进</w:t>
      </w:r>
      <w:r>
        <w:rPr>
          <w:rFonts w:hint="eastAsia"/>
          <w:sz w:val="24"/>
          <w:szCs w:val="24"/>
          <w:highlight w:val="none"/>
          <w:u w:val="single"/>
          <w:lang w:eastAsia="zh-CN"/>
        </w:rPr>
        <w:t>行解密，投标文件解密截止时间后不能再进行解密操作；</w:t>
      </w:r>
    </w:p>
    <w:p w14:paraId="7DB7A7BD">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所有投标人都已解密完成，或到了投标文件解密截止时间后，招标代理（招标人）可进行</w:t>
      </w:r>
      <w:r>
        <w:rPr>
          <w:sz w:val="24"/>
          <w:szCs w:val="24"/>
          <w:highlight w:val="none"/>
          <w:u w:val="single"/>
          <w:lang w:eastAsia="zh-CN"/>
        </w:rPr>
        <w:t>“</w:t>
      </w:r>
      <w:r>
        <w:rPr>
          <w:rFonts w:hint="eastAsia"/>
          <w:sz w:val="24"/>
          <w:szCs w:val="24"/>
          <w:highlight w:val="none"/>
          <w:u w:val="single"/>
          <w:lang w:eastAsia="zh-CN"/>
        </w:rPr>
        <w:t>招标人解密操作</w:t>
      </w:r>
      <w:r>
        <w:rPr>
          <w:sz w:val="24"/>
          <w:szCs w:val="24"/>
          <w:highlight w:val="none"/>
          <w:u w:val="single"/>
          <w:lang w:eastAsia="zh-CN"/>
        </w:rPr>
        <w:t>”</w:t>
      </w:r>
      <w:r>
        <w:rPr>
          <w:rFonts w:hint="eastAsia"/>
          <w:sz w:val="24"/>
          <w:szCs w:val="24"/>
          <w:highlight w:val="none"/>
          <w:u w:val="single"/>
          <w:lang w:eastAsia="zh-CN"/>
        </w:rPr>
        <w:t>，解密操作同样需要进行</w:t>
      </w:r>
      <w:r>
        <w:rPr>
          <w:sz w:val="24"/>
          <w:szCs w:val="24"/>
          <w:highlight w:val="none"/>
          <w:u w:val="single"/>
          <w:lang w:eastAsia="zh-CN"/>
        </w:rPr>
        <w:t>CA</w:t>
      </w:r>
      <w:r>
        <w:rPr>
          <w:rFonts w:hint="eastAsia"/>
          <w:sz w:val="24"/>
          <w:szCs w:val="24"/>
          <w:highlight w:val="none"/>
          <w:u w:val="single"/>
          <w:lang w:eastAsia="zh-CN"/>
        </w:rPr>
        <w:t>验证；</w:t>
      </w:r>
    </w:p>
    <w:p w14:paraId="1669B326">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投标人、招标代理（招标人）完成解密后，招标代理开启电子唱标，公布招标项目名称、投标人名称、投标报价、服务期限及其他内容，并记录在案；</w:t>
      </w:r>
    </w:p>
    <w:p w14:paraId="444D863C">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唱标结束后，招标代理须开启</w:t>
      </w:r>
      <w:r>
        <w:rPr>
          <w:sz w:val="24"/>
          <w:szCs w:val="24"/>
          <w:highlight w:val="none"/>
          <w:u w:val="single"/>
          <w:lang w:eastAsia="zh-CN"/>
        </w:rPr>
        <w:t>“</w:t>
      </w:r>
      <w:r>
        <w:rPr>
          <w:rFonts w:hint="eastAsia"/>
          <w:sz w:val="24"/>
          <w:szCs w:val="24"/>
          <w:highlight w:val="none"/>
          <w:u w:val="single"/>
          <w:lang w:eastAsia="zh-CN"/>
        </w:rPr>
        <w:t>开始异议</w:t>
      </w:r>
      <w:r>
        <w:rPr>
          <w:sz w:val="24"/>
          <w:szCs w:val="24"/>
          <w:highlight w:val="none"/>
          <w:u w:val="single"/>
          <w:lang w:eastAsia="zh-CN"/>
        </w:rPr>
        <w:t>”</w:t>
      </w:r>
      <w:r>
        <w:rPr>
          <w:rFonts w:hint="eastAsia"/>
          <w:sz w:val="24"/>
          <w:szCs w:val="24"/>
          <w:highlight w:val="none"/>
          <w:u w:val="single"/>
          <w:lang w:eastAsia="zh-CN"/>
        </w:rPr>
        <w:t>，开启后，投标人若需要提问的可在</w:t>
      </w:r>
      <w:r>
        <w:rPr>
          <w:sz w:val="24"/>
          <w:szCs w:val="24"/>
          <w:highlight w:val="none"/>
          <w:u w:val="single"/>
          <w:lang w:eastAsia="zh-CN"/>
        </w:rPr>
        <w:t>15</w:t>
      </w:r>
      <w:r>
        <w:rPr>
          <w:rFonts w:hint="eastAsia"/>
          <w:sz w:val="24"/>
          <w:szCs w:val="24"/>
          <w:highlight w:val="none"/>
          <w:u w:val="single"/>
          <w:lang w:eastAsia="zh-CN"/>
        </w:rPr>
        <w:t>分钟内进行提问，招标代理（招标人）需要回答所有的投标人提问或等待</w:t>
      </w:r>
      <w:r>
        <w:rPr>
          <w:sz w:val="24"/>
          <w:szCs w:val="24"/>
          <w:highlight w:val="none"/>
          <w:u w:val="single"/>
          <w:lang w:eastAsia="zh-CN"/>
        </w:rPr>
        <w:t>15</w:t>
      </w:r>
      <w:r>
        <w:rPr>
          <w:rFonts w:hint="eastAsia"/>
          <w:sz w:val="24"/>
          <w:szCs w:val="24"/>
          <w:highlight w:val="none"/>
          <w:u w:val="single"/>
          <w:lang w:eastAsia="zh-CN"/>
        </w:rPr>
        <w:t>分钟才能结束异议，若所有投标人都回复了</w:t>
      </w:r>
      <w:r>
        <w:rPr>
          <w:sz w:val="24"/>
          <w:szCs w:val="24"/>
          <w:highlight w:val="none"/>
          <w:u w:val="single"/>
          <w:lang w:eastAsia="zh-CN"/>
        </w:rPr>
        <w:t>“</w:t>
      </w:r>
      <w:r>
        <w:rPr>
          <w:rFonts w:hint="eastAsia"/>
          <w:sz w:val="24"/>
          <w:szCs w:val="24"/>
          <w:highlight w:val="none"/>
          <w:u w:val="single"/>
          <w:lang w:eastAsia="zh-CN"/>
        </w:rPr>
        <w:t>无异议</w:t>
      </w:r>
      <w:r>
        <w:rPr>
          <w:sz w:val="24"/>
          <w:szCs w:val="24"/>
          <w:highlight w:val="none"/>
          <w:u w:val="single"/>
          <w:lang w:eastAsia="zh-CN"/>
        </w:rPr>
        <w:t>”</w:t>
      </w:r>
      <w:r>
        <w:rPr>
          <w:rFonts w:hint="eastAsia"/>
          <w:sz w:val="24"/>
          <w:szCs w:val="24"/>
          <w:highlight w:val="none"/>
          <w:u w:val="single"/>
          <w:lang w:eastAsia="zh-CN"/>
        </w:rPr>
        <w:t>，招标代理（招标人）可提前结束异议；</w:t>
      </w:r>
    </w:p>
    <w:p w14:paraId="0F516F05">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5</w:t>
      </w:r>
      <w:r>
        <w:rPr>
          <w:rFonts w:hint="eastAsia"/>
          <w:sz w:val="24"/>
          <w:szCs w:val="24"/>
          <w:highlight w:val="none"/>
          <w:u w:val="single"/>
          <w:lang w:eastAsia="zh-CN"/>
        </w:rPr>
        <w:t>）（</w:t>
      </w:r>
      <w:r>
        <w:rPr>
          <w:sz w:val="24"/>
          <w:szCs w:val="24"/>
          <w:highlight w:val="none"/>
          <w:u w:val="single"/>
          <w:lang w:eastAsia="zh-CN"/>
        </w:rPr>
        <w:t>B</w:t>
      </w:r>
      <w:r>
        <w:rPr>
          <w:rFonts w:hint="eastAsia"/>
          <w:sz w:val="24"/>
          <w:szCs w:val="24"/>
          <w:highlight w:val="none"/>
          <w:u w:val="single"/>
          <w:lang w:eastAsia="zh-CN"/>
        </w:rPr>
        <w:t>）唱标环节结束后，招标代理、投标人都可以同时查看到</w:t>
      </w:r>
      <w:r>
        <w:rPr>
          <w:sz w:val="24"/>
          <w:szCs w:val="24"/>
          <w:highlight w:val="none"/>
          <w:u w:val="single"/>
          <w:lang w:eastAsia="zh-CN"/>
        </w:rPr>
        <w:t>“</w:t>
      </w:r>
      <w:r>
        <w:rPr>
          <w:rFonts w:hint="eastAsia"/>
          <w:sz w:val="24"/>
          <w:szCs w:val="24"/>
          <w:highlight w:val="none"/>
          <w:u w:val="single"/>
          <w:lang w:eastAsia="zh-CN"/>
        </w:rPr>
        <w:t>开标报表</w:t>
      </w:r>
      <w:r>
        <w:rPr>
          <w:sz w:val="24"/>
          <w:szCs w:val="24"/>
          <w:highlight w:val="none"/>
          <w:u w:val="single"/>
          <w:lang w:eastAsia="zh-CN"/>
        </w:rPr>
        <w:t>”</w:t>
      </w:r>
      <w:r>
        <w:rPr>
          <w:rFonts w:hint="eastAsia"/>
          <w:sz w:val="24"/>
          <w:szCs w:val="24"/>
          <w:highlight w:val="none"/>
          <w:u w:val="single"/>
          <w:lang w:eastAsia="zh-CN"/>
        </w:rPr>
        <w:t>；投标人代表、招标人代表、监标人、记录人等有关人员在开标记录上签字确认；若有关人员不签字的，不影响开标程序；</w:t>
      </w:r>
    </w:p>
    <w:p w14:paraId="1BC516E9">
      <w:pPr>
        <w:pStyle w:val="11"/>
        <w:spacing w:line="360" w:lineRule="auto"/>
        <w:ind w:firstLine="480" w:firstLineChars="200"/>
        <w:jc w:val="both"/>
        <w:rPr>
          <w:sz w:val="24"/>
          <w:szCs w:val="24"/>
          <w:highlight w:val="none"/>
          <w:u w:val="single"/>
          <w:lang w:eastAsia="zh-CN"/>
        </w:rPr>
      </w:pPr>
      <w:r>
        <w:rPr>
          <w:rFonts w:hint="eastAsia"/>
          <w:sz w:val="24"/>
          <w:szCs w:val="24"/>
          <w:highlight w:val="none"/>
          <w:u w:val="single"/>
          <w:lang w:eastAsia="zh-CN"/>
        </w:rPr>
        <w:t>（</w:t>
      </w:r>
      <w:r>
        <w:rPr>
          <w:sz w:val="24"/>
          <w:szCs w:val="24"/>
          <w:highlight w:val="none"/>
          <w:u w:val="single"/>
          <w:lang w:eastAsia="zh-CN"/>
        </w:rPr>
        <w:t>6</w:t>
      </w:r>
      <w:r>
        <w:rPr>
          <w:rFonts w:hint="eastAsia"/>
          <w:sz w:val="24"/>
          <w:szCs w:val="24"/>
          <w:highlight w:val="none"/>
          <w:u w:val="single"/>
          <w:lang w:eastAsia="zh-CN"/>
        </w:rPr>
        <w:t>）开标结束。</w:t>
      </w:r>
    </w:p>
    <w:p w14:paraId="63249908">
      <w:pPr>
        <w:pStyle w:val="11"/>
        <w:spacing w:line="360" w:lineRule="auto"/>
        <w:ind w:left="0" w:firstLine="480" w:firstLineChars="200"/>
        <w:jc w:val="both"/>
        <w:rPr>
          <w:rFonts w:hint="eastAsia"/>
          <w:sz w:val="24"/>
          <w:szCs w:val="24"/>
          <w:highlight w:val="none"/>
          <w:u w:val="single"/>
          <w:lang w:eastAsia="zh-CN"/>
        </w:rPr>
      </w:pPr>
      <w:r>
        <w:rPr>
          <w:sz w:val="24"/>
          <w:szCs w:val="24"/>
          <w:highlight w:val="none"/>
          <w:u w:val="single"/>
          <w:lang w:eastAsia="zh-CN"/>
        </w:rPr>
        <w:t>5.2.2</w:t>
      </w:r>
      <w:r>
        <w:rPr>
          <w:rFonts w:hint="eastAsia"/>
          <w:sz w:val="24"/>
          <w:szCs w:val="24"/>
          <w:highlight w:val="none"/>
          <w:u w:val="single"/>
          <w:lang w:eastAsia="zh-CN"/>
        </w:rPr>
        <w:t>投标截止时间前未完成投标文件传输的或因投标人之外的原因造成投标文件未解密的或未在投标截止时间后</w:t>
      </w:r>
      <w:r>
        <w:rPr>
          <w:rFonts w:hint="eastAsia"/>
          <w:sz w:val="24"/>
          <w:szCs w:val="24"/>
          <w:highlight w:val="none"/>
          <w:u w:val="single"/>
          <w:lang w:val="en-US" w:eastAsia="zh-CN"/>
        </w:rPr>
        <w:t>一</w:t>
      </w:r>
      <w:r>
        <w:rPr>
          <w:rFonts w:hint="eastAsia"/>
          <w:sz w:val="24"/>
          <w:szCs w:val="24"/>
          <w:highlight w:val="none"/>
          <w:u w:val="single"/>
          <w:lang w:eastAsia="zh-CN"/>
        </w:rPr>
        <w:t>小时解密的，视为投标人其撤回投标文件。因投标人原因造成投标文件未解密的，或因投标人原因解密失败且未递交电子光盘或递交的电子光盘不能读取的，视为撤销其投标文件。</w:t>
      </w:r>
    </w:p>
    <w:p w14:paraId="312D434D">
      <w:pPr>
        <w:pStyle w:val="11"/>
        <w:spacing w:line="360" w:lineRule="auto"/>
        <w:ind w:left="0" w:firstLine="480" w:firstLineChars="200"/>
        <w:jc w:val="both"/>
        <w:rPr>
          <w:rFonts w:hint="eastAsia"/>
          <w:sz w:val="24"/>
          <w:szCs w:val="24"/>
          <w:highlight w:val="none"/>
          <w:u w:val="single"/>
          <w:lang w:eastAsia="zh-CN"/>
        </w:rPr>
      </w:pPr>
      <w:r>
        <w:rPr>
          <w:sz w:val="24"/>
          <w:szCs w:val="24"/>
          <w:highlight w:val="none"/>
          <w:u w:val="single"/>
          <w:lang w:eastAsia="zh-CN"/>
        </w:rPr>
        <w:t>5.2.3</w:t>
      </w:r>
      <w:r>
        <w:rPr>
          <w:rFonts w:hint="eastAsia"/>
          <w:sz w:val="24"/>
          <w:szCs w:val="24"/>
          <w:highlight w:val="none"/>
          <w:u w:val="single"/>
          <w:lang w:eastAsia="zh-CN"/>
        </w:rPr>
        <w:t>开标时，两个（含两个）以上的投标人加密打包投标文件电脑机器特征码一致的，不参与下一程序，并由评标委员会否决其投标。</w:t>
      </w:r>
    </w:p>
    <w:p w14:paraId="0749CCC8">
      <w:pPr>
        <w:spacing w:line="360" w:lineRule="auto"/>
        <w:jc w:val="both"/>
        <w:rPr>
          <w:rFonts w:ascii="宋体" w:hAnsi="宋体" w:eastAsia="宋体"/>
          <w:sz w:val="24"/>
          <w:szCs w:val="24"/>
          <w:highlight w:val="none"/>
          <w:u w:val="single"/>
          <w:lang w:eastAsia="zh-CN"/>
        </w:rPr>
      </w:pPr>
    </w:p>
    <w:p w14:paraId="28D18B45">
      <w:pPr>
        <w:pStyle w:val="5"/>
        <w:spacing w:line="360" w:lineRule="auto"/>
        <w:ind w:right="44"/>
        <w:jc w:val="both"/>
        <w:rPr>
          <w:b/>
          <w:bCs/>
          <w:highlight w:val="none"/>
          <w:lang w:eastAsia="zh-CN"/>
        </w:rPr>
      </w:pPr>
      <w:r>
        <w:rPr>
          <w:b/>
          <w:bCs/>
          <w:highlight w:val="none"/>
          <w:lang w:eastAsia="zh-CN"/>
        </w:rPr>
        <w:t>5.3开标异议</w:t>
      </w:r>
    </w:p>
    <w:p w14:paraId="6E863B5E">
      <w:pPr>
        <w:pStyle w:val="11"/>
        <w:spacing w:line="360" w:lineRule="auto"/>
        <w:ind w:left="0" w:firstLine="480" w:firstLineChars="200"/>
        <w:jc w:val="both"/>
        <w:rPr>
          <w:sz w:val="24"/>
          <w:szCs w:val="24"/>
          <w:highlight w:val="none"/>
          <w:u w:val="single"/>
          <w:lang w:eastAsia="zh-CN"/>
        </w:rPr>
      </w:pPr>
      <w:r>
        <w:rPr>
          <w:sz w:val="24"/>
          <w:szCs w:val="24"/>
          <w:highlight w:val="none"/>
          <w:lang w:eastAsia="zh-CN"/>
        </w:rPr>
        <w:t>投标人对开标有异议的，应当在开标现场提出，招标人当场作出答复，并制作记录。</w:t>
      </w:r>
      <w:r>
        <w:rPr>
          <w:rFonts w:hint="eastAsia"/>
          <w:sz w:val="24"/>
          <w:szCs w:val="24"/>
          <w:highlight w:val="none"/>
          <w:u w:val="single"/>
          <w:lang w:eastAsia="zh-CN"/>
        </w:rPr>
        <w:t>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3F3BAE98">
      <w:pPr>
        <w:spacing w:line="360" w:lineRule="auto"/>
        <w:jc w:val="both"/>
        <w:rPr>
          <w:rFonts w:ascii="宋体" w:hAnsi="宋体" w:eastAsia="宋体"/>
          <w:sz w:val="24"/>
          <w:szCs w:val="24"/>
          <w:highlight w:val="none"/>
          <w:lang w:eastAsia="zh-CN"/>
        </w:rPr>
      </w:pPr>
      <w:bookmarkStart w:id="25" w:name="_Toc25137987"/>
    </w:p>
    <w:p w14:paraId="2046E127">
      <w:pPr>
        <w:pStyle w:val="4"/>
        <w:spacing w:line="360" w:lineRule="auto"/>
        <w:ind w:right="44"/>
        <w:jc w:val="both"/>
        <w:rPr>
          <w:rFonts w:ascii="宋体" w:hAnsi="宋体" w:eastAsia="宋体"/>
          <w:highlight w:val="none"/>
          <w:lang w:eastAsia="zh-CN"/>
        </w:rPr>
      </w:pPr>
      <w:bookmarkStart w:id="26" w:name="_Toc25152737"/>
      <w:bookmarkStart w:id="27" w:name="_Toc4985"/>
      <w:r>
        <w:rPr>
          <w:rFonts w:ascii="宋体" w:hAnsi="宋体" w:eastAsia="宋体"/>
          <w:highlight w:val="none"/>
          <w:lang w:eastAsia="zh-CN"/>
        </w:rPr>
        <w:t>6. 评标</w:t>
      </w:r>
      <w:bookmarkEnd w:id="25"/>
      <w:bookmarkEnd w:id="26"/>
      <w:bookmarkEnd w:id="27"/>
    </w:p>
    <w:p w14:paraId="7F284C9C">
      <w:pPr>
        <w:pStyle w:val="5"/>
        <w:spacing w:line="360" w:lineRule="auto"/>
        <w:ind w:right="44"/>
        <w:jc w:val="both"/>
        <w:rPr>
          <w:b/>
          <w:bCs/>
          <w:highlight w:val="none"/>
          <w:lang w:eastAsia="zh-CN"/>
        </w:rPr>
      </w:pPr>
      <w:r>
        <w:rPr>
          <w:b/>
          <w:bCs/>
          <w:highlight w:val="none"/>
          <w:lang w:eastAsia="zh-CN"/>
        </w:rPr>
        <w:t>6.1评标委员会</w:t>
      </w:r>
    </w:p>
    <w:p w14:paraId="16B483D7">
      <w:pPr>
        <w:pStyle w:val="11"/>
        <w:spacing w:line="360" w:lineRule="auto"/>
        <w:ind w:left="0" w:firstLine="480" w:firstLineChars="200"/>
        <w:jc w:val="both"/>
        <w:rPr>
          <w:sz w:val="24"/>
          <w:szCs w:val="24"/>
          <w:highlight w:val="none"/>
          <w:lang w:eastAsia="zh-CN"/>
        </w:rPr>
      </w:pPr>
      <w:r>
        <w:rPr>
          <w:sz w:val="24"/>
          <w:szCs w:val="24"/>
          <w:highlight w:val="none"/>
          <w:lang w:eastAsia="zh-CN"/>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560FAE42">
      <w:pPr>
        <w:pStyle w:val="11"/>
        <w:spacing w:line="360" w:lineRule="auto"/>
        <w:ind w:left="0" w:firstLine="480" w:firstLineChars="200"/>
        <w:jc w:val="both"/>
        <w:rPr>
          <w:sz w:val="24"/>
          <w:szCs w:val="24"/>
          <w:highlight w:val="none"/>
          <w:lang w:eastAsia="zh-CN"/>
        </w:rPr>
      </w:pPr>
      <w:r>
        <w:rPr>
          <w:sz w:val="24"/>
          <w:szCs w:val="24"/>
          <w:highlight w:val="none"/>
          <w:lang w:eastAsia="zh-CN"/>
        </w:rPr>
        <w:t>6.1.2评标委员会成员有下列情形之一的，应当回避：</w:t>
      </w:r>
    </w:p>
    <w:p w14:paraId="0A765BA8">
      <w:pPr>
        <w:pStyle w:val="11"/>
        <w:spacing w:line="360" w:lineRule="auto"/>
        <w:ind w:left="0" w:firstLine="480" w:firstLineChars="200"/>
        <w:jc w:val="both"/>
        <w:rPr>
          <w:sz w:val="24"/>
          <w:szCs w:val="24"/>
          <w:highlight w:val="none"/>
          <w:lang w:eastAsia="zh-CN"/>
        </w:rPr>
      </w:pPr>
      <w:r>
        <w:rPr>
          <w:sz w:val="24"/>
          <w:szCs w:val="24"/>
          <w:highlight w:val="none"/>
          <w:lang w:eastAsia="zh-CN"/>
        </w:rPr>
        <w:t>（1）投标人或投标人主要负责人的近亲属；</w:t>
      </w:r>
    </w:p>
    <w:p w14:paraId="7341505B">
      <w:pPr>
        <w:pStyle w:val="11"/>
        <w:spacing w:line="360" w:lineRule="auto"/>
        <w:ind w:left="0" w:firstLine="480" w:firstLineChars="200"/>
        <w:jc w:val="both"/>
        <w:rPr>
          <w:sz w:val="24"/>
          <w:szCs w:val="24"/>
          <w:highlight w:val="none"/>
          <w:lang w:eastAsia="zh-CN"/>
        </w:rPr>
      </w:pPr>
      <w:r>
        <w:rPr>
          <w:sz w:val="24"/>
          <w:szCs w:val="24"/>
          <w:highlight w:val="none"/>
          <w:lang w:eastAsia="zh-CN"/>
        </w:rPr>
        <w:t>（2）项目主管部门或者行政监督部门的人员；</w:t>
      </w:r>
    </w:p>
    <w:p w14:paraId="0D1BA43F">
      <w:pPr>
        <w:pStyle w:val="11"/>
        <w:spacing w:line="360" w:lineRule="auto"/>
        <w:ind w:left="0" w:firstLine="480" w:firstLineChars="200"/>
        <w:jc w:val="both"/>
        <w:rPr>
          <w:sz w:val="24"/>
          <w:szCs w:val="24"/>
          <w:highlight w:val="none"/>
          <w:lang w:eastAsia="zh-CN"/>
        </w:rPr>
      </w:pPr>
      <w:r>
        <w:rPr>
          <w:sz w:val="24"/>
          <w:szCs w:val="24"/>
          <w:highlight w:val="none"/>
          <w:lang w:eastAsia="zh-CN"/>
        </w:rPr>
        <w:t>（3）与投标人有经济利益关系，可能影响对投标公正评审的；</w:t>
      </w:r>
    </w:p>
    <w:p w14:paraId="608016A2">
      <w:pPr>
        <w:pStyle w:val="11"/>
        <w:spacing w:line="360" w:lineRule="auto"/>
        <w:ind w:left="0" w:firstLine="480" w:firstLineChars="200"/>
        <w:jc w:val="both"/>
        <w:rPr>
          <w:sz w:val="24"/>
          <w:szCs w:val="24"/>
          <w:highlight w:val="none"/>
          <w:lang w:eastAsia="zh-CN"/>
        </w:rPr>
      </w:pPr>
      <w:r>
        <w:rPr>
          <w:sz w:val="24"/>
          <w:szCs w:val="24"/>
          <w:highlight w:val="none"/>
          <w:lang w:eastAsia="zh-CN"/>
        </w:rPr>
        <w:t>（4）曾因在招标、评标以及其他与招标投标有关活动中从事违法行为而受过行政处罚或刑事处罚的；</w:t>
      </w:r>
    </w:p>
    <w:p w14:paraId="3BC98238">
      <w:pPr>
        <w:pStyle w:val="11"/>
        <w:spacing w:line="360" w:lineRule="auto"/>
        <w:ind w:left="0" w:firstLine="480" w:firstLineChars="200"/>
        <w:jc w:val="both"/>
        <w:rPr>
          <w:sz w:val="24"/>
          <w:szCs w:val="24"/>
          <w:highlight w:val="none"/>
          <w:lang w:eastAsia="zh-CN"/>
        </w:rPr>
      </w:pPr>
      <w:r>
        <w:rPr>
          <w:sz w:val="24"/>
          <w:szCs w:val="24"/>
          <w:highlight w:val="none"/>
          <w:lang w:eastAsia="zh-CN"/>
        </w:rPr>
        <w:t>（5）与投标人有其他利害关系。</w:t>
      </w:r>
    </w:p>
    <w:p w14:paraId="3158DB42">
      <w:pPr>
        <w:pStyle w:val="11"/>
        <w:spacing w:line="360" w:lineRule="auto"/>
        <w:ind w:left="0" w:firstLine="480" w:firstLineChars="200"/>
        <w:jc w:val="both"/>
        <w:rPr>
          <w:sz w:val="24"/>
          <w:szCs w:val="24"/>
          <w:highlight w:val="none"/>
          <w:lang w:eastAsia="zh-CN"/>
        </w:rPr>
      </w:pPr>
      <w:r>
        <w:rPr>
          <w:sz w:val="24"/>
          <w:szCs w:val="24"/>
          <w:highlight w:val="none"/>
          <w:lang w:eastAsia="zh-CN"/>
        </w:rPr>
        <w:t>6.1.3评标过程中，评标委员会成员有回避事由、擅离职守或者因健康等原因不能继续评标的，招标人有权更换。被更换的评标委员会成员作出的评审结论无效，由更换后的评标委员会成员重新进行评审。</w:t>
      </w:r>
    </w:p>
    <w:p w14:paraId="703E372D">
      <w:pPr>
        <w:spacing w:line="360" w:lineRule="auto"/>
        <w:jc w:val="both"/>
        <w:rPr>
          <w:rFonts w:ascii="宋体" w:hAnsi="宋体" w:eastAsia="宋体"/>
          <w:sz w:val="24"/>
          <w:szCs w:val="24"/>
          <w:highlight w:val="none"/>
          <w:lang w:eastAsia="zh-CN"/>
        </w:rPr>
      </w:pPr>
    </w:p>
    <w:p w14:paraId="312A0352">
      <w:pPr>
        <w:pStyle w:val="5"/>
        <w:spacing w:line="360" w:lineRule="auto"/>
        <w:ind w:right="44"/>
        <w:jc w:val="both"/>
        <w:rPr>
          <w:b/>
          <w:bCs/>
          <w:highlight w:val="none"/>
          <w:lang w:eastAsia="zh-CN"/>
        </w:rPr>
      </w:pPr>
      <w:r>
        <w:rPr>
          <w:b/>
          <w:bCs/>
          <w:highlight w:val="none"/>
          <w:lang w:eastAsia="zh-CN"/>
        </w:rPr>
        <w:t>6.2评标原则</w:t>
      </w:r>
    </w:p>
    <w:p w14:paraId="48FA1F00">
      <w:pPr>
        <w:pStyle w:val="11"/>
        <w:spacing w:line="360" w:lineRule="auto"/>
        <w:ind w:left="0" w:firstLine="480" w:firstLineChars="200"/>
        <w:jc w:val="both"/>
        <w:rPr>
          <w:sz w:val="24"/>
          <w:szCs w:val="24"/>
          <w:highlight w:val="none"/>
          <w:lang w:eastAsia="zh-CN"/>
        </w:rPr>
      </w:pPr>
      <w:r>
        <w:rPr>
          <w:sz w:val="24"/>
          <w:szCs w:val="24"/>
          <w:highlight w:val="none"/>
          <w:lang w:eastAsia="zh-CN"/>
        </w:rPr>
        <w:t>评标活动遵循公平、公正、科学和择优的原则。</w:t>
      </w:r>
    </w:p>
    <w:p w14:paraId="3A30C411">
      <w:pPr>
        <w:spacing w:line="360" w:lineRule="auto"/>
        <w:jc w:val="both"/>
        <w:rPr>
          <w:rFonts w:ascii="宋体" w:hAnsi="宋体" w:eastAsia="宋体"/>
          <w:sz w:val="24"/>
          <w:szCs w:val="24"/>
          <w:highlight w:val="none"/>
          <w:lang w:eastAsia="zh-CN"/>
        </w:rPr>
      </w:pPr>
    </w:p>
    <w:p w14:paraId="3C3C62F0">
      <w:pPr>
        <w:pStyle w:val="5"/>
        <w:spacing w:line="360" w:lineRule="auto"/>
        <w:ind w:right="44"/>
        <w:jc w:val="both"/>
        <w:rPr>
          <w:b/>
          <w:bCs/>
          <w:highlight w:val="none"/>
          <w:lang w:eastAsia="zh-CN"/>
        </w:rPr>
      </w:pPr>
      <w:r>
        <w:rPr>
          <w:b/>
          <w:bCs/>
          <w:highlight w:val="none"/>
          <w:lang w:eastAsia="zh-CN"/>
        </w:rPr>
        <w:t>6.3评标</w:t>
      </w:r>
    </w:p>
    <w:p w14:paraId="3E05B4E6">
      <w:pPr>
        <w:pStyle w:val="11"/>
        <w:spacing w:line="360" w:lineRule="auto"/>
        <w:ind w:left="0" w:firstLine="480" w:firstLineChars="200"/>
        <w:jc w:val="both"/>
        <w:rPr>
          <w:sz w:val="24"/>
          <w:szCs w:val="24"/>
          <w:highlight w:val="none"/>
          <w:lang w:eastAsia="zh-CN"/>
        </w:rPr>
      </w:pPr>
      <w:r>
        <w:rPr>
          <w:sz w:val="24"/>
          <w:szCs w:val="24"/>
          <w:highlight w:val="none"/>
          <w:lang w:eastAsia="zh-CN"/>
        </w:rPr>
        <w:t>6.3.1评标委员会按照第三章“评标办法”规定的方法、评审因素、标准和程序对投标文件进行评审。第三章“评标办法”没有规定的方法、评审因素和标准，不作为评标依据。</w:t>
      </w:r>
    </w:p>
    <w:p w14:paraId="6164F142">
      <w:pPr>
        <w:pStyle w:val="11"/>
        <w:spacing w:line="360" w:lineRule="auto"/>
        <w:ind w:left="0" w:firstLine="480" w:firstLineChars="200"/>
        <w:jc w:val="both"/>
        <w:rPr>
          <w:sz w:val="24"/>
          <w:szCs w:val="24"/>
          <w:highlight w:val="none"/>
          <w:lang w:eastAsia="zh-CN"/>
        </w:rPr>
      </w:pPr>
      <w:r>
        <w:rPr>
          <w:sz w:val="24"/>
          <w:szCs w:val="24"/>
          <w:highlight w:val="none"/>
          <w:lang w:eastAsia="zh-CN"/>
        </w:rPr>
        <w:t>6.3.2评标完成后，评标委员会应当向招标人提交书面评标报告和中标候选人名单。评标委员会推荐中标候选人的人数见投标人须知前附表。</w:t>
      </w:r>
    </w:p>
    <w:p w14:paraId="20102BE7">
      <w:pPr>
        <w:spacing w:line="360" w:lineRule="auto"/>
        <w:jc w:val="both"/>
        <w:rPr>
          <w:rFonts w:ascii="宋体" w:hAnsi="宋体" w:eastAsia="宋体"/>
          <w:sz w:val="24"/>
          <w:szCs w:val="24"/>
          <w:highlight w:val="none"/>
          <w:lang w:eastAsia="zh-CN"/>
        </w:rPr>
      </w:pPr>
      <w:bookmarkStart w:id="28" w:name="_Toc25137988"/>
    </w:p>
    <w:p w14:paraId="39ABDACB">
      <w:pPr>
        <w:pStyle w:val="4"/>
        <w:spacing w:line="360" w:lineRule="auto"/>
        <w:ind w:right="44"/>
        <w:jc w:val="both"/>
        <w:rPr>
          <w:rFonts w:ascii="宋体" w:hAnsi="宋体" w:eastAsia="宋体"/>
          <w:highlight w:val="none"/>
          <w:lang w:eastAsia="zh-CN"/>
        </w:rPr>
      </w:pPr>
      <w:bookmarkStart w:id="29" w:name="_Toc25152738"/>
      <w:bookmarkStart w:id="30" w:name="_Toc4918"/>
      <w:r>
        <w:rPr>
          <w:rFonts w:ascii="宋体" w:hAnsi="宋体" w:eastAsia="宋体"/>
          <w:highlight w:val="none"/>
          <w:lang w:eastAsia="zh-CN"/>
        </w:rPr>
        <w:t>7. 合同授予</w:t>
      </w:r>
      <w:bookmarkEnd w:id="28"/>
      <w:bookmarkEnd w:id="29"/>
      <w:bookmarkEnd w:id="30"/>
    </w:p>
    <w:p w14:paraId="2CFA938E">
      <w:pPr>
        <w:pStyle w:val="5"/>
        <w:spacing w:line="360" w:lineRule="auto"/>
        <w:ind w:right="44"/>
        <w:jc w:val="both"/>
        <w:rPr>
          <w:b/>
          <w:bCs/>
          <w:highlight w:val="none"/>
          <w:lang w:eastAsia="zh-CN"/>
        </w:rPr>
      </w:pPr>
      <w:r>
        <w:rPr>
          <w:b/>
          <w:bCs/>
          <w:highlight w:val="none"/>
          <w:lang w:eastAsia="zh-CN"/>
        </w:rPr>
        <w:t>7.1中标候选人公示</w:t>
      </w:r>
    </w:p>
    <w:p w14:paraId="62C42F8A">
      <w:pPr>
        <w:pStyle w:val="11"/>
        <w:spacing w:line="360" w:lineRule="auto"/>
        <w:ind w:left="0" w:firstLine="480" w:firstLineChars="200"/>
        <w:jc w:val="both"/>
        <w:rPr>
          <w:rFonts w:hint="eastAsia"/>
          <w:sz w:val="24"/>
          <w:szCs w:val="24"/>
          <w:highlight w:val="none"/>
          <w:lang w:eastAsia="zh-CN"/>
        </w:rPr>
      </w:pPr>
      <w:r>
        <w:rPr>
          <w:sz w:val="24"/>
          <w:szCs w:val="24"/>
          <w:highlight w:val="none"/>
          <w:lang w:eastAsia="zh-CN"/>
        </w:rPr>
        <w:t>招标人在收到评标报告之日起 3日内，按照投标人须知前附表规定的公示媒介和期限公示中标候选人，公示期不得少于3天。</w:t>
      </w:r>
    </w:p>
    <w:p w14:paraId="3ED76D34">
      <w:pPr>
        <w:pStyle w:val="11"/>
        <w:spacing w:line="360" w:lineRule="auto"/>
        <w:ind w:left="0" w:firstLine="480" w:firstLineChars="200"/>
        <w:jc w:val="both"/>
        <w:rPr>
          <w:rFonts w:hint="eastAsia"/>
          <w:sz w:val="24"/>
          <w:szCs w:val="24"/>
          <w:highlight w:val="none"/>
          <w:u w:val="single"/>
          <w:lang w:eastAsia="zh-CN"/>
        </w:rPr>
      </w:pPr>
      <w:r>
        <w:rPr>
          <w:rFonts w:hint="eastAsia"/>
          <w:sz w:val="24"/>
          <w:szCs w:val="24"/>
          <w:highlight w:val="none"/>
          <w:u w:val="single"/>
          <w:lang w:eastAsia="zh-CN"/>
        </w:rPr>
        <w:t>在产生中标候选人后，招标人将中标候选人的投标文件商务部分的电子版（报价清单、方案等涉及商业秘密的内容除外）在广州交易集团有限公司（广州公共资源交易中心）网站（网址：</w:t>
      </w:r>
      <w:r>
        <w:rPr>
          <w:sz w:val="24"/>
          <w:szCs w:val="24"/>
          <w:highlight w:val="none"/>
          <w:u w:val="single"/>
          <w:lang w:eastAsia="zh-CN"/>
        </w:rPr>
        <w:t>http://www.gzggzy.cn</w:t>
      </w:r>
      <w:r>
        <w:rPr>
          <w:rFonts w:hint="eastAsia"/>
          <w:sz w:val="24"/>
          <w:szCs w:val="24"/>
          <w:highlight w:val="none"/>
          <w:u w:val="single"/>
          <w:lang w:eastAsia="zh-CN"/>
        </w:rPr>
        <w:t>）、广东省招标投标监管网（网址：http://zbtb.gd.gov.cn/#/index）发布公示。</w:t>
      </w:r>
    </w:p>
    <w:p w14:paraId="4BA5E1A8">
      <w:pPr>
        <w:spacing w:line="360" w:lineRule="auto"/>
        <w:jc w:val="both"/>
        <w:rPr>
          <w:rFonts w:ascii="宋体" w:hAnsi="宋体" w:eastAsia="宋体"/>
          <w:sz w:val="24"/>
          <w:szCs w:val="24"/>
          <w:highlight w:val="none"/>
          <w:lang w:eastAsia="zh-CN"/>
        </w:rPr>
      </w:pPr>
    </w:p>
    <w:p w14:paraId="71DB1775">
      <w:pPr>
        <w:pStyle w:val="5"/>
        <w:spacing w:line="360" w:lineRule="auto"/>
        <w:ind w:right="44"/>
        <w:jc w:val="both"/>
        <w:rPr>
          <w:b/>
          <w:bCs/>
          <w:highlight w:val="none"/>
          <w:lang w:eastAsia="zh-CN"/>
        </w:rPr>
      </w:pPr>
      <w:r>
        <w:rPr>
          <w:b/>
          <w:bCs/>
          <w:highlight w:val="none"/>
          <w:lang w:eastAsia="zh-CN"/>
        </w:rPr>
        <w:t>7.2评标结果异议</w:t>
      </w:r>
    </w:p>
    <w:p w14:paraId="14FF8FAD">
      <w:pPr>
        <w:pStyle w:val="11"/>
        <w:spacing w:line="360" w:lineRule="auto"/>
        <w:ind w:left="0" w:firstLine="480" w:firstLineChars="200"/>
        <w:jc w:val="both"/>
        <w:rPr>
          <w:sz w:val="24"/>
          <w:szCs w:val="24"/>
          <w:highlight w:val="none"/>
          <w:lang w:eastAsia="zh-CN"/>
        </w:rPr>
      </w:pPr>
      <w:r>
        <w:rPr>
          <w:sz w:val="24"/>
          <w:szCs w:val="24"/>
          <w:highlight w:val="none"/>
          <w:lang w:eastAsia="zh-CN"/>
        </w:rPr>
        <w:t>投标人或者其他利害关系人对评标结果有异议的，应当在中标候选人公示期间提出。招标人将在收到异议之日起3日内作出答复；作出答复前，将暂停招标投标活动。</w:t>
      </w:r>
    </w:p>
    <w:p w14:paraId="06F100E5">
      <w:pPr>
        <w:spacing w:line="360" w:lineRule="auto"/>
        <w:jc w:val="both"/>
        <w:rPr>
          <w:rFonts w:ascii="宋体" w:hAnsi="宋体" w:eastAsia="宋体" w:cs="Times New Roman"/>
          <w:sz w:val="24"/>
          <w:szCs w:val="24"/>
          <w:highlight w:val="none"/>
          <w:lang w:eastAsia="zh-CN"/>
        </w:rPr>
      </w:pPr>
    </w:p>
    <w:p w14:paraId="4BE49C24">
      <w:pPr>
        <w:pStyle w:val="5"/>
        <w:spacing w:line="360" w:lineRule="auto"/>
        <w:ind w:right="44"/>
        <w:jc w:val="both"/>
        <w:rPr>
          <w:b/>
          <w:bCs/>
          <w:highlight w:val="none"/>
          <w:lang w:eastAsia="zh-CN"/>
        </w:rPr>
      </w:pPr>
      <w:r>
        <w:rPr>
          <w:b/>
          <w:bCs/>
          <w:highlight w:val="none"/>
          <w:lang w:eastAsia="zh-CN"/>
        </w:rPr>
        <w:t>7.3中标候选人履约能力审查</w:t>
      </w:r>
    </w:p>
    <w:p w14:paraId="2D30EA0F">
      <w:pPr>
        <w:pStyle w:val="11"/>
        <w:spacing w:line="360" w:lineRule="auto"/>
        <w:ind w:left="0" w:firstLine="480" w:firstLineChars="200"/>
        <w:jc w:val="both"/>
        <w:rPr>
          <w:sz w:val="24"/>
          <w:szCs w:val="24"/>
          <w:highlight w:val="none"/>
          <w:lang w:eastAsia="zh-CN"/>
        </w:rPr>
      </w:pPr>
      <w:r>
        <w:rPr>
          <w:sz w:val="24"/>
          <w:szCs w:val="24"/>
          <w:highlight w:val="none"/>
          <w:lang w:eastAsia="zh-CN"/>
        </w:rPr>
        <w:t>中标候选人的经营、财务状况发生较大变化或存在违法行为，招标人认为可能影响其履约能力的，将在发出中标通知书前提请原评标委员会按照招标文件规定的标准和方法进行审查确认。</w:t>
      </w:r>
    </w:p>
    <w:p w14:paraId="6DF41271">
      <w:pPr>
        <w:spacing w:line="360" w:lineRule="auto"/>
        <w:jc w:val="both"/>
        <w:rPr>
          <w:rFonts w:ascii="宋体" w:hAnsi="宋体" w:eastAsia="宋体"/>
          <w:sz w:val="24"/>
          <w:szCs w:val="24"/>
          <w:highlight w:val="none"/>
          <w:lang w:eastAsia="zh-CN"/>
        </w:rPr>
      </w:pPr>
    </w:p>
    <w:p w14:paraId="58DD9BF9">
      <w:pPr>
        <w:pStyle w:val="5"/>
        <w:spacing w:line="360" w:lineRule="auto"/>
        <w:ind w:right="44"/>
        <w:jc w:val="both"/>
        <w:rPr>
          <w:b/>
          <w:bCs/>
          <w:highlight w:val="none"/>
          <w:lang w:eastAsia="zh-CN"/>
        </w:rPr>
      </w:pPr>
      <w:r>
        <w:rPr>
          <w:b/>
          <w:bCs/>
          <w:highlight w:val="none"/>
          <w:lang w:eastAsia="zh-CN"/>
        </w:rPr>
        <w:t>7.4定标</w:t>
      </w:r>
    </w:p>
    <w:p w14:paraId="75A14A16">
      <w:pPr>
        <w:keepNext w:val="0"/>
        <w:keepLines w:val="0"/>
        <w:pageBreakBefore w:val="0"/>
        <w:widowControl w:val="0"/>
        <w:kinsoku/>
        <w:wordWrap/>
        <w:overflowPunct/>
        <w:topLinePunct w:val="0"/>
        <w:autoSpaceDE/>
        <w:autoSpaceDN/>
        <w:bidi w:val="0"/>
        <w:adjustRightInd/>
        <w:snapToGrid/>
        <w:spacing w:line="360" w:lineRule="auto"/>
        <w:ind w:left="0" w:leftChars="0" w:right="0" w:firstLine="480"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按照投标人须知前附表的规定由定标委员会票决确定中标人。</w:t>
      </w:r>
    </w:p>
    <w:p w14:paraId="63B85DAF">
      <w:pPr>
        <w:spacing w:line="360" w:lineRule="auto"/>
        <w:jc w:val="both"/>
        <w:rPr>
          <w:rFonts w:ascii="宋体" w:hAnsi="宋体" w:eastAsia="宋体"/>
          <w:sz w:val="24"/>
          <w:szCs w:val="24"/>
          <w:highlight w:val="none"/>
          <w:lang w:eastAsia="zh-CN"/>
        </w:rPr>
      </w:pPr>
    </w:p>
    <w:p w14:paraId="62341082">
      <w:pPr>
        <w:pStyle w:val="5"/>
        <w:spacing w:line="360" w:lineRule="auto"/>
        <w:ind w:right="44"/>
        <w:jc w:val="both"/>
        <w:rPr>
          <w:b/>
          <w:bCs/>
          <w:highlight w:val="none"/>
          <w:lang w:eastAsia="zh-CN"/>
        </w:rPr>
      </w:pPr>
      <w:r>
        <w:rPr>
          <w:b/>
          <w:bCs/>
          <w:highlight w:val="none"/>
          <w:lang w:eastAsia="zh-CN"/>
        </w:rPr>
        <w:t>7.5中标通知</w:t>
      </w:r>
    </w:p>
    <w:p w14:paraId="2F9299E6">
      <w:pPr>
        <w:pStyle w:val="11"/>
        <w:spacing w:line="360" w:lineRule="auto"/>
        <w:ind w:left="0" w:firstLine="480" w:firstLineChars="200"/>
        <w:jc w:val="both"/>
        <w:rPr>
          <w:sz w:val="24"/>
          <w:szCs w:val="24"/>
          <w:highlight w:val="none"/>
          <w:lang w:eastAsia="zh-CN"/>
        </w:rPr>
      </w:pPr>
      <w:r>
        <w:rPr>
          <w:sz w:val="24"/>
          <w:szCs w:val="24"/>
          <w:highlight w:val="none"/>
          <w:lang w:eastAsia="zh-CN"/>
        </w:rPr>
        <w:t>在本章第 3.3款规定的投标有效期内，招标人以书面形式向中标人发出中标通知书，同时将中标结果通知未中标的投标人。</w:t>
      </w:r>
    </w:p>
    <w:p w14:paraId="2CFE1144">
      <w:pPr>
        <w:spacing w:line="360" w:lineRule="auto"/>
        <w:jc w:val="both"/>
        <w:rPr>
          <w:rFonts w:ascii="宋体" w:hAnsi="宋体" w:eastAsia="宋体"/>
          <w:sz w:val="24"/>
          <w:szCs w:val="24"/>
          <w:highlight w:val="none"/>
          <w:lang w:eastAsia="zh-CN"/>
        </w:rPr>
      </w:pPr>
    </w:p>
    <w:p w14:paraId="0F409A25">
      <w:pPr>
        <w:pStyle w:val="5"/>
        <w:spacing w:line="360" w:lineRule="auto"/>
        <w:ind w:right="44"/>
        <w:jc w:val="both"/>
        <w:rPr>
          <w:b/>
          <w:bCs/>
          <w:highlight w:val="none"/>
          <w:lang w:eastAsia="zh-CN"/>
        </w:rPr>
      </w:pPr>
      <w:r>
        <w:rPr>
          <w:b/>
          <w:bCs/>
          <w:highlight w:val="none"/>
          <w:lang w:eastAsia="zh-CN"/>
        </w:rPr>
        <w:t>7.6技术成果经济补偿</w:t>
      </w:r>
    </w:p>
    <w:p w14:paraId="47ED6701">
      <w:pPr>
        <w:pStyle w:val="11"/>
        <w:spacing w:line="360" w:lineRule="auto"/>
        <w:ind w:left="0" w:firstLine="480" w:firstLineChars="200"/>
        <w:jc w:val="both"/>
        <w:rPr>
          <w:rFonts w:hint="eastAsia"/>
          <w:sz w:val="24"/>
          <w:szCs w:val="24"/>
          <w:highlight w:val="none"/>
          <w:u w:val="single"/>
          <w:lang w:eastAsia="zh-CN"/>
        </w:rPr>
      </w:pPr>
      <w:r>
        <w:rPr>
          <w:rFonts w:hint="eastAsia"/>
          <w:sz w:val="24"/>
          <w:szCs w:val="24"/>
          <w:highlight w:val="none"/>
          <w:u w:val="single"/>
          <w:lang w:eastAsia="zh-CN"/>
        </w:rPr>
        <w:t>本工程不设未中标单位经济补偿，投标费用由投标人自理。</w:t>
      </w:r>
    </w:p>
    <w:p w14:paraId="229D09F6">
      <w:pPr>
        <w:spacing w:line="360" w:lineRule="auto"/>
        <w:jc w:val="both"/>
        <w:rPr>
          <w:rFonts w:ascii="宋体" w:hAnsi="宋体" w:eastAsia="宋体"/>
          <w:sz w:val="24"/>
          <w:szCs w:val="24"/>
          <w:highlight w:val="none"/>
          <w:lang w:eastAsia="zh-CN"/>
        </w:rPr>
      </w:pPr>
    </w:p>
    <w:p w14:paraId="587E89FC">
      <w:pPr>
        <w:pStyle w:val="5"/>
        <w:spacing w:line="360" w:lineRule="auto"/>
        <w:ind w:right="44"/>
        <w:jc w:val="both"/>
        <w:rPr>
          <w:b/>
          <w:bCs/>
          <w:highlight w:val="none"/>
          <w:lang w:eastAsia="zh-CN"/>
        </w:rPr>
      </w:pPr>
      <w:r>
        <w:rPr>
          <w:b/>
          <w:bCs/>
          <w:highlight w:val="none"/>
          <w:lang w:eastAsia="zh-CN"/>
        </w:rPr>
        <w:t>7.7履约保证金</w:t>
      </w:r>
    </w:p>
    <w:p w14:paraId="57553378">
      <w:pPr>
        <w:pStyle w:val="11"/>
        <w:spacing w:line="360" w:lineRule="auto"/>
        <w:ind w:left="0" w:firstLine="480" w:firstLineChars="200"/>
        <w:jc w:val="both"/>
        <w:rPr>
          <w:sz w:val="24"/>
          <w:szCs w:val="24"/>
          <w:highlight w:val="none"/>
          <w:lang w:eastAsia="zh-CN"/>
        </w:rPr>
      </w:pPr>
      <w:r>
        <w:rPr>
          <w:sz w:val="24"/>
          <w:szCs w:val="24"/>
          <w:highlight w:val="none"/>
          <w:lang w:eastAsia="zh-CN"/>
        </w:rPr>
        <w:t>7.7.1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74880470">
      <w:pPr>
        <w:pStyle w:val="11"/>
        <w:spacing w:line="360" w:lineRule="auto"/>
        <w:ind w:left="0" w:firstLine="480" w:firstLineChars="200"/>
        <w:jc w:val="both"/>
        <w:rPr>
          <w:sz w:val="24"/>
          <w:szCs w:val="24"/>
          <w:highlight w:val="none"/>
          <w:lang w:eastAsia="zh-CN"/>
        </w:rPr>
      </w:pPr>
      <w:r>
        <w:rPr>
          <w:sz w:val="24"/>
          <w:szCs w:val="24"/>
          <w:highlight w:val="none"/>
          <w:lang w:eastAsia="zh-CN"/>
        </w:rPr>
        <w:t>7.7.2中标人不能按本章第 7.7.1项要求提交履约保证金的，视为放弃中标，其投标保证金不予退还，给招标人造成的损失超过投标保证金数额的，中标人还应当对超过部分予以赔偿。</w:t>
      </w:r>
    </w:p>
    <w:p w14:paraId="76D9070F">
      <w:pPr>
        <w:spacing w:line="360" w:lineRule="auto"/>
        <w:jc w:val="both"/>
        <w:rPr>
          <w:rFonts w:ascii="宋体" w:hAnsi="宋体" w:eastAsia="宋体"/>
          <w:sz w:val="24"/>
          <w:szCs w:val="24"/>
          <w:highlight w:val="none"/>
          <w:lang w:eastAsia="zh-CN"/>
        </w:rPr>
      </w:pPr>
    </w:p>
    <w:p w14:paraId="5CB7F9B9">
      <w:pPr>
        <w:pStyle w:val="5"/>
        <w:spacing w:line="360" w:lineRule="auto"/>
        <w:ind w:right="44"/>
        <w:jc w:val="both"/>
        <w:rPr>
          <w:b/>
          <w:bCs/>
          <w:highlight w:val="none"/>
          <w:lang w:eastAsia="zh-CN"/>
        </w:rPr>
      </w:pPr>
      <w:r>
        <w:rPr>
          <w:b/>
          <w:bCs/>
          <w:highlight w:val="none"/>
          <w:lang w:eastAsia="zh-CN"/>
        </w:rPr>
        <w:t>7.8签订合同</w:t>
      </w:r>
    </w:p>
    <w:p w14:paraId="6466B221">
      <w:pPr>
        <w:pStyle w:val="11"/>
        <w:spacing w:line="360" w:lineRule="auto"/>
        <w:ind w:left="0" w:firstLine="480" w:firstLineChars="200"/>
        <w:jc w:val="both"/>
        <w:rPr>
          <w:sz w:val="24"/>
          <w:szCs w:val="24"/>
          <w:highlight w:val="none"/>
          <w:lang w:eastAsia="zh-CN"/>
        </w:rPr>
      </w:pPr>
      <w:r>
        <w:rPr>
          <w:sz w:val="24"/>
          <w:szCs w:val="24"/>
          <w:highlight w:val="none"/>
          <w:lang w:eastAsia="zh-CN"/>
        </w:rPr>
        <w:t>7.8.1招标人和中标人应当在中标通知书发出之日起 30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25E8834E">
      <w:pPr>
        <w:pStyle w:val="11"/>
        <w:spacing w:line="360" w:lineRule="auto"/>
        <w:ind w:left="0" w:firstLine="480" w:firstLineChars="200"/>
        <w:jc w:val="both"/>
        <w:rPr>
          <w:sz w:val="24"/>
          <w:szCs w:val="24"/>
          <w:highlight w:val="none"/>
          <w:lang w:eastAsia="zh-CN"/>
        </w:rPr>
      </w:pPr>
      <w:r>
        <w:rPr>
          <w:sz w:val="24"/>
          <w:szCs w:val="24"/>
          <w:highlight w:val="none"/>
          <w:lang w:eastAsia="zh-CN"/>
        </w:rPr>
        <w:t>7.8.2发出中标通知书后，招标人无正当理由拒签合同，或者在签订合同时向中标人提出附加条件的，招标人向中标人退还投标保证金；给中标人造成损失的，还应当赔偿损失。</w:t>
      </w:r>
    </w:p>
    <w:p w14:paraId="7100DCCC">
      <w:pPr>
        <w:pStyle w:val="11"/>
        <w:spacing w:line="360" w:lineRule="auto"/>
        <w:ind w:left="0" w:firstLine="480" w:firstLineChars="200"/>
        <w:jc w:val="both"/>
        <w:rPr>
          <w:sz w:val="24"/>
          <w:szCs w:val="24"/>
          <w:highlight w:val="none"/>
          <w:lang w:eastAsia="zh-CN"/>
        </w:rPr>
      </w:pPr>
      <w:r>
        <w:rPr>
          <w:sz w:val="24"/>
          <w:szCs w:val="24"/>
          <w:highlight w:val="none"/>
          <w:lang w:eastAsia="zh-CN"/>
        </w:rPr>
        <w:t>7.8.3联合体中标的，联合体各方应当共同与招标人签订合同，就中标项目向招标人承担连带责任。</w:t>
      </w:r>
    </w:p>
    <w:p w14:paraId="1FD8F8CF">
      <w:pPr>
        <w:pStyle w:val="11"/>
        <w:spacing w:line="360" w:lineRule="auto"/>
        <w:ind w:left="0" w:firstLine="480" w:firstLineChars="200"/>
        <w:jc w:val="both"/>
        <w:rPr>
          <w:sz w:val="24"/>
          <w:szCs w:val="24"/>
          <w:highlight w:val="none"/>
          <w:lang w:eastAsia="zh-CN"/>
        </w:rPr>
      </w:pPr>
      <w:bookmarkStart w:id="31" w:name="_Toc25137989"/>
    </w:p>
    <w:p w14:paraId="17F04430">
      <w:pPr>
        <w:pStyle w:val="4"/>
        <w:spacing w:line="360" w:lineRule="auto"/>
        <w:ind w:right="44"/>
        <w:jc w:val="both"/>
        <w:rPr>
          <w:rFonts w:ascii="宋体" w:hAnsi="宋体" w:eastAsia="宋体"/>
          <w:highlight w:val="none"/>
          <w:lang w:eastAsia="zh-CN"/>
        </w:rPr>
      </w:pPr>
      <w:bookmarkStart w:id="32" w:name="_Toc25152739"/>
      <w:bookmarkStart w:id="33" w:name="_Toc3741"/>
      <w:r>
        <w:rPr>
          <w:rFonts w:ascii="宋体" w:hAnsi="宋体" w:eastAsia="宋体"/>
          <w:highlight w:val="none"/>
          <w:lang w:eastAsia="zh-CN"/>
        </w:rPr>
        <w:t>8.</w:t>
      </w:r>
      <w:r>
        <w:rPr>
          <w:rFonts w:hint="eastAsia" w:ascii="宋体" w:hAnsi="宋体" w:eastAsia="宋体"/>
          <w:highlight w:val="none"/>
          <w:lang w:eastAsia="zh-CN"/>
        </w:rPr>
        <w:t xml:space="preserve"> </w:t>
      </w:r>
      <w:r>
        <w:rPr>
          <w:rFonts w:ascii="宋体" w:hAnsi="宋体" w:eastAsia="宋体"/>
          <w:highlight w:val="none"/>
          <w:lang w:eastAsia="zh-CN"/>
        </w:rPr>
        <w:t>纪律和监督</w:t>
      </w:r>
      <w:bookmarkEnd w:id="31"/>
      <w:bookmarkEnd w:id="32"/>
      <w:bookmarkEnd w:id="33"/>
    </w:p>
    <w:p w14:paraId="724A250D">
      <w:pPr>
        <w:pStyle w:val="5"/>
        <w:spacing w:line="360" w:lineRule="auto"/>
        <w:ind w:right="44"/>
        <w:jc w:val="both"/>
        <w:rPr>
          <w:b/>
          <w:bCs/>
          <w:highlight w:val="none"/>
          <w:lang w:eastAsia="zh-CN"/>
        </w:rPr>
      </w:pPr>
      <w:r>
        <w:rPr>
          <w:b/>
          <w:bCs/>
          <w:highlight w:val="none"/>
          <w:lang w:eastAsia="zh-CN"/>
        </w:rPr>
        <w:t>8.1对招标人的纪律要求</w:t>
      </w:r>
    </w:p>
    <w:p w14:paraId="4D290AAD">
      <w:pPr>
        <w:pStyle w:val="11"/>
        <w:spacing w:line="360" w:lineRule="auto"/>
        <w:ind w:left="0" w:firstLine="480" w:firstLineChars="200"/>
        <w:jc w:val="both"/>
        <w:rPr>
          <w:sz w:val="24"/>
          <w:szCs w:val="24"/>
          <w:highlight w:val="none"/>
          <w:lang w:eastAsia="zh-CN"/>
        </w:rPr>
      </w:pPr>
      <w:r>
        <w:rPr>
          <w:sz w:val="24"/>
          <w:szCs w:val="24"/>
          <w:highlight w:val="none"/>
          <w:lang w:eastAsia="zh-CN"/>
        </w:rPr>
        <w:t>招标人不得泄露招标投标活动中应当保密的情况和资料，不得与投标人串通损害国家利益、社会公共利益或者他人合法权益。</w:t>
      </w:r>
    </w:p>
    <w:p w14:paraId="54FF9A22">
      <w:pPr>
        <w:spacing w:line="360" w:lineRule="auto"/>
        <w:jc w:val="both"/>
        <w:rPr>
          <w:rFonts w:ascii="宋体" w:hAnsi="宋体" w:eastAsia="宋体" w:cs="Times New Roman"/>
          <w:sz w:val="24"/>
          <w:szCs w:val="24"/>
          <w:highlight w:val="none"/>
          <w:lang w:eastAsia="zh-CN"/>
        </w:rPr>
      </w:pPr>
    </w:p>
    <w:p w14:paraId="33B9FEB6">
      <w:pPr>
        <w:pStyle w:val="5"/>
        <w:spacing w:line="360" w:lineRule="auto"/>
        <w:ind w:right="44"/>
        <w:jc w:val="both"/>
        <w:rPr>
          <w:b/>
          <w:bCs/>
          <w:highlight w:val="none"/>
          <w:lang w:eastAsia="zh-CN"/>
        </w:rPr>
      </w:pPr>
      <w:r>
        <w:rPr>
          <w:b/>
          <w:bCs/>
          <w:highlight w:val="none"/>
          <w:lang w:eastAsia="zh-CN"/>
        </w:rPr>
        <w:t>8.2对投标人的纪律要求</w:t>
      </w:r>
    </w:p>
    <w:p w14:paraId="771A0E46">
      <w:pPr>
        <w:pStyle w:val="11"/>
        <w:spacing w:line="360" w:lineRule="auto"/>
        <w:ind w:left="0" w:firstLine="480" w:firstLineChars="200"/>
        <w:jc w:val="both"/>
        <w:rPr>
          <w:sz w:val="24"/>
          <w:szCs w:val="24"/>
          <w:highlight w:val="none"/>
          <w:lang w:eastAsia="zh-CN"/>
        </w:rPr>
      </w:pPr>
      <w:r>
        <w:rPr>
          <w:sz w:val="24"/>
          <w:szCs w:val="24"/>
          <w:highlight w:val="none"/>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A0EECEC">
      <w:pPr>
        <w:spacing w:line="360" w:lineRule="auto"/>
        <w:jc w:val="both"/>
        <w:rPr>
          <w:rFonts w:ascii="宋体" w:hAnsi="宋体" w:eastAsia="宋体"/>
          <w:sz w:val="24"/>
          <w:szCs w:val="24"/>
          <w:highlight w:val="none"/>
          <w:lang w:eastAsia="zh-CN"/>
        </w:rPr>
      </w:pPr>
    </w:p>
    <w:p w14:paraId="2B85A74F">
      <w:pPr>
        <w:pStyle w:val="5"/>
        <w:spacing w:line="360" w:lineRule="auto"/>
        <w:ind w:right="44"/>
        <w:jc w:val="both"/>
        <w:rPr>
          <w:b/>
          <w:bCs/>
          <w:highlight w:val="none"/>
          <w:lang w:eastAsia="zh-CN"/>
        </w:rPr>
      </w:pPr>
      <w:r>
        <w:rPr>
          <w:b/>
          <w:bCs/>
          <w:highlight w:val="none"/>
          <w:lang w:eastAsia="zh-CN"/>
        </w:rPr>
        <w:t>8.3对评标委员会成员的纪律要求</w:t>
      </w:r>
    </w:p>
    <w:p w14:paraId="6DE8589E">
      <w:pPr>
        <w:pStyle w:val="11"/>
        <w:spacing w:line="360" w:lineRule="auto"/>
        <w:ind w:left="0" w:firstLine="480" w:firstLineChars="200"/>
        <w:jc w:val="both"/>
        <w:rPr>
          <w:sz w:val="24"/>
          <w:szCs w:val="24"/>
          <w:highlight w:val="none"/>
          <w:lang w:eastAsia="zh-CN"/>
        </w:rPr>
      </w:pPr>
      <w:r>
        <w:rPr>
          <w:sz w:val="24"/>
          <w:szCs w:val="24"/>
          <w:highlight w:val="none"/>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23DE7737">
      <w:pPr>
        <w:spacing w:line="360" w:lineRule="auto"/>
        <w:jc w:val="both"/>
        <w:rPr>
          <w:rFonts w:ascii="宋体" w:hAnsi="宋体" w:eastAsia="宋体"/>
          <w:sz w:val="24"/>
          <w:szCs w:val="24"/>
          <w:highlight w:val="none"/>
          <w:lang w:eastAsia="zh-CN"/>
        </w:rPr>
      </w:pPr>
    </w:p>
    <w:p w14:paraId="5376C6D8">
      <w:pPr>
        <w:pStyle w:val="5"/>
        <w:spacing w:line="360" w:lineRule="auto"/>
        <w:ind w:right="44"/>
        <w:jc w:val="both"/>
        <w:rPr>
          <w:b/>
          <w:bCs/>
          <w:highlight w:val="none"/>
          <w:lang w:eastAsia="zh-CN"/>
        </w:rPr>
      </w:pPr>
      <w:r>
        <w:rPr>
          <w:b/>
          <w:bCs/>
          <w:highlight w:val="none"/>
          <w:lang w:eastAsia="zh-CN"/>
        </w:rPr>
        <w:t>8.4对与评标活动有关的工作人员的纪律要求</w:t>
      </w:r>
    </w:p>
    <w:p w14:paraId="5D818CC6">
      <w:pPr>
        <w:pStyle w:val="11"/>
        <w:spacing w:line="360" w:lineRule="auto"/>
        <w:ind w:left="0" w:firstLine="480" w:firstLineChars="200"/>
        <w:jc w:val="both"/>
        <w:rPr>
          <w:sz w:val="24"/>
          <w:szCs w:val="24"/>
          <w:highlight w:val="none"/>
          <w:lang w:eastAsia="zh-CN"/>
        </w:rPr>
      </w:pPr>
      <w:r>
        <w:rPr>
          <w:sz w:val="24"/>
          <w:szCs w:val="24"/>
          <w:highlight w:val="none"/>
          <w:lang w:eastAsia="zh-CN"/>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7678AC8">
      <w:pPr>
        <w:spacing w:line="360" w:lineRule="auto"/>
        <w:jc w:val="both"/>
        <w:rPr>
          <w:rFonts w:ascii="宋体" w:hAnsi="宋体" w:eastAsia="宋体"/>
          <w:sz w:val="24"/>
          <w:szCs w:val="24"/>
          <w:highlight w:val="none"/>
          <w:lang w:eastAsia="zh-CN"/>
        </w:rPr>
      </w:pPr>
    </w:p>
    <w:p w14:paraId="51F94740">
      <w:pPr>
        <w:pStyle w:val="5"/>
        <w:rPr>
          <w:highlight w:val="none"/>
          <w:lang w:eastAsia="zh-CN"/>
        </w:rPr>
      </w:pPr>
    </w:p>
    <w:p w14:paraId="51AD0D5D">
      <w:pPr>
        <w:pStyle w:val="5"/>
        <w:spacing w:line="360" w:lineRule="auto"/>
        <w:ind w:right="44"/>
        <w:jc w:val="both"/>
        <w:rPr>
          <w:b/>
          <w:bCs/>
          <w:highlight w:val="none"/>
          <w:lang w:eastAsia="zh-CN"/>
        </w:rPr>
      </w:pPr>
      <w:r>
        <w:rPr>
          <w:b/>
          <w:bCs/>
          <w:highlight w:val="none"/>
          <w:lang w:eastAsia="zh-CN"/>
        </w:rPr>
        <w:t>8.5投诉</w:t>
      </w:r>
    </w:p>
    <w:p w14:paraId="3B2591E5">
      <w:pPr>
        <w:pStyle w:val="11"/>
        <w:spacing w:line="360" w:lineRule="auto"/>
        <w:ind w:left="0" w:firstLine="480" w:firstLineChars="200"/>
        <w:jc w:val="both"/>
        <w:rPr>
          <w:sz w:val="24"/>
          <w:szCs w:val="24"/>
          <w:highlight w:val="none"/>
          <w:lang w:eastAsia="zh-CN"/>
        </w:rPr>
      </w:pPr>
      <w:r>
        <w:rPr>
          <w:sz w:val="24"/>
          <w:szCs w:val="24"/>
          <w:highlight w:val="none"/>
          <w:lang w:eastAsia="zh-CN"/>
        </w:rPr>
        <w:t>8.5.1投标人或者其他利害关系人认为招标投标活动不符合法律、行政法规规定的，可以自知道或者应当知道之日起10日内向有关行政监督部门投诉。投诉应当有明确的请求和必要的证明材料。</w:t>
      </w:r>
    </w:p>
    <w:p w14:paraId="21AB1652">
      <w:pPr>
        <w:pStyle w:val="11"/>
        <w:spacing w:line="360" w:lineRule="auto"/>
        <w:ind w:left="0" w:firstLine="480" w:firstLineChars="200"/>
        <w:jc w:val="both"/>
        <w:rPr>
          <w:sz w:val="24"/>
          <w:szCs w:val="24"/>
          <w:highlight w:val="none"/>
          <w:lang w:eastAsia="zh-CN"/>
        </w:rPr>
      </w:pPr>
      <w:r>
        <w:rPr>
          <w:sz w:val="24"/>
          <w:szCs w:val="24"/>
          <w:highlight w:val="none"/>
          <w:lang w:eastAsia="zh-CN"/>
        </w:rPr>
        <w:t>8.5.2投标人或者其他利害关系人对招标文件、开标和评标结果提出投诉的，应当按照投标人须知第2.4款、第5.3款和第7.2款的规定先向招标人提出异议。异议答复期间不计算在第8.5.1项规定的期限内。</w:t>
      </w:r>
    </w:p>
    <w:p w14:paraId="547AE4D6">
      <w:pPr>
        <w:spacing w:line="360" w:lineRule="auto"/>
        <w:jc w:val="both"/>
        <w:rPr>
          <w:rFonts w:ascii="宋体" w:hAnsi="宋体" w:eastAsia="宋体"/>
          <w:sz w:val="24"/>
          <w:szCs w:val="24"/>
          <w:highlight w:val="none"/>
          <w:lang w:eastAsia="zh-CN"/>
        </w:rPr>
      </w:pPr>
      <w:bookmarkStart w:id="34" w:name="_Toc25137990"/>
    </w:p>
    <w:p w14:paraId="16DEE5A1">
      <w:pPr>
        <w:pStyle w:val="4"/>
        <w:spacing w:line="360" w:lineRule="auto"/>
        <w:ind w:right="44"/>
        <w:jc w:val="both"/>
        <w:rPr>
          <w:rFonts w:ascii="宋体" w:hAnsi="宋体" w:eastAsia="宋体"/>
          <w:highlight w:val="none"/>
          <w:lang w:eastAsia="zh-CN"/>
        </w:rPr>
      </w:pPr>
      <w:bookmarkStart w:id="35" w:name="_Toc20036"/>
      <w:bookmarkStart w:id="36" w:name="_Toc25152740"/>
      <w:r>
        <w:rPr>
          <w:rFonts w:ascii="宋体" w:hAnsi="宋体" w:eastAsia="宋体"/>
          <w:highlight w:val="none"/>
          <w:lang w:eastAsia="zh-CN"/>
        </w:rPr>
        <w:t>9. 是否采用电子招标投标</w:t>
      </w:r>
      <w:bookmarkEnd w:id="34"/>
      <w:bookmarkEnd w:id="35"/>
      <w:bookmarkEnd w:id="36"/>
    </w:p>
    <w:p w14:paraId="594C1B7F">
      <w:pPr>
        <w:pStyle w:val="11"/>
        <w:spacing w:line="360" w:lineRule="auto"/>
        <w:ind w:left="0" w:firstLine="480" w:firstLineChars="200"/>
        <w:jc w:val="both"/>
        <w:rPr>
          <w:sz w:val="24"/>
          <w:szCs w:val="24"/>
          <w:highlight w:val="none"/>
          <w:lang w:eastAsia="zh-CN"/>
        </w:rPr>
      </w:pPr>
      <w:r>
        <w:rPr>
          <w:sz w:val="24"/>
          <w:szCs w:val="24"/>
          <w:highlight w:val="none"/>
          <w:lang w:eastAsia="zh-CN"/>
        </w:rPr>
        <w:t>本招标项目是否采用电子招标投标方式，见投标人须知前附表。</w:t>
      </w:r>
    </w:p>
    <w:p w14:paraId="7B2C031A">
      <w:pPr>
        <w:spacing w:line="360" w:lineRule="auto"/>
        <w:jc w:val="both"/>
        <w:rPr>
          <w:rFonts w:ascii="宋体" w:hAnsi="宋体" w:eastAsia="宋体"/>
          <w:sz w:val="24"/>
          <w:szCs w:val="24"/>
          <w:highlight w:val="none"/>
          <w:lang w:eastAsia="zh-CN"/>
        </w:rPr>
      </w:pPr>
      <w:bookmarkStart w:id="37" w:name="_Toc25137991"/>
    </w:p>
    <w:p w14:paraId="7DE85498">
      <w:pPr>
        <w:pStyle w:val="4"/>
        <w:spacing w:line="360" w:lineRule="auto"/>
        <w:ind w:right="44"/>
        <w:jc w:val="both"/>
        <w:rPr>
          <w:rFonts w:ascii="宋体" w:hAnsi="宋体" w:eastAsia="宋体"/>
          <w:highlight w:val="none"/>
          <w:lang w:eastAsia="zh-CN"/>
        </w:rPr>
      </w:pPr>
      <w:bookmarkStart w:id="38" w:name="_Toc21681"/>
      <w:bookmarkStart w:id="39" w:name="_Toc25152741"/>
      <w:r>
        <w:rPr>
          <w:rFonts w:ascii="宋体" w:hAnsi="宋体" w:eastAsia="宋体"/>
          <w:highlight w:val="none"/>
          <w:lang w:eastAsia="zh-CN"/>
        </w:rPr>
        <w:t>10. 需要补充的其他内容</w:t>
      </w:r>
      <w:bookmarkEnd w:id="37"/>
      <w:bookmarkEnd w:id="38"/>
      <w:bookmarkEnd w:id="39"/>
    </w:p>
    <w:p w14:paraId="0DDDBD39">
      <w:pPr>
        <w:pStyle w:val="11"/>
        <w:spacing w:line="360" w:lineRule="auto"/>
        <w:ind w:left="0" w:firstLine="480" w:firstLineChars="200"/>
        <w:rPr>
          <w:sz w:val="24"/>
          <w:szCs w:val="24"/>
          <w:highlight w:val="none"/>
          <w:lang w:eastAsia="zh-CN"/>
        </w:rPr>
      </w:pPr>
      <w:r>
        <w:rPr>
          <w:sz w:val="24"/>
          <w:szCs w:val="24"/>
          <w:highlight w:val="none"/>
          <w:lang w:eastAsia="zh-CN"/>
        </w:rPr>
        <w:t>需要补充的其他内容：见投标人须知前附表。</w:t>
      </w:r>
    </w:p>
    <w:p w14:paraId="5A24D944">
      <w:pPr>
        <w:pStyle w:val="11"/>
        <w:spacing w:line="360" w:lineRule="auto"/>
        <w:ind w:left="0" w:firstLine="480" w:firstLineChars="200"/>
        <w:rPr>
          <w:sz w:val="24"/>
          <w:szCs w:val="24"/>
          <w:highlight w:val="none"/>
          <w:lang w:eastAsia="zh-CN"/>
        </w:rPr>
        <w:sectPr>
          <w:footerReference r:id="rId4" w:type="default"/>
          <w:pgSz w:w="11907" w:h="16839"/>
          <w:pgMar w:top="1383" w:right="1440" w:bottom="1383" w:left="1440" w:header="0" w:footer="918" w:gutter="0"/>
          <w:pgNumType w:start="1"/>
          <w:cols w:space="720" w:num="1"/>
          <w:rtlGutter w:val="0"/>
          <w:docGrid w:linePitch="0" w:charSpace="0"/>
        </w:sectPr>
      </w:pPr>
    </w:p>
    <w:p w14:paraId="1898FC3C">
      <w:pPr>
        <w:pStyle w:val="5"/>
        <w:spacing w:line="363" w:lineRule="exact"/>
        <w:ind w:left="357"/>
        <w:rPr>
          <w:b/>
          <w:bCs/>
          <w:highlight w:val="none"/>
          <w:lang w:eastAsia="zh-CN"/>
        </w:rPr>
      </w:pPr>
      <w:r>
        <w:rPr>
          <w:b/>
          <w:bCs/>
          <w:highlight w:val="none"/>
          <w:lang w:eastAsia="zh-CN"/>
        </w:rPr>
        <w:t>附件一：开标记录表</w:t>
      </w:r>
    </w:p>
    <w:p w14:paraId="2FEE319E">
      <w:pPr>
        <w:rPr>
          <w:rFonts w:ascii="宋体" w:hAnsi="宋体" w:eastAsia="宋体" w:cs="宋体"/>
          <w:sz w:val="20"/>
          <w:szCs w:val="20"/>
          <w:highlight w:val="none"/>
          <w:lang w:eastAsia="zh-CN"/>
        </w:rPr>
      </w:pPr>
    </w:p>
    <w:p w14:paraId="1D2503C9">
      <w:pPr>
        <w:spacing w:before="9"/>
        <w:rPr>
          <w:rFonts w:ascii="宋体" w:hAnsi="宋体" w:eastAsia="宋体" w:cs="宋体"/>
          <w:sz w:val="23"/>
          <w:szCs w:val="23"/>
          <w:highlight w:val="none"/>
          <w:lang w:eastAsia="zh-CN"/>
        </w:rPr>
      </w:pPr>
    </w:p>
    <w:p w14:paraId="733D4CC7">
      <w:pPr>
        <w:spacing w:before="14"/>
        <w:ind w:left="3238" w:right="3137"/>
        <w:jc w:val="center"/>
        <w:rPr>
          <w:rFonts w:ascii="宋体" w:hAnsi="宋体" w:eastAsia="宋体" w:cs="宋体"/>
          <w:b/>
          <w:bCs/>
          <w:sz w:val="28"/>
          <w:szCs w:val="28"/>
          <w:highlight w:val="none"/>
          <w:lang w:eastAsia="zh-CN"/>
        </w:rPr>
      </w:pPr>
      <w:r>
        <w:rPr>
          <w:rFonts w:ascii="宋体" w:hAnsi="宋体" w:eastAsia="宋体" w:cs="宋体"/>
          <w:b/>
          <w:bCs/>
          <w:sz w:val="28"/>
          <w:szCs w:val="28"/>
          <w:highlight w:val="none"/>
          <w:lang w:eastAsia="zh-CN"/>
        </w:rPr>
        <w:t>开标记录表</w:t>
      </w:r>
    </w:p>
    <w:p w14:paraId="5FCC0D7F">
      <w:pPr>
        <w:pStyle w:val="11"/>
        <w:tabs>
          <w:tab w:val="left" w:pos="3614"/>
          <w:tab w:val="left" w:pos="4768"/>
          <w:tab w:val="left" w:pos="5923"/>
          <w:tab w:val="left" w:pos="7078"/>
          <w:tab w:val="left" w:pos="8233"/>
        </w:tabs>
        <w:ind w:left="0"/>
        <w:rPr>
          <w:highlight w:val="none"/>
        </w:rPr>
      </w:pPr>
      <w:r>
        <w:rPr>
          <w:spacing w:val="-1"/>
          <w:highlight w:val="none"/>
        </w:rPr>
        <w:t>开标时间：</w:t>
      </w:r>
      <w:r>
        <w:rPr>
          <w:spacing w:val="-1"/>
          <w:highlight w:val="none"/>
          <w:u w:val="single" w:color="000000"/>
        </w:rPr>
        <w:tab/>
      </w:r>
      <w:r>
        <w:rPr>
          <w:highlight w:val="none"/>
        </w:rPr>
        <w:t>年</w:t>
      </w:r>
      <w:r>
        <w:rPr>
          <w:highlight w:val="none"/>
          <w:u w:val="single" w:color="000000"/>
        </w:rPr>
        <w:tab/>
      </w:r>
      <w:r>
        <w:rPr>
          <w:highlight w:val="none"/>
        </w:rPr>
        <w:t>月</w:t>
      </w:r>
      <w:r>
        <w:rPr>
          <w:highlight w:val="none"/>
          <w:u w:val="single" w:color="000000"/>
        </w:rPr>
        <w:tab/>
      </w:r>
      <w:r>
        <w:rPr>
          <w:highlight w:val="none"/>
        </w:rPr>
        <w:t>日</w:t>
      </w:r>
      <w:r>
        <w:rPr>
          <w:highlight w:val="none"/>
          <w:u w:val="single" w:color="000000"/>
        </w:rPr>
        <w:tab/>
      </w:r>
      <w:r>
        <w:rPr>
          <w:highlight w:val="none"/>
        </w:rPr>
        <w:t>时</w:t>
      </w:r>
      <w:r>
        <w:rPr>
          <w:highlight w:val="none"/>
          <w:u w:val="single" w:color="000000"/>
        </w:rPr>
        <w:tab/>
      </w:r>
      <w:r>
        <w:rPr>
          <w:highlight w:val="none"/>
        </w:rPr>
        <w:t>分</w:t>
      </w:r>
    </w:p>
    <w:p w14:paraId="0E1F77F7">
      <w:pPr>
        <w:spacing w:before="2"/>
        <w:rPr>
          <w:rFonts w:ascii="宋体" w:hAnsi="宋体" w:eastAsia="宋体" w:cs="宋体"/>
          <w:sz w:val="13"/>
          <w:szCs w:val="13"/>
          <w:highlight w:val="none"/>
        </w:rPr>
      </w:pPr>
    </w:p>
    <w:tbl>
      <w:tblPr>
        <w:tblStyle w:val="31"/>
        <w:tblW w:w="4807" w:type="pct"/>
        <w:jc w:val="center"/>
        <w:tblLayout w:type="autofit"/>
        <w:tblCellMar>
          <w:top w:w="0" w:type="dxa"/>
          <w:left w:w="0" w:type="dxa"/>
          <w:bottom w:w="0" w:type="dxa"/>
          <w:right w:w="0" w:type="dxa"/>
        </w:tblCellMar>
      </w:tblPr>
      <w:tblGrid>
        <w:gridCol w:w="787"/>
        <w:gridCol w:w="1264"/>
        <w:gridCol w:w="1258"/>
        <w:gridCol w:w="2004"/>
        <w:gridCol w:w="1234"/>
        <w:gridCol w:w="876"/>
        <w:gridCol w:w="1265"/>
      </w:tblGrid>
      <w:tr w14:paraId="40901E18">
        <w:tblPrEx>
          <w:tblCellMar>
            <w:top w:w="0" w:type="dxa"/>
            <w:left w:w="0" w:type="dxa"/>
            <w:bottom w:w="0" w:type="dxa"/>
            <w:right w:w="0" w:type="dxa"/>
          </w:tblCellMar>
        </w:tblPrEx>
        <w:trPr>
          <w:trHeight w:val="1010"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468A55BB">
            <w:pPr>
              <w:pStyle w:val="60"/>
              <w:jc w:val="center"/>
              <w:rPr>
                <w:rFonts w:ascii="宋体" w:hAnsi="宋体" w:eastAsia="宋体" w:cs="宋体"/>
                <w:sz w:val="21"/>
                <w:szCs w:val="21"/>
                <w:highlight w:val="none"/>
              </w:rPr>
            </w:pPr>
            <w:r>
              <w:rPr>
                <w:rFonts w:ascii="宋体" w:hAnsi="宋体" w:eastAsia="宋体" w:cs="宋体"/>
                <w:sz w:val="21"/>
                <w:szCs w:val="21"/>
                <w:highlight w:val="none"/>
              </w:rPr>
              <w:t>序号</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7C090EB">
            <w:pPr>
              <w:pStyle w:val="60"/>
              <w:jc w:val="center"/>
              <w:rPr>
                <w:rFonts w:ascii="宋体" w:hAnsi="宋体" w:eastAsia="宋体" w:cs="宋体"/>
                <w:sz w:val="21"/>
                <w:szCs w:val="21"/>
                <w:highlight w:val="none"/>
              </w:rPr>
            </w:pPr>
            <w:r>
              <w:rPr>
                <w:rFonts w:ascii="宋体" w:hAnsi="宋体" w:eastAsia="宋体" w:cs="宋体"/>
                <w:sz w:val="21"/>
                <w:szCs w:val="21"/>
                <w:highlight w:val="none"/>
              </w:rPr>
              <w:t>投标人</w:t>
            </w: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43049945">
            <w:pPr>
              <w:pStyle w:val="60"/>
              <w:jc w:val="center"/>
              <w:rPr>
                <w:rFonts w:ascii="宋体" w:hAnsi="宋体" w:eastAsia="宋体" w:cs="宋体"/>
                <w:sz w:val="21"/>
                <w:szCs w:val="21"/>
                <w:highlight w:val="none"/>
              </w:rPr>
            </w:pPr>
            <w:r>
              <w:rPr>
                <w:rFonts w:hint="eastAsia" w:ascii="宋体" w:hAnsi="宋体" w:eastAsia="宋体" w:cs="宋体"/>
                <w:sz w:val="21"/>
                <w:szCs w:val="21"/>
                <w:highlight w:val="none"/>
                <w:lang w:val="en-US" w:eastAsia="zh-CN"/>
              </w:rPr>
              <w:t>解</w:t>
            </w:r>
            <w:r>
              <w:rPr>
                <w:rFonts w:ascii="宋体" w:hAnsi="宋体" w:eastAsia="宋体" w:cs="宋体"/>
                <w:sz w:val="21"/>
                <w:szCs w:val="21"/>
                <w:highlight w:val="none"/>
              </w:rPr>
              <w:t>密情况</w:t>
            </w: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148E0065">
            <w:pPr>
              <w:pStyle w:val="60"/>
              <w:jc w:val="center"/>
              <w:rPr>
                <w:rFonts w:ascii="宋体" w:hAnsi="宋体" w:eastAsia="宋体" w:cs="宋体"/>
                <w:sz w:val="21"/>
                <w:szCs w:val="21"/>
                <w:highlight w:val="none"/>
              </w:rPr>
            </w:pPr>
            <w:r>
              <w:rPr>
                <w:rFonts w:ascii="宋体" w:hAnsi="宋体" w:eastAsia="宋体" w:cs="宋体"/>
                <w:sz w:val="21"/>
                <w:szCs w:val="21"/>
                <w:highlight w:val="none"/>
              </w:rPr>
              <w:t>投标报价（元）</w:t>
            </w: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42C455D0">
            <w:pPr>
              <w:pStyle w:val="60"/>
              <w:jc w:val="center"/>
              <w:rPr>
                <w:rFonts w:ascii="宋体" w:hAnsi="宋体" w:eastAsia="宋体" w:cs="宋体"/>
                <w:sz w:val="21"/>
                <w:szCs w:val="21"/>
                <w:highlight w:val="none"/>
              </w:rPr>
            </w:pPr>
            <w:r>
              <w:rPr>
                <w:rFonts w:ascii="宋体" w:hAnsi="宋体" w:eastAsia="宋体" w:cs="宋体"/>
                <w:sz w:val="21"/>
                <w:szCs w:val="21"/>
                <w:highlight w:val="none"/>
              </w:rPr>
              <w:t>项目负责人</w:t>
            </w: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A782779">
            <w:pPr>
              <w:pStyle w:val="60"/>
              <w:jc w:val="center"/>
              <w:rPr>
                <w:rFonts w:ascii="宋体" w:hAnsi="宋体" w:eastAsia="宋体" w:cs="宋体"/>
                <w:sz w:val="21"/>
                <w:szCs w:val="21"/>
                <w:highlight w:val="none"/>
              </w:rPr>
            </w:pPr>
            <w:r>
              <w:rPr>
                <w:rFonts w:ascii="宋体" w:hAnsi="宋体" w:eastAsia="宋体" w:cs="宋体"/>
                <w:sz w:val="21"/>
                <w:szCs w:val="21"/>
                <w:highlight w:val="none"/>
              </w:rPr>
              <w:t>备注</w:t>
            </w: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EC96C36">
            <w:pPr>
              <w:pStyle w:val="60"/>
              <w:jc w:val="center"/>
              <w:rPr>
                <w:rFonts w:ascii="宋体" w:hAnsi="宋体" w:eastAsia="宋体" w:cs="宋体"/>
                <w:sz w:val="21"/>
                <w:szCs w:val="21"/>
                <w:highlight w:val="none"/>
              </w:rPr>
            </w:pPr>
            <w:r>
              <w:rPr>
                <w:rFonts w:ascii="宋体" w:hAnsi="宋体" w:eastAsia="宋体" w:cs="宋体"/>
                <w:sz w:val="21"/>
                <w:szCs w:val="21"/>
                <w:highlight w:val="none"/>
              </w:rPr>
              <w:t>投标人代表签名</w:t>
            </w:r>
          </w:p>
        </w:tc>
      </w:tr>
      <w:tr w14:paraId="64E61C41">
        <w:tblPrEx>
          <w:tblCellMar>
            <w:top w:w="0" w:type="dxa"/>
            <w:left w:w="0" w:type="dxa"/>
            <w:bottom w:w="0" w:type="dxa"/>
            <w:right w:w="0" w:type="dxa"/>
          </w:tblCellMar>
        </w:tblPrEx>
        <w:trPr>
          <w:trHeight w:val="509"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24C28FF7">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2C41875">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50944EB3">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957F18B">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3962D88B">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F4C35DC">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B868BF7">
            <w:pPr>
              <w:jc w:val="center"/>
              <w:rPr>
                <w:rFonts w:ascii="宋体" w:hAnsi="宋体" w:eastAsia="宋体"/>
                <w:sz w:val="21"/>
                <w:szCs w:val="21"/>
                <w:highlight w:val="none"/>
              </w:rPr>
            </w:pPr>
          </w:p>
        </w:tc>
      </w:tr>
      <w:tr w14:paraId="6B08B730">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02D5F4FA">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51E810F">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5891E80E">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3E4D0474">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4FCD5222">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69AAFA0D">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C3AA9E1">
            <w:pPr>
              <w:jc w:val="center"/>
              <w:rPr>
                <w:rFonts w:ascii="宋体" w:hAnsi="宋体" w:eastAsia="宋体"/>
                <w:sz w:val="21"/>
                <w:szCs w:val="21"/>
                <w:highlight w:val="none"/>
              </w:rPr>
            </w:pPr>
          </w:p>
        </w:tc>
      </w:tr>
      <w:tr w14:paraId="49EFCD06">
        <w:tblPrEx>
          <w:tblCellMar>
            <w:top w:w="0" w:type="dxa"/>
            <w:left w:w="0" w:type="dxa"/>
            <w:bottom w:w="0" w:type="dxa"/>
            <w:right w:w="0" w:type="dxa"/>
          </w:tblCellMar>
        </w:tblPrEx>
        <w:trPr>
          <w:trHeight w:val="509"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505CAC91">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9994CDF">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5BDAD1B1">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3527F58E">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5788D864">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2C41286">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7E29C50">
            <w:pPr>
              <w:jc w:val="center"/>
              <w:rPr>
                <w:rFonts w:ascii="宋体" w:hAnsi="宋体" w:eastAsia="宋体"/>
                <w:sz w:val="21"/>
                <w:szCs w:val="21"/>
                <w:highlight w:val="none"/>
              </w:rPr>
            </w:pPr>
          </w:p>
        </w:tc>
      </w:tr>
      <w:tr w14:paraId="4B5317D4">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50857F8C">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246A0785">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1F3E6154">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0451CF2F">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209A2AEE">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130BD56">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4966F85">
            <w:pPr>
              <w:jc w:val="center"/>
              <w:rPr>
                <w:rFonts w:ascii="宋体" w:hAnsi="宋体" w:eastAsia="宋体"/>
                <w:sz w:val="21"/>
                <w:szCs w:val="21"/>
                <w:highlight w:val="none"/>
              </w:rPr>
            </w:pPr>
          </w:p>
        </w:tc>
      </w:tr>
      <w:tr w14:paraId="751532B6">
        <w:tblPrEx>
          <w:tblCellMar>
            <w:top w:w="0" w:type="dxa"/>
            <w:left w:w="0" w:type="dxa"/>
            <w:bottom w:w="0" w:type="dxa"/>
            <w:right w:w="0" w:type="dxa"/>
          </w:tblCellMar>
        </w:tblPrEx>
        <w:trPr>
          <w:trHeight w:val="509"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57CC5453">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2BF81B5">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6910BE01">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7DE80D8C">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4AE01E8A">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5EA9C0C">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6D7D32D1">
            <w:pPr>
              <w:jc w:val="center"/>
              <w:rPr>
                <w:rFonts w:ascii="宋体" w:hAnsi="宋体" w:eastAsia="宋体"/>
                <w:sz w:val="21"/>
                <w:szCs w:val="21"/>
                <w:highlight w:val="none"/>
              </w:rPr>
            </w:pPr>
          </w:p>
        </w:tc>
      </w:tr>
      <w:tr w14:paraId="79DF002B">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4A2967C5">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30CCA084">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125DC927">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00038F5B">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524E915D">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86624A7">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DC54DB0">
            <w:pPr>
              <w:jc w:val="center"/>
              <w:rPr>
                <w:rFonts w:ascii="宋体" w:hAnsi="宋体" w:eastAsia="宋体"/>
                <w:sz w:val="21"/>
                <w:szCs w:val="21"/>
                <w:highlight w:val="none"/>
              </w:rPr>
            </w:pPr>
          </w:p>
        </w:tc>
      </w:tr>
      <w:tr w14:paraId="6DD19054">
        <w:tblPrEx>
          <w:tblCellMar>
            <w:top w:w="0" w:type="dxa"/>
            <w:left w:w="0" w:type="dxa"/>
            <w:bottom w:w="0" w:type="dxa"/>
            <w:right w:w="0" w:type="dxa"/>
          </w:tblCellMar>
        </w:tblPrEx>
        <w:trPr>
          <w:trHeight w:val="509"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3DC99740">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03B7D7C8">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563AFFAC">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67066B98">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5FBA2D3D">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1F309BFE">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2090E87">
            <w:pPr>
              <w:jc w:val="center"/>
              <w:rPr>
                <w:rFonts w:ascii="宋体" w:hAnsi="宋体" w:eastAsia="宋体"/>
                <w:sz w:val="21"/>
                <w:szCs w:val="21"/>
                <w:highlight w:val="none"/>
              </w:rPr>
            </w:pPr>
          </w:p>
        </w:tc>
      </w:tr>
      <w:tr w14:paraId="16172830">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0CE67551">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F8C30C6">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458E2871">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3F517D44">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76FBCFE6">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471A1AEE">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77C3100">
            <w:pPr>
              <w:jc w:val="center"/>
              <w:rPr>
                <w:rFonts w:ascii="宋体" w:hAnsi="宋体" w:eastAsia="宋体"/>
                <w:sz w:val="21"/>
                <w:szCs w:val="21"/>
                <w:highlight w:val="none"/>
              </w:rPr>
            </w:pPr>
          </w:p>
        </w:tc>
      </w:tr>
      <w:tr w14:paraId="3AD3E73C">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05DC21C5">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1FE9BD25">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6B20012B">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20D2917F">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5B09F150">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8861C64">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6EEE827">
            <w:pPr>
              <w:jc w:val="center"/>
              <w:rPr>
                <w:rFonts w:ascii="宋体" w:hAnsi="宋体" w:eastAsia="宋体"/>
                <w:sz w:val="21"/>
                <w:szCs w:val="21"/>
                <w:highlight w:val="none"/>
              </w:rPr>
            </w:pPr>
          </w:p>
        </w:tc>
      </w:tr>
      <w:tr w14:paraId="305426A9">
        <w:tblPrEx>
          <w:tblCellMar>
            <w:top w:w="0" w:type="dxa"/>
            <w:left w:w="0" w:type="dxa"/>
            <w:bottom w:w="0" w:type="dxa"/>
            <w:right w:w="0" w:type="dxa"/>
          </w:tblCellMar>
        </w:tblPrEx>
        <w:trPr>
          <w:trHeight w:val="511"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19198EDD">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4F41020E">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729FD280">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6D8E4CB3">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5890A786">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5244CD83">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0DC3F0A">
            <w:pPr>
              <w:jc w:val="center"/>
              <w:rPr>
                <w:rFonts w:ascii="宋体" w:hAnsi="宋体" w:eastAsia="宋体"/>
                <w:sz w:val="21"/>
                <w:szCs w:val="21"/>
                <w:highlight w:val="none"/>
              </w:rPr>
            </w:pPr>
          </w:p>
        </w:tc>
      </w:tr>
      <w:tr w14:paraId="456CC48E">
        <w:tblPrEx>
          <w:tblCellMar>
            <w:top w:w="0" w:type="dxa"/>
            <w:left w:w="0" w:type="dxa"/>
            <w:bottom w:w="0" w:type="dxa"/>
            <w:right w:w="0" w:type="dxa"/>
          </w:tblCellMar>
        </w:tblPrEx>
        <w:trPr>
          <w:trHeight w:val="509" w:hRule="exact"/>
          <w:jc w:val="center"/>
        </w:trPr>
        <w:tc>
          <w:tcPr>
            <w:tcW w:w="453" w:type="pct"/>
            <w:tcBorders>
              <w:top w:val="single" w:color="000000" w:sz="4" w:space="0"/>
              <w:left w:val="single" w:color="000000" w:sz="4" w:space="0"/>
              <w:bottom w:val="single" w:color="000000" w:sz="4" w:space="0"/>
              <w:right w:val="single" w:color="000000" w:sz="4" w:space="0"/>
            </w:tcBorders>
            <w:noWrap w:val="0"/>
            <w:vAlign w:val="center"/>
          </w:tcPr>
          <w:p w14:paraId="3AB3B56B">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511D0915">
            <w:pPr>
              <w:jc w:val="center"/>
              <w:rPr>
                <w:rFonts w:ascii="宋体" w:hAnsi="宋体" w:eastAsia="宋体"/>
                <w:sz w:val="21"/>
                <w:szCs w:val="21"/>
                <w:highlight w:val="none"/>
              </w:rPr>
            </w:pPr>
          </w:p>
        </w:tc>
        <w:tc>
          <w:tcPr>
            <w:tcW w:w="723" w:type="pct"/>
            <w:tcBorders>
              <w:top w:val="single" w:color="000000" w:sz="4" w:space="0"/>
              <w:left w:val="single" w:color="000000" w:sz="4" w:space="0"/>
              <w:bottom w:val="single" w:color="000000" w:sz="4" w:space="0"/>
              <w:right w:val="single" w:color="000000" w:sz="4" w:space="0"/>
            </w:tcBorders>
            <w:noWrap w:val="0"/>
            <w:vAlign w:val="center"/>
          </w:tcPr>
          <w:p w14:paraId="6DCB4240">
            <w:pPr>
              <w:jc w:val="center"/>
              <w:rPr>
                <w:rFonts w:ascii="宋体" w:hAnsi="宋体" w:eastAsia="宋体"/>
                <w:sz w:val="21"/>
                <w:szCs w:val="21"/>
                <w:highlight w:val="none"/>
              </w:rPr>
            </w:pPr>
          </w:p>
        </w:tc>
        <w:tc>
          <w:tcPr>
            <w:tcW w:w="1153" w:type="pct"/>
            <w:tcBorders>
              <w:top w:val="single" w:color="000000" w:sz="4" w:space="0"/>
              <w:left w:val="single" w:color="000000" w:sz="4" w:space="0"/>
              <w:bottom w:val="single" w:color="000000" w:sz="4" w:space="0"/>
              <w:right w:val="single" w:color="000000" w:sz="4" w:space="0"/>
            </w:tcBorders>
            <w:noWrap w:val="0"/>
            <w:vAlign w:val="center"/>
          </w:tcPr>
          <w:p w14:paraId="35C0ABF2">
            <w:pPr>
              <w:jc w:val="center"/>
              <w:rPr>
                <w:rFonts w:ascii="宋体" w:hAnsi="宋体" w:eastAsia="宋体"/>
                <w:sz w:val="21"/>
                <w:szCs w:val="21"/>
                <w:highlight w:val="none"/>
              </w:rPr>
            </w:pPr>
          </w:p>
        </w:tc>
        <w:tc>
          <w:tcPr>
            <w:tcW w:w="710" w:type="pct"/>
            <w:tcBorders>
              <w:top w:val="single" w:color="000000" w:sz="4" w:space="0"/>
              <w:left w:val="single" w:color="000000" w:sz="4" w:space="0"/>
              <w:bottom w:val="single" w:color="000000" w:sz="4" w:space="0"/>
              <w:right w:val="single" w:color="000000" w:sz="4" w:space="0"/>
            </w:tcBorders>
            <w:noWrap w:val="0"/>
            <w:vAlign w:val="center"/>
          </w:tcPr>
          <w:p w14:paraId="0E900E5A">
            <w:pPr>
              <w:jc w:val="center"/>
              <w:rPr>
                <w:rFonts w:ascii="宋体" w:hAnsi="宋体" w:eastAsia="宋体"/>
                <w:sz w:val="21"/>
                <w:szCs w:val="21"/>
                <w:highlight w:val="none"/>
              </w:rPr>
            </w:pPr>
          </w:p>
        </w:tc>
        <w:tc>
          <w:tcPr>
            <w:tcW w:w="504" w:type="pct"/>
            <w:tcBorders>
              <w:top w:val="single" w:color="000000" w:sz="4" w:space="0"/>
              <w:left w:val="single" w:color="000000" w:sz="4" w:space="0"/>
              <w:bottom w:val="single" w:color="000000" w:sz="4" w:space="0"/>
              <w:right w:val="single" w:color="000000" w:sz="4" w:space="0"/>
            </w:tcBorders>
            <w:noWrap w:val="0"/>
            <w:vAlign w:val="center"/>
          </w:tcPr>
          <w:p w14:paraId="308F85D9">
            <w:pPr>
              <w:jc w:val="center"/>
              <w:rPr>
                <w:rFonts w:ascii="宋体" w:hAnsi="宋体" w:eastAsia="宋体"/>
                <w:sz w:val="21"/>
                <w:szCs w:val="21"/>
                <w:highlight w:val="none"/>
              </w:rPr>
            </w:pPr>
          </w:p>
        </w:tc>
        <w:tc>
          <w:tcPr>
            <w:tcW w:w="727" w:type="pct"/>
            <w:tcBorders>
              <w:top w:val="single" w:color="000000" w:sz="4" w:space="0"/>
              <w:left w:val="single" w:color="000000" w:sz="4" w:space="0"/>
              <w:bottom w:val="single" w:color="000000" w:sz="4" w:space="0"/>
              <w:right w:val="single" w:color="000000" w:sz="4" w:space="0"/>
            </w:tcBorders>
            <w:noWrap w:val="0"/>
            <w:vAlign w:val="center"/>
          </w:tcPr>
          <w:p w14:paraId="7FA54683">
            <w:pPr>
              <w:jc w:val="center"/>
              <w:rPr>
                <w:rFonts w:ascii="宋体" w:hAnsi="宋体" w:eastAsia="宋体"/>
                <w:sz w:val="21"/>
                <w:szCs w:val="21"/>
                <w:highlight w:val="none"/>
              </w:rPr>
            </w:pPr>
          </w:p>
        </w:tc>
      </w:tr>
      <w:tr w14:paraId="38F779F5">
        <w:tblPrEx>
          <w:tblCellMar>
            <w:top w:w="0" w:type="dxa"/>
            <w:left w:w="0" w:type="dxa"/>
            <w:bottom w:w="0" w:type="dxa"/>
            <w:right w:w="0" w:type="dxa"/>
          </w:tblCellMar>
        </w:tblPrEx>
        <w:trPr>
          <w:trHeight w:val="509" w:hRule="exact"/>
          <w:jc w:val="center"/>
        </w:trPr>
        <w:tc>
          <w:tcPr>
            <w:tcW w:w="1904" w:type="pct"/>
            <w:gridSpan w:val="3"/>
            <w:tcBorders>
              <w:top w:val="single" w:color="000000" w:sz="4" w:space="0"/>
              <w:left w:val="single" w:color="000000" w:sz="4" w:space="0"/>
              <w:bottom w:val="single" w:color="000000" w:sz="4" w:space="0"/>
              <w:right w:val="single" w:color="000000" w:sz="4" w:space="0"/>
            </w:tcBorders>
            <w:noWrap w:val="0"/>
            <w:vAlign w:val="center"/>
          </w:tcPr>
          <w:p w14:paraId="150F74E1">
            <w:pPr>
              <w:jc w:val="center"/>
              <w:rPr>
                <w:rFonts w:ascii="宋体" w:hAnsi="宋体" w:eastAsia="宋体"/>
                <w:sz w:val="21"/>
                <w:szCs w:val="21"/>
                <w:highlight w:val="none"/>
              </w:rPr>
            </w:pPr>
            <w:r>
              <w:rPr>
                <w:rFonts w:ascii="宋体" w:hAnsi="宋体" w:eastAsia="宋体" w:cs="宋体"/>
                <w:sz w:val="21"/>
                <w:szCs w:val="21"/>
                <w:highlight w:val="none"/>
              </w:rPr>
              <w:t>最高投标限价：</w:t>
            </w:r>
          </w:p>
        </w:tc>
        <w:tc>
          <w:tcPr>
            <w:tcW w:w="3095" w:type="pct"/>
            <w:gridSpan w:val="4"/>
            <w:tcBorders>
              <w:top w:val="single" w:color="000000" w:sz="4" w:space="0"/>
              <w:left w:val="single" w:color="000000" w:sz="4" w:space="0"/>
              <w:bottom w:val="single" w:color="000000" w:sz="4" w:space="0"/>
              <w:right w:val="single" w:color="000000" w:sz="4" w:space="0"/>
            </w:tcBorders>
            <w:noWrap w:val="0"/>
            <w:vAlign w:val="center"/>
          </w:tcPr>
          <w:p w14:paraId="096EB0BF">
            <w:pPr>
              <w:jc w:val="center"/>
              <w:rPr>
                <w:rFonts w:ascii="宋体" w:hAnsi="宋体" w:eastAsia="宋体"/>
                <w:sz w:val="21"/>
                <w:szCs w:val="21"/>
                <w:highlight w:val="none"/>
              </w:rPr>
            </w:pPr>
          </w:p>
        </w:tc>
      </w:tr>
    </w:tbl>
    <w:p w14:paraId="37B78AE5">
      <w:pPr>
        <w:rPr>
          <w:rFonts w:ascii="宋体" w:hAnsi="宋体" w:eastAsia="宋体" w:cs="宋体"/>
          <w:sz w:val="20"/>
          <w:szCs w:val="20"/>
          <w:highlight w:val="none"/>
        </w:rPr>
      </w:pPr>
    </w:p>
    <w:p w14:paraId="38D46EC0">
      <w:pPr>
        <w:rPr>
          <w:rFonts w:ascii="宋体" w:hAnsi="宋体" w:eastAsia="宋体" w:cs="宋体"/>
          <w:sz w:val="20"/>
          <w:szCs w:val="20"/>
          <w:highlight w:val="none"/>
        </w:rPr>
      </w:pPr>
    </w:p>
    <w:p w14:paraId="1649D377">
      <w:pPr>
        <w:pStyle w:val="11"/>
        <w:tabs>
          <w:tab w:val="left" w:pos="2264"/>
          <w:tab w:val="left" w:pos="3057"/>
          <w:tab w:val="left" w:pos="4679"/>
          <w:tab w:val="left" w:pos="5366"/>
          <w:tab w:val="left" w:pos="6989"/>
        </w:tabs>
        <w:ind w:left="0"/>
        <w:rPr>
          <w:highlight w:val="none"/>
          <w:lang w:eastAsia="zh-CN"/>
        </w:rPr>
      </w:pPr>
      <w:r>
        <w:rPr>
          <w:spacing w:val="-2"/>
          <w:highlight w:val="none"/>
          <w:lang w:eastAsia="zh-CN"/>
        </w:rPr>
        <w:t>招标人代表：</w:t>
      </w:r>
      <w:r>
        <w:rPr>
          <w:spacing w:val="-2"/>
          <w:highlight w:val="none"/>
          <w:u w:val="single" w:color="000000"/>
          <w:lang w:eastAsia="zh-CN"/>
        </w:rPr>
        <w:tab/>
      </w:r>
      <w:r>
        <w:rPr>
          <w:spacing w:val="-2"/>
          <w:highlight w:val="none"/>
          <w:lang w:eastAsia="zh-CN"/>
        </w:rPr>
        <w:tab/>
      </w:r>
      <w:r>
        <w:rPr>
          <w:spacing w:val="-2"/>
          <w:highlight w:val="none"/>
          <w:lang w:eastAsia="zh-CN"/>
        </w:rPr>
        <w:t>记录人：</w:t>
      </w:r>
      <w:r>
        <w:rPr>
          <w:spacing w:val="-2"/>
          <w:highlight w:val="none"/>
          <w:u w:val="single" w:color="000000"/>
          <w:lang w:eastAsia="zh-CN"/>
        </w:rPr>
        <w:tab/>
      </w:r>
      <w:r>
        <w:rPr>
          <w:spacing w:val="-2"/>
          <w:highlight w:val="none"/>
          <w:lang w:eastAsia="zh-CN"/>
        </w:rPr>
        <w:tab/>
      </w:r>
      <w:r>
        <w:rPr>
          <w:spacing w:val="-2"/>
          <w:highlight w:val="none"/>
          <w:lang w:eastAsia="zh-CN"/>
        </w:rPr>
        <w:t>监标人：</w:t>
      </w:r>
      <w:r>
        <w:rPr>
          <w:highlight w:val="none"/>
          <w:u w:val="single" w:color="000000"/>
          <w:lang w:eastAsia="zh-CN"/>
        </w:rPr>
        <w:tab/>
      </w:r>
    </w:p>
    <w:p w14:paraId="7C3F1BAC">
      <w:pPr>
        <w:rPr>
          <w:rFonts w:ascii="宋体" w:hAnsi="宋体" w:eastAsia="宋体"/>
          <w:sz w:val="27"/>
          <w:szCs w:val="27"/>
          <w:highlight w:val="none"/>
          <w:lang w:eastAsia="zh-CN"/>
        </w:rPr>
      </w:pPr>
    </w:p>
    <w:p w14:paraId="0051408A">
      <w:pPr>
        <w:pStyle w:val="11"/>
        <w:tabs>
          <w:tab w:val="left" w:pos="736"/>
          <w:tab w:val="left" w:pos="1682"/>
          <w:tab w:val="left" w:pos="2626"/>
        </w:tabs>
        <w:ind w:left="0"/>
        <w:jc w:val="right"/>
        <w:rPr>
          <w:rFonts w:hint="eastAsia"/>
          <w:highlight w:val="none"/>
          <w:lang w:eastAsia="zh-CN"/>
        </w:rPr>
      </w:pPr>
      <w:r>
        <w:rPr>
          <w:highlight w:val="none"/>
          <w:u w:val="single" w:color="000000"/>
          <w:lang w:eastAsia="zh-CN"/>
        </w:rPr>
        <w:tab/>
      </w:r>
      <w:r>
        <w:rPr>
          <w:highlight w:val="none"/>
          <w:lang w:eastAsia="zh-CN"/>
        </w:rPr>
        <w:t>年</w:t>
      </w:r>
      <w:r>
        <w:rPr>
          <w:highlight w:val="none"/>
          <w:u w:val="single" w:color="000000"/>
          <w:lang w:eastAsia="zh-CN"/>
        </w:rPr>
        <w:tab/>
      </w:r>
      <w:r>
        <w:rPr>
          <w:spacing w:val="-3"/>
          <w:highlight w:val="none"/>
          <w:lang w:eastAsia="zh-CN"/>
        </w:rPr>
        <w:t>月</w:t>
      </w:r>
      <w:r>
        <w:rPr>
          <w:spacing w:val="-3"/>
          <w:highlight w:val="none"/>
          <w:u w:val="single" w:color="000000"/>
          <w:lang w:eastAsia="zh-CN"/>
        </w:rPr>
        <w:tab/>
      </w:r>
      <w:r>
        <w:rPr>
          <w:highlight w:val="none"/>
          <w:lang w:eastAsia="zh-CN"/>
        </w:rPr>
        <w:t>日</w:t>
      </w:r>
    </w:p>
    <w:p w14:paraId="6AE78771">
      <w:pPr>
        <w:pStyle w:val="11"/>
        <w:tabs>
          <w:tab w:val="left" w:pos="736"/>
          <w:tab w:val="left" w:pos="1682"/>
          <w:tab w:val="left" w:pos="2626"/>
        </w:tabs>
        <w:ind w:left="0"/>
        <w:rPr>
          <w:b/>
          <w:highlight w:val="none"/>
          <w:u w:val="single"/>
          <w:lang w:eastAsia="zh-CN"/>
        </w:rPr>
      </w:pPr>
      <w:r>
        <w:rPr>
          <w:rFonts w:hint="eastAsia"/>
          <w:b/>
          <w:highlight w:val="none"/>
          <w:u w:val="single"/>
          <w:lang w:eastAsia="zh-CN"/>
        </w:rPr>
        <w:t>本表仅供参考，具体以开标时的开标记录表为准。</w:t>
      </w:r>
    </w:p>
    <w:p w14:paraId="1E217AEF">
      <w:pPr>
        <w:pStyle w:val="5"/>
        <w:spacing w:line="363" w:lineRule="exact"/>
        <w:ind w:left="357"/>
        <w:rPr>
          <w:b/>
          <w:bCs/>
          <w:highlight w:val="none"/>
          <w:lang w:eastAsia="zh-CN"/>
        </w:rPr>
      </w:pPr>
      <w:r>
        <w:rPr>
          <w:highlight w:val="none"/>
          <w:lang w:eastAsia="zh-CN"/>
        </w:rPr>
        <w:br w:type="page"/>
      </w:r>
      <w:r>
        <w:rPr>
          <w:b/>
          <w:bCs/>
          <w:highlight w:val="none"/>
          <w:lang w:eastAsia="zh-CN"/>
        </w:rPr>
        <w:t>附件二：问题澄清通知</w:t>
      </w:r>
    </w:p>
    <w:p w14:paraId="1EEEE461">
      <w:pPr>
        <w:rPr>
          <w:rFonts w:ascii="宋体" w:hAnsi="宋体" w:eastAsia="宋体" w:cs="宋体"/>
          <w:sz w:val="20"/>
          <w:szCs w:val="20"/>
          <w:highlight w:val="none"/>
          <w:lang w:eastAsia="zh-CN"/>
        </w:rPr>
      </w:pPr>
    </w:p>
    <w:p w14:paraId="53F32163">
      <w:pPr>
        <w:rPr>
          <w:rFonts w:ascii="宋体" w:hAnsi="宋体" w:eastAsia="宋体" w:cs="宋体"/>
          <w:sz w:val="20"/>
          <w:szCs w:val="20"/>
          <w:highlight w:val="none"/>
          <w:lang w:eastAsia="zh-CN"/>
        </w:rPr>
      </w:pPr>
    </w:p>
    <w:p w14:paraId="0D50E211">
      <w:pPr>
        <w:rPr>
          <w:rFonts w:ascii="宋体" w:hAnsi="宋体" w:eastAsia="宋体" w:cs="宋体"/>
          <w:sz w:val="20"/>
          <w:szCs w:val="20"/>
          <w:highlight w:val="none"/>
          <w:lang w:eastAsia="zh-CN"/>
        </w:rPr>
      </w:pPr>
    </w:p>
    <w:p w14:paraId="16154758">
      <w:pPr>
        <w:spacing w:before="4"/>
        <w:rPr>
          <w:rFonts w:ascii="宋体" w:hAnsi="宋体" w:eastAsia="宋体" w:cs="宋体"/>
          <w:sz w:val="17"/>
          <w:szCs w:val="17"/>
          <w:highlight w:val="none"/>
          <w:lang w:eastAsia="zh-CN"/>
        </w:rPr>
      </w:pPr>
    </w:p>
    <w:p w14:paraId="1A14776A">
      <w:pPr>
        <w:spacing w:before="14"/>
        <w:ind w:right="13"/>
        <w:jc w:val="center"/>
        <w:rPr>
          <w:rFonts w:ascii="宋体" w:hAnsi="宋体" w:eastAsia="宋体" w:cs="宋体"/>
          <w:sz w:val="28"/>
          <w:szCs w:val="28"/>
          <w:highlight w:val="none"/>
          <w:lang w:eastAsia="zh-CN"/>
        </w:rPr>
      </w:pPr>
      <w:r>
        <w:rPr>
          <w:rFonts w:ascii="宋体" w:hAnsi="宋体" w:eastAsia="宋体" w:cs="宋体"/>
          <w:b/>
          <w:bCs/>
          <w:sz w:val="28"/>
          <w:szCs w:val="28"/>
          <w:highlight w:val="none"/>
          <w:lang w:eastAsia="zh-CN"/>
        </w:rPr>
        <w:t>问题澄清通知</w:t>
      </w:r>
    </w:p>
    <w:p w14:paraId="522BB297">
      <w:pPr>
        <w:pStyle w:val="11"/>
        <w:tabs>
          <w:tab w:val="left" w:pos="2937"/>
        </w:tabs>
        <w:kinsoku w:val="0"/>
        <w:overflowPunct w:val="0"/>
        <w:spacing w:before="62"/>
        <w:ind w:right="22"/>
        <w:jc w:val="center"/>
        <w:rPr>
          <w:highlight w:val="none"/>
          <w:lang w:eastAsia="zh-CN"/>
        </w:rPr>
      </w:pPr>
      <w:r>
        <w:rPr>
          <w:rFonts w:hint="eastAsia"/>
          <w:highlight w:val="none"/>
          <w:lang w:eastAsia="zh-CN"/>
        </w:rPr>
        <w:t>（编</w:t>
      </w:r>
      <w:r>
        <w:rPr>
          <w:rFonts w:hint="eastAsia"/>
          <w:spacing w:val="-3"/>
          <w:highlight w:val="none"/>
          <w:lang w:eastAsia="zh-CN"/>
        </w:rPr>
        <w:t>号</w:t>
      </w:r>
      <w:r>
        <w:rPr>
          <w:rFonts w:hint="eastAsia"/>
          <w:spacing w:val="-1"/>
          <w:highlight w:val="none"/>
          <w:lang w:eastAsia="zh-CN"/>
        </w:rPr>
        <w:t>：</w:t>
      </w:r>
      <w:r>
        <w:rPr>
          <w:spacing w:val="-1"/>
          <w:highlight w:val="none"/>
          <w:u w:val="single"/>
          <w:lang w:eastAsia="zh-CN"/>
        </w:rPr>
        <w:tab/>
      </w:r>
      <w:r>
        <w:rPr>
          <w:rFonts w:hint="eastAsia"/>
          <w:highlight w:val="none"/>
          <w:lang w:eastAsia="zh-CN"/>
        </w:rPr>
        <w:t>）</w:t>
      </w:r>
    </w:p>
    <w:p w14:paraId="7B0F204D">
      <w:pPr>
        <w:kinsoku w:val="0"/>
        <w:overflowPunct w:val="0"/>
        <w:spacing w:before="3" w:line="140" w:lineRule="exact"/>
        <w:rPr>
          <w:rFonts w:ascii="宋体" w:hAnsi="宋体"/>
          <w:sz w:val="14"/>
          <w:szCs w:val="14"/>
          <w:highlight w:val="none"/>
        </w:rPr>
      </w:pPr>
    </w:p>
    <w:p w14:paraId="60404BFE">
      <w:pPr>
        <w:kinsoku w:val="0"/>
        <w:overflowPunct w:val="0"/>
        <w:spacing w:line="200" w:lineRule="exact"/>
        <w:rPr>
          <w:rFonts w:ascii="宋体" w:hAnsi="宋体"/>
          <w:sz w:val="20"/>
          <w:szCs w:val="20"/>
          <w:highlight w:val="none"/>
        </w:rPr>
      </w:pPr>
    </w:p>
    <w:p w14:paraId="3D0187D8">
      <w:pPr>
        <w:kinsoku w:val="0"/>
        <w:overflowPunct w:val="0"/>
        <w:spacing w:line="200" w:lineRule="exact"/>
        <w:rPr>
          <w:rFonts w:ascii="宋体" w:hAnsi="宋体"/>
          <w:sz w:val="20"/>
          <w:szCs w:val="20"/>
          <w:highlight w:val="none"/>
        </w:rPr>
      </w:pPr>
    </w:p>
    <w:p w14:paraId="1C90B23F">
      <w:pPr>
        <w:pStyle w:val="11"/>
        <w:tabs>
          <w:tab w:val="left" w:pos="2306"/>
        </w:tabs>
        <w:kinsoku w:val="0"/>
        <w:overflowPunct w:val="0"/>
        <w:spacing w:line="335" w:lineRule="exact"/>
        <w:rPr>
          <w:highlight w:val="none"/>
          <w:lang w:eastAsia="zh-CN"/>
        </w:rPr>
      </w:pPr>
      <w:r>
        <w:rPr>
          <w:w w:val="201"/>
          <w:highlight w:val="none"/>
          <w:u w:val="single"/>
          <w:lang w:eastAsia="zh-CN"/>
        </w:rPr>
        <w:t xml:space="preserve"> </w:t>
      </w:r>
      <w:r>
        <w:rPr>
          <w:highlight w:val="none"/>
          <w:u w:val="single"/>
          <w:lang w:eastAsia="zh-CN"/>
        </w:rPr>
        <w:tab/>
      </w:r>
      <w:r>
        <w:rPr>
          <w:rFonts w:hint="eastAsia"/>
          <w:spacing w:val="-3"/>
          <w:highlight w:val="none"/>
          <w:lang w:eastAsia="zh-CN"/>
        </w:rPr>
        <w:t>（</w:t>
      </w:r>
      <w:r>
        <w:rPr>
          <w:rFonts w:hint="eastAsia"/>
          <w:highlight w:val="none"/>
          <w:lang w:eastAsia="zh-CN"/>
        </w:rPr>
        <w:t>投标</w:t>
      </w:r>
      <w:r>
        <w:rPr>
          <w:rFonts w:hint="eastAsia"/>
          <w:spacing w:val="-3"/>
          <w:highlight w:val="none"/>
          <w:lang w:eastAsia="zh-CN"/>
        </w:rPr>
        <w:t>人</w:t>
      </w:r>
      <w:r>
        <w:rPr>
          <w:rFonts w:hint="eastAsia"/>
          <w:highlight w:val="none"/>
          <w:lang w:eastAsia="zh-CN"/>
        </w:rPr>
        <w:t>名</w:t>
      </w:r>
      <w:r>
        <w:rPr>
          <w:rFonts w:hint="eastAsia"/>
          <w:spacing w:val="-3"/>
          <w:highlight w:val="none"/>
          <w:lang w:eastAsia="zh-CN"/>
        </w:rPr>
        <w:t>称</w:t>
      </w:r>
      <w:r>
        <w:rPr>
          <w:rFonts w:hint="eastAsia"/>
          <w:spacing w:val="-106"/>
          <w:highlight w:val="none"/>
          <w:lang w:eastAsia="zh-CN"/>
        </w:rPr>
        <w:t>）</w:t>
      </w:r>
      <w:r>
        <w:rPr>
          <w:rFonts w:hint="eastAsia"/>
          <w:highlight w:val="none"/>
          <w:lang w:eastAsia="zh-CN"/>
        </w:rPr>
        <w:t>：</w:t>
      </w:r>
    </w:p>
    <w:p w14:paraId="7844BB61">
      <w:pPr>
        <w:kinsoku w:val="0"/>
        <w:overflowPunct w:val="0"/>
        <w:spacing w:before="6" w:line="140" w:lineRule="exact"/>
        <w:rPr>
          <w:rFonts w:ascii="宋体" w:hAnsi="宋体"/>
          <w:sz w:val="14"/>
          <w:szCs w:val="14"/>
          <w:highlight w:val="none"/>
        </w:rPr>
      </w:pPr>
    </w:p>
    <w:p w14:paraId="01D0381A">
      <w:pPr>
        <w:kinsoku w:val="0"/>
        <w:overflowPunct w:val="0"/>
        <w:spacing w:line="200" w:lineRule="exact"/>
        <w:rPr>
          <w:rFonts w:ascii="宋体" w:hAnsi="宋体"/>
          <w:sz w:val="20"/>
          <w:szCs w:val="20"/>
          <w:highlight w:val="none"/>
        </w:rPr>
      </w:pPr>
    </w:p>
    <w:p w14:paraId="083CB40D">
      <w:pPr>
        <w:kinsoku w:val="0"/>
        <w:overflowPunct w:val="0"/>
        <w:spacing w:line="200" w:lineRule="exact"/>
        <w:rPr>
          <w:rFonts w:ascii="宋体" w:hAnsi="宋体"/>
          <w:sz w:val="20"/>
          <w:szCs w:val="20"/>
          <w:highlight w:val="none"/>
        </w:rPr>
      </w:pPr>
    </w:p>
    <w:p w14:paraId="175A6944">
      <w:pPr>
        <w:pStyle w:val="11"/>
        <w:kinsoku w:val="0"/>
        <w:overflowPunct w:val="0"/>
        <w:spacing w:line="335" w:lineRule="exact"/>
        <w:ind w:left="522"/>
        <w:rPr>
          <w:highlight w:val="none"/>
          <w:lang w:eastAsia="zh-CN"/>
        </w:rPr>
      </w:pPr>
      <w:r>
        <w:rPr>
          <w:rFonts w:hint="eastAsia"/>
          <w:highlight w:val="none"/>
          <w:lang w:eastAsia="zh-CN"/>
        </w:rPr>
        <w:t>评标委员会</w:t>
      </w:r>
      <w:r>
        <w:rPr>
          <w:rFonts w:hint="eastAsia"/>
          <w:spacing w:val="-3"/>
          <w:highlight w:val="none"/>
          <w:lang w:eastAsia="zh-CN"/>
        </w:rPr>
        <w:t>对</w:t>
      </w:r>
      <w:r>
        <w:rPr>
          <w:rFonts w:hint="eastAsia"/>
          <w:highlight w:val="none"/>
          <w:lang w:eastAsia="zh-CN"/>
        </w:rPr>
        <w:t>你方</w:t>
      </w:r>
      <w:r>
        <w:rPr>
          <w:rFonts w:hint="eastAsia"/>
          <w:spacing w:val="-3"/>
          <w:highlight w:val="none"/>
          <w:lang w:eastAsia="zh-CN"/>
        </w:rPr>
        <w:t>的</w:t>
      </w:r>
      <w:r>
        <w:rPr>
          <w:rFonts w:hint="eastAsia"/>
          <w:highlight w:val="none"/>
          <w:lang w:eastAsia="zh-CN"/>
        </w:rPr>
        <w:t>投标文件进行了</w:t>
      </w:r>
      <w:r>
        <w:rPr>
          <w:rFonts w:hint="eastAsia"/>
          <w:spacing w:val="-3"/>
          <w:highlight w:val="none"/>
          <w:lang w:eastAsia="zh-CN"/>
        </w:rPr>
        <w:t>仔</w:t>
      </w:r>
      <w:r>
        <w:rPr>
          <w:rFonts w:hint="eastAsia"/>
          <w:highlight w:val="none"/>
          <w:lang w:eastAsia="zh-CN"/>
        </w:rPr>
        <w:t>细的</w:t>
      </w:r>
      <w:r>
        <w:rPr>
          <w:rFonts w:hint="eastAsia"/>
          <w:spacing w:val="-3"/>
          <w:highlight w:val="none"/>
          <w:lang w:eastAsia="zh-CN"/>
        </w:rPr>
        <w:t>审</w:t>
      </w:r>
      <w:r>
        <w:rPr>
          <w:rFonts w:hint="eastAsia"/>
          <w:highlight w:val="none"/>
          <w:lang w:eastAsia="zh-CN"/>
        </w:rPr>
        <w:t>查，现需你方对</w:t>
      </w:r>
      <w:r>
        <w:rPr>
          <w:rFonts w:hint="eastAsia"/>
          <w:spacing w:val="-3"/>
          <w:highlight w:val="none"/>
          <w:lang w:eastAsia="zh-CN"/>
        </w:rPr>
        <w:t>下</w:t>
      </w:r>
      <w:r>
        <w:rPr>
          <w:rFonts w:hint="eastAsia"/>
          <w:highlight w:val="none"/>
          <w:lang w:eastAsia="zh-CN"/>
        </w:rPr>
        <w:t>列问</w:t>
      </w:r>
      <w:r>
        <w:rPr>
          <w:rFonts w:hint="eastAsia"/>
          <w:spacing w:val="-3"/>
          <w:highlight w:val="none"/>
          <w:lang w:eastAsia="zh-CN"/>
        </w:rPr>
        <w:t>题</w:t>
      </w:r>
      <w:r>
        <w:rPr>
          <w:rFonts w:hint="eastAsia"/>
          <w:highlight w:val="none"/>
          <w:lang w:eastAsia="zh-CN"/>
        </w:rPr>
        <w:t>以书面形式予</w:t>
      </w:r>
      <w:r>
        <w:rPr>
          <w:rFonts w:hint="eastAsia"/>
          <w:spacing w:val="-3"/>
          <w:highlight w:val="none"/>
          <w:lang w:eastAsia="zh-CN"/>
        </w:rPr>
        <w:t>以</w:t>
      </w:r>
      <w:r>
        <w:rPr>
          <w:rFonts w:hint="eastAsia"/>
          <w:highlight w:val="none"/>
          <w:lang w:eastAsia="zh-CN"/>
        </w:rPr>
        <w:t>澄</w:t>
      </w:r>
    </w:p>
    <w:p w14:paraId="187BDD7D">
      <w:pPr>
        <w:pStyle w:val="11"/>
        <w:kinsoku w:val="0"/>
        <w:overflowPunct w:val="0"/>
        <w:spacing w:before="78"/>
        <w:rPr>
          <w:highlight w:val="none"/>
          <w:lang w:eastAsia="zh-CN"/>
        </w:rPr>
      </w:pPr>
      <w:r>
        <w:rPr>
          <w:rFonts w:hint="eastAsia"/>
          <w:highlight w:val="none"/>
          <w:lang w:eastAsia="zh-CN"/>
        </w:rPr>
        <w:t>清、</w:t>
      </w:r>
      <w:r>
        <w:rPr>
          <w:rFonts w:hint="eastAsia"/>
          <w:spacing w:val="-3"/>
          <w:highlight w:val="none"/>
          <w:lang w:eastAsia="zh-CN"/>
        </w:rPr>
        <w:t>说</w:t>
      </w:r>
      <w:r>
        <w:rPr>
          <w:rFonts w:hint="eastAsia"/>
          <w:highlight w:val="none"/>
          <w:lang w:eastAsia="zh-CN"/>
        </w:rPr>
        <w:t>明</w:t>
      </w:r>
      <w:r>
        <w:rPr>
          <w:rFonts w:hint="eastAsia"/>
          <w:spacing w:val="-3"/>
          <w:highlight w:val="none"/>
          <w:lang w:eastAsia="zh-CN"/>
        </w:rPr>
        <w:t>或</w:t>
      </w:r>
      <w:r>
        <w:rPr>
          <w:rFonts w:hint="eastAsia"/>
          <w:highlight w:val="none"/>
          <w:lang w:eastAsia="zh-CN"/>
        </w:rPr>
        <w:t>补</w:t>
      </w:r>
      <w:r>
        <w:rPr>
          <w:rFonts w:hint="eastAsia"/>
          <w:spacing w:val="-3"/>
          <w:highlight w:val="none"/>
          <w:lang w:eastAsia="zh-CN"/>
        </w:rPr>
        <w:t>正</w:t>
      </w:r>
      <w:r>
        <w:rPr>
          <w:rFonts w:hint="eastAsia"/>
          <w:highlight w:val="none"/>
          <w:lang w:eastAsia="zh-CN"/>
        </w:rPr>
        <w:t>：</w:t>
      </w:r>
    </w:p>
    <w:p w14:paraId="5920DA2A">
      <w:pPr>
        <w:kinsoku w:val="0"/>
        <w:overflowPunct w:val="0"/>
        <w:spacing w:line="200" w:lineRule="exact"/>
        <w:rPr>
          <w:rFonts w:ascii="宋体" w:hAnsi="宋体"/>
          <w:sz w:val="20"/>
          <w:szCs w:val="20"/>
          <w:highlight w:val="none"/>
        </w:rPr>
      </w:pPr>
    </w:p>
    <w:p w14:paraId="39B96B05">
      <w:pPr>
        <w:kinsoku w:val="0"/>
        <w:overflowPunct w:val="0"/>
        <w:spacing w:line="200" w:lineRule="exact"/>
        <w:rPr>
          <w:rFonts w:ascii="宋体" w:hAnsi="宋体"/>
          <w:sz w:val="20"/>
          <w:szCs w:val="20"/>
          <w:highlight w:val="none"/>
        </w:rPr>
      </w:pPr>
    </w:p>
    <w:p w14:paraId="36796E0B">
      <w:pPr>
        <w:kinsoku w:val="0"/>
        <w:overflowPunct w:val="0"/>
        <w:spacing w:before="11" w:line="220" w:lineRule="exact"/>
        <w:rPr>
          <w:rFonts w:ascii="宋体" w:hAnsi="宋体"/>
          <w:highlight w:val="none"/>
        </w:rPr>
      </w:pPr>
    </w:p>
    <w:p w14:paraId="3D063887">
      <w:pPr>
        <w:pStyle w:val="11"/>
        <w:kinsoku w:val="0"/>
        <w:overflowPunct w:val="0"/>
        <w:ind w:left="522"/>
        <w:rPr>
          <w:highlight w:val="none"/>
          <w:lang w:eastAsia="zh-CN"/>
        </w:rPr>
      </w:pPr>
      <w:r>
        <w:rPr>
          <w:highlight w:val="none"/>
          <w:lang w:eastAsia="zh-CN"/>
        </w:rPr>
        <w:t>1.</w:t>
      </w:r>
    </w:p>
    <w:p w14:paraId="268CA447">
      <w:pPr>
        <w:kinsoku w:val="0"/>
        <w:overflowPunct w:val="0"/>
        <w:spacing w:before="8" w:line="190" w:lineRule="exact"/>
        <w:rPr>
          <w:rFonts w:ascii="宋体" w:hAnsi="宋体"/>
          <w:sz w:val="19"/>
          <w:szCs w:val="19"/>
          <w:highlight w:val="none"/>
        </w:rPr>
      </w:pPr>
    </w:p>
    <w:p w14:paraId="7F5ED74A">
      <w:pPr>
        <w:pStyle w:val="11"/>
        <w:kinsoku w:val="0"/>
        <w:overflowPunct w:val="0"/>
        <w:ind w:left="522"/>
        <w:rPr>
          <w:highlight w:val="none"/>
          <w:lang w:eastAsia="zh-CN"/>
        </w:rPr>
      </w:pPr>
      <w:r>
        <w:rPr>
          <w:highlight w:val="none"/>
          <w:lang w:eastAsia="zh-CN"/>
        </w:rPr>
        <w:t>2.</w:t>
      </w:r>
    </w:p>
    <w:p w14:paraId="69B4415D">
      <w:pPr>
        <w:kinsoku w:val="0"/>
        <w:overflowPunct w:val="0"/>
        <w:spacing w:before="1" w:line="200" w:lineRule="exact"/>
        <w:rPr>
          <w:rFonts w:ascii="宋体" w:hAnsi="宋体"/>
          <w:sz w:val="20"/>
          <w:szCs w:val="20"/>
          <w:highlight w:val="none"/>
        </w:rPr>
      </w:pPr>
    </w:p>
    <w:p w14:paraId="3192C4F5">
      <w:pPr>
        <w:pStyle w:val="11"/>
        <w:kinsoku w:val="0"/>
        <w:overflowPunct w:val="0"/>
        <w:ind w:left="628"/>
        <w:rPr>
          <w:highlight w:val="none"/>
          <w:lang w:eastAsia="zh-CN"/>
        </w:rPr>
      </w:pPr>
      <w:r>
        <w:rPr>
          <w:highlight w:val="none"/>
          <w:lang w:eastAsia="zh-CN"/>
        </w:rPr>
        <w:t>.</w:t>
      </w:r>
      <w:r>
        <w:rPr>
          <w:spacing w:val="-3"/>
          <w:highlight w:val="none"/>
          <w:lang w:eastAsia="zh-CN"/>
        </w:rPr>
        <w:t>.</w:t>
      </w:r>
      <w:r>
        <w:rPr>
          <w:highlight w:val="none"/>
          <w:lang w:eastAsia="zh-CN"/>
        </w:rPr>
        <w:t>....</w:t>
      </w:r>
    </w:p>
    <w:p w14:paraId="2903C403">
      <w:pPr>
        <w:kinsoku w:val="0"/>
        <w:overflowPunct w:val="0"/>
        <w:spacing w:before="5" w:line="120" w:lineRule="exact"/>
        <w:rPr>
          <w:rFonts w:ascii="宋体" w:hAnsi="宋体"/>
          <w:sz w:val="12"/>
          <w:szCs w:val="12"/>
          <w:highlight w:val="none"/>
        </w:rPr>
      </w:pPr>
    </w:p>
    <w:p w14:paraId="75EAC4BD">
      <w:pPr>
        <w:kinsoku w:val="0"/>
        <w:overflowPunct w:val="0"/>
        <w:spacing w:line="200" w:lineRule="exact"/>
        <w:rPr>
          <w:rFonts w:ascii="宋体" w:hAnsi="宋体"/>
          <w:sz w:val="20"/>
          <w:szCs w:val="20"/>
          <w:highlight w:val="none"/>
        </w:rPr>
      </w:pPr>
    </w:p>
    <w:p w14:paraId="3010A14F">
      <w:pPr>
        <w:kinsoku w:val="0"/>
        <w:overflowPunct w:val="0"/>
        <w:spacing w:line="200" w:lineRule="exact"/>
        <w:rPr>
          <w:rFonts w:ascii="宋体" w:hAnsi="宋体"/>
          <w:sz w:val="20"/>
          <w:szCs w:val="20"/>
          <w:highlight w:val="none"/>
        </w:rPr>
      </w:pPr>
    </w:p>
    <w:p w14:paraId="62824BF6">
      <w:pPr>
        <w:pStyle w:val="11"/>
        <w:tabs>
          <w:tab w:val="left" w:pos="4603"/>
          <w:tab w:val="left" w:pos="5549"/>
          <w:tab w:val="left" w:pos="6494"/>
          <w:tab w:val="left" w:pos="7438"/>
        </w:tabs>
        <w:kinsoku w:val="0"/>
        <w:overflowPunct w:val="0"/>
        <w:ind w:left="506"/>
        <w:rPr>
          <w:highlight w:val="none"/>
          <w:lang w:eastAsia="zh-CN"/>
        </w:rPr>
      </w:pPr>
      <w:r>
        <w:rPr>
          <w:rFonts w:hint="eastAsia"/>
          <w:highlight w:val="none"/>
          <w:lang w:eastAsia="zh-CN"/>
        </w:rPr>
        <w:t>请将</w:t>
      </w:r>
      <w:r>
        <w:rPr>
          <w:rFonts w:hint="eastAsia"/>
          <w:spacing w:val="-3"/>
          <w:highlight w:val="none"/>
          <w:lang w:eastAsia="zh-CN"/>
        </w:rPr>
        <w:t>上</w:t>
      </w:r>
      <w:r>
        <w:rPr>
          <w:rFonts w:hint="eastAsia"/>
          <w:highlight w:val="none"/>
          <w:lang w:eastAsia="zh-CN"/>
        </w:rPr>
        <w:t>述</w:t>
      </w:r>
      <w:r>
        <w:rPr>
          <w:rFonts w:hint="eastAsia"/>
          <w:spacing w:val="-3"/>
          <w:highlight w:val="none"/>
          <w:lang w:eastAsia="zh-CN"/>
        </w:rPr>
        <w:t>问</w:t>
      </w:r>
      <w:r>
        <w:rPr>
          <w:rFonts w:hint="eastAsia"/>
          <w:highlight w:val="none"/>
          <w:lang w:eastAsia="zh-CN"/>
        </w:rPr>
        <w:t>题</w:t>
      </w:r>
      <w:r>
        <w:rPr>
          <w:rFonts w:hint="eastAsia"/>
          <w:spacing w:val="-3"/>
          <w:highlight w:val="none"/>
          <w:lang w:eastAsia="zh-CN"/>
        </w:rPr>
        <w:t>的</w:t>
      </w:r>
      <w:r>
        <w:rPr>
          <w:rFonts w:hint="eastAsia"/>
          <w:highlight w:val="none"/>
          <w:lang w:eastAsia="zh-CN"/>
        </w:rPr>
        <w:t>澄</w:t>
      </w:r>
      <w:r>
        <w:rPr>
          <w:rFonts w:hint="eastAsia"/>
          <w:spacing w:val="-3"/>
          <w:highlight w:val="none"/>
          <w:lang w:eastAsia="zh-CN"/>
        </w:rPr>
        <w:t>清</w:t>
      </w:r>
      <w:r>
        <w:rPr>
          <w:rFonts w:hint="eastAsia"/>
          <w:highlight w:val="none"/>
          <w:lang w:eastAsia="zh-CN"/>
        </w:rPr>
        <w:t>、</w:t>
      </w:r>
      <w:r>
        <w:rPr>
          <w:rFonts w:hint="eastAsia"/>
          <w:spacing w:val="-3"/>
          <w:highlight w:val="none"/>
          <w:lang w:eastAsia="zh-CN"/>
        </w:rPr>
        <w:t>说</w:t>
      </w:r>
      <w:r>
        <w:rPr>
          <w:rFonts w:hint="eastAsia"/>
          <w:highlight w:val="none"/>
          <w:lang w:eastAsia="zh-CN"/>
        </w:rPr>
        <w:t>明或</w:t>
      </w:r>
      <w:r>
        <w:rPr>
          <w:rFonts w:hint="eastAsia"/>
          <w:spacing w:val="-3"/>
          <w:highlight w:val="none"/>
          <w:lang w:eastAsia="zh-CN"/>
        </w:rPr>
        <w:t>补</w:t>
      </w:r>
      <w:r>
        <w:rPr>
          <w:rFonts w:hint="eastAsia"/>
          <w:highlight w:val="none"/>
          <w:lang w:eastAsia="zh-CN"/>
        </w:rPr>
        <w:t>正</w:t>
      </w:r>
      <w:r>
        <w:rPr>
          <w:rFonts w:hint="eastAsia"/>
          <w:spacing w:val="-3"/>
          <w:highlight w:val="none"/>
          <w:lang w:eastAsia="zh-CN"/>
        </w:rPr>
        <w:t>于</w:t>
      </w:r>
      <w:r>
        <w:rPr>
          <w:spacing w:val="-3"/>
          <w:highlight w:val="none"/>
          <w:u w:val="single"/>
          <w:lang w:eastAsia="zh-CN"/>
        </w:rPr>
        <w:tab/>
      </w:r>
      <w:r>
        <w:rPr>
          <w:rFonts w:hint="eastAsia"/>
          <w:highlight w:val="none"/>
          <w:lang w:eastAsia="zh-CN"/>
        </w:rPr>
        <w:t>年</w:t>
      </w:r>
      <w:r>
        <w:rPr>
          <w:highlight w:val="none"/>
          <w:u w:val="single"/>
          <w:lang w:eastAsia="zh-CN"/>
        </w:rPr>
        <w:tab/>
      </w:r>
      <w:r>
        <w:rPr>
          <w:rFonts w:hint="eastAsia"/>
          <w:highlight w:val="none"/>
          <w:lang w:eastAsia="zh-CN"/>
        </w:rPr>
        <w:t>月</w:t>
      </w:r>
      <w:r>
        <w:rPr>
          <w:highlight w:val="none"/>
          <w:u w:val="single"/>
          <w:lang w:eastAsia="zh-CN"/>
        </w:rPr>
        <w:tab/>
      </w:r>
      <w:r>
        <w:rPr>
          <w:rFonts w:hint="eastAsia"/>
          <w:spacing w:val="-3"/>
          <w:highlight w:val="none"/>
          <w:lang w:eastAsia="zh-CN"/>
        </w:rPr>
        <w:t>日</w:t>
      </w:r>
      <w:r>
        <w:rPr>
          <w:spacing w:val="-3"/>
          <w:highlight w:val="none"/>
          <w:u w:val="single"/>
          <w:lang w:eastAsia="zh-CN"/>
        </w:rPr>
        <w:tab/>
      </w:r>
      <w:r>
        <w:rPr>
          <w:rFonts w:hint="eastAsia"/>
          <w:spacing w:val="-3"/>
          <w:highlight w:val="none"/>
          <w:lang w:eastAsia="zh-CN"/>
        </w:rPr>
        <w:t>时</w:t>
      </w:r>
      <w:r>
        <w:rPr>
          <w:rFonts w:hint="eastAsia"/>
          <w:highlight w:val="none"/>
          <w:lang w:eastAsia="zh-CN"/>
        </w:rPr>
        <w:t>前递</w:t>
      </w:r>
      <w:r>
        <w:rPr>
          <w:rFonts w:hint="eastAsia"/>
          <w:spacing w:val="-3"/>
          <w:highlight w:val="none"/>
          <w:lang w:eastAsia="zh-CN"/>
        </w:rPr>
        <w:t>交</w:t>
      </w:r>
      <w:r>
        <w:rPr>
          <w:rFonts w:hint="eastAsia"/>
          <w:highlight w:val="none"/>
          <w:lang w:eastAsia="zh-CN"/>
        </w:rPr>
        <w:t>至</w:t>
      </w:r>
    </w:p>
    <w:p w14:paraId="7D067AF0">
      <w:pPr>
        <w:kinsoku w:val="0"/>
        <w:overflowPunct w:val="0"/>
        <w:spacing w:before="7" w:line="100" w:lineRule="exact"/>
        <w:rPr>
          <w:rFonts w:ascii="宋体" w:hAnsi="宋体"/>
          <w:sz w:val="10"/>
          <w:szCs w:val="10"/>
          <w:highlight w:val="none"/>
        </w:rPr>
      </w:pPr>
    </w:p>
    <w:p w14:paraId="3DD270DA">
      <w:pPr>
        <w:pStyle w:val="11"/>
        <w:tabs>
          <w:tab w:val="left" w:pos="3040"/>
          <w:tab w:val="left" w:pos="7320"/>
        </w:tabs>
        <w:kinsoku w:val="0"/>
        <w:overflowPunct w:val="0"/>
        <w:spacing w:line="335" w:lineRule="exact"/>
        <w:rPr>
          <w:highlight w:val="none"/>
          <w:lang w:eastAsia="zh-CN"/>
        </w:rPr>
      </w:pPr>
      <w:r>
        <w:rPr>
          <w:w w:val="201"/>
          <w:highlight w:val="none"/>
          <w:u w:val="single"/>
          <w:lang w:eastAsia="zh-CN"/>
        </w:rPr>
        <w:t xml:space="preserve"> </w:t>
      </w:r>
      <w:r>
        <w:rPr>
          <w:highlight w:val="none"/>
          <w:u w:val="single"/>
          <w:lang w:eastAsia="zh-CN"/>
        </w:rPr>
        <w:tab/>
      </w:r>
      <w:r>
        <w:rPr>
          <w:rFonts w:hint="eastAsia"/>
          <w:highlight w:val="none"/>
          <w:lang w:eastAsia="zh-CN"/>
        </w:rPr>
        <w:t>（</w:t>
      </w:r>
      <w:r>
        <w:rPr>
          <w:rFonts w:hint="eastAsia"/>
          <w:spacing w:val="-3"/>
          <w:highlight w:val="none"/>
          <w:lang w:eastAsia="zh-CN"/>
        </w:rPr>
        <w:t>详</w:t>
      </w:r>
      <w:r>
        <w:rPr>
          <w:rFonts w:hint="eastAsia"/>
          <w:highlight w:val="none"/>
          <w:lang w:eastAsia="zh-CN"/>
        </w:rPr>
        <w:t>细</w:t>
      </w:r>
      <w:r>
        <w:rPr>
          <w:rFonts w:hint="eastAsia"/>
          <w:spacing w:val="-3"/>
          <w:highlight w:val="none"/>
          <w:lang w:eastAsia="zh-CN"/>
        </w:rPr>
        <w:t>地址</w:t>
      </w:r>
      <w:r>
        <w:rPr>
          <w:rFonts w:hint="eastAsia"/>
          <w:spacing w:val="-25"/>
          <w:highlight w:val="none"/>
          <w:lang w:eastAsia="zh-CN"/>
        </w:rPr>
        <w:t>）</w:t>
      </w:r>
      <w:r>
        <w:rPr>
          <w:rFonts w:hint="eastAsia"/>
          <w:spacing w:val="-3"/>
          <w:highlight w:val="none"/>
          <w:lang w:eastAsia="zh-CN"/>
        </w:rPr>
        <w:t>或</w:t>
      </w:r>
      <w:r>
        <w:rPr>
          <w:rFonts w:hint="eastAsia"/>
          <w:highlight w:val="none"/>
          <w:lang w:eastAsia="zh-CN"/>
        </w:rPr>
        <w:t>传</w:t>
      </w:r>
      <w:r>
        <w:rPr>
          <w:rFonts w:hint="eastAsia"/>
          <w:spacing w:val="-3"/>
          <w:highlight w:val="none"/>
          <w:lang w:eastAsia="zh-CN"/>
        </w:rPr>
        <w:t>真</w:t>
      </w:r>
      <w:r>
        <w:rPr>
          <w:rFonts w:hint="eastAsia"/>
          <w:spacing w:val="-1"/>
          <w:highlight w:val="none"/>
          <w:lang w:eastAsia="zh-CN"/>
        </w:rPr>
        <w:t>至</w:t>
      </w:r>
      <w:r>
        <w:rPr>
          <w:spacing w:val="-1"/>
          <w:highlight w:val="none"/>
          <w:u w:val="single"/>
          <w:lang w:eastAsia="zh-CN"/>
        </w:rPr>
        <w:tab/>
      </w:r>
      <w:r>
        <w:rPr>
          <w:rFonts w:hint="eastAsia"/>
          <w:highlight w:val="none"/>
          <w:lang w:eastAsia="zh-CN"/>
        </w:rPr>
        <w:t>（</w:t>
      </w:r>
      <w:r>
        <w:rPr>
          <w:rFonts w:hint="eastAsia"/>
          <w:spacing w:val="-3"/>
          <w:highlight w:val="none"/>
          <w:lang w:eastAsia="zh-CN"/>
        </w:rPr>
        <w:t>传</w:t>
      </w:r>
      <w:r>
        <w:rPr>
          <w:rFonts w:hint="eastAsia"/>
          <w:highlight w:val="none"/>
          <w:lang w:eastAsia="zh-CN"/>
        </w:rPr>
        <w:t>真</w:t>
      </w:r>
      <w:r>
        <w:rPr>
          <w:rFonts w:hint="eastAsia"/>
          <w:spacing w:val="-3"/>
          <w:highlight w:val="none"/>
          <w:lang w:eastAsia="zh-CN"/>
        </w:rPr>
        <w:t>号码</w:t>
      </w:r>
      <w:r>
        <w:rPr>
          <w:rFonts w:hint="eastAsia"/>
          <w:spacing w:val="-25"/>
          <w:highlight w:val="none"/>
          <w:lang w:eastAsia="zh-CN"/>
        </w:rPr>
        <w:t>）</w:t>
      </w:r>
      <w:r>
        <w:rPr>
          <w:rFonts w:hint="eastAsia"/>
          <w:highlight w:val="none"/>
          <w:lang w:eastAsia="zh-CN"/>
        </w:rPr>
        <w:t>或</w:t>
      </w:r>
    </w:p>
    <w:p w14:paraId="56AE54FD">
      <w:pPr>
        <w:kinsoku w:val="0"/>
        <w:overflowPunct w:val="0"/>
        <w:spacing w:before="4" w:line="100" w:lineRule="exact"/>
        <w:rPr>
          <w:rFonts w:ascii="宋体" w:hAnsi="宋体"/>
          <w:sz w:val="10"/>
          <w:szCs w:val="10"/>
          <w:highlight w:val="none"/>
        </w:rPr>
      </w:pPr>
    </w:p>
    <w:p w14:paraId="7E19014F">
      <w:pPr>
        <w:pStyle w:val="11"/>
        <w:tabs>
          <w:tab w:val="left" w:pos="7138"/>
          <w:tab w:val="left" w:pos="8084"/>
        </w:tabs>
        <w:kinsoku w:val="0"/>
        <w:overflowPunct w:val="0"/>
        <w:spacing w:line="335" w:lineRule="exact"/>
        <w:rPr>
          <w:highlight w:val="none"/>
          <w:lang w:eastAsia="zh-CN"/>
        </w:rPr>
      </w:pPr>
      <w:r>
        <w:rPr>
          <w:rFonts w:hint="eastAsia"/>
          <w:highlight w:val="none"/>
          <w:lang w:eastAsia="zh-CN"/>
        </w:rPr>
        <w:t>通过</w:t>
      </w:r>
      <w:r>
        <w:rPr>
          <w:rFonts w:hint="eastAsia"/>
          <w:spacing w:val="-3"/>
          <w:highlight w:val="none"/>
          <w:lang w:eastAsia="zh-CN"/>
        </w:rPr>
        <w:t>下</w:t>
      </w:r>
      <w:r>
        <w:rPr>
          <w:rFonts w:hint="eastAsia"/>
          <w:highlight w:val="none"/>
          <w:lang w:eastAsia="zh-CN"/>
        </w:rPr>
        <w:t>载</w:t>
      </w:r>
      <w:r>
        <w:rPr>
          <w:rFonts w:hint="eastAsia"/>
          <w:spacing w:val="-3"/>
          <w:highlight w:val="none"/>
          <w:lang w:eastAsia="zh-CN"/>
        </w:rPr>
        <w:t>招</w:t>
      </w:r>
      <w:r>
        <w:rPr>
          <w:rFonts w:hint="eastAsia"/>
          <w:highlight w:val="none"/>
          <w:lang w:eastAsia="zh-CN"/>
        </w:rPr>
        <w:t>标</w:t>
      </w:r>
      <w:r>
        <w:rPr>
          <w:rFonts w:hint="eastAsia"/>
          <w:spacing w:val="-3"/>
          <w:highlight w:val="none"/>
          <w:lang w:eastAsia="zh-CN"/>
        </w:rPr>
        <w:t>文</w:t>
      </w:r>
      <w:r>
        <w:rPr>
          <w:rFonts w:hint="eastAsia"/>
          <w:highlight w:val="none"/>
          <w:lang w:eastAsia="zh-CN"/>
        </w:rPr>
        <w:t>件</w:t>
      </w:r>
      <w:r>
        <w:rPr>
          <w:rFonts w:hint="eastAsia"/>
          <w:spacing w:val="-3"/>
          <w:highlight w:val="none"/>
          <w:lang w:eastAsia="zh-CN"/>
        </w:rPr>
        <w:t>的</w:t>
      </w:r>
      <w:r>
        <w:rPr>
          <w:rFonts w:hint="eastAsia"/>
          <w:highlight w:val="none"/>
          <w:lang w:eastAsia="zh-CN"/>
        </w:rPr>
        <w:t>电</w:t>
      </w:r>
      <w:r>
        <w:rPr>
          <w:rFonts w:hint="eastAsia"/>
          <w:spacing w:val="-3"/>
          <w:highlight w:val="none"/>
          <w:lang w:eastAsia="zh-CN"/>
        </w:rPr>
        <w:t>子</w:t>
      </w:r>
      <w:r>
        <w:rPr>
          <w:rFonts w:hint="eastAsia"/>
          <w:highlight w:val="none"/>
          <w:lang w:eastAsia="zh-CN"/>
        </w:rPr>
        <w:t>招标</w:t>
      </w:r>
      <w:r>
        <w:rPr>
          <w:rFonts w:hint="eastAsia"/>
          <w:spacing w:val="-3"/>
          <w:highlight w:val="none"/>
          <w:lang w:eastAsia="zh-CN"/>
        </w:rPr>
        <w:t>交</w:t>
      </w:r>
      <w:r>
        <w:rPr>
          <w:rFonts w:hint="eastAsia"/>
          <w:highlight w:val="none"/>
          <w:lang w:eastAsia="zh-CN"/>
        </w:rPr>
        <w:t>易</w:t>
      </w:r>
      <w:r>
        <w:rPr>
          <w:rFonts w:hint="eastAsia"/>
          <w:spacing w:val="-3"/>
          <w:highlight w:val="none"/>
          <w:lang w:eastAsia="zh-CN"/>
        </w:rPr>
        <w:t>平</w:t>
      </w:r>
      <w:r>
        <w:rPr>
          <w:rFonts w:hint="eastAsia"/>
          <w:highlight w:val="none"/>
          <w:lang w:eastAsia="zh-CN"/>
        </w:rPr>
        <w:t>台</w:t>
      </w:r>
      <w:r>
        <w:rPr>
          <w:rFonts w:hint="eastAsia"/>
          <w:spacing w:val="-3"/>
          <w:highlight w:val="none"/>
          <w:lang w:eastAsia="zh-CN"/>
        </w:rPr>
        <w:t>上</w:t>
      </w:r>
      <w:r>
        <w:rPr>
          <w:rFonts w:hint="eastAsia"/>
          <w:highlight w:val="none"/>
          <w:lang w:eastAsia="zh-CN"/>
        </w:rPr>
        <w:t>传</w:t>
      </w:r>
      <w:r>
        <w:rPr>
          <w:rFonts w:hint="eastAsia"/>
          <w:spacing w:val="-3"/>
          <w:highlight w:val="none"/>
          <w:lang w:eastAsia="zh-CN"/>
        </w:rPr>
        <w:t>。</w:t>
      </w:r>
      <w:r>
        <w:rPr>
          <w:rFonts w:hint="eastAsia"/>
          <w:highlight w:val="none"/>
          <w:lang w:eastAsia="zh-CN"/>
        </w:rPr>
        <w:t>采</w:t>
      </w:r>
      <w:r>
        <w:rPr>
          <w:rFonts w:hint="eastAsia"/>
          <w:spacing w:val="-3"/>
          <w:highlight w:val="none"/>
          <w:lang w:eastAsia="zh-CN"/>
        </w:rPr>
        <w:t>用</w:t>
      </w:r>
      <w:r>
        <w:rPr>
          <w:rFonts w:hint="eastAsia"/>
          <w:highlight w:val="none"/>
          <w:lang w:eastAsia="zh-CN"/>
        </w:rPr>
        <w:t>传真</w:t>
      </w:r>
      <w:r>
        <w:rPr>
          <w:rFonts w:hint="eastAsia"/>
          <w:spacing w:val="-3"/>
          <w:highlight w:val="none"/>
          <w:lang w:eastAsia="zh-CN"/>
        </w:rPr>
        <w:t>方</w:t>
      </w:r>
      <w:r>
        <w:rPr>
          <w:rFonts w:hint="eastAsia"/>
          <w:highlight w:val="none"/>
          <w:lang w:eastAsia="zh-CN"/>
        </w:rPr>
        <w:t>式</w:t>
      </w:r>
      <w:r>
        <w:rPr>
          <w:rFonts w:hint="eastAsia"/>
          <w:spacing w:val="-3"/>
          <w:highlight w:val="none"/>
          <w:lang w:eastAsia="zh-CN"/>
        </w:rPr>
        <w:t>的</w:t>
      </w:r>
      <w:r>
        <w:rPr>
          <w:rFonts w:hint="eastAsia"/>
          <w:highlight w:val="none"/>
          <w:lang w:eastAsia="zh-CN"/>
        </w:rPr>
        <w:t>，</w:t>
      </w:r>
      <w:r>
        <w:rPr>
          <w:rFonts w:hint="eastAsia"/>
          <w:spacing w:val="-3"/>
          <w:highlight w:val="none"/>
          <w:lang w:eastAsia="zh-CN"/>
        </w:rPr>
        <w:t>应</w:t>
      </w:r>
      <w:r>
        <w:rPr>
          <w:rFonts w:hint="eastAsia"/>
          <w:spacing w:val="-1"/>
          <w:highlight w:val="none"/>
          <w:lang w:eastAsia="zh-CN"/>
        </w:rPr>
        <w:t>在</w:t>
      </w:r>
      <w:r>
        <w:rPr>
          <w:spacing w:val="-1"/>
          <w:highlight w:val="none"/>
          <w:u w:val="single"/>
          <w:lang w:eastAsia="zh-CN"/>
        </w:rPr>
        <w:tab/>
      </w:r>
      <w:r>
        <w:rPr>
          <w:rFonts w:hint="eastAsia"/>
          <w:highlight w:val="none"/>
          <w:lang w:eastAsia="zh-CN"/>
        </w:rPr>
        <w:t>年</w:t>
      </w:r>
      <w:r>
        <w:rPr>
          <w:highlight w:val="none"/>
          <w:u w:val="single"/>
          <w:lang w:eastAsia="zh-CN"/>
        </w:rPr>
        <w:tab/>
      </w:r>
      <w:r>
        <w:rPr>
          <w:rFonts w:hint="eastAsia"/>
          <w:highlight w:val="none"/>
          <w:lang w:eastAsia="zh-CN"/>
        </w:rPr>
        <w:t>月</w:t>
      </w:r>
    </w:p>
    <w:p w14:paraId="28183C9E">
      <w:pPr>
        <w:kinsoku w:val="0"/>
        <w:overflowPunct w:val="0"/>
        <w:spacing w:before="4" w:line="100" w:lineRule="exact"/>
        <w:rPr>
          <w:rFonts w:ascii="宋体" w:hAnsi="宋体"/>
          <w:sz w:val="10"/>
          <w:szCs w:val="10"/>
          <w:highlight w:val="none"/>
        </w:rPr>
      </w:pPr>
    </w:p>
    <w:p w14:paraId="24DD1521">
      <w:pPr>
        <w:pStyle w:val="11"/>
        <w:tabs>
          <w:tab w:val="left" w:pos="837"/>
          <w:tab w:val="left" w:pos="1782"/>
          <w:tab w:val="left" w:pos="5669"/>
        </w:tabs>
        <w:kinsoku w:val="0"/>
        <w:overflowPunct w:val="0"/>
        <w:spacing w:line="335" w:lineRule="exact"/>
        <w:rPr>
          <w:highlight w:val="none"/>
          <w:lang w:eastAsia="zh-CN"/>
        </w:rPr>
      </w:pPr>
      <w:r>
        <w:rPr>
          <w:w w:val="201"/>
          <w:highlight w:val="none"/>
          <w:u w:val="single"/>
          <w:lang w:eastAsia="zh-CN"/>
        </w:rPr>
        <w:t xml:space="preserve"> </w:t>
      </w:r>
      <w:r>
        <w:rPr>
          <w:highlight w:val="none"/>
          <w:u w:val="single"/>
          <w:lang w:eastAsia="zh-CN"/>
        </w:rPr>
        <w:tab/>
      </w:r>
      <w:r>
        <w:rPr>
          <w:rFonts w:hint="eastAsia"/>
          <w:highlight w:val="none"/>
          <w:lang w:eastAsia="zh-CN"/>
        </w:rPr>
        <w:t>日</w:t>
      </w:r>
      <w:r>
        <w:rPr>
          <w:highlight w:val="none"/>
          <w:u w:val="single"/>
          <w:lang w:eastAsia="zh-CN"/>
        </w:rPr>
        <w:tab/>
      </w:r>
      <w:r>
        <w:rPr>
          <w:rFonts w:hint="eastAsia"/>
          <w:spacing w:val="-3"/>
          <w:highlight w:val="none"/>
          <w:lang w:eastAsia="zh-CN"/>
        </w:rPr>
        <w:t>时</w:t>
      </w:r>
      <w:r>
        <w:rPr>
          <w:rFonts w:hint="eastAsia"/>
          <w:highlight w:val="none"/>
          <w:lang w:eastAsia="zh-CN"/>
        </w:rPr>
        <w:t>前</w:t>
      </w:r>
      <w:r>
        <w:rPr>
          <w:rFonts w:hint="eastAsia"/>
          <w:spacing w:val="-3"/>
          <w:highlight w:val="none"/>
          <w:lang w:eastAsia="zh-CN"/>
        </w:rPr>
        <w:t>将</w:t>
      </w:r>
      <w:r>
        <w:rPr>
          <w:rFonts w:hint="eastAsia"/>
          <w:highlight w:val="none"/>
          <w:lang w:eastAsia="zh-CN"/>
        </w:rPr>
        <w:t>原件</w:t>
      </w:r>
      <w:r>
        <w:rPr>
          <w:rFonts w:hint="eastAsia"/>
          <w:spacing w:val="-3"/>
          <w:highlight w:val="none"/>
          <w:lang w:eastAsia="zh-CN"/>
        </w:rPr>
        <w:t>递</w:t>
      </w:r>
      <w:r>
        <w:rPr>
          <w:rFonts w:hint="eastAsia"/>
          <w:highlight w:val="none"/>
          <w:lang w:eastAsia="zh-CN"/>
        </w:rPr>
        <w:t>交</w:t>
      </w:r>
      <w:r>
        <w:rPr>
          <w:rFonts w:hint="eastAsia"/>
          <w:spacing w:val="-3"/>
          <w:highlight w:val="none"/>
          <w:lang w:eastAsia="zh-CN"/>
        </w:rPr>
        <w:t>至</w:t>
      </w:r>
      <w:r>
        <w:rPr>
          <w:spacing w:val="-3"/>
          <w:highlight w:val="none"/>
          <w:u w:val="single"/>
          <w:lang w:eastAsia="zh-CN"/>
        </w:rPr>
        <w:tab/>
      </w:r>
      <w:r>
        <w:rPr>
          <w:rFonts w:hint="eastAsia"/>
          <w:spacing w:val="-3"/>
          <w:highlight w:val="none"/>
          <w:lang w:eastAsia="zh-CN"/>
        </w:rPr>
        <w:t>（</w:t>
      </w:r>
      <w:r>
        <w:rPr>
          <w:rFonts w:hint="eastAsia"/>
          <w:highlight w:val="none"/>
          <w:lang w:eastAsia="zh-CN"/>
        </w:rPr>
        <w:t>详</w:t>
      </w:r>
      <w:r>
        <w:rPr>
          <w:rFonts w:hint="eastAsia"/>
          <w:spacing w:val="-3"/>
          <w:highlight w:val="none"/>
          <w:lang w:eastAsia="zh-CN"/>
        </w:rPr>
        <w:t>细</w:t>
      </w:r>
      <w:r>
        <w:rPr>
          <w:rFonts w:hint="eastAsia"/>
          <w:highlight w:val="none"/>
          <w:lang w:eastAsia="zh-CN"/>
        </w:rPr>
        <w:t>地</w:t>
      </w:r>
      <w:r>
        <w:rPr>
          <w:rFonts w:hint="eastAsia"/>
          <w:spacing w:val="-3"/>
          <w:highlight w:val="none"/>
          <w:lang w:eastAsia="zh-CN"/>
        </w:rPr>
        <w:t>址</w:t>
      </w:r>
      <w:r>
        <w:rPr>
          <w:rFonts w:hint="eastAsia"/>
          <w:spacing w:val="-106"/>
          <w:highlight w:val="none"/>
          <w:lang w:eastAsia="zh-CN"/>
        </w:rPr>
        <w:t>）</w:t>
      </w:r>
      <w:r>
        <w:rPr>
          <w:rFonts w:hint="eastAsia"/>
          <w:highlight w:val="none"/>
          <w:lang w:eastAsia="zh-CN"/>
        </w:rPr>
        <w:t>。</w:t>
      </w:r>
    </w:p>
    <w:p w14:paraId="0E73A918">
      <w:pPr>
        <w:kinsoku w:val="0"/>
        <w:overflowPunct w:val="0"/>
        <w:spacing w:before="6" w:line="180" w:lineRule="exact"/>
        <w:rPr>
          <w:rFonts w:ascii="宋体" w:hAnsi="宋体"/>
          <w:sz w:val="18"/>
          <w:szCs w:val="18"/>
          <w:highlight w:val="none"/>
        </w:rPr>
      </w:pPr>
    </w:p>
    <w:p w14:paraId="0340922B">
      <w:pPr>
        <w:kinsoku w:val="0"/>
        <w:overflowPunct w:val="0"/>
        <w:spacing w:line="200" w:lineRule="exact"/>
        <w:rPr>
          <w:rFonts w:ascii="宋体" w:hAnsi="宋体"/>
          <w:sz w:val="20"/>
          <w:szCs w:val="20"/>
          <w:highlight w:val="none"/>
        </w:rPr>
      </w:pPr>
    </w:p>
    <w:p w14:paraId="0A0026CA">
      <w:pPr>
        <w:kinsoku w:val="0"/>
        <w:overflowPunct w:val="0"/>
        <w:spacing w:line="200" w:lineRule="exact"/>
        <w:rPr>
          <w:rFonts w:ascii="宋体" w:hAnsi="宋体"/>
          <w:sz w:val="20"/>
          <w:szCs w:val="20"/>
          <w:highlight w:val="none"/>
        </w:rPr>
      </w:pPr>
    </w:p>
    <w:p w14:paraId="2854F8DF">
      <w:pPr>
        <w:kinsoku w:val="0"/>
        <w:overflowPunct w:val="0"/>
        <w:spacing w:line="200" w:lineRule="exact"/>
        <w:rPr>
          <w:rFonts w:ascii="宋体" w:hAnsi="宋体"/>
          <w:sz w:val="20"/>
          <w:szCs w:val="20"/>
          <w:highlight w:val="none"/>
        </w:rPr>
      </w:pPr>
    </w:p>
    <w:p w14:paraId="08BDB025">
      <w:pPr>
        <w:kinsoku w:val="0"/>
        <w:overflowPunct w:val="0"/>
        <w:spacing w:line="200" w:lineRule="exact"/>
        <w:rPr>
          <w:rFonts w:ascii="宋体" w:hAnsi="宋体"/>
          <w:sz w:val="20"/>
          <w:szCs w:val="20"/>
          <w:highlight w:val="none"/>
        </w:rPr>
      </w:pPr>
    </w:p>
    <w:p w14:paraId="3C729AE1">
      <w:pPr>
        <w:pStyle w:val="11"/>
        <w:tabs>
          <w:tab w:val="left" w:pos="7032"/>
        </w:tabs>
        <w:kinsoku w:val="0"/>
        <w:overflowPunct w:val="0"/>
        <w:spacing w:line="335" w:lineRule="exact"/>
        <w:ind w:left="2200"/>
        <w:rPr>
          <w:highlight w:val="none"/>
          <w:lang w:eastAsia="zh-CN"/>
        </w:rPr>
      </w:pPr>
      <w:r>
        <w:rPr>
          <w:rFonts w:hint="eastAsia"/>
          <w:highlight w:val="none"/>
          <w:lang w:eastAsia="zh-CN"/>
        </w:rPr>
        <w:t>评标</w:t>
      </w:r>
      <w:r>
        <w:rPr>
          <w:rFonts w:hint="eastAsia"/>
          <w:spacing w:val="-3"/>
          <w:highlight w:val="none"/>
          <w:lang w:eastAsia="zh-CN"/>
        </w:rPr>
        <w:t>委</w:t>
      </w:r>
      <w:r>
        <w:rPr>
          <w:rFonts w:hint="eastAsia"/>
          <w:highlight w:val="none"/>
          <w:lang w:eastAsia="zh-CN"/>
        </w:rPr>
        <w:t>员</w:t>
      </w:r>
      <w:r>
        <w:rPr>
          <w:rFonts w:hint="eastAsia"/>
          <w:spacing w:val="-3"/>
          <w:highlight w:val="none"/>
          <w:lang w:eastAsia="zh-CN"/>
        </w:rPr>
        <w:t>会</w:t>
      </w:r>
      <w:r>
        <w:rPr>
          <w:rFonts w:hint="eastAsia"/>
          <w:highlight w:val="none"/>
          <w:lang w:eastAsia="zh-CN"/>
        </w:rPr>
        <w:t>授</w:t>
      </w:r>
      <w:r>
        <w:rPr>
          <w:rFonts w:hint="eastAsia"/>
          <w:spacing w:val="-3"/>
          <w:highlight w:val="none"/>
          <w:lang w:eastAsia="zh-CN"/>
        </w:rPr>
        <w:t>权</w:t>
      </w:r>
      <w:r>
        <w:rPr>
          <w:rFonts w:hint="eastAsia"/>
          <w:highlight w:val="none"/>
          <w:lang w:eastAsia="zh-CN"/>
        </w:rPr>
        <w:t>的</w:t>
      </w:r>
      <w:r>
        <w:rPr>
          <w:rFonts w:hint="eastAsia"/>
          <w:spacing w:val="-3"/>
          <w:highlight w:val="none"/>
          <w:lang w:eastAsia="zh-CN"/>
        </w:rPr>
        <w:t>招</w:t>
      </w:r>
      <w:r>
        <w:rPr>
          <w:rFonts w:hint="eastAsia"/>
          <w:highlight w:val="none"/>
          <w:lang w:eastAsia="zh-CN"/>
        </w:rPr>
        <w:t>标</w:t>
      </w:r>
      <w:r>
        <w:rPr>
          <w:rFonts w:hint="eastAsia"/>
          <w:spacing w:val="-3"/>
          <w:highlight w:val="none"/>
          <w:lang w:eastAsia="zh-CN"/>
        </w:rPr>
        <w:t>人</w:t>
      </w:r>
      <w:r>
        <w:rPr>
          <w:rFonts w:hint="eastAsia"/>
          <w:highlight w:val="none"/>
          <w:lang w:eastAsia="zh-CN"/>
        </w:rPr>
        <w:t>或招</w:t>
      </w:r>
      <w:r>
        <w:rPr>
          <w:rFonts w:hint="eastAsia"/>
          <w:spacing w:val="-3"/>
          <w:highlight w:val="none"/>
          <w:lang w:eastAsia="zh-CN"/>
        </w:rPr>
        <w:t>标</w:t>
      </w:r>
      <w:r>
        <w:rPr>
          <w:rFonts w:hint="eastAsia"/>
          <w:highlight w:val="none"/>
          <w:lang w:eastAsia="zh-CN"/>
        </w:rPr>
        <w:t>代</w:t>
      </w:r>
      <w:r>
        <w:rPr>
          <w:rFonts w:hint="eastAsia"/>
          <w:spacing w:val="-3"/>
          <w:highlight w:val="none"/>
          <w:lang w:eastAsia="zh-CN"/>
        </w:rPr>
        <w:t>理</w:t>
      </w:r>
      <w:r>
        <w:rPr>
          <w:rFonts w:hint="eastAsia"/>
          <w:highlight w:val="none"/>
          <w:lang w:eastAsia="zh-CN"/>
        </w:rPr>
        <w:t>机</w:t>
      </w:r>
      <w:r>
        <w:rPr>
          <w:rFonts w:hint="eastAsia"/>
          <w:spacing w:val="-3"/>
          <w:highlight w:val="none"/>
          <w:lang w:eastAsia="zh-CN"/>
        </w:rPr>
        <w:t>构</w:t>
      </w:r>
      <w:r>
        <w:rPr>
          <w:rFonts w:hint="eastAsia"/>
          <w:highlight w:val="none"/>
          <w:lang w:eastAsia="zh-CN"/>
        </w:rPr>
        <w:t>：</w:t>
      </w:r>
      <w:r>
        <w:rPr>
          <w:highlight w:val="none"/>
          <w:u w:val="single"/>
          <w:lang w:eastAsia="zh-CN"/>
        </w:rPr>
        <w:tab/>
      </w:r>
      <w:r>
        <w:rPr>
          <w:rFonts w:hint="eastAsia"/>
          <w:highlight w:val="none"/>
          <w:lang w:eastAsia="zh-CN"/>
        </w:rPr>
        <w:t>（签</w:t>
      </w:r>
      <w:r>
        <w:rPr>
          <w:rFonts w:hint="eastAsia"/>
          <w:spacing w:val="-3"/>
          <w:highlight w:val="none"/>
          <w:lang w:eastAsia="zh-CN"/>
        </w:rPr>
        <w:t>字</w:t>
      </w:r>
      <w:r>
        <w:rPr>
          <w:rFonts w:hint="eastAsia"/>
          <w:highlight w:val="none"/>
          <w:lang w:eastAsia="zh-CN"/>
        </w:rPr>
        <w:t>或</w:t>
      </w:r>
      <w:r>
        <w:rPr>
          <w:rFonts w:hint="eastAsia"/>
          <w:spacing w:val="-3"/>
          <w:highlight w:val="none"/>
          <w:lang w:eastAsia="zh-CN"/>
        </w:rPr>
        <w:t>盖</w:t>
      </w:r>
      <w:r>
        <w:rPr>
          <w:rFonts w:hint="eastAsia"/>
          <w:highlight w:val="none"/>
          <w:lang w:eastAsia="zh-CN"/>
        </w:rPr>
        <w:t>章）</w:t>
      </w:r>
    </w:p>
    <w:p w14:paraId="257E3224">
      <w:pPr>
        <w:kinsoku w:val="0"/>
        <w:overflowPunct w:val="0"/>
        <w:spacing w:before="6" w:line="140" w:lineRule="exact"/>
        <w:rPr>
          <w:rFonts w:ascii="宋体" w:hAnsi="宋体"/>
          <w:sz w:val="14"/>
          <w:szCs w:val="14"/>
          <w:highlight w:val="none"/>
        </w:rPr>
      </w:pPr>
    </w:p>
    <w:p w14:paraId="6A69BBA8">
      <w:pPr>
        <w:kinsoku w:val="0"/>
        <w:overflowPunct w:val="0"/>
        <w:spacing w:line="200" w:lineRule="exact"/>
        <w:rPr>
          <w:rFonts w:ascii="宋体" w:hAnsi="宋体"/>
          <w:sz w:val="20"/>
          <w:szCs w:val="20"/>
          <w:highlight w:val="none"/>
        </w:rPr>
      </w:pPr>
    </w:p>
    <w:p w14:paraId="1DC43E31">
      <w:pPr>
        <w:pStyle w:val="7"/>
        <w:ind w:firstLine="440"/>
        <w:rPr>
          <w:rFonts w:ascii="宋体" w:hAnsi="宋体" w:eastAsia="宋体"/>
          <w:highlight w:val="none"/>
          <w:lang w:eastAsia="zh-CN"/>
        </w:rPr>
      </w:pPr>
    </w:p>
    <w:p w14:paraId="4FCA473A">
      <w:pPr>
        <w:jc w:val="right"/>
        <w:rPr>
          <w:rFonts w:ascii="宋体" w:hAnsi="宋体"/>
          <w:highlight w:val="none"/>
        </w:rPr>
      </w:pPr>
      <w:r>
        <w:rPr>
          <w:rFonts w:ascii="宋体" w:hAnsi="宋体"/>
          <w:w w:val="201"/>
          <w:highlight w:val="none"/>
          <w:u w:val="single"/>
        </w:rPr>
        <w:t xml:space="preserve"> </w:t>
      </w:r>
      <w:r>
        <w:rPr>
          <w:rFonts w:ascii="宋体" w:hAnsi="宋体"/>
          <w:highlight w:val="none"/>
          <w:u w:val="single"/>
        </w:rPr>
        <w:tab/>
      </w:r>
      <w:r>
        <w:rPr>
          <w:rFonts w:hint="eastAsia" w:ascii="宋体" w:hAnsi="宋体"/>
          <w:spacing w:val="-3"/>
          <w:highlight w:val="none"/>
        </w:rPr>
        <w:t>年</w:t>
      </w:r>
      <w:r>
        <w:rPr>
          <w:rFonts w:ascii="宋体" w:hAnsi="宋体"/>
          <w:spacing w:val="-3"/>
          <w:highlight w:val="none"/>
          <w:u w:val="single"/>
        </w:rPr>
        <w:tab/>
      </w:r>
      <w:r>
        <w:rPr>
          <w:rFonts w:hint="eastAsia" w:ascii="宋体" w:hAnsi="宋体"/>
          <w:highlight w:val="none"/>
        </w:rPr>
        <w:t>月</w:t>
      </w:r>
      <w:r>
        <w:rPr>
          <w:rFonts w:ascii="宋体" w:hAnsi="宋体"/>
          <w:highlight w:val="none"/>
          <w:u w:val="single"/>
        </w:rPr>
        <w:tab/>
      </w:r>
      <w:r>
        <w:rPr>
          <w:rFonts w:hint="eastAsia" w:ascii="宋体" w:hAnsi="宋体"/>
          <w:highlight w:val="none"/>
        </w:rPr>
        <w:t>日</w:t>
      </w:r>
    </w:p>
    <w:p w14:paraId="683FE4D2">
      <w:pPr>
        <w:rPr>
          <w:rFonts w:ascii="宋体" w:hAnsi="宋体"/>
          <w:highlight w:val="none"/>
        </w:rPr>
      </w:pPr>
    </w:p>
    <w:p w14:paraId="37263C0A">
      <w:pPr>
        <w:pStyle w:val="5"/>
        <w:spacing w:line="363" w:lineRule="exact"/>
        <w:ind w:left="357"/>
        <w:rPr>
          <w:b/>
          <w:bCs/>
          <w:highlight w:val="none"/>
          <w:lang w:eastAsia="zh-CN"/>
        </w:rPr>
      </w:pPr>
      <w:r>
        <w:rPr>
          <w:sz w:val="24"/>
          <w:szCs w:val="24"/>
          <w:highlight w:val="none"/>
          <w:lang w:eastAsia="zh-CN"/>
        </w:rPr>
        <w:br w:type="page"/>
      </w:r>
      <w:r>
        <w:rPr>
          <w:b/>
          <w:bCs/>
          <w:highlight w:val="none"/>
          <w:lang w:eastAsia="zh-CN"/>
        </w:rPr>
        <w:t>附件三：问题的澄清</w:t>
      </w:r>
    </w:p>
    <w:p w14:paraId="00581583">
      <w:pPr>
        <w:rPr>
          <w:rFonts w:ascii="宋体" w:hAnsi="宋体" w:eastAsia="宋体" w:cs="宋体"/>
          <w:sz w:val="20"/>
          <w:szCs w:val="20"/>
          <w:highlight w:val="none"/>
          <w:lang w:eastAsia="zh-CN"/>
        </w:rPr>
      </w:pPr>
    </w:p>
    <w:p w14:paraId="6F3CE5E3">
      <w:pPr>
        <w:rPr>
          <w:rFonts w:ascii="宋体" w:hAnsi="宋体" w:eastAsia="宋体" w:cs="宋体"/>
          <w:sz w:val="20"/>
          <w:szCs w:val="20"/>
          <w:highlight w:val="none"/>
          <w:lang w:eastAsia="zh-CN"/>
        </w:rPr>
      </w:pPr>
    </w:p>
    <w:p w14:paraId="643EDEBB">
      <w:pPr>
        <w:rPr>
          <w:rFonts w:ascii="宋体" w:hAnsi="宋体" w:eastAsia="宋体" w:cs="宋体"/>
          <w:sz w:val="20"/>
          <w:szCs w:val="20"/>
          <w:highlight w:val="none"/>
          <w:lang w:eastAsia="zh-CN"/>
        </w:rPr>
      </w:pPr>
    </w:p>
    <w:p w14:paraId="05DFB08C">
      <w:pPr>
        <w:spacing w:before="168"/>
        <w:ind w:right="16"/>
        <w:jc w:val="center"/>
        <w:rPr>
          <w:rFonts w:ascii="宋体" w:hAnsi="宋体" w:eastAsia="宋体" w:cs="宋体"/>
          <w:b/>
          <w:bCs/>
          <w:sz w:val="28"/>
          <w:szCs w:val="28"/>
          <w:highlight w:val="none"/>
          <w:lang w:eastAsia="zh-CN"/>
        </w:rPr>
      </w:pPr>
      <w:r>
        <w:rPr>
          <w:rFonts w:ascii="宋体" w:hAnsi="宋体" w:eastAsia="宋体" w:cs="宋体"/>
          <w:b/>
          <w:bCs/>
          <w:sz w:val="28"/>
          <w:szCs w:val="28"/>
          <w:highlight w:val="none"/>
          <w:lang w:eastAsia="zh-CN"/>
        </w:rPr>
        <w:t>问题的澄清</w:t>
      </w:r>
    </w:p>
    <w:p w14:paraId="499FEB2F">
      <w:pPr>
        <w:pStyle w:val="11"/>
        <w:tabs>
          <w:tab w:val="left" w:pos="5947"/>
        </w:tabs>
        <w:kinsoku w:val="0"/>
        <w:overflowPunct w:val="0"/>
        <w:spacing w:before="19"/>
        <w:ind w:left="3566"/>
        <w:rPr>
          <w:highlight w:val="none"/>
          <w:lang w:eastAsia="zh-CN"/>
        </w:rPr>
      </w:pPr>
      <w:r>
        <w:rPr>
          <w:rFonts w:hint="eastAsia"/>
          <w:highlight w:val="none"/>
          <w:lang w:eastAsia="zh-CN"/>
        </w:rPr>
        <w:t>（编</w:t>
      </w:r>
      <w:r>
        <w:rPr>
          <w:rFonts w:hint="eastAsia"/>
          <w:spacing w:val="-3"/>
          <w:highlight w:val="none"/>
          <w:lang w:eastAsia="zh-CN"/>
        </w:rPr>
        <w:t>号</w:t>
      </w:r>
      <w:r>
        <w:rPr>
          <w:rFonts w:hint="eastAsia"/>
          <w:spacing w:val="-1"/>
          <w:highlight w:val="none"/>
          <w:lang w:eastAsia="zh-CN"/>
        </w:rPr>
        <w:t>：</w:t>
      </w:r>
      <w:r>
        <w:rPr>
          <w:spacing w:val="-1"/>
          <w:highlight w:val="none"/>
          <w:u w:val="single"/>
          <w:lang w:eastAsia="zh-CN"/>
        </w:rPr>
        <w:tab/>
      </w:r>
      <w:r>
        <w:rPr>
          <w:rFonts w:hint="eastAsia"/>
          <w:highlight w:val="none"/>
          <w:lang w:eastAsia="zh-CN"/>
        </w:rPr>
        <w:t>）</w:t>
      </w:r>
    </w:p>
    <w:p w14:paraId="69646BAA">
      <w:pPr>
        <w:kinsoku w:val="0"/>
        <w:overflowPunct w:val="0"/>
        <w:spacing w:line="100" w:lineRule="exact"/>
        <w:rPr>
          <w:rFonts w:ascii="宋体" w:hAnsi="宋体"/>
          <w:sz w:val="10"/>
          <w:szCs w:val="10"/>
          <w:highlight w:val="none"/>
        </w:rPr>
      </w:pPr>
    </w:p>
    <w:p w14:paraId="09A061E2">
      <w:pPr>
        <w:kinsoku w:val="0"/>
        <w:overflowPunct w:val="0"/>
        <w:spacing w:line="200" w:lineRule="exact"/>
        <w:rPr>
          <w:rFonts w:ascii="宋体" w:hAnsi="宋体"/>
          <w:sz w:val="20"/>
          <w:szCs w:val="20"/>
          <w:highlight w:val="none"/>
        </w:rPr>
      </w:pPr>
    </w:p>
    <w:p w14:paraId="61648688">
      <w:pPr>
        <w:kinsoku w:val="0"/>
        <w:overflowPunct w:val="0"/>
        <w:spacing w:line="200" w:lineRule="exact"/>
        <w:rPr>
          <w:rFonts w:ascii="宋体" w:hAnsi="宋体"/>
          <w:sz w:val="20"/>
          <w:szCs w:val="20"/>
          <w:highlight w:val="none"/>
        </w:rPr>
      </w:pPr>
    </w:p>
    <w:p w14:paraId="34CE469C">
      <w:pPr>
        <w:pStyle w:val="11"/>
        <w:kinsoku w:val="0"/>
        <w:overflowPunct w:val="0"/>
        <w:spacing w:line="335" w:lineRule="exact"/>
        <w:rPr>
          <w:highlight w:val="none"/>
          <w:lang w:eastAsia="zh-CN"/>
        </w:rPr>
      </w:pPr>
      <w:r>
        <w:rPr>
          <w:rFonts w:hint="eastAsia"/>
          <w:highlight w:val="none"/>
          <w:lang w:eastAsia="zh-CN"/>
        </w:rPr>
        <w:t>评标</w:t>
      </w:r>
      <w:r>
        <w:rPr>
          <w:rFonts w:hint="eastAsia"/>
          <w:spacing w:val="-3"/>
          <w:highlight w:val="none"/>
          <w:lang w:eastAsia="zh-CN"/>
        </w:rPr>
        <w:t>委</w:t>
      </w:r>
      <w:r>
        <w:rPr>
          <w:rFonts w:hint="eastAsia"/>
          <w:highlight w:val="none"/>
          <w:lang w:eastAsia="zh-CN"/>
        </w:rPr>
        <w:t>员</w:t>
      </w:r>
      <w:r>
        <w:rPr>
          <w:rFonts w:hint="eastAsia"/>
          <w:spacing w:val="-3"/>
          <w:highlight w:val="none"/>
          <w:lang w:eastAsia="zh-CN"/>
        </w:rPr>
        <w:t>会</w:t>
      </w:r>
      <w:r>
        <w:rPr>
          <w:rFonts w:hint="eastAsia"/>
          <w:highlight w:val="none"/>
          <w:lang w:eastAsia="zh-CN"/>
        </w:rPr>
        <w:t>：</w:t>
      </w:r>
    </w:p>
    <w:p w14:paraId="14708ADC">
      <w:pPr>
        <w:kinsoku w:val="0"/>
        <w:overflowPunct w:val="0"/>
        <w:spacing w:before="8" w:line="110" w:lineRule="exact"/>
        <w:rPr>
          <w:rFonts w:ascii="宋体" w:hAnsi="宋体"/>
          <w:sz w:val="11"/>
          <w:szCs w:val="11"/>
          <w:highlight w:val="none"/>
        </w:rPr>
      </w:pPr>
    </w:p>
    <w:p w14:paraId="5C63B814">
      <w:pPr>
        <w:kinsoku w:val="0"/>
        <w:overflowPunct w:val="0"/>
        <w:spacing w:line="200" w:lineRule="exact"/>
        <w:rPr>
          <w:rFonts w:ascii="宋体" w:hAnsi="宋体"/>
          <w:sz w:val="20"/>
          <w:szCs w:val="20"/>
          <w:highlight w:val="none"/>
        </w:rPr>
      </w:pPr>
    </w:p>
    <w:p w14:paraId="0257DB66">
      <w:pPr>
        <w:kinsoku w:val="0"/>
        <w:overflowPunct w:val="0"/>
        <w:spacing w:line="200" w:lineRule="exact"/>
        <w:rPr>
          <w:rFonts w:ascii="宋体" w:hAnsi="宋体"/>
          <w:sz w:val="20"/>
          <w:szCs w:val="20"/>
          <w:highlight w:val="none"/>
        </w:rPr>
      </w:pPr>
    </w:p>
    <w:p w14:paraId="662FA5FB">
      <w:pPr>
        <w:pStyle w:val="11"/>
        <w:tabs>
          <w:tab w:val="left" w:pos="3460"/>
        </w:tabs>
        <w:kinsoku w:val="0"/>
        <w:overflowPunct w:val="0"/>
        <w:ind w:left="522"/>
        <w:rPr>
          <w:highlight w:val="none"/>
          <w:lang w:eastAsia="zh-CN"/>
        </w:rPr>
      </w:pPr>
      <w:r>
        <w:rPr>
          <w:rFonts w:hint="eastAsia"/>
          <w:spacing w:val="-3"/>
          <w:highlight w:val="none"/>
          <w:lang w:eastAsia="zh-CN"/>
        </w:rPr>
        <w:t>问</w:t>
      </w:r>
      <w:r>
        <w:rPr>
          <w:rFonts w:hint="eastAsia"/>
          <w:highlight w:val="none"/>
          <w:lang w:eastAsia="zh-CN"/>
        </w:rPr>
        <w:t>题</w:t>
      </w:r>
      <w:r>
        <w:rPr>
          <w:rFonts w:hint="eastAsia"/>
          <w:spacing w:val="-3"/>
          <w:highlight w:val="none"/>
          <w:lang w:eastAsia="zh-CN"/>
        </w:rPr>
        <w:t>澄</w:t>
      </w:r>
      <w:r>
        <w:rPr>
          <w:rFonts w:hint="eastAsia"/>
          <w:highlight w:val="none"/>
          <w:lang w:eastAsia="zh-CN"/>
        </w:rPr>
        <w:t>清</w:t>
      </w:r>
      <w:r>
        <w:rPr>
          <w:rFonts w:hint="eastAsia"/>
          <w:spacing w:val="-3"/>
          <w:highlight w:val="none"/>
          <w:lang w:eastAsia="zh-CN"/>
        </w:rPr>
        <w:t>通</w:t>
      </w:r>
      <w:r>
        <w:rPr>
          <w:rFonts w:hint="eastAsia"/>
          <w:highlight w:val="none"/>
          <w:lang w:eastAsia="zh-CN"/>
        </w:rPr>
        <w:t>知</w:t>
      </w:r>
      <w:r>
        <w:rPr>
          <w:rFonts w:hint="eastAsia"/>
          <w:spacing w:val="-3"/>
          <w:highlight w:val="none"/>
          <w:lang w:eastAsia="zh-CN"/>
        </w:rPr>
        <w:t>（</w:t>
      </w:r>
      <w:r>
        <w:rPr>
          <w:rFonts w:hint="eastAsia"/>
          <w:highlight w:val="none"/>
          <w:lang w:eastAsia="zh-CN"/>
        </w:rPr>
        <w:t>编</w:t>
      </w:r>
      <w:r>
        <w:rPr>
          <w:rFonts w:hint="eastAsia"/>
          <w:spacing w:val="-3"/>
          <w:highlight w:val="none"/>
          <w:lang w:eastAsia="zh-CN"/>
        </w:rPr>
        <w:t>号</w:t>
      </w:r>
      <w:r>
        <w:rPr>
          <w:rFonts w:hint="eastAsia"/>
          <w:highlight w:val="none"/>
          <w:lang w:eastAsia="zh-CN"/>
        </w:rPr>
        <w:t>：</w:t>
      </w:r>
      <w:r>
        <w:rPr>
          <w:highlight w:val="none"/>
          <w:u w:val="single"/>
          <w:lang w:eastAsia="zh-CN"/>
        </w:rPr>
        <w:tab/>
      </w:r>
      <w:r>
        <w:rPr>
          <w:rFonts w:hint="eastAsia"/>
          <w:highlight w:val="none"/>
          <w:lang w:eastAsia="zh-CN"/>
        </w:rPr>
        <w:t>）已收</w:t>
      </w:r>
      <w:r>
        <w:rPr>
          <w:rFonts w:hint="eastAsia"/>
          <w:spacing w:val="-3"/>
          <w:highlight w:val="none"/>
          <w:lang w:eastAsia="zh-CN"/>
        </w:rPr>
        <w:t>悉</w:t>
      </w:r>
      <w:r>
        <w:rPr>
          <w:rFonts w:hint="eastAsia"/>
          <w:highlight w:val="none"/>
          <w:lang w:eastAsia="zh-CN"/>
        </w:rPr>
        <w:t>，</w:t>
      </w:r>
      <w:r>
        <w:rPr>
          <w:rFonts w:hint="eastAsia"/>
          <w:spacing w:val="-3"/>
          <w:highlight w:val="none"/>
          <w:lang w:eastAsia="zh-CN"/>
        </w:rPr>
        <w:t>现</w:t>
      </w:r>
      <w:r>
        <w:rPr>
          <w:rFonts w:hint="eastAsia"/>
          <w:highlight w:val="none"/>
          <w:lang w:eastAsia="zh-CN"/>
        </w:rPr>
        <w:t>澄清</w:t>
      </w:r>
      <w:r>
        <w:rPr>
          <w:rFonts w:hint="eastAsia"/>
          <w:spacing w:val="-3"/>
          <w:highlight w:val="none"/>
          <w:lang w:eastAsia="zh-CN"/>
        </w:rPr>
        <w:t>、</w:t>
      </w:r>
      <w:r>
        <w:rPr>
          <w:rFonts w:hint="eastAsia"/>
          <w:highlight w:val="none"/>
          <w:lang w:eastAsia="zh-CN"/>
        </w:rPr>
        <w:t>说</w:t>
      </w:r>
      <w:r>
        <w:rPr>
          <w:rFonts w:hint="eastAsia"/>
          <w:spacing w:val="-3"/>
          <w:highlight w:val="none"/>
          <w:lang w:eastAsia="zh-CN"/>
        </w:rPr>
        <w:t>明</w:t>
      </w:r>
      <w:r>
        <w:rPr>
          <w:rFonts w:hint="eastAsia"/>
          <w:highlight w:val="none"/>
          <w:lang w:eastAsia="zh-CN"/>
        </w:rPr>
        <w:t>或</w:t>
      </w:r>
      <w:r>
        <w:rPr>
          <w:rFonts w:hint="eastAsia"/>
          <w:spacing w:val="-3"/>
          <w:highlight w:val="none"/>
          <w:lang w:eastAsia="zh-CN"/>
        </w:rPr>
        <w:t>补</w:t>
      </w:r>
      <w:r>
        <w:rPr>
          <w:rFonts w:hint="eastAsia"/>
          <w:highlight w:val="none"/>
          <w:lang w:eastAsia="zh-CN"/>
        </w:rPr>
        <w:t>正</w:t>
      </w:r>
      <w:r>
        <w:rPr>
          <w:rFonts w:hint="eastAsia"/>
          <w:spacing w:val="-3"/>
          <w:highlight w:val="none"/>
          <w:lang w:eastAsia="zh-CN"/>
        </w:rPr>
        <w:t>如</w:t>
      </w:r>
      <w:r>
        <w:rPr>
          <w:rFonts w:hint="eastAsia"/>
          <w:highlight w:val="none"/>
          <w:lang w:eastAsia="zh-CN"/>
        </w:rPr>
        <w:t>下：</w:t>
      </w:r>
    </w:p>
    <w:p w14:paraId="50059176">
      <w:pPr>
        <w:kinsoku w:val="0"/>
        <w:overflowPunct w:val="0"/>
        <w:spacing w:before="8" w:line="110" w:lineRule="exact"/>
        <w:rPr>
          <w:rFonts w:ascii="宋体" w:hAnsi="宋体"/>
          <w:sz w:val="11"/>
          <w:szCs w:val="11"/>
          <w:highlight w:val="none"/>
        </w:rPr>
      </w:pPr>
    </w:p>
    <w:p w14:paraId="118EF7B4">
      <w:pPr>
        <w:pStyle w:val="11"/>
        <w:kinsoku w:val="0"/>
        <w:overflowPunct w:val="0"/>
        <w:spacing w:before="74"/>
        <w:ind w:left="817" w:right="7844"/>
        <w:jc w:val="center"/>
        <w:rPr>
          <w:highlight w:val="none"/>
          <w:lang w:eastAsia="zh-CN"/>
        </w:rPr>
      </w:pPr>
      <w:r>
        <w:rPr>
          <w:highlight w:val="none"/>
          <w:lang w:eastAsia="zh-CN"/>
        </w:rPr>
        <w:t>1.</w:t>
      </w:r>
    </w:p>
    <w:p w14:paraId="025DE67D">
      <w:pPr>
        <w:kinsoku w:val="0"/>
        <w:overflowPunct w:val="0"/>
        <w:spacing w:before="8" w:line="190" w:lineRule="exact"/>
        <w:rPr>
          <w:rFonts w:ascii="宋体" w:hAnsi="宋体"/>
          <w:sz w:val="19"/>
          <w:szCs w:val="19"/>
          <w:highlight w:val="none"/>
        </w:rPr>
      </w:pPr>
    </w:p>
    <w:p w14:paraId="7E20C9A3">
      <w:pPr>
        <w:pStyle w:val="11"/>
        <w:kinsoku w:val="0"/>
        <w:overflowPunct w:val="0"/>
        <w:ind w:left="817" w:right="7844"/>
        <w:jc w:val="center"/>
        <w:rPr>
          <w:highlight w:val="none"/>
          <w:lang w:eastAsia="zh-CN"/>
        </w:rPr>
      </w:pPr>
      <w:r>
        <w:rPr>
          <w:highlight w:val="none"/>
          <w:lang w:eastAsia="zh-CN"/>
        </w:rPr>
        <w:t>2.</w:t>
      </w:r>
    </w:p>
    <w:p w14:paraId="102883B9">
      <w:pPr>
        <w:kinsoku w:val="0"/>
        <w:overflowPunct w:val="0"/>
        <w:spacing w:before="8" w:line="190" w:lineRule="exact"/>
        <w:rPr>
          <w:rFonts w:ascii="宋体" w:hAnsi="宋体"/>
          <w:sz w:val="19"/>
          <w:szCs w:val="19"/>
          <w:highlight w:val="none"/>
        </w:rPr>
      </w:pPr>
    </w:p>
    <w:p w14:paraId="243822D8">
      <w:pPr>
        <w:pStyle w:val="11"/>
        <w:kinsoku w:val="0"/>
        <w:overflowPunct w:val="0"/>
        <w:ind w:right="7132"/>
        <w:jc w:val="center"/>
        <w:rPr>
          <w:highlight w:val="none"/>
          <w:lang w:eastAsia="zh-CN"/>
        </w:rPr>
      </w:pPr>
      <w:r>
        <w:rPr>
          <w:highlight w:val="none"/>
          <w:lang w:eastAsia="zh-CN"/>
        </w:rPr>
        <w:t>.....</w:t>
      </w:r>
    </w:p>
    <w:p w14:paraId="432AE362">
      <w:pPr>
        <w:kinsoku w:val="0"/>
        <w:overflowPunct w:val="0"/>
        <w:spacing w:line="200" w:lineRule="exact"/>
        <w:rPr>
          <w:rFonts w:ascii="宋体" w:hAnsi="宋体"/>
          <w:sz w:val="20"/>
          <w:szCs w:val="20"/>
          <w:highlight w:val="none"/>
        </w:rPr>
      </w:pPr>
    </w:p>
    <w:p w14:paraId="4399AA97">
      <w:pPr>
        <w:kinsoku w:val="0"/>
        <w:overflowPunct w:val="0"/>
        <w:spacing w:line="200" w:lineRule="exact"/>
        <w:rPr>
          <w:rFonts w:ascii="宋体" w:hAnsi="宋体"/>
          <w:sz w:val="20"/>
          <w:szCs w:val="20"/>
          <w:highlight w:val="none"/>
        </w:rPr>
      </w:pPr>
    </w:p>
    <w:p w14:paraId="301311FA">
      <w:pPr>
        <w:kinsoku w:val="0"/>
        <w:overflowPunct w:val="0"/>
        <w:spacing w:line="200" w:lineRule="exact"/>
        <w:rPr>
          <w:rFonts w:ascii="宋体" w:hAnsi="宋体"/>
          <w:sz w:val="20"/>
          <w:szCs w:val="20"/>
          <w:highlight w:val="none"/>
        </w:rPr>
      </w:pPr>
    </w:p>
    <w:p w14:paraId="33E9F375">
      <w:pPr>
        <w:kinsoku w:val="0"/>
        <w:overflowPunct w:val="0"/>
        <w:spacing w:line="200" w:lineRule="exact"/>
        <w:rPr>
          <w:rFonts w:ascii="宋体" w:hAnsi="宋体"/>
          <w:sz w:val="20"/>
          <w:szCs w:val="20"/>
          <w:highlight w:val="none"/>
        </w:rPr>
      </w:pPr>
    </w:p>
    <w:p w14:paraId="2F5442BD">
      <w:pPr>
        <w:kinsoku w:val="0"/>
        <w:overflowPunct w:val="0"/>
        <w:spacing w:line="200" w:lineRule="exact"/>
        <w:rPr>
          <w:rFonts w:ascii="宋体" w:hAnsi="宋体"/>
          <w:sz w:val="20"/>
          <w:szCs w:val="20"/>
          <w:highlight w:val="none"/>
        </w:rPr>
      </w:pPr>
    </w:p>
    <w:p w14:paraId="5D78738C">
      <w:pPr>
        <w:kinsoku w:val="0"/>
        <w:overflowPunct w:val="0"/>
        <w:spacing w:before="9" w:line="200" w:lineRule="exact"/>
        <w:rPr>
          <w:rFonts w:ascii="宋体" w:hAnsi="宋体"/>
          <w:sz w:val="20"/>
          <w:szCs w:val="20"/>
          <w:highlight w:val="none"/>
        </w:rPr>
      </w:pPr>
    </w:p>
    <w:p w14:paraId="50357D12">
      <w:pPr>
        <w:pStyle w:val="11"/>
        <w:kinsoku w:val="0"/>
        <w:overflowPunct w:val="0"/>
        <w:spacing w:line="291" w:lineRule="auto"/>
        <w:ind w:firstLine="419"/>
        <w:rPr>
          <w:highlight w:val="none"/>
          <w:lang w:eastAsia="zh-CN"/>
        </w:rPr>
      </w:pPr>
      <w:r>
        <w:rPr>
          <w:rFonts w:hint="eastAsia"/>
          <w:highlight w:val="none"/>
          <w:lang w:eastAsia="zh-CN"/>
        </w:rPr>
        <w:t>上述问题澄清、说</w:t>
      </w:r>
      <w:r>
        <w:rPr>
          <w:rFonts w:hint="eastAsia"/>
          <w:spacing w:val="-3"/>
          <w:highlight w:val="none"/>
          <w:lang w:eastAsia="zh-CN"/>
        </w:rPr>
        <w:t>明</w:t>
      </w:r>
      <w:r>
        <w:rPr>
          <w:rFonts w:hint="eastAsia"/>
          <w:highlight w:val="none"/>
          <w:lang w:eastAsia="zh-CN"/>
        </w:rPr>
        <w:t>或</w:t>
      </w:r>
      <w:r>
        <w:rPr>
          <w:rFonts w:hint="eastAsia"/>
          <w:spacing w:val="-3"/>
          <w:highlight w:val="none"/>
          <w:lang w:eastAsia="zh-CN"/>
        </w:rPr>
        <w:t>补</w:t>
      </w:r>
      <w:r>
        <w:rPr>
          <w:rFonts w:hint="eastAsia"/>
          <w:highlight w:val="none"/>
          <w:lang w:eastAsia="zh-CN"/>
        </w:rPr>
        <w:t>正，不改变我方投</w:t>
      </w:r>
      <w:r>
        <w:rPr>
          <w:rFonts w:hint="eastAsia"/>
          <w:spacing w:val="-3"/>
          <w:highlight w:val="none"/>
          <w:lang w:eastAsia="zh-CN"/>
        </w:rPr>
        <w:t>标</w:t>
      </w:r>
      <w:r>
        <w:rPr>
          <w:rFonts w:hint="eastAsia"/>
          <w:highlight w:val="none"/>
          <w:lang w:eastAsia="zh-CN"/>
        </w:rPr>
        <w:t>文</w:t>
      </w:r>
      <w:r>
        <w:rPr>
          <w:rFonts w:hint="eastAsia"/>
          <w:spacing w:val="-3"/>
          <w:highlight w:val="none"/>
          <w:lang w:eastAsia="zh-CN"/>
        </w:rPr>
        <w:t>件</w:t>
      </w:r>
      <w:r>
        <w:rPr>
          <w:rFonts w:hint="eastAsia"/>
          <w:highlight w:val="none"/>
          <w:lang w:eastAsia="zh-CN"/>
        </w:rPr>
        <w:t>的实质性内容，构</w:t>
      </w:r>
      <w:r>
        <w:rPr>
          <w:rFonts w:hint="eastAsia"/>
          <w:spacing w:val="-3"/>
          <w:highlight w:val="none"/>
          <w:lang w:eastAsia="zh-CN"/>
        </w:rPr>
        <w:t>成</w:t>
      </w:r>
      <w:r>
        <w:rPr>
          <w:rFonts w:hint="eastAsia"/>
          <w:highlight w:val="none"/>
          <w:lang w:eastAsia="zh-CN"/>
        </w:rPr>
        <w:t>我</w:t>
      </w:r>
      <w:r>
        <w:rPr>
          <w:rFonts w:hint="eastAsia"/>
          <w:spacing w:val="-3"/>
          <w:highlight w:val="none"/>
          <w:lang w:eastAsia="zh-CN"/>
        </w:rPr>
        <w:t>方</w:t>
      </w:r>
      <w:r>
        <w:rPr>
          <w:rFonts w:hint="eastAsia"/>
          <w:highlight w:val="none"/>
          <w:lang w:eastAsia="zh-CN"/>
        </w:rPr>
        <w:t>投标文件的组成部</w:t>
      </w:r>
      <w:r>
        <w:rPr>
          <w:rFonts w:hint="eastAsia"/>
          <w:spacing w:val="-3"/>
          <w:highlight w:val="none"/>
          <w:lang w:eastAsia="zh-CN"/>
        </w:rPr>
        <w:t>分</w:t>
      </w:r>
      <w:r>
        <w:rPr>
          <w:rFonts w:hint="eastAsia"/>
          <w:highlight w:val="none"/>
          <w:lang w:eastAsia="zh-CN"/>
        </w:rPr>
        <w:t>。</w:t>
      </w:r>
    </w:p>
    <w:p w14:paraId="103EE342">
      <w:pPr>
        <w:kinsoku w:val="0"/>
        <w:overflowPunct w:val="0"/>
        <w:spacing w:before="7" w:line="150" w:lineRule="exact"/>
        <w:rPr>
          <w:rFonts w:ascii="宋体" w:hAnsi="宋体"/>
          <w:sz w:val="15"/>
          <w:szCs w:val="15"/>
          <w:highlight w:val="none"/>
        </w:rPr>
      </w:pPr>
    </w:p>
    <w:p w14:paraId="19E33BDB">
      <w:pPr>
        <w:kinsoku w:val="0"/>
        <w:overflowPunct w:val="0"/>
        <w:spacing w:line="200" w:lineRule="exact"/>
        <w:rPr>
          <w:rFonts w:ascii="宋体" w:hAnsi="宋体"/>
          <w:sz w:val="20"/>
          <w:szCs w:val="20"/>
          <w:highlight w:val="none"/>
        </w:rPr>
      </w:pPr>
    </w:p>
    <w:p w14:paraId="7195D0F8">
      <w:pPr>
        <w:kinsoku w:val="0"/>
        <w:overflowPunct w:val="0"/>
        <w:spacing w:line="200" w:lineRule="exact"/>
        <w:rPr>
          <w:rFonts w:ascii="宋体" w:hAnsi="宋体"/>
          <w:sz w:val="20"/>
          <w:szCs w:val="20"/>
          <w:highlight w:val="none"/>
        </w:rPr>
      </w:pPr>
    </w:p>
    <w:p w14:paraId="4933F336">
      <w:pPr>
        <w:kinsoku w:val="0"/>
        <w:overflowPunct w:val="0"/>
        <w:spacing w:line="200" w:lineRule="exact"/>
        <w:rPr>
          <w:rFonts w:ascii="宋体" w:hAnsi="宋体"/>
          <w:sz w:val="20"/>
          <w:szCs w:val="20"/>
          <w:highlight w:val="none"/>
        </w:rPr>
      </w:pPr>
    </w:p>
    <w:p w14:paraId="22F9E696">
      <w:pPr>
        <w:pStyle w:val="11"/>
        <w:tabs>
          <w:tab w:val="left" w:pos="7382"/>
        </w:tabs>
        <w:kinsoku w:val="0"/>
        <w:overflowPunct w:val="0"/>
        <w:ind w:left="3043"/>
        <w:rPr>
          <w:highlight w:val="none"/>
          <w:lang w:eastAsia="zh-CN"/>
        </w:rPr>
      </w:pPr>
      <w:r>
        <w:rPr>
          <w:rFonts w:hint="eastAsia"/>
          <w:highlight w:val="none"/>
          <w:lang w:eastAsia="zh-CN"/>
        </w:rPr>
        <w:t>投</w:t>
      </w:r>
      <w:r>
        <w:rPr>
          <w:rFonts w:hint="eastAsia"/>
          <w:spacing w:val="-3"/>
          <w:highlight w:val="none"/>
          <w:lang w:eastAsia="zh-CN"/>
        </w:rPr>
        <w:t>标</w:t>
      </w:r>
      <w:r>
        <w:rPr>
          <w:rFonts w:hint="eastAsia"/>
          <w:highlight w:val="none"/>
          <w:lang w:eastAsia="zh-CN"/>
        </w:rPr>
        <w:t>人</w:t>
      </w:r>
      <w:r>
        <w:rPr>
          <w:rFonts w:hint="eastAsia"/>
          <w:spacing w:val="-1"/>
          <w:highlight w:val="none"/>
          <w:lang w:eastAsia="zh-CN"/>
        </w:rPr>
        <w:t>：</w:t>
      </w:r>
      <w:r>
        <w:rPr>
          <w:spacing w:val="-1"/>
          <w:highlight w:val="none"/>
          <w:u w:val="single"/>
          <w:lang w:eastAsia="zh-CN"/>
        </w:rPr>
        <w:tab/>
      </w:r>
      <w:r>
        <w:rPr>
          <w:rFonts w:hint="eastAsia"/>
          <w:highlight w:val="none"/>
          <w:lang w:eastAsia="zh-CN"/>
        </w:rPr>
        <w:t>（盖</w:t>
      </w:r>
      <w:r>
        <w:rPr>
          <w:rFonts w:hint="eastAsia"/>
          <w:spacing w:val="-3"/>
          <w:highlight w:val="none"/>
          <w:lang w:eastAsia="zh-CN"/>
        </w:rPr>
        <w:t>单</w:t>
      </w:r>
      <w:r>
        <w:rPr>
          <w:rFonts w:hint="eastAsia"/>
          <w:highlight w:val="none"/>
          <w:lang w:eastAsia="zh-CN"/>
        </w:rPr>
        <w:t>位</w:t>
      </w:r>
      <w:r>
        <w:rPr>
          <w:rFonts w:hint="eastAsia"/>
          <w:spacing w:val="-3"/>
          <w:highlight w:val="none"/>
          <w:lang w:eastAsia="zh-CN"/>
        </w:rPr>
        <w:t>章</w:t>
      </w:r>
      <w:r>
        <w:rPr>
          <w:rFonts w:hint="eastAsia"/>
          <w:highlight w:val="none"/>
          <w:lang w:eastAsia="zh-CN"/>
        </w:rPr>
        <w:t>）</w:t>
      </w:r>
    </w:p>
    <w:p w14:paraId="393E1323">
      <w:pPr>
        <w:kinsoku w:val="0"/>
        <w:overflowPunct w:val="0"/>
        <w:spacing w:before="10" w:line="200" w:lineRule="exact"/>
        <w:rPr>
          <w:rFonts w:ascii="宋体" w:hAnsi="宋体"/>
          <w:sz w:val="20"/>
          <w:szCs w:val="20"/>
          <w:highlight w:val="none"/>
        </w:rPr>
      </w:pPr>
    </w:p>
    <w:p w14:paraId="2932FA0B">
      <w:pPr>
        <w:pStyle w:val="11"/>
        <w:tabs>
          <w:tab w:val="left" w:pos="6612"/>
        </w:tabs>
        <w:kinsoku w:val="0"/>
        <w:overflowPunct w:val="0"/>
        <w:spacing w:line="335" w:lineRule="exact"/>
        <w:ind w:left="3041"/>
        <w:rPr>
          <w:highlight w:val="none"/>
          <w:lang w:eastAsia="zh-CN"/>
        </w:rPr>
      </w:pPr>
      <w:r>
        <w:rPr>
          <w:rFonts w:hint="eastAsia"/>
          <w:highlight w:val="none"/>
          <w:lang w:eastAsia="zh-CN"/>
        </w:rPr>
        <w:t>法</w:t>
      </w:r>
      <w:r>
        <w:rPr>
          <w:rFonts w:hint="eastAsia"/>
          <w:spacing w:val="-3"/>
          <w:highlight w:val="none"/>
          <w:lang w:eastAsia="zh-CN"/>
        </w:rPr>
        <w:t>定</w:t>
      </w:r>
      <w:r>
        <w:rPr>
          <w:rFonts w:hint="eastAsia"/>
          <w:highlight w:val="none"/>
          <w:lang w:eastAsia="zh-CN"/>
        </w:rPr>
        <w:t>代</w:t>
      </w:r>
      <w:r>
        <w:rPr>
          <w:rFonts w:hint="eastAsia"/>
          <w:spacing w:val="-3"/>
          <w:highlight w:val="none"/>
          <w:lang w:eastAsia="zh-CN"/>
        </w:rPr>
        <w:t>表</w:t>
      </w:r>
      <w:r>
        <w:rPr>
          <w:rFonts w:hint="eastAsia"/>
          <w:highlight w:val="none"/>
          <w:lang w:eastAsia="zh-CN"/>
        </w:rPr>
        <w:t>人</w:t>
      </w:r>
      <w:r>
        <w:rPr>
          <w:rFonts w:hint="eastAsia"/>
          <w:spacing w:val="-3"/>
          <w:highlight w:val="none"/>
          <w:lang w:eastAsia="zh-CN"/>
        </w:rPr>
        <w:t>或</w:t>
      </w:r>
      <w:r>
        <w:rPr>
          <w:rFonts w:hint="eastAsia"/>
          <w:highlight w:val="none"/>
          <w:lang w:eastAsia="zh-CN"/>
        </w:rPr>
        <w:t>其</w:t>
      </w:r>
      <w:r>
        <w:rPr>
          <w:rFonts w:hint="eastAsia"/>
          <w:spacing w:val="-3"/>
          <w:highlight w:val="none"/>
          <w:lang w:eastAsia="zh-CN"/>
        </w:rPr>
        <w:t>委</w:t>
      </w:r>
      <w:r>
        <w:rPr>
          <w:rFonts w:hint="eastAsia"/>
          <w:highlight w:val="none"/>
          <w:lang w:eastAsia="zh-CN"/>
        </w:rPr>
        <w:t>托</w:t>
      </w:r>
      <w:r>
        <w:rPr>
          <w:rFonts w:hint="eastAsia"/>
          <w:spacing w:val="-3"/>
          <w:highlight w:val="none"/>
          <w:lang w:eastAsia="zh-CN"/>
        </w:rPr>
        <w:t>代理</w:t>
      </w:r>
      <w:r>
        <w:rPr>
          <w:rFonts w:hint="eastAsia"/>
          <w:highlight w:val="none"/>
          <w:lang w:eastAsia="zh-CN"/>
        </w:rPr>
        <w:t>人</w:t>
      </w:r>
      <w:r>
        <w:rPr>
          <w:rFonts w:hint="eastAsia"/>
          <w:spacing w:val="-1"/>
          <w:highlight w:val="none"/>
          <w:lang w:eastAsia="zh-CN"/>
        </w:rPr>
        <w:t>：</w:t>
      </w:r>
      <w:r>
        <w:rPr>
          <w:spacing w:val="-1"/>
          <w:highlight w:val="none"/>
          <w:u w:val="single"/>
          <w:lang w:eastAsia="zh-CN"/>
        </w:rPr>
        <w:tab/>
      </w:r>
      <w:r>
        <w:rPr>
          <w:rFonts w:hint="eastAsia"/>
          <w:spacing w:val="-3"/>
          <w:highlight w:val="none"/>
          <w:lang w:eastAsia="zh-CN"/>
        </w:rPr>
        <w:t>（</w:t>
      </w:r>
      <w:r>
        <w:rPr>
          <w:rFonts w:hint="eastAsia"/>
          <w:highlight w:val="none"/>
          <w:lang w:eastAsia="zh-CN"/>
        </w:rPr>
        <w:t>签</w:t>
      </w:r>
      <w:r>
        <w:rPr>
          <w:rFonts w:hint="eastAsia"/>
          <w:spacing w:val="-3"/>
          <w:highlight w:val="none"/>
          <w:lang w:eastAsia="zh-CN"/>
        </w:rPr>
        <w:t>字</w:t>
      </w:r>
      <w:r>
        <w:rPr>
          <w:rFonts w:hint="eastAsia"/>
          <w:highlight w:val="none"/>
          <w:lang w:eastAsia="zh-CN"/>
        </w:rPr>
        <w:t>）</w:t>
      </w:r>
    </w:p>
    <w:p w14:paraId="44F2167E">
      <w:pPr>
        <w:kinsoku w:val="0"/>
        <w:overflowPunct w:val="0"/>
        <w:spacing w:before="1" w:line="190" w:lineRule="exact"/>
        <w:rPr>
          <w:rFonts w:ascii="宋体" w:hAnsi="宋体"/>
          <w:sz w:val="19"/>
          <w:szCs w:val="19"/>
          <w:highlight w:val="none"/>
        </w:rPr>
      </w:pPr>
    </w:p>
    <w:p w14:paraId="65A87A0E">
      <w:pPr>
        <w:kinsoku w:val="0"/>
        <w:overflowPunct w:val="0"/>
        <w:spacing w:line="200" w:lineRule="exact"/>
        <w:rPr>
          <w:rFonts w:ascii="宋体" w:hAnsi="宋体"/>
          <w:sz w:val="20"/>
          <w:szCs w:val="20"/>
          <w:highlight w:val="none"/>
        </w:rPr>
      </w:pPr>
    </w:p>
    <w:p w14:paraId="271BE147">
      <w:pPr>
        <w:kinsoku w:val="0"/>
        <w:overflowPunct w:val="0"/>
        <w:spacing w:line="200" w:lineRule="exact"/>
        <w:rPr>
          <w:rFonts w:ascii="宋体" w:hAnsi="宋体"/>
          <w:sz w:val="20"/>
          <w:szCs w:val="20"/>
          <w:highlight w:val="none"/>
        </w:rPr>
      </w:pPr>
    </w:p>
    <w:p w14:paraId="4A59C144">
      <w:pPr>
        <w:kinsoku w:val="0"/>
        <w:overflowPunct w:val="0"/>
        <w:spacing w:line="200" w:lineRule="exact"/>
        <w:rPr>
          <w:rFonts w:ascii="宋体" w:hAnsi="宋体"/>
          <w:sz w:val="20"/>
          <w:szCs w:val="20"/>
          <w:highlight w:val="none"/>
        </w:rPr>
      </w:pPr>
    </w:p>
    <w:p w14:paraId="30AD9115">
      <w:pPr>
        <w:pStyle w:val="11"/>
        <w:tabs>
          <w:tab w:val="left" w:pos="6434"/>
          <w:tab w:val="left" w:pos="7483"/>
          <w:tab w:val="left" w:pos="8533"/>
        </w:tabs>
        <w:kinsoku w:val="0"/>
        <w:overflowPunct w:val="0"/>
        <w:spacing w:line="335" w:lineRule="exact"/>
        <w:ind w:left="5595"/>
        <w:rPr>
          <w:highlight w:val="none"/>
          <w:lang w:eastAsia="zh-CN"/>
        </w:rPr>
      </w:pPr>
      <w:r>
        <w:rPr>
          <w:w w:val="201"/>
          <w:highlight w:val="none"/>
          <w:u w:val="single"/>
          <w:lang w:eastAsia="zh-CN"/>
        </w:rPr>
        <w:t xml:space="preserve"> </w:t>
      </w:r>
      <w:r>
        <w:rPr>
          <w:highlight w:val="none"/>
          <w:u w:val="single"/>
          <w:lang w:eastAsia="zh-CN"/>
        </w:rPr>
        <w:tab/>
      </w:r>
      <w:r>
        <w:rPr>
          <w:rFonts w:hint="eastAsia"/>
          <w:spacing w:val="-3"/>
          <w:highlight w:val="none"/>
          <w:lang w:eastAsia="zh-CN"/>
        </w:rPr>
        <w:t>年</w:t>
      </w:r>
      <w:r>
        <w:rPr>
          <w:spacing w:val="-3"/>
          <w:highlight w:val="none"/>
          <w:u w:val="single"/>
          <w:lang w:eastAsia="zh-CN"/>
        </w:rPr>
        <w:tab/>
      </w:r>
      <w:r>
        <w:rPr>
          <w:rFonts w:hint="eastAsia"/>
          <w:highlight w:val="none"/>
          <w:lang w:eastAsia="zh-CN"/>
        </w:rPr>
        <w:t>月</w:t>
      </w:r>
      <w:r>
        <w:rPr>
          <w:highlight w:val="none"/>
          <w:u w:val="single"/>
          <w:lang w:eastAsia="zh-CN"/>
        </w:rPr>
        <w:tab/>
      </w:r>
      <w:r>
        <w:rPr>
          <w:rFonts w:hint="eastAsia"/>
          <w:highlight w:val="none"/>
          <w:lang w:eastAsia="zh-CN"/>
        </w:rPr>
        <w:t>日</w:t>
      </w:r>
    </w:p>
    <w:p w14:paraId="751AC403">
      <w:pPr>
        <w:pStyle w:val="5"/>
        <w:spacing w:line="363" w:lineRule="exact"/>
        <w:ind w:left="357"/>
        <w:rPr>
          <w:b/>
          <w:bCs/>
          <w:highlight w:val="none"/>
          <w:lang w:eastAsia="zh-CN"/>
        </w:rPr>
      </w:pPr>
      <w:r>
        <w:rPr>
          <w:sz w:val="24"/>
          <w:szCs w:val="24"/>
          <w:highlight w:val="none"/>
          <w:lang w:eastAsia="zh-CN"/>
        </w:rPr>
        <w:br w:type="page"/>
      </w:r>
      <w:r>
        <w:rPr>
          <w:b/>
          <w:bCs/>
          <w:highlight w:val="none"/>
          <w:lang w:eastAsia="zh-CN"/>
        </w:rPr>
        <w:t>附件四：中标通知书</w:t>
      </w:r>
    </w:p>
    <w:p w14:paraId="1E6D5C24">
      <w:pPr>
        <w:rPr>
          <w:rFonts w:ascii="宋体" w:hAnsi="宋体" w:eastAsia="宋体" w:cs="宋体"/>
          <w:sz w:val="20"/>
          <w:szCs w:val="20"/>
          <w:highlight w:val="none"/>
          <w:lang w:eastAsia="zh-CN"/>
        </w:rPr>
      </w:pPr>
    </w:p>
    <w:p w14:paraId="3425AE55">
      <w:pPr>
        <w:rPr>
          <w:rFonts w:ascii="宋体" w:hAnsi="宋体" w:eastAsia="宋体" w:cs="宋体"/>
          <w:sz w:val="20"/>
          <w:szCs w:val="20"/>
          <w:highlight w:val="none"/>
          <w:lang w:eastAsia="zh-CN"/>
        </w:rPr>
      </w:pPr>
    </w:p>
    <w:p w14:paraId="13DE5C61">
      <w:pPr>
        <w:rPr>
          <w:rFonts w:ascii="宋体" w:hAnsi="宋体" w:eastAsia="宋体" w:cs="宋体"/>
          <w:sz w:val="20"/>
          <w:szCs w:val="20"/>
          <w:highlight w:val="none"/>
          <w:lang w:eastAsia="zh-CN"/>
        </w:rPr>
      </w:pPr>
    </w:p>
    <w:p w14:paraId="5F52860B">
      <w:pPr>
        <w:pStyle w:val="11"/>
        <w:tabs>
          <w:tab w:val="left" w:pos="5671"/>
          <w:tab w:val="left" w:pos="6617"/>
          <w:tab w:val="left" w:pos="7560"/>
        </w:tabs>
        <w:ind w:left="0"/>
        <w:jc w:val="center"/>
        <w:rPr>
          <w:sz w:val="24"/>
          <w:szCs w:val="24"/>
          <w:highlight w:val="none"/>
          <w:lang w:eastAsia="zh-CN"/>
        </w:rPr>
      </w:pPr>
      <w:r>
        <w:rPr>
          <w:rFonts w:hint="eastAsia"/>
          <w:sz w:val="24"/>
          <w:szCs w:val="24"/>
          <w:highlight w:val="none"/>
          <w:lang w:eastAsia="zh-CN"/>
        </w:rPr>
        <w:t>（按广州交易集团有限公司（广州公共资源交易中心）格式）</w:t>
      </w:r>
    </w:p>
    <w:p w14:paraId="7A54A6AD">
      <w:pPr>
        <w:pStyle w:val="5"/>
        <w:spacing w:line="363" w:lineRule="exact"/>
        <w:ind w:left="357"/>
        <w:rPr>
          <w:b/>
          <w:bCs/>
          <w:highlight w:val="none"/>
          <w:lang w:eastAsia="zh-CN"/>
        </w:rPr>
      </w:pPr>
      <w:r>
        <w:rPr>
          <w:sz w:val="24"/>
          <w:szCs w:val="24"/>
          <w:highlight w:val="none"/>
          <w:lang w:eastAsia="zh-CN"/>
        </w:rPr>
        <w:br w:type="page"/>
      </w:r>
      <w:r>
        <w:rPr>
          <w:b/>
          <w:bCs/>
          <w:highlight w:val="none"/>
          <w:lang w:eastAsia="zh-CN"/>
        </w:rPr>
        <w:t>附件五：中标结果通知书</w:t>
      </w:r>
    </w:p>
    <w:p w14:paraId="2FFF07BD">
      <w:pPr>
        <w:rPr>
          <w:rFonts w:ascii="宋体" w:hAnsi="宋体" w:eastAsia="宋体" w:cs="宋体"/>
          <w:sz w:val="20"/>
          <w:szCs w:val="20"/>
          <w:highlight w:val="none"/>
          <w:lang w:eastAsia="zh-CN"/>
        </w:rPr>
      </w:pPr>
    </w:p>
    <w:p w14:paraId="22F1840A">
      <w:pPr>
        <w:rPr>
          <w:rFonts w:ascii="宋体" w:hAnsi="宋体" w:eastAsia="宋体" w:cs="宋体"/>
          <w:sz w:val="20"/>
          <w:szCs w:val="20"/>
          <w:highlight w:val="none"/>
          <w:lang w:eastAsia="zh-CN"/>
        </w:rPr>
      </w:pPr>
    </w:p>
    <w:p w14:paraId="6E02CF49">
      <w:pPr>
        <w:rPr>
          <w:rFonts w:ascii="宋体" w:hAnsi="宋体" w:eastAsia="宋体" w:cs="宋体"/>
          <w:sz w:val="20"/>
          <w:szCs w:val="20"/>
          <w:highlight w:val="none"/>
          <w:lang w:eastAsia="zh-CN"/>
        </w:rPr>
      </w:pPr>
    </w:p>
    <w:p w14:paraId="288655C9">
      <w:pPr>
        <w:spacing w:before="168"/>
        <w:ind w:right="16"/>
        <w:jc w:val="center"/>
        <w:rPr>
          <w:rFonts w:ascii="宋体" w:hAnsi="宋体" w:eastAsia="宋体" w:cs="宋体"/>
          <w:b/>
          <w:bCs/>
          <w:sz w:val="28"/>
          <w:szCs w:val="28"/>
          <w:highlight w:val="none"/>
          <w:lang w:eastAsia="zh-CN"/>
        </w:rPr>
      </w:pPr>
      <w:r>
        <w:rPr>
          <w:rFonts w:ascii="宋体" w:hAnsi="宋体" w:eastAsia="宋体" w:cs="宋体"/>
          <w:b/>
          <w:bCs/>
          <w:sz w:val="28"/>
          <w:szCs w:val="28"/>
          <w:highlight w:val="none"/>
          <w:lang w:eastAsia="zh-CN"/>
        </w:rPr>
        <w:t>中标结果通知书</w:t>
      </w:r>
    </w:p>
    <w:p w14:paraId="5B7A5569">
      <w:pPr>
        <w:pStyle w:val="11"/>
        <w:tabs>
          <w:tab w:val="left" w:pos="5671"/>
          <w:tab w:val="left" w:pos="6617"/>
          <w:tab w:val="left" w:pos="7560"/>
        </w:tabs>
        <w:ind w:left="0"/>
        <w:jc w:val="center"/>
        <w:rPr>
          <w:rFonts w:hint="eastAsia"/>
          <w:sz w:val="24"/>
          <w:szCs w:val="24"/>
          <w:highlight w:val="none"/>
          <w:lang w:eastAsia="zh-CN"/>
        </w:rPr>
      </w:pPr>
    </w:p>
    <w:p w14:paraId="49732DB0">
      <w:pPr>
        <w:pStyle w:val="11"/>
        <w:tabs>
          <w:tab w:val="left" w:pos="5671"/>
          <w:tab w:val="left" w:pos="6617"/>
          <w:tab w:val="left" w:pos="7560"/>
        </w:tabs>
        <w:ind w:left="0"/>
        <w:jc w:val="center"/>
        <w:rPr>
          <w:sz w:val="24"/>
          <w:szCs w:val="24"/>
          <w:highlight w:val="none"/>
          <w:lang w:eastAsia="zh-CN"/>
        </w:rPr>
      </w:pPr>
      <w:r>
        <w:rPr>
          <w:rFonts w:hint="eastAsia"/>
          <w:sz w:val="24"/>
          <w:szCs w:val="24"/>
          <w:highlight w:val="none"/>
          <w:lang w:eastAsia="zh-CN"/>
        </w:rPr>
        <w:t>（按广州交易集团有限公司（广州公共资源交易中心）格式）</w:t>
      </w:r>
    </w:p>
    <w:p w14:paraId="64612635">
      <w:pPr>
        <w:pStyle w:val="5"/>
        <w:spacing w:line="363" w:lineRule="exact"/>
        <w:ind w:left="357"/>
        <w:rPr>
          <w:b/>
          <w:bCs/>
          <w:highlight w:val="none"/>
          <w:lang w:eastAsia="zh-CN"/>
        </w:rPr>
      </w:pPr>
      <w:r>
        <w:rPr>
          <w:sz w:val="24"/>
          <w:szCs w:val="24"/>
          <w:highlight w:val="none"/>
          <w:lang w:eastAsia="zh-CN"/>
        </w:rPr>
        <w:br w:type="page"/>
      </w:r>
      <w:r>
        <w:rPr>
          <w:b/>
          <w:bCs/>
          <w:highlight w:val="none"/>
          <w:lang w:eastAsia="zh-CN"/>
        </w:rPr>
        <w:t>附件六：确认通知</w:t>
      </w:r>
    </w:p>
    <w:p w14:paraId="3668090D">
      <w:pPr>
        <w:rPr>
          <w:rFonts w:ascii="宋体" w:hAnsi="宋体" w:eastAsia="宋体" w:cs="宋体"/>
          <w:sz w:val="20"/>
          <w:szCs w:val="20"/>
          <w:highlight w:val="none"/>
          <w:lang w:eastAsia="zh-CN"/>
        </w:rPr>
      </w:pPr>
    </w:p>
    <w:p w14:paraId="578BCF18">
      <w:pPr>
        <w:rPr>
          <w:rFonts w:ascii="宋体" w:hAnsi="宋体" w:eastAsia="宋体" w:cs="宋体"/>
          <w:sz w:val="20"/>
          <w:szCs w:val="20"/>
          <w:highlight w:val="none"/>
          <w:lang w:eastAsia="zh-CN"/>
        </w:rPr>
      </w:pPr>
    </w:p>
    <w:p w14:paraId="57FD8006">
      <w:pPr>
        <w:rPr>
          <w:rFonts w:ascii="宋体" w:hAnsi="宋体" w:eastAsia="宋体" w:cs="宋体"/>
          <w:sz w:val="20"/>
          <w:szCs w:val="20"/>
          <w:highlight w:val="none"/>
          <w:lang w:eastAsia="zh-CN"/>
        </w:rPr>
      </w:pPr>
    </w:p>
    <w:p w14:paraId="2E6D3D9A">
      <w:pPr>
        <w:spacing w:before="168"/>
        <w:ind w:right="17"/>
        <w:jc w:val="center"/>
        <w:rPr>
          <w:rFonts w:ascii="宋体" w:hAnsi="宋体" w:eastAsia="宋体" w:cs="宋体"/>
          <w:sz w:val="28"/>
          <w:szCs w:val="28"/>
          <w:highlight w:val="none"/>
          <w:lang w:eastAsia="zh-CN"/>
        </w:rPr>
      </w:pPr>
      <w:r>
        <w:rPr>
          <w:rFonts w:ascii="宋体" w:hAnsi="宋体" w:eastAsia="宋体" w:cs="宋体"/>
          <w:b/>
          <w:bCs/>
          <w:sz w:val="28"/>
          <w:szCs w:val="28"/>
          <w:highlight w:val="none"/>
          <w:lang w:eastAsia="zh-CN"/>
        </w:rPr>
        <w:t>确认通知</w:t>
      </w:r>
    </w:p>
    <w:p w14:paraId="13734785">
      <w:pPr>
        <w:pStyle w:val="11"/>
        <w:tabs>
          <w:tab w:val="left" w:pos="5671"/>
          <w:tab w:val="left" w:pos="6617"/>
          <w:tab w:val="left" w:pos="7560"/>
        </w:tabs>
        <w:ind w:left="0"/>
        <w:jc w:val="center"/>
        <w:rPr>
          <w:rFonts w:hint="eastAsia"/>
          <w:sz w:val="24"/>
          <w:szCs w:val="24"/>
          <w:highlight w:val="none"/>
          <w:lang w:eastAsia="zh-CN"/>
        </w:rPr>
      </w:pPr>
    </w:p>
    <w:p w14:paraId="18067876">
      <w:pPr>
        <w:pStyle w:val="11"/>
        <w:tabs>
          <w:tab w:val="left" w:pos="5671"/>
          <w:tab w:val="left" w:pos="6617"/>
          <w:tab w:val="left" w:pos="7560"/>
        </w:tabs>
        <w:ind w:left="0"/>
        <w:jc w:val="center"/>
        <w:rPr>
          <w:sz w:val="24"/>
          <w:szCs w:val="24"/>
          <w:highlight w:val="none"/>
          <w:lang w:eastAsia="zh-CN"/>
        </w:rPr>
      </w:pPr>
      <w:r>
        <w:rPr>
          <w:rFonts w:hint="eastAsia"/>
          <w:sz w:val="24"/>
          <w:szCs w:val="24"/>
          <w:highlight w:val="none"/>
          <w:lang w:eastAsia="zh-CN"/>
        </w:rPr>
        <w:t>（按广州交易集团有限公司（广州公共资源交易中心）格式）</w:t>
      </w:r>
    </w:p>
    <w:p w14:paraId="69E276FE">
      <w:pPr>
        <w:pStyle w:val="3"/>
        <w:jc w:val="both"/>
        <w:rPr>
          <w:rFonts w:ascii="宋体" w:hAnsi="宋体" w:eastAsia="宋体"/>
          <w:sz w:val="24"/>
          <w:szCs w:val="24"/>
          <w:highlight w:val="none"/>
          <w:lang w:eastAsia="zh-CN"/>
        </w:rPr>
      </w:pPr>
    </w:p>
    <w:p w14:paraId="531E89D5">
      <w:pPr>
        <w:jc w:val="both"/>
        <w:rPr>
          <w:rFonts w:ascii="宋体" w:hAnsi="宋体" w:eastAsia="宋体"/>
          <w:b/>
          <w:bCs/>
          <w:sz w:val="28"/>
          <w:szCs w:val="28"/>
          <w:highlight w:val="none"/>
          <w:lang w:eastAsia="zh-CN"/>
        </w:rPr>
      </w:pPr>
      <w:r>
        <w:rPr>
          <w:rFonts w:ascii="宋体" w:hAnsi="宋体" w:eastAsia="宋体"/>
          <w:b/>
          <w:bCs/>
          <w:sz w:val="28"/>
          <w:szCs w:val="28"/>
          <w:highlight w:val="none"/>
          <w:lang w:eastAsia="zh-CN"/>
        </w:rPr>
        <w:br w:type="page"/>
      </w:r>
    </w:p>
    <w:p w14:paraId="166E35BB">
      <w:pPr>
        <w:pStyle w:val="3"/>
        <w:jc w:val="both"/>
        <w:rPr>
          <w:rFonts w:ascii="宋体" w:hAnsi="宋体" w:eastAsia="宋体"/>
          <w:sz w:val="28"/>
          <w:szCs w:val="28"/>
          <w:highlight w:val="none"/>
          <w:lang w:eastAsia="zh-CN"/>
        </w:rPr>
      </w:pPr>
      <w:r>
        <w:rPr>
          <w:rFonts w:ascii="宋体" w:hAnsi="宋体" w:eastAsia="宋体"/>
          <w:b/>
          <w:bCs/>
          <w:sz w:val="28"/>
          <w:szCs w:val="28"/>
          <w:highlight w:val="none"/>
          <w:lang w:eastAsia="zh-CN"/>
        </w:rPr>
        <w:t>附件</w:t>
      </w:r>
      <w:r>
        <w:rPr>
          <w:rFonts w:hint="eastAsia" w:ascii="宋体" w:hAnsi="宋体" w:eastAsia="宋体"/>
          <w:b/>
          <w:bCs/>
          <w:sz w:val="28"/>
          <w:szCs w:val="28"/>
          <w:highlight w:val="none"/>
          <w:lang w:eastAsia="zh-CN"/>
        </w:rPr>
        <w:t>七</w:t>
      </w:r>
      <w:r>
        <w:rPr>
          <w:rFonts w:ascii="宋体" w:hAnsi="宋体" w:eastAsia="宋体"/>
          <w:b/>
          <w:bCs/>
          <w:sz w:val="28"/>
          <w:szCs w:val="28"/>
          <w:highlight w:val="none"/>
          <w:lang w:eastAsia="zh-CN"/>
        </w:rPr>
        <w:t>：</w:t>
      </w:r>
      <w:r>
        <w:rPr>
          <w:rFonts w:hint="eastAsia" w:ascii="宋体" w:hAnsi="宋体" w:eastAsia="宋体"/>
          <w:b/>
          <w:bCs/>
          <w:sz w:val="28"/>
          <w:szCs w:val="28"/>
          <w:highlight w:val="none"/>
          <w:lang w:eastAsia="zh-CN"/>
        </w:rPr>
        <w:t>评标委员会成员声明</w:t>
      </w:r>
    </w:p>
    <w:p w14:paraId="0FB68047">
      <w:pPr>
        <w:spacing w:line="360" w:lineRule="auto"/>
        <w:ind w:firstLine="480" w:firstLineChars="200"/>
        <w:jc w:val="center"/>
        <w:rPr>
          <w:rFonts w:hint="eastAsia" w:ascii="黑体" w:hAnsi="黑体" w:eastAsia="黑体"/>
          <w:sz w:val="24"/>
          <w:szCs w:val="24"/>
        </w:rPr>
      </w:pPr>
    </w:p>
    <w:p w14:paraId="02DB3591">
      <w:pPr>
        <w:spacing w:line="360" w:lineRule="auto"/>
        <w:ind w:firstLine="480" w:firstLineChars="200"/>
        <w:jc w:val="center"/>
        <w:rPr>
          <w:rFonts w:ascii="黑体" w:hAnsi="黑体" w:eastAsia="黑体"/>
          <w:sz w:val="24"/>
          <w:szCs w:val="24"/>
        </w:rPr>
      </w:pPr>
      <w:r>
        <w:rPr>
          <w:rFonts w:hint="eastAsia" w:ascii="黑体" w:hAnsi="黑体" w:eastAsia="黑体"/>
          <w:sz w:val="24"/>
          <w:szCs w:val="24"/>
        </w:rPr>
        <w:t>评标委员会成员声明</w:t>
      </w:r>
    </w:p>
    <w:p w14:paraId="28D4B3C5">
      <w:pPr>
        <w:spacing w:line="360" w:lineRule="auto"/>
        <w:rPr>
          <w:rFonts w:ascii="仿宋_GB2312" w:eastAsia="仿宋_GB2312"/>
          <w:sz w:val="24"/>
          <w:szCs w:val="24"/>
        </w:rPr>
      </w:pPr>
      <w:r>
        <w:rPr>
          <w:rFonts w:hint="eastAsia" w:ascii="仿宋_GB2312" w:eastAsia="仿宋_GB2312"/>
          <w:sz w:val="24"/>
          <w:szCs w:val="24"/>
          <w:u w:val="single"/>
        </w:rPr>
        <w:t xml:space="preserve">   本项目招标人  </w:t>
      </w:r>
      <w:r>
        <w:rPr>
          <w:rFonts w:hint="eastAsia" w:ascii="仿宋_GB2312" w:eastAsia="仿宋_GB2312"/>
          <w:sz w:val="24"/>
          <w:szCs w:val="24"/>
        </w:rPr>
        <w:t>：</w:t>
      </w:r>
    </w:p>
    <w:p w14:paraId="61A489FB">
      <w:pPr>
        <w:spacing w:line="360" w:lineRule="auto"/>
        <w:ind w:firstLine="480" w:firstLineChars="200"/>
        <w:rPr>
          <w:rFonts w:ascii="仿宋_GB2312" w:eastAsia="仿宋_GB2312"/>
          <w:sz w:val="24"/>
          <w:szCs w:val="24"/>
        </w:rPr>
      </w:pPr>
      <w:r>
        <w:rPr>
          <w:rFonts w:hint="eastAsia" w:ascii="仿宋_GB2312" w:eastAsia="仿宋_GB2312"/>
          <w:sz w:val="24"/>
          <w:szCs w:val="24"/>
        </w:rPr>
        <w:t>本人就参与</w:t>
      </w:r>
      <w:r>
        <w:rPr>
          <w:rFonts w:hint="eastAsia" w:ascii="仿宋_GB2312" w:eastAsia="仿宋_GB2312"/>
          <w:sz w:val="24"/>
          <w:szCs w:val="24"/>
          <w:u w:val="single"/>
        </w:rPr>
        <w:t xml:space="preserve">               </w:t>
      </w:r>
      <w:r>
        <w:rPr>
          <w:rFonts w:hint="eastAsia" w:ascii="仿宋_GB2312" w:eastAsia="仿宋_GB2312"/>
          <w:sz w:val="24"/>
          <w:szCs w:val="24"/>
        </w:rPr>
        <w:t>项目的评标工作，作出郑重声明：</w:t>
      </w:r>
    </w:p>
    <w:p w14:paraId="2E3E8282">
      <w:pPr>
        <w:spacing w:line="360" w:lineRule="auto"/>
        <w:ind w:firstLine="480" w:firstLineChars="200"/>
        <w:rPr>
          <w:rFonts w:ascii="仿宋_GB2312" w:eastAsia="仿宋_GB2312"/>
          <w:sz w:val="24"/>
          <w:szCs w:val="24"/>
        </w:rPr>
      </w:pPr>
      <w:r>
        <w:rPr>
          <w:rFonts w:hint="eastAsia" w:ascii="仿宋_GB2312" w:eastAsia="仿宋_GB2312"/>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5F44A6D5">
      <w:pPr>
        <w:spacing w:line="360" w:lineRule="auto"/>
        <w:ind w:firstLine="480" w:firstLineChars="200"/>
        <w:rPr>
          <w:rFonts w:ascii="仿宋_GB2312" w:eastAsia="仿宋_GB2312"/>
          <w:sz w:val="24"/>
          <w:szCs w:val="24"/>
        </w:rPr>
      </w:pPr>
      <w:r>
        <w:rPr>
          <w:rFonts w:hint="eastAsia" w:ascii="仿宋_GB2312" w:eastAsia="仿宋_GB2312"/>
          <w:sz w:val="24"/>
          <w:szCs w:val="24"/>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72E30986">
      <w:pPr>
        <w:spacing w:line="360" w:lineRule="auto"/>
        <w:ind w:firstLine="480" w:firstLineChars="200"/>
        <w:rPr>
          <w:rFonts w:ascii="仿宋_GB2312" w:eastAsia="仿宋_GB2312"/>
          <w:sz w:val="24"/>
          <w:szCs w:val="24"/>
        </w:rPr>
      </w:pPr>
      <w:r>
        <w:rPr>
          <w:rFonts w:hint="eastAsia" w:ascii="仿宋_GB2312" w:eastAsia="仿宋_GB2312"/>
          <w:sz w:val="24"/>
          <w:szCs w:val="24"/>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8FE1A12">
      <w:pPr>
        <w:spacing w:line="360" w:lineRule="auto"/>
        <w:ind w:firstLine="480" w:firstLineChars="200"/>
        <w:rPr>
          <w:rFonts w:ascii="仿宋_GB2312" w:eastAsia="仿宋_GB2312"/>
          <w:sz w:val="24"/>
          <w:szCs w:val="24"/>
        </w:rPr>
      </w:pPr>
      <w:r>
        <w:rPr>
          <w:rFonts w:hint="eastAsia" w:ascii="仿宋_GB2312" w:eastAsia="仿宋_GB2312"/>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754B3AFF">
      <w:pPr>
        <w:spacing w:line="360" w:lineRule="auto"/>
        <w:ind w:firstLine="480" w:firstLineChars="200"/>
        <w:rPr>
          <w:rFonts w:ascii="仿宋_GB2312" w:eastAsia="仿宋_GB2312"/>
          <w:sz w:val="24"/>
          <w:szCs w:val="24"/>
        </w:rPr>
      </w:pPr>
      <w:r>
        <w:rPr>
          <w:rFonts w:hint="eastAsia" w:ascii="仿宋_GB2312" w:eastAsia="仿宋_GB2312"/>
          <w:sz w:val="24"/>
          <w:szCs w:val="24"/>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0FC4A40C">
      <w:pPr>
        <w:spacing w:line="360" w:lineRule="auto"/>
        <w:ind w:firstLine="480" w:firstLineChars="200"/>
        <w:rPr>
          <w:rFonts w:ascii="仿宋_GB2312" w:eastAsia="仿宋_GB2312"/>
          <w:sz w:val="24"/>
          <w:szCs w:val="24"/>
        </w:rPr>
      </w:pPr>
      <w:r>
        <w:rPr>
          <w:rFonts w:hint="eastAsia" w:ascii="仿宋_GB2312" w:eastAsia="仿宋_GB2312"/>
          <w:sz w:val="24"/>
          <w:szCs w:val="24"/>
        </w:rPr>
        <w:t>如果本人违反上述声明内容，造成的后果由本人自行承担。</w:t>
      </w:r>
    </w:p>
    <w:p w14:paraId="62BAE61A">
      <w:pPr>
        <w:pStyle w:val="3"/>
        <w:jc w:val="both"/>
        <w:rPr>
          <w:rFonts w:ascii="宋体" w:hAnsi="宋体" w:eastAsia="宋体"/>
          <w:sz w:val="24"/>
          <w:szCs w:val="24"/>
          <w:highlight w:val="none"/>
          <w:lang w:eastAsia="zh-CN"/>
        </w:rPr>
      </w:pPr>
      <w:r>
        <w:rPr>
          <w:rFonts w:hint="eastAsia" w:ascii="仿宋_GB2312" w:eastAsia="仿宋_GB2312"/>
          <w:sz w:val="24"/>
          <w:szCs w:val="24"/>
        </w:rPr>
        <w:t xml:space="preserve">                             声明人：</w:t>
      </w:r>
      <w:r>
        <w:rPr>
          <w:rFonts w:hint="eastAsia" w:ascii="仿宋_GB2312" w:eastAsia="仿宋_GB2312"/>
          <w:sz w:val="24"/>
          <w:szCs w:val="24"/>
          <w:u w:val="single"/>
        </w:rPr>
        <w:t xml:space="preserve">（签名）  </w:t>
      </w:r>
      <w:r>
        <w:rPr>
          <w:rFonts w:ascii="宋体" w:hAnsi="宋体" w:eastAsia="宋体"/>
          <w:sz w:val="24"/>
          <w:szCs w:val="24"/>
          <w:highlight w:val="none"/>
          <w:lang w:eastAsia="zh-CN"/>
        </w:rPr>
        <w:br w:type="page"/>
      </w:r>
      <w:bookmarkStart w:id="40" w:name="_Toc25152742"/>
      <w:bookmarkStart w:id="41" w:name="_Toc25137992"/>
    </w:p>
    <w:p w14:paraId="460D90FD">
      <w:pPr>
        <w:pStyle w:val="3"/>
        <w:jc w:val="center"/>
        <w:rPr>
          <w:rFonts w:ascii="宋体" w:hAnsi="宋体" w:eastAsia="宋体"/>
          <w:highlight w:val="none"/>
          <w:lang w:eastAsia="zh-CN"/>
        </w:rPr>
      </w:pPr>
      <w:bookmarkStart w:id="42" w:name="_Toc8307"/>
      <w:r>
        <w:rPr>
          <w:rFonts w:ascii="宋体" w:hAnsi="宋体" w:eastAsia="宋体"/>
          <w:highlight w:val="none"/>
          <w:lang w:eastAsia="zh-CN"/>
        </w:rPr>
        <w:t>第三章</w:t>
      </w:r>
      <w:r>
        <w:rPr>
          <w:rFonts w:hint="eastAsia" w:ascii="宋体" w:hAnsi="宋体" w:eastAsia="宋体"/>
          <w:highlight w:val="none"/>
          <w:lang w:eastAsia="zh-CN"/>
        </w:rPr>
        <w:t xml:space="preserve">  </w:t>
      </w:r>
      <w:r>
        <w:rPr>
          <w:rFonts w:ascii="宋体" w:hAnsi="宋体" w:eastAsia="宋体"/>
          <w:highlight w:val="none"/>
          <w:lang w:eastAsia="zh-CN"/>
        </w:rPr>
        <w:t>评标办法（</w:t>
      </w:r>
      <w:r>
        <w:rPr>
          <w:rFonts w:hint="eastAsia" w:ascii="宋体" w:hAnsi="宋体" w:eastAsia="宋体"/>
          <w:highlight w:val="none"/>
          <w:lang w:eastAsia="zh-CN"/>
        </w:rPr>
        <w:t>“评定分离”定标办法</w:t>
      </w:r>
      <w:r>
        <w:rPr>
          <w:rFonts w:ascii="宋体" w:hAnsi="宋体" w:eastAsia="宋体"/>
          <w:highlight w:val="none"/>
          <w:lang w:eastAsia="zh-CN"/>
        </w:rPr>
        <w:t>）</w:t>
      </w:r>
      <w:bookmarkEnd w:id="40"/>
      <w:bookmarkEnd w:id="41"/>
      <w:bookmarkEnd w:id="42"/>
    </w:p>
    <w:p w14:paraId="0A486527">
      <w:pPr>
        <w:pStyle w:val="4"/>
        <w:ind w:left="120"/>
        <w:jc w:val="center"/>
        <w:rPr>
          <w:rFonts w:ascii="宋体" w:hAnsi="宋体" w:eastAsia="宋体"/>
          <w:b w:val="0"/>
          <w:bCs w:val="0"/>
          <w:sz w:val="32"/>
          <w:szCs w:val="32"/>
          <w:highlight w:val="none"/>
        </w:rPr>
      </w:pPr>
      <w:bookmarkStart w:id="43" w:name="_Toc25137993"/>
      <w:bookmarkStart w:id="44" w:name="_Toc25152743"/>
      <w:bookmarkStart w:id="45" w:name="_Toc21118"/>
    </w:p>
    <w:p w14:paraId="33EC91F9">
      <w:pPr>
        <w:pStyle w:val="4"/>
        <w:ind w:left="120"/>
        <w:jc w:val="center"/>
        <w:rPr>
          <w:rFonts w:hint="eastAsia" w:ascii="宋体" w:hAnsi="宋体" w:eastAsia="宋体"/>
          <w:highlight w:val="none"/>
          <w:lang w:eastAsia="zh-CN"/>
        </w:rPr>
      </w:pPr>
      <w:r>
        <w:rPr>
          <w:rFonts w:ascii="宋体" w:hAnsi="宋体" w:eastAsia="宋体"/>
          <w:highlight w:val="none"/>
        </w:rPr>
        <w:t>评标办法前附表</w:t>
      </w:r>
      <w:bookmarkEnd w:id="43"/>
      <w:bookmarkEnd w:id="44"/>
      <w:bookmarkEnd w:id="45"/>
    </w:p>
    <w:tbl>
      <w:tblPr>
        <w:tblStyle w:val="31"/>
        <w:tblW w:w="914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720"/>
        <w:gridCol w:w="1321"/>
        <w:gridCol w:w="1373"/>
        <w:gridCol w:w="5727"/>
      </w:tblGrid>
      <w:tr w14:paraId="66CE9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2041" w:type="dxa"/>
            <w:gridSpan w:val="2"/>
            <w:noWrap w:val="0"/>
            <w:vAlign w:val="center"/>
          </w:tcPr>
          <w:p w14:paraId="790563D9">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条款号</w:t>
            </w:r>
          </w:p>
        </w:tc>
        <w:tc>
          <w:tcPr>
            <w:tcW w:w="1373" w:type="dxa"/>
            <w:noWrap w:val="0"/>
            <w:vAlign w:val="center"/>
          </w:tcPr>
          <w:p w14:paraId="65841850">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评审因素</w:t>
            </w:r>
          </w:p>
        </w:tc>
        <w:tc>
          <w:tcPr>
            <w:tcW w:w="5727" w:type="dxa"/>
            <w:noWrap w:val="0"/>
            <w:vAlign w:val="center"/>
          </w:tcPr>
          <w:p w14:paraId="2FEDF353">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b/>
                <w:bCs/>
                <w:sz w:val="21"/>
                <w:szCs w:val="21"/>
                <w:highlight w:val="none"/>
              </w:rPr>
              <w:t>评审标准</w:t>
            </w:r>
          </w:p>
        </w:tc>
      </w:tr>
      <w:tr w14:paraId="1F2C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noWrap w:val="0"/>
            <w:vAlign w:val="center"/>
          </w:tcPr>
          <w:p w14:paraId="7555CD90">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981" w:type="dxa"/>
            <w:noWrap w:val="0"/>
            <w:vAlign w:val="center"/>
          </w:tcPr>
          <w:p w14:paraId="3555CB0F">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评标方法</w:t>
            </w:r>
          </w:p>
        </w:tc>
        <w:tc>
          <w:tcPr>
            <w:tcW w:w="1373" w:type="dxa"/>
            <w:noWrap w:val="0"/>
            <w:vAlign w:val="center"/>
          </w:tcPr>
          <w:p w14:paraId="7BDB855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中标候选人排序方法</w:t>
            </w:r>
          </w:p>
        </w:tc>
        <w:tc>
          <w:tcPr>
            <w:tcW w:w="5727" w:type="dxa"/>
            <w:noWrap w:val="0"/>
            <w:vAlign w:val="center"/>
          </w:tcPr>
          <w:p w14:paraId="648D266C">
            <w:pPr>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（1）本项目采用“评定分离”定标办法，其中：评标采用“通过制”评标办法：</w:t>
            </w:r>
          </w:p>
          <w:p w14:paraId="0C171A36">
            <w:pPr>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评标委员会对投标文件进行初步评审（形式评审、资格审查、响应性评审），若通过初步评审的合格投标人大于等于3名的，则通过评审的全部合格投标人推荐为合格的中标候选人，合格的中标候选人可按其统一社会信用代码后4位（除校验码外）从小到大排位，不排序。若通过形式评审或资格评审或响应性评审的投标人不足3名，则本项目招标失败，招标人分析招标失败原因，修正招标方案，重新组织招标。</w:t>
            </w:r>
          </w:p>
          <w:p w14:paraId="373FEFEC">
            <w:pPr>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（2）定标采用直接票决定标法（记名投票+撰写评语）的方式确定中标人：</w:t>
            </w:r>
          </w:p>
          <w:p w14:paraId="54B02803">
            <w:pPr>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定标委员会根据定标因素及定标辅助资料进行记名投票+撰写评语，确定中标人，定标因素详见附表1《定标因素》。投票规则：定标委员会根据定标因素对各投标人进行综合比较后，进行一次性票决并排序（记名投票+撰写评语），每位定标委员会成员只有1票表决权（即只能对其中一家投标人投票），得票数最多的投标人将被确认为中标人，若出现票数相同且无法决出排名时，则每位定标委员会成员对“票数相同且最多”的投标人就方案因素再进行一次性票决，若再次出现票数相同且无法决出排名的情况，本次定标会无效，招标人重新招标。</w:t>
            </w:r>
          </w:p>
        </w:tc>
      </w:tr>
      <w:tr w14:paraId="27728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restart"/>
            <w:noWrap w:val="0"/>
            <w:vAlign w:val="center"/>
          </w:tcPr>
          <w:p w14:paraId="4054469A">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2.1.1</w:t>
            </w:r>
          </w:p>
        </w:tc>
        <w:tc>
          <w:tcPr>
            <w:tcW w:w="981" w:type="dxa"/>
            <w:vMerge w:val="restart"/>
            <w:noWrap w:val="0"/>
            <w:vAlign w:val="center"/>
          </w:tcPr>
          <w:p w14:paraId="413DFC66">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形式评审标准</w:t>
            </w:r>
          </w:p>
        </w:tc>
        <w:tc>
          <w:tcPr>
            <w:tcW w:w="1373" w:type="dxa"/>
            <w:noWrap w:val="0"/>
            <w:vAlign w:val="center"/>
          </w:tcPr>
          <w:p w14:paraId="424F37E0">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投标人名称</w:t>
            </w:r>
          </w:p>
        </w:tc>
        <w:tc>
          <w:tcPr>
            <w:tcW w:w="5727" w:type="dxa"/>
            <w:noWrap w:val="0"/>
            <w:vAlign w:val="center"/>
          </w:tcPr>
          <w:p w14:paraId="0984A987">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与营业执照、资质证书一致</w:t>
            </w:r>
          </w:p>
        </w:tc>
      </w:tr>
      <w:tr w14:paraId="6A7B9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1974489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3D2A0A5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021D2ABC">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lang w:eastAsia="zh-CN"/>
              </w:rPr>
            </w:pPr>
            <w:r>
              <w:rPr>
                <w:rFonts w:hint="eastAsia" w:ascii="宋体" w:hAnsi="宋体" w:eastAsia="宋体" w:cs="宋体"/>
                <w:spacing w:val="-2"/>
                <w:sz w:val="21"/>
                <w:szCs w:val="21"/>
                <w:highlight w:val="none"/>
                <w:lang w:eastAsia="zh-CN"/>
              </w:rPr>
              <w:t>投标函及投标函附录签</w:t>
            </w:r>
            <w:r>
              <w:rPr>
                <w:rFonts w:hint="eastAsia" w:ascii="宋体" w:hAnsi="宋体" w:eastAsia="宋体" w:cs="宋体"/>
                <w:sz w:val="21"/>
                <w:szCs w:val="21"/>
                <w:highlight w:val="none"/>
                <w:lang w:eastAsia="zh-CN"/>
              </w:rPr>
              <w:t>字盖章</w:t>
            </w:r>
          </w:p>
        </w:tc>
        <w:tc>
          <w:tcPr>
            <w:tcW w:w="5727" w:type="dxa"/>
            <w:noWrap w:val="0"/>
            <w:vAlign w:val="center"/>
          </w:tcPr>
          <w:p w14:paraId="5350688B">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有法定代表人或其委托代理人签字或签章</w:t>
            </w:r>
            <w:r>
              <w:rPr>
                <w:rFonts w:hint="eastAsia" w:ascii="宋体" w:hAnsi="宋体" w:eastAsia="宋体" w:cs="宋体"/>
                <w:sz w:val="21"/>
                <w:szCs w:val="21"/>
                <w:highlight w:val="none"/>
                <w:lang w:val="en-US" w:eastAsia="zh-CN"/>
              </w:rPr>
              <w:t>并</w:t>
            </w:r>
            <w:r>
              <w:rPr>
                <w:rFonts w:hint="eastAsia" w:ascii="宋体" w:hAnsi="宋体" w:eastAsia="宋体" w:cs="宋体"/>
                <w:sz w:val="21"/>
                <w:szCs w:val="21"/>
                <w:highlight w:val="none"/>
              </w:rPr>
              <w:t>加盖单位公章</w:t>
            </w:r>
            <w:r>
              <w:rPr>
                <w:rFonts w:hint="eastAsia" w:ascii="宋体" w:hAnsi="宋体" w:eastAsia="宋体" w:cs="宋体"/>
                <w:sz w:val="21"/>
                <w:szCs w:val="21"/>
                <w:highlight w:val="none"/>
                <w:lang w:eastAsia="zh-CN"/>
              </w:rPr>
              <w:t>。由法定代表人签字或盖章的，应附法定代表人身份证明，由被授权人签字或盖章的，应附授权委托书。</w:t>
            </w:r>
          </w:p>
        </w:tc>
      </w:tr>
      <w:tr w14:paraId="771F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3D974F4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1528249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03C1509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投标文件格式</w:t>
            </w:r>
          </w:p>
        </w:tc>
        <w:tc>
          <w:tcPr>
            <w:tcW w:w="5727" w:type="dxa"/>
            <w:noWrap w:val="0"/>
            <w:vAlign w:val="center"/>
          </w:tcPr>
          <w:p w14:paraId="347640A8">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符合第六章“投标文件格式”的规定</w:t>
            </w:r>
          </w:p>
        </w:tc>
      </w:tr>
      <w:tr w14:paraId="78B69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7C49B80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0431B7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58EF83B1">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联合体投标人</w:t>
            </w:r>
          </w:p>
        </w:tc>
        <w:tc>
          <w:tcPr>
            <w:tcW w:w="5727" w:type="dxa"/>
            <w:noWrap w:val="0"/>
            <w:vAlign w:val="center"/>
          </w:tcPr>
          <w:p w14:paraId="452DE5B9">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cs="Courier New"/>
                <w:color w:val="auto"/>
                <w:szCs w:val="21"/>
                <w:highlight w:val="none"/>
              </w:rPr>
              <w:t>符合第二章“投标人须知”第1.4.2项规定</w:t>
            </w:r>
          </w:p>
        </w:tc>
      </w:tr>
      <w:tr w14:paraId="4AB06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5F2E375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27B0909">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1D46A084">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备选投标方案</w:t>
            </w:r>
          </w:p>
        </w:tc>
        <w:tc>
          <w:tcPr>
            <w:tcW w:w="5727" w:type="dxa"/>
            <w:noWrap w:val="0"/>
            <w:vAlign w:val="center"/>
          </w:tcPr>
          <w:p w14:paraId="196773CE">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不允许。</w:t>
            </w:r>
          </w:p>
        </w:tc>
      </w:tr>
      <w:tr w14:paraId="0ADF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12AC23B4">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3667C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6A1E078B">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投标人机器码</w:t>
            </w:r>
          </w:p>
        </w:tc>
        <w:tc>
          <w:tcPr>
            <w:tcW w:w="5727" w:type="dxa"/>
            <w:noWrap w:val="0"/>
            <w:vAlign w:val="center"/>
          </w:tcPr>
          <w:p w14:paraId="5C2145E6">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投标人与本项目其他投标人加密打包投标文件电脑机器特征码一致的（以广州交易集团有限公司（广州公共资源交易中心）评标系统的检索信息为准）将被否决。</w:t>
            </w:r>
          </w:p>
        </w:tc>
      </w:tr>
      <w:tr w14:paraId="62F6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restart"/>
            <w:noWrap w:val="0"/>
            <w:vAlign w:val="center"/>
          </w:tcPr>
          <w:p w14:paraId="721384F9">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2.1.2</w:t>
            </w:r>
          </w:p>
        </w:tc>
        <w:tc>
          <w:tcPr>
            <w:tcW w:w="981" w:type="dxa"/>
            <w:vMerge w:val="restart"/>
            <w:noWrap w:val="0"/>
            <w:vAlign w:val="center"/>
          </w:tcPr>
          <w:p w14:paraId="713198F0">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资格评审标准</w:t>
            </w:r>
          </w:p>
        </w:tc>
        <w:tc>
          <w:tcPr>
            <w:tcW w:w="1373" w:type="dxa"/>
            <w:noWrap w:val="0"/>
            <w:vAlign w:val="center"/>
          </w:tcPr>
          <w:p w14:paraId="30996A2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合同履约纠纷</w:t>
            </w:r>
          </w:p>
        </w:tc>
        <w:tc>
          <w:tcPr>
            <w:tcW w:w="5727" w:type="dxa"/>
            <w:noWrap w:val="0"/>
            <w:vAlign w:val="center"/>
          </w:tcPr>
          <w:p w14:paraId="25F750C8">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与招标人过去3年内无合同履约纠纷，没有不得参加投标的情形。（以投标人声明为评审依据）。</w:t>
            </w:r>
          </w:p>
        </w:tc>
      </w:tr>
      <w:tr w14:paraId="52AC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2E0A345D">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6CFBEC88">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46440718">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资质要求</w:t>
            </w:r>
          </w:p>
        </w:tc>
        <w:tc>
          <w:tcPr>
            <w:tcW w:w="5727" w:type="dxa"/>
            <w:noWrap w:val="0"/>
            <w:vAlign w:val="center"/>
          </w:tcPr>
          <w:p w14:paraId="3DECFD5D">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符合第二章“投标人须知”第1.4.1项规定</w:t>
            </w:r>
          </w:p>
        </w:tc>
      </w:tr>
      <w:tr w14:paraId="6C2D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3631514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268BFF77">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62CCE26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外国或香港、澳门、台湾的企业</w:t>
            </w:r>
          </w:p>
        </w:tc>
        <w:tc>
          <w:tcPr>
            <w:tcW w:w="5727" w:type="dxa"/>
            <w:noWrap w:val="0"/>
            <w:vAlign w:val="center"/>
          </w:tcPr>
          <w:p w14:paraId="2C87170E">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外国或澳门、台湾的设计企业必须选择一家符合上述条件的企业进行合作设计。香港企业如不单独参加投标，也必须选择一家符合上述条件的企业进行合作设计。（需提供合作协议书）</w:t>
            </w:r>
          </w:p>
        </w:tc>
      </w:tr>
      <w:tr w14:paraId="527F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5A6BE88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40FF116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0BC6F9CC">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信用档案</w:t>
            </w:r>
          </w:p>
        </w:tc>
        <w:tc>
          <w:tcPr>
            <w:tcW w:w="5727" w:type="dxa"/>
            <w:noWrap w:val="0"/>
            <w:vAlign w:val="center"/>
          </w:tcPr>
          <w:p w14:paraId="0DFEA5BE">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投标人已在广州市住建行业信用管理平台建立企业信用档案，拟委派的项目负责人须是本企业信用档案中的在册人员。</w:t>
            </w:r>
          </w:p>
        </w:tc>
      </w:tr>
      <w:tr w14:paraId="0E57E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30E275B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49932FE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7DEBCF0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项目负责人</w:t>
            </w:r>
          </w:p>
        </w:tc>
        <w:tc>
          <w:tcPr>
            <w:tcW w:w="5727" w:type="dxa"/>
            <w:noWrap w:val="0"/>
            <w:vAlign w:val="center"/>
          </w:tcPr>
          <w:p w14:paraId="18D19A50">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符合第二章“投标人须知”第1.4.1项规定</w:t>
            </w:r>
          </w:p>
        </w:tc>
      </w:tr>
      <w:tr w14:paraId="62DF2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6878E2D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FF3AE50">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3ECBF0AA">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信誉要求</w:t>
            </w:r>
          </w:p>
        </w:tc>
        <w:tc>
          <w:tcPr>
            <w:tcW w:w="5727" w:type="dxa"/>
            <w:noWrap w:val="0"/>
            <w:vAlign w:val="center"/>
          </w:tcPr>
          <w:p w14:paraId="4E89EF75">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未被列入拖欠农民工工资失信联合惩戒对象名单（按</w:t>
            </w:r>
            <w:r>
              <w:rPr>
                <w:rFonts w:hint="eastAsia" w:ascii="宋体" w:hAnsi="宋体" w:eastAsia="宋体" w:cs="宋体"/>
                <w:sz w:val="21"/>
                <w:szCs w:val="21"/>
                <w:highlight w:val="none"/>
                <w:lang w:val="en-US" w:eastAsia="zh-CN"/>
              </w:rPr>
              <w:t>投标截止时间</w:t>
            </w:r>
            <w:r>
              <w:rPr>
                <w:rFonts w:hint="eastAsia" w:ascii="宋体" w:hAnsi="宋体" w:eastAsia="宋体" w:cs="宋体"/>
                <w:sz w:val="21"/>
                <w:szCs w:val="21"/>
                <w:highlight w:val="none"/>
                <w:lang w:eastAsia="zh-CN"/>
              </w:rPr>
              <w:t>广州公共资源交易中心交易系统比对结果进行评审）。</w:t>
            </w:r>
          </w:p>
        </w:tc>
      </w:tr>
      <w:tr w14:paraId="6FCF3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0" w:type="auto"/>
            <w:vMerge w:val="continue"/>
            <w:noWrap w:val="0"/>
            <w:vAlign w:val="center"/>
          </w:tcPr>
          <w:p w14:paraId="5A9E409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494243B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4CB3BBD4">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业绩要求</w:t>
            </w:r>
          </w:p>
        </w:tc>
        <w:tc>
          <w:tcPr>
            <w:tcW w:w="5727" w:type="dxa"/>
            <w:noWrap w:val="0"/>
            <w:vAlign w:val="center"/>
          </w:tcPr>
          <w:p w14:paraId="4432C263">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符合第二章“投标人须知”第1.4.1项规定</w:t>
            </w:r>
          </w:p>
        </w:tc>
      </w:tr>
      <w:tr w14:paraId="286D1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0" w:type="auto"/>
            <w:vMerge w:val="continue"/>
            <w:noWrap w:val="0"/>
            <w:vAlign w:val="center"/>
          </w:tcPr>
          <w:p w14:paraId="0C60B056">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35B2138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08A60E37">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其他要求</w:t>
            </w:r>
          </w:p>
        </w:tc>
        <w:tc>
          <w:tcPr>
            <w:tcW w:w="5727" w:type="dxa"/>
            <w:noWrap w:val="0"/>
            <w:vAlign w:val="center"/>
          </w:tcPr>
          <w:p w14:paraId="0C1AC00A">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投标人已按招标文件的格式签名盖章《投标人声明》。</w:t>
            </w:r>
          </w:p>
        </w:tc>
      </w:tr>
      <w:tr w14:paraId="53668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1BA4F53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B14274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19CDB986">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联合体投标人</w:t>
            </w:r>
          </w:p>
        </w:tc>
        <w:tc>
          <w:tcPr>
            <w:tcW w:w="5727" w:type="dxa"/>
            <w:noWrap w:val="0"/>
            <w:vAlign w:val="center"/>
          </w:tcPr>
          <w:p w14:paraId="50C5AC05">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符合第二章“投标人须知”第1.4.</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lang w:eastAsia="zh-CN"/>
              </w:rPr>
              <w:t>项规定</w:t>
            </w:r>
          </w:p>
        </w:tc>
      </w:tr>
      <w:tr w14:paraId="34BFD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371C35A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144AD41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3EA963B8">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不存在禁止投标的情形</w:t>
            </w:r>
          </w:p>
        </w:tc>
        <w:tc>
          <w:tcPr>
            <w:tcW w:w="5727" w:type="dxa"/>
            <w:noWrap w:val="0"/>
            <w:vAlign w:val="center"/>
          </w:tcPr>
          <w:p w14:paraId="328E13A9">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不存在第二章“投标人须知”第1.4.3项规定的任何一种情形（以投标人声明为评审依据）。</w:t>
            </w:r>
          </w:p>
        </w:tc>
      </w:tr>
      <w:tr w14:paraId="25CF6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restart"/>
            <w:noWrap w:val="0"/>
            <w:vAlign w:val="center"/>
          </w:tcPr>
          <w:p w14:paraId="130A8683">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2.1.3</w:t>
            </w:r>
          </w:p>
        </w:tc>
        <w:tc>
          <w:tcPr>
            <w:tcW w:w="981" w:type="dxa"/>
            <w:vMerge w:val="restart"/>
            <w:noWrap w:val="0"/>
            <w:vAlign w:val="center"/>
          </w:tcPr>
          <w:p w14:paraId="08B8BD4F">
            <w:pPr>
              <w:pStyle w:val="60"/>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响应性评审标准</w:t>
            </w:r>
          </w:p>
        </w:tc>
        <w:tc>
          <w:tcPr>
            <w:tcW w:w="1373" w:type="dxa"/>
            <w:noWrap w:val="0"/>
            <w:vAlign w:val="center"/>
          </w:tcPr>
          <w:p w14:paraId="426AF0C2">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投标报价</w:t>
            </w:r>
          </w:p>
        </w:tc>
        <w:tc>
          <w:tcPr>
            <w:tcW w:w="5727" w:type="dxa"/>
            <w:noWrap w:val="0"/>
            <w:vAlign w:val="center"/>
          </w:tcPr>
          <w:p w14:paraId="30C42F28">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符合第二章“投标人须知”第3.2款规定</w:t>
            </w:r>
          </w:p>
        </w:tc>
      </w:tr>
      <w:tr w14:paraId="65F52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0DACBDC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4A889EA2">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0F8082E8">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设计服务期限</w:t>
            </w:r>
          </w:p>
        </w:tc>
        <w:tc>
          <w:tcPr>
            <w:tcW w:w="5727" w:type="dxa"/>
            <w:noWrap w:val="0"/>
            <w:vAlign w:val="center"/>
          </w:tcPr>
          <w:p w14:paraId="128B96F1">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符合第二章“投标人须知”第1.3.2项规定</w:t>
            </w:r>
          </w:p>
        </w:tc>
      </w:tr>
      <w:tr w14:paraId="2F42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21B8D3A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02E097D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7C4E4F3A">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质量标准</w:t>
            </w:r>
          </w:p>
        </w:tc>
        <w:tc>
          <w:tcPr>
            <w:tcW w:w="5727" w:type="dxa"/>
            <w:noWrap w:val="0"/>
            <w:vAlign w:val="center"/>
          </w:tcPr>
          <w:p w14:paraId="7832B05C">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符合第二章“投标人须知”第1.3.3项规定</w:t>
            </w:r>
          </w:p>
        </w:tc>
      </w:tr>
      <w:tr w14:paraId="4F0E1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412F53B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3FAEA7A8">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6CF3065F">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投标有效期</w:t>
            </w:r>
          </w:p>
        </w:tc>
        <w:tc>
          <w:tcPr>
            <w:tcW w:w="5727" w:type="dxa"/>
            <w:noWrap w:val="0"/>
            <w:vAlign w:val="center"/>
          </w:tcPr>
          <w:p w14:paraId="59A1F670">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符合第二章“投标人须知”第3.3.1项规定</w:t>
            </w:r>
          </w:p>
        </w:tc>
      </w:tr>
      <w:tr w14:paraId="085FE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72A37BE3">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3EA85B3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1AED512E">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p>
        </w:tc>
        <w:tc>
          <w:tcPr>
            <w:tcW w:w="5727" w:type="dxa"/>
            <w:noWrap w:val="0"/>
            <w:vAlign w:val="center"/>
          </w:tcPr>
          <w:p w14:paraId="1D30840B">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jc w:val="both"/>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sz w:val="21"/>
                <w:szCs w:val="21"/>
                <w:highlight w:val="none"/>
                <w:lang w:eastAsia="zh-CN"/>
              </w:rPr>
              <w:t>本项目不需递交投标保证金</w:t>
            </w:r>
          </w:p>
        </w:tc>
      </w:tr>
      <w:tr w14:paraId="2A72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vMerge w:val="continue"/>
            <w:noWrap w:val="0"/>
            <w:vAlign w:val="center"/>
          </w:tcPr>
          <w:p w14:paraId="13D0BCE5">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981" w:type="dxa"/>
            <w:vMerge w:val="continue"/>
            <w:noWrap w:val="0"/>
            <w:vAlign w:val="center"/>
          </w:tcPr>
          <w:p w14:paraId="38482C9C">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p>
        </w:tc>
        <w:tc>
          <w:tcPr>
            <w:tcW w:w="1373" w:type="dxa"/>
            <w:noWrap w:val="0"/>
            <w:vAlign w:val="center"/>
          </w:tcPr>
          <w:p w14:paraId="7ED351E1">
            <w:pPr>
              <w:pStyle w:val="60"/>
              <w:keepNext w:val="0"/>
              <w:keepLines w:val="0"/>
              <w:pageBreakBefore w:val="0"/>
              <w:widowControl w:val="0"/>
              <w:kinsoku/>
              <w:wordWrap/>
              <w:overflowPunct/>
              <w:topLinePunct w:val="0"/>
              <w:autoSpaceDE/>
              <w:autoSpaceDN/>
              <w:bidi w:val="0"/>
              <w:adjustRightInd/>
              <w:snapToGrid/>
              <w:spacing w:line="360" w:lineRule="exact"/>
              <w:ind w:left="37" w:leftChars="17" w:right="37" w:rightChars="17"/>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串通投标情形</w:t>
            </w:r>
          </w:p>
        </w:tc>
        <w:tc>
          <w:tcPr>
            <w:tcW w:w="5727" w:type="dxa"/>
            <w:noWrap w:val="0"/>
            <w:vAlign w:val="center"/>
          </w:tcPr>
          <w:p w14:paraId="0695ADCC">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不存在串通投标情形（串通投标情形以《</w:t>
            </w:r>
            <w:r>
              <w:rPr>
                <w:rFonts w:hint="eastAsia" w:ascii="宋体" w:hAnsi="宋体" w:eastAsia="宋体" w:cs="宋体"/>
                <w:sz w:val="21"/>
                <w:szCs w:val="21"/>
                <w:highlight w:val="none"/>
                <w:lang w:val="en-US" w:eastAsia="zh-CN"/>
              </w:rPr>
              <w:t>广东省实施&lt;</w:t>
            </w:r>
            <w:r>
              <w:rPr>
                <w:rFonts w:hint="eastAsia" w:ascii="宋体" w:hAnsi="宋体" w:eastAsia="宋体" w:cs="宋体"/>
                <w:sz w:val="21"/>
                <w:szCs w:val="21"/>
                <w:highlight w:val="none"/>
                <w:lang w:eastAsia="zh-CN"/>
              </w:rPr>
              <w:t>中华人民共和国招标投标法</w:t>
            </w:r>
            <w:r>
              <w:rPr>
                <w:rFonts w:hint="eastAsia" w:ascii="宋体" w:hAnsi="宋体" w:eastAsia="宋体" w:cs="宋体"/>
                <w:sz w:val="21"/>
                <w:szCs w:val="21"/>
                <w:highlight w:val="none"/>
                <w:lang w:val="en-US" w:eastAsia="zh-CN"/>
              </w:rPr>
              <w:t>&gt;</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第十六条</w:t>
            </w:r>
            <w:r>
              <w:rPr>
                <w:rFonts w:hint="eastAsia" w:ascii="宋体" w:hAnsi="宋体" w:eastAsia="宋体" w:cs="宋体"/>
                <w:sz w:val="21"/>
                <w:szCs w:val="21"/>
                <w:highlight w:val="none"/>
                <w:lang w:eastAsia="zh-CN"/>
              </w:rPr>
              <w:t>的规定为准）。</w:t>
            </w:r>
          </w:p>
        </w:tc>
      </w:tr>
      <w:tr w14:paraId="79833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0" w:type="auto"/>
            <w:noWrap w:val="0"/>
            <w:vAlign w:val="center"/>
          </w:tcPr>
          <w:p w14:paraId="14A395FE">
            <w:pPr>
              <w:keepNext w:val="0"/>
              <w:keepLines w:val="0"/>
              <w:pageBreakBefore w:val="0"/>
              <w:kinsoku/>
              <w:wordWrap/>
              <w:overflowPunct/>
              <w:topLinePunct w:val="0"/>
              <w:autoSpaceDE/>
              <w:autoSpaceDN/>
              <w:bidi w:val="0"/>
              <w:adjustRightInd/>
              <w:snapToGrid/>
              <w:spacing w:line="360" w:lineRule="exact"/>
              <w:jc w:val="center"/>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p>
        </w:tc>
        <w:tc>
          <w:tcPr>
            <w:tcW w:w="981" w:type="dxa"/>
            <w:noWrap w:val="0"/>
            <w:vAlign w:val="center"/>
          </w:tcPr>
          <w:p w14:paraId="53CE3DBB">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宋体" w:hAnsi="宋体" w:eastAsia="宋体" w:cs="宋体"/>
                <w:sz w:val="21"/>
                <w:szCs w:val="21"/>
                <w:highlight w:val="none"/>
                <w:lang w:eastAsia="zh-CN"/>
              </w:rPr>
            </w:pPr>
            <w:r>
              <w:rPr>
                <w:rFonts w:hint="eastAsia" w:ascii="宋体" w:hAnsi="宋体" w:eastAsia="宋体" w:cs="宋体"/>
                <w:b w:val="0"/>
                <w:bCs w:val="0"/>
                <w:color w:val="auto"/>
                <w:sz w:val="21"/>
                <w:szCs w:val="21"/>
                <w:highlight w:val="none"/>
              </w:rPr>
              <w:t>定标</w:t>
            </w:r>
          </w:p>
        </w:tc>
        <w:tc>
          <w:tcPr>
            <w:tcW w:w="7100" w:type="dxa"/>
            <w:gridSpan w:val="2"/>
            <w:noWrap w:val="0"/>
            <w:vAlign w:val="center"/>
          </w:tcPr>
          <w:p w14:paraId="25817CD7">
            <w:pPr>
              <w:pStyle w:val="60"/>
              <w:keepNext w:val="0"/>
              <w:keepLines w:val="0"/>
              <w:pageBreakBefore w:val="0"/>
              <w:kinsoku/>
              <w:wordWrap/>
              <w:overflowPunct/>
              <w:topLinePunct w:val="0"/>
              <w:autoSpaceDE/>
              <w:autoSpaceDN/>
              <w:bidi w:val="0"/>
              <w:adjustRightInd/>
              <w:snapToGrid/>
              <w:spacing w:line="360" w:lineRule="exact"/>
              <w:ind w:left="37" w:leftChars="17" w:right="37" w:rightChars="17"/>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定标办法：采用直接票决定标法（记名投票+撰写评语），具体详见本章第4点定标程序。</w:t>
            </w:r>
          </w:p>
        </w:tc>
      </w:tr>
    </w:tbl>
    <w:p w14:paraId="3F918EFD">
      <w:pPr>
        <w:rPr>
          <w:rFonts w:hint="eastAsia" w:ascii="宋体" w:hAnsi="宋体" w:eastAsia="宋体" w:cs="Times New Roman"/>
          <w:b w:val="0"/>
          <w:bCs w:val="0"/>
          <w:sz w:val="32"/>
          <w:szCs w:val="32"/>
          <w:highlight w:val="none"/>
          <w:lang w:eastAsia="zh-CN"/>
        </w:rPr>
      </w:pPr>
    </w:p>
    <w:p w14:paraId="7B399DF3">
      <w:pPr>
        <w:pStyle w:val="4"/>
        <w:spacing w:line="443" w:lineRule="exact"/>
        <w:ind w:right="44"/>
        <w:rPr>
          <w:rFonts w:ascii="宋体" w:hAnsi="宋体" w:eastAsia="宋体"/>
          <w:highlight w:val="none"/>
          <w:lang w:eastAsia="zh-CN"/>
        </w:rPr>
      </w:pPr>
      <w:r>
        <w:rPr>
          <w:rFonts w:ascii="宋体" w:hAnsi="宋体" w:eastAsia="宋体"/>
          <w:sz w:val="21"/>
          <w:szCs w:val="21"/>
          <w:highlight w:val="none"/>
          <w:lang w:eastAsia="zh-CN"/>
        </w:rPr>
        <w:br w:type="page"/>
      </w:r>
      <w:bookmarkStart w:id="46" w:name="_Toc25137994"/>
      <w:bookmarkStart w:id="47" w:name="_Toc25152744"/>
      <w:bookmarkStart w:id="48" w:name="_Toc9494"/>
      <w:r>
        <w:rPr>
          <w:rFonts w:ascii="宋体" w:hAnsi="宋体" w:eastAsia="宋体"/>
          <w:highlight w:val="none"/>
          <w:lang w:eastAsia="zh-CN"/>
        </w:rPr>
        <w:t>1. 评标方法</w:t>
      </w:r>
      <w:bookmarkEnd w:id="46"/>
      <w:bookmarkEnd w:id="47"/>
      <w:bookmarkEnd w:id="48"/>
    </w:p>
    <w:p w14:paraId="0084B47A">
      <w:pPr>
        <w:numPr>
          <w:ilvl w:val="0"/>
          <w:numId w:val="0"/>
        </w:numPr>
        <w:spacing w:line="240" w:lineRule="auto"/>
        <w:rPr>
          <w:rFonts w:ascii="Times New Roman" w:hAnsi="Times New Roman" w:eastAsia="Calibri" w:cs="Times New Roman"/>
          <w:sz w:val="22"/>
          <w:szCs w:val="22"/>
          <w:highlight w:val="none"/>
          <w:lang w:eastAsia="zh-CN"/>
        </w:rPr>
      </w:pPr>
    </w:p>
    <w:p w14:paraId="5B668AB5">
      <w:pPr>
        <w:pStyle w:val="11"/>
        <w:spacing w:line="360" w:lineRule="auto"/>
        <w:ind w:left="0" w:firstLine="480" w:firstLineChars="200"/>
        <w:rPr>
          <w:sz w:val="24"/>
          <w:szCs w:val="24"/>
          <w:highlight w:val="none"/>
          <w:lang w:eastAsia="zh-CN"/>
        </w:rPr>
      </w:pPr>
      <w:r>
        <w:rPr>
          <w:rFonts w:hint="eastAsia"/>
          <w:sz w:val="24"/>
          <w:szCs w:val="24"/>
          <w:highlight w:val="none"/>
          <w:lang w:eastAsia="zh-CN"/>
        </w:rPr>
        <w:t>本项目采用“评定分离”定标办法，其中：评标采用“通过制”评标办法，定标采用直接票决定标法（记名投票+撰写评语）的方式确定中标人。中标候选人推荐的排序方法按照评标办法前附表的规定进行。</w:t>
      </w:r>
    </w:p>
    <w:p w14:paraId="39E8BD7D">
      <w:pPr>
        <w:spacing w:line="360" w:lineRule="auto"/>
        <w:rPr>
          <w:rFonts w:hint="eastAsia" w:ascii="宋体" w:hAnsi="宋体" w:eastAsia="宋体"/>
          <w:sz w:val="24"/>
          <w:szCs w:val="24"/>
          <w:highlight w:val="none"/>
          <w:lang w:eastAsia="zh-CN"/>
        </w:rPr>
      </w:pPr>
      <w:bookmarkStart w:id="49" w:name="_Toc25137995"/>
    </w:p>
    <w:p w14:paraId="44567F12">
      <w:pPr>
        <w:pStyle w:val="4"/>
        <w:spacing w:line="443" w:lineRule="exact"/>
        <w:ind w:right="44"/>
        <w:rPr>
          <w:rFonts w:ascii="宋体" w:hAnsi="宋体" w:eastAsia="宋体"/>
          <w:highlight w:val="none"/>
          <w:lang w:eastAsia="zh-CN"/>
        </w:rPr>
      </w:pPr>
      <w:bookmarkStart w:id="50" w:name="_Toc25152745"/>
      <w:bookmarkStart w:id="51" w:name="_Toc14612"/>
      <w:r>
        <w:rPr>
          <w:rFonts w:ascii="宋体" w:hAnsi="宋体" w:eastAsia="宋体"/>
          <w:highlight w:val="none"/>
          <w:lang w:eastAsia="zh-CN"/>
        </w:rPr>
        <w:t>2. 评审标准</w:t>
      </w:r>
      <w:bookmarkEnd w:id="49"/>
      <w:bookmarkEnd w:id="50"/>
      <w:bookmarkEnd w:id="51"/>
    </w:p>
    <w:p w14:paraId="7C7097D0">
      <w:pPr>
        <w:numPr>
          <w:ilvl w:val="0"/>
          <w:numId w:val="0"/>
        </w:numPr>
        <w:spacing w:line="240" w:lineRule="auto"/>
        <w:rPr>
          <w:rFonts w:hint="default" w:ascii="Times New Roman" w:hAnsi="Times New Roman" w:eastAsia="Calibri" w:cs="Times New Roman"/>
          <w:sz w:val="22"/>
          <w:szCs w:val="22"/>
          <w:highlight w:val="none"/>
          <w:lang w:eastAsia="zh-CN"/>
        </w:rPr>
      </w:pPr>
    </w:p>
    <w:p w14:paraId="41640FBF">
      <w:pPr>
        <w:pStyle w:val="5"/>
        <w:ind w:right="44"/>
        <w:rPr>
          <w:b/>
          <w:bCs/>
          <w:highlight w:val="none"/>
          <w:lang w:eastAsia="zh-CN"/>
        </w:rPr>
      </w:pPr>
      <w:r>
        <w:rPr>
          <w:b/>
          <w:bCs/>
          <w:highlight w:val="none"/>
          <w:lang w:eastAsia="zh-CN"/>
        </w:rPr>
        <w:t>2.1初步评审标准</w:t>
      </w:r>
    </w:p>
    <w:p w14:paraId="08671E61">
      <w:pPr>
        <w:numPr>
          <w:ilvl w:val="0"/>
          <w:numId w:val="0"/>
        </w:numPr>
        <w:spacing w:line="240" w:lineRule="auto"/>
        <w:rPr>
          <w:rFonts w:hint="default" w:ascii="Times New Roman" w:hAnsi="Times New Roman" w:eastAsia="Calibri" w:cs="Times New Roman"/>
          <w:sz w:val="22"/>
          <w:szCs w:val="22"/>
          <w:highlight w:val="none"/>
          <w:lang w:eastAsia="zh-CN"/>
        </w:rPr>
      </w:pPr>
    </w:p>
    <w:p w14:paraId="66FDA985">
      <w:pPr>
        <w:pStyle w:val="11"/>
        <w:spacing w:line="360" w:lineRule="auto"/>
        <w:ind w:left="0" w:firstLine="480" w:firstLineChars="200"/>
        <w:rPr>
          <w:sz w:val="24"/>
          <w:szCs w:val="24"/>
          <w:highlight w:val="none"/>
          <w:lang w:eastAsia="zh-CN"/>
        </w:rPr>
      </w:pPr>
      <w:r>
        <w:rPr>
          <w:sz w:val="24"/>
          <w:szCs w:val="24"/>
          <w:highlight w:val="none"/>
          <w:lang w:eastAsia="zh-CN"/>
        </w:rPr>
        <w:t>2.1.1形式评审标准：见评标办法前附表。</w:t>
      </w:r>
    </w:p>
    <w:p w14:paraId="3056E5E2">
      <w:pPr>
        <w:pStyle w:val="11"/>
        <w:spacing w:line="360" w:lineRule="auto"/>
        <w:ind w:left="0" w:firstLine="480" w:firstLineChars="200"/>
        <w:rPr>
          <w:sz w:val="24"/>
          <w:szCs w:val="24"/>
          <w:highlight w:val="none"/>
          <w:lang w:eastAsia="zh-CN"/>
        </w:rPr>
      </w:pPr>
      <w:r>
        <w:rPr>
          <w:sz w:val="24"/>
          <w:szCs w:val="24"/>
          <w:highlight w:val="none"/>
          <w:lang w:eastAsia="zh-CN"/>
        </w:rPr>
        <w:t>2.1.2资格评审标准：见评标办法前附表。</w:t>
      </w:r>
    </w:p>
    <w:p w14:paraId="5A0A3425">
      <w:pPr>
        <w:pStyle w:val="11"/>
        <w:spacing w:line="360" w:lineRule="auto"/>
        <w:ind w:left="0" w:firstLine="480" w:firstLineChars="200"/>
        <w:rPr>
          <w:sz w:val="24"/>
          <w:szCs w:val="24"/>
          <w:highlight w:val="none"/>
          <w:lang w:eastAsia="zh-CN"/>
        </w:rPr>
      </w:pPr>
      <w:r>
        <w:rPr>
          <w:sz w:val="24"/>
          <w:szCs w:val="24"/>
          <w:highlight w:val="none"/>
          <w:lang w:eastAsia="zh-CN"/>
        </w:rPr>
        <w:t>2.1.3响应性评审标准：见评标办法前附表。</w:t>
      </w:r>
    </w:p>
    <w:p w14:paraId="416D966D">
      <w:pPr>
        <w:spacing w:line="360" w:lineRule="auto"/>
        <w:rPr>
          <w:rFonts w:hint="eastAsia" w:ascii="宋体" w:hAnsi="宋体" w:eastAsia="宋体" w:cs="Times New Roman"/>
          <w:sz w:val="24"/>
          <w:szCs w:val="24"/>
          <w:highlight w:val="none"/>
          <w:lang w:eastAsia="zh-CN"/>
        </w:rPr>
      </w:pPr>
    </w:p>
    <w:p w14:paraId="2D9916B8">
      <w:pPr>
        <w:pStyle w:val="4"/>
        <w:spacing w:line="443" w:lineRule="exact"/>
        <w:ind w:right="44"/>
        <w:rPr>
          <w:rFonts w:ascii="宋体" w:hAnsi="宋体" w:eastAsia="宋体"/>
          <w:highlight w:val="none"/>
          <w:lang w:eastAsia="zh-CN"/>
        </w:rPr>
      </w:pPr>
      <w:bookmarkStart w:id="52" w:name="_Toc18423"/>
      <w:bookmarkStart w:id="53" w:name="_Toc25152746"/>
      <w:bookmarkStart w:id="54" w:name="_Toc25137996"/>
      <w:r>
        <w:rPr>
          <w:rFonts w:ascii="宋体" w:hAnsi="宋体" w:eastAsia="宋体"/>
          <w:highlight w:val="none"/>
          <w:lang w:eastAsia="zh-CN"/>
        </w:rPr>
        <w:t>3. 评标程序</w:t>
      </w:r>
      <w:bookmarkEnd w:id="52"/>
      <w:bookmarkEnd w:id="53"/>
      <w:bookmarkEnd w:id="54"/>
    </w:p>
    <w:p w14:paraId="63755600">
      <w:pPr>
        <w:numPr>
          <w:ilvl w:val="0"/>
          <w:numId w:val="0"/>
        </w:numPr>
        <w:spacing w:line="240" w:lineRule="auto"/>
        <w:rPr>
          <w:rFonts w:hint="default" w:ascii="Times New Roman" w:hAnsi="Times New Roman" w:eastAsia="Calibri" w:cs="Times New Roman"/>
          <w:sz w:val="22"/>
          <w:szCs w:val="22"/>
          <w:highlight w:val="none"/>
          <w:lang w:eastAsia="zh-CN"/>
        </w:rPr>
      </w:pPr>
    </w:p>
    <w:p w14:paraId="2595D0C0">
      <w:pPr>
        <w:pStyle w:val="5"/>
        <w:ind w:right="44"/>
        <w:rPr>
          <w:b/>
          <w:bCs/>
          <w:highlight w:val="none"/>
          <w:lang w:eastAsia="zh-CN"/>
        </w:rPr>
      </w:pPr>
      <w:r>
        <w:rPr>
          <w:b/>
          <w:bCs/>
          <w:highlight w:val="none"/>
          <w:lang w:eastAsia="zh-CN"/>
        </w:rPr>
        <w:t>3.1 初步评审</w:t>
      </w:r>
    </w:p>
    <w:p w14:paraId="287F0988">
      <w:pPr>
        <w:numPr>
          <w:ilvl w:val="0"/>
          <w:numId w:val="0"/>
        </w:numPr>
        <w:spacing w:line="240" w:lineRule="auto"/>
        <w:rPr>
          <w:rFonts w:hint="default" w:ascii="Times New Roman" w:hAnsi="Times New Roman" w:eastAsia="Calibri" w:cs="Times New Roman"/>
          <w:sz w:val="22"/>
          <w:szCs w:val="22"/>
          <w:highlight w:val="none"/>
          <w:lang w:eastAsia="zh-CN"/>
        </w:rPr>
      </w:pPr>
    </w:p>
    <w:p w14:paraId="6E5EDFBE">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3.1.1 评标委员会依据本章第2.1款规定的标准对投标文件进行初步评审。初步评审包括形式评审、资格评审及响应性评审三部分。评标委员会首先按本章第2.1.1项形式评审标准对投标人进行形式评审，通过形式评审的投标人方可进入资格评审；然后按本章第2.1.2项资格评审标准对投标人进行资格评审，通过资格评审的投标人方可进入响应性评审；按本章第2.1.3项响应性评审标准对通过资格评审的投标人进行响应性评审，通过响应性评审的投标人方可进入下一阶段评审。如评标委员会成员的评审意见不一致时，以评标委员会过半数成员的意见作为评标委员会对该情形的认定结论。不得将文件顺序、明显的文字错误等列为否决投标的情形。评委发现文件中含义不明确、对同类问题表述不一致、有明显文字和计算错误的，应当要求投标人作必要的澄清、说明后再判定投标人是否通过初步评审，不得直接否决投标。</w:t>
      </w:r>
    </w:p>
    <w:p w14:paraId="700333D8">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3.1.2 投标人有以下情形之一的，评标委员会应当否决其投标：</w:t>
      </w:r>
    </w:p>
    <w:p w14:paraId="63EE6545">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（1）投标文件没有对招标文件的实质性要求和条件作出响应，或者对招标文件的偏差超出招标文件规定的偏差范围或最高项数；</w:t>
      </w:r>
    </w:p>
    <w:p w14:paraId="3C952061">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（2）有串通投标、弄虚作假、行贿等违法行为。</w:t>
      </w:r>
    </w:p>
    <w:p w14:paraId="30AF048F">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3.1.3 投标报价有算术错误的，评标委员会按以下原则对投标报价进行修正，修正的价格经投标人书面确认后具有约束力。投标人不接受修正价格的，评标委员会应当否决其投标：</w:t>
      </w:r>
    </w:p>
    <w:p w14:paraId="5F0E5225">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（1）投标文件中的大写金额与小写金额不一致的，以大写金额为准；</w:t>
      </w:r>
    </w:p>
    <w:p w14:paraId="78C27721">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（2）总价金额与单价金额不一致的，以单价金额为准，但单价金额小数点有明显错误的除外。</w:t>
      </w:r>
    </w:p>
    <w:p w14:paraId="1540D179">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（3）上述修正原则修正后的投标报价超过相应投标限价的，由评标委员会做否决投标处理。</w:t>
      </w:r>
    </w:p>
    <w:p w14:paraId="0548C0D8">
      <w:pPr>
        <w:pStyle w:val="11"/>
        <w:spacing w:line="360" w:lineRule="auto"/>
        <w:ind w:left="0" w:firstLine="480" w:firstLineChars="200"/>
        <w:rPr>
          <w:rFonts w:hint="eastAsia"/>
          <w:sz w:val="24"/>
          <w:szCs w:val="24"/>
          <w:highlight w:val="none"/>
          <w:lang w:eastAsia="zh-CN"/>
        </w:rPr>
      </w:pPr>
      <w:r>
        <w:rPr>
          <w:rFonts w:hint="eastAsia"/>
          <w:sz w:val="24"/>
          <w:szCs w:val="24"/>
          <w:highlight w:val="none"/>
          <w:lang w:eastAsia="zh-CN"/>
        </w:rPr>
        <w:t>（4）按上述修正错误的原则及方法调整或修正投标文件的投标报价，调整后的投标报价对投标人起约束作用。如果投标人不接受修正后的价格，评标委员会应当否决其投标。</w:t>
      </w:r>
    </w:p>
    <w:p w14:paraId="159602FA">
      <w:pPr>
        <w:spacing w:line="360" w:lineRule="auto"/>
        <w:ind w:firstLine="480" w:firstLineChars="200"/>
        <w:rPr>
          <w:rFonts w:hint="eastAsia"/>
          <w:sz w:val="24"/>
          <w:szCs w:val="24"/>
          <w:highlight w:val="none"/>
          <w:lang w:eastAsia="zh-CN"/>
        </w:rPr>
      </w:pPr>
      <w:r>
        <w:rPr>
          <w:rFonts w:hint="eastAsia"/>
          <w:sz w:val="24"/>
          <w:szCs w:val="24"/>
          <w:highlight w:val="none"/>
          <w:lang w:eastAsia="zh-CN"/>
        </w:rPr>
        <w:t>（5）投标报价评分以投标人修正后的价格进行计算。</w:t>
      </w:r>
    </w:p>
    <w:p w14:paraId="10425847">
      <w:pPr>
        <w:numPr>
          <w:ilvl w:val="0"/>
          <w:numId w:val="0"/>
        </w:numPr>
        <w:rPr>
          <w:rFonts w:hint="default" w:ascii="Times New Roman" w:hAnsi="Times New Roman" w:cs="Times New Roman"/>
          <w:highlight w:val="none"/>
          <w:lang w:eastAsia="zh-CN"/>
        </w:rPr>
      </w:pPr>
    </w:p>
    <w:p w14:paraId="7C53E10B">
      <w:pPr>
        <w:pStyle w:val="5"/>
        <w:ind w:right="44"/>
        <w:rPr>
          <w:b/>
          <w:bCs/>
          <w:highlight w:val="none"/>
          <w:lang w:eastAsia="zh-CN"/>
        </w:rPr>
      </w:pPr>
      <w:r>
        <w:rPr>
          <w:b/>
          <w:bCs/>
          <w:highlight w:val="none"/>
          <w:lang w:eastAsia="zh-CN"/>
        </w:rPr>
        <w:t>3.</w:t>
      </w:r>
      <w:r>
        <w:rPr>
          <w:rFonts w:hint="eastAsia"/>
          <w:b/>
          <w:bCs/>
          <w:highlight w:val="none"/>
          <w:lang w:val="en-US" w:eastAsia="zh-CN"/>
        </w:rPr>
        <w:t>2</w:t>
      </w:r>
      <w:r>
        <w:rPr>
          <w:b/>
          <w:bCs/>
          <w:highlight w:val="none"/>
          <w:lang w:eastAsia="zh-CN"/>
        </w:rPr>
        <w:t xml:space="preserve">  投标文件的澄清</w:t>
      </w:r>
    </w:p>
    <w:p w14:paraId="682ABD63">
      <w:pPr>
        <w:numPr>
          <w:ilvl w:val="0"/>
          <w:numId w:val="0"/>
        </w:numPr>
        <w:spacing w:line="240" w:lineRule="auto"/>
        <w:rPr>
          <w:rFonts w:hint="default" w:ascii="Times New Roman" w:hAnsi="Times New Roman" w:eastAsia="Calibri" w:cs="Times New Roman"/>
          <w:sz w:val="22"/>
          <w:szCs w:val="22"/>
          <w:highlight w:val="none"/>
          <w:lang w:eastAsia="zh-CN"/>
        </w:rPr>
      </w:pPr>
    </w:p>
    <w:p w14:paraId="574D371A">
      <w:pPr>
        <w:pStyle w:val="11"/>
        <w:spacing w:line="360" w:lineRule="auto"/>
        <w:ind w:left="0" w:firstLine="480" w:firstLineChars="200"/>
        <w:rPr>
          <w:sz w:val="24"/>
          <w:szCs w:val="24"/>
          <w:highlight w:val="none"/>
          <w:lang w:eastAsia="zh-CN"/>
        </w:rPr>
      </w:pPr>
      <w:r>
        <w:rPr>
          <w:sz w:val="24"/>
          <w:szCs w:val="24"/>
          <w:highlight w:val="none"/>
          <w:lang w:eastAsia="zh-CN"/>
        </w:rPr>
        <w:t>3.</w:t>
      </w:r>
      <w:r>
        <w:rPr>
          <w:rFonts w:hint="eastAsia"/>
          <w:sz w:val="24"/>
          <w:szCs w:val="24"/>
          <w:highlight w:val="none"/>
          <w:lang w:val="en-US" w:eastAsia="zh-CN"/>
        </w:rPr>
        <w:t>2</w:t>
      </w:r>
      <w:r>
        <w:rPr>
          <w:sz w:val="24"/>
          <w:szCs w:val="24"/>
          <w:highlight w:val="none"/>
          <w:lang w:eastAsia="zh-CN"/>
        </w:rPr>
        <w:t>.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3B5089F7">
      <w:pPr>
        <w:pStyle w:val="11"/>
        <w:spacing w:line="360" w:lineRule="auto"/>
        <w:ind w:left="0" w:firstLine="480" w:firstLineChars="200"/>
        <w:rPr>
          <w:sz w:val="24"/>
          <w:szCs w:val="24"/>
          <w:highlight w:val="none"/>
          <w:lang w:eastAsia="zh-CN"/>
        </w:rPr>
      </w:pPr>
      <w:r>
        <w:rPr>
          <w:sz w:val="24"/>
          <w:szCs w:val="24"/>
          <w:highlight w:val="none"/>
          <w:lang w:eastAsia="zh-CN"/>
        </w:rPr>
        <w:t>3.</w:t>
      </w:r>
      <w:r>
        <w:rPr>
          <w:rFonts w:hint="eastAsia"/>
          <w:sz w:val="24"/>
          <w:szCs w:val="24"/>
          <w:highlight w:val="none"/>
          <w:lang w:val="en-US" w:eastAsia="zh-CN"/>
        </w:rPr>
        <w:t>2</w:t>
      </w:r>
      <w:r>
        <w:rPr>
          <w:sz w:val="24"/>
          <w:szCs w:val="24"/>
          <w:highlight w:val="none"/>
          <w:lang w:eastAsia="zh-CN"/>
        </w:rPr>
        <w:t>.2澄清、说明或补正不得超出投标文件的范围且不得改变投标文件的实质性内容，并构成投标文件的组成部分。</w:t>
      </w:r>
    </w:p>
    <w:p w14:paraId="3A0AC8C9">
      <w:pPr>
        <w:pStyle w:val="11"/>
        <w:spacing w:line="360" w:lineRule="auto"/>
        <w:ind w:left="0" w:firstLine="480" w:firstLineChars="200"/>
        <w:rPr>
          <w:sz w:val="24"/>
          <w:szCs w:val="24"/>
          <w:highlight w:val="none"/>
          <w:lang w:eastAsia="zh-CN"/>
        </w:rPr>
      </w:pPr>
      <w:r>
        <w:rPr>
          <w:sz w:val="24"/>
          <w:szCs w:val="24"/>
          <w:highlight w:val="none"/>
          <w:lang w:eastAsia="zh-CN"/>
        </w:rPr>
        <w:t>3.</w:t>
      </w:r>
      <w:r>
        <w:rPr>
          <w:rFonts w:hint="eastAsia"/>
          <w:sz w:val="24"/>
          <w:szCs w:val="24"/>
          <w:highlight w:val="none"/>
          <w:lang w:val="en-US" w:eastAsia="zh-CN"/>
        </w:rPr>
        <w:t>2</w:t>
      </w:r>
      <w:r>
        <w:rPr>
          <w:sz w:val="24"/>
          <w:szCs w:val="24"/>
          <w:highlight w:val="none"/>
          <w:lang w:eastAsia="zh-CN"/>
        </w:rPr>
        <w:t>.3评标委员会对投标人提交的澄清、说明或补正有疑问的，可以要求投标人进一步澄清、说明或补正，直至满足评标委员会的要求。</w:t>
      </w:r>
    </w:p>
    <w:p w14:paraId="684F299B">
      <w:pPr>
        <w:numPr>
          <w:ilvl w:val="0"/>
          <w:numId w:val="0"/>
        </w:numPr>
        <w:spacing w:line="240" w:lineRule="auto"/>
        <w:rPr>
          <w:rFonts w:hint="default" w:ascii="Times New Roman" w:hAnsi="Times New Roman" w:eastAsia="Calibri" w:cs="Times New Roman"/>
          <w:sz w:val="22"/>
          <w:szCs w:val="22"/>
          <w:highlight w:val="none"/>
          <w:lang w:eastAsia="zh-CN"/>
        </w:rPr>
      </w:pPr>
    </w:p>
    <w:p w14:paraId="328B3A97">
      <w:pPr>
        <w:pStyle w:val="5"/>
        <w:ind w:right="44"/>
        <w:rPr>
          <w:b/>
          <w:bCs/>
          <w:highlight w:val="none"/>
          <w:lang w:eastAsia="zh-CN"/>
        </w:rPr>
      </w:pPr>
      <w:r>
        <w:rPr>
          <w:b/>
          <w:bCs/>
          <w:highlight w:val="none"/>
          <w:lang w:eastAsia="zh-CN"/>
        </w:rPr>
        <w:t>3.</w:t>
      </w:r>
      <w:r>
        <w:rPr>
          <w:rFonts w:hint="eastAsia"/>
          <w:b/>
          <w:bCs/>
          <w:highlight w:val="none"/>
          <w:lang w:val="en-US" w:eastAsia="zh-CN"/>
        </w:rPr>
        <w:t>3</w:t>
      </w:r>
      <w:r>
        <w:rPr>
          <w:b/>
          <w:bCs/>
          <w:highlight w:val="none"/>
          <w:lang w:eastAsia="zh-CN"/>
        </w:rPr>
        <w:t xml:space="preserve"> 评标结果</w:t>
      </w:r>
    </w:p>
    <w:p w14:paraId="796488FC">
      <w:pPr>
        <w:numPr>
          <w:ilvl w:val="0"/>
          <w:numId w:val="0"/>
        </w:numPr>
        <w:spacing w:line="240" w:lineRule="auto"/>
        <w:rPr>
          <w:rFonts w:hint="default" w:ascii="Times New Roman" w:hAnsi="Times New Roman" w:eastAsia="Calibri" w:cs="Times New Roman"/>
          <w:sz w:val="22"/>
          <w:szCs w:val="22"/>
          <w:highlight w:val="none"/>
          <w:lang w:eastAsia="zh-CN"/>
        </w:rPr>
      </w:pPr>
    </w:p>
    <w:p w14:paraId="32377A0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 xml:space="preserve">.1 </w:t>
      </w:r>
      <w:r>
        <w:rPr>
          <w:rFonts w:hint="eastAsia" w:ascii="宋体" w:hAnsi="宋体" w:eastAsia="宋体" w:cs="宋体"/>
          <w:sz w:val="24"/>
          <w:szCs w:val="24"/>
          <w:highlight w:val="none"/>
          <w:u w:val="single"/>
        </w:rPr>
        <w:t>评标委员会按照招标文件规定完成初步评审，向招标人推荐合格的中标候选人，合格的中标候选人可按其统一社会信用代码后4位（除校验码外）</w:t>
      </w:r>
      <w:r>
        <w:rPr>
          <w:rFonts w:hint="eastAsia" w:ascii="宋体" w:hAnsi="宋体" w:eastAsia="宋体" w:cs="宋体"/>
          <w:sz w:val="24"/>
          <w:szCs w:val="24"/>
          <w:highlight w:val="none"/>
          <w:u w:val="single"/>
          <w:lang w:val="en-US" w:eastAsia="zh-CN"/>
        </w:rPr>
        <w:t>从</w:t>
      </w:r>
      <w:r>
        <w:rPr>
          <w:rFonts w:hint="eastAsia" w:ascii="宋体" w:hAnsi="宋体" w:eastAsia="宋体" w:cs="宋体"/>
          <w:sz w:val="24"/>
          <w:szCs w:val="24"/>
          <w:highlight w:val="none"/>
          <w:u w:val="single"/>
        </w:rPr>
        <w:t>小</w:t>
      </w:r>
      <w:r>
        <w:rPr>
          <w:rFonts w:hint="eastAsia" w:ascii="宋体" w:hAnsi="宋体" w:eastAsia="宋体" w:cs="宋体"/>
          <w:sz w:val="24"/>
          <w:szCs w:val="24"/>
          <w:highlight w:val="none"/>
          <w:u w:val="single"/>
          <w:lang w:val="en-US" w:eastAsia="zh-CN"/>
        </w:rPr>
        <w:t>到</w:t>
      </w:r>
      <w:r>
        <w:rPr>
          <w:rFonts w:hint="eastAsia" w:ascii="宋体" w:hAnsi="宋体" w:eastAsia="宋体" w:cs="宋体"/>
          <w:sz w:val="24"/>
          <w:szCs w:val="24"/>
          <w:highlight w:val="none"/>
          <w:u w:val="single"/>
        </w:rPr>
        <w:t>大排位，不排序。如统一社会信用代码后4位出现字母情况的，字母以“0”进行代替大小排位；如出现后4位（除校验码外）大小一致的，则随机排位</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合格的中标候选人少于3家的，应当重新招标。</w:t>
      </w:r>
    </w:p>
    <w:p w14:paraId="420D64F7">
      <w:pPr>
        <w:pStyle w:val="11"/>
        <w:spacing w:line="360" w:lineRule="auto"/>
        <w:ind w:left="0" w:firstLine="480" w:firstLineChars="200"/>
        <w:rPr>
          <w:sz w:val="24"/>
          <w:szCs w:val="24"/>
          <w:highlight w:val="none"/>
          <w:lang w:eastAsia="zh-CN"/>
        </w:rPr>
      </w:pPr>
      <w:r>
        <w:rPr>
          <w:sz w:val="24"/>
          <w:szCs w:val="24"/>
          <w:highlight w:val="none"/>
          <w:lang w:eastAsia="zh-CN"/>
        </w:rPr>
        <w:t>3.</w:t>
      </w:r>
      <w:r>
        <w:rPr>
          <w:rFonts w:hint="eastAsia"/>
          <w:sz w:val="24"/>
          <w:szCs w:val="24"/>
          <w:highlight w:val="none"/>
          <w:lang w:val="en-US" w:eastAsia="zh-CN"/>
        </w:rPr>
        <w:t>3</w:t>
      </w:r>
      <w:r>
        <w:rPr>
          <w:sz w:val="24"/>
          <w:szCs w:val="24"/>
          <w:highlight w:val="none"/>
          <w:lang w:eastAsia="zh-CN"/>
        </w:rPr>
        <w:t>.2评标委员会完成评标后，应当向招标人提交书面评标报告和中标候选人名单。</w:t>
      </w:r>
      <w:bookmarkStart w:id="55" w:name="_Toc25137997"/>
    </w:p>
    <w:p w14:paraId="5436EB7C">
      <w:pPr>
        <w:pStyle w:val="4"/>
        <w:numPr>
          <w:ilvl w:val="0"/>
          <w:numId w:val="1"/>
        </w:numPr>
        <w:spacing w:line="443" w:lineRule="exact"/>
        <w:ind w:right="44"/>
        <w:rPr>
          <w:rFonts w:hint="default" w:ascii="宋体" w:hAnsi="宋体" w:eastAsia="宋体" w:cs="Times New Roman"/>
          <w:highlight w:val="none"/>
          <w:lang w:eastAsia="zh-CN"/>
        </w:rPr>
      </w:pPr>
      <w:bookmarkStart w:id="56" w:name="_Toc49510031"/>
      <w:bookmarkStart w:id="57" w:name="_Toc12323"/>
      <w:r>
        <w:rPr>
          <w:rFonts w:hint="default" w:ascii="宋体" w:hAnsi="宋体" w:eastAsia="宋体" w:cs="Times New Roman"/>
          <w:highlight w:val="none"/>
          <w:lang w:eastAsia="zh-CN"/>
        </w:rPr>
        <w:t>定标程序</w:t>
      </w:r>
      <w:bookmarkEnd w:id="56"/>
      <w:bookmarkEnd w:id="57"/>
    </w:p>
    <w:p w14:paraId="4950E798">
      <w:pPr>
        <w:numPr>
          <w:ilvl w:val="0"/>
          <w:numId w:val="0"/>
        </w:numPr>
        <w:rPr>
          <w:rFonts w:ascii="Times New Roman" w:hAnsi="Times New Roman" w:eastAsia="Calibri"/>
          <w:highlight w:val="none"/>
          <w:lang w:eastAsia="zh-CN"/>
        </w:rPr>
      </w:pPr>
    </w:p>
    <w:p w14:paraId="5D1A49C9">
      <w:pPr>
        <w:pStyle w:val="5"/>
        <w:numPr>
          <w:ilvl w:val="1"/>
          <w:numId w:val="1"/>
        </w:numPr>
        <w:ind w:right="44"/>
        <w:rPr>
          <w:rFonts w:hint="default" w:ascii="宋体" w:hAnsi="宋体" w:eastAsia="宋体" w:cs="Times New Roman"/>
          <w:b/>
          <w:bCs/>
          <w:highlight w:val="none"/>
          <w:lang w:eastAsia="zh-CN"/>
        </w:rPr>
      </w:pPr>
      <w:bookmarkStart w:id="58" w:name="_Toc49510032"/>
      <w:bookmarkStart w:id="59" w:name="_Toc49506197"/>
      <w:r>
        <w:rPr>
          <w:rFonts w:hint="default" w:ascii="宋体" w:hAnsi="宋体" w:eastAsia="宋体" w:cs="Times New Roman"/>
          <w:b/>
          <w:bCs/>
          <w:highlight w:val="none"/>
          <w:lang w:eastAsia="zh-CN"/>
        </w:rPr>
        <w:t>定标委员会</w:t>
      </w:r>
      <w:bookmarkEnd w:id="58"/>
      <w:bookmarkEnd w:id="59"/>
    </w:p>
    <w:p w14:paraId="48351CAD">
      <w:pPr>
        <w:numPr>
          <w:ilvl w:val="0"/>
          <w:numId w:val="0"/>
        </w:numPr>
        <w:ind w:firstLine="0"/>
        <w:rPr>
          <w:rFonts w:ascii="Times New Roman" w:hAnsi="Times New Roman" w:eastAsia="Calibri"/>
          <w:highlight w:val="none"/>
          <w:lang w:eastAsia="zh-CN"/>
        </w:rPr>
      </w:pPr>
    </w:p>
    <w:p w14:paraId="7F2326B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u w:val="none"/>
          <w:shd w:val="clear" w:color="auto" w:fill="auto"/>
        </w:rPr>
        <w:t>中标候选人公示结束后</w:t>
      </w:r>
      <w:r>
        <w:rPr>
          <w:rFonts w:hint="eastAsia" w:ascii="宋体" w:hAnsi="宋体" w:eastAsia="宋体" w:cs="宋体"/>
          <w:sz w:val="24"/>
          <w:szCs w:val="24"/>
          <w:highlight w:val="none"/>
        </w:rPr>
        <w:t>，招标人按以下规定组建定标委员会，在评标委员会推荐的合格中标候选人中选定中标人：</w:t>
      </w:r>
    </w:p>
    <w:p w14:paraId="7B36A547">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定标由招标人依法组建的定标委员会负责，成员数量为</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人。</w:t>
      </w:r>
    </w:p>
    <w:p w14:paraId="68C4377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（2）定标委员会成员不得参与定标前期准备工作。</w:t>
      </w:r>
    </w:p>
    <w:p w14:paraId="24313DC5">
      <w:pPr>
        <w:numPr>
          <w:ilvl w:val="0"/>
          <w:numId w:val="0"/>
        </w:numPr>
        <w:rPr>
          <w:rFonts w:hint="default" w:ascii="Times New Roman" w:hAnsi="Times New Roman" w:cs="Times New Roman"/>
          <w:highlight w:val="none"/>
          <w:lang w:eastAsia="zh-CN"/>
        </w:rPr>
      </w:pPr>
    </w:p>
    <w:p w14:paraId="755B6173">
      <w:pPr>
        <w:pStyle w:val="5"/>
        <w:numPr>
          <w:ilvl w:val="1"/>
          <w:numId w:val="1"/>
        </w:numPr>
        <w:ind w:right="44"/>
        <w:rPr>
          <w:rFonts w:hint="default" w:ascii="宋体" w:hAnsi="宋体" w:eastAsia="宋体" w:cs="Times New Roman"/>
          <w:b/>
          <w:bCs/>
          <w:highlight w:val="none"/>
          <w:lang w:eastAsia="zh-CN"/>
        </w:rPr>
      </w:pPr>
      <w:bookmarkStart w:id="60" w:name="_Toc49506198"/>
      <w:bookmarkStart w:id="61" w:name="_Toc49510033"/>
      <w:r>
        <w:rPr>
          <w:rFonts w:hint="default" w:ascii="宋体" w:hAnsi="宋体" w:eastAsia="宋体" w:cs="Times New Roman"/>
          <w:b/>
          <w:bCs/>
          <w:highlight w:val="none"/>
          <w:lang w:eastAsia="zh-CN"/>
        </w:rPr>
        <w:t>定标时间和地点</w:t>
      </w:r>
      <w:bookmarkEnd w:id="60"/>
      <w:bookmarkEnd w:id="61"/>
    </w:p>
    <w:p w14:paraId="5D20C75C">
      <w:pPr>
        <w:rPr>
          <w:rFonts w:ascii="Times New Roman" w:hAnsi="Times New Roman" w:eastAsia="Calibri"/>
          <w:highlight w:val="none"/>
          <w:lang w:eastAsia="zh-CN"/>
        </w:rPr>
      </w:pPr>
    </w:p>
    <w:p w14:paraId="512A38A3">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招标人在合格的中标候选人公示</w:t>
      </w:r>
      <w:r>
        <w:rPr>
          <w:rFonts w:hint="eastAsia" w:ascii="宋体" w:hAnsi="宋体" w:eastAsia="宋体" w:cs="宋体"/>
          <w:sz w:val="24"/>
          <w:szCs w:val="24"/>
          <w:highlight w:val="none"/>
          <w:u w:val="none"/>
          <w:shd w:val="clear" w:color="auto" w:fill="auto"/>
        </w:rPr>
        <w:t>结束</w:t>
      </w:r>
      <w:r>
        <w:rPr>
          <w:rFonts w:hint="eastAsia" w:ascii="宋体" w:hAnsi="宋体" w:eastAsia="宋体" w:cs="宋体"/>
          <w:sz w:val="24"/>
          <w:szCs w:val="24"/>
          <w:highlight w:val="none"/>
        </w:rPr>
        <w:t>后10个工作日内在广州交易集团有限公司（广州公共资源交易中心）举行定标会议</w:t>
      </w:r>
      <w:r>
        <w:rPr>
          <w:rFonts w:hint="eastAsia" w:ascii="宋体" w:hAnsi="宋体" w:eastAsia="宋体" w:cs="宋体"/>
          <w:sz w:val="24"/>
          <w:szCs w:val="24"/>
          <w:highlight w:val="none"/>
          <w:lang w:val="en-US" w:eastAsia="zh-CN"/>
        </w:rPr>
        <w:t>，招标人按规定程序在投标人须知的时间和地点</w:t>
      </w:r>
      <w:r>
        <w:rPr>
          <w:rFonts w:hint="eastAsia" w:ascii="宋体" w:hAnsi="宋体" w:eastAsia="宋体" w:cs="宋体"/>
          <w:sz w:val="24"/>
          <w:szCs w:val="24"/>
          <w:highlight w:val="none"/>
        </w:rPr>
        <w:t>完成定标工作。</w:t>
      </w:r>
    </w:p>
    <w:p w14:paraId="5F23A9D9">
      <w:pPr>
        <w:numPr>
          <w:ilvl w:val="0"/>
          <w:numId w:val="0"/>
        </w:numPr>
        <w:rPr>
          <w:rFonts w:hint="default" w:ascii="Times New Roman" w:hAnsi="Times New Roman" w:cs="Times New Roman"/>
          <w:highlight w:val="none"/>
          <w:lang w:eastAsia="zh-CN"/>
        </w:rPr>
      </w:pPr>
    </w:p>
    <w:p w14:paraId="2D5E54DE">
      <w:pPr>
        <w:pStyle w:val="5"/>
        <w:numPr>
          <w:ilvl w:val="1"/>
          <w:numId w:val="1"/>
        </w:numPr>
        <w:ind w:left="0" w:right="44" w:firstLine="0"/>
        <w:rPr>
          <w:rFonts w:hint="default" w:ascii="宋体" w:hAnsi="宋体" w:eastAsia="宋体" w:cs="Times New Roman"/>
          <w:b/>
          <w:bCs/>
          <w:highlight w:val="none"/>
          <w:lang w:eastAsia="zh-CN"/>
        </w:rPr>
      </w:pPr>
      <w:bookmarkStart w:id="62" w:name="_Toc49510034"/>
      <w:bookmarkStart w:id="63" w:name="_Toc49506199"/>
      <w:r>
        <w:rPr>
          <w:rFonts w:hint="default" w:ascii="宋体" w:hAnsi="宋体" w:eastAsia="宋体" w:cs="Times New Roman"/>
          <w:b/>
          <w:bCs/>
          <w:highlight w:val="none"/>
          <w:lang w:eastAsia="zh-CN"/>
        </w:rPr>
        <w:t>定标规则</w:t>
      </w:r>
      <w:bookmarkEnd w:id="62"/>
      <w:bookmarkEnd w:id="63"/>
    </w:p>
    <w:p w14:paraId="6DFCD4F6">
      <w:pPr>
        <w:numPr>
          <w:ilvl w:val="0"/>
          <w:numId w:val="0"/>
        </w:numPr>
        <w:ind w:firstLine="0"/>
        <w:rPr>
          <w:rFonts w:ascii="Times New Roman" w:hAnsi="Times New Roman" w:eastAsia="Calibri"/>
          <w:highlight w:val="none"/>
          <w:lang w:eastAsia="zh-CN"/>
        </w:rPr>
      </w:pPr>
    </w:p>
    <w:p w14:paraId="745A1CC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本项目采用</w:t>
      </w:r>
      <w:r>
        <w:rPr>
          <w:rFonts w:hint="eastAsia" w:ascii="宋体" w:hAnsi="宋体" w:eastAsia="宋体" w:cs="宋体"/>
          <w:sz w:val="24"/>
          <w:szCs w:val="24"/>
          <w:highlight w:val="none"/>
          <w:u w:val="single"/>
        </w:rPr>
        <w:t>直接票决定标法</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u w:val="single"/>
        </w:rPr>
        <w:t>记名投票+撰写评语</w:t>
      </w:r>
      <w:r>
        <w:rPr>
          <w:rFonts w:hint="eastAsia" w:ascii="宋体" w:hAnsi="宋体" w:eastAsia="宋体" w:cs="宋体"/>
          <w:sz w:val="24"/>
          <w:szCs w:val="24"/>
          <w:highlight w:val="none"/>
          <w:u w:val="single"/>
          <w:lang w:eastAsia="zh-CN"/>
        </w:rPr>
        <w:t>）</w:t>
      </w:r>
      <w:r>
        <w:rPr>
          <w:rFonts w:hint="eastAsia" w:ascii="宋体" w:hAnsi="宋体" w:eastAsia="宋体" w:cs="宋体"/>
          <w:sz w:val="24"/>
          <w:szCs w:val="24"/>
          <w:highlight w:val="none"/>
        </w:rPr>
        <w:t>，定标方法如下：</w:t>
      </w:r>
    </w:p>
    <w:p w14:paraId="489D4711">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.1 定标程序</w:t>
      </w:r>
    </w:p>
    <w:p w14:paraId="2DBC5CF9">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（1）定标工作开始后，发放选票，</w:t>
      </w:r>
      <w:r>
        <w:rPr>
          <w:rFonts w:hint="eastAsia" w:ascii="宋体" w:hAnsi="宋体" w:eastAsia="宋体" w:cs="宋体"/>
          <w:sz w:val="24"/>
          <w:szCs w:val="24"/>
          <w:highlight w:val="none"/>
          <w:lang w:eastAsia="zh-CN"/>
        </w:rPr>
        <w:t>由</w:t>
      </w:r>
      <w:r>
        <w:rPr>
          <w:rFonts w:hint="eastAsia" w:ascii="宋体" w:hAnsi="宋体" w:eastAsia="宋体" w:cs="宋体"/>
          <w:sz w:val="24"/>
          <w:szCs w:val="24"/>
          <w:highlight w:val="none"/>
        </w:rPr>
        <w:t>定标委员会参考定标因素进行</w:t>
      </w:r>
      <w:r>
        <w:rPr>
          <w:rFonts w:hint="eastAsia" w:ascii="宋体" w:hAnsi="宋体" w:eastAsia="宋体" w:cs="宋体"/>
          <w:sz w:val="24"/>
          <w:szCs w:val="24"/>
          <w:highlight w:val="none"/>
          <w:lang w:eastAsia="zh-CN"/>
        </w:rPr>
        <w:t>记名</w:t>
      </w:r>
      <w:r>
        <w:rPr>
          <w:rFonts w:hint="eastAsia" w:ascii="宋体" w:hAnsi="宋体" w:eastAsia="宋体" w:cs="宋体"/>
          <w:sz w:val="24"/>
          <w:szCs w:val="24"/>
          <w:highlight w:val="none"/>
        </w:rPr>
        <w:t>投票</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定标委员会应推荐一人为定标委员会组长，主持当次定标会议。</w:t>
      </w:r>
    </w:p>
    <w:p w14:paraId="4550D912">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（2）定标辅助文件为评标阶段的评标报告、投标人提交的投标文件及定标资料。</w:t>
      </w:r>
    </w:p>
    <w:p w14:paraId="4FD6AD28">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）投票规则：定标委员会根据定标因素</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定标因素得分作为投票依据</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对各投标人进行综合比较后，进行一次性票决并排序（记名投票+撰写评语），每位定标委员会成员只有1票表决权（即只能对其中一家投标人投票），得票数最多的投标人将被确认为中标人，若出现票数相同且无法决出排名时，</w:t>
      </w:r>
      <w:r>
        <w:rPr>
          <w:rFonts w:hint="eastAsia" w:ascii="宋体" w:hAnsi="宋体" w:eastAsia="宋体" w:cs="宋体"/>
          <w:sz w:val="24"/>
          <w:szCs w:val="24"/>
          <w:highlight w:val="none"/>
          <w:lang w:val="en-US" w:eastAsia="zh-CN"/>
        </w:rPr>
        <w:t>则</w:t>
      </w:r>
      <w:r>
        <w:rPr>
          <w:rFonts w:hint="eastAsia" w:ascii="宋体" w:hAnsi="宋体" w:eastAsia="宋体" w:cs="宋体"/>
          <w:sz w:val="24"/>
          <w:szCs w:val="24"/>
          <w:highlight w:val="none"/>
        </w:rPr>
        <w:t>每位定标委员会成员</w:t>
      </w: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rPr>
        <w:t>票数相同</w:t>
      </w:r>
      <w:r>
        <w:rPr>
          <w:rFonts w:hint="eastAsia" w:ascii="宋体" w:hAnsi="宋体" w:eastAsia="宋体" w:cs="宋体"/>
          <w:sz w:val="24"/>
          <w:szCs w:val="24"/>
          <w:highlight w:val="none"/>
          <w:lang w:val="en-US" w:eastAsia="zh-CN"/>
        </w:rPr>
        <w:t>且最多”</w:t>
      </w:r>
      <w:r>
        <w:rPr>
          <w:rFonts w:hint="eastAsia" w:ascii="宋体" w:hAnsi="宋体" w:eastAsia="宋体" w:cs="宋体"/>
          <w:sz w:val="24"/>
          <w:szCs w:val="24"/>
          <w:highlight w:val="none"/>
        </w:rPr>
        <w:t>的投标人</w:t>
      </w:r>
      <w:r>
        <w:rPr>
          <w:rFonts w:hint="eastAsia" w:ascii="宋体" w:hAnsi="宋体" w:eastAsia="宋体" w:cs="宋体"/>
          <w:sz w:val="24"/>
          <w:szCs w:val="24"/>
          <w:highlight w:val="none"/>
          <w:lang w:val="en-US" w:eastAsia="zh-CN"/>
        </w:rPr>
        <w:t>就方案因素</w:t>
      </w:r>
      <w:r>
        <w:rPr>
          <w:rFonts w:hint="eastAsia" w:ascii="宋体" w:hAnsi="宋体" w:eastAsia="宋体" w:cs="宋体"/>
          <w:sz w:val="24"/>
          <w:szCs w:val="24"/>
          <w:highlight w:val="none"/>
        </w:rPr>
        <w:t>再进行一次性票决，若</w:t>
      </w:r>
      <w:r>
        <w:rPr>
          <w:rFonts w:hint="eastAsia" w:ascii="宋体" w:hAnsi="宋体" w:eastAsia="宋体" w:cs="宋体"/>
          <w:sz w:val="24"/>
          <w:szCs w:val="24"/>
          <w:highlight w:val="none"/>
          <w:lang w:val="en-US" w:eastAsia="zh-CN"/>
        </w:rPr>
        <w:t>再次</w:t>
      </w:r>
      <w:r>
        <w:rPr>
          <w:rFonts w:hint="eastAsia" w:ascii="宋体" w:hAnsi="宋体" w:eastAsia="宋体" w:cs="宋体"/>
          <w:sz w:val="24"/>
          <w:szCs w:val="24"/>
          <w:highlight w:val="none"/>
        </w:rPr>
        <w:t>出现票数相同且无法决出排名</w:t>
      </w:r>
      <w:r>
        <w:rPr>
          <w:rFonts w:hint="eastAsia" w:ascii="宋体" w:hAnsi="宋体" w:eastAsia="宋体" w:cs="宋体"/>
          <w:sz w:val="24"/>
          <w:szCs w:val="24"/>
          <w:highlight w:val="none"/>
          <w:lang w:val="en-US" w:eastAsia="zh-CN"/>
        </w:rPr>
        <w:t>的情况，</w:t>
      </w:r>
      <w:r>
        <w:rPr>
          <w:rFonts w:hint="eastAsia" w:ascii="宋体" w:hAnsi="宋体" w:eastAsia="宋体" w:cs="宋体"/>
          <w:sz w:val="24"/>
          <w:szCs w:val="24"/>
          <w:highlight w:val="none"/>
        </w:rPr>
        <w:t>本次定标会无效，招标人重新招标。</w:t>
      </w:r>
    </w:p>
    <w:p w14:paraId="73B634C6">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）定标委员会中的各定标委员应独立投票，可以弃权，当弃权票数达到定标委员会人数50%或以上时，本次定标会无效，招标人重新组建定标委员会或重新招标。</w:t>
      </w:r>
    </w:p>
    <w:p w14:paraId="3ACCE39D">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shd w:val="clear" w:color="auto" w:fill="auto"/>
        </w:rPr>
        <w:t>定标委员会根据选票情况确定中标人</w:t>
      </w:r>
      <w:r>
        <w:rPr>
          <w:rFonts w:hint="eastAsia" w:ascii="宋体" w:hAnsi="宋体" w:eastAsia="宋体" w:cs="宋体"/>
          <w:sz w:val="24"/>
          <w:szCs w:val="24"/>
          <w:highlight w:val="none"/>
        </w:rPr>
        <w:t>。</w:t>
      </w:r>
    </w:p>
    <w:p w14:paraId="1ED7ED80">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u w:val="none"/>
          <w:shd w:val="clear" w:color="auto" w:fill="auto"/>
        </w:rPr>
        <w:t>编写定标报告，定标委员会全体确认后签署定标报告</w:t>
      </w:r>
      <w:r>
        <w:rPr>
          <w:rFonts w:hint="eastAsia" w:ascii="宋体" w:hAnsi="宋体" w:eastAsia="宋体" w:cs="宋体"/>
          <w:sz w:val="24"/>
          <w:szCs w:val="24"/>
          <w:highlight w:val="none"/>
        </w:rPr>
        <w:t>。</w:t>
      </w:r>
    </w:p>
    <w:p w14:paraId="168E4664">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u w:val="none"/>
          <w:shd w:val="clear" w:color="auto" w:fill="auto"/>
        </w:rPr>
        <w:t>招标人与中标人签订合同前，如发现中标人委派的项目负责人不符合任职要求，则招标人有权取消其中标人资格或解除合同，从其他合格的中标候选人中采用原定标办法，由原定标委员会确定中标人，招标人也可以重新招标</w:t>
      </w:r>
      <w:r>
        <w:rPr>
          <w:rFonts w:hint="eastAsia" w:ascii="宋体" w:hAnsi="宋体" w:eastAsia="宋体" w:cs="宋体"/>
          <w:sz w:val="24"/>
          <w:szCs w:val="24"/>
          <w:highlight w:val="none"/>
        </w:rPr>
        <w:t>。</w:t>
      </w:r>
    </w:p>
    <w:p w14:paraId="4E926E7F">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eastAsia="宋体" w:cs="宋体"/>
          <w:sz w:val="24"/>
          <w:szCs w:val="24"/>
          <w:highlight w:val="none"/>
          <w:lang w:val="en-US" w:eastAsia="zh-CN"/>
        </w:rPr>
        <w:t xml:space="preserve">3 </w:t>
      </w:r>
      <w:r>
        <w:rPr>
          <w:rFonts w:hint="eastAsia" w:ascii="宋体" w:hAnsi="宋体" w:eastAsia="宋体" w:cs="宋体"/>
          <w:sz w:val="24"/>
          <w:szCs w:val="24"/>
          <w:highlight w:val="none"/>
        </w:rPr>
        <w:t>因异议或投诉生效，需要重新评标或定标的，评标、定标信息（含业绩、奖项等）仍以投标截止时投标人的信息为准。因特殊原因需要延长投标有效期，投标人拒绝延长投标有效期的，仍参与重新评标、定标，但不被推荐为中标候选人或不被票决确定为中标人。</w:t>
      </w:r>
    </w:p>
    <w:p w14:paraId="01B4F91C">
      <w:pPr>
        <w:spacing w:line="360" w:lineRule="auto"/>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4.5.</w:t>
      </w:r>
      <w:r>
        <w:rPr>
          <w:rFonts w:hint="eastAsia" w:ascii="宋体" w:hAnsi="宋体" w:eastAsia="宋体" w:cs="宋体"/>
          <w:sz w:val="24"/>
          <w:szCs w:val="24"/>
          <w:highlight w:val="none"/>
          <w:lang w:val="en-US" w:eastAsia="zh-CN"/>
        </w:rPr>
        <w:t xml:space="preserve">4 </w:t>
      </w:r>
      <w:r>
        <w:rPr>
          <w:rFonts w:hint="eastAsia" w:ascii="宋体" w:hAnsi="宋体" w:eastAsia="宋体" w:cs="宋体"/>
          <w:sz w:val="24"/>
          <w:szCs w:val="24"/>
          <w:highlight w:val="none"/>
        </w:rPr>
        <w:t>中标人放弃中标、因不可抗力不能履行合同、不按照招标文件要求提交履约保证金，或者被查实存在影响中标结果的违法行为等不符合法定情形，不符合中标条件的，招标人可以从其他合格的中标候选人中采用原定标办法，由原定标委员会确定中标人，也可以重新招标。</w:t>
      </w:r>
    </w:p>
    <w:p w14:paraId="7D7EC5FD">
      <w:pPr>
        <w:pStyle w:val="5"/>
        <w:rPr>
          <w:rFonts w:hint="eastAsia"/>
          <w:highlight w:val="none"/>
        </w:rPr>
      </w:pPr>
    </w:p>
    <w:p w14:paraId="50264BB0">
      <w:pPr>
        <w:pStyle w:val="4"/>
        <w:numPr>
          <w:ilvl w:val="0"/>
          <w:numId w:val="1"/>
        </w:numPr>
        <w:spacing w:line="443" w:lineRule="exact"/>
        <w:ind w:right="44"/>
        <w:rPr>
          <w:rFonts w:hint="default" w:ascii="宋体" w:hAnsi="宋体" w:eastAsia="宋体" w:cs="Times New Roman"/>
          <w:b/>
          <w:highlight w:val="none"/>
          <w:lang w:eastAsia="zh-CN"/>
        </w:rPr>
      </w:pPr>
      <w:bookmarkStart w:id="64" w:name="_Toc6356"/>
      <w:r>
        <w:rPr>
          <w:rFonts w:hint="default" w:ascii="宋体" w:hAnsi="宋体" w:eastAsia="宋体" w:cs="Times New Roman"/>
          <w:b/>
          <w:highlight w:val="none"/>
          <w:lang w:eastAsia="zh-CN"/>
        </w:rPr>
        <w:t>定标表格</w:t>
      </w:r>
      <w:bookmarkEnd w:id="64"/>
    </w:p>
    <w:p w14:paraId="14622852">
      <w:pPr>
        <w:spacing w:line="560" w:lineRule="exact"/>
        <w:ind w:firstLine="484" w:firstLineChars="202"/>
        <w:jc w:val="left"/>
        <w:rPr>
          <w:rFonts w:hint="eastAsia" w:ascii="宋体" w:hAnsi="宋体" w:cs="宋体"/>
          <w:bCs/>
          <w:color w:val="auto"/>
          <w:sz w:val="24"/>
          <w:szCs w:val="24"/>
          <w:highlight w:val="none"/>
          <w:u w:val="single"/>
        </w:rPr>
      </w:pPr>
      <w:r>
        <w:rPr>
          <w:rFonts w:hint="eastAsia" w:ascii="宋体" w:hAnsi="宋体" w:cs="宋体"/>
          <w:bCs/>
          <w:color w:val="auto"/>
          <w:sz w:val="24"/>
          <w:szCs w:val="24"/>
          <w:highlight w:val="none"/>
        </w:rPr>
        <w:t>见后附。</w:t>
      </w:r>
    </w:p>
    <w:p w14:paraId="2C6D29FA">
      <w:pPr>
        <w:pStyle w:val="11"/>
        <w:spacing w:line="360" w:lineRule="auto"/>
        <w:ind w:left="0" w:firstLine="480" w:firstLineChars="200"/>
        <w:rPr>
          <w:rFonts w:hint="eastAsia"/>
          <w:sz w:val="24"/>
          <w:szCs w:val="24"/>
          <w:highlight w:val="none"/>
          <w:lang w:eastAsia="zh-CN"/>
        </w:rPr>
      </w:pPr>
    </w:p>
    <w:p w14:paraId="4C841955">
      <w:pPr>
        <w:rPr>
          <w:rFonts w:ascii="宋体" w:hAnsi="宋体"/>
          <w:b/>
          <w:bCs/>
          <w:sz w:val="24"/>
          <w:szCs w:val="24"/>
          <w:highlight w:val="none"/>
        </w:rPr>
      </w:pPr>
      <w:r>
        <w:rPr>
          <w:rFonts w:ascii="宋体" w:hAnsi="宋体" w:eastAsia="宋体"/>
          <w:highlight w:val="none"/>
          <w:lang w:eastAsia="zh-CN"/>
        </w:rPr>
        <w:br w:type="page"/>
      </w:r>
      <w:bookmarkStart w:id="65" w:name="_Toc25152747"/>
      <w:r>
        <w:rPr>
          <w:rFonts w:hint="eastAsia" w:ascii="宋体" w:hAnsi="宋体"/>
          <w:b/>
          <w:bCs/>
          <w:sz w:val="24"/>
          <w:szCs w:val="24"/>
          <w:highlight w:val="none"/>
        </w:rPr>
        <w:t>附件</w:t>
      </w:r>
      <w:r>
        <w:rPr>
          <w:rFonts w:ascii="宋体" w:hAnsi="宋体"/>
          <w:b/>
          <w:bCs/>
          <w:sz w:val="24"/>
          <w:szCs w:val="24"/>
          <w:highlight w:val="none"/>
        </w:rPr>
        <w:t>1</w:t>
      </w:r>
    </w:p>
    <w:p w14:paraId="69ACC0AB">
      <w:pPr>
        <w:jc w:val="center"/>
        <w:rPr>
          <w:rFonts w:hint="eastAsia" w:ascii="宋体" w:hAnsi="宋体" w:eastAsia="宋体" w:cs="Times New Roman"/>
          <w:b/>
          <w:sz w:val="24"/>
          <w:szCs w:val="24"/>
          <w:highlight w:val="none"/>
        </w:rPr>
      </w:pPr>
    </w:p>
    <w:p w14:paraId="564E9BE0">
      <w:pPr>
        <w:jc w:val="center"/>
        <w:rPr>
          <w:rFonts w:ascii="宋体" w:hAnsi="宋体"/>
          <w:b/>
          <w:sz w:val="30"/>
          <w:szCs w:val="30"/>
          <w:highlight w:val="none"/>
        </w:rPr>
      </w:pPr>
      <w:r>
        <w:rPr>
          <w:rFonts w:hint="eastAsia" w:ascii="宋体" w:hAnsi="宋体"/>
          <w:b/>
          <w:sz w:val="30"/>
          <w:szCs w:val="30"/>
          <w:highlight w:val="none"/>
        </w:rPr>
        <w:t>定标因素表（定标阶段用表）</w:t>
      </w:r>
    </w:p>
    <w:p w14:paraId="125CE535">
      <w:pPr>
        <w:rPr>
          <w:color w:val="auto"/>
          <w:sz w:val="24"/>
          <w:szCs w:val="24"/>
          <w:highlight w:val="none"/>
        </w:rPr>
      </w:pPr>
      <w:r>
        <w:rPr>
          <w:rFonts w:hint="eastAsia" w:ascii="宋体" w:hAnsi="宋体"/>
          <w:color w:val="auto"/>
          <w:sz w:val="24"/>
          <w:szCs w:val="24"/>
          <w:highlight w:val="none"/>
          <w:lang w:eastAsia="zh-CN"/>
        </w:rPr>
        <w:t>项目</w:t>
      </w:r>
      <w:r>
        <w:rPr>
          <w:rFonts w:hint="eastAsia" w:ascii="宋体" w:hAnsi="宋体"/>
          <w:color w:val="auto"/>
          <w:sz w:val="24"/>
          <w:szCs w:val="24"/>
          <w:highlight w:val="none"/>
        </w:rPr>
        <w:t>名称：</w:t>
      </w:r>
    </w:p>
    <w:tbl>
      <w:tblPr>
        <w:tblStyle w:val="31"/>
        <w:tblW w:w="9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243"/>
        <w:gridCol w:w="6952"/>
      </w:tblGrid>
      <w:tr w14:paraId="7DE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1201" w:type="dxa"/>
            <w:noWrap w:val="0"/>
            <w:vAlign w:val="center"/>
          </w:tcPr>
          <w:p w14:paraId="21615E58">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定标因素</w:t>
            </w:r>
          </w:p>
        </w:tc>
        <w:tc>
          <w:tcPr>
            <w:tcW w:w="1243" w:type="dxa"/>
            <w:noWrap w:val="0"/>
            <w:vAlign w:val="center"/>
          </w:tcPr>
          <w:p w14:paraId="38813E55">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评审内容</w:t>
            </w:r>
          </w:p>
        </w:tc>
        <w:tc>
          <w:tcPr>
            <w:tcW w:w="6952" w:type="dxa"/>
            <w:noWrap w:val="0"/>
            <w:vAlign w:val="center"/>
          </w:tcPr>
          <w:p w14:paraId="43C4B6EF">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评审标准</w:t>
            </w:r>
          </w:p>
        </w:tc>
      </w:tr>
      <w:tr w14:paraId="603E3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8" w:hRule="atLeast"/>
          <w:jc w:val="center"/>
        </w:trPr>
        <w:tc>
          <w:tcPr>
            <w:tcW w:w="1201" w:type="dxa"/>
            <w:noWrap w:val="0"/>
            <w:vAlign w:val="center"/>
          </w:tcPr>
          <w:p w14:paraId="5927D3F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b/>
                <w:bCs/>
                <w:color w:val="auto"/>
                <w:sz w:val="24"/>
                <w:szCs w:val="24"/>
                <w:highlight w:val="none"/>
                <w:lang w:val="en-US" w:eastAsia="zh-CN"/>
              </w:rPr>
            </w:pPr>
            <w:bookmarkStart w:id="66" w:name="OLE_LINK11" w:colFirst="2" w:colLast="2"/>
            <w:r>
              <w:rPr>
                <w:rFonts w:hint="eastAsia" w:ascii="宋体" w:hAnsi="宋体" w:eastAsia="宋体" w:cs="宋体"/>
                <w:color w:val="auto"/>
                <w:sz w:val="24"/>
                <w:szCs w:val="24"/>
                <w:highlight w:val="none"/>
                <w:lang w:val="en-US" w:eastAsia="zh-CN"/>
              </w:rPr>
              <w:t>商务因素</w:t>
            </w:r>
          </w:p>
        </w:tc>
        <w:tc>
          <w:tcPr>
            <w:tcW w:w="1243" w:type="dxa"/>
            <w:noWrap w:val="0"/>
            <w:vAlign w:val="center"/>
          </w:tcPr>
          <w:p w14:paraId="4D0E5A29">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lang w:val="en-US" w:eastAsia="zh-CN"/>
              </w:rPr>
              <w:t>企业荣誉及项目经验</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0分）</w:t>
            </w:r>
          </w:p>
        </w:tc>
        <w:tc>
          <w:tcPr>
            <w:tcW w:w="6952" w:type="dxa"/>
            <w:noWrap w:val="0"/>
            <w:vAlign w:val="center"/>
          </w:tcPr>
          <w:p w14:paraId="76A88ED4">
            <w:pPr>
              <w:widowControl/>
              <w:spacing w:line="240" w:lineRule="auto"/>
              <w:textAlignment w:val="auto"/>
              <w:rPr>
                <w:rFonts w:hint="default"/>
                <w:highlight w:val="none"/>
              </w:rPr>
            </w:pPr>
            <w:bookmarkStart w:id="67" w:name="OLE_LINK2"/>
            <w:bookmarkStart w:id="68" w:name="OLE_LINK8"/>
            <w:r>
              <w:rPr>
                <w:rFonts w:hint="default"/>
                <w:highlight w:val="none"/>
              </w:rPr>
              <w:t>合格中标候选人</w:t>
            </w:r>
            <w:bookmarkEnd w:id="67"/>
            <w:bookmarkStart w:id="69" w:name="OLE_LINK7"/>
            <w:r>
              <w:rPr>
                <w:rFonts w:hint="default" w:eastAsia="Calibri"/>
                <w:highlight w:val="none"/>
                <w:lang w:val="en-US" w:eastAsia="zh-CN"/>
              </w:rPr>
              <w:t>承接过的</w:t>
            </w:r>
            <w:bookmarkStart w:id="70" w:name="OLE_LINK10"/>
            <w:r>
              <w:rPr>
                <w:rFonts w:hint="default" w:ascii="Times New Roman" w:hAnsi="Times New Roman" w:eastAsia="Calibri" w:cs="Times New Roman"/>
                <w:highlight w:val="none"/>
                <w:lang w:val="en-US" w:eastAsia="zh-CN"/>
              </w:rPr>
              <w:t>建筑工程装饰装修</w:t>
            </w:r>
            <w:r>
              <w:rPr>
                <w:rFonts w:hint="default" w:ascii="Times New Roman" w:hAnsi="Times New Roman" w:cs="Times New Roman"/>
                <w:highlight w:val="none"/>
                <w:lang w:val="en-US" w:eastAsia="zh-Hans"/>
              </w:rPr>
              <w:t>设计</w:t>
            </w:r>
            <w:r>
              <w:rPr>
                <w:rFonts w:hint="default" w:eastAsia="Calibri"/>
                <w:highlight w:val="none"/>
                <w:lang w:val="en-US" w:eastAsia="zh-CN"/>
              </w:rPr>
              <w:t>业绩</w:t>
            </w:r>
            <w:bookmarkEnd w:id="70"/>
            <w:r>
              <w:rPr>
                <w:rFonts w:hint="default"/>
                <w:highlight w:val="none"/>
              </w:rPr>
              <w:t>：获国家级奖项</w:t>
            </w:r>
            <w:r>
              <w:rPr>
                <w:rFonts w:hint="default" w:eastAsia="Calibri"/>
                <w:highlight w:val="none"/>
                <w:lang w:eastAsia="zh-CN"/>
              </w:rPr>
              <w:t>，</w:t>
            </w:r>
            <w:r>
              <w:rPr>
                <w:rFonts w:hint="default" w:eastAsia="Calibri"/>
                <w:highlight w:val="none"/>
                <w:lang w:val="en-US" w:eastAsia="zh-CN"/>
              </w:rPr>
              <w:t>每一项</w:t>
            </w:r>
            <w:r>
              <w:rPr>
                <w:rFonts w:hint="default"/>
                <w:highlight w:val="none"/>
              </w:rPr>
              <w:t>得</w:t>
            </w:r>
            <w:r>
              <w:rPr>
                <w:rFonts w:hint="default" w:eastAsia="Calibri"/>
                <w:highlight w:val="none"/>
                <w:lang w:val="en-US" w:eastAsia="zh-CN"/>
              </w:rPr>
              <w:t>4</w:t>
            </w:r>
            <w:r>
              <w:rPr>
                <w:rFonts w:hint="default"/>
                <w:highlight w:val="none"/>
              </w:rPr>
              <w:t>分；获省级奖项</w:t>
            </w:r>
            <w:r>
              <w:rPr>
                <w:rFonts w:hint="default" w:eastAsia="Calibri"/>
                <w:highlight w:val="none"/>
                <w:lang w:eastAsia="zh-CN"/>
              </w:rPr>
              <w:t>，</w:t>
            </w:r>
            <w:r>
              <w:rPr>
                <w:rFonts w:hint="default" w:eastAsia="Calibri"/>
                <w:highlight w:val="none"/>
                <w:lang w:val="en-US" w:eastAsia="zh-CN"/>
              </w:rPr>
              <w:t>每一项</w:t>
            </w:r>
            <w:r>
              <w:rPr>
                <w:rFonts w:hint="default"/>
                <w:highlight w:val="none"/>
              </w:rPr>
              <w:t>得</w:t>
            </w:r>
            <w:r>
              <w:rPr>
                <w:rFonts w:hint="default" w:eastAsia="Calibri"/>
                <w:highlight w:val="none"/>
                <w:lang w:val="en-US" w:eastAsia="zh-CN"/>
              </w:rPr>
              <w:t>2</w:t>
            </w:r>
            <w:r>
              <w:rPr>
                <w:rFonts w:hint="default"/>
                <w:highlight w:val="none"/>
              </w:rPr>
              <w:t>分；获市级奖项</w:t>
            </w:r>
            <w:r>
              <w:rPr>
                <w:rFonts w:hint="default" w:eastAsia="Calibri"/>
                <w:highlight w:val="none"/>
                <w:lang w:eastAsia="zh-CN"/>
              </w:rPr>
              <w:t>，</w:t>
            </w:r>
            <w:r>
              <w:rPr>
                <w:rFonts w:hint="default" w:eastAsia="Calibri"/>
                <w:highlight w:val="none"/>
                <w:lang w:val="en-US" w:eastAsia="zh-CN"/>
              </w:rPr>
              <w:t>每一项</w:t>
            </w:r>
            <w:r>
              <w:rPr>
                <w:rFonts w:hint="default"/>
                <w:highlight w:val="none"/>
              </w:rPr>
              <w:t>得</w:t>
            </w:r>
            <w:r>
              <w:rPr>
                <w:rFonts w:hint="default" w:eastAsia="Calibri"/>
                <w:highlight w:val="none"/>
                <w:lang w:val="en-US" w:eastAsia="zh-CN"/>
              </w:rPr>
              <w:t>1</w:t>
            </w:r>
            <w:r>
              <w:rPr>
                <w:rFonts w:hint="default"/>
                <w:highlight w:val="none"/>
              </w:rPr>
              <w:t>分；最高</w:t>
            </w:r>
            <w:r>
              <w:rPr>
                <w:rFonts w:hint="default" w:eastAsia="Calibri"/>
                <w:highlight w:val="none"/>
                <w:lang w:val="en-US" w:eastAsia="zh-CN"/>
              </w:rPr>
              <w:t>得4</w:t>
            </w:r>
            <w:r>
              <w:rPr>
                <w:rFonts w:hint="default"/>
                <w:highlight w:val="none"/>
              </w:rPr>
              <w:t>分。</w:t>
            </w:r>
          </w:p>
          <w:bookmarkEnd w:id="69"/>
          <w:p w14:paraId="229E4B97">
            <w:pPr>
              <w:widowControl/>
              <w:spacing w:line="240" w:lineRule="auto"/>
              <w:textAlignment w:val="auto"/>
              <w:rPr>
                <w:highlight w:val="none"/>
              </w:rPr>
            </w:pPr>
            <w:r>
              <w:rPr>
                <w:rFonts w:hint="default"/>
                <w:highlight w:val="none"/>
              </w:rPr>
              <w:t>注：获奖业绩认定证明材料以获奖证书为准。奖项包括</w:t>
            </w:r>
            <w:r>
              <w:rPr>
                <w:rFonts w:hint="default" w:eastAsia="Calibri"/>
                <w:highlight w:val="none"/>
                <w:lang w:eastAsia="zh-CN"/>
              </w:rPr>
              <w:t>：</w:t>
            </w:r>
            <w:r>
              <w:rPr>
                <w:rFonts w:hint="default"/>
                <w:highlight w:val="none"/>
              </w:rPr>
              <w:t>国家级设计奖项是指国务院、住建部或国家级协会颁发的设计奖项</w:t>
            </w:r>
            <w:r>
              <w:rPr>
                <w:rFonts w:hint="default" w:eastAsia="Calibri"/>
                <w:highlight w:val="none"/>
                <w:lang w:eastAsia="zh-CN"/>
              </w:rPr>
              <w:t>、</w:t>
            </w:r>
            <w:r>
              <w:rPr>
                <w:rFonts w:hint="default" w:ascii="Times New Roman" w:hAnsi="Times New Roman" w:eastAsia="Calibri" w:cs="Times New Roman"/>
                <w:b w:val="0"/>
                <w:bCs w:val="0"/>
                <w:color w:val="auto"/>
                <w:kern w:val="0"/>
                <w:sz w:val="22"/>
                <w:szCs w:val="22"/>
                <w:highlight w:val="none"/>
                <w:lang w:eastAsia="zh-CN"/>
              </w:rPr>
              <w:t>由国务院颁发的国家科学技术奖、住建部的华夏建设科学技术奖励委员会颁发的华夏建设科学技术奖</w:t>
            </w:r>
            <w:r>
              <w:rPr>
                <w:rFonts w:hint="default"/>
                <w:highlight w:val="none"/>
              </w:rPr>
              <w:t>；省级设计奖项是指省级行政主管部门或省级协会颁发的设计奖项</w:t>
            </w:r>
            <w:r>
              <w:rPr>
                <w:rFonts w:hint="default" w:eastAsia="Calibri"/>
                <w:highlight w:val="none"/>
                <w:lang w:eastAsia="zh-CN"/>
              </w:rPr>
              <w:t>、</w:t>
            </w:r>
            <w:r>
              <w:rPr>
                <w:rFonts w:hint="default" w:ascii="Times New Roman" w:hAnsi="Times New Roman" w:eastAsia="Calibri" w:cs="Times New Roman"/>
                <w:b w:val="0"/>
                <w:bCs w:val="0"/>
                <w:color w:val="auto"/>
                <w:kern w:val="0"/>
                <w:sz w:val="22"/>
                <w:szCs w:val="22"/>
                <w:highlight w:val="none"/>
                <w:lang w:eastAsia="zh-CN"/>
              </w:rPr>
              <w:t>省级人民政府颁发的省科学技术奖</w:t>
            </w:r>
            <w:r>
              <w:rPr>
                <w:rFonts w:hint="default"/>
                <w:highlight w:val="none"/>
              </w:rPr>
              <w:t>；地级市设计奖项是指地级市行政主管部门或地级市协会颁发的设计奖项</w:t>
            </w:r>
            <w:r>
              <w:rPr>
                <w:rFonts w:hint="default" w:eastAsia="Calibri"/>
                <w:highlight w:val="none"/>
                <w:lang w:eastAsia="zh-CN"/>
              </w:rPr>
              <w:t>、</w:t>
            </w:r>
            <w:r>
              <w:rPr>
                <w:rFonts w:hint="default" w:ascii="Times New Roman" w:hAnsi="Times New Roman" w:eastAsia="Calibri" w:cs="Times New Roman"/>
                <w:b w:val="0"/>
                <w:bCs w:val="0"/>
                <w:color w:val="auto"/>
                <w:kern w:val="0"/>
                <w:sz w:val="22"/>
                <w:szCs w:val="22"/>
                <w:highlight w:val="none"/>
                <w:lang w:eastAsia="zh-CN"/>
              </w:rPr>
              <w:t>市级（含副省）人民政府颁发的市级（含副省）科学技术奖</w:t>
            </w:r>
            <w:r>
              <w:rPr>
                <w:rFonts w:hint="default"/>
                <w:highlight w:val="none"/>
              </w:rPr>
              <w:t>；同一项目按最高奖项计1次，不重复计分。</w:t>
            </w:r>
          </w:p>
          <w:bookmarkEnd w:id="68"/>
          <w:p w14:paraId="757176FC">
            <w:pPr>
              <w:widowControl/>
              <w:spacing w:line="240" w:lineRule="auto"/>
              <w:textAlignment w:val="auto"/>
              <w:rPr>
                <w:rFonts w:hint="default" w:ascii="Times New Roman" w:hAnsi="Times New Roman" w:cs="Times New Roman"/>
                <w:highlight w:val="none"/>
                <w:lang w:val="en-US" w:eastAsia="zh-Hans"/>
              </w:rPr>
            </w:pPr>
            <w:r>
              <w:rPr>
                <w:rFonts w:hint="default" w:ascii="Times New Roman" w:hAnsi="Times New Roman" w:cs="Times New Roman"/>
                <w:highlight w:val="none"/>
                <w:lang w:val="en-US" w:eastAsia="zh-Hans"/>
              </w:rPr>
              <w:t>项目</w:t>
            </w:r>
            <w:r>
              <w:rPr>
                <w:rFonts w:hint="default" w:ascii="Times New Roman" w:hAnsi="Times New Roman" w:eastAsia="Calibri" w:cs="Times New Roman"/>
                <w:highlight w:val="none"/>
                <w:lang w:val="en-US" w:eastAsia="zh-CN"/>
              </w:rPr>
              <w:t>经验</w:t>
            </w:r>
            <w:r>
              <w:rPr>
                <w:rFonts w:hint="default" w:ascii="Times New Roman" w:hAnsi="Times New Roman" w:cs="Times New Roman"/>
                <w:highlight w:val="none"/>
                <w:lang w:val="en-US" w:eastAsia="zh-Hans"/>
              </w:rPr>
              <w:t>：</w:t>
            </w:r>
            <w:r>
              <w:rPr>
                <w:rFonts w:hint="default"/>
                <w:highlight w:val="none"/>
              </w:rPr>
              <w:t>合格中标候选人</w:t>
            </w:r>
            <w:r>
              <w:rPr>
                <w:rFonts w:hint="default" w:ascii="Times New Roman" w:hAnsi="Times New Roman" w:cs="Times New Roman"/>
                <w:highlight w:val="none"/>
                <w:lang w:val="en-US" w:eastAsia="zh-Hans"/>
              </w:rPr>
              <w:t>自</w:t>
            </w:r>
            <w:bookmarkStart w:id="71" w:name="OLE_LINK4"/>
            <w:r>
              <w:rPr>
                <w:rFonts w:hint="default" w:ascii="Times New Roman" w:hAnsi="Times New Roman" w:cs="Times New Roman"/>
                <w:highlight w:val="none"/>
                <w:lang w:val="en-US" w:eastAsia="zh-Hans"/>
              </w:rPr>
              <w:t>2020年1月1日</w:t>
            </w:r>
            <w:bookmarkEnd w:id="71"/>
            <w:r>
              <w:rPr>
                <w:rFonts w:hint="default" w:ascii="Times New Roman" w:hAnsi="Times New Roman" w:cs="Times New Roman"/>
                <w:highlight w:val="none"/>
                <w:lang w:val="en-US" w:eastAsia="zh-Hans"/>
              </w:rPr>
              <w:t>至投标截止日止，承担过合同金额大于</w:t>
            </w:r>
            <w:r>
              <w:rPr>
                <w:rFonts w:hint="default" w:ascii="Times New Roman" w:hAnsi="Times New Roman" w:eastAsia="Calibri" w:cs="Times New Roman"/>
                <w:highlight w:val="none"/>
                <w:lang w:val="en-US" w:eastAsia="zh-CN"/>
              </w:rPr>
              <w:t>4</w:t>
            </w:r>
            <w:r>
              <w:rPr>
                <w:rFonts w:hint="default" w:ascii="Times New Roman" w:hAnsi="Times New Roman" w:cs="Times New Roman"/>
                <w:highlight w:val="none"/>
                <w:lang w:val="en-US" w:eastAsia="zh-Hans"/>
              </w:rPr>
              <w:t>00万元的</w:t>
            </w:r>
            <w:bookmarkStart w:id="72" w:name="OLE_LINK5"/>
            <w:r>
              <w:rPr>
                <w:rFonts w:hint="default" w:ascii="Times New Roman" w:hAnsi="Times New Roman" w:eastAsia="Calibri" w:cs="Times New Roman"/>
                <w:highlight w:val="none"/>
                <w:lang w:val="en-US" w:eastAsia="zh-CN"/>
              </w:rPr>
              <w:t>建筑工程装饰装修</w:t>
            </w:r>
            <w:r>
              <w:rPr>
                <w:rFonts w:hint="default" w:ascii="Times New Roman" w:hAnsi="Times New Roman" w:cs="Times New Roman"/>
                <w:highlight w:val="none"/>
                <w:lang w:val="en-US" w:eastAsia="zh-Hans"/>
              </w:rPr>
              <w:t>设计</w:t>
            </w:r>
            <w:bookmarkEnd w:id="72"/>
            <w:r>
              <w:rPr>
                <w:rFonts w:hint="default" w:ascii="Times New Roman" w:hAnsi="Times New Roman" w:cs="Times New Roman"/>
                <w:highlight w:val="none"/>
                <w:lang w:val="en-US" w:eastAsia="zh-Hans"/>
              </w:rPr>
              <w:t>业绩</w:t>
            </w:r>
            <w:r>
              <w:rPr>
                <w:rFonts w:hint="default" w:ascii="Times New Roman" w:hAnsi="Times New Roman" w:eastAsia="Calibri" w:cs="Times New Roman"/>
                <w:highlight w:val="none"/>
                <w:lang w:val="en-US" w:eastAsia="zh-CN"/>
              </w:rPr>
              <w:t>，每一项得2分，最高得6分</w:t>
            </w:r>
            <w:r>
              <w:rPr>
                <w:rFonts w:hint="default" w:ascii="Times New Roman" w:hAnsi="Times New Roman" w:cs="Times New Roman"/>
                <w:highlight w:val="none"/>
                <w:lang w:val="en-US" w:eastAsia="zh-Hans"/>
              </w:rPr>
              <w:t>。</w:t>
            </w:r>
          </w:p>
          <w:p w14:paraId="433E7C57">
            <w:pPr>
              <w:widowControl/>
              <w:spacing w:line="240" w:lineRule="auto"/>
              <w:textAlignment w:val="auto"/>
              <w:rPr>
                <w:rFonts w:hint="eastAsia" w:ascii="宋体" w:hAnsi="宋体" w:eastAsia="宋体" w:cs="宋体"/>
                <w:b/>
                <w:bCs/>
                <w:color w:val="auto"/>
                <w:sz w:val="24"/>
                <w:szCs w:val="24"/>
                <w:highlight w:val="none"/>
              </w:rPr>
            </w:pPr>
            <w:r>
              <w:rPr>
                <w:rFonts w:hint="default" w:ascii="Times New Roman" w:hAnsi="Times New Roman" w:cs="Times New Roman"/>
                <w:highlight w:val="none"/>
                <w:lang w:val="en-US" w:eastAsia="zh-Hans"/>
              </w:rPr>
              <w:t>注：提供装修设计合同（或装修设计施工承包合同、勘察设计合同等）关键页扫描件；金额以合同载明的装修设计部分费用为准；业绩时间以合同签订时间为准；若联合体投标的，设计业绩由主办方设计单位提供。</w:t>
            </w:r>
          </w:p>
        </w:tc>
      </w:tr>
      <w:bookmarkEnd w:id="66"/>
      <w:tr w14:paraId="5E4A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201" w:type="dxa"/>
            <w:noWrap w:val="0"/>
            <w:vAlign w:val="center"/>
          </w:tcPr>
          <w:p w14:paraId="665616AC">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方案因素</w:t>
            </w:r>
          </w:p>
        </w:tc>
        <w:tc>
          <w:tcPr>
            <w:tcW w:w="1243" w:type="dxa"/>
            <w:noWrap w:val="0"/>
            <w:vAlign w:val="center"/>
          </w:tcPr>
          <w:p w14:paraId="0DF9924A">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设计</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50分</w:t>
            </w:r>
            <w:r>
              <w:rPr>
                <w:rFonts w:hint="eastAsia" w:ascii="宋体" w:hAnsi="宋体" w:eastAsia="宋体" w:cs="宋体"/>
                <w:color w:val="auto"/>
                <w:sz w:val="24"/>
                <w:szCs w:val="24"/>
                <w:highlight w:val="none"/>
                <w:lang w:eastAsia="zh-CN"/>
              </w:rPr>
              <w:t>）</w:t>
            </w:r>
          </w:p>
        </w:tc>
        <w:tc>
          <w:tcPr>
            <w:tcW w:w="6952" w:type="dxa"/>
            <w:noWrap w:val="0"/>
            <w:vAlign w:val="center"/>
          </w:tcPr>
          <w:p w14:paraId="61BB5438">
            <w:pPr>
              <w:keepNext w:val="0"/>
              <w:keepLines w:val="0"/>
              <w:pageBreakBefore w:val="0"/>
              <w:widowControl/>
              <w:numPr>
                <w:ilvl w:val="-1"/>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Calibri" w:cs="Times New Roman"/>
                <w:highlight w:val="none"/>
                <w:lang w:eastAsia="zh-Hans"/>
              </w:rPr>
            </w:pPr>
            <w:r>
              <w:rPr>
                <w:rFonts w:hint="default" w:ascii="Times New Roman" w:hAnsi="Times New Roman" w:eastAsia="Calibri" w:cs="Times New Roman"/>
                <w:highlight w:val="none"/>
                <w:lang w:eastAsia="zh-Hans"/>
              </w:rPr>
              <w:t>定标委员会</w:t>
            </w:r>
            <w:r>
              <w:rPr>
                <w:rFonts w:hint="default" w:ascii="Times New Roman" w:hAnsi="Times New Roman" w:eastAsia="Calibri" w:cs="Times New Roman"/>
                <w:highlight w:val="none"/>
                <w:lang w:val="en-US" w:eastAsia="zh-Hans"/>
              </w:rPr>
              <w:t>对</w:t>
            </w:r>
            <w:r>
              <w:rPr>
                <w:rFonts w:hint="default" w:ascii="Times New Roman" w:hAnsi="Times New Roman" w:eastAsia="Calibri" w:cs="Times New Roman"/>
                <w:highlight w:val="none"/>
                <w:lang w:eastAsia="zh-Hans"/>
              </w:rPr>
              <w:t>所有合格中标候选人</w:t>
            </w:r>
            <w:r>
              <w:rPr>
                <w:rFonts w:hint="default" w:ascii="Times New Roman" w:hAnsi="Times New Roman" w:eastAsia="Calibri" w:cs="Times New Roman"/>
                <w:highlight w:val="none"/>
                <w:lang w:val="en-US" w:eastAsia="zh-Hans"/>
              </w:rPr>
              <w:t>的设计方案（含设计概念、使用功能、主要节点展示图等）</w:t>
            </w:r>
            <w:r>
              <w:rPr>
                <w:rFonts w:hint="default" w:ascii="Times New Roman" w:hAnsi="Times New Roman" w:eastAsia="Calibri" w:cs="Times New Roman"/>
                <w:highlight w:val="none"/>
                <w:lang w:eastAsia="zh-Hans"/>
              </w:rPr>
              <w:t>进行横向比较。</w:t>
            </w:r>
          </w:p>
          <w:p w14:paraId="5F39B66A">
            <w:pPr>
              <w:widowControl/>
              <w:numPr>
                <w:ilvl w:val="-1"/>
                <w:numId w:val="0"/>
              </w:numPr>
              <w:snapToGrid/>
              <w:spacing w:line="240" w:lineRule="auto"/>
              <w:jc w:val="left"/>
              <w:rPr>
                <w:rFonts w:hint="default" w:ascii="Times New Roman" w:hAnsi="Times New Roman" w:eastAsia="Calibri" w:cs="Times New Roman"/>
                <w:sz w:val="22"/>
                <w:szCs w:val="22"/>
                <w:highlight w:val="none"/>
                <w:lang w:eastAsia="zh-Hans"/>
              </w:rPr>
            </w:pPr>
            <w:r>
              <w:rPr>
                <w:rFonts w:hint="default" w:ascii="Times New Roman" w:hAnsi="Times New Roman" w:eastAsia="Calibri" w:cs="Times New Roman"/>
                <w:sz w:val="22"/>
                <w:szCs w:val="22"/>
                <w:highlight w:val="none"/>
                <w:lang w:val="en-US" w:eastAsia="zh-CN"/>
              </w:rPr>
              <w:t>1.</w:t>
            </w:r>
            <w:r>
              <w:rPr>
                <w:rFonts w:hint="default" w:ascii="Times New Roman" w:hAnsi="Times New Roman" w:eastAsia="Calibri" w:cs="Times New Roman"/>
                <w:sz w:val="22"/>
                <w:szCs w:val="22"/>
                <w:highlight w:val="none"/>
                <w:lang w:eastAsia="zh-Hans"/>
              </w:rPr>
              <w:t>根据设计方案对设计任务书、设计要点、强制性规范的理解和满足情况，以及对项目设计审查要求符合情况，综合考量总体布置合理性，使用功能等设计情况进行评审；</w:t>
            </w:r>
          </w:p>
          <w:p w14:paraId="3C746CAF">
            <w:pPr>
              <w:widowControl/>
              <w:numPr>
                <w:ilvl w:val="-1"/>
                <w:numId w:val="0"/>
              </w:numPr>
              <w:snapToGrid/>
              <w:spacing w:line="240" w:lineRule="auto"/>
              <w:jc w:val="left"/>
              <w:rPr>
                <w:rFonts w:hint="default" w:eastAsia="Calibri" w:cs="Times New Roman"/>
                <w:szCs w:val="22"/>
                <w:highlight w:val="none"/>
                <w:lang w:val="en-US" w:eastAsia="zh-CN"/>
              </w:rPr>
            </w:pPr>
            <w:r>
              <w:rPr>
                <w:rFonts w:hint="eastAsia" w:eastAsia="宋体" w:cs="Times New Roman"/>
                <w:highlight w:val="none"/>
                <w:lang w:val="en-US" w:eastAsia="zh-CN"/>
              </w:rPr>
              <w:t>设计方案</w:t>
            </w:r>
            <w:r>
              <w:rPr>
                <w:rFonts w:hint="eastAsia" w:cs="Times New Roman"/>
                <w:szCs w:val="22"/>
                <w:highlight w:val="none"/>
                <w:lang w:val="en-US" w:eastAsia="zh-CN"/>
              </w:rPr>
              <w:t>对</w:t>
            </w:r>
            <w:r>
              <w:rPr>
                <w:rFonts w:hint="default" w:eastAsia="Calibri" w:cs="Times New Roman"/>
                <w:szCs w:val="22"/>
                <w:highlight w:val="none"/>
                <w:lang w:val="en-US" w:eastAsia="zh-CN"/>
              </w:rPr>
              <w:t>设计任务书的各项要求有</w:t>
            </w:r>
            <w:r>
              <w:rPr>
                <w:rFonts w:hint="eastAsia" w:cs="Times New Roman"/>
                <w:szCs w:val="22"/>
                <w:highlight w:val="none"/>
                <w:lang w:val="en-US" w:eastAsia="zh-CN"/>
              </w:rPr>
              <w:t>准确</w:t>
            </w:r>
            <w:r>
              <w:rPr>
                <w:rFonts w:hint="default" w:eastAsia="Calibri" w:cs="Times New Roman"/>
                <w:szCs w:val="22"/>
                <w:highlight w:val="none"/>
                <w:lang w:val="en-US" w:eastAsia="zh-CN"/>
              </w:rPr>
              <w:t>理解，完全涵盖</w:t>
            </w:r>
            <w:r>
              <w:rPr>
                <w:rFonts w:hint="eastAsia" w:cs="Times New Roman"/>
                <w:szCs w:val="22"/>
                <w:highlight w:val="none"/>
                <w:lang w:val="en-US" w:eastAsia="zh-CN"/>
              </w:rPr>
              <w:t>设计</w:t>
            </w:r>
            <w:r>
              <w:rPr>
                <w:rFonts w:hint="default" w:eastAsia="Calibri" w:cs="Times New Roman"/>
                <w:szCs w:val="22"/>
                <w:highlight w:val="none"/>
                <w:lang w:val="en-US" w:eastAsia="zh-CN"/>
              </w:rPr>
              <w:t>任务书中的所有要点，包括但不限于功能需求、设计规模、风格要求等</w:t>
            </w:r>
            <w:r>
              <w:rPr>
                <w:rFonts w:hint="eastAsia" w:cs="Times New Roman"/>
                <w:szCs w:val="22"/>
                <w:highlight w:val="none"/>
                <w:lang w:val="en-US" w:eastAsia="zh-CN"/>
              </w:rPr>
              <w:t>。</w:t>
            </w:r>
            <w:r>
              <w:rPr>
                <w:rFonts w:hint="default" w:ascii="Times New Roman" w:hAnsi="Times New Roman" w:eastAsia="Calibri" w:cs="Times New Roman"/>
                <w:szCs w:val="22"/>
                <w:highlight w:val="none"/>
                <w:lang w:val="en-US" w:eastAsia="zh-Hans"/>
              </w:rPr>
              <w:t>优得</w:t>
            </w:r>
            <w:r>
              <w:rPr>
                <w:rFonts w:hint="default"/>
                <w:highlight w:val="none"/>
              </w:rPr>
              <w:t>[</w:t>
            </w:r>
            <w:r>
              <w:rPr>
                <w:rFonts w:hint="default" w:eastAsia="Calibri"/>
                <w:highlight w:val="none"/>
                <w:lang w:eastAsia="zh-CN"/>
              </w:rPr>
              <w:t>1</w:t>
            </w:r>
            <w:r>
              <w:rPr>
                <w:rFonts w:hint="default" w:eastAsia="Calibri"/>
                <w:highlight w:val="none"/>
                <w:lang w:val="en-US" w:eastAsia="zh-CN"/>
              </w:rPr>
              <w:t>5</w:t>
            </w:r>
            <w:r>
              <w:rPr>
                <w:rFonts w:hint="default"/>
                <w:highlight w:val="none"/>
              </w:rPr>
              <w:t>-</w:t>
            </w:r>
            <w:r>
              <w:rPr>
                <w:rFonts w:hint="default" w:eastAsia="Calibri"/>
                <w:highlight w:val="none"/>
                <w:lang w:eastAsia="zh-CN"/>
              </w:rPr>
              <w:t>2</w:t>
            </w:r>
            <w:r>
              <w:rPr>
                <w:rFonts w:hint="default" w:eastAsia="Calibri"/>
                <w:highlight w:val="none"/>
                <w:lang w:val="en-US" w:eastAsia="zh-CN"/>
              </w:rPr>
              <w:t>0</w:t>
            </w:r>
            <w:r>
              <w:rPr>
                <w:rFonts w:hint="default"/>
                <w:highlight w:val="none"/>
              </w:rPr>
              <w:t>]</w:t>
            </w:r>
            <w:r>
              <w:rPr>
                <w:rFonts w:hint="default" w:ascii="Times New Roman" w:hAnsi="Times New Roman" w:eastAsia="Calibri" w:cs="Times New Roman"/>
                <w:szCs w:val="22"/>
                <w:highlight w:val="none"/>
                <w:lang w:val="en-US" w:eastAsia="zh-Hans"/>
              </w:rPr>
              <w:t>分</w:t>
            </w:r>
            <w:r>
              <w:rPr>
                <w:rFonts w:hint="default" w:eastAsia="Calibri" w:cs="Times New Roman"/>
                <w:szCs w:val="22"/>
                <w:highlight w:val="none"/>
                <w:lang w:val="en-US" w:eastAsia="zh-CN"/>
              </w:rPr>
              <w:t>：</w:t>
            </w:r>
          </w:p>
          <w:p w14:paraId="21DB831A">
            <w:pPr>
              <w:widowControl/>
              <w:numPr>
                <w:ilvl w:val="-1"/>
                <w:numId w:val="0"/>
              </w:numPr>
              <w:snapToGrid/>
              <w:spacing w:line="240" w:lineRule="auto"/>
              <w:ind w:firstLine="0" w:firstLineChars="0"/>
              <w:jc w:val="left"/>
              <w:rPr>
                <w:rFonts w:hint="default" w:eastAsia="Calibri" w:cs="Times New Roman"/>
                <w:szCs w:val="22"/>
                <w:highlight w:val="none"/>
                <w:lang w:val="en-US" w:eastAsia="zh-CN"/>
              </w:rPr>
            </w:pPr>
            <w:r>
              <w:rPr>
                <w:rFonts w:hint="eastAsia" w:eastAsia="宋体" w:cs="Times New Roman"/>
                <w:highlight w:val="none"/>
                <w:lang w:val="en-US" w:eastAsia="zh-CN"/>
              </w:rPr>
              <w:t>设计方案</w:t>
            </w:r>
            <w:r>
              <w:rPr>
                <w:rFonts w:hint="eastAsia" w:cs="Times New Roman"/>
                <w:szCs w:val="22"/>
                <w:highlight w:val="none"/>
                <w:lang w:val="en-US" w:eastAsia="zh-CN"/>
              </w:rPr>
              <w:t>对</w:t>
            </w:r>
            <w:r>
              <w:rPr>
                <w:rFonts w:hint="default" w:eastAsia="Calibri" w:cs="Times New Roman"/>
                <w:szCs w:val="22"/>
                <w:highlight w:val="none"/>
                <w:lang w:val="en-US" w:eastAsia="zh-CN"/>
              </w:rPr>
              <w:t>设计任务书的理解</w:t>
            </w:r>
            <w:r>
              <w:rPr>
                <w:rFonts w:hint="eastAsia" w:cs="Times New Roman"/>
                <w:szCs w:val="22"/>
                <w:highlight w:val="none"/>
                <w:lang w:val="en-US" w:eastAsia="zh-CN"/>
              </w:rPr>
              <w:t>较为准确</w:t>
            </w:r>
            <w:r>
              <w:rPr>
                <w:rFonts w:hint="default" w:eastAsia="Calibri" w:cs="Times New Roman"/>
                <w:szCs w:val="22"/>
                <w:highlight w:val="none"/>
                <w:lang w:val="en-US" w:eastAsia="zh-CN"/>
              </w:rPr>
              <w:t>，</w:t>
            </w:r>
            <w:r>
              <w:rPr>
                <w:rFonts w:hint="eastAsia" w:cs="Times New Roman"/>
                <w:szCs w:val="22"/>
                <w:highlight w:val="none"/>
                <w:lang w:val="en-US" w:eastAsia="zh-CN"/>
              </w:rPr>
              <w:t>基本</w:t>
            </w:r>
            <w:r>
              <w:rPr>
                <w:rFonts w:hint="default" w:eastAsia="Calibri" w:cs="Times New Roman"/>
                <w:szCs w:val="22"/>
                <w:highlight w:val="none"/>
                <w:lang w:val="en-US" w:eastAsia="zh-CN"/>
              </w:rPr>
              <w:t>涵盖</w:t>
            </w:r>
            <w:r>
              <w:rPr>
                <w:rFonts w:hint="eastAsia" w:cs="Times New Roman"/>
                <w:szCs w:val="22"/>
                <w:highlight w:val="none"/>
                <w:lang w:val="en-US" w:eastAsia="zh-CN"/>
              </w:rPr>
              <w:t>设计</w:t>
            </w:r>
            <w:r>
              <w:rPr>
                <w:rFonts w:hint="default" w:eastAsia="Calibri" w:cs="Times New Roman"/>
                <w:szCs w:val="22"/>
                <w:highlight w:val="none"/>
                <w:lang w:val="en-US" w:eastAsia="zh-CN"/>
              </w:rPr>
              <w:t>任务书中的要点</w:t>
            </w:r>
            <w:r>
              <w:rPr>
                <w:rFonts w:hint="eastAsia" w:cs="Times New Roman"/>
                <w:szCs w:val="22"/>
                <w:highlight w:val="none"/>
                <w:lang w:val="en-US" w:eastAsia="zh-CN"/>
              </w:rPr>
              <w:t>。</w:t>
            </w:r>
            <w:r>
              <w:rPr>
                <w:rFonts w:hint="default" w:ascii="Times New Roman" w:hAnsi="Times New Roman" w:eastAsia="Calibri" w:cs="Times New Roman"/>
                <w:szCs w:val="22"/>
                <w:highlight w:val="none"/>
                <w:lang w:val="en-US" w:eastAsia="zh-Hans"/>
              </w:rPr>
              <w:t>良得</w:t>
            </w:r>
            <w:r>
              <w:rPr>
                <w:rFonts w:hint="default"/>
                <w:highlight w:val="none"/>
              </w:rPr>
              <w:t>[</w:t>
            </w:r>
            <w:r>
              <w:rPr>
                <w:rFonts w:hint="default" w:eastAsia="Calibri"/>
                <w:highlight w:val="none"/>
                <w:lang w:eastAsia="zh-CN"/>
              </w:rPr>
              <w:t>1</w:t>
            </w:r>
            <w:r>
              <w:rPr>
                <w:rFonts w:hint="default" w:eastAsia="Calibri"/>
                <w:highlight w:val="none"/>
                <w:lang w:val="en-US" w:eastAsia="zh-CN"/>
              </w:rPr>
              <w:t>0</w:t>
            </w:r>
            <w:r>
              <w:rPr>
                <w:rFonts w:hint="default"/>
                <w:highlight w:val="none"/>
              </w:rPr>
              <w:t>-</w:t>
            </w:r>
            <w:r>
              <w:rPr>
                <w:rFonts w:hint="default" w:eastAsia="Calibri"/>
                <w:highlight w:val="none"/>
                <w:lang w:eastAsia="zh-CN"/>
              </w:rPr>
              <w:t>1</w:t>
            </w:r>
            <w:r>
              <w:rPr>
                <w:rFonts w:hint="default" w:eastAsia="Calibri"/>
                <w:highlight w:val="none"/>
                <w:lang w:val="en-US" w:eastAsia="zh-CN"/>
              </w:rPr>
              <w:t>5</w:t>
            </w:r>
            <w:r>
              <w:rPr>
                <w:rFonts w:hint="default"/>
                <w:highlight w:val="none"/>
              </w:rPr>
              <w:t>)</w:t>
            </w:r>
            <w:r>
              <w:rPr>
                <w:rFonts w:hint="default" w:ascii="Times New Roman" w:hAnsi="Times New Roman" w:eastAsia="Calibri" w:cs="Times New Roman"/>
                <w:szCs w:val="22"/>
                <w:highlight w:val="none"/>
                <w:lang w:val="en-US" w:eastAsia="zh-Hans"/>
              </w:rPr>
              <w:t>分</w:t>
            </w:r>
            <w:r>
              <w:rPr>
                <w:rFonts w:hint="default" w:eastAsia="Calibri" w:cs="Times New Roman"/>
                <w:szCs w:val="22"/>
                <w:highlight w:val="none"/>
                <w:lang w:val="en-US" w:eastAsia="zh-CN"/>
              </w:rPr>
              <w:t>：</w:t>
            </w:r>
          </w:p>
          <w:p w14:paraId="74E8EE62">
            <w:pPr>
              <w:widowControl/>
              <w:numPr>
                <w:ilvl w:val="-1"/>
                <w:numId w:val="0"/>
              </w:numPr>
              <w:snapToGrid/>
              <w:spacing w:line="240" w:lineRule="auto"/>
              <w:jc w:val="left"/>
              <w:rPr>
                <w:rFonts w:hint="default" w:ascii="Times New Roman" w:hAnsi="Times New Roman" w:eastAsia="Calibri" w:cs="Times New Roman"/>
                <w:szCs w:val="22"/>
                <w:highlight w:val="none"/>
                <w:lang w:val="en-US" w:eastAsia="zh-Hans"/>
              </w:rPr>
            </w:pPr>
            <w:r>
              <w:rPr>
                <w:rFonts w:hint="eastAsia" w:eastAsia="宋体" w:cs="Times New Roman"/>
                <w:highlight w:val="none"/>
                <w:lang w:val="en-US" w:eastAsia="zh-CN"/>
              </w:rPr>
              <w:t>设计方案</w:t>
            </w:r>
            <w:r>
              <w:rPr>
                <w:rFonts w:hint="eastAsia" w:cs="Times New Roman"/>
                <w:szCs w:val="22"/>
                <w:highlight w:val="none"/>
                <w:lang w:val="en-US" w:eastAsia="zh-CN"/>
              </w:rPr>
              <w:t>对</w:t>
            </w:r>
            <w:r>
              <w:rPr>
                <w:rFonts w:hint="default" w:eastAsia="Calibri" w:cs="Times New Roman"/>
                <w:szCs w:val="22"/>
                <w:highlight w:val="none"/>
                <w:lang w:val="en-US" w:eastAsia="zh-CN"/>
              </w:rPr>
              <w:t>设计任务书的理解</w:t>
            </w:r>
            <w:r>
              <w:rPr>
                <w:rFonts w:hint="eastAsia" w:cs="Times New Roman"/>
                <w:szCs w:val="22"/>
                <w:highlight w:val="none"/>
                <w:lang w:val="en-US" w:eastAsia="zh-CN"/>
              </w:rPr>
              <w:t>一般，设计</w:t>
            </w:r>
            <w:r>
              <w:rPr>
                <w:rFonts w:hint="default" w:eastAsia="Calibri" w:cs="Times New Roman"/>
                <w:szCs w:val="22"/>
                <w:highlight w:val="none"/>
                <w:lang w:val="en-US" w:eastAsia="zh-CN"/>
              </w:rPr>
              <w:t>任务书中的要点</w:t>
            </w:r>
            <w:r>
              <w:rPr>
                <w:rFonts w:hint="default" w:ascii="Times New Roman" w:hAnsi="Times New Roman" w:eastAsia="Calibri" w:cs="Times New Roman"/>
                <w:szCs w:val="22"/>
                <w:highlight w:val="none"/>
                <w:lang w:val="en-US" w:eastAsia="zh-Hans"/>
              </w:rPr>
              <w:t>存在误解或遗漏</w:t>
            </w:r>
            <w:r>
              <w:rPr>
                <w:rFonts w:hint="eastAsia" w:eastAsia="宋体" w:cs="Times New Roman"/>
                <w:szCs w:val="22"/>
                <w:highlight w:val="none"/>
                <w:lang w:val="en-US" w:eastAsia="zh-CN"/>
              </w:rPr>
              <w:t>。</w:t>
            </w:r>
            <w:r>
              <w:rPr>
                <w:rFonts w:hint="default" w:ascii="Times New Roman" w:hAnsi="Times New Roman" w:eastAsia="Calibri" w:cs="Times New Roman"/>
                <w:szCs w:val="22"/>
                <w:highlight w:val="none"/>
                <w:lang w:val="en-US" w:eastAsia="zh-Hans"/>
              </w:rPr>
              <w:t>中得</w:t>
            </w:r>
            <w:r>
              <w:rPr>
                <w:rFonts w:hint="default"/>
                <w:highlight w:val="none"/>
              </w:rPr>
              <w:t>[</w:t>
            </w:r>
            <w:r>
              <w:rPr>
                <w:rFonts w:hint="default" w:eastAsia="Calibri"/>
                <w:highlight w:val="none"/>
                <w:lang w:eastAsia="zh-CN"/>
              </w:rPr>
              <w:t>5</w:t>
            </w:r>
            <w:r>
              <w:rPr>
                <w:rFonts w:hint="default"/>
                <w:highlight w:val="none"/>
              </w:rPr>
              <w:t>-</w:t>
            </w:r>
            <w:r>
              <w:rPr>
                <w:rFonts w:hint="default" w:eastAsia="Calibri"/>
                <w:highlight w:val="none"/>
                <w:lang w:eastAsia="zh-CN"/>
              </w:rPr>
              <w:t>1</w:t>
            </w:r>
            <w:r>
              <w:rPr>
                <w:rFonts w:hint="default" w:eastAsia="Calibri"/>
                <w:highlight w:val="none"/>
                <w:lang w:val="en-US" w:eastAsia="zh-CN"/>
              </w:rPr>
              <w:t>0</w:t>
            </w:r>
            <w:r>
              <w:rPr>
                <w:rFonts w:hint="default"/>
                <w:highlight w:val="none"/>
              </w:rPr>
              <w:t>)</w:t>
            </w:r>
            <w:r>
              <w:rPr>
                <w:rFonts w:hint="default" w:ascii="Times New Roman" w:hAnsi="Times New Roman" w:eastAsia="Calibri" w:cs="Times New Roman"/>
                <w:szCs w:val="22"/>
                <w:highlight w:val="none"/>
                <w:lang w:val="en-US" w:eastAsia="zh-Hans"/>
              </w:rPr>
              <w:t>分；</w:t>
            </w:r>
          </w:p>
          <w:p w14:paraId="41324604">
            <w:pPr>
              <w:widowControl/>
              <w:numPr>
                <w:ilvl w:val="-1"/>
                <w:numId w:val="0"/>
              </w:numPr>
              <w:snapToGrid/>
              <w:spacing w:line="240" w:lineRule="auto"/>
              <w:jc w:val="left"/>
              <w:rPr>
                <w:rFonts w:hint="default" w:ascii="Times New Roman" w:hAnsi="Times New Roman" w:eastAsia="Calibri" w:cs="Times New Roman"/>
                <w:szCs w:val="22"/>
                <w:highlight w:val="none"/>
                <w:lang w:val="en-US" w:eastAsia="zh-Hans"/>
              </w:rPr>
            </w:pPr>
            <w:r>
              <w:rPr>
                <w:rFonts w:hint="eastAsia" w:eastAsia="宋体" w:cs="Times New Roman"/>
                <w:highlight w:val="none"/>
                <w:lang w:val="en-US" w:eastAsia="zh-CN"/>
              </w:rPr>
              <w:t>设计方案</w:t>
            </w:r>
            <w:r>
              <w:rPr>
                <w:rFonts w:hint="default"/>
                <w:highlight w:val="none"/>
                <w:lang w:eastAsia="zh-Hans"/>
              </w:rPr>
              <w:t>对设计任务书理解严重不足，遗漏大量关键要点，设计方向与任务书要求偏差较大。</w:t>
            </w:r>
            <w:r>
              <w:rPr>
                <w:rFonts w:hint="default" w:ascii="Times New Roman" w:hAnsi="Times New Roman" w:eastAsia="Calibri" w:cs="Times New Roman"/>
                <w:szCs w:val="22"/>
                <w:highlight w:val="none"/>
                <w:lang w:val="en-US" w:eastAsia="zh-Hans"/>
              </w:rPr>
              <w:t>差或没有不得分。</w:t>
            </w:r>
          </w:p>
          <w:p w14:paraId="024569AD">
            <w:pPr>
              <w:widowControl/>
              <w:numPr>
                <w:ilvl w:val="-1"/>
                <w:numId w:val="0"/>
              </w:numPr>
              <w:snapToGrid/>
              <w:spacing w:line="240" w:lineRule="auto"/>
              <w:jc w:val="left"/>
              <w:rPr>
                <w:rFonts w:hint="default" w:ascii="Times New Roman" w:hAnsi="Times New Roman" w:eastAsia="Calibri" w:cs="Times New Roman"/>
                <w:b w:val="0"/>
                <w:bCs w:val="0"/>
                <w:spacing w:val="0"/>
                <w:highlight w:val="none"/>
                <w:lang w:val="en-US" w:eastAsia="zh-Hans"/>
              </w:rPr>
            </w:pPr>
            <w:r>
              <w:rPr>
                <w:rFonts w:hint="default" w:ascii="Times New Roman" w:hAnsi="Times New Roman" w:eastAsia="Calibri" w:cs="Times New Roman"/>
                <w:b w:val="0"/>
                <w:bCs w:val="0"/>
                <w:szCs w:val="22"/>
                <w:highlight w:val="none"/>
                <w:lang w:val="en-US" w:eastAsia="zh-CN"/>
              </w:rPr>
              <w:t>2.</w:t>
            </w:r>
            <w:r>
              <w:rPr>
                <w:rFonts w:hint="default" w:ascii="Times New Roman" w:hAnsi="Times New Roman" w:eastAsia="Calibri" w:cs="Times New Roman"/>
                <w:b w:val="0"/>
                <w:bCs w:val="0"/>
                <w:szCs w:val="22"/>
                <w:highlight w:val="none"/>
                <w:lang w:eastAsia="zh-Hans"/>
              </w:rPr>
              <w:t>对项目</w:t>
            </w:r>
            <w:r>
              <w:rPr>
                <w:rFonts w:hint="default" w:ascii="Times New Roman" w:hAnsi="Times New Roman" w:eastAsia="Calibri" w:cs="Times New Roman"/>
                <w:b w:val="0"/>
                <w:bCs w:val="0"/>
                <w:szCs w:val="22"/>
                <w:highlight w:val="none"/>
                <w:lang w:val="en-US" w:eastAsia="zh-Hans"/>
              </w:rPr>
              <w:t>建筑设计</w:t>
            </w:r>
            <w:r>
              <w:rPr>
                <w:rFonts w:hint="default" w:ascii="Times New Roman" w:hAnsi="Times New Roman" w:eastAsia="Calibri" w:cs="Times New Roman"/>
                <w:b w:val="0"/>
                <w:bCs w:val="0"/>
                <w:highlight w:val="none"/>
                <w:lang w:val="en-US" w:eastAsia="zh-Hans"/>
              </w:rPr>
              <w:t>内容的理解程度（包括设计策略；建筑形象；</w:t>
            </w:r>
            <w:r>
              <w:rPr>
                <w:rFonts w:hint="default" w:ascii="Times New Roman" w:hAnsi="Times New Roman" w:eastAsia="Calibri" w:cs="Times New Roman"/>
                <w:b w:val="0"/>
                <w:bCs w:val="0"/>
                <w:highlight w:val="none"/>
                <w:lang w:val="en-US" w:eastAsia="zh-CN"/>
              </w:rPr>
              <w:t>酒店</w:t>
            </w:r>
            <w:r>
              <w:rPr>
                <w:rFonts w:hint="default" w:ascii="Times New Roman" w:hAnsi="Times New Roman" w:eastAsia="Calibri" w:cs="Times New Roman"/>
                <w:b w:val="0"/>
                <w:bCs w:val="0"/>
                <w:highlight w:val="none"/>
                <w:lang w:val="en-US" w:eastAsia="zh-Hans"/>
              </w:rPr>
              <w:t>工业标志物；人性化空间</w:t>
            </w:r>
            <w:r>
              <w:rPr>
                <w:rFonts w:hint="default" w:ascii="Times New Roman" w:hAnsi="Times New Roman" w:eastAsia="Calibri" w:cs="Times New Roman"/>
                <w:b w:val="0"/>
                <w:bCs w:val="0"/>
                <w:spacing w:val="0"/>
                <w:highlight w:val="none"/>
                <w:lang w:val="en-US" w:eastAsia="zh-Hans"/>
              </w:rPr>
              <w:t>等）；</w:t>
            </w:r>
          </w:p>
          <w:p w14:paraId="4AABDC03">
            <w:pPr>
              <w:widowControl/>
              <w:numPr>
                <w:ilvl w:val="-1"/>
                <w:numId w:val="0"/>
              </w:numPr>
              <w:snapToGrid/>
              <w:spacing w:line="240" w:lineRule="auto"/>
              <w:jc w:val="left"/>
              <w:rPr>
                <w:rFonts w:hint="default"/>
                <w:highlight w:val="none"/>
                <w:lang w:val="en-US" w:eastAsia="zh-Hans"/>
              </w:rPr>
            </w:pPr>
            <w:r>
              <w:rPr>
                <w:rFonts w:hint="default"/>
                <w:highlight w:val="none"/>
                <w:lang w:val="en-US" w:eastAsia="zh-Hans"/>
              </w:rPr>
              <w:t>设计策略清晰，与项目的定位契合，</w:t>
            </w:r>
            <w:r>
              <w:rPr>
                <w:rFonts w:hint="eastAsia" w:eastAsia="宋体"/>
                <w:highlight w:val="none"/>
                <w:lang w:val="en-US" w:eastAsia="zh-CN"/>
              </w:rPr>
              <w:t>设计</w:t>
            </w:r>
            <w:r>
              <w:rPr>
                <w:rFonts w:hint="default"/>
                <w:highlight w:val="none"/>
                <w:lang w:val="en-US" w:eastAsia="zh-Hans"/>
              </w:rPr>
              <w:t>形象</w:t>
            </w:r>
            <w:r>
              <w:rPr>
                <w:rFonts w:hint="eastAsia" w:eastAsia="宋体"/>
                <w:highlight w:val="none"/>
                <w:lang w:val="en-US" w:eastAsia="zh-CN"/>
              </w:rPr>
              <w:t>体现</w:t>
            </w:r>
            <w:r>
              <w:rPr>
                <w:rFonts w:hint="default"/>
                <w:highlight w:val="none"/>
                <w:lang w:val="en-US" w:eastAsia="zh-Hans"/>
              </w:rPr>
              <w:t>酒店工业标志的特色和文化内涵</w:t>
            </w:r>
            <w:r>
              <w:rPr>
                <w:rFonts w:hint="eastAsia" w:eastAsia="宋体"/>
                <w:highlight w:val="none"/>
                <w:lang w:val="en-US" w:eastAsia="zh-CN"/>
              </w:rPr>
              <w:t>。</w:t>
            </w:r>
            <w:r>
              <w:rPr>
                <w:rFonts w:hint="default"/>
                <w:highlight w:val="none"/>
                <w:lang w:val="en-US" w:eastAsia="zh-Hans"/>
              </w:rPr>
              <w:t>优得</w:t>
            </w:r>
            <w:r>
              <w:rPr>
                <w:rFonts w:hint="default"/>
                <w:highlight w:val="none"/>
              </w:rPr>
              <w:t>[</w:t>
            </w:r>
            <w:r>
              <w:rPr>
                <w:rFonts w:hint="default" w:eastAsia="Calibri"/>
                <w:highlight w:val="none"/>
                <w:lang w:val="en-US" w:eastAsia="zh-CN"/>
              </w:rPr>
              <w:t>10</w:t>
            </w:r>
            <w:r>
              <w:rPr>
                <w:rFonts w:hint="default"/>
                <w:highlight w:val="none"/>
              </w:rPr>
              <w:t>-1</w:t>
            </w:r>
            <w:r>
              <w:rPr>
                <w:rFonts w:hint="default" w:eastAsia="Calibri"/>
                <w:highlight w:val="none"/>
                <w:lang w:eastAsia="zh-CN"/>
              </w:rPr>
              <w:t>5</w:t>
            </w:r>
            <w:r>
              <w:rPr>
                <w:rFonts w:hint="default"/>
                <w:highlight w:val="none"/>
              </w:rPr>
              <w:t>]</w:t>
            </w:r>
            <w:r>
              <w:rPr>
                <w:rFonts w:hint="default"/>
                <w:highlight w:val="none"/>
                <w:lang w:val="en-US" w:eastAsia="zh-Hans"/>
              </w:rPr>
              <w:t>分；</w:t>
            </w:r>
          </w:p>
          <w:p w14:paraId="2177A263">
            <w:pPr>
              <w:widowControl/>
              <w:numPr>
                <w:ilvl w:val="-1"/>
                <w:numId w:val="0"/>
              </w:numPr>
              <w:snapToGrid/>
              <w:spacing w:line="240" w:lineRule="auto"/>
              <w:jc w:val="left"/>
              <w:rPr>
                <w:rFonts w:hint="default"/>
                <w:highlight w:val="none"/>
                <w:lang w:val="en-US" w:eastAsia="zh-Hans"/>
              </w:rPr>
            </w:pPr>
            <w:r>
              <w:rPr>
                <w:rFonts w:hint="default"/>
                <w:highlight w:val="none"/>
                <w:lang w:val="en-US" w:eastAsia="zh-Hans"/>
              </w:rPr>
              <w:t>设计策略较为明确，与项目定位基本相符</w:t>
            </w:r>
            <w:r>
              <w:rPr>
                <w:rFonts w:hint="eastAsia" w:eastAsia="宋体"/>
                <w:highlight w:val="none"/>
                <w:lang w:val="en-US" w:eastAsia="zh-CN"/>
              </w:rPr>
              <w:t>，设计</w:t>
            </w:r>
            <w:r>
              <w:rPr>
                <w:rFonts w:hint="default"/>
                <w:highlight w:val="none"/>
                <w:lang w:val="en-US" w:eastAsia="zh-Hans"/>
              </w:rPr>
              <w:t>形象</w:t>
            </w:r>
            <w:r>
              <w:rPr>
                <w:rFonts w:hint="eastAsia" w:eastAsia="宋体"/>
                <w:highlight w:val="none"/>
                <w:lang w:val="en-US" w:eastAsia="zh-CN"/>
              </w:rPr>
              <w:t>能体现</w:t>
            </w:r>
            <w:r>
              <w:rPr>
                <w:rFonts w:hint="default"/>
                <w:highlight w:val="none"/>
                <w:lang w:val="en-US" w:eastAsia="zh-Hans"/>
              </w:rPr>
              <w:t>酒店工业标志的特色和文化内涵</w:t>
            </w:r>
            <w:r>
              <w:rPr>
                <w:rFonts w:hint="eastAsia" w:eastAsia="宋体"/>
                <w:highlight w:val="none"/>
                <w:lang w:val="en-US" w:eastAsia="zh-CN"/>
              </w:rPr>
              <w:t>。</w:t>
            </w:r>
            <w:r>
              <w:rPr>
                <w:rFonts w:hint="default"/>
                <w:highlight w:val="none"/>
                <w:lang w:val="en-US" w:eastAsia="zh-Hans"/>
              </w:rPr>
              <w:t>良得</w:t>
            </w:r>
            <w:r>
              <w:rPr>
                <w:rFonts w:hint="default"/>
                <w:highlight w:val="none"/>
              </w:rPr>
              <w:t>[5-</w:t>
            </w:r>
            <w:r>
              <w:rPr>
                <w:rFonts w:hint="default" w:eastAsia="Calibri"/>
                <w:highlight w:val="none"/>
                <w:lang w:eastAsia="zh-CN"/>
              </w:rPr>
              <w:t>1</w:t>
            </w:r>
            <w:r>
              <w:rPr>
                <w:rFonts w:hint="default" w:eastAsia="Calibri"/>
                <w:highlight w:val="none"/>
                <w:lang w:val="en-US" w:eastAsia="zh-CN"/>
              </w:rPr>
              <w:t>0</w:t>
            </w:r>
            <w:r>
              <w:rPr>
                <w:rFonts w:hint="default"/>
                <w:highlight w:val="none"/>
              </w:rPr>
              <w:t>)</w:t>
            </w:r>
            <w:r>
              <w:rPr>
                <w:rFonts w:hint="default"/>
                <w:highlight w:val="none"/>
                <w:lang w:val="en-US" w:eastAsia="zh-Hans"/>
              </w:rPr>
              <w:t>分；</w:t>
            </w:r>
          </w:p>
          <w:p w14:paraId="5C9607D7">
            <w:pPr>
              <w:widowControl/>
              <w:numPr>
                <w:ilvl w:val="-1"/>
                <w:numId w:val="0"/>
              </w:numPr>
              <w:snapToGrid/>
              <w:spacing w:line="240" w:lineRule="auto"/>
              <w:jc w:val="left"/>
              <w:rPr>
                <w:rFonts w:hint="default" w:ascii="Times New Roman" w:hAnsi="Times New Roman" w:eastAsia="Calibri" w:cs="Times New Roman"/>
                <w:szCs w:val="22"/>
                <w:highlight w:val="none"/>
                <w:lang w:val="en-US" w:eastAsia="zh-Hans"/>
              </w:rPr>
            </w:pPr>
            <w:r>
              <w:rPr>
                <w:rFonts w:hint="default"/>
                <w:highlight w:val="none"/>
                <w:lang w:val="en-US" w:eastAsia="zh-Hans"/>
              </w:rPr>
              <w:t>设计策略不够清晰，与项目定位的契合度一般，</w:t>
            </w:r>
            <w:r>
              <w:rPr>
                <w:rFonts w:hint="eastAsia" w:eastAsia="宋体"/>
                <w:highlight w:val="none"/>
                <w:lang w:val="en-US" w:eastAsia="zh-CN"/>
              </w:rPr>
              <w:t>设计</w:t>
            </w:r>
            <w:r>
              <w:rPr>
                <w:rFonts w:hint="default"/>
                <w:highlight w:val="none"/>
                <w:lang w:val="en-US" w:eastAsia="zh-Hans"/>
              </w:rPr>
              <w:t>形象缺乏特色，不能有效传达酒店工业标志的特色和文化内涵</w:t>
            </w:r>
            <w:r>
              <w:rPr>
                <w:rFonts w:hint="eastAsia" w:eastAsia="宋体"/>
                <w:highlight w:val="none"/>
                <w:lang w:val="en-US" w:eastAsia="zh-CN"/>
              </w:rPr>
              <w:t>。</w:t>
            </w:r>
            <w:r>
              <w:rPr>
                <w:rFonts w:hint="default"/>
                <w:highlight w:val="none"/>
                <w:lang w:val="en-US" w:eastAsia="zh-Hans"/>
              </w:rPr>
              <w:t>中得</w:t>
            </w:r>
            <w:r>
              <w:rPr>
                <w:rFonts w:hint="default"/>
                <w:highlight w:val="none"/>
              </w:rPr>
              <w:t>[2-5)</w:t>
            </w:r>
            <w:r>
              <w:rPr>
                <w:rFonts w:hint="default"/>
                <w:highlight w:val="none"/>
                <w:lang w:val="en-US" w:eastAsia="zh-Hans"/>
              </w:rPr>
              <w:t>分</w:t>
            </w:r>
            <w:r>
              <w:rPr>
                <w:rFonts w:hint="default" w:ascii="Times New Roman" w:hAnsi="Times New Roman" w:eastAsia="Calibri" w:cs="Times New Roman"/>
                <w:szCs w:val="22"/>
                <w:highlight w:val="none"/>
                <w:lang w:val="en-US" w:eastAsia="zh-Hans"/>
              </w:rPr>
              <w:t>；</w:t>
            </w:r>
          </w:p>
          <w:p w14:paraId="2CD430F2">
            <w:pPr>
              <w:widowControl/>
              <w:numPr>
                <w:ilvl w:val="-1"/>
                <w:numId w:val="0"/>
              </w:numPr>
              <w:rPr>
                <w:rFonts w:hint="default"/>
                <w:highlight w:val="none"/>
                <w:lang w:val="en-US" w:eastAsia="zh-Hans"/>
              </w:rPr>
            </w:pPr>
            <w:r>
              <w:rPr>
                <w:rFonts w:hint="default"/>
                <w:highlight w:val="none"/>
                <w:lang w:val="en-US" w:eastAsia="zh-Hans"/>
              </w:rPr>
              <w:t>缺乏明确的指导方向。</w:t>
            </w:r>
          </w:p>
          <w:p w14:paraId="3CD36346">
            <w:pPr>
              <w:widowControl/>
              <w:numPr>
                <w:ilvl w:val="-1"/>
                <w:numId w:val="0"/>
              </w:numPr>
              <w:snapToGrid/>
              <w:spacing w:line="240" w:lineRule="auto"/>
              <w:jc w:val="left"/>
              <w:rPr>
                <w:rFonts w:hint="default" w:ascii="Times New Roman" w:hAnsi="Times New Roman" w:eastAsia="Calibri" w:cs="Times New Roman"/>
                <w:szCs w:val="22"/>
                <w:highlight w:val="none"/>
                <w:lang w:val="en-US" w:eastAsia="zh-Hans"/>
              </w:rPr>
            </w:pPr>
            <w:r>
              <w:rPr>
                <w:rFonts w:hint="default"/>
                <w:highlight w:val="none"/>
                <w:lang w:eastAsia="zh-Hans"/>
              </w:rPr>
              <w:t>设计策略不明确，与项目定位严重不符，无明显的酒店工业标志物设计</w:t>
            </w:r>
            <w:r>
              <w:rPr>
                <w:rFonts w:hint="eastAsia" w:eastAsia="宋体"/>
                <w:highlight w:val="none"/>
                <w:lang w:eastAsia="zh-CN"/>
              </w:rPr>
              <w:t>。</w:t>
            </w:r>
            <w:r>
              <w:rPr>
                <w:rFonts w:hint="default" w:ascii="Times New Roman" w:hAnsi="Times New Roman" w:eastAsia="Calibri" w:cs="Times New Roman"/>
                <w:szCs w:val="22"/>
                <w:highlight w:val="none"/>
                <w:lang w:val="en-US" w:eastAsia="zh-Hans"/>
              </w:rPr>
              <w:t>差或没有不得分。</w:t>
            </w:r>
          </w:p>
          <w:p w14:paraId="5ACC1E6E">
            <w:pPr>
              <w:widowControl/>
              <w:numPr>
                <w:ilvl w:val="-1"/>
                <w:numId w:val="0"/>
              </w:numPr>
              <w:snapToGrid/>
              <w:spacing w:line="240" w:lineRule="auto"/>
              <w:ind w:firstLine="0" w:firstLineChars="0"/>
              <w:jc w:val="left"/>
              <w:rPr>
                <w:rFonts w:hint="default" w:ascii="Times New Roman" w:hAnsi="Times New Roman" w:eastAsia="Calibri" w:cs="Times New Roman"/>
                <w:b w:val="0"/>
                <w:bCs w:val="0"/>
                <w:spacing w:val="0"/>
                <w:highlight w:val="none"/>
                <w:lang w:val="en-US" w:eastAsia="zh-Hans"/>
              </w:rPr>
            </w:pPr>
            <w:r>
              <w:rPr>
                <w:rFonts w:hint="default" w:ascii="Times New Roman" w:hAnsi="Times New Roman" w:eastAsia="Calibri" w:cs="Times New Roman"/>
                <w:b w:val="0"/>
                <w:bCs w:val="0"/>
                <w:szCs w:val="22"/>
                <w:highlight w:val="none"/>
                <w:lang w:val="en-US" w:eastAsia="zh-CN"/>
              </w:rPr>
              <w:t>3.</w:t>
            </w:r>
            <w:r>
              <w:rPr>
                <w:rFonts w:hint="default" w:ascii="Times New Roman" w:hAnsi="Times New Roman" w:eastAsia="Calibri" w:cs="Times New Roman"/>
                <w:b w:val="0"/>
                <w:bCs w:val="0"/>
                <w:szCs w:val="22"/>
                <w:highlight w:val="none"/>
                <w:lang w:eastAsia="zh-Hans"/>
              </w:rPr>
              <w:t>设计方案符合绿色建筑设计目标，采取的绿色建筑技术措施充分考虑建筑所在地的气候特点，最大限度地节约资源、保护环境、减少污染，提供健康、适应和高效的使用空间</w:t>
            </w:r>
            <w:r>
              <w:rPr>
                <w:rFonts w:hint="default" w:ascii="Times New Roman" w:hAnsi="Times New Roman" w:eastAsia="Calibri" w:cs="Times New Roman"/>
                <w:b w:val="0"/>
                <w:bCs w:val="0"/>
                <w:spacing w:val="0"/>
                <w:highlight w:val="none"/>
                <w:lang w:val="en-US" w:eastAsia="zh-Hans"/>
              </w:rPr>
              <w:t>；</w:t>
            </w:r>
          </w:p>
          <w:p w14:paraId="550A586C">
            <w:pPr>
              <w:widowControl/>
              <w:numPr>
                <w:ilvl w:val="-1"/>
                <w:numId w:val="0"/>
              </w:numPr>
              <w:rPr>
                <w:rFonts w:hint="default"/>
                <w:highlight w:val="none"/>
                <w:lang w:val="en-US" w:eastAsia="zh-Hans"/>
              </w:rPr>
            </w:pPr>
            <w:r>
              <w:rPr>
                <w:rFonts w:hint="default"/>
                <w:highlight w:val="none"/>
                <w:lang w:val="en-US" w:eastAsia="zh-Hans"/>
              </w:rPr>
              <w:t>采取的绿色建筑技术措施先进、合理</w:t>
            </w:r>
            <w:r>
              <w:rPr>
                <w:rFonts w:hint="eastAsia" w:eastAsia="宋体"/>
                <w:highlight w:val="none"/>
                <w:lang w:val="en-US" w:eastAsia="zh-CN"/>
              </w:rPr>
              <w:t>，充分</w:t>
            </w:r>
            <w:r>
              <w:rPr>
                <w:rFonts w:hint="default"/>
                <w:highlight w:val="none"/>
                <w:lang w:val="en-US" w:eastAsia="zh-Hans"/>
              </w:rPr>
              <w:t>考虑了建筑所在地的气候特点。</w:t>
            </w:r>
            <w:r>
              <w:rPr>
                <w:rFonts w:hint="default"/>
                <w:highlight w:val="none"/>
                <w:lang w:val="en-US" w:eastAsia="zh-Hans"/>
              </w:rPr>
              <w:t>优得</w:t>
            </w:r>
            <w:r>
              <w:rPr>
                <w:rFonts w:hint="default"/>
                <w:highlight w:val="none"/>
              </w:rPr>
              <w:t>[</w:t>
            </w:r>
            <w:r>
              <w:rPr>
                <w:rFonts w:hint="default" w:eastAsia="Calibri"/>
                <w:highlight w:val="none"/>
                <w:lang w:eastAsia="zh-CN"/>
              </w:rPr>
              <w:t>1</w:t>
            </w:r>
            <w:r>
              <w:rPr>
                <w:rFonts w:hint="default" w:eastAsia="Calibri"/>
                <w:highlight w:val="none"/>
                <w:lang w:val="en-US" w:eastAsia="zh-CN"/>
              </w:rPr>
              <w:t>0</w:t>
            </w:r>
            <w:r>
              <w:rPr>
                <w:rFonts w:hint="default"/>
                <w:highlight w:val="none"/>
              </w:rPr>
              <w:t>-1</w:t>
            </w:r>
            <w:r>
              <w:rPr>
                <w:rFonts w:hint="default" w:eastAsia="Calibri"/>
                <w:highlight w:val="none"/>
                <w:lang w:eastAsia="zh-CN"/>
              </w:rPr>
              <w:t>5</w:t>
            </w:r>
            <w:r>
              <w:rPr>
                <w:rFonts w:hint="default"/>
                <w:highlight w:val="none"/>
              </w:rPr>
              <w:t>]</w:t>
            </w:r>
            <w:r>
              <w:rPr>
                <w:rFonts w:hint="default"/>
                <w:highlight w:val="none"/>
                <w:lang w:val="en-US" w:eastAsia="zh-Hans"/>
              </w:rPr>
              <w:t>分；</w:t>
            </w:r>
          </w:p>
          <w:p w14:paraId="0CEC6BFA">
            <w:pPr>
              <w:widowControl/>
              <w:numPr>
                <w:ilvl w:val="-1"/>
                <w:numId w:val="0"/>
              </w:numPr>
              <w:snapToGrid/>
              <w:spacing w:line="240" w:lineRule="auto"/>
              <w:jc w:val="left"/>
              <w:rPr>
                <w:rFonts w:hint="default"/>
                <w:highlight w:val="none"/>
                <w:lang w:val="en-US" w:eastAsia="zh-Hans"/>
              </w:rPr>
            </w:pPr>
            <w:r>
              <w:rPr>
                <w:rFonts w:hint="default"/>
                <w:highlight w:val="none"/>
                <w:lang w:val="en-US" w:eastAsia="zh-Hans"/>
              </w:rPr>
              <w:t>采取的绿色建筑技术措施</w:t>
            </w:r>
            <w:r>
              <w:rPr>
                <w:rFonts w:hint="eastAsia" w:eastAsia="宋体"/>
                <w:highlight w:val="none"/>
                <w:lang w:val="en-US" w:eastAsia="zh-CN"/>
              </w:rPr>
              <w:t>较为</w:t>
            </w:r>
            <w:r>
              <w:rPr>
                <w:rFonts w:hint="default"/>
                <w:highlight w:val="none"/>
                <w:lang w:val="en-US" w:eastAsia="zh-Hans"/>
              </w:rPr>
              <w:t>合理</w:t>
            </w:r>
            <w:r>
              <w:rPr>
                <w:rFonts w:hint="eastAsia" w:eastAsia="宋体"/>
                <w:highlight w:val="none"/>
                <w:lang w:val="en-US" w:eastAsia="zh-CN"/>
              </w:rPr>
              <w:t>，</w:t>
            </w:r>
            <w:r>
              <w:rPr>
                <w:rFonts w:hint="default"/>
                <w:highlight w:val="none"/>
                <w:lang w:val="en-US" w:eastAsia="zh-Hans"/>
              </w:rPr>
              <w:t>考虑了建筑所在地的气候特点。良得</w:t>
            </w:r>
            <w:r>
              <w:rPr>
                <w:rFonts w:hint="default"/>
                <w:highlight w:val="none"/>
              </w:rPr>
              <w:t>[5-</w:t>
            </w:r>
            <w:r>
              <w:rPr>
                <w:rFonts w:hint="default" w:eastAsia="Calibri"/>
                <w:highlight w:val="none"/>
                <w:lang w:eastAsia="zh-CN"/>
              </w:rPr>
              <w:t>1</w:t>
            </w:r>
            <w:r>
              <w:rPr>
                <w:rFonts w:hint="default" w:eastAsia="Calibri"/>
                <w:highlight w:val="none"/>
                <w:lang w:val="en-US" w:eastAsia="zh-CN"/>
              </w:rPr>
              <w:t>0</w:t>
            </w:r>
            <w:r>
              <w:rPr>
                <w:rFonts w:hint="default"/>
                <w:highlight w:val="none"/>
              </w:rPr>
              <w:t>)</w:t>
            </w:r>
            <w:r>
              <w:rPr>
                <w:rFonts w:hint="default"/>
                <w:highlight w:val="none"/>
                <w:lang w:val="en-US" w:eastAsia="zh-Hans"/>
              </w:rPr>
              <w:t>分；</w:t>
            </w:r>
          </w:p>
          <w:p w14:paraId="284B62EA">
            <w:pPr>
              <w:widowControl/>
              <w:numPr>
                <w:ilvl w:val="-1"/>
                <w:numId w:val="0"/>
              </w:numPr>
              <w:snapToGrid/>
              <w:spacing w:line="240" w:lineRule="auto"/>
              <w:jc w:val="left"/>
              <w:rPr>
                <w:rFonts w:hint="default" w:ascii="Times New Roman" w:hAnsi="Times New Roman" w:eastAsia="Calibri" w:cs="Times New Roman"/>
                <w:szCs w:val="22"/>
                <w:highlight w:val="none"/>
                <w:lang w:val="en-US" w:eastAsia="zh-Hans"/>
              </w:rPr>
            </w:pPr>
            <w:r>
              <w:rPr>
                <w:rFonts w:hint="default"/>
                <w:highlight w:val="none"/>
                <w:lang w:val="en-US" w:eastAsia="zh-Hans"/>
              </w:rPr>
              <w:t>采取的绿色建筑技术措施</w:t>
            </w:r>
            <w:r>
              <w:rPr>
                <w:rFonts w:hint="eastAsia" w:eastAsia="宋体"/>
                <w:highlight w:val="none"/>
                <w:lang w:val="en-US" w:eastAsia="zh-CN"/>
              </w:rPr>
              <w:t>较为一般，</w:t>
            </w:r>
            <w:r>
              <w:rPr>
                <w:rFonts w:hint="default"/>
                <w:highlight w:val="none"/>
                <w:lang w:val="en-US" w:eastAsia="zh-Hans"/>
              </w:rPr>
              <w:t>对建筑所在地的气候特点考虑不够充分</w:t>
            </w:r>
            <w:r>
              <w:rPr>
                <w:rFonts w:hint="eastAsia" w:eastAsia="宋体"/>
                <w:highlight w:val="none"/>
                <w:lang w:val="en-US" w:eastAsia="zh-CN"/>
              </w:rPr>
              <w:t>，</w:t>
            </w:r>
            <w:r>
              <w:rPr>
                <w:rFonts w:hint="default"/>
                <w:highlight w:val="none"/>
                <w:lang w:val="en-US" w:eastAsia="zh-Hans"/>
              </w:rPr>
              <w:t>中得</w:t>
            </w:r>
            <w:r>
              <w:rPr>
                <w:rFonts w:hint="default"/>
                <w:highlight w:val="none"/>
              </w:rPr>
              <w:t>[2-5)</w:t>
            </w:r>
            <w:r>
              <w:rPr>
                <w:rFonts w:hint="default"/>
                <w:highlight w:val="none"/>
                <w:lang w:val="en-US" w:eastAsia="zh-Hans"/>
              </w:rPr>
              <w:t>分</w:t>
            </w:r>
            <w:r>
              <w:rPr>
                <w:rFonts w:hint="default" w:ascii="Times New Roman" w:hAnsi="Times New Roman" w:eastAsia="Calibri" w:cs="Times New Roman"/>
                <w:szCs w:val="22"/>
                <w:highlight w:val="none"/>
                <w:lang w:val="en-US" w:eastAsia="zh-Hans"/>
              </w:rPr>
              <w:t>；</w:t>
            </w:r>
          </w:p>
          <w:p w14:paraId="6EF1873F">
            <w:pPr>
              <w:widowControl/>
              <w:numPr>
                <w:ilvl w:val="-1"/>
                <w:numId w:val="0"/>
              </w:numPr>
              <w:rPr>
                <w:rFonts w:hint="default" w:ascii="Times New Roman" w:hAnsi="Times New Roman" w:eastAsia="Calibri" w:cs="Times New Roman"/>
                <w:highlight w:val="none"/>
              </w:rPr>
            </w:pPr>
            <w:r>
              <w:rPr>
                <w:rFonts w:hint="eastAsia" w:eastAsia="宋体"/>
                <w:highlight w:val="none"/>
                <w:lang w:val="en-US" w:eastAsia="zh-CN"/>
              </w:rPr>
              <w:t>未</w:t>
            </w:r>
            <w:r>
              <w:rPr>
                <w:rFonts w:hint="default"/>
                <w:highlight w:val="none"/>
                <w:lang w:val="en-US" w:eastAsia="zh-Hans"/>
              </w:rPr>
              <w:t>采取的</w:t>
            </w:r>
            <w:r>
              <w:rPr>
                <w:rFonts w:hint="eastAsia" w:eastAsia="宋体"/>
                <w:highlight w:val="none"/>
                <w:lang w:val="en-US" w:eastAsia="zh-CN"/>
              </w:rPr>
              <w:t>有效</w:t>
            </w:r>
            <w:r>
              <w:rPr>
                <w:rFonts w:hint="default"/>
                <w:highlight w:val="none"/>
                <w:lang w:val="en-US" w:eastAsia="zh-Hans"/>
              </w:rPr>
              <w:t>绿色建筑技术措施</w:t>
            </w:r>
            <w:r>
              <w:rPr>
                <w:rFonts w:hint="eastAsia" w:eastAsia="宋体"/>
                <w:highlight w:val="none"/>
                <w:lang w:val="en-US" w:eastAsia="zh-CN"/>
              </w:rPr>
              <w:t>，</w:t>
            </w:r>
            <w:r>
              <w:rPr>
                <w:rFonts w:hint="default" w:ascii="Times New Roman" w:hAnsi="Times New Roman" w:eastAsia="Calibri" w:cs="Times New Roman"/>
                <w:szCs w:val="22"/>
                <w:highlight w:val="none"/>
                <w:lang w:val="en-US" w:eastAsia="zh-Hans"/>
              </w:rPr>
              <w:t>差或没有不得分。</w:t>
            </w:r>
          </w:p>
        </w:tc>
      </w:tr>
      <w:tr w14:paraId="71C87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1" w:hRule="atLeast"/>
          <w:jc w:val="center"/>
        </w:trPr>
        <w:tc>
          <w:tcPr>
            <w:tcW w:w="1201" w:type="dxa"/>
            <w:noWrap w:val="0"/>
            <w:vAlign w:val="center"/>
          </w:tcPr>
          <w:p w14:paraId="00930DF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highlight w:val="none"/>
              </w:rPr>
              <w:t>答辩因素</w:t>
            </w:r>
          </w:p>
        </w:tc>
        <w:tc>
          <w:tcPr>
            <w:tcW w:w="1243" w:type="dxa"/>
            <w:noWrap w:val="0"/>
            <w:vAlign w:val="center"/>
          </w:tcPr>
          <w:p w14:paraId="62E5DD32">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答辩</w:t>
            </w:r>
          </w:p>
          <w:p w14:paraId="411E0A2B">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2</w:t>
            </w:r>
            <w:r>
              <w:rPr>
                <w:rFonts w:hint="default" w:ascii="宋体" w:hAnsi="宋体" w:eastAsia="宋体" w:cs="宋体"/>
                <w:sz w:val="24"/>
                <w:szCs w:val="24"/>
                <w:highlight w:val="none"/>
                <w:lang w:val="en-US" w:eastAsia="zh-CN"/>
              </w:rPr>
              <w:t>0</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c>
          <w:tcPr>
            <w:tcW w:w="6952" w:type="dxa"/>
            <w:noWrap w:val="0"/>
            <w:vAlign w:val="center"/>
          </w:tcPr>
          <w:p w14:paraId="22DB08F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eastAsia="zh-Hans"/>
              </w:rPr>
            </w:pPr>
            <w:r>
              <w:rPr>
                <w:rFonts w:hint="default"/>
                <w:highlight w:val="none"/>
                <w:lang w:val="en-US" w:eastAsia="zh-CN"/>
              </w:rPr>
              <w:t>1.</w:t>
            </w:r>
            <w:r>
              <w:rPr>
                <w:rFonts w:hint="default"/>
                <w:highlight w:val="none"/>
                <w:lang w:eastAsia="zh-Hans"/>
              </w:rPr>
              <w:t>合格的中标候选人拟派</w:t>
            </w:r>
            <w:r>
              <w:rPr>
                <w:rFonts w:hint="default"/>
                <w:highlight w:val="none"/>
                <w:lang w:val="en-US" w:eastAsia="zh-Hans"/>
              </w:rPr>
              <w:t>代表介绍</w:t>
            </w:r>
            <w:r>
              <w:rPr>
                <w:rFonts w:hint="default"/>
                <w:highlight w:val="none"/>
                <w:lang w:val="en-US" w:eastAsia="zh-CN"/>
              </w:rPr>
              <w:t>工作</w:t>
            </w:r>
            <w:r>
              <w:rPr>
                <w:rFonts w:hint="default"/>
                <w:highlight w:val="none"/>
                <w:lang w:val="en-US" w:eastAsia="zh-Hans"/>
              </w:rPr>
              <w:t>方案、陈述亮点，定标委员会针对陈述内容及</w:t>
            </w:r>
            <w:r>
              <w:rPr>
                <w:rFonts w:hint="default"/>
                <w:highlight w:val="none"/>
                <w:lang w:val="en-US" w:eastAsia="zh-CN"/>
              </w:rPr>
              <w:t>工作</w:t>
            </w:r>
            <w:r>
              <w:rPr>
                <w:rFonts w:hint="default"/>
                <w:highlight w:val="none"/>
                <w:lang w:val="en-US" w:eastAsia="zh-Hans"/>
              </w:rPr>
              <w:t>方案提问，由答辩人员进行解答</w:t>
            </w:r>
            <w:r>
              <w:rPr>
                <w:rFonts w:hint="default"/>
                <w:highlight w:val="none"/>
                <w:lang w:eastAsia="zh-Hans"/>
              </w:rPr>
              <w:t>。</w:t>
            </w:r>
          </w:p>
          <w:p w14:paraId="7AC8548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default"/>
                <w:highlight w:val="none"/>
                <w:lang w:val="en-US" w:eastAsia="zh-CN"/>
              </w:rPr>
              <w:t>2.介绍和答辩共15分钟，其中介绍时间不超过10分钟，答辩时间不超过5分钟。</w:t>
            </w:r>
          </w:p>
          <w:p w14:paraId="0BBE912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highlight w:val="none"/>
                <w:lang w:val="en-US" w:eastAsia="zh-CN"/>
              </w:rPr>
            </w:pPr>
            <w:r>
              <w:rPr>
                <w:rFonts w:hint="default"/>
                <w:highlight w:val="none"/>
                <w:lang w:val="en-US" w:eastAsia="zh-CN"/>
              </w:rPr>
              <w:t>3.合格的中标候选人可结合辅助材料（PPT演示文稿形式、word形式文件、excel形式文件、pdf形式文件）进行介绍（仅选取其中一种形式）。</w:t>
            </w:r>
          </w:p>
          <w:p w14:paraId="19AA68D7">
            <w:pPr>
              <w:snapToGrid/>
              <w:spacing w:line="240" w:lineRule="auto"/>
              <w:jc w:val="left"/>
              <w:rPr>
                <w:rFonts w:hint="default"/>
                <w:highlight w:val="none"/>
                <w:lang w:val="en-US" w:eastAsia="zh-CN"/>
              </w:rPr>
            </w:pPr>
            <w:r>
              <w:rPr>
                <w:rFonts w:hint="default"/>
                <w:highlight w:val="none"/>
                <w:lang w:val="en-US" w:eastAsia="zh-CN"/>
              </w:rPr>
              <w:t>优：答辩人员代表熟悉项目情况，对项目的重点、难点认识深刻，应对措施合理可行；人员投入计划对推进工程进度有保障；实施时间安排合理可行；回答</w:t>
            </w:r>
            <w:r>
              <w:rPr>
                <w:rFonts w:hint="eastAsia"/>
                <w:highlight w:val="none"/>
              </w:rPr>
              <w:t>定标委员会</w:t>
            </w:r>
            <w:r>
              <w:rPr>
                <w:rFonts w:hint="default"/>
                <w:highlight w:val="none"/>
                <w:lang w:val="en-US" w:eastAsia="zh-CN"/>
              </w:rPr>
              <w:t>提问思路清晰、内容准确。优得</w:t>
            </w:r>
            <w:r>
              <w:rPr>
                <w:rFonts w:hint="eastAsia"/>
                <w:highlight w:val="none"/>
              </w:rPr>
              <w:t>[</w:t>
            </w:r>
            <w:r>
              <w:rPr>
                <w:rFonts w:hint="default"/>
                <w:highlight w:val="none"/>
                <w:lang w:val="en-US" w:eastAsia="zh-CN"/>
              </w:rPr>
              <w:t>15</w:t>
            </w:r>
            <w:r>
              <w:rPr>
                <w:rFonts w:hint="eastAsia"/>
                <w:highlight w:val="none"/>
              </w:rPr>
              <w:t>-</w:t>
            </w:r>
            <w:r>
              <w:rPr>
                <w:rFonts w:hint="default"/>
                <w:highlight w:val="none"/>
                <w:lang w:val="en-US" w:eastAsia="zh-CN"/>
              </w:rPr>
              <w:t>20</w:t>
            </w:r>
            <w:r>
              <w:rPr>
                <w:rFonts w:hint="eastAsia"/>
                <w:highlight w:val="none"/>
              </w:rPr>
              <w:t>]</w:t>
            </w:r>
            <w:r>
              <w:rPr>
                <w:rFonts w:hint="default"/>
                <w:highlight w:val="none"/>
                <w:lang w:val="en-US" w:eastAsia="zh-CN"/>
              </w:rPr>
              <w:t>分。</w:t>
            </w:r>
          </w:p>
          <w:p w14:paraId="76342664">
            <w:pPr>
              <w:snapToGrid/>
              <w:spacing w:line="240" w:lineRule="auto"/>
              <w:jc w:val="left"/>
              <w:rPr>
                <w:rFonts w:hint="default"/>
                <w:highlight w:val="none"/>
                <w:lang w:val="en-US" w:eastAsia="zh-CN"/>
              </w:rPr>
            </w:pPr>
            <w:r>
              <w:rPr>
                <w:rFonts w:hint="default"/>
                <w:highlight w:val="none"/>
                <w:lang w:val="en-US" w:eastAsia="zh-CN"/>
              </w:rPr>
              <w:t>良：答辩人员代表了解项目情况，对项目的重点、难点认识到位，应对措施基本合理；人员投入计划对推进工程进度基本有保障；实施时间安排较合理可行；回答</w:t>
            </w:r>
            <w:r>
              <w:rPr>
                <w:rFonts w:hint="eastAsia"/>
                <w:highlight w:val="none"/>
              </w:rPr>
              <w:t>定标委员会</w:t>
            </w:r>
            <w:r>
              <w:rPr>
                <w:rFonts w:hint="default"/>
                <w:highlight w:val="none"/>
                <w:lang w:val="en-US" w:eastAsia="zh-CN"/>
              </w:rPr>
              <w:t>提问思路比较清晰、内容基本准确。良得</w:t>
            </w:r>
            <w:r>
              <w:rPr>
                <w:rFonts w:hint="eastAsia"/>
                <w:highlight w:val="none"/>
              </w:rPr>
              <w:t>[</w:t>
            </w:r>
            <w:r>
              <w:rPr>
                <w:rFonts w:hint="default"/>
                <w:highlight w:val="none"/>
                <w:lang w:val="en-US" w:eastAsia="zh-CN"/>
              </w:rPr>
              <w:t>10</w:t>
            </w:r>
            <w:r>
              <w:rPr>
                <w:rFonts w:hint="eastAsia"/>
                <w:highlight w:val="none"/>
              </w:rPr>
              <w:t>-</w:t>
            </w:r>
            <w:r>
              <w:rPr>
                <w:rFonts w:hint="default"/>
                <w:highlight w:val="none"/>
                <w:lang w:val="en-US" w:eastAsia="zh-CN"/>
              </w:rPr>
              <w:t>15</w:t>
            </w:r>
            <w:r>
              <w:rPr>
                <w:rFonts w:hint="eastAsia"/>
                <w:highlight w:val="none"/>
              </w:rPr>
              <w:t>)</w:t>
            </w:r>
            <w:r>
              <w:rPr>
                <w:rFonts w:hint="default"/>
                <w:highlight w:val="none"/>
                <w:lang w:val="en-US" w:eastAsia="zh-Hans"/>
              </w:rPr>
              <w:t>分</w:t>
            </w:r>
            <w:r>
              <w:rPr>
                <w:rFonts w:hint="default"/>
                <w:highlight w:val="none"/>
                <w:lang w:val="en-US" w:eastAsia="zh-CN"/>
              </w:rPr>
              <w:t>。</w:t>
            </w:r>
          </w:p>
          <w:p w14:paraId="32DD8AB9">
            <w:pPr>
              <w:snapToGrid/>
              <w:spacing w:line="240" w:lineRule="auto"/>
              <w:jc w:val="left"/>
              <w:rPr>
                <w:rFonts w:hint="default"/>
                <w:highlight w:val="none"/>
                <w:lang w:val="en-US" w:eastAsia="zh-CN"/>
              </w:rPr>
            </w:pPr>
            <w:r>
              <w:rPr>
                <w:rFonts w:hint="default"/>
                <w:highlight w:val="none"/>
                <w:lang w:val="en-US" w:eastAsia="zh-CN"/>
              </w:rPr>
              <w:t>一般：答辩团队对项目情况了解不到位，未能把握项目的重点、难点；人员投入计划对推进工程进度保障较差；实施时间安排不太合理；回答</w:t>
            </w:r>
            <w:r>
              <w:rPr>
                <w:rFonts w:hint="eastAsia"/>
                <w:highlight w:val="none"/>
              </w:rPr>
              <w:t>定标委员会</w:t>
            </w:r>
            <w:r>
              <w:rPr>
                <w:rFonts w:hint="default"/>
                <w:highlight w:val="none"/>
                <w:lang w:val="en-US" w:eastAsia="zh-CN"/>
              </w:rPr>
              <w:t>提问不太清晰准确。中得</w:t>
            </w:r>
            <w:r>
              <w:rPr>
                <w:rFonts w:hint="eastAsia"/>
                <w:highlight w:val="none"/>
              </w:rPr>
              <w:t>[</w:t>
            </w:r>
            <w:r>
              <w:rPr>
                <w:rFonts w:hint="default"/>
                <w:highlight w:val="none"/>
                <w:lang w:val="en-US" w:eastAsia="zh-CN"/>
              </w:rPr>
              <w:t>5</w:t>
            </w:r>
            <w:r>
              <w:rPr>
                <w:rFonts w:hint="eastAsia"/>
                <w:highlight w:val="none"/>
              </w:rPr>
              <w:t>-</w:t>
            </w:r>
            <w:r>
              <w:rPr>
                <w:rFonts w:hint="default"/>
                <w:highlight w:val="none"/>
                <w:lang w:val="en-US" w:eastAsia="zh-CN"/>
              </w:rPr>
              <w:t>10</w:t>
            </w:r>
            <w:r>
              <w:rPr>
                <w:rFonts w:hint="eastAsia"/>
                <w:highlight w:val="none"/>
              </w:rPr>
              <w:t>)</w:t>
            </w:r>
            <w:r>
              <w:rPr>
                <w:rFonts w:hint="default"/>
                <w:highlight w:val="none"/>
                <w:lang w:val="en-US" w:eastAsia="zh-CN"/>
              </w:rPr>
              <w:t>分。</w:t>
            </w:r>
          </w:p>
          <w:p w14:paraId="2D445BB5">
            <w:pPr>
              <w:snapToGrid/>
              <w:spacing w:line="240" w:lineRule="auto"/>
              <w:jc w:val="left"/>
              <w:rPr>
                <w:rFonts w:hint="default"/>
                <w:highlight w:val="none"/>
                <w:lang w:val="en-US" w:eastAsia="zh-CN"/>
              </w:rPr>
            </w:pPr>
            <w:r>
              <w:rPr>
                <w:rFonts w:hint="default"/>
                <w:highlight w:val="none"/>
                <w:lang w:val="en-US" w:eastAsia="zh-CN"/>
              </w:rPr>
              <w:t>差：答辩团队对项目情况不了解，对项目的重点、难点不清晰；没有人员投入计划或对推进工程进度保障差；实施时间安排严重不合理；回答</w:t>
            </w:r>
            <w:r>
              <w:rPr>
                <w:rFonts w:hint="eastAsia"/>
                <w:highlight w:val="none"/>
              </w:rPr>
              <w:t>定标委员会</w:t>
            </w:r>
            <w:r>
              <w:rPr>
                <w:rFonts w:hint="default"/>
                <w:highlight w:val="none"/>
                <w:lang w:val="en-US" w:eastAsia="zh-CN"/>
              </w:rPr>
              <w:t>提问答非所问的或未能按要求出席参加答辩的，差得0分。</w:t>
            </w:r>
          </w:p>
          <w:p w14:paraId="2945302A">
            <w:pPr>
              <w:rPr>
                <w:rFonts w:hint="eastAsia" w:eastAsia="宋体"/>
                <w:highlight w:val="none"/>
                <w:lang w:val="en-US" w:eastAsia="zh-CN"/>
              </w:rPr>
            </w:pPr>
            <w:r>
              <w:rPr>
                <w:rFonts w:hint="default" w:ascii="Arial" w:hAnsi="Arial" w:eastAsia="宋体" w:cs="Times New Roman"/>
                <w:highlight w:val="none"/>
                <w:lang w:val="en-US" w:eastAsia="zh-CN"/>
              </w:rPr>
              <w:t>项目的重点、难点</w:t>
            </w:r>
            <w:r>
              <w:rPr>
                <w:rFonts w:hint="eastAsia" w:ascii="Arial" w:hAnsi="Arial" w:eastAsia="宋体" w:cs="Times New Roman"/>
                <w:highlight w:val="none"/>
                <w:lang w:val="en-US" w:eastAsia="zh-CN"/>
              </w:rPr>
              <w:t>包括</w:t>
            </w:r>
            <w:r>
              <w:rPr>
                <w:rFonts w:hint="default" w:ascii="Arial" w:hAnsi="Arial" w:eastAsia="宋体" w:cs="Times New Roman"/>
                <w:highlight w:val="none"/>
                <w:lang w:val="en-US" w:eastAsia="zh-CN"/>
              </w:rPr>
              <w:t>：</w:t>
            </w:r>
            <w:r>
              <w:rPr>
                <w:rFonts w:hint="eastAsia" w:ascii="Arial" w:hAnsi="Arial" w:eastAsia="宋体" w:cs="Times New Roman"/>
                <w:highlight w:val="none"/>
                <w:lang w:val="en-US" w:eastAsia="zh-CN"/>
              </w:rPr>
              <w:t>酒店室内精装修设计风格将本项目突出工业遗产和历史文化的内涵。</w:t>
            </w:r>
          </w:p>
        </w:tc>
      </w:tr>
      <w:tr w14:paraId="77612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5" w:hRule="atLeast"/>
          <w:jc w:val="center"/>
        </w:trPr>
        <w:tc>
          <w:tcPr>
            <w:tcW w:w="1201" w:type="dxa"/>
            <w:noWrap w:val="0"/>
            <w:vAlign w:val="center"/>
          </w:tcPr>
          <w:p w14:paraId="40A5935E">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价格因素</w:t>
            </w:r>
          </w:p>
        </w:tc>
        <w:tc>
          <w:tcPr>
            <w:tcW w:w="1243" w:type="dxa"/>
            <w:noWrap w:val="0"/>
            <w:vAlign w:val="center"/>
          </w:tcPr>
          <w:p w14:paraId="447317A4">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color w:val="auto"/>
                <w:sz w:val="24"/>
                <w:szCs w:val="24"/>
                <w:highlight w:val="none"/>
              </w:rPr>
              <w:t>投标报价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20分</w:t>
            </w:r>
            <w:r>
              <w:rPr>
                <w:rFonts w:hint="eastAsia" w:ascii="宋体" w:hAnsi="宋体" w:eastAsia="宋体" w:cs="宋体"/>
                <w:color w:val="auto"/>
                <w:sz w:val="24"/>
                <w:szCs w:val="24"/>
                <w:highlight w:val="none"/>
                <w:lang w:eastAsia="zh-CN"/>
              </w:rPr>
              <w:t>）</w:t>
            </w:r>
          </w:p>
        </w:tc>
        <w:tc>
          <w:tcPr>
            <w:tcW w:w="6952" w:type="dxa"/>
            <w:noWrap w:val="0"/>
            <w:vAlign w:val="center"/>
          </w:tcPr>
          <w:p w14:paraId="3D56564E">
            <w:pPr>
              <w:pStyle w:val="3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当合格</w:t>
            </w:r>
            <w:r>
              <w:rPr>
                <w:rFonts w:hint="eastAsia" w:ascii="宋体" w:hAnsi="宋体" w:eastAsia="宋体" w:cs="宋体"/>
                <w:highlight w:val="none"/>
                <w:lang w:eastAsia="zh-Hans"/>
              </w:rPr>
              <w:t>中标候选人</w:t>
            </w:r>
            <w:r>
              <w:rPr>
                <w:rFonts w:hint="eastAsia" w:ascii="宋体" w:hAnsi="宋体" w:eastAsia="宋体" w:cs="宋体"/>
                <w:highlight w:val="none"/>
                <w:lang w:val="en-US" w:eastAsia="zh-CN"/>
              </w:rPr>
              <w:t>的数量≤5 家，取所有</w:t>
            </w:r>
            <w:r>
              <w:rPr>
                <w:rFonts w:hint="eastAsia" w:ascii="宋体" w:hAnsi="宋体" w:eastAsia="宋体" w:cs="宋体"/>
                <w:highlight w:val="none"/>
                <w:lang w:eastAsia="zh-Hans"/>
              </w:rPr>
              <w:t>中标候选人</w:t>
            </w:r>
            <w:r>
              <w:rPr>
                <w:rFonts w:hint="eastAsia" w:ascii="宋体" w:hAnsi="宋体" w:eastAsia="宋体" w:cs="宋体"/>
                <w:highlight w:val="none"/>
                <w:lang w:val="en-US" w:eastAsia="zh-CN"/>
              </w:rPr>
              <w:t>报价的算术平均值×H 为评标基准价；当合格</w:t>
            </w:r>
            <w:r>
              <w:rPr>
                <w:rFonts w:hint="eastAsia" w:ascii="宋体" w:hAnsi="宋体" w:eastAsia="宋体" w:cs="宋体"/>
                <w:highlight w:val="none"/>
                <w:lang w:eastAsia="zh-Hans"/>
              </w:rPr>
              <w:t>中标候选人</w:t>
            </w:r>
            <w:r>
              <w:rPr>
                <w:rFonts w:hint="eastAsia" w:ascii="宋体" w:hAnsi="宋体" w:eastAsia="宋体" w:cs="宋体"/>
                <w:highlight w:val="none"/>
                <w:lang w:val="en-US" w:eastAsia="zh-CN"/>
              </w:rPr>
              <w:t>的数量＞5 家，则去掉候选人中的一个最低和一个最高总报价，取剩余候选人的总报价的算术平均值基准价×H,H取0.95。计算如下：</w:t>
            </w:r>
          </w:p>
          <w:p w14:paraId="4EC6E219">
            <w:pPr>
              <w:pStyle w:val="3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（1）若评标价=评标基准价的，则价格得分为满分。</w:t>
            </w:r>
          </w:p>
          <w:p w14:paraId="6594B8DE">
            <w:pPr>
              <w:pStyle w:val="3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（2）若投标价〉评标基准价的，则价格得分=价格权重-|（投标人的投标总价-评标基准价）/评标基准价｜×100%×价格权重×1.2；</w:t>
            </w:r>
          </w:p>
          <w:p w14:paraId="415E7427">
            <w:pPr>
              <w:pStyle w:val="30"/>
              <w:ind w:left="0" w:leftChars="0" w:firstLine="0" w:firstLineChars="0"/>
              <w:rPr>
                <w:rFonts w:hint="eastAsia" w:ascii="宋体" w:hAnsi="宋体" w:eastAsia="宋体" w:cs="宋体"/>
                <w:highlight w:val="none"/>
                <w:lang w:val="en-US" w:eastAsia="zh-CN"/>
              </w:rPr>
            </w:pPr>
            <w:r>
              <w:rPr>
                <w:rFonts w:hint="eastAsia" w:ascii="宋体" w:hAnsi="宋体" w:eastAsia="宋体" w:cs="宋体"/>
                <w:highlight w:val="none"/>
                <w:lang w:val="en-US" w:eastAsia="zh-CN"/>
              </w:rPr>
              <w:t>（3）若投标价＜评标基准价的，则价格得分=价格权重-|（评标基准价-投标人的投标总价）/评标基准价｜×100%×价格权重×0.8</w:t>
            </w:r>
          </w:p>
        </w:tc>
      </w:tr>
    </w:tbl>
    <w:p w14:paraId="3F51EF9C">
      <w:pPr>
        <w:pStyle w:val="29"/>
        <w:spacing w:after="0" w:line="380" w:lineRule="exact"/>
        <w:ind w:firstLine="0" w:firstLineChars="0"/>
        <w:rPr>
          <w:rFonts w:hint="eastAsia" w:ascii="宋体" w:hAnsi="宋体" w:eastAsia="宋体" w:cs="宋体"/>
          <w:b w:val="0"/>
          <w:bCs w:val="0"/>
          <w:color w:val="000000"/>
          <w:kern w:val="2"/>
          <w:sz w:val="21"/>
          <w:szCs w:val="21"/>
          <w:highlight w:val="none"/>
          <w:u w:val="none"/>
          <w:lang w:eastAsia="zh-CN"/>
        </w:rPr>
      </w:pPr>
      <w:r>
        <w:rPr>
          <w:rFonts w:hint="eastAsia" w:ascii="宋体" w:hAnsi="宋体" w:eastAsia="宋体" w:cs="宋体"/>
          <w:b w:val="0"/>
          <w:bCs w:val="0"/>
          <w:color w:val="000000"/>
          <w:kern w:val="2"/>
          <w:sz w:val="21"/>
          <w:szCs w:val="21"/>
          <w:highlight w:val="none"/>
          <w:u w:val="none"/>
          <w:lang w:val="en-US" w:eastAsia="zh-CN"/>
        </w:rPr>
        <w:t>备</w:t>
      </w:r>
      <w:r>
        <w:rPr>
          <w:rFonts w:hint="eastAsia" w:ascii="宋体" w:hAnsi="宋体" w:eastAsia="宋体" w:cs="宋体"/>
          <w:b w:val="0"/>
          <w:bCs w:val="0"/>
          <w:color w:val="000000"/>
          <w:kern w:val="2"/>
          <w:sz w:val="21"/>
          <w:szCs w:val="21"/>
          <w:highlight w:val="none"/>
          <w:u w:val="none"/>
          <w:lang w:eastAsia="zh-CN"/>
        </w:rPr>
        <w:t>注：</w:t>
      </w:r>
    </w:p>
    <w:p w14:paraId="085C9503">
      <w:pPr>
        <w:pStyle w:val="30"/>
        <w:ind w:left="0" w:leftChars="0" w:firstLine="438" w:firstLineChars="209"/>
        <w:rPr>
          <w:rFonts w:hint="default"/>
          <w:highlight w:val="none"/>
          <w:lang w:val="en-US" w:eastAsia="zh-CN"/>
        </w:rPr>
      </w:pPr>
      <w:r>
        <w:rPr>
          <w:rFonts w:hint="default"/>
          <w:highlight w:val="none"/>
          <w:lang w:val="en-US" w:eastAsia="zh-CN"/>
        </w:rPr>
        <w:t>1、答辩人员组成：由合格的中标候选人拟派代表组成（参与人员须是本单位的在职人员</w:t>
      </w:r>
      <w:r>
        <w:rPr>
          <w:rFonts w:hint="eastAsia"/>
          <w:highlight w:val="none"/>
          <w:lang w:val="en-US" w:eastAsia="zh-CN"/>
        </w:rPr>
        <w:t>，若有合作设计协议，可由任意一方委派</w:t>
      </w:r>
      <w:r>
        <w:rPr>
          <w:rFonts w:hint="default"/>
          <w:highlight w:val="none"/>
          <w:lang w:val="en-US" w:eastAsia="zh-CN"/>
        </w:rPr>
        <w:t>），必须携带本单位法定代表人证明书原件、法定代表人授权委托证明书原件，本人身份证原件；</w:t>
      </w:r>
    </w:p>
    <w:p w14:paraId="290E1636">
      <w:pPr>
        <w:pStyle w:val="30"/>
        <w:ind w:left="0" w:leftChars="0" w:firstLine="438" w:firstLineChars="209"/>
        <w:rPr>
          <w:rFonts w:hint="default"/>
          <w:highlight w:val="none"/>
          <w:lang w:val="en-US" w:eastAsia="zh-CN"/>
        </w:rPr>
      </w:pPr>
      <w:r>
        <w:rPr>
          <w:rFonts w:hint="default"/>
          <w:highlight w:val="none"/>
          <w:lang w:val="en-US" w:eastAsia="zh-CN"/>
        </w:rPr>
        <w:t>2、答辩进场顺序：按拟派代表签到顺序各自抽取答辩顺序号，按答辩顺序号由小至大依次进场答辩；</w:t>
      </w:r>
    </w:p>
    <w:p w14:paraId="44A96F53">
      <w:pPr>
        <w:pStyle w:val="30"/>
        <w:ind w:left="0" w:leftChars="0" w:firstLine="438" w:firstLineChars="209"/>
        <w:rPr>
          <w:rFonts w:hint="default"/>
          <w:highlight w:val="none"/>
          <w:lang w:val="en-US" w:eastAsia="zh-CN"/>
        </w:rPr>
      </w:pPr>
      <w:r>
        <w:rPr>
          <w:rFonts w:hint="default"/>
          <w:highlight w:val="none"/>
          <w:lang w:val="en-US" w:eastAsia="zh-CN"/>
        </w:rPr>
        <w:t>3、如合格的中标候选人答辩时采用辅助材料的，其电子版在介绍完后需提交给招标代理单位存档。</w:t>
      </w:r>
    </w:p>
    <w:p w14:paraId="021C664F">
      <w:pPr>
        <w:pStyle w:val="30"/>
        <w:ind w:left="0" w:leftChars="0" w:firstLine="438" w:firstLineChars="209"/>
        <w:rPr>
          <w:rFonts w:hint="default"/>
          <w:highlight w:val="none"/>
          <w:lang w:val="en-US" w:eastAsia="zh-CN"/>
        </w:rPr>
      </w:pPr>
      <w:r>
        <w:rPr>
          <w:rFonts w:hint="default"/>
          <w:highlight w:val="none"/>
          <w:lang w:val="en-US" w:eastAsia="zh-CN"/>
        </w:rPr>
        <w:t>4、定标委员会根据定标因素并结合定标文件对合格的中标候选人分别进行评价，撰写评语。</w:t>
      </w:r>
    </w:p>
    <w:p w14:paraId="26AECB90">
      <w:pPr>
        <w:jc w:val="left"/>
        <w:rPr>
          <w:rFonts w:ascii="宋体" w:hAnsi="宋体" w:eastAsia="宋体" w:cs="Times New Roman"/>
          <w:b/>
          <w:bCs/>
          <w:szCs w:val="32"/>
          <w:highlight w:val="none"/>
        </w:rPr>
      </w:pPr>
      <w:r>
        <w:rPr>
          <w:rFonts w:hint="eastAsia" w:ascii="宋体" w:hAnsi="宋体" w:eastAsia="宋体" w:cs="Times New Roman"/>
          <w:b/>
          <w:bCs/>
          <w:szCs w:val="32"/>
          <w:highlight w:val="none"/>
          <w:lang w:eastAsia="zh-Hans"/>
        </w:rPr>
        <w:br w:type="page"/>
      </w:r>
    </w:p>
    <w:p w14:paraId="63912A52">
      <w:pPr>
        <w:rPr>
          <w:rFonts w:hint="eastAsia" w:ascii="宋体" w:hAnsi="宋体" w:eastAsia="宋体"/>
          <w:b/>
          <w:bCs/>
          <w:sz w:val="24"/>
          <w:szCs w:val="24"/>
          <w:highlight w:val="none"/>
          <w:lang w:eastAsia="zh-CN"/>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2</w:t>
      </w:r>
    </w:p>
    <w:p w14:paraId="118ECC1C">
      <w:pPr>
        <w:jc w:val="center"/>
        <w:rPr>
          <w:rFonts w:hint="eastAsia" w:ascii="宋体" w:hAnsi="宋体"/>
          <w:b/>
          <w:sz w:val="24"/>
          <w:szCs w:val="24"/>
          <w:highlight w:val="none"/>
        </w:rPr>
      </w:pPr>
    </w:p>
    <w:p w14:paraId="21DDA64E">
      <w:pPr>
        <w:spacing w:line="360" w:lineRule="auto"/>
        <w:jc w:val="center"/>
        <w:rPr>
          <w:rFonts w:ascii="宋体" w:hAnsi="宋体"/>
          <w:b/>
          <w:sz w:val="30"/>
          <w:szCs w:val="30"/>
          <w:highlight w:val="none"/>
        </w:rPr>
      </w:pPr>
      <w:r>
        <w:rPr>
          <w:rFonts w:hint="eastAsia" w:ascii="宋体" w:hAnsi="宋体"/>
          <w:b/>
          <w:sz w:val="30"/>
          <w:szCs w:val="30"/>
          <w:highlight w:val="none"/>
        </w:rPr>
        <w:t>定标</w:t>
      </w:r>
      <w:r>
        <w:rPr>
          <w:rFonts w:hint="eastAsia" w:ascii="宋体" w:hAnsi="宋体"/>
          <w:b/>
          <w:sz w:val="30"/>
          <w:szCs w:val="30"/>
          <w:highlight w:val="none"/>
          <w:lang w:val="en-US" w:eastAsia="zh-CN"/>
        </w:rPr>
        <w:t>因素评审</w:t>
      </w:r>
      <w:r>
        <w:rPr>
          <w:rFonts w:hint="eastAsia" w:ascii="宋体" w:hAnsi="宋体"/>
          <w:b/>
          <w:sz w:val="30"/>
          <w:szCs w:val="30"/>
          <w:highlight w:val="none"/>
        </w:rPr>
        <w:t>表（定标阶段）</w:t>
      </w:r>
    </w:p>
    <w:p w14:paraId="71BD15E4">
      <w:pPr>
        <w:keepNext w:val="0"/>
        <w:keepLines w:val="0"/>
        <w:pageBreakBefore w:val="0"/>
        <w:widowControl w:val="0"/>
        <w:kinsoku/>
        <w:wordWrap/>
        <w:overflowPunct/>
        <w:topLinePunct w:val="0"/>
        <w:autoSpaceDE w:val="0"/>
        <w:autoSpaceDN w:val="0"/>
        <w:bidi w:val="0"/>
        <w:adjustRightInd w:val="0"/>
        <w:snapToGrid/>
        <w:spacing w:line="240" w:lineRule="exact"/>
        <w:textAlignment w:val="auto"/>
        <w:rPr>
          <w:rFonts w:hint="eastAsia" w:ascii="宋体" w:hAnsi="宋体" w:eastAsia="宋体" w:cs="宋体"/>
          <w:sz w:val="24"/>
          <w:szCs w:val="24"/>
          <w:highlight w:val="none"/>
        </w:rPr>
      </w:pPr>
    </w:p>
    <w:p w14:paraId="1EC0D055">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bl>
      <w:tblPr>
        <w:tblStyle w:val="31"/>
        <w:tblW w:w="89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1375"/>
        <w:gridCol w:w="6758"/>
      </w:tblGrid>
      <w:tr w14:paraId="0DCF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vMerge w:val="restart"/>
            <w:noWrap w:val="0"/>
            <w:vAlign w:val="center"/>
          </w:tcPr>
          <w:p w14:paraId="62FD419F">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1375" w:type="dxa"/>
            <w:vMerge w:val="restart"/>
            <w:noWrap w:val="0"/>
            <w:vAlign w:val="center"/>
          </w:tcPr>
          <w:p w14:paraId="402A0E8C">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定标</w:t>
            </w:r>
            <w:r>
              <w:rPr>
                <w:rFonts w:hint="eastAsia" w:ascii="宋体" w:hAnsi="宋体" w:eastAsia="宋体" w:cs="宋体"/>
                <w:sz w:val="24"/>
                <w:szCs w:val="24"/>
                <w:highlight w:val="none"/>
              </w:rPr>
              <w:t>因素</w:t>
            </w:r>
          </w:p>
        </w:tc>
        <w:tc>
          <w:tcPr>
            <w:tcW w:w="6758" w:type="dxa"/>
            <w:noWrap w:val="0"/>
            <w:vAlign w:val="center"/>
          </w:tcPr>
          <w:p w14:paraId="461F0BD9">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评语</w:t>
            </w:r>
          </w:p>
        </w:tc>
      </w:tr>
      <w:tr w14:paraId="1F8B7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02" w:type="dxa"/>
            <w:vMerge w:val="continue"/>
            <w:noWrap w:val="0"/>
            <w:vAlign w:val="center"/>
          </w:tcPr>
          <w:p w14:paraId="2714DED8">
            <w:pPr>
              <w:jc w:val="center"/>
              <w:rPr>
                <w:rFonts w:hint="eastAsia" w:ascii="宋体" w:hAnsi="宋体" w:eastAsia="宋体" w:cs="宋体"/>
                <w:sz w:val="24"/>
                <w:szCs w:val="24"/>
                <w:highlight w:val="none"/>
                <w:lang w:val="en-US" w:eastAsia="zh-CN"/>
              </w:rPr>
            </w:pPr>
          </w:p>
        </w:tc>
        <w:tc>
          <w:tcPr>
            <w:tcW w:w="1375" w:type="dxa"/>
            <w:vMerge w:val="continue"/>
            <w:noWrap w:val="0"/>
            <w:vAlign w:val="center"/>
          </w:tcPr>
          <w:p w14:paraId="6513B68D">
            <w:pPr>
              <w:jc w:val="center"/>
              <w:rPr>
                <w:rFonts w:hint="eastAsia" w:ascii="宋体" w:hAnsi="宋体" w:eastAsia="宋体" w:cs="宋体"/>
                <w:sz w:val="24"/>
                <w:szCs w:val="24"/>
                <w:highlight w:val="none"/>
              </w:rPr>
            </w:pPr>
          </w:p>
        </w:tc>
        <w:tc>
          <w:tcPr>
            <w:tcW w:w="6758" w:type="dxa"/>
            <w:noWrap w:val="0"/>
            <w:vAlign w:val="center"/>
          </w:tcPr>
          <w:p w14:paraId="21F1597A">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合格</w:t>
            </w:r>
            <w:r>
              <w:rPr>
                <w:rFonts w:hint="eastAsia" w:ascii="宋体" w:hAnsi="宋体" w:eastAsia="宋体" w:cs="宋体"/>
                <w:sz w:val="24"/>
                <w:szCs w:val="24"/>
                <w:highlight w:val="none"/>
              </w:rPr>
              <w:t>的中标候选人名称</w:t>
            </w:r>
          </w:p>
        </w:tc>
      </w:tr>
      <w:tr w14:paraId="2A69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802" w:type="dxa"/>
            <w:noWrap w:val="0"/>
            <w:vAlign w:val="center"/>
          </w:tcPr>
          <w:p w14:paraId="2FB8BD2E">
            <w:pPr>
              <w:jc w:val="center"/>
              <w:rPr>
                <w:rFonts w:hint="default" w:ascii="宋体" w:hAnsi="宋体" w:eastAsia="宋体" w:cs="宋体"/>
                <w:sz w:val="24"/>
                <w:szCs w:val="24"/>
                <w:highlight w:val="none"/>
                <w:lang w:val="en-US" w:eastAsia="zh-CN"/>
              </w:rPr>
            </w:pPr>
            <w:bookmarkStart w:id="73" w:name="OLE_LINK3" w:colFirst="0" w:colLast="1"/>
            <w:r>
              <w:rPr>
                <w:rFonts w:hint="eastAsia" w:ascii="宋体" w:hAnsi="宋体" w:eastAsia="宋体" w:cs="宋体"/>
                <w:sz w:val="24"/>
                <w:szCs w:val="24"/>
                <w:highlight w:val="none"/>
                <w:lang w:val="en-US" w:eastAsia="zh-CN"/>
              </w:rPr>
              <w:t>1</w:t>
            </w:r>
          </w:p>
        </w:tc>
        <w:tc>
          <w:tcPr>
            <w:tcW w:w="1375" w:type="dxa"/>
            <w:noWrap w:val="0"/>
            <w:vAlign w:val="center"/>
          </w:tcPr>
          <w:p w14:paraId="5DB0EF3E">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商务因素</w:t>
            </w:r>
          </w:p>
        </w:tc>
        <w:tc>
          <w:tcPr>
            <w:tcW w:w="6758" w:type="dxa"/>
            <w:noWrap w:val="0"/>
            <w:vAlign w:val="center"/>
          </w:tcPr>
          <w:p w14:paraId="6CDA5078">
            <w:pPr>
              <w:rPr>
                <w:rFonts w:hint="eastAsia" w:ascii="宋体" w:hAnsi="宋体" w:eastAsia="宋体" w:cs="宋体"/>
                <w:sz w:val="24"/>
                <w:szCs w:val="24"/>
                <w:highlight w:val="none"/>
              </w:rPr>
            </w:pPr>
          </w:p>
        </w:tc>
      </w:tr>
      <w:tr w14:paraId="02657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802" w:type="dxa"/>
            <w:noWrap w:val="0"/>
            <w:vAlign w:val="center"/>
          </w:tcPr>
          <w:p w14:paraId="77AA6A5B">
            <w:pPr>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1375" w:type="dxa"/>
            <w:noWrap w:val="0"/>
            <w:vAlign w:val="center"/>
          </w:tcPr>
          <w:p w14:paraId="14D91412">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方案因素</w:t>
            </w:r>
          </w:p>
        </w:tc>
        <w:tc>
          <w:tcPr>
            <w:tcW w:w="6758" w:type="dxa"/>
            <w:noWrap w:val="0"/>
            <w:vAlign w:val="center"/>
          </w:tcPr>
          <w:p w14:paraId="33870DF6">
            <w:pPr>
              <w:rPr>
                <w:rFonts w:hint="eastAsia" w:ascii="宋体" w:hAnsi="宋体" w:eastAsia="宋体" w:cs="宋体"/>
                <w:sz w:val="24"/>
                <w:szCs w:val="24"/>
                <w:highlight w:val="none"/>
              </w:rPr>
            </w:pPr>
          </w:p>
        </w:tc>
      </w:tr>
      <w:tr w14:paraId="5221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802" w:type="dxa"/>
            <w:noWrap w:val="0"/>
            <w:vAlign w:val="center"/>
          </w:tcPr>
          <w:p w14:paraId="1E99BB74">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1375" w:type="dxa"/>
            <w:noWrap w:val="0"/>
            <w:vAlign w:val="center"/>
          </w:tcPr>
          <w:p w14:paraId="46F33E8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答辩</w:t>
            </w:r>
            <w:r>
              <w:rPr>
                <w:rFonts w:hint="eastAsia" w:ascii="宋体" w:hAnsi="宋体" w:eastAsia="宋体" w:cs="宋体"/>
                <w:sz w:val="24"/>
                <w:szCs w:val="24"/>
                <w:highlight w:val="none"/>
              </w:rPr>
              <w:t>因素</w:t>
            </w:r>
          </w:p>
        </w:tc>
        <w:tc>
          <w:tcPr>
            <w:tcW w:w="6758" w:type="dxa"/>
            <w:noWrap w:val="0"/>
            <w:vAlign w:val="center"/>
          </w:tcPr>
          <w:p w14:paraId="6DCA3B7E">
            <w:pPr>
              <w:rPr>
                <w:rFonts w:hint="eastAsia" w:ascii="宋体" w:hAnsi="宋体" w:eastAsia="宋体" w:cs="宋体"/>
                <w:sz w:val="24"/>
                <w:szCs w:val="24"/>
                <w:highlight w:val="none"/>
              </w:rPr>
            </w:pPr>
          </w:p>
        </w:tc>
      </w:tr>
      <w:tr w14:paraId="45899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802" w:type="dxa"/>
            <w:noWrap w:val="0"/>
            <w:vAlign w:val="center"/>
          </w:tcPr>
          <w:p w14:paraId="779CE63B">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1375" w:type="dxa"/>
            <w:noWrap w:val="0"/>
            <w:vAlign w:val="center"/>
          </w:tcPr>
          <w:p w14:paraId="2195F17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价格</w:t>
            </w:r>
            <w:r>
              <w:rPr>
                <w:rFonts w:hint="eastAsia" w:ascii="宋体" w:hAnsi="宋体" w:eastAsia="宋体" w:cs="宋体"/>
                <w:sz w:val="24"/>
                <w:szCs w:val="24"/>
                <w:highlight w:val="none"/>
              </w:rPr>
              <w:t>因素</w:t>
            </w:r>
          </w:p>
        </w:tc>
        <w:tc>
          <w:tcPr>
            <w:tcW w:w="6758" w:type="dxa"/>
            <w:noWrap w:val="0"/>
            <w:vAlign w:val="center"/>
          </w:tcPr>
          <w:p w14:paraId="2A83A70E">
            <w:pPr>
              <w:rPr>
                <w:rFonts w:hint="eastAsia" w:ascii="宋体" w:hAnsi="宋体" w:eastAsia="宋体" w:cs="宋体"/>
                <w:sz w:val="24"/>
                <w:szCs w:val="24"/>
                <w:highlight w:val="none"/>
              </w:rPr>
            </w:pPr>
          </w:p>
        </w:tc>
      </w:tr>
      <w:bookmarkEnd w:id="73"/>
    </w:tbl>
    <w:p w14:paraId="6FA893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 w:val="21"/>
          <w:szCs w:val="21"/>
          <w:highlight w:val="none"/>
        </w:rPr>
        <w:t>注：</w:t>
      </w:r>
      <w:r>
        <w:rPr>
          <w:rFonts w:hint="eastAsia" w:ascii="宋体" w:hAnsi="宋体" w:eastAsia="宋体" w:cs="宋体"/>
          <w:szCs w:val="21"/>
          <w:highlight w:val="none"/>
        </w:rPr>
        <w:t>定标委员会根据定标因素对各投标人</w:t>
      </w:r>
      <w:r>
        <w:rPr>
          <w:rFonts w:hint="eastAsia" w:ascii="宋体" w:hAnsi="宋体" w:eastAsia="宋体" w:cs="宋体"/>
          <w:szCs w:val="21"/>
          <w:highlight w:val="none"/>
          <w:lang w:eastAsia="zh-CN"/>
        </w:rPr>
        <w:t>分别</w:t>
      </w:r>
      <w:r>
        <w:rPr>
          <w:rFonts w:hint="eastAsia" w:ascii="宋体" w:hAnsi="宋体" w:eastAsia="宋体" w:cs="宋体"/>
          <w:szCs w:val="21"/>
          <w:highlight w:val="none"/>
        </w:rPr>
        <w:t>进行</w:t>
      </w:r>
      <w:r>
        <w:rPr>
          <w:rFonts w:hint="eastAsia" w:ascii="宋体" w:hAnsi="宋体" w:eastAsia="宋体" w:cs="宋体"/>
          <w:szCs w:val="21"/>
          <w:highlight w:val="none"/>
          <w:lang w:eastAsia="zh-CN"/>
        </w:rPr>
        <w:t>评价</w:t>
      </w:r>
      <w:r>
        <w:rPr>
          <w:rFonts w:hint="eastAsia" w:ascii="宋体" w:hAnsi="宋体" w:eastAsia="宋体" w:cs="宋体"/>
          <w:szCs w:val="21"/>
          <w:highlight w:val="none"/>
        </w:rPr>
        <w:t>，撰写评语。</w:t>
      </w:r>
    </w:p>
    <w:p w14:paraId="672EE6D3">
      <w:pPr>
        <w:spacing w:line="360" w:lineRule="auto"/>
        <w:rPr>
          <w:rFonts w:hint="eastAsia" w:ascii="宋体" w:hAnsi="宋体"/>
          <w:sz w:val="24"/>
          <w:szCs w:val="24"/>
          <w:highlight w:val="none"/>
        </w:rPr>
      </w:pPr>
    </w:p>
    <w:p w14:paraId="5D9802C2">
      <w:pPr>
        <w:spacing w:line="360" w:lineRule="auto"/>
        <w:rPr>
          <w:rFonts w:ascii="宋体" w:hAnsi="宋体"/>
          <w:sz w:val="24"/>
          <w:szCs w:val="24"/>
          <w:highlight w:val="none"/>
        </w:rPr>
      </w:pPr>
      <w:r>
        <w:rPr>
          <w:rFonts w:hint="eastAsia" w:ascii="宋体" w:hAnsi="宋体"/>
          <w:sz w:val="24"/>
          <w:szCs w:val="24"/>
          <w:highlight w:val="none"/>
        </w:rPr>
        <w:t>定标委员签名：</w:t>
      </w:r>
      <w:r>
        <w:rPr>
          <w:rFonts w:ascii="宋体" w:hAnsi="宋体"/>
          <w:sz w:val="24"/>
          <w:szCs w:val="24"/>
          <w:highlight w:val="none"/>
        </w:rPr>
        <w:t xml:space="preserve">                                 </w:t>
      </w:r>
      <w:r>
        <w:rPr>
          <w:rFonts w:hint="eastAsia" w:ascii="宋体" w:hAnsi="宋体"/>
          <w:sz w:val="24"/>
          <w:szCs w:val="24"/>
          <w:highlight w:val="none"/>
        </w:rPr>
        <w:t>日期：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61E635F4">
      <w:pPr>
        <w:jc w:val="left"/>
        <w:rPr>
          <w:rFonts w:hint="eastAsia" w:ascii="宋体" w:hAnsi="宋体" w:eastAsia="宋体" w:cs="Times New Roman"/>
          <w:b/>
          <w:sz w:val="24"/>
          <w:szCs w:val="24"/>
          <w:highlight w:val="none"/>
        </w:rPr>
      </w:pPr>
    </w:p>
    <w:p w14:paraId="27AA8330">
      <w:pPr>
        <w:rPr>
          <w:rFonts w:ascii="宋体" w:hAnsi="宋体"/>
          <w:b/>
          <w:bCs/>
          <w:sz w:val="24"/>
          <w:szCs w:val="24"/>
          <w:highlight w:val="none"/>
        </w:rPr>
      </w:pPr>
    </w:p>
    <w:p w14:paraId="75FC62CB">
      <w:pPr>
        <w:jc w:val="center"/>
        <w:rPr>
          <w:rFonts w:hint="eastAsia" w:ascii="宋体" w:hAnsi="宋体" w:eastAsia="宋体" w:cs="Times New Roman"/>
          <w:b/>
          <w:sz w:val="24"/>
          <w:szCs w:val="24"/>
          <w:highlight w:val="none"/>
        </w:rPr>
      </w:pPr>
    </w:p>
    <w:p w14:paraId="208722BC">
      <w:pPr>
        <w:jc w:val="left"/>
        <w:rPr>
          <w:rFonts w:hint="eastAsia" w:ascii="宋体" w:hAnsi="宋体" w:eastAsia="宋体" w:cs="Times New Roman"/>
          <w:b/>
          <w:sz w:val="24"/>
          <w:szCs w:val="24"/>
          <w:highlight w:val="none"/>
        </w:rPr>
      </w:pPr>
    </w:p>
    <w:p w14:paraId="43B14D1E">
      <w:pPr>
        <w:spacing w:line="360" w:lineRule="auto"/>
        <w:jc w:val="left"/>
        <w:rPr>
          <w:rFonts w:ascii="宋体" w:hAnsi="宋体"/>
          <w:b/>
          <w:bCs/>
          <w:szCs w:val="32"/>
          <w:highlight w:val="none"/>
        </w:rPr>
      </w:pPr>
    </w:p>
    <w:p w14:paraId="22B6D6C2">
      <w:pPr>
        <w:spacing w:line="360" w:lineRule="auto"/>
        <w:jc w:val="left"/>
        <w:rPr>
          <w:rFonts w:ascii="宋体" w:hAnsi="宋体"/>
          <w:b/>
          <w:bCs/>
          <w:szCs w:val="32"/>
          <w:highlight w:val="none"/>
        </w:rPr>
      </w:pPr>
    </w:p>
    <w:p w14:paraId="38DAED71">
      <w:pPr>
        <w:spacing w:line="360" w:lineRule="auto"/>
        <w:jc w:val="left"/>
        <w:rPr>
          <w:rFonts w:ascii="宋体" w:hAnsi="宋体"/>
          <w:b/>
          <w:bCs/>
          <w:szCs w:val="32"/>
          <w:highlight w:val="none"/>
        </w:rPr>
      </w:pPr>
    </w:p>
    <w:p w14:paraId="77C8D20E">
      <w:pPr>
        <w:rPr>
          <w:rFonts w:hint="eastAsia" w:ascii="宋体" w:hAnsi="宋体" w:eastAsia="宋体"/>
          <w:b/>
          <w:bCs/>
          <w:sz w:val="24"/>
          <w:szCs w:val="24"/>
          <w:highlight w:val="none"/>
          <w:lang w:eastAsia="zh-CN"/>
        </w:rPr>
      </w:pPr>
      <w:r>
        <w:rPr>
          <w:rFonts w:hint="eastAsia" w:ascii="宋体" w:hAnsi="宋体"/>
          <w:b/>
          <w:bCs/>
          <w:sz w:val="24"/>
          <w:szCs w:val="24"/>
          <w:highlight w:val="none"/>
        </w:rPr>
        <w:br w:type="page"/>
      </w:r>
      <w:r>
        <w:rPr>
          <w:rFonts w:hint="eastAsia" w:ascii="宋体" w:hAnsi="宋体"/>
          <w:b/>
          <w:bCs/>
          <w:sz w:val="24"/>
          <w:szCs w:val="24"/>
          <w:highlight w:val="none"/>
        </w:rPr>
        <w:t>附件</w:t>
      </w:r>
      <w:r>
        <w:rPr>
          <w:rFonts w:hint="eastAsia" w:ascii="宋体" w:hAnsi="宋体"/>
          <w:b/>
          <w:bCs/>
          <w:sz w:val="24"/>
          <w:szCs w:val="24"/>
          <w:highlight w:val="none"/>
          <w:lang w:val="en-US" w:eastAsia="zh-CN"/>
        </w:rPr>
        <w:t>3</w:t>
      </w:r>
    </w:p>
    <w:p w14:paraId="3AAEE96C">
      <w:pPr>
        <w:jc w:val="center"/>
        <w:rPr>
          <w:rFonts w:hint="eastAsia" w:ascii="宋体" w:hAnsi="宋体"/>
          <w:b/>
          <w:sz w:val="24"/>
          <w:szCs w:val="24"/>
          <w:highlight w:val="none"/>
        </w:rPr>
      </w:pPr>
    </w:p>
    <w:p w14:paraId="0DE0C2E3">
      <w:pPr>
        <w:jc w:val="left"/>
        <w:rPr>
          <w:rFonts w:hint="eastAsia" w:ascii="宋体" w:hAnsi="宋体" w:eastAsia="宋体" w:cs="Times New Roman"/>
          <w:b/>
          <w:sz w:val="24"/>
          <w:szCs w:val="24"/>
          <w:highlight w:val="none"/>
        </w:rPr>
      </w:pPr>
    </w:p>
    <w:p w14:paraId="231D53B9">
      <w:pPr>
        <w:spacing w:line="360" w:lineRule="auto"/>
        <w:jc w:val="center"/>
        <w:rPr>
          <w:rFonts w:ascii="宋体" w:hAnsi="宋体"/>
          <w:b/>
          <w:sz w:val="30"/>
          <w:szCs w:val="30"/>
          <w:highlight w:val="none"/>
        </w:rPr>
      </w:pPr>
      <w:r>
        <w:rPr>
          <w:rFonts w:hint="eastAsia" w:ascii="宋体" w:hAnsi="宋体"/>
          <w:b/>
          <w:sz w:val="30"/>
          <w:szCs w:val="30"/>
          <w:highlight w:val="none"/>
        </w:rPr>
        <w:t>直接票决定标选票表（定标阶段）</w:t>
      </w:r>
    </w:p>
    <w:p w14:paraId="00191A3E">
      <w:p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项目名称：</w:t>
      </w:r>
    </w:p>
    <w:tbl>
      <w:tblPr>
        <w:tblStyle w:val="31"/>
        <w:tblW w:w="8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5424"/>
      </w:tblGrid>
      <w:tr w14:paraId="58B17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36" w:type="dxa"/>
            <w:noWrap w:val="0"/>
            <w:vAlign w:val="center"/>
          </w:tcPr>
          <w:p w14:paraId="5FE4B2BF">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投票</w:t>
            </w:r>
            <w:r>
              <w:rPr>
                <w:rFonts w:hint="eastAsia" w:ascii="宋体" w:hAnsi="宋体" w:eastAsia="宋体" w:cs="宋体"/>
                <w:sz w:val="24"/>
                <w:szCs w:val="24"/>
                <w:highlight w:val="none"/>
              </w:rPr>
              <w:t>支持的</w:t>
            </w:r>
            <w:r>
              <w:rPr>
                <w:rFonts w:hint="eastAsia" w:ascii="宋体" w:hAnsi="宋体" w:eastAsia="宋体" w:cs="宋体"/>
                <w:sz w:val="24"/>
                <w:szCs w:val="24"/>
                <w:highlight w:val="none"/>
                <w:lang w:val="en-US" w:eastAsia="zh-CN"/>
              </w:rPr>
              <w:t>投标人</w:t>
            </w:r>
            <w:r>
              <w:rPr>
                <w:rFonts w:hint="eastAsia" w:ascii="宋体" w:hAnsi="宋体" w:eastAsia="宋体" w:cs="宋体"/>
                <w:sz w:val="24"/>
                <w:szCs w:val="24"/>
                <w:highlight w:val="none"/>
              </w:rPr>
              <w:t>名称</w:t>
            </w:r>
          </w:p>
        </w:tc>
        <w:tc>
          <w:tcPr>
            <w:tcW w:w="5424" w:type="dxa"/>
            <w:noWrap w:val="0"/>
            <w:vAlign w:val="center"/>
          </w:tcPr>
          <w:p w14:paraId="7676B764">
            <w:pPr>
              <w:jc w:val="center"/>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支持理由</w:t>
            </w:r>
          </w:p>
        </w:tc>
      </w:tr>
      <w:tr w14:paraId="204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9" w:hRule="atLeast"/>
          <w:jc w:val="center"/>
        </w:trPr>
        <w:tc>
          <w:tcPr>
            <w:tcW w:w="3536" w:type="dxa"/>
            <w:noWrap w:val="0"/>
            <w:vAlign w:val="center"/>
          </w:tcPr>
          <w:p w14:paraId="6F1C6543">
            <w:pPr>
              <w:jc w:val="center"/>
              <w:rPr>
                <w:rFonts w:hint="eastAsia" w:ascii="宋体" w:hAnsi="宋体" w:eastAsia="宋体" w:cs="宋体"/>
                <w:sz w:val="24"/>
                <w:szCs w:val="24"/>
                <w:highlight w:val="none"/>
              </w:rPr>
            </w:pPr>
          </w:p>
        </w:tc>
        <w:tc>
          <w:tcPr>
            <w:tcW w:w="5424" w:type="dxa"/>
            <w:noWrap w:val="0"/>
            <w:vAlign w:val="center"/>
          </w:tcPr>
          <w:p w14:paraId="340F881C">
            <w:pPr>
              <w:rPr>
                <w:rFonts w:hint="eastAsia" w:ascii="宋体" w:hAnsi="宋体" w:eastAsia="宋体" w:cs="宋体"/>
                <w:sz w:val="24"/>
                <w:szCs w:val="24"/>
                <w:highlight w:val="none"/>
              </w:rPr>
            </w:pPr>
          </w:p>
        </w:tc>
      </w:tr>
    </w:tbl>
    <w:p w14:paraId="74DF195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szCs w:val="21"/>
          <w:highlight w:val="none"/>
        </w:rPr>
      </w:pPr>
      <w:r>
        <w:rPr>
          <w:rFonts w:hint="eastAsia" w:ascii="宋体" w:hAnsi="宋体" w:eastAsia="宋体" w:cs="宋体"/>
          <w:szCs w:val="21"/>
          <w:highlight w:val="none"/>
          <w:lang w:val="en-US" w:eastAsia="zh-CN"/>
        </w:rPr>
        <w:t>注</w:t>
      </w:r>
      <w:r>
        <w:rPr>
          <w:rFonts w:hint="eastAsia" w:ascii="宋体" w:hAnsi="宋体" w:eastAsia="宋体" w:cs="宋体"/>
          <w:szCs w:val="21"/>
          <w:highlight w:val="none"/>
        </w:rPr>
        <w:t>：</w:t>
      </w:r>
    </w:p>
    <w:p w14:paraId="72E8326A">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1）定标委员会根据定标因素对各投标人进行综合比较后，进行一次性票决并排序（记名投票），每位定标委员会成员只有1票表决权（即只能对其中一家投标人投票），得票数最多的投标人将被确认为中标人，若出现票数相同且无法决出排名时，则每位定标委员会成员对“票数相同且最多”的投标人就方案因素再进行一次性票决，若再次出现票数相同且无法决出排名的情况，本次定标会无效，招标人重新招标。</w:t>
      </w:r>
    </w:p>
    <w:p w14:paraId="50DD7A6D">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（2）定标委员会中的各定标委员应独立投票，可以弃权，当弃权票数达到定标委员会人数50%或以上时，本次定标会无效，招标人重新组建定标委员会或重新招标。</w:t>
      </w:r>
    </w:p>
    <w:p w14:paraId="37ADF17C">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eastAsia" w:ascii="宋体" w:hAnsi="宋体" w:eastAsia="宋体" w:cs="宋体"/>
          <w:szCs w:val="21"/>
          <w:highlight w:val="none"/>
        </w:rPr>
      </w:pPr>
      <w:r>
        <w:rPr>
          <w:rFonts w:hint="eastAsia" w:ascii="宋体" w:hAnsi="宋体" w:eastAsia="宋体" w:cs="宋体"/>
          <w:szCs w:val="21"/>
          <w:highlight w:val="none"/>
        </w:rPr>
        <w:t>（3）定标委员会成员应当独立投票，自投票开始至最终排名统计结果公布期间，任何人不得非法干预、影响投票过程，不得透露、协商、改变投票结果，不得使用通信联络工具。</w:t>
      </w:r>
    </w:p>
    <w:p w14:paraId="4356B602">
      <w:pPr>
        <w:spacing w:line="360" w:lineRule="auto"/>
        <w:ind w:firstLine="480"/>
        <w:rPr>
          <w:rFonts w:ascii="宋体" w:hAnsi="宋体"/>
          <w:szCs w:val="21"/>
          <w:highlight w:val="none"/>
        </w:rPr>
      </w:pPr>
    </w:p>
    <w:p w14:paraId="2E4E781E">
      <w:pPr>
        <w:spacing w:line="360" w:lineRule="auto"/>
        <w:rPr>
          <w:rFonts w:ascii="宋体" w:hAnsi="宋体"/>
          <w:sz w:val="24"/>
          <w:szCs w:val="24"/>
          <w:highlight w:val="none"/>
        </w:rPr>
      </w:pPr>
      <w:r>
        <w:rPr>
          <w:rFonts w:hint="eastAsia" w:ascii="宋体" w:hAnsi="宋体"/>
          <w:sz w:val="24"/>
          <w:szCs w:val="24"/>
          <w:highlight w:val="none"/>
        </w:rPr>
        <w:t>定标委员签名：</w:t>
      </w:r>
      <w:r>
        <w:rPr>
          <w:rFonts w:ascii="宋体" w:hAnsi="宋体"/>
          <w:sz w:val="24"/>
          <w:szCs w:val="24"/>
          <w:highlight w:val="none"/>
        </w:rPr>
        <w:t xml:space="preserve">                                 </w:t>
      </w:r>
      <w:r>
        <w:rPr>
          <w:rFonts w:hint="eastAsia" w:ascii="宋体" w:hAnsi="宋体"/>
          <w:sz w:val="24"/>
          <w:szCs w:val="24"/>
          <w:highlight w:val="none"/>
        </w:rPr>
        <w:t>日期：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2B5E9158">
      <w:pPr>
        <w:jc w:val="left"/>
        <w:rPr>
          <w:rFonts w:ascii="宋体" w:hAnsi="宋体"/>
          <w:b/>
          <w:bCs/>
          <w:szCs w:val="32"/>
          <w:highlight w:val="none"/>
        </w:rPr>
      </w:pPr>
    </w:p>
    <w:p w14:paraId="374B7AAA">
      <w:pPr>
        <w:spacing w:line="360" w:lineRule="auto"/>
        <w:jc w:val="left"/>
        <w:rPr>
          <w:rFonts w:ascii="宋体" w:hAnsi="宋体"/>
          <w:b/>
          <w:bCs/>
          <w:szCs w:val="32"/>
          <w:highlight w:val="none"/>
        </w:rPr>
      </w:pPr>
      <w:r>
        <w:rPr>
          <w:rFonts w:ascii="宋体" w:hAnsi="宋体"/>
          <w:b/>
          <w:bCs/>
          <w:szCs w:val="32"/>
          <w:highlight w:val="none"/>
        </w:rPr>
        <w:br w:type="page"/>
      </w:r>
    </w:p>
    <w:p w14:paraId="1510318D">
      <w:pPr>
        <w:rPr>
          <w:rFonts w:hint="eastAsia" w:ascii="宋体" w:hAnsi="宋体" w:eastAsia="宋体"/>
          <w:b/>
          <w:bCs/>
          <w:sz w:val="24"/>
          <w:szCs w:val="24"/>
          <w:highlight w:val="none"/>
          <w:lang w:eastAsia="zh-CN"/>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4</w:t>
      </w:r>
    </w:p>
    <w:p w14:paraId="10DAF90A">
      <w:pPr>
        <w:jc w:val="center"/>
        <w:rPr>
          <w:rFonts w:ascii="宋体" w:hAnsi="宋体"/>
          <w:b/>
          <w:sz w:val="32"/>
          <w:szCs w:val="32"/>
          <w:highlight w:val="none"/>
        </w:rPr>
      </w:pPr>
    </w:p>
    <w:p w14:paraId="63A8D644">
      <w:pPr>
        <w:spacing w:line="360" w:lineRule="auto"/>
        <w:jc w:val="center"/>
        <w:rPr>
          <w:rFonts w:ascii="宋体" w:hAnsi="宋体"/>
          <w:b/>
          <w:sz w:val="30"/>
          <w:szCs w:val="30"/>
          <w:highlight w:val="none"/>
        </w:rPr>
      </w:pPr>
      <w:r>
        <w:rPr>
          <w:rFonts w:hint="eastAsia" w:ascii="宋体" w:hAnsi="宋体"/>
          <w:b/>
          <w:sz w:val="30"/>
          <w:szCs w:val="30"/>
          <w:highlight w:val="none"/>
        </w:rPr>
        <w:t>直接票决定标选票汇总表（定标阶段）</w:t>
      </w:r>
    </w:p>
    <w:p w14:paraId="5EF5EC62">
      <w:pPr>
        <w:jc w:val="left"/>
        <w:rPr>
          <w:rFonts w:ascii="宋体" w:hAnsi="宋体"/>
          <w:sz w:val="24"/>
          <w:szCs w:val="24"/>
          <w:highlight w:val="none"/>
        </w:rPr>
      </w:pPr>
      <w:r>
        <w:rPr>
          <w:rFonts w:hint="eastAsia" w:ascii="宋体" w:hAnsi="宋体"/>
          <w:sz w:val="24"/>
          <w:szCs w:val="24"/>
          <w:highlight w:val="none"/>
        </w:rPr>
        <w:t>项目名称：</w:t>
      </w:r>
    </w:p>
    <w:tbl>
      <w:tblPr>
        <w:tblStyle w:val="31"/>
        <w:tblW w:w="9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5654"/>
        <w:gridCol w:w="2280"/>
      </w:tblGrid>
      <w:tr w14:paraId="34D1D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4AC149D">
            <w:pPr>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5654" w:type="dxa"/>
            <w:vMerge w:val="restart"/>
            <w:tcBorders>
              <w:top w:val="single" w:color="auto" w:sz="4" w:space="0"/>
              <w:left w:val="single" w:color="auto" w:sz="4" w:space="0"/>
              <w:right w:val="single" w:color="auto" w:sz="4" w:space="0"/>
            </w:tcBorders>
            <w:noWrap w:val="0"/>
            <w:vAlign w:val="center"/>
          </w:tcPr>
          <w:p w14:paraId="0DA028F6">
            <w:pPr>
              <w:spacing w:line="360" w:lineRule="auto"/>
              <w:jc w:val="center"/>
              <w:rPr>
                <w:rFonts w:ascii="宋体" w:hAnsi="宋体"/>
                <w:sz w:val="24"/>
                <w:szCs w:val="24"/>
                <w:highlight w:val="none"/>
              </w:rPr>
            </w:pPr>
            <w:r>
              <w:rPr>
                <w:rFonts w:hint="eastAsia" w:ascii="宋体" w:hAnsi="宋体"/>
                <w:sz w:val="24"/>
                <w:szCs w:val="24"/>
                <w:highlight w:val="none"/>
              </w:rPr>
              <w:t>投标人名称</w:t>
            </w:r>
          </w:p>
        </w:tc>
        <w:tc>
          <w:tcPr>
            <w:tcW w:w="2280" w:type="dxa"/>
            <w:vMerge w:val="restart"/>
            <w:tcBorders>
              <w:top w:val="single" w:color="auto" w:sz="4" w:space="0"/>
              <w:left w:val="single" w:color="auto" w:sz="4" w:space="0"/>
              <w:bottom w:val="single" w:color="auto" w:sz="4" w:space="0"/>
              <w:right w:val="single" w:color="auto" w:sz="4" w:space="0"/>
            </w:tcBorders>
            <w:noWrap w:val="0"/>
            <w:vAlign w:val="center"/>
          </w:tcPr>
          <w:p w14:paraId="4B0FEB50">
            <w:pPr>
              <w:spacing w:line="360" w:lineRule="auto"/>
              <w:jc w:val="center"/>
              <w:rPr>
                <w:rFonts w:ascii="宋体" w:hAnsi="宋体"/>
                <w:sz w:val="24"/>
                <w:szCs w:val="24"/>
                <w:highlight w:val="none"/>
              </w:rPr>
            </w:pPr>
            <w:r>
              <w:rPr>
                <w:rFonts w:hint="eastAsia" w:ascii="宋体" w:hAnsi="宋体"/>
                <w:sz w:val="24"/>
                <w:szCs w:val="24"/>
                <w:highlight w:val="none"/>
              </w:rPr>
              <w:t>得票</w:t>
            </w:r>
            <w:r>
              <w:rPr>
                <w:rFonts w:hint="eastAsia" w:ascii="宋体" w:hAnsi="宋体"/>
                <w:sz w:val="24"/>
                <w:szCs w:val="24"/>
                <w:highlight w:val="none"/>
                <w:lang w:val="en-US" w:eastAsia="zh-CN"/>
              </w:rPr>
              <w:t>数</w:t>
            </w:r>
          </w:p>
        </w:tc>
      </w:tr>
      <w:tr w14:paraId="793B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BA85E3E">
            <w:pPr>
              <w:widowControl/>
              <w:jc w:val="center"/>
              <w:rPr>
                <w:rFonts w:ascii="宋体" w:hAnsi="宋体"/>
                <w:sz w:val="24"/>
                <w:szCs w:val="24"/>
                <w:highlight w:val="none"/>
              </w:rPr>
            </w:pPr>
          </w:p>
        </w:tc>
        <w:tc>
          <w:tcPr>
            <w:tcW w:w="5654" w:type="dxa"/>
            <w:vMerge w:val="continue"/>
            <w:tcBorders>
              <w:left w:val="single" w:color="auto" w:sz="4" w:space="0"/>
              <w:bottom w:val="single" w:color="auto" w:sz="4" w:space="0"/>
              <w:right w:val="single" w:color="auto" w:sz="4" w:space="0"/>
            </w:tcBorders>
            <w:noWrap w:val="0"/>
            <w:vAlign w:val="top"/>
          </w:tcPr>
          <w:p w14:paraId="05A91588">
            <w:pPr>
              <w:widowControl/>
              <w:jc w:val="center"/>
              <w:rPr>
                <w:rFonts w:ascii="宋体" w:hAnsi="宋体"/>
                <w:sz w:val="24"/>
                <w:szCs w:val="24"/>
                <w:highlight w:val="none"/>
              </w:rPr>
            </w:pPr>
          </w:p>
        </w:tc>
        <w:tc>
          <w:tcPr>
            <w:tcW w:w="2280" w:type="dxa"/>
            <w:vMerge w:val="continue"/>
            <w:tcBorders>
              <w:top w:val="single" w:color="auto" w:sz="4" w:space="0"/>
              <w:left w:val="single" w:color="auto" w:sz="4" w:space="0"/>
              <w:bottom w:val="single" w:color="auto" w:sz="4" w:space="0"/>
              <w:right w:val="single" w:color="auto" w:sz="4" w:space="0"/>
            </w:tcBorders>
            <w:noWrap w:val="0"/>
            <w:vAlign w:val="center"/>
          </w:tcPr>
          <w:p w14:paraId="47CE13BF">
            <w:pPr>
              <w:widowControl/>
              <w:jc w:val="center"/>
              <w:rPr>
                <w:rFonts w:ascii="宋体" w:hAnsi="宋体"/>
                <w:sz w:val="24"/>
                <w:szCs w:val="24"/>
                <w:highlight w:val="none"/>
              </w:rPr>
            </w:pPr>
          </w:p>
        </w:tc>
      </w:tr>
      <w:tr w14:paraId="0D4E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4C200FA3">
            <w:pPr>
              <w:spacing w:line="480" w:lineRule="auto"/>
              <w:jc w:val="center"/>
              <w:rPr>
                <w:rFonts w:ascii="宋体" w:hAnsi="宋体"/>
                <w:sz w:val="24"/>
                <w:szCs w:val="24"/>
                <w:highlight w:val="none"/>
              </w:rPr>
            </w:pPr>
            <w:r>
              <w:rPr>
                <w:rFonts w:ascii="宋体" w:hAnsi="宋体"/>
                <w:sz w:val="24"/>
                <w:szCs w:val="24"/>
                <w:highlight w:val="none"/>
              </w:rPr>
              <w:t>1</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53D32A75">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6406813">
            <w:pPr>
              <w:spacing w:line="480" w:lineRule="auto"/>
              <w:jc w:val="center"/>
              <w:rPr>
                <w:rFonts w:ascii="宋体" w:hAnsi="宋体"/>
                <w:sz w:val="24"/>
                <w:szCs w:val="24"/>
                <w:highlight w:val="none"/>
              </w:rPr>
            </w:pPr>
          </w:p>
        </w:tc>
      </w:tr>
      <w:tr w14:paraId="0A02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52F9208C">
            <w:pPr>
              <w:spacing w:line="480" w:lineRule="auto"/>
              <w:jc w:val="center"/>
              <w:rPr>
                <w:rFonts w:ascii="宋体" w:hAnsi="宋体"/>
                <w:sz w:val="24"/>
                <w:szCs w:val="24"/>
                <w:highlight w:val="none"/>
              </w:rPr>
            </w:pPr>
            <w:r>
              <w:rPr>
                <w:rFonts w:ascii="宋体" w:hAnsi="宋体"/>
                <w:sz w:val="24"/>
                <w:szCs w:val="24"/>
                <w:highlight w:val="none"/>
              </w:rPr>
              <w:t>2</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2BC2C6BC">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57BE7DC">
            <w:pPr>
              <w:spacing w:line="480" w:lineRule="auto"/>
              <w:jc w:val="center"/>
              <w:rPr>
                <w:rFonts w:ascii="宋体" w:hAnsi="宋体"/>
                <w:sz w:val="24"/>
                <w:szCs w:val="24"/>
                <w:highlight w:val="none"/>
              </w:rPr>
            </w:pPr>
          </w:p>
        </w:tc>
      </w:tr>
      <w:tr w14:paraId="4DBD3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0D56787B">
            <w:pPr>
              <w:spacing w:line="480" w:lineRule="auto"/>
              <w:jc w:val="center"/>
              <w:rPr>
                <w:rFonts w:ascii="宋体" w:hAnsi="宋体"/>
                <w:sz w:val="24"/>
                <w:szCs w:val="24"/>
                <w:highlight w:val="none"/>
              </w:rPr>
            </w:pPr>
            <w:r>
              <w:rPr>
                <w:rFonts w:ascii="宋体" w:hAnsi="宋体"/>
                <w:sz w:val="24"/>
                <w:szCs w:val="24"/>
                <w:highlight w:val="none"/>
              </w:rPr>
              <w:t>3</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67F339EC">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04DE3D63">
            <w:pPr>
              <w:spacing w:line="480" w:lineRule="auto"/>
              <w:jc w:val="center"/>
              <w:rPr>
                <w:rFonts w:ascii="宋体" w:hAnsi="宋体"/>
                <w:sz w:val="24"/>
                <w:szCs w:val="24"/>
                <w:highlight w:val="none"/>
              </w:rPr>
            </w:pPr>
          </w:p>
        </w:tc>
      </w:tr>
      <w:tr w14:paraId="56876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72256DEB">
            <w:pPr>
              <w:spacing w:line="480" w:lineRule="auto"/>
              <w:jc w:val="center"/>
              <w:rPr>
                <w:rFonts w:ascii="宋体" w:hAnsi="宋体"/>
                <w:sz w:val="24"/>
                <w:szCs w:val="24"/>
                <w:highlight w:val="none"/>
              </w:rPr>
            </w:pPr>
            <w:r>
              <w:rPr>
                <w:rFonts w:ascii="宋体" w:hAnsi="宋体"/>
                <w:sz w:val="24"/>
                <w:szCs w:val="24"/>
                <w:highlight w:val="none"/>
              </w:rPr>
              <w:t>4</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0B6AC247">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22B072AC">
            <w:pPr>
              <w:spacing w:line="480" w:lineRule="auto"/>
              <w:jc w:val="center"/>
              <w:rPr>
                <w:rFonts w:ascii="宋体" w:hAnsi="宋体"/>
                <w:sz w:val="24"/>
                <w:szCs w:val="24"/>
                <w:highlight w:val="none"/>
              </w:rPr>
            </w:pPr>
          </w:p>
        </w:tc>
      </w:tr>
      <w:tr w14:paraId="40013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2E0AA264">
            <w:pPr>
              <w:spacing w:line="480" w:lineRule="auto"/>
              <w:jc w:val="center"/>
              <w:rPr>
                <w:rFonts w:ascii="宋体" w:hAnsi="宋体"/>
                <w:sz w:val="24"/>
                <w:szCs w:val="24"/>
                <w:highlight w:val="none"/>
              </w:rPr>
            </w:pPr>
            <w:r>
              <w:rPr>
                <w:rFonts w:ascii="宋体" w:hAnsi="宋体"/>
                <w:sz w:val="24"/>
                <w:szCs w:val="24"/>
                <w:highlight w:val="none"/>
              </w:rPr>
              <w:t>5</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5D0D720A">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7218F00B">
            <w:pPr>
              <w:spacing w:line="480" w:lineRule="auto"/>
              <w:jc w:val="center"/>
              <w:rPr>
                <w:rFonts w:ascii="宋体" w:hAnsi="宋体"/>
                <w:sz w:val="24"/>
                <w:szCs w:val="24"/>
                <w:highlight w:val="none"/>
              </w:rPr>
            </w:pPr>
          </w:p>
        </w:tc>
      </w:tr>
      <w:tr w14:paraId="6576C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0" w:type="dxa"/>
            <w:tcBorders>
              <w:top w:val="single" w:color="auto" w:sz="4" w:space="0"/>
              <w:left w:val="single" w:color="auto" w:sz="4" w:space="0"/>
              <w:bottom w:val="single" w:color="auto" w:sz="4" w:space="0"/>
              <w:right w:val="single" w:color="auto" w:sz="4" w:space="0"/>
            </w:tcBorders>
            <w:noWrap w:val="0"/>
            <w:vAlign w:val="center"/>
          </w:tcPr>
          <w:p w14:paraId="65962634">
            <w:pPr>
              <w:spacing w:line="480" w:lineRule="auto"/>
              <w:jc w:val="center"/>
              <w:rPr>
                <w:rFonts w:ascii="宋体" w:hAnsi="宋体"/>
                <w:sz w:val="24"/>
                <w:szCs w:val="24"/>
                <w:highlight w:val="none"/>
              </w:rPr>
            </w:pPr>
            <w:r>
              <w:rPr>
                <w:rFonts w:ascii="宋体" w:hAnsi="宋体"/>
                <w:sz w:val="24"/>
                <w:szCs w:val="24"/>
                <w:highlight w:val="none"/>
              </w:rPr>
              <w:t>…</w:t>
            </w:r>
          </w:p>
        </w:tc>
        <w:tc>
          <w:tcPr>
            <w:tcW w:w="5654" w:type="dxa"/>
            <w:tcBorders>
              <w:top w:val="single" w:color="auto" w:sz="4" w:space="0"/>
              <w:left w:val="single" w:color="auto" w:sz="4" w:space="0"/>
              <w:bottom w:val="single" w:color="auto" w:sz="4" w:space="0"/>
              <w:right w:val="single" w:color="auto" w:sz="4" w:space="0"/>
            </w:tcBorders>
            <w:noWrap w:val="0"/>
            <w:vAlign w:val="top"/>
          </w:tcPr>
          <w:p w14:paraId="1CE43453">
            <w:pPr>
              <w:spacing w:line="480" w:lineRule="auto"/>
              <w:jc w:val="center"/>
              <w:rPr>
                <w:rFonts w:ascii="宋体" w:hAnsi="宋体"/>
                <w:sz w:val="24"/>
                <w:szCs w:val="24"/>
                <w:highlight w:val="none"/>
              </w:rPr>
            </w:pPr>
          </w:p>
        </w:tc>
        <w:tc>
          <w:tcPr>
            <w:tcW w:w="2280" w:type="dxa"/>
            <w:tcBorders>
              <w:top w:val="single" w:color="auto" w:sz="4" w:space="0"/>
              <w:left w:val="single" w:color="auto" w:sz="4" w:space="0"/>
              <w:bottom w:val="single" w:color="auto" w:sz="4" w:space="0"/>
              <w:right w:val="single" w:color="auto" w:sz="4" w:space="0"/>
            </w:tcBorders>
            <w:noWrap w:val="0"/>
            <w:vAlign w:val="center"/>
          </w:tcPr>
          <w:p w14:paraId="50BBDCE2">
            <w:pPr>
              <w:spacing w:line="480" w:lineRule="auto"/>
              <w:jc w:val="center"/>
              <w:rPr>
                <w:rFonts w:ascii="宋体" w:hAnsi="宋体"/>
                <w:sz w:val="24"/>
                <w:szCs w:val="24"/>
                <w:highlight w:val="none"/>
              </w:rPr>
            </w:pPr>
          </w:p>
        </w:tc>
      </w:tr>
    </w:tbl>
    <w:p w14:paraId="04CCA943">
      <w:pPr>
        <w:rPr>
          <w:rFonts w:ascii="宋体" w:hAnsi="宋体"/>
          <w:sz w:val="24"/>
          <w:szCs w:val="24"/>
          <w:highlight w:val="none"/>
        </w:rPr>
      </w:pPr>
    </w:p>
    <w:p w14:paraId="0F44D21D">
      <w:pPr>
        <w:ind w:firstLine="240" w:firstLineChars="100"/>
        <w:jc w:val="left"/>
        <w:rPr>
          <w:rFonts w:ascii="宋体" w:hAnsi="宋体"/>
          <w:sz w:val="24"/>
          <w:szCs w:val="24"/>
          <w:highlight w:val="none"/>
        </w:rPr>
      </w:pPr>
      <w:r>
        <w:rPr>
          <w:rFonts w:hint="eastAsia" w:ascii="宋体" w:hAnsi="宋体"/>
          <w:sz w:val="24"/>
          <w:szCs w:val="24"/>
          <w:highlight w:val="none"/>
        </w:rPr>
        <w:t>定标委员会全体成员签</w:t>
      </w:r>
      <w:r>
        <w:rPr>
          <w:rFonts w:hint="eastAsia" w:ascii="宋体" w:hAnsi="宋体"/>
          <w:sz w:val="24"/>
          <w:szCs w:val="24"/>
          <w:highlight w:val="none"/>
          <w:lang w:val="en-US" w:eastAsia="zh-CN"/>
        </w:rPr>
        <w:t>名</w:t>
      </w:r>
      <w:r>
        <w:rPr>
          <w:rFonts w:hint="eastAsia" w:ascii="宋体" w:hAnsi="宋体"/>
          <w:sz w:val="24"/>
          <w:szCs w:val="24"/>
          <w:highlight w:val="none"/>
        </w:rPr>
        <w:t xml:space="preserve">：                        </w:t>
      </w:r>
      <w:r>
        <w:rPr>
          <w:rFonts w:ascii="宋体" w:hAnsi="宋体"/>
          <w:sz w:val="24"/>
          <w:szCs w:val="24"/>
          <w:highlight w:val="none"/>
        </w:rPr>
        <w:t>日</w:t>
      </w:r>
      <w:r>
        <w:rPr>
          <w:rFonts w:hint="eastAsia" w:ascii="宋体" w:hAnsi="宋体"/>
          <w:sz w:val="24"/>
          <w:szCs w:val="24"/>
          <w:highlight w:val="none"/>
        </w:rPr>
        <w:t>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1287D15">
      <w:pPr>
        <w:rPr>
          <w:rFonts w:hint="eastAsia" w:ascii="宋体" w:hAnsi="宋体" w:eastAsia="宋体" w:cs="宋体"/>
          <w:highlight w:val="none"/>
        </w:rPr>
      </w:pPr>
    </w:p>
    <w:p w14:paraId="254430D1">
      <w:pPr>
        <w:rPr>
          <w:rFonts w:hint="eastAsia" w:ascii="宋体" w:hAnsi="宋体" w:eastAsia="宋体" w:cs="宋体"/>
          <w:highlight w:val="none"/>
        </w:rPr>
      </w:pPr>
      <w:r>
        <w:rPr>
          <w:rFonts w:hint="eastAsia" w:ascii="宋体" w:hAnsi="宋体" w:eastAsia="宋体" w:cs="宋体"/>
          <w:highlight w:val="none"/>
        </w:rPr>
        <w:br w:type="page"/>
      </w:r>
    </w:p>
    <w:p w14:paraId="594643D4">
      <w:pPr>
        <w:rPr>
          <w:rFonts w:hint="eastAsia" w:ascii="宋体" w:hAnsi="宋体" w:eastAsia="宋体"/>
          <w:b/>
          <w:bCs/>
          <w:sz w:val="24"/>
          <w:szCs w:val="24"/>
          <w:highlight w:val="none"/>
          <w:lang w:eastAsia="zh-CN"/>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5</w:t>
      </w:r>
    </w:p>
    <w:p w14:paraId="02102FAE">
      <w:pPr>
        <w:jc w:val="center"/>
        <w:rPr>
          <w:rFonts w:ascii="宋体" w:hAnsi="宋体"/>
          <w:b/>
          <w:sz w:val="32"/>
          <w:szCs w:val="32"/>
          <w:highlight w:val="none"/>
        </w:rPr>
      </w:pPr>
    </w:p>
    <w:p w14:paraId="1101FC1F">
      <w:pPr>
        <w:spacing w:line="360" w:lineRule="auto"/>
        <w:jc w:val="center"/>
        <w:rPr>
          <w:rFonts w:ascii="宋体" w:hAnsi="宋体"/>
          <w:b/>
          <w:sz w:val="30"/>
          <w:szCs w:val="30"/>
          <w:highlight w:val="none"/>
        </w:rPr>
      </w:pPr>
      <w:r>
        <w:rPr>
          <w:rFonts w:hint="eastAsia" w:ascii="宋体" w:hAnsi="宋体"/>
          <w:b/>
          <w:sz w:val="30"/>
          <w:szCs w:val="30"/>
          <w:highlight w:val="none"/>
        </w:rPr>
        <w:t>附加直接票决定标选票表</w:t>
      </w:r>
    </w:p>
    <w:p w14:paraId="5EEAEB5A">
      <w:pPr>
        <w:pStyle w:val="69"/>
        <w:spacing w:line="360" w:lineRule="auto"/>
        <w:jc w:val="center"/>
        <w:rPr>
          <w:rFonts w:hint="eastAsia" w:ascii="宋体" w:hAnsi="宋体" w:eastAsia="宋体" w:cs="Times New Roman"/>
          <w:b/>
          <w:kern w:val="2"/>
          <w:sz w:val="30"/>
          <w:szCs w:val="30"/>
          <w:highlight w:val="none"/>
          <w:lang w:val="en-US" w:eastAsia="zh-CN" w:bidi="ar-SA"/>
        </w:rPr>
      </w:pPr>
      <w:r>
        <w:rPr>
          <w:rFonts w:hint="eastAsia" w:ascii="宋体" w:hAnsi="宋体" w:eastAsia="宋体" w:cs="Times New Roman"/>
          <w:b/>
          <w:kern w:val="2"/>
          <w:sz w:val="30"/>
          <w:szCs w:val="30"/>
          <w:highlight w:val="none"/>
          <w:lang w:val="en-US" w:eastAsia="zh-CN" w:bidi="ar-SA"/>
        </w:rPr>
        <w:t>（定标阶段-票数相同时定标委员会个人用表）</w:t>
      </w:r>
    </w:p>
    <w:p w14:paraId="11606864">
      <w:pPr>
        <w:pStyle w:val="69"/>
        <w:jc w:val="center"/>
        <w:rPr>
          <w:rFonts w:ascii="宋体" w:hAnsi="宋体" w:cs="宋体"/>
          <w:bCs/>
          <w:color w:val="auto"/>
          <w:sz w:val="24"/>
          <w:szCs w:val="24"/>
          <w:highlight w:val="none"/>
        </w:rPr>
      </w:pPr>
    </w:p>
    <w:p w14:paraId="2118DCF7">
      <w:pPr>
        <w:adjustRightInd w:val="0"/>
        <w:snapToGrid w:val="0"/>
        <w:spacing w:line="360" w:lineRule="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lang w:eastAsia="zh-CN"/>
        </w:rPr>
        <w:t>项目</w:t>
      </w:r>
      <w:r>
        <w:rPr>
          <w:rFonts w:hint="eastAsia" w:ascii="宋体" w:hAnsi="宋体" w:cs="宋体"/>
          <w:bCs/>
          <w:color w:val="auto"/>
          <w:kern w:val="0"/>
          <w:sz w:val="24"/>
          <w:szCs w:val="24"/>
          <w:highlight w:val="none"/>
        </w:rPr>
        <w:t>名称：</w:t>
      </w:r>
    </w:p>
    <w:tbl>
      <w:tblPr>
        <w:tblStyle w:val="3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5"/>
        <w:gridCol w:w="2114"/>
        <w:gridCol w:w="2114"/>
        <w:gridCol w:w="2114"/>
      </w:tblGrid>
      <w:tr w14:paraId="41AFB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55" w:type="dxa"/>
            <w:tcBorders>
              <w:top w:val="single" w:color="auto" w:sz="4" w:space="0"/>
              <w:left w:val="single" w:color="auto" w:sz="4" w:space="0"/>
              <w:bottom w:val="single" w:color="auto" w:sz="4" w:space="0"/>
              <w:right w:val="single" w:color="auto" w:sz="4" w:space="0"/>
            </w:tcBorders>
            <w:noWrap w:val="0"/>
            <w:vAlign w:val="center"/>
          </w:tcPr>
          <w:p w14:paraId="607FA725">
            <w:pPr>
              <w:spacing w:line="60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支持的投标人名称</w:t>
            </w:r>
          </w:p>
        </w:tc>
        <w:tc>
          <w:tcPr>
            <w:tcW w:w="2114" w:type="dxa"/>
            <w:tcBorders>
              <w:top w:val="single" w:color="auto" w:sz="4" w:space="0"/>
              <w:left w:val="single" w:color="auto" w:sz="4" w:space="0"/>
              <w:bottom w:val="single" w:color="auto" w:sz="4" w:space="0"/>
              <w:right w:val="single" w:color="auto" w:sz="4" w:space="0"/>
            </w:tcBorders>
            <w:noWrap w:val="0"/>
            <w:vAlign w:val="center"/>
          </w:tcPr>
          <w:p w14:paraId="47E3E63F">
            <w:pPr>
              <w:spacing w:line="600" w:lineRule="exact"/>
              <w:jc w:val="center"/>
              <w:rPr>
                <w:rFonts w:ascii="宋体" w:hAnsi="宋体" w:cs="宋体"/>
                <w:bCs/>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14:paraId="2D65D70A">
            <w:pPr>
              <w:spacing w:line="600" w:lineRule="exact"/>
              <w:jc w:val="center"/>
              <w:rPr>
                <w:rFonts w:ascii="宋体" w:hAnsi="宋体" w:cs="宋体"/>
                <w:bCs/>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14:paraId="0025BA8A">
            <w:pPr>
              <w:spacing w:line="600" w:lineRule="exact"/>
              <w:jc w:val="center"/>
              <w:rPr>
                <w:rFonts w:ascii="宋体" w:hAnsi="宋体" w:cs="宋体"/>
                <w:bCs/>
                <w:color w:val="auto"/>
                <w:kern w:val="0"/>
                <w:sz w:val="24"/>
                <w:szCs w:val="24"/>
                <w:highlight w:val="none"/>
              </w:rPr>
            </w:pPr>
          </w:p>
        </w:tc>
      </w:tr>
      <w:tr w14:paraId="051B7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55" w:type="dxa"/>
            <w:tcBorders>
              <w:top w:val="single" w:color="auto" w:sz="4" w:space="0"/>
              <w:left w:val="single" w:color="auto" w:sz="4" w:space="0"/>
              <w:bottom w:val="single" w:color="auto" w:sz="4" w:space="0"/>
              <w:right w:val="single" w:color="auto" w:sz="4" w:space="0"/>
            </w:tcBorders>
            <w:noWrap w:val="0"/>
            <w:vAlign w:val="center"/>
          </w:tcPr>
          <w:p w14:paraId="5620F0BD">
            <w:pPr>
              <w:spacing w:line="600" w:lineRule="exact"/>
              <w:jc w:val="center"/>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票决意见</w:t>
            </w:r>
          </w:p>
        </w:tc>
        <w:tc>
          <w:tcPr>
            <w:tcW w:w="2114" w:type="dxa"/>
            <w:tcBorders>
              <w:top w:val="single" w:color="auto" w:sz="4" w:space="0"/>
              <w:left w:val="single" w:color="auto" w:sz="4" w:space="0"/>
              <w:bottom w:val="single" w:color="auto" w:sz="4" w:space="0"/>
              <w:right w:val="single" w:color="auto" w:sz="4" w:space="0"/>
            </w:tcBorders>
            <w:noWrap w:val="0"/>
            <w:vAlign w:val="center"/>
          </w:tcPr>
          <w:p w14:paraId="447CCC7C">
            <w:pPr>
              <w:spacing w:line="600" w:lineRule="exact"/>
              <w:jc w:val="center"/>
              <w:rPr>
                <w:rFonts w:ascii="宋体" w:hAnsi="宋体" w:cs="宋体"/>
                <w:bCs/>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14:paraId="26F2A44A">
            <w:pPr>
              <w:spacing w:line="600" w:lineRule="exact"/>
              <w:jc w:val="center"/>
              <w:rPr>
                <w:rFonts w:ascii="宋体" w:hAnsi="宋体" w:cs="宋体"/>
                <w:bCs/>
                <w:color w:val="auto"/>
                <w:kern w:val="0"/>
                <w:sz w:val="24"/>
                <w:szCs w:val="24"/>
                <w:highlight w:val="none"/>
              </w:rPr>
            </w:pPr>
          </w:p>
        </w:tc>
        <w:tc>
          <w:tcPr>
            <w:tcW w:w="2114" w:type="dxa"/>
            <w:tcBorders>
              <w:top w:val="single" w:color="auto" w:sz="4" w:space="0"/>
              <w:left w:val="single" w:color="auto" w:sz="4" w:space="0"/>
              <w:bottom w:val="single" w:color="auto" w:sz="4" w:space="0"/>
              <w:right w:val="single" w:color="auto" w:sz="4" w:space="0"/>
            </w:tcBorders>
            <w:noWrap w:val="0"/>
            <w:vAlign w:val="center"/>
          </w:tcPr>
          <w:p w14:paraId="4A48A377">
            <w:pPr>
              <w:spacing w:line="600" w:lineRule="exact"/>
              <w:jc w:val="center"/>
              <w:rPr>
                <w:rFonts w:ascii="宋体" w:hAnsi="宋体" w:cs="宋体"/>
                <w:bCs/>
                <w:color w:val="auto"/>
                <w:kern w:val="0"/>
                <w:sz w:val="24"/>
                <w:szCs w:val="24"/>
                <w:highlight w:val="none"/>
              </w:rPr>
            </w:pPr>
          </w:p>
        </w:tc>
      </w:tr>
    </w:tbl>
    <w:p w14:paraId="2C689658">
      <w:pPr>
        <w:pStyle w:val="69"/>
        <w:rPr>
          <w:rFonts w:ascii="宋体" w:hAnsi="宋体" w:cs="宋体"/>
          <w:bCs/>
          <w:color w:val="auto"/>
          <w:kern w:val="0"/>
          <w:sz w:val="24"/>
          <w:szCs w:val="24"/>
          <w:highlight w:val="none"/>
        </w:rPr>
      </w:pPr>
    </w:p>
    <w:p w14:paraId="54E19F47">
      <w:pPr>
        <w:adjustRightInd w:val="0"/>
        <w:snapToGrid w:val="0"/>
        <w:spacing w:line="360" w:lineRule="auto"/>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定标委员签名：                                  日期：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31C3D935">
      <w:pPr>
        <w:pStyle w:val="69"/>
        <w:spacing w:line="360" w:lineRule="auto"/>
        <w:rPr>
          <w:rFonts w:ascii="宋体" w:hAnsi="宋体" w:cs="宋体"/>
          <w:bCs/>
          <w:color w:val="auto"/>
          <w:sz w:val="24"/>
          <w:szCs w:val="24"/>
          <w:highlight w:val="none"/>
        </w:rPr>
      </w:pPr>
      <w:r>
        <w:rPr>
          <w:rFonts w:hint="eastAsia" w:ascii="宋体" w:hAnsi="宋体" w:cs="宋体"/>
          <w:bCs/>
          <w:color w:val="auto"/>
          <w:sz w:val="24"/>
          <w:szCs w:val="24"/>
          <w:highlight w:val="none"/>
        </w:rPr>
        <w:t>备注：</w:t>
      </w:r>
    </w:p>
    <w:p w14:paraId="73AB45B2">
      <w:pPr>
        <w:pStyle w:val="69"/>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1、本表用于投票出现票数相同的情况。</w:t>
      </w:r>
    </w:p>
    <w:p w14:paraId="1FFE7674">
      <w:pPr>
        <w:pStyle w:val="69"/>
        <w:spacing w:line="360" w:lineRule="auto"/>
        <w:ind w:firstLine="480" w:firstLineChars="200"/>
        <w:rPr>
          <w:rFonts w:ascii="宋体" w:hAnsi="宋体" w:cs="宋体"/>
          <w:bCs/>
          <w:color w:val="auto"/>
          <w:sz w:val="24"/>
          <w:szCs w:val="24"/>
          <w:highlight w:val="none"/>
        </w:rPr>
      </w:pPr>
      <w:r>
        <w:rPr>
          <w:rFonts w:hint="eastAsia" w:ascii="宋体" w:hAnsi="宋体" w:cs="宋体"/>
          <w:bCs/>
          <w:color w:val="auto"/>
          <w:sz w:val="24"/>
          <w:szCs w:val="24"/>
          <w:highlight w:val="none"/>
        </w:rPr>
        <w:t>2、由定标委员会成员进行附加投票，票决意见分别为“投票”或“不投票”，各定标委员会成员只有1票表决权（即只能对其中一名投标人“投票”），票决意见为“投票”的，用“○”表示；票决意见为“不投票”，用“×”表示。</w:t>
      </w:r>
    </w:p>
    <w:p w14:paraId="6427C452">
      <w:pPr>
        <w:jc w:val="left"/>
        <w:rPr>
          <w:rFonts w:ascii="宋体" w:hAnsi="宋体"/>
          <w:b/>
          <w:bCs/>
          <w:szCs w:val="32"/>
          <w:highlight w:val="none"/>
        </w:rPr>
      </w:pPr>
    </w:p>
    <w:p w14:paraId="6CCB30F7">
      <w:pPr>
        <w:jc w:val="left"/>
        <w:rPr>
          <w:rFonts w:ascii="宋体" w:hAnsi="宋体"/>
          <w:b/>
          <w:bCs/>
          <w:szCs w:val="32"/>
          <w:highlight w:val="none"/>
        </w:rPr>
      </w:pPr>
    </w:p>
    <w:p w14:paraId="2593BF0B">
      <w:pPr>
        <w:jc w:val="left"/>
        <w:rPr>
          <w:rFonts w:ascii="宋体" w:hAnsi="宋体"/>
          <w:b/>
          <w:bCs/>
          <w:szCs w:val="32"/>
          <w:highlight w:val="none"/>
        </w:rPr>
      </w:pPr>
      <w:r>
        <w:rPr>
          <w:rFonts w:ascii="宋体" w:hAnsi="宋体"/>
          <w:b/>
          <w:bCs/>
          <w:szCs w:val="32"/>
          <w:highlight w:val="none"/>
        </w:rPr>
        <w:br w:type="page"/>
      </w:r>
    </w:p>
    <w:p w14:paraId="3A0450A6">
      <w:pPr>
        <w:rPr>
          <w:rFonts w:hint="eastAsia" w:ascii="宋体" w:hAnsi="宋体" w:eastAsia="宋体"/>
          <w:b/>
          <w:bCs/>
          <w:sz w:val="24"/>
          <w:szCs w:val="24"/>
          <w:highlight w:val="none"/>
          <w:lang w:eastAsia="zh-CN"/>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6</w:t>
      </w:r>
    </w:p>
    <w:p w14:paraId="399DB993">
      <w:pPr>
        <w:jc w:val="center"/>
        <w:rPr>
          <w:rFonts w:ascii="宋体" w:hAnsi="宋体"/>
          <w:b/>
          <w:sz w:val="32"/>
          <w:szCs w:val="32"/>
          <w:highlight w:val="none"/>
        </w:rPr>
      </w:pPr>
    </w:p>
    <w:p w14:paraId="332EE767">
      <w:pPr>
        <w:spacing w:line="360" w:lineRule="auto"/>
        <w:jc w:val="center"/>
        <w:rPr>
          <w:rFonts w:hint="eastAsia" w:ascii="宋体" w:hAnsi="宋体"/>
          <w:b/>
          <w:sz w:val="30"/>
          <w:szCs w:val="30"/>
          <w:highlight w:val="none"/>
        </w:rPr>
      </w:pPr>
      <w:r>
        <w:rPr>
          <w:rFonts w:hint="eastAsia" w:ascii="宋体" w:hAnsi="宋体"/>
          <w:b/>
          <w:sz w:val="30"/>
          <w:szCs w:val="30"/>
          <w:highlight w:val="none"/>
        </w:rPr>
        <w:t>附加直接票决定标选票汇总表</w:t>
      </w:r>
    </w:p>
    <w:p w14:paraId="5BA32346">
      <w:pPr>
        <w:spacing w:line="360" w:lineRule="auto"/>
        <w:jc w:val="center"/>
        <w:rPr>
          <w:rFonts w:hint="eastAsia" w:ascii="宋体" w:hAnsi="宋体" w:eastAsia="宋体" w:cs="Times New Roman"/>
          <w:b/>
          <w:sz w:val="30"/>
          <w:szCs w:val="30"/>
          <w:highlight w:val="none"/>
        </w:rPr>
      </w:pPr>
      <w:r>
        <w:rPr>
          <w:rFonts w:hint="eastAsia" w:ascii="宋体" w:hAnsi="宋体" w:eastAsia="宋体" w:cs="Times New Roman"/>
          <w:b/>
          <w:sz w:val="30"/>
          <w:szCs w:val="30"/>
          <w:highlight w:val="none"/>
        </w:rPr>
        <w:t>（定标阶段-票数相同时定标委员会汇总用表）</w:t>
      </w:r>
    </w:p>
    <w:p w14:paraId="4A45EC3D">
      <w:pPr>
        <w:pStyle w:val="20"/>
        <w:rPr>
          <w:rFonts w:hint="eastAsia" w:ascii="宋体" w:hAnsi="宋体"/>
          <w:b w:val="0"/>
          <w:bCs/>
          <w:sz w:val="30"/>
          <w:szCs w:val="30"/>
          <w:highlight w:val="none"/>
        </w:rPr>
      </w:pPr>
    </w:p>
    <w:p w14:paraId="22BC84DA">
      <w:pPr>
        <w:jc w:val="left"/>
        <w:rPr>
          <w:rFonts w:ascii="宋体" w:hAnsi="宋体"/>
          <w:sz w:val="24"/>
          <w:szCs w:val="24"/>
          <w:highlight w:val="none"/>
        </w:rPr>
      </w:pPr>
      <w:r>
        <w:rPr>
          <w:rFonts w:hint="eastAsia" w:ascii="宋体" w:hAnsi="宋体"/>
          <w:sz w:val="24"/>
          <w:szCs w:val="24"/>
          <w:highlight w:val="none"/>
        </w:rPr>
        <w:t>项目名称：</w:t>
      </w:r>
    </w:p>
    <w:tbl>
      <w:tblPr>
        <w:tblStyle w:val="31"/>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4610"/>
        <w:gridCol w:w="2500"/>
      </w:tblGrid>
      <w:tr w14:paraId="00BF9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7" w:type="dxa"/>
            <w:vMerge w:val="restart"/>
            <w:tcBorders>
              <w:top w:val="single" w:color="auto" w:sz="4" w:space="0"/>
              <w:left w:val="single" w:color="auto" w:sz="4" w:space="0"/>
              <w:bottom w:val="single" w:color="auto" w:sz="4" w:space="0"/>
              <w:right w:val="single" w:color="auto" w:sz="4" w:space="0"/>
            </w:tcBorders>
            <w:noWrap w:val="0"/>
            <w:vAlign w:val="center"/>
          </w:tcPr>
          <w:p w14:paraId="56B3948F">
            <w:pPr>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4610" w:type="dxa"/>
            <w:vMerge w:val="restart"/>
            <w:tcBorders>
              <w:top w:val="single" w:color="auto" w:sz="4" w:space="0"/>
              <w:left w:val="single" w:color="auto" w:sz="4" w:space="0"/>
              <w:right w:val="single" w:color="auto" w:sz="4" w:space="0"/>
            </w:tcBorders>
            <w:noWrap w:val="0"/>
            <w:vAlign w:val="center"/>
          </w:tcPr>
          <w:p w14:paraId="1D848446">
            <w:pPr>
              <w:spacing w:line="360" w:lineRule="auto"/>
              <w:jc w:val="center"/>
              <w:rPr>
                <w:rFonts w:ascii="宋体" w:hAnsi="宋体"/>
                <w:sz w:val="24"/>
                <w:szCs w:val="24"/>
                <w:highlight w:val="none"/>
              </w:rPr>
            </w:pPr>
            <w:r>
              <w:rPr>
                <w:rFonts w:hint="eastAsia" w:ascii="宋体" w:hAnsi="宋体"/>
                <w:sz w:val="24"/>
                <w:szCs w:val="24"/>
                <w:highlight w:val="none"/>
              </w:rPr>
              <w:t>投标人名称</w:t>
            </w:r>
          </w:p>
        </w:tc>
        <w:tc>
          <w:tcPr>
            <w:tcW w:w="2500" w:type="dxa"/>
            <w:vMerge w:val="restart"/>
            <w:tcBorders>
              <w:top w:val="single" w:color="auto" w:sz="4" w:space="0"/>
              <w:left w:val="single" w:color="auto" w:sz="4" w:space="0"/>
              <w:bottom w:val="single" w:color="auto" w:sz="4" w:space="0"/>
              <w:right w:val="single" w:color="auto" w:sz="4" w:space="0"/>
            </w:tcBorders>
            <w:noWrap w:val="0"/>
            <w:vAlign w:val="center"/>
          </w:tcPr>
          <w:p w14:paraId="5D927F48">
            <w:pPr>
              <w:spacing w:line="360" w:lineRule="auto"/>
              <w:jc w:val="center"/>
              <w:rPr>
                <w:rFonts w:ascii="宋体" w:hAnsi="宋体"/>
                <w:sz w:val="24"/>
                <w:szCs w:val="24"/>
                <w:highlight w:val="none"/>
              </w:rPr>
            </w:pPr>
            <w:r>
              <w:rPr>
                <w:rFonts w:hint="eastAsia" w:ascii="宋体" w:hAnsi="宋体"/>
                <w:sz w:val="24"/>
                <w:szCs w:val="24"/>
                <w:highlight w:val="none"/>
              </w:rPr>
              <w:t>得票</w:t>
            </w:r>
            <w:r>
              <w:rPr>
                <w:rFonts w:hint="eastAsia" w:ascii="宋体" w:hAnsi="宋体"/>
                <w:sz w:val="24"/>
                <w:szCs w:val="24"/>
                <w:highlight w:val="none"/>
                <w:lang w:val="en-US" w:eastAsia="zh-CN"/>
              </w:rPr>
              <w:t>数</w:t>
            </w:r>
          </w:p>
        </w:tc>
      </w:tr>
      <w:tr w14:paraId="2802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287" w:type="dxa"/>
            <w:vMerge w:val="continue"/>
            <w:tcBorders>
              <w:top w:val="single" w:color="auto" w:sz="4" w:space="0"/>
              <w:left w:val="single" w:color="auto" w:sz="4" w:space="0"/>
              <w:bottom w:val="single" w:color="auto" w:sz="4" w:space="0"/>
              <w:right w:val="single" w:color="auto" w:sz="4" w:space="0"/>
            </w:tcBorders>
            <w:noWrap w:val="0"/>
            <w:vAlign w:val="center"/>
          </w:tcPr>
          <w:p w14:paraId="78B23651">
            <w:pPr>
              <w:widowControl/>
              <w:jc w:val="center"/>
              <w:rPr>
                <w:rFonts w:ascii="宋体" w:hAnsi="宋体"/>
                <w:sz w:val="24"/>
                <w:szCs w:val="24"/>
                <w:highlight w:val="none"/>
              </w:rPr>
            </w:pPr>
          </w:p>
        </w:tc>
        <w:tc>
          <w:tcPr>
            <w:tcW w:w="4610" w:type="dxa"/>
            <w:vMerge w:val="continue"/>
            <w:tcBorders>
              <w:left w:val="single" w:color="auto" w:sz="4" w:space="0"/>
              <w:bottom w:val="single" w:color="auto" w:sz="4" w:space="0"/>
              <w:right w:val="single" w:color="auto" w:sz="4" w:space="0"/>
            </w:tcBorders>
            <w:noWrap w:val="0"/>
            <w:vAlign w:val="top"/>
          </w:tcPr>
          <w:p w14:paraId="3CB9B78D">
            <w:pPr>
              <w:widowControl/>
              <w:jc w:val="center"/>
              <w:rPr>
                <w:rFonts w:ascii="宋体" w:hAnsi="宋体"/>
                <w:sz w:val="24"/>
                <w:szCs w:val="24"/>
                <w:highlight w:val="none"/>
              </w:rPr>
            </w:pPr>
          </w:p>
        </w:tc>
        <w:tc>
          <w:tcPr>
            <w:tcW w:w="2500" w:type="dxa"/>
            <w:vMerge w:val="continue"/>
            <w:tcBorders>
              <w:top w:val="single" w:color="auto" w:sz="4" w:space="0"/>
              <w:left w:val="single" w:color="auto" w:sz="4" w:space="0"/>
              <w:bottom w:val="single" w:color="auto" w:sz="4" w:space="0"/>
              <w:right w:val="single" w:color="auto" w:sz="4" w:space="0"/>
            </w:tcBorders>
            <w:noWrap w:val="0"/>
            <w:vAlign w:val="center"/>
          </w:tcPr>
          <w:p w14:paraId="1A76C818">
            <w:pPr>
              <w:widowControl/>
              <w:jc w:val="center"/>
              <w:rPr>
                <w:rFonts w:ascii="宋体" w:hAnsi="宋体"/>
                <w:sz w:val="24"/>
                <w:szCs w:val="24"/>
                <w:highlight w:val="none"/>
              </w:rPr>
            </w:pPr>
          </w:p>
        </w:tc>
      </w:tr>
      <w:tr w14:paraId="4D18F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545EDFB2">
            <w:pPr>
              <w:spacing w:line="480" w:lineRule="auto"/>
              <w:jc w:val="center"/>
              <w:rPr>
                <w:rFonts w:ascii="宋体" w:hAnsi="宋体"/>
                <w:sz w:val="24"/>
                <w:szCs w:val="24"/>
                <w:highlight w:val="none"/>
              </w:rPr>
            </w:pPr>
            <w:r>
              <w:rPr>
                <w:rFonts w:ascii="宋体" w:hAnsi="宋体"/>
                <w:sz w:val="24"/>
                <w:szCs w:val="24"/>
                <w:highlight w:val="none"/>
              </w:rPr>
              <w:t>1</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0DD8FCA5">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56201A4C">
            <w:pPr>
              <w:spacing w:line="480" w:lineRule="auto"/>
              <w:jc w:val="center"/>
              <w:rPr>
                <w:rFonts w:ascii="宋体" w:hAnsi="宋体"/>
                <w:sz w:val="24"/>
                <w:szCs w:val="24"/>
                <w:highlight w:val="none"/>
              </w:rPr>
            </w:pPr>
          </w:p>
        </w:tc>
      </w:tr>
      <w:tr w14:paraId="3169B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5D415FD2">
            <w:pPr>
              <w:spacing w:line="480" w:lineRule="auto"/>
              <w:jc w:val="center"/>
              <w:rPr>
                <w:rFonts w:ascii="宋体" w:hAnsi="宋体"/>
                <w:sz w:val="24"/>
                <w:szCs w:val="24"/>
                <w:highlight w:val="none"/>
              </w:rPr>
            </w:pPr>
            <w:r>
              <w:rPr>
                <w:rFonts w:ascii="宋体" w:hAnsi="宋体"/>
                <w:sz w:val="24"/>
                <w:szCs w:val="24"/>
                <w:highlight w:val="none"/>
              </w:rPr>
              <w:t>2</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06F4151D">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50856189">
            <w:pPr>
              <w:spacing w:line="480" w:lineRule="auto"/>
              <w:jc w:val="center"/>
              <w:rPr>
                <w:rFonts w:ascii="宋体" w:hAnsi="宋体"/>
                <w:sz w:val="24"/>
                <w:szCs w:val="24"/>
                <w:highlight w:val="none"/>
              </w:rPr>
            </w:pPr>
          </w:p>
        </w:tc>
      </w:tr>
      <w:tr w14:paraId="21C8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131A1408">
            <w:pPr>
              <w:spacing w:line="480" w:lineRule="auto"/>
              <w:jc w:val="center"/>
              <w:rPr>
                <w:rFonts w:ascii="宋体" w:hAnsi="宋体"/>
                <w:sz w:val="24"/>
                <w:szCs w:val="24"/>
                <w:highlight w:val="none"/>
              </w:rPr>
            </w:pPr>
            <w:r>
              <w:rPr>
                <w:rFonts w:ascii="宋体" w:hAnsi="宋体"/>
                <w:sz w:val="24"/>
                <w:szCs w:val="24"/>
                <w:highlight w:val="none"/>
              </w:rPr>
              <w:t>3</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17933B0D">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3E4B5ACC">
            <w:pPr>
              <w:spacing w:line="480" w:lineRule="auto"/>
              <w:jc w:val="center"/>
              <w:rPr>
                <w:rFonts w:ascii="宋体" w:hAnsi="宋体"/>
                <w:sz w:val="24"/>
                <w:szCs w:val="24"/>
                <w:highlight w:val="none"/>
              </w:rPr>
            </w:pPr>
          </w:p>
        </w:tc>
      </w:tr>
      <w:tr w14:paraId="030D9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62422B99">
            <w:pPr>
              <w:spacing w:line="480" w:lineRule="auto"/>
              <w:jc w:val="center"/>
              <w:rPr>
                <w:rFonts w:ascii="宋体" w:hAnsi="宋体"/>
                <w:sz w:val="24"/>
                <w:szCs w:val="24"/>
                <w:highlight w:val="none"/>
              </w:rPr>
            </w:pPr>
            <w:r>
              <w:rPr>
                <w:rFonts w:ascii="宋体" w:hAnsi="宋体"/>
                <w:sz w:val="24"/>
                <w:szCs w:val="24"/>
                <w:highlight w:val="none"/>
              </w:rPr>
              <w:t>4</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399A41CA">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5B7B208C">
            <w:pPr>
              <w:spacing w:line="480" w:lineRule="auto"/>
              <w:jc w:val="center"/>
              <w:rPr>
                <w:rFonts w:ascii="宋体" w:hAnsi="宋体"/>
                <w:sz w:val="24"/>
                <w:szCs w:val="24"/>
                <w:highlight w:val="none"/>
              </w:rPr>
            </w:pPr>
          </w:p>
        </w:tc>
      </w:tr>
      <w:tr w14:paraId="4ADA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6D7B9DBE">
            <w:pPr>
              <w:spacing w:line="480" w:lineRule="auto"/>
              <w:jc w:val="center"/>
              <w:rPr>
                <w:rFonts w:ascii="宋体" w:hAnsi="宋体"/>
                <w:sz w:val="24"/>
                <w:szCs w:val="24"/>
                <w:highlight w:val="none"/>
              </w:rPr>
            </w:pPr>
            <w:r>
              <w:rPr>
                <w:rFonts w:ascii="宋体" w:hAnsi="宋体"/>
                <w:sz w:val="24"/>
                <w:szCs w:val="24"/>
                <w:highlight w:val="none"/>
              </w:rPr>
              <w:t>5</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79D1236A">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7506D0AB">
            <w:pPr>
              <w:spacing w:line="480" w:lineRule="auto"/>
              <w:jc w:val="center"/>
              <w:rPr>
                <w:rFonts w:ascii="宋体" w:hAnsi="宋体"/>
                <w:sz w:val="24"/>
                <w:szCs w:val="24"/>
                <w:highlight w:val="none"/>
              </w:rPr>
            </w:pPr>
          </w:p>
        </w:tc>
      </w:tr>
      <w:tr w14:paraId="3A90F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87" w:type="dxa"/>
            <w:tcBorders>
              <w:top w:val="single" w:color="auto" w:sz="4" w:space="0"/>
              <w:left w:val="single" w:color="auto" w:sz="4" w:space="0"/>
              <w:bottom w:val="single" w:color="auto" w:sz="4" w:space="0"/>
              <w:right w:val="single" w:color="auto" w:sz="4" w:space="0"/>
            </w:tcBorders>
            <w:noWrap w:val="0"/>
            <w:vAlign w:val="center"/>
          </w:tcPr>
          <w:p w14:paraId="58541D3F">
            <w:pPr>
              <w:spacing w:line="480" w:lineRule="auto"/>
              <w:jc w:val="center"/>
              <w:rPr>
                <w:rFonts w:ascii="宋体" w:hAnsi="宋体"/>
                <w:sz w:val="24"/>
                <w:szCs w:val="24"/>
                <w:highlight w:val="none"/>
              </w:rPr>
            </w:pPr>
            <w:r>
              <w:rPr>
                <w:rFonts w:ascii="宋体" w:hAnsi="宋体"/>
                <w:sz w:val="24"/>
                <w:szCs w:val="24"/>
                <w:highlight w:val="none"/>
              </w:rPr>
              <w:t>…</w:t>
            </w:r>
          </w:p>
        </w:tc>
        <w:tc>
          <w:tcPr>
            <w:tcW w:w="4610" w:type="dxa"/>
            <w:tcBorders>
              <w:top w:val="single" w:color="auto" w:sz="4" w:space="0"/>
              <w:left w:val="single" w:color="auto" w:sz="4" w:space="0"/>
              <w:bottom w:val="single" w:color="auto" w:sz="4" w:space="0"/>
              <w:right w:val="single" w:color="auto" w:sz="4" w:space="0"/>
            </w:tcBorders>
            <w:noWrap w:val="0"/>
            <w:vAlign w:val="top"/>
          </w:tcPr>
          <w:p w14:paraId="09F5C85E">
            <w:pPr>
              <w:spacing w:line="480" w:lineRule="auto"/>
              <w:jc w:val="center"/>
              <w:rPr>
                <w:rFonts w:ascii="宋体" w:hAnsi="宋体"/>
                <w:sz w:val="24"/>
                <w:szCs w:val="24"/>
                <w:highlight w:val="none"/>
              </w:rPr>
            </w:pPr>
          </w:p>
        </w:tc>
        <w:tc>
          <w:tcPr>
            <w:tcW w:w="2500" w:type="dxa"/>
            <w:tcBorders>
              <w:top w:val="single" w:color="auto" w:sz="4" w:space="0"/>
              <w:left w:val="single" w:color="auto" w:sz="4" w:space="0"/>
              <w:bottom w:val="single" w:color="auto" w:sz="4" w:space="0"/>
              <w:right w:val="single" w:color="auto" w:sz="4" w:space="0"/>
            </w:tcBorders>
            <w:noWrap w:val="0"/>
            <w:vAlign w:val="center"/>
          </w:tcPr>
          <w:p w14:paraId="7016FEA8">
            <w:pPr>
              <w:spacing w:line="480" w:lineRule="auto"/>
              <w:jc w:val="center"/>
              <w:rPr>
                <w:rFonts w:ascii="宋体" w:hAnsi="宋体"/>
                <w:sz w:val="24"/>
                <w:szCs w:val="24"/>
                <w:highlight w:val="none"/>
              </w:rPr>
            </w:pPr>
          </w:p>
        </w:tc>
      </w:tr>
    </w:tbl>
    <w:p w14:paraId="100577E5">
      <w:pPr>
        <w:rPr>
          <w:rFonts w:ascii="宋体" w:hAnsi="宋体"/>
          <w:sz w:val="24"/>
          <w:szCs w:val="24"/>
          <w:highlight w:val="none"/>
        </w:rPr>
      </w:pPr>
    </w:p>
    <w:p w14:paraId="4BB00B00">
      <w:pPr>
        <w:ind w:firstLine="240" w:firstLineChars="100"/>
        <w:jc w:val="left"/>
        <w:rPr>
          <w:rFonts w:ascii="宋体" w:hAnsi="宋体"/>
          <w:sz w:val="24"/>
          <w:szCs w:val="24"/>
          <w:highlight w:val="none"/>
        </w:rPr>
      </w:pPr>
      <w:r>
        <w:rPr>
          <w:rFonts w:hint="eastAsia" w:ascii="宋体" w:hAnsi="宋体"/>
          <w:sz w:val="24"/>
          <w:szCs w:val="24"/>
          <w:highlight w:val="none"/>
        </w:rPr>
        <w:t xml:space="preserve">定标委员会全体成员签名：                        </w:t>
      </w:r>
      <w:r>
        <w:rPr>
          <w:rFonts w:ascii="宋体" w:hAnsi="宋体"/>
          <w:sz w:val="24"/>
          <w:szCs w:val="24"/>
          <w:highlight w:val="none"/>
        </w:rPr>
        <w:t>日</w:t>
      </w:r>
      <w:r>
        <w:rPr>
          <w:rFonts w:hint="eastAsia" w:ascii="宋体" w:hAnsi="宋体"/>
          <w:sz w:val="24"/>
          <w:szCs w:val="24"/>
          <w:highlight w:val="none"/>
        </w:rPr>
        <w:t>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654F65DF">
      <w:pPr>
        <w:rPr>
          <w:rFonts w:ascii="宋体" w:hAnsi="宋体"/>
          <w:b/>
          <w:bCs/>
          <w:szCs w:val="32"/>
          <w:highlight w:val="none"/>
        </w:rPr>
      </w:pPr>
    </w:p>
    <w:p w14:paraId="4D4D18CA">
      <w:pPr>
        <w:jc w:val="left"/>
        <w:rPr>
          <w:rFonts w:ascii="宋体" w:hAnsi="宋体"/>
          <w:b/>
          <w:bCs/>
          <w:szCs w:val="32"/>
          <w:highlight w:val="none"/>
        </w:rPr>
      </w:pPr>
      <w:r>
        <w:rPr>
          <w:rFonts w:hint="eastAsia" w:ascii="宋体" w:hAnsi="宋体" w:eastAsia="宋体" w:cs="宋体"/>
          <w:highlight w:val="none"/>
        </w:rPr>
        <w:br w:type="page"/>
      </w:r>
    </w:p>
    <w:p w14:paraId="72E526CE">
      <w:pPr>
        <w:rPr>
          <w:rFonts w:hint="eastAsia" w:ascii="宋体" w:hAnsi="宋体" w:eastAsia="宋体"/>
          <w:b/>
          <w:bCs/>
          <w:sz w:val="24"/>
          <w:szCs w:val="24"/>
          <w:highlight w:val="none"/>
          <w:lang w:eastAsia="zh-CN"/>
        </w:rPr>
      </w:pPr>
      <w:r>
        <w:rPr>
          <w:rFonts w:hint="eastAsia" w:ascii="宋体" w:hAnsi="宋体"/>
          <w:b/>
          <w:bCs/>
          <w:sz w:val="24"/>
          <w:szCs w:val="24"/>
          <w:highlight w:val="none"/>
        </w:rPr>
        <w:t>附件</w:t>
      </w:r>
      <w:r>
        <w:rPr>
          <w:rFonts w:hint="eastAsia" w:ascii="宋体" w:hAnsi="宋体"/>
          <w:b/>
          <w:bCs/>
          <w:sz w:val="24"/>
          <w:szCs w:val="24"/>
          <w:highlight w:val="none"/>
          <w:lang w:val="en-US" w:eastAsia="zh-CN"/>
        </w:rPr>
        <w:t>7</w:t>
      </w:r>
    </w:p>
    <w:p w14:paraId="1E4C10D7">
      <w:pPr>
        <w:jc w:val="center"/>
        <w:rPr>
          <w:rFonts w:ascii="宋体" w:hAnsi="宋体"/>
          <w:b/>
          <w:sz w:val="32"/>
          <w:szCs w:val="32"/>
          <w:highlight w:val="none"/>
        </w:rPr>
      </w:pPr>
    </w:p>
    <w:p w14:paraId="09BF7516">
      <w:pPr>
        <w:spacing w:line="360" w:lineRule="auto"/>
        <w:jc w:val="center"/>
        <w:rPr>
          <w:rFonts w:ascii="宋体" w:hAnsi="宋体"/>
          <w:b/>
          <w:sz w:val="30"/>
          <w:szCs w:val="30"/>
          <w:highlight w:val="none"/>
        </w:rPr>
      </w:pPr>
      <w:r>
        <w:rPr>
          <w:rFonts w:hint="eastAsia" w:ascii="宋体" w:hAnsi="宋体"/>
          <w:b/>
          <w:sz w:val="30"/>
          <w:szCs w:val="30"/>
          <w:highlight w:val="none"/>
        </w:rPr>
        <w:t>直接票决定标</w:t>
      </w:r>
      <w:r>
        <w:rPr>
          <w:rFonts w:hint="eastAsia" w:ascii="宋体" w:hAnsi="宋体"/>
          <w:b/>
          <w:sz w:val="30"/>
          <w:szCs w:val="30"/>
          <w:highlight w:val="none"/>
          <w:lang w:eastAsia="zh-CN"/>
        </w:rPr>
        <w:t>确定</w:t>
      </w:r>
      <w:r>
        <w:rPr>
          <w:rFonts w:hint="eastAsia" w:ascii="宋体" w:hAnsi="宋体"/>
          <w:b/>
          <w:sz w:val="30"/>
          <w:szCs w:val="30"/>
          <w:highlight w:val="none"/>
        </w:rPr>
        <w:t>表（定标阶段）</w:t>
      </w:r>
    </w:p>
    <w:p w14:paraId="0FDC674D">
      <w:pPr>
        <w:jc w:val="left"/>
        <w:rPr>
          <w:rFonts w:ascii="宋体" w:hAnsi="宋体"/>
          <w:sz w:val="24"/>
          <w:szCs w:val="24"/>
          <w:highlight w:val="none"/>
        </w:rPr>
      </w:pPr>
      <w:r>
        <w:rPr>
          <w:rFonts w:hint="eastAsia" w:ascii="宋体" w:hAnsi="宋体"/>
          <w:sz w:val="24"/>
          <w:szCs w:val="24"/>
          <w:highlight w:val="none"/>
        </w:rPr>
        <w:t>项目名称：</w:t>
      </w:r>
    </w:p>
    <w:tbl>
      <w:tblPr>
        <w:tblStyle w:val="31"/>
        <w:tblW w:w="91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3758"/>
        <w:gridCol w:w="1290"/>
        <w:gridCol w:w="2265"/>
        <w:gridCol w:w="989"/>
      </w:tblGrid>
      <w:tr w14:paraId="06F9D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5E18A2F2">
            <w:pPr>
              <w:spacing w:line="360" w:lineRule="auto"/>
              <w:jc w:val="center"/>
              <w:rPr>
                <w:rFonts w:ascii="宋体" w:hAnsi="宋体"/>
                <w:sz w:val="24"/>
                <w:szCs w:val="24"/>
                <w:highlight w:val="none"/>
              </w:rPr>
            </w:pPr>
            <w:r>
              <w:rPr>
                <w:rFonts w:hint="eastAsia" w:ascii="宋体" w:hAnsi="宋体"/>
                <w:sz w:val="24"/>
                <w:szCs w:val="24"/>
                <w:highlight w:val="none"/>
              </w:rPr>
              <w:t>序号</w:t>
            </w:r>
          </w:p>
        </w:tc>
        <w:tc>
          <w:tcPr>
            <w:tcW w:w="3758" w:type="dxa"/>
            <w:tcBorders>
              <w:top w:val="single" w:color="auto" w:sz="4" w:space="0"/>
              <w:left w:val="single" w:color="auto" w:sz="4" w:space="0"/>
              <w:right w:val="single" w:color="auto" w:sz="4" w:space="0"/>
            </w:tcBorders>
            <w:noWrap w:val="0"/>
            <w:vAlign w:val="center"/>
          </w:tcPr>
          <w:p w14:paraId="23450707">
            <w:pPr>
              <w:spacing w:line="360" w:lineRule="auto"/>
              <w:jc w:val="center"/>
              <w:rPr>
                <w:rFonts w:ascii="宋体" w:hAnsi="宋体"/>
                <w:sz w:val="24"/>
                <w:szCs w:val="24"/>
                <w:highlight w:val="none"/>
              </w:rPr>
            </w:pPr>
            <w:r>
              <w:rPr>
                <w:rFonts w:hint="eastAsia" w:ascii="宋体" w:hAnsi="宋体"/>
                <w:sz w:val="24"/>
                <w:szCs w:val="24"/>
                <w:highlight w:val="none"/>
              </w:rPr>
              <w:t>投标人名称</w:t>
            </w:r>
          </w:p>
        </w:tc>
        <w:tc>
          <w:tcPr>
            <w:tcW w:w="1290" w:type="dxa"/>
            <w:tcBorders>
              <w:top w:val="single" w:color="auto" w:sz="4" w:space="0"/>
              <w:left w:val="single" w:color="auto" w:sz="4" w:space="0"/>
              <w:bottom w:val="single" w:color="auto" w:sz="4" w:space="0"/>
              <w:right w:val="single" w:color="auto" w:sz="4" w:space="0"/>
            </w:tcBorders>
            <w:noWrap w:val="0"/>
            <w:vAlign w:val="center"/>
          </w:tcPr>
          <w:p w14:paraId="166229B9">
            <w:pPr>
              <w:spacing w:line="360" w:lineRule="auto"/>
              <w:jc w:val="center"/>
              <w:rPr>
                <w:rFonts w:ascii="宋体" w:hAnsi="宋体"/>
                <w:sz w:val="24"/>
                <w:szCs w:val="24"/>
                <w:highlight w:val="none"/>
              </w:rPr>
            </w:pPr>
            <w:r>
              <w:rPr>
                <w:rFonts w:hint="eastAsia" w:ascii="宋体" w:hAnsi="宋体"/>
                <w:sz w:val="24"/>
                <w:szCs w:val="24"/>
                <w:highlight w:val="none"/>
              </w:rPr>
              <w:t>投票结果</w:t>
            </w:r>
          </w:p>
        </w:tc>
        <w:tc>
          <w:tcPr>
            <w:tcW w:w="2265" w:type="dxa"/>
            <w:tcBorders>
              <w:top w:val="single" w:color="auto" w:sz="4" w:space="0"/>
              <w:left w:val="single" w:color="auto" w:sz="4" w:space="0"/>
              <w:bottom w:val="single" w:color="auto" w:sz="4" w:space="0"/>
              <w:right w:val="single" w:color="auto" w:sz="4" w:space="0"/>
            </w:tcBorders>
            <w:noWrap w:val="0"/>
            <w:vAlign w:val="center"/>
          </w:tcPr>
          <w:p w14:paraId="2A36FC48">
            <w:pPr>
              <w:spacing w:line="360" w:lineRule="auto"/>
              <w:jc w:val="center"/>
              <w:rPr>
                <w:rFonts w:hint="eastAsia" w:ascii="宋体" w:hAnsi="宋体"/>
                <w:sz w:val="24"/>
                <w:szCs w:val="24"/>
                <w:highlight w:val="none"/>
              </w:rPr>
            </w:pPr>
            <w:r>
              <w:rPr>
                <w:rFonts w:hint="eastAsia" w:ascii="宋体" w:hAnsi="宋体"/>
                <w:sz w:val="24"/>
                <w:szCs w:val="24"/>
                <w:highlight w:val="none"/>
              </w:rPr>
              <w:t>是否确定为中标人</w:t>
            </w:r>
          </w:p>
        </w:tc>
        <w:tc>
          <w:tcPr>
            <w:tcW w:w="989" w:type="dxa"/>
            <w:tcBorders>
              <w:top w:val="single" w:color="auto" w:sz="4" w:space="0"/>
              <w:left w:val="single" w:color="auto" w:sz="4" w:space="0"/>
              <w:bottom w:val="single" w:color="auto" w:sz="4" w:space="0"/>
              <w:right w:val="single" w:color="auto" w:sz="4" w:space="0"/>
            </w:tcBorders>
            <w:noWrap w:val="0"/>
            <w:vAlign w:val="center"/>
          </w:tcPr>
          <w:p w14:paraId="2722A9F1">
            <w:pPr>
              <w:spacing w:line="360" w:lineRule="auto"/>
              <w:jc w:val="center"/>
              <w:rPr>
                <w:rFonts w:hint="eastAsia" w:ascii="宋体" w:hAnsi="宋体" w:eastAsia="宋体"/>
                <w:sz w:val="24"/>
                <w:szCs w:val="24"/>
                <w:highlight w:val="none"/>
                <w:lang w:eastAsia="zh-CN"/>
              </w:rPr>
            </w:pPr>
            <w:r>
              <w:rPr>
                <w:rFonts w:hint="eastAsia" w:ascii="宋体" w:hAnsi="宋体"/>
                <w:sz w:val="24"/>
                <w:szCs w:val="24"/>
                <w:highlight w:val="none"/>
                <w:lang w:eastAsia="zh-CN"/>
              </w:rPr>
              <w:t>备注</w:t>
            </w:r>
          </w:p>
        </w:tc>
      </w:tr>
      <w:tr w14:paraId="2147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755CD4E5">
            <w:pPr>
              <w:spacing w:line="480" w:lineRule="auto"/>
              <w:jc w:val="center"/>
              <w:rPr>
                <w:rFonts w:ascii="宋体" w:hAnsi="宋体"/>
                <w:sz w:val="24"/>
                <w:szCs w:val="24"/>
                <w:highlight w:val="none"/>
              </w:rPr>
            </w:pPr>
            <w:r>
              <w:rPr>
                <w:rFonts w:ascii="宋体" w:hAnsi="宋体"/>
                <w:sz w:val="24"/>
                <w:szCs w:val="24"/>
                <w:highlight w:val="none"/>
              </w:rPr>
              <w:t>1</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1CBCE369">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62699F1">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1791CD3D">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BE80B28">
            <w:pPr>
              <w:spacing w:line="480" w:lineRule="auto"/>
              <w:jc w:val="center"/>
              <w:rPr>
                <w:rFonts w:ascii="宋体" w:hAnsi="宋体"/>
                <w:sz w:val="24"/>
                <w:szCs w:val="24"/>
                <w:highlight w:val="none"/>
              </w:rPr>
            </w:pPr>
          </w:p>
        </w:tc>
      </w:tr>
      <w:tr w14:paraId="5DB88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2E7539E8">
            <w:pPr>
              <w:spacing w:line="480" w:lineRule="auto"/>
              <w:jc w:val="center"/>
              <w:rPr>
                <w:rFonts w:ascii="宋体" w:hAnsi="宋体"/>
                <w:sz w:val="24"/>
                <w:szCs w:val="24"/>
                <w:highlight w:val="none"/>
              </w:rPr>
            </w:pPr>
            <w:r>
              <w:rPr>
                <w:rFonts w:ascii="宋体" w:hAnsi="宋体"/>
                <w:sz w:val="24"/>
                <w:szCs w:val="24"/>
                <w:highlight w:val="none"/>
              </w:rPr>
              <w:t>2</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0B3BE16D">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2A3B9045">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14EF109">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6622D6DE">
            <w:pPr>
              <w:spacing w:line="480" w:lineRule="auto"/>
              <w:jc w:val="center"/>
              <w:rPr>
                <w:rFonts w:ascii="宋体" w:hAnsi="宋体"/>
                <w:sz w:val="24"/>
                <w:szCs w:val="24"/>
                <w:highlight w:val="none"/>
              </w:rPr>
            </w:pPr>
          </w:p>
        </w:tc>
      </w:tr>
      <w:tr w14:paraId="2C4D6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9DCEB67">
            <w:pPr>
              <w:spacing w:line="480" w:lineRule="auto"/>
              <w:jc w:val="center"/>
              <w:rPr>
                <w:rFonts w:ascii="宋体" w:hAnsi="宋体"/>
                <w:sz w:val="24"/>
                <w:szCs w:val="24"/>
                <w:highlight w:val="none"/>
              </w:rPr>
            </w:pPr>
            <w:r>
              <w:rPr>
                <w:rFonts w:ascii="宋体" w:hAnsi="宋体"/>
                <w:sz w:val="24"/>
                <w:szCs w:val="24"/>
                <w:highlight w:val="none"/>
              </w:rPr>
              <w:t>3</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4B05C775">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FECD315">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E5C05D8">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49B06862">
            <w:pPr>
              <w:spacing w:line="480" w:lineRule="auto"/>
              <w:jc w:val="center"/>
              <w:rPr>
                <w:rFonts w:ascii="宋体" w:hAnsi="宋体"/>
                <w:sz w:val="24"/>
                <w:szCs w:val="24"/>
                <w:highlight w:val="none"/>
              </w:rPr>
            </w:pPr>
          </w:p>
        </w:tc>
      </w:tr>
      <w:tr w14:paraId="6BB5D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69F6E43A">
            <w:pPr>
              <w:spacing w:line="480" w:lineRule="auto"/>
              <w:jc w:val="center"/>
              <w:rPr>
                <w:rFonts w:ascii="宋体" w:hAnsi="宋体"/>
                <w:sz w:val="24"/>
                <w:szCs w:val="24"/>
                <w:highlight w:val="none"/>
              </w:rPr>
            </w:pPr>
            <w:r>
              <w:rPr>
                <w:rFonts w:ascii="宋体" w:hAnsi="宋体"/>
                <w:sz w:val="24"/>
                <w:szCs w:val="24"/>
                <w:highlight w:val="none"/>
              </w:rPr>
              <w:t>4</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59278A9D">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5F37ED04">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0AE4108B">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15D8032B">
            <w:pPr>
              <w:spacing w:line="480" w:lineRule="auto"/>
              <w:jc w:val="center"/>
              <w:rPr>
                <w:rFonts w:ascii="宋体" w:hAnsi="宋体"/>
                <w:sz w:val="24"/>
                <w:szCs w:val="24"/>
                <w:highlight w:val="none"/>
              </w:rPr>
            </w:pPr>
          </w:p>
        </w:tc>
      </w:tr>
      <w:tr w14:paraId="22071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C254B84">
            <w:pPr>
              <w:spacing w:line="480" w:lineRule="auto"/>
              <w:jc w:val="center"/>
              <w:rPr>
                <w:rFonts w:ascii="宋体" w:hAnsi="宋体"/>
                <w:sz w:val="24"/>
                <w:szCs w:val="24"/>
                <w:highlight w:val="none"/>
              </w:rPr>
            </w:pPr>
            <w:r>
              <w:rPr>
                <w:rFonts w:ascii="宋体" w:hAnsi="宋体"/>
                <w:sz w:val="24"/>
                <w:szCs w:val="24"/>
                <w:highlight w:val="none"/>
              </w:rPr>
              <w:t>5</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1519A02E">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4BA19978">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4684B466">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2A7031CD">
            <w:pPr>
              <w:spacing w:line="480" w:lineRule="auto"/>
              <w:jc w:val="center"/>
              <w:rPr>
                <w:rFonts w:ascii="宋体" w:hAnsi="宋体"/>
                <w:sz w:val="24"/>
                <w:szCs w:val="24"/>
                <w:highlight w:val="none"/>
              </w:rPr>
            </w:pPr>
          </w:p>
        </w:tc>
      </w:tr>
      <w:tr w14:paraId="5A8E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tcBorders>
              <w:top w:val="single" w:color="auto" w:sz="4" w:space="0"/>
              <w:left w:val="single" w:color="auto" w:sz="4" w:space="0"/>
              <w:bottom w:val="single" w:color="auto" w:sz="4" w:space="0"/>
              <w:right w:val="single" w:color="auto" w:sz="4" w:space="0"/>
            </w:tcBorders>
            <w:noWrap w:val="0"/>
            <w:vAlign w:val="center"/>
          </w:tcPr>
          <w:p w14:paraId="03929080">
            <w:pPr>
              <w:spacing w:line="480" w:lineRule="auto"/>
              <w:jc w:val="center"/>
              <w:rPr>
                <w:rFonts w:ascii="宋体" w:hAnsi="宋体"/>
                <w:sz w:val="24"/>
                <w:szCs w:val="24"/>
                <w:highlight w:val="none"/>
              </w:rPr>
            </w:pPr>
            <w:r>
              <w:rPr>
                <w:rFonts w:ascii="宋体" w:hAnsi="宋体"/>
                <w:sz w:val="24"/>
                <w:szCs w:val="24"/>
                <w:highlight w:val="none"/>
              </w:rPr>
              <w:t>…</w:t>
            </w:r>
          </w:p>
        </w:tc>
        <w:tc>
          <w:tcPr>
            <w:tcW w:w="3758" w:type="dxa"/>
            <w:tcBorders>
              <w:top w:val="single" w:color="auto" w:sz="4" w:space="0"/>
              <w:left w:val="single" w:color="auto" w:sz="4" w:space="0"/>
              <w:bottom w:val="single" w:color="auto" w:sz="4" w:space="0"/>
              <w:right w:val="single" w:color="auto" w:sz="4" w:space="0"/>
            </w:tcBorders>
            <w:noWrap w:val="0"/>
            <w:vAlign w:val="top"/>
          </w:tcPr>
          <w:p w14:paraId="5DE19A90">
            <w:pPr>
              <w:spacing w:line="480" w:lineRule="auto"/>
              <w:jc w:val="center"/>
              <w:rPr>
                <w:rFonts w:ascii="宋体" w:hAnsi="宋体"/>
                <w:sz w:val="24"/>
                <w:szCs w:val="24"/>
                <w:highlight w:val="none"/>
              </w:rPr>
            </w:pPr>
          </w:p>
        </w:tc>
        <w:tc>
          <w:tcPr>
            <w:tcW w:w="1290" w:type="dxa"/>
            <w:tcBorders>
              <w:top w:val="single" w:color="auto" w:sz="4" w:space="0"/>
              <w:left w:val="single" w:color="auto" w:sz="4" w:space="0"/>
              <w:bottom w:val="single" w:color="auto" w:sz="4" w:space="0"/>
              <w:right w:val="single" w:color="auto" w:sz="4" w:space="0"/>
            </w:tcBorders>
            <w:noWrap w:val="0"/>
            <w:vAlign w:val="center"/>
          </w:tcPr>
          <w:p w14:paraId="3EDA7BD2">
            <w:pPr>
              <w:spacing w:line="480" w:lineRule="auto"/>
              <w:jc w:val="center"/>
              <w:rPr>
                <w:rFonts w:ascii="宋体" w:hAnsi="宋体"/>
                <w:sz w:val="24"/>
                <w:szCs w:val="24"/>
                <w:highlight w:val="none"/>
              </w:rPr>
            </w:pPr>
          </w:p>
        </w:tc>
        <w:tc>
          <w:tcPr>
            <w:tcW w:w="2265" w:type="dxa"/>
            <w:tcBorders>
              <w:top w:val="single" w:color="auto" w:sz="4" w:space="0"/>
              <w:left w:val="single" w:color="auto" w:sz="4" w:space="0"/>
              <w:bottom w:val="single" w:color="auto" w:sz="4" w:space="0"/>
              <w:right w:val="single" w:color="auto" w:sz="4" w:space="0"/>
            </w:tcBorders>
            <w:noWrap w:val="0"/>
            <w:vAlign w:val="center"/>
          </w:tcPr>
          <w:p w14:paraId="7952E0CE">
            <w:pPr>
              <w:spacing w:line="480" w:lineRule="auto"/>
              <w:jc w:val="center"/>
              <w:rPr>
                <w:rFonts w:ascii="宋体" w:hAnsi="宋体"/>
                <w:sz w:val="24"/>
                <w:szCs w:val="24"/>
                <w:highlight w:val="none"/>
              </w:rPr>
            </w:pPr>
          </w:p>
        </w:tc>
        <w:tc>
          <w:tcPr>
            <w:tcW w:w="989" w:type="dxa"/>
            <w:tcBorders>
              <w:top w:val="single" w:color="auto" w:sz="4" w:space="0"/>
              <w:left w:val="single" w:color="auto" w:sz="4" w:space="0"/>
              <w:bottom w:val="single" w:color="auto" w:sz="4" w:space="0"/>
              <w:right w:val="single" w:color="auto" w:sz="4" w:space="0"/>
            </w:tcBorders>
            <w:noWrap w:val="0"/>
            <w:vAlign w:val="center"/>
          </w:tcPr>
          <w:p w14:paraId="36927F4B">
            <w:pPr>
              <w:spacing w:line="480" w:lineRule="auto"/>
              <w:jc w:val="center"/>
              <w:rPr>
                <w:rFonts w:ascii="宋体" w:hAnsi="宋体"/>
                <w:sz w:val="24"/>
                <w:szCs w:val="24"/>
                <w:highlight w:val="none"/>
              </w:rPr>
            </w:pPr>
          </w:p>
        </w:tc>
      </w:tr>
    </w:tbl>
    <w:p w14:paraId="5072D3F5">
      <w:pPr>
        <w:rPr>
          <w:rFonts w:ascii="宋体" w:hAnsi="宋体"/>
          <w:sz w:val="24"/>
          <w:szCs w:val="24"/>
          <w:highlight w:val="none"/>
        </w:rPr>
      </w:pPr>
    </w:p>
    <w:p w14:paraId="1A83C6BF">
      <w:pPr>
        <w:ind w:firstLine="240" w:firstLineChars="100"/>
        <w:jc w:val="left"/>
        <w:rPr>
          <w:rFonts w:ascii="宋体" w:hAnsi="宋体"/>
          <w:sz w:val="24"/>
          <w:szCs w:val="24"/>
          <w:highlight w:val="none"/>
        </w:rPr>
      </w:pPr>
      <w:r>
        <w:rPr>
          <w:rFonts w:hint="eastAsia" w:ascii="宋体" w:hAnsi="宋体"/>
          <w:sz w:val="24"/>
          <w:szCs w:val="24"/>
          <w:highlight w:val="none"/>
        </w:rPr>
        <w:t>定标委员会全体成员签</w:t>
      </w:r>
      <w:r>
        <w:rPr>
          <w:rFonts w:hint="eastAsia" w:ascii="宋体" w:hAnsi="宋体"/>
          <w:sz w:val="24"/>
          <w:szCs w:val="24"/>
          <w:highlight w:val="none"/>
          <w:lang w:val="en-US" w:eastAsia="zh-CN"/>
        </w:rPr>
        <w:t>名</w:t>
      </w:r>
      <w:r>
        <w:rPr>
          <w:rFonts w:hint="eastAsia" w:ascii="宋体" w:hAnsi="宋体"/>
          <w:sz w:val="24"/>
          <w:szCs w:val="24"/>
          <w:highlight w:val="none"/>
        </w:rPr>
        <w:t xml:space="preserve">：                        </w:t>
      </w:r>
      <w:r>
        <w:rPr>
          <w:rFonts w:ascii="宋体" w:hAnsi="宋体"/>
          <w:sz w:val="24"/>
          <w:szCs w:val="24"/>
          <w:highlight w:val="none"/>
        </w:rPr>
        <w:t>日</w:t>
      </w:r>
      <w:r>
        <w:rPr>
          <w:rFonts w:hint="eastAsia" w:ascii="宋体" w:hAnsi="宋体"/>
          <w:sz w:val="24"/>
          <w:szCs w:val="24"/>
          <w:highlight w:val="none"/>
        </w:rPr>
        <w:t>期：</w:t>
      </w:r>
      <w:r>
        <w:rPr>
          <w:rFonts w:ascii="宋体" w:hAnsi="宋体"/>
          <w:sz w:val="24"/>
          <w:szCs w:val="24"/>
          <w:highlight w:val="none"/>
        </w:rPr>
        <w:t xml:space="preserve">     </w:t>
      </w:r>
      <w:r>
        <w:rPr>
          <w:rFonts w:hint="eastAsia" w:ascii="宋体" w:hAnsi="宋体"/>
          <w:sz w:val="24"/>
          <w:szCs w:val="24"/>
          <w:highlight w:val="none"/>
        </w:rPr>
        <w:t>年</w:t>
      </w:r>
      <w:r>
        <w:rPr>
          <w:rFonts w:ascii="宋体" w:hAnsi="宋体"/>
          <w:sz w:val="24"/>
          <w:szCs w:val="24"/>
          <w:highlight w:val="none"/>
        </w:rPr>
        <w:t xml:space="preserve">   </w:t>
      </w:r>
      <w:r>
        <w:rPr>
          <w:rFonts w:hint="eastAsia" w:ascii="宋体" w:hAnsi="宋体"/>
          <w:sz w:val="24"/>
          <w:szCs w:val="24"/>
          <w:highlight w:val="none"/>
        </w:rPr>
        <w:t>月</w:t>
      </w:r>
      <w:r>
        <w:rPr>
          <w:rFonts w:ascii="宋体" w:hAnsi="宋体"/>
          <w:sz w:val="24"/>
          <w:szCs w:val="24"/>
          <w:highlight w:val="none"/>
        </w:rPr>
        <w:t xml:space="preserve">   </w:t>
      </w:r>
      <w:r>
        <w:rPr>
          <w:rFonts w:hint="eastAsia" w:ascii="宋体" w:hAnsi="宋体"/>
          <w:sz w:val="24"/>
          <w:szCs w:val="24"/>
          <w:highlight w:val="none"/>
        </w:rPr>
        <w:t>日</w:t>
      </w:r>
    </w:p>
    <w:p w14:paraId="44DABD7C">
      <w:pPr>
        <w:rPr>
          <w:rFonts w:hint="eastAsia" w:ascii="宋体" w:hAnsi="宋体" w:eastAsia="宋体" w:cs="宋体"/>
          <w:highlight w:val="none"/>
        </w:rPr>
      </w:pPr>
    </w:p>
    <w:p w14:paraId="163573A8">
      <w:pPr>
        <w:pStyle w:val="29"/>
        <w:rPr>
          <w:rFonts w:hint="eastAsia" w:ascii="宋体" w:hAnsi="宋体" w:eastAsia="宋体" w:cs="宋体"/>
          <w:highlight w:val="none"/>
        </w:rPr>
      </w:pPr>
    </w:p>
    <w:p w14:paraId="55072FAE">
      <w:pPr>
        <w:pStyle w:val="30"/>
        <w:ind w:left="0" w:leftChars="0" w:firstLine="0" w:firstLineChars="0"/>
        <w:rPr>
          <w:rFonts w:hint="eastAsia" w:ascii="宋体" w:hAnsi="宋体" w:eastAsia="宋体" w:cs="宋体"/>
          <w:sz w:val="24"/>
          <w:szCs w:val="24"/>
          <w:highlight w:val="none"/>
        </w:rPr>
      </w:pPr>
    </w:p>
    <w:p w14:paraId="7FE5144E">
      <w:pPr>
        <w:pStyle w:val="30"/>
        <w:ind w:left="0" w:leftChars="0" w:firstLine="0" w:firstLineChars="0"/>
        <w:rPr>
          <w:rFonts w:hint="eastAsia" w:ascii="宋体" w:hAnsi="宋体" w:eastAsia="宋体" w:cs="宋体"/>
          <w:sz w:val="24"/>
          <w:szCs w:val="24"/>
          <w:highlight w:val="none"/>
        </w:rPr>
      </w:pPr>
      <w:r>
        <w:rPr>
          <w:rFonts w:hint="eastAsia" w:ascii="宋体" w:hAnsi="宋体" w:eastAsia="宋体" w:cs="宋体"/>
          <w:sz w:val="24"/>
          <w:szCs w:val="24"/>
          <w:highlight w:val="none"/>
        </w:rPr>
        <w:t>注：定标委员会根据每轮的投票结果，得票数最多的合格中标候选人为中标人。</w:t>
      </w:r>
    </w:p>
    <w:p w14:paraId="17A90FE2">
      <w:pPr>
        <w:pStyle w:val="30"/>
        <w:rPr>
          <w:rFonts w:hint="eastAsia" w:ascii="宋体" w:hAnsi="宋体" w:eastAsia="宋体" w:cs="宋体"/>
          <w:highlight w:val="none"/>
        </w:rPr>
      </w:pPr>
    </w:p>
    <w:p w14:paraId="202E8B60">
      <w:pPr>
        <w:pStyle w:val="3"/>
        <w:jc w:val="both"/>
        <w:rPr>
          <w:rFonts w:ascii="宋体" w:hAnsi="宋体" w:eastAsia="宋体"/>
          <w:highlight w:val="none"/>
          <w:lang w:eastAsia="zh-CN"/>
        </w:rPr>
      </w:pPr>
      <w:r>
        <w:rPr>
          <w:rFonts w:ascii="宋体" w:hAnsi="宋体" w:eastAsia="宋体"/>
          <w:highlight w:val="none"/>
          <w:lang w:eastAsia="zh-CN"/>
        </w:rPr>
        <w:br w:type="page"/>
      </w:r>
      <w:bookmarkStart w:id="74" w:name="_Toc7190"/>
    </w:p>
    <w:p w14:paraId="39850221">
      <w:pPr>
        <w:pStyle w:val="3"/>
        <w:jc w:val="center"/>
        <w:rPr>
          <w:rFonts w:ascii="宋体" w:hAnsi="宋体" w:eastAsia="宋体"/>
          <w:highlight w:val="none"/>
          <w:lang w:eastAsia="zh-CN"/>
        </w:rPr>
      </w:pPr>
    </w:p>
    <w:p w14:paraId="0CB3E661">
      <w:pPr>
        <w:pStyle w:val="3"/>
        <w:jc w:val="center"/>
        <w:rPr>
          <w:rFonts w:ascii="宋体" w:hAnsi="宋体" w:eastAsia="宋体"/>
          <w:highlight w:val="none"/>
          <w:lang w:eastAsia="zh-CN"/>
        </w:rPr>
      </w:pPr>
    </w:p>
    <w:p w14:paraId="37F35FF0">
      <w:pPr>
        <w:pStyle w:val="3"/>
        <w:jc w:val="center"/>
        <w:rPr>
          <w:rFonts w:ascii="宋体" w:hAnsi="宋体" w:eastAsia="宋体"/>
          <w:highlight w:val="none"/>
          <w:lang w:eastAsia="zh-CN"/>
        </w:rPr>
      </w:pPr>
      <w:r>
        <w:rPr>
          <w:rFonts w:ascii="宋体" w:hAnsi="宋体" w:eastAsia="宋体"/>
          <w:highlight w:val="none"/>
          <w:lang w:eastAsia="zh-CN"/>
        </w:rPr>
        <w:t>第四章</w:t>
      </w:r>
      <w:r>
        <w:rPr>
          <w:rFonts w:hint="eastAsia" w:ascii="宋体" w:hAnsi="宋体" w:eastAsia="宋体"/>
          <w:highlight w:val="none"/>
          <w:lang w:eastAsia="zh-CN"/>
        </w:rPr>
        <w:t xml:space="preserve">  </w:t>
      </w:r>
      <w:r>
        <w:rPr>
          <w:rFonts w:ascii="宋体" w:hAnsi="宋体" w:eastAsia="宋体"/>
          <w:highlight w:val="none"/>
          <w:lang w:eastAsia="zh-CN"/>
        </w:rPr>
        <w:t>合同条款及格式</w:t>
      </w:r>
      <w:bookmarkEnd w:id="55"/>
      <w:bookmarkEnd w:id="65"/>
      <w:bookmarkEnd w:id="74"/>
    </w:p>
    <w:p w14:paraId="03FB31B3">
      <w:pPr>
        <w:pStyle w:val="11"/>
        <w:ind w:left="0"/>
        <w:jc w:val="center"/>
        <w:rPr>
          <w:rFonts w:hint="eastAsia"/>
          <w:spacing w:val="-1"/>
          <w:highlight w:val="none"/>
          <w:lang w:eastAsia="zh-CN"/>
        </w:rPr>
      </w:pPr>
    </w:p>
    <w:p w14:paraId="6204BD12">
      <w:pPr>
        <w:pStyle w:val="11"/>
        <w:ind w:left="0"/>
        <w:jc w:val="center"/>
        <w:rPr>
          <w:rFonts w:hint="eastAsia"/>
          <w:spacing w:val="-1"/>
          <w:highlight w:val="none"/>
          <w:lang w:eastAsia="zh-CN"/>
        </w:rPr>
      </w:pPr>
    </w:p>
    <w:p w14:paraId="2991E977">
      <w:pPr>
        <w:pStyle w:val="11"/>
        <w:ind w:left="0"/>
        <w:jc w:val="center"/>
        <w:rPr>
          <w:b/>
          <w:bCs/>
          <w:sz w:val="36"/>
          <w:szCs w:val="36"/>
          <w:highlight w:val="none"/>
          <w:lang w:eastAsia="zh-CN"/>
        </w:rPr>
      </w:pPr>
      <w:r>
        <w:rPr>
          <w:rFonts w:hint="eastAsia"/>
          <w:b/>
          <w:bCs/>
          <w:spacing w:val="-1"/>
          <w:sz w:val="36"/>
          <w:szCs w:val="36"/>
          <w:highlight w:val="none"/>
          <w:lang w:eastAsia="zh-CN"/>
        </w:rPr>
        <w:t>（另册）</w:t>
      </w:r>
    </w:p>
    <w:p w14:paraId="47918A91">
      <w:pPr>
        <w:rPr>
          <w:rFonts w:ascii="宋体" w:hAnsi="宋体" w:eastAsia="宋体" w:cs="宋体"/>
          <w:sz w:val="20"/>
          <w:szCs w:val="20"/>
          <w:highlight w:val="none"/>
          <w:lang w:eastAsia="zh-CN"/>
        </w:rPr>
      </w:pPr>
    </w:p>
    <w:p w14:paraId="29C8126A">
      <w:pPr>
        <w:rPr>
          <w:rFonts w:ascii="宋体" w:hAnsi="宋体" w:eastAsia="宋体" w:cs="宋体"/>
          <w:sz w:val="20"/>
          <w:szCs w:val="20"/>
          <w:highlight w:val="none"/>
          <w:lang w:eastAsia="zh-CN"/>
        </w:rPr>
      </w:pPr>
    </w:p>
    <w:p w14:paraId="323CE733">
      <w:pPr>
        <w:rPr>
          <w:rFonts w:ascii="宋体" w:hAnsi="宋体" w:eastAsia="宋体" w:cs="宋体"/>
          <w:sz w:val="20"/>
          <w:szCs w:val="20"/>
          <w:highlight w:val="none"/>
          <w:lang w:eastAsia="zh-CN"/>
        </w:rPr>
      </w:pPr>
    </w:p>
    <w:p w14:paraId="0DFBFFB2">
      <w:pPr>
        <w:rPr>
          <w:rFonts w:ascii="宋体" w:hAnsi="宋体" w:eastAsia="宋体" w:cs="宋体"/>
          <w:sz w:val="20"/>
          <w:szCs w:val="20"/>
          <w:highlight w:val="none"/>
          <w:lang w:eastAsia="zh-CN"/>
        </w:rPr>
      </w:pPr>
    </w:p>
    <w:p w14:paraId="1C75A37D">
      <w:pPr>
        <w:rPr>
          <w:rFonts w:ascii="宋体" w:hAnsi="宋体" w:eastAsia="宋体" w:cs="宋体"/>
          <w:sz w:val="20"/>
          <w:szCs w:val="20"/>
          <w:highlight w:val="none"/>
          <w:lang w:eastAsia="zh-CN"/>
        </w:rPr>
      </w:pPr>
    </w:p>
    <w:p w14:paraId="75EB7A0F">
      <w:pPr>
        <w:pStyle w:val="3"/>
        <w:spacing w:line="738" w:lineRule="exact"/>
        <w:ind w:right="3"/>
        <w:jc w:val="both"/>
        <w:rPr>
          <w:rFonts w:ascii="宋体" w:hAnsi="宋体" w:eastAsia="宋体"/>
          <w:b w:val="0"/>
          <w:bCs w:val="0"/>
          <w:highlight w:val="none"/>
          <w:lang w:eastAsia="zh-CN"/>
        </w:rPr>
      </w:pPr>
    </w:p>
    <w:p w14:paraId="054FC4AD">
      <w:pPr>
        <w:spacing w:line="738" w:lineRule="exact"/>
        <w:jc w:val="center"/>
        <w:rPr>
          <w:rFonts w:ascii="宋体" w:hAnsi="宋体" w:eastAsia="宋体"/>
          <w:highlight w:val="none"/>
          <w:lang w:eastAsia="zh-CN"/>
        </w:rPr>
        <w:sectPr>
          <w:footerReference r:id="rId5" w:type="default"/>
          <w:pgSz w:w="11907" w:h="16839"/>
          <w:pgMar w:top="1440" w:right="1440" w:bottom="1440" w:left="1440" w:header="0" w:footer="918" w:gutter="0"/>
          <w:cols w:space="720" w:num="1"/>
          <w:rtlGutter w:val="0"/>
          <w:docGrid w:linePitch="0" w:charSpace="0"/>
        </w:sectPr>
      </w:pPr>
    </w:p>
    <w:p w14:paraId="5A7EF2DA">
      <w:pPr>
        <w:rPr>
          <w:rFonts w:ascii="宋体" w:hAnsi="宋体" w:eastAsia="宋体" w:cs="Microsoft JhengHei"/>
          <w:b/>
          <w:bCs/>
          <w:sz w:val="20"/>
          <w:szCs w:val="20"/>
          <w:highlight w:val="none"/>
          <w:lang w:eastAsia="zh-CN"/>
        </w:rPr>
      </w:pPr>
    </w:p>
    <w:p w14:paraId="4BA6749A">
      <w:pPr>
        <w:pStyle w:val="3"/>
        <w:jc w:val="center"/>
        <w:rPr>
          <w:rFonts w:ascii="宋体" w:hAnsi="宋体" w:eastAsia="宋体"/>
          <w:highlight w:val="none"/>
          <w:lang w:eastAsia="zh-CN"/>
        </w:rPr>
      </w:pPr>
      <w:bookmarkStart w:id="75" w:name="_Toc25138017"/>
      <w:bookmarkStart w:id="76" w:name="_Toc14209"/>
      <w:bookmarkStart w:id="77" w:name="_Toc25152749"/>
    </w:p>
    <w:p w14:paraId="13CBDE89">
      <w:pPr>
        <w:pStyle w:val="3"/>
        <w:jc w:val="center"/>
        <w:rPr>
          <w:rFonts w:ascii="宋体" w:hAnsi="宋体" w:eastAsia="宋体"/>
          <w:highlight w:val="none"/>
          <w:lang w:eastAsia="zh-CN"/>
        </w:rPr>
      </w:pPr>
    </w:p>
    <w:p w14:paraId="1F9CC7DE">
      <w:pPr>
        <w:pStyle w:val="3"/>
        <w:jc w:val="center"/>
        <w:rPr>
          <w:rFonts w:ascii="宋体" w:hAnsi="宋体" w:eastAsia="宋体"/>
          <w:highlight w:val="none"/>
          <w:lang w:eastAsia="zh-CN"/>
        </w:rPr>
      </w:pPr>
      <w:r>
        <w:rPr>
          <w:rFonts w:ascii="宋体" w:hAnsi="宋体" w:eastAsia="宋体"/>
          <w:highlight w:val="none"/>
          <w:lang w:eastAsia="zh-CN"/>
        </w:rPr>
        <w:t>第五章</w:t>
      </w:r>
      <w:r>
        <w:rPr>
          <w:rFonts w:hint="eastAsia" w:ascii="宋体" w:hAnsi="宋体" w:eastAsia="宋体"/>
          <w:highlight w:val="none"/>
          <w:lang w:eastAsia="zh-CN"/>
        </w:rPr>
        <w:t xml:space="preserve">  </w:t>
      </w:r>
      <w:bookmarkEnd w:id="75"/>
      <w:r>
        <w:rPr>
          <w:rFonts w:hint="eastAsia" w:ascii="宋体" w:hAnsi="宋体" w:eastAsia="宋体"/>
          <w:highlight w:val="none"/>
          <w:lang w:eastAsia="zh-CN"/>
        </w:rPr>
        <w:t>设计任务书</w:t>
      </w:r>
      <w:bookmarkEnd w:id="76"/>
      <w:bookmarkEnd w:id="77"/>
    </w:p>
    <w:p w14:paraId="49749ACD">
      <w:pPr>
        <w:jc w:val="center"/>
        <w:rPr>
          <w:rFonts w:hint="eastAsia" w:ascii="宋体" w:hAnsi="宋体" w:eastAsia="宋体"/>
          <w:highlight w:val="none"/>
          <w:lang w:eastAsia="zh-CN"/>
        </w:rPr>
      </w:pPr>
    </w:p>
    <w:p w14:paraId="3086167B">
      <w:pPr>
        <w:jc w:val="center"/>
        <w:rPr>
          <w:rFonts w:hint="eastAsia" w:ascii="宋体" w:hAnsi="宋体" w:eastAsia="宋体"/>
          <w:highlight w:val="none"/>
          <w:lang w:eastAsia="zh-CN"/>
        </w:rPr>
      </w:pPr>
    </w:p>
    <w:p w14:paraId="23DA48C6">
      <w:pPr>
        <w:pStyle w:val="11"/>
        <w:jc w:val="center"/>
        <w:rPr>
          <w:rFonts w:hint="eastAsia" w:ascii="宋体" w:hAnsi="宋体" w:eastAsia="宋体" w:cs="Times New Roman"/>
          <w:b/>
          <w:bCs/>
          <w:spacing w:val="-1"/>
          <w:sz w:val="36"/>
          <w:szCs w:val="36"/>
          <w:highlight w:val="none"/>
          <w:lang w:eastAsia="zh-CN"/>
        </w:rPr>
      </w:pPr>
      <w:r>
        <w:rPr>
          <w:rFonts w:hint="eastAsia" w:ascii="宋体" w:hAnsi="宋体" w:eastAsia="宋体" w:cs="Times New Roman"/>
          <w:b/>
          <w:bCs/>
          <w:spacing w:val="-1"/>
          <w:sz w:val="36"/>
          <w:szCs w:val="36"/>
          <w:highlight w:val="none"/>
          <w:lang w:eastAsia="zh-CN"/>
        </w:rPr>
        <w:t>（另册）</w:t>
      </w:r>
    </w:p>
    <w:p w14:paraId="25247EC2">
      <w:pPr>
        <w:pStyle w:val="5"/>
        <w:rPr>
          <w:rFonts w:hint="eastAsia"/>
          <w:highlight w:val="none"/>
          <w:lang w:eastAsia="zh-CN"/>
        </w:rPr>
      </w:pPr>
    </w:p>
    <w:p w14:paraId="5A2AD6E6">
      <w:pPr>
        <w:jc w:val="center"/>
        <w:rPr>
          <w:rFonts w:ascii="宋体" w:hAnsi="宋体" w:eastAsia="宋体"/>
          <w:sz w:val="24"/>
          <w:szCs w:val="24"/>
          <w:highlight w:val="none"/>
          <w:lang w:eastAsia="zh-CN"/>
        </w:rPr>
      </w:pPr>
    </w:p>
    <w:p w14:paraId="0E9F7AFC">
      <w:pPr>
        <w:widowControl/>
        <w:spacing w:line="240" w:lineRule="auto"/>
        <w:jc w:val="center"/>
        <w:rPr>
          <w:rFonts w:ascii="宋体" w:hAnsi="宋体" w:eastAsia="宋体"/>
          <w:sz w:val="20"/>
          <w:szCs w:val="20"/>
          <w:highlight w:val="none"/>
          <w:lang w:eastAsia="zh-CN"/>
        </w:rPr>
      </w:pPr>
    </w:p>
    <w:p w14:paraId="013DAE09">
      <w:pPr>
        <w:rPr>
          <w:rFonts w:ascii="宋体" w:hAnsi="宋体" w:eastAsia="宋体"/>
          <w:sz w:val="20"/>
          <w:szCs w:val="20"/>
          <w:highlight w:val="none"/>
          <w:lang w:eastAsia="zh-CN"/>
        </w:rPr>
      </w:pPr>
    </w:p>
    <w:p w14:paraId="7FDC2F31">
      <w:pPr>
        <w:rPr>
          <w:rFonts w:ascii="宋体" w:hAnsi="宋体" w:eastAsia="宋体"/>
          <w:sz w:val="20"/>
          <w:szCs w:val="20"/>
          <w:highlight w:val="none"/>
          <w:lang w:eastAsia="zh-CN"/>
        </w:rPr>
      </w:pPr>
    </w:p>
    <w:p w14:paraId="257BC770">
      <w:pPr>
        <w:rPr>
          <w:rFonts w:ascii="宋体" w:hAnsi="宋体" w:eastAsia="宋体"/>
          <w:sz w:val="20"/>
          <w:szCs w:val="20"/>
          <w:highlight w:val="none"/>
          <w:lang w:eastAsia="zh-CN"/>
        </w:rPr>
      </w:pPr>
    </w:p>
    <w:p w14:paraId="0F6A98EE">
      <w:pPr>
        <w:spacing w:before="8"/>
        <w:rPr>
          <w:rFonts w:ascii="宋体" w:hAnsi="宋体" w:eastAsia="宋体"/>
          <w:sz w:val="26"/>
          <w:szCs w:val="26"/>
          <w:highlight w:val="none"/>
          <w:lang w:eastAsia="zh-CN"/>
        </w:rPr>
      </w:pPr>
    </w:p>
    <w:p w14:paraId="5353B647">
      <w:pPr>
        <w:pStyle w:val="3"/>
        <w:spacing w:line="589" w:lineRule="exact"/>
        <w:ind w:right="3"/>
        <w:jc w:val="center"/>
        <w:rPr>
          <w:rFonts w:ascii="宋体" w:hAnsi="宋体" w:eastAsia="宋体"/>
          <w:b w:val="0"/>
          <w:bCs w:val="0"/>
          <w:highlight w:val="none"/>
          <w:lang w:eastAsia="zh-CN"/>
        </w:rPr>
      </w:pPr>
    </w:p>
    <w:p w14:paraId="7CF3D44C">
      <w:pPr>
        <w:spacing w:line="589" w:lineRule="exact"/>
        <w:jc w:val="center"/>
        <w:rPr>
          <w:rFonts w:ascii="宋体" w:hAnsi="宋体" w:eastAsia="宋体"/>
          <w:highlight w:val="none"/>
          <w:lang w:eastAsia="zh-CN"/>
        </w:rPr>
        <w:sectPr>
          <w:footerReference r:id="rId7" w:type="first"/>
          <w:footerReference r:id="rId6" w:type="default"/>
          <w:pgSz w:w="11907" w:h="16839"/>
          <w:pgMar w:top="1440" w:right="1440" w:bottom="1440" w:left="1440" w:header="0" w:footer="918" w:gutter="0"/>
          <w:cols w:space="720" w:num="1"/>
          <w:rtlGutter w:val="0"/>
          <w:docGrid w:linePitch="299" w:charSpace="0"/>
        </w:sectPr>
      </w:pPr>
    </w:p>
    <w:p w14:paraId="37392B98">
      <w:pPr>
        <w:pStyle w:val="3"/>
        <w:jc w:val="center"/>
        <w:rPr>
          <w:rFonts w:hint="eastAsia" w:ascii="宋体" w:hAnsi="宋体" w:eastAsia="宋体"/>
          <w:highlight w:val="none"/>
          <w:lang w:eastAsia="zh-CN"/>
        </w:rPr>
      </w:pPr>
      <w:bookmarkStart w:id="140" w:name="_GoBack"/>
      <w:bookmarkStart w:id="78" w:name="_Toc7713"/>
      <w:bookmarkStart w:id="79" w:name="_Toc25152752"/>
      <w:bookmarkStart w:id="80" w:name="_Toc25138020"/>
      <w:r>
        <w:rPr>
          <w:rFonts w:ascii="宋体" w:hAnsi="宋体" w:eastAsia="宋体"/>
          <w:highlight w:val="none"/>
          <w:lang w:eastAsia="zh-CN"/>
        </w:rPr>
        <w:t>第六章</w:t>
      </w:r>
      <w:r>
        <w:rPr>
          <w:rFonts w:hint="eastAsia" w:ascii="宋体" w:hAnsi="宋体" w:eastAsia="宋体"/>
          <w:highlight w:val="none"/>
          <w:lang w:eastAsia="zh-CN"/>
        </w:rPr>
        <w:t xml:space="preserve">  </w:t>
      </w:r>
      <w:r>
        <w:rPr>
          <w:rFonts w:ascii="宋体" w:hAnsi="宋体" w:eastAsia="宋体"/>
          <w:highlight w:val="none"/>
          <w:lang w:eastAsia="zh-CN"/>
        </w:rPr>
        <w:t>投标文件格式</w:t>
      </w:r>
      <w:bookmarkEnd w:id="78"/>
      <w:bookmarkEnd w:id="79"/>
      <w:bookmarkEnd w:id="80"/>
    </w:p>
    <w:p w14:paraId="55D54F6A">
      <w:pPr>
        <w:rPr>
          <w:rFonts w:hint="eastAsia" w:eastAsia="宋体"/>
          <w:highlight w:val="none"/>
          <w:lang w:eastAsia="zh-CN"/>
        </w:rPr>
      </w:pPr>
    </w:p>
    <w:p w14:paraId="5116937F">
      <w:pPr>
        <w:spacing w:line="400" w:lineRule="exact"/>
        <w:rPr>
          <w:rFonts w:hint="eastAsia" w:ascii="宋体" w:hAnsi="宋体" w:cs="宋体"/>
          <w:highlight w:val="none"/>
        </w:rPr>
      </w:pPr>
    </w:p>
    <w:p w14:paraId="674703EA">
      <w:pPr>
        <w:spacing w:line="400" w:lineRule="exact"/>
        <w:rPr>
          <w:rFonts w:hint="eastAsia" w:ascii="宋体" w:hAnsi="宋体" w:cs="宋体"/>
          <w:highlight w:val="none"/>
        </w:rPr>
      </w:pPr>
    </w:p>
    <w:p w14:paraId="0ECD0555">
      <w:pPr>
        <w:jc w:val="center"/>
        <w:rPr>
          <w:rFonts w:hint="eastAsia" w:ascii="宋体" w:hAnsi="宋体" w:cs="宋体"/>
          <w:sz w:val="36"/>
          <w:szCs w:val="36"/>
          <w:highlight w:val="none"/>
        </w:rPr>
      </w:pPr>
      <w:r>
        <w:rPr>
          <w:rFonts w:hint="eastAsia" w:ascii="宋体" w:hAnsi="宋体" w:cs="宋体"/>
          <w:sz w:val="36"/>
          <w:szCs w:val="36"/>
          <w:highlight w:val="none"/>
          <w:u w:val="none"/>
        </w:rPr>
        <w:t>（项目名称）招标项目</w:t>
      </w:r>
    </w:p>
    <w:p w14:paraId="7AA2FEC8">
      <w:pPr>
        <w:rPr>
          <w:rFonts w:hint="eastAsia" w:ascii="宋体" w:hAnsi="宋体" w:cs="宋体"/>
          <w:sz w:val="20"/>
          <w:highlight w:val="none"/>
        </w:rPr>
      </w:pPr>
    </w:p>
    <w:p w14:paraId="2E9187CD">
      <w:pPr>
        <w:rPr>
          <w:rFonts w:hint="eastAsia" w:ascii="宋体" w:hAnsi="宋体" w:cs="宋体"/>
          <w:sz w:val="20"/>
          <w:highlight w:val="none"/>
        </w:rPr>
      </w:pPr>
    </w:p>
    <w:p w14:paraId="08961A16">
      <w:pPr>
        <w:rPr>
          <w:rFonts w:hint="eastAsia" w:ascii="宋体" w:hAnsi="宋体" w:cs="宋体"/>
          <w:sz w:val="20"/>
          <w:highlight w:val="none"/>
        </w:rPr>
      </w:pPr>
    </w:p>
    <w:p w14:paraId="52C48E94">
      <w:pPr>
        <w:rPr>
          <w:rFonts w:hint="eastAsia" w:ascii="宋体" w:hAnsi="宋体" w:cs="宋体"/>
          <w:sz w:val="20"/>
          <w:highlight w:val="none"/>
        </w:rPr>
      </w:pPr>
    </w:p>
    <w:p w14:paraId="6F83FF9F">
      <w:pPr>
        <w:rPr>
          <w:rFonts w:hint="eastAsia" w:ascii="宋体" w:hAnsi="宋体" w:cs="宋体"/>
          <w:sz w:val="20"/>
          <w:highlight w:val="none"/>
        </w:rPr>
      </w:pPr>
    </w:p>
    <w:p w14:paraId="5BA40AB4">
      <w:pPr>
        <w:pStyle w:val="5"/>
        <w:rPr>
          <w:rFonts w:hint="eastAsia" w:ascii="宋体" w:hAnsi="宋体" w:cs="宋体"/>
          <w:sz w:val="20"/>
          <w:highlight w:val="none"/>
        </w:rPr>
      </w:pPr>
    </w:p>
    <w:p w14:paraId="5DABC608">
      <w:pPr>
        <w:rPr>
          <w:rFonts w:hint="eastAsia"/>
          <w:highlight w:val="none"/>
        </w:rPr>
      </w:pPr>
    </w:p>
    <w:p w14:paraId="299E1B57">
      <w:pPr>
        <w:rPr>
          <w:rFonts w:hint="eastAsia" w:ascii="宋体" w:hAnsi="宋体" w:cs="宋体"/>
          <w:sz w:val="20"/>
          <w:highlight w:val="none"/>
        </w:rPr>
      </w:pPr>
    </w:p>
    <w:p w14:paraId="3D24A1B1">
      <w:pPr>
        <w:rPr>
          <w:rFonts w:hint="eastAsia" w:ascii="宋体" w:hAnsi="宋体" w:cs="宋体"/>
          <w:sz w:val="20"/>
          <w:highlight w:val="none"/>
        </w:rPr>
      </w:pPr>
    </w:p>
    <w:p w14:paraId="70B00484">
      <w:pPr>
        <w:rPr>
          <w:rFonts w:hint="eastAsia" w:ascii="宋体" w:hAnsi="宋体" w:cs="宋体"/>
          <w:sz w:val="20"/>
          <w:highlight w:val="none"/>
        </w:rPr>
      </w:pPr>
    </w:p>
    <w:p w14:paraId="588FEE86">
      <w:pPr>
        <w:jc w:val="center"/>
        <w:rPr>
          <w:rFonts w:hint="eastAsia" w:ascii="宋体" w:hAnsi="宋体" w:cs="宋体"/>
          <w:b/>
          <w:bCs/>
          <w:sz w:val="72"/>
          <w:szCs w:val="72"/>
          <w:highlight w:val="none"/>
        </w:rPr>
      </w:pPr>
      <w:r>
        <w:rPr>
          <w:rFonts w:hint="eastAsia" w:ascii="宋体" w:hAnsi="宋体" w:cs="宋体"/>
          <w:b/>
          <w:bCs/>
          <w:sz w:val="72"/>
          <w:szCs w:val="72"/>
          <w:highlight w:val="none"/>
        </w:rPr>
        <w:t>投 标 文 件</w:t>
      </w:r>
    </w:p>
    <w:p w14:paraId="700F3C15">
      <w:pPr>
        <w:rPr>
          <w:rFonts w:hint="eastAsia" w:ascii="宋体" w:hAnsi="宋体" w:cs="宋体"/>
          <w:sz w:val="28"/>
          <w:highlight w:val="none"/>
        </w:rPr>
      </w:pPr>
    </w:p>
    <w:p w14:paraId="5F6B22F6">
      <w:pPr>
        <w:rPr>
          <w:rFonts w:hint="eastAsia" w:ascii="宋体" w:hAnsi="宋体" w:cs="宋体"/>
          <w:sz w:val="28"/>
          <w:highlight w:val="none"/>
        </w:rPr>
      </w:pPr>
    </w:p>
    <w:p w14:paraId="334E601E">
      <w:pPr>
        <w:rPr>
          <w:rFonts w:hint="eastAsia" w:ascii="宋体" w:hAnsi="宋体" w:cs="宋体"/>
          <w:sz w:val="28"/>
          <w:highlight w:val="none"/>
        </w:rPr>
      </w:pPr>
    </w:p>
    <w:p w14:paraId="3D0521E2">
      <w:pPr>
        <w:rPr>
          <w:rFonts w:hint="eastAsia" w:ascii="宋体" w:hAnsi="宋体" w:cs="宋体"/>
          <w:sz w:val="28"/>
          <w:highlight w:val="none"/>
        </w:rPr>
      </w:pPr>
    </w:p>
    <w:p w14:paraId="3F386E09">
      <w:pPr>
        <w:pStyle w:val="5"/>
        <w:rPr>
          <w:rFonts w:hint="eastAsia" w:ascii="宋体" w:hAnsi="宋体" w:cs="宋体"/>
          <w:sz w:val="28"/>
          <w:highlight w:val="none"/>
        </w:rPr>
      </w:pPr>
    </w:p>
    <w:p w14:paraId="20774AB9">
      <w:pPr>
        <w:rPr>
          <w:rFonts w:hint="eastAsia" w:ascii="宋体" w:hAnsi="宋体" w:cs="宋体"/>
          <w:sz w:val="28"/>
          <w:highlight w:val="none"/>
        </w:rPr>
      </w:pPr>
    </w:p>
    <w:p w14:paraId="4A6DC12B">
      <w:pPr>
        <w:pStyle w:val="5"/>
        <w:rPr>
          <w:rFonts w:hint="eastAsia" w:ascii="宋体" w:hAnsi="宋体" w:cs="宋体"/>
          <w:sz w:val="28"/>
          <w:highlight w:val="none"/>
        </w:rPr>
      </w:pPr>
    </w:p>
    <w:p w14:paraId="271DBCCD">
      <w:pPr>
        <w:pStyle w:val="5"/>
        <w:ind w:left="0"/>
        <w:rPr>
          <w:rFonts w:hint="eastAsia" w:ascii="宋体" w:hAnsi="宋体" w:cs="宋体"/>
          <w:sz w:val="28"/>
          <w:highlight w:val="none"/>
        </w:rPr>
      </w:pPr>
    </w:p>
    <w:p w14:paraId="6E3D36C0">
      <w:pPr>
        <w:rPr>
          <w:rFonts w:hint="eastAsia" w:ascii="宋体" w:hAnsi="宋体" w:cs="宋体"/>
          <w:sz w:val="28"/>
          <w:highlight w:val="none"/>
        </w:rPr>
      </w:pPr>
    </w:p>
    <w:p w14:paraId="5862E11B">
      <w:pPr>
        <w:pStyle w:val="5"/>
        <w:rPr>
          <w:rFonts w:hint="eastAsia" w:ascii="宋体" w:hAnsi="宋体" w:cs="宋体"/>
          <w:sz w:val="28"/>
          <w:highlight w:val="none"/>
        </w:rPr>
      </w:pPr>
    </w:p>
    <w:p w14:paraId="4696516B">
      <w:pPr>
        <w:rPr>
          <w:rFonts w:hint="eastAsia" w:ascii="宋体" w:hAnsi="宋体" w:cs="宋体"/>
          <w:sz w:val="28"/>
          <w:highlight w:val="none"/>
        </w:rPr>
      </w:pPr>
    </w:p>
    <w:p w14:paraId="3DF3522B">
      <w:pPr>
        <w:pStyle w:val="5"/>
        <w:rPr>
          <w:rFonts w:hint="eastAsia" w:ascii="宋体" w:hAnsi="宋体" w:cs="宋体"/>
          <w:sz w:val="28"/>
          <w:highlight w:val="none"/>
        </w:rPr>
      </w:pPr>
    </w:p>
    <w:p w14:paraId="55FA1227">
      <w:pPr>
        <w:rPr>
          <w:rFonts w:hint="eastAsia"/>
          <w:highlight w:val="none"/>
        </w:rPr>
      </w:pPr>
    </w:p>
    <w:p w14:paraId="5F792868">
      <w:pPr>
        <w:rPr>
          <w:rFonts w:hint="eastAsia" w:ascii="宋体" w:hAnsi="宋体" w:cs="宋体"/>
          <w:sz w:val="28"/>
          <w:highlight w:val="none"/>
        </w:rPr>
      </w:pPr>
    </w:p>
    <w:p w14:paraId="7AE12B9B">
      <w:pPr>
        <w:rPr>
          <w:rFonts w:hint="eastAsia" w:ascii="宋体" w:hAnsi="宋体" w:eastAsia="宋体" w:cs="宋体"/>
          <w:sz w:val="20"/>
          <w:highlight w:val="none"/>
        </w:rPr>
      </w:pPr>
    </w:p>
    <w:p w14:paraId="3A7D6CCE">
      <w:pPr>
        <w:rPr>
          <w:rFonts w:hint="eastAsia" w:ascii="宋体" w:hAnsi="宋体" w:eastAsia="宋体" w:cs="宋体"/>
          <w:sz w:val="20"/>
          <w:highlight w:val="none"/>
        </w:rPr>
      </w:pPr>
    </w:p>
    <w:p w14:paraId="2CD18019">
      <w:pPr>
        <w:keepNext w:val="0"/>
        <w:keepLines w:val="0"/>
        <w:pageBreakBefore w:val="0"/>
        <w:widowControl w:val="0"/>
        <w:kinsoku/>
        <w:wordWrap/>
        <w:overflowPunct/>
        <w:topLinePunct w:val="0"/>
        <w:autoSpaceDE/>
        <w:autoSpaceDN/>
        <w:bidi w:val="0"/>
        <w:adjustRightInd/>
        <w:snapToGrid/>
        <w:spacing w:line="360" w:lineRule="auto"/>
        <w:ind w:firstLine="1120" w:firstLineChars="400"/>
        <w:jc w:val="both"/>
        <w:textAlignment w:val="auto"/>
        <w:rPr>
          <w:rFonts w:hint="eastAsia" w:ascii="宋体" w:hAnsi="宋体" w:eastAsia="宋体" w:cs="宋体"/>
          <w:sz w:val="28"/>
          <w:szCs w:val="28"/>
          <w:highlight w:val="none"/>
        </w:rPr>
      </w:pPr>
      <w:bookmarkStart w:id="81" w:name="_Toc24278"/>
      <w:r>
        <w:rPr>
          <w:rFonts w:hint="eastAsia" w:ascii="宋体" w:hAnsi="宋体" w:eastAsia="宋体" w:cs="宋体"/>
          <w:sz w:val="28"/>
          <w:szCs w:val="28"/>
          <w:highlight w:val="none"/>
        </w:rPr>
        <w:t>投标人：（盖单位章）</w:t>
      </w:r>
      <w:bookmarkEnd w:id="81"/>
    </w:p>
    <w:p w14:paraId="39120D36">
      <w:pPr>
        <w:keepNext w:val="0"/>
        <w:keepLines w:val="0"/>
        <w:pageBreakBefore w:val="0"/>
        <w:widowControl w:val="0"/>
        <w:kinsoku/>
        <w:wordWrap/>
        <w:overflowPunct/>
        <w:topLinePunct w:val="0"/>
        <w:autoSpaceDE/>
        <w:autoSpaceDN/>
        <w:bidi w:val="0"/>
        <w:adjustRightInd/>
        <w:snapToGrid/>
        <w:spacing w:line="360" w:lineRule="auto"/>
        <w:ind w:firstLine="1120" w:firstLineChars="400"/>
        <w:jc w:val="both"/>
        <w:textAlignment w:val="auto"/>
        <w:rPr>
          <w:rFonts w:hint="eastAsia" w:ascii="宋体" w:hAnsi="宋体" w:eastAsia="宋体" w:cs="宋体"/>
          <w:sz w:val="28"/>
          <w:szCs w:val="28"/>
          <w:highlight w:val="none"/>
        </w:rPr>
      </w:pPr>
      <w:bookmarkStart w:id="82" w:name="_Toc17355"/>
      <w:r>
        <w:rPr>
          <w:rFonts w:hint="eastAsia" w:ascii="宋体" w:hAnsi="宋体" w:eastAsia="宋体" w:cs="宋体"/>
          <w:sz w:val="28"/>
          <w:szCs w:val="28"/>
          <w:highlight w:val="none"/>
        </w:rPr>
        <w:t>法定代表人或其委托代理人：（签字或盖章）</w:t>
      </w:r>
      <w:bookmarkEnd w:id="82"/>
    </w:p>
    <w:p w14:paraId="530F3CDF">
      <w:pPr>
        <w:jc w:val="center"/>
        <w:rPr>
          <w:rFonts w:hint="eastAsia" w:ascii="宋体" w:hAnsi="宋体" w:cs="宋体"/>
          <w:sz w:val="24"/>
          <w:szCs w:val="24"/>
          <w:highlight w:val="none"/>
        </w:rPr>
      </w:pPr>
    </w:p>
    <w:p w14:paraId="59F04370">
      <w:pPr>
        <w:spacing w:line="400" w:lineRule="exact"/>
        <w:jc w:val="center"/>
        <w:rPr>
          <w:rFonts w:hint="eastAsia" w:ascii="宋体" w:hAnsi="宋体" w:cs="宋体"/>
          <w:sz w:val="28"/>
          <w:highlight w:val="none"/>
        </w:rPr>
      </w:pPr>
      <w:r>
        <w:rPr>
          <w:rFonts w:hint="eastAsia" w:ascii="宋体" w:hAnsi="宋体" w:cs="宋体"/>
          <w:sz w:val="28"/>
          <w:highlight w:val="none"/>
        </w:rPr>
        <w:t>年</w:t>
      </w:r>
      <w:r>
        <w:rPr>
          <w:rFonts w:hint="eastAsia" w:ascii="宋体" w:hAnsi="宋体" w:cs="宋体"/>
          <w:sz w:val="28"/>
          <w:highlight w:val="none"/>
          <w:lang w:val="en-US" w:eastAsia="zh-CN"/>
        </w:rPr>
        <w:t xml:space="preserve">    </w:t>
      </w:r>
      <w:r>
        <w:rPr>
          <w:rFonts w:hint="eastAsia" w:ascii="宋体" w:hAnsi="宋体" w:cs="宋体"/>
          <w:sz w:val="28"/>
          <w:highlight w:val="none"/>
        </w:rPr>
        <w:t>月</w:t>
      </w:r>
      <w:r>
        <w:rPr>
          <w:rFonts w:hint="eastAsia" w:ascii="宋体" w:hAnsi="宋体" w:cs="宋体"/>
          <w:sz w:val="28"/>
          <w:highlight w:val="none"/>
          <w:lang w:val="en-US" w:eastAsia="zh-CN"/>
        </w:rPr>
        <w:t xml:space="preserve">    </w:t>
      </w:r>
      <w:r>
        <w:rPr>
          <w:rFonts w:hint="eastAsia" w:ascii="宋体" w:hAnsi="宋体" w:cs="宋体"/>
          <w:sz w:val="28"/>
          <w:highlight w:val="none"/>
        </w:rPr>
        <w:t>日</w:t>
      </w:r>
    </w:p>
    <w:p w14:paraId="2B3B2FA1">
      <w:pPr>
        <w:pStyle w:val="3"/>
        <w:jc w:val="center"/>
        <w:rPr>
          <w:rFonts w:ascii="宋体" w:hAnsi="宋体" w:eastAsia="宋体"/>
          <w:highlight w:val="none"/>
          <w:lang w:eastAsia="zh-CN"/>
        </w:rPr>
        <w:sectPr>
          <w:pgSz w:w="11907" w:h="16839"/>
          <w:pgMar w:top="1440" w:right="1440" w:bottom="1440" w:left="1440" w:header="0" w:footer="918" w:gutter="0"/>
          <w:cols w:space="720" w:num="1"/>
          <w:rtlGutter w:val="0"/>
          <w:docGrid w:linePitch="0" w:charSpace="0"/>
        </w:sectPr>
      </w:pPr>
    </w:p>
    <w:p w14:paraId="4429FF08">
      <w:pPr>
        <w:pStyle w:val="2"/>
        <w:keepNext w:val="0"/>
        <w:keepLines w:val="0"/>
        <w:pageBreakBefore w:val="0"/>
        <w:widowControl w:val="0"/>
        <w:kinsoku/>
        <w:wordWrap/>
        <w:overflowPunct/>
        <w:topLinePunct w:val="0"/>
        <w:autoSpaceDE/>
        <w:autoSpaceDN/>
        <w:bidi w:val="0"/>
        <w:adjustRightInd/>
        <w:snapToGrid/>
        <w:spacing w:before="140" w:after="140" w:line="413" w:lineRule="auto"/>
        <w:jc w:val="center"/>
        <w:textAlignment w:val="auto"/>
        <w:rPr>
          <w:rFonts w:hint="eastAsia" w:ascii="宋体" w:hAnsi="宋体" w:eastAsia="宋体" w:cs="宋体"/>
          <w:highlight w:val="none"/>
        </w:rPr>
      </w:pPr>
      <w:bookmarkStart w:id="83" w:name="_Toc29609"/>
      <w:bookmarkStart w:id="84" w:name="_Toc1610"/>
      <w:bookmarkStart w:id="85" w:name="_Toc7880"/>
      <w:bookmarkStart w:id="86" w:name="_Toc23819"/>
      <w:bookmarkStart w:id="87" w:name="_Toc25072139"/>
      <w:bookmarkStart w:id="88" w:name="_Toc25138022"/>
      <w:bookmarkStart w:id="89" w:name="_Toc25152753"/>
      <w:bookmarkStart w:id="90" w:name="_Toc25151932"/>
      <w:r>
        <w:rPr>
          <w:rFonts w:hint="eastAsia" w:ascii="宋体" w:hAnsi="宋体" w:eastAsia="宋体" w:cs="宋体"/>
          <w:highlight w:val="none"/>
        </w:rPr>
        <w:t>目</w:t>
      </w:r>
      <w:r>
        <w:rPr>
          <w:rFonts w:hint="eastAsia" w:ascii="宋体" w:hAnsi="宋体" w:eastAsia="宋体" w:cs="宋体"/>
          <w:highlight w:val="none"/>
          <w:lang w:val="en-US" w:eastAsia="zh-CN"/>
        </w:rPr>
        <w:t xml:space="preserve">  </w:t>
      </w:r>
      <w:r>
        <w:rPr>
          <w:rFonts w:hint="eastAsia" w:ascii="宋体" w:hAnsi="宋体" w:eastAsia="宋体" w:cs="宋体"/>
          <w:highlight w:val="none"/>
        </w:rPr>
        <w:t>录</w:t>
      </w:r>
      <w:bookmarkEnd w:id="83"/>
      <w:bookmarkEnd w:id="84"/>
      <w:bookmarkEnd w:id="85"/>
      <w:bookmarkEnd w:id="86"/>
    </w:p>
    <w:p w14:paraId="7A1FBD8E">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rPr>
        <w:t>一、投标函及投标函附录</w:t>
      </w:r>
    </w:p>
    <w:p w14:paraId="6E4D1B2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rPr>
        <w:t>二、投标报价书</w:t>
      </w:r>
    </w:p>
    <w:p w14:paraId="6267A348">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rPr>
        <w:t>三、法定代表人身份证明</w:t>
      </w:r>
    </w:p>
    <w:p w14:paraId="5273DE04">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rPr>
        <w:t>四、授权委托书（适用于有委托代理人的情况）</w:t>
      </w:r>
    </w:p>
    <w:p w14:paraId="56A1A28A">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五</w:t>
      </w:r>
      <w:r>
        <w:rPr>
          <w:rFonts w:hint="eastAsia" w:ascii="宋体" w:hAnsi="宋体" w:cs="宋体"/>
          <w:sz w:val="24"/>
          <w:szCs w:val="24"/>
          <w:highlight w:val="none"/>
        </w:rPr>
        <w:t>、资格审查资料</w:t>
      </w:r>
    </w:p>
    <w:p w14:paraId="119F897B">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六</w:t>
      </w:r>
      <w:r>
        <w:rPr>
          <w:rFonts w:hint="eastAsia" w:ascii="宋体" w:hAnsi="宋体" w:cs="宋体"/>
          <w:sz w:val="24"/>
          <w:szCs w:val="24"/>
          <w:highlight w:val="none"/>
        </w:rPr>
        <w:t>、</w:t>
      </w:r>
      <w:r>
        <w:rPr>
          <w:rFonts w:hint="eastAsia" w:ascii="宋体" w:hAnsi="宋体" w:cs="宋体"/>
          <w:color w:val="auto"/>
          <w:sz w:val="24"/>
          <w:szCs w:val="24"/>
          <w:highlight w:val="none"/>
        </w:rPr>
        <w:t>定标文件</w:t>
      </w:r>
    </w:p>
    <w:p w14:paraId="06814D16">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宋体" w:hAnsi="宋体" w:cs="宋体"/>
          <w:sz w:val="24"/>
          <w:szCs w:val="24"/>
          <w:highlight w:val="none"/>
        </w:rPr>
      </w:pPr>
      <w:r>
        <w:rPr>
          <w:rFonts w:hint="eastAsia" w:ascii="宋体" w:hAnsi="宋体" w:cs="宋体"/>
          <w:sz w:val="24"/>
          <w:szCs w:val="24"/>
          <w:highlight w:val="none"/>
          <w:lang w:val="en-US" w:eastAsia="zh-CN"/>
        </w:rPr>
        <w:t>七</w:t>
      </w:r>
      <w:r>
        <w:rPr>
          <w:rFonts w:hint="eastAsia" w:ascii="宋体" w:hAnsi="宋体" w:cs="宋体"/>
          <w:sz w:val="24"/>
          <w:szCs w:val="24"/>
          <w:highlight w:val="none"/>
        </w:rPr>
        <w:t>、投标人根据招标文件要求认为需要提供的其他资料</w:t>
      </w:r>
    </w:p>
    <w:p w14:paraId="18F3155F">
      <w:pPr>
        <w:pStyle w:val="4"/>
        <w:jc w:val="both"/>
        <w:rPr>
          <w:rFonts w:hint="eastAsia" w:ascii="宋体" w:hAnsi="宋体" w:eastAsia="宋体"/>
          <w:highlight w:val="none"/>
          <w:lang w:eastAsia="zh-CN"/>
        </w:rPr>
      </w:pPr>
    </w:p>
    <w:p w14:paraId="771FFA9D">
      <w:pPr>
        <w:pStyle w:val="2"/>
        <w:keepNext w:val="0"/>
        <w:keepLines w:val="0"/>
        <w:numPr>
          <w:ilvl w:val="0"/>
          <w:numId w:val="0"/>
        </w:numPr>
        <w:jc w:val="center"/>
        <w:rPr>
          <w:rFonts w:hint="eastAsia" w:ascii="宋体" w:hAnsi="宋体" w:eastAsia="宋体" w:cs="宋体"/>
          <w:highlight w:val="none"/>
        </w:rPr>
      </w:pPr>
      <w:r>
        <w:rPr>
          <w:rFonts w:hint="eastAsia" w:ascii="宋体" w:hAnsi="宋体" w:eastAsia="宋体"/>
          <w:highlight w:val="none"/>
          <w:lang w:eastAsia="zh-CN"/>
        </w:rPr>
        <w:br w:type="page"/>
      </w:r>
      <w:bookmarkStart w:id="91" w:name="_Toc26018"/>
      <w:r>
        <w:rPr>
          <w:rFonts w:hint="eastAsia" w:ascii="宋体" w:hAnsi="宋体" w:eastAsia="宋体" w:cs="宋体"/>
          <w:b/>
          <w:sz w:val="32"/>
          <w:szCs w:val="20"/>
          <w:highlight w:val="none"/>
          <w:lang w:eastAsia="zh-CN"/>
        </w:rPr>
        <w:t>一、投标</w:t>
      </w:r>
      <w:bookmarkStart w:id="92" w:name="_Toc352691656"/>
      <w:bookmarkStart w:id="93" w:name="_Toc6931"/>
      <w:bookmarkStart w:id="94" w:name="_Toc369531692"/>
      <w:r>
        <w:rPr>
          <w:rFonts w:hint="eastAsia" w:ascii="宋体" w:hAnsi="宋体" w:eastAsia="宋体" w:cs="宋体"/>
          <w:b/>
          <w:sz w:val="32"/>
          <w:szCs w:val="20"/>
          <w:highlight w:val="none"/>
          <w:lang w:eastAsia="zh-CN"/>
        </w:rPr>
        <w:t>函及投标函附录</w:t>
      </w:r>
      <w:bookmarkEnd w:id="91"/>
    </w:p>
    <w:p w14:paraId="02382F10">
      <w:pPr>
        <w:pStyle w:val="2"/>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b/>
          <w:bCs w:val="0"/>
          <w:highlight w:val="none"/>
        </w:rPr>
      </w:pPr>
      <w:bookmarkStart w:id="95" w:name="_Toc31829"/>
      <w:r>
        <w:rPr>
          <w:rFonts w:hint="eastAsia" w:ascii="宋体" w:hAnsi="宋体" w:eastAsia="宋体" w:cs="宋体"/>
          <w:b/>
          <w:bCs w:val="0"/>
          <w:sz w:val="28"/>
          <w:szCs w:val="18"/>
          <w:highlight w:val="none"/>
        </w:rPr>
        <w:t>（一）投标函</w:t>
      </w:r>
      <w:bookmarkEnd w:id="95"/>
    </w:p>
    <w:bookmarkEnd w:id="92"/>
    <w:bookmarkEnd w:id="93"/>
    <w:bookmarkEnd w:id="94"/>
    <w:p w14:paraId="2DA7908D">
      <w:pPr>
        <w:spacing w:line="360" w:lineRule="auto"/>
        <w:ind w:right="266" w:rightChars="121"/>
        <w:rPr>
          <w:rFonts w:hint="eastAsia" w:ascii="宋体" w:hAnsi="宋体" w:cs="宋体"/>
          <w:kern w:val="0"/>
          <w:sz w:val="24"/>
          <w:szCs w:val="24"/>
          <w:highlight w:val="none"/>
        </w:rPr>
      </w:pPr>
      <w:r>
        <w:rPr>
          <w:rFonts w:hint="eastAsia" w:ascii="宋体" w:hAnsi="宋体" w:cs="宋体"/>
          <w:sz w:val="24"/>
          <w:szCs w:val="24"/>
          <w:highlight w:val="none"/>
          <w:u w:val="single"/>
          <w:lang w:eastAsia="zh-CN"/>
        </w:rPr>
        <w:t>广州珠江啤酒股份有限公司</w:t>
      </w:r>
      <w:r>
        <w:rPr>
          <w:rFonts w:hint="eastAsia" w:ascii="宋体" w:hAnsi="宋体" w:cs="宋体"/>
          <w:kern w:val="0"/>
          <w:sz w:val="24"/>
          <w:szCs w:val="24"/>
          <w:highlight w:val="none"/>
        </w:rPr>
        <w:t>：</w:t>
      </w:r>
    </w:p>
    <w:p w14:paraId="579D08A4">
      <w:pPr>
        <w:pStyle w:val="29"/>
        <w:spacing w:after="0" w:line="360" w:lineRule="auto"/>
        <w:ind w:right="266" w:rightChars="121" w:firstLine="480" w:firstLineChars="200"/>
        <w:rPr>
          <w:rFonts w:hint="eastAsia" w:ascii="宋体" w:hAnsi="宋体" w:cs="宋体"/>
          <w:kern w:val="28"/>
          <w:sz w:val="24"/>
          <w:highlight w:val="none"/>
        </w:rPr>
      </w:pPr>
      <w:r>
        <w:rPr>
          <w:rFonts w:hint="eastAsia" w:ascii="宋体" w:hAnsi="宋体" w:cs="宋体"/>
          <w:kern w:val="28"/>
          <w:sz w:val="24"/>
          <w:highlight w:val="none"/>
        </w:rPr>
        <w:t>1．我方已仔细研究了</w:t>
      </w:r>
      <w:r>
        <w:rPr>
          <w:rFonts w:hint="eastAsia" w:ascii="宋体" w:hAnsi="宋体" w:cs="宋体"/>
          <w:kern w:val="0"/>
          <w:sz w:val="24"/>
          <w:highlight w:val="none"/>
          <w:u w:val="single"/>
          <w:lang w:eastAsia="zh-CN"/>
        </w:rPr>
        <w:t>珠江·琶醍啤酒文化创意园区改造升级项目—酒店室内精装修设计</w:t>
      </w:r>
      <w:r>
        <w:rPr>
          <w:rFonts w:hint="eastAsia" w:ascii="宋体" w:hAnsi="宋体" w:cs="宋体"/>
          <w:kern w:val="28"/>
          <w:sz w:val="24"/>
          <w:highlight w:val="none"/>
        </w:rPr>
        <w:t>招标文件的全部内容，</w:t>
      </w:r>
      <w:r>
        <w:rPr>
          <w:rFonts w:hint="eastAsia" w:ascii="宋体" w:hAnsi="宋体" w:cs="宋体"/>
          <w:kern w:val="0"/>
          <w:sz w:val="24"/>
          <w:highlight w:val="none"/>
        </w:rPr>
        <w:t>愿意以投标报价人民币（大写）</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0"/>
          <w:sz w:val="24"/>
          <w:highlight w:val="none"/>
          <w:u w:val="single"/>
        </w:rPr>
        <w:t xml:space="preserve">       </w:t>
      </w:r>
      <w:r>
        <w:rPr>
          <w:rFonts w:hint="eastAsia" w:ascii="宋体" w:hAnsi="宋体" w:cs="宋体"/>
          <w:kern w:val="0"/>
          <w:sz w:val="24"/>
          <w:highlight w:val="none"/>
        </w:rPr>
        <w:t>元），</w:t>
      </w:r>
      <w:r>
        <w:rPr>
          <w:rFonts w:hint="eastAsia" w:ascii="宋体" w:hAnsi="宋体" w:cs="宋体"/>
          <w:bCs/>
          <w:sz w:val="24"/>
          <w:highlight w:val="none"/>
        </w:rPr>
        <w:t>投标下浮率</w:t>
      </w:r>
      <w:r>
        <w:rPr>
          <w:rFonts w:hint="eastAsia" w:ascii="宋体" w:hAnsi="宋体" w:cs="宋体"/>
          <w:kern w:val="0"/>
          <w:sz w:val="24"/>
          <w:highlight w:val="none"/>
          <w:u w:val="single"/>
        </w:rPr>
        <w:t xml:space="preserve">    %。</w:t>
      </w:r>
      <w:r>
        <w:rPr>
          <w:rFonts w:hint="eastAsia" w:ascii="宋体" w:hAnsi="宋体" w:cs="宋体"/>
          <w:kern w:val="0"/>
          <w:sz w:val="24"/>
          <w:highlight w:val="none"/>
        </w:rPr>
        <w:t>）</w:t>
      </w:r>
      <w:r>
        <w:rPr>
          <w:rFonts w:hint="eastAsia" w:ascii="宋体" w:hAnsi="宋体" w:cs="宋体"/>
          <w:kern w:val="28"/>
          <w:sz w:val="24"/>
          <w:highlight w:val="none"/>
        </w:rPr>
        <w:t>，按合同约定完成设计服务工作（以上报价包括</w:t>
      </w:r>
      <w:r>
        <w:rPr>
          <w:rFonts w:hint="eastAsia" w:ascii="宋体" w:hAnsi="宋体" w:cs="宋体"/>
          <w:kern w:val="28"/>
          <w:sz w:val="24"/>
          <w:highlight w:val="none"/>
          <w:lang w:val="en-US" w:eastAsia="zh-CN"/>
        </w:rPr>
        <w:t>设计</w:t>
      </w:r>
      <w:r>
        <w:rPr>
          <w:rFonts w:hint="eastAsia" w:ascii="宋体" w:hAnsi="宋体" w:cs="宋体"/>
          <w:kern w:val="28"/>
          <w:sz w:val="24"/>
          <w:highlight w:val="none"/>
        </w:rPr>
        <w:t>服务过程中的所有费用）。</w:t>
      </w:r>
    </w:p>
    <w:p w14:paraId="617BBA65">
      <w:pPr>
        <w:pStyle w:val="29"/>
        <w:spacing w:after="0" w:line="360" w:lineRule="auto"/>
        <w:ind w:right="266" w:rightChars="121" w:firstLine="480" w:firstLineChars="200"/>
        <w:rPr>
          <w:rFonts w:hint="eastAsia" w:ascii="宋体" w:hAnsi="宋体" w:cs="宋体"/>
          <w:sz w:val="24"/>
          <w:highlight w:val="none"/>
        </w:rPr>
      </w:pPr>
      <w:r>
        <w:rPr>
          <w:rFonts w:hint="eastAsia" w:ascii="宋体" w:hAnsi="宋体" w:cs="宋体"/>
          <w:sz w:val="24"/>
          <w:highlight w:val="none"/>
        </w:rPr>
        <w:t>2</w:t>
      </w:r>
      <w:r>
        <w:rPr>
          <w:rFonts w:hint="eastAsia" w:ascii="宋体" w:hAnsi="宋体" w:cs="宋体"/>
          <w:sz w:val="24"/>
          <w:szCs w:val="24"/>
          <w:highlight w:val="none"/>
        </w:rPr>
        <w:t>．</w:t>
      </w:r>
      <w:r>
        <w:rPr>
          <w:rFonts w:hint="eastAsia" w:ascii="宋体" w:hAnsi="宋体" w:cs="宋体"/>
          <w:sz w:val="24"/>
          <w:highlight w:val="none"/>
        </w:rPr>
        <w:t>我方承诺在投标有效期</w:t>
      </w:r>
      <w:r>
        <w:rPr>
          <w:rFonts w:hint="eastAsia" w:ascii="宋体" w:hAnsi="宋体" w:cs="宋体"/>
          <w:sz w:val="24"/>
          <w:highlight w:val="none"/>
          <w:u w:val="single"/>
          <w:lang w:val="en-US" w:eastAsia="zh-CN"/>
        </w:rPr>
        <w:t>90</w:t>
      </w:r>
      <w:r>
        <w:rPr>
          <w:rFonts w:hint="eastAsia" w:ascii="宋体" w:hAnsi="宋体" w:cs="宋体"/>
          <w:sz w:val="24"/>
          <w:highlight w:val="none"/>
        </w:rPr>
        <w:t>日历天内不撤销投标文件。</w:t>
      </w:r>
    </w:p>
    <w:p w14:paraId="1423978A">
      <w:pPr>
        <w:spacing w:line="360" w:lineRule="auto"/>
        <w:ind w:right="266" w:rightChars="121" w:firstLine="480" w:firstLineChars="200"/>
        <w:rPr>
          <w:rFonts w:hint="eastAsia" w:ascii="宋体" w:hAnsi="宋体" w:cs="宋体"/>
          <w:sz w:val="24"/>
          <w:szCs w:val="24"/>
          <w:highlight w:val="none"/>
        </w:rPr>
      </w:pPr>
      <w:r>
        <w:rPr>
          <w:rFonts w:hint="eastAsia" w:ascii="宋体" w:hAnsi="宋体" w:cs="宋体"/>
          <w:sz w:val="24"/>
          <w:szCs w:val="24"/>
          <w:highlight w:val="none"/>
        </w:rPr>
        <w:t>3．如我方中标：</w:t>
      </w:r>
    </w:p>
    <w:p w14:paraId="1134B869">
      <w:pPr>
        <w:spacing w:line="360" w:lineRule="auto"/>
        <w:ind w:right="266" w:rightChars="121" w:firstLine="480" w:firstLineChars="200"/>
        <w:rPr>
          <w:rFonts w:hint="eastAsia" w:ascii="宋体" w:hAnsi="宋体" w:cs="宋体"/>
          <w:sz w:val="24"/>
          <w:szCs w:val="24"/>
          <w:highlight w:val="none"/>
        </w:rPr>
      </w:pPr>
      <w:r>
        <w:rPr>
          <w:rFonts w:hint="eastAsia" w:ascii="宋体" w:hAnsi="宋体" w:cs="宋体"/>
          <w:sz w:val="24"/>
          <w:szCs w:val="24"/>
          <w:highlight w:val="none"/>
        </w:rPr>
        <w:t>(1)我方承诺在收到中标通知书后，在本招标文件规定的期限内与贵司签订合同。</w:t>
      </w:r>
    </w:p>
    <w:p w14:paraId="599EE723">
      <w:pPr>
        <w:spacing w:line="360" w:lineRule="auto"/>
        <w:ind w:right="266" w:rightChars="121" w:firstLine="480" w:firstLineChars="200"/>
        <w:rPr>
          <w:rFonts w:hint="eastAsia" w:ascii="宋体" w:hAnsi="宋体" w:cs="宋体"/>
          <w:sz w:val="24"/>
          <w:szCs w:val="24"/>
          <w:highlight w:val="none"/>
        </w:rPr>
      </w:pPr>
      <w:r>
        <w:rPr>
          <w:rFonts w:hint="eastAsia" w:ascii="宋体" w:hAnsi="宋体" w:cs="宋体"/>
          <w:sz w:val="24"/>
          <w:szCs w:val="24"/>
          <w:highlight w:val="none"/>
        </w:rPr>
        <w:t>(2)我方承诺在合同约定的期限内完成全部合同项目。</w:t>
      </w:r>
    </w:p>
    <w:p w14:paraId="3A9D3A2D">
      <w:pPr>
        <w:spacing w:line="360" w:lineRule="auto"/>
        <w:ind w:right="266" w:rightChars="121" w:firstLine="480" w:firstLineChars="200"/>
        <w:rPr>
          <w:rFonts w:hint="eastAsia" w:ascii="宋体" w:hAnsi="宋体" w:cs="宋体"/>
          <w:sz w:val="24"/>
          <w:szCs w:val="24"/>
          <w:highlight w:val="none"/>
        </w:rPr>
      </w:pPr>
      <w:r>
        <w:rPr>
          <w:rFonts w:hint="eastAsia" w:ascii="宋体" w:hAnsi="宋体" w:cs="宋体"/>
          <w:sz w:val="24"/>
          <w:szCs w:val="24"/>
          <w:highlight w:val="none"/>
        </w:rPr>
        <w:t>(3)我方在此声明，所递交的投标文件及有关资料内容完整、真实和准确，且不存在第二章</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投标人须知</w:t>
      </w:r>
      <w:r>
        <w:rPr>
          <w:rFonts w:hint="eastAsia" w:ascii="宋体" w:hAnsi="宋体" w:eastAsia="宋体" w:cs="宋体"/>
          <w:sz w:val="24"/>
          <w:szCs w:val="24"/>
          <w:highlight w:val="none"/>
          <w:lang w:eastAsia="zh-CN"/>
        </w:rPr>
        <w:t>”</w:t>
      </w:r>
      <w:r>
        <w:rPr>
          <w:rFonts w:hint="eastAsia" w:ascii="宋体" w:hAnsi="宋体" w:cs="宋体"/>
          <w:sz w:val="24"/>
          <w:szCs w:val="24"/>
          <w:highlight w:val="none"/>
        </w:rPr>
        <w:t>第1.4.3项规定的任何一种情形。</w:t>
      </w:r>
    </w:p>
    <w:p w14:paraId="566C2702">
      <w:pPr>
        <w:spacing w:line="360" w:lineRule="auto"/>
        <w:ind w:right="266" w:rightChars="121"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6</w:t>
      </w:r>
      <w:r>
        <w:rPr>
          <w:rFonts w:hint="eastAsia" w:ascii="宋体" w:hAnsi="宋体" w:cs="宋体"/>
          <w:sz w:val="24"/>
          <w:szCs w:val="24"/>
          <w:highlight w:val="none"/>
        </w:rPr>
        <w:t>．</w:t>
      </w:r>
      <w:r>
        <w:rPr>
          <w:rFonts w:hint="eastAsia" w:ascii="宋体" w:hAnsi="宋体" w:eastAsia="宋体" w:cs="宋体"/>
          <w:sz w:val="24"/>
          <w:szCs w:val="24"/>
          <w:highlight w:val="none"/>
        </w:rPr>
        <w:t>如我方中标，我方承诺，满足</w:t>
      </w:r>
      <w:r>
        <w:rPr>
          <w:rFonts w:hint="eastAsia" w:ascii="宋体" w:hAnsi="宋体" w:eastAsia="宋体" w:cs="宋体"/>
          <w:sz w:val="24"/>
          <w:szCs w:val="24"/>
          <w:highlight w:val="none"/>
          <w:lang w:eastAsia="zh-CN"/>
        </w:rPr>
        <w:t>招标文件及合同</w:t>
      </w:r>
      <w:r>
        <w:rPr>
          <w:rFonts w:hint="eastAsia" w:ascii="宋体" w:hAnsi="宋体" w:eastAsia="宋体" w:cs="宋体"/>
          <w:sz w:val="24"/>
          <w:szCs w:val="24"/>
          <w:highlight w:val="none"/>
        </w:rPr>
        <w:t>中的所有内容。</w:t>
      </w:r>
    </w:p>
    <w:p w14:paraId="47B8EF46">
      <w:pPr>
        <w:spacing w:line="360" w:lineRule="auto"/>
        <w:ind w:right="266" w:rightChars="121" w:firstLine="480" w:firstLineChars="200"/>
        <w:rPr>
          <w:rFonts w:hint="eastAsia" w:ascii="宋体" w:hAnsi="宋体" w:cs="宋体"/>
          <w:sz w:val="24"/>
          <w:szCs w:val="24"/>
          <w:highlight w:val="none"/>
        </w:rPr>
      </w:pPr>
      <w:r>
        <w:rPr>
          <w:rFonts w:hint="eastAsia" w:ascii="宋体" w:hAnsi="宋体" w:cs="宋体"/>
          <w:sz w:val="24"/>
          <w:szCs w:val="24"/>
          <w:highlight w:val="none"/>
          <w:lang w:val="en-US" w:eastAsia="zh-CN"/>
        </w:rPr>
        <w:t>7</w:t>
      </w:r>
      <w:r>
        <w:rPr>
          <w:rFonts w:hint="eastAsia" w:ascii="宋体" w:hAnsi="宋体" w:cs="宋体"/>
          <w:sz w:val="24"/>
          <w:szCs w:val="24"/>
          <w:highlight w:val="none"/>
        </w:rPr>
        <w:t>．</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（其他补充说明）</w:t>
      </w:r>
    </w:p>
    <w:p w14:paraId="5FFCA6B4">
      <w:pPr>
        <w:spacing w:line="360" w:lineRule="auto"/>
        <w:rPr>
          <w:rFonts w:hint="eastAsia" w:ascii="宋体" w:hAnsi="宋体" w:cs="宋体"/>
          <w:sz w:val="24"/>
          <w:szCs w:val="24"/>
          <w:highlight w:val="none"/>
        </w:rPr>
      </w:pPr>
    </w:p>
    <w:p w14:paraId="69A6F3EA">
      <w:pPr>
        <w:spacing w:line="360" w:lineRule="auto"/>
        <w:jc w:val="center"/>
        <w:rPr>
          <w:rFonts w:hint="eastAsia" w:ascii="宋体" w:hAnsi="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cs="宋体"/>
          <w:sz w:val="24"/>
          <w:szCs w:val="24"/>
          <w:highlight w:val="none"/>
        </w:rPr>
        <w:t>投标人：</w:t>
      </w:r>
      <w:r>
        <w:rPr>
          <w:rFonts w:hint="eastAsia" w:ascii="宋体" w:hAnsi="宋体" w:cs="宋体"/>
          <w:sz w:val="24"/>
          <w:szCs w:val="24"/>
          <w:highlight w:val="none"/>
          <w:u w:val="single"/>
        </w:rPr>
        <w:t xml:space="preserve">                     </w:t>
      </w:r>
    </w:p>
    <w:p w14:paraId="38FA2F32">
      <w:pPr>
        <w:spacing w:line="360" w:lineRule="auto"/>
        <w:rPr>
          <w:rFonts w:hint="eastAsia" w:ascii="宋体" w:hAnsi="宋体" w:cs="宋体"/>
          <w:sz w:val="24"/>
          <w:szCs w:val="24"/>
          <w:highlight w:val="none"/>
        </w:rPr>
      </w:pPr>
    </w:p>
    <w:p w14:paraId="3CBE0F53">
      <w:pPr>
        <w:spacing w:line="440" w:lineRule="exact"/>
        <w:ind w:firstLine="5400" w:firstLineChars="2250"/>
        <w:jc w:val="both"/>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12CC9A29">
      <w:pPr>
        <w:jc w:val="both"/>
        <w:rPr>
          <w:rFonts w:hint="eastAsia" w:ascii="宋体" w:hAnsi="宋体" w:eastAsia="宋体" w:cs="Times New Roman"/>
          <w:sz w:val="24"/>
          <w:szCs w:val="24"/>
          <w:highlight w:val="none"/>
          <w:lang w:val="en-US" w:eastAsia="zh-CN"/>
        </w:rPr>
      </w:pPr>
    </w:p>
    <w:p w14:paraId="226AB5B6">
      <w:pPr>
        <w:jc w:val="both"/>
        <w:rPr>
          <w:rFonts w:hint="eastAsia" w:ascii="宋体" w:hAnsi="宋体" w:eastAsia="宋体" w:cs="Times New Roman"/>
          <w:sz w:val="24"/>
          <w:szCs w:val="24"/>
          <w:highlight w:val="none"/>
          <w:lang w:val="en-US" w:eastAsia="zh-CN"/>
        </w:rPr>
        <w:sectPr>
          <w:headerReference r:id="rId8" w:type="default"/>
          <w:footerReference r:id="rId9" w:type="default"/>
          <w:pgSz w:w="11905" w:h="16838"/>
          <w:pgMar w:top="1440" w:right="1440" w:bottom="1440" w:left="1440" w:header="850" w:footer="794" w:gutter="0"/>
          <w:pgNumType w:fmt="decimal"/>
          <w:cols w:space="720" w:num="1"/>
          <w:docGrid w:type="lines" w:linePitch="333" w:charSpace="0"/>
        </w:sectPr>
      </w:pPr>
    </w:p>
    <w:p w14:paraId="0161DDC6">
      <w:pPr>
        <w:pStyle w:val="20"/>
        <w:rPr>
          <w:rFonts w:hint="eastAsia"/>
          <w:highlight w:val="none"/>
          <w:lang w:val="en-US" w:eastAsia="zh-CN"/>
        </w:rPr>
      </w:pPr>
    </w:p>
    <w:p w14:paraId="216E1E4A">
      <w:pPr>
        <w:pStyle w:val="4"/>
        <w:keepNext w:val="0"/>
        <w:keepLines w:val="0"/>
        <w:spacing w:before="120" w:after="120" w:line="360" w:lineRule="auto"/>
        <w:ind w:firstLine="0" w:firstLineChars="0"/>
        <w:jc w:val="center"/>
        <w:rPr>
          <w:rFonts w:hint="eastAsia" w:ascii="宋体" w:hAnsi="宋体" w:eastAsia="宋体" w:cs="宋体"/>
          <w:b/>
          <w:bCs/>
          <w:highlight w:val="none"/>
        </w:rPr>
      </w:pPr>
      <w:bookmarkStart w:id="96" w:name="_Toc25976"/>
      <w:r>
        <w:rPr>
          <w:rFonts w:hint="eastAsia" w:ascii="宋体" w:hAnsi="宋体" w:eastAsia="宋体" w:cs="宋体"/>
          <w:b/>
          <w:bCs/>
          <w:highlight w:val="none"/>
        </w:rPr>
        <w:t>（二）投标函附录</w:t>
      </w:r>
      <w:bookmarkEnd w:id="96"/>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409"/>
        <w:gridCol w:w="3402"/>
        <w:gridCol w:w="1850"/>
      </w:tblGrid>
      <w:tr w14:paraId="504F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1348666F">
            <w:pPr>
              <w:jc w:val="center"/>
              <w:rPr>
                <w:rFonts w:hint="eastAsia" w:ascii="宋体" w:hAnsi="宋体" w:cs="宋体"/>
                <w:sz w:val="24"/>
                <w:szCs w:val="24"/>
                <w:highlight w:val="none"/>
              </w:rPr>
            </w:pPr>
            <w:r>
              <w:rPr>
                <w:rFonts w:hint="eastAsia" w:ascii="宋体" w:hAnsi="宋体" w:cs="宋体"/>
                <w:sz w:val="24"/>
                <w:szCs w:val="24"/>
                <w:highlight w:val="none"/>
              </w:rPr>
              <w:t>序号</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096189DF">
            <w:pPr>
              <w:jc w:val="center"/>
              <w:rPr>
                <w:rFonts w:hint="eastAsia" w:ascii="宋体" w:hAnsi="宋体" w:cs="宋体"/>
                <w:sz w:val="24"/>
                <w:szCs w:val="24"/>
                <w:highlight w:val="none"/>
              </w:rPr>
            </w:pPr>
            <w:r>
              <w:rPr>
                <w:rFonts w:hint="eastAsia" w:ascii="宋体" w:hAnsi="宋体" w:cs="宋体"/>
                <w:sz w:val="24"/>
                <w:szCs w:val="24"/>
                <w:highlight w:val="none"/>
              </w:rPr>
              <w:t>条款名称</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24F7DF6">
            <w:pPr>
              <w:jc w:val="center"/>
              <w:rPr>
                <w:rFonts w:hint="eastAsia" w:ascii="宋体" w:hAnsi="宋体" w:cs="宋体"/>
                <w:sz w:val="24"/>
                <w:szCs w:val="24"/>
                <w:highlight w:val="none"/>
              </w:rPr>
            </w:pPr>
            <w:r>
              <w:rPr>
                <w:rFonts w:hint="eastAsia" w:ascii="宋体" w:hAnsi="宋体" w:cs="宋体"/>
                <w:sz w:val="24"/>
                <w:szCs w:val="24"/>
                <w:highlight w:val="none"/>
              </w:rPr>
              <w:t>约定内容</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C26994B">
            <w:pPr>
              <w:jc w:val="center"/>
              <w:rPr>
                <w:rFonts w:hint="eastAsia" w:ascii="宋体" w:hAnsi="宋体" w:cs="宋体"/>
                <w:sz w:val="24"/>
                <w:szCs w:val="24"/>
                <w:highlight w:val="none"/>
              </w:rPr>
            </w:pPr>
            <w:r>
              <w:rPr>
                <w:rFonts w:hint="eastAsia" w:ascii="宋体" w:hAnsi="宋体" w:cs="宋体"/>
                <w:sz w:val="24"/>
                <w:szCs w:val="24"/>
                <w:highlight w:val="none"/>
              </w:rPr>
              <w:t>备注</w:t>
            </w:r>
          </w:p>
        </w:tc>
      </w:tr>
      <w:tr w14:paraId="7E857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AAA3B92">
            <w:pPr>
              <w:jc w:val="center"/>
              <w:rPr>
                <w:rFonts w:hint="eastAsia" w:ascii="宋体" w:hAnsi="宋体" w:cs="宋体"/>
                <w:sz w:val="24"/>
                <w:szCs w:val="24"/>
                <w:highlight w:val="none"/>
              </w:rPr>
            </w:pPr>
            <w:r>
              <w:rPr>
                <w:rFonts w:hint="eastAsia" w:ascii="宋体" w:hAnsi="宋体" w:cs="宋体"/>
                <w:sz w:val="24"/>
                <w:szCs w:val="24"/>
                <w:highlight w:val="none"/>
              </w:rPr>
              <w:t>1</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CD2F7B4">
            <w:pPr>
              <w:jc w:val="center"/>
              <w:rPr>
                <w:rFonts w:hint="eastAsia" w:ascii="宋体" w:hAnsi="宋体" w:cs="宋体"/>
                <w:sz w:val="24"/>
                <w:szCs w:val="24"/>
                <w:highlight w:val="none"/>
              </w:rPr>
            </w:pPr>
            <w:r>
              <w:rPr>
                <w:rFonts w:hint="eastAsia" w:ascii="宋体" w:hAnsi="宋体" w:cs="宋体"/>
                <w:sz w:val="24"/>
                <w:szCs w:val="24"/>
                <w:highlight w:val="none"/>
              </w:rPr>
              <w:t>项目负责人</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F8BFC6A">
            <w:pPr>
              <w:jc w:val="left"/>
              <w:rPr>
                <w:rFonts w:hint="eastAsia" w:ascii="宋体" w:hAnsi="宋体" w:cs="宋体"/>
                <w:sz w:val="24"/>
                <w:szCs w:val="24"/>
                <w:highlight w:val="none"/>
              </w:rPr>
            </w:pPr>
            <w:r>
              <w:rPr>
                <w:rFonts w:hint="eastAsia" w:ascii="宋体" w:hAnsi="宋体" w:cs="宋体"/>
                <w:sz w:val="24"/>
                <w:szCs w:val="24"/>
                <w:highlight w:val="none"/>
              </w:rPr>
              <w:t>姓名：</w:t>
            </w:r>
          </w:p>
          <w:p w14:paraId="54A67042">
            <w:pPr>
              <w:jc w:val="left"/>
              <w:rPr>
                <w:rFonts w:hint="eastAsia" w:ascii="宋体" w:hAnsi="宋体" w:cs="宋体"/>
                <w:sz w:val="24"/>
                <w:szCs w:val="24"/>
                <w:highlight w:val="none"/>
              </w:rPr>
            </w:pPr>
            <w:r>
              <w:rPr>
                <w:rFonts w:hint="eastAsia" w:ascii="宋体" w:hAnsi="宋体" w:eastAsia="宋体" w:cs="宋体"/>
                <w:b w:val="0"/>
                <w:bCs w:val="0"/>
                <w:spacing w:val="7"/>
                <w:kern w:val="0"/>
                <w:sz w:val="24"/>
                <w:highlight w:val="none"/>
                <w:u w:val="none"/>
              </w:rPr>
              <w:t>注册</w:t>
            </w:r>
            <w:r>
              <w:rPr>
                <w:rFonts w:hint="eastAsia" w:ascii="宋体" w:hAnsi="宋体" w:eastAsia="宋体" w:cs="宋体"/>
                <w:sz w:val="24"/>
                <w:szCs w:val="24"/>
                <w:highlight w:val="none"/>
                <w:lang w:eastAsia="zh-CN"/>
              </w:rPr>
              <w:t>证号</w:t>
            </w:r>
            <w:r>
              <w:rPr>
                <w:rFonts w:hint="eastAsia" w:ascii="宋体" w:hAnsi="宋体" w:cs="宋体"/>
                <w:sz w:val="24"/>
                <w:szCs w:val="24"/>
                <w:highlight w:val="none"/>
              </w:rPr>
              <w:t>：</w:t>
            </w:r>
          </w:p>
          <w:p w14:paraId="725222A8">
            <w:pPr>
              <w:jc w:val="left"/>
              <w:rPr>
                <w:rFonts w:hint="eastAsia" w:ascii="宋体" w:hAnsi="宋体" w:cs="宋体"/>
                <w:sz w:val="24"/>
                <w:szCs w:val="24"/>
                <w:highlight w:val="none"/>
              </w:rPr>
            </w:pPr>
            <w:r>
              <w:rPr>
                <w:rFonts w:hint="eastAsia" w:ascii="宋体" w:hAnsi="宋体" w:cs="宋体"/>
                <w:sz w:val="24"/>
                <w:szCs w:val="24"/>
                <w:highlight w:val="none"/>
              </w:rPr>
              <w:t>身份证号码：</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74E70228">
            <w:pPr>
              <w:jc w:val="center"/>
              <w:rPr>
                <w:rFonts w:hint="eastAsia" w:ascii="宋体" w:hAnsi="宋体" w:cs="宋体"/>
                <w:sz w:val="24"/>
                <w:szCs w:val="24"/>
                <w:highlight w:val="none"/>
              </w:rPr>
            </w:pPr>
          </w:p>
        </w:tc>
      </w:tr>
      <w:tr w14:paraId="011E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601C860D">
            <w:pPr>
              <w:jc w:val="center"/>
              <w:rPr>
                <w:rFonts w:hint="eastAsia" w:ascii="宋体" w:hAnsi="宋体" w:cs="宋体"/>
                <w:sz w:val="24"/>
                <w:szCs w:val="24"/>
                <w:highlight w:val="none"/>
              </w:rPr>
            </w:pPr>
            <w:r>
              <w:rPr>
                <w:rFonts w:hint="eastAsia" w:ascii="宋体" w:hAnsi="宋体" w:cs="宋体"/>
                <w:sz w:val="24"/>
                <w:szCs w:val="24"/>
                <w:highlight w:val="none"/>
              </w:rPr>
              <w:t>2</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CB6F23D">
            <w:pPr>
              <w:jc w:val="center"/>
              <w:rPr>
                <w:rFonts w:hint="eastAsia" w:ascii="宋体" w:hAnsi="宋体" w:cs="宋体"/>
                <w:sz w:val="24"/>
                <w:szCs w:val="24"/>
                <w:highlight w:val="none"/>
              </w:rPr>
            </w:pPr>
            <w:r>
              <w:rPr>
                <w:rFonts w:hint="eastAsia" w:ascii="宋体" w:hAnsi="宋体" w:cs="宋体"/>
                <w:sz w:val="24"/>
                <w:szCs w:val="24"/>
                <w:highlight w:val="none"/>
              </w:rPr>
              <w:t>服务期限</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0D19E1">
            <w:pPr>
              <w:pStyle w:val="10"/>
              <w:topLinePunct/>
              <w:spacing w:line="400" w:lineRule="exact"/>
              <w:jc w:val="left"/>
              <w:rPr>
                <w:rFonts w:hint="eastAsia" w:hAnsi="宋体" w:cs="宋体"/>
                <w:szCs w:val="24"/>
                <w:highlight w:val="none"/>
              </w:rPr>
            </w:pPr>
            <w:r>
              <w:rPr>
                <w:rFonts w:hint="eastAsia" w:hAnsi="宋体" w:cs="宋体"/>
                <w:szCs w:val="24"/>
                <w:highlight w:val="none"/>
                <w:u w:val="none"/>
              </w:rPr>
              <w:t>按招标文件要求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0999DE5">
            <w:pPr>
              <w:jc w:val="center"/>
              <w:rPr>
                <w:rFonts w:hint="eastAsia" w:ascii="宋体" w:hAnsi="宋体" w:cs="宋体"/>
                <w:sz w:val="24"/>
                <w:szCs w:val="24"/>
                <w:highlight w:val="none"/>
              </w:rPr>
            </w:pPr>
          </w:p>
        </w:tc>
      </w:tr>
      <w:tr w14:paraId="6180B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8FA36D5">
            <w:pPr>
              <w:jc w:val="center"/>
              <w:rPr>
                <w:rFonts w:hint="eastAsia" w:ascii="宋体" w:hAnsi="宋体" w:cs="宋体"/>
                <w:sz w:val="24"/>
                <w:szCs w:val="24"/>
                <w:highlight w:val="none"/>
              </w:rPr>
            </w:pPr>
            <w:r>
              <w:rPr>
                <w:rFonts w:hint="eastAsia" w:ascii="宋体" w:hAnsi="宋体" w:cs="宋体"/>
                <w:sz w:val="24"/>
                <w:szCs w:val="24"/>
                <w:highlight w:val="none"/>
              </w:rPr>
              <w:t>3</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235BC5AD">
            <w:pPr>
              <w:jc w:val="center"/>
              <w:rPr>
                <w:rFonts w:hint="eastAsia" w:ascii="宋体" w:hAnsi="宋体" w:cs="宋体"/>
                <w:sz w:val="24"/>
                <w:szCs w:val="24"/>
                <w:highlight w:val="none"/>
              </w:rPr>
            </w:pPr>
            <w:r>
              <w:rPr>
                <w:rFonts w:hint="eastAsia" w:ascii="宋体" w:hAnsi="宋体" w:cs="宋体"/>
                <w:sz w:val="24"/>
                <w:szCs w:val="24"/>
                <w:highlight w:val="none"/>
              </w:rPr>
              <w:t>质量要求</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A619A7E">
            <w:pPr>
              <w:pStyle w:val="10"/>
              <w:topLinePunct/>
              <w:spacing w:line="400" w:lineRule="exact"/>
              <w:jc w:val="left"/>
              <w:rPr>
                <w:rFonts w:hint="eastAsia" w:hAnsi="宋体" w:cs="宋体"/>
                <w:szCs w:val="24"/>
                <w:highlight w:val="none"/>
                <w:u w:val="none"/>
              </w:rPr>
            </w:pPr>
            <w:r>
              <w:rPr>
                <w:rFonts w:hint="eastAsia" w:hAnsi="宋体" w:cs="宋体"/>
                <w:szCs w:val="24"/>
                <w:highlight w:val="none"/>
                <w:u w:val="none"/>
              </w:rPr>
              <w:t>按招标文件要求</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5BAE8604">
            <w:pPr>
              <w:jc w:val="center"/>
              <w:rPr>
                <w:rFonts w:hint="eastAsia" w:ascii="宋体" w:hAnsi="宋体" w:cs="宋体"/>
                <w:sz w:val="24"/>
                <w:szCs w:val="24"/>
                <w:highlight w:val="none"/>
              </w:rPr>
            </w:pPr>
          </w:p>
        </w:tc>
      </w:tr>
      <w:tr w14:paraId="6CF2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7B7E1BA3">
            <w:pPr>
              <w:jc w:val="center"/>
              <w:rPr>
                <w:rFonts w:hint="eastAsia" w:ascii="宋体" w:hAnsi="宋体" w:cs="宋体"/>
                <w:sz w:val="24"/>
                <w:szCs w:val="24"/>
                <w:highlight w:val="none"/>
              </w:rPr>
            </w:pPr>
            <w:r>
              <w:rPr>
                <w:rFonts w:hint="eastAsia" w:ascii="宋体" w:hAnsi="宋体" w:cs="宋体"/>
                <w:sz w:val="24"/>
                <w:szCs w:val="24"/>
                <w:highlight w:val="none"/>
              </w:rPr>
              <w:t>4</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67EF3144">
            <w:pPr>
              <w:jc w:val="center"/>
              <w:rPr>
                <w:rFonts w:hint="eastAsia" w:ascii="宋体" w:hAnsi="宋体" w:cs="宋体"/>
                <w:sz w:val="24"/>
                <w:szCs w:val="24"/>
                <w:highlight w:val="none"/>
              </w:rPr>
            </w:pPr>
            <w:r>
              <w:rPr>
                <w:rFonts w:hint="eastAsia" w:ascii="宋体" w:hAnsi="宋体" w:cs="宋体"/>
                <w:sz w:val="24"/>
                <w:szCs w:val="24"/>
                <w:highlight w:val="none"/>
              </w:rPr>
              <w:t>法人营业</w:t>
            </w:r>
          </w:p>
          <w:p w14:paraId="664EDAE0">
            <w:pPr>
              <w:jc w:val="center"/>
              <w:rPr>
                <w:rFonts w:hint="eastAsia" w:ascii="宋体" w:hAnsi="宋体" w:cs="宋体"/>
                <w:sz w:val="24"/>
                <w:szCs w:val="24"/>
                <w:highlight w:val="none"/>
              </w:rPr>
            </w:pPr>
            <w:r>
              <w:rPr>
                <w:rFonts w:hint="eastAsia" w:ascii="宋体" w:hAnsi="宋体" w:cs="宋体"/>
                <w:sz w:val="24"/>
                <w:szCs w:val="24"/>
                <w:highlight w:val="none"/>
              </w:rPr>
              <w:t>执照证号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ABB4DC7">
            <w:pPr>
              <w:rPr>
                <w:rFonts w:hint="eastAsia" w:ascii="宋体" w:hAnsi="宋体" w:cs="宋体"/>
                <w:sz w:val="24"/>
                <w:szCs w:val="24"/>
                <w:highlight w:val="none"/>
              </w:rPr>
            </w:pPr>
          </w:p>
        </w:tc>
        <w:tc>
          <w:tcPr>
            <w:tcW w:w="1850" w:type="dxa"/>
            <w:tcBorders>
              <w:top w:val="single" w:color="auto" w:sz="4" w:space="0"/>
              <w:left w:val="single" w:color="auto" w:sz="4" w:space="0"/>
              <w:bottom w:val="single" w:color="auto" w:sz="4" w:space="0"/>
              <w:right w:val="single" w:color="auto" w:sz="4" w:space="0"/>
            </w:tcBorders>
            <w:noWrap w:val="0"/>
            <w:vAlign w:val="center"/>
          </w:tcPr>
          <w:p w14:paraId="4334532E">
            <w:pPr>
              <w:jc w:val="center"/>
              <w:rPr>
                <w:rFonts w:hint="eastAsia" w:ascii="宋体" w:hAnsi="宋体" w:cs="宋体"/>
                <w:sz w:val="24"/>
                <w:szCs w:val="24"/>
                <w:highlight w:val="none"/>
              </w:rPr>
            </w:pPr>
          </w:p>
        </w:tc>
      </w:tr>
      <w:tr w14:paraId="6A7E7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 w:hRule="atLeast"/>
          <w:jc w:val="center"/>
        </w:trPr>
        <w:tc>
          <w:tcPr>
            <w:tcW w:w="876" w:type="dxa"/>
            <w:tcBorders>
              <w:top w:val="single" w:color="auto" w:sz="4" w:space="0"/>
              <w:left w:val="single" w:color="auto" w:sz="4" w:space="0"/>
              <w:bottom w:val="single" w:color="auto" w:sz="4" w:space="0"/>
              <w:right w:val="single" w:color="auto" w:sz="4" w:space="0"/>
            </w:tcBorders>
            <w:noWrap w:val="0"/>
            <w:vAlign w:val="center"/>
          </w:tcPr>
          <w:p w14:paraId="543E1F88">
            <w:pPr>
              <w:jc w:val="center"/>
              <w:rPr>
                <w:rFonts w:hint="eastAsia" w:ascii="宋体" w:hAnsi="宋体" w:cs="宋体"/>
                <w:sz w:val="24"/>
                <w:szCs w:val="24"/>
                <w:highlight w:val="none"/>
              </w:rPr>
            </w:pPr>
            <w:r>
              <w:rPr>
                <w:rFonts w:hint="eastAsia" w:ascii="宋体" w:hAnsi="宋体" w:cs="宋体"/>
                <w:sz w:val="24"/>
                <w:szCs w:val="24"/>
                <w:highlight w:val="none"/>
              </w:rPr>
              <w:t>5</w:t>
            </w:r>
          </w:p>
        </w:tc>
        <w:tc>
          <w:tcPr>
            <w:tcW w:w="2409" w:type="dxa"/>
            <w:tcBorders>
              <w:top w:val="single" w:color="auto" w:sz="4" w:space="0"/>
              <w:left w:val="single" w:color="auto" w:sz="4" w:space="0"/>
              <w:bottom w:val="single" w:color="auto" w:sz="4" w:space="0"/>
              <w:right w:val="single" w:color="auto" w:sz="4" w:space="0"/>
            </w:tcBorders>
            <w:noWrap w:val="0"/>
            <w:vAlign w:val="center"/>
          </w:tcPr>
          <w:p w14:paraId="5CD2D683">
            <w:pPr>
              <w:jc w:val="center"/>
              <w:rPr>
                <w:rFonts w:hint="eastAsia" w:ascii="宋体" w:hAnsi="宋体" w:cs="宋体"/>
                <w:sz w:val="24"/>
                <w:szCs w:val="24"/>
                <w:highlight w:val="none"/>
              </w:rPr>
            </w:pPr>
            <w:r>
              <w:rPr>
                <w:rFonts w:hint="eastAsia" w:ascii="宋体" w:hAnsi="宋体" w:cs="宋体"/>
                <w:sz w:val="24"/>
                <w:szCs w:val="24"/>
                <w:highlight w:val="none"/>
              </w:rPr>
              <w:t>资质等级</w:t>
            </w:r>
          </w:p>
          <w:p w14:paraId="1811066F">
            <w:pPr>
              <w:jc w:val="center"/>
              <w:rPr>
                <w:rFonts w:hint="eastAsia" w:ascii="宋体" w:hAnsi="宋体" w:cs="宋体"/>
                <w:sz w:val="24"/>
                <w:szCs w:val="24"/>
                <w:highlight w:val="none"/>
              </w:rPr>
            </w:pPr>
            <w:r>
              <w:rPr>
                <w:rFonts w:hint="eastAsia" w:ascii="宋体" w:hAnsi="宋体" w:cs="宋体"/>
                <w:sz w:val="24"/>
                <w:szCs w:val="24"/>
                <w:highlight w:val="none"/>
              </w:rPr>
              <w:t>及证书号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2794F8ED">
            <w:pPr>
              <w:rPr>
                <w:rFonts w:hint="eastAsia" w:ascii="宋体" w:hAnsi="宋体" w:cs="宋体"/>
                <w:sz w:val="24"/>
                <w:szCs w:val="24"/>
                <w:highlight w:val="none"/>
              </w:rPr>
            </w:pPr>
            <w:r>
              <w:rPr>
                <w:rFonts w:hint="eastAsia" w:ascii="宋体" w:hAnsi="宋体" w:cs="宋体"/>
                <w:sz w:val="24"/>
                <w:szCs w:val="24"/>
                <w:highlight w:val="none"/>
              </w:rPr>
              <w:t>资质等级：</w:t>
            </w:r>
          </w:p>
          <w:p w14:paraId="0D03315B">
            <w:pPr>
              <w:rPr>
                <w:rFonts w:hint="eastAsia" w:ascii="宋体" w:hAnsi="宋体" w:cs="宋体"/>
                <w:sz w:val="24"/>
                <w:szCs w:val="24"/>
                <w:highlight w:val="none"/>
              </w:rPr>
            </w:pPr>
            <w:r>
              <w:rPr>
                <w:rFonts w:hint="eastAsia" w:ascii="宋体" w:hAnsi="宋体" w:cs="宋体"/>
                <w:sz w:val="24"/>
                <w:szCs w:val="24"/>
                <w:highlight w:val="none"/>
              </w:rPr>
              <w:t>资质证书号：</w:t>
            </w:r>
          </w:p>
        </w:tc>
        <w:tc>
          <w:tcPr>
            <w:tcW w:w="1850" w:type="dxa"/>
            <w:tcBorders>
              <w:top w:val="single" w:color="auto" w:sz="4" w:space="0"/>
              <w:left w:val="single" w:color="auto" w:sz="4" w:space="0"/>
              <w:bottom w:val="single" w:color="auto" w:sz="4" w:space="0"/>
              <w:right w:val="single" w:color="auto" w:sz="4" w:space="0"/>
            </w:tcBorders>
            <w:noWrap w:val="0"/>
            <w:vAlign w:val="center"/>
          </w:tcPr>
          <w:p w14:paraId="2806B3FB">
            <w:pPr>
              <w:jc w:val="center"/>
              <w:rPr>
                <w:rFonts w:hint="eastAsia" w:ascii="宋体" w:hAnsi="宋体" w:cs="宋体"/>
                <w:sz w:val="24"/>
                <w:szCs w:val="24"/>
                <w:highlight w:val="none"/>
              </w:rPr>
            </w:pPr>
          </w:p>
        </w:tc>
      </w:tr>
    </w:tbl>
    <w:p w14:paraId="7C25BCA9">
      <w:pPr>
        <w:jc w:val="both"/>
        <w:rPr>
          <w:rFonts w:hint="eastAsia" w:ascii="宋体" w:hAnsi="宋体" w:eastAsia="宋体" w:cs="Times New Roman"/>
          <w:sz w:val="24"/>
          <w:szCs w:val="24"/>
          <w:highlight w:val="none"/>
          <w:lang w:val="en-US" w:eastAsia="zh-CN"/>
        </w:rPr>
      </w:pPr>
    </w:p>
    <w:p w14:paraId="1ED2C664">
      <w:pPr>
        <w:jc w:val="both"/>
        <w:rPr>
          <w:rFonts w:hint="eastAsia" w:ascii="宋体" w:hAnsi="宋体" w:eastAsia="宋体" w:cs="Times New Roman"/>
          <w:sz w:val="24"/>
          <w:szCs w:val="24"/>
          <w:highlight w:val="none"/>
          <w:lang w:val="en-US" w:eastAsia="zh-CN"/>
        </w:rPr>
      </w:pPr>
    </w:p>
    <w:p w14:paraId="49F7504B">
      <w:pPr>
        <w:spacing w:line="440" w:lineRule="exact"/>
        <w:ind w:firstLine="3840" w:firstLineChars="1600"/>
        <w:jc w:val="left"/>
        <w:rPr>
          <w:rFonts w:hint="eastAsia" w:ascii="宋体" w:hAnsi="宋体" w:cs="宋体"/>
          <w:sz w:val="24"/>
          <w:szCs w:val="24"/>
          <w:highlight w:val="none"/>
        </w:rPr>
      </w:pPr>
      <w:r>
        <w:rPr>
          <w:rFonts w:hint="eastAsia" w:ascii="宋体" w:hAnsi="宋体" w:cs="宋体"/>
          <w:sz w:val="24"/>
          <w:szCs w:val="24"/>
          <w:highlight w:val="none"/>
        </w:rPr>
        <w:t>投标人：</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rPr>
        <w:tab/>
      </w:r>
    </w:p>
    <w:p w14:paraId="4CFFB486">
      <w:pPr>
        <w:spacing w:line="440" w:lineRule="exact"/>
        <w:ind w:firstLine="4560" w:firstLineChars="1900"/>
        <w:jc w:val="both"/>
        <w:rPr>
          <w:rFonts w:hint="eastAsia" w:ascii="宋体" w:hAnsi="宋体" w:cs="宋体"/>
          <w:sz w:val="24"/>
          <w:szCs w:val="24"/>
          <w:highlight w:val="none"/>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年</w:t>
      </w:r>
      <w:r>
        <w:rPr>
          <w:rFonts w:hint="eastAsia" w:ascii="宋体" w:hAnsi="宋体" w:cs="宋体"/>
          <w:sz w:val="24"/>
          <w:szCs w:val="24"/>
          <w:highlight w:val="none"/>
          <w:u w:val="single"/>
        </w:rPr>
        <w:t xml:space="preserve">     </w:t>
      </w:r>
      <w:r>
        <w:rPr>
          <w:rFonts w:hint="eastAsia" w:ascii="宋体" w:hAnsi="宋体" w:cs="宋体"/>
          <w:sz w:val="24"/>
          <w:szCs w:val="24"/>
          <w:highlight w:val="none"/>
        </w:rPr>
        <w:t>月</w:t>
      </w:r>
      <w:r>
        <w:rPr>
          <w:rFonts w:hint="eastAsia" w:ascii="宋体" w:hAnsi="宋体" w:cs="宋体"/>
          <w:sz w:val="24"/>
          <w:szCs w:val="24"/>
          <w:highlight w:val="none"/>
          <w:u w:val="single"/>
        </w:rPr>
        <w:t xml:space="preserve">     </w:t>
      </w:r>
      <w:r>
        <w:rPr>
          <w:rFonts w:hint="eastAsia" w:ascii="宋体" w:hAnsi="宋体" w:cs="宋体"/>
          <w:sz w:val="24"/>
          <w:szCs w:val="24"/>
          <w:highlight w:val="none"/>
        </w:rPr>
        <w:t>日</w:t>
      </w:r>
    </w:p>
    <w:p w14:paraId="19682E7C">
      <w:pPr>
        <w:jc w:val="both"/>
        <w:rPr>
          <w:rFonts w:hint="eastAsia" w:ascii="宋体" w:hAnsi="宋体" w:eastAsia="宋体" w:cs="Times New Roman"/>
          <w:sz w:val="24"/>
          <w:szCs w:val="24"/>
          <w:highlight w:val="none"/>
          <w:lang w:val="en-US" w:eastAsia="zh-CN"/>
        </w:rPr>
      </w:pPr>
    </w:p>
    <w:p w14:paraId="1DB9AC42">
      <w:pPr>
        <w:jc w:val="both"/>
        <w:rPr>
          <w:rFonts w:hint="eastAsia" w:ascii="宋体" w:hAnsi="宋体" w:eastAsia="宋体" w:cs="Times New Roman"/>
          <w:sz w:val="24"/>
          <w:szCs w:val="24"/>
          <w:highlight w:val="none"/>
          <w:lang w:val="en-US" w:eastAsia="zh-CN"/>
        </w:rPr>
      </w:pPr>
    </w:p>
    <w:bookmarkEnd w:id="87"/>
    <w:p w14:paraId="010179A4">
      <w:pPr>
        <w:jc w:val="both"/>
        <w:rPr>
          <w:rFonts w:hint="eastAsia" w:ascii="宋体" w:hAnsi="宋体" w:eastAsia="宋体" w:cs="Times New Roman"/>
          <w:sz w:val="24"/>
          <w:szCs w:val="24"/>
          <w:highlight w:val="none"/>
          <w:lang w:eastAsia="zh-CN"/>
        </w:rPr>
      </w:pPr>
      <w:r>
        <w:rPr>
          <w:rFonts w:hint="eastAsia" w:ascii="宋体" w:hAnsi="宋体" w:eastAsia="宋体" w:cs="Times New Roman"/>
          <w:sz w:val="24"/>
          <w:szCs w:val="24"/>
          <w:highlight w:val="none"/>
          <w:lang w:eastAsia="zh-CN"/>
        </w:rPr>
        <w:br w:type="page"/>
      </w:r>
      <w:bookmarkStart w:id="97" w:name="_Toc12"/>
      <w:bookmarkStart w:id="98" w:name="_Toc25072144"/>
    </w:p>
    <w:p w14:paraId="4101A3EF">
      <w:pPr>
        <w:pStyle w:val="2"/>
        <w:keepNext w:val="0"/>
        <w:keepLines w:val="0"/>
        <w:pageBreakBefore w:val="0"/>
        <w:widowControl w:val="0"/>
        <w:kinsoku/>
        <w:wordWrap/>
        <w:overflowPunct/>
        <w:topLinePunct w:val="0"/>
        <w:autoSpaceDE/>
        <w:autoSpaceDN/>
        <w:bidi w:val="0"/>
        <w:adjustRightInd/>
        <w:snapToGrid/>
        <w:spacing w:line="413" w:lineRule="auto"/>
        <w:jc w:val="center"/>
        <w:textAlignment w:val="auto"/>
        <w:rPr>
          <w:rFonts w:hint="eastAsia" w:ascii="宋体" w:hAnsi="宋体" w:eastAsia="宋体" w:cs="宋体"/>
          <w:b/>
          <w:highlight w:val="none"/>
        </w:rPr>
      </w:pPr>
      <w:r>
        <w:rPr>
          <w:rFonts w:hint="eastAsia" w:ascii="宋体" w:hAnsi="宋体" w:eastAsia="宋体" w:cs="宋体"/>
          <w:b/>
          <w:sz w:val="32"/>
          <w:szCs w:val="20"/>
          <w:highlight w:val="none"/>
          <w:lang w:eastAsia="zh-CN"/>
        </w:rPr>
        <w:t>二、投标报价书</w:t>
      </w:r>
      <w:bookmarkEnd w:id="97"/>
    </w:p>
    <w:p w14:paraId="72B5A8C2">
      <w:pPr>
        <w:pStyle w:val="16"/>
        <w:spacing w:line="360" w:lineRule="auto"/>
        <w:ind w:firstLine="480" w:firstLineChars="200"/>
        <w:rPr>
          <w:rFonts w:hint="eastAsia" w:hAnsi="宋体" w:cs="宋体"/>
          <w:bCs/>
          <w:sz w:val="24"/>
          <w:szCs w:val="20"/>
          <w:highlight w:val="none"/>
        </w:rPr>
      </w:pPr>
      <w:r>
        <w:rPr>
          <w:rFonts w:hint="eastAsia" w:hAnsi="宋体" w:cs="宋体"/>
          <w:bCs/>
          <w:sz w:val="24"/>
          <w:szCs w:val="20"/>
          <w:highlight w:val="none"/>
        </w:rPr>
        <w:t>我单位按招标文件规定进行报价，报价如下：</w:t>
      </w:r>
    </w:p>
    <w:p w14:paraId="533C6A44">
      <w:pPr>
        <w:topLinePunct/>
        <w:adjustRightInd w:val="0"/>
        <w:snapToGrid w:val="0"/>
        <w:spacing w:line="400" w:lineRule="exact"/>
        <w:rPr>
          <w:rFonts w:hint="eastAsia" w:ascii="宋体" w:hAnsi="宋体" w:eastAsia="宋体" w:cs="宋体"/>
          <w:spacing w:val="4"/>
          <w:sz w:val="21"/>
          <w:szCs w:val="21"/>
          <w:highlight w:val="none"/>
          <w:lang w:eastAsia="zh-CN"/>
        </w:rPr>
      </w:pPr>
    </w:p>
    <w:tbl>
      <w:tblPr>
        <w:tblStyle w:val="31"/>
        <w:tblW w:w="5009"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4"/>
        <w:gridCol w:w="3319"/>
        <w:gridCol w:w="1382"/>
        <w:gridCol w:w="3493"/>
      </w:tblGrid>
      <w:tr w14:paraId="74CB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jc w:val="right"/>
        </w:trPr>
        <w:tc>
          <w:tcPr>
            <w:tcW w:w="575" w:type="pct"/>
            <w:tcBorders>
              <w:left w:val="single" w:color="auto" w:sz="4" w:space="0"/>
            </w:tcBorders>
            <w:noWrap w:val="0"/>
            <w:vAlign w:val="center"/>
          </w:tcPr>
          <w:p w14:paraId="49E1E7C2">
            <w:pPr>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序号</w:t>
            </w:r>
          </w:p>
        </w:tc>
        <w:tc>
          <w:tcPr>
            <w:tcW w:w="1792" w:type="pct"/>
            <w:noWrap w:val="0"/>
            <w:vAlign w:val="center"/>
          </w:tcPr>
          <w:p w14:paraId="3649F3B8">
            <w:pPr>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服务类别</w:t>
            </w:r>
          </w:p>
        </w:tc>
        <w:tc>
          <w:tcPr>
            <w:tcW w:w="746" w:type="pct"/>
            <w:tcBorders>
              <w:right w:val="single" w:color="auto" w:sz="4" w:space="0"/>
            </w:tcBorders>
            <w:noWrap w:val="0"/>
            <w:vAlign w:val="center"/>
          </w:tcPr>
          <w:p w14:paraId="0EB3FAAF">
            <w:pPr>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服务费用</w:t>
            </w:r>
          </w:p>
          <w:p w14:paraId="093DF912">
            <w:pPr>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（万元）</w:t>
            </w:r>
          </w:p>
        </w:tc>
        <w:tc>
          <w:tcPr>
            <w:tcW w:w="1885" w:type="pct"/>
            <w:tcBorders>
              <w:right w:val="single" w:color="auto" w:sz="4" w:space="0"/>
            </w:tcBorders>
            <w:noWrap w:val="0"/>
            <w:vAlign w:val="center"/>
          </w:tcPr>
          <w:p w14:paraId="5EBA343E">
            <w:pPr>
              <w:spacing w:line="240" w:lineRule="atLeast"/>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备注</w:t>
            </w:r>
          </w:p>
        </w:tc>
      </w:tr>
      <w:tr w14:paraId="7246B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right"/>
        </w:trPr>
        <w:tc>
          <w:tcPr>
            <w:tcW w:w="575" w:type="pct"/>
            <w:tcBorders>
              <w:left w:val="single" w:color="auto" w:sz="4" w:space="0"/>
              <w:bottom w:val="single" w:color="auto" w:sz="4" w:space="0"/>
            </w:tcBorders>
            <w:noWrap w:val="0"/>
            <w:vAlign w:val="center"/>
          </w:tcPr>
          <w:p w14:paraId="4B52F123">
            <w:pPr>
              <w:numPr>
                <w:ilvl w:val="0"/>
                <w:numId w:val="0"/>
              </w:numPr>
              <w:spacing w:line="360" w:lineRule="exact"/>
              <w:contextualSpacing/>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1</w:t>
            </w:r>
          </w:p>
        </w:tc>
        <w:tc>
          <w:tcPr>
            <w:tcW w:w="1792" w:type="pct"/>
            <w:tcBorders>
              <w:bottom w:val="single" w:color="auto" w:sz="4" w:space="0"/>
            </w:tcBorders>
            <w:noWrap w:val="0"/>
            <w:vAlign w:val="center"/>
          </w:tcPr>
          <w:p w14:paraId="66B57FF4">
            <w:pPr>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室内精装修设计</w:t>
            </w:r>
          </w:p>
        </w:tc>
        <w:tc>
          <w:tcPr>
            <w:tcW w:w="746" w:type="pct"/>
            <w:tcBorders>
              <w:bottom w:val="single" w:color="auto" w:sz="4" w:space="0"/>
              <w:right w:val="single" w:color="auto" w:sz="4" w:space="0"/>
            </w:tcBorders>
            <w:noWrap w:val="0"/>
            <w:vAlign w:val="center"/>
          </w:tcPr>
          <w:p w14:paraId="444B2D70">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6C8B2E92">
            <w:pPr>
              <w:widowControl/>
              <w:jc w:val="center"/>
              <w:rPr>
                <w:rFonts w:hint="eastAsia" w:ascii="宋体" w:hAnsi="宋体" w:eastAsia="宋体" w:cs="宋体"/>
                <w:kern w:val="2"/>
                <w:sz w:val="24"/>
                <w:szCs w:val="24"/>
                <w:highlight w:val="none"/>
                <w:lang w:val="en-US" w:eastAsia="zh-CN" w:bidi="ar-SA"/>
              </w:rPr>
            </w:pPr>
            <w:r>
              <w:rPr>
                <w:rFonts w:hint="eastAsia" w:ascii="Times New Roman" w:hAnsi="Times New Roman" w:eastAsia="宋体" w:cs="Times New Roman"/>
                <w:highlight w:val="none"/>
                <w:u w:val="none"/>
              </w:rPr>
              <w:t>含方案设计、</w:t>
            </w:r>
            <w:r>
              <w:rPr>
                <w:rFonts w:hint="eastAsia" w:ascii="Times New Roman" w:hAnsi="Times New Roman" w:eastAsia="宋体" w:cs="Times New Roman"/>
                <w:highlight w:val="none"/>
                <w:u w:val="none"/>
                <w:lang w:val="en-US" w:eastAsia="zh-CN"/>
              </w:rPr>
              <w:t>初步设计、</w:t>
            </w:r>
            <w:r>
              <w:rPr>
                <w:rFonts w:hint="eastAsia" w:ascii="Times New Roman" w:hAnsi="Times New Roman" w:eastAsia="宋体" w:cs="Times New Roman"/>
                <w:highlight w:val="none"/>
                <w:u w:val="none"/>
              </w:rPr>
              <w:t>施工图设计</w:t>
            </w:r>
            <w:r>
              <w:rPr>
                <w:rFonts w:hint="eastAsia" w:ascii="Times New Roman" w:hAnsi="Times New Roman" w:eastAsia="宋体" w:cs="Times New Roman"/>
                <w:highlight w:val="none"/>
                <w:u w:val="none"/>
                <w:lang w:eastAsia="zh-CN"/>
              </w:rPr>
              <w:t>，</w:t>
            </w:r>
            <w:r>
              <w:rPr>
                <w:rFonts w:hint="eastAsia" w:ascii="Times New Roman" w:hAnsi="Times New Roman" w:eastAsia="宋体" w:cs="Times New Roman"/>
                <w:highlight w:val="none"/>
              </w:rPr>
              <w:t>并整合所有专业顾问的图纸完成消防</w:t>
            </w:r>
            <w:r>
              <w:rPr>
                <w:rFonts w:hint="eastAsia" w:ascii="Times New Roman" w:hAnsi="Times New Roman" w:eastAsia="宋体" w:cs="Times New Roman"/>
                <w:highlight w:val="none"/>
                <w:lang w:val="en-US" w:eastAsia="zh-CN"/>
              </w:rPr>
              <w:t>报建、</w:t>
            </w:r>
            <w:r>
              <w:rPr>
                <w:rFonts w:hint="eastAsia" w:ascii="Times New Roman" w:hAnsi="Times New Roman" w:eastAsia="宋体" w:cs="Times New Roman"/>
                <w:highlight w:val="none"/>
              </w:rPr>
              <w:t>审查、施工报建等所有政府审批。</w:t>
            </w:r>
          </w:p>
        </w:tc>
      </w:tr>
      <w:tr w14:paraId="4B28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right"/>
        </w:trPr>
        <w:tc>
          <w:tcPr>
            <w:tcW w:w="575" w:type="pct"/>
            <w:tcBorders>
              <w:left w:val="single" w:color="auto" w:sz="4" w:space="0"/>
              <w:bottom w:val="single" w:color="auto" w:sz="4" w:space="0"/>
            </w:tcBorders>
            <w:noWrap w:val="0"/>
            <w:vAlign w:val="center"/>
          </w:tcPr>
          <w:p w14:paraId="60E91561">
            <w:pPr>
              <w:numPr>
                <w:ilvl w:val="0"/>
                <w:numId w:val="0"/>
              </w:numPr>
              <w:spacing w:line="360" w:lineRule="exact"/>
              <w:contextualSpacing/>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2</w:t>
            </w:r>
          </w:p>
        </w:tc>
        <w:tc>
          <w:tcPr>
            <w:tcW w:w="1792" w:type="pct"/>
            <w:tcBorders>
              <w:bottom w:val="single" w:color="auto" w:sz="4" w:space="0"/>
            </w:tcBorders>
            <w:noWrap w:val="0"/>
            <w:vAlign w:val="center"/>
          </w:tcPr>
          <w:p w14:paraId="33783286">
            <w:pPr>
              <w:spacing w:line="360" w:lineRule="auto"/>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灯光设计</w:t>
            </w:r>
          </w:p>
        </w:tc>
        <w:tc>
          <w:tcPr>
            <w:tcW w:w="746" w:type="pct"/>
            <w:tcBorders>
              <w:bottom w:val="single" w:color="auto" w:sz="4" w:space="0"/>
              <w:right w:val="single" w:color="auto" w:sz="4" w:space="0"/>
            </w:tcBorders>
            <w:noWrap w:val="0"/>
            <w:vAlign w:val="center"/>
          </w:tcPr>
          <w:p w14:paraId="2AC959D7">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5473FADD">
            <w:pPr>
              <w:widowControl/>
              <w:jc w:val="center"/>
              <w:rPr>
                <w:rFonts w:hint="eastAsia" w:ascii="宋体" w:hAnsi="宋体" w:eastAsia="宋体" w:cs="宋体"/>
                <w:kern w:val="2"/>
                <w:sz w:val="24"/>
                <w:szCs w:val="24"/>
                <w:highlight w:val="none"/>
                <w:lang w:val="en-US" w:eastAsia="zh-CN" w:bidi="ar-SA"/>
              </w:rPr>
            </w:pPr>
          </w:p>
        </w:tc>
      </w:tr>
      <w:tr w14:paraId="0962F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right"/>
        </w:trPr>
        <w:tc>
          <w:tcPr>
            <w:tcW w:w="575" w:type="pct"/>
            <w:tcBorders>
              <w:left w:val="single" w:color="auto" w:sz="4" w:space="0"/>
              <w:bottom w:val="single" w:color="auto" w:sz="4" w:space="0"/>
            </w:tcBorders>
            <w:noWrap w:val="0"/>
            <w:vAlign w:val="center"/>
          </w:tcPr>
          <w:p w14:paraId="6660B34D">
            <w:pPr>
              <w:numPr>
                <w:ilvl w:val="0"/>
                <w:numId w:val="0"/>
              </w:numPr>
              <w:spacing w:line="360" w:lineRule="exact"/>
              <w:contextualSpacing/>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3</w:t>
            </w:r>
          </w:p>
        </w:tc>
        <w:tc>
          <w:tcPr>
            <w:tcW w:w="1792" w:type="pct"/>
            <w:tcBorders>
              <w:bottom w:val="single" w:color="auto" w:sz="4" w:space="0"/>
            </w:tcBorders>
            <w:noWrap w:val="0"/>
            <w:vAlign w:val="center"/>
          </w:tcPr>
          <w:p w14:paraId="200835B1">
            <w:pPr>
              <w:spacing w:line="360" w:lineRule="auto"/>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标识设计</w:t>
            </w:r>
          </w:p>
        </w:tc>
        <w:tc>
          <w:tcPr>
            <w:tcW w:w="746" w:type="pct"/>
            <w:tcBorders>
              <w:bottom w:val="single" w:color="auto" w:sz="4" w:space="0"/>
              <w:right w:val="single" w:color="auto" w:sz="4" w:space="0"/>
            </w:tcBorders>
            <w:noWrap w:val="0"/>
            <w:vAlign w:val="center"/>
          </w:tcPr>
          <w:p w14:paraId="011B3091">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03865507">
            <w:pPr>
              <w:widowControl/>
              <w:jc w:val="center"/>
              <w:rPr>
                <w:rFonts w:hint="eastAsia" w:ascii="宋体" w:hAnsi="宋体" w:eastAsia="宋体" w:cs="宋体"/>
                <w:kern w:val="2"/>
                <w:sz w:val="24"/>
                <w:szCs w:val="24"/>
                <w:highlight w:val="none"/>
                <w:lang w:val="en-US" w:eastAsia="zh-CN" w:bidi="ar-SA"/>
              </w:rPr>
            </w:pPr>
          </w:p>
        </w:tc>
      </w:tr>
      <w:tr w14:paraId="30929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right"/>
        </w:trPr>
        <w:tc>
          <w:tcPr>
            <w:tcW w:w="575" w:type="pct"/>
            <w:tcBorders>
              <w:left w:val="single" w:color="auto" w:sz="4" w:space="0"/>
              <w:bottom w:val="single" w:color="auto" w:sz="4" w:space="0"/>
            </w:tcBorders>
            <w:noWrap w:val="0"/>
            <w:vAlign w:val="center"/>
          </w:tcPr>
          <w:p w14:paraId="2DB67B19">
            <w:pPr>
              <w:numPr>
                <w:ilvl w:val="0"/>
                <w:numId w:val="0"/>
              </w:numPr>
              <w:spacing w:line="360" w:lineRule="exact"/>
              <w:contextualSpacing/>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4</w:t>
            </w:r>
          </w:p>
        </w:tc>
        <w:tc>
          <w:tcPr>
            <w:tcW w:w="1792" w:type="pct"/>
            <w:tcBorders>
              <w:bottom w:val="single" w:color="auto" w:sz="4" w:space="0"/>
            </w:tcBorders>
            <w:noWrap w:val="0"/>
            <w:vAlign w:val="center"/>
          </w:tcPr>
          <w:p w14:paraId="3F13C38E">
            <w:pPr>
              <w:spacing w:line="360" w:lineRule="auto"/>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艺术品设计</w:t>
            </w:r>
          </w:p>
        </w:tc>
        <w:tc>
          <w:tcPr>
            <w:tcW w:w="746" w:type="pct"/>
            <w:tcBorders>
              <w:bottom w:val="single" w:color="auto" w:sz="4" w:space="0"/>
              <w:right w:val="single" w:color="auto" w:sz="4" w:space="0"/>
            </w:tcBorders>
            <w:noWrap w:val="0"/>
            <w:vAlign w:val="center"/>
          </w:tcPr>
          <w:p w14:paraId="5E7ADB39">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51085502">
            <w:pPr>
              <w:widowControl/>
              <w:jc w:val="center"/>
              <w:rPr>
                <w:rFonts w:hint="eastAsia" w:ascii="宋体" w:hAnsi="宋体" w:eastAsia="宋体" w:cs="宋体"/>
                <w:kern w:val="2"/>
                <w:sz w:val="24"/>
                <w:szCs w:val="24"/>
                <w:highlight w:val="none"/>
                <w:lang w:val="en-US" w:eastAsia="zh-CN" w:bidi="ar-SA"/>
              </w:rPr>
            </w:pPr>
          </w:p>
        </w:tc>
      </w:tr>
      <w:tr w14:paraId="33B96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right"/>
        </w:trPr>
        <w:tc>
          <w:tcPr>
            <w:tcW w:w="575" w:type="pct"/>
            <w:tcBorders>
              <w:left w:val="single" w:color="auto" w:sz="4" w:space="0"/>
              <w:bottom w:val="single" w:color="auto" w:sz="4" w:space="0"/>
            </w:tcBorders>
            <w:noWrap w:val="0"/>
            <w:vAlign w:val="center"/>
          </w:tcPr>
          <w:p w14:paraId="72A06D09">
            <w:pPr>
              <w:numPr>
                <w:ilvl w:val="0"/>
                <w:numId w:val="0"/>
              </w:numPr>
              <w:spacing w:line="360" w:lineRule="exact"/>
              <w:contextualSpacing/>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5</w:t>
            </w:r>
          </w:p>
        </w:tc>
        <w:tc>
          <w:tcPr>
            <w:tcW w:w="1792" w:type="pct"/>
            <w:tcBorders>
              <w:bottom w:val="single" w:color="auto" w:sz="4" w:space="0"/>
            </w:tcBorders>
            <w:noWrap w:val="0"/>
            <w:vAlign w:val="center"/>
          </w:tcPr>
          <w:p w14:paraId="3D0402DB">
            <w:pPr>
              <w:spacing w:line="360" w:lineRule="auto"/>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品牌顾问</w:t>
            </w:r>
          </w:p>
        </w:tc>
        <w:tc>
          <w:tcPr>
            <w:tcW w:w="746" w:type="pct"/>
            <w:tcBorders>
              <w:bottom w:val="single" w:color="auto" w:sz="4" w:space="0"/>
              <w:right w:val="single" w:color="auto" w:sz="4" w:space="0"/>
            </w:tcBorders>
            <w:noWrap w:val="0"/>
            <w:vAlign w:val="center"/>
          </w:tcPr>
          <w:p w14:paraId="3C0373C5">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7C69F3C1">
            <w:pPr>
              <w:widowControl/>
              <w:jc w:val="center"/>
              <w:rPr>
                <w:rFonts w:hint="eastAsia" w:ascii="宋体" w:hAnsi="宋体" w:eastAsia="宋体" w:cs="宋体"/>
                <w:kern w:val="2"/>
                <w:sz w:val="24"/>
                <w:szCs w:val="24"/>
                <w:highlight w:val="none"/>
                <w:lang w:val="en-US" w:eastAsia="zh-CN" w:bidi="ar-SA"/>
              </w:rPr>
            </w:pPr>
          </w:p>
        </w:tc>
      </w:tr>
      <w:tr w14:paraId="0F73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right"/>
        </w:trPr>
        <w:tc>
          <w:tcPr>
            <w:tcW w:w="575" w:type="pct"/>
            <w:tcBorders>
              <w:left w:val="single" w:color="auto" w:sz="4" w:space="0"/>
              <w:bottom w:val="single" w:color="auto" w:sz="4" w:space="0"/>
            </w:tcBorders>
            <w:noWrap w:val="0"/>
            <w:vAlign w:val="center"/>
          </w:tcPr>
          <w:p w14:paraId="2042C8D8">
            <w:pPr>
              <w:numPr>
                <w:ilvl w:val="0"/>
                <w:numId w:val="0"/>
              </w:numPr>
              <w:spacing w:line="360" w:lineRule="exact"/>
              <w:contextualSpacing/>
              <w:jc w:val="center"/>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6</w:t>
            </w:r>
          </w:p>
        </w:tc>
        <w:tc>
          <w:tcPr>
            <w:tcW w:w="1792" w:type="pct"/>
            <w:tcBorders>
              <w:bottom w:val="single" w:color="auto" w:sz="4" w:space="0"/>
            </w:tcBorders>
            <w:noWrap w:val="0"/>
            <w:vAlign w:val="center"/>
          </w:tcPr>
          <w:p w14:paraId="391B8F62">
            <w:pPr>
              <w:spacing w:line="360" w:lineRule="auto"/>
              <w:jc w:val="both"/>
              <w:rPr>
                <w:rFonts w:hint="default"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餐饮概念顾问</w:t>
            </w:r>
          </w:p>
        </w:tc>
        <w:tc>
          <w:tcPr>
            <w:tcW w:w="746" w:type="pct"/>
            <w:tcBorders>
              <w:bottom w:val="single" w:color="auto" w:sz="4" w:space="0"/>
              <w:right w:val="single" w:color="auto" w:sz="4" w:space="0"/>
            </w:tcBorders>
            <w:noWrap w:val="0"/>
            <w:vAlign w:val="center"/>
          </w:tcPr>
          <w:p w14:paraId="05CA016B">
            <w:pPr>
              <w:spacing w:line="360" w:lineRule="exact"/>
              <w:jc w:val="center"/>
              <w:rPr>
                <w:rFonts w:hint="eastAsia" w:ascii="宋体" w:hAnsi="宋体" w:eastAsia="宋体" w:cs="宋体"/>
                <w:kern w:val="2"/>
                <w:sz w:val="24"/>
                <w:szCs w:val="24"/>
                <w:highlight w:val="none"/>
                <w:lang w:val="en-US" w:eastAsia="zh-CN" w:bidi="ar-SA"/>
              </w:rPr>
            </w:pPr>
          </w:p>
        </w:tc>
        <w:tc>
          <w:tcPr>
            <w:tcW w:w="1885" w:type="pct"/>
            <w:tcBorders>
              <w:right w:val="single" w:color="auto" w:sz="4" w:space="0"/>
            </w:tcBorders>
            <w:noWrap w:val="0"/>
            <w:vAlign w:val="center"/>
          </w:tcPr>
          <w:p w14:paraId="5068C49D">
            <w:pPr>
              <w:widowControl/>
              <w:jc w:val="center"/>
              <w:rPr>
                <w:rFonts w:hint="eastAsia" w:ascii="宋体" w:hAnsi="宋体" w:eastAsia="宋体" w:cs="宋体"/>
                <w:kern w:val="2"/>
                <w:sz w:val="24"/>
                <w:szCs w:val="24"/>
                <w:highlight w:val="none"/>
                <w:lang w:val="en-US" w:eastAsia="zh-CN" w:bidi="ar-SA"/>
              </w:rPr>
            </w:pPr>
          </w:p>
        </w:tc>
      </w:tr>
      <w:tr w14:paraId="5832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right"/>
        </w:trPr>
        <w:tc>
          <w:tcPr>
            <w:tcW w:w="2367" w:type="pct"/>
            <w:gridSpan w:val="2"/>
            <w:tcBorders>
              <w:left w:val="single" w:color="auto" w:sz="4" w:space="0"/>
              <w:bottom w:val="single" w:color="auto" w:sz="4" w:space="0"/>
            </w:tcBorders>
            <w:shd w:val="clear" w:color="auto" w:fill="EAF1DD"/>
            <w:noWrap w:val="0"/>
            <w:vAlign w:val="center"/>
          </w:tcPr>
          <w:p w14:paraId="0EA72134">
            <w:pPr>
              <w:spacing w:line="360" w:lineRule="exact"/>
              <w:jc w:val="center"/>
              <w:rPr>
                <w:rFonts w:hint="eastAsia" w:ascii="宋体" w:hAnsi="宋体" w:eastAsia="宋体" w:cs="宋体"/>
                <w:kern w:val="2"/>
                <w:sz w:val="24"/>
                <w:szCs w:val="24"/>
                <w:highlight w:val="none"/>
                <w:lang w:val="en-US" w:eastAsia="zh-CN" w:bidi="ar-SA"/>
              </w:rPr>
            </w:pPr>
            <w:r>
              <w:rPr>
                <w:rFonts w:hint="eastAsia" w:hAnsi="宋体" w:cs="宋体"/>
                <w:bCs/>
                <w:sz w:val="24"/>
                <w:szCs w:val="20"/>
                <w:highlight w:val="none"/>
                <w:lang w:eastAsia="zh-CN"/>
              </w:rPr>
              <w:t>珠江·琶醍啤酒文化创意园区改造升级项目—酒店室内精装修设计</w:t>
            </w:r>
            <w:r>
              <w:rPr>
                <w:rFonts w:hint="eastAsia" w:hAnsi="宋体" w:cs="宋体"/>
                <w:bCs/>
                <w:sz w:val="24"/>
                <w:szCs w:val="20"/>
                <w:highlight w:val="none"/>
                <w:lang w:val="en-US" w:eastAsia="zh-CN"/>
              </w:rPr>
              <w:t xml:space="preserve">  </w:t>
            </w:r>
            <w:r>
              <w:rPr>
                <w:rFonts w:hint="eastAsia" w:ascii="宋体" w:hAnsi="宋体" w:eastAsia="宋体" w:cs="宋体"/>
                <w:kern w:val="2"/>
                <w:sz w:val="24"/>
                <w:szCs w:val="24"/>
                <w:highlight w:val="none"/>
                <w:lang w:val="en-US" w:eastAsia="zh-CN" w:bidi="ar-SA"/>
              </w:rPr>
              <w:t>服务总价</w:t>
            </w:r>
          </w:p>
        </w:tc>
        <w:tc>
          <w:tcPr>
            <w:tcW w:w="2632" w:type="pct"/>
            <w:gridSpan w:val="2"/>
            <w:tcBorders>
              <w:bottom w:val="single" w:color="auto" w:sz="4" w:space="0"/>
              <w:right w:val="single" w:color="auto" w:sz="4" w:space="0"/>
            </w:tcBorders>
            <w:shd w:val="clear" w:color="auto" w:fill="EAF1DD"/>
            <w:noWrap w:val="0"/>
            <w:vAlign w:val="center"/>
          </w:tcPr>
          <w:p w14:paraId="6615072D">
            <w:pPr>
              <w:spacing w:line="360" w:lineRule="exact"/>
              <w:jc w:val="both"/>
              <w:rPr>
                <w:rFonts w:hint="eastAsia" w:hAnsi="宋体" w:eastAsia="宋体" w:cs="宋体"/>
                <w:bCs/>
                <w:sz w:val="24"/>
                <w:szCs w:val="20"/>
                <w:highlight w:val="none"/>
                <w:lang w:val="en-US" w:eastAsia="zh-CN"/>
              </w:rPr>
            </w:pPr>
            <w:r>
              <w:rPr>
                <w:rFonts w:hint="eastAsia" w:hAnsi="宋体" w:cs="宋体"/>
                <w:bCs/>
                <w:sz w:val="24"/>
                <w:szCs w:val="20"/>
                <w:highlight w:val="none"/>
              </w:rPr>
              <w:t>小写：</w:t>
            </w:r>
            <w:r>
              <w:rPr>
                <w:rFonts w:hint="eastAsia" w:hAnsi="宋体" w:cs="宋体"/>
                <w:bCs/>
                <w:sz w:val="24"/>
                <w:szCs w:val="20"/>
                <w:highlight w:val="none"/>
                <w:u w:val="single"/>
              </w:rPr>
              <w:t xml:space="preserve">      </w:t>
            </w:r>
            <w:r>
              <w:rPr>
                <w:rFonts w:hint="eastAsia" w:hAnsi="宋体" w:eastAsia="宋体" w:cs="宋体"/>
                <w:bCs/>
                <w:sz w:val="24"/>
                <w:szCs w:val="20"/>
                <w:highlight w:val="none"/>
                <w:lang w:val="en-US" w:eastAsia="zh-CN"/>
              </w:rPr>
              <w:t xml:space="preserve"> </w:t>
            </w:r>
          </w:p>
          <w:p w14:paraId="5D46B766">
            <w:pPr>
              <w:spacing w:line="360" w:lineRule="exact"/>
              <w:ind w:firstLine="0" w:firstLineChars="0"/>
              <w:jc w:val="both"/>
              <w:rPr>
                <w:rFonts w:hint="eastAsia" w:ascii="宋体" w:hAnsi="宋体" w:eastAsia="宋体" w:cs="宋体"/>
                <w:kern w:val="2"/>
                <w:sz w:val="24"/>
                <w:szCs w:val="24"/>
                <w:highlight w:val="none"/>
                <w:lang w:val="en-US" w:eastAsia="zh-CN" w:bidi="ar-SA"/>
              </w:rPr>
            </w:pPr>
            <w:r>
              <w:rPr>
                <w:rFonts w:hint="eastAsia" w:hAnsi="宋体" w:cs="宋体"/>
                <w:bCs/>
                <w:sz w:val="24"/>
                <w:szCs w:val="20"/>
                <w:highlight w:val="none"/>
              </w:rPr>
              <w:t>大写：</w:t>
            </w:r>
            <w:r>
              <w:rPr>
                <w:rFonts w:hint="eastAsia" w:hAnsi="宋体" w:cs="宋体"/>
                <w:bCs/>
                <w:sz w:val="24"/>
                <w:szCs w:val="20"/>
                <w:highlight w:val="none"/>
                <w:u w:val="single"/>
              </w:rPr>
              <w:t xml:space="preserve">      </w:t>
            </w:r>
          </w:p>
        </w:tc>
      </w:tr>
    </w:tbl>
    <w:p w14:paraId="628E9227">
      <w:pPr>
        <w:pStyle w:val="30"/>
        <w:rPr>
          <w:rFonts w:hint="eastAsia"/>
          <w:highlight w:val="none"/>
          <w:lang w:eastAsia="zh-CN"/>
        </w:rPr>
      </w:pPr>
    </w:p>
    <w:p w14:paraId="3D8B67DB">
      <w:pPr>
        <w:topLinePunct/>
        <w:adjustRightInd w:val="0"/>
        <w:snapToGrid w:val="0"/>
        <w:spacing w:line="400" w:lineRule="exact"/>
        <w:rPr>
          <w:rFonts w:hint="eastAsia" w:ascii="宋体" w:hAnsi="宋体" w:eastAsia="宋体"/>
          <w:spacing w:val="4"/>
          <w:sz w:val="21"/>
          <w:szCs w:val="21"/>
          <w:highlight w:val="none"/>
          <w:lang w:eastAsia="zh-CN"/>
        </w:rPr>
      </w:pPr>
      <w:r>
        <w:rPr>
          <w:rFonts w:hint="eastAsia" w:ascii="宋体" w:hAnsi="宋体" w:eastAsia="宋体" w:cs="宋体"/>
          <w:spacing w:val="4"/>
          <w:sz w:val="21"/>
          <w:szCs w:val="21"/>
          <w:highlight w:val="none"/>
          <w:lang w:eastAsia="zh-CN"/>
        </w:rPr>
        <w:t>注：</w:t>
      </w:r>
      <w:r>
        <w:rPr>
          <w:rFonts w:hint="eastAsia" w:ascii="宋体" w:hAnsi="宋体" w:eastAsia="宋体"/>
          <w:spacing w:val="4"/>
          <w:sz w:val="21"/>
          <w:szCs w:val="21"/>
          <w:highlight w:val="none"/>
          <w:lang w:eastAsia="zh-CN"/>
        </w:rPr>
        <w:t>1</w:t>
      </w:r>
      <w:r>
        <w:rPr>
          <w:rFonts w:hint="eastAsia" w:ascii="宋体" w:hAnsi="宋体" w:eastAsia="宋体" w:cs="宋体"/>
          <w:spacing w:val="4"/>
          <w:sz w:val="21"/>
          <w:szCs w:val="21"/>
          <w:highlight w:val="none"/>
          <w:lang w:eastAsia="zh-CN"/>
        </w:rPr>
        <w:t>、设计费</w:t>
      </w:r>
      <w:r>
        <w:rPr>
          <w:rFonts w:hint="eastAsia" w:ascii="宋体" w:hAnsi="宋体" w:eastAsia="宋体" w:cs="宋体"/>
          <w:spacing w:val="4"/>
          <w:sz w:val="21"/>
          <w:szCs w:val="21"/>
          <w:highlight w:val="none"/>
          <w:lang w:val="en-US" w:eastAsia="zh-CN"/>
        </w:rPr>
        <w:t>为总价包干，</w:t>
      </w:r>
      <w:r>
        <w:rPr>
          <w:rFonts w:hint="eastAsia" w:ascii="宋体" w:hAnsi="宋体" w:eastAsia="宋体" w:cs="宋体"/>
          <w:spacing w:val="4"/>
          <w:sz w:val="21"/>
          <w:szCs w:val="21"/>
          <w:highlight w:val="none"/>
          <w:lang w:eastAsia="zh-CN"/>
        </w:rPr>
        <w:t>具体结算原则详见合同条款的约定。</w:t>
      </w:r>
    </w:p>
    <w:p w14:paraId="38D7DC89">
      <w:pPr>
        <w:topLinePunct/>
        <w:adjustRightInd w:val="0"/>
        <w:snapToGrid w:val="0"/>
        <w:spacing w:line="400" w:lineRule="exact"/>
        <w:rPr>
          <w:rFonts w:hint="eastAsia" w:ascii="宋体" w:hAnsi="宋体" w:eastAsia="宋体"/>
          <w:sz w:val="21"/>
          <w:szCs w:val="21"/>
          <w:highlight w:val="none"/>
          <w:lang w:eastAsia="zh-CN"/>
        </w:rPr>
      </w:pPr>
      <w:r>
        <w:rPr>
          <w:rFonts w:hint="eastAsia" w:ascii="宋体" w:hAnsi="宋体" w:eastAsia="宋体"/>
          <w:spacing w:val="4"/>
          <w:sz w:val="21"/>
          <w:szCs w:val="21"/>
          <w:highlight w:val="none"/>
          <w:lang w:eastAsia="zh-CN"/>
        </w:rPr>
        <w:t>2</w:t>
      </w:r>
      <w:r>
        <w:rPr>
          <w:rFonts w:hint="eastAsia" w:ascii="宋体" w:hAnsi="宋体" w:eastAsia="宋体" w:cs="宋体"/>
          <w:spacing w:val="4"/>
          <w:sz w:val="21"/>
          <w:szCs w:val="21"/>
          <w:highlight w:val="none"/>
          <w:lang w:eastAsia="zh-CN"/>
        </w:rPr>
        <w:t>、经算术复核的投标人报价与其投标报价不一致时，按就低不就高原则确定其最终报价。如修正后</w:t>
      </w:r>
      <w:r>
        <w:rPr>
          <w:rFonts w:hint="eastAsia" w:ascii="宋体" w:hAnsi="宋体" w:eastAsia="宋体" w:cs="宋体"/>
          <w:sz w:val="21"/>
          <w:szCs w:val="21"/>
          <w:highlight w:val="none"/>
          <w:lang w:eastAsia="zh-CN"/>
        </w:rPr>
        <w:t>的投标报价超出相应的最高投标限价，则由评标委员会作废标处理。</w:t>
      </w:r>
    </w:p>
    <w:p w14:paraId="6510EA87">
      <w:pPr>
        <w:spacing w:line="400" w:lineRule="exact"/>
        <w:rPr>
          <w:rFonts w:hint="eastAsia" w:ascii="宋体" w:hAnsi="宋体" w:eastAsia="宋体" w:cs="宋体"/>
          <w:sz w:val="21"/>
          <w:szCs w:val="21"/>
          <w:highlight w:val="none"/>
          <w:lang w:eastAsia="zh-CN"/>
        </w:rPr>
      </w:pPr>
      <w:r>
        <w:rPr>
          <w:rFonts w:hint="eastAsia" w:ascii="宋体" w:hAnsi="宋体" w:eastAsia="宋体"/>
          <w:sz w:val="21"/>
          <w:szCs w:val="21"/>
          <w:highlight w:val="none"/>
          <w:lang w:eastAsia="zh-CN"/>
        </w:rPr>
        <w:t>3</w:t>
      </w:r>
      <w:r>
        <w:rPr>
          <w:rFonts w:hint="eastAsia" w:ascii="宋体" w:hAnsi="宋体" w:eastAsia="宋体" w:cs="宋体"/>
          <w:sz w:val="21"/>
          <w:szCs w:val="21"/>
          <w:highlight w:val="none"/>
          <w:lang w:eastAsia="zh-CN"/>
        </w:rPr>
        <w:t>、按上述修正错误的原则及方法调整或修正投标文件的投标报价，调整后的投标报价对投标人起约束作用。如果投标人不接受修正后的报价，则取消其中标资格。</w:t>
      </w:r>
    </w:p>
    <w:p w14:paraId="17DD71DD">
      <w:pPr>
        <w:rPr>
          <w:rFonts w:hint="eastAsia" w:ascii="宋体" w:hAnsi="宋体" w:eastAsia="宋体" w:cs="宋体"/>
          <w:sz w:val="21"/>
          <w:szCs w:val="21"/>
          <w:highlight w:val="none"/>
          <w:lang w:eastAsia="zh-CN"/>
        </w:rPr>
      </w:pPr>
    </w:p>
    <w:p w14:paraId="75723948">
      <w:pPr>
        <w:spacing w:line="360" w:lineRule="auto"/>
        <w:rPr>
          <w:rFonts w:hint="eastAsia" w:ascii="宋体" w:hAnsi="宋体" w:eastAsia="宋体"/>
          <w:sz w:val="21"/>
          <w:szCs w:val="21"/>
          <w:highlight w:val="none"/>
          <w:lang w:eastAsia="zh-CN"/>
        </w:rPr>
      </w:pPr>
    </w:p>
    <w:p w14:paraId="40A0BC73">
      <w:pPr>
        <w:pStyle w:val="11"/>
        <w:kinsoku w:val="0"/>
        <w:overflowPunct w:val="0"/>
        <w:spacing w:line="360" w:lineRule="auto"/>
        <w:ind w:left="0" w:firstLine="4080" w:firstLineChars="1700"/>
        <w:rPr>
          <w:b w:val="0"/>
          <w:bCs/>
          <w:sz w:val="24"/>
          <w:szCs w:val="24"/>
          <w:highlight w:val="none"/>
          <w:lang w:eastAsia="zh-CN"/>
        </w:rPr>
      </w:pPr>
      <w:r>
        <w:rPr>
          <w:rFonts w:hint="eastAsia"/>
          <w:b w:val="0"/>
          <w:bCs/>
          <w:sz w:val="24"/>
          <w:szCs w:val="24"/>
          <w:highlight w:val="none"/>
          <w:lang w:eastAsia="zh-CN"/>
        </w:rPr>
        <w:t>投标</w:t>
      </w:r>
      <w:r>
        <w:rPr>
          <w:rFonts w:hint="eastAsia"/>
          <w:b w:val="0"/>
          <w:bCs/>
          <w:spacing w:val="-2"/>
          <w:sz w:val="24"/>
          <w:szCs w:val="24"/>
          <w:highlight w:val="none"/>
          <w:lang w:eastAsia="zh-CN"/>
        </w:rPr>
        <w:t>人：</w:t>
      </w:r>
      <w:r>
        <w:rPr>
          <w:rFonts w:hint="eastAsia"/>
          <w:b w:val="0"/>
          <w:bCs/>
          <w:spacing w:val="-2"/>
          <w:sz w:val="24"/>
          <w:szCs w:val="24"/>
          <w:highlight w:val="none"/>
          <w:u w:val="single"/>
          <w:lang w:eastAsia="zh-CN"/>
        </w:rPr>
        <w:t xml:space="preserve">   </w:t>
      </w:r>
      <w:r>
        <w:rPr>
          <w:rFonts w:hint="eastAsia"/>
          <w:b w:val="0"/>
          <w:bCs/>
          <w:spacing w:val="-2"/>
          <w:sz w:val="24"/>
          <w:szCs w:val="24"/>
          <w:highlight w:val="none"/>
          <w:u w:val="single"/>
          <w:lang w:val="en-US" w:eastAsia="zh-CN"/>
        </w:rPr>
        <w:t xml:space="preserve">                 </w:t>
      </w:r>
      <w:r>
        <w:rPr>
          <w:rFonts w:hint="eastAsia"/>
          <w:b w:val="0"/>
          <w:bCs/>
          <w:spacing w:val="-2"/>
          <w:sz w:val="24"/>
          <w:szCs w:val="24"/>
          <w:highlight w:val="none"/>
          <w:u w:val="single"/>
          <w:lang w:eastAsia="zh-CN"/>
        </w:rPr>
        <w:t xml:space="preserve">   </w:t>
      </w:r>
    </w:p>
    <w:p w14:paraId="2AF405C8">
      <w:pPr>
        <w:spacing w:line="360" w:lineRule="auto"/>
        <w:ind w:firstLine="2880" w:firstLineChars="1200"/>
        <w:rPr>
          <w:rFonts w:ascii="宋体" w:hAnsi="宋体" w:eastAsia="宋体"/>
          <w:b w:val="0"/>
          <w:bCs/>
          <w:sz w:val="24"/>
          <w:szCs w:val="24"/>
          <w:highlight w:val="none"/>
          <w:lang w:eastAsia="zh-CN"/>
        </w:rPr>
      </w:pPr>
    </w:p>
    <w:p w14:paraId="6C26F6AA">
      <w:pPr>
        <w:spacing w:line="360" w:lineRule="auto"/>
        <w:ind w:firstLine="4560" w:firstLineChars="1900"/>
        <w:rPr>
          <w:rFonts w:hint="eastAsia" w:ascii="宋体" w:hAnsi="宋体" w:eastAsia="宋体"/>
          <w:b w:val="0"/>
          <w:bCs/>
          <w:sz w:val="24"/>
          <w:szCs w:val="24"/>
          <w:highlight w:val="none"/>
          <w:lang w:eastAsia="zh-CN"/>
        </w:rPr>
      </w:pP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eastAsia="宋体"/>
          <w:b w:val="0"/>
          <w:bCs/>
          <w:sz w:val="24"/>
          <w:szCs w:val="24"/>
          <w:highlight w:val="none"/>
          <w:lang w:eastAsia="zh-CN"/>
        </w:rPr>
        <w:t>年</w:t>
      </w:r>
      <w:r>
        <w:rPr>
          <w:rFonts w:ascii="宋体" w:hAnsi="宋体" w:eastAsia="宋体"/>
          <w:b w:val="0"/>
          <w:bCs/>
          <w:sz w:val="24"/>
          <w:szCs w:val="24"/>
          <w:highlight w:val="none"/>
          <w:u w:val="single"/>
          <w:lang w:eastAsia="zh-CN"/>
        </w:rPr>
        <w:tab/>
      </w:r>
      <w:r>
        <w:rPr>
          <w:rFonts w:hint="eastAsia" w:ascii="宋体" w:hAnsi="宋体" w:eastAsia="宋体"/>
          <w:b w:val="0"/>
          <w:bCs/>
          <w:sz w:val="24"/>
          <w:szCs w:val="24"/>
          <w:highlight w:val="none"/>
          <w:lang w:eastAsia="zh-CN"/>
        </w:rPr>
        <w:t>月</w:t>
      </w:r>
      <w:r>
        <w:rPr>
          <w:rFonts w:ascii="宋体" w:hAnsi="宋体" w:eastAsia="宋体"/>
          <w:b w:val="0"/>
          <w:bCs/>
          <w:sz w:val="24"/>
          <w:szCs w:val="24"/>
          <w:highlight w:val="none"/>
          <w:u w:val="single"/>
          <w:lang w:eastAsia="zh-CN"/>
        </w:rPr>
        <w:tab/>
      </w:r>
      <w:r>
        <w:rPr>
          <w:rFonts w:hint="eastAsia" w:ascii="宋体" w:hAnsi="宋体" w:eastAsia="宋体"/>
          <w:b w:val="0"/>
          <w:bCs/>
          <w:sz w:val="24"/>
          <w:szCs w:val="24"/>
          <w:highlight w:val="none"/>
          <w:lang w:eastAsia="zh-CN"/>
        </w:rPr>
        <w:t>日</w:t>
      </w:r>
    </w:p>
    <w:bookmarkEnd w:id="98"/>
    <w:p w14:paraId="1A15F1F6">
      <w:pPr>
        <w:pStyle w:val="2"/>
        <w:keepNext w:val="0"/>
        <w:keepLines w:val="0"/>
        <w:jc w:val="center"/>
        <w:rPr>
          <w:rFonts w:hint="default" w:ascii="宋体" w:hAnsi="宋体" w:eastAsia="宋体" w:cs="宋体"/>
          <w:sz w:val="21"/>
          <w:szCs w:val="21"/>
          <w:highlight w:val="none"/>
          <w:lang w:val="en-US" w:eastAsia="zh-CN"/>
        </w:rPr>
      </w:pPr>
      <w:r>
        <w:rPr>
          <w:rFonts w:hint="eastAsia" w:cs="宋体"/>
          <w:sz w:val="21"/>
          <w:szCs w:val="21"/>
          <w:highlight w:val="none"/>
          <w:lang w:val="en-US" w:eastAsia="zh-CN"/>
        </w:rPr>
        <w:t xml:space="preserve"> </w:t>
      </w:r>
    </w:p>
    <w:p w14:paraId="11771426">
      <w:pPr>
        <w:pStyle w:val="2"/>
        <w:keepNext w:val="0"/>
        <w:keepLines w:val="0"/>
        <w:jc w:val="both"/>
        <w:rPr>
          <w:rFonts w:ascii="宋体" w:hAnsi="宋体" w:eastAsia="宋体" w:cs="宋体"/>
          <w:sz w:val="21"/>
          <w:szCs w:val="21"/>
          <w:highlight w:val="none"/>
          <w:lang w:eastAsia="zh-CN"/>
        </w:rPr>
      </w:pPr>
      <w:r>
        <w:rPr>
          <w:rFonts w:ascii="宋体" w:hAnsi="宋体" w:eastAsia="宋体" w:cs="宋体"/>
          <w:sz w:val="21"/>
          <w:szCs w:val="21"/>
          <w:highlight w:val="none"/>
          <w:lang w:eastAsia="zh-CN"/>
        </w:rPr>
        <w:br w:type="page"/>
      </w:r>
      <w:bookmarkStart w:id="99" w:name="_Toc21833"/>
      <w:bookmarkStart w:id="100" w:name="_Toc25072145"/>
    </w:p>
    <w:p w14:paraId="7B0AC43D">
      <w:pPr>
        <w:pStyle w:val="2"/>
        <w:keepNext w:val="0"/>
        <w:keepLines w:val="0"/>
        <w:jc w:val="center"/>
        <w:rPr>
          <w:rFonts w:hint="eastAsia" w:ascii="宋体" w:hAnsi="宋体" w:eastAsia="宋体" w:cs="宋体"/>
          <w:highlight w:val="none"/>
        </w:rPr>
      </w:pPr>
      <w:r>
        <w:rPr>
          <w:rFonts w:hint="eastAsia" w:ascii="宋体" w:hAnsi="宋体" w:eastAsia="宋体" w:cs="宋体"/>
          <w:b/>
          <w:sz w:val="32"/>
          <w:szCs w:val="20"/>
          <w:highlight w:val="none"/>
          <w:lang w:eastAsia="zh-CN"/>
        </w:rPr>
        <w:t>三、法定代表人身份证明</w:t>
      </w:r>
      <w:bookmarkEnd w:id="99"/>
    </w:p>
    <w:p w14:paraId="04BDA0A7">
      <w:pPr>
        <w:spacing w:line="440" w:lineRule="exact"/>
        <w:rPr>
          <w:rFonts w:hint="eastAsia" w:ascii="宋体" w:hAnsi="宋体" w:cs="宋体"/>
          <w:highlight w:val="none"/>
        </w:rPr>
      </w:pPr>
    </w:p>
    <w:p w14:paraId="48EAE068">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投标人名称：</w:t>
      </w:r>
      <w:r>
        <w:rPr>
          <w:rFonts w:hint="eastAsia" w:ascii="宋体" w:hAnsi="宋体" w:eastAsia="宋体" w:cs="宋体"/>
          <w:sz w:val="24"/>
          <w:szCs w:val="24"/>
          <w:highlight w:val="none"/>
          <w:u w:val="single"/>
        </w:rPr>
        <w:t xml:space="preserve">                        </w:t>
      </w:r>
    </w:p>
    <w:p w14:paraId="0504313A">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姓名：</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性别：</w:t>
      </w:r>
      <w:bookmarkStart w:id="101" w:name="_Toc369531698"/>
      <w:bookmarkStart w:id="102" w:name="_Toc352691662"/>
      <w:bookmarkStart w:id="103" w:name="_Toc27897"/>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bookmarkEnd w:id="101"/>
      <w:bookmarkEnd w:id="102"/>
      <w:bookmarkEnd w:id="103"/>
      <w:r>
        <w:rPr>
          <w:rFonts w:hint="eastAsia" w:ascii="宋体" w:hAnsi="宋体" w:eastAsia="宋体" w:cs="宋体"/>
          <w:sz w:val="24"/>
          <w:szCs w:val="24"/>
          <w:highlight w:val="none"/>
        </w:rPr>
        <w:t>龄</w:t>
      </w:r>
      <w:bookmarkStart w:id="104" w:name="_Toc247514248"/>
      <w:bookmarkStart w:id="105" w:name="_Toc152042578"/>
      <w:bookmarkStart w:id="106" w:name="_Toc15573"/>
      <w:bookmarkStart w:id="107" w:name="_Toc384308377"/>
      <w:bookmarkStart w:id="108" w:name="_Toc300835211"/>
      <w:bookmarkStart w:id="109" w:name="_Toc352691663"/>
      <w:bookmarkStart w:id="110" w:name="_Toc152045789"/>
      <w:bookmarkStart w:id="111" w:name="_Toc144974858"/>
      <w:bookmarkStart w:id="112" w:name="_Toc361508754"/>
      <w:bookmarkStart w:id="113" w:name="_Toc369531699"/>
      <w:bookmarkStart w:id="114" w:name="_Toc247527829"/>
      <w:r>
        <w:rPr>
          <w:rFonts w:hint="eastAsia" w:ascii="宋体" w:hAnsi="宋体" w:eastAsia="宋体" w:cs="宋体"/>
          <w:sz w:val="24"/>
          <w:szCs w:val="24"/>
          <w:highlight w:val="none"/>
        </w:rPr>
        <w:t>：</w:t>
      </w:r>
      <w:bookmarkEnd w:id="104"/>
      <w:bookmarkEnd w:id="105"/>
      <w:bookmarkEnd w:id="106"/>
      <w:bookmarkEnd w:id="107"/>
      <w:bookmarkEnd w:id="108"/>
      <w:bookmarkEnd w:id="109"/>
      <w:bookmarkEnd w:id="110"/>
      <w:bookmarkEnd w:id="111"/>
      <w:bookmarkEnd w:id="112"/>
      <w:bookmarkEnd w:id="113"/>
      <w:bookmarkEnd w:id="114"/>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职务：</w:t>
      </w:r>
      <w:r>
        <w:rPr>
          <w:rFonts w:hint="eastAsia" w:ascii="宋体" w:hAnsi="宋体" w:eastAsia="宋体" w:cs="宋体"/>
          <w:sz w:val="24"/>
          <w:szCs w:val="24"/>
          <w:highlight w:val="none"/>
          <w:u w:val="single"/>
        </w:rPr>
        <w:t xml:space="preserve">        </w:t>
      </w:r>
    </w:p>
    <w:p w14:paraId="47EF3FE4">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w:t>
      </w:r>
    </w:p>
    <w:p w14:paraId="4E9DEED6">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特此证明。</w:t>
      </w:r>
    </w:p>
    <w:p w14:paraId="1B260A26">
      <w:pPr>
        <w:spacing w:line="440" w:lineRule="exact"/>
        <w:rPr>
          <w:rFonts w:hint="eastAsia" w:ascii="宋体" w:hAnsi="宋体" w:eastAsia="宋体" w:cs="宋体"/>
          <w:sz w:val="24"/>
          <w:szCs w:val="24"/>
          <w:highlight w:val="none"/>
        </w:rPr>
      </w:pPr>
    </w:p>
    <w:p w14:paraId="351FEC3D">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w:t>
      </w:r>
    </w:p>
    <w:p w14:paraId="432E4C5E">
      <w:pPr>
        <w:spacing w:line="440" w:lineRule="exact"/>
        <w:rPr>
          <w:rFonts w:hint="eastAsia" w:ascii="宋体" w:hAnsi="宋体" w:eastAsia="宋体" w:cs="宋体"/>
          <w:sz w:val="24"/>
          <w:szCs w:val="24"/>
          <w:highlight w:val="none"/>
        </w:rPr>
      </w:pPr>
    </w:p>
    <w:p w14:paraId="10C7137A">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注：本身份证明需由投标人加盖单位公章。</w:t>
      </w:r>
    </w:p>
    <w:p w14:paraId="62A39DF0">
      <w:pPr>
        <w:spacing w:line="440" w:lineRule="exact"/>
        <w:rPr>
          <w:rFonts w:hint="eastAsia" w:ascii="宋体" w:hAnsi="宋体" w:eastAsia="宋体" w:cs="宋体"/>
          <w:sz w:val="24"/>
          <w:szCs w:val="24"/>
          <w:highlight w:val="none"/>
        </w:rPr>
      </w:pPr>
    </w:p>
    <w:p w14:paraId="15817D31">
      <w:pPr>
        <w:spacing w:line="440" w:lineRule="exact"/>
        <w:rPr>
          <w:rFonts w:hint="eastAsia" w:ascii="宋体" w:hAnsi="宋体" w:eastAsia="宋体" w:cs="宋体"/>
          <w:sz w:val="24"/>
          <w:szCs w:val="24"/>
          <w:highlight w:val="none"/>
        </w:rPr>
      </w:pPr>
    </w:p>
    <w:p w14:paraId="0BE0ADCA">
      <w:pPr>
        <w:spacing w:line="440" w:lineRule="exact"/>
        <w:ind w:firstLine="4560" w:firstLineChars="19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投标人：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（盖单位章）</w:t>
      </w:r>
    </w:p>
    <w:p w14:paraId="69688EA7">
      <w:pPr>
        <w:spacing w:line="440" w:lineRule="exact"/>
        <w:rPr>
          <w:rFonts w:hint="eastAsia" w:ascii="宋体" w:hAnsi="宋体" w:eastAsia="宋体" w:cs="宋体"/>
          <w:sz w:val="24"/>
          <w:szCs w:val="24"/>
          <w:highlight w:val="none"/>
        </w:rPr>
      </w:pPr>
    </w:p>
    <w:p w14:paraId="4DE2FD6F">
      <w:pPr>
        <w:spacing w:line="440" w:lineRule="exact"/>
        <w:ind w:firstLine="5040" w:firstLineChars="2100"/>
        <w:jc w:val="both"/>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2D83DDF9">
      <w:pPr>
        <w:jc w:val="both"/>
        <w:rPr>
          <w:rFonts w:hint="eastAsia" w:ascii="宋体" w:hAnsi="宋体" w:eastAsia="宋体" w:cs="Times New Roman"/>
          <w:sz w:val="24"/>
          <w:szCs w:val="24"/>
          <w:highlight w:val="none"/>
          <w:lang w:val="en-US" w:eastAsia="zh-CN"/>
        </w:rPr>
      </w:pPr>
      <w:bookmarkStart w:id="115" w:name="_Toc27473"/>
      <w:bookmarkStart w:id="116" w:name="_Toc7219"/>
      <w:bookmarkStart w:id="117" w:name="_Toc4392"/>
      <w:bookmarkStart w:id="118" w:name="_Toc3333"/>
    </w:p>
    <w:p w14:paraId="5F622CEA">
      <w:pPr>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br w:type="page"/>
      </w:r>
    </w:p>
    <w:p w14:paraId="32788236">
      <w:pPr>
        <w:pStyle w:val="2"/>
        <w:keepNext w:val="0"/>
        <w:keepLines w:val="0"/>
        <w:spacing w:before="260" w:line="360" w:lineRule="auto"/>
        <w:ind w:left="0"/>
        <w:jc w:val="center"/>
        <w:rPr>
          <w:rFonts w:hint="eastAsia" w:ascii="宋体" w:hAnsi="宋体" w:eastAsia="宋体" w:cs="宋体"/>
          <w:b/>
          <w:sz w:val="32"/>
          <w:szCs w:val="20"/>
          <w:highlight w:val="none"/>
          <w:lang w:eastAsia="zh-CN"/>
        </w:rPr>
      </w:pPr>
      <w:bookmarkStart w:id="119" w:name="_Toc12758"/>
      <w:r>
        <w:rPr>
          <w:rFonts w:hint="eastAsia" w:ascii="宋体" w:hAnsi="宋体" w:eastAsia="宋体" w:cs="宋体"/>
          <w:b/>
          <w:sz w:val="32"/>
          <w:szCs w:val="20"/>
          <w:highlight w:val="none"/>
          <w:lang w:eastAsia="zh-CN"/>
        </w:rPr>
        <w:t>四、授权委托书</w:t>
      </w:r>
      <w:bookmarkEnd w:id="115"/>
      <w:bookmarkEnd w:id="116"/>
      <w:bookmarkEnd w:id="117"/>
      <w:bookmarkEnd w:id="118"/>
      <w:bookmarkEnd w:id="119"/>
    </w:p>
    <w:p w14:paraId="7AE45D4D">
      <w:pPr>
        <w:spacing w:line="440" w:lineRule="exact"/>
        <w:rPr>
          <w:rFonts w:hint="eastAsia" w:ascii="宋体" w:hAnsi="宋体" w:cs="宋体"/>
          <w:highlight w:val="none"/>
        </w:rPr>
      </w:pPr>
    </w:p>
    <w:p w14:paraId="01C16DF3">
      <w:pPr>
        <w:topLinePunct/>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本人</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（姓名）系</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（投标人名称）的法定代表人，现委托（姓名）为我方代理人。代理人根据授权，以我方名义签署、澄清确认、递交、撤回、修改招标项目投标文件、签订合同和处理有关事宜，其法律后果由我方承担。</w:t>
      </w:r>
    </w:p>
    <w:p w14:paraId="2AC7F7F2">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委托期限：</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w:t>
      </w:r>
    </w:p>
    <w:p w14:paraId="1F5C37BA">
      <w:pPr>
        <w:spacing w:line="44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代理人无转委托权。</w:t>
      </w:r>
    </w:p>
    <w:p w14:paraId="7A27B75A">
      <w:pPr>
        <w:spacing w:line="440" w:lineRule="exact"/>
        <w:ind w:firstLine="480" w:firstLineChars="200"/>
        <w:rPr>
          <w:rFonts w:hint="eastAsia" w:ascii="宋体" w:hAnsi="宋体" w:eastAsia="宋体" w:cs="宋体"/>
          <w:sz w:val="24"/>
          <w:szCs w:val="24"/>
          <w:highlight w:val="none"/>
        </w:rPr>
      </w:pPr>
    </w:p>
    <w:p w14:paraId="3761BDB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附：法定代表人身份证扫描件及委托代理人身份证扫描件</w:t>
      </w:r>
    </w:p>
    <w:p w14:paraId="47A09D8A">
      <w:pPr>
        <w:spacing w:line="440" w:lineRule="exact"/>
        <w:rPr>
          <w:rFonts w:hint="eastAsia" w:ascii="宋体" w:hAnsi="宋体" w:eastAsia="宋体" w:cs="宋体"/>
          <w:sz w:val="24"/>
          <w:szCs w:val="24"/>
          <w:highlight w:val="none"/>
        </w:rPr>
      </w:pPr>
    </w:p>
    <w:p w14:paraId="6A59A965">
      <w:p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注：本授权委托书需由投标人加盖单位公章并由其法定代表人和委托代理人签字。</w:t>
      </w:r>
    </w:p>
    <w:p w14:paraId="54803412">
      <w:pPr>
        <w:spacing w:line="440" w:lineRule="exact"/>
        <w:rPr>
          <w:rFonts w:hint="eastAsia" w:ascii="宋体" w:hAnsi="宋体" w:eastAsia="宋体" w:cs="宋体"/>
          <w:sz w:val="24"/>
          <w:szCs w:val="24"/>
          <w:highlight w:val="none"/>
        </w:rPr>
      </w:pPr>
    </w:p>
    <w:p w14:paraId="59AA3846">
      <w:pPr>
        <w:spacing w:line="440" w:lineRule="exact"/>
        <w:ind w:firstLine="3076" w:firstLineChars="1282"/>
        <w:rPr>
          <w:rFonts w:hint="eastAsia" w:ascii="宋体" w:hAnsi="宋体" w:eastAsia="宋体" w:cs="宋体"/>
          <w:sz w:val="24"/>
          <w:szCs w:val="24"/>
          <w:highlight w:val="none"/>
        </w:rPr>
      </w:pPr>
      <w:r>
        <w:rPr>
          <w:rFonts w:hint="eastAsia" w:ascii="宋体" w:hAnsi="宋体" w:eastAsia="宋体" w:cs="宋体"/>
          <w:sz w:val="24"/>
          <w:szCs w:val="24"/>
          <w:highlight w:val="none"/>
        </w:rPr>
        <w:t>投  标  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（盖单位章）</w:t>
      </w:r>
    </w:p>
    <w:p w14:paraId="1E4CCBA8">
      <w:pPr>
        <w:spacing w:line="440" w:lineRule="exact"/>
        <w:ind w:firstLine="3076" w:firstLineChars="1282"/>
        <w:rPr>
          <w:rFonts w:hint="eastAsia" w:ascii="宋体" w:hAnsi="宋体" w:eastAsia="宋体" w:cs="宋体"/>
          <w:sz w:val="24"/>
          <w:szCs w:val="24"/>
          <w:highlight w:val="none"/>
        </w:rPr>
      </w:pPr>
    </w:p>
    <w:p w14:paraId="5DAA8683">
      <w:pPr>
        <w:spacing w:line="440" w:lineRule="exact"/>
        <w:ind w:firstLine="3074" w:firstLineChars="1281"/>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（签字）</w:t>
      </w:r>
    </w:p>
    <w:p w14:paraId="40BDB35D">
      <w:pPr>
        <w:spacing w:line="440" w:lineRule="exact"/>
        <w:ind w:firstLine="3076" w:firstLineChars="1282"/>
        <w:rPr>
          <w:rFonts w:hint="eastAsia" w:ascii="宋体" w:hAnsi="宋体" w:eastAsia="宋体" w:cs="宋体"/>
          <w:sz w:val="24"/>
          <w:szCs w:val="24"/>
          <w:highlight w:val="none"/>
        </w:rPr>
      </w:pPr>
    </w:p>
    <w:p w14:paraId="64E4DEAF">
      <w:pPr>
        <w:spacing w:line="440" w:lineRule="exact"/>
        <w:ind w:firstLine="3076" w:firstLineChars="1282"/>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45924FAC">
      <w:pPr>
        <w:spacing w:line="440" w:lineRule="exact"/>
        <w:ind w:firstLine="3076" w:firstLineChars="1282"/>
        <w:rPr>
          <w:rFonts w:hint="eastAsia" w:ascii="宋体" w:hAnsi="宋体" w:eastAsia="宋体" w:cs="宋体"/>
          <w:sz w:val="24"/>
          <w:szCs w:val="24"/>
          <w:highlight w:val="none"/>
        </w:rPr>
      </w:pPr>
    </w:p>
    <w:p w14:paraId="1344B177">
      <w:pPr>
        <w:spacing w:line="440" w:lineRule="exact"/>
        <w:ind w:firstLine="3076" w:firstLineChars="1282"/>
        <w:rPr>
          <w:rFonts w:hint="eastAsia" w:ascii="宋体" w:hAnsi="宋体" w:eastAsia="宋体" w:cs="宋体"/>
          <w:sz w:val="24"/>
          <w:szCs w:val="24"/>
          <w:highlight w:val="none"/>
        </w:rPr>
      </w:pPr>
      <w:r>
        <w:rPr>
          <w:rFonts w:hint="eastAsia" w:ascii="宋体" w:hAnsi="宋体" w:eastAsia="宋体" w:cs="宋体"/>
          <w:sz w:val="24"/>
          <w:szCs w:val="24"/>
          <w:highlight w:val="none"/>
        </w:rPr>
        <w:t>委托代理人：</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rPr>
        <w:t>（签字）</w:t>
      </w:r>
    </w:p>
    <w:p w14:paraId="2EAFF9EF">
      <w:pPr>
        <w:spacing w:line="440" w:lineRule="exact"/>
        <w:ind w:firstLine="3076" w:firstLineChars="1282"/>
        <w:rPr>
          <w:rFonts w:hint="eastAsia" w:ascii="宋体" w:hAnsi="宋体" w:eastAsia="宋体" w:cs="宋体"/>
          <w:sz w:val="24"/>
          <w:szCs w:val="24"/>
          <w:highlight w:val="none"/>
        </w:rPr>
      </w:pPr>
    </w:p>
    <w:p w14:paraId="0D20005F">
      <w:pPr>
        <w:spacing w:line="440" w:lineRule="exact"/>
        <w:ind w:firstLine="3076" w:firstLineChars="1282"/>
        <w:rPr>
          <w:rFonts w:hint="eastAsia" w:ascii="宋体" w:hAnsi="宋体" w:eastAsia="宋体" w:cs="宋体"/>
          <w:sz w:val="24"/>
          <w:szCs w:val="24"/>
          <w:highlight w:val="none"/>
        </w:rPr>
      </w:pPr>
      <w:r>
        <w:rPr>
          <w:rFonts w:hint="eastAsia" w:ascii="宋体" w:hAnsi="宋体" w:eastAsia="宋体" w:cs="宋体"/>
          <w:sz w:val="24"/>
          <w:szCs w:val="24"/>
          <w:highlight w:val="none"/>
        </w:rPr>
        <w:t>身份证号码：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296789B3">
      <w:pPr>
        <w:spacing w:line="440" w:lineRule="exact"/>
        <w:ind w:firstLine="3076" w:firstLineChars="1282"/>
        <w:rPr>
          <w:rFonts w:hint="eastAsia" w:ascii="宋体" w:hAnsi="宋体" w:eastAsia="宋体" w:cs="宋体"/>
          <w:sz w:val="24"/>
          <w:szCs w:val="24"/>
          <w:highlight w:val="none"/>
        </w:rPr>
      </w:pPr>
    </w:p>
    <w:p w14:paraId="222AF2A7">
      <w:pPr>
        <w:spacing w:line="440" w:lineRule="exact"/>
        <w:ind w:firstLine="3076" w:firstLineChars="1282"/>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代理人手机</w:t>
      </w:r>
      <w:r>
        <w:rPr>
          <w:rFonts w:hint="eastAsia" w:ascii="宋体" w:hAnsi="宋体" w:eastAsia="宋体" w:cs="宋体"/>
          <w:sz w:val="24"/>
          <w:szCs w:val="24"/>
          <w:highlight w:val="none"/>
        </w:rPr>
        <w:t>号码：</w:t>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r>
        <w:rPr>
          <w:rFonts w:hint="eastAsia" w:ascii="宋体" w:hAnsi="宋体" w:eastAsia="宋体" w:cs="宋体"/>
          <w:sz w:val="24"/>
          <w:szCs w:val="24"/>
          <w:highlight w:val="none"/>
          <w:u w:val="single"/>
        </w:rPr>
        <w:tab/>
      </w:r>
    </w:p>
    <w:p w14:paraId="0737D9FF">
      <w:pPr>
        <w:spacing w:line="440" w:lineRule="exact"/>
        <w:ind w:firstLine="2820" w:firstLineChars="1282"/>
        <w:rPr>
          <w:rFonts w:hint="eastAsia" w:ascii="宋体" w:hAnsi="宋体" w:cs="宋体"/>
          <w:highlight w:val="none"/>
        </w:rPr>
      </w:pPr>
    </w:p>
    <w:p w14:paraId="546E5FBC">
      <w:pPr>
        <w:spacing w:line="440" w:lineRule="exact"/>
        <w:ind w:firstLine="2820" w:firstLineChars="1282"/>
        <w:rPr>
          <w:rFonts w:hint="eastAsia" w:ascii="宋体" w:hAnsi="宋体" w:cs="宋体"/>
          <w:highlight w:val="none"/>
        </w:rPr>
      </w:pPr>
    </w:p>
    <w:p w14:paraId="5A003792">
      <w:pPr>
        <w:spacing w:line="440" w:lineRule="exact"/>
        <w:ind w:right="422" w:rightChars="192" w:firstLine="4636" w:firstLineChars="1932"/>
        <w:jc w:val="right"/>
        <w:rPr>
          <w:rFonts w:hint="eastAsia" w:ascii="宋体" w:hAnsi="宋体" w:eastAsia="宋体" w:cs="宋体"/>
          <w:sz w:val="24"/>
          <w:szCs w:val="24"/>
          <w:highlight w:val="none"/>
        </w:rPr>
      </w:pP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年</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月</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日</w:t>
      </w:r>
    </w:p>
    <w:p w14:paraId="4B5EB958">
      <w:pPr>
        <w:jc w:val="both"/>
        <w:rPr>
          <w:rFonts w:hint="eastAsia" w:ascii="宋体" w:hAnsi="宋体" w:eastAsia="宋体" w:cs="Times New Roman"/>
          <w:sz w:val="24"/>
          <w:szCs w:val="24"/>
          <w:highlight w:val="none"/>
          <w:lang w:val="en-US" w:eastAsia="zh-CN"/>
        </w:rPr>
      </w:pPr>
    </w:p>
    <w:p w14:paraId="7F1D7D58">
      <w:pPr>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br w:type="page"/>
      </w:r>
    </w:p>
    <w:p w14:paraId="2CC7F43E">
      <w:pPr>
        <w:pStyle w:val="2"/>
        <w:keepNext w:val="0"/>
        <w:keepLines w:val="0"/>
        <w:spacing w:before="260" w:after="0" w:line="360" w:lineRule="auto"/>
        <w:ind w:left="0"/>
        <w:jc w:val="center"/>
        <w:rPr>
          <w:rFonts w:hint="eastAsia" w:ascii="宋体" w:hAnsi="宋体" w:eastAsia="宋体" w:cs="宋体"/>
          <w:b/>
          <w:sz w:val="32"/>
          <w:szCs w:val="20"/>
          <w:highlight w:val="none"/>
        </w:rPr>
      </w:pPr>
      <w:bookmarkStart w:id="120" w:name="_Toc26064"/>
      <w:bookmarkStart w:id="121" w:name="_Toc361508760"/>
      <w:r>
        <w:rPr>
          <w:rFonts w:hint="eastAsia" w:ascii="宋体" w:hAnsi="宋体" w:eastAsia="宋体" w:cs="宋体"/>
          <w:b/>
          <w:sz w:val="32"/>
          <w:szCs w:val="20"/>
          <w:highlight w:val="none"/>
          <w:lang w:val="en-US" w:eastAsia="zh-CN"/>
        </w:rPr>
        <w:t>五</w:t>
      </w:r>
      <w:r>
        <w:rPr>
          <w:rFonts w:hint="eastAsia" w:ascii="宋体" w:hAnsi="宋体" w:eastAsia="宋体" w:cs="宋体"/>
          <w:b/>
          <w:sz w:val="32"/>
          <w:szCs w:val="20"/>
          <w:highlight w:val="none"/>
        </w:rPr>
        <w:t>、资格审查资料</w:t>
      </w:r>
      <w:bookmarkEnd w:id="120"/>
    </w:p>
    <w:p w14:paraId="22AEC987">
      <w:pPr>
        <w:pStyle w:val="4"/>
        <w:keepNext w:val="0"/>
        <w:keepLines w:val="0"/>
        <w:spacing w:before="20" w:after="0"/>
        <w:ind w:firstLine="137"/>
        <w:jc w:val="center"/>
        <w:rPr>
          <w:rFonts w:hint="eastAsia" w:ascii="宋体" w:hAnsi="宋体" w:eastAsia="宋体" w:cs="宋体"/>
          <w:highlight w:val="none"/>
        </w:rPr>
      </w:pP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5519"/>
        <w:gridCol w:w="1716"/>
      </w:tblGrid>
      <w:tr w14:paraId="242E5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38C839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5519" w:type="dxa"/>
            <w:tcBorders>
              <w:top w:val="single" w:color="auto" w:sz="4" w:space="0"/>
              <w:left w:val="nil"/>
              <w:bottom w:val="single" w:color="auto" w:sz="4" w:space="0"/>
              <w:right w:val="single" w:color="auto" w:sz="4" w:space="0"/>
            </w:tcBorders>
            <w:noWrap w:val="0"/>
            <w:vAlign w:val="center"/>
          </w:tcPr>
          <w:p w14:paraId="7DC5F49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1716" w:type="dxa"/>
            <w:tcBorders>
              <w:top w:val="single" w:color="auto" w:sz="4" w:space="0"/>
              <w:left w:val="nil"/>
              <w:bottom w:val="single" w:color="auto" w:sz="4" w:space="0"/>
              <w:right w:val="single" w:color="auto" w:sz="4" w:space="0"/>
            </w:tcBorders>
            <w:noWrap w:val="0"/>
            <w:vAlign w:val="center"/>
          </w:tcPr>
          <w:p w14:paraId="6DEE16B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页码</w:t>
            </w:r>
          </w:p>
        </w:tc>
      </w:tr>
      <w:tr w14:paraId="16E8E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24A75C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19" w:type="dxa"/>
            <w:tcBorders>
              <w:top w:val="single" w:color="auto" w:sz="4" w:space="0"/>
              <w:left w:val="nil"/>
              <w:bottom w:val="single" w:color="auto" w:sz="4" w:space="0"/>
              <w:right w:val="single" w:color="auto" w:sz="4" w:space="0"/>
            </w:tcBorders>
            <w:noWrap w:val="0"/>
            <w:vAlign w:val="center"/>
          </w:tcPr>
          <w:p w14:paraId="18184E38">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4"/>
                <w:szCs w:val="24"/>
                <w:highlight w:val="none"/>
                <w:lang w:eastAsia="zh-CN"/>
              </w:rPr>
            </w:pPr>
          </w:p>
        </w:tc>
        <w:tc>
          <w:tcPr>
            <w:tcW w:w="1716" w:type="dxa"/>
            <w:tcBorders>
              <w:top w:val="single" w:color="auto" w:sz="4" w:space="0"/>
              <w:left w:val="nil"/>
              <w:bottom w:val="single" w:color="auto" w:sz="4" w:space="0"/>
              <w:right w:val="single" w:color="auto" w:sz="4" w:space="0"/>
            </w:tcBorders>
            <w:noWrap w:val="0"/>
            <w:vAlign w:val="center"/>
          </w:tcPr>
          <w:p w14:paraId="76651B6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p>
        </w:tc>
      </w:tr>
      <w:tr w14:paraId="61850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0CF4751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2</w:t>
            </w:r>
          </w:p>
        </w:tc>
        <w:tc>
          <w:tcPr>
            <w:tcW w:w="5519" w:type="dxa"/>
            <w:tcBorders>
              <w:top w:val="single" w:color="auto" w:sz="4" w:space="0"/>
              <w:left w:val="nil"/>
              <w:bottom w:val="single" w:color="auto" w:sz="4" w:space="0"/>
              <w:right w:val="single" w:color="auto" w:sz="4" w:space="0"/>
            </w:tcBorders>
            <w:noWrap w:val="0"/>
            <w:vAlign w:val="center"/>
          </w:tcPr>
          <w:p w14:paraId="09922A4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4"/>
                <w:szCs w:val="24"/>
                <w:highlight w:val="none"/>
              </w:rPr>
            </w:pPr>
          </w:p>
        </w:tc>
        <w:tc>
          <w:tcPr>
            <w:tcW w:w="1716" w:type="dxa"/>
            <w:tcBorders>
              <w:top w:val="single" w:color="auto" w:sz="4" w:space="0"/>
              <w:left w:val="nil"/>
              <w:bottom w:val="single" w:color="auto" w:sz="4" w:space="0"/>
              <w:right w:val="single" w:color="auto" w:sz="4" w:space="0"/>
            </w:tcBorders>
            <w:noWrap w:val="0"/>
            <w:vAlign w:val="center"/>
          </w:tcPr>
          <w:p w14:paraId="42ED1F5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p>
        </w:tc>
      </w:tr>
      <w:tr w14:paraId="7164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702918A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5519" w:type="dxa"/>
            <w:tcBorders>
              <w:top w:val="single" w:color="auto" w:sz="4" w:space="0"/>
              <w:left w:val="nil"/>
              <w:bottom w:val="single" w:color="auto" w:sz="4" w:space="0"/>
              <w:right w:val="single" w:color="auto" w:sz="4" w:space="0"/>
            </w:tcBorders>
            <w:noWrap w:val="0"/>
            <w:vAlign w:val="center"/>
          </w:tcPr>
          <w:p w14:paraId="62B58C45">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color w:val="auto"/>
                <w:sz w:val="24"/>
                <w:szCs w:val="24"/>
                <w:highlight w:val="none"/>
              </w:rPr>
            </w:pPr>
          </w:p>
        </w:tc>
        <w:tc>
          <w:tcPr>
            <w:tcW w:w="1716" w:type="dxa"/>
            <w:tcBorders>
              <w:top w:val="single" w:color="auto" w:sz="4" w:space="0"/>
              <w:left w:val="nil"/>
              <w:bottom w:val="single" w:color="auto" w:sz="4" w:space="0"/>
              <w:right w:val="single" w:color="auto" w:sz="4" w:space="0"/>
            </w:tcBorders>
            <w:noWrap w:val="0"/>
            <w:vAlign w:val="center"/>
          </w:tcPr>
          <w:p w14:paraId="688AAC34">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p>
        </w:tc>
      </w:tr>
      <w:tr w14:paraId="0B229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3922C10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p>
        </w:tc>
        <w:tc>
          <w:tcPr>
            <w:tcW w:w="5519" w:type="dxa"/>
            <w:tcBorders>
              <w:top w:val="single" w:color="auto" w:sz="4" w:space="0"/>
              <w:left w:val="nil"/>
              <w:bottom w:val="single" w:color="auto" w:sz="4" w:space="0"/>
              <w:right w:val="single" w:color="auto" w:sz="4" w:space="0"/>
            </w:tcBorders>
            <w:noWrap w:val="0"/>
            <w:vAlign w:val="center"/>
          </w:tcPr>
          <w:p w14:paraId="6CE60A94">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4"/>
                <w:szCs w:val="24"/>
                <w:highlight w:val="none"/>
              </w:rPr>
            </w:pPr>
          </w:p>
        </w:tc>
        <w:tc>
          <w:tcPr>
            <w:tcW w:w="1716" w:type="dxa"/>
            <w:tcBorders>
              <w:top w:val="single" w:color="auto" w:sz="4" w:space="0"/>
              <w:left w:val="nil"/>
              <w:bottom w:val="single" w:color="auto" w:sz="4" w:space="0"/>
              <w:right w:val="single" w:color="auto" w:sz="4" w:space="0"/>
            </w:tcBorders>
            <w:noWrap w:val="0"/>
            <w:vAlign w:val="center"/>
          </w:tcPr>
          <w:p w14:paraId="422536A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rPr>
            </w:pPr>
          </w:p>
        </w:tc>
      </w:tr>
      <w:tr w14:paraId="60E5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989" w:type="dxa"/>
            <w:tcBorders>
              <w:top w:val="single" w:color="auto" w:sz="4" w:space="0"/>
              <w:left w:val="single" w:color="auto" w:sz="4" w:space="0"/>
              <w:bottom w:val="single" w:color="auto" w:sz="4" w:space="0"/>
              <w:right w:val="single" w:color="auto" w:sz="4" w:space="0"/>
            </w:tcBorders>
            <w:noWrap w:val="0"/>
            <w:vAlign w:val="center"/>
          </w:tcPr>
          <w:p w14:paraId="088B16A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5</w:t>
            </w:r>
          </w:p>
        </w:tc>
        <w:tc>
          <w:tcPr>
            <w:tcW w:w="5519" w:type="dxa"/>
            <w:tcBorders>
              <w:top w:val="single" w:color="auto" w:sz="4" w:space="0"/>
              <w:left w:val="nil"/>
              <w:bottom w:val="single" w:color="auto" w:sz="4" w:space="0"/>
              <w:right w:val="single" w:color="auto" w:sz="4" w:space="0"/>
            </w:tcBorders>
            <w:noWrap w:val="0"/>
            <w:vAlign w:val="center"/>
          </w:tcPr>
          <w:p w14:paraId="38EDF21B">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4"/>
                <w:szCs w:val="24"/>
                <w:highlight w:val="none"/>
              </w:rPr>
            </w:pPr>
          </w:p>
        </w:tc>
        <w:tc>
          <w:tcPr>
            <w:tcW w:w="1716" w:type="dxa"/>
            <w:tcBorders>
              <w:top w:val="single" w:color="auto" w:sz="4" w:space="0"/>
              <w:left w:val="nil"/>
              <w:bottom w:val="single" w:color="auto" w:sz="4" w:space="0"/>
              <w:right w:val="single" w:color="auto" w:sz="4" w:space="0"/>
            </w:tcBorders>
            <w:noWrap w:val="0"/>
            <w:vAlign w:val="center"/>
          </w:tcPr>
          <w:p w14:paraId="6A307359">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4"/>
                <w:szCs w:val="24"/>
                <w:highlight w:val="none"/>
                <w:u w:val="single"/>
              </w:rPr>
            </w:pPr>
          </w:p>
        </w:tc>
      </w:tr>
    </w:tbl>
    <w:p w14:paraId="041D5824">
      <w:pPr>
        <w:pStyle w:val="4"/>
        <w:keepNext w:val="0"/>
        <w:keepLines w:val="0"/>
        <w:spacing w:before="20" w:after="0"/>
        <w:ind w:firstLine="137"/>
        <w:jc w:val="both"/>
        <w:rPr>
          <w:rFonts w:hint="eastAsia" w:ascii="宋体" w:hAnsi="宋体" w:eastAsia="宋体" w:cs="宋体"/>
          <w:sz w:val="24"/>
          <w:szCs w:val="24"/>
          <w:highlight w:val="none"/>
        </w:rPr>
      </w:pPr>
      <w:bookmarkStart w:id="122" w:name="_Toc4527"/>
      <w:r>
        <w:rPr>
          <w:rFonts w:hint="eastAsia" w:ascii="宋体" w:hAnsi="宋体" w:eastAsia="宋体" w:cs="宋体"/>
          <w:sz w:val="24"/>
          <w:szCs w:val="24"/>
          <w:highlight w:val="none"/>
        </w:rPr>
        <w:t>注：资格审查详细资料附于本表后，并标明页码。</w:t>
      </w:r>
      <w:bookmarkEnd w:id="122"/>
    </w:p>
    <w:p w14:paraId="107C3408">
      <w:pPr>
        <w:rPr>
          <w:rFonts w:hint="eastAsia" w:ascii="宋体" w:hAnsi="宋体" w:eastAsia="宋体" w:cs="宋体"/>
          <w:highlight w:val="none"/>
        </w:rPr>
      </w:pPr>
    </w:p>
    <w:p w14:paraId="3B178F0D">
      <w:pPr>
        <w:rPr>
          <w:rFonts w:hint="eastAsia" w:ascii="宋体" w:hAnsi="宋体" w:eastAsia="宋体" w:cs="宋体"/>
          <w:highlight w:val="none"/>
        </w:rPr>
      </w:pPr>
    </w:p>
    <w:p w14:paraId="3B1CE05D">
      <w:pPr>
        <w:rPr>
          <w:rFonts w:hint="eastAsia" w:ascii="宋体" w:hAnsi="宋体" w:eastAsia="宋体" w:cs="宋体"/>
          <w:highlight w:val="none"/>
        </w:rPr>
      </w:pPr>
      <w:r>
        <w:rPr>
          <w:rFonts w:hint="eastAsia" w:ascii="宋体" w:hAnsi="宋体" w:eastAsia="宋体" w:cs="宋体"/>
          <w:highlight w:val="none"/>
        </w:rPr>
        <w:br w:type="page"/>
      </w:r>
    </w:p>
    <w:p w14:paraId="2A6B9F17">
      <w:pPr>
        <w:pStyle w:val="4"/>
        <w:keepNext w:val="0"/>
        <w:keepLines w:val="0"/>
        <w:spacing w:before="20" w:after="0"/>
        <w:ind w:firstLine="137"/>
        <w:jc w:val="center"/>
        <w:rPr>
          <w:rFonts w:hint="eastAsia" w:ascii="宋体" w:hAnsi="宋体" w:eastAsia="宋体" w:cs="宋体"/>
          <w:highlight w:val="none"/>
        </w:rPr>
      </w:pPr>
      <w:bookmarkStart w:id="123" w:name="_Toc2207"/>
      <w:r>
        <w:rPr>
          <w:rFonts w:hint="eastAsia" w:ascii="宋体" w:hAnsi="宋体" w:eastAsia="宋体" w:cs="宋体"/>
          <w:highlight w:val="none"/>
          <w:lang w:eastAsia="zh-CN"/>
        </w:rPr>
        <w:t>（一）</w:t>
      </w:r>
      <w:r>
        <w:rPr>
          <w:rFonts w:hint="eastAsia" w:ascii="宋体" w:hAnsi="宋体" w:eastAsia="宋体" w:cs="宋体"/>
          <w:highlight w:val="none"/>
        </w:rPr>
        <w:t>基本情况表</w:t>
      </w:r>
      <w:bookmarkEnd w:id="123"/>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898"/>
        <w:gridCol w:w="1026"/>
        <w:gridCol w:w="1287"/>
        <w:gridCol w:w="414"/>
        <w:gridCol w:w="873"/>
        <w:gridCol w:w="828"/>
        <w:gridCol w:w="284"/>
        <w:gridCol w:w="1230"/>
      </w:tblGrid>
      <w:tr w14:paraId="1FE3A3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6CC4B8B">
            <w:pPr>
              <w:topLinePunct/>
              <w:spacing w:line="440" w:lineRule="exact"/>
              <w:jc w:val="center"/>
              <w:rPr>
                <w:rFonts w:hint="eastAsia" w:ascii="宋体" w:hAnsi="宋体" w:cs="宋体"/>
                <w:highlight w:val="none"/>
              </w:rPr>
            </w:pPr>
            <w:r>
              <w:rPr>
                <w:rFonts w:hint="eastAsia" w:ascii="宋体" w:hAnsi="宋体" w:cs="宋体"/>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6432C5FD">
            <w:pPr>
              <w:topLinePunct/>
              <w:spacing w:line="440" w:lineRule="exact"/>
              <w:jc w:val="center"/>
              <w:rPr>
                <w:rFonts w:hint="eastAsia" w:ascii="宋体" w:hAnsi="宋体" w:cs="宋体"/>
                <w:highlight w:val="none"/>
              </w:rPr>
            </w:pPr>
          </w:p>
        </w:tc>
      </w:tr>
      <w:tr w14:paraId="5403F3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6C9A377E">
            <w:pPr>
              <w:topLinePunct/>
              <w:spacing w:line="440" w:lineRule="exact"/>
              <w:jc w:val="center"/>
              <w:rPr>
                <w:rFonts w:hint="eastAsia" w:ascii="宋体" w:hAnsi="宋体" w:cs="宋体"/>
                <w:highlight w:val="none"/>
              </w:rPr>
            </w:pPr>
            <w:r>
              <w:rPr>
                <w:rFonts w:hint="eastAsia" w:ascii="宋体" w:hAnsi="宋体" w:cs="宋体"/>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19537F7A">
            <w:pPr>
              <w:topLinePunct/>
              <w:spacing w:line="440" w:lineRule="exact"/>
              <w:jc w:val="center"/>
              <w:rPr>
                <w:rFonts w:hint="eastAsia" w:ascii="宋体" w:hAnsi="宋体" w:cs="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60E180FA">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645C11ED">
            <w:pPr>
              <w:topLinePunct/>
              <w:spacing w:line="440" w:lineRule="exact"/>
              <w:jc w:val="center"/>
              <w:rPr>
                <w:rFonts w:hint="eastAsia" w:ascii="宋体" w:hAnsi="宋体" w:cs="宋体"/>
                <w:highlight w:val="none"/>
              </w:rPr>
            </w:pPr>
          </w:p>
        </w:tc>
      </w:tr>
      <w:tr w14:paraId="57661F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noWrap w:val="0"/>
            <w:vAlign w:val="center"/>
          </w:tcPr>
          <w:p w14:paraId="7AD99BE6">
            <w:pPr>
              <w:topLinePunct/>
              <w:spacing w:line="440" w:lineRule="exact"/>
              <w:jc w:val="center"/>
              <w:rPr>
                <w:rFonts w:hint="eastAsia" w:ascii="宋体" w:hAnsi="宋体" w:cs="宋体"/>
                <w:highlight w:val="none"/>
              </w:rPr>
            </w:pPr>
            <w:r>
              <w:rPr>
                <w:rFonts w:hint="eastAsia" w:ascii="宋体" w:hAnsi="宋体" w:cs="宋体"/>
                <w:highlight w:val="none"/>
              </w:rPr>
              <w:t>联系方式</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EA9DC6B">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联系人</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075DBCC9">
            <w:pPr>
              <w:topLinePunct/>
              <w:spacing w:line="440" w:lineRule="exact"/>
              <w:jc w:val="center"/>
              <w:rPr>
                <w:rFonts w:hint="eastAsia" w:ascii="宋体" w:hAnsi="宋体" w:cs="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7B858AF4">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293573E8">
            <w:pPr>
              <w:topLinePunct/>
              <w:spacing w:line="440" w:lineRule="exact"/>
              <w:jc w:val="center"/>
              <w:rPr>
                <w:rFonts w:hint="eastAsia" w:ascii="宋体" w:hAnsi="宋体" w:cs="宋体"/>
                <w:highlight w:val="none"/>
              </w:rPr>
            </w:pPr>
          </w:p>
        </w:tc>
      </w:tr>
      <w:tr w14:paraId="770968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noWrap w:val="0"/>
            <w:vAlign w:val="center"/>
          </w:tcPr>
          <w:p w14:paraId="28CECEF2">
            <w:pPr>
              <w:jc w:val="center"/>
              <w:rPr>
                <w:rFonts w:hint="eastAsia" w:ascii="宋体" w:hAnsi="宋体" w:cs="宋体"/>
                <w:highlight w:val="none"/>
              </w:rPr>
            </w:pPr>
          </w:p>
        </w:tc>
        <w:tc>
          <w:tcPr>
            <w:tcW w:w="898" w:type="dxa"/>
            <w:tcBorders>
              <w:top w:val="single" w:color="auto" w:sz="4" w:space="0"/>
              <w:left w:val="single" w:color="auto" w:sz="4" w:space="0"/>
              <w:bottom w:val="single" w:color="auto" w:sz="4" w:space="0"/>
              <w:right w:val="single" w:color="auto" w:sz="4" w:space="0"/>
            </w:tcBorders>
            <w:noWrap w:val="0"/>
            <w:vAlign w:val="center"/>
          </w:tcPr>
          <w:p w14:paraId="37F8BCFA">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传  真</w:t>
            </w:r>
          </w:p>
        </w:tc>
        <w:tc>
          <w:tcPr>
            <w:tcW w:w="2313" w:type="dxa"/>
            <w:gridSpan w:val="2"/>
            <w:tcBorders>
              <w:top w:val="single" w:color="auto" w:sz="4" w:space="0"/>
              <w:left w:val="single" w:color="auto" w:sz="4" w:space="0"/>
              <w:bottom w:val="single" w:color="auto" w:sz="4" w:space="0"/>
              <w:right w:val="single" w:color="auto" w:sz="4" w:space="0"/>
            </w:tcBorders>
            <w:noWrap w:val="0"/>
            <w:vAlign w:val="center"/>
          </w:tcPr>
          <w:p w14:paraId="480BACD0">
            <w:pPr>
              <w:topLinePunct/>
              <w:spacing w:line="440" w:lineRule="exact"/>
              <w:jc w:val="center"/>
              <w:rPr>
                <w:rFonts w:hint="eastAsia" w:ascii="宋体" w:hAnsi="宋体" w:cs="宋体"/>
                <w:highlight w:val="none"/>
              </w:rPr>
            </w:pP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10444011">
            <w:pPr>
              <w:topLinePunct/>
              <w:spacing w:before="100" w:beforeAutospacing="1" w:after="100" w:afterAutospacing="1" w:line="440" w:lineRule="exact"/>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邮 箱</w:t>
            </w:r>
          </w:p>
        </w:tc>
        <w:tc>
          <w:tcPr>
            <w:tcW w:w="2342" w:type="dxa"/>
            <w:gridSpan w:val="3"/>
            <w:tcBorders>
              <w:top w:val="single" w:color="auto" w:sz="4" w:space="0"/>
              <w:left w:val="single" w:color="auto" w:sz="4" w:space="0"/>
              <w:bottom w:val="single" w:color="auto" w:sz="4" w:space="0"/>
              <w:right w:val="single" w:color="auto" w:sz="4" w:space="0"/>
            </w:tcBorders>
            <w:noWrap w:val="0"/>
            <w:vAlign w:val="center"/>
          </w:tcPr>
          <w:p w14:paraId="1952ADA2">
            <w:pPr>
              <w:topLinePunct/>
              <w:spacing w:line="440" w:lineRule="exact"/>
              <w:jc w:val="center"/>
              <w:rPr>
                <w:rFonts w:hint="eastAsia" w:ascii="宋体" w:hAnsi="宋体" w:cs="宋体"/>
                <w:highlight w:val="none"/>
              </w:rPr>
            </w:pPr>
          </w:p>
        </w:tc>
      </w:tr>
      <w:tr w14:paraId="2D0639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0A86577">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法定代表人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31E8CD15">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51A529B6">
            <w:pPr>
              <w:topLinePunct/>
              <w:spacing w:line="440" w:lineRule="exact"/>
              <w:jc w:val="center"/>
              <w:rPr>
                <w:rFonts w:hint="eastAsia" w:ascii="宋体" w:hAnsi="宋体" w:cs="宋体"/>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7317EF13">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0F3162A8">
            <w:pPr>
              <w:topLinePunct/>
              <w:spacing w:line="440" w:lineRule="exact"/>
              <w:jc w:val="center"/>
              <w:rPr>
                <w:rFonts w:hint="eastAsia" w:ascii="宋体" w:hAnsi="宋体" w:cs="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4DB137A8">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69504748">
            <w:pPr>
              <w:topLinePunct/>
              <w:spacing w:line="440" w:lineRule="exact"/>
              <w:jc w:val="center"/>
              <w:rPr>
                <w:rFonts w:hint="eastAsia" w:ascii="宋体" w:hAnsi="宋体" w:cs="宋体"/>
                <w:highlight w:val="none"/>
              </w:rPr>
            </w:pPr>
          </w:p>
        </w:tc>
      </w:tr>
      <w:tr w14:paraId="1069EC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A7BC8C2">
            <w:pPr>
              <w:topLinePunct/>
              <w:spacing w:line="440" w:lineRule="exact"/>
              <w:jc w:val="center"/>
              <w:rPr>
                <w:rFonts w:hint="eastAsia" w:ascii="宋体" w:hAnsi="宋体" w:cs="宋体"/>
                <w:highlight w:val="none"/>
              </w:rPr>
            </w:pPr>
            <w:r>
              <w:rPr>
                <w:rFonts w:hint="eastAsia" w:ascii="宋体" w:hAnsi="宋体" w:cs="宋体"/>
                <w:szCs w:val="21"/>
                <w:highlight w:val="none"/>
              </w:rPr>
              <w:t>技术负责人</w:t>
            </w:r>
          </w:p>
        </w:tc>
        <w:tc>
          <w:tcPr>
            <w:tcW w:w="898" w:type="dxa"/>
            <w:tcBorders>
              <w:top w:val="single" w:color="auto" w:sz="4" w:space="0"/>
              <w:left w:val="single" w:color="auto" w:sz="4" w:space="0"/>
              <w:bottom w:val="single" w:color="auto" w:sz="4" w:space="0"/>
              <w:right w:val="single" w:color="auto" w:sz="4" w:space="0"/>
            </w:tcBorders>
            <w:noWrap w:val="0"/>
            <w:vAlign w:val="center"/>
          </w:tcPr>
          <w:p w14:paraId="669AA17C">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姓名</w:t>
            </w:r>
          </w:p>
        </w:tc>
        <w:tc>
          <w:tcPr>
            <w:tcW w:w="1026" w:type="dxa"/>
            <w:tcBorders>
              <w:top w:val="single" w:color="auto" w:sz="4" w:space="0"/>
              <w:left w:val="single" w:color="auto" w:sz="4" w:space="0"/>
              <w:bottom w:val="single" w:color="auto" w:sz="4" w:space="0"/>
              <w:right w:val="single" w:color="auto" w:sz="4" w:space="0"/>
            </w:tcBorders>
            <w:noWrap w:val="0"/>
            <w:vAlign w:val="center"/>
          </w:tcPr>
          <w:p w14:paraId="303FC2D1">
            <w:pPr>
              <w:topLinePunct/>
              <w:spacing w:line="440" w:lineRule="exact"/>
              <w:jc w:val="center"/>
              <w:rPr>
                <w:rFonts w:hint="eastAsia" w:ascii="宋体" w:hAnsi="宋体" w:cs="宋体"/>
                <w:highlight w:val="none"/>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14:paraId="5532110E">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noWrap w:val="0"/>
            <w:vAlign w:val="center"/>
          </w:tcPr>
          <w:p w14:paraId="1B5366BB">
            <w:pPr>
              <w:topLinePunct/>
              <w:spacing w:line="440" w:lineRule="exact"/>
              <w:jc w:val="center"/>
              <w:rPr>
                <w:rFonts w:hint="eastAsia" w:ascii="宋体" w:hAnsi="宋体" w:cs="宋体"/>
                <w:highlight w:val="none"/>
              </w:rPr>
            </w:pPr>
          </w:p>
        </w:tc>
        <w:tc>
          <w:tcPr>
            <w:tcW w:w="1112" w:type="dxa"/>
            <w:gridSpan w:val="2"/>
            <w:tcBorders>
              <w:top w:val="single" w:color="auto" w:sz="4" w:space="0"/>
              <w:left w:val="single" w:color="auto" w:sz="4" w:space="0"/>
              <w:bottom w:val="single" w:color="auto" w:sz="4" w:space="0"/>
              <w:right w:val="single" w:color="auto" w:sz="4" w:space="0"/>
            </w:tcBorders>
            <w:noWrap w:val="0"/>
            <w:vAlign w:val="center"/>
          </w:tcPr>
          <w:p w14:paraId="6C7B699D">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电话</w:t>
            </w:r>
          </w:p>
        </w:tc>
        <w:tc>
          <w:tcPr>
            <w:tcW w:w="1230" w:type="dxa"/>
            <w:tcBorders>
              <w:top w:val="single" w:color="auto" w:sz="4" w:space="0"/>
              <w:left w:val="single" w:color="auto" w:sz="4" w:space="0"/>
              <w:bottom w:val="single" w:color="auto" w:sz="4" w:space="0"/>
              <w:right w:val="single" w:color="auto" w:sz="4" w:space="0"/>
            </w:tcBorders>
            <w:noWrap w:val="0"/>
            <w:vAlign w:val="center"/>
          </w:tcPr>
          <w:p w14:paraId="06180EA7">
            <w:pPr>
              <w:topLinePunct/>
              <w:spacing w:line="440" w:lineRule="exact"/>
              <w:jc w:val="center"/>
              <w:rPr>
                <w:rFonts w:hint="eastAsia" w:ascii="宋体" w:hAnsi="宋体" w:cs="宋体"/>
                <w:highlight w:val="none"/>
              </w:rPr>
            </w:pPr>
          </w:p>
        </w:tc>
      </w:tr>
      <w:tr w14:paraId="0519A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2976C348">
            <w:pPr>
              <w:topLinePunct/>
              <w:spacing w:before="100" w:beforeAutospacing="1" w:after="100" w:afterAutospacing="1" w:line="120" w:lineRule="auto"/>
              <w:jc w:val="center"/>
              <w:rPr>
                <w:rFonts w:hint="eastAsia" w:ascii="宋体" w:hAnsi="宋体" w:cs="宋体"/>
                <w:highlight w:val="none"/>
              </w:rPr>
            </w:pPr>
            <w:r>
              <w:rPr>
                <w:rFonts w:hint="eastAsia" w:ascii="宋体" w:hAnsi="宋体" w:cs="宋体"/>
                <w:highlight w:val="none"/>
              </w:rPr>
              <w:t>企业资质证书    （如有）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254B7DE6">
            <w:pPr>
              <w:topLinePunct/>
              <w:spacing w:before="100" w:beforeAutospacing="1" w:after="100" w:afterAutospacing="1" w:line="440" w:lineRule="exact"/>
              <w:ind w:firstLine="110" w:firstLineChars="50"/>
              <w:jc w:val="center"/>
              <w:rPr>
                <w:rFonts w:hint="eastAsia" w:ascii="宋体" w:hAnsi="宋体" w:cs="宋体"/>
                <w:highlight w:val="none"/>
              </w:rPr>
            </w:pPr>
            <w:r>
              <w:rPr>
                <w:rFonts w:hint="eastAsia" w:ascii="宋体" w:hAnsi="宋体" w:cs="宋体"/>
                <w:highlight w:val="none"/>
              </w:rPr>
              <w:t>类型：                    等级：      证书号：</w:t>
            </w:r>
          </w:p>
        </w:tc>
      </w:tr>
      <w:tr w14:paraId="4A44F6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7B8B5956">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21E9B99F">
            <w:pPr>
              <w:topLinePunct/>
              <w:spacing w:before="100" w:beforeAutospacing="1" w:after="100" w:afterAutospacing="1" w:line="440" w:lineRule="exact"/>
              <w:ind w:firstLine="110" w:firstLineChars="50"/>
              <w:jc w:val="center"/>
              <w:rPr>
                <w:rFonts w:hint="eastAsia" w:ascii="宋体" w:hAnsi="宋体" w:cs="宋体"/>
                <w:highlight w:val="none"/>
              </w:rPr>
            </w:pPr>
            <w:r>
              <w:rPr>
                <w:rFonts w:hint="eastAsia" w:ascii="宋体" w:hAnsi="宋体" w:cs="宋体"/>
                <w:highlight w:val="none"/>
              </w:rPr>
              <w:t>类型：                    等级：      证书号：</w:t>
            </w:r>
          </w:p>
        </w:tc>
      </w:tr>
      <w:tr w14:paraId="07FBC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08242245">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45EB7B6D">
            <w:pPr>
              <w:topLinePunct/>
              <w:spacing w:line="440" w:lineRule="exact"/>
              <w:jc w:val="center"/>
              <w:rPr>
                <w:rFonts w:hint="eastAsia" w:ascii="宋体" w:hAnsi="宋体" w:cs="宋体"/>
                <w:highlight w:val="none"/>
              </w:rPr>
            </w:pPr>
          </w:p>
        </w:tc>
        <w:tc>
          <w:tcPr>
            <w:tcW w:w="3629" w:type="dxa"/>
            <w:gridSpan w:val="5"/>
            <w:tcBorders>
              <w:top w:val="single" w:color="auto" w:sz="4" w:space="0"/>
              <w:left w:val="single" w:color="auto" w:sz="4" w:space="0"/>
              <w:bottom w:val="single" w:color="auto" w:sz="4" w:space="0"/>
              <w:right w:val="single" w:color="auto" w:sz="4" w:space="0"/>
            </w:tcBorders>
            <w:noWrap w:val="0"/>
            <w:vAlign w:val="center"/>
          </w:tcPr>
          <w:p w14:paraId="36F2F4F4">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员工总人数：</w:t>
            </w:r>
          </w:p>
        </w:tc>
      </w:tr>
      <w:tr w14:paraId="2DCE8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E79D22F">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8E7118A">
            <w:pPr>
              <w:topLinePunct/>
              <w:spacing w:line="440" w:lineRule="exact"/>
              <w:jc w:val="center"/>
              <w:rPr>
                <w:rFonts w:hint="eastAsia" w:ascii="宋体" w:hAnsi="宋体" w:cs="宋体"/>
                <w:highlight w:val="none"/>
              </w:rPr>
            </w:pPr>
          </w:p>
        </w:tc>
        <w:tc>
          <w:tcPr>
            <w:tcW w:w="414" w:type="dxa"/>
            <w:vMerge w:val="restart"/>
            <w:tcBorders>
              <w:top w:val="single" w:color="auto" w:sz="4" w:space="0"/>
              <w:left w:val="single" w:color="auto" w:sz="4" w:space="0"/>
              <w:right w:val="single" w:color="auto" w:sz="4" w:space="0"/>
            </w:tcBorders>
            <w:noWrap w:val="0"/>
            <w:vAlign w:val="center"/>
          </w:tcPr>
          <w:p w14:paraId="79246F37">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3BA6AF06">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30809A93">
            <w:pPr>
              <w:topLinePunct/>
              <w:spacing w:line="440" w:lineRule="exact"/>
              <w:jc w:val="center"/>
              <w:rPr>
                <w:rFonts w:hint="eastAsia" w:ascii="宋体" w:hAnsi="宋体" w:cs="宋体"/>
                <w:highlight w:val="none"/>
              </w:rPr>
            </w:pPr>
          </w:p>
        </w:tc>
      </w:tr>
      <w:tr w14:paraId="6A1C3C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86308B6">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7D723221">
            <w:pPr>
              <w:topLinePunct/>
              <w:spacing w:line="440" w:lineRule="exact"/>
              <w:jc w:val="center"/>
              <w:rPr>
                <w:rFonts w:hint="eastAsia" w:ascii="宋体" w:hAnsi="宋体" w:cs="宋体"/>
                <w:highlight w:val="none"/>
              </w:rPr>
            </w:pPr>
          </w:p>
        </w:tc>
        <w:tc>
          <w:tcPr>
            <w:tcW w:w="414" w:type="dxa"/>
            <w:vMerge w:val="continue"/>
            <w:tcBorders>
              <w:left w:val="single" w:color="auto" w:sz="4" w:space="0"/>
              <w:right w:val="single" w:color="auto" w:sz="4" w:space="0"/>
            </w:tcBorders>
            <w:noWrap w:val="0"/>
            <w:vAlign w:val="center"/>
          </w:tcPr>
          <w:p w14:paraId="7D77B691">
            <w:pPr>
              <w:jc w:val="center"/>
              <w:rPr>
                <w:rFonts w:hint="eastAsia" w:ascii="宋体" w:hAnsi="宋体" w:cs="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2FCC6A32">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325E591">
            <w:pPr>
              <w:topLinePunct/>
              <w:spacing w:line="440" w:lineRule="exact"/>
              <w:jc w:val="center"/>
              <w:rPr>
                <w:rFonts w:hint="eastAsia" w:ascii="宋体" w:hAnsi="宋体" w:cs="宋体"/>
                <w:highlight w:val="none"/>
              </w:rPr>
            </w:pPr>
          </w:p>
        </w:tc>
      </w:tr>
      <w:tr w14:paraId="32ED21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16D4A595">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60846464">
            <w:pPr>
              <w:topLinePunct/>
              <w:spacing w:line="440" w:lineRule="exact"/>
              <w:jc w:val="center"/>
              <w:rPr>
                <w:rFonts w:hint="eastAsia" w:ascii="宋体" w:hAnsi="宋体" w:cs="宋体"/>
                <w:highlight w:val="none"/>
              </w:rPr>
            </w:pPr>
          </w:p>
        </w:tc>
        <w:tc>
          <w:tcPr>
            <w:tcW w:w="414" w:type="dxa"/>
            <w:vMerge w:val="continue"/>
            <w:tcBorders>
              <w:left w:val="single" w:color="auto" w:sz="4" w:space="0"/>
              <w:right w:val="single" w:color="auto" w:sz="4" w:space="0"/>
            </w:tcBorders>
            <w:noWrap w:val="0"/>
            <w:vAlign w:val="center"/>
          </w:tcPr>
          <w:p w14:paraId="04387FA7">
            <w:pPr>
              <w:jc w:val="center"/>
              <w:rPr>
                <w:rFonts w:hint="eastAsia" w:ascii="宋体" w:hAnsi="宋体" w:cs="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78876DC6">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0B03234B">
            <w:pPr>
              <w:topLinePunct/>
              <w:spacing w:line="440" w:lineRule="exact"/>
              <w:jc w:val="center"/>
              <w:rPr>
                <w:rFonts w:hint="eastAsia" w:ascii="宋体" w:hAnsi="宋体" w:cs="宋体"/>
                <w:highlight w:val="none"/>
              </w:rPr>
            </w:pPr>
          </w:p>
        </w:tc>
      </w:tr>
      <w:tr w14:paraId="5B6C3C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5A6975DB">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noWrap w:val="0"/>
            <w:vAlign w:val="center"/>
          </w:tcPr>
          <w:p w14:paraId="532D7536">
            <w:pPr>
              <w:topLinePunct/>
              <w:spacing w:line="440" w:lineRule="exact"/>
              <w:jc w:val="center"/>
              <w:rPr>
                <w:rFonts w:hint="eastAsia" w:ascii="宋体" w:hAnsi="宋体" w:cs="宋体"/>
                <w:highlight w:val="none"/>
              </w:rPr>
            </w:pPr>
          </w:p>
        </w:tc>
        <w:tc>
          <w:tcPr>
            <w:tcW w:w="414" w:type="dxa"/>
            <w:vMerge w:val="continue"/>
            <w:tcBorders>
              <w:left w:val="single" w:color="auto" w:sz="4" w:space="0"/>
              <w:right w:val="single" w:color="auto" w:sz="4" w:space="0"/>
            </w:tcBorders>
            <w:noWrap w:val="0"/>
            <w:vAlign w:val="center"/>
          </w:tcPr>
          <w:p w14:paraId="39DCD84F">
            <w:pPr>
              <w:jc w:val="center"/>
              <w:rPr>
                <w:rFonts w:hint="eastAsia" w:ascii="宋体" w:hAnsi="宋体" w:cs="宋体"/>
                <w:highlight w:val="none"/>
              </w:rPr>
            </w:pPr>
          </w:p>
        </w:tc>
        <w:tc>
          <w:tcPr>
            <w:tcW w:w="1701" w:type="dxa"/>
            <w:gridSpan w:val="2"/>
            <w:tcBorders>
              <w:top w:val="single" w:color="auto" w:sz="4" w:space="0"/>
              <w:left w:val="single" w:color="auto" w:sz="4" w:space="0"/>
              <w:bottom w:val="single" w:color="auto" w:sz="4" w:space="0"/>
              <w:right w:val="single" w:color="auto" w:sz="4" w:space="0"/>
            </w:tcBorders>
            <w:noWrap w:val="0"/>
            <w:vAlign w:val="center"/>
          </w:tcPr>
          <w:p w14:paraId="5A9D98C8">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szCs w:val="21"/>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noWrap w:val="0"/>
            <w:vAlign w:val="center"/>
          </w:tcPr>
          <w:p w14:paraId="183F2392">
            <w:pPr>
              <w:topLinePunct/>
              <w:spacing w:line="440" w:lineRule="exact"/>
              <w:jc w:val="center"/>
              <w:rPr>
                <w:rFonts w:hint="eastAsia" w:ascii="宋体" w:hAnsi="宋体" w:cs="宋体"/>
                <w:highlight w:val="none"/>
              </w:rPr>
            </w:pPr>
          </w:p>
        </w:tc>
      </w:tr>
      <w:tr w14:paraId="56078A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7DE0AD73">
            <w:pPr>
              <w:topLinePunct/>
              <w:spacing w:before="100" w:beforeAutospacing="1" w:after="100" w:afterAutospacing="1" w:line="440" w:lineRule="exact"/>
              <w:ind w:firstLine="220" w:firstLineChars="100"/>
              <w:jc w:val="center"/>
              <w:rPr>
                <w:rFonts w:hint="eastAsia" w:ascii="宋体" w:hAnsi="宋体" w:cs="宋体"/>
                <w:highlight w:val="none"/>
              </w:rPr>
            </w:pPr>
            <w:r>
              <w:rPr>
                <w:rFonts w:hint="eastAsia" w:ascii="宋体" w:hAnsi="宋体" w:cs="宋体"/>
                <w:highlight w:val="none"/>
              </w:rPr>
              <w:t>经营范围</w:t>
            </w:r>
          </w:p>
        </w:tc>
        <w:tc>
          <w:tcPr>
            <w:tcW w:w="6840" w:type="dxa"/>
            <w:gridSpan w:val="8"/>
            <w:tcBorders>
              <w:top w:val="single" w:color="auto" w:sz="4" w:space="0"/>
              <w:left w:val="single" w:color="auto" w:sz="4" w:space="0"/>
              <w:right w:val="single" w:color="auto" w:sz="4" w:space="0"/>
            </w:tcBorders>
            <w:noWrap w:val="0"/>
            <w:vAlign w:val="center"/>
          </w:tcPr>
          <w:p w14:paraId="4D4EC43E">
            <w:pPr>
              <w:topLinePunct/>
              <w:spacing w:line="440" w:lineRule="exact"/>
              <w:jc w:val="center"/>
              <w:rPr>
                <w:rFonts w:hint="eastAsia" w:ascii="宋体" w:hAnsi="宋体" w:cs="宋体"/>
                <w:highlight w:val="none"/>
              </w:rPr>
            </w:pPr>
          </w:p>
        </w:tc>
      </w:tr>
      <w:tr w14:paraId="63B49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noWrap w:val="0"/>
            <w:vAlign w:val="center"/>
          </w:tcPr>
          <w:p w14:paraId="5CCF9864">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szCs w:val="21"/>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noWrap w:val="0"/>
            <w:vAlign w:val="center"/>
          </w:tcPr>
          <w:p w14:paraId="03308BBB">
            <w:pPr>
              <w:topLinePunct/>
              <w:spacing w:line="440" w:lineRule="exact"/>
              <w:jc w:val="center"/>
              <w:rPr>
                <w:rFonts w:hint="eastAsia" w:ascii="宋体" w:hAnsi="宋体" w:cs="宋体"/>
                <w:highlight w:val="none"/>
              </w:rPr>
            </w:pPr>
          </w:p>
        </w:tc>
      </w:tr>
      <w:tr w14:paraId="762E6E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noWrap w:val="0"/>
            <w:vAlign w:val="center"/>
          </w:tcPr>
          <w:p w14:paraId="40041CA0">
            <w:pPr>
              <w:topLinePunct/>
              <w:spacing w:before="100" w:beforeAutospacing="1" w:after="100" w:afterAutospacing="1" w:line="440" w:lineRule="exact"/>
              <w:jc w:val="center"/>
              <w:rPr>
                <w:rFonts w:hint="eastAsia" w:ascii="宋体" w:hAnsi="宋体" w:cs="宋体"/>
                <w:highlight w:val="none"/>
              </w:rPr>
            </w:pPr>
            <w:r>
              <w:rPr>
                <w:rFonts w:hint="eastAsia" w:ascii="宋体" w:hAnsi="宋体" w:cs="宋体"/>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noWrap w:val="0"/>
            <w:vAlign w:val="center"/>
          </w:tcPr>
          <w:p w14:paraId="4EE59695">
            <w:pPr>
              <w:topLinePunct/>
              <w:spacing w:line="440" w:lineRule="exact"/>
              <w:jc w:val="center"/>
              <w:rPr>
                <w:rFonts w:hint="eastAsia" w:ascii="宋体" w:hAnsi="宋体" w:cs="宋体"/>
                <w:highlight w:val="none"/>
              </w:rPr>
            </w:pPr>
          </w:p>
        </w:tc>
      </w:tr>
    </w:tbl>
    <w:p w14:paraId="5C010A71">
      <w:pPr>
        <w:jc w:val="both"/>
        <w:rPr>
          <w:rFonts w:hint="eastAsia" w:ascii="宋体" w:hAnsi="宋体" w:eastAsia="宋体" w:cs="Times New Roman"/>
          <w:sz w:val="24"/>
          <w:szCs w:val="24"/>
          <w:highlight w:val="none"/>
          <w:lang w:val="en-US" w:eastAsia="zh-CN"/>
        </w:rPr>
      </w:pPr>
    </w:p>
    <w:p w14:paraId="5C489CBE">
      <w:pPr>
        <w:pStyle w:val="20"/>
        <w:rPr>
          <w:rFonts w:hint="eastAsia"/>
          <w:highlight w:val="none"/>
          <w:lang w:val="en-US" w:eastAsia="zh-CN"/>
        </w:rPr>
      </w:pPr>
    </w:p>
    <w:p w14:paraId="431CD4BB">
      <w:pPr>
        <w:jc w:val="both"/>
        <w:rPr>
          <w:rFonts w:hint="eastAsia" w:ascii="宋体" w:hAnsi="宋体" w:eastAsia="宋体" w:cs="Times New Roman"/>
          <w:sz w:val="24"/>
          <w:szCs w:val="24"/>
          <w:highlight w:val="none"/>
          <w:lang w:val="en-US" w:eastAsia="zh-CN"/>
        </w:rPr>
        <w:sectPr>
          <w:footerReference r:id="rId10" w:type="default"/>
          <w:pgSz w:w="11905" w:h="16838"/>
          <w:pgMar w:top="1440" w:right="1440" w:bottom="1440" w:left="1440" w:header="850" w:footer="794" w:gutter="0"/>
          <w:pgNumType w:fmt="decimal"/>
          <w:cols w:space="720" w:num="1"/>
          <w:docGrid w:type="lines" w:linePitch="333" w:charSpace="0"/>
        </w:sectPr>
      </w:pPr>
    </w:p>
    <w:p w14:paraId="5A3603D9">
      <w:pPr>
        <w:autoSpaceDE w:val="0"/>
        <w:autoSpaceDN w:val="0"/>
        <w:adjustRightInd w:val="0"/>
        <w:spacing w:line="200" w:lineRule="exact"/>
        <w:rPr>
          <w:rFonts w:ascii="宋体" w:hAnsi="宋体" w:eastAsia="宋体"/>
          <w:color w:val="auto"/>
          <w:sz w:val="20"/>
          <w:szCs w:val="20"/>
          <w:highlight w:val="none"/>
          <w:lang w:eastAsia="zh-CN"/>
        </w:rPr>
      </w:pPr>
      <w:bookmarkStart w:id="124" w:name="_Toc32343"/>
      <w:bookmarkStart w:id="125" w:name="_Toc24055"/>
      <w:bookmarkStart w:id="126" w:name="_Toc31800"/>
      <w:bookmarkStart w:id="127" w:name="_Toc24664"/>
    </w:p>
    <w:p w14:paraId="19287A84">
      <w:pPr>
        <w:pStyle w:val="4"/>
        <w:rPr>
          <w:rFonts w:hint="eastAsia" w:ascii="宋体" w:hAnsi="宋体" w:eastAsia="宋体"/>
          <w:color w:val="auto"/>
          <w:spacing w:val="2"/>
          <w:position w:val="-1"/>
          <w:sz w:val="24"/>
          <w:szCs w:val="24"/>
          <w:highlight w:val="none"/>
          <w:lang w:eastAsia="zh-CN"/>
        </w:rPr>
      </w:pPr>
      <w:r>
        <w:rPr>
          <w:rFonts w:hint="eastAsia" w:ascii="宋体" w:hAnsi="宋体" w:eastAsia="宋体"/>
          <w:color w:val="auto"/>
          <w:spacing w:val="2"/>
          <w:position w:val="-1"/>
          <w:sz w:val="24"/>
          <w:szCs w:val="24"/>
          <w:highlight w:val="none"/>
          <w:lang w:eastAsia="zh-CN"/>
        </w:rPr>
        <w:t>合作设计协议书参考格式（格式仅供参考，适用于合作设计，否则可不提供）</w:t>
      </w:r>
    </w:p>
    <w:p w14:paraId="2A84A249">
      <w:pPr>
        <w:pStyle w:val="5"/>
        <w:rPr>
          <w:color w:val="auto"/>
          <w:highlight w:val="none"/>
          <w:lang w:eastAsia="zh-CN"/>
        </w:rPr>
      </w:pPr>
    </w:p>
    <w:p w14:paraId="7904E1EA">
      <w:pPr>
        <w:jc w:val="center"/>
        <w:rPr>
          <w:rFonts w:hint="eastAsia" w:ascii="宋体" w:hAnsi="宋体" w:eastAsia="宋体"/>
          <w:b/>
          <w:bCs/>
          <w:color w:val="auto"/>
          <w:sz w:val="32"/>
          <w:szCs w:val="32"/>
          <w:highlight w:val="none"/>
          <w:lang w:eastAsia="zh-CN"/>
        </w:rPr>
      </w:pPr>
      <w:r>
        <w:rPr>
          <w:rFonts w:hint="eastAsia" w:ascii="宋体" w:hAnsi="宋体" w:eastAsia="宋体"/>
          <w:b/>
          <w:bCs/>
          <w:color w:val="auto"/>
          <w:sz w:val="32"/>
          <w:szCs w:val="32"/>
          <w:highlight w:val="none"/>
          <w:lang w:eastAsia="zh-CN"/>
        </w:rPr>
        <w:t>（二）合作设计协议书</w:t>
      </w:r>
    </w:p>
    <w:p w14:paraId="63F68003">
      <w:pPr>
        <w:rPr>
          <w:rFonts w:hint="eastAsia" w:ascii="宋体" w:hAnsi="宋体" w:eastAsia="宋体"/>
          <w:color w:val="auto"/>
          <w:sz w:val="24"/>
          <w:highlight w:val="none"/>
          <w:lang w:eastAsia="zh-CN"/>
        </w:rPr>
      </w:pPr>
    </w:p>
    <w:p w14:paraId="1059149E">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投标项目名称：</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w:t>
      </w:r>
    </w:p>
    <w:p w14:paraId="5AFE71B9">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致：</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（招标人）</w:t>
      </w:r>
    </w:p>
    <w:p w14:paraId="354A9A9F">
      <w:pPr>
        <w:spacing w:line="360" w:lineRule="auto"/>
        <w:ind w:firstLine="480" w:firstLineChars="200"/>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按照招标公告的规定，</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lang w:eastAsia="zh-CN"/>
        </w:rPr>
        <w:t>外国或澳门、台湾的设计企业</w:t>
      </w:r>
      <w:r>
        <w:rPr>
          <w:rFonts w:hint="eastAsia" w:ascii="宋体" w:hAnsi="宋体" w:eastAsia="宋体" w:cs="宋体"/>
          <w:b/>
          <w:color w:val="auto"/>
          <w:sz w:val="24"/>
          <w:szCs w:val="24"/>
          <w:highlight w:val="none"/>
          <w:u w:val="single"/>
          <w:shd w:val="clear" w:color="auto" w:fill="FFFFFF"/>
          <w:lang w:eastAsia="zh-CN"/>
        </w:rPr>
        <w:t>和香港不单独参加投标的设计企业</w:t>
      </w:r>
      <w:r>
        <w:rPr>
          <w:rFonts w:hint="eastAsia" w:ascii="宋体" w:hAnsi="宋体" w:eastAsia="宋体" w:cs="宋体"/>
          <w:color w:val="auto"/>
          <w:sz w:val="24"/>
          <w:szCs w:val="24"/>
          <w:highlight w:val="none"/>
          <w:lang w:eastAsia="zh-CN"/>
        </w:rPr>
        <w:t>）作为投标人（即“申请人”，下同）</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s="宋体"/>
          <w:color w:val="auto"/>
          <w:sz w:val="24"/>
          <w:szCs w:val="24"/>
          <w:highlight w:val="none"/>
          <w:lang w:eastAsia="zh-CN"/>
        </w:rPr>
        <w:t>（符合招标公告第3条资质条件的企业）的合作设计方，参与本项目进行合作设计。若中标，各成员向招标人承担连带责任。合作设计方授权委托</w:t>
      </w:r>
      <w:r>
        <w:rPr>
          <w:rFonts w:hint="eastAsia" w:ascii="宋体" w:hAnsi="宋体" w:eastAsia="宋体" w:cs="宋体"/>
          <w:color w:val="auto"/>
          <w:sz w:val="24"/>
          <w:szCs w:val="24"/>
          <w:highlight w:val="none"/>
          <w:u w:val="single"/>
          <w:lang w:eastAsia="zh-CN"/>
        </w:rPr>
        <w:t xml:space="preserve">      </w:t>
      </w:r>
      <w:r>
        <w:rPr>
          <w:rFonts w:hint="eastAsia" w:ascii="宋体" w:hAnsi="宋体" w:eastAsia="宋体"/>
          <w:color w:val="auto"/>
          <w:sz w:val="24"/>
          <w:szCs w:val="24"/>
          <w:highlight w:val="none"/>
          <w:u w:val="single"/>
          <w:lang w:eastAsia="zh-CN"/>
        </w:rPr>
        <w:t xml:space="preserve">             </w:t>
      </w:r>
      <w:r>
        <w:rPr>
          <w:rFonts w:hint="eastAsia" w:ascii="宋体" w:hAnsi="宋体" w:eastAsia="宋体"/>
          <w:color w:val="auto"/>
          <w:sz w:val="24"/>
          <w:szCs w:val="24"/>
          <w:highlight w:val="none"/>
          <w:lang w:eastAsia="zh-CN"/>
        </w:rPr>
        <w:t>（符合招标公告第3条资质条件的企业）代表所有合作成员参加投标、提交投标文件，以及与招标人签订合同，负责整个合同实施阶段的协调工作。</w:t>
      </w:r>
    </w:p>
    <w:p w14:paraId="5ECF5478">
      <w:pPr>
        <w:rPr>
          <w:rFonts w:hint="eastAsia" w:ascii="宋体" w:hAnsi="宋体" w:eastAsia="宋体"/>
          <w:color w:val="auto"/>
          <w:sz w:val="24"/>
          <w:szCs w:val="24"/>
          <w:highlight w:val="none"/>
          <w:lang w:eastAsia="zh-CN"/>
        </w:rPr>
      </w:pPr>
    </w:p>
    <w:p w14:paraId="00BCCF54">
      <w:pPr>
        <w:rPr>
          <w:rFonts w:hint="eastAsia" w:ascii="宋体" w:hAnsi="宋体" w:eastAsia="宋体"/>
          <w:color w:val="auto"/>
          <w:sz w:val="24"/>
          <w:szCs w:val="24"/>
          <w:highlight w:val="none"/>
          <w:lang w:eastAsia="zh-CN"/>
        </w:rPr>
      </w:pPr>
    </w:p>
    <w:p w14:paraId="0B2C049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合作设计方：（盖章）</w:t>
      </w:r>
      <w:r>
        <w:rPr>
          <w:rFonts w:hint="eastAsia" w:ascii="宋体" w:hAnsi="宋体" w:eastAsia="宋体"/>
          <w:color w:val="auto"/>
          <w:sz w:val="24"/>
          <w:szCs w:val="24"/>
          <w:highlight w:val="none"/>
          <w:u w:val="single"/>
          <w:lang w:eastAsia="zh-CN"/>
        </w:rPr>
        <w:t xml:space="preserve">                                         </w:t>
      </w:r>
    </w:p>
    <w:p w14:paraId="2679FBC8">
      <w:pPr>
        <w:spacing w:line="360" w:lineRule="auto"/>
        <w:rPr>
          <w:rFonts w:hint="eastAsia"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lang w:eastAsia="zh-CN"/>
        </w:rPr>
        <w:t>代表人：（签字或盖章）</w:t>
      </w:r>
      <w:r>
        <w:rPr>
          <w:rFonts w:hint="eastAsia" w:ascii="宋体" w:hAnsi="宋体" w:eastAsia="宋体"/>
          <w:color w:val="auto"/>
          <w:sz w:val="24"/>
          <w:szCs w:val="24"/>
          <w:highlight w:val="none"/>
          <w:u w:val="single"/>
          <w:lang w:eastAsia="zh-CN"/>
        </w:rPr>
        <w:t xml:space="preserve">                                       </w:t>
      </w:r>
    </w:p>
    <w:p w14:paraId="4C3DC0D4">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分工内容：</w:t>
      </w:r>
      <w:r>
        <w:rPr>
          <w:rFonts w:hint="eastAsia" w:ascii="宋体" w:hAnsi="宋体" w:eastAsia="宋体"/>
          <w:color w:val="auto"/>
          <w:sz w:val="24"/>
          <w:szCs w:val="24"/>
          <w:highlight w:val="none"/>
          <w:u w:val="single"/>
          <w:lang w:eastAsia="zh-CN"/>
        </w:rPr>
        <w:t xml:space="preserve">                                                  </w:t>
      </w:r>
    </w:p>
    <w:p w14:paraId="17EFA1DD">
      <w:pPr>
        <w:spacing w:line="360" w:lineRule="auto"/>
        <w:rPr>
          <w:rFonts w:hint="eastAsia" w:ascii="宋体" w:hAnsi="宋体" w:eastAsia="宋体"/>
          <w:color w:val="auto"/>
          <w:sz w:val="24"/>
          <w:szCs w:val="24"/>
          <w:highlight w:val="none"/>
          <w:lang w:eastAsia="zh-CN"/>
        </w:rPr>
      </w:pPr>
    </w:p>
    <w:p w14:paraId="3E41BFDD">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投标人：（盖章）</w:t>
      </w:r>
      <w:r>
        <w:rPr>
          <w:rFonts w:hint="eastAsia" w:ascii="宋体" w:hAnsi="宋体" w:eastAsia="宋体"/>
          <w:color w:val="auto"/>
          <w:sz w:val="24"/>
          <w:szCs w:val="24"/>
          <w:highlight w:val="none"/>
          <w:u w:val="single"/>
          <w:lang w:eastAsia="zh-CN"/>
        </w:rPr>
        <w:t xml:space="preserve">                                             </w:t>
      </w:r>
    </w:p>
    <w:p w14:paraId="72AD97B3">
      <w:pPr>
        <w:spacing w:line="360" w:lineRule="auto"/>
        <w:rPr>
          <w:rFonts w:hint="eastAsia" w:ascii="宋体" w:hAnsi="宋体" w:eastAsia="宋体"/>
          <w:color w:val="auto"/>
          <w:sz w:val="24"/>
          <w:szCs w:val="24"/>
          <w:highlight w:val="none"/>
          <w:u w:val="single"/>
          <w:lang w:eastAsia="zh-CN"/>
        </w:rPr>
      </w:pPr>
      <w:r>
        <w:rPr>
          <w:rFonts w:hint="eastAsia" w:ascii="宋体" w:hAnsi="宋体" w:eastAsia="宋体"/>
          <w:color w:val="auto"/>
          <w:sz w:val="24"/>
          <w:szCs w:val="24"/>
          <w:highlight w:val="none"/>
          <w:lang w:eastAsia="zh-CN"/>
        </w:rPr>
        <w:t>法定代表人：（签字或盖章）</w:t>
      </w:r>
      <w:r>
        <w:rPr>
          <w:rFonts w:hint="eastAsia" w:ascii="宋体" w:hAnsi="宋体" w:eastAsia="宋体"/>
          <w:color w:val="auto"/>
          <w:sz w:val="24"/>
          <w:szCs w:val="24"/>
          <w:highlight w:val="none"/>
          <w:u w:val="single"/>
          <w:lang w:eastAsia="zh-CN"/>
        </w:rPr>
        <w:t xml:space="preserve">                                   </w:t>
      </w:r>
    </w:p>
    <w:p w14:paraId="1DF16978">
      <w:pPr>
        <w:spacing w:line="360" w:lineRule="auto"/>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eastAsia="zh-CN"/>
        </w:rPr>
        <w:t>分工内容：</w:t>
      </w:r>
      <w:r>
        <w:rPr>
          <w:rFonts w:hint="eastAsia" w:ascii="宋体" w:hAnsi="宋体" w:eastAsia="宋体"/>
          <w:color w:val="auto"/>
          <w:sz w:val="24"/>
          <w:szCs w:val="24"/>
          <w:highlight w:val="none"/>
          <w:u w:val="single"/>
          <w:lang w:eastAsia="zh-CN"/>
        </w:rPr>
        <w:t xml:space="preserve">                                                  </w:t>
      </w:r>
    </w:p>
    <w:p w14:paraId="2BC45174">
      <w:pPr>
        <w:rPr>
          <w:rFonts w:hint="eastAsia" w:ascii="宋体" w:hAnsi="宋体" w:eastAsia="宋体" w:cs="Times New Roman"/>
          <w:color w:val="auto"/>
          <w:sz w:val="24"/>
          <w:szCs w:val="24"/>
          <w:highlight w:val="none"/>
          <w:lang w:eastAsia="zh-CN"/>
        </w:rPr>
      </w:pPr>
    </w:p>
    <w:p w14:paraId="6B3C7AF5">
      <w:pPr>
        <w:pStyle w:val="4"/>
        <w:spacing w:before="20"/>
        <w:ind w:left="0" w:firstLine="0"/>
        <w:jc w:val="center"/>
        <w:rPr>
          <w:rFonts w:hint="eastAsia" w:ascii="宋体" w:hAnsi="宋体" w:eastAsia="宋体" w:cs="宋体"/>
          <w:b/>
          <w:bCs/>
          <w:sz w:val="32"/>
          <w:szCs w:val="32"/>
          <w:highlight w:val="none"/>
          <w:lang w:eastAsia="zh-CN"/>
        </w:rPr>
      </w:pPr>
      <w:r>
        <w:rPr>
          <w:rFonts w:ascii="宋体" w:hAnsi="宋体" w:eastAsia="宋体"/>
          <w:color w:val="auto"/>
          <w:sz w:val="20"/>
          <w:szCs w:val="20"/>
          <w:highlight w:val="none"/>
          <w:lang w:eastAsia="zh-CN"/>
        </w:rPr>
        <w:br w:type="page"/>
      </w:r>
      <w:r>
        <w:rPr>
          <w:rFonts w:hint="eastAsia" w:ascii="宋体" w:hAnsi="宋体" w:eastAsia="宋体" w:cs="宋体"/>
          <w:b/>
          <w:bCs/>
          <w:sz w:val="32"/>
          <w:szCs w:val="32"/>
          <w:highlight w:val="none"/>
          <w:lang w:eastAsia="zh-CN"/>
        </w:rPr>
        <w:t>（三）投标人声明</w:t>
      </w:r>
    </w:p>
    <w:p w14:paraId="1C1E1857">
      <w:pPr>
        <w:pStyle w:val="57"/>
        <w:spacing w:line="400" w:lineRule="exact"/>
        <w:ind w:firstLine="0"/>
        <w:rPr>
          <w:rFonts w:ascii="宋体" w:hAnsi="宋体" w:eastAsia="宋体"/>
          <w:color w:val="auto"/>
          <w:sz w:val="24"/>
          <w:szCs w:val="24"/>
          <w:highlight w:val="none"/>
        </w:rPr>
      </w:pPr>
    </w:p>
    <w:p w14:paraId="1622E5F1">
      <w:pPr>
        <w:pStyle w:val="57"/>
        <w:ind w:firstLine="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广州市建设工程招标管理办公室：</w:t>
      </w:r>
    </w:p>
    <w:p w14:paraId="6E0F6B5E">
      <w:pPr>
        <w:pStyle w:val="57"/>
        <w:ind w:firstLine="0"/>
        <w:jc w:val="left"/>
        <w:rPr>
          <w:rFonts w:ascii="宋体" w:hAnsi="宋体" w:eastAsia="宋体"/>
          <w:color w:val="auto"/>
          <w:sz w:val="24"/>
          <w:szCs w:val="24"/>
          <w:highlight w:val="none"/>
        </w:rPr>
      </w:pPr>
      <w:r>
        <w:rPr>
          <w:rFonts w:hint="eastAsia" w:ascii="宋体" w:hAnsi="宋体" w:eastAsia="宋体"/>
          <w:color w:val="auto"/>
          <w:sz w:val="24"/>
          <w:szCs w:val="24"/>
          <w:highlight w:val="none"/>
        </w:rPr>
        <w:t>广州交易集团有限公司（广州公共资源交易中心）：</w:t>
      </w:r>
    </w:p>
    <w:p w14:paraId="0EACD9E6">
      <w:pPr>
        <w:pStyle w:val="57"/>
        <w:ind w:firstLine="0"/>
        <w:rPr>
          <w:rFonts w:ascii="宋体" w:hAnsi="宋体" w:eastAsia="宋体"/>
          <w:color w:val="auto"/>
          <w:sz w:val="24"/>
          <w:szCs w:val="24"/>
          <w:highlight w:val="none"/>
        </w:rPr>
      </w:pPr>
      <w:r>
        <w:rPr>
          <w:rFonts w:hint="eastAsia" w:ascii="宋体" w:hAnsi="宋体" w:eastAsia="宋体"/>
          <w:color w:val="auto"/>
          <w:sz w:val="24"/>
          <w:szCs w:val="24"/>
          <w:highlight w:val="none"/>
          <w:lang w:eastAsia="zh-CN"/>
        </w:rPr>
        <w:t>广州珠江啤酒股份有限公司</w:t>
      </w:r>
      <w:r>
        <w:rPr>
          <w:rFonts w:hint="eastAsia" w:ascii="宋体" w:hAnsi="宋体" w:eastAsia="宋体"/>
          <w:color w:val="auto"/>
          <w:sz w:val="24"/>
          <w:szCs w:val="24"/>
          <w:highlight w:val="none"/>
        </w:rPr>
        <w:t>：</w:t>
      </w:r>
    </w:p>
    <w:p w14:paraId="512DD1ED">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3B64C55D">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6D3B8A32">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二、本公司保证不与其他单位围标、串标，不出让投标资格，不向招标人或评标委员会成员行贿。</w:t>
      </w:r>
    </w:p>
    <w:p w14:paraId="178A0B6B">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三、本公司不存在招标文件第二章投标人须知第</w:t>
      </w:r>
      <w:r>
        <w:rPr>
          <w:rFonts w:ascii="宋体" w:hAnsi="宋体" w:eastAsia="宋体"/>
          <w:color w:val="auto"/>
          <w:sz w:val="24"/>
          <w:szCs w:val="24"/>
          <w:highlight w:val="none"/>
        </w:rPr>
        <w:t>1.4.3</w:t>
      </w:r>
      <w:r>
        <w:rPr>
          <w:rFonts w:hint="eastAsia" w:ascii="宋体" w:hAnsi="宋体" w:eastAsia="宋体"/>
          <w:color w:val="auto"/>
          <w:sz w:val="24"/>
          <w:szCs w:val="24"/>
          <w:highlight w:val="none"/>
        </w:rPr>
        <w:t>项所规定的任何一种情形。没有处于被本地建设行政主管部门取消投标资格的处罚期内。与招标人过去</w:t>
      </w:r>
      <w:r>
        <w:rPr>
          <w:rFonts w:ascii="宋体" w:hAnsi="宋体" w:eastAsia="宋体"/>
          <w:color w:val="auto"/>
          <w:sz w:val="24"/>
          <w:szCs w:val="24"/>
          <w:highlight w:val="none"/>
        </w:rPr>
        <w:t>3</w:t>
      </w:r>
      <w:r>
        <w:rPr>
          <w:rFonts w:hint="eastAsia" w:ascii="宋体" w:hAnsi="宋体" w:eastAsia="宋体"/>
          <w:color w:val="auto"/>
          <w:sz w:val="24"/>
          <w:szCs w:val="24"/>
          <w:highlight w:val="none"/>
        </w:rPr>
        <w:t>年内无合同履约纠纷。</w:t>
      </w:r>
    </w:p>
    <w:p w14:paraId="55D9C26C">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四、本公司及其有隶属关系的机构，没有参加本项目招标文件的编写工作；本公司与本次招标的招标代理机构没有隶属关系或其他利害关系；</w:t>
      </w:r>
    </w:p>
    <w:p w14:paraId="0AD3903F">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承诺，中标后严格执行安全生产相关管理规定。我单位已充分了解本项目的投资规模、建设内容、建设标准及相关风险，如中标，我单位保证按照招标文件规定的投资控制要求、质量要求、工期要求完成设计项目。</w:t>
      </w:r>
    </w:p>
    <w:p w14:paraId="05746091">
      <w:pPr>
        <w:pStyle w:val="57"/>
        <w:ind w:firstLine="482" w:firstLineChars="200"/>
        <w:rPr>
          <w:rFonts w:ascii="宋体" w:hAnsi="宋体" w:eastAsia="宋体"/>
          <w:b/>
          <w:color w:val="auto"/>
          <w:sz w:val="24"/>
          <w:szCs w:val="24"/>
          <w:highlight w:val="none"/>
        </w:rPr>
      </w:pPr>
      <w:r>
        <w:rPr>
          <w:rFonts w:hint="eastAsia" w:ascii="宋体" w:hAnsi="宋体" w:eastAsia="宋体"/>
          <w:b/>
          <w:color w:val="auto"/>
          <w:sz w:val="24"/>
          <w:szCs w:val="24"/>
          <w:highlight w:val="none"/>
        </w:rPr>
        <w:t>六、与本公司单位负责人为同一人或者与本公司存在控股、管理关系的其他单位包括：</w:t>
      </w:r>
      <w:r>
        <w:rPr>
          <w:rFonts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u w:val="single"/>
          <w:lang w:val="en-US" w:eastAsia="zh-CN"/>
        </w:rPr>
        <w:t xml:space="preserve">     </w:t>
      </w:r>
      <w:r>
        <w:rPr>
          <w:rFonts w:ascii="宋体" w:hAnsi="宋体" w:eastAsia="宋体"/>
          <w:b/>
          <w:color w:val="auto"/>
          <w:sz w:val="24"/>
          <w:szCs w:val="24"/>
          <w:highlight w:val="none"/>
          <w:u w:val="single"/>
        </w:rPr>
        <w:t xml:space="preserve">   </w:t>
      </w:r>
      <w:r>
        <w:rPr>
          <w:rFonts w:hint="eastAsia" w:ascii="宋体" w:hAnsi="宋体" w:eastAsia="宋体"/>
          <w:b/>
          <w:color w:val="auto"/>
          <w:sz w:val="24"/>
          <w:szCs w:val="24"/>
          <w:highlight w:val="none"/>
        </w:rPr>
        <w:t>。（注：本条由投标人如实填写，如有，应列出全部满足招标公告资质要求的相关单位的名称；如无，则填写</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无</w:t>
      </w:r>
      <w:r>
        <w:rPr>
          <w:rFonts w:ascii="宋体" w:hAnsi="宋体" w:eastAsia="宋体"/>
          <w:b/>
          <w:color w:val="auto"/>
          <w:sz w:val="24"/>
          <w:szCs w:val="24"/>
          <w:highlight w:val="none"/>
        </w:rPr>
        <w:t>”</w:t>
      </w:r>
      <w:r>
        <w:rPr>
          <w:rFonts w:hint="eastAsia" w:ascii="宋体" w:hAnsi="宋体" w:eastAsia="宋体"/>
          <w:b/>
          <w:color w:val="auto"/>
          <w:sz w:val="24"/>
          <w:szCs w:val="24"/>
          <w:highlight w:val="none"/>
        </w:rPr>
        <w:t>。）</w:t>
      </w:r>
    </w:p>
    <w:p w14:paraId="1E6A474A">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已经对投标时拟投入本项目的管理团队和专业技术人员进行了自查，保证拟投入的所有人员都是本单位正式人员，都在本单位缴纳社保，不存在持证人注册单位与实际工作单位不符、买卖租借（专业）资格（注册）证书等</w:t>
      </w:r>
      <w:r>
        <w:rPr>
          <w:rFonts w:ascii="宋体" w:hAnsi="宋体" w:eastAsia="宋体"/>
          <w:color w:val="auto"/>
          <w:sz w:val="24"/>
          <w:szCs w:val="24"/>
          <w:highlight w:val="none"/>
        </w:rPr>
        <w:t>“</w:t>
      </w:r>
      <w:r>
        <w:rPr>
          <w:rFonts w:hint="eastAsia" w:ascii="宋体" w:hAnsi="宋体" w:eastAsia="宋体"/>
          <w:color w:val="auto"/>
          <w:sz w:val="24"/>
          <w:szCs w:val="24"/>
          <w:highlight w:val="none"/>
        </w:rPr>
        <w:t>挂证</w:t>
      </w:r>
      <w:r>
        <w:rPr>
          <w:rFonts w:ascii="宋体" w:hAnsi="宋体" w:eastAsia="宋体"/>
          <w:color w:val="auto"/>
          <w:sz w:val="24"/>
          <w:szCs w:val="24"/>
          <w:highlight w:val="none"/>
        </w:rPr>
        <w:t>”</w:t>
      </w:r>
      <w:r>
        <w:rPr>
          <w:rFonts w:hint="eastAsia" w:ascii="宋体" w:hAnsi="宋体" w:eastAsia="宋体"/>
          <w:color w:val="auto"/>
          <w:sz w:val="24"/>
          <w:szCs w:val="24"/>
          <w:highlight w:val="none"/>
        </w:rPr>
        <w:t>违法违规行为。</w:t>
      </w:r>
    </w:p>
    <w:p w14:paraId="43918354">
      <w:pPr>
        <w:pStyle w:val="57"/>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本公司违反上述保证，或本声明陈述与事实不符，经查实，本公司愿意接受公开通报，记录不良行为，承担由此带来的法律后果。其中，本声明陈述与事实不符的，属于弄虚作假骗取中标，将依法接受监管部门的处罚。</w:t>
      </w:r>
    </w:p>
    <w:p w14:paraId="7434FE2D">
      <w:pPr>
        <w:pStyle w:val="57"/>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3D5E5002">
      <w:pPr>
        <w:pStyle w:val="57"/>
        <w:ind w:firstLine="0"/>
        <w:rPr>
          <w:rFonts w:ascii="宋体" w:hAnsi="宋体" w:eastAsia="宋体"/>
          <w:color w:val="auto"/>
          <w:sz w:val="24"/>
          <w:szCs w:val="24"/>
          <w:highlight w:val="none"/>
        </w:rPr>
      </w:pPr>
    </w:p>
    <w:p w14:paraId="578434F6">
      <w:pPr>
        <w:pStyle w:val="11"/>
        <w:kinsoku w:val="0"/>
        <w:overflowPunct w:val="0"/>
        <w:spacing w:line="360" w:lineRule="auto"/>
        <w:ind w:left="0" w:firstLine="3840" w:firstLineChars="1600"/>
        <w:rPr>
          <w:b w:val="0"/>
          <w:bCs/>
          <w:color w:val="auto"/>
          <w:sz w:val="24"/>
          <w:szCs w:val="24"/>
          <w:highlight w:val="none"/>
          <w:lang w:eastAsia="zh-CN"/>
        </w:rPr>
      </w:pPr>
      <w:r>
        <w:rPr>
          <w:rFonts w:hint="eastAsia"/>
          <w:b w:val="0"/>
          <w:bCs/>
          <w:color w:val="auto"/>
          <w:sz w:val="24"/>
          <w:szCs w:val="24"/>
          <w:highlight w:val="none"/>
          <w:lang w:eastAsia="zh-CN"/>
        </w:rPr>
        <w:t>投标</w:t>
      </w:r>
      <w:r>
        <w:rPr>
          <w:rFonts w:hint="eastAsia"/>
          <w:b w:val="0"/>
          <w:bCs/>
          <w:color w:val="auto"/>
          <w:spacing w:val="-2"/>
          <w:sz w:val="24"/>
          <w:szCs w:val="24"/>
          <w:highlight w:val="none"/>
          <w:lang w:eastAsia="zh-CN"/>
        </w:rPr>
        <w:t>人：</w:t>
      </w:r>
      <w:r>
        <w:rPr>
          <w:rFonts w:hint="eastAsia"/>
          <w:b w:val="0"/>
          <w:bCs/>
          <w:color w:val="auto"/>
          <w:spacing w:val="-2"/>
          <w:sz w:val="24"/>
          <w:szCs w:val="24"/>
          <w:highlight w:val="none"/>
          <w:u w:val="single"/>
          <w:lang w:eastAsia="zh-CN"/>
        </w:rPr>
        <w:t xml:space="preserve">   </w:t>
      </w:r>
      <w:r>
        <w:rPr>
          <w:rFonts w:hint="eastAsia"/>
          <w:b w:val="0"/>
          <w:bCs/>
          <w:color w:val="auto"/>
          <w:spacing w:val="-2"/>
          <w:sz w:val="24"/>
          <w:szCs w:val="24"/>
          <w:highlight w:val="none"/>
          <w:u w:val="single"/>
          <w:lang w:val="en-US" w:eastAsia="zh-CN"/>
        </w:rPr>
        <w:t xml:space="preserve">            </w:t>
      </w:r>
      <w:r>
        <w:rPr>
          <w:rFonts w:hint="eastAsia"/>
          <w:b w:val="0"/>
          <w:bCs/>
          <w:color w:val="auto"/>
          <w:spacing w:val="-2"/>
          <w:sz w:val="24"/>
          <w:szCs w:val="24"/>
          <w:highlight w:val="none"/>
          <w:u w:val="single"/>
          <w:lang w:eastAsia="zh-CN"/>
        </w:rPr>
        <w:t xml:space="preserve">   </w:t>
      </w:r>
    </w:p>
    <w:p w14:paraId="0D8B1279">
      <w:pPr>
        <w:pStyle w:val="57"/>
        <w:ind w:firstLine="4080" w:firstLineChars="1700"/>
        <w:jc w:val="left"/>
        <w:rPr>
          <w:rFonts w:ascii="宋体" w:hAnsi="宋体" w:eastAsia="宋体"/>
          <w:bCs/>
          <w:color w:val="auto"/>
          <w:sz w:val="24"/>
          <w:szCs w:val="24"/>
          <w:highlight w:val="none"/>
        </w:rPr>
      </w:pP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 xml:space="preserve">  </w:t>
      </w:r>
      <w:r>
        <w:rPr>
          <w:rFonts w:hint="eastAsia" w:ascii="宋体" w:hAnsi="宋体" w:cs="宋体"/>
          <w:bCs/>
          <w:sz w:val="24"/>
          <w:szCs w:val="24"/>
          <w:highlight w:val="none"/>
          <w:u w:val="single"/>
          <w:lang w:val="en-US" w:eastAsia="zh-CN"/>
        </w:rPr>
        <w:t xml:space="preserve"> </w:t>
      </w:r>
      <w:r>
        <w:rPr>
          <w:rFonts w:hint="eastAsia" w:ascii="宋体" w:hAnsi="宋体" w:cs="宋体"/>
          <w:bCs/>
          <w:sz w:val="24"/>
          <w:szCs w:val="24"/>
          <w:highlight w:val="none"/>
          <w:u w:val="single"/>
        </w:rPr>
        <w:t xml:space="preserve">  </w:t>
      </w:r>
      <w:r>
        <w:rPr>
          <w:rFonts w:hint="eastAsia" w:ascii="宋体" w:hAnsi="宋体" w:eastAsia="宋体"/>
          <w:b w:val="0"/>
          <w:bCs/>
          <w:color w:val="auto"/>
          <w:sz w:val="24"/>
          <w:szCs w:val="24"/>
          <w:highlight w:val="none"/>
        </w:rPr>
        <w:t>年</w:t>
      </w:r>
      <w:r>
        <w:rPr>
          <w:rFonts w:ascii="宋体" w:hAnsi="宋体" w:eastAsia="宋体"/>
          <w:b w:val="0"/>
          <w:bCs/>
          <w:color w:val="auto"/>
          <w:sz w:val="24"/>
          <w:szCs w:val="24"/>
          <w:highlight w:val="none"/>
          <w:u w:val="single"/>
        </w:rPr>
        <w:tab/>
      </w:r>
      <w:r>
        <w:rPr>
          <w:rFonts w:hint="eastAsia" w:ascii="宋体" w:hAnsi="宋体" w:eastAsia="宋体"/>
          <w:b w:val="0"/>
          <w:bCs/>
          <w:color w:val="auto"/>
          <w:sz w:val="24"/>
          <w:szCs w:val="24"/>
          <w:highlight w:val="none"/>
        </w:rPr>
        <w:t>月</w:t>
      </w:r>
      <w:r>
        <w:rPr>
          <w:rFonts w:ascii="宋体" w:hAnsi="宋体" w:eastAsia="宋体"/>
          <w:b w:val="0"/>
          <w:bCs/>
          <w:color w:val="auto"/>
          <w:sz w:val="24"/>
          <w:szCs w:val="24"/>
          <w:highlight w:val="none"/>
          <w:u w:val="single"/>
        </w:rPr>
        <w:tab/>
      </w:r>
      <w:r>
        <w:rPr>
          <w:rFonts w:hint="eastAsia" w:ascii="宋体" w:hAnsi="宋体" w:eastAsia="宋体"/>
          <w:b w:val="0"/>
          <w:bCs/>
          <w:color w:val="auto"/>
          <w:sz w:val="24"/>
          <w:szCs w:val="24"/>
          <w:highlight w:val="none"/>
        </w:rPr>
        <w:t>日</w:t>
      </w:r>
    </w:p>
    <w:p w14:paraId="74449BDE">
      <w:pPr>
        <w:pStyle w:val="20"/>
        <w:rPr>
          <w:rFonts w:hint="eastAsia"/>
          <w:highlight w:val="none"/>
          <w:lang w:val="en-US" w:eastAsia="zh-CN"/>
        </w:rPr>
      </w:pPr>
    </w:p>
    <w:p w14:paraId="71F7DEAC">
      <w:pPr>
        <w:jc w:val="both"/>
        <w:rPr>
          <w:rFonts w:hint="eastAsia" w:ascii="宋体" w:hAnsi="宋体" w:eastAsia="宋体" w:cs="Times New Roman"/>
          <w:sz w:val="24"/>
          <w:szCs w:val="24"/>
          <w:highlight w:val="none"/>
          <w:lang w:val="en-US" w:eastAsia="zh-CN"/>
        </w:rPr>
        <w:sectPr>
          <w:footerReference r:id="rId11" w:type="default"/>
          <w:pgSz w:w="11905" w:h="16838"/>
          <w:pgMar w:top="1440" w:right="1440" w:bottom="1440" w:left="1440" w:header="850" w:footer="794" w:gutter="0"/>
          <w:pgNumType w:fmt="decimal"/>
          <w:cols w:space="720" w:num="1"/>
          <w:docGrid w:type="lines" w:linePitch="333" w:charSpace="0"/>
        </w:sectPr>
      </w:pPr>
    </w:p>
    <w:p w14:paraId="1AFEEF8F">
      <w:pPr>
        <w:pStyle w:val="2"/>
        <w:keepNext w:val="0"/>
        <w:keepLines w:val="0"/>
        <w:spacing w:before="260" w:after="0" w:line="360" w:lineRule="auto"/>
        <w:ind w:left="0"/>
        <w:jc w:val="center"/>
        <w:rPr>
          <w:rFonts w:hint="eastAsia" w:ascii="宋体" w:hAnsi="宋体" w:eastAsia="宋体" w:cs="宋体"/>
          <w:b/>
          <w:bCs w:val="0"/>
          <w:sz w:val="32"/>
          <w:szCs w:val="20"/>
          <w:highlight w:val="none"/>
          <w:lang w:eastAsia="zh-CN"/>
        </w:rPr>
      </w:pPr>
      <w:r>
        <w:rPr>
          <w:rStyle w:val="70"/>
          <w:rFonts w:hint="eastAsia" w:ascii="宋体" w:hAnsi="宋体" w:eastAsia="宋体" w:cs="宋体"/>
          <w:b/>
          <w:bCs w:val="0"/>
          <w:sz w:val="32"/>
          <w:szCs w:val="20"/>
          <w:highlight w:val="none"/>
          <w:lang w:val="en-US"/>
        </w:rPr>
        <w:t>六</w:t>
      </w:r>
      <w:r>
        <w:rPr>
          <w:rStyle w:val="70"/>
          <w:rFonts w:hint="eastAsia" w:ascii="宋体" w:hAnsi="宋体" w:eastAsia="宋体" w:cs="宋体"/>
          <w:b/>
          <w:bCs w:val="0"/>
          <w:sz w:val="32"/>
          <w:szCs w:val="20"/>
          <w:highlight w:val="none"/>
        </w:rPr>
        <w:t>、定标文件（格式由投标人自拟）</w:t>
      </w:r>
      <w:bookmarkEnd w:id="124"/>
    </w:p>
    <w:p w14:paraId="1180059F">
      <w:pPr>
        <w:jc w:val="both"/>
        <w:rPr>
          <w:rFonts w:hint="eastAsia" w:ascii="宋体" w:hAnsi="宋体" w:eastAsia="宋体" w:cs="Times New Roman"/>
          <w:sz w:val="24"/>
          <w:szCs w:val="24"/>
          <w:highlight w:val="none"/>
          <w:lang w:val="en-US" w:eastAsia="zh-CN"/>
        </w:rPr>
      </w:pPr>
    </w:p>
    <w:p w14:paraId="403CD038">
      <w:pPr>
        <w:jc w:val="both"/>
        <w:rPr>
          <w:rFonts w:hint="eastAsia" w:ascii="宋体" w:hAnsi="宋体" w:eastAsia="宋体" w:cs="Times New Roman"/>
          <w:sz w:val="24"/>
          <w:szCs w:val="24"/>
          <w:highlight w:val="none"/>
          <w:lang w:val="en-US" w:eastAsia="zh-CN"/>
        </w:rPr>
      </w:pPr>
    </w:p>
    <w:p w14:paraId="6995691E">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定标部分文件</w:t>
      </w:r>
      <w:r>
        <w:rPr>
          <w:rFonts w:hint="eastAsia" w:ascii="宋体" w:hAnsi="宋体" w:eastAsia="宋体" w:cs="宋体"/>
          <w:color w:val="auto"/>
          <w:sz w:val="24"/>
          <w:szCs w:val="24"/>
          <w:highlight w:val="none"/>
        </w:rPr>
        <w:t>格式由投标人自拟，内容</w:t>
      </w:r>
      <w:r>
        <w:rPr>
          <w:rFonts w:hint="eastAsia" w:ascii="宋体" w:hAnsi="宋体" w:eastAsia="宋体" w:cs="宋体"/>
          <w:color w:val="auto"/>
          <w:sz w:val="24"/>
          <w:szCs w:val="24"/>
          <w:highlight w:val="none"/>
          <w:lang w:val="zh-CN"/>
        </w:rPr>
        <w:t>包括但不限于：</w:t>
      </w:r>
    </w:p>
    <w:p w14:paraId="61CED2B7">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定标因素评审表中</w:t>
      </w:r>
      <w:r>
        <w:rPr>
          <w:rFonts w:hint="eastAsia" w:ascii="宋体" w:hAnsi="宋体" w:eastAsia="宋体" w:cs="宋体"/>
          <w:color w:val="auto"/>
          <w:sz w:val="24"/>
          <w:szCs w:val="24"/>
          <w:highlight w:val="none"/>
          <w:lang w:val="en-US" w:eastAsia="zh-CN"/>
        </w:rPr>
        <w:t>商务因素、方案</w:t>
      </w:r>
      <w:r>
        <w:rPr>
          <w:rFonts w:hint="eastAsia" w:ascii="宋体" w:hAnsi="宋体" w:eastAsia="宋体" w:cs="宋体"/>
          <w:color w:val="auto"/>
          <w:sz w:val="24"/>
          <w:szCs w:val="24"/>
          <w:highlight w:val="none"/>
          <w:lang w:val="zh-CN"/>
        </w:rPr>
        <w:t>因素（含设计概念、使用功能、主要节点展示图等）、</w:t>
      </w:r>
      <w:r>
        <w:rPr>
          <w:rFonts w:hint="eastAsia" w:ascii="宋体" w:hAnsi="宋体" w:eastAsia="宋体" w:cs="宋体"/>
          <w:color w:val="auto"/>
          <w:sz w:val="24"/>
          <w:szCs w:val="24"/>
          <w:highlight w:val="none"/>
          <w:lang w:val="en-US" w:eastAsia="zh-CN"/>
        </w:rPr>
        <w:t>答辩因素、价格</w:t>
      </w:r>
      <w:r>
        <w:rPr>
          <w:rFonts w:hint="eastAsia" w:ascii="宋体" w:hAnsi="宋体" w:eastAsia="宋体" w:cs="宋体"/>
          <w:color w:val="auto"/>
          <w:sz w:val="24"/>
          <w:szCs w:val="24"/>
          <w:highlight w:val="none"/>
        </w:rPr>
        <w:t>因素</w:t>
      </w:r>
      <w:r>
        <w:rPr>
          <w:rFonts w:hint="eastAsia" w:ascii="宋体" w:hAnsi="宋体" w:eastAsia="宋体" w:cs="宋体"/>
          <w:color w:val="auto"/>
          <w:sz w:val="24"/>
          <w:szCs w:val="24"/>
          <w:highlight w:val="none"/>
          <w:lang w:val="zh-CN"/>
        </w:rPr>
        <w:t>的要求。</w:t>
      </w:r>
    </w:p>
    <w:p w14:paraId="1B38A838">
      <w:pPr>
        <w:keepNext w:val="0"/>
        <w:keepLines w:val="0"/>
        <w:pageBreakBefore w:val="0"/>
        <w:widowControl w:val="0"/>
        <w:kinsoku/>
        <w:wordWrap/>
        <w:overflowPunct/>
        <w:topLinePunct/>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2、投标人认为需补充的其他资料</w:t>
      </w:r>
    </w:p>
    <w:p w14:paraId="753C81D0">
      <w:pPr>
        <w:jc w:val="both"/>
        <w:rPr>
          <w:rFonts w:hint="eastAsia" w:ascii="宋体" w:hAnsi="宋体" w:eastAsia="宋体" w:cs="Times New Roman"/>
          <w:sz w:val="24"/>
          <w:szCs w:val="24"/>
          <w:highlight w:val="none"/>
          <w:lang w:val="en-US" w:eastAsia="zh-CN"/>
        </w:rPr>
      </w:pPr>
    </w:p>
    <w:p w14:paraId="65BC63E8">
      <w:pPr>
        <w:jc w:val="both"/>
        <w:rPr>
          <w:rFonts w:hint="eastAsia" w:ascii="宋体" w:hAnsi="宋体" w:eastAsia="宋体" w:cs="Times New Roman"/>
          <w:sz w:val="24"/>
          <w:szCs w:val="24"/>
          <w:highlight w:val="none"/>
          <w:lang w:val="en-US" w:eastAsia="zh-CN"/>
        </w:rPr>
      </w:pPr>
    </w:p>
    <w:p w14:paraId="1EB10A79">
      <w:pPr>
        <w:jc w:val="both"/>
        <w:rPr>
          <w:rFonts w:hint="eastAsia" w:ascii="宋体" w:hAnsi="宋体" w:eastAsia="宋体" w:cs="Times New Roman"/>
          <w:sz w:val="24"/>
          <w:szCs w:val="24"/>
          <w:highlight w:val="none"/>
          <w:lang w:val="en-US" w:eastAsia="zh-CN"/>
        </w:rPr>
      </w:pPr>
      <w:r>
        <w:rPr>
          <w:rFonts w:hint="eastAsia" w:ascii="宋体" w:hAnsi="宋体" w:eastAsia="宋体" w:cs="Times New Roman"/>
          <w:sz w:val="24"/>
          <w:szCs w:val="24"/>
          <w:highlight w:val="none"/>
          <w:lang w:val="en-US" w:eastAsia="zh-CN"/>
        </w:rPr>
        <w:br w:type="page"/>
      </w:r>
    </w:p>
    <w:p w14:paraId="09DC5F75">
      <w:pPr>
        <w:pStyle w:val="5"/>
        <w:rPr>
          <w:rFonts w:hint="eastAsia"/>
          <w:highlight w:val="none"/>
          <w:lang w:val="en-US" w:eastAsia="zh-CN"/>
        </w:rPr>
      </w:pPr>
    </w:p>
    <w:bookmarkEnd w:id="121"/>
    <w:bookmarkEnd w:id="125"/>
    <w:bookmarkEnd w:id="126"/>
    <w:bookmarkEnd w:id="127"/>
    <w:p w14:paraId="1ED5B420">
      <w:pPr>
        <w:pStyle w:val="2"/>
        <w:keepNext w:val="0"/>
        <w:keepLines w:val="0"/>
        <w:spacing w:before="260" w:after="0" w:line="360" w:lineRule="auto"/>
        <w:ind w:left="0"/>
        <w:jc w:val="center"/>
        <w:rPr>
          <w:rFonts w:hint="eastAsia" w:ascii="宋体" w:hAnsi="宋体" w:eastAsia="宋体" w:cs="宋体"/>
          <w:b/>
          <w:sz w:val="32"/>
          <w:szCs w:val="20"/>
          <w:highlight w:val="none"/>
          <w:shd w:val="clear" w:color="auto" w:fill="auto"/>
          <w:lang w:eastAsia="zh-CN"/>
        </w:rPr>
      </w:pPr>
      <w:bookmarkStart w:id="128" w:name="_Toc9211"/>
      <w:bookmarkStart w:id="129" w:name="_Toc5585"/>
      <w:bookmarkStart w:id="130" w:name="_Toc3632"/>
      <w:bookmarkStart w:id="131" w:name="_Toc28418"/>
      <w:bookmarkStart w:id="132" w:name="_Toc27297"/>
      <w:bookmarkStart w:id="133" w:name="_Toc30784_WPSOffice_Level1"/>
      <w:bookmarkStart w:id="134" w:name="_Toc29095_WPSOffice_Level1"/>
      <w:bookmarkStart w:id="135" w:name="_Toc22820_WPSOffice_Level1"/>
      <w:bookmarkStart w:id="136" w:name="_Toc29199"/>
      <w:bookmarkStart w:id="137" w:name="_Toc9319_WPSOffice_Level1"/>
      <w:bookmarkStart w:id="138" w:name="_Toc15159"/>
      <w:bookmarkStart w:id="139" w:name="_Toc2221"/>
      <w:r>
        <w:rPr>
          <w:rFonts w:hint="eastAsia" w:ascii="宋体" w:hAnsi="宋体" w:eastAsia="宋体" w:cs="宋体"/>
          <w:b/>
          <w:sz w:val="32"/>
          <w:szCs w:val="20"/>
          <w:highlight w:val="none"/>
          <w:lang w:val="en-US" w:eastAsia="zh-CN"/>
        </w:rPr>
        <w:t>七</w:t>
      </w:r>
      <w:r>
        <w:rPr>
          <w:rFonts w:hint="eastAsia" w:ascii="宋体" w:hAnsi="宋体" w:eastAsia="宋体" w:cs="宋体"/>
          <w:b/>
          <w:sz w:val="32"/>
          <w:szCs w:val="20"/>
          <w:highlight w:val="none"/>
          <w:lang w:eastAsia="zh-CN"/>
        </w:rPr>
        <w:t>、</w:t>
      </w:r>
      <w:bookmarkEnd w:id="128"/>
      <w:bookmarkEnd w:id="129"/>
      <w:bookmarkEnd w:id="130"/>
      <w:r>
        <w:rPr>
          <w:rFonts w:hint="eastAsia" w:ascii="宋体" w:hAnsi="宋体" w:eastAsia="宋体" w:cs="宋体"/>
          <w:b/>
          <w:sz w:val="32"/>
          <w:szCs w:val="20"/>
          <w:highlight w:val="none"/>
          <w:lang w:eastAsia="zh-CN"/>
        </w:rPr>
        <w:t>投标人根据招标文件要求认为需要提供的其他资料</w:t>
      </w:r>
      <w:bookmarkEnd w:id="131"/>
    </w:p>
    <w:p w14:paraId="4BD5311C">
      <w:pPr>
        <w:rPr>
          <w:rFonts w:hint="eastAsia" w:ascii="宋体" w:hAnsi="宋体" w:eastAsia="宋体" w:cs="宋体"/>
          <w:highlight w:val="none"/>
        </w:rPr>
      </w:pPr>
    </w:p>
    <w:p w14:paraId="40480730">
      <w:pPr>
        <w:pStyle w:val="68"/>
        <w:rPr>
          <w:rFonts w:hint="eastAsia"/>
          <w:highlight w:val="none"/>
        </w:rPr>
      </w:pPr>
    </w:p>
    <w:p w14:paraId="48FAFC8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70"/>
          <w:rFonts w:hint="eastAsia" w:ascii="宋体" w:hAnsi="宋体" w:eastAsia="宋体" w:cs="宋体"/>
          <w:sz w:val="24"/>
          <w:szCs w:val="24"/>
          <w:highlight w:val="none"/>
          <w:lang w:val="en-US" w:eastAsia="zh-CN"/>
        </w:rPr>
      </w:pPr>
      <w:r>
        <w:rPr>
          <w:rFonts w:hint="eastAsia"/>
          <w:color w:val="auto"/>
          <w:sz w:val="24"/>
          <w:szCs w:val="24"/>
          <w:highlight w:val="none"/>
        </w:rPr>
        <w:t>投标人认为有必要提交的其他资料，格式自定。</w:t>
      </w:r>
    </w:p>
    <w:p w14:paraId="70690131">
      <w:pPr>
        <w:jc w:val="both"/>
        <w:rPr>
          <w:rFonts w:hint="eastAsia" w:ascii="宋体" w:hAnsi="宋体" w:eastAsia="宋体" w:cs="Times New Roman"/>
          <w:sz w:val="24"/>
          <w:szCs w:val="24"/>
          <w:highlight w:val="none"/>
          <w:lang w:val="en-US" w:eastAsia="zh-CN"/>
        </w:rPr>
      </w:pPr>
    </w:p>
    <w:p w14:paraId="25BF2D14">
      <w:pPr>
        <w:jc w:val="both"/>
        <w:rPr>
          <w:rFonts w:hint="eastAsia" w:ascii="宋体" w:hAnsi="宋体" w:eastAsia="宋体" w:cs="Times New Roman"/>
          <w:sz w:val="24"/>
          <w:szCs w:val="24"/>
          <w:highlight w:val="none"/>
          <w:lang w:val="en-US" w:eastAsia="zh-CN"/>
        </w:rPr>
      </w:pPr>
    </w:p>
    <w:bookmarkEnd w:id="132"/>
    <w:bookmarkEnd w:id="133"/>
    <w:bookmarkEnd w:id="134"/>
    <w:bookmarkEnd w:id="135"/>
    <w:bookmarkEnd w:id="136"/>
    <w:bookmarkEnd w:id="137"/>
    <w:bookmarkEnd w:id="138"/>
    <w:bookmarkEnd w:id="139"/>
    <w:p w14:paraId="4DA1820B">
      <w:pPr>
        <w:jc w:val="both"/>
        <w:rPr>
          <w:rFonts w:hint="eastAsia" w:ascii="宋体" w:hAnsi="宋体" w:eastAsia="宋体" w:cs="Times New Roman"/>
          <w:sz w:val="24"/>
          <w:szCs w:val="24"/>
          <w:highlight w:val="none"/>
          <w:lang w:val="en-US" w:eastAsia="zh-CN"/>
        </w:rPr>
      </w:pPr>
    </w:p>
    <w:bookmarkEnd w:id="88"/>
    <w:bookmarkEnd w:id="89"/>
    <w:bookmarkEnd w:id="90"/>
    <w:bookmarkEnd w:id="100"/>
    <w:p w14:paraId="237A3DE7">
      <w:pPr>
        <w:pStyle w:val="5"/>
        <w:ind w:left="0"/>
        <w:rPr>
          <w:rFonts w:hint="eastAsia" w:ascii="宋体" w:hAnsi="宋体" w:eastAsia="宋体" w:cs="Times New Roman"/>
          <w:b w:val="0"/>
          <w:bCs w:val="0"/>
          <w:sz w:val="24"/>
          <w:szCs w:val="24"/>
          <w:highlight w:val="none"/>
          <w:lang w:eastAsia="zh-CN"/>
        </w:rPr>
      </w:pPr>
    </w:p>
    <w:bookmarkEnd w:id="140"/>
    <w:sectPr>
      <w:footerReference r:id="rId13" w:type="first"/>
      <w:footerReference r:id="rId12" w:type="default"/>
      <w:pgSz w:w="11907" w:h="16839"/>
      <w:pgMar w:top="1440" w:right="1440" w:bottom="1440" w:left="1440" w:header="794" w:footer="918" w:gutter="0"/>
      <w:cols w:space="720" w:num="1"/>
      <w:rtlGutter w:val="0"/>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listo MT">
    <w:panose1 w:val="02040603050505030304"/>
    <w:charset w:val="00"/>
    <w:family w:val="roman"/>
    <w:pitch w:val="default"/>
    <w:sig w:usb0="00000003" w:usb1="00000000" w:usb2="00000000" w:usb3="00000000" w:csb0="20000001" w:csb1="00000000"/>
  </w:font>
  <w:font w:name="Arial Unicode MS">
    <w:altName w:val="宋体"/>
    <w:panose1 w:val="020B0604020202020204"/>
    <w:charset w:val="86"/>
    <w:family w:val="swiss"/>
    <w:pitch w:val="default"/>
    <w:sig w:usb0="00000000" w:usb1="00000000" w:usb2="0000003F" w:usb3="00000000" w:csb0="603F01FF" w:csb1="FFFF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C1329">
    <w:pPr>
      <w:spacing w:line="14" w:lineRule="auto"/>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C3CF9">
    <w:pPr>
      <w:pStyle w:val="20"/>
      <w:jc w:val="center"/>
    </w:pPr>
    <w:r>
      <w:fldChar w:fldCharType="begin"/>
    </w:r>
    <w:r>
      <w:instrText xml:space="preserve"> PAGE   \* MERGEFORMAT </w:instrText>
    </w:r>
    <w:r>
      <w:fldChar w:fldCharType="separate"/>
    </w:r>
    <w:r>
      <w:rPr>
        <w:lang w:val="zh-CN"/>
      </w:rPr>
      <w:t>80</w:t>
    </w:r>
    <w:r>
      <w:fldChar w:fldCharType="end"/>
    </w:r>
  </w:p>
  <w:p w14:paraId="5E130294">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7965C">
    <w:pPr>
      <w:pStyle w:val="20"/>
      <w:jc w:val="center"/>
    </w:pPr>
    <w:r>
      <w:fldChar w:fldCharType="begin"/>
    </w:r>
    <w:r>
      <w:instrText xml:space="preserve"> PAGE   \* MERGEFORMAT </w:instrText>
    </w:r>
    <w:r>
      <w:fldChar w:fldCharType="separate"/>
    </w:r>
    <w:r>
      <w:rPr>
        <w:lang w:val="zh-CN"/>
      </w:rPr>
      <w:t>1</w:t>
    </w:r>
    <w:r>
      <w:fldChar w:fldCharType="end"/>
    </w:r>
  </w:p>
  <w:p w14:paraId="7AFCA23C">
    <w:pPr>
      <w:spacing w:line="14" w:lineRule="auto"/>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E7526">
    <w:pPr>
      <w:pStyle w:val="20"/>
      <w:jc w:val="center"/>
    </w:pPr>
    <w:r>
      <w:fldChar w:fldCharType="begin"/>
    </w:r>
    <w:r>
      <w:instrText xml:space="preserve"> PAGE   \* MERGEFORMAT </w:instrText>
    </w:r>
    <w:r>
      <w:fldChar w:fldCharType="separate"/>
    </w:r>
    <w:r>
      <w:rPr>
        <w:lang w:val="zh-CN"/>
      </w:rPr>
      <w:t>38</w:t>
    </w:r>
    <w:r>
      <w:fldChar w:fldCharType="end"/>
    </w:r>
  </w:p>
  <w:p w14:paraId="26ACB0BF">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1C30">
    <w:pPr>
      <w:pStyle w:val="20"/>
      <w:jc w:val="center"/>
    </w:pPr>
    <w:r>
      <w:fldChar w:fldCharType="begin"/>
    </w:r>
    <w:r>
      <w:instrText xml:space="preserve"> PAGE   \* MERGEFORMAT </w:instrText>
    </w:r>
    <w:r>
      <w:fldChar w:fldCharType="separate"/>
    </w:r>
    <w:r>
      <w:rPr>
        <w:lang w:val="zh-CN"/>
      </w:rPr>
      <w:t>58</w:t>
    </w:r>
    <w:r>
      <w:fldChar w:fldCharType="end"/>
    </w:r>
  </w:p>
  <w:p w14:paraId="5D914DFF">
    <w:pPr>
      <w:spacing w:line="14" w:lineRule="auto"/>
      <w:rPr>
        <w:sz w:val="20"/>
        <w:szCs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529CA">
    <w:pPr>
      <w:pStyle w:val="20"/>
      <w:jc w:val="center"/>
    </w:pPr>
    <w:r>
      <w:fldChar w:fldCharType="begin"/>
    </w:r>
    <w:r>
      <w:instrText xml:space="preserve"> PAGE   \* MERGEFORMAT </w:instrText>
    </w:r>
    <w:r>
      <w:fldChar w:fldCharType="separate"/>
    </w:r>
    <w:r>
      <w:rPr>
        <w:lang w:val="zh-CN"/>
      </w:rPr>
      <w:t>56</w:t>
    </w:r>
    <w:r>
      <w:fldChar w:fldCharType="end"/>
    </w:r>
  </w:p>
  <w:p w14:paraId="01A36BA8">
    <w:pPr>
      <w:pStyle w:val="20"/>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AAED4">
    <w:pPr>
      <w:pStyle w:val="20"/>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03425BC">
                          <w:pPr>
                            <w:pStyle w:val="20"/>
                          </w:pPr>
                          <w:r>
                            <w:fldChar w:fldCharType="begin"/>
                          </w:r>
                          <w:r>
                            <w:instrText xml:space="preserve"> PAGE  \* MERGEFORMAT </w:instrText>
                          </w:r>
                          <w:r>
                            <w:fldChar w:fldCharType="separate"/>
                          </w:r>
                          <w:r>
                            <w:t>42</w:t>
                          </w:r>
                          <w:r>
                            <w:fldChar w:fldCharType="end"/>
                          </w:r>
                        </w:p>
                      </w:txbxContent>
                    </wps:txbx>
                    <wps:bodyPr wrap="none" lIns="0" tIns="0" rIns="0" bIns="0" upright="0">
                      <a:spAutoFit/>
                    </wps:bodyPr>
                  </wps:wsp>
                </a:graphicData>
              </a:graphic>
            </wp:anchor>
          </w:drawing>
        </mc:Choice>
        <mc:Fallback>
          <w:pict>
            <v:shape id="文本框 105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BUUiTfLAQAAnAMAAA4AAAAAAAAAAQAgAAAAHgEAAGRycy9lMm9E&#10;b2MueG1sUEsFBgAAAAAGAAYAWQEAAFsFAAAAAA==&#10;">
              <v:fill on="f" focussize="0,0"/>
              <v:stroke on="f"/>
              <v:imagedata o:title=""/>
              <o:lock v:ext="edit" aspectratio="f"/>
              <v:textbox inset="0mm,0mm,0mm,0mm" style="mso-fit-shape-to-text:t;">
                <w:txbxContent>
                  <w:p w14:paraId="703425BC">
                    <w:pPr>
                      <w:pStyle w:val="20"/>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D35E5">
    <w:pPr>
      <w:pStyle w:val="20"/>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7A43D75">
                          <w:pPr>
                            <w:pStyle w:val="20"/>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aNr0fSAQAAow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Z0RYllBgd++fnj8uvP&#10;5fd3sk7y9B5qzLr3mBeH927ApZnvAS8T60EGk77Ih2AcxT1fxRVDJDw9qlZVVWKIY2x2EL94fO4D&#10;xA/CGZKMhgacXhaVnT5BHFPnlFTNujuldZ6gtqRH1HX1bp1fXEOIri0WSSzGbpMVh/0wUdu79ozM&#10;elyBhlrceEr0R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Vo2vR9IBAACjAwAADgAAAAAAAAABACAAAAAi&#10;AQAAZHJzL2Uyb0RvYy54bWxQSwUGAAAAAAYABgBZAQAAZgUAAAAA&#10;">
              <v:fill on="f" focussize="0,0"/>
              <v:stroke on="f" weight="1.25pt"/>
              <v:imagedata o:title=""/>
              <o:lock v:ext="edit" aspectratio="f"/>
              <v:textbox inset="0mm,0mm,0mm,0mm" style="mso-fit-shape-to-text:t;">
                <w:txbxContent>
                  <w:p w14:paraId="57A43D75">
                    <w:pPr>
                      <w:pStyle w:val="2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3766BB">
    <w:pPr>
      <w:pStyle w:val="2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98ED98C">
                          <w:pPr>
                            <w:pStyle w:val="20"/>
                          </w:pPr>
                          <w:r>
                            <w:fldChar w:fldCharType="begin"/>
                          </w:r>
                          <w:r>
                            <w:instrText xml:space="preserve"> PAGE  \* MERGEFORMAT </w:instrText>
                          </w:r>
                          <w:r>
                            <w:fldChar w:fldCharType="separate"/>
                          </w:r>
                          <w:r>
                            <w:t>45</w:t>
                          </w:r>
                          <w: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&#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5KzaDNIBAACjAwAADgAAAAAAAAABACAAAAAi&#10;AQAAZHJzL2Uyb0RvYy54bWxQSwUGAAAAAAYABgBZAQAAZgUAAAAA&#10;">
              <v:fill on="f" focussize="0,0"/>
              <v:stroke on="f" weight="1.25pt"/>
              <v:imagedata o:title=""/>
              <o:lock v:ext="edit" aspectratio="f"/>
              <v:textbox inset="0mm,0mm,0mm,0mm" style="mso-fit-shape-to-text:t;">
                <w:txbxContent>
                  <w:p w14:paraId="198ED98C">
                    <w:pPr>
                      <w:pStyle w:val="20"/>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614364">
    <w:pPr>
      <w:spacing w:line="14" w:lineRule="auto"/>
      <w:rPr>
        <w:rFonts w:hint="eastAsia" w:eastAsia="宋体"/>
        <w:sz w:val="20"/>
        <w:szCs w:val="20"/>
        <w:lang w:eastAsia="zh-CN"/>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E4B5AA4">
                          <w:pPr>
                            <w:pStyle w:val="2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5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CTtNssBAACc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lvcBEoctzjwy/dvlx+/Lj+/kmX1&#10;6mVWqA9QY+JdwNQ0vPVDzp78gM5MfFDR5i9SIhhHfc9XfeWQiMiP1qv1usKQwNh8QRz28DxESO+k&#10;tyQbDY04wKIrP32ANKbOKbma87faGPTz2ri/HIiZPSz3PvaYrTTsh6nxvW/PyKfH2TfU4apTYt47&#10;lDavyWzE2djPxjFEfejKHuV6EN4cEzZRessVRtipMA6tsJsWLG/Fn/eS9fB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DQk7TbLAQAAnAMAAA4AAAAAAAAAAQAgAAAAHgEAAGRycy9lMm9E&#10;b2MueG1sUEsFBgAAAAAGAAYAWQEAAFsFAAAAAA==&#10;">
              <v:fill on="f" focussize="0,0"/>
              <v:stroke on="f"/>
              <v:imagedata o:title=""/>
              <o:lock v:ext="edit" aspectratio="f"/>
              <v:textbox inset="0mm,0mm,0mm,0mm" style="mso-fit-shape-to-text:t;">
                <w:txbxContent>
                  <w:p w14:paraId="4E4B5AA4">
                    <w:pPr>
                      <w:pStyle w:val="20"/>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82</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7D01">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DCA74"/>
    <w:multiLevelType w:val="multilevel"/>
    <w:tmpl w:val="C17DCA74"/>
    <w:lvl w:ilvl="0" w:tentative="0">
      <w:start w:val="4"/>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0"/>
  <w:bordersDoNotSurroundFooter w:val="0"/>
  <w:trackRevisions w:val="1"/>
  <w:documentProtection w:enforcement="0"/>
  <w:defaultTabStop w:val="720"/>
  <w:hyphenationZone w:val="360"/>
  <w:drawingGridHorizontalSpacing w:val="110"/>
  <w:displayHorizontalDrawingGridEvery w:val="1"/>
  <w:displayVerticalDrawingGridEvery w:val="1"/>
  <w:noPunctuationKerning w:val="1"/>
  <w:characterSpacingControl w:val="doNotCompress"/>
  <w:hdrShapeDefaults>
    <o:shapelayout v:ext="edit">
      <o:idmap v:ext="edit" data="3"/>
    </o:shapelayout>
  </w:hdrShapeDefaults>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lNDg4NDVhZGM3NjI5YjcxNDBlNzdkY2JmZjU2YzQifQ=="/>
    <w:docVar w:name="KSO_WPS_MARK_KEY" w:val="2f4d9e86-a1f5-4428-a5d8-63fe607fc10e"/>
  </w:docVars>
  <w:rsids>
    <w:rsidRoot w:val="0049116E"/>
    <w:rsid w:val="00002E1E"/>
    <w:rsid w:val="000041BB"/>
    <w:rsid w:val="00005B1D"/>
    <w:rsid w:val="00006645"/>
    <w:rsid w:val="00006CF7"/>
    <w:rsid w:val="00020EBD"/>
    <w:rsid w:val="0003676C"/>
    <w:rsid w:val="00041453"/>
    <w:rsid w:val="000431A2"/>
    <w:rsid w:val="00043D4C"/>
    <w:rsid w:val="00045482"/>
    <w:rsid w:val="00051484"/>
    <w:rsid w:val="000571E8"/>
    <w:rsid w:val="00057907"/>
    <w:rsid w:val="00066D9E"/>
    <w:rsid w:val="000711A5"/>
    <w:rsid w:val="0007508E"/>
    <w:rsid w:val="00075306"/>
    <w:rsid w:val="00075D03"/>
    <w:rsid w:val="00075F10"/>
    <w:rsid w:val="00077A1D"/>
    <w:rsid w:val="00087ADF"/>
    <w:rsid w:val="00093E85"/>
    <w:rsid w:val="00095A86"/>
    <w:rsid w:val="00097FC6"/>
    <w:rsid w:val="000A0428"/>
    <w:rsid w:val="000A04C3"/>
    <w:rsid w:val="000A4B77"/>
    <w:rsid w:val="000A581E"/>
    <w:rsid w:val="000B1B26"/>
    <w:rsid w:val="000B7706"/>
    <w:rsid w:val="000C201F"/>
    <w:rsid w:val="000C645E"/>
    <w:rsid w:val="000C705F"/>
    <w:rsid w:val="000D13B2"/>
    <w:rsid w:val="000D2844"/>
    <w:rsid w:val="000D29A3"/>
    <w:rsid w:val="000D60A3"/>
    <w:rsid w:val="000E1067"/>
    <w:rsid w:val="000E1790"/>
    <w:rsid w:val="000E35CE"/>
    <w:rsid w:val="000E415C"/>
    <w:rsid w:val="000E7DA8"/>
    <w:rsid w:val="000F031F"/>
    <w:rsid w:val="000F228F"/>
    <w:rsid w:val="000F36B4"/>
    <w:rsid w:val="000F424E"/>
    <w:rsid w:val="000F6D55"/>
    <w:rsid w:val="000F6F40"/>
    <w:rsid w:val="000F7F73"/>
    <w:rsid w:val="00101CC6"/>
    <w:rsid w:val="001026DE"/>
    <w:rsid w:val="001026DF"/>
    <w:rsid w:val="00103C9C"/>
    <w:rsid w:val="00112D30"/>
    <w:rsid w:val="001178DA"/>
    <w:rsid w:val="001249CC"/>
    <w:rsid w:val="001301C9"/>
    <w:rsid w:val="00130A52"/>
    <w:rsid w:val="001313EC"/>
    <w:rsid w:val="0013258A"/>
    <w:rsid w:val="00135708"/>
    <w:rsid w:val="00137065"/>
    <w:rsid w:val="00142B5C"/>
    <w:rsid w:val="001474D2"/>
    <w:rsid w:val="00147C98"/>
    <w:rsid w:val="001533BC"/>
    <w:rsid w:val="00160045"/>
    <w:rsid w:val="00172552"/>
    <w:rsid w:val="00181618"/>
    <w:rsid w:val="0018216B"/>
    <w:rsid w:val="00182D09"/>
    <w:rsid w:val="00183EC0"/>
    <w:rsid w:val="001874CE"/>
    <w:rsid w:val="00187E73"/>
    <w:rsid w:val="00194518"/>
    <w:rsid w:val="00194A8C"/>
    <w:rsid w:val="001957BD"/>
    <w:rsid w:val="001A10A9"/>
    <w:rsid w:val="001A3C19"/>
    <w:rsid w:val="001A58F7"/>
    <w:rsid w:val="001A792C"/>
    <w:rsid w:val="001B10F1"/>
    <w:rsid w:val="001B7141"/>
    <w:rsid w:val="001B7FE6"/>
    <w:rsid w:val="001C1A80"/>
    <w:rsid w:val="001C2108"/>
    <w:rsid w:val="001C393B"/>
    <w:rsid w:val="001C73AF"/>
    <w:rsid w:val="001C78A0"/>
    <w:rsid w:val="001D1C87"/>
    <w:rsid w:val="001D75FF"/>
    <w:rsid w:val="001E46F0"/>
    <w:rsid w:val="001E5BB5"/>
    <w:rsid w:val="001E7E32"/>
    <w:rsid w:val="001F0A06"/>
    <w:rsid w:val="001F211D"/>
    <w:rsid w:val="001F54D0"/>
    <w:rsid w:val="001F76AF"/>
    <w:rsid w:val="00205063"/>
    <w:rsid w:val="0021566B"/>
    <w:rsid w:val="002161A2"/>
    <w:rsid w:val="00225D06"/>
    <w:rsid w:val="0022670D"/>
    <w:rsid w:val="00232B02"/>
    <w:rsid w:val="0023649F"/>
    <w:rsid w:val="00245026"/>
    <w:rsid w:val="00246913"/>
    <w:rsid w:val="00246B78"/>
    <w:rsid w:val="002507AF"/>
    <w:rsid w:val="00251424"/>
    <w:rsid w:val="002532BE"/>
    <w:rsid w:val="00254451"/>
    <w:rsid w:val="00262811"/>
    <w:rsid w:val="00272969"/>
    <w:rsid w:val="00274B86"/>
    <w:rsid w:val="002859C9"/>
    <w:rsid w:val="00286A97"/>
    <w:rsid w:val="00295DAE"/>
    <w:rsid w:val="00297927"/>
    <w:rsid w:val="002A078E"/>
    <w:rsid w:val="002A438E"/>
    <w:rsid w:val="002A5B3C"/>
    <w:rsid w:val="002A7F98"/>
    <w:rsid w:val="002B0681"/>
    <w:rsid w:val="002B34CC"/>
    <w:rsid w:val="002B78D9"/>
    <w:rsid w:val="002C0571"/>
    <w:rsid w:val="002C3CB8"/>
    <w:rsid w:val="002C65B4"/>
    <w:rsid w:val="002D2310"/>
    <w:rsid w:val="002E0D89"/>
    <w:rsid w:val="002E36E3"/>
    <w:rsid w:val="002E7413"/>
    <w:rsid w:val="002F096D"/>
    <w:rsid w:val="002F1A3F"/>
    <w:rsid w:val="002F4E72"/>
    <w:rsid w:val="00306AAA"/>
    <w:rsid w:val="00306DF6"/>
    <w:rsid w:val="003170B1"/>
    <w:rsid w:val="00325247"/>
    <w:rsid w:val="00325929"/>
    <w:rsid w:val="003274B2"/>
    <w:rsid w:val="0033507A"/>
    <w:rsid w:val="0033628B"/>
    <w:rsid w:val="003375C4"/>
    <w:rsid w:val="0034009A"/>
    <w:rsid w:val="00346D3C"/>
    <w:rsid w:val="003540E5"/>
    <w:rsid w:val="00355CA9"/>
    <w:rsid w:val="0037209E"/>
    <w:rsid w:val="00377340"/>
    <w:rsid w:val="00380DBD"/>
    <w:rsid w:val="00381CD8"/>
    <w:rsid w:val="003827E7"/>
    <w:rsid w:val="00384DBE"/>
    <w:rsid w:val="0038564E"/>
    <w:rsid w:val="00385DC1"/>
    <w:rsid w:val="003908DB"/>
    <w:rsid w:val="0039323F"/>
    <w:rsid w:val="00397131"/>
    <w:rsid w:val="003A0784"/>
    <w:rsid w:val="003A127B"/>
    <w:rsid w:val="003A1A3F"/>
    <w:rsid w:val="003A3597"/>
    <w:rsid w:val="003B03E0"/>
    <w:rsid w:val="003B6C8A"/>
    <w:rsid w:val="003C238F"/>
    <w:rsid w:val="003C2792"/>
    <w:rsid w:val="003D02C9"/>
    <w:rsid w:val="003D0844"/>
    <w:rsid w:val="003D25E3"/>
    <w:rsid w:val="003D3715"/>
    <w:rsid w:val="003D5589"/>
    <w:rsid w:val="003D621E"/>
    <w:rsid w:val="003D6392"/>
    <w:rsid w:val="003D7263"/>
    <w:rsid w:val="003E5EEF"/>
    <w:rsid w:val="003F51D2"/>
    <w:rsid w:val="003F54C4"/>
    <w:rsid w:val="00400A6F"/>
    <w:rsid w:val="00403A0E"/>
    <w:rsid w:val="00403B70"/>
    <w:rsid w:val="004101F8"/>
    <w:rsid w:val="004129AD"/>
    <w:rsid w:val="00413721"/>
    <w:rsid w:val="00421DA0"/>
    <w:rsid w:val="0042324B"/>
    <w:rsid w:val="004249A7"/>
    <w:rsid w:val="004252B3"/>
    <w:rsid w:val="004310A5"/>
    <w:rsid w:val="00434103"/>
    <w:rsid w:val="0043782D"/>
    <w:rsid w:val="004378EE"/>
    <w:rsid w:val="004427D1"/>
    <w:rsid w:val="004443F1"/>
    <w:rsid w:val="0045297E"/>
    <w:rsid w:val="0045320C"/>
    <w:rsid w:val="00462341"/>
    <w:rsid w:val="00464528"/>
    <w:rsid w:val="00466A67"/>
    <w:rsid w:val="004677B1"/>
    <w:rsid w:val="00476754"/>
    <w:rsid w:val="00477C90"/>
    <w:rsid w:val="004805E2"/>
    <w:rsid w:val="00481055"/>
    <w:rsid w:val="0048281B"/>
    <w:rsid w:val="00484B4C"/>
    <w:rsid w:val="0048514F"/>
    <w:rsid w:val="0049116E"/>
    <w:rsid w:val="00493501"/>
    <w:rsid w:val="00494182"/>
    <w:rsid w:val="0049423D"/>
    <w:rsid w:val="004A07D4"/>
    <w:rsid w:val="004A11B0"/>
    <w:rsid w:val="004A13EB"/>
    <w:rsid w:val="004A2623"/>
    <w:rsid w:val="004A54D0"/>
    <w:rsid w:val="004A7CEF"/>
    <w:rsid w:val="004A7DD2"/>
    <w:rsid w:val="004B6F67"/>
    <w:rsid w:val="004C0658"/>
    <w:rsid w:val="004D0A13"/>
    <w:rsid w:val="004D1C08"/>
    <w:rsid w:val="004D2008"/>
    <w:rsid w:val="004D24C1"/>
    <w:rsid w:val="004D2791"/>
    <w:rsid w:val="004D2D28"/>
    <w:rsid w:val="004D5CA4"/>
    <w:rsid w:val="004D5F9B"/>
    <w:rsid w:val="004E3B64"/>
    <w:rsid w:val="004E6C53"/>
    <w:rsid w:val="004F1F79"/>
    <w:rsid w:val="004F2385"/>
    <w:rsid w:val="004F4F2D"/>
    <w:rsid w:val="004F5157"/>
    <w:rsid w:val="005003C6"/>
    <w:rsid w:val="00500DBE"/>
    <w:rsid w:val="00501C11"/>
    <w:rsid w:val="00503401"/>
    <w:rsid w:val="0051142C"/>
    <w:rsid w:val="005140B1"/>
    <w:rsid w:val="005205A1"/>
    <w:rsid w:val="00521386"/>
    <w:rsid w:val="005247F6"/>
    <w:rsid w:val="00526011"/>
    <w:rsid w:val="005261B3"/>
    <w:rsid w:val="00526D42"/>
    <w:rsid w:val="00530884"/>
    <w:rsid w:val="005316D2"/>
    <w:rsid w:val="00536710"/>
    <w:rsid w:val="0053779D"/>
    <w:rsid w:val="00544412"/>
    <w:rsid w:val="0054463F"/>
    <w:rsid w:val="005451E2"/>
    <w:rsid w:val="005515EE"/>
    <w:rsid w:val="00551CEE"/>
    <w:rsid w:val="00552CDB"/>
    <w:rsid w:val="0055475B"/>
    <w:rsid w:val="00555429"/>
    <w:rsid w:val="00556383"/>
    <w:rsid w:val="005578FB"/>
    <w:rsid w:val="005629C1"/>
    <w:rsid w:val="00565D8C"/>
    <w:rsid w:val="005669AC"/>
    <w:rsid w:val="00567470"/>
    <w:rsid w:val="00570533"/>
    <w:rsid w:val="005712C7"/>
    <w:rsid w:val="00585D48"/>
    <w:rsid w:val="00586FC7"/>
    <w:rsid w:val="005916E0"/>
    <w:rsid w:val="00594324"/>
    <w:rsid w:val="005A03AB"/>
    <w:rsid w:val="005A17DB"/>
    <w:rsid w:val="005A22B6"/>
    <w:rsid w:val="005A5853"/>
    <w:rsid w:val="005B320B"/>
    <w:rsid w:val="005C033F"/>
    <w:rsid w:val="005C1BDE"/>
    <w:rsid w:val="005C3957"/>
    <w:rsid w:val="005C75FB"/>
    <w:rsid w:val="005D53D7"/>
    <w:rsid w:val="005E066D"/>
    <w:rsid w:val="005E6C63"/>
    <w:rsid w:val="006019A5"/>
    <w:rsid w:val="0061655F"/>
    <w:rsid w:val="00617EA7"/>
    <w:rsid w:val="00631DDB"/>
    <w:rsid w:val="0064070E"/>
    <w:rsid w:val="00641FC3"/>
    <w:rsid w:val="006426CA"/>
    <w:rsid w:val="006469B6"/>
    <w:rsid w:val="00650DFA"/>
    <w:rsid w:val="006542FF"/>
    <w:rsid w:val="006606B0"/>
    <w:rsid w:val="00661296"/>
    <w:rsid w:val="00661349"/>
    <w:rsid w:val="00663763"/>
    <w:rsid w:val="00673B32"/>
    <w:rsid w:val="00675BFB"/>
    <w:rsid w:val="00677FA2"/>
    <w:rsid w:val="00680432"/>
    <w:rsid w:val="006835EB"/>
    <w:rsid w:val="006841E3"/>
    <w:rsid w:val="00690FBB"/>
    <w:rsid w:val="006916A3"/>
    <w:rsid w:val="00693E10"/>
    <w:rsid w:val="006A7114"/>
    <w:rsid w:val="006A78ED"/>
    <w:rsid w:val="006B573D"/>
    <w:rsid w:val="006B7B09"/>
    <w:rsid w:val="006C0800"/>
    <w:rsid w:val="006C2358"/>
    <w:rsid w:val="006C2B6F"/>
    <w:rsid w:val="006C4A92"/>
    <w:rsid w:val="006C506C"/>
    <w:rsid w:val="006D1ABB"/>
    <w:rsid w:val="006D3B0F"/>
    <w:rsid w:val="006D3B3C"/>
    <w:rsid w:val="006D44B9"/>
    <w:rsid w:val="006D5284"/>
    <w:rsid w:val="006D7EDF"/>
    <w:rsid w:val="006E6057"/>
    <w:rsid w:val="006E7C68"/>
    <w:rsid w:val="006F0D0C"/>
    <w:rsid w:val="006F1CA3"/>
    <w:rsid w:val="006F47A6"/>
    <w:rsid w:val="00702A45"/>
    <w:rsid w:val="00703D4E"/>
    <w:rsid w:val="00704807"/>
    <w:rsid w:val="00706946"/>
    <w:rsid w:val="00707B0A"/>
    <w:rsid w:val="00710F28"/>
    <w:rsid w:val="0071165C"/>
    <w:rsid w:val="00724A0A"/>
    <w:rsid w:val="00733553"/>
    <w:rsid w:val="00735597"/>
    <w:rsid w:val="00735797"/>
    <w:rsid w:val="0074013A"/>
    <w:rsid w:val="00742857"/>
    <w:rsid w:val="00744027"/>
    <w:rsid w:val="00745723"/>
    <w:rsid w:val="00753989"/>
    <w:rsid w:val="007547F2"/>
    <w:rsid w:val="0075533B"/>
    <w:rsid w:val="0075624D"/>
    <w:rsid w:val="00762E49"/>
    <w:rsid w:val="007636E2"/>
    <w:rsid w:val="0076477E"/>
    <w:rsid w:val="00767627"/>
    <w:rsid w:val="007709EA"/>
    <w:rsid w:val="0077127E"/>
    <w:rsid w:val="007746BF"/>
    <w:rsid w:val="0077676F"/>
    <w:rsid w:val="00783068"/>
    <w:rsid w:val="00784816"/>
    <w:rsid w:val="007955CD"/>
    <w:rsid w:val="007B1846"/>
    <w:rsid w:val="007B3633"/>
    <w:rsid w:val="007B6FBE"/>
    <w:rsid w:val="007B79BE"/>
    <w:rsid w:val="007C0547"/>
    <w:rsid w:val="007C240E"/>
    <w:rsid w:val="007C2EF7"/>
    <w:rsid w:val="007C3110"/>
    <w:rsid w:val="007C6A65"/>
    <w:rsid w:val="007C6E70"/>
    <w:rsid w:val="007D34F4"/>
    <w:rsid w:val="007D4E13"/>
    <w:rsid w:val="007D5F1A"/>
    <w:rsid w:val="007E00F9"/>
    <w:rsid w:val="007E2BE3"/>
    <w:rsid w:val="007E3433"/>
    <w:rsid w:val="007E713C"/>
    <w:rsid w:val="007E742D"/>
    <w:rsid w:val="007F2E94"/>
    <w:rsid w:val="007F6E44"/>
    <w:rsid w:val="008005FD"/>
    <w:rsid w:val="00810630"/>
    <w:rsid w:val="00811309"/>
    <w:rsid w:val="00811CFC"/>
    <w:rsid w:val="00813357"/>
    <w:rsid w:val="008136F2"/>
    <w:rsid w:val="008143F6"/>
    <w:rsid w:val="0081506D"/>
    <w:rsid w:val="00825DDB"/>
    <w:rsid w:val="00826951"/>
    <w:rsid w:val="00830D37"/>
    <w:rsid w:val="008316F8"/>
    <w:rsid w:val="00834856"/>
    <w:rsid w:val="0084073F"/>
    <w:rsid w:val="00846BF6"/>
    <w:rsid w:val="00853F00"/>
    <w:rsid w:val="008609FC"/>
    <w:rsid w:val="00861AB9"/>
    <w:rsid w:val="00862D79"/>
    <w:rsid w:val="0086330A"/>
    <w:rsid w:val="00866C48"/>
    <w:rsid w:val="008701C2"/>
    <w:rsid w:val="0087792D"/>
    <w:rsid w:val="008829BE"/>
    <w:rsid w:val="0088414E"/>
    <w:rsid w:val="008852AB"/>
    <w:rsid w:val="008860FD"/>
    <w:rsid w:val="00895822"/>
    <w:rsid w:val="008A2FE7"/>
    <w:rsid w:val="008A5326"/>
    <w:rsid w:val="008A5E6B"/>
    <w:rsid w:val="008B7FDE"/>
    <w:rsid w:val="008C12E5"/>
    <w:rsid w:val="008C5F8C"/>
    <w:rsid w:val="008C6E86"/>
    <w:rsid w:val="008D0720"/>
    <w:rsid w:val="008D40B1"/>
    <w:rsid w:val="008E29C7"/>
    <w:rsid w:val="008E3F00"/>
    <w:rsid w:val="008E666B"/>
    <w:rsid w:val="008F163F"/>
    <w:rsid w:val="008F33B2"/>
    <w:rsid w:val="00901D79"/>
    <w:rsid w:val="009050E8"/>
    <w:rsid w:val="009067F8"/>
    <w:rsid w:val="00910159"/>
    <w:rsid w:val="0091209B"/>
    <w:rsid w:val="00916AAE"/>
    <w:rsid w:val="00924082"/>
    <w:rsid w:val="00942C3E"/>
    <w:rsid w:val="00950333"/>
    <w:rsid w:val="009523F9"/>
    <w:rsid w:val="009614FD"/>
    <w:rsid w:val="009626A8"/>
    <w:rsid w:val="00962BE1"/>
    <w:rsid w:val="0096733C"/>
    <w:rsid w:val="00976163"/>
    <w:rsid w:val="00976724"/>
    <w:rsid w:val="00982E90"/>
    <w:rsid w:val="0098418D"/>
    <w:rsid w:val="0098767C"/>
    <w:rsid w:val="00991AE9"/>
    <w:rsid w:val="00992EC5"/>
    <w:rsid w:val="009A09B9"/>
    <w:rsid w:val="009A39D4"/>
    <w:rsid w:val="009A7B35"/>
    <w:rsid w:val="009B1FE1"/>
    <w:rsid w:val="009B320E"/>
    <w:rsid w:val="009B5114"/>
    <w:rsid w:val="009B69E4"/>
    <w:rsid w:val="009D16E3"/>
    <w:rsid w:val="009E0C8A"/>
    <w:rsid w:val="009E45F2"/>
    <w:rsid w:val="009E5366"/>
    <w:rsid w:val="009F24C3"/>
    <w:rsid w:val="009F3A6F"/>
    <w:rsid w:val="009F4331"/>
    <w:rsid w:val="009F58AE"/>
    <w:rsid w:val="009F6D0F"/>
    <w:rsid w:val="00A0086E"/>
    <w:rsid w:val="00A00F21"/>
    <w:rsid w:val="00A014D1"/>
    <w:rsid w:val="00A07A66"/>
    <w:rsid w:val="00A12904"/>
    <w:rsid w:val="00A1314C"/>
    <w:rsid w:val="00A20325"/>
    <w:rsid w:val="00A210C8"/>
    <w:rsid w:val="00A23601"/>
    <w:rsid w:val="00A2778B"/>
    <w:rsid w:val="00A3198B"/>
    <w:rsid w:val="00A3314D"/>
    <w:rsid w:val="00A33494"/>
    <w:rsid w:val="00A3444C"/>
    <w:rsid w:val="00A41725"/>
    <w:rsid w:val="00A44B80"/>
    <w:rsid w:val="00A4531A"/>
    <w:rsid w:val="00A54759"/>
    <w:rsid w:val="00A57F28"/>
    <w:rsid w:val="00A60D2B"/>
    <w:rsid w:val="00A66CDA"/>
    <w:rsid w:val="00A674F6"/>
    <w:rsid w:val="00A70B01"/>
    <w:rsid w:val="00A71238"/>
    <w:rsid w:val="00A7250C"/>
    <w:rsid w:val="00A76557"/>
    <w:rsid w:val="00A77E2D"/>
    <w:rsid w:val="00A829DE"/>
    <w:rsid w:val="00A829EA"/>
    <w:rsid w:val="00A902C0"/>
    <w:rsid w:val="00A917D0"/>
    <w:rsid w:val="00A93814"/>
    <w:rsid w:val="00A9754C"/>
    <w:rsid w:val="00AA5254"/>
    <w:rsid w:val="00AB40A4"/>
    <w:rsid w:val="00AB71BD"/>
    <w:rsid w:val="00AB74F4"/>
    <w:rsid w:val="00AC1BDA"/>
    <w:rsid w:val="00AC26C0"/>
    <w:rsid w:val="00AD0359"/>
    <w:rsid w:val="00AD1A9D"/>
    <w:rsid w:val="00AD2E26"/>
    <w:rsid w:val="00AD3DCF"/>
    <w:rsid w:val="00AE0242"/>
    <w:rsid w:val="00AE03EC"/>
    <w:rsid w:val="00AE09B5"/>
    <w:rsid w:val="00AE46D9"/>
    <w:rsid w:val="00AE69F3"/>
    <w:rsid w:val="00AE72B1"/>
    <w:rsid w:val="00AF0D3F"/>
    <w:rsid w:val="00B005A7"/>
    <w:rsid w:val="00B0289C"/>
    <w:rsid w:val="00B053D7"/>
    <w:rsid w:val="00B113C2"/>
    <w:rsid w:val="00B16E78"/>
    <w:rsid w:val="00B25FD0"/>
    <w:rsid w:val="00B3405F"/>
    <w:rsid w:val="00B34A3C"/>
    <w:rsid w:val="00B35C51"/>
    <w:rsid w:val="00B40F63"/>
    <w:rsid w:val="00B43225"/>
    <w:rsid w:val="00B52B63"/>
    <w:rsid w:val="00B53905"/>
    <w:rsid w:val="00B5684C"/>
    <w:rsid w:val="00B61CC2"/>
    <w:rsid w:val="00B61E3E"/>
    <w:rsid w:val="00B63193"/>
    <w:rsid w:val="00B632B7"/>
    <w:rsid w:val="00B6701B"/>
    <w:rsid w:val="00B717F9"/>
    <w:rsid w:val="00B71DCA"/>
    <w:rsid w:val="00B73311"/>
    <w:rsid w:val="00B736FC"/>
    <w:rsid w:val="00B7518D"/>
    <w:rsid w:val="00B75F75"/>
    <w:rsid w:val="00B770BE"/>
    <w:rsid w:val="00B776A9"/>
    <w:rsid w:val="00B858E4"/>
    <w:rsid w:val="00B943BF"/>
    <w:rsid w:val="00B97513"/>
    <w:rsid w:val="00B97C63"/>
    <w:rsid w:val="00BA6ECD"/>
    <w:rsid w:val="00BB28A8"/>
    <w:rsid w:val="00BC0BCE"/>
    <w:rsid w:val="00BC3A6F"/>
    <w:rsid w:val="00BC409B"/>
    <w:rsid w:val="00BC4DBB"/>
    <w:rsid w:val="00BD13D0"/>
    <w:rsid w:val="00BD270A"/>
    <w:rsid w:val="00BD3025"/>
    <w:rsid w:val="00BD5A41"/>
    <w:rsid w:val="00BD7188"/>
    <w:rsid w:val="00BD795E"/>
    <w:rsid w:val="00BE5BB4"/>
    <w:rsid w:val="00BF335D"/>
    <w:rsid w:val="00BF55BD"/>
    <w:rsid w:val="00BF60C0"/>
    <w:rsid w:val="00C00637"/>
    <w:rsid w:val="00C00E4F"/>
    <w:rsid w:val="00C02ED7"/>
    <w:rsid w:val="00C03D12"/>
    <w:rsid w:val="00C0462F"/>
    <w:rsid w:val="00C049CE"/>
    <w:rsid w:val="00C062DB"/>
    <w:rsid w:val="00C10417"/>
    <w:rsid w:val="00C1180A"/>
    <w:rsid w:val="00C11DD5"/>
    <w:rsid w:val="00C14D00"/>
    <w:rsid w:val="00C171A8"/>
    <w:rsid w:val="00C20839"/>
    <w:rsid w:val="00C20D81"/>
    <w:rsid w:val="00C21EDC"/>
    <w:rsid w:val="00C22510"/>
    <w:rsid w:val="00C23A5E"/>
    <w:rsid w:val="00C26B1A"/>
    <w:rsid w:val="00C271FA"/>
    <w:rsid w:val="00C301CE"/>
    <w:rsid w:val="00C36396"/>
    <w:rsid w:val="00C42B6C"/>
    <w:rsid w:val="00C476FA"/>
    <w:rsid w:val="00C50069"/>
    <w:rsid w:val="00C609F3"/>
    <w:rsid w:val="00C63308"/>
    <w:rsid w:val="00C63AB3"/>
    <w:rsid w:val="00C63EDA"/>
    <w:rsid w:val="00C651DE"/>
    <w:rsid w:val="00C7112C"/>
    <w:rsid w:val="00C713AA"/>
    <w:rsid w:val="00C849ED"/>
    <w:rsid w:val="00C901F9"/>
    <w:rsid w:val="00C9109B"/>
    <w:rsid w:val="00C91434"/>
    <w:rsid w:val="00C9410F"/>
    <w:rsid w:val="00C945E9"/>
    <w:rsid w:val="00C96E3D"/>
    <w:rsid w:val="00C97D06"/>
    <w:rsid w:val="00CB1F02"/>
    <w:rsid w:val="00CB245E"/>
    <w:rsid w:val="00CB74C9"/>
    <w:rsid w:val="00CC5723"/>
    <w:rsid w:val="00CC7D8C"/>
    <w:rsid w:val="00CD2EEB"/>
    <w:rsid w:val="00CD3664"/>
    <w:rsid w:val="00CD4A6D"/>
    <w:rsid w:val="00CD4C64"/>
    <w:rsid w:val="00CD54CC"/>
    <w:rsid w:val="00CD55C3"/>
    <w:rsid w:val="00CD71A5"/>
    <w:rsid w:val="00CE4F33"/>
    <w:rsid w:val="00CE6C43"/>
    <w:rsid w:val="00CF5239"/>
    <w:rsid w:val="00D025EC"/>
    <w:rsid w:val="00D05062"/>
    <w:rsid w:val="00D05DBC"/>
    <w:rsid w:val="00D11F0F"/>
    <w:rsid w:val="00D26F58"/>
    <w:rsid w:val="00D31B9A"/>
    <w:rsid w:val="00D364A0"/>
    <w:rsid w:val="00D46753"/>
    <w:rsid w:val="00D50392"/>
    <w:rsid w:val="00D50AE0"/>
    <w:rsid w:val="00D52F4F"/>
    <w:rsid w:val="00D549C4"/>
    <w:rsid w:val="00D55ABF"/>
    <w:rsid w:val="00D57C36"/>
    <w:rsid w:val="00D6201E"/>
    <w:rsid w:val="00D6489F"/>
    <w:rsid w:val="00D65A98"/>
    <w:rsid w:val="00D73709"/>
    <w:rsid w:val="00D75D78"/>
    <w:rsid w:val="00D75FD4"/>
    <w:rsid w:val="00D81F5F"/>
    <w:rsid w:val="00D82195"/>
    <w:rsid w:val="00D8392B"/>
    <w:rsid w:val="00D8489F"/>
    <w:rsid w:val="00D905EB"/>
    <w:rsid w:val="00D91858"/>
    <w:rsid w:val="00D918C7"/>
    <w:rsid w:val="00D930F1"/>
    <w:rsid w:val="00DA06F7"/>
    <w:rsid w:val="00DA6689"/>
    <w:rsid w:val="00DB12B5"/>
    <w:rsid w:val="00DB44C6"/>
    <w:rsid w:val="00DB6CEC"/>
    <w:rsid w:val="00DB74CD"/>
    <w:rsid w:val="00DC0115"/>
    <w:rsid w:val="00DC2B04"/>
    <w:rsid w:val="00DC2CB4"/>
    <w:rsid w:val="00DC3168"/>
    <w:rsid w:val="00DC37F6"/>
    <w:rsid w:val="00DC463B"/>
    <w:rsid w:val="00DD0DE1"/>
    <w:rsid w:val="00DD2D52"/>
    <w:rsid w:val="00DD57E7"/>
    <w:rsid w:val="00DE02D0"/>
    <w:rsid w:val="00DE0D19"/>
    <w:rsid w:val="00DE0D40"/>
    <w:rsid w:val="00DE57D9"/>
    <w:rsid w:val="00DE5E0E"/>
    <w:rsid w:val="00DE6CDF"/>
    <w:rsid w:val="00DF41A9"/>
    <w:rsid w:val="00DF4D8F"/>
    <w:rsid w:val="00E00692"/>
    <w:rsid w:val="00E01FE5"/>
    <w:rsid w:val="00E02366"/>
    <w:rsid w:val="00E0735E"/>
    <w:rsid w:val="00E1344D"/>
    <w:rsid w:val="00E13526"/>
    <w:rsid w:val="00E31887"/>
    <w:rsid w:val="00E327B2"/>
    <w:rsid w:val="00E343AF"/>
    <w:rsid w:val="00E36492"/>
    <w:rsid w:val="00E41E96"/>
    <w:rsid w:val="00E4534C"/>
    <w:rsid w:val="00E46889"/>
    <w:rsid w:val="00E47140"/>
    <w:rsid w:val="00E51F25"/>
    <w:rsid w:val="00E6068A"/>
    <w:rsid w:val="00E62F62"/>
    <w:rsid w:val="00E72B59"/>
    <w:rsid w:val="00E736A8"/>
    <w:rsid w:val="00E905FF"/>
    <w:rsid w:val="00E91F1D"/>
    <w:rsid w:val="00E95C7B"/>
    <w:rsid w:val="00E9652D"/>
    <w:rsid w:val="00EA2DB5"/>
    <w:rsid w:val="00EA583B"/>
    <w:rsid w:val="00EB49E8"/>
    <w:rsid w:val="00ED0684"/>
    <w:rsid w:val="00ED1302"/>
    <w:rsid w:val="00ED6D13"/>
    <w:rsid w:val="00EE1C31"/>
    <w:rsid w:val="00EE4B70"/>
    <w:rsid w:val="00EF2C7E"/>
    <w:rsid w:val="00EF3923"/>
    <w:rsid w:val="00EF4321"/>
    <w:rsid w:val="00EF4614"/>
    <w:rsid w:val="00F050ED"/>
    <w:rsid w:val="00F07A1C"/>
    <w:rsid w:val="00F11993"/>
    <w:rsid w:val="00F155B3"/>
    <w:rsid w:val="00F260BD"/>
    <w:rsid w:val="00F26A39"/>
    <w:rsid w:val="00F344F3"/>
    <w:rsid w:val="00F359F3"/>
    <w:rsid w:val="00F42F5B"/>
    <w:rsid w:val="00F4554C"/>
    <w:rsid w:val="00F464F5"/>
    <w:rsid w:val="00F4661C"/>
    <w:rsid w:val="00F61C67"/>
    <w:rsid w:val="00F66265"/>
    <w:rsid w:val="00F71315"/>
    <w:rsid w:val="00F76788"/>
    <w:rsid w:val="00F8274B"/>
    <w:rsid w:val="00F82F67"/>
    <w:rsid w:val="00F87604"/>
    <w:rsid w:val="00F87E07"/>
    <w:rsid w:val="00F918B8"/>
    <w:rsid w:val="00F96410"/>
    <w:rsid w:val="00FA0DC4"/>
    <w:rsid w:val="00FA583D"/>
    <w:rsid w:val="00FA7C15"/>
    <w:rsid w:val="00FB296F"/>
    <w:rsid w:val="00FC071D"/>
    <w:rsid w:val="00FC793D"/>
    <w:rsid w:val="00FC7FF6"/>
    <w:rsid w:val="00FD271D"/>
    <w:rsid w:val="00FD3DD6"/>
    <w:rsid w:val="00FD4381"/>
    <w:rsid w:val="00FD43E5"/>
    <w:rsid w:val="00FE721F"/>
    <w:rsid w:val="00FF2C1C"/>
    <w:rsid w:val="00FF4DEA"/>
    <w:rsid w:val="00FF5B89"/>
    <w:rsid w:val="00FF5D4E"/>
    <w:rsid w:val="00FF79E7"/>
    <w:rsid w:val="00FF7CFB"/>
    <w:rsid w:val="01721F8F"/>
    <w:rsid w:val="022B3A95"/>
    <w:rsid w:val="02847096"/>
    <w:rsid w:val="028678D2"/>
    <w:rsid w:val="03EE0DBF"/>
    <w:rsid w:val="04667323"/>
    <w:rsid w:val="048521EB"/>
    <w:rsid w:val="04EF7B35"/>
    <w:rsid w:val="05221C78"/>
    <w:rsid w:val="05407E81"/>
    <w:rsid w:val="05503AC8"/>
    <w:rsid w:val="05A01219"/>
    <w:rsid w:val="05C559AB"/>
    <w:rsid w:val="05F85FC3"/>
    <w:rsid w:val="064829DB"/>
    <w:rsid w:val="06616426"/>
    <w:rsid w:val="066170D7"/>
    <w:rsid w:val="066A3FC4"/>
    <w:rsid w:val="07F1341F"/>
    <w:rsid w:val="07FC5DA4"/>
    <w:rsid w:val="08633FCF"/>
    <w:rsid w:val="08AF1ED2"/>
    <w:rsid w:val="08BE15C8"/>
    <w:rsid w:val="090F576C"/>
    <w:rsid w:val="0960245B"/>
    <w:rsid w:val="09717221"/>
    <w:rsid w:val="09AC584D"/>
    <w:rsid w:val="0A1B7CE0"/>
    <w:rsid w:val="0A206512"/>
    <w:rsid w:val="0B1722BE"/>
    <w:rsid w:val="0BD82DD8"/>
    <w:rsid w:val="0C110E37"/>
    <w:rsid w:val="0C7E30FF"/>
    <w:rsid w:val="0C9D3C0B"/>
    <w:rsid w:val="0CA302E5"/>
    <w:rsid w:val="0CFE09E6"/>
    <w:rsid w:val="0D060F4F"/>
    <w:rsid w:val="0D0802E5"/>
    <w:rsid w:val="0D111369"/>
    <w:rsid w:val="0D421AD1"/>
    <w:rsid w:val="0D4E0FE4"/>
    <w:rsid w:val="0DF7068E"/>
    <w:rsid w:val="0E147AA9"/>
    <w:rsid w:val="0E362A1B"/>
    <w:rsid w:val="0E5E054A"/>
    <w:rsid w:val="0EA360D2"/>
    <w:rsid w:val="0EEC37C1"/>
    <w:rsid w:val="0F1B59E4"/>
    <w:rsid w:val="0F876305"/>
    <w:rsid w:val="11036AF6"/>
    <w:rsid w:val="117518B4"/>
    <w:rsid w:val="11AA4031"/>
    <w:rsid w:val="11FA0468"/>
    <w:rsid w:val="12820D8E"/>
    <w:rsid w:val="12D9698C"/>
    <w:rsid w:val="12E24DC6"/>
    <w:rsid w:val="133A550B"/>
    <w:rsid w:val="137653D2"/>
    <w:rsid w:val="13B65166"/>
    <w:rsid w:val="13C20854"/>
    <w:rsid w:val="14016520"/>
    <w:rsid w:val="143B1236"/>
    <w:rsid w:val="154A17B0"/>
    <w:rsid w:val="15835356"/>
    <w:rsid w:val="15845913"/>
    <w:rsid w:val="15F929E3"/>
    <w:rsid w:val="160734AD"/>
    <w:rsid w:val="16FA79F6"/>
    <w:rsid w:val="174F66BA"/>
    <w:rsid w:val="180E64B6"/>
    <w:rsid w:val="18985C69"/>
    <w:rsid w:val="189A116C"/>
    <w:rsid w:val="18B0330F"/>
    <w:rsid w:val="198C751B"/>
    <w:rsid w:val="199C24A0"/>
    <w:rsid w:val="1A0D104E"/>
    <w:rsid w:val="1AA94357"/>
    <w:rsid w:val="1AE24D33"/>
    <w:rsid w:val="1AE641A2"/>
    <w:rsid w:val="1BC50082"/>
    <w:rsid w:val="1C6051A6"/>
    <w:rsid w:val="1C9D6072"/>
    <w:rsid w:val="1CD06DE8"/>
    <w:rsid w:val="1D1F51F1"/>
    <w:rsid w:val="1D251725"/>
    <w:rsid w:val="1DE15E81"/>
    <w:rsid w:val="1E26687F"/>
    <w:rsid w:val="1E27284F"/>
    <w:rsid w:val="1EE32C57"/>
    <w:rsid w:val="1F655FB6"/>
    <w:rsid w:val="1FA53B61"/>
    <w:rsid w:val="1FD42C81"/>
    <w:rsid w:val="208F6602"/>
    <w:rsid w:val="2100182B"/>
    <w:rsid w:val="212C52C2"/>
    <w:rsid w:val="221911F4"/>
    <w:rsid w:val="231C3E29"/>
    <w:rsid w:val="23832F85"/>
    <w:rsid w:val="23B47E6B"/>
    <w:rsid w:val="240F3B6C"/>
    <w:rsid w:val="248F530B"/>
    <w:rsid w:val="24B139C8"/>
    <w:rsid w:val="24E94533"/>
    <w:rsid w:val="24ED112F"/>
    <w:rsid w:val="251B38EF"/>
    <w:rsid w:val="25503C5B"/>
    <w:rsid w:val="25E91023"/>
    <w:rsid w:val="26124BF5"/>
    <w:rsid w:val="267F50D6"/>
    <w:rsid w:val="27784416"/>
    <w:rsid w:val="278739E8"/>
    <w:rsid w:val="284F4F04"/>
    <w:rsid w:val="28E749A2"/>
    <w:rsid w:val="290E3123"/>
    <w:rsid w:val="299327C4"/>
    <w:rsid w:val="29A52F80"/>
    <w:rsid w:val="2B1C13F7"/>
    <w:rsid w:val="2B68395E"/>
    <w:rsid w:val="2B7539C6"/>
    <w:rsid w:val="2C2475FA"/>
    <w:rsid w:val="2C2C57E2"/>
    <w:rsid w:val="2C323DE0"/>
    <w:rsid w:val="2C86690A"/>
    <w:rsid w:val="2C8A280C"/>
    <w:rsid w:val="2D1026FA"/>
    <w:rsid w:val="2E235EDE"/>
    <w:rsid w:val="2EA45852"/>
    <w:rsid w:val="2EBA2758"/>
    <w:rsid w:val="2ECA13CA"/>
    <w:rsid w:val="2F7A1B5A"/>
    <w:rsid w:val="2F95750D"/>
    <w:rsid w:val="2FE72B6D"/>
    <w:rsid w:val="300578EC"/>
    <w:rsid w:val="30240D77"/>
    <w:rsid w:val="30386169"/>
    <w:rsid w:val="303D3857"/>
    <w:rsid w:val="307F5CB3"/>
    <w:rsid w:val="308E1D19"/>
    <w:rsid w:val="308F30F1"/>
    <w:rsid w:val="30D57C88"/>
    <w:rsid w:val="314017D2"/>
    <w:rsid w:val="31612686"/>
    <w:rsid w:val="31887E8D"/>
    <w:rsid w:val="3208175D"/>
    <w:rsid w:val="32100BB8"/>
    <w:rsid w:val="321C0C74"/>
    <w:rsid w:val="32321DDA"/>
    <w:rsid w:val="326046B6"/>
    <w:rsid w:val="327455A5"/>
    <w:rsid w:val="327912A2"/>
    <w:rsid w:val="330C174B"/>
    <w:rsid w:val="34373437"/>
    <w:rsid w:val="34657F98"/>
    <w:rsid w:val="347C3F2B"/>
    <w:rsid w:val="349E1A50"/>
    <w:rsid w:val="35635362"/>
    <w:rsid w:val="35770E63"/>
    <w:rsid w:val="35B35778"/>
    <w:rsid w:val="3766444B"/>
    <w:rsid w:val="38063169"/>
    <w:rsid w:val="38076ACE"/>
    <w:rsid w:val="385A2A1C"/>
    <w:rsid w:val="389E3E88"/>
    <w:rsid w:val="38AA78A6"/>
    <w:rsid w:val="38BA5651"/>
    <w:rsid w:val="39483EBA"/>
    <w:rsid w:val="39BE1BD5"/>
    <w:rsid w:val="3A055C4F"/>
    <w:rsid w:val="3A0C25C8"/>
    <w:rsid w:val="3A2662FB"/>
    <w:rsid w:val="3A4C5E0A"/>
    <w:rsid w:val="3B0A0411"/>
    <w:rsid w:val="3C535D05"/>
    <w:rsid w:val="3CC1149A"/>
    <w:rsid w:val="3CF174B3"/>
    <w:rsid w:val="3D0917B7"/>
    <w:rsid w:val="3D1C0F8A"/>
    <w:rsid w:val="3D482D9A"/>
    <w:rsid w:val="3D9045D7"/>
    <w:rsid w:val="3D97163C"/>
    <w:rsid w:val="3DC426E4"/>
    <w:rsid w:val="3DC757C1"/>
    <w:rsid w:val="3DD10DC4"/>
    <w:rsid w:val="3DDB6127"/>
    <w:rsid w:val="3E1154D7"/>
    <w:rsid w:val="3E3B6B2D"/>
    <w:rsid w:val="3E535428"/>
    <w:rsid w:val="3E924036"/>
    <w:rsid w:val="3E925FC3"/>
    <w:rsid w:val="3EE06449"/>
    <w:rsid w:val="40214882"/>
    <w:rsid w:val="406B2CDD"/>
    <w:rsid w:val="406D0E3F"/>
    <w:rsid w:val="409C16DF"/>
    <w:rsid w:val="411E431D"/>
    <w:rsid w:val="415A06E2"/>
    <w:rsid w:val="42985D72"/>
    <w:rsid w:val="42FD4743"/>
    <w:rsid w:val="4323717C"/>
    <w:rsid w:val="43462E5D"/>
    <w:rsid w:val="437057A0"/>
    <w:rsid w:val="43DB0874"/>
    <w:rsid w:val="44455E90"/>
    <w:rsid w:val="44926E1B"/>
    <w:rsid w:val="44CC2B6C"/>
    <w:rsid w:val="44E343B5"/>
    <w:rsid w:val="45097E82"/>
    <w:rsid w:val="454F1162"/>
    <w:rsid w:val="45CC3209"/>
    <w:rsid w:val="45E514D3"/>
    <w:rsid w:val="463941E6"/>
    <w:rsid w:val="464E1420"/>
    <w:rsid w:val="471362A9"/>
    <w:rsid w:val="47850B66"/>
    <w:rsid w:val="47D51771"/>
    <w:rsid w:val="47E43852"/>
    <w:rsid w:val="48DA7BDE"/>
    <w:rsid w:val="48DE14D8"/>
    <w:rsid w:val="49144247"/>
    <w:rsid w:val="497B414A"/>
    <w:rsid w:val="49F91C09"/>
    <w:rsid w:val="4A055A80"/>
    <w:rsid w:val="4A6B50A6"/>
    <w:rsid w:val="4C263FB4"/>
    <w:rsid w:val="4C2E07C1"/>
    <w:rsid w:val="4C9C20B7"/>
    <w:rsid w:val="4CD40DCE"/>
    <w:rsid w:val="4D174120"/>
    <w:rsid w:val="4D4178B3"/>
    <w:rsid w:val="4D5B6EAA"/>
    <w:rsid w:val="4E176C46"/>
    <w:rsid w:val="4E540CC7"/>
    <w:rsid w:val="4E5B635E"/>
    <w:rsid w:val="4F2B7E4B"/>
    <w:rsid w:val="4F50208C"/>
    <w:rsid w:val="4F7D2FD0"/>
    <w:rsid w:val="50715259"/>
    <w:rsid w:val="511B1D6C"/>
    <w:rsid w:val="51206DA9"/>
    <w:rsid w:val="51391023"/>
    <w:rsid w:val="518E1D9E"/>
    <w:rsid w:val="51A301A9"/>
    <w:rsid w:val="51BB005F"/>
    <w:rsid w:val="5210228D"/>
    <w:rsid w:val="521D7A23"/>
    <w:rsid w:val="52590914"/>
    <w:rsid w:val="53607B55"/>
    <w:rsid w:val="54002957"/>
    <w:rsid w:val="5421624A"/>
    <w:rsid w:val="545523AB"/>
    <w:rsid w:val="54FA305B"/>
    <w:rsid w:val="55161382"/>
    <w:rsid w:val="555C3139"/>
    <w:rsid w:val="569409E3"/>
    <w:rsid w:val="575D6863"/>
    <w:rsid w:val="57937D78"/>
    <w:rsid w:val="57FA2E28"/>
    <w:rsid w:val="58876FBA"/>
    <w:rsid w:val="58D006E1"/>
    <w:rsid w:val="595B50F1"/>
    <w:rsid w:val="5998070C"/>
    <w:rsid w:val="59BD0FDD"/>
    <w:rsid w:val="5A1F5027"/>
    <w:rsid w:val="5A3F1B53"/>
    <w:rsid w:val="5A4E7F59"/>
    <w:rsid w:val="5A6F296F"/>
    <w:rsid w:val="5B015E57"/>
    <w:rsid w:val="5BB44985"/>
    <w:rsid w:val="5C2E4359"/>
    <w:rsid w:val="5C50643F"/>
    <w:rsid w:val="5C691533"/>
    <w:rsid w:val="5E711FC1"/>
    <w:rsid w:val="5EB14019"/>
    <w:rsid w:val="5EDC7053"/>
    <w:rsid w:val="5F23399A"/>
    <w:rsid w:val="5F7E56D9"/>
    <w:rsid w:val="5F8A2DF0"/>
    <w:rsid w:val="61497D28"/>
    <w:rsid w:val="615B12C7"/>
    <w:rsid w:val="624E2357"/>
    <w:rsid w:val="62685F45"/>
    <w:rsid w:val="6311178A"/>
    <w:rsid w:val="631D2B64"/>
    <w:rsid w:val="63351EAE"/>
    <w:rsid w:val="636435AC"/>
    <w:rsid w:val="648D2FCE"/>
    <w:rsid w:val="64D92503"/>
    <w:rsid w:val="64DF75EC"/>
    <w:rsid w:val="651D4CF5"/>
    <w:rsid w:val="658601FE"/>
    <w:rsid w:val="659C00F5"/>
    <w:rsid w:val="65D00D73"/>
    <w:rsid w:val="66132D38"/>
    <w:rsid w:val="66F73306"/>
    <w:rsid w:val="670364A0"/>
    <w:rsid w:val="6708270F"/>
    <w:rsid w:val="670B31EC"/>
    <w:rsid w:val="67417C81"/>
    <w:rsid w:val="6790623F"/>
    <w:rsid w:val="67A7359A"/>
    <w:rsid w:val="67BA52E0"/>
    <w:rsid w:val="6823219C"/>
    <w:rsid w:val="685E7C7B"/>
    <w:rsid w:val="688D75B9"/>
    <w:rsid w:val="68B961C7"/>
    <w:rsid w:val="692D5356"/>
    <w:rsid w:val="692F1895"/>
    <w:rsid w:val="6961530A"/>
    <w:rsid w:val="69A9476F"/>
    <w:rsid w:val="6A9D61E6"/>
    <w:rsid w:val="6C9B2E4E"/>
    <w:rsid w:val="6CAD4EB4"/>
    <w:rsid w:val="6CD0754F"/>
    <w:rsid w:val="6CF56FD0"/>
    <w:rsid w:val="6D2A0795"/>
    <w:rsid w:val="6D71439B"/>
    <w:rsid w:val="6DFB0A7C"/>
    <w:rsid w:val="6E327302"/>
    <w:rsid w:val="6E420C45"/>
    <w:rsid w:val="6E491E80"/>
    <w:rsid w:val="6ED82294"/>
    <w:rsid w:val="6F7D6458"/>
    <w:rsid w:val="6F8772DF"/>
    <w:rsid w:val="7002399E"/>
    <w:rsid w:val="70154795"/>
    <w:rsid w:val="711518FA"/>
    <w:rsid w:val="715865FA"/>
    <w:rsid w:val="71B40609"/>
    <w:rsid w:val="71CE776D"/>
    <w:rsid w:val="71D65326"/>
    <w:rsid w:val="71F96B35"/>
    <w:rsid w:val="72647DCC"/>
    <w:rsid w:val="731E0792"/>
    <w:rsid w:val="73DD1E3B"/>
    <w:rsid w:val="73E50120"/>
    <w:rsid w:val="742E5C03"/>
    <w:rsid w:val="74C03815"/>
    <w:rsid w:val="751637A7"/>
    <w:rsid w:val="75497189"/>
    <w:rsid w:val="756602B2"/>
    <w:rsid w:val="759D1102"/>
    <w:rsid w:val="75A01D32"/>
    <w:rsid w:val="76B15747"/>
    <w:rsid w:val="775E4966"/>
    <w:rsid w:val="778B51BE"/>
    <w:rsid w:val="78DF2821"/>
    <w:rsid w:val="798D302F"/>
    <w:rsid w:val="7B1227F8"/>
    <w:rsid w:val="7B5031C1"/>
    <w:rsid w:val="7B8B33BC"/>
    <w:rsid w:val="7BB75884"/>
    <w:rsid w:val="7C276ABD"/>
    <w:rsid w:val="7CEE364E"/>
    <w:rsid w:val="7D8859D7"/>
    <w:rsid w:val="7E9E1505"/>
    <w:rsid w:val="7FCA6B67"/>
    <w:rsid w:val="7FFA0D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1" w:semiHidden="0" w:name="toc 2"/>
    <w:lsdException w:qFormat="1" w:unhideWhenUsed="0" w:uiPriority="39" w:semiHidden="0" w:name="toc 3"/>
    <w:lsdException w:qFormat="1" w:unhideWhenUsed="0" w:uiPriority="1"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imes New Roman" w:hAnsi="Times New Roman" w:eastAsia="Calibri" w:cs="Times New Roman"/>
      <w:sz w:val="22"/>
      <w:szCs w:val="22"/>
      <w:lang w:val="en-US" w:eastAsia="en-US" w:bidi="ar-SA"/>
    </w:rPr>
  </w:style>
  <w:style w:type="paragraph" w:styleId="3">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2">
    <w:name w:val="heading 2"/>
    <w:basedOn w:val="1"/>
    <w:next w:val="1"/>
    <w:qFormat/>
    <w:uiPriority w:val="1"/>
    <w:pPr>
      <w:ind w:left="3"/>
      <w:outlineLvl w:val="1"/>
    </w:pPr>
    <w:rPr>
      <w:rFonts w:ascii="宋体" w:hAnsi="宋体" w:eastAsia="宋体"/>
      <w:sz w:val="44"/>
      <w:szCs w:val="44"/>
    </w:rPr>
  </w:style>
  <w:style w:type="paragraph" w:styleId="4">
    <w:name w:val="heading 3"/>
    <w:basedOn w:val="1"/>
    <w:next w:val="1"/>
    <w:link w:val="36"/>
    <w:qFormat/>
    <w:uiPriority w:val="1"/>
    <w:pPr>
      <w:ind w:left="100"/>
      <w:outlineLvl w:val="2"/>
    </w:pPr>
    <w:rPr>
      <w:rFonts w:ascii="Microsoft JhengHei" w:hAnsi="Microsoft JhengHei" w:eastAsia="Microsoft JhengHei"/>
      <w:b/>
      <w:bCs/>
      <w:sz w:val="32"/>
      <w:szCs w:val="32"/>
    </w:rPr>
  </w:style>
  <w:style w:type="paragraph" w:styleId="5">
    <w:name w:val="heading 4"/>
    <w:basedOn w:val="1"/>
    <w:next w:val="1"/>
    <w:qFormat/>
    <w:uiPriority w:val="1"/>
    <w:pPr>
      <w:ind w:left="237"/>
      <w:outlineLvl w:val="3"/>
    </w:pPr>
    <w:rPr>
      <w:rFonts w:ascii="宋体" w:hAnsi="宋体" w:eastAsia="宋体"/>
      <w:sz w:val="28"/>
      <w:szCs w:val="28"/>
    </w:rPr>
  </w:style>
  <w:style w:type="paragraph" w:styleId="6">
    <w:name w:val="heading 5"/>
    <w:basedOn w:val="1"/>
    <w:next w:val="1"/>
    <w:qFormat/>
    <w:uiPriority w:val="1"/>
    <w:pPr>
      <w:ind w:left="513"/>
      <w:outlineLvl w:val="4"/>
    </w:pPr>
    <w:rPr>
      <w:rFonts w:ascii="Times New Roman" w:hAnsi="Times New Roman" w:eastAsia="Times New Roman"/>
      <w:b/>
      <w:bCs/>
      <w:sz w:val="21"/>
      <w:szCs w:val="21"/>
    </w:rPr>
  </w:style>
  <w:style w:type="character" w:default="1" w:styleId="32">
    <w:name w:val="Default Paragraph Font"/>
    <w:unhideWhenUsed/>
    <w:qFormat/>
    <w:uiPriority w:val="1"/>
  </w:style>
  <w:style w:type="table" w:default="1" w:styleId="31">
    <w:name w:val="Normal Table"/>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ind w:firstLine="420"/>
      <w:jc w:val="both"/>
    </w:pPr>
    <w:rPr>
      <w:rFonts w:ascii="仿宋_GB2312" w:hAnsi="Times New Roman" w:eastAsia="宋体"/>
      <w:b/>
      <w:kern w:val="2"/>
      <w:sz w:val="32"/>
      <w:szCs w:val="20"/>
      <w:lang w:eastAsia="zh-CN"/>
    </w:rPr>
  </w:style>
  <w:style w:type="paragraph" w:styleId="8">
    <w:name w:val="toa heading"/>
    <w:basedOn w:val="1"/>
    <w:next w:val="1"/>
    <w:qFormat/>
    <w:uiPriority w:val="0"/>
    <w:pPr>
      <w:autoSpaceDE w:val="0"/>
      <w:autoSpaceDN w:val="0"/>
      <w:adjustRightInd w:val="0"/>
      <w:spacing w:before="120" w:after="60" w:line="360" w:lineRule="auto"/>
      <w:ind w:right="-425"/>
      <w:jc w:val="left"/>
    </w:pPr>
    <w:rPr>
      <w:rFonts w:ascii="Arial" w:hAnsi="Arial" w:eastAsia="宋体"/>
      <w:color w:val="000000"/>
      <w:sz w:val="24"/>
    </w:rPr>
  </w:style>
  <w:style w:type="paragraph" w:styleId="9">
    <w:name w:val="annotation text"/>
    <w:basedOn w:val="1"/>
    <w:link w:val="37"/>
    <w:qFormat/>
    <w:uiPriority w:val="0"/>
  </w:style>
  <w:style w:type="paragraph" w:styleId="10">
    <w:name w:val="Body Text 3"/>
    <w:basedOn w:val="1"/>
    <w:link w:val="38"/>
    <w:qFormat/>
    <w:uiPriority w:val="0"/>
    <w:pPr>
      <w:jc w:val="both"/>
    </w:pPr>
    <w:rPr>
      <w:rFonts w:ascii="宋体" w:eastAsia="宋体"/>
      <w:kern w:val="2"/>
      <w:sz w:val="24"/>
      <w:szCs w:val="20"/>
    </w:rPr>
  </w:style>
  <w:style w:type="paragraph" w:styleId="11">
    <w:name w:val="Body Text"/>
    <w:basedOn w:val="1"/>
    <w:next w:val="1"/>
    <w:link w:val="39"/>
    <w:qFormat/>
    <w:uiPriority w:val="1"/>
    <w:pPr>
      <w:ind w:left="100"/>
    </w:pPr>
    <w:rPr>
      <w:rFonts w:ascii="宋体" w:hAnsi="宋体" w:eastAsia="宋体"/>
      <w:sz w:val="21"/>
      <w:szCs w:val="21"/>
    </w:rPr>
  </w:style>
  <w:style w:type="paragraph" w:styleId="12">
    <w:name w:val="Body Text Indent"/>
    <w:basedOn w:val="1"/>
    <w:next w:val="13"/>
    <w:qFormat/>
    <w:uiPriority w:val="99"/>
    <w:pPr>
      <w:ind w:firstLine="570"/>
    </w:pPr>
    <w:rPr>
      <w:rFonts w:ascii="Times New Roman" w:hAnsi="Times New Roman"/>
      <w:kern w:val="0"/>
      <w:sz w:val="28"/>
      <w:szCs w:val="20"/>
    </w:rPr>
  </w:style>
  <w:style w:type="paragraph" w:styleId="13">
    <w:name w:val="Body Text Indent 2"/>
    <w:basedOn w:val="1"/>
    <w:next w:val="14"/>
    <w:qFormat/>
    <w:uiPriority w:val="0"/>
    <w:pPr>
      <w:spacing w:line="480" w:lineRule="auto"/>
      <w:ind w:left="420" w:leftChars="200"/>
    </w:pPr>
    <w:rPr>
      <w:szCs w:val="24"/>
    </w:rPr>
  </w:style>
  <w:style w:type="paragraph" w:customStyle="1" w:styleId="14">
    <w:name w:val="目录 71"/>
    <w:basedOn w:val="1"/>
    <w:next w:val="1"/>
    <w:qFormat/>
    <w:uiPriority w:val="0"/>
    <w:pPr>
      <w:ind w:left="2520"/>
    </w:pPr>
    <w:rPr>
      <w:rFonts w:ascii="Calibri" w:hAnsi="宋体" w:cs="宋体"/>
      <w:kern w:val="0"/>
    </w:rPr>
  </w:style>
  <w:style w:type="paragraph" w:styleId="15">
    <w:name w:val="toc 3"/>
    <w:basedOn w:val="1"/>
    <w:next w:val="1"/>
    <w:qFormat/>
    <w:uiPriority w:val="39"/>
    <w:pPr>
      <w:ind w:left="520"/>
    </w:pPr>
    <w:rPr>
      <w:rFonts w:ascii="宋体" w:hAnsi="宋体" w:eastAsia="宋体"/>
      <w:sz w:val="21"/>
      <w:szCs w:val="21"/>
    </w:rPr>
  </w:style>
  <w:style w:type="paragraph" w:styleId="16">
    <w:name w:val="Plain Text"/>
    <w:basedOn w:val="1"/>
    <w:link w:val="40"/>
    <w:qFormat/>
    <w:uiPriority w:val="0"/>
    <w:pPr>
      <w:jc w:val="both"/>
    </w:pPr>
    <w:rPr>
      <w:rFonts w:ascii="宋体" w:hAnsi="Courier New" w:eastAsia="宋体"/>
      <w:kern w:val="2"/>
      <w:sz w:val="21"/>
      <w:szCs w:val="20"/>
    </w:rPr>
  </w:style>
  <w:style w:type="paragraph" w:styleId="17">
    <w:name w:val="Date"/>
    <w:basedOn w:val="1"/>
    <w:next w:val="1"/>
    <w:link w:val="41"/>
    <w:qFormat/>
    <w:uiPriority w:val="0"/>
    <w:pPr>
      <w:ind w:left="100" w:leftChars="2500"/>
    </w:pPr>
  </w:style>
  <w:style w:type="paragraph" w:styleId="18">
    <w:name w:val="endnote text"/>
    <w:basedOn w:val="1"/>
    <w:link w:val="42"/>
    <w:unhideWhenUsed/>
    <w:qFormat/>
    <w:uiPriority w:val="0"/>
    <w:pPr>
      <w:snapToGrid w:val="0"/>
    </w:pPr>
  </w:style>
  <w:style w:type="paragraph" w:styleId="19">
    <w:name w:val="Balloon Text"/>
    <w:basedOn w:val="1"/>
    <w:link w:val="43"/>
    <w:qFormat/>
    <w:uiPriority w:val="0"/>
    <w:rPr>
      <w:sz w:val="18"/>
      <w:szCs w:val="18"/>
    </w:rPr>
  </w:style>
  <w:style w:type="paragraph" w:styleId="20">
    <w:name w:val="footer"/>
    <w:basedOn w:val="1"/>
    <w:link w:val="44"/>
    <w:qFormat/>
    <w:uiPriority w:val="99"/>
    <w:pPr>
      <w:tabs>
        <w:tab w:val="center" w:pos="4153"/>
        <w:tab w:val="right" w:pos="8306"/>
      </w:tabs>
      <w:snapToGrid w:val="0"/>
    </w:pPr>
    <w:rPr>
      <w:sz w:val="18"/>
      <w:szCs w:val="18"/>
    </w:rPr>
  </w:style>
  <w:style w:type="paragraph" w:styleId="21">
    <w:name w:val="envelope return"/>
    <w:basedOn w:val="1"/>
    <w:qFormat/>
    <w:uiPriority w:val="0"/>
    <w:pPr>
      <w:snapToGrid w:val="0"/>
    </w:pPr>
    <w:rPr>
      <w:rFonts w:ascii="Arial" w:hAnsi="Arial" w:eastAsia="宋体" w:cs="Times New Roman"/>
      <w:szCs w:val="24"/>
      <w:lang w:bidi="ar-SA"/>
    </w:rPr>
  </w:style>
  <w:style w:type="paragraph" w:styleId="22">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rPr>
      <w:rFonts w:ascii="宋体" w:hAnsi="宋体" w:eastAsia="宋体"/>
      <w:sz w:val="21"/>
      <w:szCs w:val="21"/>
    </w:rPr>
  </w:style>
  <w:style w:type="paragraph" w:styleId="24">
    <w:name w:val="toc 4"/>
    <w:basedOn w:val="1"/>
    <w:next w:val="1"/>
    <w:qFormat/>
    <w:uiPriority w:val="1"/>
    <w:pPr>
      <w:ind w:left="940"/>
    </w:pPr>
    <w:rPr>
      <w:rFonts w:ascii="宋体" w:hAnsi="宋体" w:eastAsia="宋体"/>
      <w:sz w:val="21"/>
      <w:szCs w:val="21"/>
    </w:rPr>
  </w:style>
  <w:style w:type="paragraph" w:styleId="25">
    <w:name w:val="toc 2"/>
    <w:basedOn w:val="1"/>
    <w:next w:val="1"/>
    <w:qFormat/>
    <w:uiPriority w:val="1"/>
    <w:pPr>
      <w:ind w:left="100"/>
    </w:pPr>
    <w:rPr>
      <w:rFonts w:ascii="宋体" w:hAnsi="宋体" w:eastAsia="宋体"/>
      <w:sz w:val="21"/>
      <w:szCs w:val="21"/>
    </w:rPr>
  </w:style>
  <w:style w:type="paragraph" w:styleId="26">
    <w:name w:val="Normal (Web)"/>
    <w:basedOn w:val="1"/>
    <w:unhideWhenUsed/>
    <w:qFormat/>
    <w:uiPriority w:val="99"/>
    <w:pPr>
      <w:widowControl/>
    </w:pPr>
    <w:rPr>
      <w:rFonts w:ascii="微软雅黑" w:hAnsi="微软雅黑" w:eastAsia="微软雅黑" w:cs="宋体"/>
      <w:sz w:val="24"/>
      <w:szCs w:val="24"/>
      <w:lang w:eastAsia="zh-CN"/>
    </w:rPr>
  </w:style>
  <w:style w:type="paragraph" w:styleId="27">
    <w:name w:val="Title"/>
    <w:basedOn w:val="1"/>
    <w:next w:val="1"/>
    <w:link w:val="46"/>
    <w:qFormat/>
    <w:uiPriority w:val="0"/>
    <w:pPr>
      <w:spacing w:before="240" w:after="60"/>
      <w:jc w:val="center"/>
      <w:outlineLvl w:val="0"/>
    </w:pPr>
    <w:rPr>
      <w:rFonts w:ascii="Cambria" w:hAnsi="Cambria" w:eastAsia="宋体"/>
      <w:b/>
      <w:bCs/>
      <w:sz w:val="32"/>
      <w:szCs w:val="32"/>
    </w:rPr>
  </w:style>
  <w:style w:type="paragraph" w:styleId="28">
    <w:name w:val="annotation subject"/>
    <w:basedOn w:val="9"/>
    <w:next w:val="9"/>
    <w:link w:val="47"/>
    <w:qFormat/>
    <w:uiPriority w:val="0"/>
    <w:rPr>
      <w:b/>
      <w:bCs/>
    </w:rPr>
  </w:style>
  <w:style w:type="paragraph" w:styleId="29">
    <w:name w:val="Body Text First Indent"/>
    <w:basedOn w:val="11"/>
    <w:next w:val="30"/>
    <w:link w:val="48"/>
    <w:qFormat/>
    <w:uiPriority w:val="0"/>
    <w:pPr>
      <w:spacing w:after="120" w:line="312" w:lineRule="auto"/>
      <w:ind w:left="0" w:firstLine="420"/>
      <w:jc w:val="both"/>
    </w:pPr>
    <w:rPr>
      <w:rFonts w:ascii="Calibri" w:hAnsi="Calibri"/>
      <w:kern w:val="2"/>
      <w:szCs w:val="24"/>
    </w:rPr>
  </w:style>
  <w:style w:type="paragraph" w:styleId="30">
    <w:name w:val="Body Text First Indent 2"/>
    <w:basedOn w:val="12"/>
    <w:qFormat/>
    <w:uiPriority w:val="0"/>
    <w:pPr>
      <w:spacing w:after="120" w:line="240" w:lineRule="auto"/>
      <w:ind w:left="200" w:leftChars="200" w:firstLine="200" w:firstLineChars="200"/>
    </w:pPr>
    <w:rPr>
      <w:rFonts w:ascii="Calibri" w:hAnsi="Calibri"/>
      <w:kern w:val="2"/>
      <w:sz w:val="21"/>
      <w:szCs w:val="24"/>
    </w:rPr>
  </w:style>
  <w:style w:type="character" w:styleId="33">
    <w:name w:val="Strong"/>
    <w:basedOn w:val="32"/>
    <w:qFormat/>
    <w:uiPriority w:val="0"/>
    <w:rPr>
      <w:b/>
    </w:rPr>
  </w:style>
  <w:style w:type="character" w:styleId="34">
    <w:name w:val="Hyperlink"/>
    <w:unhideWhenUsed/>
    <w:qFormat/>
    <w:uiPriority w:val="99"/>
    <w:rPr>
      <w:color w:val="0000FF"/>
      <w:u w:val="single"/>
    </w:rPr>
  </w:style>
  <w:style w:type="character" w:styleId="35">
    <w:name w:val="annotation reference"/>
    <w:qFormat/>
    <w:uiPriority w:val="0"/>
    <w:rPr>
      <w:sz w:val="21"/>
      <w:szCs w:val="21"/>
    </w:rPr>
  </w:style>
  <w:style w:type="character" w:customStyle="1" w:styleId="36">
    <w:name w:val="标题 3 Char"/>
    <w:link w:val="4"/>
    <w:qFormat/>
    <w:uiPriority w:val="1"/>
    <w:rPr>
      <w:rFonts w:ascii="Microsoft JhengHei" w:hAnsi="Microsoft JhengHei" w:eastAsia="Microsoft JhengHei"/>
      <w:b/>
      <w:bCs/>
      <w:sz w:val="32"/>
      <w:szCs w:val="32"/>
      <w:lang w:eastAsia="en-US"/>
    </w:rPr>
  </w:style>
  <w:style w:type="character" w:customStyle="1" w:styleId="37">
    <w:name w:val="批注文字 Char"/>
    <w:link w:val="9"/>
    <w:qFormat/>
    <w:uiPriority w:val="0"/>
    <w:rPr>
      <w:rFonts w:eastAsia="Calibri"/>
      <w:sz w:val="22"/>
      <w:szCs w:val="22"/>
      <w:lang w:eastAsia="en-US"/>
    </w:rPr>
  </w:style>
  <w:style w:type="character" w:customStyle="1" w:styleId="38">
    <w:name w:val="正文文本 3 Char"/>
    <w:link w:val="10"/>
    <w:qFormat/>
    <w:uiPriority w:val="0"/>
    <w:rPr>
      <w:rFonts w:ascii="宋体"/>
      <w:kern w:val="2"/>
      <w:sz w:val="24"/>
    </w:rPr>
  </w:style>
  <w:style w:type="character" w:customStyle="1" w:styleId="39">
    <w:name w:val="正文文本 Char"/>
    <w:link w:val="11"/>
    <w:qFormat/>
    <w:uiPriority w:val="1"/>
    <w:rPr>
      <w:rFonts w:ascii="宋体" w:hAnsi="宋体"/>
      <w:sz w:val="21"/>
      <w:szCs w:val="21"/>
      <w:lang w:eastAsia="en-US"/>
    </w:rPr>
  </w:style>
  <w:style w:type="character" w:customStyle="1" w:styleId="40">
    <w:name w:val="纯文本 Char"/>
    <w:link w:val="16"/>
    <w:qFormat/>
    <w:locked/>
    <w:uiPriority w:val="0"/>
    <w:rPr>
      <w:rFonts w:ascii="宋体" w:hAnsi="Courier New"/>
      <w:kern w:val="2"/>
      <w:sz w:val="21"/>
    </w:rPr>
  </w:style>
  <w:style w:type="character" w:customStyle="1" w:styleId="41">
    <w:name w:val="日期 Char"/>
    <w:link w:val="17"/>
    <w:qFormat/>
    <w:uiPriority w:val="0"/>
    <w:rPr>
      <w:rFonts w:eastAsia="Calibri"/>
      <w:sz w:val="22"/>
      <w:szCs w:val="22"/>
      <w:lang w:eastAsia="en-US"/>
    </w:rPr>
  </w:style>
  <w:style w:type="character" w:customStyle="1" w:styleId="42">
    <w:name w:val="尾注文本 Char1"/>
    <w:link w:val="18"/>
    <w:qFormat/>
    <w:uiPriority w:val="0"/>
    <w:rPr>
      <w:rFonts w:eastAsia="Calibri"/>
      <w:sz w:val="22"/>
      <w:szCs w:val="22"/>
      <w:lang w:eastAsia="en-US"/>
    </w:rPr>
  </w:style>
  <w:style w:type="character" w:customStyle="1" w:styleId="43">
    <w:name w:val="批注框文本 Char"/>
    <w:link w:val="19"/>
    <w:qFormat/>
    <w:uiPriority w:val="0"/>
    <w:rPr>
      <w:rFonts w:eastAsia="Calibri"/>
      <w:sz w:val="18"/>
      <w:szCs w:val="18"/>
      <w:lang w:eastAsia="en-US"/>
    </w:rPr>
  </w:style>
  <w:style w:type="character" w:customStyle="1" w:styleId="44">
    <w:name w:val="页脚 Char"/>
    <w:link w:val="20"/>
    <w:qFormat/>
    <w:uiPriority w:val="99"/>
    <w:rPr>
      <w:rFonts w:eastAsia="Calibri"/>
      <w:sz w:val="18"/>
      <w:szCs w:val="18"/>
      <w:lang w:eastAsia="en-US"/>
    </w:rPr>
  </w:style>
  <w:style w:type="character" w:customStyle="1" w:styleId="45">
    <w:name w:val="页眉 Char"/>
    <w:link w:val="22"/>
    <w:qFormat/>
    <w:uiPriority w:val="0"/>
    <w:rPr>
      <w:rFonts w:eastAsia="Calibri"/>
      <w:sz w:val="18"/>
      <w:szCs w:val="18"/>
      <w:lang w:eastAsia="en-US"/>
    </w:rPr>
  </w:style>
  <w:style w:type="character" w:customStyle="1" w:styleId="46">
    <w:name w:val="标题 Char"/>
    <w:link w:val="27"/>
    <w:qFormat/>
    <w:uiPriority w:val="0"/>
    <w:rPr>
      <w:rFonts w:ascii="Cambria" w:hAnsi="Cambria" w:eastAsia="宋体" w:cs="Times New Roman"/>
      <w:b/>
      <w:bCs/>
      <w:sz w:val="32"/>
      <w:szCs w:val="32"/>
      <w:lang w:eastAsia="en-US"/>
    </w:rPr>
  </w:style>
  <w:style w:type="character" w:customStyle="1" w:styleId="47">
    <w:name w:val="批注主题 Char"/>
    <w:link w:val="28"/>
    <w:qFormat/>
    <w:uiPriority w:val="0"/>
    <w:rPr>
      <w:rFonts w:eastAsia="Calibri"/>
      <w:b/>
      <w:bCs/>
      <w:sz w:val="22"/>
      <w:szCs w:val="22"/>
      <w:lang w:eastAsia="en-US"/>
    </w:rPr>
  </w:style>
  <w:style w:type="character" w:customStyle="1" w:styleId="48">
    <w:name w:val="正文首行缩进 Char"/>
    <w:link w:val="29"/>
    <w:qFormat/>
    <w:uiPriority w:val="0"/>
    <w:rPr>
      <w:kern w:val="2"/>
      <w:sz w:val="21"/>
      <w:szCs w:val="24"/>
    </w:rPr>
  </w:style>
  <w:style w:type="paragraph" w:customStyle="1" w:styleId="49">
    <w:name w:val="BodyText"/>
    <w:basedOn w:val="1"/>
    <w:qFormat/>
    <w:uiPriority w:val="0"/>
    <w:pPr>
      <w:spacing w:after="120"/>
    </w:pPr>
    <w:rPr>
      <w:rFonts w:ascii="Times New Roman" w:hAnsi="Times New Roman"/>
      <w:sz w:val="20"/>
      <w:szCs w:val="20"/>
    </w:rPr>
  </w:style>
  <w:style w:type="character" w:customStyle="1" w:styleId="50">
    <w:name w:val="表格00 Char1"/>
    <w:link w:val="51"/>
    <w:qFormat/>
    <w:uiPriority w:val="0"/>
    <w:rPr>
      <w:rFonts w:eastAsia="Times New Roman"/>
      <w:kern w:val="2"/>
      <w:sz w:val="21"/>
      <w:szCs w:val="21"/>
      <w:lang w:val="en-US" w:eastAsia="zh-CN" w:bidi="ar-SA"/>
    </w:rPr>
  </w:style>
  <w:style w:type="paragraph" w:customStyle="1" w:styleId="51">
    <w:name w:val="表格00"/>
    <w:link w:val="50"/>
    <w:qFormat/>
    <w:uiPriority w:val="0"/>
    <w:pPr>
      <w:widowControl w:val="0"/>
      <w:adjustRightInd w:val="0"/>
      <w:spacing w:line="140" w:lineRule="atLeast"/>
      <w:jc w:val="center"/>
      <w:outlineLvl w:val="8"/>
    </w:pPr>
    <w:rPr>
      <w:rFonts w:ascii="Times New Roman" w:hAnsi="Times New Roman" w:eastAsia="Times New Roman" w:cs="Times New Roman"/>
      <w:kern w:val="2"/>
      <w:sz w:val="21"/>
      <w:szCs w:val="21"/>
      <w:lang w:val="en-US" w:eastAsia="zh-CN" w:bidi="ar-SA"/>
    </w:rPr>
  </w:style>
  <w:style w:type="character" w:customStyle="1" w:styleId="52">
    <w:name w:val="纯文本 Char1"/>
    <w:qFormat/>
    <w:uiPriority w:val="0"/>
    <w:rPr>
      <w:rFonts w:ascii="宋体" w:hAnsi="Courier New" w:cs="Courier New"/>
      <w:sz w:val="21"/>
      <w:szCs w:val="21"/>
      <w:lang w:eastAsia="en-US"/>
    </w:rPr>
  </w:style>
  <w:style w:type="character" w:customStyle="1" w:styleId="53">
    <w:name w:val="正文文本 3 Char1"/>
    <w:qFormat/>
    <w:uiPriority w:val="0"/>
    <w:rPr>
      <w:rFonts w:eastAsia="Calibri"/>
      <w:sz w:val="16"/>
      <w:szCs w:val="16"/>
      <w:lang w:eastAsia="en-US"/>
    </w:rPr>
  </w:style>
  <w:style w:type="character" w:customStyle="1" w:styleId="54">
    <w:name w:val="正文首行缩进 Char1"/>
    <w:qFormat/>
    <w:uiPriority w:val="0"/>
    <w:rPr>
      <w:lang w:eastAsia="en-US"/>
    </w:rPr>
  </w:style>
  <w:style w:type="paragraph" w:customStyle="1" w:styleId="55">
    <w:name w:val="正题"/>
    <w:basedOn w:val="1"/>
    <w:next w:val="1"/>
    <w:qFormat/>
    <w:uiPriority w:val="0"/>
    <w:pPr>
      <w:topLinePunct/>
      <w:adjustRightInd w:val="0"/>
      <w:snapToGrid w:val="0"/>
      <w:spacing w:line="360" w:lineRule="auto"/>
      <w:jc w:val="center"/>
    </w:pPr>
    <w:rPr>
      <w:rFonts w:ascii="等线" w:hAnsi="等线" w:eastAsia="黑体"/>
      <w:b/>
      <w:snapToGrid w:val="0"/>
      <w:spacing w:val="4"/>
      <w:sz w:val="36"/>
      <w:szCs w:val="36"/>
    </w:rPr>
  </w:style>
  <w:style w:type="paragraph" w:customStyle="1" w:styleId="56">
    <w:name w:val="发文落款"/>
    <w:basedOn w:val="57"/>
    <w:qFormat/>
    <w:uiPriority w:val="0"/>
    <w:pPr>
      <w:ind w:left="4094" w:right="607" w:firstLine="0"/>
      <w:jc w:val="center"/>
    </w:pPr>
  </w:style>
  <w:style w:type="paragraph" w:customStyle="1" w:styleId="5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58">
    <w:name w:val="_Style 25"/>
    <w:unhideWhenUsed/>
    <w:qFormat/>
    <w:uiPriority w:val="99"/>
    <w:rPr>
      <w:rFonts w:ascii="Times New Roman" w:hAnsi="Times New Roman" w:eastAsia="Calibri" w:cs="Times New Roman"/>
      <w:sz w:val="22"/>
      <w:szCs w:val="22"/>
      <w:lang w:val="en-US" w:eastAsia="en-US" w:bidi="ar-SA"/>
    </w:rPr>
  </w:style>
  <w:style w:type="paragraph" w:styleId="59">
    <w:name w:val="List Paragraph"/>
    <w:basedOn w:val="1"/>
    <w:qFormat/>
    <w:uiPriority w:val="1"/>
  </w:style>
  <w:style w:type="paragraph" w:customStyle="1" w:styleId="60">
    <w:name w:val="Table Paragraph"/>
    <w:basedOn w:val="1"/>
    <w:qFormat/>
    <w:uiPriority w:val="0"/>
  </w:style>
  <w:style w:type="table" w:customStyle="1" w:styleId="61">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62">
    <w:name w:val="尾注文本 Char"/>
    <w:qFormat/>
    <w:uiPriority w:val="0"/>
    <w:rPr>
      <w:rFonts w:ascii="等线" w:hAnsi="等线" w:eastAsia="等线"/>
      <w:kern w:val="2"/>
      <w:sz w:val="21"/>
      <w:szCs w:val="24"/>
    </w:rPr>
  </w:style>
  <w:style w:type="paragraph" w:customStyle="1" w:styleId="63">
    <w:name w:val="文二"/>
    <w:basedOn w:val="1"/>
    <w:qFormat/>
    <w:uiPriority w:val="0"/>
    <w:rPr>
      <w:rFonts w:ascii="宋体" w:hAnsi="宋体" w:eastAsia="宋体"/>
      <w:kern w:val="2"/>
      <w:sz w:val="21"/>
      <w:szCs w:val="21"/>
      <w:lang w:eastAsia="zh-CN"/>
    </w:rPr>
  </w:style>
  <w:style w:type="paragraph" w:customStyle="1" w:styleId="6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65">
    <w:name w:val="15"/>
    <w:basedOn w:val="32"/>
    <w:qFormat/>
    <w:uiPriority w:val="0"/>
    <w:rPr>
      <w:rFonts w:hint="default" w:ascii="Times New Roman" w:hAnsi="Times New Roman" w:cs="Times New Roman"/>
    </w:rPr>
  </w:style>
  <w:style w:type="character" w:customStyle="1" w:styleId="66">
    <w:name w:val="10"/>
    <w:basedOn w:val="32"/>
    <w:qFormat/>
    <w:uiPriority w:val="0"/>
    <w:rPr>
      <w:rFonts w:hint="default" w:ascii="Times New Roman" w:hAnsi="Times New Roman" w:cs="Times New Roman"/>
    </w:rPr>
  </w:style>
  <w:style w:type="paragraph" w:customStyle="1" w:styleId="67">
    <w:name w:val="标准正文"/>
    <w:basedOn w:val="1"/>
    <w:qFormat/>
    <w:uiPriority w:val="0"/>
    <w:pPr>
      <w:tabs>
        <w:tab w:val="left" w:pos="720"/>
      </w:tabs>
      <w:spacing w:line="360" w:lineRule="auto"/>
      <w:ind w:firstLine="200" w:firstLineChars="200"/>
    </w:pPr>
    <w:rPr>
      <w:kern w:val="0"/>
      <w:sz w:val="20"/>
      <w:szCs w:val="24"/>
    </w:rPr>
  </w:style>
  <w:style w:type="paragraph" w:customStyle="1" w:styleId="68">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9">
    <w:name w:val="No Spacing"/>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0">
    <w:name w:val="UserStyle_12"/>
    <w:qFormat/>
    <w:uiPriority w:val="0"/>
    <w:rPr>
      <w:rFonts w:ascii="Calibri" w:hAnsi="Calibri" w:eastAsia="宋体" w:cs="Times New Roman"/>
      <w:kern w:val="2"/>
      <w:sz w:val="21"/>
      <w:szCs w:val="22"/>
      <w:lang w:val="en-US" w:eastAsia="zh-CN" w:bidi="ar-SA"/>
    </w:rPr>
  </w:style>
  <w:style w:type="paragraph" w:customStyle="1" w:styleId="71">
    <w:name w:val="Other|1"/>
    <w:basedOn w:val="1"/>
    <w:qFormat/>
    <w:uiPriority w:val="0"/>
    <w:pPr>
      <w:spacing w:line="228" w:lineRule="exact"/>
    </w:pPr>
    <w:rPr>
      <w:rFonts w:ascii="Arial Unicode MS" w:hAnsi="Arial Unicode MS" w:eastAsia="Arial Unicode MS" w:cs="Arial Unicode MS"/>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66</Pages>
  <Words>339</Words>
  <Characters>395</Characters>
  <Lines>1</Lines>
  <Paragraphs>1</Paragraphs>
  <TotalTime>28</TotalTime>
  <ScaleCrop>false</ScaleCrop>
  <LinksUpToDate>false</LinksUpToDate>
  <CharactersWithSpaces>465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2022-03-18T08:46:00Z</dcterms:created>
  <dc:creator>袁静</dc:creator>
  <cp:lastModifiedBy>邻家小fun</cp:lastModifiedBy>
  <cp:lastPrinted>2024-08-19T07:53:00Z</cp:lastPrinted>
  <dcterms:modified xsi:type="dcterms:W3CDTF">2025-04-23T08:48:50Z</dcterms:modified>
  <dc:title>中华人民共和国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2017-09-05T08:00:00Z</vt:filetime>
  </property>
  <property fmtid="{D5CDD505-2E9C-101B-9397-08002B2CF9AE}" pid="3" name="Creator">
    <vt:lpwstr>Microsoft® Word 2013</vt:lpwstr>
  </property>
  <property fmtid="{D5CDD505-2E9C-101B-9397-08002B2CF9AE}" pid="4" name="LastSaved">
    <vt:filetime>2019-11-19T08:00:00Z</vt:filetime>
  </property>
  <property fmtid="{D5CDD505-2E9C-101B-9397-08002B2CF9AE}" pid="5" name="KSOProductBuildVer">
    <vt:lpwstr>2052-12.1.0.19770</vt:lpwstr>
  </property>
  <property fmtid="{D5CDD505-2E9C-101B-9397-08002B2CF9AE}" pid="6" name="ICV">
    <vt:lpwstr>CF26B3F0740B4C9A84D43B3693C8A14D</vt:lpwstr>
  </property>
  <property fmtid="{D5CDD505-2E9C-101B-9397-08002B2CF9AE}" pid="7" name="KSOTemplateDocerSaveRecord">
    <vt:lpwstr>eyJoZGlkIjoiMzIwYzAyYzFkN2E5NmFlNDZkOTE0YjBkZDlkYjVjNjkiLCJ1c2VySWQiOiI0NDMxNDA5OTMifQ==</vt:lpwstr>
  </property>
</Properties>
</file>